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C847C">
      <w:pPr>
        <w:rPr>
          <w:rFonts w:ascii="宋体"/>
          <w:b/>
          <w:bCs/>
          <w:sz w:val="44"/>
          <w:szCs w:val="44"/>
        </w:rPr>
      </w:pPr>
    </w:p>
    <w:p w14:paraId="03AC017F">
      <w:pPr>
        <w:pStyle w:val="8"/>
      </w:pPr>
    </w:p>
    <w:p w14:paraId="1B173BC4">
      <w:pPr>
        <w:jc w:val="center"/>
        <w:rPr>
          <w:rFonts w:ascii="宋体"/>
          <w:b/>
          <w:bCs/>
          <w:sz w:val="44"/>
          <w:szCs w:val="44"/>
        </w:rPr>
      </w:pPr>
    </w:p>
    <w:p w14:paraId="24F710F4">
      <w:pPr>
        <w:spacing w:line="360" w:lineRule="auto"/>
        <w:jc w:val="center"/>
        <w:rPr>
          <w:rFonts w:hint="eastAsia" w:ascii="宋体"/>
          <w:b/>
          <w:bCs/>
          <w:sz w:val="44"/>
          <w:szCs w:val="44"/>
          <w:lang w:val="en-US" w:eastAsia="zh-CN"/>
        </w:rPr>
      </w:pPr>
      <w:r>
        <w:rPr>
          <w:rFonts w:hint="eastAsia" w:ascii="宋体"/>
          <w:b/>
          <w:bCs/>
          <w:sz w:val="44"/>
          <w:szCs w:val="44"/>
          <w:lang w:val="en-US" w:eastAsia="zh-CN"/>
        </w:rPr>
        <w:t>巨化集团有限公司公用事业部</w:t>
      </w:r>
    </w:p>
    <w:p w14:paraId="6075DB8B">
      <w:pPr>
        <w:spacing w:line="360" w:lineRule="auto"/>
        <w:jc w:val="center"/>
        <w:rPr>
          <w:rFonts w:hint="eastAsia" w:ascii="宋体"/>
          <w:b/>
          <w:bCs/>
          <w:sz w:val="44"/>
          <w:szCs w:val="44"/>
          <w:lang w:val="en-US" w:eastAsia="zh-CN"/>
        </w:rPr>
      </w:pPr>
      <w:r>
        <w:rPr>
          <w:rFonts w:hint="eastAsia" w:ascii="宋体"/>
          <w:b/>
          <w:bCs/>
          <w:sz w:val="44"/>
          <w:szCs w:val="44"/>
          <w:lang w:val="en-US" w:eastAsia="zh-CN"/>
        </w:rPr>
        <w:t>110kV及以上电气设备检维修项目</w:t>
      </w:r>
    </w:p>
    <w:p w14:paraId="4B7EEFDD">
      <w:pPr>
        <w:spacing w:line="360" w:lineRule="auto"/>
        <w:jc w:val="both"/>
        <w:rPr>
          <w:rFonts w:ascii="宋体"/>
          <w:b/>
          <w:bCs/>
          <w:sz w:val="44"/>
          <w:szCs w:val="44"/>
        </w:rPr>
      </w:pPr>
    </w:p>
    <w:p w14:paraId="15AF8901">
      <w:pPr>
        <w:spacing w:line="360" w:lineRule="auto"/>
        <w:jc w:val="center"/>
        <w:rPr>
          <w:b/>
          <w:bCs/>
          <w:sz w:val="48"/>
          <w:szCs w:val="48"/>
        </w:rPr>
      </w:pPr>
      <w:r>
        <w:rPr>
          <w:rFonts w:hint="eastAsia"/>
          <w:b/>
          <w:bCs/>
          <w:sz w:val="48"/>
          <w:szCs w:val="48"/>
        </w:rPr>
        <w:t>招标文件</w:t>
      </w:r>
    </w:p>
    <w:p w14:paraId="1C182FBC">
      <w:pPr>
        <w:jc w:val="center"/>
        <w:rPr>
          <w:rFonts w:ascii="宋体"/>
          <w:sz w:val="32"/>
          <w:szCs w:val="32"/>
        </w:rPr>
      </w:pPr>
    </w:p>
    <w:p w14:paraId="6453654D">
      <w:pPr>
        <w:jc w:val="center"/>
        <w:rPr>
          <w:rFonts w:ascii="宋体"/>
          <w:sz w:val="32"/>
          <w:szCs w:val="32"/>
        </w:rPr>
      </w:pPr>
      <w:r>
        <w:rPr>
          <w:rFonts w:ascii="宋体"/>
          <w:sz w:val="32"/>
          <w:szCs w:val="32"/>
        </w:rPr>
        <w:t>（招标编号：</w:t>
      </w:r>
      <w:r>
        <w:rPr>
          <w:rFonts w:hint="eastAsia" w:ascii="宋体"/>
          <w:sz w:val="32"/>
          <w:szCs w:val="32"/>
        </w:rPr>
        <w:t>NFZB-20251108</w:t>
      </w:r>
      <w:r>
        <w:rPr>
          <w:rFonts w:ascii="宋体"/>
          <w:sz w:val="32"/>
          <w:szCs w:val="32"/>
        </w:rPr>
        <w:t>）</w:t>
      </w:r>
    </w:p>
    <w:p w14:paraId="4C293BD3">
      <w:pPr>
        <w:pStyle w:val="38"/>
        <w:spacing w:line="480" w:lineRule="auto"/>
        <w:ind w:firstLine="967" w:firstLineChars="344"/>
        <w:outlineLvl w:val="0"/>
        <w:rPr>
          <w:sz w:val="28"/>
          <w:szCs w:val="28"/>
        </w:rPr>
      </w:pPr>
      <w:bookmarkStart w:id="0" w:name="_Toc29895"/>
    </w:p>
    <w:p w14:paraId="7BF3C3D8">
      <w:pPr>
        <w:pStyle w:val="38"/>
        <w:spacing w:line="480" w:lineRule="auto"/>
        <w:ind w:firstLine="967" w:firstLineChars="344"/>
        <w:outlineLvl w:val="0"/>
        <w:rPr>
          <w:sz w:val="28"/>
          <w:szCs w:val="28"/>
        </w:rPr>
      </w:pPr>
    </w:p>
    <w:p w14:paraId="1540EEED">
      <w:pPr>
        <w:pStyle w:val="38"/>
        <w:spacing w:line="480" w:lineRule="auto"/>
        <w:ind w:firstLine="967" w:firstLineChars="344"/>
        <w:outlineLvl w:val="0"/>
        <w:rPr>
          <w:sz w:val="28"/>
          <w:szCs w:val="28"/>
        </w:rPr>
      </w:pPr>
    </w:p>
    <w:p w14:paraId="43B7BDF6">
      <w:pPr>
        <w:pStyle w:val="38"/>
        <w:spacing w:line="480" w:lineRule="auto"/>
        <w:ind w:firstLine="967" w:firstLineChars="344"/>
        <w:outlineLvl w:val="0"/>
        <w:rPr>
          <w:sz w:val="28"/>
          <w:szCs w:val="28"/>
        </w:rPr>
      </w:pPr>
    </w:p>
    <w:p w14:paraId="62A76315">
      <w:pPr>
        <w:pStyle w:val="38"/>
        <w:spacing w:line="480" w:lineRule="auto"/>
        <w:ind w:firstLine="967" w:firstLineChars="344"/>
        <w:outlineLvl w:val="0"/>
        <w:rPr>
          <w:sz w:val="28"/>
          <w:szCs w:val="28"/>
        </w:rPr>
      </w:pPr>
      <w:r>
        <w:rPr>
          <w:rFonts w:hint="eastAsia"/>
          <w:sz w:val="28"/>
          <w:szCs w:val="28"/>
        </w:rPr>
        <w:t>招   标   人：</w:t>
      </w:r>
      <w:r>
        <w:rPr>
          <w:rFonts w:hint="eastAsia"/>
          <w:sz w:val="28"/>
          <w:szCs w:val="28"/>
          <w:u w:val="single"/>
          <w:lang w:val="en-US" w:eastAsia="zh-CN"/>
        </w:rPr>
        <w:t>巨化集团有限公司公用事业部</w:t>
      </w:r>
      <w:r>
        <w:rPr>
          <w:sz w:val="28"/>
          <w:szCs w:val="28"/>
          <w:u w:val="single"/>
        </w:rPr>
        <w:t xml:space="preserve"> </w:t>
      </w:r>
      <w:r>
        <w:rPr>
          <w:rFonts w:hint="eastAsia"/>
          <w:sz w:val="28"/>
          <w:szCs w:val="28"/>
        </w:rPr>
        <w:t>（盖章）</w:t>
      </w:r>
      <w:bookmarkEnd w:id="0"/>
    </w:p>
    <w:p w14:paraId="5505D8A4">
      <w:pPr>
        <w:pStyle w:val="38"/>
        <w:spacing w:line="480" w:lineRule="auto"/>
        <w:ind w:firstLine="967" w:firstLineChars="344"/>
        <w:rPr>
          <w:rFonts w:hint="eastAsia"/>
          <w:sz w:val="28"/>
          <w:szCs w:val="28"/>
        </w:rPr>
      </w:pPr>
      <w:r>
        <w:rPr>
          <w:rFonts w:hint="eastAsia"/>
          <w:sz w:val="28"/>
          <w:szCs w:val="28"/>
        </w:rPr>
        <w:t>招标代理机构：</w:t>
      </w:r>
      <w:r>
        <w:rPr>
          <w:rFonts w:hint="eastAsia"/>
          <w:sz w:val="28"/>
          <w:szCs w:val="28"/>
          <w:u w:val="single"/>
        </w:rPr>
        <w:t>浙江南方工程咨询管理有限公司</w:t>
      </w:r>
      <w:r>
        <w:rPr>
          <w:rFonts w:hint="eastAsia"/>
          <w:sz w:val="28"/>
          <w:szCs w:val="28"/>
        </w:rPr>
        <w:t>（盖章）</w:t>
      </w:r>
    </w:p>
    <w:p w14:paraId="23873CF8">
      <w:pPr>
        <w:pStyle w:val="38"/>
        <w:spacing w:line="480" w:lineRule="auto"/>
        <w:rPr>
          <w:sz w:val="28"/>
          <w:szCs w:val="28"/>
        </w:rPr>
      </w:pPr>
    </w:p>
    <w:p w14:paraId="696B629F">
      <w:pPr>
        <w:spacing w:line="480" w:lineRule="auto"/>
        <w:ind w:firstLine="3373" w:firstLineChars="1200"/>
        <w:rPr>
          <w:rFonts w:hint="eastAsia" w:eastAsia="宋体"/>
          <w:lang w:eastAsia="zh-CN"/>
        </w:rPr>
      </w:pPr>
      <w:r>
        <w:rPr>
          <w:rFonts w:hint="eastAsia"/>
          <w:b/>
          <w:sz w:val="28"/>
          <w:szCs w:val="28"/>
        </w:rPr>
        <w:t>日期：</w:t>
      </w:r>
      <w:r>
        <w:rPr>
          <w:rFonts w:hint="eastAsia"/>
          <w:b/>
          <w:sz w:val="28"/>
          <w:szCs w:val="28"/>
          <w:lang w:eastAsia="zh-CN"/>
        </w:rPr>
        <w:t>202</w:t>
      </w:r>
      <w:r>
        <w:rPr>
          <w:rFonts w:hint="eastAsia"/>
          <w:b/>
          <w:sz w:val="28"/>
          <w:szCs w:val="28"/>
          <w:lang w:val="en-US" w:eastAsia="zh-CN"/>
        </w:rPr>
        <w:t>5</w:t>
      </w:r>
      <w:r>
        <w:rPr>
          <w:rFonts w:hint="eastAsia"/>
          <w:b/>
          <w:sz w:val="28"/>
          <w:szCs w:val="28"/>
          <w:lang w:eastAsia="zh-CN"/>
        </w:rPr>
        <w:t>年</w:t>
      </w:r>
      <w:r>
        <w:rPr>
          <w:rFonts w:hint="eastAsia"/>
          <w:b/>
          <w:sz w:val="28"/>
          <w:szCs w:val="28"/>
          <w:lang w:val="en-US" w:eastAsia="zh-CN"/>
        </w:rPr>
        <w:t>12</w:t>
      </w:r>
      <w:r>
        <w:rPr>
          <w:rFonts w:hint="eastAsia"/>
          <w:b/>
          <w:sz w:val="28"/>
          <w:szCs w:val="28"/>
          <w:lang w:eastAsia="zh-CN"/>
        </w:rPr>
        <w:t>月</w:t>
      </w:r>
    </w:p>
    <w:sdt>
      <w:sdtPr>
        <w:rPr>
          <w:rFonts w:ascii="宋体"/>
          <w:sz w:val="32"/>
          <w:szCs w:val="32"/>
        </w:rPr>
        <w:id w:val="-1640920701"/>
        <w15:color w:val="DBDBDB"/>
        <w:docPartObj>
          <w:docPartGallery w:val="Table of Contents"/>
          <w:docPartUnique/>
        </w:docPartObj>
      </w:sdtPr>
      <w:sdtEndPr>
        <w:rPr>
          <w:rFonts w:ascii="Times New Roman" w:hAnsi="Times New Roman"/>
          <w:sz w:val="21"/>
          <w:szCs w:val="24"/>
        </w:rPr>
      </w:sdtEndPr>
      <w:sdtContent>
        <w:p w14:paraId="7EDB7A9C">
          <w:pPr>
            <w:spacing w:line="360" w:lineRule="auto"/>
            <w:rPr>
              <w:rFonts w:ascii="宋体"/>
              <w:sz w:val="32"/>
              <w:szCs w:val="32"/>
            </w:rPr>
          </w:pPr>
        </w:p>
        <w:p w14:paraId="245A01C4">
          <w:pPr>
            <w:spacing w:line="360" w:lineRule="auto"/>
            <w:rPr>
              <w:rFonts w:ascii="宋体"/>
              <w:sz w:val="32"/>
              <w:szCs w:val="32"/>
            </w:rPr>
          </w:pPr>
        </w:p>
        <w:p w14:paraId="1CC9A12A">
          <w:pPr>
            <w:spacing w:line="360" w:lineRule="auto"/>
            <w:jc w:val="center"/>
            <w:rPr>
              <w:sz w:val="32"/>
              <w:szCs w:val="32"/>
            </w:rPr>
          </w:pPr>
          <w:r>
            <w:rPr>
              <w:rFonts w:ascii="宋体"/>
              <w:sz w:val="32"/>
              <w:szCs w:val="32"/>
            </w:rPr>
            <w:t>目录</w:t>
          </w:r>
        </w:p>
        <w:p w14:paraId="241BB0A3">
          <w:pPr>
            <w:pStyle w:val="43"/>
            <w:tabs>
              <w:tab w:val="right" w:leader="dot" w:pos="9355"/>
            </w:tabs>
            <w:spacing w:line="360" w:lineRule="auto"/>
            <w:rPr>
              <w:sz w:val="32"/>
              <w:szCs w:val="32"/>
            </w:rPr>
          </w:pPr>
          <w:r>
            <w:rPr>
              <w:sz w:val="32"/>
              <w:szCs w:val="32"/>
            </w:rPr>
            <w:fldChar w:fldCharType="begin"/>
          </w:r>
          <w:r>
            <w:rPr>
              <w:sz w:val="32"/>
              <w:szCs w:val="32"/>
            </w:rPr>
            <w:instrText xml:space="preserve">TOC \o "1-1" \h \u </w:instrText>
          </w:r>
          <w:r>
            <w:rPr>
              <w:sz w:val="32"/>
              <w:szCs w:val="32"/>
            </w:rPr>
            <w:fldChar w:fldCharType="separate"/>
          </w:r>
        </w:p>
        <w:p w14:paraId="2EFA99D2">
          <w:pPr>
            <w:pStyle w:val="43"/>
            <w:tabs>
              <w:tab w:val="right" w:leader="dot" w:pos="9355"/>
            </w:tabs>
            <w:spacing w:line="360" w:lineRule="auto"/>
            <w:rPr>
              <w:sz w:val="28"/>
              <w:szCs w:val="28"/>
            </w:rPr>
          </w:pPr>
          <w:r>
            <w:fldChar w:fldCharType="begin"/>
          </w:r>
          <w:r>
            <w:instrText xml:space="preserve"> HYPERLINK \l "_Toc9190" </w:instrText>
          </w:r>
          <w:r>
            <w:fldChar w:fldCharType="separate"/>
          </w:r>
          <w:r>
            <w:rPr>
              <w:rFonts w:hint="eastAsia" w:ascii="宋体" w:cs="宋体"/>
              <w:sz w:val="28"/>
              <w:szCs w:val="28"/>
            </w:rPr>
            <w:t>电子交易须知</w:t>
          </w:r>
          <w:r>
            <w:rPr>
              <w:rFonts w:hint="eastAsia" w:ascii="宋体" w:cs="宋体"/>
              <w:sz w:val="28"/>
              <w:szCs w:val="28"/>
            </w:rPr>
            <w:fldChar w:fldCharType="end"/>
          </w:r>
        </w:p>
        <w:p w14:paraId="2419EB4E">
          <w:pPr>
            <w:pStyle w:val="43"/>
            <w:tabs>
              <w:tab w:val="right" w:leader="dot" w:pos="9355"/>
            </w:tabs>
            <w:spacing w:line="360" w:lineRule="auto"/>
            <w:rPr>
              <w:sz w:val="28"/>
              <w:szCs w:val="28"/>
            </w:rPr>
          </w:pPr>
          <w:r>
            <w:fldChar w:fldCharType="begin"/>
          </w:r>
          <w:r>
            <w:instrText xml:space="preserve"> HYPERLINK \l "_Toc14580" </w:instrText>
          </w:r>
          <w:r>
            <w:fldChar w:fldCharType="separate"/>
          </w:r>
          <w:r>
            <w:rPr>
              <w:rFonts w:hint="eastAsia"/>
              <w:bCs/>
              <w:sz w:val="28"/>
              <w:szCs w:val="28"/>
            </w:rPr>
            <w:t>第一章 招标公告</w:t>
          </w:r>
          <w:r>
            <w:rPr>
              <w:sz w:val="28"/>
              <w:szCs w:val="28"/>
            </w:rPr>
            <w:tab/>
          </w:r>
          <w:r>
            <w:rPr>
              <w:sz w:val="28"/>
              <w:szCs w:val="28"/>
            </w:rPr>
            <w:fldChar w:fldCharType="begin"/>
          </w:r>
          <w:r>
            <w:rPr>
              <w:sz w:val="28"/>
              <w:szCs w:val="28"/>
            </w:rPr>
            <w:instrText xml:space="preserve"> PAGEREF _Toc14580 \h </w:instrText>
          </w:r>
          <w:r>
            <w:rPr>
              <w:sz w:val="28"/>
              <w:szCs w:val="28"/>
            </w:rPr>
            <w:fldChar w:fldCharType="separate"/>
          </w:r>
          <w:r>
            <w:rPr>
              <w:sz w:val="28"/>
              <w:szCs w:val="28"/>
            </w:rPr>
            <w:t>3</w:t>
          </w:r>
          <w:r>
            <w:rPr>
              <w:sz w:val="28"/>
              <w:szCs w:val="28"/>
            </w:rPr>
            <w:fldChar w:fldCharType="end"/>
          </w:r>
          <w:r>
            <w:rPr>
              <w:sz w:val="28"/>
              <w:szCs w:val="28"/>
            </w:rPr>
            <w:fldChar w:fldCharType="end"/>
          </w:r>
        </w:p>
        <w:p w14:paraId="7211D920">
          <w:pPr>
            <w:pStyle w:val="43"/>
            <w:tabs>
              <w:tab w:val="right" w:leader="dot" w:pos="9355"/>
            </w:tabs>
            <w:spacing w:line="360" w:lineRule="auto"/>
            <w:rPr>
              <w:sz w:val="28"/>
              <w:szCs w:val="28"/>
            </w:rPr>
          </w:pPr>
          <w:r>
            <w:fldChar w:fldCharType="begin"/>
          </w:r>
          <w:r>
            <w:instrText xml:space="preserve"> HYPERLINK \l "_Toc2939" </w:instrText>
          </w:r>
          <w:r>
            <w:fldChar w:fldCharType="separate"/>
          </w:r>
          <w:r>
            <w:rPr>
              <w:rFonts w:hint="eastAsia"/>
              <w:bCs/>
              <w:sz w:val="28"/>
              <w:szCs w:val="28"/>
            </w:rPr>
            <w:t>第二章 投标人须知</w:t>
          </w:r>
          <w:r>
            <w:rPr>
              <w:sz w:val="28"/>
              <w:szCs w:val="28"/>
            </w:rPr>
            <w:tab/>
          </w:r>
          <w:r>
            <w:rPr>
              <w:sz w:val="28"/>
              <w:szCs w:val="28"/>
            </w:rPr>
            <w:fldChar w:fldCharType="begin"/>
          </w:r>
          <w:r>
            <w:rPr>
              <w:sz w:val="28"/>
              <w:szCs w:val="28"/>
            </w:rPr>
            <w:instrText xml:space="preserve"> PAGEREF _Toc2939 \h </w:instrText>
          </w:r>
          <w:r>
            <w:rPr>
              <w:sz w:val="28"/>
              <w:szCs w:val="28"/>
            </w:rPr>
            <w:fldChar w:fldCharType="separate"/>
          </w:r>
          <w:r>
            <w:rPr>
              <w:sz w:val="28"/>
              <w:szCs w:val="28"/>
            </w:rPr>
            <w:t>5</w:t>
          </w:r>
          <w:r>
            <w:rPr>
              <w:sz w:val="28"/>
              <w:szCs w:val="28"/>
            </w:rPr>
            <w:fldChar w:fldCharType="end"/>
          </w:r>
          <w:r>
            <w:rPr>
              <w:sz w:val="28"/>
              <w:szCs w:val="28"/>
            </w:rPr>
            <w:fldChar w:fldCharType="end"/>
          </w:r>
        </w:p>
        <w:p w14:paraId="290EAE58">
          <w:pPr>
            <w:pStyle w:val="43"/>
            <w:tabs>
              <w:tab w:val="right" w:leader="dot" w:pos="9355"/>
            </w:tabs>
            <w:spacing w:line="360" w:lineRule="auto"/>
            <w:rPr>
              <w:sz w:val="28"/>
              <w:szCs w:val="28"/>
            </w:rPr>
          </w:pPr>
          <w:r>
            <w:fldChar w:fldCharType="begin"/>
          </w:r>
          <w:r>
            <w:instrText xml:space="preserve"> HYPERLINK \l "_Toc13308" </w:instrText>
          </w:r>
          <w:r>
            <w:fldChar w:fldCharType="separate"/>
          </w:r>
          <w:r>
            <w:rPr>
              <w:rFonts w:hint="eastAsia"/>
              <w:bCs/>
              <w:sz w:val="28"/>
              <w:szCs w:val="28"/>
            </w:rPr>
            <w:t>第三章 评标办法</w:t>
          </w:r>
          <w:r>
            <w:rPr>
              <w:sz w:val="28"/>
              <w:szCs w:val="28"/>
            </w:rPr>
            <w:tab/>
          </w:r>
          <w:r>
            <w:rPr>
              <w:sz w:val="28"/>
              <w:szCs w:val="28"/>
            </w:rPr>
            <w:fldChar w:fldCharType="begin"/>
          </w:r>
          <w:r>
            <w:rPr>
              <w:sz w:val="28"/>
              <w:szCs w:val="28"/>
            </w:rPr>
            <w:instrText xml:space="preserve"> PAGEREF _Toc13308 \h </w:instrText>
          </w:r>
          <w:r>
            <w:rPr>
              <w:sz w:val="28"/>
              <w:szCs w:val="28"/>
            </w:rPr>
            <w:fldChar w:fldCharType="separate"/>
          </w:r>
          <w:r>
            <w:rPr>
              <w:sz w:val="28"/>
              <w:szCs w:val="28"/>
            </w:rPr>
            <w:t>17</w:t>
          </w:r>
          <w:r>
            <w:rPr>
              <w:sz w:val="28"/>
              <w:szCs w:val="28"/>
            </w:rPr>
            <w:fldChar w:fldCharType="end"/>
          </w:r>
          <w:r>
            <w:rPr>
              <w:sz w:val="28"/>
              <w:szCs w:val="28"/>
            </w:rPr>
            <w:fldChar w:fldCharType="end"/>
          </w:r>
        </w:p>
        <w:p w14:paraId="385C31AD">
          <w:pPr>
            <w:pStyle w:val="43"/>
            <w:tabs>
              <w:tab w:val="right" w:leader="dot" w:pos="9355"/>
            </w:tabs>
            <w:spacing w:line="360" w:lineRule="auto"/>
            <w:rPr>
              <w:sz w:val="28"/>
              <w:szCs w:val="28"/>
            </w:rPr>
          </w:pPr>
          <w:r>
            <w:fldChar w:fldCharType="begin"/>
          </w:r>
          <w:r>
            <w:instrText xml:space="preserve"> HYPERLINK \l "_Toc6826" </w:instrText>
          </w:r>
          <w:r>
            <w:fldChar w:fldCharType="separate"/>
          </w:r>
          <w:r>
            <w:rPr>
              <w:rFonts w:hint="eastAsia" w:ascii="宋体"/>
              <w:bCs/>
              <w:sz w:val="28"/>
              <w:szCs w:val="28"/>
            </w:rPr>
            <w:t>第四章 招标内容及要求</w:t>
          </w:r>
          <w:r>
            <w:rPr>
              <w:sz w:val="28"/>
              <w:szCs w:val="28"/>
            </w:rPr>
            <w:tab/>
          </w:r>
          <w:r>
            <w:rPr>
              <w:sz w:val="28"/>
              <w:szCs w:val="28"/>
            </w:rPr>
            <w:fldChar w:fldCharType="begin"/>
          </w:r>
          <w:r>
            <w:rPr>
              <w:sz w:val="28"/>
              <w:szCs w:val="28"/>
            </w:rPr>
            <w:instrText xml:space="preserve"> PAGEREF _Toc6826 \h </w:instrText>
          </w:r>
          <w:r>
            <w:rPr>
              <w:sz w:val="28"/>
              <w:szCs w:val="28"/>
            </w:rPr>
            <w:fldChar w:fldCharType="separate"/>
          </w:r>
          <w:r>
            <w:rPr>
              <w:sz w:val="28"/>
              <w:szCs w:val="28"/>
            </w:rPr>
            <w:t>21</w:t>
          </w:r>
          <w:r>
            <w:rPr>
              <w:sz w:val="28"/>
              <w:szCs w:val="28"/>
            </w:rPr>
            <w:fldChar w:fldCharType="end"/>
          </w:r>
          <w:r>
            <w:rPr>
              <w:sz w:val="28"/>
              <w:szCs w:val="28"/>
            </w:rPr>
            <w:fldChar w:fldCharType="end"/>
          </w:r>
        </w:p>
        <w:p w14:paraId="24393627">
          <w:pPr>
            <w:pStyle w:val="43"/>
            <w:tabs>
              <w:tab w:val="right" w:leader="dot" w:pos="9355"/>
            </w:tabs>
            <w:spacing w:line="360" w:lineRule="auto"/>
            <w:rPr>
              <w:rFonts w:ascii="宋体"/>
              <w:bCs/>
              <w:sz w:val="28"/>
              <w:szCs w:val="28"/>
            </w:rPr>
          </w:pPr>
          <w:r>
            <w:rPr>
              <w:rFonts w:hint="eastAsia" w:ascii="宋体"/>
              <w:bCs/>
              <w:sz w:val="28"/>
              <w:szCs w:val="28"/>
            </w:rPr>
            <w:t>第五章 合同主要条款</w:t>
          </w:r>
          <w:r>
            <w:rPr>
              <w:sz w:val="28"/>
              <w:szCs w:val="28"/>
            </w:rPr>
            <w:tab/>
          </w:r>
          <w:r>
            <w:rPr>
              <w:rFonts w:hint="eastAsia"/>
              <w:sz w:val="28"/>
              <w:szCs w:val="28"/>
            </w:rPr>
            <w:t>26</w:t>
          </w:r>
        </w:p>
        <w:p w14:paraId="00BFF329">
          <w:pPr>
            <w:pStyle w:val="43"/>
            <w:tabs>
              <w:tab w:val="right" w:leader="dot" w:pos="9355"/>
            </w:tabs>
            <w:spacing w:line="360" w:lineRule="auto"/>
            <w:rPr>
              <w:sz w:val="28"/>
              <w:szCs w:val="28"/>
            </w:rPr>
          </w:pPr>
          <w:r>
            <w:fldChar w:fldCharType="begin"/>
          </w:r>
          <w:r>
            <w:instrText xml:space="preserve"> HYPERLINK \l "_Toc17600" </w:instrText>
          </w:r>
          <w:r>
            <w:fldChar w:fldCharType="separate"/>
          </w:r>
          <w:r>
            <w:rPr>
              <w:rFonts w:hint="eastAsia"/>
              <w:bCs/>
              <w:sz w:val="28"/>
              <w:szCs w:val="28"/>
            </w:rPr>
            <w:t>第六章 投标文件格式</w:t>
          </w:r>
          <w:r>
            <w:rPr>
              <w:sz w:val="28"/>
              <w:szCs w:val="28"/>
            </w:rPr>
            <w:tab/>
          </w:r>
          <w:r>
            <w:rPr>
              <w:rFonts w:hint="eastAsia"/>
              <w:sz w:val="28"/>
              <w:szCs w:val="28"/>
            </w:rPr>
            <w:t>3</w:t>
          </w:r>
          <w:r>
            <w:rPr>
              <w:rFonts w:hint="eastAsia"/>
              <w:sz w:val="28"/>
              <w:szCs w:val="28"/>
            </w:rPr>
            <w:fldChar w:fldCharType="end"/>
          </w:r>
          <w:r>
            <w:rPr>
              <w:rFonts w:hint="eastAsia"/>
              <w:sz w:val="28"/>
              <w:szCs w:val="28"/>
            </w:rPr>
            <w:t>5</w:t>
          </w:r>
        </w:p>
        <w:p w14:paraId="4A2EE86B">
          <w:pPr>
            <w:spacing w:line="360" w:lineRule="auto"/>
          </w:pPr>
          <w:r>
            <w:rPr>
              <w:sz w:val="32"/>
              <w:szCs w:val="32"/>
            </w:rPr>
            <w:fldChar w:fldCharType="end"/>
          </w:r>
        </w:p>
      </w:sdtContent>
    </w:sdt>
    <w:p w14:paraId="3B8D66FB"/>
    <w:p w14:paraId="4FA8F6E6"/>
    <w:p w14:paraId="39F70FF1"/>
    <w:p w14:paraId="32D20EFF"/>
    <w:p w14:paraId="794EF0F1"/>
    <w:p w14:paraId="3711EBCC"/>
    <w:p w14:paraId="1D823847">
      <w:p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7844E7BC">
      <w:pPr>
        <w:snapToGrid w:val="0"/>
        <w:spacing w:line="360" w:lineRule="auto"/>
        <w:jc w:val="center"/>
        <w:outlineLvl w:val="0"/>
        <w:rPr>
          <w:rFonts w:ascii="宋体" w:cs="宋体"/>
          <w:b/>
          <w:sz w:val="32"/>
          <w:szCs w:val="32"/>
        </w:rPr>
      </w:pPr>
      <w:bookmarkStart w:id="1" w:name="_Toc10985"/>
      <w:r>
        <w:rPr>
          <w:rFonts w:hint="eastAsia" w:ascii="宋体" w:cs="宋体"/>
          <w:b/>
          <w:sz w:val="32"/>
          <w:szCs w:val="32"/>
        </w:rPr>
        <w:t>电子交易须知</w:t>
      </w:r>
      <w:bookmarkEnd w:id="1"/>
    </w:p>
    <w:p w14:paraId="68A3363C">
      <w:pPr>
        <w:pStyle w:val="15"/>
        <w:spacing w:line="360" w:lineRule="auto"/>
        <w:ind w:firstLine="480" w:firstLineChars="200"/>
        <w:jc w:val="left"/>
        <w:rPr>
          <w:sz w:val="24"/>
          <w:szCs w:val="24"/>
        </w:rPr>
      </w:pPr>
      <w:r>
        <w:rPr>
          <w:rFonts w:hint="eastAsia"/>
          <w:sz w:val="24"/>
          <w:szCs w:val="24"/>
        </w:rPr>
        <w:t>本次招标采用电子投标方式，电子投标平台为“巨化数字化招采平台（juhua.ccccnet.com）”（下同），参考操作顺序如下：</w:t>
      </w:r>
    </w:p>
    <w:p w14:paraId="1F961646">
      <w:pPr>
        <w:pStyle w:val="15"/>
        <w:spacing w:line="360" w:lineRule="auto"/>
        <w:ind w:firstLine="480" w:firstLineChars="200"/>
        <w:jc w:val="left"/>
        <w:rPr>
          <w:sz w:val="24"/>
          <w:szCs w:val="24"/>
        </w:rPr>
      </w:pPr>
      <w:r>
        <w:rPr>
          <w:rFonts w:hint="eastAsia"/>
          <w:sz w:val="24"/>
          <w:szCs w:val="24"/>
        </w:rPr>
        <w:t>1.注册：</w:t>
      </w:r>
    </w:p>
    <w:p w14:paraId="1FEC23F5">
      <w:pPr>
        <w:pStyle w:val="15"/>
        <w:spacing w:line="360" w:lineRule="auto"/>
        <w:ind w:firstLine="480" w:firstLineChars="200"/>
        <w:jc w:val="left"/>
        <w:rPr>
          <w:sz w:val="24"/>
          <w:szCs w:val="24"/>
        </w:rPr>
      </w:pPr>
      <w:r>
        <w:rPr>
          <w:rFonts w:hint="eastAsia"/>
          <w:sz w:val="24"/>
          <w:szCs w:val="24"/>
        </w:rPr>
        <w:t>在“巨化数字化招采平台”完成注册。</w:t>
      </w:r>
    </w:p>
    <w:p w14:paraId="3B27C4C6">
      <w:pPr>
        <w:pStyle w:val="15"/>
        <w:spacing w:line="360" w:lineRule="auto"/>
        <w:ind w:firstLine="480" w:firstLineChars="200"/>
        <w:jc w:val="left"/>
        <w:rPr>
          <w:sz w:val="24"/>
          <w:szCs w:val="24"/>
        </w:rPr>
      </w:pPr>
      <w:r>
        <w:rPr>
          <w:rFonts w:hint="eastAsia"/>
          <w:sz w:val="24"/>
          <w:szCs w:val="24"/>
        </w:rPr>
        <w:t>2.</w:t>
      </w:r>
      <w:r>
        <w:rPr>
          <w:sz w:val="24"/>
          <w:szCs w:val="24"/>
        </w:rPr>
        <w:t>CA申请：</w:t>
      </w:r>
    </w:p>
    <w:p w14:paraId="5B8A94BE">
      <w:pPr>
        <w:pStyle w:val="15"/>
        <w:spacing w:line="360" w:lineRule="auto"/>
        <w:ind w:firstLine="480" w:firstLineChars="200"/>
        <w:jc w:val="left"/>
        <w:rPr>
          <w:sz w:val="24"/>
          <w:szCs w:val="24"/>
        </w:rPr>
      </w:pPr>
      <w:r>
        <w:rPr>
          <w:rFonts w:hint="eastAsia"/>
          <w:sz w:val="24"/>
          <w:szCs w:val="24"/>
        </w:rPr>
        <w:t>在“</w:t>
      </w:r>
      <w:r>
        <w:rPr>
          <w:rStyle w:val="35"/>
          <w:rFonts w:hint="eastAsia"/>
          <w:color w:val="auto"/>
          <w:sz w:val="24"/>
          <w:szCs w:val="24"/>
        </w:rPr>
        <w:fldChar w:fldCharType="begin"/>
      </w:r>
      <w:r>
        <w:instrText xml:space="preserve">HYPERLINK "http://www.tseal.cn/tcloud/common.xhtml?projId=81"</w:instrText>
      </w:r>
      <w:r>
        <w:rPr>
          <w:rStyle w:val="35"/>
          <w:rFonts w:hint="eastAsia"/>
          <w:color w:val="auto"/>
          <w:sz w:val="24"/>
          <w:szCs w:val="24"/>
        </w:rPr>
        <w:fldChar w:fldCharType="separate"/>
      </w:r>
      <w:r>
        <w:rPr>
          <w:rStyle w:val="35"/>
          <w:rFonts w:hint="eastAsia"/>
          <w:color w:val="auto"/>
          <w:sz w:val="24"/>
          <w:szCs w:val="24"/>
        </w:rPr>
        <w:t>巨化集团公司专用数字证书用户自助申报系统</w:t>
      </w:r>
      <w:r>
        <w:rPr>
          <w:rStyle w:val="35"/>
          <w:rFonts w:hint="eastAsia"/>
          <w:color w:val="auto"/>
          <w:sz w:val="24"/>
          <w:szCs w:val="24"/>
        </w:rPr>
        <w:fldChar w:fldCharType="end"/>
      </w:r>
      <w:r>
        <w:rPr>
          <w:rFonts w:hint="eastAsia"/>
          <w:sz w:val="24"/>
          <w:szCs w:val="24"/>
        </w:rPr>
        <w:t>” 完成CA申请</w:t>
      </w:r>
      <w:r>
        <w:rPr>
          <w:sz w:val="24"/>
          <w:szCs w:val="24"/>
        </w:rPr>
        <w:t>。</w:t>
      </w:r>
      <w:r>
        <w:rPr>
          <w:rFonts w:hint="eastAsia"/>
          <w:sz w:val="24"/>
          <w:szCs w:val="24"/>
        </w:rPr>
        <w:t>CA数字证书申请后须邮寄实体介质，因CA邮寄时间导致延误投标的责任由投标人自行承担。</w:t>
      </w:r>
    </w:p>
    <w:p w14:paraId="65E8CDEF">
      <w:pPr>
        <w:pStyle w:val="15"/>
        <w:spacing w:line="360" w:lineRule="auto"/>
        <w:ind w:firstLine="480" w:firstLineChars="200"/>
        <w:jc w:val="left"/>
        <w:rPr>
          <w:sz w:val="24"/>
          <w:szCs w:val="24"/>
        </w:rPr>
      </w:pPr>
      <w:r>
        <w:rPr>
          <w:sz w:val="24"/>
          <w:szCs w:val="24"/>
        </w:rPr>
        <w:t>3.</w:t>
      </w:r>
      <w:r>
        <w:rPr>
          <w:rFonts w:hint="eastAsia"/>
          <w:sz w:val="24"/>
          <w:szCs w:val="24"/>
        </w:rPr>
        <w:t>报名：</w:t>
      </w:r>
    </w:p>
    <w:p w14:paraId="23448BFA">
      <w:pPr>
        <w:pStyle w:val="15"/>
        <w:spacing w:line="360" w:lineRule="auto"/>
        <w:ind w:firstLine="480" w:firstLineChars="200"/>
        <w:jc w:val="left"/>
        <w:rPr>
          <w:sz w:val="24"/>
          <w:szCs w:val="24"/>
        </w:rPr>
      </w:pPr>
      <w:r>
        <w:rPr>
          <w:rFonts w:hint="eastAsia"/>
          <w:sz w:val="24"/>
          <w:szCs w:val="24"/>
        </w:rPr>
        <w:t>登录“巨化数字化招采平台”→“供应商门户”→“招标公告”→“查看”本项目招标公告→“公开报名”→“报名”，并与招标代理联系缴纳资料费。</w:t>
      </w:r>
    </w:p>
    <w:p w14:paraId="56013925">
      <w:pPr>
        <w:pStyle w:val="15"/>
        <w:spacing w:line="360" w:lineRule="auto"/>
        <w:ind w:firstLine="480" w:firstLineChars="200"/>
        <w:jc w:val="left"/>
        <w:rPr>
          <w:sz w:val="24"/>
          <w:szCs w:val="24"/>
        </w:rPr>
      </w:pPr>
      <w:r>
        <w:rPr>
          <w:sz w:val="24"/>
          <w:szCs w:val="24"/>
        </w:rPr>
        <w:t>4.</w:t>
      </w:r>
      <w:r>
        <w:rPr>
          <w:rFonts w:hint="eastAsia"/>
          <w:sz w:val="24"/>
          <w:szCs w:val="24"/>
        </w:rPr>
        <w:t>编制投标文件：</w:t>
      </w:r>
    </w:p>
    <w:p w14:paraId="67A4AF76">
      <w:pPr>
        <w:pStyle w:val="15"/>
        <w:spacing w:line="360" w:lineRule="auto"/>
        <w:ind w:firstLine="480" w:firstLineChars="200"/>
        <w:jc w:val="left"/>
        <w:rPr>
          <w:sz w:val="24"/>
          <w:szCs w:val="24"/>
        </w:rPr>
      </w:pPr>
      <w:r>
        <w:rPr>
          <w:rFonts w:hint="eastAsia"/>
          <w:sz w:val="24"/>
          <w:szCs w:val="24"/>
        </w:rPr>
        <w:t>根据本招标文件第二章第二节第3</w:t>
      </w:r>
      <w:r>
        <w:rPr>
          <w:sz w:val="24"/>
          <w:szCs w:val="24"/>
        </w:rPr>
        <w:t>.1款</w:t>
      </w:r>
      <w:r>
        <w:rPr>
          <w:rFonts w:hint="eastAsia"/>
          <w:sz w:val="24"/>
          <w:szCs w:val="24"/>
        </w:rPr>
        <w:t>“投标文件的组成”的要求编制“技术资信标书”和“商务经济标书”电子版。</w:t>
      </w:r>
    </w:p>
    <w:p w14:paraId="3CC34C10">
      <w:pPr>
        <w:pStyle w:val="15"/>
        <w:spacing w:line="360" w:lineRule="auto"/>
        <w:ind w:firstLine="480" w:firstLineChars="200"/>
        <w:jc w:val="left"/>
        <w:rPr>
          <w:sz w:val="24"/>
          <w:szCs w:val="24"/>
        </w:rPr>
      </w:pPr>
      <w:r>
        <w:rPr>
          <w:sz w:val="24"/>
          <w:szCs w:val="24"/>
        </w:rPr>
        <w:t>5.</w:t>
      </w:r>
      <w:r>
        <w:rPr>
          <w:rFonts w:hint="eastAsia"/>
          <w:sz w:val="24"/>
          <w:szCs w:val="24"/>
        </w:rPr>
        <w:t>投标：</w:t>
      </w:r>
    </w:p>
    <w:p w14:paraId="4713800E">
      <w:pPr>
        <w:pStyle w:val="15"/>
        <w:spacing w:line="360" w:lineRule="auto"/>
        <w:ind w:firstLine="480" w:firstLineChars="200"/>
        <w:jc w:val="left"/>
        <w:rPr>
          <w:sz w:val="24"/>
          <w:szCs w:val="24"/>
        </w:rPr>
      </w:pPr>
      <w:r>
        <w:rPr>
          <w:rFonts w:hint="eastAsia"/>
          <w:sz w:val="24"/>
          <w:szCs w:val="24"/>
        </w:rPr>
        <w:t>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49D3A2E5">
      <w:pPr>
        <w:pStyle w:val="15"/>
        <w:spacing w:line="360" w:lineRule="auto"/>
        <w:ind w:firstLine="480" w:firstLineChars="200"/>
        <w:jc w:val="left"/>
        <w:rPr>
          <w:sz w:val="24"/>
          <w:szCs w:val="24"/>
        </w:rPr>
      </w:pPr>
      <w:r>
        <w:rPr>
          <w:sz w:val="24"/>
          <w:szCs w:val="24"/>
        </w:rPr>
        <w:t>6.</w:t>
      </w:r>
      <w:r>
        <w:rPr>
          <w:rFonts w:hint="eastAsia"/>
          <w:sz w:val="24"/>
          <w:szCs w:val="24"/>
        </w:rPr>
        <w:t>注册、投标等相关操作方法详见</w:t>
      </w:r>
      <w:r>
        <w:rPr>
          <w:sz w:val="24"/>
          <w:szCs w:val="24"/>
        </w:rPr>
        <w:t>《</w:t>
      </w:r>
      <w:r>
        <w:rPr>
          <w:rFonts w:hint="eastAsia"/>
          <w:sz w:val="24"/>
          <w:szCs w:val="24"/>
        </w:rPr>
        <w:t>电子投标供应商操作手册</w:t>
      </w:r>
      <w:r>
        <w:rPr>
          <w:sz w:val="24"/>
          <w:szCs w:val="24"/>
        </w:rPr>
        <w:t>》</w:t>
      </w:r>
      <w:r>
        <w:rPr>
          <w:rFonts w:hint="eastAsia"/>
          <w:sz w:val="24"/>
          <w:szCs w:val="24"/>
        </w:rPr>
        <w:t>，获取方式：</w:t>
      </w:r>
      <w:r>
        <w:rPr>
          <w:rStyle w:val="35"/>
          <w:rFonts w:hint="eastAsia"/>
          <w:color w:val="auto"/>
          <w:sz w:val="24"/>
          <w:szCs w:val="24"/>
        </w:rPr>
        <w:fldChar w:fldCharType="begin"/>
      </w:r>
      <w:r>
        <w:instrText xml:space="preserve">HYPERLINK "https://juhua.ccccnet.com/" /l "/detail3/cdef968b-fd19-4ffa-9edd-0d9699c46185"</w:instrText>
      </w:r>
      <w:r>
        <w:rPr>
          <w:rStyle w:val="35"/>
          <w:rFonts w:hint="eastAsia"/>
          <w:color w:val="auto"/>
          <w:sz w:val="24"/>
          <w:szCs w:val="24"/>
        </w:rPr>
        <w:fldChar w:fldCharType="separate"/>
      </w:r>
      <w:r>
        <w:rPr>
          <w:rStyle w:val="35"/>
          <w:rFonts w:hint="eastAsia"/>
          <w:color w:val="auto"/>
          <w:sz w:val="24"/>
          <w:szCs w:val="24"/>
        </w:rPr>
        <w:t>巨化数字化招采平台首页-供应商操作手册（招标）</w:t>
      </w:r>
      <w:r>
        <w:rPr>
          <w:rStyle w:val="35"/>
          <w:rFonts w:hint="eastAsia"/>
          <w:color w:val="auto"/>
          <w:sz w:val="24"/>
          <w:szCs w:val="24"/>
        </w:rPr>
        <w:fldChar w:fldCharType="end"/>
      </w:r>
      <w:r>
        <w:rPr>
          <w:rFonts w:hint="eastAsia"/>
          <w:sz w:val="24"/>
          <w:szCs w:val="24"/>
        </w:rPr>
        <w:t>。</w:t>
      </w:r>
    </w:p>
    <w:p w14:paraId="37D69FD2">
      <w:pPr>
        <w:pStyle w:val="15"/>
        <w:spacing w:line="360" w:lineRule="auto"/>
        <w:ind w:firstLine="480" w:firstLineChars="200"/>
        <w:jc w:val="left"/>
        <w:rPr>
          <w:sz w:val="24"/>
          <w:szCs w:val="24"/>
        </w:rPr>
      </w:pPr>
      <w:r>
        <w:rPr>
          <w:sz w:val="24"/>
          <w:szCs w:val="24"/>
        </w:rPr>
        <w:t>7.</w:t>
      </w:r>
      <w:r>
        <w:rPr>
          <w:rFonts w:hint="eastAsia"/>
          <w:sz w:val="24"/>
          <w:szCs w:val="24"/>
        </w:rPr>
        <w:t>投标人在参加电子交易过程中，有CA或平台问题的，请联系：</w:t>
      </w:r>
    </w:p>
    <w:p w14:paraId="62450DDC">
      <w:pPr>
        <w:pStyle w:val="15"/>
        <w:spacing w:line="360" w:lineRule="auto"/>
        <w:ind w:firstLine="480" w:firstLineChars="200"/>
        <w:jc w:val="left"/>
        <w:rPr>
          <w:sz w:val="24"/>
          <w:szCs w:val="24"/>
        </w:rPr>
      </w:pPr>
      <w:r>
        <w:rPr>
          <w:rFonts w:hint="eastAsia"/>
          <w:sz w:val="24"/>
          <w:szCs w:val="24"/>
        </w:rPr>
        <w:t>巨化招采平台供应商线上支持QQ群：</w:t>
      </w:r>
      <w:r>
        <w:rPr>
          <w:rFonts w:hint="eastAsia" w:ascii="宋体" w:cs="宋体"/>
          <w:sz w:val="24"/>
        </w:rPr>
        <w:t>256350034、319810100</w:t>
      </w:r>
      <w:r>
        <w:rPr>
          <w:rFonts w:hint="eastAsia"/>
          <w:sz w:val="24"/>
          <w:szCs w:val="24"/>
        </w:rPr>
        <w:t>（首选）</w:t>
      </w:r>
    </w:p>
    <w:p w14:paraId="4DA3B009">
      <w:pPr>
        <w:pStyle w:val="15"/>
        <w:spacing w:line="360" w:lineRule="auto"/>
        <w:ind w:firstLine="480" w:firstLineChars="200"/>
        <w:jc w:val="left"/>
        <w:rPr>
          <w:sz w:val="24"/>
          <w:szCs w:val="24"/>
        </w:rPr>
      </w:pPr>
      <w:r>
        <w:rPr>
          <w:rFonts w:hint="eastAsia"/>
          <w:sz w:val="24"/>
          <w:szCs w:val="24"/>
        </w:rPr>
        <w:t>联系电话：0570-3615336</w:t>
      </w:r>
    </w:p>
    <w:p w14:paraId="21B2727B">
      <w:pPr>
        <w:pStyle w:val="15"/>
        <w:numPr>
          <w:ilvl w:val="0"/>
          <w:numId w:val="3"/>
        </w:numPr>
        <w:snapToGrid w:val="0"/>
        <w:spacing w:line="360" w:lineRule="auto"/>
        <w:ind w:left="0" w:firstLine="480" w:firstLineChars="200"/>
        <w:jc w:val="left"/>
        <w:rPr>
          <w:sz w:val="24"/>
          <w:szCs w:val="24"/>
        </w:rPr>
      </w:pPr>
      <w:r>
        <w:rPr>
          <w:rFonts w:hint="eastAsia"/>
          <w:sz w:val="24"/>
          <w:szCs w:val="24"/>
        </w:rPr>
        <w:t>不论中标与否均需邮寄或发送《退还投标保证金申请书》后方可退还投标保证金，建议尽早邮寄或发送，以免耽误投标保证金的退还。</w:t>
      </w:r>
    </w:p>
    <w:p w14:paraId="289F9263">
      <w:pPr>
        <w:pStyle w:val="15"/>
        <w:spacing w:line="360" w:lineRule="auto"/>
        <w:ind w:firstLine="480" w:firstLineChars="200"/>
        <w:jc w:val="left"/>
        <w:rPr>
          <w:sz w:val="24"/>
          <w:szCs w:val="24"/>
        </w:rPr>
      </w:pPr>
    </w:p>
    <w:p w14:paraId="3F0A910C">
      <w:pPr>
        <w:pStyle w:val="17"/>
        <w:rPr>
          <w:rFonts w:ascii="宋体" w:cs="ˎ̥"/>
        </w:rPr>
      </w:pPr>
      <w:r>
        <w:br w:type="page"/>
      </w:r>
    </w:p>
    <w:p w14:paraId="7F58616E">
      <w:pPr>
        <w:numPr>
          <w:ilvl w:val="0"/>
          <w:numId w:val="4"/>
        </w:numPr>
        <w:spacing w:line="360" w:lineRule="auto"/>
        <w:jc w:val="center"/>
        <w:outlineLvl w:val="0"/>
        <w:rPr>
          <w:b/>
          <w:bCs/>
          <w:sz w:val="32"/>
          <w:szCs w:val="32"/>
        </w:rPr>
      </w:pPr>
      <w:bookmarkStart w:id="2" w:name="_Toc14580"/>
      <w:r>
        <w:rPr>
          <w:rFonts w:hint="eastAsia"/>
          <w:b/>
          <w:bCs/>
          <w:sz w:val="32"/>
          <w:szCs w:val="32"/>
        </w:rPr>
        <w:t>招标公告</w:t>
      </w:r>
      <w:bookmarkEnd w:id="2"/>
    </w:p>
    <w:p w14:paraId="4216D7C3">
      <w:pPr>
        <w:snapToGrid w:val="0"/>
        <w:spacing w:line="440" w:lineRule="exact"/>
        <w:ind w:firstLine="480" w:firstLineChars="200"/>
        <w:rPr>
          <w:rFonts w:ascii="宋体" w:cs="宋体"/>
          <w:sz w:val="24"/>
        </w:rPr>
      </w:pPr>
      <w:r>
        <w:rPr>
          <w:rFonts w:hint="eastAsia" w:ascii="宋体"/>
          <w:sz w:val="24"/>
          <w:u w:val="single"/>
        </w:rPr>
        <w:t>浙江南方工程咨询管理有限公司</w:t>
      </w:r>
      <w:r>
        <w:rPr>
          <w:rFonts w:hint="eastAsia" w:ascii="宋体"/>
          <w:sz w:val="24"/>
        </w:rPr>
        <w:t>受</w:t>
      </w:r>
      <w:r>
        <w:rPr>
          <w:rFonts w:hint="eastAsia" w:ascii="宋体" w:cs="宋体"/>
          <w:sz w:val="24"/>
          <w:u w:val="single"/>
          <w:lang w:val="en-US" w:eastAsia="zh-CN" w:bidi="ar-SA"/>
        </w:rPr>
        <w:t>巨化集团有限公司公用事业部</w:t>
      </w:r>
      <w:r>
        <w:rPr>
          <w:rFonts w:hint="eastAsia" w:ascii="宋体"/>
          <w:sz w:val="24"/>
        </w:rPr>
        <w:t>项目的委托，就</w:t>
      </w:r>
      <w:r>
        <w:rPr>
          <w:rFonts w:hint="eastAsia" w:ascii="宋体" w:cs="宋体"/>
          <w:sz w:val="24"/>
          <w:u w:val="single"/>
          <w:lang w:val="en-US" w:eastAsia="zh-CN" w:bidi="ar-SA"/>
        </w:rPr>
        <w:t>巨化集团有限公司公用事业部</w:t>
      </w:r>
      <w:r>
        <w:rPr>
          <w:rFonts w:hint="eastAsia" w:ascii="宋体" w:cs="宋体"/>
          <w:bCs/>
          <w:sz w:val="24"/>
          <w:u w:val="single"/>
          <w:lang w:bidi="ar-SA"/>
        </w:rPr>
        <w:t>110kV及以上电气设备检维修项目</w:t>
      </w:r>
      <w:r>
        <w:rPr>
          <w:rFonts w:hint="eastAsia" w:ascii="宋体"/>
          <w:sz w:val="24"/>
        </w:rPr>
        <w:t>进行公开招标，潜在投标人应在</w:t>
      </w:r>
      <w:r>
        <w:rPr>
          <w:rFonts w:hint="eastAsia" w:ascii="宋体"/>
          <w:sz w:val="24"/>
        </w:rPr>
        <w:fldChar w:fldCharType="begin"/>
      </w:r>
      <w:r>
        <w:instrText xml:space="preserve">HYPERLINK "https://juhua.ccccnet.com/"</w:instrText>
      </w:r>
      <w:r>
        <w:rPr>
          <w:rFonts w:hint="eastAsia" w:ascii="宋体"/>
          <w:sz w:val="24"/>
        </w:rPr>
        <w:fldChar w:fldCharType="separate"/>
      </w:r>
      <w:r>
        <w:rPr>
          <w:rFonts w:hint="eastAsia" w:ascii="宋体"/>
          <w:sz w:val="24"/>
        </w:rPr>
        <w:t>巨化数字化招采平台</w:t>
      </w:r>
      <w:r>
        <w:rPr>
          <w:rFonts w:hint="eastAsia" w:ascii="宋体"/>
          <w:sz w:val="24"/>
        </w:rPr>
        <w:fldChar w:fldCharType="end"/>
      </w:r>
      <w:r>
        <w:rPr>
          <w:rFonts w:hint="eastAsia" w:ascii="宋体"/>
          <w:sz w:val="24"/>
        </w:rPr>
        <w:t>获取（下载）招标文件，并于</w:t>
      </w:r>
      <w:r>
        <w:rPr>
          <w:rFonts w:hint="eastAsia" w:ascii="宋体"/>
          <w:bCs/>
          <w:sz w:val="24"/>
          <w:u w:val="single"/>
          <w:lang w:eastAsia="zh-CN"/>
        </w:rPr>
        <w:t>202</w:t>
      </w:r>
      <w:r>
        <w:rPr>
          <w:rFonts w:hint="eastAsia" w:ascii="宋体"/>
          <w:bCs/>
          <w:sz w:val="24"/>
          <w:u w:val="single"/>
          <w:lang w:val="en-US" w:eastAsia="zh-CN"/>
        </w:rPr>
        <w:t>5</w:t>
      </w:r>
      <w:r>
        <w:rPr>
          <w:rFonts w:hint="eastAsia" w:ascii="宋体"/>
          <w:bCs/>
          <w:sz w:val="24"/>
          <w:u w:val="single"/>
          <w:lang w:eastAsia="zh-CN"/>
        </w:rPr>
        <w:t>年</w:t>
      </w:r>
      <w:r>
        <w:rPr>
          <w:rFonts w:hint="eastAsia" w:ascii="宋体"/>
          <w:bCs/>
          <w:sz w:val="24"/>
          <w:u w:val="single"/>
          <w:lang w:val="en-US" w:eastAsia="zh-CN"/>
        </w:rPr>
        <w:t>12</w:t>
      </w:r>
      <w:r>
        <w:rPr>
          <w:rFonts w:hint="eastAsia" w:ascii="宋体"/>
          <w:bCs/>
          <w:sz w:val="24"/>
          <w:u w:val="single"/>
          <w:lang w:eastAsia="zh-CN"/>
        </w:rPr>
        <w:t>月</w:t>
      </w:r>
      <w:r>
        <w:rPr>
          <w:rFonts w:hint="eastAsia" w:ascii="宋体"/>
          <w:bCs/>
          <w:sz w:val="24"/>
          <w:u w:val="single"/>
          <w:lang w:val="en-US" w:eastAsia="zh-CN"/>
        </w:rPr>
        <w:t xml:space="preserve">11 </w:t>
      </w:r>
      <w:r>
        <w:rPr>
          <w:rFonts w:hint="eastAsia" w:ascii="宋体"/>
          <w:bCs/>
          <w:sz w:val="24"/>
          <w:u w:val="single"/>
        </w:rPr>
        <w:t>日</w:t>
      </w:r>
      <w:r>
        <w:rPr>
          <w:rFonts w:hint="eastAsia" w:ascii="宋体"/>
          <w:bCs/>
          <w:sz w:val="24"/>
          <w:u w:val="single"/>
          <w:lang w:val="en-US" w:eastAsia="zh-CN"/>
        </w:rPr>
        <w:t>13</w:t>
      </w:r>
      <w:r>
        <w:rPr>
          <w:rFonts w:hint="eastAsia" w:ascii="宋体"/>
          <w:bCs/>
          <w:sz w:val="24"/>
          <w:u w:val="single"/>
        </w:rPr>
        <w:t>时</w:t>
      </w:r>
      <w:r>
        <w:rPr>
          <w:rFonts w:hint="eastAsia" w:ascii="宋体"/>
          <w:bCs/>
          <w:sz w:val="24"/>
          <w:u w:val="single"/>
          <w:lang w:val="en-US" w:eastAsia="zh-CN"/>
        </w:rPr>
        <w:t>30</w:t>
      </w:r>
      <w:r>
        <w:rPr>
          <w:rFonts w:hint="eastAsia" w:ascii="宋体"/>
          <w:bCs/>
          <w:sz w:val="24"/>
          <w:u w:val="single"/>
        </w:rPr>
        <w:t>分（北京时间，下同）</w:t>
      </w:r>
      <w:r>
        <w:rPr>
          <w:rFonts w:hint="eastAsia" w:ascii="宋体"/>
          <w:bCs/>
          <w:sz w:val="24"/>
        </w:rPr>
        <w:t>前递交（上传）投标</w:t>
      </w:r>
      <w:r>
        <w:rPr>
          <w:rFonts w:ascii="宋体"/>
          <w:bCs/>
          <w:sz w:val="24"/>
        </w:rPr>
        <w:t>文件</w:t>
      </w:r>
      <w:r>
        <w:rPr>
          <w:rFonts w:hint="eastAsia" w:ascii="宋体"/>
          <w:sz w:val="24"/>
        </w:rPr>
        <w:t>。</w:t>
      </w:r>
    </w:p>
    <w:p w14:paraId="2143F6F1">
      <w:pPr>
        <w:spacing w:before="120" w:beforeLines="50" w:after="120" w:afterLines="50"/>
        <w:ind w:firstLine="482" w:firstLineChars="200"/>
        <w:rPr>
          <w:rFonts w:ascii="宋体" w:cs="宋体"/>
          <w:b/>
          <w:bCs/>
          <w:sz w:val="24"/>
        </w:rPr>
      </w:pPr>
      <w:r>
        <w:rPr>
          <w:rFonts w:hint="eastAsia" w:ascii="宋体" w:cs="宋体"/>
          <w:b/>
          <w:bCs/>
          <w:sz w:val="24"/>
        </w:rPr>
        <w:t>一、项目基本情况</w:t>
      </w:r>
    </w:p>
    <w:p w14:paraId="06ED7F1D">
      <w:pPr>
        <w:spacing w:line="360" w:lineRule="auto"/>
        <w:ind w:firstLine="480" w:firstLineChars="200"/>
        <w:rPr>
          <w:rFonts w:ascii="宋体" w:cs="宋体"/>
          <w:sz w:val="24"/>
          <w:lang w:val="en-US"/>
        </w:rPr>
      </w:pPr>
      <w:r>
        <w:rPr>
          <w:rFonts w:hint="eastAsia" w:ascii="宋体" w:cs="宋体"/>
          <w:sz w:val="24"/>
        </w:rPr>
        <w:t>项目编号：NFZB-</w:t>
      </w:r>
      <w:r>
        <w:rPr>
          <w:rFonts w:hint="eastAsia" w:ascii="宋体" w:cs="宋体"/>
          <w:sz w:val="24"/>
          <w:lang w:eastAsia="zh-CN"/>
        </w:rPr>
        <w:t>202</w:t>
      </w:r>
      <w:r>
        <w:rPr>
          <w:rFonts w:hint="eastAsia" w:ascii="宋体" w:cs="宋体"/>
          <w:sz w:val="24"/>
          <w:lang w:val="en-US" w:eastAsia="zh-CN"/>
        </w:rPr>
        <w:t>51108</w:t>
      </w:r>
    </w:p>
    <w:p w14:paraId="73D94E8E">
      <w:pPr>
        <w:spacing w:line="360" w:lineRule="auto"/>
        <w:ind w:firstLine="480" w:firstLineChars="200"/>
        <w:rPr>
          <w:rFonts w:hint="eastAsia" w:eastAsia="宋体"/>
          <w:lang w:eastAsia="zh-CN"/>
        </w:rPr>
      </w:pPr>
      <w:r>
        <w:rPr>
          <w:rFonts w:hint="eastAsia" w:ascii="宋体" w:cs="宋体"/>
          <w:sz w:val="24"/>
        </w:rPr>
        <w:t>项目名称：</w:t>
      </w:r>
      <w:r>
        <w:rPr>
          <w:rFonts w:hint="eastAsia" w:ascii="宋体" w:cs="宋体"/>
          <w:sz w:val="24"/>
          <w:lang w:val="en-US" w:eastAsia="zh-CN"/>
        </w:rPr>
        <w:t>巨化集团有限公司公用事业部</w:t>
      </w:r>
      <w:r>
        <w:rPr>
          <w:rFonts w:hint="eastAsia" w:ascii="宋体" w:cs="宋体"/>
          <w:sz w:val="24"/>
        </w:rPr>
        <w:t>110kV及以上电气设备检维修项目</w:t>
      </w:r>
    </w:p>
    <w:p w14:paraId="44E27CC8">
      <w:pPr>
        <w:adjustRightInd w:val="0"/>
        <w:snapToGrid w:val="0"/>
        <w:spacing w:line="360" w:lineRule="auto"/>
        <w:ind w:firstLine="480" w:firstLineChars="200"/>
        <w:jc w:val="left"/>
        <w:rPr>
          <w:rFonts w:ascii="宋体" w:eastAsia="宋体" w:cs="宋体"/>
          <w:kern w:val="2"/>
          <w:sz w:val="24"/>
          <w:szCs w:val="24"/>
          <w:lang w:val="en-US" w:eastAsia="zh-CN"/>
        </w:rPr>
      </w:pPr>
      <w:r>
        <w:rPr>
          <w:rFonts w:hint="eastAsia" w:ascii="宋体" w:eastAsia="宋体" w:cs="宋体"/>
          <w:kern w:val="2"/>
          <w:sz w:val="24"/>
          <w:szCs w:val="24"/>
          <w:lang w:val="en-US" w:eastAsia="zh-CN"/>
        </w:rPr>
        <w:t>招标内容：</w:t>
      </w:r>
    </w:p>
    <w:p w14:paraId="3DBBA2E3">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1、公用事业部</w:t>
      </w:r>
      <w:r>
        <w:rPr>
          <w:rFonts w:ascii="宋体" w:cs="宋体"/>
          <w:color w:val="auto"/>
          <w:sz w:val="24"/>
          <w:lang w:bidi="ar-SA"/>
        </w:rPr>
        <w:t>220kV主变、110kV主变、热电各机组主变、联络部变压器、厂用变压器及其附属一次、二次系统的安装、</w:t>
      </w:r>
      <w:r>
        <w:rPr>
          <w:rFonts w:hint="eastAsia" w:ascii="宋体" w:cs="宋体"/>
          <w:color w:val="auto"/>
          <w:sz w:val="24"/>
          <w:lang w:bidi="ar-SA"/>
        </w:rPr>
        <w:t>检维、试验、预试等工作。</w:t>
      </w:r>
    </w:p>
    <w:p w14:paraId="65356BC0">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2、公用事业部所辖110kV及以上配电装置安装、检维、试验、预试等工作。</w:t>
      </w:r>
    </w:p>
    <w:p w14:paraId="793A0444">
      <w:pPr>
        <w:pStyle w:val="29"/>
        <w:ind w:left="0" w:leftChars="0" w:firstLine="0" w:firstLineChars="0"/>
        <w:rPr>
          <w:rFonts w:hint="eastAsia" w:ascii="宋体" w:cs="宋体"/>
          <w:color w:val="auto"/>
          <w:sz w:val="24"/>
          <w:lang w:bidi="ar-SA"/>
        </w:rPr>
      </w:pPr>
      <w:r>
        <w:rPr>
          <w:rFonts w:hint="eastAsia" w:ascii="宋体" w:cs="宋体"/>
          <w:color w:val="auto"/>
          <w:sz w:val="24"/>
          <w:lang w:bidi="ar-SA"/>
        </w:rPr>
        <w:t xml:space="preserve">    3、公用事业部所辖110kV及以上线路安装检维、试验等工作。</w:t>
      </w:r>
    </w:p>
    <w:p w14:paraId="69DCCEA1">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4、电力通信系统各类网络（包括光纤、网线、交换机等）的保畅、维修、技改服务等工作。</w:t>
      </w:r>
    </w:p>
    <w:p w14:paraId="2EAEE9A2">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5、电气事故抢修、电力电缆故障抢修，电缆敷设施工，电缆预试等工作。</w:t>
      </w:r>
    </w:p>
    <w:p w14:paraId="0048BE5D">
      <w:pPr>
        <w:adjustRightInd w:val="0"/>
        <w:snapToGrid w:val="0"/>
        <w:spacing w:line="360" w:lineRule="auto"/>
        <w:ind w:firstLine="480" w:firstLineChars="200"/>
        <w:jc w:val="left"/>
        <w:rPr>
          <w:rFonts w:hint="eastAsia" w:ascii="宋体" w:eastAsia="宋体" w:cs="宋体"/>
          <w:sz w:val="24"/>
          <w:lang w:bidi="ar-SA"/>
        </w:rPr>
      </w:pPr>
      <w:r>
        <w:rPr>
          <w:rFonts w:hint="eastAsia" w:ascii="宋体" w:eastAsia="宋体" w:cs="宋体"/>
          <w:color w:val="auto"/>
          <w:sz w:val="24"/>
          <w:lang w:bidi="ar-SA"/>
        </w:rPr>
        <w:t>6、GIS配电装置，</w:t>
      </w:r>
      <w:r>
        <w:rPr>
          <w:rFonts w:ascii="宋体" w:eastAsia="宋体" w:cs="宋体"/>
          <w:color w:val="auto"/>
          <w:sz w:val="24"/>
          <w:lang w:bidi="ar-SA"/>
        </w:rPr>
        <w:t>35kV及以上</w:t>
      </w:r>
      <w:r>
        <w:rPr>
          <w:rFonts w:hint="eastAsia" w:ascii="宋体" w:eastAsia="宋体" w:cs="宋体"/>
          <w:color w:val="auto"/>
          <w:sz w:val="24"/>
          <w:lang w:bidi="ar-SA"/>
        </w:rPr>
        <w:t>高压开关柜等保护试验，</w:t>
      </w:r>
      <w:r>
        <w:rPr>
          <w:rFonts w:hint="eastAsia" w:ascii="宋体" w:eastAsia="宋体" w:cs="宋体"/>
          <w:sz w:val="24"/>
          <w:lang w:bidi="ar-SA"/>
        </w:rPr>
        <w:t>高压预试等工作。</w:t>
      </w:r>
    </w:p>
    <w:p w14:paraId="355CB72C">
      <w:pPr>
        <w:adjustRightInd w:val="0"/>
        <w:snapToGrid w:val="0"/>
        <w:spacing w:line="360" w:lineRule="auto"/>
        <w:ind w:firstLine="480" w:firstLineChars="200"/>
        <w:jc w:val="left"/>
        <w:rPr>
          <w:rFonts w:hint="eastAsia" w:ascii="宋体" w:cs="宋体"/>
          <w:sz w:val="24"/>
          <w:highlight w:val="none"/>
        </w:rPr>
      </w:pPr>
      <w:r>
        <w:rPr>
          <w:rFonts w:hint="eastAsia" w:ascii="宋体" w:eastAsia="宋体" w:cs="宋体"/>
          <w:sz w:val="24"/>
          <w:lang w:bidi="ar-SA"/>
        </w:rPr>
        <w:t xml:space="preserve"> </w:t>
      </w:r>
      <w:r>
        <w:rPr>
          <w:rFonts w:ascii="宋体" w:eastAsia="宋体" w:cs="宋体"/>
          <w:sz w:val="24"/>
          <w:lang w:bidi="ar-SA"/>
        </w:rPr>
        <w:t>主要工作内容为非计划性抢修，暂估不超过50万元/年</w:t>
      </w:r>
      <w:r>
        <w:rPr>
          <w:rFonts w:hint="eastAsia" w:ascii="宋体" w:eastAsia="宋体" w:cs="宋体"/>
          <w:sz w:val="24"/>
          <w:lang w:bidi="ar-SA"/>
        </w:rPr>
        <w:t xml:space="preserve"> </w:t>
      </w:r>
      <w:r>
        <w:rPr>
          <w:rFonts w:hint="eastAsia" w:ascii="宋体" w:cs="宋体"/>
          <w:sz w:val="24"/>
          <w:lang w:bidi="ar-SA"/>
        </w:rPr>
        <w:t xml:space="preserve">                               </w:t>
      </w:r>
    </w:p>
    <w:p w14:paraId="7FBE0818">
      <w:pPr>
        <w:adjustRightInd w:val="0"/>
        <w:snapToGrid w:val="0"/>
        <w:spacing w:line="360" w:lineRule="auto"/>
        <w:ind w:firstLine="482" w:firstLineChars="200"/>
        <w:jc w:val="left"/>
        <w:rPr>
          <w:rFonts w:hint="eastAsia" w:ascii="宋体" w:cs="宋体"/>
          <w:b/>
          <w:bCs/>
          <w:sz w:val="24"/>
        </w:rPr>
      </w:pPr>
      <w:r>
        <w:rPr>
          <w:rFonts w:hint="eastAsia" w:ascii="宋体" w:cs="宋体"/>
          <w:b/>
          <w:bCs/>
          <w:sz w:val="24"/>
          <w:highlight w:val="none"/>
        </w:rPr>
        <w:t>二、</w:t>
      </w:r>
      <w:r>
        <w:rPr>
          <w:rFonts w:hint="eastAsia" w:ascii="宋体" w:cs="宋体"/>
          <w:b/>
          <w:bCs/>
          <w:sz w:val="24"/>
        </w:rPr>
        <w:t>投标人资格要求</w:t>
      </w:r>
    </w:p>
    <w:p w14:paraId="5CE80053">
      <w:pPr>
        <w:adjustRightInd w:val="0"/>
        <w:snapToGrid w:val="0"/>
        <w:spacing w:line="360" w:lineRule="auto"/>
        <w:ind w:firstLine="424" w:firstLineChars="176"/>
        <w:rPr>
          <w:rFonts w:hint="eastAsia" w:ascii="宋体"/>
          <w:sz w:val="24"/>
        </w:rPr>
      </w:pPr>
      <w:r>
        <w:rPr>
          <w:rFonts w:hint="eastAsia" w:ascii="宋体"/>
          <w:b/>
          <w:sz w:val="24"/>
        </w:rPr>
        <w:t>1.基本资格要求：</w:t>
      </w:r>
    </w:p>
    <w:p w14:paraId="682F9193">
      <w:pPr>
        <w:adjustRightInd w:val="0"/>
        <w:snapToGrid w:val="0"/>
        <w:spacing w:line="360" w:lineRule="auto"/>
        <w:ind w:firstLine="422" w:firstLineChars="176"/>
        <w:rPr>
          <w:rFonts w:hint="eastAsia" w:ascii="宋体"/>
          <w:sz w:val="24"/>
          <w:lang w:val="zh-CN"/>
        </w:rPr>
      </w:pPr>
      <w:r>
        <w:rPr>
          <w:rFonts w:hint="eastAsia" w:ascii="宋体"/>
          <w:sz w:val="24"/>
        </w:rPr>
        <w:t>1.1</w:t>
      </w:r>
      <w:r>
        <w:rPr>
          <w:rFonts w:hint="eastAsia" w:ascii="宋体"/>
          <w:sz w:val="24"/>
          <w:lang w:val="zh-CN"/>
        </w:rPr>
        <w:t>投标人具备独立承担民事责任的能力，未被巨化集团禁止参加采购活动。</w:t>
      </w:r>
    </w:p>
    <w:p w14:paraId="5B0BC546">
      <w:pPr>
        <w:adjustRightInd w:val="0"/>
        <w:snapToGrid w:val="0"/>
        <w:spacing w:line="360" w:lineRule="auto"/>
        <w:ind w:firstLine="422" w:firstLineChars="176"/>
        <w:rPr>
          <w:rFonts w:hint="eastAsia" w:ascii="宋体"/>
          <w:sz w:val="24"/>
        </w:rPr>
      </w:pPr>
      <w:r>
        <w:rPr>
          <w:rFonts w:hint="eastAsia" w:ascii="宋体"/>
          <w:sz w:val="24"/>
        </w:rPr>
        <w:t>1.2</w:t>
      </w:r>
      <w:r>
        <w:rPr>
          <w:rFonts w:hint="eastAsia" w:ascii="宋体"/>
          <w:sz w:val="24"/>
          <w:lang w:val="zh-CN"/>
        </w:rPr>
        <w:t>投标人未被“信用中国”（www.creditchina.gov.cn)列入失信被执行人、重大税收违法案件当事人名单。</w:t>
      </w:r>
    </w:p>
    <w:p w14:paraId="400D1FE5">
      <w:pPr>
        <w:adjustRightInd w:val="0"/>
        <w:snapToGrid w:val="0"/>
        <w:spacing w:line="360" w:lineRule="auto"/>
        <w:ind w:firstLine="422" w:firstLineChars="176"/>
        <w:rPr>
          <w:rFonts w:hint="eastAsia" w:ascii="宋体"/>
          <w:sz w:val="24"/>
          <w:lang w:val="zh-CN"/>
        </w:rPr>
      </w:pPr>
      <w:r>
        <w:rPr>
          <w:rFonts w:hint="eastAsia" w:ascii="宋体"/>
          <w:sz w:val="24"/>
        </w:rPr>
        <w:t>1.3</w:t>
      </w:r>
      <w:r>
        <w:rPr>
          <w:rFonts w:hint="eastAsia" w:ascii="宋体"/>
          <w:sz w:val="24"/>
          <w:lang w:val="zh-CN"/>
        </w:rPr>
        <w:t>单位负责人为同一人或者存在控股、管理关系的不同单位，存在关联关系的不同单位，不得参加同一标项投标。</w:t>
      </w:r>
    </w:p>
    <w:p w14:paraId="242BBB89">
      <w:pPr>
        <w:adjustRightInd w:val="0"/>
        <w:snapToGrid w:val="0"/>
        <w:spacing w:line="360" w:lineRule="auto"/>
        <w:ind w:firstLine="424" w:firstLineChars="176"/>
        <w:rPr>
          <w:rFonts w:hint="eastAsia" w:ascii="宋体" w:cs="宋体"/>
          <w:b/>
          <w:bCs/>
          <w:sz w:val="24"/>
        </w:rPr>
      </w:pPr>
      <w:r>
        <w:rPr>
          <w:rFonts w:hint="eastAsia" w:ascii="宋体"/>
          <w:b/>
          <w:sz w:val="24"/>
        </w:rPr>
        <w:t>2. 特定资格要求：</w:t>
      </w:r>
    </w:p>
    <w:p w14:paraId="075A301B">
      <w:pPr>
        <w:adjustRightInd w:val="0"/>
        <w:snapToGrid w:val="0"/>
        <w:spacing w:line="360" w:lineRule="auto"/>
        <w:ind w:firstLine="480" w:firstLineChars="200"/>
        <w:jc w:val="left"/>
        <w:rPr>
          <w:rFonts w:hint="eastAsia" w:ascii="宋体" w:cs="宋体"/>
          <w:sz w:val="24"/>
          <w:highlight w:val="none"/>
          <w:lang w:bidi="ar-SA"/>
        </w:rPr>
      </w:pPr>
      <w:r>
        <w:rPr>
          <w:rFonts w:hint="eastAsia" w:ascii="宋体" w:cs="宋体"/>
          <w:color w:val="auto"/>
          <w:sz w:val="24"/>
          <w:highlight w:val="none"/>
          <w:lang w:val="en-US" w:eastAsia="zh-CN" w:bidi="ar-SA"/>
        </w:rPr>
        <w:t>2.1</w:t>
      </w:r>
      <w:r>
        <w:rPr>
          <w:rFonts w:hint="eastAsia" w:ascii="宋体" w:cs="宋体"/>
          <w:color w:val="auto"/>
          <w:sz w:val="24"/>
          <w:highlight w:val="none"/>
          <w:lang w:bidi="ar-SA"/>
        </w:rPr>
        <w:t>投标人须具备</w:t>
      </w:r>
      <w:r>
        <w:rPr>
          <w:rFonts w:hint="eastAsia" w:ascii="宋体" w:cs="宋体"/>
          <w:color w:val="auto"/>
          <w:sz w:val="24"/>
          <w:highlight w:val="none"/>
          <w:lang w:bidi="ar-SA"/>
        </w:rPr>
        <w:fldChar w:fldCharType="begin"/>
      </w:r>
      <w:r>
        <w:rPr>
          <w:highlight w:val="none"/>
        </w:rPr>
        <w:instrText xml:space="preserve">HYPERLINK "http://e.so.com/search/eclk?p=53edbdX92rae7XySTc3Fb59No01_HGuQxf3OLqasQcq2mS8vtp_9p-qdmAdFN8VHNCTLDJ4sY_fQN_xIvCMkrfC2un2GRa9glwIHekM19lc0nQ5gwrc0XbOSU188BjPegNjz_UGdMjxEcolPLMyMdTM2al1d0b26wMxak6UMP8eHGsemm24VXSos-U4VEq7s5tdex2q9EUxTt_IHegn6VrlFI8tptEn3lGX7v05q3WKr9HMLy5y_UFwt3nT8LCKKx6_7uSgKoiQcV2iMY9mk6lw1w-dM7Zu6J2Yr7Xk1OfltTezSNwLaTaIai5Le5ypfUk2W1iyLuDIWWG4O5qiNcwThgHvSKZtlT4_lwAYvljGsxZjLsQWOV8swzKwOw5W4UR8iG_9N2wKdbubkQJ2ny7N71C0vTb1HDex2tQYQ2UYTTNjtE4gVWS5oWqAY_4CVQHU8jHqyvNzet9B8NsmJGx65hHtxHzSK5Bnp6lqOp7pMDeieu5ERmYJjia9SDtz022wXvBYifIUncosGmAFtM4Xz2gcRlLOhOFcV8YWYysRPc7vBqZjo4voGTm_gwz9r7s0yCOdlEOf0hyBpYkXuYhb5jt1MyY-CJdC1j8QeMjIlUNuxtwde_uecunD3owlghPd0_AHAU079MGWVIzjamGBXlNu3utpzkIdvNNJGisGdS-fJpc__7FKVOQKX32GaSP7WQlgdkvKnxt32z30GbUsdFw-PJ2U91MZ8lHW1YCaMIVZvQx1apnPC_MUFo-8r6BZ6lKMveFXjQqW9DMVIIknQ9slf3OYUZCL7H1Pnaa0whLPM_3v7wKXt83U-KFH1tZoBn0ggKoXMh2itEPhna1nGP53smRNMpJeSLK0ymmbe&amp;ns=0&amp;v=2&amp;at=AeeUteWKm-aJv-ijheaJv-S_ruaJv-ivleWbm-e6p-i1hOi0qAIt5b-r6YCf5Yqe55CGLeS4jeaIkOWKn-mAgOWFqOasvg&amp;aurl=aHR0cHM6Ly9nZC5jcW1hbmZ0LmNvbS8&amp;sig=ccc3&amp;bt=1&amp;lm_extend=ins:0&amp;st=1689124440916&amp;dd=1689124453480&amp;cl=1&amp;cr=0&amp;dw=540&amp;dh=914&amp;px=40&amp;py=365&amp;kd=0&amp;p1=13&amp;p2=0&amp;p3=0&amp;p4=2&amp;ud=1689124465669"</w:instrText>
      </w:r>
      <w:r>
        <w:rPr>
          <w:rFonts w:hint="eastAsia" w:ascii="宋体" w:cs="宋体"/>
          <w:color w:val="auto"/>
          <w:sz w:val="24"/>
          <w:highlight w:val="none"/>
          <w:lang w:bidi="ar-SA"/>
        </w:rPr>
        <w:fldChar w:fldCharType="separate"/>
      </w:r>
      <w:r>
        <w:rPr>
          <w:rFonts w:hint="eastAsia" w:ascii="宋体" w:cs="宋体"/>
          <w:color w:val="auto"/>
          <w:sz w:val="24"/>
          <w:highlight w:val="none"/>
          <w:lang w:bidi="ar-SA"/>
        </w:rPr>
        <w:t>电力</w:t>
      </w:r>
      <w:r>
        <w:rPr>
          <w:rFonts w:hint="eastAsia" w:ascii="宋体" w:cs="宋体"/>
          <w:color w:val="auto"/>
          <w:sz w:val="24"/>
          <w:highlight w:val="none"/>
          <w:lang w:eastAsia="zh-CN" w:bidi="ar-SA"/>
        </w:rPr>
        <w:t>工</w:t>
      </w:r>
      <w:r>
        <w:rPr>
          <w:rFonts w:hint="eastAsia" w:ascii="宋体" w:cs="宋体"/>
          <w:color w:val="auto"/>
          <w:sz w:val="24"/>
          <w:highlight w:val="none"/>
          <w:lang w:bidi="ar-SA"/>
        </w:rPr>
        <w:fldChar w:fldCharType="end"/>
      </w:r>
      <w:r>
        <w:rPr>
          <w:rFonts w:hint="eastAsia" w:ascii="宋体" w:cs="宋体"/>
          <w:color w:val="auto"/>
          <w:sz w:val="24"/>
          <w:highlight w:val="none"/>
          <w:lang w:eastAsia="zh-CN" w:bidi="ar-SA"/>
        </w:rPr>
        <w:t>程施工总承包二</w:t>
      </w:r>
      <w:r>
        <w:rPr>
          <w:rFonts w:ascii="宋体" w:cs="宋体"/>
          <w:color w:val="auto"/>
          <w:sz w:val="24"/>
          <w:highlight w:val="none"/>
          <w:lang w:eastAsia="zh-CN" w:bidi="ar-SA"/>
        </w:rPr>
        <w:t>级及以上资质和电力承装承修承试二级</w:t>
      </w:r>
      <w:r>
        <w:rPr>
          <w:rFonts w:hint="eastAsia" w:ascii="宋体"/>
          <w:sz w:val="24"/>
          <w:highlight w:val="none"/>
          <w:lang w:val="zh-CN" w:eastAsia="zh-CN"/>
        </w:rPr>
        <w:t>及以上资质</w:t>
      </w:r>
      <w:r>
        <w:rPr>
          <w:rFonts w:hint="eastAsia" w:ascii="宋体" w:cs="宋体"/>
          <w:color w:val="auto"/>
          <w:sz w:val="24"/>
          <w:highlight w:val="none"/>
          <w:lang w:bidi="ar-SA"/>
        </w:rPr>
        <w:t>并具有</w:t>
      </w:r>
      <w:r>
        <w:rPr>
          <w:rFonts w:hint="eastAsia" w:ascii="宋体" w:cs="宋体"/>
          <w:sz w:val="24"/>
          <w:highlight w:val="none"/>
          <w:lang w:bidi="ar-SA"/>
        </w:rPr>
        <w:t>安全生产许可证的独立法人。须配备项目专职安全员1名，专职安全员具有安全生产考核合格证（C证）。</w:t>
      </w:r>
    </w:p>
    <w:p w14:paraId="6DCC29CB">
      <w:pPr>
        <w:adjustRightInd w:val="0"/>
        <w:snapToGrid w:val="0"/>
        <w:spacing w:line="360" w:lineRule="auto"/>
        <w:ind w:firstLine="422" w:firstLineChars="176"/>
        <w:rPr>
          <w:rFonts w:hint="eastAsia" w:ascii="宋体" w:cs="宋体"/>
          <w:sz w:val="24"/>
          <w:highlight w:val="none"/>
          <w:lang w:bidi="ar-SA"/>
        </w:rPr>
      </w:pPr>
      <w:r>
        <w:rPr>
          <w:rFonts w:hint="eastAsia" w:ascii="宋体" w:cs="宋体"/>
          <w:sz w:val="24"/>
          <w:highlight w:val="none"/>
          <w:lang w:val="en-US" w:eastAsia="zh-CN" w:bidi="ar-SA"/>
        </w:rPr>
        <w:t>2.2</w:t>
      </w:r>
      <w:r>
        <w:rPr>
          <w:rFonts w:hint="eastAsia" w:ascii="宋体" w:cs="宋体"/>
          <w:sz w:val="24"/>
          <w:highlight w:val="none"/>
          <w:lang w:bidi="ar-SA"/>
        </w:rPr>
        <w:t>项目负责人：具备机电类二级及以上</w:t>
      </w:r>
      <w:r>
        <w:rPr>
          <w:rFonts w:hint="eastAsia" w:ascii="宋体"/>
          <w:sz w:val="24"/>
          <w:highlight w:val="none"/>
          <w:lang w:val="zh-CN" w:eastAsia="zh-CN"/>
        </w:rPr>
        <w:t>建造师</w:t>
      </w:r>
      <w:r>
        <w:rPr>
          <w:rFonts w:hint="eastAsia" w:ascii="宋体" w:cs="宋体"/>
          <w:sz w:val="24"/>
          <w:highlight w:val="none"/>
          <w:lang w:bidi="ar-SA"/>
        </w:rPr>
        <w:t>证书和“三类人员”B类证书。</w:t>
      </w:r>
    </w:p>
    <w:p w14:paraId="3E20F4CE">
      <w:pPr>
        <w:adjustRightInd w:val="0"/>
        <w:snapToGrid w:val="0"/>
        <w:spacing w:line="360" w:lineRule="auto"/>
        <w:ind w:firstLine="424" w:firstLineChars="176"/>
        <w:rPr>
          <w:rFonts w:hint="eastAsia" w:ascii="宋体"/>
          <w:b/>
          <w:sz w:val="24"/>
          <w:highlight w:val="none"/>
        </w:rPr>
      </w:pPr>
      <w:r>
        <w:rPr>
          <w:rFonts w:hint="eastAsia" w:ascii="宋体"/>
          <w:b/>
          <w:sz w:val="24"/>
          <w:highlight w:val="none"/>
        </w:rPr>
        <w:t>3.本项目不允许联合体投标。</w:t>
      </w:r>
    </w:p>
    <w:p w14:paraId="0AAB11DC">
      <w:pPr>
        <w:spacing w:before="120" w:beforeLines="50" w:after="120" w:afterLines="50"/>
        <w:ind w:firstLine="482" w:firstLineChars="200"/>
        <w:rPr>
          <w:rFonts w:ascii="宋体" w:cs="宋体"/>
          <w:b/>
          <w:bCs/>
          <w:sz w:val="24"/>
        </w:rPr>
      </w:pPr>
      <w:r>
        <w:rPr>
          <w:rFonts w:hint="eastAsia" w:ascii="宋体" w:cs="宋体"/>
          <w:b/>
          <w:bCs/>
          <w:sz w:val="24"/>
        </w:rPr>
        <w:t>三、获取招标文件</w:t>
      </w:r>
    </w:p>
    <w:p w14:paraId="5BF3FE70">
      <w:pPr>
        <w:snapToGrid w:val="0"/>
        <w:spacing w:line="360" w:lineRule="auto"/>
        <w:ind w:firstLine="480" w:firstLineChars="200"/>
        <w:jc w:val="left"/>
        <w:rPr>
          <w:rFonts w:ascii="宋体" w:cs="宋体"/>
          <w:sz w:val="24"/>
        </w:rPr>
      </w:pPr>
      <w:r>
        <w:rPr>
          <w:rFonts w:hint="eastAsia" w:ascii="宋体" w:cs="宋体"/>
          <w:sz w:val="24"/>
        </w:rPr>
        <w:t>1.时间：自本</w:t>
      </w:r>
      <w:r>
        <w:rPr>
          <w:rFonts w:hint="eastAsia" w:ascii="宋体" w:cs="宋体"/>
          <w:bCs/>
          <w:kern w:val="0"/>
          <w:sz w:val="24"/>
        </w:rPr>
        <w:t>招标公告</w:t>
      </w:r>
      <w:r>
        <w:rPr>
          <w:rFonts w:hint="eastAsia" w:ascii="宋体" w:cs="宋体"/>
          <w:sz w:val="24"/>
        </w:rPr>
        <w:t>发布之日起至投标截止时间。</w:t>
      </w:r>
    </w:p>
    <w:p w14:paraId="6FD60B62">
      <w:pPr>
        <w:snapToGrid w:val="0"/>
        <w:spacing w:line="360" w:lineRule="auto"/>
        <w:ind w:firstLine="480" w:firstLineChars="200"/>
        <w:jc w:val="left"/>
        <w:rPr>
          <w:rFonts w:ascii="宋体" w:cs="宋体"/>
          <w:sz w:val="24"/>
        </w:rPr>
      </w:pPr>
      <w:r>
        <w:rPr>
          <w:rFonts w:hint="eastAsia" w:ascii="宋体" w:cs="宋体"/>
          <w:sz w:val="24"/>
        </w:rPr>
        <w:t>2.地点（网址）：</w:t>
      </w:r>
      <w:r>
        <w:rPr>
          <w:rStyle w:val="35"/>
          <w:rFonts w:hint="eastAsia" w:ascii="宋体" w:cs="宋体"/>
          <w:color w:val="auto"/>
          <w:sz w:val="24"/>
        </w:rPr>
        <w:fldChar w:fldCharType="begin"/>
      </w:r>
      <w:r>
        <w:instrText xml:space="preserve">HYPERLINK "https://juhua.ccccnet.com/"</w:instrText>
      </w:r>
      <w:r>
        <w:rPr>
          <w:rStyle w:val="35"/>
          <w:rFonts w:hint="eastAsia" w:ascii="宋体" w:cs="宋体"/>
          <w:color w:val="auto"/>
          <w:sz w:val="24"/>
        </w:rPr>
        <w:fldChar w:fldCharType="separate"/>
      </w:r>
      <w:r>
        <w:rPr>
          <w:rStyle w:val="35"/>
          <w:rFonts w:hint="eastAsia" w:ascii="宋体" w:cs="宋体"/>
          <w:color w:val="auto"/>
          <w:sz w:val="24"/>
        </w:rPr>
        <w:t>巨化数字化招采平台</w:t>
      </w:r>
      <w:r>
        <w:rPr>
          <w:rStyle w:val="35"/>
          <w:rFonts w:hint="eastAsia" w:ascii="宋体" w:cs="宋体"/>
          <w:color w:val="auto"/>
          <w:sz w:val="24"/>
        </w:rPr>
        <w:fldChar w:fldCharType="end"/>
      </w:r>
      <w:r>
        <w:rPr>
          <w:rFonts w:hint="eastAsia" w:ascii="宋体" w:cs="宋体"/>
          <w:sz w:val="24"/>
        </w:rPr>
        <w:t>https://juhua.ccccnet.com/</w:t>
      </w:r>
    </w:p>
    <w:p w14:paraId="689554AC">
      <w:pPr>
        <w:snapToGrid w:val="0"/>
        <w:spacing w:line="360" w:lineRule="auto"/>
        <w:ind w:firstLine="480" w:firstLineChars="200"/>
        <w:jc w:val="left"/>
        <w:rPr>
          <w:rFonts w:ascii="宋体" w:cs="宋体"/>
          <w:sz w:val="24"/>
        </w:rPr>
      </w:pPr>
      <w:r>
        <w:rPr>
          <w:rFonts w:hint="eastAsia" w:ascii="宋体" w:cs="宋体"/>
          <w:sz w:val="24"/>
        </w:rPr>
        <w:t>3.方式：详见“电子交易须知”。</w:t>
      </w:r>
    </w:p>
    <w:p w14:paraId="3B07E18C">
      <w:pPr>
        <w:snapToGrid w:val="0"/>
        <w:spacing w:line="360" w:lineRule="auto"/>
        <w:ind w:firstLine="480" w:firstLineChars="200"/>
        <w:jc w:val="left"/>
        <w:rPr>
          <w:rFonts w:hint="eastAsia" w:ascii="宋体" w:eastAsia="宋体" w:cs="宋体"/>
          <w:sz w:val="24"/>
          <w:lang w:eastAsia="zh-CN"/>
        </w:rPr>
      </w:pPr>
      <w:r>
        <w:rPr>
          <w:rFonts w:hint="eastAsia" w:ascii="宋体" w:cs="宋体"/>
          <w:sz w:val="24"/>
        </w:rPr>
        <w:t>4.招标文件价格：500元人民币，售后不退。收款单位（户名）：浙江南方工程咨询管理有限公司；开户行：建行衢化支行；账号：33001685200050002982</w:t>
      </w:r>
      <w:r>
        <w:rPr>
          <w:rFonts w:hint="eastAsia" w:ascii="宋体" w:cs="宋体"/>
          <w:sz w:val="24"/>
          <w:lang w:val="en-US" w:eastAsia="zh-CN"/>
        </w:rPr>
        <w:t xml:space="preserve"> ；</w:t>
      </w:r>
      <w:r>
        <w:rPr>
          <w:rFonts w:hint="eastAsia" w:ascii="宋体" w:cs="宋体"/>
          <w:sz w:val="24"/>
        </w:rPr>
        <w:t>备注：“</w:t>
      </w:r>
      <w:r>
        <w:rPr>
          <w:rFonts w:hint="eastAsia" w:ascii="宋体" w:cs="宋体"/>
          <w:sz w:val="24"/>
          <w:lang w:val="en-US" w:eastAsia="zh-CN"/>
        </w:rPr>
        <w:t>公用事业部110kV及以上检修项目资料费</w:t>
      </w:r>
      <w:r>
        <w:rPr>
          <w:rFonts w:hint="eastAsia" w:ascii="宋体" w:cs="宋体"/>
          <w:sz w:val="24"/>
        </w:rPr>
        <w:t>”</w:t>
      </w:r>
      <w:r>
        <w:rPr>
          <w:rFonts w:hint="eastAsia" w:ascii="宋体" w:cs="宋体"/>
          <w:sz w:val="24"/>
          <w:lang w:eastAsia="zh-CN"/>
        </w:rPr>
        <w:t>。</w:t>
      </w:r>
    </w:p>
    <w:p w14:paraId="3E29BDD4">
      <w:pPr>
        <w:spacing w:before="120" w:beforeLines="50" w:after="120" w:afterLines="50"/>
        <w:ind w:firstLine="482" w:firstLineChars="200"/>
        <w:rPr>
          <w:rFonts w:ascii="宋体" w:cs="宋体"/>
          <w:b/>
          <w:bCs/>
          <w:sz w:val="24"/>
        </w:rPr>
      </w:pPr>
      <w:r>
        <w:rPr>
          <w:rFonts w:hint="eastAsia" w:ascii="宋体" w:cs="宋体"/>
          <w:b/>
          <w:bCs/>
          <w:sz w:val="24"/>
        </w:rPr>
        <w:t>四、递交投标文件的截止时间、开标时间和地点</w:t>
      </w:r>
    </w:p>
    <w:p w14:paraId="045B9171">
      <w:pPr>
        <w:snapToGrid w:val="0"/>
        <w:spacing w:line="360" w:lineRule="auto"/>
        <w:ind w:firstLine="480" w:firstLineChars="200"/>
        <w:rPr>
          <w:rFonts w:ascii="宋体" w:cs="宋体"/>
          <w:sz w:val="24"/>
        </w:rPr>
      </w:pPr>
      <w:r>
        <w:rPr>
          <w:rFonts w:ascii="宋体"/>
          <w:sz w:val="24"/>
        </w:rPr>
        <w:t>1.截止时间</w:t>
      </w:r>
      <w:r>
        <w:rPr>
          <w:rFonts w:hint="eastAsia" w:ascii="宋体"/>
          <w:sz w:val="24"/>
          <w:lang w:eastAsia="zh-CN"/>
        </w:rPr>
        <w:t>、</w:t>
      </w:r>
      <w:r>
        <w:rPr>
          <w:rFonts w:ascii="宋体" w:cs="宋体"/>
          <w:bCs/>
          <w:sz w:val="24"/>
        </w:rPr>
        <w:t>开标时间</w:t>
      </w:r>
      <w:r>
        <w:rPr>
          <w:rFonts w:hint="eastAsia" w:ascii="宋体" w:cs="宋体"/>
          <w:sz w:val="24"/>
        </w:rPr>
        <w:t>（网址）</w:t>
      </w:r>
      <w:r>
        <w:rPr>
          <w:rFonts w:ascii="宋体"/>
          <w:sz w:val="24"/>
        </w:rPr>
        <w:t>：</w:t>
      </w:r>
      <w:r>
        <w:rPr>
          <w:rFonts w:hint="eastAsia" w:ascii="宋体"/>
          <w:bCs/>
          <w:sz w:val="24"/>
          <w:u w:val="single"/>
          <w:lang w:eastAsia="zh-CN"/>
        </w:rPr>
        <w:t>202</w:t>
      </w:r>
      <w:r>
        <w:rPr>
          <w:rFonts w:hint="eastAsia" w:ascii="宋体"/>
          <w:bCs/>
          <w:sz w:val="24"/>
          <w:u w:val="single"/>
          <w:lang w:val="en-US" w:eastAsia="zh-CN"/>
        </w:rPr>
        <w:t>5</w:t>
      </w:r>
      <w:r>
        <w:rPr>
          <w:rFonts w:hint="eastAsia" w:ascii="宋体"/>
          <w:bCs/>
          <w:sz w:val="24"/>
          <w:u w:val="single"/>
          <w:lang w:eastAsia="zh-CN"/>
        </w:rPr>
        <w:t>年</w:t>
      </w:r>
      <w:r>
        <w:rPr>
          <w:rFonts w:hint="eastAsia" w:ascii="宋体"/>
          <w:bCs/>
          <w:sz w:val="24"/>
          <w:u w:val="single"/>
          <w:lang w:val="en-US" w:eastAsia="zh-CN"/>
        </w:rPr>
        <w:t>12</w:t>
      </w:r>
      <w:r>
        <w:rPr>
          <w:rFonts w:hint="eastAsia" w:ascii="宋体"/>
          <w:bCs/>
          <w:sz w:val="24"/>
          <w:u w:val="single"/>
          <w:lang w:eastAsia="zh-CN"/>
        </w:rPr>
        <w:t>月</w:t>
      </w:r>
      <w:r>
        <w:rPr>
          <w:rFonts w:hint="eastAsia" w:ascii="宋体"/>
          <w:bCs/>
          <w:sz w:val="24"/>
          <w:u w:val="single"/>
          <w:lang w:val="en-US" w:eastAsia="zh-CN"/>
        </w:rPr>
        <w:t>11</w:t>
      </w:r>
      <w:r>
        <w:rPr>
          <w:rFonts w:hint="eastAsia" w:ascii="宋体"/>
          <w:bCs/>
          <w:sz w:val="24"/>
          <w:u w:val="single"/>
        </w:rPr>
        <w:t>日</w:t>
      </w:r>
      <w:r>
        <w:rPr>
          <w:rFonts w:hint="eastAsia" w:ascii="宋体"/>
          <w:bCs/>
          <w:sz w:val="24"/>
          <w:u w:val="single"/>
          <w:lang w:val="en-US" w:eastAsia="zh-CN"/>
        </w:rPr>
        <w:t>13</w:t>
      </w:r>
      <w:r>
        <w:rPr>
          <w:rFonts w:hint="eastAsia" w:ascii="宋体"/>
          <w:bCs/>
          <w:sz w:val="24"/>
          <w:u w:val="single"/>
        </w:rPr>
        <w:t>时</w:t>
      </w:r>
      <w:r>
        <w:rPr>
          <w:rFonts w:hint="eastAsia" w:ascii="宋体"/>
          <w:bCs/>
          <w:sz w:val="24"/>
          <w:u w:val="single"/>
          <w:lang w:val="en-US" w:eastAsia="zh-CN"/>
        </w:rPr>
        <w:t>30</w:t>
      </w:r>
      <w:r>
        <w:rPr>
          <w:rFonts w:hint="eastAsia" w:ascii="宋体"/>
          <w:bCs/>
          <w:sz w:val="24"/>
          <w:u w:val="single"/>
        </w:rPr>
        <w:t>分</w:t>
      </w:r>
      <w:r>
        <w:rPr>
          <w:rFonts w:hint="eastAsia" w:ascii="宋体" w:cs="宋体"/>
          <w:sz w:val="24"/>
        </w:rPr>
        <w:t>（北京时间）</w:t>
      </w:r>
    </w:p>
    <w:p w14:paraId="1055B017">
      <w:pPr>
        <w:spacing w:line="360" w:lineRule="auto"/>
        <w:ind w:firstLine="480" w:firstLineChars="200"/>
        <w:rPr>
          <w:rFonts w:ascii="宋体"/>
          <w:sz w:val="24"/>
          <w:u w:val="single"/>
        </w:rPr>
      </w:pPr>
      <w:r>
        <w:rPr>
          <w:rFonts w:hint="eastAsia" w:ascii="宋体" w:cs="宋体"/>
          <w:bCs/>
          <w:sz w:val="24"/>
        </w:rPr>
        <w:t>2</w:t>
      </w:r>
      <w:r>
        <w:rPr>
          <w:rFonts w:ascii="宋体" w:cs="宋体"/>
          <w:bCs/>
          <w:sz w:val="24"/>
        </w:rPr>
        <w:t>.</w:t>
      </w:r>
      <w:r>
        <w:rPr>
          <w:rFonts w:hint="eastAsia" w:ascii="宋体" w:cs="宋体"/>
          <w:bCs/>
          <w:sz w:val="24"/>
          <w:lang w:val="en-US" w:eastAsia="zh-CN"/>
        </w:rPr>
        <w:t>解密截止时间</w:t>
      </w:r>
      <w:r>
        <w:rPr>
          <w:rFonts w:ascii="宋体" w:cs="宋体"/>
          <w:bCs/>
          <w:sz w:val="24"/>
        </w:rPr>
        <w:t>：</w:t>
      </w:r>
      <w:r>
        <w:rPr>
          <w:rFonts w:hint="eastAsia" w:ascii="宋体"/>
          <w:bCs/>
          <w:sz w:val="24"/>
          <w:u w:val="single"/>
          <w:lang w:eastAsia="zh-CN"/>
        </w:rPr>
        <w:t>202</w:t>
      </w:r>
      <w:r>
        <w:rPr>
          <w:rFonts w:hint="eastAsia" w:ascii="宋体"/>
          <w:bCs/>
          <w:sz w:val="24"/>
          <w:u w:val="single"/>
          <w:lang w:val="en-US" w:eastAsia="zh-CN"/>
        </w:rPr>
        <w:t>5</w:t>
      </w:r>
      <w:r>
        <w:rPr>
          <w:rFonts w:hint="eastAsia" w:ascii="宋体"/>
          <w:bCs/>
          <w:sz w:val="24"/>
          <w:u w:val="single"/>
          <w:lang w:eastAsia="zh-CN"/>
        </w:rPr>
        <w:t>年</w:t>
      </w:r>
      <w:r>
        <w:rPr>
          <w:rFonts w:hint="eastAsia" w:ascii="宋体"/>
          <w:bCs/>
          <w:sz w:val="24"/>
          <w:u w:val="single"/>
          <w:lang w:val="en-US" w:eastAsia="zh-CN"/>
        </w:rPr>
        <w:t>12</w:t>
      </w:r>
      <w:r>
        <w:rPr>
          <w:rFonts w:hint="eastAsia" w:ascii="宋体"/>
          <w:bCs/>
          <w:sz w:val="24"/>
          <w:u w:val="single"/>
          <w:lang w:eastAsia="zh-CN"/>
        </w:rPr>
        <w:t>月</w:t>
      </w:r>
      <w:r>
        <w:rPr>
          <w:rFonts w:hint="eastAsia" w:ascii="宋体"/>
          <w:bCs/>
          <w:sz w:val="24"/>
          <w:u w:val="single"/>
          <w:lang w:val="en-US" w:eastAsia="zh-CN"/>
        </w:rPr>
        <w:t>11</w:t>
      </w:r>
      <w:bookmarkStart w:id="79" w:name="_GoBack"/>
      <w:bookmarkEnd w:id="79"/>
      <w:r>
        <w:rPr>
          <w:rFonts w:hint="eastAsia" w:ascii="宋体"/>
          <w:bCs/>
          <w:sz w:val="24"/>
          <w:u w:val="single"/>
        </w:rPr>
        <w:t>日</w:t>
      </w:r>
      <w:r>
        <w:rPr>
          <w:rFonts w:hint="eastAsia" w:ascii="宋体"/>
          <w:bCs/>
          <w:sz w:val="24"/>
          <w:u w:val="single"/>
          <w:lang w:val="en-US" w:eastAsia="zh-CN"/>
        </w:rPr>
        <w:t>14</w:t>
      </w:r>
      <w:r>
        <w:rPr>
          <w:rFonts w:hint="eastAsia" w:ascii="宋体"/>
          <w:bCs/>
          <w:sz w:val="24"/>
          <w:u w:val="single"/>
        </w:rPr>
        <w:t>时</w:t>
      </w:r>
      <w:r>
        <w:rPr>
          <w:rFonts w:hint="eastAsia" w:ascii="宋体"/>
          <w:bCs/>
          <w:sz w:val="24"/>
          <w:u w:val="single"/>
          <w:lang w:val="en-US" w:eastAsia="zh-CN"/>
        </w:rPr>
        <w:t>00</w:t>
      </w:r>
      <w:r>
        <w:rPr>
          <w:rFonts w:hint="eastAsia" w:ascii="宋体"/>
          <w:bCs/>
          <w:sz w:val="24"/>
          <w:u w:val="single"/>
        </w:rPr>
        <w:t>分</w:t>
      </w:r>
      <w:r>
        <w:rPr>
          <w:rFonts w:hint="eastAsia" w:ascii="宋体" w:cs="宋体"/>
          <w:sz w:val="24"/>
        </w:rPr>
        <w:t>（北京时间）</w:t>
      </w:r>
    </w:p>
    <w:p w14:paraId="3EAAE233">
      <w:pPr>
        <w:spacing w:line="360" w:lineRule="auto"/>
        <w:ind w:firstLine="480" w:firstLineChars="200"/>
        <w:rPr>
          <w:rFonts w:ascii="宋体"/>
          <w:sz w:val="24"/>
        </w:rPr>
      </w:pPr>
      <w:r>
        <w:rPr>
          <w:rFonts w:ascii="宋体"/>
          <w:sz w:val="24"/>
        </w:rPr>
        <w:t>3.</w:t>
      </w:r>
      <w:r>
        <w:rPr>
          <w:rFonts w:hint="eastAsia" w:ascii="宋体" w:cs="宋体"/>
          <w:bCs/>
          <w:sz w:val="24"/>
        </w:rPr>
        <w:t>投标地点：</w:t>
      </w:r>
      <w:r>
        <w:rPr>
          <w:rFonts w:hint="eastAsia" w:ascii="宋体"/>
          <w:sz w:val="24"/>
        </w:rPr>
        <w:t>巨化数字化招采平台在线递交，无需到场开标。</w:t>
      </w:r>
    </w:p>
    <w:p w14:paraId="566D3CBA">
      <w:pPr>
        <w:spacing w:before="120" w:beforeLines="50" w:after="120" w:afterLines="50"/>
        <w:ind w:firstLine="482" w:firstLineChars="200"/>
        <w:rPr>
          <w:rFonts w:ascii="宋体" w:cs="宋体"/>
          <w:b/>
          <w:bCs/>
          <w:sz w:val="24"/>
        </w:rPr>
      </w:pPr>
      <w:r>
        <w:rPr>
          <w:rFonts w:hint="eastAsia" w:ascii="宋体" w:cs="宋体"/>
          <w:b/>
          <w:bCs/>
          <w:sz w:val="24"/>
        </w:rPr>
        <w:t>五、投标方式</w:t>
      </w:r>
    </w:p>
    <w:p w14:paraId="75C19E81">
      <w:pPr>
        <w:snapToGrid w:val="0"/>
        <w:spacing w:line="360" w:lineRule="auto"/>
        <w:ind w:firstLine="480" w:firstLineChars="200"/>
        <w:rPr>
          <w:rFonts w:ascii="宋体" w:cs="宋体"/>
          <w:sz w:val="24"/>
        </w:rPr>
      </w:pPr>
      <w:r>
        <w:rPr>
          <w:rFonts w:hint="eastAsia" w:ascii="宋体"/>
          <w:sz w:val="24"/>
        </w:rPr>
        <w:t>本项目采用电子招标投标方式，电子招标投标交易平台：</w:t>
      </w:r>
      <w:r>
        <w:rPr>
          <w:rStyle w:val="35"/>
          <w:rFonts w:hint="eastAsia" w:ascii="宋体" w:cs="宋体"/>
          <w:color w:val="auto"/>
          <w:sz w:val="24"/>
        </w:rPr>
        <w:fldChar w:fldCharType="begin"/>
      </w:r>
      <w:r>
        <w:instrText xml:space="preserve">HYPERLINK "https://juhua.ccccnet.com/"</w:instrText>
      </w:r>
      <w:r>
        <w:rPr>
          <w:rStyle w:val="35"/>
          <w:rFonts w:hint="eastAsia" w:ascii="宋体" w:cs="宋体"/>
          <w:color w:val="auto"/>
          <w:sz w:val="24"/>
        </w:rPr>
        <w:fldChar w:fldCharType="separate"/>
      </w:r>
      <w:r>
        <w:rPr>
          <w:rStyle w:val="35"/>
          <w:rFonts w:hint="eastAsia" w:ascii="宋体" w:cs="宋体"/>
          <w:color w:val="auto"/>
          <w:sz w:val="24"/>
        </w:rPr>
        <w:t>巨化数字化招采平台</w:t>
      </w:r>
      <w:r>
        <w:rPr>
          <w:rStyle w:val="35"/>
          <w:rFonts w:hint="eastAsia" w:ascii="宋体" w:cs="宋体"/>
          <w:color w:val="auto"/>
          <w:sz w:val="24"/>
        </w:rPr>
        <w:fldChar w:fldCharType="end"/>
      </w:r>
      <w:r>
        <w:rPr>
          <w:rFonts w:hint="eastAsia" w:ascii="宋体"/>
          <w:sz w:val="24"/>
        </w:rPr>
        <w:t>。</w:t>
      </w:r>
    </w:p>
    <w:p w14:paraId="2540D2B4">
      <w:pPr>
        <w:spacing w:before="120" w:beforeLines="50" w:after="120" w:afterLines="50"/>
        <w:ind w:firstLine="482" w:firstLineChars="200"/>
        <w:rPr>
          <w:rFonts w:ascii="宋体" w:cs="宋体"/>
          <w:b/>
          <w:bCs/>
          <w:sz w:val="24"/>
        </w:rPr>
      </w:pPr>
      <w:r>
        <w:rPr>
          <w:rFonts w:hint="eastAsia" w:ascii="宋体" w:cs="宋体"/>
          <w:b/>
          <w:bCs/>
          <w:sz w:val="24"/>
        </w:rPr>
        <w:t>六、投标保证金</w:t>
      </w:r>
    </w:p>
    <w:p w14:paraId="1867CC89">
      <w:pPr>
        <w:snapToGrid w:val="0"/>
        <w:spacing w:line="360" w:lineRule="auto"/>
        <w:ind w:firstLine="424" w:firstLineChars="177"/>
        <w:rPr>
          <w:rFonts w:ascii="宋体" w:cs="宋体"/>
          <w:sz w:val="24"/>
        </w:rPr>
      </w:pPr>
      <w:r>
        <w:rPr>
          <w:rFonts w:hint="eastAsia" w:ascii="宋体" w:cs="宋体"/>
          <w:sz w:val="24"/>
        </w:rPr>
        <w:t>金</w:t>
      </w:r>
      <w:r>
        <w:rPr>
          <w:rFonts w:hint="eastAsia" w:ascii="宋体" w:cs="宋体"/>
          <w:color w:val="auto"/>
          <w:sz w:val="24"/>
        </w:rPr>
        <w:t>额：</w:t>
      </w:r>
      <w:r>
        <w:rPr>
          <w:rFonts w:ascii="宋体" w:cs="宋体"/>
          <w:color w:val="auto"/>
          <w:sz w:val="24"/>
        </w:rPr>
        <w:t>5000</w:t>
      </w:r>
      <w:r>
        <w:rPr>
          <w:rFonts w:hint="eastAsia" w:ascii="宋体" w:cs="宋体"/>
          <w:sz w:val="24"/>
        </w:rPr>
        <w:t>元整；支付方式：银行汇款、银行转帐等形式；</w:t>
      </w:r>
    </w:p>
    <w:p w14:paraId="3B0BA5B4">
      <w:pPr>
        <w:snapToGrid w:val="0"/>
        <w:spacing w:line="360" w:lineRule="auto"/>
        <w:ind w:firstLine="424" w:firstLineChars="177"/>
        <w:rPr>
          <w:rFonts w:ascii="宋体" w:cs="宋体"/>
          <w:sz w:val="24"/>
          <w:lang w:val="en-US" w:eastAsia="zh-CN"/>
        </w:rPr>
      </w:pPr>
      <w:r>
        <w:rPr>
          <w:rFonts w:hint="eastAsia" w:ascii="宋体" w:cs="宋体"/>
          <w:sz w:val="24"/>
          <w:lang w:val="en-US" w:eastAsia="zh-CN"/>
        </w:rPr>
        <w:t>收款单位（户名）：浙江南方工程咨询管理有限公司；开户行：建行衢化支行；账  号：33001685200050002982；</w:t>
      </w:r>
      <w:r>
        <w:rPr>
          <w:rFonts w:hint="eastAsia" w:ascii="宋体" w:cs="宋体"/>
          <w:sz w:val="24"/>
        </w:rPr>
        <w:t>备注：“</w:t>
      </w:r>
      <w:r>
        <w:rPr>
          <w:rFonts w:hint="eastAsia" w:ascii="宋体" w:cs="宋体"/>
          <w:sz w:val="24"/>
          <w:lang w:val="en-US" w:eastAsia="zh-CN"/>
        </w:rPr>
        <w:t>公用事业部110kV及以上检修项目保证金</w:t>
      </w:r>
      <w:r>
        <w:rPr>
          <w:rFonts w:hint="eastAsia" w:ascii="宋体" w:cs="宋体"/>
          <w:sz w:val="24"/>
        </w:rPr>
        <w:t>”</w:t>
      </w:r>
    </w:p>
    <w:p w14:paraId="3059831C">
      <w:pPr>
        <w:snapToGrid w:val="0"/>
        <w:spacing w:line="360" w:lineRule="auto"/>
        <w:ind w:firstLine="424" w:firstLineChars="177"/>
        <w:rPr>
          <w:rFonts w:ascii="宋体" w:cs="宋体"/>
          <w:sz w:val="24"/>
        </w:rPr>
      </w:pPr>
      <w:r>
        <w:rPr>
          <w:rFonts w:hint="eastAsia" w:ascii="宋体" w:cs="宋体"/>
          <w:sz w:val="24"/>
        </w:rPr>
        <w:t>缴纳时间：投标人须在投标截止时间前递交投标保证金，确保在投标截止时间前入账。</w:t>
      </w:r>
      <w:r>
        <w:rPr>
          <w:rFonts w:hint="eastAsia" w:ascii="宋体" w:eastAsia="宋体" w:cs="宋体"/>
          <w:sz w:val="24"/>
        </w:rPr>
        <w:t>保证金交纳方名称必须和投标人名称一致，否则保证金视同未交纳。</w:t>
      </w:r>
    </w:p>
    <w:p w14:paraId="6A3A7695">
      <w:pPr>
        <w:spacing w:before="120" w:beforeLines="50" w:after="120" w:afterLines="50"/>
        <w:ind w:firstLine="482" w:firstLineChars="200"/>
        <w:rPr>
          <w:rFonts w:ascii="宋体" w:cs="宋体"/>
          <w:b/>
          <w:bCs/>
          <w:sz w:val="24"/>
        </w:rPr>
      </w:pPr>
      <w:r>
        <w:rPr>
          <w:rFonts w:hint="eastAsia" w:ascii="宋体" w:cs="宋体"/>
          <w:b/>
          <w:bCs/>
          <w:sz w:val="24"/>
        </w:rPr>
        <w:t>七、公告信息发布网站</w:t>
      </w:r>
    </w:p>
    <w:p w14:paraId="24726C9E">
      <w:pPr>
        <w:snapToGrid w:val="0"/>
        <w:spacing w:line="440" w:lineRule="exact"/>
        <w:ind w:firstLine="480" w:firstLineChars="200"/>
        <w:outlineLvl w:val="1"/>
        <w:rPr>
          <w:rFonts w:ascii="宋体" w:cs="宋体"/>
          <w:sz w:val="24"/>
        </w:rPr>
      </w:pPr>
      <w:r>
        <w:rPr>
          <w:rFonts w:hint="eastAsia" w:ascii="宋体" w:cs="宋体"/>
          <w:sz w:val="24"/>
        </w:rPr>
        <w:t>本次招标公告同时在巨化数字化招采平台、浙江政府采购网、浙江企业采购信息服务网上发布。</w:t>
      </w:r>
    </w:p>
    <w:p w14:paraId="5DFC194C">
      <w:pPr>
        <w:spacing w:before="120" w:beforeLines="50" w:after="120" w:afterLines="50"/>
        <w:ind w:firstLine="482" w:firstLineChars="200"/>
        <w:rPr>
          <w:rFonts w:ascii="宋体" w:cs="宋体"/>
          <w:b/>
          <w:bCs/>
          <w:sz w:val="24"/>
        </w:rPr>
      </w:pPr>
      <w:r>
        <w:rPr>
          <w:rFonts w:hint="eastAsia" w:ascii="宋体" w:cs="宋体"/>
          <w:b/>
          <w:bCs/>
          <w:sz w:val="24"/>
        </w:rPr>
        <w:t>八、联系方法</w:t>
      </w:r>
    </w:p>
    <w:p w14:paraId="3A061414">
      <w:pPr>
        <w:snapToGrid w:val="0"/>
        <w:spacing w:line="360" w:lineRule="auto"/>
        <w:ind w:firstLine="480" w:firstLineChars="200"/>
        <w:rPr>
          <w:rFonts w:hint="eastAsia" w:ascii="宋体" w:cs="宋体"/>
          <w:sz w:val="24"/>
          <w:lang w:eastAsia="zh-CN" w:bidi="ar-SA"/>
        </w:rPr>
      </w:pPr>
      <w:r>
        <w:rPr>
          <w:rFonts w:hint="eastAsia" w:ascii="宋体" w:cs="宋体"/>
          <w:sz w:val="24"/>
        </w:rPr>
        <w:t>招标人：</w:t>
      </w:r>
      <w:r>
        <w:rPr>
          <w:rFonts w:hint="eastAsia" w:ascii="宋体" w:cs="宋体"/>
          <w:sz w:val="24"/>
          <w:lang w:eastAsia="zh-CN" w:bidi="ar-SA"/>
        </w:rPr>
        <w:t>巨化集团有限公司公用事业部</w:t>
      </w:r>
    </w:p>
    <w:p w14:paraId="173F1A8E">
      <w:pPr>
        <w:snapToGrid w:val="0"/>
        <w:spacing w:line="360" w:lineRule="auto"/>
        <w:ind w:firstLine="480" w:firstLineChars="200"/>
        <w:rPr>
          <w:rFonts w:ascii="宋体" w:eastAsia="宋体" w:cs="宋体"/>
          <w:sz w:val="24"/>
          <w:lang w:val="en-US" w:eastAsia="zh-CN"/>
        </w:rPr>
      </w:pPr>
      <w:r>
        <w:rPr>
          <w:rFonts w:hint="eastAsia" w:ascii="宋体" w:cs="宋体"/>
          <w:sz w:val="24"/>
        </w:rPr>
        <w:t>联系人：</w:t>
      </w:r>
      <w:r>
        <w:rPr>
          <w:rFonts w:ascii="宋体" w:cs="宋体"/>
          <w:sz w:val="24"/>
        </w:rPr>
        <w:t xml:space="preserve"> </w:t>
      </w:r>
      <w:r>
        <w:rPr>
          <w:rFonts w:hint="eastAsia" w:ascii="宋体" w:cs="宋体"/>
          <w:sz w:val="24"/>
          <w:highlight w:val="none"/>
          <w:lang w:eastAsia="zh-CN" w:bidi="ar-SA"/>
        </w:rPr>
        <w:t>吴工</w:t>
      </w:r>
      <w:r>
        <w:rPr>
          <w:rFonts w:hint="eastAsia" w:ascii="宋体" w:cs="宋体"/>
          <w:sz w:val="24"/>
          <w:highlight w:val="none"/>
          <w:lang w:val="en-US" w:eastAsia="zh-CN" w:bidi="ar-SA"/>
        </w:rPr>
        <w:t xml:space="preserve">  </w:t>
      </w:r>
      <w:r>
        <w:rPr>
          <w:rFonts w:hint="eastAsia" w:ascii="宋体" w:cs="宋体"/>
          <w:sz w:val="24"/>
          <w:lang w:bidi="ar-SA"/>
        </w:rPr>
        <w:t xml:space="preserve"> 联系电话：0570-3614754</w:t>
      </w:r>
    </w:p>
    <w:p w14:paraId="43444633">
      <w:pPr>
        <w:snapToGrid w:val="0"/>
        <w:spacing w:line="360" w:lineRule="auto"/>
        <w:ind w:firstLine="480" w:firstLineChars="200"/>
        <w:rPr>
          <w:rFonts w:hint="eastAsia" w:ascii="宋体" w:cs="宋体"/>
          <w:sz w:val="24"/>
        </w:rPr>
      </w:pPr>
      <w:r>
        <w:rPr>
          <w:rFonts w:hint="eastAsia" w:ascii="宋体" w:cs="宋体"/>
          <w:sz w:val="24"/>
        </w:rPr>
        <w:t>招标代理机构：浙江南方工程咨询管理有限公司</w:t>
      </w:r>
    </w:p>
    <w:p w14:paraId="53BDECCC">
      <w:pPr>
        <w:snapToGrid w:val="0"/>
        <w:spacing w:line="360" w:lineRule="auto"/>
        <w:ind w:firstLine="480" w:firstLineChars="200"/>
        <w:rPr>
          <w:rFonts w:hint="eastAsia" w:ascii="宋体" w:cs="宋体"/>
          <w:sz w:val="24"/>
        </w:rPr>
      </w:pPr>
      <w:r>
        <w:rPr>
          <w:rFonts w:hint="eastAsia" w:ascii="宋体" w:cs="宋体"/>
          <w:sz w:val="24"/>
        </w:rPr>
        <w:t>地址：浙江省衢州市柯城区衢化街道文昌路99号九州大厦四楼</w:t>
      </w:r>
    </w:p>
    <w:p w14:paraId="05C6CABD">
      <w:pPr>
        <w:snapToGrid w:val="0"/>
        <w:spacing w:line="360" w:lineRule="auto"/>
        <w:ind w:firstLine="424" w:firstLineChars="177"/>
        <w:rPr>
          <w:rFonts w:hint="eastAsia" w:ascii="宋体" w:cs="宋体"/>
          <w:sz w:val="24"/>
        </w:rPr>
      </w:pPr>
      <w:r>
        <w:rPr>
          <w:rFonts w:hint="eastAsia" w:ascii="宋体" w:cs="宋体"/>
          <w:sz w:val="24"/>
        </w:rPr>
        <w:t>联系人：傅志蕴</w:t>
      </w:r>
      <w:r>
        <w:rPr>
          <w:rFonts w:hint="eastAsia" w:ascii="宋体" w:cs="宋体"/>
          <w:sz w:val="24"/>
          <w:lang w:val="zh-CN"/>
        </w:rPr>
        <w:t xml:space="preserve"> </w:t>
      </w:r>
      <w:r>
        <w:rPr>
          <w:rFonts w:hint="eastAsia" w:ascii="宋体" w:cs="宋体"/>
          <w:sz w:val="24"/>
        </w:rPr>
        <w:t xml:space="preserve">   </w:t>
      </w:r>
      <w:r>
        <w:rPr>
          <w:rFonts w:hint="eastAsia" w:ascii="宋体" w:cs="宋体"/>
          <w:sz w:val="24"/>
          <w:lang w:val="zh-CN"/>
        </w:rPr>
        <w:t>联系电话：</w:t>
      </w:r>
      <w:r>
        <w:rPr>
          <w:rFonts w:hint="eastAsia" w:ascii="宋体" w:cs="宋体"/>
          <w:sz w:val="24"/>
        </w:rPr>
        <w:t>13625707279</w:t>
      </w:r>
      <w:r>
        <w:rPr>
          <w:rFonts w:hint="eastAsia" w:ascii="宋体" w:cs="宋体"/>
          <w:sz w:val="24"/>
          <w:lang w:val="zh-CN"/>
        </w:rPr>
        <w:t>（</w:t>
      </w:r>
      <w:r>
        <w:rPr>
          <w:rFonts w:hint="eastAsia" w:ascii="宋体" w:cs="宋体"/>
          <w:sz w:val="24"/>
        </w:rPr>
        <w:t>647279</w:t>
      </w:r>
      <w:r>
        <w:rPr>
          <w:rFonts w:hint="eastAsia" w:ascii="宋体" w:cs="宋体"/>
          <w:sz w:val="24"/>
          <w:lang w:val="zh-CN"/>
        </w:rPr>
        <w:t xml:space="preserve">） </w:t>
      </w:r>
    </w:p>
    <w:p w14:paraId="528A6716">
      <w:pPr>
        <w:snapToGrid w:val="0"/>
        <w:spacing w:line="360" w:lineRule="auto"/>
        <w:ind w:firstLine="424" w:firstLineChars="177"/>
        <w:rPr>
          <w:rFonts w:hint="eastAsia"/>
          <w:b/>
          <w:bCs/>
          <w:sz w:val="32"/>
          <w:szCs w:val="32"/>
        </w:rPr>
      </w:pPr>
      <w:r>
        <w:rPr>
          <w:rFonts w:hint="eastAsia" w:ascii="宋体" w:cs="宋体"/>
          <w:sz w:val="24"/>
        </w:rPr>
        <w:t>监督部门：巨化招标办公室  联系电话：0570-3091876</w:t>
      </w:r>
      <w:bookmarkStart w:id="3" w:name="_Toc2939"/>
    </w:p>
    <w:p w14:paraId="11D99251">
      <w:pPr>
        <w:keepNext w:val="0"/>
        <w:keepLines w:val="0"/>
        <w:pageBreakBefore w:val="0"/>
        <w:widowControl w:val="0"/>
        <w:kinsoku/>
        <w:wordWrap/>
        <w:overflowPunct/>
        <w:topLinePunct w:val="0"/>
        <w:bidi w:val="0"/>
        <w:spacing w:line="360" w:lineRule="auto"/>
        <w:jc w:val="center"/>
        <w:outlineLvl w:val="0"/>
        <w:rPr>
          <w:b/>
          <w:bCs/>
          <w:sz w:val="32"/>
          <w:szCs w:val="32"/>
        </w:rPr>
      </w:pPr>
      <w:r>
        <w:rPr>
          <w:rFonts w:hint="eastAsia"/>
          <w:b/>
          <w:bCs/>
          <w:sz w:val="32"/>
          <w:szCs w:val="32"/>
        </w:rPr>
        <w:t>第二章</w:t>
      </w:r>
      <w:r>
        <w:rPr>
          <w:b/>
          <w:bCs/>
          <w:sz w:val="32"/>
          <w:szCs w:val="32"/>
        </w:rPr>
        <w:t xml:space="preserve">  </w:t>
      </w:r>
      <w:r>
        <w:rPr>
          <w:rFonts w:hint="eastAsia"/>
          <w:b/>
          <w:bCs/>
          <w:sz w:val="32"/>
          <w:szCs w:val="32"/>
        </w:rPr>
        <w:t>投标人须知</w:t>
      </w:r>
      <w:bookmarkEnd w:id="3"/>
    </w:p>
    <w:p w14:paraId="27E7DF20">
      <w:pPr>
        <w:keepNext w:val="0"/>
        <w:keepLines w:val="0"/>
        <w:pageBreakBefore w:val="0"/>
        <w:widowControl w:val="0"/>
        <w:kinsoku/>
        <w:wordWrap/>
        <w:overflowPunct/>
        <w:topLinePunct w:val="0"/>
        <w:bidi w:val="0"/>
        <w:spacing w:line="360" w:lineRule="auto"/>
        <w:jc w:val="center"/>
        <w:rPr>
          <w:sz w:val="28"/>
          <w:szCs w:val="28"/>
        </w:rPr>
      </w:pPr>
      <w:r>
        <w:rPr>
          <w:rFonts w:hint="eastAsia"/>
          <w:b/>
          <w:bCs/>
          <w:sz w:val="28"/>
          <w:szCs w:val="28"/>
        </w:rPr>
        <w:t>第一节 投标人须知前附表</w:t>
      </w:r>
    </w:p>
    <w:tbl>
      <w:tblPr>
        <w:tblStyle w:val="30"/>
        <w:tblW w:w="9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2158"/>
        <w:gridCol w:w="6670"/>
      </w:tblGrid>
      <w:tr w14:paraId="7A9D9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6D5C7A0B">
            <w:pPr>
              <w:keepNext w:val="0"/>
              <w:keepLines w:val="0"/>
              <w:pageBreakBefore w:val="0"/>
              <w:widowControl w:val="0"/>
              <w:kinsoku/>
              <w:wordWrap/>
              <w:overflowPunct/>
              <w:topLinePunct w:val="0"/>
              <w:bidi w:val="0"/>
              <w:spacing w:line="360" w:lineRule="auto"/>
              <w:rPr>
                <w:sz w:val="24"/>
              </w:rPr>
            </w:pPr>
            <w:r>
              <w:rPr>
                <w:rFonts w:hint="eastAsia"/>
                <w:sz w:val="24"/>
              </w:rPr>
              <w:t>条款号</w:t>
            </w:r>
          </w:p>
        </w:tc>
        <w:tc>
          <w:tcPr>
            <w:tcW w:w="2158" w:type="dxa"/>
            <w:tcBorders>
              <w:top w:val="single" w:color="auto" w:sz="4" w:space="0"/>
              <w:left w:val="single" w:color="auto" w:sz="4" w:space="0"/>
              <w:bottom w:val="single" w:color="auto" w:sz="4" w:space="0"/>
              <w:right w:val="single" w:color="auto" w:sz="4" w:space="0"/>
            </w:tcBorders>
            <w:vAlign w:val="center"/>
          </w:tcPr>
          <w:p w14:paraId="22D0B458">
            <w:pPr>
              <w:keepNext w:val="0"/>
              <w:keepLines w:val="0"/>
              <w:pageBreakBefore w:val="0"/>
              <w:widowControl w:val="0"/>
              <w:kinsoku/>
              <w:wordWrap/>
              <w:overflowPunct/>
              <w:topLinePunct w:val="0"/>
              <w:bidi w:val="0"/>
              <w:spacing w:line="360" w:lineRule="auto"/>
              <w:jc w:val="center"/>
              <w:rPr>
                <w:sz w:val="24"/>
              </w:rPr>
            </w:pPr>
            <w:r>
              <w:rPr>
                <w:rFonts w:hint="eastAsia"/>
                <w:sz w:val="24"/>
              </w:rPr>
              <w:t>条 款 名 称</w:t>
            </w:r>
          </w:p>
        </w:tc>
        <w:tc>
          <w:tcPr>
            <w:tcW w:w="6670" w:type="dxa"/>
            <w:tcBorders>
              <w:top w:val="single" w:color="auto" w:sz="4" w:space="0"/>
              <w:left w:val="single" w:color="auto" w:sz="4" w:space="0"/>
              <w:bottom w:val="single" w:color="auto" w:sz="4" w:space="0"/>
              <w:right w:val="single" w:color="auto" w:sz="4" w:space="0"/>
            </w:tcBorders>
            <w:vAlign w:val="center"/>
          </w:tcPr>
          <w:p w14:paraId="26381126">
            <w:pPr>
              <w:keepNext w:val="0"/>
              <w:keepLines w:val="0"/>
              <w:pageBreakBefore w:val="0"/>
              <w:widowControl w:val="0"/>
              <w:kinsoku/>
              <w:wordWrap/>
              <w:overflowPunct/>
              <w:topLinePunct w:val="0"/>
              <w:bidi w:val="0"/>
              <w:spacing w:line="360" w:lineRule="auto"/>
              <w:jc w:val="center"/>
              <w:rPr>
                <w:sz w:val="24"/>
              </w:rPr>
            </w:pPr>
            <w:r>
              <w:rPr>
                <w:rFonts w:hint="eastAsia"/>
                <w:sz w:val="24"/>
              </w:rPr>
              <w:t>编  列  内  容</w:t>
            </w:r>
          </w:p>
        </w:tc>
      </w:tr>
      <w:tr w14:paraId="11513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24986596">
            <w:pPr>
              <w:keepNext w:val="0"/>
              <w:keepLines w:val="0"/>
              <w:pageBreakBefore w:val="0"/>
              <w:widowControl w:val="0"/>
              <w:kinsoku/>
              <w:wordWrap/>
              <w:overflowPunct/>
              <w:topLinePunct w:val="0"/>
              <w:bidi w:val="0"/>
              <w:spacing w:line="360" w:lineRule="auto"/>
              <w:jc w:val="center"/>
              <w:rPr>
                <w:sz w:val="24"/>
              </w:rPr>
            </w:pPr>
            <w:r>
              <w:rPr>
                <w:rFonts w:hint="eastAsia"/>
                <w:sz w:val="24"/>
              </w:rPr>
              <w:t>1</w:t>
            </w:r>
          </w:p>
        </w:tc>
        <w:tc>
          <w:tcPr>
            <w:tcW w:w="2158" w:type="dxa"/>
            <w:tcBorders>
              <w:top w:val="single" w:color="auto" w:sz="4" w:space="0"/>
              <w:left w:val="single" w:color="auto" w:sz="4" w:space="0"/>
              <w:bottom w:val="single" w:color="auto" w:sz="4" w:space="0"/>
              <w:right w:val="single" w:color="auto" w:sz="4" w:space="0"/>
            </w:tcBorders>
            <w:vAlign w:val="center"/>
          </w:tcPr>
          <w:p w14:paraId="68F7104E">
            <w:pPr>
              <w:keepNext w:val="0"/>
              <w:keepLines w:val="0"/>
              <w:pageBreakBefore w:val="0"/>
              <w:widowControl w:val="0"/>
              <w:kinsoku/>
              <w:wordWrap/>
              <w:overflowPunct/>
              <w:topLinePunct w:val="0"/>
              <w:bidi w:val="0"/>
              <w:spacing w:line="360" w:lineRule="auto"/>
              <w:jc w:val="center"/>
              <w:rPr>
                <w:sz w:val="24"/>
              </w:rPr>
            </w:pPr>
            <w:r>
              <w:rPr>
                <w:rFonts w:hint="eastAsia"/>
                <w:sz w:val="24"/>
              </w:rPr>
              <w:t>招标人</w:t>
            </w:r>
          </w:p>
        </w:tc>
        <w:tc>
          <w:tcPr>
            <w:tcW w:w="6670" w:type="dxa"/>
            <w:tcBorders>
              <w:top w:val="single" w:color="auto" w:sz="4" w:space="0"/>
              <w:left w:val="single" w:color="auto" w:sz="4" w:space="0"/>
              <w:bottom w:val="single" w:color="auto" w:sz="4" w:space="0"/>
              <w:right w:val="single" w:color="auto" w:sz="4" w:space="0"/>
            </w:tcBorders>
            <w:vAlign w:val="center"/>
          </w:tcPr>
          <w:p w14:paraId="5FCEECC9">
            <w:pPr>
              <w:keepNext w:val="0"/>
              <w:keepLines w:val="0"/>
              <w:pageBreakBefore w:val="0"/>
              <w:widowControl w:val="0"/>
              <w:kinsoku/>
              <w:wordWrap/>
              <w:overflowPunct/>
              <w:topLinePunct w:val="0"/>
              <w:bidi w:val="0"/>
              <w:spacing w:line="360" w:lineRule="auto"/>
              <w:rPr>
                <w:rFonts w:hint="eastAsia" w:eastAsia="宋体"/>
                <w:sz w:val="24"/>
                <w:lang w:val="en-US" w:eastAsia="zh-CN"/>
              </w:rPr>
            </w:pPr>
            <w:r>
              <w:rPr>
                <w:rFonts w:hint="eastAsia" w:eastAsia="宋体"/>
                <w:sz w:val="24"/>
                <w:lang w:val="en-US" w:eastAsia="zh-CN"/>
              </w:rPr>
              <w:t>招标人：巨化集团有限公司公用事业部</w:t>
            </w:r>
          </w:p>
          <w:p w14:paraId="11DCC55B">
            <w:pPr>
              <w:keepNext w:val="0"/>
              <w:keepLines w:val="0"/>
              <w:pageBreakBefore w:val="0"/>
              <w:widowControl w:val="0"/>
              <w:kinsoku/>
              <w:wordWrap/>
              <w:overflowPunct/>
              <w:topLinePunct w:val="0"/>
              <w:bidi w:val="0"/>
              <w:spacing w:line="360" w:lineRule="auto"/>
              <w:rPr>
                <w:rFonts w:eastAsia="宋体"/>
                <w:sz w:val="24"/>
                <w:lang w:val="en-US" w:eastAsia="zh-CN"/>
              </w:rPr>
            </w:pPr>
            <w:r>
              <w:rPr>
                <w:rFonts w:hint="eastAsia" w:eastAsia="宋体"/>
                <w:sz w:val="24"/>
                <w:lang w:val="en-US" w:eastAsia="zh-CN"/>
              </w:rPr>
              <w:t>联系人：</w:t>
            </w:r>
            <w:r>
              <w:rPr>
                <w:rFonts w:eastAsia="宋体"/>
                <w:sz w:val="24"/>
                <w:lang w:val="en-US" w:eastAsia="zh-CN"/>
              </w:rPr>
              <w:t xml:space="preserve"> </w:t>
            </w:r>
            <w:r>
              <w:rPr>
                <w:rFonts w:hint="eastAsia" w:eastAsia="宋体"/>
                <w:sz w:val="24"/>
                <w:lang w:val="en-US" w:eastAsia="zh-CN"/>
              </w:rPr>
              <w:t>吴工   联系电话：0570-3614754</w:t>
            </w:r>
          </w:p>
        </w:tc>
      </w:tr>
      <w:tr w14:paraId="27BC3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12AE49EB">
            <w:pPr>
              <w:keepNext w:val="0"/>
              <w:keepLines w:val="0"/>
              <w:pageBreakBefore w:val="0"/>
              <w:widowControl w:val="0"/>
              <w:kinsoku/>
              <w:wordWrap/>
              <w:overflowPunct/>
              <w:topLinePunct w:val="0"/>
              <w:bidi w:val="0"/>
              <w:spacing w:line="360" w:lineRule="auto"/>
              <w:jc w:val="center"/>
              <w:rPr>
                <w:sz w:val="24"/>
              </w:rPr>
            </w:pPr>
            <w:r>
              <w:rPr>
                <w:rFonts w:hint="eastAsia"/>
                <w:sz w:val="24"/>
              </w:rPr>
              <w:t>2</w:t>
            </w:r>
          </w:p>
        </w:tc>
        <w:tc>
          <w:tcPr>
            <w:tcW w:w="2158" w:type="dxa"/>
            <w:tcBorders>
              <w:top w:val="single" w:color="auto" w:sz="4" w:space="0"/>
              <w:left w:val="single" w:color="auto" w:sz="4" w:space="0"/>
              <w:bottom w:val="single" w:color="auto" w:sz="4" w:space="0"/>
              <w:right w:val="single" w:color="auto" w:sz="4" w:space="0"/>
            </w:tcBorders>
            <w:vAlign w:val="center"/>
          </w:tcPr>
          <w:p w14:paraId="5C6EAA8A">
            <w:pPr>
              <w:keepNext w:val="0"/>
              <w:keepLines w:val="0"/>
              <w:pageBreakBefore w:val="0"/>
              <w:widowControl w:val="0"/>
              <w:kinsoku/>
              <w:wordWrap/>
              <w:overflowPunct/>
              <w:topLinePunct w:val="0"/>
              <w:bidi w:val="0"/>
              <w:spacing w:line="360" w:lineRule="auto"/>
              <w:jc w:val="center"/>
              <w:rPr>
                <w:sz w:val="24"/>
              </w:rPr>
            </w:pPr>
            <w:r>
              <w:rPr>
                <w:rFonts w:hint="eastAsia"/>
                <w:sz w:val="24"/>
              </w:rPr>
              <w:t>招标代理机构</w:t>
            </w:r>
          </w:p>
        </w:tc>
        <w:tc>
          <w:tcPr>
            <w:tcW w:w="6670" w:type="dxa"/>
            <w:tcBorders>
              <w:top w:val="single" w:color="auto" w:sz="4" w:space="0"/>
              <w:left w:val="single" w:color="auto" w:sz="4" w:space="0"/>
              <w:bottom w:val="single" w:color="auto" w:sz="4" w:space="0"/>
              <w:right w:val="single" w:color="auto" w:sz="4" w:space="0"/>
            </w:tcBorders>
            <w:vAlign w:val="center"/>
          </w:tcPr>
          <w:p w14:paraId="3827A98B">
            <w:pPr>
              <w:keepNext w:val="0"/>
              <w:keepLines w:val="0"/>
              <w:pageBreakBefore w:val="0"/>
              <w:widowControl w:val="0"/>
              <w:kinsoku/>
              <w:wordWrap/>
              <w:overflowPunct/>
              <w:topLinePunct w:val="0"/>
              <w:bidi w:val="0"/>
              <w:spacing w:line="360" w:lineRule="auto"/>
              <w:rPr>
                <w:sz w:val="24"/>
                <w:lang w:val="zh-CN"/>
              </w:rPr>
            </w:pPr>
            <w:r>
              <w:rPr>
                <w:rFonts w:hint="eastAsia"/>
                <w:sz w:val="24"/>
                <w:lang w:val="zh-CN"/>
              </w:rPr>
              <w:t>招标代理机构：浙江南方工程咨询管理有限公司</w:t>
            </w:r>
          </w:p>
          <w:p w14:paraId="61C19025">
            <w:pPr>
              <w:keepNext w:val="0"/>
              <w:keepLines w:val="0"/>
              <w:pageBreakBefore w:val="0"/>
              <w:widowControl w:val="0"/>
              <w:kinsoku/>
              <w:wordWrap/>
              <w:overflowPunct/>
              <w:topLinePunct w:val="0"/>
              <w:bidi w:val="0"/>
              <w:spacing w:line="360" w:lineRule="auto"/>
              <w:rPr>
                <w:sz w:val="24"/>
              </w:rPr>
            </w:pPr>
            <w:r>
              <w:rPr>
                <w:rFonts w:hint="eastAsia"/>
                <w:sz w:val="24"/>
              </w:rPr>
              <w:t>联系人：傅志蕴</w:t>
            </w:r>
            <w:r>
              <w:rPr>
                <w:rFonts w:hint="eastAsia"/>
                <w:sz w:val="24"/>
                <w:lang w:val="zh-CN"/>
              </w:rPr>
              <w:t xml:space="preserve"> </w:t>
            </w:r>
            <w:r>
              <w:rPr>
                <w:rFonts w:hint="eastAsia"/>
                <w:sz w:val="24"/>
              </w:rPr>
              <w:t xml:space="preserve">   </w:t>
            </w:r>
            <w:r>
              <w:rPr>
                <w:rFonts w:hint="eastAsia"/>
                <w:sz w:val="24"/>
                <w:lang w:val="zh-CN"/>
              </w:rPr>
              <w:t>联系电话：</w:t>
            </w:r>
            <w:r>
              <w:rPr>
                <w:rFonts w:hint="eastAsia"/>
                <w:sz w:val="24"/>
              </w:rPr>
              <w:t>13625707279</w:t>
            </w:r>
            <w:r>
              <w:rPr>
                <w:rFonts w:hint="eastAsia"/>
                <w:sz w:val="24"/>
                <w:lang w:val="zh-CN"/>
              </w:rPr>
              <w:t>（</w:t>
            </w:r>
            <w:r>
              <w:rPr>
                <w:rFonts w:hint="eastAsia"/>
                <w:sz w:val="24"/>
              </w:rPr>
              <w:t>647279</w:t>
            </w:r>
            <w:r>
              <w:rPr>
                <w:rFonts w:hint="eastAsia"/>
                <w:sz w:val="24"/>
                <w:lang w:val="zh-CN"/>
              </w:rPr>
              <w:t xml:space="preserve">） </w:t>
            </w:r>
          </w:p>
        </w:tc>
      </w:tr>
      <w:tr w14:paraId="306E9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jc w:val="center"/>
        </w:trPr>
        <w:tc>
          <w:tcPr>
            <w:tcW w:w="980" w:type="dxa"/>
            <w:tcBorders>
              <w:top w:val="single" w:color="auto" w:sz="4" w:space="0"/>
              <w:left w:val="single" w:color="auto" w:sz="4" w:space="0"/>
              <w:bottom w:val="single" w:color="auto" w:sz="4" w:space="0"/>
              <w:right w:val="single" w:color="auto" w:sz="4" w:space="0"/>
            </w:tcBorders>
            <w:vAlign w:val="center"/>
          </w:tcPr>
          <w:p w14:paraId="1597D5BD">
            <w:pPr>
              <w:keepNext w:val="0"/>
              <w:keepLines w:val="0"/>
              <w:pageBreakBefore w:val="0"/>
              <w:widowControl w:val="0"/>
              <w:kinsoku/>
              <w:wordWrap/>
              <w:overflowPunct/>
              <w:topLinePunct w:val="0"/>
              <w:bidi w:val="0"/>
              <w:spacing w:line="360" w:lineRule="auto"/>
              <w:jc w:val="center"/>
              <w:rPr>
                <w:sz w:val="24"/>
              </w:rPr>
            </w:pPr>
            <w:r>
              <w:rPr>
                <w:rFonts w:hint="eastAsia"/>
                <w:sz w:val="24"/>
              </w:rPr>
              <w:t>3</w:t>
            </w:r>
          </w:p>
        </w:tc>
        <w:tc>
          <w:tcPr>
            <w:tcW w:w="2158" w:type="dxa"/>
            <w:tcBorders>
              <w:top w:val="single" w:color="auto" w:sz="4" w:space="0"/>
              <w:left w:val="single" w:color="auto" w:sz="4" w:space="0"/>
              <w:bottom w:val="single" w:color="auto" w:sz="4" w:space="0"/>
              <w:right w:val="single" w:color="auto" w:sz="4" w:space="0"/>
            </w:tcBorders>
            <w:vAlign w:val="center"/>
          </w:tcPr>
          <w:p w14:paraId="40F701F4">
            <w:pPr>
              <w:keepNext w:val="0"/>
              <w:keepLines w:val="0"/>
              <w:pageBreakBefore w:val="0"/>
              <w:widowControl w:val="0"/>
              <w:kinsoku/>
              <w:wordWrap/>
              <w:overflowPunct/>
              <w:topLinePunct w:val="0"/>
              <w:bidi w:val="0"/>
              <w:spacing w:line="360" w:lineRule="auto"/>
              <w:jc w:val="center"/>
              <w:rPr>
                <w:sz w:val="24"/>
              </w:rPr>
            </w:pPr>
            <w:r>
              <w:rPr>
                <w:rFonts w:hint="eastAsia"/>
                <w:sz w:val="24"/>
              </w:rPr>
              <w:t>项目名称</w:t>
            </w:r>
          </w:p>
        </w:tc>
        <w:tc>
          <w:tcPr>
            <w:tcW w:w="6670" w:type="dxa"/>
            <w:tcBorders>
              <w:top w:val="single" w:color="auto" w:sz="4" w:space="0"/>
              <w:left w:val="single" w:color="auto" w:sz="4" w:space="0"/>
              <w:bottom w:val="single" w:color="auto" w:sz="4" w:space="0"/>
              <w:right w:val="single" w:color="auto" w:sz="4" w:space="0"/>
            </w:tcBorders>
            <w:vAlign w:val="center"/>
          </w:tcPr>
          <w:p w14:paraId="2EA04E5F">
            <w:pPr>
              <w:keepNext w:val="0"/>
              <w:keepLines w:val="0"/>
              <w:pageBreakBefore w:val="0"/>
              <w:widowControl w:val="0"/>
              <w:kinsoku/>
              <w:wordWrap/>
              <w:overflowPunct/>
              <w:topLinePunct w:val="0"/>
              <w:bidi w:val="0"/>
              <w:spacing w:line="360" w:lineRule="auto"/>
              <w:rPr>
                <w:rFonts w:hint="eastAsia" w:eastAsia="宋体"/>
                <w:sz w:val="24"/>
                <w:lang w:eastAsia="zh-CN"/>
              </w:rPr>
            </w:pPr>
            <w:r>
              <w:rPr>
                <w:rFonts w:hint="eastAsia" w:eastAsia="宋体"/>
                <w:sz w:val="24"/>
                <w:lang w:val="en-US" w:eastAsia="zh-CN"/>
              </w:rPr>
              <w:t>巨化集团有限公司公用事业部</w:t>
            </w:r>
            <w:r>
              <w:rPr>
                <w:rFonts w:hint="eastAsia" w:eastAsia="宋体"/>
                <w:sz w:val="24"/>
                <w:lang w:eastAsia="zh-CN"/>
              </w:rPr>
              <w:t>110kV及以上电气设备检维修项目</w:t>
            </w:r>
          </w:p>
        </w:tc>
      </w:tr>
      <w:tr w14:paraId="4A9C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exact"/>
          <w:jc w:val="center"/>
        </w:trPr>
        <w:tc>
          <w:tcPr>
            <w:tcW w:w="980" w:type="dxa"/>
            <w:tcBorders>
              <w:top w:val="single" w:color="auto" w:sz="4" w:space="0"/>
              <w:left w:val="single" w:color="auto" w:sz="4" w:space="0"/>
              <w:bottom w:val="single" w:color="auto" w:sz="4" w:space="0"/>
              <w:right w:val="single" w:color="auto" w:sz="4" w:space="0"/>
            </w:tcBorders>
            <w:vAlign w:val="center"/>
          </w:tcPr>
          <w:p w14:paraId="60D1C845">
            <w:pPr>
              <w:keepNext w:val="0"/>
              <w:keepLines w:val="0"/>
              <w:pageBreakBefore w:val="0"/>
              <w:widowControl w:val="0"/>
              <w:kinsoku/>
              <w:wordWrap/>
              <w:overflowPunct/>
              <w:topLinePunct w:val="0"/>
              <w:bidi w:val="0"/>
              <w:spacing w:line="360" w:lineRule="auto"/>
              <w:jc w:val="center"/>
              <w:rPr>
                <w:sz w:val="24"/>
              </w:rPr>
            </w:pPr>
            <w:r>
              <w:rPr>
                <w:rFonts w:hint="eastAsia"/>
                <w:sz w:val="24"/>
              </w:rPr>
              <w:t>4</w:t>
            </w:r>
          </w:p>
        </w:tc>
        <w:tc>
          <w:tcPr>
            <w:tcW w:w="2158" w:type="dxa"/>
            <w:tcBorders>
              <w:top w:val="single" w:color="auto" w:sz="4" w:space="0"/>
              <w:left w:val="single" w:color="auto" w:sz="4" w:space="0"/>
              <w:bottom w:val="single" w:color="auto" w:sz="4" w:space="0"/>
              <w:right w:val="single" w:color="auto" w:sz="4" w:space="0"/>
            </w:tcBorders>
            <w:vAlign w:val="center"/>
          </w:tcPr>
          <w:p w14:paraId="30F07C7F">
            <w:pPr>
              <w:keepNext w:val="0"/>
              <w:keepLines w:val="0"/>
              <w:pageBreakBefore w:val="0"/>
              <w:widowControl w:val="0"/>
              <w:kinsoku/>
              <w:wordWrap/>
              <w:overflowPunct/>
              <w:topLinePunct w:val="0"/>
              <w:bidi w:val="0"/>
              <w:spacing w:line="360" w:lineRule="auto"/>
              <w:jc w:val="center"/>
              <w:rPr>
                <w:sz w:val="24"/>
              </w:rPr>
            </w:pPr>
            <w:r>
              <w:rPr>
                <w:rFonts w:hint="eastAsia"/>
                <w:sz w:val="24"/>
              </w:rPr>
              <w:t>资金来源</w:t>
            </w:r>
          </w:p>
        </w:tc>
        <w:tc>
          <w:tcPr>
            <w:tcW w:w="6670" w:type="dxa"/>
            <w:tcBorders>
              <w:top w:val="single" w:color="auto" w:sz="4" w:space="0"/>
              <w:left w:val="single" w:color="auto" w:sz="4" w:space="0"/>
              <w:bottom w:val="single" w:color="auto" w:sz="4" w:space="0"/>
              <w:right w:val="single" w:color="auto" w:sz="4" w:space="0"/>
            </w:tcBorders>
            <w:vAlign w:val="center"/>
          </w:tcPr>
          <w:p w14:paraId="7C92D4F2">
            <w:pPr>
              <w:keepNext w:val="0"/>
              <w:keepLines w:val="0"/>
              <w:pageBreakBefore w:val="0"/>
              <w:widowControl w:val="0"/>
              <w:kinsoku/>
              <w:wordWrap/>
              <w:overflowPunct/>
              <w:topLinePunct w:val="0"/>
              <w:bidi w:val="0"/>
              <w:spacing w:line="360" w:lineRule="auto"/>
              <w:rPr>
                <w:sz w:val="24"/>
              </w:rPr>
            </w:pPr>
            <w:r>
              <w:rPr>
                <w:rFonts w:hint="eastAsia"/>
                <w:sz w:val="24"/>
              </w:rPr>
              <w:t>自有资金</w:t>
            </w:r>
          </w:p>
        </w:tc>
      </w:tr>
      <w:tr w14:paraId="34AD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980" w:type="dxa"/>
            <w:tcBorders>
              <w:top w:val="single" w:color="auto" w:sz="4" w:space="0"/>
              <w:left w:val="single" w:color="auto" w:sz="4" w:space="0"/>
              <w:bottom w:val="single" w:color="auto" w:sz="4" w:space="0"/>
              <w:right w:val="single" w:color="auto" w:sz="4" w:space="0"/>
            </w:tcBorders>
            <w:vAlign w:val="center"/>
          </w:tcPr>
          <w:p w14:paraId="56AA8F29">
            <w:pPr>
              <w:keepNext w:val="0"/>
              <w:keepLines w:val="0"/>
              <w:pageBreakBefore w:val="0"/>
              <w:widowControl w:val="0"/>
              <w:kinsoku/>
              <w:wordWrap/>
              <w:overflowPunct/>
              <w:topLinePunct w:val="0"/>
              <w:bidi w:val="0"/>
              <w:spacing w:line="360" w:lineRule="auto"/>
              <w:jc w:val="center"/>
              <w:rPr>
                <w:sz w:val="24"/>
              </w:rPr>
            </w:pPr>
            <w:r>
              <w:rPr>
                <w:rFonts w:hint="eastAsia"/>
                <w:sz w:val="24"/>
              </w:rPr>
              <w:t>5</w:t>
            </w:r>
          </w:p>
        </w:tc>
        <w:tc>
          <w:tcPr>
            <w:tcW w:w="2158" w:type="dxa"/>
            <w:tcBorders>
              <w:top w:val="single" w:color="auto" w:sz="4" w:space="0"/>
              <w:left w:val="single" w:color="auto" w:sz="4" w:space="0"/>
              <w:bottom w:val="single" w:color="auto" w:sz="4" w:space="0"/>
              <w:right w:val="single" w:color="auto" w:sz="4" w:space="0"/>
            </w:tcBorders>
            <w:vAlign w:val="center"/>
          </w:tcPr>
          <w:p w14:paraId="5CD835AA">
            <w:pPr>
              <w:keepNext w:val="0"/>
              <w:keepLines w:val="0"/>
              <w:pageBreakBefore w:val="0"/>
              <w:widowControl w:val="0"/>
              <w:kinsoku/>
              <w:wordWrap/>
              <w:overflowPunct/>
              <w:topLinePunct w:val="0"/>
              <w:bidi w:val="0"/>
              <w:spacing w:line="360" w:lineRule="auto"/>
              <w:jc w:val="center"/>
              <w:rPr>
                <w:sz w:val="24"/>
              </w:rPr>
            </w:pPr>
            <w:r>
              <w:rPr>
                <w:rFonts w:hint="eastAsia"/>
                <w:sz w:val="24"/>
              </w:rPr>
              <w:t>资金落实情况</w:t>
            </w:r>
          </w:p>
        </w:tc>
        <w:tc>
          <w:tcPr>
            <w:tcW w:w="6670" w:type="dxa"/>
            <w:tcBorders>
              <w:top w:val="single" w:color="auto" w:sz="4" w:space="0"/>
              <w:left w:val="single" w:color="auto" w:sz="4" w:space="0"/>
              <w:bottom w:val="single" w:color="auto" w:sz="4" w:space="0"/>
              <w:right w:val="single" w:color="auto" w:sz="4" w:space="0"/>
            </w:tcBorders>
            <w:vAlign w:val="center"/>
          </w:tcPr>
          <w:p w14:paraId="46A4B58F">
            <w:pPr>
              <w:keepNext w:val="0"/>
              <w:keepLines w:val="0"/>
              <w:pageBreakBefore w:val="0"/>
              <w:widowControl w:val="0"/>
              <w:kinsoku/>
              <w:wordWrap/>
              <w:overflowPunct/>
              <w:topLinePunct w:val="0"/>
              <w:bidi w:val="0"/>
              <w:spacing w:line="360" w:lineRule="auto"/>
              <w:rPr>
                <w:sz w:val="24"/>
              </w:rPr>
            </w:pPr>
            <w:r>
              <w:rPr>
                <w:rFonts w:hint="eastAsia"/>
                <w:sz w:val="24"/>
              </w:rPr>
              <w:t>已落实</w:t>
            </w:r>
          </w:p>
        </w:tc>
      </w:tr>
      <w:tr w14:paraId="6F4C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jc w:val="center"/>
        </w:trPr>
        <w:tc>
          <w:tcPr>
            <w:tcW w:w="980" w:type="dxa"/>
            <w:tcBorders>
              <w:top w:val="single" w:color="auto" w:sz="4" w:space="0"/>
              <w:left w:val="single" w:color="auto" w:sz="4" w:space="0"/>
              <w:bottom w:val="single" w:color="auto" w:sz="4" w:space="0"/>
              <w:right w:val="single" w:color="auto" w:sz="4" w:space="0"/>
            </w:tcBorders>
            <w:vAlign w:val="center"/>
          </w:tcPr>
          <w:p w14:paraId="37F76D43">
            <w:pPr>
              <w:keepNext w:val="0"/>
              <w:keepLines w:val="0"/>
              <w:pageBreakBefore w:val="0"/>
              <w:widowControl w:val="0"/>
              <w:kinsoku/>
              <w:wordWrap/>
              <w:overflowPunct/>
              <w:topLinePunct w:val="0"/>
              <w:bidi w:val="0"/>
              <w:spacing w:line="360" w:lineRule="auto"/>
              <w:jc w:val="center"/>
              <w:rPr>
                <w:sz w:val="24"/>
                <w:highlight w:val="none"/>
              </w:rPr>
            </w:pPr>
            <w:r>
              <w:rPr>
                <w:rFonts w:hint="eastAsia"/>
                <w:sz w:val="24"/>
                <w:highlight w:val="none"/>
              </w:rPr>
              <w:t>6</w:t>
            </w:r>
          </w:p>
        </w:tc>
        <w:tc>
          <w:tcPr>
            <w:tcW w:w="2158" w:type="dxa"/>
            <w:tcBorders>
              <w:top w:val="single" w:color="auto" w:sz="4" w:space="0"/>
              <w:left w:val="single" w:color="auto" w:sz="4" w:space="0"/>
              <w:bottom w:val="single" w:color="auto" w:sz="4" w:space="0"/>
              <w:right w:val="single" w:color="auto" w:sz="4" w:space="0"/>
            </w:tcBorders>
            <w:vAlign w:val="center"/>
          </w:tcPr>
          <w:p w14:paraId="57DA9105">
            <w:pPr>
              <w:keepNext w:val="0"/>
              <w:keepLines w:val="0"/>
              <w:pageBreakBefore w:val="0"/>
              <w:widowControl w:val="0"/>
              <w:kinsoku/>
              <w:wordWrap/>
              <w:overflowPunct/>
              <w:topLinePunct w:val="0"/>
              <w:bidi w:val="0"/>
              <w:spacing w:line="360" w:lineRule="auto"/>
              <w:jc w:val="center"/>
              <w:rPr>
                <w:sz w:val="24"/>
                <w:highlight w:val="none"/>
              </w:rPr>
            </w:pPr>
            <w:r>
              <w:rPr>
                <w:rFonts w:hint="eastAsia"/>
                <w:sz w:val="24"/>
                <w:highlight w:val="none"/>
              </w:rPr>
              <w:t>服务</w:t>
            </w:r>
            <w:r>
              <w:rPr>
                <w:rFonts w:hint="eastAsia"/>
                <w:sz w:val="24"/>
                <w:highlight w:val="none"/>
                <w:lang w:val="zh-CN"/>
              </w:rPr>
              <w:t>期</w:t>
            </w:r>
          </w:p>
        </w:tc>
        <w:tc>
          <w:tcPr>
            <w:tcW w:w="6670" w:type="dxa"/>
            <w:tcBorders>
              <w:top w:val="single" w:color="auto" w:sz="4" w:space="0"/>
              <w:left w:val="single" w:color="auto" w:sz="4" w:space="0"/>
              <w:bottom w:val="single" w:color="auto" w:sz="4" w:space="0"/>
              <w:right w:val="single" w:color="auto" w:sz="4" w:space="0"/>
            </w:tcBorders>
            <w:vAlign w:val="center"/>
          </w:tcPr>
          <w:p w14:paraId="3EE1E7E2">
            <w:pPr>
              <w:keepNext w:val="0"/>
              <w:keepLines w:val="0"/>
              <w:pageBreakBefore w:val="0"/>
              <w:widowControl w:val="0"/>
              <w:kinsoku/>
              <w:wordWrap/>
              <w:overflowPunct/>
              <w:topLinePunct w:val="0"/>
              <w:bidi w:val="0"/>
              <w:spacing w:line="360" w:lineRule="auto"/>
              <w:jc w:val="left"/>
              <w:rPr>
                <w:sz w:val="24"/>
                <w:highlight w:val="none"/>
              </w:rPr>
            </w:pPr>
            <w:r>
              <w:rPr>
                <w:sz w:val="24"/>
                <w:highlight w:val="none"/>
                <w:lang w:val="en-US" w:eastAsia="zh-CN"/>
              </w:rPr>
              <w:t>3</w:t>
            </w:r>
            <w:r>
              <w:rPr>
                <w:sz w:val="24"/>
                <w:highlight w:val="none"/>
                <w:lang w:val="zh-CN"/>
              </w:rPr>
              <w:t>年</w:t>
            </w:r>
          </w:p>
        </w:tc>
      </w:tr>
      <w:tr w14:paraId="7F16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2392F754">
            <w:pPr>
              <w:keepNext w:val="0"/>
              <w:keepLines w:val="0"/>
              <w:pageBreakBefore w:val="0"/>
              <w:widowControl w:val="0"/>
              <w:kinsoku/>
              <w:wordWrap/>
              <w:overflowPunct/>
              <w:topLinePunct w:val="0"/>
              <w:bidi w:val="0"/>
              <w:spacing w:line="360" w:lineRule="auto"/>
              <w:jc w:val="center"/>
              <w:rPr>
                <w:sz w:val="24"/>
              </w:rPr>
            </w:pPr>
            <w:r>
              <w:rPr>
                <w:rFonts w:hint="eastAsia"/>
                <w:sz w:val="24"/>
              </w:rPr>
              <w:t>7</w:t>
            </w:r>
          </w:p>
        </w:tc>
        <w:tc>
          <w:tcPr>
            <w:tcW w:w="2158" w:type="dxa"/>
            <w:tcBorders>
              <w:top w:val="single" w:color="auto" w:sz="4" w:space="0"/>
              <w:left w:val="single" w:color="auto" w:sz="4" w:space="0"/>
              <w:bottom w:val="single" w:color="auto" w:sz="4" w:space="0"/>
              <w:right w:val="single" w:color="auto" w:sz="4" w:space="0"/>
            </w:tcBorders>
            <w:vAlign w:val="center"/>
          </w:tcPr>
          <w:p w14:paraId="25ED4986">
            <w:pPr>
              <w:keepNext w:val="0"/>
              <w:keepLines w:val="0"/>
              <w:pageBreakBefore w:val="0"/>
              <w:widowControl w:val="0"/>
              <w:kinsoku/>
              <w:wordWrap/>
              <w:overflowPunct/>
              <w:topLinePunct w:val="0"/>
              <w:bidi w:val="0"/>
              <w:spacing w:line="360" w:lineRule="auto"/>
              <w:jc w:val="center"/>
              <w:rPr>
                <w:sz w:val="24"/>
                <w:highlight w:val="none"/>
                <w:lang w:val="zh-CN"/>
              </w:rPr>
            </w:pPr>
            <w:r>
              <w:rPr>
                <w:rFonts w:hint="eastAsia" w:ascii="宋体" w:cs="宋体"/>
                <w:sz w:val="24"/>
                <w:highlight w:val="none"/>
              </w:rPr>
              <w:t>*投标报价</w:t>
            </w:r>
          </w:p>
        </w:tc>
        <w:tc>
          <w:tcPr>
            <w:tcW w:w="6670" w:type="dxa"/>
            <w:tcBorders>
              <w:top w:val="single" w:color="auto" w:sz="4" w:space="0"/>
              <w:left w:val="single" w:color="auto" w:sz="4" w:space="0"/>
              <w:bottom w:val="single" w:color="auto" w:sz="4" w:space="0"/>
              <w:right w:val="single" w:color="auto" w:sz="4" w:space="0"/>
            </w:tcBorders>
            <w:vAlign w:val="center"/>
          </w:tcPr>
          <w:p w14:paraId="16AA904B">
            <w:pPr>
              <w:tabs>
                <w:tab w:val="left" w:pos="647"/>
              </w:tabs>
              <w:snapToGrid w:val="0"/>
              <w:spacing w:line="400" w:lineRule="exact"/>
              <w:jc w:val="left"/>
              <w:rPr>
                <w:rFonts w:ascii="宋体" w:cs="宋体"/>
                <w:sz w:val="24"/>
                <w:highlight w:val="none"/>
              </w:rPr>
            </w:pPr>
            <w:r>
              <w:rPr>
                <w:rFonts w:hint="eastAsia" w:ascii="宋体" w:cs="宋体"/>
                <w:sz w:val="24"/>
                <w:highlight w:val="none"/>
              </w:rPr>
              <w:t>1.报价方式：按费率报价。</w:t>
            </w:r>
          </w:p>
          <w:p w14:paraId="1B4101CB">
            <w:pPr>
              <w:pStyle w:val="10"/>
              <w:spacing w:line="400" w:lineRule="exact"/>
              <w:jc w:val="left"/>
              <w:rPr>
                <w:rFonts w:ascii="宋体" w:cs="宋体"/>
                <w:sz w:val="24"/>
                <w:szCs w:val="24"/>
                <w:highlight w:val="none"/>
              </w:rPr>
            </w:pPr>
            <w:r>
              <w:rPr>
                <w:rFonts w:hint="eastAsia" w:ascii="宋体" w:cs="宋体"/>
                <w:sz w:val="24"/>
                <w:szCs w:val="24"/>
                <w:highlight w:val="none"/>
              </w:rPr>
              <w:t>2.报价方式：</w:t>
            </w:r>
            <w:r>
              <w:rPr>
                <w:rFonts w:hint="eastAsia" w:ascii="宋体" w:cs="宋体"/>
                <w:sz w:val="24"/>
                <w:szCs w:val="24"/>
                <w:highlight w:val="none"/>
                <w:lang w:val="en-US" w:eastAsia="zh-CN"/>
              </w:rPr>
              <w:t>计算</w:t>
            </w:r>
            <w:r>
              <w:rPr>
                <w:rFonts w:hint="eastAsia" w:ascii="宋体" w:cs="宋体"/>
                <w:sz w:val="24"/>
                <w:szCs w:val="24"/>
                <w:highlight w:val="none"/>
              </w:rPr>
              <w:t>定额采用《电网技术改造工程</w:t>
            </w:r>
            <w:r>
              <w:rPr>
                <w:rFonts w:hint="eastAsia" w:ascii="宋体" w:cs="宋体"/>
                <w:sz w:val="24"/>
                <w:szCs w:val="24"/>
                <w:highlight w:val="none"/>
                <w:lang w:val="en-US" w:eastAsia="zh-CN"/>
              </w:rPr>
              <w:t>预算定额2020年版</w:t>
            </w:r>
            <w:r>
              <w:rPr>
                <w:rFonts w:hint="eastAsia" w:ascii="宋体" w:cs="宋体"/>
                <w:sz w:val="24"/>
                <w:szCs w:val="24"/>
                <w:highlight w:val="none"/>
              </w:rPr>
              <w:t>》和《电网检修工程</w:t>
            </w:r>
            <w:r>
              <w:rPr>
                <w:rFonts w:hint="eastAsia" w:ascii="宋体" w:cs="宋体"/>
                <w:sz w:val="24"/>
                <w:szCs w:val="24"/>
                <w:highlight w:val="none"/>
                <w:lang w:val="en-US" w:eastAsia="zh-CN"/>
              </w:rPr>
              <w:t>预算定额2020年版</w:t>
            </w:r>
            <w:r>
              <w:rPr>
                <w:rFonts w:hint="eastAsia" w:ascii="宋体" w:cs="宋体"/>
                <w:sz w:val="24"/>
                <w:szCs w:val="24"/>
                <w:highlight w:val="none"/>
              </w:rPr>
              <w:t>》</w:t>
            </w:r>
            <w:r>
              <w:rPr>
                <w:rFonts w:hint="eastAsia" w:ascii="宋体" w:cs="宋体"/>
                <w:sz w:val="24"/>
                <w:szCs w:val="24"/>
                <w:highlight w:val="none"/>
                <w:lang w:val="en-US" w:eastAsia="zh-CN"/>
              </w:rPr>
              <w:t>以及《电网拆除工程预算定额2020年版》</w:t>
            </w:r>
            <w:r>
              <w:rPr>
                <w:rFonts w:hint="eastAsia" w:ascii="宋体" w:cs="宋体"/>
                <w:sz w:val="24"/>
                <w:szCs w:val="24"/>
                <w:highlight w:val="none"/>
              </w:rPr>
              <w:t>结算</w:t>
            </w:r>
            <w:r>
              <w:rPr>
                <w:rFonts w:hint="eastAsia" w:ascii="宋体" w:cs="宋体"/>
                <w:sz w:val="24"/>
                <w:szCs w:val="24"/>
                <w:highlight w:val="none"/>
                <w:lang w:eastAsia="zh-CN"/>
              </w:rPr>
              <w:t>，</w:t>
            </w:r>
            <w:r>
              <w:rPr>
                <w:rFonts w:hint="eastAsia" w:ascii="宋体" w:cs="宋体"/>
                <w:sz w:val="24"/>
                <w:szCs w:val="24"/>
                <w:highlight w:val="none"/>
              </w:rPr>
              <w:t>投标报价是履行合同的最终价格，包含完成本服务内容所需的一切费用。</w:t>
            </w:r>
          </w:p>
          <w:p w14:paraId="706E0023">
            <w:pPr>
              <w:tabs>
                <w:tab w:val="left" w:pos="647"/>
              </w:tabs>
              <w:snapToGrid w:val="0"/>
              <w:spacing w:line="400" w:lineRule="exact"/>
              <w:jc w:val="left"/>
              <w:rPr>
                <w:rFonts w:hint="eastAsia"/>
                <w:highlight w:val="none"/>
                <w:lang w:val="zh-CN"/>
              </w:rPr>
            </w:pPr>
            <w:r>
              <w:rPr>
                <w:rFonts w:hint="eastAsia" w:ascii="宋体" w:cs="宋体"/>
                <w:sz w:val="24"/>
                <w:highlight w:val="none"/>
              </w:rPr>
              <w:t>3.本次招标采购预算：详见第一章</w:t>
            </w:r>
            <w:r>
              <w:rPr>
                <w:rFonts w:ascii="宋体" w:cs="宋体"/>
                <w:sz w:val="24"/>
                <w:highlight w:val="none"/>
              </w:rPr>
              <w:t>“</w:t>
            </w:r>
            <w:r>
              <w:rPr>
                <w:rFonts w:hint="eastAsia" w:ascii="宋体" w:cs="宋体"/>
                <w:b/>
                <w:sz w:val="24"/>
                <w:highlight w:val="none"/>
              </w:rPr>
              <w:t>招标公告</w:t>
            </w:r>
            <w:r>
              <w:rPr>
                <w:rFonts w:ascii="宋体" w:cs="宋体"/>
                <w:sz w:val="24"/>
                <w:highlight w:val="none"/>
              </w:rPr>
              <w:t>”</w:t>
            </w:r>
            <w:r>
              <w:rPr>
                <w:rFonts w:hint="eastAsia" w:ascii="宋体" w:cs="宋体"/>
                <w:sz w:val="24"/>
                <w:highlight w:val="none"/>
              </w:rPr>
              <w:t>。</w:t>
            </w:r>
          </w:p>
        </w:tc>
      </w:tr>
      <w:tr w14:paraId="2211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5F2EDB63">
            <w:pPr>
              <w:keepNext w:val="0"/>
              <w:keepLines w:val="0"/>
              <w:pageBreakBefore w:val="0"/>
              <w:widowControl w:val="0"/>
              <w:kinsoku/>
              <w:wordWrap/>
              <w:overflowPunct/>
              <w:topLinePunct w:val="0"/>
              <w:bidi w:val="0"/>
              <w:spacing w:line="360" w:lineRule="auto"/>
              <w:jc w:val="center"/>
              <w:rPr>
                <w:sz w:val="24"/>
              </w:rPr>
            </w:pPr>
            <w:r>
              <w:rPr>
                <w:rFonts w:hint="eastAsia"/>
                <w:sz w:val="24"/>
              </w:rPr>
              <w:t>8</w:t>
            </w:r>
          </w:p>
        </w:tc>
        <w:tc>
          <w:tcPr>
            <w:tcW w:w="2158" w:type="dxa"/>
            <w:tcBorders>
              <w:top w:val="single" w:color="auto" w:sz="4" w:space="0"/>
              <w:left w:val="single" w:color="auto" w:sz="4" w:space="0"/>
              <w:bottom w:val="single" w:color="auto" w:sz="4" w:space="0"/>
              <w:right w:val="single" w:color="auto" w:sz="4" w:space="0"/>
            </w:tcBorders>
            <w:vAlign w:val="center"/>
          </w:tcPr>
          <w:p w14:paraId="2340A9AF">
            <w:pPr>
              <w:keepNext w:val="0"/>
              <w:keepLines w:val="0"/>
              <w:pageBreakBefore w:val="0"/>
              <w:widowControl w:val="0"/>
              <w:kinsoku/>
              <w:wordWrap/>
              <w:overflowPunct/>
              <w:topLinePunct w:val="0"/>
              <w:bidi w:val="0"/>
              <w:spacing w:line="360" w:lineRule="auto"/>
              <w:jc w:val="center"/>
              <w:rPr>
                <w:rFonts w:ascii="宋体" w:cs="宋体"/>
                <w:sz w:val="24"/>
                <w:highlight w:val="red"/>
              </w:rPr>
            </w:pPr>
            <w:bookmarkStart w:id="4" w:name="OLE_LINK12"/>
            <w:r>
              <w:rPr>
                <w:rFonts w:hint="eastAsia"/>
                <w:sz w:val="24"/>
              </w:rPr>
              <w:t>是否接受联合体投标</w:t>
            </w:r>
          </w:p>
        </w:tc>
        <w:tc>
          <w:tcPr>
            <w:tcW w:w="6670" w:type="dxa"/>
            <w:tcBorders>
              <w:top w:val="single" w:color="auto" w:sz="4" w:space="0"/>
              <w:left w:val="single" w:color="auto" w:sz="4" w:space="0"/>
              <w:bottom w:val="single" w:color="auto" w:sz="4" w:space="0"/>
              <w:right w:val="single" w:color="auto" w:sz="4" w:space="0"/>
            </w:tcBorders>
            <w:vAlign w:val="center"/>
          </w:tcPr>
          <w:p w14:paraId="676401B7">
            <w:pPr>
              <w:keepNext w:val="0"/>
              <w:keepLines w:val="0"/>
              <w:pageBreakBefore w:val="0"/>
              <w:widowControl w:val="0"/>
              <w:kinsoku/>
              <w:wordWrap/>
              <w:overflowPunct/>
              <w:topLinePunct w:val="0"/>
              <w:bidi w:val="0"/>
              <w:spacing w:line="360" w:lineRule="auto"/>
              <w:rPr>
                <w:rFonts w:ascii="宋体" w:cs="宋体"/>
                <w:sz w:val="24"/>
                <w:highlight w:val="red"/>
              </w:rPr>
            </w:pPr>
            <w:r>
              <w:rPr>
                <w:rFonts w:hint="eastAsia"/>
                <w:sz w:val="24"/>
              </w:rPr>
              <w:t>不接受</w:t>
            </w:r>
          </w:p>
        </w:tc>
      </w:tr>
      <w:tr w14:paraId="00F1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7D6E9D8A">
            <w:pPr>
              <w:keepNext w:val="0"/>
              <w:keepLines w:val="0"/>
              <w:pageBreakBefore w:val="0"/>
              <w:widowControl w:val="0"/>
              <w:kinsoku/>
              <w:wordWrap/>
              <w:overflowPunct/>
              <w:topLinePunct w:val="0"/>
              <w:bidi w:val="0"/>
              <w:spacing w:line="360" w:lineRule="auto"/>
              <w:jc w:val="center"/>
              <w:rPr>
                <w:sz w:val="24"/>
              </w:rPr>
            </w:pPr>
            <w:r>
              <w:rPr>
                <w:rFonts w:hint="eastAsia"/>
                <w:sz w:val="24"/>
              </w:rPr>
              <w:t>9</w:t>
            </w:r>
          </w:p>
        </w:tc>
        <w:tc>
          <w:tcPr>
            <w:tcW w:w="2158" w:type="dxa"/>
            <w:tcBorders>
              <w:top w:val="single" w:color="auto" w:sz="4" w:space="0"/>
              <w:left w:val="single" w:color="auto" w:sz="4" w:space="0"/>
              <w:bottom w:val="single" w:color="auto" w:sz="4" w:space="0"/>
              <w:right w:val="single" w:color="auto" w:sz="4" w:space="0"/>
            </w:tcBorders>
            <w:vAlign w:val="center"/>
          </w:tcPr>
          <w:p w14:paraId="779187CA">
            <w:pPr>
              <w:keepNext w:val="0"/>
              <w:keepLines w:val="0"/>
              <w:pageBreakBefore w:val="0"/>
              <w:widowControl w:val="0"/>
              <w:kinsoku/>
              <w:wordWrap/>
              <w:overflowPunct/>
              <w:topLinePunct w:val="0"/>
              <w:bidi w:val="0"/>
              <w:spacing w:line="360" w:lineRule="auto"/>
              <w:jc w:val="center"/>
              <w:rPr>
                <w:sz w:val="24"/>
              </w:rPr>
            </w:pPr>
            <w:r>
              <w:rPr>
                <w:rFonts w:hint="eastAsia"/>
                <w:sz w:val="24"/>
              </w:rPr>
              <w:t>踏勘现场</w:t>
            </w:r>
          </w:p>
        </w:tc>
        <w:tc>
          <w:tcPr>
            <w:tcW w:w="6670" w:type="dxa"/>
            <w:tcBorders>
              <w:top w:val="single" w:color="auto" w:sz="4" w:space="0"/>
              <w:left w:val="single" w:color="auto" w:sz="4" w:space="0"/>
              <w:bottom w:val="single" w:color="auto" w:sz="4" w:space="0"/>
              <w:right w:val="single" w:color="auto" w:sz="4" w:space="0"/>
            </w:tcBorders>
            <w:vAlign w:val="center"/>
          </w:tcPr>
          <w:p w14:paraId="7ADA90E6">
            <w:pPr>
              <w:keepNext w:val="0"/>
              <w:keepLines w:val="0"/>
              <w:pageBreakBefore w:val="0"/>
              <w:widowControl w:val="0"/>
              <w:kinsoku/>
              <w:wordWrap/>
              <w:overflowPunct/>
              <w:topLinePunct w:val="0"/>
              <w:bidi w:val="0"/>
              <w:spacing w:line="360" w:lineRule="auto"/>
              <w:rPr>
                <w:sz w:val="24"/>
              </w:rPr>
            </w:pPr>
            <w:r>
              <w:rPr>
                <w:rFonts w:hint="eastAsia"/>
                <w:sz w:val="24"/>
              </w:rPr>
              <w:t>由投标人自行前往，费用自理。</w:t>
            </w:r>
          </w:p>
          <w:bookmarkEnd w:id="4"/>
        </w:tc>
      </w:tr>
      <w:tr w14:paraId="73186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6FA5E189">
            <w:pPr>
              <w:keepNext w:val="0"/>
              <w:keepLines w:val="0"/>
              <w:pageBreakBefore w:val="0"/>
              <w:widowControl w:val="0"/>
              <w:kinsoku/>
              <w:wordWrap/>
              <w:overflowPunct/>
              <w:topLinePunct w:val="0"/>
              <w:bidi w:val="0"/>
              <w:spacing w:line="360" w:lineRule="auto"/>
              <w:jc w:val="center"/>
              <w:rPr>
                <w:sz w:val="24"/>
              </w:rPr>
            </w:pPr>
            <w:r>
              <w:rPr>
                <w:rFonts w:hint="eastAsia"/>
                <w:sz w:val="24"/>
              </w:rPr>
              <w:t>10</w:t>
            </w:r>
          </w:p>
        </w:tc>
        <w:tc>
          <w:tcPr>
            <w:tcW w:w="2158" w:type="dxa"/>
            <w:tcBorders>
              <w:top w:val="single" w:color="auto" w:sz="4" w:space="0"/>
              <w:left w:val="single" w:color="auto" w:sz="4" w:space="0"/>
              <w:bottom w:val="single" w:color="auto" w:sz="4" w:space="0"/>
              <w:right w:val="single" w:color="auto" w:sz="4" w:space="0"/>
            </w:tcBorders>
            <w:vAlign w:val="center"/>
          </w:tcPr>
          <w:p w14:paraId="7B0BB486">
            <w:pPr>
              <w:keepNext w:val="0"/>
              <w:keepLines w:val="0"/>
              <w:pageBreakBefore w:val="0"/>
              <w:widowControl w:val="0"/>
              <w:kinsoku/>
              <w:wordWrap/>
              <w:overflowPunct/>
              <w:topLinePunct w:val="0"/>
              <w:bidi w:val="0"/>
              <w:snapToGrid w:val="0"/>
              <w:spacing w:line="360" w:lineRule="auto"/>
              <w:jc w:val="center"/>
              <w:rPr>
                <w:sz w:val="24"/>
              </w:rPr>
            </w:pPr>
            <w:r>
              <w:rPr>
                <w:rFonts w:ascii="宋体"/>
                <w:sz w:val="24"/>
              </w:rPr>
              <w:t>招标文件澄清</w:t>
            </w:r>
          </w:p>
        </w:tc>
        <w:tc>
          <w:tcPr>
            <w:tcW w:w="6670" w:type="dxa"/>
            <w:tcBorders>
              <w:top w:val="single" w:color="auto" w:sz="4" w:space="0"/>
              <w:left w:val="single" w:color="auto" w:sz="4" w:space="0"/>
              <w:bottom w:val="single" w:color="auto" w:sz="4" w:space="0"/>
              <w:right w:val="single" w:color="auto" w:sz="4" w:space="0"/>
            </w:tcBorders>
            <w:vAlign w:val="center"/>
          </w:tcPr>
          <w:p w14:paraId="48061E75">
            <w:pPr>
              <w:keepNext w:val="0"/>
              <w:keepLines w:val="0"/>
              <w:pageBreakBefore w:val="0"/>
              <w:widowControl w:val="0"/>
              <w:kinsoku/>
              <w:wordWrap/>
              <w:overflowPunct/>
              <w:topLinePunct w:val="0"/>
              <w:bidi w:val="0"/>
              <w:snapToGrid w:val="0"/>
              <w:spacing w:line="360" w:lineRule="auto"/>
              <w:rPr>
                <w:sz w:val="24"/>
              </w:rPr>
            </w:pPr>
            <w:r>
              <w:rPr>
                <w:rFonts w:ascii="宋体"/>
                <w:sz w:val="24"/>
              </w:rPr>
              <w:t>投标人如认为招标文件表述不清晰、存在前后矛盾等内容的，应当在投标截止日</w:t>
            </w:r>
            <w:r>
              <w:rPr>
                <w:rFonts w:hint="eastAsia" w:ascii="宋体"/>
                <w:sz w:val="24"/>
              </w:rPr>
              <w:t>3</w:t>
            </w:r>
            <w:r>
              <w:rPr>
                <w:rFonts w:ascii="宋体"/>
                <w:sz w:val="24"/>
              </w:rPr>
              <w:t>天前以书面形式要求招标人作出书面澄清。</w:t>
            </w:r>
          </w:p>
        </w:tc>
      </w:tr>
      <w:tr w14:paraId="272F4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2A721E6C">
            <w:pPr>
              <w:keepNext w:val="0"/>
              <w:keepLines w:val="0"/>
              <w:pageBreakBefore w:val="0"/>
              <w:widowControl w:val="0"/>
              <w:kinsoku/>
              <w:wordWrap/>
              <w:overflowPunct/>
              <w:topLinePunct w:val="0"/>
              <w:bidi w:val="0"/>
              <w:spacing w:line="360" w:lineRule="auto"/>
              <w:jc w:val="center"/>
              <w:rPr>
                <w:sz w:val="24"/>
              </w:rPr>
            </w:pPr>
            <w:r>
              <w:rPr>
                <w:rFonts w:hint="eastAsia"/>
                <w:sz w:val="24"/>
              </w:rPr>
              <w:t>11</w:t>
            </w:r>
          </w:p>
        </w:tc>
        <w:tc>
          <w:tcPr>
            <w:tcW w:w="2158" w:type="dxa"/>
            <w:tcBorders>
              <w:top w:val="single" w:color="auto" w:sz="4" w:space="0"/>
              <w:left w:val="single" w:color="auto" w:sz="4" w:space="0"/>
              <w:bottom w:val="single" w:color="auto" w:sz="4" w:space="0"/>
              <w:right w:val="single" w:color="auto" w:sz="4" w:space="0"/>
            </w:tcBorders>
            <w:vAlign w:val="center"/>
          </w:tcPr>
          <w:p w14:paraId="120928D2">
            <w:pPr>
              <w:keepNext w:val="0"/>
              <w:keepLines w:val="0"/>
              <w:pageBreakBefore w:val="0"/>
              <w:widowControl w:val="0"/>
              <w:kinsoku/>
              <w:wordWrap/>
              <w:overflowPunct/>
              <w:topLinePunct w:val="0"/>
              <w:bidi w:val="0"/>
              <w:spacing w:line="360" w:lineRule="auto"/>
              <w:jc w:val="center"/>
              <w:rPr>
                <w:sz w:val="24"/>
              </w:rPr>
            </w:pPr>
            <w:r>
              <w:rPr>
                <w:rFonts w:hint="eastAsia"/>
                <w:sz w:val="24"/>
              </w:rPr>
              <w:t>*投标文件有效期</w:t>
            </w:r>
          </w:p>
        </w:tc>
        <w:tc>
          <w:tcPr>
            <w:tcW w:w="6670" w:type="dxa"/>
            <w:tcBorders>
              <w:top w:val="single" w:color="auto" w:sz="4" w:space="0"/>
              <w:left w:val="single" w:color="auto" w:sz="4" w:space="0"/>
              <w:bottom w:val="single" w:color="auto" w:sz="4" w:space="0"/>
              <w:right w:val="single" w:color="auto" w:sz="4" w:space="0"/>
            </w:tcBorders>
            <w:vAlign w:val="center"/>
          </w:tcPr>
          <w:p w14:paraId="14211E8F">
            <w:pPr>
              <w:keepNext w:val="0"/>
              <w:keepLines w:val="0"/>
              <w:pageBreakBefore w:val="0"/>
              <w:widowControl w:val="0"/>
              <w:kinsoku/>
              <w:wordWrap/>
              <w:overflowPunct/>
              <w:topLinePunct w:val="0"/>
              <w:bidi w:val="0"/>
              <w:spacing w:line="360" w:lineRule="auto"/>
              <w:rPr>
                <w:sz w:val="24"/>
              </w:rPr>
            </w:pPr>
            <w:r>
              <w:rPr>
                <w:rFonts w:hint="eastAsia"/>
                <w:sz w:val="24"/>
                <w:u w:val="single"/>
              </w:rPr>
              <w:t xml:space="preserve">  90</w:t>
            </w:r>
            <w:r>
              <w:rPr>
                <w:sz w:val="24"/>
                <w:u w:val="single"/>
              </w:rPr>
              <w:t xml:space="preserve">  </w:t>
            </w:r>
            <w:r>
              <w:rPr>
                <w:rFonts w:hint="eastAsia"/>
                <w:sz w:val="24"/>
              </w:rPr>
              <w:t>天</w:t>
            </w:r>
          </w:p>
        </w:tc>
      </w:tr>
      <w:tr w14:paraId="60B81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7DEEAB2D">
            <w:pPr>
              <w:keepNext w:val="0"/>
              <w:keepLines w:val="0"/>
              <w:pageBreakBefore w:val="0"/>
              <w:widowControl w:val="0"/>
              <w:kinsoku/>
              <w:wordWrap/>
              <w:overflowPunct/>
              <w:topLinePunct w:val="0"/>
              <w:bidi w:val="0"/>
              <w:spacing w:line="360" w:lineRule="auto"/>
              <w:jc w:val="center"/>
              <w:rPr>
                <w:sz w:val="24"/>
              </w:rPr>
            </w:pPr>
            <w:r>
              <w:rPr>
                <w:rFonts w:hint="eastAsia"/>
                <w:sz w:val="24"/>
              </w:rPr>
              <w:t>12</w:t>
            </w:r>
          </w:p>
        </w:tc>
        <w:tc>
          <w:tcPr>
            <w:tcW w:w="2158" w:type="dxa"/>
            <w:tcBorders>
              <w:top w:val="single" w:color="auto" w:sz="4" w:space="0"/>
              <w:left w:val="single" w:color="auto" w:sz="4" w:space="0"/>
              <w:bottom w:val="single" w:color="auto" w:sz="4" w:space="0"/>
              <w:right w:val="single" w:color="auto" w:sz="4" w:space="0"/>
            </w:tcBorders>
            <w:vAlign w:val="center"/>
          </w:tcPr>
          <w:p w14:paraId="4BA10AF2">
            <w:pPr>
              <w:keepNext w:val="0"/>
              <w:keepLines w:val="0"/>
              <w:pageBreakBefore w:val="0"/>
              <w:widowControl w:val="0"/>
              <w:kinsoku/>
              <w:wordWrap/>
              <w:overflowPunct/>
              <w:topLinePunct w:val="0"/>
              <w:bidi w:val="0"/>
              <w:spacing w:line="360" w:lineRule="auto"/>
              <w:jc w:val="center"/>
              <w:rPr>
                <w:sz w:val="24"/>
              </w:rPr>
            </w:pPr>
            <w:r>
              <w:rPr>
                <w:rFonts w:hint="eastAsia"/>
                <w:sz w:val="24"/>
              </w:rPr>
              <w:t>*投标保证金</w:t>
            </w:r>
          </w:p>
        </w:tc>
        <w:tc>
          <w:tcPr>
            <w:tcW w:w="6670" w:type="dxa"/>
            <w:tcBorders>
              <w:top w:val="single" w:color="auto" w:sz="4" w:space="0"/>
              <w:left w:val="single" w:color="auto" w:sz="4" w:space="0"/>
              <w:bottom w:val="single" w:color="auto" w:sz="4" w:space="0"/>
              <w:right w:val="single" w:color="auto" w:sz="4" w:space="0"/>
            </w:tcBorders>
            <w:vAlign w:val="center"/>
          </w:tcPr>
          <w:p w14:paraId="7B97A803">
            <w:pPr>
              <w:keepNext w:val="0"/>
              <w:keepLines w:val="0"/>
              <w:pageBreakBefore w:val="0"/>
              <w:widowControl w:val="0"/>
              <w:kinsoku/>
              <w:wordWrap/>
              <w:overflowPunct/>
              <w:topLinePunct w:val="0"/>
              <w:bidi w:val="0"/>
              <w:snapToGrid w:val="0"/>
              <w:spacing w:line="360" w:lineRule="auto"/>
              <w:rPr>
                <w:sz w:val="24"/>
              </w:rPr>
            </w:pPr>
            <w:r>
              <w:rPr>
                <w:rFonts w:ascii="宋体"/>
                <w:sz w:val="24"/>
              </w:rPr>
              <w:t>详见第一章</w:t>
            </w:r>
            <w:r>
              <w:rPr>
                <w:rFonts w:hint="eastAsia" w:ascii="宋体"/>
                <w:sz w:val="24"/>
              </w:rPr>
              <w:t>“</w:t>
            </w:r>
            <w:r>
              <w:rPr>
                <w:rFonts w:ascii="宋体"/>
                <w:sz w:val="24"/>
              </w:rPr>
              <w:t>招标公告</w:t>
            </w:r>
            <w:r>
              <w:rPr>
                <w:rFonts w:hint="eastAsia" w:ascii="宋体"/>
                <w:sz w:val="24"/>
              </w:rPr>
              <w:t>”</w:t>
            </w:r>
          </w:p>
        </w:tc>
      </w:tr>
      <w:tr w14:paraId="4671D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549305CF">
            <w:pPr>
              <w:keepNext w:val="0"/>
              <w:keepLines w:val="0"/>
              <w:pageBreakBefore w:val="0"/>
              <w:widowControl w:val="0"/>
              <w:kinsoku/>
              <w:wordWrap/>
              <w:overflowPunct/>
              <w:topLinePunct w:val="0"/>
              <w:bidi w:val="0"/>
              <w:spacing w:line="360" w:lineRule="auto"/>
              <w:jc w:val="center"/>
              <w:rPr>
                <w:sz w:val="24"/>
              </w:rPr>
            </w:pPr>
            <w:r>
              <w:rPr>
                <w:rFonts w:hint="eastAsia"/>
                <w:sz w:val="24"/>
              </w:rPr>
              <w:t>13</w:t>
            </w:r>
          </w:p>
        </w:tc>
        <w:tc>
          <w:tcPr>
            <w:tcW w:w="2158" w:type="dxa"/>
            <w:tcBorders>
              <w:top w:val="single" w:color="auto" w:sz="4" w:space="0"/>
              <w:left w:val="single" w:color="auto" w:sz="4" w:space="0"/>
              <w:bottom w:val="single" w:color="auto" w:sz="4" w:space="0"/>
              <w:right w:val="single" w:color="auto" w:sz="4" w:space="0"/>
            </w:tcBorders>
            <w:vAlign w:val="center"/>
          </w:tcPr>
          <w:p w14:paraId="37AC7655">
            <w:pPr>
              <w:keepNext w:val="0"/>
              <w:keepLines w:val="0"/>
              <w:pageBreakBefore w:val="0"/>
              <w:widowControl w:val="0"/>
              <w:kinsoku/>
              <w:wordWrap/>
              <w:overflowPunct/>
              <w:topLinePunct w:val="0"/>
              <w:bidi w:val="0"/>
              <w:snapToGrid w:val="0"/>
              <w:spacing w:line="360" w:lineRule="auto"/>
              <w:jc w:val="center"/>
              <w:rPr>
                <w:sz w:val="24"/>
              </w:rPr>
            </w:pPr>
            <w:r>
              <w:rPr>
                <w:rFonts w:ascii="宋体"/>
                <w:sz w:val="24"/>
              </w:rPr>
              <w:t>投标保证金退还</w:t>
            </w:r>
          </w:p>
        </w:tc>
        <w:tc>
          <w:tcPr>
            <w:tcW w:w="6670" w:type="dxa"/>
            <w:tcBorders>
              <w:top w:val="single" w:color="auto" w:sz="4" w:space="0"/>
              <w:left w:val="single" w:color="auto" w:sz="4" w:space="0"/>
              <w:bottom w:val="single" w:color="auto" w:sz="4" w:space="0"/>
              <w:right w:val="single" w:color="auto" w:sz="4" w:space="0"/>
            </w:tcBorders>
            <w:vAlign w:val="center"/>
          </w:tcPr>
          <w:p w14:paraId="60126D08">
            <w:pPr>
              <w:keepNext w:val="0"/>
              <w:keepLines w:val="0"/>
              <w:pageBreakBefore w:val="0"/>
              <w:widowControl w:val="0"/>
              <w:kinsoku/>
              <w:wordWrap/>
              <w:overflowPunct/>
              <w:topLinePunct w:val="0"/>
              <w:bidi w:val="0"/>
              <w:snapToGrid w:val="0"/>
              <w:spacing w:line="360" w:lineRule="auto"/>
              <w:rPr>
                <w:rFonts w:ascii="宋体"/>
                <w:sz w:val="24"/>
              </w:rPr>
            </w:pPr>
            <w:r>
              <w:rPr>
                <w:rFonts w:ascii="宋体"/>
                <w:sz w:val="24"/>
              </w:rPr>
              <w:t>除招标文件规定不予退还保证金的情形外，自中标通知书发出后5个工作日内退还未中标单位的投标保证金；自合同签订之日起5个工作日内退还中标人的投标保证金。</w:t>
            </w:r>
          </w:p>
          <w:p w14:paraId="31BD9E04">
            <w:pPr>
              <w:keepNext w:val="0"/>
              <w:keepLines w:val="0"/>
              <w:pageBreakBefore w:val="0"/>
              <w:widowControl w:val="0"/>
              <w:kinsoku/>
              <w:wordWrap/>
              <w:overflowPunct/>
              <w:topLinePunct w:val="0"/>
              <w:bidi w:val="0"/>
              <w:snapToGrid w:val="0"/>
              <w:spacing w:line="360" w:lineRule="auto"/>
              <w:rPr>
                <w:sz w:val="24"/>
              </w:rPr>
            </w:pPr>
            <w:r>
              <w:rPr>
                <w:rFonts w:ascii="宋体"/>
                <w:sz w:val="24"/>
              </w:rPr>
              <w:t>投标人应当提供</w:t>
            </w:r>
            <w:r>
              <w:rPr>
                <w:rFonts w:hint="eastAsia" w:ascii="宋体"/>
                <w:sz w:val="24"/>
              </w:rPr>
              <w:t>“</w:t>
            </w:r>
            <w:r>
              <w:rPr>
                <w:rFonts w:ascii="宋体"/>
                <w:sz w:val="24"/>
              </w:rPr>
              <w:t>退还投标保证金申请书</w:t>
            </w:r>
            <w:r>
              <w:rPr>
                <w:rFonts w:hint="eastAsia" w:ascii="宋体"/>
                <w:sz w:val="24"/>
              </w:rPr>
              <w:t>”</w:t>
            </w:r>
            <w:r>
              <w:rPr>
                <w:rFonts w:ascii="宋体"/>
                <w:sz w:val="24"/>
              </w:rPr>
              <w:t>（格式见附件）。招标代理机构凭</w:t>
            </w:r>
            <w:r>
              <w:rPr>
                <w:rFonts w:hint="eastAsia" w:ascii="宋体"/>
                <w:sz w:val="24"/>
              </w:rPr>
              <w:t>“</w:t>
            </w:r>
            <w:r>
              <w:rPr>
                <w:rFonts w:ascii="宋体"/>
                <w:sz w:val="24"/>
              </w:rPr>
              <w:t>退还投标保证金申请书</w:t>
            </w:r>
            <w:r>
              <w:rPr>
                <w:rFonts w:hint="eastAsia" w:ascii="宋体"/>
                <w:sz w:val="24"/>
              </w:rPr>
              <w:t>”</w:t>
            </w:r>
            <w:r>
              <w:rPr>
                <w:rFonts w:ascii="宋体"/>
                <w:sz w:val="24"/>
              </w:rPr>
              <w:t>或投标人另行开具的退还投标保证金收据以电汇或转账方式予以退还。</w:t>
            </w:r>
            <w:r>
              <w:rPr>
                <w:rFonts w:hint="eastAsia" w:ascii="宋体"/>
                <w:sz w:val="24"/>
              </w:rPr>
              <w:t>“</w:t>
            </w:r>
            <w:r>
              <w:rPr>
                <w:rFonts w:ascii="宋体"/>
                <w:sz w:val="24"/>
              </w:rPr>
              <w:t>退还投标保证金申请书</w:t>
            </w:r>
            <w:r>
              <w:rPr>
                <w:rFonts w:hint="eastAsia" w:ascii="宋体"/>
                <w:sz w:val="24"/>
              </w:rPr>
              <w:t>”扫描件可以发送或邮寄招标代理机构。</w:t>
            </w:r>
          </w:p>
        </w:tc>
      </w:tr>
      <w:tr w14:paraId="471D6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2886140D">
            <w:pPr>
              <w:keepNext w:val="0"/>
              <w:keepLines w:val="0"/>
              <w:pageBreakBefore w:val="0"/>
              <w:widowControl w:val="0"/>
              <w:kinsoku/>
              <w:wordWrap/>
              <w:overflowPunct/>
              <w:topLinePunct w:val="0"/>
              <w:bidi w:val="0"/>
              <w:spacing w:line="360" w:lineRule="auto"/>
              <w:jc w:val="center"/>
              <w:rPr>
                <w:sz w:val="24"/>
              </w:rPr>
            </w:pPr>
            <w:r>
              <w:rPr>
                <w:rFonts w:hint="eastAsia"/>
                <w:sz w:val="24"/>
              </w:rPr>
              <w:t>14</w:t>
            </w:r>
          </w:p>
        </w:tc>
        <w:tc>
          <w:tcPr>
            <w:tcW w:w="2158" w:type="dxa"/>
            <w:tcBorders>
              <w:top w:val="single" w:color="auto" w:sz="4" w:space="0"/>
              <w:left w:val="single" w:color="auto" w:sz="4" w:space="0"/>
              <w:bottom w:val="single" w:color="auto" w:sz="4" w:space="0"/>
              <w:right w:val="single" w:color="auto" w:sz="4" w:space="0"/>
            </w:tcBorders>
            <w:vAlign w:val="center"/>
          </w:tcPr>
          <w:p w14:paraId="586276A5">
            <w:pPr>
              <w:keepNext w:val="0"/>
              <w:keepLines w:val="0"/>
              <w:pageBreakBefore w:val="0"/>
              <w:widowControl w:val="0"/>
              <w:kinsoku/>
              <w:wordWrap/>
              <w:overflowPunct/>
              <w:topLinePunct w:val="0"/>
              <w:bidi w:val="0"/>
              <w:snapToGrid w:val="0"/>
              <w:spacing w:line="360" w:lineRule="auto"/>
              <w:jc w:val="center"/>
              <w:rPr>
                <w:sz w:val="24"/>
              </w:rPr>
            </w:pPr>
            <w:r>
              <w:rPr>
                <w:rFonts w:hint="eastAsia" w:ascii="宋体"/>
                <w:sz w:val="24"/>
              </w:rPr>
              <w:t>投标文件的签章</w:t>
            </w:r>
          </w:p>
        </w:tc>
        <w:tc>
          <w:tcPr>
            <w:tcW w:w="6670" w:type="dxa"/>
            <w:tcBorders>
              <w:top w:val="single" w:color="auto" w:sz="4" w:space="0"/>
              <w:left w:val="single" w:color="auto" w:sz="4" w:space="0"/>
              <w:bottom w:val="single" w:color="auto" w:sz="4" w:space="0"/>
              <w:right w:val="single" w:color="auto" w:sz="4" w:space="0"/>
            </w:tcBorders>
            <w:vAlign w:val="center"/>
          </w:tcPr>
          <w:p w14:paraId="7E7F7CE3">
            <w:pPr>
              <w:keepNext w:val="0"/>
              <w:keepLines w:val="0"/>
              <w:pageBreakBefore w:val="0"/>
              <w:widowControl w:val="0"/>
              <w:kinsoku/>
              <w:wordWrap/>
              <w:overflowPunct/>
              <w:topLinePunct w:val="0"/>
              <w:autoSpaceDE w:val="0"/>
              <w:autoSpaceDN w:val="0"/>
              <w:bidi w:val="0"/>
              <w:adjustRightInd w:val="0"/>
              <w:spacing w:line="360" w:lineRule="auto"/>
              <w:jc w:val="left"/>
              <w:rPr>
                <w:sz w:val="24"/>
              </w:rPr>
            </w:pPr>
            <w:r>
              <w:rPr>
                <w:rFonts w:hint="eastAsia" w:ascii="宋体"/>
                <w:sz w:val="24"/>
              </w:rPr>
              <w:t>采用电子签章。</w:t>
            </w:r>
          </w:p>
        </w:tc>
      </w:tr>
      <w:tr w14:paraId="5C53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76566FA9">
            <w:pPr>
              <w:keepNext w:val="0"/>
              <w:keepLines w:val="0"/>
              <w:pageBreakBefore w:val="0"/>
              <w:widowControl w:val="0"/>
              <w:kinsoku/>
              <w:wordWrap/>
              <w:overflowPunct/>
              <w:topLinePunct w:val="0"/>
              <w:bidi w:val="0"/>
              <w:spacing w:line="360" w:lineRule="auto"/>
              <w:jc w:val="center"/>
              <w:rPr>
                <w:sz w:val="24"/>
              </w:rPr>
            </w:pPr>
            <w:r>
              <w:rPr>
                <w:rFonts w:hint="eastAsia"/>
                <w:sz w:val="24"/>
              </w:rPr>
              <w:t>15</w:t>
            </w:r>
          </w:p>
        </w:tc>
        <w:tc>
          <w:tcPr>
            <w:tcW w:w="2158" w:type="dxa"/>
            <w:tcBorders>
              <w:top w:val="single" w:color="auto" w:sz="4" w:space="0"/>
              <w:left w:val="single" w:color="auto" w:sz="4" w:space="0"/>
              <w:bottom w:val="single" w:color="auto" w:sz="4" w:space="0"/>
              <w:right w:val="single" w:color="auto" w:sz="4" w:space="0"/>
            </w:tcBorders>
            <w:vAlign w:val="center"/>
          </w:tcPr>
          <w:p w14:paraId="13EFA84A">
            <w:pPr>
              <w:spacing w:line="360" w:lineRule="exact"/>
              <w:rPr>
                <w:sz w:val="24"/>
              </w:rPr>
            </w:pPr>
            <w:r>
              <w:rPr>
                <w:rFonts w:hint="eastAsia" w:ascii="宋体" w:cs="宋体"/>
                <w:sz w:val="24"/>
              </w:rPr>
              <w:t>*</w:t>
            </w:r>
            <w:r>
              <w:rPr>
                <w:rFonts w:hint="eastAsia"/>
                <w:b/>
                <w:bCs/>
                <w:sz w:val="24"/>
              </w:rPr>
              <w:t>投标文件的组成</w:t>
            </w:r>
          </w:p>
        </w:tc>
        <w:tc>
          <w:tcPr>
            <w:tcW w:w="6670" w:type="dxa"/>
            <w:tcBorders>
              <w:top w:val="single" w:color="auto" w:sz="4" w:space="0"/>
              <w:left w:val="single" w:color="auto" w:sz="4" w:space="0"/>
              <w:bottom w:val="single" w:color="auto" w:sz="4" w:space="0"/>
              <w:right w:val="single" w:color="auto" w:sz="4" w:space="0"/>
            </w:tcBorders>
            <w:vAlign w:val="center"/>
          </w:tcPr>
          <w:p w14:paraId="49A85837">
            <w:pPr>
              <w:snapToGrid w:val="0"/>
              <w:spacing w:line="400" w:lineRule="exact"/>
              <w:rPr>
                <w:rFonts w:hint="eastAsia" w:ascii="宋体" w:eastAsia="宋体" w:cs="宋体"/>
                <w:b/>
                <w:bCs/>
                <w:color w:val="000000"/>
                <w:sz w:val="24"/>
                <w:highlight w:val="none"/>
                <w:lang w:val="zh-CN"/>
              </w:rPr>
            </w:pPr>
            <w:r>
              <w:rPr>
                <w:rFonts w:hint="eastAsia" w:ascii="宋体" w:cs="宋体"/>
                <w:sz w:val="24"/>
                <w:highlight w:val="none"/>
              </w:rPr>
              <w:t>投标文</w:t>
            </w:r>
            <w:r>
              <w:rPr>
                <w:rFonts w:hint="eastAsia" w:ascii="宋体" w:cs="宋体"/>
                <w:b w:val="0"/>
                <w:bCs w:val="0"/>
                <w:sz w:val="24"/>
                <w:highlight w:val="none"/>
              </w:rPr>
              <w:t>件由技术资信文件</w:t>
            </w:r>
            <w:r>
              <w:rPr>
                <w:rFonts w:hint="eastAsia" w:ascii="宋体" w:cs="宋体"/>
                <w:b w:val="0"/>
                <w:bCs w:val="0"/>
                <w:sz w:val="24"/>
                <w:highlight w:val="none"/>
                <w:lang w:eastAsia="zh-CN"/>
              </w:rPr>
              <w:t>（</w:t>
            </w:r>
            <w:r>
              <w:rPr>
                <w:rFonts w:hint="eastAsia"/>
                <w:b w:val="0"/>
                <w:bCs w:val="0"/>
                <w:sz w:val="24"/>
                <w:highlight w:val="none"/>
              </w:rPr>
              <w:t>资格证明</w:t>
            </w:r>
            <w:r>
              <w:rPr>
                <w:rFonts w:hint="eastAsia"/>
                <w:b w:val="0"/>
                <w:bCs w:val="0"/>
                <w:sz w:val="24"/>
                <w:highlight w:val="none"/>
                <w:lang w:val="en-US" w:eastAsia="zh-CN"/>
              </w:rPr>
              <w:t>文件</w:t>
            </w:r>
            <w:r>
              <w:rPr>
                <w:rFonts w:hint="eastAsia" w:ascii="宋体" w:cs="宋体"/>
                <w:b w:val="0"/>
                <w:bCs w:val="0"/>
                <w:color w:val="000000"/>
                <w:sz w:val="24"/>
                <w:highlight w:val="none"/>
                <w:lang w:val="zh-CN"/>
              </w:rPr>
              <w:t>、技术</w:t>
            </w:r>
            <w:r>
              <w:rPr>
                <w:rFonts w:hint="eastAsia" w:ascii="宋体" w:cs="宋体"/>
                <w:b w:val="0"/>
                <w:bCs w:val="0"/>
                <w:color w:val="000000"/>
                <w:sz w:val="24"/>
                <w:highlight w:val="none"/>
                <w:lang w:val="en-US" w:eastAsia="zh-CN"/>
              </w:rPr>
              <w:t>文件</w:t>
            </w:r>
            <w:r>
              <w:rPr>
                <w:rFonts w:hint="eastAsia" w:ascii="宋体" w:cs="宋体"/>
                <w:b w:val="0"/>
                <w:bCs w:val="0"/>
                <w:sz w:val="24"/>
                <w:highlight w:val="none"/>
                <w:lang w:eastAsia="zh-CN"/>
              </w:rPr>
              <w:t>）</w:t>
            </w:r>
            <w:r>
              <w:rPr>
                <w:rFonts w:hint="eastAsia" w:ascii="宋体" w:cs="宋体"/>
                <w:b w:val="0"/>
                <w:bCs w:val="0"/>
                <w:sz w:val="24"/>
                <w:highlight w:val="none"/>
              </w:rPr>
              <w:t>、商务经济文件两部分</w:t>
            </w:r>
            <w:r>
              <w:rPr>
                <w:rFonts w:hint="eastAsia" w:ascii="宋体" w:eastAsia="宋体" w:cs="宋体"/>
                <w:b w:val="0"/>
                <w:bCs w:val="0"/>
                <w:color w:val="000000"/>
                <w:sz w:val="24"/>
                <w:highlight w:val="none"/>
                <w:lang w:val="zh-CN"/>
              </w:rPr>
              <w:t>组成</w:t>
            </w:r>
            <w:r>
              <w:rPr>
                <w:rFonts w:hint="eastAsia" w:ascii="宋体" w:eastAsia="宋体" w:cs="宋体"/>
                <w:b/>
                <w:bCs/>
                <w:color w:val="000000"/>
                <w:sz w:val="24"/>
                <w:highlight w:val="none"/>
                <w:lang w:val="zh-CN"/>
              </w:rPr>
              <w:t>。</w:t>
            </w:r>
          </w:p>
          <w:p w14:paraId="50967990">
            <w:pPr>
              <w:snapToGrid w:val="0"/>
              <w:spacing w:line="360" w:lineRule="exact"/>
              <w:rPr>
                <w:sz w:val="24"/>
              </w:rPr>
            </w:pPr>
            <w:r>
              <w:rPr>
                <w:rFonts w:hint="eastAsia" w:ascii="宋体" w:eastAsia="宋体" w:cs="宋体"/>
                <w:b/>
                <w:bCs/>
                <w:color w:val="000000"/>
                <w:sz w:val="24"/>
                <w:highlight w:val="none"/>
                <w:lang w:val="zh-CN"/>
              </w:rPr>
              <w:t>其中资格证明</w:t>
            </w:r>
            <w:r>
              <w:rPr>
                <w:rFonts w:hint="eastAsia" w:ascii="宋体" w:eastAsia="宋体" w:cs="宋体"/>
                <w:b/>
                <w:bCs/>
                <w:color w:val="000000"/>
                <w:sz w:val="24"/>
                <w:highlight w:val="none"/>
                <w:lang w:val="en-US" w:eastAsia="zh-CN"/>
              </w:rPr>
              <w:t>文件</w:t>
            </w:r>
            <w:r>
              <w:rPr>
                <w:rFonts w:hint="eastAsia" w:ascii="宋体" w:eastAsia="宋体" w:cs="宋体"/>
                <w:b/>
                <w:bCs/>
                <w:color w:val="000000"/>
                <w:sz w:val="24"/>
                <w:highlight w:val="none"/>
                <w:lang w:val="zh-CN"/>
              </w:rPr>
              <w:t>、技</w:t>
            </w:r>
            <w:r>
              <w:rPr>
                <w:rFonts w:hint="eastAsia" w:ascii="宋体" w:cs="宋体"/>
                <w:b/>
                <w:bCs/>
                <w:color w:val="000000"/>
                <w:sz w:val="24"/>
                <w:highlight w:val="none"/>
                <w:lang w:val="zh-CN"/>
              </w:rPr>
              <w:t>术文件</w:t>
            </w:r>
            <w:r>
              <w:rPr>
                <w:rFonts w:hint="eastAsia" w:ascii="宋体" w:cs="宋体"/>
                <w:b/>
                <w:bCs/>
                <w:color w:val="000000"/>
                <w:sz w:val="24"/>
                <w:highlight w:val="none"/>
                <w:lang w:val="en-US" w:eastAsia="zh-CN"/>
              </w:rPr>
              <w:t>合并</w:t>
            </w:r>
            <w:r>
              <w:rPr>
                <w:rFonts w:hint="eastAsia" w:ascii="宋体" w:cs="宋体"/>
                <w:b/>
                <w:bCs/>
                <w:color w:val="000000"/>
                <w:sz w:val="24"/>
                <w:highlight w:val="none"/>
                <w:lang w:val="zh-CN"/>
              </w:rPr>
              <w:t>上传至技术资信客户端；商务经济文件制作为上传至商务经济客户端；</w:t>
            </w:r>
          </w:p>
        </w:tc>
      </w:tr>
      <w:tr w14:paraId="22EA1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645C2C4C">
            <w:pPr>
              <w:keepNext w:val="0"/>
              <w:keepLines w:val="0"/>
              <w:pageBreakBefore w:val="0"/>
              <w:widowControl w:val="0"/>
              <w:kinsoku/>
              <w:wordWrap/>
              <w:overflowPunct/>
              <w:topLinePunct w:val="0"/>
              <w:bidi w:val="0"/>
              <w:spacing w:line="360" w:lineRule="auto"/>
              <w:jc w:val="center"/>
              <w:rPr>
                <w:sz w:val="24"/>
              </w:rPr>
            </w:pPr>
            <w:r>
              <w:rPr>
                <w:rFonts w:hint="eastAsia"/>
                <w:sz w:val="24"/>
              </w:rPr>
              <w:t>16</w:t>
            </w:r>
          </w:p>
        </w:tc>
        <w:tc>
          <w:tcPr>
            <w:tcW w:w="2158" w:type="dxa"/>
            <w:tcBorders>
              <w:top w:val="single" w:color="auto" w:sz="4" w:space="0"/>
              <w:left w:val="single" w:color="auto" w:sz="4" w:space="0"/>
              <w:bottom w:val="single" w:color="auto" w:sz="4" w:space="0"/>
              <w:right w:val="single" w:color="auto" w:sz="4" w:space="0"/>
            </w:tcBorders>
            <w:vAlign w:val="center"/>
          </w:tcPr>
          <w:p w14:paraId="278AE235">
            <w:pPr>
              <w:keepNext w:val="0"/>
              <w:keepLines w:val="0"/>
              <w:pageBreakBefore w:val="0"/>
              <w:widowControl w:val="0"/>
              <w:kinsoku/>
              <w:wordWrap/>
              <w:overflowPunct/>
              <w:topLinePunct w:val="0"/>
              <w:bidi w:val="0"/>
              <w:spacing w:line="360" w:lineRule="auto"/>
              <w:jc w:val="center"/>
              <w:rPr>
                <w:sz w:val="24"/>
              </w:rPr>
            </w:pPr>
            <w:r>
              <w:rPr>
                <w:rFonts w:hint="eastAsia" w:ascii="宋体"/>
                <w:sz w:val="24"/>
                <w:lang w:val="zh-CN"/>
              </w:rPr>
              <w:t>投标文件编制</w:t>
            </w:r>
          </w:p>
        </w:tc>
        <w:tc>
          <w:tcPr>
            <w:tcW w:w="6670" w:type="dxa"/>
            <w:tcBorders>
              <w:top w:val="single" w:color="auto" w:sz="4" w:space="0"/>
              <w:left w:val="single" w:color="auto" w:sz="4" w:space="0"/>
              <w:bottom w:val="single" w:color="auto" w:sz="4" w:space="0"/>
              <w:right w:val="single" w:color="auto" w:sz="4" w:space="0"/>
            </w:tcBorders>
            <w:vAlign w:val="center"/>
          </w:tcPr>
          <w:p w14:paraId="5E0A622E">
            <w:pPr>
              <w:keepNext w:val="0"/>
              <w:keepLines w:val="0"/>
              <w:pageBreakBefore w:val="0"/>
              <w:widowControl w:val="0"/>
              <w:kinsoku/>
              <w:wordWrap/>
              <w:overflowPunct/>
              <w:topLinePunct w:val="0"/>
              <w:bidi w:val="0"/>
              <w:spacing w:line="360" w:lineRule="auto"/>
              <w:rPr>
                <w:rFonts w:ascii="宋体"/>
                <w:sz w:val="24"/>
              </w:rPr>
            </w:pPr>
            <w:r>
              <w:rPr>
                <w:rFonts w:ascii="宋体"/>
                <w:sz w:val="24"/>
                <w:lang w:val="zh-CN"/>
              </w:rPr>
              <w:t>投标文件应按照“投标文件格式”进行编写，并</w:t>
            </w:r>
            <w:r>
              <w:rPr>
                <w:rFonts w:hint="eastAsia" w:ascii="宋体"/>
                <w:sz w:val="24"/>
                <w:lang w:val="zh-CN"/>
              </w:rPr>
              <w:t>对招标文件有关资格证明、投标报价、付款条件、人员要求、投标有效期、投标保证金等实质性内容作出响应</w:t>
            </w:r>
          </w:p>
        </w:tc>
      </w:tr>
      <w:tr w14:paraId="4511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128D1294">
            <w:pPr>
              <w:keepNext w:val="0"/>
              <w:keepLines w:val="0"/>
              <w:pageBreakBefore w:val="0"/>
              <w:widowControl w:val="0"/>
              <w:kinsoku/>
              <w:wordWrap/>
              <w:overflowPunct/>
              <w:topLinePunct w:val="0"/>
              <w:bidi w:val="0"/>
              <w:spacing w:line="360" w:lineRule="auto"/>
              <w:jc w:val="center"/>
              <w:rPr>
                <w:sz w:val="24"/>
              </w:rPr>
            </w:pPr>
            <w:r>
              <w:rPr>
                <w:rFonts w:hint="eastAsia"/>
                <w:sz w:val="24"/>
              </w:rPr>
              <w:t>17</w:t>
            </w:r>
          </w:p>
        </w:tc>
        <w:tc>
          <w:tcPr>
            <w:tcW w:w="2158" w:type="dxa"/>
            <w:tcBorders>
              <w:top w:val="single" w:color="auto" w:sz="4" w:space="0"/>
              <w:left w:val="single" w:color="auto" w:sz="4" w:space="0"/>
              <w:bottom w:val="single" w:color="auto" w:sz="4" w:space="0"/>
              <w:right w:val="single" w:color="auto" w:sz="4" w:space="0"/>
            </w:tcBorders>
            <w:vAlign w:val="center"/>
          </w:tcPr>
          <w:p w14:paraId="5F23D637">
            <w:pPr>
              <w:keepNext w:val="0"/>
              <w:keepLines w:val="0"/>
              <w:pageBreakBefore w:val="0"/>
              <w:widowControl w:val="0"/>
              <w:kinsoku/>
              <w:wordWrap/>
              <w:overflowPunct/>
              <w:topLinePunct w:val="0"/>
              <w:bidi w:val="0"/>
              <w:spacing w:line="360" w:lineRule="auto"/>
              <w:jc w:val="center"/>
              <w:rPr>
                <w:rFonts w:ascii="宋体"/>
                <w:sz w:val="24"/>
              </w:rPr>
            </w:pPr>
            <w:r>
              <w:rPr>
                <w:rFonts w:hint="eastAsia" w:ascii="宋体"/>
                <w:sz w:val="24"/>
                <w:lang w:val="zh-CN"/>
              </w:rPr>
              <w:t>投标文件的包装、密封和递交</w:t>
            </w:r>
          </w:p>
        </w:tc>
        <w:tc>
          <w:tcPr>
            <w:tcW w:w="6670" w:type="dxa"/>
            <w:tcBorders>
              <w:top w:val="single" w:color="auto" w:sz="4" w:space="0"/>
              <w:left w:val="single" w:color="auto" w:sz="4" w:space="0"/>
              <w:bottom w:val="single" w:color="auto" w:sz="4" w:space="0"/>
              <w:right w:val="single" w:color="auto" w:sz="4" w:space="0"/>
            </w:tcBorders>
            <w:vAlign w:val="center"/>
          </w:tcPr>
          <w:p w14:paraId="17A0F376">
            <w:pPr>
              <w:keepNext w:val="0"/>
              <w:keepLines w:val="0"/>
              <w:pageBreakBefore w:val="0"/>
              <w:widowControl w:val="0"/>
              <w:kinsoku/>
              <w:wordWrap/>
              <w:overflowPunct/>
              <w:topLinePunct w:val="0"/>
              <w:bidi w:val="0"/>
              <w:spacing w:line="360" w:lineRule="auto"/>
              <w:rPr>
                <w:rFonts w:ascii="宋体"/>
                <w:sz w:val="24"/>
                <w:lang w:val="zh-CN"/>
              </w:rPr>
            </w:pPr>
            <w:r>
              <w:rPr>
                <w:rFonts w:ascii="宋体"/>
                <w:sz w:val="24"/>
                <w:lang w:val="zh-CN"/>
              </w:rPr>
              <w:t>1.</w:t>
            </w:r>
            <w:r>
              <w:rPr>
                <w:rFonts w:hint="eastAsia" w:ascii="宋体"/>
                <w:sz w:val="24"/>
                <w:lang w:val="zh-CN"/>
              </w:rPr>
              <w:t>“电子加密投标文件”的递交：在线上传递交。</w:t>
            </w:r>
          </w:p>
          <w:p w14:paraId="2CC2ABB6">
            <w:pPr>
              <w:keepNext w:val="0"/>
              <w:keepLines w:val="0"/>
              <w:pageBreakBefore w:val="0"/>
              <w:widowControl w:val="0"/>
              <w:kinsoku/>
              <w:wordWrap/>
              <w:overflowPunct/>
              <w:topLinePunct w:val="0"/>
              <w:bidi w:val="0"/>
              <w:spacing w:line="360" w:lineRule="auto"/>
              <w:rPr>
                <w:rFonts w:ascii="宋体"/>
                <w:sz w:val="24"/>
                <w:lang w:val="zh-CN"/>
              </w:rPr>
            </w:pPr>
            <w:r>
              <w:rPr>
                <w:rFonts w:hint="eastAsia" w:ascii="宋体"/>
                <w:sz w:val="24"/>
                <w:lang w:val="zh-CN"/>
              </w:rPr>
              <w:t>（1）投标人应在投标截止时间前将“电子加密投标文件”成功上传递交至“化工云商网（巨化数字化招采平台）”，否则投标无效。</w:t>
            </w:r>
          </w:p>
          <w:p w14:paraId="13BF2A86">
            <w:pPr>
              <w:keepNext w:val="0"/>
              <w:keepLines w:val="0"/>
              <w:pageBreakBefore w:val="0"/>
              <w:widowControl w:val="0"/>
              <w:kinsoku/>
              <w:wordWrap/>
              <w:overflowPunct/>
              <w:topLinePunct w:val="0"/>
              <w:bidi w:val="0"/>
              <w:spacing w:line="360" w:lineRule="auto"/>
              <w:rPr>
                <w:rFonts w:ascii="宋体"/>
                <w:sz w:val="24"/>
                <w:lang w:val="zh-CN"/>
              </w:rPr>
            </w:pPr>
            <w:r>
              <w:rPr>
                <w:rFonts w:ascii="宋体"/>
                <w:sz w:val="24"/>
              </w:rPr>
              <w:t>2.</w:t>
            </w:r>
            <w:r>
              <w:rPr>
                <w:rFonts w:hint="eastAsia" w:ascii="宋体"/>
                <w:sz w:val="24"/>
                <w:lang w:val="zh-CN"/>
              </w:rPr>
              <w:t>“纸质投标文件”：</w:t>
            </w:r>
          </w:p>
          <w:p w14:paraId="1E6377DB">
            <w:pPr>
              <w:keepNext w:val="0"/>
              <w:keepLines w:val="0"/>
              <w:pageBreakBefore w:val="0"/>
              <w:widowControl w:val="0"/>
              <w:kinsoku/>
              <w:wordWrap/>
              <w:overflowPunct/>
              <w:topLinePunct w:val="0"/>
              <w:bidi w:val="0"/>
              <w:spacing w:line="360" w:lineRule="auto"/>
              <w:rPr>
                <w:rFonts w:ascii="宋体"/>
                <w:sz w:val="24"/>
              </w:rPr>
            </w:pPr>
            <w:r>
              <w:rPr>
                <w:rFonts w:hint="eastAsia" w:ascii="宋体"/>
                <w:sz w:val="24"/>
                <w:lang w:val="zh-CN"/>
              </w:rPr>
              <w:t>投标时无需提供“纸质投标文件”，中标人须在中标候选人公示发出后5个工作日内提供3套纸质投标文件，纸质投标文件须打印有签章的电子投标文件，纸质投标文件可以将技术资信文件、商务经济文件</w:t>
            </w:r>
            <w:r>
              <w:rPr>
                <w:rFonts w:hint="eastAsia" w:ascii="宋体"/>
                <w:sz w:val="24"/>
              </w:rPr>
              <w:t>两</w:t>
            </w:r>
            <w:r>
              <w:rPr>
                <w:rFonts w:hint="eastAsia" w:ascii="宋体"/>
                <w:sz w:val="24"/>
                <w:lang w:val="zh-CN"/>
              </w:rPr>
              <w:t>部分装订成册直接邮寄，邮寄或送达地址：</w:t>
            </w:r>
            <w:r>
              <w:rPr>
                <w:rFonts w:hint="eastAsia" w:ascii="宋体" w:cs="宋体"/>
                <w:sz w:val="24"/>
              </w:rPr>
              <w:t>浙江省衢州市柯城区衢化街道文昌路99号九州大厦四楼</w:t>
            </w:r>
            <w:r>
              <w:rPr>
                <w:rFonts w:hint="eastAsia" w:ascii="宋体"/>
                <w:sz w:val="24"/>
                <w:lang w:val="zh-CN"/>
              </w:rPr>
              <w:t>，收件人：</w:t>
            </w:r>
            <w:r>
              <w:rPr>
                <w:rFonts w:hint="eastAsia" w:ascii="宋体"/>
                <w:sz w:val="24"/>
              </w:rPr>
              <w:t>傅志蕴</w:t>
            </w:r>
            <w:r>
              <w:rPr>
                <w:rFonts w:hint="eastAsia" w:ascii="宋体"/>
                <w:sz w:val="24"/>
                <w:lang w:val="zh-CN"/>
              </w:rPr>
              <w:t>，</w:t>
            </w:r>
            <w:r>
              <w:rPr>
                <w:rFonts w:hint="eastAsia" w:ascii="宋体"/>
                <w:sz w:val="24"/>
              </w:rPr>
              <w:t>13625707279</w:t>
            </w:r>
            <w:r>
              <w:rPr>
                <w:rFonts w:hint="eastAsia" w:ascii="宋体"/>
                <w:sz w:val="24"/>
                <w:lang w:val="zh-CN"/>
              </w:rPr>
              <w:t>。</w:t>
            </w:r>
          </w:p>
        </w:tc>
      </w:tr>
      <w:tr w14:paraId="6220E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24B1FF42">
            <w:pPr>
              <w:keepNext w:val="0"/>
              <w:keepLines w:val="0"/>
              <w:pageBreakBefore w:val="0"/>
              <w:widowControl w:val="0"/>
              <w:kinsoku/>
              <w:wordWrap/>
              <w:overflowPunct/>
              <w:topLinePunct w:val="0"/>
              <w:bidi w:val="0"/>
              <w:spacing w:line="360" w:lineRule="auto"/>
              <w:jc w:val="center"/>
              <w:rPr>
                <w:sz w:val="24"/>
              </w:rPr>
            </w:pPr>
            <w:r>
              <w:rPr>
                <w:rFonts w:hint="eastAsia"/>
                <w:sz w:val="24"/>
              </w:rPr>
              <w:t>18</w:t>
            </w:r>
          </w:p>
        </w:tc>
        <w:tc>
          <w:tcPr>
            <w:tcW w:w="2158" w:type="dxa"/>
            <w:tcBorders>
              <w:top w:val="single" w:color="auto" w:sz="4" w:space="0"/>
              <w:left w:val="single" w:color="auto" w:sz="4" w:space="0"/>
              <w:bottom w:val="single" w:color="auto" w:sz="4" w:space="0"/>
              <w:right w:val="single" w:color="auto" w:sz="4" w:space="0"/>
            </w:tcBorders>
            <w:vAlign w:val="center"/>
          </w:tcPr>
          <w:p w14:paraId="2E823D4B">
            <w:pPr>
              <w:keepNext w:val="0"/>
              <w:keepLines w:val="0"/>
              <w:pageBreakBefore w:val="0"/>
              <w:widowControl w:val="0"/>
              <w:kinsoku/>
              <w:wordWrap/>
              <w:overflowPunct/>
              <w:topLinePunct w:val="0"/>
              <w:bidi w:val="0"/>
              <w:spacing w:line="360" w:lineRule="auto"/>
              <w:jc w:val="center"/>
              <w:rPr>
                <w:sz w:val="24"/>
              </w:rPr>
            </w:pPr>
            <w:r>
              <w:rPr>
                <w:rFonts w:hint="eastAsia" w:ascii="宋体"/>
                <w:sz w:val="24"/>
                <w:lang w:val="zh-CN"/>
              </w:rPr>
              <w:t>投标截止时间和地址</w:t>
            </w:r>
          </w:p>
        </w:tc>
        <w:tc>
          <w:tcPr>
            <w:tcW w:w="6670" w:type="dxa"/>
            <w:tcBorders>
              <w:top w:val="single" w:color="auto" w:sz="4" w:space="0"/>
              <w:left w:val="single" w:color="auto" w:sz="4" w:space="0"/>
              <w:bottom w:val="single" w:color="auto" w:sz="4" w:space="0"/>
              <w:right w:val="single" w:color="auto" w:sz="4" w:space="0"/>
            </w:tcBorders>
            <w:vAlign w:val="center"/>
          </w:tcPr>
          <w:p w14:paraId="02321906">
            <w:pPr>
              <w:keepNext w:val="0"/>
              <w:keepLines w:val="0"/>
              <w:pageBreakBefore w:val="0"/>
              <w:widowControl w:val="0"/>
              <w:kinsoku/>
              <w:wordWrap/>
              <w:overflowPunct/>
              <w:topLinePunct w:val="0"/>
              <w:bidi w:val="0"/>
              <w:spacing w:line="360" w:lineRule="auto"/>
              <w:rPr>
                <w:rFonts w:ascii="宋体"/>
                <w:sz w:val="24"/>
                <w:lang w:val="zh-CN"/>
              </w:rPr>
            </w:pPr>
            <w:r>
              <w:rPr>
                <w:rFonts w:hint="eastAsia" w:ascii="宋体"/>
                <w:sz w:val="24"/>
                <w:lang w:val="zh-CN"/>
              </w:rPr>
              <w:t>投标截止时间：详见第一章“招标公告”。</w:t>
            </w:r>
          </w:p>
          <w:p w14:paraId="1DE04257">
            <w:pPr>
              <w:keepNext w:val="0"/>
              <w:keepLines w:val="0"/>
              <w:pageBreakBefore w:val="0"/>
              <w:widowControl w:val="0"/>
              <w:kinsoku/>
              <w:wordWrap/>
              <w:overflowPunct/>
              <w:topLinePunct w:val="0"/>
              <w:bidi w:val="0"/>
              <w:spacing w:line="360" w:lineRule="auto"/>
              <w:rPr>
                <w:sz w:val="24"/>
              </w:rPr>
            </w:pPr>
            <w:r>
              <w:rPr>
                <w:rFonts w:hint="eastAsia" w:ascii="宋体"/>
                <w:sz w:val="24"/>
                <w:lang w:val="zh-CN"/>
              </w:rPr>
              <w:t>投标地址：巨化数字化招采平台。</w:t>
            </w:r>
          </w:p>
        </w:tc>
      </w:tr>
      <w:tr w14:paraId="28A9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318C8298">
            <w:pPr>
              <w:keepNext w:val="0"/>
              <w:keepLines w:val="0"/>
              <w:pageBreakBefore w:val="0"/>
              <w:widowControl w:val="0"/>
              <w:kinsoku/>
              <w:wordWrap/>
              <w:overflowPunct/>
              <w:topLinePunct w:val="0"/>
              <w:bidi w:val="0"/>
              <w:spacing w:line="360" w:lineRule="auto"/>
              <w:jc w:val="center"/>
              <w:rPr>
                <w:sz w:val="24"/>
              </w:rPr>
            </w:pPr>
            <w:r>
              <w:rPr>
                <w:rFonts w:hint="eastAsia"/>
                <w:sz w:val="24"/>
              </w:rPr>
              <w:t>19</w:t>
            </w:r>
          </w:p>
        </w:tc>
        <w:tc>
          <w:tcPr>
            <w:tcW w:w="2158" w:type="dxa"/>
            <w:tcBorders>
              <w:top w:val="single" w:color="auto" w:sz="4" w:space="0"/>
              <w:left w:val="single" w:color="auto" w:sz="4" w:space="0"/>
              <w:bottom w:val="single" w:color="auto" w:sz="4" w:space="0"/>
              <w:right w:val="single" w:color="auto" w:sz="4" w:space="0"/>
            </w:tcBorders>
            <w:vAlign w:val="center"/>
          </w:tcPr>
          <w:p w14:paraId="12E13F16">
            <w:pPr>
              <w:keepNext w:val="0"/>
              <w:keepLines w:val="0"/>
              <w:pageBreakBefore w:val="0"/>
              <w:widowControl w:val="0"/>
              <w:kinsoku/>
              <w:wordWrap/>
              <w:overflowPunct/>
              <w:topLinePunct w:val="0"/>
              <w:bidi w:val="0"/>
              <w:snapToGrid w:val="0"/>
              <w:spacing w:line="360" w:lineRule="auto"/>
              <w:jc w:val="center"/>
              <w:rPr>
                <w:rFonts w:ascii="宋体"/>
                <w:sz w:val="24"/>
                <w:lang w:val="zh-CN"/>
              </w:rPr>
            </w:pPr>
            <w:r>
              <w:rPr>
                <w:rFonts w:hint="eastAsia" w:ascii="宋体"/>
                <w:sz w:val="24"/>
              </w:rPr>
              <w:t>开标时间和地址</w:t>
            </w:r>
          </w:p>
        </w:tc>
        <w:tc>
          <w:tcPr>
            <w:tcW w:w="6670" w:type="dxa"/>
            <w:tcBorders>
              <w:top w:val="single" w:color="auto" w:sz="4" w:space="0"/>
              <w:left w:val="single" w:color="auto" w:sz="4" w:space="0"/>
              <w:bottom w:val="single" w:color="auto" w:sz="4" w:space="0"/>
              <w:right w:val="single" w:color="auto" w:sz="4" w:space="0"/>
            </w:tcBorders>
            <w:vAlign w:val="center"/>
          </w:tcPr>
          <w:p w14:paraId="3E25256A">
            <w:pPr>
              <w:keepNext w:val="0"/>
              <w:keepLines w:val="0"/>
              <w:pageBreakBefore w:val="0"/>
              <w:widowControl w:val="0"/>
              <w:kinsoku/>
              <w:wordWrap/>
              <w:overflowPunct/>
              <w:topLinePunct w:val="0"/>
              <w:bidi w:val="0"/>
              <w:spacing w:line="360" w:lineRule="auto"/>
              <w:rPr>
                <w:rFonts w:ascii="宋体"/>
                <w:bCs/>
                <w:sz w:val="24"/>
              </w:rPr>
            </w:pPr>
            <w:r>
              <w:rPr>
                <w:rFonts w:hint="eastAsia" w:ascii="宋体"/>
                <w:bCs/>
                <w:sz w:val="24"/>
              </w:rPr>
              <w:t>开标时间：详见第一章“招标公告”。</w:t>
            </w:r>
          </w:p>
          <w:p w14:paraId="634A491F">
            <w:pPr>
              <w:keepNext w:val="0"/>
              <w:keepLines w:val="0"/>
              <w:pageBreakBefore w:val="0"/>
              <w:widowControl w:val="0"/>
              <w:kinsoku/>
              <w:wordWrap/>
              <w:overflowPunct/>
              <w:topLinePunct w:val="0"/>
              <w:bidi w:val="0"/>
              <w:spacing w:line="360" w:lineRule="auto"/>
              <w:rPr>
                <w:rFonts w:ascii="宋体"/>
                <w:sz w:val="24"/>
                <w:lang w:val="zh-CN"/>
              </w:rPr>
            </w:pPr>
            <w:r>
              <w:rPr>
                <w:rFonts w:hint="eastAsia" w:ascii="宋体"/>
                <w:bCs/>
                <w:sz w:val="24"/>
              </w:rPr>
              <w:t>开标地址：</w:t>
            </w:r>
            <w:r>
              <w:rPr>
                <w:rFonts w:hint="eastAsia" w:ascii="宋体" w:cs="宋体"/>
                <w:sz w:val="24"/>
              </w:rPr>
              <w:t>巨化数字化招采平台</w:t>
            </w:r>
            <w:r>
              <w:rPr>
                <w:rFonts w:hint="eastAsia" w:ascii="宋体"/>
                <w:bCs/>
                <w:sz w:val="24"/>
              </w:rPr>
              <w:t>。</w:t>
            </w:r>
          </w:p>
        </w:tc>
      </w:tr>
      <w:tr w14:paraId="0C43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11539907">
            <w:pPr>
              <w:keepNext w:val="0"/>
              <w:keepLines w:val="0"/>
              <w:pageBreakBefore w:val="0"/>
              <w:widowControl w:val="0"/>
              <w:kinsoku/>
              <w:wordWrap/>
              <w:overflowPunct/>
              <w:topLinePunct w:val="0"/>
              <w:bidi w:val="0"/>
              <w:spacing w:line="360" w:lineRule="auto"/>
              <w:jc w:val="center"/>
              <w:rPr>
                <w:sz w:val="24"/>
              </w:rPr>
            </w:pPr>
            <w:r>
              <w:rPr>
                <w:rFonts w:hint="eastAsia"/>
                <w:sz w:val="24"/>
              </w:rPr>
              <w:t>20</w:t>
            </w:r>
          </w:p>
        </w:tc>
        <w:tc>
          <w:tcPr>
            <w:tcW w:w="2158" w:type="dxa"/>
            <w:tcBorders>
              <w:top w:val="single" w:color="auto" w:sz="4" w:space="0"/>
              <w:left w:val="single" w:color="auto" w:sz="4" w:space="0"/>
              <w:bottom w:val="single" w:color="auto" w:sz="4" w:space="0"/>
              <w:right w:val="single" w:color="auto" w:sz="4" w:space="0"/>
            </w:tcBorders>
            <w:vAlign w:val="center"/>
          </w:tcPr>
          <w:p w14:paraId="1CFA4DE7">
            <w:pPr>
              <w:keepNext w:val="0"/>
              <w:keepLines w:val="0"/>
              <w:pageBreakBefore w:val="0"/>
              <w:widowControl w:val="0"/>
              <w:kinsoku/>
              <w:wordWrap/>
              <w:overflowPunct/>
              <w:topLinePunct w:val="0"/>
              <w:bidi w:val="0"/>
              <w:spacing w:line="360" w:lineRule="auto"/>
              <w:jc w:val="center"/>
              <w:rPr>
                <w:rFonts w:ascii="宋体"/>
                <w:sz w:val="24"/>
                <w:lang w:val="zh-CN"/>
              </w:rPr>
            </w:pPr>
            <w:r>
              <w:rPr>
                <w:rFonts w:hint="eastAsia"/>
                <w:sz w:val="24"/>
              </w:rPr>
              <w:t>是否授权评标委员会确定中标人</w:t>
            </w:r>
          </w:p>
        </w:tc>
        <w:tc>
          <w:tcPr>
            <w:tcW w:w="6670" w:type="dxa"/>
            <w:tcBorders>
              <w:top w:val="single" w:color="auto" w:sz="4" w:space="0"/>
              <w:left w:val="single" w:color="auto" w:sz="4" w:space="0"/>
              <w:bottom w:val="single" w:color="auto" w:sz="4" w:space="0"/>
              <w:right w:val="single" w:color="auto" w:sz="4" w:space="0"/>
            </w:tcBorders>
            <w:vAlign w:val="center"/>
          </w:tcPr>
          <w:p w14:paraId="70F4011A">
            <w:pPr>
              <w:keepNext w:val="0"/>
              <w:keepLines w:val="0"/>
              <w:pageBreakBefore w:val="0"/>
              <w:widowControl w:val="0"/>
              <w:kinsoku/>
              <w:wordWrap/>
              <w:overflowPunct/>
              <w:topLinePunct w:val="0"/>
              <w:bidi w:val="0"/>
              <w:spacing w:line="360" w:lineRule="auto"/>
              <w:rPr>
                <w:rFonts w:ascii="宋体"/>
                <w:sz w:val="24"/>
                <w:lang w:val="zh-CN"/>
              </w:rPr>
            </w:pPr>
            <w:r>
              <w:rPr>
                <w:rFonts w:hint="eastAsia"/>
                <w:sz w:val="24"/>
                <w:lang w:eastAsia="zh-CN"/>
              </w:rPr>
              <w:t>否</w:t>
            </w:r>
            <w:r>
              <w:rPr>
                <w:rFonts w:hint="eastAsia"/>
                <w:sz w:val="24"/>
              </w:rPr>
              <w:t>，中标候选人数：</w:t>
            </w:r>
            <w:r>
              <w:rPr>
                <w:rFonts w:hint="eastAsia"/>
                <w:sz w:val="24"/>
                <w:u w:val="single"/>
                <w:lang w:val="en-US" w:eastAsia="zh-CN"/>
              </w:rPr>
              <w:t>1</w:t>
            </w:r>
            <w:r>
              <w:rPr>
                <w:rFonts w:hint="eastAsia"/>
                <w:sz w:val="24"/>
                <w:u w:val="single"/>
              </w:rPr>
              <w:t>家</w:t>
            </w:r>
            <w:r>
              <w:rPr>
                <w:rFonts w:hint="eastAsia"/>
                <w:sz w:val="24"/>
              </w:rPr>
              <w:t>。</w:t>
            </w:r>
          </w:p>
        </w:tc>
      </w:tr>
      <w:tr w14:paraId="3FA9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5D1FBCFD">
            <w:pPr>
              <w:keepNext w:val="0"/>
              <w:keepLines w:val="0"/>
              <w:pageBreakBefore w:val="0"/>
              <w:widowControl w:val="0"/>
              <w:kinsoku/>
              <w:wordWrap/>
              <w:overflowPunct/>
              <w:topLinePunct w:val="0"/>
              <w:bidi w:val="0"/>
              <w:spacing w:line="360" w:lineRule="auto"/>
              <w:jc w:val="center"/>
              <w:rPr>
                <w:sz w:val="24"/>
              </w:rPr>
            </w:pPr>
            <w:r>
              <w:rPr>
                <w:rFonts w:hint="eastAsia"/>
                <w:sz w:val="24"/>
              </w:rPr>
              <w:t>21</w:t>
            </w:r>
          </w:p>
        </w:tc>
        <w:tc>
          <w:tcPr>
            <w:tcW w:w="2158" w:type="dxa"/>
            <w:tcBorders>
              <w:top w:val="single" w:color="auto" w:sz="4" w:space="0"/>
              <w:left w:val="single" w:color="auto" w:sz="4" w:space="0"/>
              <w:bottom w:val="single" w:color="auto" w:sz="4" w:space="0"/>
              <w:right w:val="single" w:color="auto" w:sz="4" w:space="0"/>
            </w:tcBorders>
            <w:vAlign w:val="center"/>
          </w:tcPr>
          <w:p w14:paraId="34C2A1D6">
            <w:pPr>
              <w:keepNext w:val="0"/>
              <w:keepLines w:val="0"/>
              <w:pageBreakBefore w:val="0"/>
              <w:widowControl w:val="0"/>
              <w:kinsoku/>
              <w:wordWrap/>
              <w:overflowPunct/>
              <w:topLinePunct w:val="0"/>
              <w:bidi w:val="0"/>
              <w:spacing w:line="360" w:lineRule="auto"/>
              <w:jc w:val="center"/>
              <w:rPr>
                <w:rFonts w:ascii="宋体"/>
                <w:sz w:val="24"/>
                <w:lang w:val="zh-CN"/>
              </w:rPr>
            </w:pPr>
            <w:r>
              <w:rPr>
                <w:rFonts w:hint="eastAsia"/>
                <w:sz w:val="24"/>
              </w:rPr>
              <w:t>中标通知</w:t>
            </w:r>
          </w:p>
        </w:tc>
        <w:tc>
          <w:tcPr>
            <w:tcW w:w="6670" w:type="dxa"/>
            <w:tcBorders>
              <w:top w:val="single" w:color="auto" w:sz="4" w:space="0"/>
              <w:left w:val="single" w:color="auto" w:sz="4" w:space="0"/>
              <w:bottom w:val="single" w:color="auto" w:sz="4" w:space="0"/>
              <w:right w:val="single" w:color="auto" w:sz="4" w:space="0"/>
            </w:tcBorders>
            <w:vAlign w:val="center"/>
          </w:tcPr>
          <w:p w14:paraId="4AD8A425">
            <w:pPr>
              <w:keepNext w:val="0"/>
              <w:keepLines w:val="0"/>
              <w:pageBreakBefore w:val="0"/>
              <w:widowControl w:val="0"/>
              <w:kinsoku/>
              <w:wordWrap/>
              <w:overflowPunct/>
              <w:topLinePunct w:val="0"/>
              <w:bidi w:val="0"/>
              <w:spacing w:line="360" w:lineRule="auto"/>
              <w:rPr>
                <w:rFonts w:ascii="宋体"/>
                <w:sz w:val="24"/>
                <w:lang w:val="zh-CN"/>
              </w:rPr>
            </w:pPr>
            <w:r>
              <w:rPr>
                <w:rFonts w:hint="eastAsia"/>
                <w:sz w:val="24"/>
              </w:rPr>
              <w:t>在投标有效期内，招标人以书面形式向中标人发出中标通知书。</w:t>
            </w:r>
          </w:p>
        </w:tc>
      </w:tr>
      <w:tr w14:paraId="06BAB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0B8CCD7D">
            <w:pPr>
              <w:keepNext w:val="0"/>
              <w:keepLines w:val="0"/>
              <w:pageBreakBefore w:val="0"/>
              <w:widowControl w:val="0"/>
              <w:kinsoku/>
              <w:wordWrap/>
              <w:overflowPunct/>
              <w:topLinePunct w:val="0"/>
              <w:bidi w:val="0"/>
              <w:spacing w:line="360" w:lineRule="auto"/>
              <w:jc w:val="center"/>
              <w:rPr>
                <w:sz w:val="24"/>
              </w:rPr>
            </w:pPr>
            <w:r>
              <w:rPr>
                <w:rFonts w:hint="eastAsia"/>
                <w:sz w:val="24"/>
              </w:rPr>
              <w:t>22</w:t>
            </w:r>
          </w:p>
        </w:tc>
        <w:tc>
          <w:tcPr>
            <w:tcW w:w="2158" w:type="dxa"/>
            <w:tcBorders>
              <w:top w:val="single" w:color="auto" w:sz="4" w:space="0"/>
              <w:left w:val="single" w:color="auto" w:sz="4" w:space="0"/>
              <w:bottom w:val="single" w:color="auto" w:sz="4" w:space="0"/>
              <w:right w:val="single" w:color="auto" w:sz="4" w:space="0"/>
            </w:tcBorders>
            <w:vAlign w:val="center"/>
          </w:tcPr>
          <w:p w14:paraId="23EA420A">
            <w:pPr>
              <w:keepNext w:val="0"/>
              <w:keepLines w:val="0"/>
              <w:pageBreakBefore w:val="0"/>
              <w:widowControl w:val="0"/>
              <w:kinsoku/>
              <w:wordWrap/>
              <w:overflowPunct/>
              <w:topLinePunct w:val="0"/>
              <w:bidi w:val="0"/>
              <w:spacing w:line="360" w:lineRule="auto"/>
              <w:jc w:val="center"/>
              <w:rPr>
                <w:rFonts w:ascii="宋体"/>
                <w:sz w:val="24"/>
              </w:rPr>
            </w:pPr>
            <w:r>
              <w:rPr>
                <w:rFonts w:hint="eastAsia"/>
                <w:sz w:val="24"/>
              </w:rPr>
              <w:t>社保证明</w:t>
            </w:r>
          </w:p>
        </w:tc>
        <w:tc>
          <w:tcPr>
            <w:tcW w:w="6670" w:type="dxa"/>
            <w:tcBorders>
              <w:top w:val="single" w:color="auto" w:sz="4" w:space="0"/>
              <w:left w:val="single" w:color="auto" w:sz="4" w:space="0"/>
              <w:bottom w:val="single" w:color="auto" w:sz="4" w:space="0"/>
              <w:right w:val="single" w:color="auto" w:sz="4" w:space="0"/>
            </w:tcBorders>
            <w:vAlign w:val="center"/>
          </w:tcPr>
          <w:p w14:paraId="341EDEBF">
            <w:pPr>
              <w:keepNext w:val="0"/>
              <w:keepLines w:val="0"/>
              <w:pageBreakBefore w:val="0"/>
              <w:widowControl w:val="0"/>
              <w:kinsoku/>
              <w:wordWrap/>
              <w:overflowPunct/>
              <w:topLinePunct w:val="0"/>
              <w:bidi w:val="0"/>
              <w:spacing w:line="360" w:lineRule="auto"/>
              <w:rPr>
                <w:rFonts w:ascii="宋体"/>
                <w:bCs/>
                <w:sz w:val="24"/>
              </w:rPr>
            </w:pPr>
            <w:r>
              <w:rPr>
                <w:rFonts w:hint="eastAsia"/>
                <w:b/>
                <w:bCs/>
                <w:sz w:val="24"/>
              </w:rPr>
              <w:t>项目负责人、安全员等项目主要人员须提供投标人为其缴纳的投标截止日前近六个月的社保证明，否则作否决处理。</w:t>
            </w:r>
          </w:p>
        </w:tc>
      </w:tr>
      <w:tr w14:paraId="1069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0EC9BB0A">
            <w:pPr>
              <w:keepNext w:val="0"/>
              <w:keepLines w:val="0"/>
              <w:pageBreakBefore w:val="0"/>
              <w:widowControl w:val="0"/>
              <w:kinsoku/>
              <w:wordWrap/>
              <w:overflowPunct/>
              <w:topLinePunct w:val="0"/>
              <w:bidi w:val="0"/>
              <w:spacing w:line="360" w:lineRule="auto"/>
              <w:jc w:val="center"/>
              <w:rPr>
                <w:sz w:val="24"/>
              </w:rPr>
            </w:pPr>
            <w:r>
              <w:rPr>
                <w:rFonts w:hint="eastAsia"/>
                <w:sz w:val="24"/>
              </w:rPr>
              <w:t>23</w:t>
            </w:r>
          </w:p>
        </w:tc>
        <w:tc>
          <w:tcPr>
            <w:tcW w:w="2158" w:type="dxa"/>
            <w:tcBorders>
              <w:top w:val="single" w:color="auto" w:sz="4" w:space="0"/>
              <w:left w:val="single" w:color="auto" w:sz="4" w:space="0"/>
              <w:bottom w:val="single" w:color="auto" w:sz="4" w:space="0"/>
              <w:right w:val="single" w:color="auto" w:sz="4" w:space="0"/>
            </w:tcBorders>
            <w:vAlign w:val="center"/>
          </w:tcPr>
          <w:p w14:paraId="0932AADA">
            <w:pPr>
              <w:keepNext w:val="0"/>
              <w:keepLines w:val="0"/>
              <w:pageBreakBefore w:val="0"/>
              <w:widowControl w:val="0"/>
              <w:kinsoku/>
              <w:wordWrap/>
              <w:overflowPunct/>
              <w:topLinePunct w:val="0"/>
              <w:bidi w:val="0"/>
              <w:snapToGrid w:val="0"/>
              <w:spacing w:line="360" w:lineRule="auto"/>
              <w:jc w:val="center"/>
              <w:rPr>
                <w:rFonts w:ascii="宋体"/>
                <w:bCs/>
                <w:sz w:val="24"/>
                <w:lang w:val="zh-CN"/>
              </w:rPr>
            </w:pPr>
            <w:r>
              <w:rPr>
                <w:rFonts w:hint="eastAsia" w:ascii="宋体" w:eastAsia="宋体" w:cs="宋体"/>
                <w:color w:val="auto"/>
                <w:sz w:val="24"/>
                <w:highlight w:val="none"/>
              </w:rPr>
              <w:t>中标服务费</w:t>
            </w:r>
          </w:p>
        </w:tc>
        <w:tc>
          <w:tcPr>
            <w:tcW w:w="6670" w:type="dxa"/>
            <w:tcBorders>
              <w:top w:val="single" w:color="auto" w:sz="4" w:space="0"/>
              <w:left w:val="single" w:color="auto" w:sz="4" w:space="0"/>
              <w:bottom w:val="single" w:color="auto" w:sz="4" w:space="0"/>
              <w:right w:val="single" w:color="auto" w:sz="4" w:space="0"/>
            </w:tcBorders>
            <w:vAlign w:val="center"/>
          </w:tcPr>
          <w:p w14:paraId="6A55BFA0">
            <w:pPr>
              <w:keepNext w:val="0"/>
              <w:keepLines w:val="0"/>
              <w:pageBreakBefore w:val="0"/>
              <w:widowControl w:val="0"/>
              <w:kinsoku/>
              <w:wordWrap/>
              <w:overflowPunct/>
              <w:topLinePunct w:val="0"/>
              <w:bidi w:val="0"/>
              <w:adjustRightInd w:val="0"/>
              <w:snapToGrid w:val="0"/>
              <w:spacing w:line="360" w:lineRule="auto"/>
              <w:jc w:val="left"/>
              <w:rPr>
                <w:rFonts w:ascii="宋体"/>
                <w:bCs/>
                <w:sz w:val="24"/>
                <w:lang w:val="zh-CN"/>
              </w:rPr>
            </w:pPr>
            <w:r>
              <w:rPr>
                <w:rFonts w:hint="eastAsia" w:ascii="宋体" w:eastAsia="宋体" w:cs="宋体"/>
                <w:color w:val="auto"/>
                <w:sz w:val="24"/>
                <w:highlight w:val="none"/>
              </w:rPr>
              <w:t>本项目中标服务费以中标价为计算基准，参照计价格【2002】1980号文收费标准的50%，</w:t>
            </w:r>
            <w:r>
              <w:rPr>
                <w:rFonts w:hint="eastAsia" w:ascii="宋体" w:cs="宋体"/>
                <w:color w:val="auto"/>
                <w:sz w:val="24"/>
                <w:highlight w:val="none"/>
                <w:lang w:val="en-US" w:eastAsia="zh-CN"/>
              </w:rPr>
              <w:t>不足肆仟按肆仟计，</w:t>
            </w:r>
            <w:r>
              <w:rPr>
                <w:rFonts w:hint="eastAsia" w:ascii="宋体" w:eastAsia="宋体" w:cs="宋体"/>
                <w:color w:val="auto"/>
                <w:sz w:val="24"/>
                <w:highlight w:val="none"/>
              </w:rPr>
              <w:t>由中标人向招标代理机构缴纳。中标服务费在报价表中无需单列报价子项，由投标人自行在企业运营成本中考虑。</w:t>
            </w:r>
          </w:p>
        </w:tc>
      </w:tr>
      <w:tr w14:paraId="2A606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1EB42A6A">
            <w:pPr>
              <w:keepNext w:val="0"/>
              <w:keepLines w:val="0"/>
              <w:pageBreakBefore w:val="0"/>
              <w:widowControl w:val="0"/>
              <w:kinsoku/>
              <w:wordWrap/>
              <w:overflowPunct/>
              <w:topLinePunct w:val="0"/>
              <w:bidi w:val="0"/>
              <w:spacing w:line="360" w:lineRule="auto"/>
              <w:jc w:val="center"/>
              <w:rPr>
                <w:sz w:val="24"/>
              </w:rPr>
            </w:pPr>
            <w:r>
              <w:rPr>
                <w:rFonts w:hint="eastAsia"/>
                <w:sz w:val="24"/>
              </w:rPr>
              <w:t>24</w:t>
            </w:r>
          </w:p>
        </w:tc>
        <w:tc>
          <w:tcPr>
            <w:tcW w:w="2158" w:type="dxa"/>
            <w:tcBorders>
              <w:top w:val="single" w:color="auto" w:sz="4" w:space="0"/>
              <w:left w:val="single" w:color="auto" w:sz="4" w:space="0"/>
              <w:bottom w:val="single" w:color="auto" w:sz="4" w:space="0"/>
              <w:right w:val="single" w:color="auto" w:sz="4" w:space="0"/>
            </w:tcBorders>
            <w:vAlign w:val="center"/>
          </w:tcPr>
          <w:p w14:paraId="00FF8ABB">
            <w:pPr>
              <w:keepNext w:val="0"/>
              <w:keepLines w:val="0"/>
              <w:pageBreakBefore w:val="0"/>
              <w:widowControl w:val="0"/>
              <w:kinsoku/>
              <w:wordWrap/>
              <w:overflowPunct/>
              <w:topLinePunct w:val="0"/>
              <w:bidi w:val="0"/>
              <w:snapToGrid w:val="0"/>
              <w:spacing w:line="360" w:lineRule="auto"/>
              <w:jc w:val="center"/>
              <w:rPr>
                <w:rFonts w:ascii="宋体"/>
                <w:sz w:val="24"/>
              </w:rPr>
            </w:pPr>
            <w:r>
              <w:rPr>
                <w:rFonts w:hint="eastAsia" w:ascii="宋体" w:eastAsia="宋体" w:cs="宋体"/>
                <w:color w:val="auto"/>
                <w:sz w:val="24"/>
                <w:highlight w:val="none"/>
              </w:rPr>
              <w:t>解释权</w:t>
            </w:r>
          </w:p>
        </w:tc>
        <w:tc>
          <w:tcPr>
            <w:tcW w:w="6670" w:type="dxa"/>
            <w:tcBorders>
              <w:top w:val="single" w:color="auto" w:sz="4" w:space="0"/>
              <w:left w:val="single" w:color="auto" w:sz="4" w:space="0"/>
              <w:bottom w:val="single" w:color="auto" w:sz="4" w:space="0"/>
              <w:right w:val="single" w:color="auto" w:sz="4" w:space="0"/>
            </w:tcBorders>
            <w:vAlign w:val="center"/>
          </w:tcPr>
          <w:p w14:paraId="0B574038">
            <w:pPr>
              <w:keepNext w:val="0"/>
              <w:keepLines w:val="0"/>
              <w:pageBreakBefore w:val="0"/>
              <w:widowControl w:val="0"/>
              <w:kinsoku/>
              <w:wordWrap/>
              <w:overflowPunct/>
              <w:topLinePunct w:val="0"/>
              <w:autoSpaceDE w:val="0"/>
              <w:autoSpaceDN w:val="0"/>
              <w:bidi w:val="0"/>
              <w:snapToGrid w:val="0"/>
              <w:spacing w:line="360" w:lineRule="auto"/>
              <w:textAlignment w:val="bottom"/>
              <w:rPr>
                <w:rFonts w:ascii="宋体"/>
                <w:bCs/>
                <w:sz w:val="24"/>
              </w:rPr>
            </w:pPr>
            <w:r>
              <w:rPr>
                <w:rFonts w:hint="eastAsia" w:ascii="宋体" w:eastAsia="宋体" w:cs="宋体"/>
                <w:color w:val="auto"/>
                <w:sz w:val="24"/>
                <w:highlight w:val="none"/>
              </w:rPr>
              <w:t>本招标文件的解释权属于招标人和招标代理机构。</w:t>
            </w:r>
          </w:p>
        </w:tc>
      </w:tr>
      <w:tr w14:paraId="2A16A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80" w:type="dxa"/>
            <w:tcBorders>
              <w:top w:val="single" w:color="auto" w:sz="4" w:space="0"/>
              <w:left w:val="single" w:color="auto" w:sz="4" w:space="0"/>
              <w:bottom w:val="single" w:color="auto" w:sz="4" w:space="0"/>
              <w:right w:val="single" w:color="auto" w:sz="4" w:space="0"/>
            </w:tcBorders>
            <w:vAlign w:val="center"/>
          </w:tcPr>
          <w:p w14:paraId="014835E7">
            <w:pPr>
              <w:keepNext w:val="0"/>
              <w:keepLines w:val="0"/>
              <w:pageBreakBefore w:val="0"/>
              <w:widowControl w:val="0"/>
              <w:kinsoku/>
              <w:wordWrap/>
              <w:overflowPunct/>
              <w:topLinePunct w:val="0"/>
              <w:bidi w:val="0"/>
              <w:spacing w:line="360" w:lineRule="auto"/>
              <w:jc w:val="center"/>
              <w:rPr>
                <w:sz w:val="24"/>
              </w:rPr>
            </w:pPr>
            <w:r>
              <w:rPr>
                <w:rFonts w:hint="eastAsia"/>
                <w:sz w:val="24"/>
              </w:rPr>
              <w:t>25</w:t>
            </w:r>
          </w:p>
        </w:tc>
        <w:tc>
          <w:tcPr>
            <w:tcW w:w="2158" w:type="dxa"/>
            <w:tcBorders>
              <w:top w:val="single" w:color="auto" w:sz="4" w:space="0"/>
              <w:left w:val="single" w:color="auto" w:sz="4" w:space="0"/>
              <w:bottom w:val="single" w:color="auto" w:sz="4" w:space="0"/>
              <w:right w:val="single" w:color="auto" w:sz="4" w:space="0"/>
            </w:tcBorders>
            <w:vAlign w:val="center"/>
          </w:tcPr>
          <w:p w14:paraId="208A068A">
            <w:pPr>
              <w:keepNext w:val="0"/>
              <w:keepLines w:val="0"/>
              <w:pageBreakBefore w:val="0"/>
              <w:widowControl w:val="0"/>
              <w:kinsoku/>
              <w:wordWrap/>
              <w:overflowPunct/>
              <w:topLinePunct w:val="0"/>
              <w:bidi w:val="0"/>
              <w:snapToGrid w:val="0"/>
              <w:spacing w:line="360" w:lineRule="auto"/>
              <w:jc w:val="center"/>
              <w:rPr>
                <w:sz w:val="24"/>
              </w:rPr>
            </w:pPr>
            <w:r>
              <w:rPr>
                <w:rFonts w:hint="eastAsia" w:ascii="宋体" w:eastAsia="宋体" w:cs="宋体"/>
                <w:color w:val="auto"/>
                <w:sz w:val="24"/>
                <w:highlight w:val="none"/>
              </w:rPr>
              <w:t>其他</w:t>
            </w:r>
          </w:p>
        </w:tc>
        <w:tc>
          <w:tcPr>
            <w:tcW w:w="6670" w:type="dxa"/>
            <w:tcBorders>
              <w:top w:val="single" w:color="auto" w:sz="4" w:space="0"/>
              <w:left w:val="single" w:color="auto" w:sz="4" w:space="0"/>
              <w:bottom w:val="single" w:color="auto" w:sz="4" w:space="0"/>
              <w:right w:val="single" w:color="auto" w:sz="4" w:space="0"/>
            </w:tcBorders>
            <w:vAlign w:val="center"/>
          </w:tcPr>
          <w:p w14:paraId="295218AE">
            <w:pPr>
              <w:keepNext w:val="0"/>
              <w:keepLines w:val="0"/>
              <w:pageBreakBefore w:val="0"/>
              <w:widowControl w:val="0"/>
              <w:kinsoku/>
              <w:wordWrap/>
              <w:overflowPunct/>
              <w:topLinePunct w:val="0"/>
              <w:autoSpaceDE w:val="0"/>
              <w:autoSpaceDN w:val="0"/>
              <w:bidi w:val="0"/>
              <w:snapToGrid w:val="0"/>
              <w:spacing w:line="360" w:lineRule="auto"/>
              <w:textAlignment w:val="bottom"/>
              <w:rPr>
                <w:sz w:val="24"/>
              </w:rPr>
            </w:pPr>
            <w:r>
              <w:rPr>
                <w:rFonts w:hint="eastAsia" w:ascii="宋体" w:eastAsia="宋体" w:cs="宋体"/>
                <w:color w:val="auto"/>
                <w:sz w:val="24"/>
                <w:highlight w:val="none"/>
              </w:rPr>
              <w:t>根据国家发改委2018年第16号令，本项目为非依法必须招标项目，按照巨化招投标管理办法的规定执行。</w:t>
            </w:r>
          </w:p>
        </w:tc>
      </w:tr>
      <w:tr w14:paraId="4A4EF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9808" w:type="dxa"/>
            <w:gridSpan w:val="3"/>
            <w:tcBorders>
              <w:top w:val="single" w:color="auto" w:sz="4" w:space="0"/>
              <w:left w:val="single" w:color="auto" w:sz="4" w:space="0"/>
              <w:bottom w:val="single" w:color="auto" w:sz="4" w:space="0"/>
              <w:right w:val="single" w:color="auto" w:sz="4" w:space="0"/>
            </w:tcBorders>
            <w:vAlign w:val="center"/>
          </w:tcPr>
          <w:p w14:paraId="679817DF">
            <w:pPr>
              <w:snapToGrid w:val="0"/>
              <w:spacing w:line="360" w:lineRule="auto"/>
              <w:rPr>
                <w:rFonts w:hint="eastAsia" w:ascii="宋体"/>
                <w:bCs/>
                <w:sz w:val="24"/>
                <w:highlight w:val="yellow"/>
              </w:rPr>
            </w:pPr>
            <w:r>
              <w:rPr>
                <w:rFonts w:hint="eastAsia" w:ascii="宋体" w:cs="宋体"/>
                <w:color w:val="auto"/>
                <w:sz w:val="24"/>
                <w:highlight w:val="none"/>
              </w:rPr>
              <w:t>*</w:t>
            </w:r>
            <w:r>
              <w:rPr>
                <w:rFonts w:ascii="宋体"/>
                <w:b/>
                <w:bCs/>
                <w:color w:val="auto"/>
                <w:sz w:val="24"/>
                <w:highlight w:val="none"/>
              </w:rPr>
              <w:t>最高限价和风险控制价</w:t>
            </w:r>
          </w:p>
        </w:tc>
      </w:tr>
      <w:tr w14:paraId="0B32F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9808" w:type="dxa"/>
            <w:gridSpan w:val="3"/>
            <w:tcBorders>
              <w:top w:val="single" w:color="auto" w:sz="4" w:space="0"/>
              <w:left w:val="single" w:color="auto" w:sz="4" w:space="0"/>
              <w:bottom w:val="single" w:color="auto" w:sz="4" w:space="0"/>
              <w:right w:val="single" w:color="auto" w:sz="4" w:space="0"/>
            </w:tcBorders>
            <w:vAlign w:val="center"/>
          </w:tcPr>
          <w:p w14:paraId="2D51AC05">
            <w:pPr>
              <w:snapToGrid w:val="0"/>
              <w:spacing w:line="400" w:lineRule="exact"/>
              <w:ind w:firstLine="482" w:firstLineChars="200"/>
              <w:rPr>
                <w:rFonts w:hint="eastAsia"/>
                <w:color w:val="auto"/>
                <w:sz w:val="24"/>
                <w:highlight w:val="none"/>
                <w:lang w:val="zh-CN"/>
              </w:rPr>
            </w:pPr>
            <w:r>
              <w:rPr>
                <w:rFonts w:hint="eastAsia" w:ascii="宋体" w:cs="宋体"/>
                <w:b/>
                <w:bCs/>
                <w:color w:val="auto"/>
                <w:sz w:val="24"/>
                <w:highlight w:val="none"/>
                <w:lang w:val="en-US" w:eastAsia="zh-CN"/>
              </w:rPr>
              <w:t>计算</w:t>
            </w:r>
            <w:r>
              <w:rPr>
                <w:rFonts w:hint="eastAsia" w:ascii="宋体" w:cs="宋体"/>
                <w:b/>
                <w:bCs/>
                <w:color w:val="auto"/>
                <w:sz w:val="24"/>
                <w:highlight w:val="none"/>
              </w:rPr>
              <w:t>定额采用《电网技术改造工程</w:t>
            </w:r>
            <w:r>
              <w:rPr>
                <w:rFonts w:hint="eastAsia" w:ascii="宋体" w:cs="宋体"/>
                <w:b/>
                <w:bCs/>
                <w:color w:val="auto"/>
                <w:sz w:val="24"/>
                <w:highlight w:val="none"/>
                <w:lang w:val="en-US" w:eastAsia="zh-CN"/>
              </w:rPr>
              <w:t>预算定额2020年版</w:t>
            </w:r>
            <w:r>
              <w:rPr>
                <w:rFonts w:hint="eastAsia" w:ascii="宋体" w:cs="宋体"/>
                <w:b/>
                <w:bCs/>
                <w:color w:val="auto"/>
                <w:sz w:val="24"/>
                <w:highlight w:val="none"/>
              </w:rPr>
              <w:t>》和《电网检修工程</w:t>
            </w:r>
            <w:r>
              <w:rPr>
                <w:rFonts w:hint="eastAsia" w:ascii="宋体" w:cs="宋体"/>
                <w:b/>
                <w:bCs/>
                <w:color w:val="auto"/>
                <w:sz w:val="24"/>
                <w:highlight w:val="none"/>
                <w:lang w:val="en-US" w:eastAsia="zh-CN"/>
              </w:rPr>
              <w:t>预算定额2020年版</w:t>
            </w:r>
            <w:r>
              <w:rPr>
                <w:rFonts w:hint="eastAsia" w:ascii="宋体" w:cs="宋体"/>
                <w:b/>
                <w:bCs/>
                <w:color w:val="auto"/>
                <w:sz w:val="24"/>
                <w:highlight w:val="none"/>
              </w:rPr>
              <w:t>》</w:t>
            </w:r>
            <w:r>
              <w:rPr>
                <w:rFonts w:hint="eastAsia" w:ascii="宋体" w:cs="宋体"/>
                <w:b/>
                <w:bCs/>
                <w:color w:val="auto"/>
                <w:sz w:val="24"/>
                <w:highlight w:val="none"/>
                <w:lang w:val="en-US" w:eastAsia="zh-CN"/>
              </w:rPr>
              <w:t>以及《电网拆除工程预算定额2020年版》</w:t>
            </w:r>
            <w:r>
              <w:rPr>
                <w:rFonts w:hint="eastAsia" w:ascii="宋体" w:cs="宋体"/>
                <w:b/>
                <w:bCs/>
                <w:color w:val="auto"/>
                <w:sz w:val="24"/>
                <w:highlight w:val="none"/>
              </w:rPr>
              <w:t>结算，最终商务评分以结算率作为评分标准（结算率范围</w:t>
            </w:r>
            <w:r>
              <w:rPr>
                <w:rFonts w:hint="eastAsia" w:ascii="宋体" w:cs="宋体"/>
                <w:b/>
                <w:bCs/>
                <w:color w:val="auto"/>
                <w:sz w:val="24"/>
                <w:highlight w:val="none"/>
                <w:lang w:val="en-US" w:eastAsia="zh-CN"/>
              </w:rPr>
              <w:t>80</w:t>
            </w:r>
            <w:r>
              <w:rPr>
                <w:rFonts w:hint="eastAsia" w:ascii="宋体" w:cs="宋体"/>
                <w:b/>
                <w:bCs/>
                <w:color w:val="auto"/>
                <w:sz w:val="24"/>
                <w:highlight w:val="none"/>
              </w:rPr>
              <w:t>%（含）~100%（含）</w:t>
            </w:r>
            <w:r>
              <w:rPr>
                <w:rFonts w:hint="eastAsia" w:ascii="宋体" w:cs="宋体"/>
                <w:b/>
                <w:bCs/>
                <w:color w:val="auto"/>
                <w:sz w:val="24"/>
                <w:highlight w:val="none"/>
                <w:lang w:eastAsia="zh-CN"/>
              </w:rPr>
              <w:t>）主材参与下浮，无价材料、单列不参与下浮。</w:t>
            </w:r>
          </w:p>
          <w:p w14:paraId="32913DD9">
            <w:pPr>
              <w:snapToGrid w:val="0"/>
              <w:spacing w:line="400" w:lineRule="exact"/>
              <w:ind w:firstLine="480" w:firstLineChars="200"/>
              <w:rPr>
                <w:rFonts w:ascii="宋体" w:cs="宋体"/>
                <w:b/>
                <w:bCs/>
                <w:color w:val="auto"/>
                <w:sz w:val="24"/>
                <w:highlight w:val="none"/>
              </w:rPr>
            </w:pPr>
            <w:r>
              <w:rPr>
                <w:rFonts w:hint="eastAsia" w:ascii="宋体" w:cs="宋体"/>
                <w:color w:val="auto"/>
                <w:sz w:val="24"/>
                <w:highlight w:val="none"/>
              </w:rPr>
              <w:t>本工程招标报价最高限价为：以下列报价为基准</w:t>
            </w:r>
            <w:r>
              <w:rPr>
                <w:rFonts w:hint="eastAsia" w:ascii="宋体" w:cs="宋体"/>
                <w:color w:val="auto"/>
                <w:sz w:val="24"/>
                <w:highlight w:val="none"/>
                <w:lang w:eastAsia="zh-CN"/>
              </w:rPr>
              <w:t>，</w:t>
            </w:r>
            <w:r>
              <w:rPr>
                <w:rFonts w:hint="eastAsia" w:ascii="宋体" w:cs="宋体"/>
                <w:b/>
                <w:bCs/>
                <w:color w:val="auto"/>
                <w:sz w:val="24"/>
                <w:highlight w:val="none"/>
              </w:rPr>
              <w:t>结算率100%作为本次招标最高报价，凡投标价高于最高报价作否决处理。</w:t>
            </w:r>
          </w:p>
          <w:p w14:paraId="005DFDE1">
            <w:pPr>
              <w:snapToGrid w:val="0"/>
              <w:spacing w:line="400" w:lineRule="exact"/>
              <w:ind w:firstLine="480" w:firstLineChars="200"/>
              <w:rPr>
                <w:rFonts w:ascii="宋体" w:cs="宋体"/>
                <w:b/>
                <w:bCs/>
                <w:color w:val="auto"/>
                <w:sz w:val="24"/>
                <w:highlight w:val="none"/>
              </w:rPr>
            </w:pPr>
            <w:r>
              <w:rPr>
                <w:rFonts w:hint="eastAsia" w:ascii="宋体" w:cs="宋体"/>
                <w:color w:val="auto"/>
                <w:sz w:val="24"/>
                <w:highlight w:val="none"/>
              </w:rPr>
              <w:t>本工程招标风险控制价为：以下列报价为基准，</w:t>
            </w:r>
            <w:r>
              <w:rPr>
                <w:rFonts w:hint="eastAsia" w:ascii="宋体" w:cs="宋体"/>
                <w:b/>
                <w:bCs/>
                <w:color w:val="auto"/>
                <w:sz w:val="24"/>
                <w:highlight w:val="none"/>
              </w:rPr>
              <w:t>结算率</w:t>
            </w:r>
            <w:r>
              <w:rPr>
                <w:rFonts w:hint="eastAsia" w:ascii="宋体" w:cs="宋体"/>
                <w:b/>
                <w:bCs/>
                <w:color w:val="auto"/>
                <w:sz w:val="24"/>
                <w:highlight w:val="none"/>
                <w:lang w:val="en-US" w:eastAsia="zh-CN"/>
              </w:rPr>
              <w:t>80</w:t>
            </w:r>
            <w:r>
              <w:rPr>
                <w:rFonts w:hint="eastAsia" w:ascii="宋体" w:cs="宋体"/>
                <w:b/>
                <w:bCs/>
                <w:color w:val="auto"/>
                <w:sz w:val="24"/>
                <w:highlight w:val="none"/>
              </w:rPr>
              <w:t>%作为本次招标风险控制价。</w:t>
            </w:r>
          </w:p>
          <w:p w14:paraId="65E46029">
            <w:pPr>
              <w:spacing w:line="420" w:lineRule="exact"/>
              <w:ind w:firstLine="480" w:firstLineChars="200"/>
              <w:rPr>
                <w:rFonts w:hint="eastAsia" w:ascii="宋体" w:cs="宋体"/>
                <w:color w:val="auto"/>
                <w:sz w:val="24"/>
                <w:highlight w:val="none"/>
              </w:rPr>
            </w:pPr>
            <w:r>
              <w:rPr>
                <w:rFonts w:hint="eastAsia" w:ascii="宋体" w:cs="宋体"/>
                <w:color w:val="auto"/>
                <w:sz w:val="24"/>
                <w:highlight w:val="none"/>
              </w:rPr>
              <w:t>投标人所报的投标结算率百分数小数部分最多保留两位小数（如XX.XX%），否则其投标予以否决。</w:t>
            </w:r>
          </w:p>
        </w:tc>
      </w:tr>
      <w:tr w14:paraId="44249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808" w:type="dxa"/>
            <w:gridSpan w:val="3"/>
            <w:tcBorders>
              <w:top w:val="single" w:color="auto" w:sz="4" w:space="0"/>
              <w:left w:val="single" w:color="auto" w:sz="4" w:space="0"/>
              <w:bottom w:val="single" w:color="auto" w:sz="4" w:space="0"/>
              <w:right w:val="single" w:color="auto" w:sz="4" w:space="0"/>
            </w:tcBorders>
            <w:vAlign w:val="center"/>
          </w:tcPr>
          <w:p w14:paraId="36E8A401">
            <w:pPr>
              <w:keepNext w:val="0"/>
              <w:keepLines w:val="0"/>
              <w:pageBreakBefore w:val="0"/>
              <w:widowControl w:val="0"/>
              <w:kinsoku/>
              <w:wordWrap/>
              <w:overflowPunct/>
              <w:topLinePunct w:val="0"/>
              <w:bidi w:val="0"/>
              <w:spacing w:line="360" w:lineRule="auto"/>
              <w:rPr>
                <w:sz w:val="24"/>
              </w:rPr>
            </w:pPr>
            <w:r>
              <w:rPr>
                <w:rFonts w:hint="eastAsia" w:ascii="宋体"/>
                <w:b/>
                <w:bCs/>
                <w:sz w:val="24"/>
              </w:rPr>
              <w:t>中标公示</w:t>
            </w:r>
          </w:p>
        </w:tc>
      </w:tr>
      <w:tr w14:paraId="7615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9808" w:type="dxa"/>
            <w:gridSpan w:val="3"/>
            <w:tcBorders>
              <w:top w:val="single" w:color="auto" w:sz="4" w:space="0"/>
              <w:left w:val="single" w:color="auto" w:sz="4" w:space="0"/>
              <w:bottom w:val="single" w:color="auto" w:sz="4" w:space="0"/>
              <w:right w:val="single" w:color="auto" w:sz="4" w:space="0"/>
            </w:tcBorders>
            <w:vAlign w:val="center"/>
          </w:tcPr>
          <w:p w14:paraId="638376C9">
            <w:pPr>
              <w:keepNext w:val="0"/>
              <w:keepLines w:val="0"/>
              <w:pageBreakBefore w:val="0"/>
              <w:widowControl w:val="0"/>
              <w:kinsoku/>
              <w:wordWrap/>
              <w:overflowPunct/>
              <w:topLinePunct w:val="0"/>
              <w:bidi w:val="0"/>
              <w:snapToGrid w:val="0"/>
              <w:spacing w:line="360" w:lineRule="auto"/>
              <w:rPr>
                <w:sz w:val="24"/>
              </w:rPr>
            </w:pPr>
            <w:r>
              <w:rPr>
                <w:rFonts w:hint="eastAsia" w:ascii="宋体" w:cs="宋体"/>
                <w:sz w:val="24"/>
              </w:rPr>
              <w:t>在中标通知书发出前，招标人将中标结果在巨化数字化招采平台予以公示，公示期为3日。</w:t>
            </w:r>
          </w:p>
        </w:tc>
      </w:tr>
    </w:tbl>
    <w:p w14:paraId="501F64DE">
      <w:pPr>
        <w:pStyle w:val="8"/>
        <w:keepNext w:val="0"/>
        <w:keepLines w:val="0"/>
        <w:pageBreakBefore w:val="0"/>
        <w:widowControl w:val="0"/>
        <w:kinsoku/>
        <w:wordWrap/>
        <w:overflowPunct/>
        <w:topLinePunct w:val="0"/>
        <w:bidi w:val="0"/>
        <w:spacing w:line="360" w:lineRule="auto"/>
        <w:rPr>
          <w:szCs w:val="21"/>
        </w:rPr>
      </w:pPr>
      <w:r>
        <w:rPr>
          <w:b/>
          <w:szCs w:val="21"/>
        </w:rPr>
        <w:t>注明：</w:t>
      </w:r>
      <w:r>
        <w:rPr>
          <w:rFonts w:hint="eastAsia"/>
          <w:b/>
          <w:szCs w:val="21"/>
        </w:rPr>
        <w:t>投标人须知前附表</w:t>
      </w:r>
      <w:r>
        <w:rPr>
          <w:b/>
          <w:szCs w:val="21"/>
        </w:rPr>
        <w:t>与</w:t>
      </w:r>
      <w:r>
        <w:rPr>
          <w:rFonts w:hint="eastAsia"/>
          <w:b/>
          <w:szCs w:val="21"/>
        </w:rPr>
        <w:t>投标人须知正文</w:t>
      </w:r>
      <w:r>
        <w:rPr>
          <w:b/>
          <w:szCs w:val="21"/>
        </w:rPr>
        <w:t>不一致时，以附表为准。</w:t>
      </w:r>
    </w:p>
    <w:p w14:paraId="13AF53DF">
      <w:pPr>
        <w:pStyle w:val="8"/>
        <w:ind w:firstLine="0" w:firstLineChars="0"/>
      </w:pPr>
    </w:p>
    <w:p w14:paraId="6E77F701"/>
    <w:p w14:paraId="7881BFC9"/>
    <w:p w14:paraId="177AED88"/>
    <w:p w14:paraId="480E37C0"/>
    <w:p w14:paraId="2635069C"/>
    <w:p w14:paraId="0BC08A0D"/>
    <w:p w14:paraId="3A6E56DE"/>
    <w:p w14:paraId="0215FEDA"/>
    <w:p w14:paraId="65AE9252"/>
    <w:p w14:paraId="04EAA368"/>
    <w:p w14:paraId="640C7F6D"/>
    <w:p w14:paraId="4DC481E5"/>
    <w:p w14:paraId="36D30DE7"/>
    <w:p w14:paraId="2942F2CA"/>
    <w:p w14:paraId="6E2E5ABA"/>
    <w:p w14:paraId="0A47D72B">
      <w:pPr>
        <w:rPr>
          <w:highlight w:val="none"/>
        </w:rPr>
      </w:pPr>
    </w:p>
    <w:p w14:paraId="7352AC37">
      <w:pPr>
        <w:pStyle w:val="4"/>
        <w:spacing w:before="0" w:after="0" w:line="360" w:lineRule="auto"/>
        <w:jc w:val="center"/>
        <w:rPr>
          <w:sz w:val="28"/>
          <w:szCs w:val="28"/>
          <w:highlight w:val="none"/>
        </w:rPr>
      </w:pPr>
      <w:bookmarkStart w:id="5" w:name="_Toc81196546"/>
      <w:bookmarkStart w:id="6" w:name="_Toc81196554"/>
      <w:r>
        <w:rPr>
          <w:rFonts w:hint="eastAsia"/>
          <w:sz w:val="28"/>
          <w:szCs w:val="28"/>
          <w:highlight w:val="none"/>
        </w:rPr>
        <w:t>第二节</w:t>
      </w:r>
      <w:r>
        <w:rPr>
          <w:sz w:val="28"/>
          <w:szCs w:val="28"/>
          <w:highlight w:val="none"/>
        </w:rPr>
        <w:t xml:space="preserve"> </w:t>
      </w:r>
      <w:r>
        <w:rPr>
          <w:rFonts w:hint="eastAsia"/>
          <w:sz w:val="28"/>
          <w:szCs w:val="28"/>
          <w:highlight w:val="none"/>
        </w:rPr>
        <w:t>投标人须知</w:t>
      </w:r>
      <w:bookmarkEnd w:id="5"/>
      <w:r>
        <w:rPr>
          <w:rFonts w:hint="eastAsia"/>
          <w:sz w:val="28"/>
          <w:szCs w:val="28"/>
          <w:highlight w:val="none"/>
        </w:rPr>
        <w:t>正文</w:t>
      </w:r>
      <w:bookmarkStart w:id="7" w:name="_Toc81196547"/>
    </w:p>
    <w:bookmarkEnd w:id="6"/>
    <w:bookmarkEnd w:id="7"/>
    <w:p w14:paraId="250CA077">
      <w:pPr>
        <w:pStyle w:val="5"/>
        <w:spacing w:before="0" w:after="0" w:line="360" w:lineRule="auto"/>
        <w:rPr>
          <w:b w:val="0"/>
          <w:sz w:val="24"/>
          <w:szCs w:val="24"/>
          <w:highlight w:val="none"/>
        </w:rPr>
      </w:pPr>
      <w:r>
        <w:rPr>
          <w:rFonts w:hint="eastAsia"/>
          <w:b w:val="0"/>
          <w:sz w:val="24"/>
          <w:szCs w:val="24"/>
          <w:highlight w:val="none"/>
        </w:rPr>
        <w:t>1. 总则</w:t>
      </w:r>
      <w:bookmarkStart w:id="8" w:name="_Toc81196548"/>
    </w:p>
    <w:p w14:paraId="62835073">
      <w:pPr>
        <w:snapToGrid w:val="0"/>
        <w:spacing w:line="360" w:lineRule="auto"/>
        <w:ind w:firstLine="426"/>
        <w:rPr>
          <w:rFonts w:ascii="宋体"/>
          <w:b/>
          <w:bCs/>
          <w:kern w:val="0"/>
          <w:sz w:val="24"/>
          <w:highlight w:val="none"/>
        </w:rPr>
      </w:pPr>
      <w:r>
        <w:rPr>
          <w:rFonts w:hint="eastAsia" w:ascii="宋体"/>
          <w:b/>
          <w:bCs/>
          <w:kern w:val="0"/>
          <w:sz w:val="24"/>
          <w:highlight w:val="none"/>
        </w:rPr>
        <w:t>1.1适用范围</w:t>
      </w:r>
    </w:p>
    <w:p w14:paraId="10EF5CAD">
      <w:pPr>
        <w:tabs>
          <w:tab w:val="left" w:pos="0"/>
          <w:tab w:val="left" w:pos="900"/>
          <w:tab w:val="left" w:pos="7020"/>
          <w:tab w:val="left" w:pos="8460"/>
        </w:tabs>
        <w:snapToGrid w:val="0"/>
        <w:spacing w:line="360" w:lineRule="auto"/>
        <w:ind w:firstLine="426"/>
        <w:rPr>
          <w:rFonts w:ascii="宋体"/>
          <w:kern w:val="0"/>
          <w:sz w:val="24"/>
          <w:highlight w:val="none"/>
        </w:rPr>
      </w:pPr>
      <w:r>
        <w:rPr>
          <w:rFonts w:hint="eastAsia" w:ascii="宋体"/>
          <w:kern w:val="0"/>
          <w:sz w:val="24"/>
          <w:highlight w:val="none"/>
        </w:rPr>
        <w:t>本招标文件仅适用于本次招标项目的招标、投标、评标、定标、验收、合同履约、付款等行为。</w:t>
      </w:r>
    </w:p>
    <w:p w14:paraId="74C9785A">
      <w:pPr>
        <w:snapToGrid w:val="0"/>
        <w:spacing w:line="360" w:lineRule="auto"/>
        <w:ind w:firstLine="426"/>
        <w:rPr>
          <w:rFonts w:ascii="宋体"/>
          <w:b/>
          <w:bCs/>
          <w:kern w:val="0"/>
          <w:sz w:val="24"/>
          <w:highlight w:val="none"/>
        </w:rPr>
      </w:pPr>
      <w:r>
        <w:rPr>
          <w:rFonts w:hint="eastAsia" w:ascii="宋体"/>
          <w:b/>
          <w:bCs/>
          <w:kern w:val="0"/>
          <w:sz w:val="24"/>
          <w:highlight w:val="none"/>
        </w:rPr>
        <w:t>1.2定义</w:t>
      </w:r>
    </w:p>
    <w:p w14:paraId="6CF4A031">
      <w:pPr>
        <w:snapToGrid w:val="0"/>
        <w:spacing w:line="360" w:lineRule="auto"/>
        <w:ind w:firstLine="426"/>
        <w:rPr>
          <w:rFonts w:ascii="宋体"/>
          <w:kern w:val="0"/>
          <w:sz w:val="24"/>
          <w:highlight w:val="none"/>
        </w:rPr>
      </w:pPr>
      <w:r>
        <w:rPr>
          <w:rFonts w:hint="eastAsia" w:ascii="宋体"/>
          <w:kern w:val="0"/>
          <w:sz w:val="24"/>
          <w:highlight w:val="none"/>
        </w:rPr>
        <w:t>“招标代理机构”系指组织本次招标</w:t>
      </w:r>
      <w:r>
        <w:rPr>
          <w:rFonts w:hint="eastAsia" w:ascii="宋体"/>
          <w:kern w:val="0"/>
          <w:sz w:val="24"/>
          <w:highlight w:val="none"/>
          <w:lang w:val="zh-CN"/>
        </w:rPr>
        <w:t>的浙江南方工程咨询管理有限公司。</w:t>
      </w:r>
    </w:p>
    <w:p w14:paraId="28D0392E">
      <w:pPr>
        <w:snapToGrid w:val="0"/>
        <w:spacing w:line="360" w:lineRule="auto"/>
        <w:ind w:firstLine="426"/>
        <w:rPr>
          <w:rFonts w:ascii="宋体"/>
          <w:kern w:val="0"/>
          <w:sz w:val="24"/>
          <w:highlight w:val="none"/>
        </w:rPr>
      </w:pPr>
      <w:r>
        <w:rPr>
          <w:rFonts w:hint="eastAsia" w:ascii="宋体"/>
          <w:kern w:val="0"/>
          <w:sz w:val="24"/>
          <w:highlight w:val="none"/>
        </w:rPr>
        <w:t>“招标人”系指提出本次招标的委托单位：</w:t>
      </w:r>
      <w:r>
        <w:rPr>
          <w:rFonts w:hint="eastAsia" w:ascii="宋体"/>
          <w:kern w:val="0"/>
          <w:sz w:val="24"/>
          <w:highlight w:val="none"/>
          <w:lang w:val="en-US" w:eastAsia="zh-CN"/>
        </w:rPr>
        <w:t>巨化集团有限公司公用事业部</w:t>
      </w:r>
      <w:r>
        <w:rPr>
          <w:rFonts w:hint="eastAsia" w:ascii="宋体"/>
          <w:kern w:val="0"/>
          <w:sz w:val="24"/>
          <w:highlight w:val="none"/>
        </w:rPr>
        <w:t>。</w:t>
      </w:r>
    </w:p>
    <w:p w14:paraId="0F2BD636">
      <w:pPr>
        <w:snapToGrid w:val="0"/>
        <w:spacing w:line="360" w:lineRule="auto"/>
        <w:ind w:firstLine="426"/>
        <w:rPr>
          <w:rFonts w:ascii="宋体"/>
          <w:kern w:val="0"/>
          <w:sz w:val="24"/>
          <w:highlight w:val="none"/>
        </w:rPr>
      </w:pPr>
      <w:r>
        <w:rPr>
          <w:rFonts w:hint="eastAsia" w:ascii="宋体"/>
          <w:kern w:val="0"/>
          <w:sz w:val="24"/>
          <w:highlight w:val="none"/>
        </w:rPr>
        <w:t>“投标人”系指向招标人提交投标文件的供应商。</w:t>
      </w:r>
    </w:p>
    <w:p w14:paraId="430FF79E">
      <w:pPr>
        <w:snapToGrid w:val="0"/>
        <w:spacing w:line="360" w:lineRule="auto"/>
        <w:ind w:firstLine="426"/>
        <w:rPr>
          <w:rFonts w:ascii="宋体"/>
          <w:kern w:val="0"/>
          <w:sz w:val="24"/>
          <w:highlight w:val="none"/>
        </w:rPr>
      </w:pPr>
      <w:r>
        <w:rPr>
          <w:rFonts w:hint="eastAsia" w:ascii="宋体"/>
          <w:kern w:val="0"/>
          <w:sz w:val="24"/>
          <w:highlight w:val="none"/>
        </w:rPr>
        <w:t>“服务”系指招标文件规定投标人须承担的安装、调试、技术协助、校准、培训、技术指导以及其他类似的义务。</w:t>
      </w:r>
    </w:p>
    <w:p w14:paraId="7CD2E978">
      <w:pPr>
        <w:snapToGrid w:val="0"/>
        <w:spacing w:line="360" w:lineRule="auto"/>
        <w:ind w:firstLine="426"/>
        <w:rPr>
          <w:rFonts w:ascii="宋体"/>
          <w:kern w:val="0"/>
          <w:sz w:val="24"/>
          <w:highlight w:val="none"/>
        </w:rPr>
      </w:pPr>
      <w:r>
        <w:rPr>
          <w:rFonts w:ascii="宋体"/>
          <w:kern w:val="0"/>
          <w:sz w:val="24"/>
          <w:highlight w:val="none"/>
        </w:rPr>
        <w:t>“*”</w:t>
      </w:r>
      <w:r>
        <w:rPr>
          <w:rFonts w:hint="eastAsia" w:ascii="宋体"/>
          <w:kern w:val="0"/>
          <w:sz w:val="24"/>
          <w:highlight w:val="none"/>
        </w:rPr>
        <w:t xml:space="preserve"> 系指实质性要求条款。</w:t>
      </w:r>
    </w:p>
    <w:p w14:paraId="0E8342C5">
      <w:pPr>
        <w:snapToGrid w:val="0"/>
        <w:spacing w:line="360" w:lineRule="auto"/>
        <w:ind w:firstLine="426"/>
        <w:rPr>
          <w:rFonts w:ascii="宋体"/>
          <w:b/>
          <w:bCs/>
          <w:kern w:val="0"/>
          <w:sz w:val="24"/>
          <w:highlight w:val="none"/>
        </w:rPr>
      </w:pPr>
      <w:r>
        <w:rPr>
          <w:rFonts w:hint="eastAsia" w:ascii="宋体"/>
          <w:b/>
          <w:bCs/>
          <w:kern w:val="0"/>
          <w:sz w:val="24"/>
          <w:highlight w:val="none"/>
        </w:rPr>
        <w:t>1.3投标费用</w:t>
      </w:r>
    </w:p>
    <w:p w14:paraId="4A968753">
      <w:pPr>
        <w:tabs>
          <w:tab w:val="left" w:pos="0"/>
          <w:tab w:val="left" w:pos="900"/>
          <w:tab w:val="left" w:pos="7020"/>
          <w:tab w:val="left" w:pos="8460"/>
        </w:tabs>
        <w:snapToGrid w:val="0"/>
        <w:spacing w:line="360" w:lineRule="auto"/>
        <w:ind w:firstLine="426"/>
        <w:rPr>
          <w:rFonts w:ascii="宋体"/>
          <w:kern w:val="0"/>
          <w:sz w:val="24"/>
          <w:highlight w:val="none"/>
        </w:rPr>
      </w:pPr>
      <w:r>
        <w:rPr>
          <w:rFonts w:hint="eastAsia" w:ascii="宋体"/>
          <w:kern w:val="0"/>
          <w:sz w:val="24"/>
          <w:highlight w:val="none"/>
        </w:rPr>
        <w:t>不论投标结果如何，投标人均应自行承担所有与投标有关的全部费用。</w:t>
      </w:r>
    </w:p>
    <w:p w14:paraId="6485CFFE">
      <w:pPr>
        <w:snapToGrid w:val="0"/>
        <w:spacing w:line="360" w:lineRule="auto"/>
        <w:ind w:firstLine="426"/>
        <w:rPr>
          <w:rFonts w:ascii="宋体"/>
          <w:b/>
          <w:bCs/>
          <w:kern w:val="0"/>
          <w:sz w:val="24"/>
          <w:highlight w:val="none"/>
        </w:rPr>
      </w:pPr>
      <w:r>
        <w:rPr>
          <w:rFonts w:hint="eastAsia" w:ascii="宋体"/>
          <w:b/>
          <w:bCs/>
          <w:kern w:val="0"/>
          <w:sz w:val="24"/>
          <w:highlight w:val="none"/>
        </w:rPr>
        <w:t>1.4招标方式</w:t>
      </w:r>
    </w:p>
    <w:p w14:paraId="34858E76">
      <w:pPr>
        <w:snapToGrid w:val="0"/>
        <w:spacing w:line="360" w:lineRule="auto"/>
        <w:ind w:firstLine="426"/>
        <w:rPr>
          <w:rFonts w:ascii="宋体"/>
          <w:kern w:val="0"/>
          <w:sz w:val="24"/>
          <w:highlight w:val="none"/>
        </w:rPr>
      </w:pPr>
      <w:r>
        <w:rPr>
          <w:rFonts w:hint="eastAsia" w:ascii="宋体"/>
          <w:kern w:val="0"/>
          <w:sz w:val="24"/>
          <w:highlight w:val="none"/>
        </w:rPr>
        <w:t>本次招标采用公开招标的方式进行。</w:t>
      </w:r>
    </w:p>
    <w:p w14:paraId="4308A869">
      <w:pPr>
        <w:snapToGrid w:val="0"/>
        <w:spacing w:line="360" w:lineRule="auto"/>
        <w:ind w:firstLine="426"/>
        <w:rPr>
          <w:rFonts w:ascii="宋体"/>
          <w:b/>
          <w:bCs/>
          <w:kern w:val="0"/>
          <w:sz w:val="24"/>
          <w:highlight w:val="none"/>
        </w:rPr>
      </w:pPr>
      <w:r>
        <w:rPr>
          <w:rFonts w:hint="eastAsia" w:ascii="宋体"/>
          <w:b/>
          <w:bCs/>
          <w:kern w:val="0"/>
          <w:sz w:val="24"/>
          <w:highlight w:val="none"/>
        </w:rPr>
        <w:t>1.5投标委托</w:t>
      </w:r>
    </w:p>
    <w:p w14:paraId="18B8CEAB">
      <w:pPr>
        <w:pStyle w:val="13"/>
        <w:snapToGrid w:val="0"/>
        <w:spacing w:line="360" w:lineRule="auto"/>
        <w:ind w:firstLine="426"/>
        <w:jc w:val="left"/>
        <w:rPr>
          <w:sz w:val="24"/>
          <w:szCs w:val="24"/>
        </w:rPr>
      </w:pPr>
      <w:r>
        <w:rPr>
          <w:sz w:val="24"/>
          <w:szCs w:val="24"/>
        </w:rPr>
        <w:t>如投标人代表不是法定代表人，投标文件应当提供法定代表人出具的授权委托书（格式见</w:t>
      </w:r>
      <w:r>
        <w:rPr>
          <w:rFonts w:hint="eastAsia"/>
          <w:sz w:val="24"/>
          <w:szCs w:val="24"/>
        </w:rPr>
        <w:t>附件</w:t>
      </w:r>
      <w:r>
        <w:rPr>
          <w:sz w:val="24"/>
          <w:szCs w:val="24"/>
        </w:rPr>
        <w:t>）。</w:t>
      </w:r>
    </w:p>
    <w:p w14:paraId="075BE0DF">
      <w:pPr>
        <w:snapToGrid w:val="0"/>
        <w:spacing w:line="360" w:lineRule="auto"/>
        <w:ind w:firstLine="426"/>
        <w:rPr>
          <w:rFonts w:ascii="宋体"/>
          <w:b/>
          <w:bCs/>
          <w:kern w:val="0"/>
          <w:sz w:val="24"/>
          <w:highlight w:val="none"/>
        </w:rPr>
      </w:pPr>
      <w:r>
        <w:rPr>
          <w:rFonts w:hint="eastAsia" w:ascii="宋体"/>
          <w:b/>
          <w:bCs/>
          <w:kern w:val="0"/>
          <w:sz w:val="24"/>
          <w:highlight w:val="none"/>
        </w:rPr>
        <w:t>1.6联合体投标</w:t>
      </w:r>
    </w:p>
    <w:p w14:paraId="0D5637B8">
      <w:pPr>
        <w:snapToGrid w:val="0"/>
        <w:spacing w:line="360" w:lineRule="auto"/>
        <w:ind w:firstLine="426"/>
        <w:rPr>
          <w:rFonts w:ascii="宋体"/>
          <w:kern w:val="0"/>
          <w:sz w:val="24"/>
          <w:highlight w:val="none"/>
        </w:rPr>
      </w:pPr>
      <w:r>
        <w:rPr>
          <w:rFonts w:hint="eastAsia" w:ascii="宋体"/>
          <w:kern w:val="0"/>
          <w:sz w:val="24"/>
          <w:highlight w:val="none"/>
        </w:rPr>
        <w:t>本项目不接受联合体投标。</w:t>
      </w:r>
    </w:p>
    <w:p w14:paraId="27FCCF97">
      <w:pPr>
        <w:snapToGrid w:val="0"/>
        <w:spacing w:line="360" w:lineRule="auto"/>
        <w:ind w:firstLine="426"/>
        <w:rPr>
          <w:rFonts w:ascii="宋体"/>
          <w:b/>
          <w:bCs/>
          <w:kern w:val="0"/>
          <w:sz w:val="24"/>
          <w:highlight w:val="none"/>
        </w:rPr>
      </w:pPr>
      <w:r>
        <w:rPr>
          <w:rFonts w:hint="eastAsia" w:ascii="宋体"/>
          <w:b/>
          <w:bCs/>
          <w:kern w:val="0"/>
          <w:sz w:val="24"/>
          <w:highlight w:val="none"/>
        </w:rPr>
        <w:t>1.7转包与分包</w:t>
      </w:r>
    </w:p>
    <w:p w14:paraId="71A12152">
      <w:pPr>
        <w:snapToGrid w:val="0"/>
        <w:spacing w:line="360" w:lineRule="auto"/>
        <w:ind w:firstLine="426"/>
        <w:rPr>
          <w:rFonts w:hint="eastAsia"/>
          <w:lang w:val="en-US" w:eastAsia="zh-CN"/>
        </w:rPr>
      </w:pPr>
      <w:r>
        <w:rPr>
          <w:rFonts w:hint="eastAsia" w:ascii="宋体"/>
          <w:kern w:val="0"/>
          <w:sz w:val="24"/>
          <w:highlight w:val="none"/>
        </w:rPr>
        <w:t>本项目不允许转包。</w:t>
      </w:r>
    </w:p>
    <w:bookmarkEnd w:id="8"/>
    <w:p w14:paraId="1F97EF1A">
      <w:pPr>
        <w:ind w:firstLine="426"/>
        <w:rPr>
          <w:rFonts w:ascii="宋体"/>
          <w:b/>
          <w:bCs/>
          <w:kern w:val="0"/>
          <w:sz w:val="24"/>
        </w:rPr>
      </w:pPr>
      <w:bookmarkStart w:id="9" w:name="_Toc81196561"/>
      <w:bookmarkStart w:id="10" w:name="_Toc81196563"/>
      <w:r>
        <w:rPr>
          <w:rFonts w:hint="eastAsia" w:ascii="宋体"/>
          <w:b/>
          <w:bCs/>
          <w:kern w:val="0"/>
          <w:sz w:val="24"/>
        </w:rPr>
        <w:t>1.</w:t>
      </w:r>
      <w:r>
        <w:rPr>
          <w:rFonts w:hint="eastAsia" w:ascii="宋体"/>
          <w:b/>
          <w:bCs/>
          <w:kern w:val="0"/>
          <w:sz w:val="24"/>
          <w:lang w:val="en-US" w:eastAsia="zh-CN"/>
        </w:rPr>
        <w:t>8</w:t>
      </w:r>
      <w:r>
        <w:rPr>
          <w:rFonts w:hint="eastAsia" w:ascii="宋体"/>
          <w:b/>
          <w:bCs/>
          <w:kern w:val="0"/>
          <w:sz w:val="24"/>
        </w:rPr>
        <w:t>特别说明</w:t>
      </w:r>
    </w:p>
    <w:p w14:paraId="633C7D55">
      <w:pPr>
        <w:snapToGrid w:val="0"/>
        <w:spacing w:line="360" w:lineRule="auto"/>
        <w:ind w:firstLine="426"/>
        <w:rPr>
          <w:rFonts w:ascii="宋体"/>
          <w:kern w:val="0"/>
          <w:sz w:val="24"/>
        </w:rPr>
      </w:pPr>
      <w:r>
        <w:rPr>
          <w:rFonts w:hint="eastAsia" w:ascii="宋体"/>
          <w:kern w:val="0"/>
          <w:sz w:val="24"/>
        </w:rPr>
        <w:t>1.本次招标采用电子交易方式。</w:t>
      </w:r>
    </w:p>
    <w:p w14:paraId="6D044FD8">
      <w:pPr>
        <w:snapToGrid w:val="0"/>
        <w:spacing w:line="360" w:lineRule="auto"/>
        <w:ind w:firstLine="426"/>
        <w:rPr>
          <w:rFonts w:ascii="宋体"/>
          <w:kern w:val="0"/>
          <w:sz w:val="24"/>
        </w:rPr>
      </w:pPr>
      <w:r>
        <w:rPr>
          <w:rFonts w:hint="eastAsia" w:ascii="宋体"/>
          <w:kern w:val="0"/>
          <w:sz w:val="24"/>
          <w:lang w:val="en-US" w:eastAsia="zh-CN"/>
        </w:rPr>
        <w:t>2</w:t>
      </w:r>
      <w:r>
        <w:rPr>
          <w:rFonts w:hint="eastAsia" w:ascii="宋体"/>
          <w:kern w:val="0"/>
          <w:sz w:val="24"/>
        </w:rPr>
        <w:t>.投标人</w:t>
      </w:r>
      <w:r>
        <w:rPr>
          <w:rFonts w:ascii="宋体"/>
          <w:kern w:val="0"/>
          <w:sz w:val="24"/>
        </w:rPr>
        <w:t>投标所使用的资格、信誉、荣誉、业绩与企业认证</w:t>
      </w:r>
      <w:r>
        <w:rPr>
          <w:rFonts w:hint="eastAsia" w:ascii="宋体"/>
          <w:kern w:val="0"/>
          <w:sz w:val="24"/>
        </w:rPr>
        <w:t>证书</w:t>
      </w:r>
      <w:r>
        <w:rPr>
          <w:rFonts w:ascii="宋体"/>
          <w:kern w:val="0"/>
          <w:sz w:val="24"/>
        </w:rPr>
        <w:t>必须为</w:t>
      </w:r>
      <w:r>
        <w:rPr>
          <w:rFonts w:hint="eastAsia" w:ascii="宋体"/>
          <w:kern w:val="0"/>
          <w:sz w:val="24"/>
        </w:rPr>
        <w:t>该投标人</w:t>
      </w:r>
      <w:r>
        <w:rPr>
          <w:rFonts w:ascii="宋体"/>
          <w:kern w:val="0"/>
          <w:sz w:val="24"/>
        </w:rPr>
        <w:t>所拥有。</w:t>
      </w:r>
    </w:p>
    <w:p w14:paraId="491436FB">
      <w:pPr>
        <w:snapToGrid w:val="0"/>
        <w:spacing w:line="360" w:lineRule="auto"/>
        <w:ind w:firstLine="426"/>
        <w:rPr>
          <w:rFonts w:ascii="宋体"/>
          <w:kern w:val="0"/>
          <w:sz w:val="24"/>
        </w:rPr>
      </w:pPr>
      <w:r>
        <w:rPr>
          <w:rFonts w:hint="eastAsia" w:ascii="宋体"/>
          <w:kern w:val="0"/>
          <w:sz w:val="24"/>
          <w:lang w:val="en-US" w:eastAsia="zh-CN"/>
        </w:rPr>
        <w:t>3</w:t>
      </w:r>
      <w:r>
        <w:rPr>
          <w:rFonts w:hint="eastAsia" w:ascii="宋体"/>
          <w:kern w:val="0"/>
          <w:sz w:val="24"/>
        </w:rPr>
        <w:t>.</w:t>
      </w:r>
      <w:r>
        <w:rPr>
          <w:rFonts w:ascii="宋体"/>
          <w:kern w:val="0"/>
          <w:sz w:val="24"/>
        </w:rPr>
        <w:t>投标人应仔细阅读招标文件的所有内容，按照招标文件的要求提交投标文件，并对所提供的全部资料的真实性承担法律责任。</w:t>
      </w:r>
    </w:p>
    <w:p w14:paraId="46A973BC">
      <w:pPr>
        <w:snapToGrid w:val="0"/>
        <w:spacing w:line="360" w:lineRule="auto"/>
        <w:ind w:firstLine="426"/>
        <w:rPr>
          <w:rFonts w:hint="eastAsia" w:ascii="宋体"/>
          <w:sz w:val="24"/>
          <w:szCs w:val="24"/>
        </w:rPr>
      </w:pPr>
      <w:r>
        <w:rPr>
          <w:rFonts w:hint="eastAsia" w:ascii="宋体"/>
          <w:kern w:val="0"/>
          <w:sz w:val="24"/>
          <w:lang w:val="en-US" w:eastAsia="zh-CN"/>
        </w:rPr>
        <w:t>4.</w:t>
      </w:r>
      <w:r>
        <w:rPr>
          <w:rFonts w:hint="eastAsia" w:ascii="宋体"/>
          <w:sz w:val="24"/>
          <w:szCs w:val="24"/>
        </w:rPr>
        <w:t>招标文件中指出的工艺、材料、设备、服务等标准以及推荐、参照的品牌或型号仅起说明作用，并没有任何限制性。投标人在投标中可以选用替代标准、品牌或型号，但这些替代要实质上满足或超过招标文件的要求。</w:t>
      </w:r>
    </w:p>
    <w:p w14:paraId="718448A1">
      <w:pPr>
        <w:snapToGrid w:val="0"/>
        <w:spacing w:line="360" w:lineRule="auto"/>
        <w:ind w:firstLine="426"/>
        <w:rPr>
          <w:rFonts w:ascii="宋体"/>
          <w:kern w:val="0"/>
          <w:sz w:val="24"/>
        </w:rPr>
      </w:pPr>
      <w:r>
        <w:rPr>
          <w:rFonts w:hint="eastAsia" w:ascii="宋体"/>
          <w:sz w:val="24"/>
          <w:szCs w:val="24"/>
          <w:lang w:val="en-US" w:eastAsia="zh-CN"/>
        </w:rPr>
        <w:t>5</w:t>
      </w:r>
      <w:r>
        <w:rPr>
          <w:rFonts w:hint="eastAsia" w:ascii="宋体"/>
          <w:sz w:val="24"/>
          <w:szCs w:val="24"/>
        </w:rPr>
        <w:t>.投标人投标所使用的资格、信誉、荣誉、业绩与企业认证证书必须为该投标人所拥有。</w:t>
      </w:r>
    </w:p>
    <w:p w14:paraId="205A7464">
      <w:pPr>
        <w:snapToGrid w:val="0"/>
        <w:spacing w:line="360" w:lineRule="auto"/>
        <w:ind w:firstLine="426"/>
        <w:rPr>
          <w:rFonts w:ascii="宋体"/>
          <w:kern w:val="0"/>
          <w:sz w:val="24"/>
        </w:rPr>
      </w:pPr>
      <w:r>
        <w:rPr>
          <w:rFonts w:hint="eastAsia" w:ascii="宋体"/>
          <w:kern w:val="0"/>
          <w:sz w:val="24"/>
          <w:lang w:val="en-US" w:eastAsia="zh-CN"/>
        </w:rPr>
        <w:t>6</w:t>
      </w:r>
      <w:r>
        <w:rPr>
          <w:rFonts w:hint="eastAsia" w:ascii="宋体"/>
          <w:kern w:val="0"/>
          <w:sz w:val="24"/>
        </w:rPr>
        <w:t>.招标过程中出现以下情形，导致电子交易平台无法正常运行，或者无法保证电子交易的公平、公正和安全时，招标人（或招标代理机构）可中止电子交易活动：</w:t>
      </w:r>
    </w:p>
    <w:p w14:paraId="40A2C2F1">
      <w:pPr>
        <w:snapToGrid w:val="0"/>
        <w:spacing w:line="360" w:lineRule="auto"/>
        <w:ind w:firstLine="426"/>
        <w:rPr>
          <w:rFonts w:ascii="宋体"/>
          <w:kern w:val="0"/>
          <w:sz w:val="24"/>
        </w:rPr>
      </w:pPr>
      <w:r>
        <w:rPr>
          <w:rFonts w:hint="eastAsia" w:ascii="宋体"/>
          <w:kern w:val="0"/>
          <w:sz w:val="24"/>
        </w:rPr>
        <w:t xml:space="preserve">（1）电子交易平台发生故障而无法登录访问的； </w:t>
      </w:r>
    </w:p>
    <w:p w14:paraId="1C229E53">
      <w:pPr>
        <w:snapToGrid w:val="0"/>
        <w:spacing w:line="360" w:lineRule="auto"/>
        <w:ind w:firstLine="426"/>
        <w:rPr>
          <w:rFonts w:ascii="宋体"/>
          <w:kern w:val="0"/>
          <w:sz w:val="24"/>
        </w:rPr>
      </w:pPr>
      <w:r>
        <w:rPr>
          <w:rFonts w:hint="eastAsia" w:ascii="宋体"/>
          <w:kern w:val="0"/>
          <w:sz w:val="24"/>
        </w:rPr>
        <w:t>（2）电子交易平台应用或数据库出现错误，不能进行正常操作的；</w:t>
      </w:r>
    </w:p>
    <w:p w14:paraId="668C4BFD">
      <w:pPr>
        <w:snapToGrid w:val="0"/>
        <w:spacing w:line="360" w:lineRule="auto"/>
        <w:ind w:firstLine="426"/>
        <w:rPr>
          <w:rFonts w:ascii="宋体"/>
          <w:kern w:val="0"/>
          <w:sz w:val="24"/>
        </w:rPr>
      </w:pPr>
      <w:r>
        <w:rPr>
          <w:rFonts w:hint="eastAsia" w:ascii="宋体"/>
          <w:kern w:val="0"/>
          <w:sz w:val="24"/>
        </w:rPr>
        <w:t>（3）电子交易平台发现严重安全漏洞，有潜在泄密危险的；</w:t>
      </w:r>
    </w:p>
    <w:p w14:paraId="65CB11E9">
      <w:pPr>
        <w:snapToGrid w:val="0"/>
        <w:spacing w:line="360" w:lineRule="auto"/>
        <w:ind w:firstLine="426"/>
        <w:rPr>
          <w:rFonts w:ascii="宋体"/>
          <w:kern w:val="0"/>
          <w:sz w:val="24"/>
        </w:rPr>
      </w:pPr>
      <w:r>
        <w:rPr>
          <w:rFonts w:hint="eastAsia" w:ascii="宋体"/>
          <w:kern w:val="0"/>
          <w:sz w:val="24"/>
        </w:rPr>
        <w:t>（4）病毒发作导致不能进行正常操作的；</w:t>
      </w:r>
    </w:p>
    <w:p w14:paraId="1BB46211">
      <w:pPr>
        <w:snapToGrid w:val="0"/>
        <w:spacing w:line="360" w:lineRule="auto"/>
        <w:ind w:firstLine="426"/>
        <w:rPr>
          <w:rFonts w:ascii="宋体"/>
          <w:kern w:val="0"/>
          <w:sz w:val="24"/>
        </w:rPr>
      </w:pPr>
      <w:r>
        <w:rPr>
          <w:rFonts w:hint="eastAsia" w:ascii="宋体"/>
          <w:kern w:val="0"/>
          <w:sz w:val="24"/>
        </w:rPr>
        <w:t>（5）其他无法保证电子交易的公平、公正和安全的情况。</w:t>
      </w:r>
    </w:p>
    <w:p w14:paraId="418D66BD">
      <w:pPr>
        <w:snapToGrid w:val="0"/>
        <w:spacing w:line="360" w:lineRule="auto"/>
        <w:ind w:firstLine="480" w:firstLineChars="200"/>
        <w:rPr>
          <w:sz w:val="24"/>
        </w:rPr>
      </w:pPr>
      <w:r>
        <w:rPr>
          <w:rFonts w:hint="eastAsia" w:ascii="宋体"/>
          <w:kern w:val="0"/>
          <w:sz w:val="24"/>
        </w:rPr>
        <w:t>出现上述规定情形，不影响采购公平、公正性的，招标（或招标代理机构）可以待上述情形消除后继续组织电子交易活动，也可以决定某些环节以纸质形式进行。</w:t>
      </w:r>
    </w:p>
    <w:p w14:paraId="028F4B20">
      <w:pPr>
        <w:pStyle w:val="5"/>
        <w:spacing w:before="0" w:after="0" w:line="360" w:lineRule="auto"/>
        <w:rPr>
          <w:b w:val="0"/>
          <w:sz w:val="24"/>
          <w:szCs w:val="24"/>
        </w:rPr>
      </w:pPr>
      <w:r>
        <w:rPr>
          <w:rFonts w:hint="eastAsia"/>
          <w:b w:val="0"/>
          <w:sz w:val="24"/>
          <w:szCs w:val="24"/>
        </w:rPr>
        <w:t>2 招标文件</w:t>
      </w:r>
      <w:bookmarkStart w:id="11" w:name="_Toc81196555"/>
    </w:p>
    <w:p w14:paraId="3D0512FD">
      <w:pPr>
        <w:pStyle w:val="4"/>
        <w:spacing w:before="0" w:after="0" w:line="360" w:lineRule="auto"/>
        <w:rPr>
          <w:sz w:val="24"/>
          <w:szCs w:val="24"/>
        </w:rPr>
      </w:pPr>
      <w:r>
        <w:rPr>
          <w:rFonts w:hint="eastAsia"/>
          <w:sz w:val="24"/>
          <w:szCs w:val="24"/>
        </w:rPr>
        <w:t xml:space="preserve">2.1 </w:t>
      </w:r>
      <w:r>
        <w:rPr>
          <w:sz w:val="24"/>
          <w:szCs w:val="24"/>
        </w:rPr>
        <w:t>招标文件的组成</w:t>
      </w:r>
      <w:bookmarkEnd w:id="11"/>
    </w:p>
    <w:p w14:paraId="66A7813B">
      <w:pPr>
        <w:spacing w:line="360" w:lineRule="auto"/>
        <w:ind w:firstLine="480" w:firstLineChars="200"/>
        <w:rPr>
          <w:sz w:val="24"/>
        </w:rPr>
      </w:pPr>
      <w:r>
        <w:rPr>
          <w:rFonts w:hint="eastAsia"/>
          <w:sz w:val="24"/>
        </w:rPr>
        <w:t>本</w:t>
      </w:r>
      <w:r>
        <w:rPr>
          <w:sz w:val="24"/>
        </w:rPr>
        <w:t>招标文件包括下列内容：</w:t>
      </w:r>
    </w:p>
    <w:p w14:paraId="3750BBF5">
      <w:pPr>
        <w:spacing w:line="360" w:lineRule="auto"/>
        <w:ind w:firstLine="410" w:firstLineChars="171"/>
        <w:rPr>
          <w:sz w:val="24"/>
        </w:rPr>
      </w:pPr>
      <w:r>
        <w:rPr>
          <w:rFonts w:hint="eastAsia"/>
          <w:sz w:val="24"/>
        </w:rPr>
        <w:t>（1）招标公告</w:t>
      </w:r>
    </w:p>
    <w:p w14:paraId="59FE2F1F">
      <w:pPr>
        <w:spacing w:line="360" w:lineRule="auto"/>
        <w:ind w:firstLine="410" w:firstLineChars="171"/>
        <w:rPr>
          <w:sz w:val="24"/>
        </w:rPr>
      </w:pPr>
      <w:r>
        <w:rPr>
          <w:rFonts w:hint="eastAsia"/>
          <w:sz w:val="24"/>
        </w:rPr>
        <w:t>（2）投标人须知；</w:t>
      </w:r>
    </w:p>
    <w:p w14:paraId="3B4169AC">
      <w:pPr>
        <w:spacing w:line="360" w:lineRule="auto"/>
        <w:ind w:firstLine="410" w:firstLineChars="171"/>
        <w:rPr>
          <w:sz w:val="24"/>
        </w:rPr>
      </w:pPr>
      <w:r>
        <w:rPr>
          <w:rFonts w:hint="eastAsia"/>
          <w:sz w:val="24"/>
        </w:rPr>
        <w:t>（3）评标办法；</w:t>
      </w:r>
    </w:p>
    <w:p w14:paraId="63B53D2E">
      <w:pPr>
        <w:spacing w:line="360" w:lineRule="auto"/>
        <w:ind w:firstLine="410" w:firstLineChars="171"/>
        <w:rPr>
          <w:sz w:val="24"/>
        </w:rPr>
      </w:pPr>
      <w:r>
        <w:rPr>
          <w:rFonts w:hint="eastAsia"/>
          <w:sz w:val="24"/>
        </w:rPr>
        <w:t>（4）招标内容及要求；</w:t>
      </w:r>
    </w:p>
    <w:p w14:paraId="6BB37FD9">
      <w:pPr>
        <w:spacing w:line="360" w:lineRule="auto"/>
        <w:ind w:firstLine="410" w:firstLineChars="171"/>
        <w:rPr>
          <w:sz w:val="24"/>
        </w:rPr>
      </w:pPr>
      <w:r>
        <w:rPr>
          <w:rFonts w:hint="eastAsia"/>
          <w:sz w:val="24"/>
        </w:rPr>
        <w:t>（5）合同主要条款；</w:t>
      </w:r>
    </w:p>
    <w:p w14:paraId="54FEAA0E">
      <w:pPr>
        <w:spacing w:line="360" w:lineRule="auto"/>
        <w:ind w:firstLine="410" w:firstLineChars="171"/>
        <w:rPr>
          <w:sz w:val="24"/>
        </w:rPr>
      </w:pPr>
      <w:r>
        <w:rPr>
          <w:rFonts w:hint="eastAsia"/>
          <w:sz w:val="24"/>
        </w:rPr>
        <w:t>（6）投标文件格式。</w:t>
      </w:r>
    </w:p>
    <w:p w14:paraId="2EB64A2E">
      <w:pPr>
        <w:spacing w:line="360" w:lineRule="auto"/>
        <w:ind w:firstLine="480" w:firstLineChars="200"/>
        <w:rPr>
          <w:sz w:val="24"/>
        </w:rPr>
      </w:pPr>
      <w:r>
        <w:rPr>
          <w:rFonts w:hint="eastAsia"/>
          <w:sz w:val="24"/>
        </w:rPr>
        <w:t>根据本节第2.2款和第2.3款对招标文件所作的澄清、修改，构成招标文件的组成部分。</w:t>
      </w:r>
    </w:p>
    <w:p w14:paraId="7A8930C0">
      <w:pPr>
        <w:snapToGrid w:val="0"/>
        <w:spacing w:line="360" w:lineRule="auto"/>
        <w:jc w:val="left"/>
        <w:rPr>
          <w:b/>
          <w:bCs/>
          <w:sz w:val="24"/>
        </w:rPr>
      </w:pPr>
      <w:bookmarkStart w:id="12" w:name="_Toc81196556"/>
      <w:r>
        <w:rPr>
          <w:rFonts w:hint="eastAsia"/>
          <w:b/>
          <w:bCs/>
          <w:sz w:val="24"/>
        </w:rPr>
        <w:t>2.2</w:t>
      </w:r>
      <w:r>
        <w:rPr>
          <w:b/>
          <w:bCs/>
          <w:sz w:val="24"/>
        </w:rPr>
        <w:t>投标人的风险</w:t>
      </w:r>
    </w:p>
    <w:p w14:paraId="02294E31">
      <w:pPr>
        <w:pStyle w:val="15"/>
        <w:snapToGrid w:val="0"/>
        <w:spacing w:line="360" w:lineRule="auto"/>
        <w:ind w:firstLine="426"/>
        <w:rPr>
          <w:bCs/>
          <w:sz w:val="24"/>
          <w:szCs w:val="24"/>
        </w:rPr>
      </w:pPr>
      <w:r>
        <w:rPr>
          <w:rFonts w:hint="eastAsia"/>
          <w:bCs/>
          <w:sz w:val="24"/>
          <w:szCs w:val="24"/>
        </w:rPr>
        <w:t>1. 投标截止时间前，投标人未将“电子加密投标文件” 成功上传至“</w:t>
      </w:r>
      <w:r>
        <w:rPr>
          <w:rFonts w:hint="eastAsia"/>
          <w:sz w:val="24"/>
          <w:szCs w:val="24"/>
        </w:rPr>
        <w:t>化工云商网（巨化数字化招采平台）</w:t>
      </w:r>
      <w:r>
        <w:rPr>
          <w:rFonts w:hint="eastAsia"/>
          <w:bCs/>
          <w:sz w:val="24"/>
          <w:szCs w:val="24"/>
        </w:rPr>
        <w:t>”的，投标无效。</w:t>
      </w:r>
    </w:p>
    <w:p w14:paraId="20890D84">
      <w:pPr>
        <w:pStyle w:val="15"/>
        <w:snapToGrid w:val="0"/>
        <w:spacing w:line="360" w:lineRule="auto"/>
        <w:ind w:firstLine="426"/>
        <w:rPr>
          <w:sz w:val="24"/>
          <w:szCs w:val="24"/>
        </w:rPr>
      </w:pPr>
      <w:r>
        <w:rPr>
          <w:rFonts w:hint="eastAsia"/>
          <w:bCs/>
          <w:sz w:val="24"/>
          <w:szCs w:val="24"/>
        </w:rPr>
        <w:t>2.投标人没有按照招标文件要求提供全部资料，或者投标人没有对招标文件在各方面作出实质性响应是投标人的风险，并可能导致其投标无效。</w:t>
      </w:r>
    </w:p>
    <w:p w14:paraId="1057732B">
      <w:pPr>
        <w:pStyle w:val="4"/>
        <w:spacing w:before="0" w:after="0" w:line="360" w:lineRule="auto"/>
        <w:rPr>
          <w:sz w:val="24"/>
          <w:szCs w:val="24"/>
        </w:rPr>
      </w:pPr>
      <w:r>
        <w:rPr>
          <w:rFonts w:hint="eastAsia"/>
          <w:sz w:val="24"/>
          <w:szCs w:val="24"/>
        </w:rPr>
        <w:t xml:space="preserve">2.3 </w:t>
      </w:r>
      <w:r>
        <w:rPr>
          <w:sz w:val="24"/>
          <w:szCs w:val="24"/>
        </w:rPr>
        <w:t>招标文件的澄清</w:t>
      </w:r>
      <w:bookmarkEnd w:id="12"/>
    </w:p>
    <w:p w14:paraId="6A7162C8">
      <w:pPr>
        <w:pStyle w:val="15"/>
        <w:snapToGrid w:val="0"/>
        <w:spacing w:line="360" w:lineRule="auto"/>
        <w:ind w:firstLine="426"/>
        <w:rPr>
          <w:sz w:val="24"/>
          <w:szCs w:val="24"/>
        </w:rPr>
      </w:pPr>
      <w:bookmarkStart w:id="13" w:name="_Toc81196557"/>
      <w:r>
        <w:rPr>
          <w:sz w:val="24"/>
          <w:szCs w:val="24"/>
        </w:rPr>
        <w:t>1.</w:t>
      </w:r>
      <w:r>
        <w:rPr>
          <w:bCs/>
          <w:sz w:val="24"/>
          <w:szCs w:val="24"/>
        </w:rPr>
        <w:t>投标人应认真阅读本招标文件，发现其中有</w:t>
      </w:r>
      <w:r>
        <w:rPr>
          <w:sz w:val="24"/>
          <w:szCs w:val="24"/>
        </w:rPr>
        <w:t>表述不清晰、前后矛盾等内容的</w:t>
      </w:r>
      <w:r>
        <w:rPr>
          <w:bCs/>
          <w:sz w:val="24"/>
          <w:szCs w:val="24"/>
        </w:rPr>
        <w:t>，投标人可以</w:t>
      </w:r>
      <w:r>
        <w:rPr>
          <w:sz w:val="24"/>
          <w:szCs w:val="24"/>
        </w:rPr>
        <w:t>在投标截止日</w:t>
      </w:r>
      <w:r>
        <w:rPr>
          <w:rFonts w:hint="eastAsia"/>
          <w:sz w:val="24"/>
          <w:szCs w:val="24"/>
        </w:rPr>
        <w:t>3</w:t>
      </w:r>
      <w:r>
        <w:rPr>
          <w:sz w:val="24"/>
          <w:szCs w:val="24"/>
        </w:rPr>
        <w:t>天前</w:t>
      </w:r>
      <w:r>
        <w:rPr>
          <w:bCs/>
          <w:sz w:val="24"/>
          <w:szCs w:val="24"/>
        </w:rPr>
        <w:t>以书面形式要求招标人澄清</w:t>
      </w:r>
      <w:r>
        <w:rPr>
          <w:sz w:val="24"/>
          <w:szCs w:val="24"/>
        </w:rPr>
        <w:t>。</w:t>
      </w:r>
    </w:p>
    <w:p w14:paraId="4C33A1F1">
      <w:pPr>
        <w:pStyle w:val="15"/>
        <w:snapToGrid w:val="0"/>
        <w:spacing w:line="360" w:lineRule="auto"/>
        <w:ind w:firstLine="426"/>
        <w:rPr>
          <w:sz w:val="24"/>
          <w:szCs w:val="24"/>
        </w:rPr>
      </w:pPr>
      <w:r>
        <w:rPr>
          <w:sz w:val="24"/>
          <w:szCs w:val="24"/>
        </w:rPr>
        <w:t>2.招标人以书面形式答复投标人要求澄清的问题，并将不包含问题来源的答复书面通知所有购买招标文件的投标人；除书面答复以外的其他澄清方式及澄清内容均无效。</w:t>
      </w:r>
    </w:p>
    <w:p w14:paraId="0405993B">
      <w:pPr>
        <w:pStyle w:val="15"/>
        <w:snapToGrid w:val="0"/>
        <w:spacing w:line="360" w:lineRule="auto"/>
        <w:ind w:firstLine="426"/>
        <w:rPr>
          <w:sz w:val="24"/>
          <w:szCs w:val="24"/>
        </w:rPr>
      </w:pPr>
      <w:r>
        <w:rPr>
          <w:sz w:val="24"/>
          <w:szCs w:val="24"/>
        </w:rPr>
        <w:t>3.招标文件澄清、修改的内容为招标文件的组成部分。当招标文件与招标文件的澄清、修改通知就同一内容的表述不一致时，以最后发出的书面文件为准。</w:t>
      </w:r>
    </w:p>
    <w:p w14:paraId="7521FAD5">
      <w:pPr>
        <w:pStyle w:val="15"/>
        <w:snapToGrid w:val="0"/>
        <w:spacing w:line="360" w:lineRule="auto"/>
        <w:ind w:firstLine="426"/>
        <w:rPr>
          <w:sz w:val="24"/>
          <w:szCs w:val="24"/>
        </w:rPr>
      </w:pPr>
      <w:r>
        <w:rPr>
          <w:sz w:val="24"/>
          <w:szCs w:val="24"/>
        </w:rPr>
        <w:t>4.招标文件的澄清、修改都应该通过本项目招标代理机构发布。</w:t>
      </w:r>
    </w:p>
    <w:bookmarkEnd w:id="13"/>
    <w:p w14:paraId="25A297C7">
      <w:pPr>
        <w:pStyle w:val="5"/>
        <w:spacing w:before="0" w:after="0" w:line="360" w:lineRule="auto"/>
        <w:rPr>
          <w:b/>
          <w:bCs w:val="0"/>
          <w:sz w:val="24"/>
          <w:szCs w:val="24"/>
        </w:rPr>
      </w:pPr>
      <w:r>
        <w:rPr>
          <w:rFonts w:hint="eastAsia"/>
          <w:b/>
          <w:bCs w:val="0"/>
          <w:sz w:val="24"/>
          <w:szCs w:val="24"/>
        </w:rPr>
        <w:t>3 投标文件</w:t>
      </w:r>
    </w:p>
    <w:p w14:paraId="12FA5CD3">
      <w:pPr>
        <w:pStyle w:val="4"/>
        <w:spacing w:before="0" w:after="0" w:line="360" w:lineRule="auto"/>
        <w:rPr>
          <w:sz w:val="24"/>
          <w:szCs w:val="24"/>
        </w:rPr>
      </w:pPr>
      <w:bookmarkStart w:id="14" w:name="_Toc81196559"/>
      <w:r>
        <w:rPr>
          <w:rFonts w:hint="eastAsia" w:ascii="宋体" w:cs="宋体"/>
          <w:color w:val="000000"/>
          <w:sz w:val="24"/>
          <w:szCs w:val="24"/>
        </w:rPr>
        <w:t>*</w:t>
      </w:r>
      <w:r>
        <w:rPr>
          <w:rFonts w:hint="eastAsia"/>
          <w:sz w:val="24"/>
          <w:szCs w:val="24"/>
        </w:rPr>
        <w:t xml:space="preserve">3.1 </w:t>
      </w:r>
      <w:r>
        <w:rPr>
          <w:sz w:val="24"/>
          <w:szCs w:val="24"/>
        </w:rPr>
        <w:t>投标文件的组成</w:t>
      </w:r>
      <w:bookmarkEnd w:id="14"/>
    </w:p>
    <w:p w14:paraId="7D4ED049">
      <w:pPr>
        <w:spacing w:line="360" w:lineRule="auto"/>
        <w:rPr>
          <w:rFonts w:ascii="宋体" w:cs="宋体"/>
          <w:sz w:val="24"/>
          <w:highlight w:val="none"/>
        </w:rPr>
      </w:pPr>
      <w:r>
        <w:rPr>
          <w:rFonts w:ascii="宋体" w:cs="宋体"/>
          <w:sz w:val="24"/>
          <w:highlight w:val="none"/>
        </w:rPr>
        <w:t>3.1.1</w:t>
      </w:r>
      <w:r>
        <w:rPr>
          <w:rFonts w:hint="eastAsia" w:ascii="宋体" w:cs="宋体"/>
          <w:sz w:val="24"/>
          <w:highlight w:val="none"/>
        </w:rPr>
        <w:t xml:space="preserve"> 投标文件由</w:t>
      </w:r>
      <w:r>
        <w:rPr>
          <w:rFonts w:hint="eastAsia"/>
          <w:b/>
          <w:sz w:val="24"/>
          <w:highlight w:val="none"/>
        </w:rPr>
        <w:t>技术资信文件</w:t>
      </w:r>
      <w:r>
        <w:rPr>
          <w:rFonts w:hint="eastAsia" w:ascii="宋体" w:cs="宋体"/>
          <w:b/>
          <w:sz w:val="24"/>
          <w:highlight w:val="none"/>
        </w:rPr>
        <w:t>和</w:t>
      </w:r>
      <w:r>
        <w:rPr>
          <w:rFonts w:hint="eastAsia"/>
          <w:b/>
          <w:sz w:val="24"/>
          <w:highlight w:val="none"/>
        </w:rPr>
        <w:t>商务经济文件</w:t>
      </w:r>
      <w:r>
        <w:rPr>
          <w:rFonts w:hint="eastAsia" w:ascii="宋体" w:cs="宋体"/>
          <w:sz w:val="24"/>
          <w:highlight w:val="none"/>
        </w:rPr>
        <w:t>两部分组成。</w:t>
      </w:r>
    </w:p>
    <w:p w14:paraId="212C78E2">
      <w:pPr>
        <w:spacing w:line="360" w:lineRule="auto"/>
        <w:ind w:firstLine="480" w:firstLineChars="200"/>
        <w:rPr>
          <w:rFonts w:ascii="宋体" w:cs="宋体"/>
          <w:sz w:val="24"/>
          <w:highlight w:val="none"/>
          <w:lang w:val="zh-CN"/>
        </w:rPr>
      </w:pPr>
      <w:r>
        <w:rPr>
          <w:rFonts w:ascii="宋体" w:cs="宋体"/>
          <w:sz w:val="24"/>
          <w:highlight w:val="none"/>
          <w:lang w:val="zh-CN"/>
        </w:rPr>
        <w:t>技术资信文件</w:t>
      </w:r>
      <w:r>
        <w:rPr>
          <w:rFonts w:hint="eastAsia" w:ascii="宋体" w:cs="宋体"/>
          <w:sz w:val="24"/>
          <w:highlight w:val="none"/>
          <w:lang w:val="zh-CN"/>
        </w:rPr>
        <w:t>中必须包括：</w:t>
      </w:r>
    </w:p>
    <w:p w14:paraId="683F1301">
      <w:pPr>
        <w:widowControl/>
        <w:spacing w:line="360" w:lineRule="auto"/>
        <w:textAlignment w:val="baseline"/>
        <w:rPr>
          <w:sz w:val="24"/>
          <w:highlight w:val="none"/>
        </w:rPr>
      </w:pPr>
      <w:r>
        <w:rPr>
          <w:rFonts w:hint="eastAsia"/>
          <w:sz w:val="24"/>
          <w:highlight w:val="none"/>
        </w:rPr>
        <w:t>（1）技术资信标书封面（格式见附件）</w:t>
      </w:r>
    </w:p>
    <w:p w14:paraId="427CD88B">
      <w:pPr>
        <w:widowControl/>
        <w:spacing w:line="360" w:lineRule="auto"/>
        <w:textAlignment w:val="baseline"/>
        <w:rPr>
          <w:sz w:val="24"/>
          <w:highlight w:val="none"/>
        </w:rPr>
      </w:pPr>
      <w:r>
        <w:rPr>
          <w:rFonts w:hint="eastAsia"/>
          <w:sz w:val="24"/>
          <w:highlight w:val="none"/>
        </w:rPr>
        <w:t>（2）▲资格证明文件：</w:t>
      </w:r>
    </w:p>
    <w:p w14:paraId="7750204C">
      <w:pPr>
        <w:spacing w:line="360" w:lineRule="auto"/>
        <w:ind w:firstLine="480" w:firstLineChars="200"/>
        <w:rPr>
          <w:rFonts w:hint="eastAsia" w:ascii="宋体" w:eastAsia="宋体" w:cs="宋体"/>
          <w:sz w:val="24"/>
          <w:highlight w:val="none"/>
          <w:lang w:val="zh-CN"/>
        </w:rPr>
      </w:pPr>
      <w:r>
        <w:rPr>
          <w:rFonts w:hint="eastAsia" w:ascii="宋体" w:eastAsia="宋体" w:cs="宋体"/>
          <w:sz w:val="24"/>
          <w:highlight w:val="none"/>
          <w:lang w:val="zh-CN"/>
        </w:rPr>
        <w:t>1</w:t>
      </w:r>
      <w:r>
        <w:rPr>
          <w:rFonts w:hint="eastAsia" w:ascii="宋体" w:eastAsia="宋体" w:cs="宋体"/>
          <w:sz w:val="24"/>
          <w:highlight w:val="none"/>
          <w:lang w:val="zh-CN" w:eastAsia="zh-CN"/>
        </w:rPr>
        <w:t>.</w:t>
      </w:r>
      <w:r>
        <w:rPr>
          <w:rFonts w:hint="eastAsia" w:ascii="宋体" w:eastAsia="宋体" w:cs="宋体"/>
          <w:sz w:val="24"/>
          <w:highlight w:val="none"/>
          <w:lang w:val="zh-CN"/>
        </w:rPr>
        <w:t>投标人资格承诺函(格式见附件)；</w:t>
      </w:r>
    </w:p>
    <w:p w14:paraId="08D84E1D">
      <w:pPr>
        <w:spacing w:line="360" w:lineRule="auto"/>
        <w:ind w:firstLine="480" w:firstLineChars="200"/>
        <w:rPr>
          <w:rFonts w:hint="eastAsia" w:ascii="宋体" w:eastAsia="宋体" w:cs="宋体"/>
          <w:sz w:val="24"/>
          <w:highlight w:val="none"/>
          <w:lang w:val="zh-CN"/>
        </w:rPr>
      </w:pPr>
      <w:r>
        <w:rPr>
          <w:rFonts w:hint="eastAsia" w:ascii="宋体" w:eastAsia="宋体" w:cs="宋体"/>
          <w:sz w:val="24"/>
          <w:highlight w:val="none"/>
          <w:lang w:val="en-US" w:eastAsia="zh-CN"/>
        </w:rPr>
        <w:t>2.</w:t>
      </w:r>
      <w:r>
        <w:rPr>
          <w:rFonts w:hint="eastAsia" w:ascii="宋体" w:eastAsia="宋体" w:cs="宋体"/>
          <w:kern w:val="2"/>
          <w:sz w:val="24"/>
          <w:szCs w:val="24"/>
          <w:highlight w:val="none"/>
          <w:lang w:val="en-US" w:eastAsia="zh-CN" w:bidi="ar-SA"/>
        </w:rPr>
        <w:t>招标公告中投标人资格要求的全部内容提供资料</w:t>
      </w:r>
    </w:p>
    <w:p w14:paraId="7D41D927">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3.</w:t>
      </w:r>
      <w:r>
        <w:rPr>
          <w:rFonts w:hint="eastAsia" w:ascii="宋体" w:eastAsia="宋体" w:cs="宋体"/>
          <w:sz w:val="24"/>
          <w:highlight w:val="none"/>
          <w:lang w:val="zh-CN"/>
        </w:rPr>
        <w:t>法定代表人身份证明或法定代表人授权委托书；</w:t>
      </w:r>
    </w:p>
    <w:p w14:paraId="71A39262">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4.</w:t>
      </w:r>
      <w:r>
        <w:rPr>
          <w:rFonts w:hint="eastAsia" w:ascii="宋体" w:eastAsia="宋体" w:cs="宋体"/>
          <w:sz w:val="24"/>
          <w:highlight w:val="none"/>
          <w:lang w:val="zh-CN"/>
        </w:rPr>
        <w:t>投标声明书（格式见附件）；</w:t>
      </w:r>
    </w:p>
    <w:p w14:paraId="30026CAF">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5.</w:t>
      </w:r>
      <w:r>
        <w:rPr>
          <w:rFonts w:hint="eastAsia" w:ascii="宋体" w:eastAsia="宋体" w:cs="宋体"/>
          <w:sz w:val="24"/>
          <w:highlight w:val="none"/>
          <w:lang w:val="zh-CN"/>
        </w:rPr>
        <w:t>提供供应商（服务商）承诺书及廉洁承诺书（格式见附件）；</w:t>
      </w:r>
    </w:p>
    <w:p w14:paraId="47956EE6">
      <w:pPr>
        <w:spacing w:line="360" w:lineRule="auto"/>
        <w:ind w:firstLine="480" w:firstLineChars="200"/>
        <w:rPr>
          <w:kern w:val="0"/>
          <w:sz w:val="24"/>
          <w:highlight w:val="none"/>
        </w:rPr>
      </w:pPr>
      <w:r>
        <w:rPr>
          <w:kern w:val="0"/>
          <w:sz w:val="24"/>
          <w:highlight w:val="none"/>
        </w:rPr>
        <w:t>以上为资格证明必备条件，所提供的材料必须在有效期内。资格审查未通过的，投标文件作</w:t>
      </w:r>
      <w:r>
        <w:rPr>
          <w:b/>
          <w:bCs/>
          <w:kern w:val="0"/>
          <w:sz w:val="24"/>
          <w:highlight w:val="none"/>
        </w:rPr>
        <w:t>否决</w:t>
      </w:r>
      <w:r>
        <w:rPr>
          <w:kern w:val="0"/>
          <w:sz w:val="24"/>
          <w:highlight w:val="none"/>
        </w:rPr>
        <w:t>处理。</w:t>
      </w:r>
    </w:p>
    <w:p w14:paraId="794AF1F4">
      <w:pPr>
        <w:spacing w:line="360" w:lineRule="auto"/>
        <w:rPr>
          <w:rFonts w:ascii="宋体" w:cs="宋体"/>
          <w:sz w:val="24"/>
          <w:lang w:val="zh-CN"/>
        </w:rPr>
      </w:pPr>
      <w:r>
        <w:rPr>
          <w:rFonts w:hint="eastAsia" w:ascii="宋体" w:cs="宋体"/>
          <w:sz w:val="24"/>
          <w:lang w:val="zh-CN"/>
        </w:rPr>
        <w:t>（</w:t>
      </w:r>
      <w:r>
        <w:rPr>
          <w:rFonts w:hint="eastAsia" w:ascii="宋体" w:cs="宋体"/>
          <w:sz w:val="24"/>
        </w:rPr>
        <w:t>3</w:t>
      </w:r>
      <w:r>
        <w:rPr>
          <w:rFonts w:hint="eastAsia" w:ascii="宋体" w:cs="宋体"/>
          <w:sz w:val="24"/>
          <w:lang w:val="zh-CN"/>
        </w:rPr>
        <w:t>）投标保证金支付凭证；</w:t>
      </w:r>
    </w:p>
    <w:p w14:paraId="40727EAF">
      <w:pPr>
        <w:spacing w:line="360" w:lineRule="auto"/>
        <w:rPr>
          <w:rFonts w:ascii="宋体" w:cs="宋体"/>
          <w:sz w:val="24"/>
          <w:lang w:val="zh-CN"/>
        </w:rPr>
      </w:pPr>
      <w:r>
        <w:rPr>
          <w:rFonts w:hint="eastAsia" w:ascii="宋体" w:cs="宋体"/>
          <w:sz w:val="24"/>
          <w:lang w:val="zh-CN"/>
        </w:rPr>
        <w:t>（</w:t>
      </w:r>
      <w:r>
        <w:rPr>
          <w:rFonts w:hint="eastAsia" w:ascii="宋体" w:cs="宋体"/>
          <w:sz w:val="24"/>
          <w:lang w:val="en-US" w:eastAsia="zh-CN"/>
        </w:rPr>
        <w:t>4</w:t>
      </w:r>
      <w:r>
        <w:rPr>
          <w:rFonts w:hint="eastAsia" w:ascii="宋体" w:cs="宋体"/>
          <w:sz w:val="24"/>
          <w:lang w:val="zh-CN"/>
        </w:rPr>
        <w:t>）评分办法要求的其他内容；</w:t>
      </w:r>
    </w:p>
    <w:p w14:paraId="650A749A">
      <w:pPr>
        <w:pStyle w:val="15"/>
        <w:snapToGrid w:val="0"/>
        <w:spacing w:line="360" w:lineRule="auto"/>
        <w:rPr>
          <w:rFonts w:cs="宋体"/>
          <w:sz w:val="24"/>
          <w:szCs w:val="24"/>
        </w:rPr>
      </w:pPr>
      <w:r>
        <w:rPr>
          <w:rFonts w:hint="eastAsia" w:cs="宋体"/>
          <w:kern w:val="0"/>
          <w:sz w:val="24"/>
          <w:szCs w:val="24"/>
        </w:rPr>
        <w:t>（</w:t>
      </w:r>
      <w:r>
        <w:rPr>
          <w:rFonts w:hint="eastAsia" w:cs="宋体"/>
          <w:kern w:val="0"/>
          <w:sz w:val="24"/>
          <w:szCs w:val="24"/>
          <w:lang w:val="en-US" w:eastAsia="zh-CN"/>
        </w:rPr>
        <w:t>5</w:t>
      </w:r>
      <w:r>
        <w:rPr>
          <w:rFonts w:hint="eastAsia" w:cs="宋体"/>
          <w:kern w:val="0"/>
          <w:sz w:val="24"/>
          <w:szCs w:val="24"/>
        </w:rPr>
        <w:t>）投标人认为需要提供的其他文件和资料</w:t>
      </w:r>
      <w:r>
        <w:rPr>
          <w:rFonts w:hint="eastAsia" w:cs="宋体"/>
          <w:sz w:val="24"/>
          <w:szCs w:val="24"/>
        </w:rPr>
        <w:t>。</w:t>
      </w:r>
    </w:p>
    <w:p w14:paraId="12DE04F8">
      <w:pPr>
        <w:spacing w:line="360" w:lineRule="auto"/>
        <w:ind w:firstLine="482" w:firstLineChars="200"/>
        <w:rPr>
          <w:rFonts w:ascii="宋体" w:cs="宋体"/>
          <w:sz w:val="24"/>
          <w:lang w:val="zh-CN"/>
        </w:rPr>
      </w:pPr>
      <w:r>
        <w:rPr>
          <w:rFonts w:hint="eastAsia" w:ascii="宋体" w:cs="宋体"/>
          <w:b/>
          <w:bCs/>
          <w:sz w:val="24"/>
        </w:rPr>
        <w:t>商务经济文件</w:t>
      </w:r>
      <w:r>
        <w:rPr>
          <w:rFonts w:hint="eastAsia" w:ascii="宋体" w:cs="宋体"/>
          <w:sz w:val="24"/>
          <w:lang w:val="zh-CN"/>
        </w:rPr>
        <w:t>中必须包括：</w:t>
      </w:r>
    </w:p>
    <w:p w14:paraId="15CD6509">
      <w:pPr>
        <w:spacing w:line="360" w:lineRule="auto"/>
        <w:ind w:firstLine="240" w:firstLineChars="100"/>
        <w:rPr>
          <w:rFonts w:ascii="宋体" w:cs="宋体"/>
          <w:sz w:val="24"/>
          <w:lang w:val="zh-CN"/>
        </w:rPr>
      </w:pPr>
      <w:r>
        <w:rPr>
          <w:rFonts w:hint="eastAsia" w:ascii="宋体" w:cs="宋体"/>
          <w:sz w:val="24"/>
          <w:lang w:val="zh-CN"/>
        </w:rPr>
        <w:t>（1）商务经济文件封面；</w:t>
      </w:r>
    </w:p>
    <w:p w14:paraId="4B470142">
      <w:pPr>
        <w:spacing w:line="360" w:lineRule="auto"/>
        <w:ind w:firstLine="240" w:firstLineChars="100"/>
        <w:rPr>
          <w:rFonts w:ascii="宋体" w:cs="宋体"/>
          <w:sz w:val="24"/>
          <w:lang w:val="zh-CN"/>
        </w:rPr>
      </w:pPr>
      <w:r>
        <w:rPr>
          <w:rFonts w:hint="eastAsia" w:ascii="宋体" w:cs="宋体"/>
          <w:sz w:val="24"/>
          <w:lang w:val="zh-CN"/>
        </w:rPr>
        <w:t>（2）投标函；</w:t>
      </w:r>
    </w:p>
    <w:p w14:paraId="05D1CF86">
      <w:pPr>
        <w:spacing w:line="360" w:lineRule="auto"/>
        <w:ind w:firstLine="240" w:firstLineChars="100"/>
        <w:rPr>
          <w:rFonts w:hint="eastAsia" w:ascii="宋体" w:cs="宋体"/>
          <w:sz w:val="24"/>
        </w:rPr>
      </w:pPr>
      <w:r>
        <w:rPr>
          <w:rFonts w:hint="eastAsia" w:ascii="宋体" w:cs="宋体"/>
          <w:sz w:val="24"/>
          <w:lang w:val="zh-CN"/>
        </w:rPr>
        <w:t>（</w:t>
      </w:r>
      <w:r>
        <w:rPr>
          <w:rFonts w:hint="eastAsia" w:ascii="宋体" w:cs="宋体"/>
          <w:sz w:val="24"/>
        </w:rPr>
        <w:t>3</w:t>
      </w:r>
      <w:r>
        <w:rPr>
          <w:rFonts w:hint="eastAsia" w:ascii="宋体" w:cs="宋体"/>
          <w:sz w:val="24"/>
          <w:lang w:val="zh-CN"/>
        </w:rPr>
        <w:t>）</w:t>
      </w:r>
      <w:r>
        <w:rPr>
          <w:rFonts w:hint="eastAsia" w:ascii="宋体" w:cs="宋体"/>
          <w:sz w:val="24"/>
        </w:rPr>
        <w:t>投标人认为需要提供的其他文件和资料。</w:t>
      </w:r>
    </w:p>
    <w:p w14:paraId="6A7007F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eastAsia="宋体"/>
          <w:kern w:val="0"/>
          <w:sz w:val="24"/>
          <w:highlight w:val="none"/>
          <w:lang w:val="en-US" w:eastAsia="zh-CN"/>
        </w:rPr>
      </w:pPr>
      <w:r>
        <w:rPr>
          <w:rFonts w:hint="eastAsia" w:ascii="宋体"/>
          <w:kern w:val="0"/>
          <w:sz w:val="24"/>
          <w:highlight w:val="none"/>
          <w:lang w:val="en-US" w:eastAsia="zh-CN"/>
        </w:rPr>
        <w:t>注：</w:t>
      </w:r>
    </w:p>
    <w:p w14:paraId="2FAB1FA7">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ascii="宋体"/>
          <w:kern w:val="0"/>
          <w:sz w:val="24"/>
          <w:highlight w:val="none"/>
        </w:rPr>
      </w:pPr>
      <w:r>
        <w:rPr>
          <w:rFonts w:hint="eastAsia" w:ascii="宋体"/>
          <w:kern w:val="0"/>
          <w:sz w:val="24"/>
          <w:highlight w:val="none"/>
        </w:rPr>
        <w:t>投标人投标所使用的资格与企业认证必须为本法人所拥有。投标人投标所使用的招标项目实施人员或实际服务人员必须为本法人直属员工，投标人需提供上述人员的姓名、执业</w:t>
      </w:r>
      <w:r>
        <w:rPr>
          <w:rFonts w:hint="eastAsia" w:ascii="宋体"/>
          <w:kern w:val="0"/>
          <w:sz w:val="24"/>
          <w:highlight w:val="none"/>
          <w:lang w:val="en-US" w:eastAsia="zh-CN"/>
        </w:rPr>
        <w:t>信息</w:t>
      </w:r>
      <w:r>
        <w:rPr>
          <w:rFonts w:hint="eastAsia" w:ascii="宋体"/>
          <w:kern w:val="0"/>
          <w:sz w:val="24"/>
          <w:highlight w:val="none"/>
        </w:rPr>
        <w:t>复印件及社保缴纳证明，其中“执业单位”名称须与投标人名称一致，社保所在地须与投标人营业执照注册地址一致。</w:t>
      </w:r>
    </w:p>
    <w:p w14:paraId="39B304E5">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ascii="宋体"/>
          <w:kern w:val="0"/>
          <w:sz w:val="24"/>
          <w:highlight w:val="none"/>
        </w:rPr>
      </w:pPr>
      <w:r>
        <w:rPr>
          <w:rFonts w:hint="eastAsia" w:ascii="宋体"/>
          <w:kern w:val="0"/>
          <w:sz w:val="24"/>
          <w:highlight w:val="none"/>
        </w:rPr>
        <w:t>投标人应仔细阅读招标文件的所有内容，按照招标文件的要求提交投标文件，并对所提供的全部资料的真实性承担法律责任。</w:t>
      </w:r>
    </w:p>
    <w:p w14:paraId="789F3996">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cs="宋体"/>
          <w:sz w:val="24"/>
        </w:rPr>
      </w:pPr>
      <w:r>
        <w:rPr>
          <w:rFonts w:hint="eastAsia" w:ascii="宋体"/>
          <w:kern w:val="0"/>
          <w:sz w:val="24"/>
          <w:highlight w:val="none"/>
        </w:rPr>
        <w:t>投标人在投标活动中提供任何虚假材料,其投标无效，并报监管部门查处；中标后发现的,投标人须双倍赔偿招标人，且民事赔偿并不免除违法投标人的行政与刑事责任。</w:t>
      </w:r>
    </w:p>
    <w:p w14:paraId="299FAF90">
      <w:pPr>
        <w:snapToGrid w:val="0"/>
        <w:spacing w:line="400" w:lineRule="exact"/>
        <w:ind w:firstLine="241" w:firstLineChars="100"/>
        <w:rPr>
          <w:rFonts w:ascii="宋体" w:cs="宋体"/>
          <w:b/>
          <w:bCs/>
          <w:sz w:val="24"/>
        </w:rPr>
      </w:pPr>
      <w:r>
        <w:rPr>
          <w:rFonts w:hint="eastAsia" w:ascii="宋体" w:cs="宋体"/>
          <w:b/>
          <w:bCs/>
          <w:sz w:val="24"/>
        </w:rPr>
        <w:t xml:space="preserve">3.2 投标报价格式 </w:t>
      </w:r>
    </w:p>
    <w:p w14:paraId="643C1676">
      <w:pPr>
        <w:snapToGrid w:val="0"/>
        <w:spacing w:line="440" w:lineRule="exact"/>
        <w:ind w:firstLine="480" w:firstLineChars="200"/>
        <w:outlineLvl w:val="1"/>
        <w:rPr>
          <w:rFonts w:ascii="宋体" w:cs="宋体"/>
          <w:sz w:val="24"/>
        </w:rPr>
      </w:pPr>
      <w:r>
        <w:rPr>
          <w:rFonts w:hint="eastAsia" w:ascii="宋体" w:cs="宋体"/>
          <w:sz w:val="24"/>
        </w:rPr>
        <w:t>投标文件应包括本须知第3条中规定的内容，投标人提交的投标文件应参照使用招标文件所提供的投标文件全部格式（表格可以按同样格式扩展），未提供投标文件标准格式的，由投标人自行编写。</w:t>
      </w:r>
    </w:p>
    <w:p w14:paraId="01849A08">
      <w:pPr>
        <w:snapToGrid w:val="0"/>
        <w:spacing w:line="400" w:lineRule="exact"/>
        <w:ind w:firstLine="241" w:firstLineChars="100"/>
        <w:rPr>
          <w:rFonts w:ascii="宋体" w:eastAsia="宋体" w:cs="宋体"/>
          <w:b/>
          <w:bCs/>
          <w:sz w:val="24"/>
          <w:lang w:val="en-US" w:eastAsia="zh-CN"/>
        </w:rPr>
      </w:pPr>
      <w:r>
        <w:rPr>
          <w:rFonts w:hint="eastAsia" w:ascii="宋体" w:eastAsia="宋体" w:cs="宋体"/>
          <w:b/>
          <w:bCs/>
          <w:sz w:val="24"/>
          <w:lang w:val="en-US" w:eastAsia="zh-CN"/>
        </w:rPr>
        <w:t>3.3投标报价</w:t>
      </w:r>
    </w:p>
    <w:bookmarkEnd w:id="9"/>
    <w:bookmarkEnd w:id="10"/>
    <w:p w14:paraId="09C6EECA">
      <w:pPr>
        <w:snapToGrid w:val="0"/>
        <w:spacing w:line="400" w:lineRule="exact"/>
        <w:ind w:firstLine="482" w:firstLineChars="200"/>
        <w:rPr>
          <w:rFonts w:hint="eastAsia" w:ascii="宋体" w:eastAsia="宋体" w:cs="宋体"/>
          <w:b/>
          <w:bCs/>
          <w:color w:val="auto"/>
          <w:sz w:val="24"/>
          <w:highlight w:val="none"/>
        </w:rPr>
      </w:pPr>
      <w:bookmarkStart w:id="15" w:name="_Toc81196568"/>
      <w:r>
        <w:rPr>
          <w:rFonts w:hint="eastAsia" w:ascii="宋体" w:cs="宋体"/>
          <w:b/>
          <w:bCs/>
          <w:color w:val="auto"/>
          <w:sz w:val="24"/>
          <w:highlight w:val="none"/>
          <w:lang w:val="en-US" w:eastAsia="zh-CN"/>
        </w:rPr>
        <w:t>计算</w:t>
      </w:r>
      <w:r>
        <w:rPr>
          <w:rFonts w:hint="eastAsia" w:ascii="宋体" w:cs="宋体"/>
          <w:b/>
          <w:bCs/>
          <w:color w:val="auto"/>
          <w:sz w:val="24"/>
          <w:highlight w:val="none"/>
        </w:rPr>
        <w:t>定额采用《电网技术改造工程</w:t>
      </w:r>
      <w:r>
        <w:rPr>
          <w:rFonts w:hint="eastAsia" w:ascii="宋体" w:cs="宋体"/>
          <w:b/>
          <w:bCs/>
          <w:color w:val="auto"/>
          <w:sz w:val="24"/>
          <w:highlight w:val="none"/>
          <w:lang w:val="en-US" w:eastAsia="zh-CN"/>
        </w:rPr>
        <w:t>预算定额2020年版</w:t>
      </w:r>
      <w:r>
        <w:rPr>
          <w:rFonts w:hint="eastAsia" w:ascii="宋体" w:cs="宋体"/>
          <w:b/>
          <w:bCs/>
          <w:color w:val="auto"/>
          <w:sz w:val="24"/>
          <w:highlight w:val="none"/>
        </w:rPr>
        <w:t>》和《电网检修工程</w:t>
      </w:r>
      <w:r>
        <w:rPr>
          <w:rFonts w:hint="eastAsia" w:ascii="宋体" w:cs="宋体"/>
          <w:b/>
          <w:bCs/>
          <w:color w:val="auto"/>
          <w:sz w:val="24"/>
          <w:highlight w:val="none"/>
          <w:lang w:val="en-US" w:eastAsia="zh-CN"/>
        </w:rPr>
        <w:t>预算定额2020年版</w:t>
      </w:r>
      <w:r>
        <w:rPr>
          <w:rFonts w:hint="eastAsia" w:ascii="宋体" w:cs="宋体"/>
          <w:b/>
          <w:bCs/>
          <w:color w:val="auto"/>
          <w:sz w:val="24"/>
          <w:highlight w:val="none"/>
        </w:rPr>
        <w:t>》</w:t>
      </w:r>
      <w:r>
        <w:rPr>
          <w:rFonts w:hint="eastAsia" w:ascii="宋体" w:cs="宋体"/>
          <w:b/>
          <w:bCs/>
          <w:color w:val="auto"/>
          <w:sz w:val="24"/>
          <w:highlight w:val="none"/>
          <w:lang w:val="en-US" w:eastAsia="zh-CN"/>
        </w:rPr>
        <w:t>以及《电网拆除工程预算定额2020年版》</w:t>
      </w:r>
      <w:r>
        <w:rPr>
          <w:rFonts w:hint="eastAsia" w:ascii="宋体" w:cs="宋体"/>
          <w:b/>
          <w:bCs/>
          <w:color w:val="auto"/>
          <w:sz w:val="24"/>
          <w:highlight w:val="none"/>
        </w:rPr>
        <w:t>结算</w:t>
      </w:r>
      <w:r>
        <w:rPr>
          <w:rFonts w:hint="eastAsia" w:ascii="宋体" w:cs="宋体"/>
          <w:b/>
          <w:bCs/>
          <w:color w:val="auto"/>
          <w:sz w:val="24"/>
          <w:highlight w:val="none"/>
          <w:lang w:eastAsia="zh-CN"/>
        </w:rPr>
        <w:t>，</w:t>
      </w:r>
      <w:r>
        <w:rPr>
          <w:rFonts w:hint="eastAsia" w:ascii="宋体" w:cs="宋体"/>
          <w:b/>
          <w:bCs/>
          <w:color w:val="auto"/>
          <w:sz w:val="24"/>
          <w:highlight w:val="none"/>
        </w:rPr>
        <w:t>（结算率范围</w:t>
      </w:r>
      <w:r>
        <w:rPr>
          <w:rFonts w:hint="eastAsia" w:ascii="宋体" w:cs="宋体"/>
          <w:b/>
          <w:bCs/>
          <w:color w:val="auto"/>
          <w:sz w:val="24"/>
          <w:highlight w:val="none"/>
          <w:lang w:val="en-US" w:eastAsia="zh-CN"/>
        </w:rPr>
        <w:t>80</w:t>
      </w:r>
      <w:r>
        <w:rPr>
          <w:rFonts w:hint="eastAsia" w:ascii="宋体" w:cs="宋体"/>
          <w:b/>
          <w:bCs/>
          <w:color w:val="auto"/>
          <w:sz w:val="24"/>
          <w:highlight w:val="none"/>
        </w:rPr>
        <w:t>%（含）~</w:t>
      </w:r>
      <w:r>
        <w:rPr>
          <w:rFonts w:hint="eastAsia" w:ascii="宋体" w:cs="宋体"/>
          <w:b/>
          <w:bCs/>
          <w:color w:val="auto"/>
          <w:sz w:val="24"/>
          <w:highlight w:val="none"/>
          <w:lang w:val="en-US" w:eastAsia="zh-CN"/>
        </w:rPr>
        <w:t>100</w:t>
      </w:r>
      <w:r>
        <w:rPr>
          <w:rFonts w:hint="eastAsia" w:ascii="宋体" w:cs="宋体"/>
          <w:b/>
          <w:bCs/>
          <w:color w:val="auto"/>
          <w:sz w:val="24"/>
          <w:highlight w:val="none"/>
        </w:rPr>
        <w:t>%（含））；</w:t>
      </w:r>
      <w:bookmarkStart w:id="16" w:name="OLE_LINK1"/>
      <w:r>
        <w:rPr>
          <w:rFonts w:hint="eastAsia" w:ascii="宋体" w:cs="宋体"/>
          <w:b/>
          <w:bCs/>
          <w:color w:val="auto"/>
          <w:sz w:val="24"/>
          <w:highlight w:val="none"/>
          <w:lang w:eastAsia="zh-CN"/>
        </w:rPr>
        <w:t>主材参与下浮，无价材料、单列不参与下浮。</w:t>
      </w:r>
    </w:p>
    <w:bookmarkEnd w:id="16"/>
    <w:p w14:paraId="21DD3D99">
      <w:pPr>
        <w:spacing w:line="420" w:lineRule="exact"/>
        <w:ind w:firstLine="480" w:firstLineChars="200"/>
        <w:rPr>
          <w:rFonts w:hint="eastAsia" w:ascii="宋体" w:cs="宋体"/>
          <w:color w:val="auto"/>
          <w:sz w:val="24"/>
          <w:highlight w:val="none"/>
        </w:rPr>
      </w:pPr>
      <w:r>
        <w:rPr>
          <w:rFonts w:hint="eastAsia" w:ascii="宋体" w:cs="宋体"/>
          <w:color w:val="auto"/>
          <w:sz w:val="24"/>
          <w:highlight w:val="none"/>
        </w:rPr>
        <w:t>投标人所报的投标结算率百分数小数部分最多保留两位小数（如XX.XX%），否则其投标予以否决。</w:t>
      </w:r>
    </w:p>
    <w:p w14:paraId="6754C093">
      <w:pPr>
        <w:spacing w:line="360" w:lineRule="auto"/>
        <w:ind w:firstLine="241" w:firstLineChars="100"/>
        <w:rPr>
          <w:rFonts w:hint="eastAsia"/>
          <w:b/>
          <w:bCs/>
          <w:color w:val="auto"/>
          <w:sz w:val="24"/>
          <w:highlight w:val="none"/>
        </w:rPr>
      </w:pPr>
      <w:r>
        <w:rPr>
          <w:rFonts w:hint="eastAsia"/>
          <w:b/>
          <w:bCs/>
          <w:color w:val="auto"/>
          <w:sz w:val="24"/>
          <w:highlight w:val="none"/>
        </w:rPr>
        <w:t>3.2.2</w:t>
      </w:r>
      <w:r>
        <w:rPr>
          <w:rFonts w:hint="eastAsia"/>
          <w:b/>
          <w:bCs/>
          <w:color w:val="auto"/>
          <w:sz w:val="24"/>
          <w:highlight w:val="none"/>
          <w:lang w:val="en-US" w:eastAsia="zh-CN"/>
        </w:rPr>
        <w:t>零星人工计费(不含税)：技术工（起重工、电工、电焊工等其余带证技术工种）</w:t>
      </w:r>
      <w:r>
        <w:rPr>
          <w:b/>
          <w:bCs/>
          <w:color w:val="auto"/>
          <w:sz w:val="24"/>
          <w:highlight w:val="none"/>
          <w:lang w:val="en-US" w:eastAsia="zh-CN"/>
        </w:rPr>
        <w:t>400</w:t>
      </w:r>
      <w:r>
        <w:rPr>
          <w:rFonts w:hint="eastAsia"/>
          <w:b/>
          <w:bCs/>
          <w:color w:val="auto"/>
          <w:sz w:val="24"/>
          <w:highlight w:val="none"/>
          <w:lang w:val="en-US" w:eastAsia="zh-CN"/>
        </w:rPr>
        <w:t>元/工日、普工</w:t>
      </w:r>
      <w:r>
        <w:rPr>
          <w:b/>
          <w:bCs/>
          <w:color w:val="auto"/>
          <w:sz w:val="24"/>
          <w:highlight w:val="none"/>
          <w:lang w:val="en-US" w:eastAsia="zh-CN"/>
        </w:rPr>
        <w:t>260</w:t>
      </w:r>
      <w:r>
        <w:rPr>
          <w:rFonts w:hint="eastAsia"/>
          <w:b/>
          <w:bCs/>
          <w:color w:val="auto"/>
          <w:sz w:val="24"/>
          <w:highlight w:val="none"/>
          <w:lang w:val="en-US" w:eastAsia="zh-CN"/>
        </w:rPr>
        <w:t>元/工日。 （单列费用，含税费，不下浮）</w:t>
      </w:r>
      <w:r>
        <w:rPr>
          <w:rFonts w:hint="eastAsia"/>
          <w:b/>
          <w:bCs/>
          <w:color w:val="auto"/>
          <w:sz w:val="24"/>
          <w:highlight w:val="none"/>
        </w:rPr>
        <w:t>。</w:t>
      </w:r>
    </w:p>
    <w:p w14:paraId="6BE8CD90">
      <w:pPr>
        <w:spacing w:line="360" w:lineRule="auto"/>
        <w:ind w:firstLine="241" w:firstLineChars="100"/>
        <w:rPr>
          <w:rFonts w:hint="eastAsia" w:ascii="宋体" w:cs="宋体"/>
          <w:color w:val="auto"/>
          <w:sz w:val="24"/>
          <w:highlight w:val="none"/>
          <w:lang w:val="en-US" w:eastAsia="zh-CN"/>
        </w:rPr>
      </w:pPr>
      <w:r>
        <w:rPr>
          <w:rFonts w:hint="eastAsia"/>
          <w:b/>
          <w:bCs/>
          <w:color w:val="auto"/>
          <w:sz w:val="24"/>
          <w:highlight w:val="none"/>
        </w:rPr>
        <w:t>3.2.3施工用水电费按工程总价的0.9%计算，由</w:t>
      </w:r>
      <w:r>
        <w:rPr>
          <w:b/>
          <w:bCs/>
          <w:color w:val="auto"/>
          <w:sz w:val="24"/>
          <w:highlight w:val="none"/>
        </w:rPr>
        <w:t>承包方在完成结算后单独向发包方缴纳</w:t>
      </w:r>
      <w:r>
        <w:rPr>
          <w:rFonts w:hint="eastAsia"/>
          <w:b/>
          <w:bCs/>
          <w:color w:val="auto"/>
          <w:sz w:val="24"/>
          <w:highlight w:val="none"/>
        </w:rPr>
        <w:t>。</w:t>
      </w:r>
    </w:p>
    <w:p w14:paraId="47BE75CA">
      <w:pPr>
        <w:spacing w:line="360" w:lineRule="auto"/>
        <w:ind w:firstLine="241" w:firstLineChars="100"/>
        <w:rPr>
          <w:b/>
          <w:bCs/>
          <w:color w:val="auto"/>
          <w:sz w:val="24"/>
          <w:highlight w:val="none"/>
        </w:rPr>
      </w:pPr>
      <w:r>
        <w:rPr>
          <w:b/>
          <w:bCs/>
          <w:color w:val="auto"/>
          <w:sz w:val="24"/>
          <w:highlight w:val="none"/>
        </w:rPr>
        <w:t>*3.</w:t>
      </w:r>
      <w:r>
        <w:rPr>
          <w:rFonts w:hint="eastAsia"/>
          <w:b/>
          <w:bCs/>
          <w:color w:val="auto"/>
          <w:sz w:val="24"/>
          <w:highlight w:val="none"/>
          <w:lang w:val="en-US" w:eastAsia="zh-CN"/>
        </w:rPr>
        <w:t>4</w:t>
      </w:r>
      <w:r>
        <w:rPr>
          <w:b/>
          <w:bCs/>
          <w:color w:val="auto"/>
          <w:sz w:val="24"/>
          <w:highlight w:val="none"/>
        </w:rPr>
        <w:t xml:space="preserve"> </w:t>
      </w:r>
      <w:r>
        <w:rPr>
          <w:rFonts w:hint="eastAsia"/>
          <w:b/>
          <w:bCs/>
          <w:color w:val="auto"/>
          <w:sz w:val="24"/>
          <w:highlight w:val="none"/>
        </w:rPr>
        <w:t>投标文件有效期</w:t>
      </w:r>
    </w:p>
    <w:p w14:paraId="59C6A48F">
      <w:pPr>
        <w:spacing w:line="360" w:lineRule="auto"/>
        <w:ind w:firstLine="240" w:firstLineChars="100"/>
        <w:rPr>
          <w:sz w:val="24"/>
        </w:rPr>
      </w:pPr>
      <w:r>
        <w:rPr>
          <w:sz w:val="24"/>
        </w:rPr>
        <w:t>3.</w:t>
      </w:r>
      <w:r>
        <w:rPr>
          <w:rFonts w:hint="eastAsia"/>
          <w:sz w:val="24"/>
          <w:lang w:val="en-US" w:eastAsia="zh-CN"/>
        </w:rPr>
        <w:t>4</w:t>
      </w:r>
      <w:r>
        <w:rPr>
          <w:rFonts w:hint="eastAsia"/>
          <w:sz w:val="24"/>
        </w:rPr>
        <w:t>.1投标有效期见本章第一节投标人须知前附表所规定的期限，在此期限内，凡符合本招标文件要求的投标文件均保持有效。</w:t>
      </w:r>
    </w:p>
    <w:p w14:paraId="53369668">
      <w:pPr>
        <w:spacing w:line="360" w:lineRule="auto"/>
        <w:ind w:firstLine="240" w:firstLineChars="100"/>
        <w:rPr>
          <w:sz w:val="24"/>
        </w:rPr>
      </w:pPr>
      <w:r>
        <w:rPr>
          <w:sz w:val="24"/>
        </w:rPr>
        <w:t>3.</w:t>
      </w:r>
      <w:r>
        <w:rPr>
          <w:rFonts w:hint="eastAsia"/>
          <w:sz w:val="24"/>
          <w:lang w:val="en-US" w:eastAsia="zh-CN"/>
        </w:rPr>
        <w:t>4</w:t>
      </w:r>
      <w:r>
        <w:rPr>
          <w:sz w:val="24"/>
        </w:rPr>
        <w:t>.</w:t>
      </w:r>
      <w:r>
        <w:rPr>
          <w:rFonts w:hint="eastAsia"/>
          <w:sz w:val="24"/>
        </w:rPr>
        <w:t>2在特殊情况下，招标人在原定投标有效期内，可以根据需要以书面形式向投标人提出延长投标有效期的要求，对此要求投标人须以书面形式予以答复，投标人可以拒绝招标人这种要求。</w:t>
      </w:r>
    </w:p>
    <w:p w14:paraId="6CF14B0C">
      <w:pPr>
        <w:spacing w:line="360" w:lineRule="auto"/>
        <w:ind w:firstLine="241" w:firstLineChars="100"/>
        <w:rPr>
          <w:b/>
          <w:bCs/>
          <w:sz w:val="24"/>
        </w:rPr>
      </w:pPr>
      <w:bookmarkStart w:id="17" w:name="_Toc81196564"/>
      <w:r>
        <w:rPr>
          <w:b/>
          <w:bCs/>
          <w:sz w:val="24"/>
        </w:rPr>
        <w:t>*3.</w:t>
      </w:r>
      <w:r>
        <w:rPr>
          <w:rFonts w:hint="eastAsia"/>
          <w:b/>
          <w:bCs/>
          <w:sz w:val="24"/>
          <w:lang w:val="en-US" w:eastAsia="zh-CN"/>
        </w:rPr>
        <w:t>5</w:t>
      </w:r>
      <w:r>
        <w:rPr>
          <w:rFonts w:hint="eastAsia"/>
          <w:b/>
          <w:bCs/>
          <w:sz w:val="24"/>
        </w:rPr>
        <w:t>投标</w:t>
      </w:r>
      <w:bookmarkEnd w:id="17"/>
      <w:r>
        <w:rPr>
          <w:rFonts w:hint="eastAsia"/>
          <w:b/>
          <w:bCs/>
          <w:sz w:val="24"/>
        </w:rPr>
        <w:t>保证金</w:t>
      </w:r>
    </w:p>
    <w:p w14:paraId="476BBE5E">
      <w:pPr>
        <w:spacing w:line="360" w:lineRule="auto"/>
        <w:ind w:firstLine="240" w:firstLineChars="100"/>
        <w:rPr>
          <w:sz w:val="24"/>
        </w:rPr>
      </w:pPr>
      <w:r>
        <w:rPr>
          <w:sz w:val="24"/>
        </w:rPr>
        <w:t>3.</w:t>
      </w:r>
      <w:r>
        <w:rPr>
          <w:rFonts w:hint="eastAsia"/>
          <w:sz w:val="24"/>
          <w:lang w:val="en-US" w:eastAsia="zh-CN"/>
        </w:rPr>
        <w:t>5</w:t>
      </w:r>
      <w:r>
        <w:rPr>
          <w:rFonts w:hint="eastAsia"/>
          <w:sz w:val="24"/>
        </w:rPr>
        <w:t>.1</w:t>
      </w:r>
      <w:r>
        <w:rPr>
          <w:sz w:val="24"/>
        </w:rPr>
        <w:t xml:space="preserve"> 投标人在递交投标文件的同时，应按招标公告规定的金额、担保形式递交投标保证金，并作为其投标文件的组成部分。</w:t>
      </w:r>
    </w:p>
    <w:p w14:paraId="6C94D84A">
      <w:pPr>
        <w:spacing w:line="360" w:lineRule="auto"/>
        <w:ind w:firstLine="240" w:firstLineChars="100"/>
        <w:rPr>
          <w:sz w:val="24"/>
        </w:rPr>
      </w:pPr>
      <w:r>
        <w:rPr>
          <w:sz w:val="24"/>
        </w:rPr>
        <w:t>3.</w:t>
      </w:r>
      <w:r>
        <w:rPr>
          <w:rFonts w:hint="eastAsia"/>
          <w:sz w:val="24"/>
          <w:lang w:val="en-US" w:eastAsia="zh-CN"/>
        </w:rPr>
        <w:t>5</w:t>
      </w:r>
      <w:r>
        <w:rPr>
          <w:sz w:val="24"/>
        </w:rPr>
        <w:t>.2 投标人不按招标公告要求提交投标保证金的，其投标文件招标人不予受理。</w:t>
      </w:r>
    </w:p>
    <w:p w14:paraId="6DECFA2D">
      <w:pPr>
        <w:spacing w:line="360" w:lineRule="auto"/>
        <w:ind w:firstLine="240" w:firstLineChars="100"/>
        <w:rPr>
          <w:sz w:val="24"/>
        </w:rPr>
      </w:pPr>
      <w:r>
        <w:rPr>
          <w:sz w:val="24"/>
        </w:rPr>
        <w:t>3.</w:t>
      </w:r>
      <w:r>
        <w:rPr>
          <w:rFonts w:hint="eastAsia"/>
          <w:sz w:val="24"/>
          <w:lang w:val="en-US" w:eastAsia="zh-CN"/>
        </w:rPr>
        <w:t>5</w:t>
      </w:r>
      <w:r>
        <w:rPr>
          <w:sz w:val="24"/>
        </w:rPr>
        <w:t>.3 招标人与中标人签订合同后5个工作日内，向未中标的投标人和中标人退还投标保证金。</w:t>
      </w:r>
    </w:p>
    <w:p w14:paraId="2ED56ADB">
      <w:pPr>
        <w:spacing w:line="360" w:lineRule="auto"/>
        <w:ind w:firstLine="240" w:firstLineChars="100"/>
        <w:rPr>
          <w:sz w:val="24"/>
        </w:rPr>
      </w:pPr>
      <w:r>
        <w:rPr>
          <w:sz w:val="24"/>
        </w:rPr>
        <w:t>3.</w:t>
      </w:r>
      <w:r>
        <w:rPr>
          <w:rFonts w:hint="eastAsia"/>
          <w:sz w:val="24"/>
          <w:lang w:val="en-US" w:eastAsia="zh-CN"/>
        </w:rPr>
        <w:t>5</w:t>
      </w:r>
      <w:r>
        <w:rPr>
          <w:sz w:val="24"/>
        </w:rPr>
        <w:t xml:space="preserve">.4 有下列情形之一的，投标保证金将不予退还： </w:t>
      </w:r>
    </w:p>
    <w:p w14:paraId="642D7F7E">
      <w:pPr>
        <w:spacing w:line="360" w:lineRule="auto"/>
        <w:ind w:firstLine="240" w:firstLineChars="100"/>
        <w:rPr>
          <w:sz w:val="24"/>
        </w:rPr>
      </w:pPr>
      <w:r>
        <w:rPr>
          <w:sz w:val="24"/>
        </w:rPr>
        <w:t>（1）投标人在规定的投标有效期内撤销或修改其投标文件；</w:t>
      </w:r>
    </w:p>
    <w:p w14:paraId="7D6934A3">
      <w:pPr>
        <w:spacing w:line="360" w:lineRule="auto"/>
        <w:ind w:firstLine="240" w:firstLineChars="100"/>
        <w:rPr>
          <w:sz w:val="24"/>
        </w:rPr>
      </w:pPr>
      <w:r>
        <w:rPr>
          <w:sz w:val="24"/>
        </w:rPr>
        <w:t>（2）中标人在收到中标通知书后，无正当理由拒签合同协议书或未按招标文件规定提交履约担保金。</w:t>
      </w:r>
    </w:p>
    <w:p w14:paraId="4906845F">
      <w:pPr>
        <w:spacing w:line="360" w:lineRule="auto"/>
        <w:ind w:firstLine="241" w:firstLineChars="100"/>
        <w:rPr>
          <w:b/>
          <w:bCs/>
          <w:sz w:val="24"/>
        </w:rPr>
      </w:pPr>
      <w:r>
        <w:rPr>
          <w:b/>
          <w:bCs/>
          <w:sz w:val="24"/>
        </w:rPr>
        <w:t>3.</w:t>
      </w:r>
      <w:r>
        <w:rPr>
          <w:rFonts w:hint="eastAsia"/>
          <w:b/>
          <w:bCs/>
          <w:sz w:val="24"/>
          <w:lang w:val="en-US" w:eastAsia="zh-CN"/>
        </w:rPr>
        <w:t>6</w:t>
      </w:r>
      <w:r>
        <w:rPr>
          <w:b/>
          <w:bCs/>
          <w:sz w:val="24"/>
        </w:rPr>
        <w:t xml:space="preserve"> 投标文件的编制</w:t>
      </w:r>
    </w:p>
    <w:p w14:paraId="7D3F7697">
      <w:pPr>
        <w:spacing w:line="360" w:lineRule="auto"/>
        <w:ind w:firstLine="240" w:firstLineChars="100"/>
        <w:rPr>
          <w:sz w:val="24"/>
        </w:rPr>
      </w:pPr>
      <w:r>
        <w:rPr>
          <w:sz w:val="24"/>
        </w:rPr>
        <w:t>3.</w:t>
      </w:r>
      <w:r>
        <w:rPr>
          <w:rFonts w:hint="eastAsia"/>
          <w:sz w:val="24"/>
          <w:lang w:val="en-US" w:eastAsia="zh-CN"/>
        </w:rPr>
        <w:t>6</w:t>
      </w:r>
      <w:r>
        <w:rPr>
          <w:sz w:val="24"/>
        </w:rPr>
        <w:t>.1投标文件应按</w:t>
      </w:r>
      <w:r>
        <w:rPr>
          <w:rFonts w:ascii="宋体" w:eastAsia="宋体"/>
          <w:sz w:val="24"/>
        </w:rPr>
        <w:t>“</w:t>
      </w:r>
      <w:r>
        <w:rPr>
          <w:sz w:val="24"/>
        </w:rPr>
        <w:t>投标文件格式</w:t>
      </w:r>
      <w:r>
        <w:rPr>
          <w:rFonts w:ascii="宋体" w:eastAsia="宋体"/>
          <w:sz w:val="24"/>
        </w:rPr>
        <w:t>”</w:t>
      </w:r>
      <w:r>
        <w:rPr>
          <w:sz w:val="24"/>
        </w:rPr>
        <w:t>进行编写，如有必要，可以增加附页，作为投标文件的组成部分。</w:t>
      </w:r>
    </w:p>
    <w:p w14:paraId="17D46746">
      <w:pPr>
        <w:spacing w:line="360" w:lineRule="auto"/>
        <w:ind w:firstLine="240" w:firstLineChars="100"/>
        <w:rPr>
          <w:sz w:val="24"/>
        </w:rPr>
      </w:pPr>
      <w:r>
        <w:rPr>
          <w:sz w:val="24"/>
        </w:rPr>
        <w:t>3.</w:t>
      </w:r>
      <w:r>
        <w:rPr>
          <w:rFonts w:hint="eastAsia"/>
          <w:sz w:val="24"/>
          <w:lang w:val="en-US" w:eastAsia="zh-CN"/>
        </w:rPr>
        <w:t>6</w:t>
      </w:r>
      <w:r>
        <w:rPr>
          <w:sz w:val="24"/>
        </w:rPr>
        <w:t>.2 投标文件应当对招标文件有关工期、投标有效期、质量要求、技术标准和要求、招标范围等实质性内容作出响应。</w:t>
      </w:r>
    </w:p>
    <w:bookmarkEnd w:id="15"/>
    <w:p w14:paraId="5CD513B5">
      <w:pPr>
        <w:pStyle w:val="7"/>
        <w:numPr>
          <w:ilvl w:val="0"/>
          <w:numId w:val="0"/>
        </w:numPr>
        <w:snapToGrid w:val="0"/>
        <w:spacing w:line="360" w:lineRule="auto"/>
        <w:ind w:left="0" w:firstLine="240" w:firstLineChars="100"/>
        <w:rPr>
          <w:rFonts w:ascii="宋体"/>
          <w:sz w:val="24"/>
        </w:rPr>
      </w:pPr>
      <w:r>
        <w:rPr>
          <w:rFonts w:hint="eastAsia"/>
          <w:sz w:val="24"/>
        </w:rPr>
        <w:t>3.</w:t>
      </w:r>
      <w:r>
        <w:rPr>
          <w:rFonts w:hint="eastAsia"/>
          <w:sz w:val="24"/>
          <w:lang w:val="en-US" w:eastAsia="zh-CN"/>
        </w:rPr>
        <w:t>6</w:t>
      </w:r>
      <w:r>
        <w:rPr>
          <w:rFonts w:hint="eastAsia"/>
          <w:sz w:val="24"/>
        </w:rPr>
        <w:t>.3</w:t>
      </w:r>
      <w:r>
        <w:rPr>
          <w:rFonts w:hint="eastAsia" w:ascii="宋体"/>
          <w:sz w:val="24"/>
        </w:rPr>
        <w:t>“电子加密投标文件”：</w:t>
      </w:r>
    </w:p>
    <w:p w14:paraId="49A84423">
      <w:pPr>
        <w:pStyle w:val="7"/>
        <w:numPr>
          <w:ilvl w:val="0"/>
          <w:numId w:val="0"/>
        </w:numPr>
        <w:snapToGrid w:val="0"/>
        <w:spacing w:line="360" w:lineRule="auto"/>
        <w:ind w:left="0" w:firstLine="480" w:firstLineChars="200"/>
        <w:rPr>
          <w:rFonts w:ascii="宋体"/>
          <w:sz w:val="24"/>
        </w:rPr>
      </w:pPr>
      <w:r>
        <w:rPr>
          <w:rFonts w:hint="eastAsia" w:ascii="宋体"/>
          <w:sz w:val="24"/>
        </w:rPr>
        <w:t>“电子加密投标文件”是指通过“化工云商网（巨化数字化招采平台）”完成投标文件编制后生成并加密的数据电文形式的投标文件。</w:t>
      </w:r>
    </w:p>
    <w:p w14:paraId="1A2B7BBB">
      <w:pPr>
        <w:pStyle w:val="5"/>
        <w:spacing w:before="0" w:after="0" w:line="360" w:lineRule="auto"/>
        <w:rPr>
          <w:b w:val="0"/>
          <w:sz w:val="24"/>
          <w:szCs w:val="24"/>
        </w:rPr>
      </w:pPr>
      <w:r>
        <w:rPr>
          <w:rFonts w:hint="eastAsia"/>
          <w:b w:val="0"/>
          <w:sz w:val="24"/>
          <w:szCs w:val="24"/>
        </w:rPr>
        <w:t>4 投标</w:t>
      </w:r>
    </w:p>
    <w:p w14:paraId="74640D52">
      <w:pPr>
        <w:snapToGrid w:val="0"/>
        <w:spacing w:before="120" w:beforeLines="50" w:line="360" w:lineRule="auto"/>
        <w:ind w:firstLine="354" w:firstLineChars="147"/>
        <w:jc w:val="left"/>
        <w:rPr>
          <w:rFonts w:ascii="宋体"/>
          <w:b/>
          <w:bCs/>
          <w:sz w:val="24"/>
        </w:rPr>
      </w:pPr>
      <w:r>
        <w:rPr>
          <w:b/>
          <w:bCs/>
          <w:sz w:val="24"/>
        </w:rPr>
        <w:t xml:space="preserve">4.1 </w:t>
      </w:r>
      <w:r>
        <w:rPr>
          <w:rFonts w:hint="eastAsia" w:ascii="宋体"/>
          <w:b/>
          <w:bCs/>
          <w:sz w:val="24"/>
        </w:rPr>
        <w:t>投标文件的签章</w:t>
      </w:r>
    </w:p>
    <w:p w14:paraId="0366C542">
      <w:pPr>
        <w:snapToGrid w:val="0"/>
        <w:spacing w:line="360" w:lineRule="auto"/>
        <w:ind w:firstLine="426"/>
        <w:jc w:val="left"/>
        <w:rPr>
          <w:rFonts w:ascii="宋体"/>
          <w:sz w:val="24"/>
        </w:rPr>
      </w:pPr>
      <w:r>
        <w:rPr>
          <w:rFonts w:hint="eastAsia" w:ascii="宋体"/>
          <w:sz w:val="24"/>
        </w:rPr>
        <w:t>采用电子签章。</w:t>
      </w:r>
    </w:p>
    <w:p w14:paraId="65BCFF98">
      <w:pPr>
        <w:spacing w:line="360" w:lineRule="auto"/>
        <w:ind w:firstLine="241" w:firstLineChars="100"/>
        <w:rPr>
          <w:rFonts w:ascii="宋体"/>
          <w:b/>
          <w:sz w:val="24"/>
        </w:rPr>
      </w:pPr>
      <w:r>
        <w:rPr>
          <w:rFonts w:hint="eastAsia"/>
          <w:b/>
          <w:bCs/>
          <w:sz w:val="24"/>
        </w:rPr>
        <w:t>4.2</w:t>
      </w:r>
      <w:r>
        <w:rPr>
          <w:b/>
          <w:bCs/>
          <w:sz w:val="24"/>
        </w:rPr>
        <w:t xml:space="preserve"> </w:t>
      </w:r>
      <w:r>
        <w:rPr>
          <w:rFonts w:hint="eastAsia" w:ascii="宋体"/>
          <w:b/>
          <w:bCs/>
          <w:sz w:val="24"/>
        </w:rPr>
        <w:t>投标</w:t>
      </w:r>
      <w:r>
        <w:rPr>
          <w:rFonts w:hint="eastAsia" w:ascii="宋体"/>
          <w:b/>
          <w:sz w:val="24"/>
        </w:rPr>
        <w:t>文件的包装、密封和递交</w:t>
      </w:r>
    </w:p>
    <w:p w14:paraId="2B708465">
      <w:pPr>
        <w:adjustRightInd w:val="0"/>
        <w:snapToGrid w:val="0"/>
        <w:spacing w:line="360" w:lineRule="auto"/>
        <w:ind w:firstLine="426"/>
        <w:jc w:val="left"/>
        <w:rPr>
          <w:rFonts w:ascii="宋体"/>
          <w:bCs/>
          <w:sz w:val="24"/>
        </w:rPr>
      </w:pPr>
      <w:r>
        <w:rPr>
          <w:rFonts w:hint="eastAsia" w:ascii="宋体"/>
          <w:bCs/>
          <w:sz w:val="24"/>
        </w:rPr>
        <w:t>1.“电子加密投标文件”的递交：投标人应在投标截止时间前将“电子加密投标文件”成功上传递交至“巨化数字化招采平台”，否则投标无效。</w:t>
      </w:r>
    </w:p>
    <w:p w14:paraId="29A64C18">
      <w:pPr>
        <w:adjustRightInd w:val="0"/>
        <w:snapToGrid w:val="0"/>
        <w:spacing w:line="360" w:lineRule="auto"/>
        <w:ind w:firstLine="426"/>
        <w:jc w:val="left"/>
        <w:rPr>
          <w:rFonts w:ascii="宋体"/>
          <w:bCs/>
          <w:sz w:val="24"/>
        </w:rPr>
      </w:pPr>
      <w:r>
        <w:rPr>
          <w:rFonts w:hint="eastAsia" w:ascii="宋体"/>
          <w:bCs/>
          <w:sz w:val="24"/>
        </w:rPr>
        <w:t>2.“纸质投标文件”：</w:t>
      </w:r>
    </w:p>
    <w:p w14:paraId="0A6A3B51">
      <w:pPr>
        <w:adjustRightInd w:val="0"/>
        <w:snapToGrid w:val="0"/>
        <w:spacing w:line="360" w:lineRule="auto"/>
        <w:ind w:firstLine="426"/>
        <w:jc w:val="left"/>
        <w:rPr>
          <w:rFonts w:ascii="宋体"/>
          <w:bCs/>
          <w:sz w:val="24"/>
        </w:rPr>
      </w:pPr>
      <w:r>
        <w:rPr>
          <w:rFonts w:hint="eastAsia" w:ascii="宋体"/>
          <w:bCs/>
          <w:sz w:val="24"/>
        </w:rPr>
        <w:t>技术资信标书正本1份、副本2份；</w:t>
      </w:r>
    </w:p>
    <w:p w14:paraId="282BED3E">
      <w:pPr>
        <w:adjustRightInd w:val="0"/>
        <w:snapToGrid w:val="0"/>
        <w:spacing w:line="360" w:lineRule="auto"/>
        <w:ind w:firstLine="426"/>
        <w:jc w:val="left"/>
        <w:rPr>
          <w:rFonts w:ascii="宋体"/>
          <w:bCs/>
          <w:sz w:val="24"/>
        </w:rPr>
      </w:pPr>
      <w:r>
        <w:rPr>
          <w:rFonts w:hint="eastAsia" w:ascii="宋体"/>
          <w:bCs/>
          <w:sz w:val="24"/>
        </w:rPr>
        <w:t>商务经济标书正本1份、副本2份。</w:t>
      </w:r>
    </w:p>
    <w:p w14:paraId="3FADEEF1">
      <w:pPr>
        <w:adjustRightInd w:val="0"/>
        <w:snapToGrid w:val="0"/>
        <w:spacing w:line="360" w:lineRule="auto"/>
        <w:ind w:firstLine="426"/>
        <w:jc w:val="left"/>
        <w:rPr>
          <w:rFonts w:ascii="宋体"/>
          <w:bCs/>
          <w:sz w:val="24"/>
        </w:rPr>
      </w:pPr>
      <w:r>
        <w:rPr>
          <w:rFonts w:hint="eastAsia" w:ascii="宋体"/>
          <w:sz w:val="24"/>
        </w:rPr>
        <w:t>纸质投标文件可以是加盖公章的投标文件或签电子章的投标文件，纸质投标文件和电子投标文件不一致的以电子投标文件为准，但投标人有义务保持一致，否则所导致的不利评审后果由投标人自行承担。</w:t>
      </w:r>
    </w:p>
    <w:p w14:paraId="268EEA2D">
      <w:pPr>
        <w:snapToGrid w:val="0"/>
        <w:spacing w:before="120" w:beforeLines="50" w:line="360" w:lineRule="auto"/>
        <w:ind w:firstLine="354" w:firstLineChars="147"/>
        <w:jc w:val="left"/>
        <w:rPr>
          <w:rFonts w:ascii="宋体"/>
          <w:b/>
          <w:sz w:val="24"/>
        </w:rPr>
      </w:pPr>
      <w:r>
        <w:rPr>
          <w:rFonts w:hint="eastAsia" w:ascii="宋体"/>
          <w:b/>
          <w:sz w:val="24"/>
        </w:rPr>
        <w:t>4.3 投标文件的修改和撤回</w:t>
      </w:r>
    </w:p>
    <w:p w14:paraId="175A128D">
      <w:pPr>
        <w:autoSpaceDE w:val="0"/>
        <w:autoSpaceDN w:val="0"/>
        <w:snapToGrid w:val="0"/>
        <w:spacing w:line="360" w:lineRule="auto"/>
        <w:ind w:left="479" w:leftChars="228"/>
        <w:textAlignment w:val="bottom"/>
        <w:rPr>
          <w:rFonts w:ascii="宋体" w:cs="宋体"/>
          <w:sz w:val="24"/>
        </w:rPr>
      </w:pPr>
      <w:r>
        <w:rPr>
          <w:rFonts w:hint="eastAsia" w:ascii="宋体" w:cs="宋体"/>
          <w:sz w:val="24"/>
        </w:rPr>
        <w:t>1、投标人在投标截止时间前可以补充、修改或者撤回投标文件。</w:t>
      </w:r>
    </w:p>
    <w:p w14:paraId="2F99982F">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2、补充或者修改投标文件的，应当先行撤回原投标文件，补充、修改后重新上传递交。</w:t>
      </w:r>
    </w:p>
    <w:p w14:paraId="1C404606">
      <w:pPr>
        <w:autoSpaceDE w:val="0"/>
        <w:autoSpaceDN w:val="0"/>
        <w:snapToGrid w:val="0"/>
        <w:spacing w:line="360" w:lineRule="auto"/>
        <w:ind w:left="479" w:leftChars="228"/>
        <w:textAlignment w:val="bottom"/>
        <w:rPr>
          <w:sz w:val="24"/>
        </w:rPr>
      </w:pPr>
      <w:r>
        <w:rPr>
          <w:rFonts w:hint="eastAsia" w:ascii="宋体" w:cs="宋体"/>
          <w:sz w:val="24"/>
        </w:rPr>
        <w:t>3、投标截止时间前未完成上传的，视为撤回投标文件。</w:t>
      </w:r>
    </w:p>
    <w:p w14:paraId="72E4820C">
      <w:pPr>
        <w:pStyle w:val="5"/>
        <w:spacing w:before="0" w:after="0" w:line="360" w:lineRule="auto"/>
        <w:rPr>
          <w:b w:val="0"/>
          <w:sz w:val="24"/>
          <w:szCs w:val="24"/>
        </w:rPr>
      </w:pPr>
      <w:bookmarkStart w:id="18" w:name="_Toc81196574"/>
      <w:r>
        <w:rPr>
          <w:rFonts w:hint="eastAsia"/>
          <w:b w:val="0"/>
          <w:sz w:val="24"/>
          <w:szCs w:val="24"/>
        </w:rPr>
        <w:t>5 开标</w:t>
      </w:r>
      <w:bookmarkEnd w:id="18"/>
      <w:bookmarkStart w:id="19" w:name="_Toc81196575"/>
    </w:p>
    <w:p w14:paraId="656C4CCD">
      <w:pPr>
        <w:autoSpaceDE w:val="0"/>
        <w:autoSpaceDN w:val="0"/>
        <w:snapToGrid w:val="0"/>
        <w:spacing w:line="360" w:lineRule="auto"/>
        <w:ind w:firstLine="482" w:firstLineChars="200"/>
        <w:textAlignment w:val="bottom"/>
        <w:rPr>
          <w:rFonts w:ascii="宋体" w:cs="宋体"/>
          <w:b/>
          <w:sz w:val="24"/>
        </w:rPr>
      </w:pPr>
      <w:r>
        <w:rPr>
          <w:rFonts w:hint="eastAsia" w:ascii="宋体" w:cs="宋体"/>
          <w:b/>
          <w:sz w:val="24"/>
        </w:rPr>
        <w:t>5.1 开标形式</w:t>
      </w:r>
    </w:p>
    <w:p w14:paraId="400F3A63">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1、 采购组织机构将按照招标文件规定的时间通过“</w:t>
      </w:r>
      <w:r>
        <w:rPr>
          <w:rFonts w:hint="eastAsia" w:ascii="宋体"/>
          <w:sz w:val="24"/>
        </w:rPr>
        <w:t>化工云商网（巨化数字化招采平台）</w:t>
      </w:r>
      <w:r>
        <w:rPr>
          <w:rFonts w:hint="eastAsia" w:ascii="宋体" w:cs="宋体"/>
          <w:sz w:val="24"/>
        </w:rPr>
        <w:t>”组织在线开标，所有投标人均应当准时在线参加。</w:t>
      </w:r>
    </w:p>
    <w:p w14:paraId="1E9DA3B8">
      <w:pPr>
        <w:autoSpaceDE w:val="0"/>
        <w:autoSpaceDN w:val="0"/>
        <w:snapToGrid w:val="0"/>
        <w:spacing w:line="360" w:lineRule="auto"/>
        <w:ind w:firstLine="482" w:firstLineChars="200"/>
        <w:textAlignment w:val="bottom"/>
        <w:rPr>
          <w:rFonts w:ascii="宋体" w:cs="宋体"/>
          <w:b/>
          <w:sz w:val="24"/>
        </w:rPr>
      </w:pPr>
      <w:r>
        <w:rPr>
          <w:rFonts w:hint="eastAsia" w:ascii="宋体" w:cs="宋体"/>
          <w:b/>
          <w:sz w:val="24"/>
        </w:rPr>
        <w:t xml:space="preserve">5.2 </w:t>
      </w:r>
      <w:r>
        <w:rPr>
          <w:rFonts w:ascii="宋体" w:cs="宋体"/>
          <w:b/>
          <w:sz w:val="24"/>
        </w:rPr>
        <w:t>开标准备</w:t>
      </w:r>
    </w:p>
    <w:p w14:paraId="0AB1DD38">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1、开标的准备工作由采购组织机构负责落实。</w:t>
      </w:r>
    </w:p>
    <w:p w14:paraId="52600DCC">
      <w:pPr>
        <w:autoSpaceDE w:val="0"/>
        <w:autoSpaceDN w:val="0"/>
        <w:snapToGrid w:val="0"/>
        <w:spacing w:line="360" w:lineRule="auto"/>
        <w:ind w:firstLine="480" w:firstLineChars="200"/>
        <w:textAlignment w:val="bottom"/>
        <w:rPr>
          <w:rFonts w:ascii="宋体" w:cs="宋体"/>
          <w:sz w:val="24"/>
        </w:rPr>
      </w:pPr>
      <w:r>
        <w:rPr>
          <w:rFonts w:ascii="宋体" w:cs="宋体"/>
          <w:sz w:val="24"/>
        </w:rPr>
        <w:t>2</w:t>
      </w:r>
      <w:r>
        <w:rPr>
          <w:rFonts w:hint="eastAsia" w:ascii="宋体" w:cs="宋体"/>
          <w:sz w:val="24"/>
        </w:rPr>
        <w:t>、采购组织机构将按照招标文件规定的时间通过“</w:t>
      </w:r>
      <w:r>
        <w:rPr>
          <w:rFonts w:hint="eastAsia" w:ascii="宋体"/>
          <w:sz w:val="24"/>
        </w:rPr>
        <w:t>化工云商网（巨化数字化招采平台）</w:t>
      </w:r>
      <w:r>
        <w:rPr>
          <w:rFonts w:hint="eastAsia" w:ascii="宋体" w:cs="宋体"/>
          <w:sz w:val="24"/>
        </w:rPr>
        <w:t>”组织开标，所有投标人均应当准时在线参加。投标人自行承担因</w:t>
      </w:r>
      <w:r>
        <w:rPr>
          <w:rFonts w:ascii="宋体" w:cs="宋体"/>
          <w:sz w:val="24"/>
        </w:rPr>
        <w:t>不</w:t>
      </w:r>
      <w:r>
        <w:rPr>
          <w:rFonts w:hint="eastAsia" w:ascii="宋体" w:cs="宋体"/>
          <w:sz w:val="24"/>
        </w:rPr>
        <w:t>参加在线</w:t>
      </w:r>
      <w:r>
        <w:rPr>
          <w:rFonts w:ascii="宋体" w:cs="宋体"/>
          <w:sz w:val="24"/>
        </w:rPr>
        <w:t>开标</w:t>
      </w:r>
      <w:r>
        <w:rPr>
          <w:rFonts w:hint="eastAsia" w:ascii="宋体" w:cs="宋体"/>
          <w:sz w:val="24"/>
        </w:rPr>
        <w:t>而产生的不利后果。</w:t>
      </w:r>
    </w:p>
    <w:p w14:paraId="171F6B81">
      <w:pPr>
        <w:autoSpaceDE w:val="0"/>
        <w:autoSpaceDN w:val="0"/>
        <w:snapToGrid w:val="0"/>
        <w:spacing w:line="360" w:lineRule="auto"/>
        <w:ind w:firstLine="482" w:firstLineChars="200"/>
        <w:textAlignment w:val="bottom"/>
        <w:rPr>
          <w:rFonts w:ascii="宋体" w:cs="宋体"/>
          <w:b/>
          <w:sz w:val="24"/>
        </w:rPr>
      </w:pPr>
      <w:r>
        <w:rPr>
          <w:rFonts w:hint="eastAsia" w:ascii="宋体" w:cs="宋体"/>
          <w:b/>
          <w:sz w:val="24"/>
        </w:rPr>
        <w:t xml:space="preserve">5.3 </w:t>
      </w:r>
      <w:r>
        <w:rPr>
          <w:rFonts w:ascii="宋体" w:cs="宋体"/>
          <w:b/>
          <w:sz w:val="24"/>
        </w:rPr>
        <w:t>开标</w:t>
      </w:r>
      <w:r>
        <w:rPr>
          <w:rFonts w:hint="eastAsia" w:ascii="宋体" w:cs="宋体"/>
          <w:b/>
          <w:sz w:val="24"/>
        </w:rPr>
        <w:t>流程</w:t>
      </w:r>
    </w:p>
    <w:p w14:paraId="2E3A0CF9">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1、开标第一阶段</w:t>
      </w:r>
    </w:p>
    <w:p w14:paraId="0F8B4B6E">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w:t>
      </w:r>
      <w:r>
        <w:rPr>
          <w:rFonts w:ascii="宋体" w:cs="宋体"/>
          <w:sz w:val="24"/>
        </w:rPr>
        <w:t>1</w:t>
      </w:r>
      <w:r>
        <w:rPr>
          <w:rFonts w:hint="eastAsia" w:ascii="宋体" w:cs="宋体"/>
          <w:sz w:val="24"/>
        </w:rPr>
        <w:t>）向各投标人发出电子加密投标文件【开始解密】通知，各投标人代表应当在接到解密通知后30分钟内自行完成解密。 因投标人网络与电源不稳定、未按操作手册要求配置软硬件、解密锁发生故障或用错、故意不在要求时限内完成解密等自身原因，导致投标文件在规定时间内未能解密、解密失败或解密超时，视为投标人撤销其投标文件；因招标人原因或化工云商网（巨化数字化招采平台）系统发生故障，导致无法按时完成投标文件解密或开、评标工作无法进行的，经巨化招标办公室等相关部门同意，可根据实际情况相应延迟解密时间或调整开、评标时间。</w:t>
      </w:r>
    </w:p>
    <w:p w14:paraId="4DDCBEDE">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（2）开启符合性审查文件、技术资信文件。</w:t>
      </w:r>
    </w:p>
    <w:p w14:paraId="02CE75B1">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（3）进行资格审查。对通过资格审查的投标人进行符合性审查、商务技术评审；</w:t>
      </w:r>
    </w:p>
    <w:p w14:paraId="758D94EC">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2、开标第二阶段</w:t>
      </w:r>
    </w:p>
    <w:p w14:paraId="46609D00">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（1）资格审查、符合性审查、技术评审结束后，进入开标第二阶段。</w:t>
      </w:r>
    </w:p>
    <w:p w14:paraId="5038191F">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（2）通过电子交易平台公布无效投标人名单及导致无效的原因</w:t>
      </w:r>
      <w:r>
        <w:rPr>
          <w:rFonts w:ascii="宋体" w:cs="宋体"/>
          <w:sz w:val="24"/>
        </w:rPr>
        <w:t>；公布</w:t>
      </w:r>
      <w:r>
        <w:rPr>
          <w:rFonts w:hint="eastAsia" w:ascii="宋体" w:cs="宋体"/>
          <w:sz w:val="24"/>
        </w:rPr>
        <w:t>有效</w:t>
      </w:r>
      <w:r>
        <w:rPr>
          <w:rFonts w:ascii="宋体" w:cs="宋体"/>
          <w:sz w:val="24"/>
        </w:rPr>
        <w:t>投标人</w:t>
      </w:r>
      <w:r>
        <w:rPr>
          <w:rFonts w:hint="eastAsia" w:ascii="宋体" w:cs="宋体"/>
          <w:sz w:val="24"/>
        </w:rPr>
        <w:t>的</w:t>
      </w:r>
      <w:r>
        <w:rPr>
          <w:rFonts w:ascii="宋体" w:cs="宋体"/>
          <w:sz w:val="24"/>
        </w:rPr>
        <w:t>名单</w:t>
      </w:r>
      <w:r>
        <w:rPr>
          <w:rFonts w:hint="eastAsia" w:ascii="宋体" w:cs="宋体"/>
          <w:sz w:val="24"/>
        </w:rPr>
        <w:t>及其资信</w:t>
      </w:r>
      <w:r>
        <w:rPr>
          <w:rFonts w:ascii="宋体" w:cs="宋体"/>
          <w:sz w:val="24"/>
        </w:rPr>
        <w:t>商务</w:t>
      </w:r>
      <w:r>
        <w:rPr>
          <w:rFonts w:hint="eastAsia" w:ascii="宋体" w:cs="宋体"/>
          <w:sz w:val="24"/>
        </w:rPr>
        <w:t>得分、</w:t>
      </w:r>
      <w:r>
        <w:rPr>
          <w:rFonts w:ascii="宋体" w:cs="宋体"/>
          <w:sz w:val="24"/>
        </w:rPr>
        <w:t>技术得分</w:t>
      </w:r>
      <w:r>
        <w:rPr>
          <w:rFonts w:hint="eastAsia" w:ascii="宋体" w:cs="宋体"/>
          <w:sz w:val="24"/>
        </w:rPr>
        <w:t>。</w:t>
      </w:r>
    </w:p>
    <w:p w14:paraId="4EADC149">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（3）开启有效投标人的《商务经济文件》，系统形成开标记录。</w:t>
      </w:r>
    </w:p>
    <w:p w14:paraId="00DAE19F">
      <w:pPr>
        <w:autoSpaceDE w:val="0"/>
        <w:autoSpaceDN w:val="0"/>
        <w:snapToGrid w:val="0"/>
        <w:spacing w:line="360" w:lineRule="auto"/>
        <w:ind w:firstLine="480" w:firstLineChars="200"/>
        <w:textAlignment w:val="bottom"/>
        <w:rPr>
          <w:sz w:val="24"/>
        </w:rPr>
      </w:pPr>
      <w:r>
        <w:rPr>
          <w:rFonts w:hint="eastAsia" w:ascii="宋体" w:cs="宋体"/>
          <w:sz w:val="24"/>
        </w:rPr>
        <w:t>（4）价格评审。价格评审结束后，通过电子交易平台公布中标候选人名单。</w:t>
      </w:r>
      <w:bookmarkEnd w:id="19"/>
    </w:p>
    <w:p w14:paraId="55C953CD">
      <w:pPr>
        <w:pStyle w:val="5"/>
        <w:spacing w:before="0" w:after="0" w:line="360" w:lineRule="auto"/>
        <w:rPr>
          <w:b w:val="0"/>
          <w:sz w:val="24"/>
          <w:szCs w:val="24"/>
        </w:rPr>
      </w:pPr>
      <w:r>
        <w:rPr>
          <w:rFonts w:hint="eastAsia"/>
          <w:b w:val="0"/>
          <w:sz w:val="24"/>
          <w:szCs w:val="24"/>
        </w:rPr>
        <w:t>6 评标</w:t>
      </w:r>
    </w:p>
    <w:p w14:paraId="162E1714">
      <w:pPr>
        <w:spacing w:line="360" w:lineRule="auto"/>
        <w:ind w:firstLine="241" w:firstLineChars="100"/>
        <w:rPr>
          <w:b/>
          <w:bCs/>
          <w:sz w:val="24"/>
        </w:rPr>
      </w:pPr>
      <w:bookmarkStart w:id="20" w:name="_Toc179632581"/>
      <w:bookmarkStart w:id="21" w:name="_Toc144974531"/>
      <w:bookmarkStart w:id="22" w:name="_Toc152045563"/>
      <w:bookmarkStart w:id="23" w:name="_Toc152042339"/>
      <w:bookmarkStart w:id="24" w:name="_Toc81196578"/>
      <w:r>
        <w:rPr>
          <w:b/>
          <w:bCs/>
          <w:sz w:val="24"/>
        </w:rPr>
        <w:t xml:space="preserve">6.1 </w:t>
      </w:r>
      <w:r>
        <w:rPr>
          <w:rFonts w:hint="eastAsia"/>
          <w:b/>
          <w:bCs/>
          <w:sz w:val="24"/>
        </w:rPr>
        <w:t>组建</w:t>
      </w:r>
      <w:r>
        <w:rPr>
          <w:b/>
          <w:bCs/>
          <w:sz w:val="24"/>
        </w:rPr>
        <w:t>评标委员会</w:t>
      </w:r>
      <w:bookmarkEnd w:id="20"/>
      <w:bookmarkEnd w:id="21"/>
      <w:bookmarkEnd w:id="22"/>
      <w:bookmarkEnd w:id="23"/>
    </w:p>
    <w:p w14:paraId="20F53409">
      <w:pPr>
        <w:spacing w:line="360" w:lineRule="auto"/>
        <w:ind w:firstLine="240" w:firstLineChars="100"/>
        <w:rPr>
          <w:sz w:val="24"/>
        </w:rPr>
      </w:pPr>
      <w:r>
        <w:rPr>
          <w:rFonts w:hint="eastAsia"/>
          <w:sz w:val="24"/>
        </w:rPr>
        <w:t>6.1.1</w:t>
      </w:r>
      <w:r>
        <w:rPr>
          <w:sz w:val="24"/>
        </w:rPr>
        <w:t>评标委员会</w:t>
      </w:r>
      <w:r>
        <w:rPr>
          <w:rFonts w:hint="eastAsia"/>
          <w:sz w:val="24"/>
        </w:rPr>
        <w:t>由招标人代表和有关技术、经济等方面的专家组成，成员人数应当为五人及以上单数。其中，技术、经济等方面的专家不得少于成员总数的三分之二。</w:t>
      </w:r>
    </w:p>
    <w:p w14:paraId="6A8059BA">
      <w:pPr>
        <w:spacing w:line="360" w:lineRule="auto"/>
        <w:ind w:firstLine="240" w:firstLineChars="100"/>
        <w:rPr>
          <w:sz w:val="24"/>
        </w:rPr>
      </w:pPr>
      <w:r>
        <w:rPr>
          <w:sz w:val="24"/>
        </w:rPr>
        <w:t>6.1.2 评标委员会成员有下列情形之一的，应当回避：</w:t>
      </w:r>
    </w:p>
    <w:p w14:paraId="47B4A5ED">
      <w:pPr>
        <w:spacing w:line="360" w:lineRule="auto"/>
        <w:ind w:firstLine="240" w:firstLineChars="100"/>
        <w:rPr>
          <w:sz w:val="24"/>
        </w:rPr>
      </w:pPr>
      <w:r>
        <w:rPr>
          <w:sz w:val="24"/>
        </w:rPr>
        <w:t>（1）招标人或投标人的主要负责人的近亲属；</w:t>
      </w:r>
    </w:p>
    <w:p w14:paraId="431350B4">
      <w:pPr>
        <w:spacing w:line="360" w:lineRule="auto"/>
        <w:ind w:firstLine="240" w:firstLineChars="100"/>
        <w:rPr>
          <w:sz w:val="24"/>
        </w:rPr>
      </w:pPr>
      <w:r>
        <w:rPr>
          <w:sz w:val="24"/>
        </w:rPr>
        <w:t>（2）项目主管部门或者行政监督部门的人员；</w:t>
      </w:r>
    </w:p>
    <w:p w14:paraId="6A28AD35">
      <w:pPr>
        <w:spacing w:line="360" w:lineRule="auto"/>
        <w:ind w:firstLine="240" w:firstLineChars="100"/>
        <w:rPr>
          <w:sz w:val="24"/>
        </w:rPr>
      </w:pPr>
      <w:r>
        <w:rPr>
          <w:sz w:val="24"/>
        </w:rPr>
        <w:t>（3）与投标人有经济利益关系，可能影响对投标公正评审的；</w:t>
      </w:r>
    </w:p>
    <w:p w14:paraId="5566C7E6">
      <w:pPr>
        <w:spacing w:line="360" w:lineRule="auto"/>
        <w:ind w:firstLine="240" w:firstLineChars="100"/>
        <w:rPr>
          <w:sz w:val="24"/>
        </w:rPr>
      </w:pPr>
      <w:r>
        <w:rPr>
          <w:sz w:val="24"/>
        </w:rPr>
        <w:t>（4）曾因在招标、评标以及其他与招标投标有关活动中从事违法行为而受过行政处罚或刑事处罚的。</w:t>
      </w:r>
    </w:p>
    <w:bookmarkEnd w:id="24"/>
    <w:p w14:paraId="3D371BF1">
      <w:pPr>
        <w:pStyle w:val="15"/>
        <w:snapToGrid w:val="0"/>
        <w:spacing w:line="360" w:lineRule="auto"/>
        <w:ind w:firstLine="426"/>
        <w:rPr>
          <w:b/>
          <w:sz w:val="24"/>
          <w:szCs w:val="24"/>
        </w:rPr>
      </w:pPr>
      <w:bookmarkStart w:id="25" w:name="_Toc179632584"/>
      <w:bookmarkStart w:id="26" w:name="_Toc152042342"/>
      <w:bookmarkStart w:id="27" w:name="_Toc152045566"/>
      <w:bookmarkStart w:id="28" w:name="_Toc144974534"/>
      <w:r>
        <w:rPr>
          <w:rFonts w:hint="eastAsia"/>
          <w:b/>
          <w:sz w:val="24"/>
          <w:szCs w:val="24"/>
        </w:rPr>
        <w:t>6.2</w:t>
      </w:r>
      <w:r>
        <w:rPr>
          <w:b/>
          <w:sz w:val="24"/>
          <w:szCs w:val="24"/>
        </w:rPr>
        <w:t>评标程序</w:t>
      </w:r>
    </w:p>
    <w:p w14:paraId="1EE99638">
      <w:pPr>
        <w:pStyle w:val="15"/>
        <w:snapToGrid w:val="0"/>
        <w:spacing w:line="360" w:lineRule="auto"/>
        <w:ind w:firstLine="426"/>
        <w:rPr>
          <w:sz w:val="24"/>
          <w:szCs w:val="24"/>
        </w:rPr>
      </w:pPr>
      <w:r>
        <w:rPr>
          <w:sz w:val="24"/>
          <w:szCs w:val="24"/>
        </w:rPr>
        <w:t>1.在</w:t>
      </w:r>
      <w:r>
        <w:rPr>
          <w:rFonts w:hint="eastAsia"/>
          <w:sz w:val="24"/>
          <w:szCs w:val="24"/>
        </w:rPr>
        <w:t>评标委员会</w:t>
      </w:r>
      <w:r>
        <w:rPr>
          <w:sz w:val="24"/>
          <w:szCs w:val="24"/>
        </w:rPr>
        <w:t>中推选组长。</w:t>
      </w:r>
    </w:p>
    <w:p w14:paraId="3111E098">
      <w:pPr>
        <w:pStyle w:val="15"/>
        <w:snapToGrid w:val="0"/>
        <w:spacing w:line="360" w:lineRule="auto"/>
        <w:ind w:firstLine="426"/>
        <w:rPr>
          <w:sz w:val="24"/>
          <w:szCs w:val="24"/>
        </w:rPr>
      </w:pPr>
      <w:r>
        <w:rPr>
          <w:sz w:val="24"/>
          <w:szCs w:val="24"/>
        </w:rPr>
        <w:t>2.</w:t>
      </w:r>
      <w:r>
        <w:rPr>
          <w:rFonts w:hint="eastAsia"/>
          <w:sz w:val="24"/>
          <w:szCs w:val="24"/>
        </w:rPr>
        <w:t xml:space="preserve"> 评标委员会</w:t>
      </w:r>
      <w:r>
        <w:rPr>
          <w:sz w:val="24"/>
          <w:szCs w:val="24"/>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22DF0655">
      <w:pPr>
        <w:pStyle w:val="15"/>
        <w:snapToGrid w:val="0"/>
        <w:spacing w:line="360" w:lineRule="auto"/>
        <w:ind w:firstLine="426"/>
        <w:rPr>
          <w:sz w:val="24"/>
          <w:szCs w:val="24"/>
        </w:rPr>
      </w:pPr>
      <w:r>
        <w:rPr>
          <w:sz w:val="24"/>
          <w:szCs w:val="24"/>
        </w:rPr>
        <w:t>3.评标委员会对各投标人的资格进行审查，投标人资格条件不符合招标文件要求的投标将被否决，</w:t>
      </w:r>
      <w:r>
        <w:rPr>
          <w:bCs/>
          <w:sz w:val="24"/>
          <w:szCs w:val="24"/>
        </w:rPr>
        <w:t>不再进入符合性审查。</w:t>
      </w:r>
    </w:p>
    <w:p w14:paraId="68745022">
      <w:pPr>
        <w:pStyle w:val="15"/>
        <w:snapToGrid w:val="0"/>
        <w:spacing w:line="360" w:lineRule="auto"/>
        <w:ind w:firstLine="426"/>
        <w:rPr>
          <w:sz w:val="24"/>
          <w:szCs w:val="24"/>
        </w:rPr>
      </w:pPr>
      <w:r>
        <w:rPr>
          <w:sz w:val="24"/>
          <w:szCs w:val="24"/>
        </w:rPr>
        <w:t>4.</w:t>
      </w:r>
      <w:r>
        <w:rPr>
          <w:rFonts w:hint="eastAsia"/>
          <w:sz w:val="24"/>
          <w:szCs w:val="24"/>
        </w:rPr>
        <w:t xml:space="preserve"> 评标委员会</w:t>
      </w:r>
      <w:r>
        <w:rPr>
          <w:sz w:val="24"/>
          <w:szCs w:val="24"/>
        </w:rPr>
        <w:t>对各投标文件的符合性进行审查，确定是否对招标文件作出了实质性响应。</w:t>
      </w:r>
      <w:r>
        <w:rPr>
          <w:bCs/>
          <w:sz w:val="24"/>
          <w:szCs w:val="24"/>
        </w:rPr>
        <w:t>实质上没有响应招标文件要求的投标将被视为无效投标，不再进入下一阶段的评审。</w:t>
      </w:r>
    </w:p>
    <w:p w14:paraId="5BE696F8">
      <w:pPr>
        <w:pStyle w:val="15"/>
        <w:snapToGrid w:val="0"/>
        <w:spacing w:line="360" w:lineRule="auto"/>
        <w:ind w:firstLine="426"/>
        <w:rPr>
          <w:sz w:val="24"/>
          <w:szCs w:val="24"/>
        </w:rPr>
      </w:pPr>
      <w:r>
        <w:rPr>
          <w:sz w:val="24"/>
          <w:szCs w:val="24"/>
        </w:rPr>
        <w:t>5.</w:t>
      </w:r>
      <w:r>
        <w:rPr>
          <w:rFonts w:hint="eastAsia"/>
          <w:sz w:val="24"/>
          <w:szCs w:val="24"/>
        </w:rPr>
        <w:t xml:space="preserve"> 评标委员会</w:t>
      </w:r>
      <w:r>
        <w:rPr>
          <w:sz w:val="24"/>
          <w:szCs w:val="24"/>
        </w:rPr>
        <w:t>按招标文件规定的评审方法和评审标准，依法独立对投标人投标文件进行评估、比较，并给予评价或打分，不受任何单位和个人的干预。</w:t>
      </w:r>
    </w:p>
    <w:p w14:paraId="1C3964BE">
      <w:pPr>
        <w:snapToGrid w:val="0"/>
        <w:spacing w:line="360" w:lineRule="auto"/>
        <w:ind w:firstLine="426"/>
        <w:rPr>
          <w:rFonts w:ascii="宋体"/>
          <w:sz w:val="24"/>
        </w:rPr>
      </w:pPr>
      <w:r>
        <w:rPr>
          <w:rFonts w:ascii="宋体"/>
          <w:sz w:val="24"/>
        </w:rPr>
        <w:t>6.各投标人的得分为所有</w:t>
      </w:r>
      <w:r>
        <w:rPr>
          <w:rFonts w:hint="eastAsia" w:ascii="宋体"/>
          <w:sz w:val="24"/>
        </w:rPr>
        <w:t>评标委员会</w:t>
      </w:r>
      <w:r>
        <w:rPr>
          <w:rFonts w:ascii="宋体"/>
          <w:sz w:val="24"/>
        </w:rPr>
        <w:t>的有效评分的算术平均数，由指定专人进行计算复核。</w:t>
      </w:r>
    </w:p>
    <w:p w14:paraId="038FD349">
      <w:pPr>
        <w:snapToGrid w:val="0"/>
        <w:spacing w:line="360" w:lineRule="auto"/>
        <w:ind w:firstLine="426"/>
        <w:rPr>
          <w:rFonts w:ascii="宋体"/>
          <w:sz w:val="24"/>
        </w:rPr>
      </w:pPr>
      <w:r>
        <w:rPr>
          <w:rFonts w:ascii="宋体"/>
          <w:sz w:val="24"/>
        </w:rPr>
        <w:t>7.评标委员会完成评标后，对各部分得分汇总，计算出本项目最终得分。评标委员会按评标原则推荐中标候选人，同时起草评标报告。</w:t>
      </w:r>
    </w:p>
    <w:p w14:paraId="4B46DE0D">
      <w:pPr>
        <w:snapToGrid w:val="0"/>
        <w:spacing w:line="360" w:lineRule="auto"/>
        <w:ind w:firstLine="426"/>
        <w:rPr>
          <w:rFonts w:ascii="宋体"/>
          <w:b/>
          <w:sz w:val="24"/>
        </w:rPr>
      </w:pPr>
      <w:r>
        <w:rPr>
          <w:rFonts w:hint="eastAsia" w:ascii="宋体"/>
          <w:b/>
          <w:sz w:val="24"/>
        </w:rPr>
        <w:t xml:space="preserve">6.3 </w:t>
      </w:r>
      <w:r>
        <w:rPr>
          <w:rFonts w:ascii="宋体"/>
          <w:b/>
          <w:sz w:val="24"/>
        </w:rPr>
        <w:t>澄清问题的形式</w:t>
      </w:r>
    </w:p>
    <w:p w14:paraId="74790564">
      <w:pPr>
        <w:snapToGrid w:val="0"/>
        <w:spacing w:line="360" w:lineRule="auto"/>
        <w:ind w:firstLine="426"/>
        <w:rPr>
          <w:rFonts w:ascii="宋体"/>
          <w:sz w:val="24"/>
        </w:rPr>
      </w:pPr>
      <w:r>
        <w:rPr>
          <w:rFonts w:hint="eastAsia" w:ascii="宋体"/>
          <w:sz w:val="24"/>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3A047AD9">
      <w:pPr>
        <w:snapToGrid w:val="0"/>
        <w:spacing w:line="360" w:lineRule="auto"/>
        <w:ind w:firstLine="426"/>
        <w:rPr>
          <w:rFonts w:ascii="宋体"/>
          <w:sz w:val="24"/>
        </w:rPr>
      </w:pPr>
      <w:r>
        <w:rPr>
          <w:rFonts w:hint="eastAsia" w:ascii="宋体"/>
          <w:sz w:val="24"/>
        </w:rPr>
        <w:t>评标委员会发出澄清内容后，投标人应当在</w:t>
      </w:r>
      <w:r>
        <w:rPr>
          <w:rFonts w:hint="eastAsia" w:ascii="宋体"/>
          <w:sz w:val="24"/>
          <w:u w:val="single"/>
        </w:rPr>
        <w:t>规定的时间内</w:t>
      </w:r>
      <w:r>
        <w:rPr>
          <w:rFonts w:hint="eastAsia" w:ascii="宋体"/>
          <w:sz w:val="24"/>
        </w:rPr>
        <w:t>提交澄清说明或补正，否则视为投标人放弃答复，并自行承担因此而产生的不利后果。澄清、说明或者补正不得超出投标文件的范围或者改变投标文件的实质性内容。</w:t>
      </w:r>
    </w:p>
    <w:p w14:paraId="3FC81252">
      <w:pPr>
        <w:pStyle w:val="15"/>
        <w:snapToGrid w:val="0"/>
        <w:spacing w:line="360" w:lineRule="auto"/>
        <w:ind w:firstLine="426"/>
        <w:rPr>
          <w:b/>
          <w:sz w:val="24"/>
          <w:szCs w:val="24"/>
        </w:rPr>
      </w:pPr>
      <w:r>
        <w:rPr>
          <w:rFonts w:hint="eastAsia"/>
          <w:b/>
          <w:sz w:val="24"/>
          <w:szCs w:val="24"/>
        </w:rPr>
        <w:t>6.4</w:t>
      </w:r>
      <w:r>
        <w:rPr>
          <w:b/>
          <w:sz w:val="24"/>
          <w:szCs w:val="24"/>
        </w:rPr>
        <w:t>错误修正</w:t>
      </w:r>
    </w:p>
    <w:p w14:paraId="077ADD7E">
      <w:pPr>
        <w:adjustRightInd w:val="0"/>
        <w:snapToGrid w:val="0"/>
        <w:spacing w:line="360" w:lineRule="auto"/>
        <w:ind w:firstLine="426"/>
        <w:rPr>
          <w:rFonts w:ascii="宋体"/>
          <w:sz w:val="24"/>
        </w:rPr>
      </w:pPr>
      <w:r>
        <w:rPr>
          <w:rFonts w:hint="eastAsia" w:ascii="宋体"/>
          <w:sz w:val="24"/>
        </w:rPr>
        <w:t xml:space="preserve">投标文件报价出现前后不一致的，按照下列规定修正： </w:t>
      </w:r>
    </w:p>
    <w:p w14:paraId="5E50B19E">
      <w:pPr>
        <w:adjustRightInd w:val="0"/>
        <w:snapToGrid w:val="0"/>
        <w:spacing w:line="360" w:lineRule="auto"/>
        <w:ind w:firstLine="426"/>
        <w:rPr>
          <w:rFonts w:ascii="宋体"/>
          <w:sz w:val="24"/>
        </w:rPr>
      </w:pPr>
      <w:r>
        <w:rPr>
          <w:rFonts w:hint="eastAsia" w:ascii="宋体"/>
          <w:sz w:val="24"/>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按评委认为的合理价格修正总价。</w:t>
      </w:r>
    </w:p>
    <w:p w14:paraId="63D04ECD">
      <w:pPr>
        <w:adjustRightInd w:val="0"/>
        <w:snapToGrid w:val="0"/>
        <w:spacing w:line="360" w:lineRule="auto"/>
        <w:ind w:firstLine="426"/>
        <w:outlineLvl w:val="1"/>
        <w:rPr>
          <w:rFonts w:ascii="宋体"/>
          <w:sz w:val="24"/>
        </w:rPr>
      </w:pPr>
      <w:r>
        <w:rPr>
          <w:rFonts w:hint="eastAsia" w:ascii="宋体"/>
          <w:sz w:val="24"/>
        </w:rPr>
        <w:t>2.大写金额和小写金额不一致的，以大写金额为准；</w:t>
      </w:r>
    </w:p>
    <w:p w14:paraId="4A897563">
      <w:pPr>
        <w:adjustRightInd w:val="0"/>
        <w:snapToGrid w:val="0"/>
        <w:spacing w:line="360" w:lineRule="auto"/>
        <w:ind w:firstLine="426"/>
        <w:rPr>
          <w:rFonts w:ascii="宋体"/>
          <w:sz w:val="24"/>
        </w:rPr>
      </w:pPr>
      <w:r>
        <w:rPr>
          <w:rFonts w:hint="eastAsia" w:ascii="宋体"/>
          <w:sz w:val="24"/>
        </w:rPr>
        <w:t>3.单价金额小数点或者百分比有明显错位的，以电子交易平台生成的开标记录表的总价为准，并修改单价；</w:t>
      </w:r>
    </w:p>
    <w:p w14:paraId="69B33290">
      <w:pPr>
        <w:adjustRightInd w:val="0"/>
        <w:snapToGrid w:val="0"/>
        <w:spacing w:line="360" w:lineRule="auto"/>
        <w:ind w:firstLine="426"/>
        <w:rPr>
          <w:rFonts w:ascii="宋体"/>
          <w:sz w:val="24"/>
        </w:rPr>
      </w:pPr>
      <w:r>
        <w:rPr>
          <w:rFonts w:hint="eastAsia" w:ascii="宋体"/>
          <w:sz w:val="24"/>
        </w:rPr>
        <w:t>4.总价金额与按单价汇总金额不一致的，以单价金额计算结果为准。</w:t>
      </w:r>
    </w:p>
    <w:p w14:paraId="1BD12A5D">
      <w:pPr>
        <w:adjustRightInd w:val="0"/>
        <w:snapToGrid w:val="0"/>
        <w:spacing w:line="360" w:lineRule="auto"/>
        <w:ind w:firstLine="426"/>
        <w:rPr>
          <w:rFonts w:ascii="宋体"/>
          <w:sz w:val="24"/>
        </w:rPr>
      </w:pPr>
      <w:r>
        <w:rPr>
          <w:rFonts w:hint="eastAsia" w:ascii="宋体"/>
          <w:sz w:val="24"/>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1FD61AA7">
      <w:pPr>
        <w:pStyle w:val="15"/>
        <w:tabs>
          <w:tab w:val="left" w:pos="630"/>
        </w:tabs>
        <w:snapToGrid w:val="0"/>
        <w:spacing w:line="360" w:lineRule="auto"/>
        <w:ind w:firstLine="426"/>
        <w:rPr>
          <w:b/>
          <w:sz w:val="24"/>
          <w:szCs w:val="24"/>
        </w:rPr>
      </w:pPr>
      <w:r>
        <w:rPr>
          <w:rFonts w:hint="eastAsia"/>
          <w:b/>
          <w:sz w:val="24"/>
          <w:szCs w:val="24"/>
        </w:rPr>
        <w:t>6.5</w:t>
      </w:r>
      <w:r>
        <w:rPr>
          <w:b/>
          <w:sz w:val="24"/>
          <w:szCs w:val="24"/>
        </w:rPr>
        <w:t>评标原则和评标办法</w:t>
      </w:r>
    </w:p>
    <w:p w14:paraId="7E70C87E">
      <w:pPr>
        <w:pStyle w:val="15"/>
        <w:snapToGrid w:val="0"/>
        <w:spacing w:line="360" w:lineRule="auto"/>
        <w:ind w:firstLine="426"/>
        <w:rPr>
          <w:sz w:val="24"/>
          <w:szCs w:val="24"/>
        </w:rPr>
      </w:pPr>
      <w:r>
        <w:rPr>
          <w:sz w:val="24"/>
          <w:szCs w:val="24"/>
        </w:rPr>
        <w:t>1.评标委员会必须公平、公正、客观，不带任何倾向性和启发性；不得向外界透露任何与评标有关的内容；任何单位和个人不得干扰、影响评标的正常进行。</w:t>
      </w:r>
    </w:p>
    <w:p w14:paraId="71B1F75F">
      <w:pPr>
        <w:pStyle w:val="15"/>
        <w:snapToGrid w:val="0"/>
        <w:spacing w:line="360" w:lineRule="auto"/>
        <w:ind w:firstLine="426"/>
        <w:rPr>
          <w:sz w:val="24"/>
          <w:szCs w:val="24"/>
        </w:rPr>
      </w:pPr>
      <w:r>
        <w:rPr>
          <w:sz w:val="24"/>
          <w:szCs w:val="24"/>
        </w:rPr>
        <w:t>2.本项目具体评标内容及评分标准等详见《评标办法》。</w:t>
      </w:r>
    </w:p>
    <w:p w14:paraId="32ECEEC6">
      <w:pPr>
        <w:pStyle w:val="5"/>
        <w:spacing w:before="0" w:after="0" w:line="360" w:lineRule="auto"/>
        <w:rPr>
          <w:b w:val="0"/>
          <w:sz w:val="24"/>
          <w:szCs w:val="24"/>
        </w:rPr>
      </w:pPr>
      <w:r>
        <w:rPr>
          <w:rFonts w:hint="eastAsia"/>
          <w:b w:val="0"/>
          <w:sz w:val="24"/>
          <w:szCs w:val="24"/>
        </w:rPr>
        <w:t>7. 合同授予</w:t>
      </w:r>
      <w:bookmarkEnd w:id="25"/>
      <w:bookmarkEnd w:id="26"/>
      <w:bookmarkEnd w:id="27"/>
      <w:bookmarkEnd w:id="28"/>
    </w:p>
    <w:p w14:paraId="3A5C24E9">
      <w:pPr>
        <w:spacing w:line="360" w:lineRule="auto"/>
        <w:ind w:firstLine="241" w:firstLineChars="100"/>
        <w:rPr>
          <w:rFonts w:ascii="宋体" w:cs="ˎ̥"/>
          <w:b/>
          <w:sz w:val="24"/>
        </w:rPr>
      </w:pPr>
      <w:bookmarkStart w:id="29" w:name="_Toc144974535"/>
      <w:bookmarkStart w:id="30" w:name="_Toc152045567"/>
      <w:bookmarkStart w:id="31" w:name="_Toc179632585"/>
      <w:bookmarkStart w:id="32" w:name="_Toc152042343"/>
      <w:r>
        <w:rPr>
          <w:rFonts w:hint="eastAsia" w:ascii="宋体" w:cs="ˎ̥"/>
          <w:b/>
          <w:sz w:val="24"/>
        </w:rPr>
        <w:t>7.1 定标方式</w:t>
      </w:r>
      <w:bookmarkEnd w:id="29"/>
      <w:bookmarkEnd w:id="30"/>
      <w:bookmarkEnd w:id="31"/>
      <w:bookmarkEnd w:id="32"/>
    </w:p>
    <w:p w14:paraId="31DCAF02">
      <w:pPr>
        <w:spacing w:line="360" w:lineRule="auto"/>
        <w:ind w:firstLine="480" w:firstLineChars="200"/>
        <w:rPr>
          <w:sz w:val="24"/>
        </w:rPr>
      </w:pPr>
      <w:r>
        <w:rPr>
          <w:sz w:val="24"/>
        </w:rPr>
        <w:t>除投标人须知前附表规定评标委员会直接确定中标人外，招标人依据评标委员会推荐的中标候选人确定中标人，评标委员会推荐中标候选人的人数见投标人须知前附表。</w:t>
      </w:r>
    </w:p>
    <w:p w14:paraId="22741FC1">
      <w:pPr>
        <w:spacing w:line="360" w:lineRule="auto"/>
        <w:ind w:firstLine="241" w:firstLineChars="100"/>
        <w:rPr>
          <w:rFonts w:ascii="宋体" w:cs="ˎ̥"/>
          <w:b/>
          <w:sz w:val="24"/>
        </w:rPr>
      </w:pPr>
      <w:bookmarkStart w:id="33" w:name="_Toc144974536"/>
      <w:bookmarkStart w:id="34" w:name="_Toc152042344"/>
      <w:bookmarkStart w:id="35" w:name="_Toc179632586"/>
      <w:bookmarkStart w:id="36" w:name="_Toc152045568"/>
      <w:r>
        <w:rPr>
          <w:rFonts w:hint="eastAsia" w:ascii="宋体" w:cs="ˎ̥"/>
          <w:b/>
          <w:sz w:val="24"/>
        </w:rPr>
        <w:t>7.2 中标通知</w:t>
      </w:r>
      <w:bookmarkEnd w:id="33"/>
      <w:bookmarkEnd w:id="34"/>
      <w:bookmarkEnd w:id="35"/>
      <w:bookmarkEnd w:id="36"/>
    </w:p>
    <w:p w14:paraId="16992D9A">
      <w:pPr>
        <w:spacing w:line="360" w:lineRule="auto"/>
        <w:ind w:firstLine="240" w:firstLineChars="100"/>
        <w:rPr>
          <w:sz w:val="24"/>
        </w:rPr>
      </w:pPr>
      <w:r>
        <w:rPr>
          <w:sz w:val="24"/>
        </w:rPr>
        <w:t>7.2.1 在本章第3.3款规定的投标有效期内，招标人以书面形式向中标人发出中标通知书，同时将中标结果通知未中标的投标人。</w:t>
      </w:r>
    </w:p>
    <w:p w14:paraId="00F9C732">
      <w:pPr>
        <w:spacing w:line="360" w:lineRule="auto"/>
        <w:ind w:firstLine="240" w:firstLineChars="100"/>
        <w:rPr>
          <w:sz w:val="24"/>
        </w:rPr>
      </w:pPr>
      <w:r>
        <w:rPr>
          <w:rFonts w:hint="eastAsia" w:ascii="宋体" w:cs="宋体"/>
          <w:color w:val="000000"/>
          <w:sz w:val="24"/>
        </w:rPr>
        <w:t>*</w:t>
      </w:r>
      <w:r>
        <w:rPr>
          <w:sz w:val="24"/>
        </w:rPr>
        <w:t>7.2.2  中标人在领取中标通知书时，向招标代理单位缴纳招标服务费。</w:t>
      </w:r>
      <w:r>
        <w:rPr>
          <w:rFonts w:hint="eastAsia" w:ascii="宋体" w:cs="宋体"/>
          <w:sz w:val="24"/>
        </w:rPr>
        <w:t>在报价表中不单列报价子项，由投标人自行在企业运营成本等或各单价中分摊。</w:t>
      </w:r>
    </w:p>
    <w:p w14:paraId="591899F6">
      <w:pPr>
        <w:spacing w:line="360" w:lineRule="auto"/>
        <w:ind w:firstLine="241" w:firstLineChars="100"/>
        <w:rPr>
          <w:rFonts w:ascii="宋体" w:cs="ˎ̥"/>
          <w:b/>
          <w:sz w:val="24"/>
        </w:rPr>
      </w:pPr>
      <w:bookmarkStart w:id="37" w:name="_Toc152045569"/>
      <w:bookmarkStart w:id="38" w:name="_Toc152042345"/>
      <w:bookmarkStart w:id="39" w:name="_Toc144974537"/>
      <w:bookmarkStart w:id="40" w:name="_Toc179632587"/>
      <w:r>
        <w:rPr>
          <w:rFonts w:ascii="宋体" w:cs="ˎ̥"/>
          <w:b/>
          <w:sz w:val="24"/>
        </w:rPr>
        <w:t>*</w:t>
      </w:r>
      <w:r>
        <w:rPr>
          <w:rFonts w:hint="eastAsia" w:ascii="宋体" w:cs="ˎ̥"/>
          <w:b/>
          <w:sz w:val="24"/>
        </w:rPr>
        <w:t>7.3 履约担保</w:t>
      </w:r>
      <w:bookmarkEnd w:id="37"/>
      <w:bookmarkEnd w:id="38"/>
      <w:bookmarkEnd w:id="39"/>
      <w:bookmarkEnd w:id="40"/>
    </w:p>
    <w:p w14:paraId="0E6DF687">
      <w:pPr>
        <w:spacing w:line="360" w:lineRule="auto"/>
        <w:ind w:firstLine="240" w:firstLineChars="100"/>
        <w:rPr>
          <w:sz w:val="24"/>
        </w:rPr>
      </w:pPr>
      <w:bookmarkStart w:id="41" w:name="_Toc152042348"/>
      <w:bookmarkStart w:id="42" w:name="_Toc179632590"/>
      <w:bookmarkStart w:id="43" w:name="_Toc144974540"/>
      <w:bookmarkStart w:id="44" w:name="_Toc152045572"/>
      <w:r>
        <w:rPr>
          <w:sz w:val="24"/>
        </w:rPr>
        <w:t>7.3.1</w:t>
      </w:r>
      <w:r>
        <w:rPr>
          <w:rFonts w:hint="eastAsia"/>
          <w:sz w:val="24"/>
        </w:rPr>
        <w:t>在签订协议前，中标人应按投标人须知前附表规定向招标人提交履约担保金。</w:t>
      </w:r>
    </w:p>
    <w:p w14:paraId="73CD3924">
      <w:pPr>
        <w:spacing w:line="360" w:lineRule="auto"/>
        <w:ind w:firstLine="240" w:firstLineChars="100"/>
        <w:rPr>
          <w:sz w:val="24"/>
        </w:rPr>
      </w:pPr>
      <w:r>
        <w:rPr>
          <w:rFonts w:hint="eastAsia"/>
          <w:sz w:val="24"/>
        </w:rPr>
        <w:t>7.3.2</w:t>
      </w:r>
      <w:r>
        <w:rPr>
          <w:sz w:val="24"/>
        </w:rPr>
        <w:t>若中标人不能按本须知第</w:t>
      </w:r>
      <w:r>
        <w:rPr>
          <w:rFonts w:hint="eastAsia"/>
          <w:sz w:val="24"/>
        </w:rPr>
        <w:t>7.3</w:t>
      </w:r>
      <w:r>
        <w:rPr>
          <w:sz w:val="24"/>
        </w:rPr>
        <w:t>.1款的规定执行，招标人将有充分的理由解除合同，并没收其投标保证金</w:t>
      </w:r>
      <w:r>
        <w:rPr>
          <w:rFonts w:hint="eastAsia"/>
          <w:sz w:val="24"/>
        </w:rPr>
        <w:t>。</w:t>
      </w:r>
    </w:p>
    <w:p w14:paraId="32FFF8C3">
      <w:pPr>
        <w:spacing w:line="360" w:lineRule="auto"/>
        <w:ind w:firstLine="241" w:firstLineChars="100"/>
        <w:rPr>
          <w:rFonts w:ascii="宋体" w:cs="ˎ̥"/>
          <w:b/>
          <w:sz w:val="24"/>
        </w:rPr>
      </w:pPr>
      <w:r>
        <w:rPr>
          <w:rFonts w:hint="eastAsia" w:ascii="宋体" w:cs="ˎ̥"/>
          <w:b/>
          <w:sz w:val="24"/>
        </w:rPr>
        <w:t>7.4 签订协议</w:t>
      </w:r>
    </w:p>
    <w:p w14:paraId="2B03DA1A">
      <w:pPr>
        <w:spacing w:line="360" w:lineRule="auto"/>
        <w:ind w:firstLine="240" w:firstLineChars="100"/>
        <w:rPr>
          <w:sz w:val="24"/>
        </w:rPr>
      </w:pPr>
      <w:r>
        <w:rPr>
          <w:sz w:val="24"/>
        </w:rPr>
        <w:t>7.4.1招标人和中标人应当自中标通知书发出之日起</w:t>
      </w:r>
      <w:r>
        <w:rPr>
          <w:rFonts w:hint="eastAsia"/>
          <w:sz w:val="24"/>
          <w:lang w:val="en-US" w:eastAsia="zh-CN"/>
        </w:rPr>
        <w:t>30</w:t>
      </w:r>
      <w:r>
        <w:rPr>
          <w:sz w:val="24"/>
        </w:rPr>
        <w:t>天内，根据招标文件和中标人的投标文件订立书面协议。中标人无正当理由拒签协议的，招标人取消其中标资格，其投标保证金不予退还。</w:t>
      </w:r>
      <w:r>
        <w:rPr>
          <w:b/>
          <w:bCs/>
          <w:sz w:val="24"/>
        </w:rPr>
        <w:t>招标人将提请巨化招投标监管部门将此不良行为记载并予以公示，且不得参加</w:t>
      </w:r>
      <w:r>
        <w:rPr>
          <w:rFonts w:hint="eastAsia"/>
          <w:b/>
          <w:bCs/>
          <w:sz w:val="24"/>
          <w:lang w:val="en-US" w:eastAsia="zh-CN"/>
        </w:rPr>
        <w:t>本公司</w:t>
      </w:r>
      <w:r>
        <w:rPr>
          <w:rFonts w:hint="eastAsia"/>
          <w:b/>
          <w:bCs/>
          <w:sz w:val="24"/>
          <w:lang w:eastAsia="zh-CN"/>
        </w:rPr>
        <w:t>下一轮</w:t>
      </w:r>
      <w:r>
        <w:rPr>
          <w:b/>
          <w:bCs/>
          <w:sz w:val="24"/>
        </w:rPr>
        <w:t>相关招标。</w:t>
      </w:r>
    </w:p>
    <w:p w14:paraId="08680242">
      <w:pPr>
        <w:spacing w:line="360" w:lineRule="auto"/>
        <w:ind w:firstLine="240" w:firstLineChars="100"/>
        <w:rPr>
          <w:sz w:val="24"/>
        </w:rPr>
      </w:pPr>
      <w:r>
        <w:rPr>
          <w:sz w:val="24"/>
        </w:rPr>
        <w:t>7.4.2 发出中标通知书后，招标人无正当理由拒签协议的，招标人向中标人退还投标保证金。</w:t>
      </w:r>
    </w:p>
    <w:p w14:paraId="1134E669">
      <w:pPr>
        <w:pStyle w:val="5"/>
        <w:spacing w:before="0" w:after="0" w:line="360" w:lineRule="auto"/>
        <w:rPr>
          <w:b w:val="0"/>
          <w:sz w:val="24"/>
          <w:szCs w:val="24"/>
        </w:rPr>
      </w:pPr>
      <w:r>
        <w:rPr>
          <w:rFonts w:hint="eastAsia"/>
          <w:b w:val="0"/>
          <w:sz w:val="24"/>
          <w:szCs w:val="24"/>
        </w:rPr>
        <w:t>8 重新招标和不再招标</w:t>
      </w:r>
    </w:p>
    <w:p w14:paraId="003F5545">
      <w:pPr>
        <w:spacing w:line="360" w:lineRule="auto"/>
        <w:ind w:firstLine="241" w:firstLineChars="100"/>
        <w:rPr>
          <w:rFonts w:ascii="宋体" w:cs="ˎ̥"/>
          <w:b/>
          <w:sz w:val="24"/>
        </w:rPr>
      </w:pPr>
      <w:r>
        <w:rPr>
          <w:rFonts w:hint="eastAsia" w:ascii="宋体" w:cs="ˎ̥"/>
          <w:b/>
          <w:sz w:val="24"/>
        </w:rPr>
        <w:t>8.1 重新招标</w:t>
      </w:r>
      <w:bookmarkEnd w:id="41"/>
      <w:bookmarkEnd w:id="42"/>
      <w:bookmarkEnd w:id="43"/>
      <w:bookmarkEnd w:id="44"/>
    </w:p>
    <w:p w14:paraId="484A72BD">
      <w:pPr>
        <w:spacing w:line="360" w:lineRule="auto"/>
        <w:ind w:firstLine="240" w:firstLineChars="100"/>
        <w:rPr>
          <w:sz w:val="24"/>
        </w:rPr>
      </w:pPr>
      <w:r>
        <w:rPr>
          <w:sz w:val="24"/>
        </w:rPr>
        <w:t>有下列情形之一的，招标人将重新招标：</w:t>
      </w:r>
    </w:p>
    <w:p w14:paraId="5EACD445">
      <w:pPr>
        <w:spacing w:line="360" w:lineRule="auto"/>
        <w:ind w:firstLine="240" w:firstLineChars="100"/>
        <w:rPr>
          <w:sz w:val="24"/>
        </w:rPr>
      </w:pPr>
      <w:r>
        <w:rPr>
          <w:sz w:val="24"/>
        </w:rPr>
        <w:t>（1）投标截止时间止，投标人少于</w:t>
      </w:r>
      <w:r>
        <w:rPr>
          <w:rFonts w:hint="eastAsia"/>
          <w:sz w:val="24"/>
          <w:lang w:val="en-US" w:eastAsia="zh-CN"/>
        </w:rPr>
        <w:t>3</w:t>
      </w:r>
      <w:r>
        <w:rPr>
          <w:sz w:val="24"/>
        </w:rPr>
        <w:t>个的；</w:t>
      </w:r>
    </w:p>
    <w:p w14:paraId="20DC95E9">
      <w:pPr>
        <w:spacing w:line="360" w:lineRule="auto"/>
        <w:ind w:firstLine="240" w:firstLineChars="100"/>
        <w:rPr>
          <w:sz w:val="24"/>
        </w:rPr>
      </w:pPr>
      <w:bookmarkStart w:id="45" w:name="_Toc152042349"/>
      <w:bookmarkStart w:id="46" w:name="_Toc179632591"/>
      <w:bookmarkStart w:id="47" w:name="_Toc144974541"/>
      <w:bookmarkStart w:id="48" w:name="_Toc152045573"/>
      <w:r>
        <w:rPr>
          <w:sz w:val="24"/>
        </w:rPr>
        <w:t>（2）经评标委员会评审后否决所有投标的。</w:t>
      </w:r>
    </w:p>
    <w:p w14:paraId="6364B143">
      <w:pPr>
        <w:spacing w:line="360" w:lineRule="auto"/>
        <w:ind w:firstLine="241" w:firstLineChars="100"/>
        <w:rPr>
          <w:rFonts w:ascii="宋体" w:cs="ˎ̥"/>
          <w:b/>
          <w:sz w:val="24"/>
        </w:rPr>
      </w:pPr>
      <w:r>
        <w:rPr>
          <w:rFonts w:hint="eastAsia" w:ascii="宋体" w:cs="ˎ̥"/>
          <w:b/>
          <w:sz w:val="24"/>
        </w:rPr>
        <w:t>8.2 不再招标</w:t>
      </w:r>
      <w:bookmarkEnd w:id="45"/>
      <w:bookmarkEnd w:id="46"/>
      <w:bookmarkEnd w:id="47"/>
      <w:bookmarkEnd w:id="48"/>
    </w:p>
    <w:p w14:paraId="3859AB95">
      <w:pPr>
        <w:spacing w:line="360" w:lineRule="auto"/>
        <w:ind w:firstLine="240" w:firstLineChars="100"/>
        <w:rPr>
          <w:sz w:val="24"/>
        </w:rPr>
      </w:pPr>
      <w:r>
        <w:rPr>
          <w:sz w:val="24"/>
        </w:rPr>
        <w:t>重新招标后投标人仍少于</w:t>
      </w:r>
      <w:r>
        <w:rPr>
          <w:rFonts w:hint="eastAsia"/>
          <w:sz w:val="24"/>
          <w:lang w:val="en-US" w:eastAsia="zh-CN"/>
        </w:rPr>
        <w:t>3</w:t>
      </w:r>
      <w:r>
        <w:rPr>
          <w:sz w:val="24"/>
        </w:rPr>
        <w:t>个或者所有投标被否决的，经原审批或核准部门批准后不再进行招标。</w:t>
      </w:r>
    </w:p>
    <w:p w14:paraId="2CC8F01E">
      <w:pPr>
        <w:pStyle w:val="5"/>
        <w:spacing w:before="0" w:after="0" w:line="360" w:lineRule="auto"/>
        <w:ind w:firstLine="240" w:firstLineChars="100"/>
        <w:rPr>
          <w:b w:val="0"/>
          <w:sz w:val="24"/>
          <w:szCs w:val="24"/>
        </w:rPr>
      </w:pPr>
      <w:r>
        <w:rPr>
          <w:rFonts w:hint="eastAsia"/>
          <w:b w:val="0"/>
          <w:sz w:val="24"/>
          <w:szCs w:val="24"/>
        </w:rPr>
        <w:t>9 招标结束</w:t>
      </w:r>
    </w:p>
    <w:p w14:paraId="4D503A28">
      <w:pPr>
        <w:spacing w:line="360" w:lineRule="auto"/>
        <w:ind w:firstLine="352" w:firstLineChars="147"/>
        <w:rPr>
          <w:b/>
          <w:sz w:val="24"/>
        </w:rPr>
      </w:pPr>
      <w:r>
        <w:rPr>
          <w:rFonts w:hint="eastAsia"/>
          <w:sz w:val="24"/>
        </w:rPr>
        <w:t>中标人与招标人签订书面合同，并缴纳履约保证金后，即为招标结束，招标人对招标结果不负责解释。</w:t>
      </w:r>
      <w:r>
        <w:rPr>
          <w:sz w:val="24"/>
        </w:rPr>
        <w:t xml:space="preserve"> </w:t>
      </w:r>
    </w:p>
    <w:p w14:paraId="5CBE4516">
      <w:pPr>
        <w:spacing w:line="360" w:lineRule="auto"/>
        <w:ind w:firstLine="211" w:firstLineChars="100"/>
        <w:rPr>
          <w:b/>
          <w:szCs w:val="21"/>
        </w:rPr>
        <w:sectPr>
          <w:headerReference r:id="rId9" w:type="default"/>
          <w:footerReference r:id="rId10" w:type="default"/>
          <w:pgSz w:w="11907" w:h="16840"/>
          <w:pgMar w:top="1304" w:right="1247" w:bottom="1134" w:left="1304" w:header="680" w:footer="964" w:gutter="0"/>
          <w:cols w:space="720" w:num="1"/>
          <w:docGrid w:linePitch="271" w:charSpace="0"/>
        </w:sectPr>
      </w:pPr>
    </w:p>
    <w:p w14:paraId="615CD90C">
      <w:pPr>
        <w:spacing w:line="360" w:lineRule="auto"/>
        <w:jc w:val="center"/>
        <w:outlineLvl w:val="0"/>
        <w:rPr>
          <w:b/>
          <w:bCs/>
          <w:sz w:val="32"/>
          <w:szCs w:val="32"/>
        </w:rPr>
      </w:pPr>
      <w:bookmarkStart w:id="49" w:name="_Toc13308"/>
      <w:r>
        <w:rPr>
          <w:rFonts w:hint="eastAsia"/>
          <w:b/>
          <w:bCs/>
          <w:sz w:val="32"/>
          <w:szCs w:val="32"/>
        </w:rPr>
        <w:t>第三章 评标办法（综合评分法）</w:t>
      </w:r>
      <w:bookmarkEnd w:id="49"/>
    </w:p>
    <w:p w14:paraId="00C0DEFE">
      <w:pPr>
        <w:snapToGrid w:val="0"/>
        <w:spacing w:line="360" w:lineRule="auto"/>
        <w:ind w:left="426"/>
        <w:jc w:val="left"/>
        <w:outlineLvl w:val="1"/>
        <w:rPr>
          <w:rFonts w:ascii="宋体"/>
          <w:b/>
          <w:sz w:val="28"/>
          <w:szCs w:val="28"/>
        </w:rPr>
      </w:pPr>
      <w:r>
        <w:rPr>
          <w:rFonts w:hint="eastAsia" w:ascii="宋体"/>
          <w:b/>
          <w:sz w:val="28"/>
          <w:szCs w:val="28"/>
        </w:rPr>
        <w:t>一、评标原则</w:t>
      </w:r>
    </w:p>
    <w:p w14:paraId="719A6D4C">
      <w:pPr>
        <w:snapToGrid w:val="0"/>
        <w:spacing w:line="360" w:lineRule="auto"/>
        <w:ind w:firstLine="480" w:firstLineChars="200"/>
        <w:rPr>
          <w:rFonts w:ascii="宋体"/>
          <w:sz w:val="24"/>
        </w:rPr>
      </w:pPr>
      <w:r>
        <w:rPr>
          <w:rFonts w:hint="eastAsia" w:ascii="宋体"/>
          <w:sz w:val="24"/>
        </w:rPr>
        <w:t>评标应遵循公平、公正、科学、择优的原则。</w:t>
      </w:r>
    </w:p>
    <w:p w14:paraId="627F63AB">
      <w:pPr>
        <w:snapToGrid w:val="0"/>
        <w:spacing w:line="360" w:lineRule="auto"/>
        <w:ind w:left="426"/>
        <w:jc w:val="left"/>
        <w:outlineLvl w:val="1"/>
        <w:rPr>
          <w:rFonts w:ascii="宋体"/>
          <w:b/>
          <w:sz w:val="28"/>
          <w:szCs w:val="28"/>
        </w:rPr>
      </w:pPr>
      <w:r>
        <w:rPr>
          <w:rFonts w:hint="eastAsia" w:ascii="宋体"/>
          <w:b/>
          <w:sz w:val="28"/>
          <w:szCs w:val="28"/>
        </w:rPr>
        <w:t>二、评标组织与监督</w:t>
      </w:r>
    </w:p>
    <w:p w14:paraId="7F6CFD4B">
      <w:pPr>
        <w:snapToGrid w:val="0"/>
        <w:spacing w:line="360" w:lineRule="auto"/>
        <w:ind w:firstLine="480" w:firstLineChars="200"/>
        <w:rPr>
          <w:rFonts w:ascii="宋体"/>
          <w:sz w:val="24"/>
        </w:rPr>
      </w:pPr>
      <w:r>
        <w:rPr>
          <w:rFonts w:hint="eastAsia" w:ascii="宋体"/>
          <w:sz w:val="24"/>
        </w:rPr>
        <w:t>评标工作由招标人依法组建的评标委员会（评标专家组）负责，评标委员会成员为5人。</w:t>
      </w:r>
    </w:p>
    <w:p w14:paraId="2AB129E7">
      <w:pPr>
        <w:snapToGrid w:val="0"/>
        <w:spacing w:line="360" w:lineRule="auto"/>
        <w:ind w:firstLine="480" w:firstLineChars="200"/>
        <w:rPr>
          <w:rFonts w:ascii="宋体"/>
          <w:sz w:val="24"/>
        </w:rPr>
      </w:pPr>
      <w:r>
        <w:rPr>
          <w:rFonts w:hint="eastAsia" w:ascii="宋体"/>
          <w:sz w:val="24"/>
        </w:rPr>
        <w:t>评标委员会对投标文件作出的评审结论，应当符合有关法律、法规、规章和招标文件的规定。须统一作出评定结果时但评标委员会成员有争议且不能形成统一意见的，按少数服从多数的原则表决。</w:t>
      </w:r>
    </w:p>
    <w:p w14:paraId="50550769">
      <w:pPr>
        <w:snapToGrid w:val="0"/>
        <w:spacing w:line="360" w:lineRule="auto"/>
        <w:ind w:left="426"/>
        <w:jc w:val="left"/>
        <w:outlineLvl w:val="1"/>
        <w:rPr>
          <w:rFonts w:ascii="宋体"/>
          <w:b/>
          <w:sz w:val="28"/>
          <w:szCs w:val="28"/>
        </w:rPr>
      </w:pPr>
      <w:r>
        <w:rPr>
          <w:rFonts w:hint="eastAsia" w:ascii="宋体"/>
          <w:b/>
          <w:sz w:val="28"/>
          <w:szCs w:val="28"/>
        </w:rPr>
        <w:t>三、评标办法和程序</w:t>
      </w:r>
    </w:p>
    <w:p w14:paraId="67C208E2">
      <w:pPr>
        <w:snapToGrid w:val="0"/>
        <w:spacing w:line="360" w:lineRule="auto"/>
        <w:ind w:firstLine="480" w:firstLineChars="200"/>
        <w:rPr>
          <w:rFonts w:ascii="宋体"/>
          <w:sz w:val="24"/>
        </w:rPr>
      </w:pPr>
      <w:r>
        <w:rPr>
          <w:rFonts w:hint="eastAsia" w:ascii="宋体"/>
          <w:sz w:val="24"/>
        </w:rPr>
        <w:t>本次评标采用综合评分法。评标委员会对满足招标文件实质性要求的投标文件，按照本章规定的评分标准进行打分，评分过程中采用四舍五入法，并保留小数</w:t>
      </w:r>
      <w:r>
        <w:rPr>
          <w:rFonts w:ascii="宋体"/>
          <w:sz w:val="24"/>
        </w:rPr>
        <w:t>2位。</w:t>
      </w:r>
      <w:r>
        <w:rPr>
          <w:rFonts w:hint="eastAsia" w:ascii="宋体" w:cs="宋体"/>
          <w:sz w:val="24"/>
        </w:rPr>
        <w:t>综合评分相等时，以商务技术分值高的优先；商务技术分值也相等的，则现场抽签确定。</w:t>
      </w:r>
    </w:p>
    <w:p w14:paraId="7240B215">
      <w:pPr>
        <w:snapToGrid w:val="0"/>
        <w:spacing w:line="360" w:lineRule="auto"/>
        <w:ind w:firstLine="480" w:firstLineChars="200"/>
        <w:rPr>
          <w:rFonts w:ascii="宋体"/>
          <w:sz w:val="24"/>
        </w:rPr>
      </w:pPr>
      <w:r>
        <w:rPr>
          <w:rFonts w:hint="eastAsia" w:ascii="宋体"/>
          <w:sz w:val="24"/>
        </w:rPr>
        <w:t>技术资信得分</w:t>
      </w:r>
      <w:r>
        <w:rPr>
          <w:rFonts w:ascii="宋体"/>
          <w:sz w:val="24"/>
        </w:rPr>
        <w:t>=评标委员会所有成员总评分计算权重后的平均值。</w:t>
      </w:r>
    </w:p>
    <w:p w14:paraId="4A757AFA">
      <w:pPr>
        <w:snapToGrid w:val="0"/>
        <w:spacing w:line="360" w:lineRule="auto"/>
        <w:ind w:firstLine="480" w:firstLineChars="200"/>
        <w:rPr>
          <w:rFonts w:ascii="宋体"/>
          <w:sz w:val="24"/>
        </w:rPr>
      </w:pPr>
      <w:r>
        <w:rPr>
          <w:rFonts w:hint="eastAsia" w:ascii="宋体"/>
          <w:sz w:val="24"/>
        </w:rPr>
        <w:t>商务经济得分</w:t>
      </w:r>
      <w:r>
        <w:rPr>
          <w:rFonts w:ascii="宋体"/>
          <w:sz w:val="24"/>
        </w:rPr>
        <w:t>=商务经济得分×商务经济得分权重。</w:t>
      </w:r>
    </w:p>
    <w:p w14:paraId="70B3D96F">
      <w:pPr>
        <w:snapToGrid w:val="0"/>
        <w:spacing w:line="360" w:lineRule="auto"/>
        <w:ind w:left="426"/>
        <w:jc w:val="left"/>
        <w:outlineLvl w:val="1"/>
        <w:rPr>
          <w:rFonts w:ascii="宋体"/>
          <w:b/>
          <w:sz w:val="28"/>
          <w:szCs w:val="28"/>
        </w:rPr>
      </w:pPr>
      <w:r>
        <w:rPr>
          <w:rFonts w:hint="eastAsia" w:ascii="宋体"/>
          <w:b/>
          <w:sz w:val="28"/>
          <w:szCs w:val="28"/>
        </w:rPr>
        <w:t>四、 评审标准和程序</w:t>
      </w:r>
    </w:p>
    <w:p w14:paraId="1491837D">
      <w:pPr>
        <w:snapToGrid w:val="0"/>
        <w:spacing w:line="360" w:lineRule="auto"/>
        <w:ind w:left="426"/>
        <w:jc w:val="left"/>
        <w:outlineLvl w:val="1"/>
        <w:rPr>
          <w:rFonts w:ascii="宋体"/>
          <w:b/>
          <w:sz w:val="28"/>
          <w:szCs w:val="28"/>
        </w:rPr>
      </w:pPr>
      <w:bookmarkStart w:id="50" w:name="_Toc127277068"/>
      <w:r>
        <w:rPr>
          <w:rFonts w:hint="eastAsia" w:ascii="宋体"/>
          <w:b/>
          <w:sz w:val="28"/>
          <w:szCs w:val="28"/>
        </w:rPr>
        <w:t>4.1资格审查</w:t>
      </w:r>
      <w:bookmarkEnd w:id="50"/>
    </w:p>
    <w:p w14:paraId="19C6AE12">
      <w:pPr>
        <w:snapToGrid w:val="0"/>
        <w:spacing w:line="360" w:lineRule="auto"/>
        <w:ind w:firstLine="480" w:firstLineChars="200"/>
        <w:rPr>
          <w:rFonts w:ascii="宋体"/>
          <w:sz w:val="24"/>
        </w:rPr>
      </w:pPr>
      <w:r>
        <w:rPr>
          <w:rFonts w:hint="eastAsia" w:ascii="宋体"/>
          <w:sz w:val="24"/>
        </w:rPr>
        <w:t>评标委员会对各投标人的资格进行审查</w:t>
      </w:r>
      <w:r>
        <w:rPr>
          <w:rFonts w:hint="eastAsia" w:ascii="宋体"/>
        </w:rPr>
        <w:t>，</w:t>
      </w:r>
      <w:r>
        <w:rPr>
          <w:rFonts w:hint="eastAsia" w:ascii="宋体"/>
          <w:sz w:val="24"/>
        </w:rPr>
        <w:t>投标人资格条件不符合招标文件要求的投标无效，不再进入符合性审查。</w:t>
      </w:r>
    </w:p>
    <w:p w14:paraId="72FF510F">
      <w:pPr>
        <w:snapToGrid w:val="0"/>
        <w:spacing w:line="360" w:lineRule="auto"/>
        <w:ind w:left="426"/>
        <w:jc w:val="left"/>
        <w:outlineLvl w:val="1"/>
        <w:rPr>
          <w:rFonts w:ascii="宋体"/>
          <w:b/>
          <w:sz w:val="28"/>
          <w:szCs w:val="28"/>
        </w:rPr>
      </w:pPr>
      <w:bookmarkStart w:id="51" w:name="_Toc127277069"/>
      <w:r>
        <w:rPr>
          <w:rFonts w:hint="eastAsia" w:ascii="宋体"/>
          <w:b/>
          <w:sz w:val="28"/>
          <w:szCs w:val="28"/>
        </w:rPr>
        <w:t>4.2符合性审查</w:t>
      </w:r>
      <w:bookmarkEnd w:id="51"/>
    </w:p>
    <w:p w14:paraId="5A9DD66E">
      <w:pPr>
        <w:snapToGrid w:val="0"/>
        <w:spacing w:line="360" w:lineRule="auto"/>
        <w:ind w:firstLine="480" w:firstLineChars="200"/>
        <w:rPr>
          <w:rFonts w:ascii="宋体"/>
          <w:bCs/>
          <w:sz w:val="24"/>
          <w:szCs w:val="20"/>
        </w:rPr>
      </w:pPr>
      <w:r>
        <w:rPr>
          <w:rFonts w:hint="eastAsia" w:ascii="宋体"/>
          <w:bCs/>
          <w:sz w:val="24"/>
        </w:rPr>
        <w:t>评标委员会对资格审查合格的投标文件进行符合性审查，确定是否对招标文件作出了实质性响应。符合性审查不合格的投标无效，不再</w:t>
      </w:r>
      <w:r>
        <w:rPr>
          <w:rFonts w:hint="eastAsia" w:ascii="宋体"/>
          <w:sz w:val="24"/>
        </w:rPr>
        <w:t>进行技术资信评审。</w:t>
      </w:r>
      <w:r>
        <w:rPr>
          <w:rFonts w:hint="eastAsia" w:ascii="宋体"/>
          <w:bCs/>
          <w:sz w:val="24"/>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15FDBAFC">
      <w:pPr>
        <w:pStyle w:val="13"/>
        <w:snapToGrid w:val="0"/>
        <w:spacing w:line="400" w:lineRule="exact"/>
        <w:ind w:firstLine="482" w:firstLineChars="200"/>
        <w:rPr>
          <w:b/>
          <w:sz w:val="24"/>
        </w:rPr>
      </w:pPr>
      <w:r>
        <w:rPr>
          <w:rFonts w:hint="eastAsia"/>
          <w:b/>
          <w:sz w:val="24"/>
        </w:rPr>
        <w:t>1.</w:t>
      </w:r>
      <w:r>
        <w:rPr>
          <w:b/>
          <w:sz w:val="24"/>
        </w:rPr>
        <w:t>在</w:t>
      </w:r>
      <w:r>
        <w:rPr>
          <w:rFonts w:hint="eastAsia"/>
          <w:b/>
          <w:sz w:val="24"/>
        </w:rPr>
        <w:t>技术资信标书</w:t>
      </w:r>
      <w:r>
        <w:rPr>
          <w:b/>
          <w:sz w:val="24"/>
        </w:rPr>
        <w:t>评审时，如发现下列情形之一的，投标文件将被视为无效：</w:t>
      </w:r>
    </w:p>
    <w:p w14:paraId="36FA5E27">
      <w:pPr>
        <w:adjustRightInd w:val="0"/>
        <w:snapToGrid w:val="0"/>
        <w:spacing w:line="360" w:lineRule="auto"/>
        <w:ind w:firstLine="420"/>
        <w:contextualSpacing/>
        <w:rPr>
          <w:rFonts w:hint="eastAsia" w:ascii="宋体"/>
          <w:sz w:val="24"/>
        </w:rPr>
      </w:pPr>
      <w:r>
        <w:rPr>
          <w:rFonts w:hint="eastAsia" w:ascii="宋体"/>
          <w:sz w:val="24"/>
        </w:rPr>
        <w:t>（1）未按招标文件要求盖章的；</w:t>
      </w:r>
    </w:p>
    <w:p w14:paraId="4472E895">
      <w:pPr>
        <w:adjustRightInd w:val="0"/>
        <w:snapToGrid w:val="0"/>
        <w:spacing w:line="360" w:lineRule="auto"/>
        <w:ind w:firstLine="420"/>
        <w:contextualSpacing/>
        <w:rPr>
          <w:rFonts w:hint="eastAsia" w:ascii="宋体"/>
          <w:sz w:val="24"/>
        </w:rPr>
      </w:pPr>
      <w:r>
        <w:rPr>
          <w:rFonts w:hint="eastAsia" w:ascii="宋体"/>
          <w:sz w:val="24"/>
        </w:rPr>
        <w:t>（2）未按招标文件的规定提交招标文件资料费或投标保证金的；</w:t>
      </w:r>
    </w:p>
    <w:p w14:paraId="1EF16A4B">
      <w:pPr>
        <w:adjustRightInd w:val="0"/>
        <w:snapToGrid w:val="0"/>
        <w:spacing w:line="360" w:lineRule="auto"/>
        <w:ind w:firstLine="420"/>
        <w:contextualSpacing/>
        <w:rPr>
          <w:rFonts w:hint="eastAsia" w:ascii="宋体"/>
          <w:sz w:val="24"/>
        </w:rPr>
      </w:pPr>
      <w:r>
        <w:rPr>
          <w:rFonts w:hint="eastAsia" w:ascii="宋体"/>
          <w:sz w:val="24"/>
        </w:rPr>
        <w:t>（3）投标有效期不满足招标文件要求的；</w:t>
      </w:r>
    </w:p>
    <w:p w14:paraId="166174F1">
      <w:pPr>
        <w:adjustRightInd w:val="0"/>
        <w:snapToGrid w:val="0"/>
        <w:spacing w:line="360" w:lineRule="auto"/>
        <w:ind w:firstLine="420"/>
        <w:contextualSpacing/>
        <w:rPr>
          <w:rFonts w:hint="eastAsia" w:ascii="宋体"/>
          <w:sz w:val="24"/>
        </w:rPr>
      </w:pPr>
      <w:r>
        <w:rPr>
          <w:rFonts w:hint="eastAsia" w:ascii="宋体"/>
          <w:sz w:val="24"/>
        </w:rPr>
        <w:t>（4）以联合体形式进行投标的，在投标文件中未提交联合体协议的；</w:t>
      </w:r>
    </w:p>
    <w:p w14:paraId="449DA262">
      <w:pPr>
        <w:adjustRightInd w:val="0"/>
        <w:snapToGrid w:val="0"/>
        <w:spacing w:line="360" w:lineRule="auto"/>
        <w:ind w:firstLine="420"/>
        <w:contextualSpacing/>
        <w:rPr>
          <w:rFonts w:hint="eastAsia" w:ascii="宋体"/>
          <w:sz w:val="24"/>
        </w:rPr>
      </w:pPr>
      <w:r>
        <w:rPr>
          <w:rFonts w:hint="eastAsia" w:ascii="宋体"/>
          <w:sz w:val="24"/>
        </w:rPr>
        <w:t>（5）投标文件标明的商务、技术响应与事实不符或虚假投标的；</w:t>
      </w:r>
    </w:p>
    <w:p w14:paraId="4DE55E0C">
      <w:pPr>
        <w:adjustRightInd w:val="0"/>
        <w:snapToGrid w:val="0"/>
        <w:spacing w:line="360" w:lineRule="auto"/>
        <w:ind w:firstLine="420"/>
        <w:contextualSpacing/>
        <w:rPr>
          <w:rFonts w:hint="eastAsia" w:ascii="宋体"/>
          <w:sz w:val="24"/>
        </w:rPr>
      </w:pPr>
      <w:r>
        <w:rPr>
          <w:rFonts w:hint="eastAsia" w:ascii="宋体"/>
          <w:sz w:val="24"/>
        </w:rPr>
        <w:t>（6）未响应招标文件标注“</w:t>
      </w:r>
      <w:r>
        <w:rPr>
          <w:rFonts w:hint="eastAsia" w:ascii="宋体"/>
          <w:sz w:val="24"/>
          <w:lang w:val="en-US" w:eastAsia="zh-CN"/>
        </w:rPr>
        <w:t>*</w:t>
      </w:r>
      <w:r>
        <w:rPr>
          <w:rFonts w:hint="eastAsia" w:ascii="宋体"/>
          <w:sz w:val="24"/>
        </w:rPr>
        <w:t>”实质性要求的或招标文件规定不允许偏离而偏离的；</w:t>
      </w:r>
    </w:p>
    <w:p w14:paraId="3E52901A">
      <w:pPr>
        <w:adjustRightInd w:val="0"/>
        <w:snapToGrid w:val="0"/>
        <w:spacing w:line="360" w:lineRule="auto"/>
        <w:ind w:firstLine="420"/>
        <w:contextualSpacing/>
        <w:rPr>
          <w:rFonts w:hint="eastAsia" w:ascii="宋体"/>
          <w:sz w:val="24"/>
        </w:rPr>
      </w:pPr>
      <w:r>
        <w:rPr>
          <w:rFonts w:hint="eastAsia" w:ascii="宋体"/>
          <w:sz w:val="24"/>
        </w:rPr>
        <w:t>（7）投标技术方案不明确，存在一个或一个以上备选（替代）投标方案的；</w:t>
      </w:r>
    </w:p>
    <w:p w14:paraId="66B9E15C">
      <w:pPr>
        <w:adjustRightInd w:val="0"/>
        <w:snapToGrid w:val="0"/>
        <w:spacing w:line="360" w:lineRule="auto"/>
        <w:ind w:firstLine="420"/>
        <w:contextualSpacing/>
        <w:rPr>
          <w:rFonts w:hint="eastAsia" w:ascii="宋体"/>
          <w:sz w:val="24"/>
        </w:rPr>
      </w:pPr>
      <w:r>
        <w:rPr>
          <w:rFonts w:hint="eastAsia" w:ascii="宋体"/>
          <w:sz w:val="24"/>
        </w:rPr>
        <w:t>（8）投标文件含有招标人不能接受的附加条件的；</w:t>
      </w:r>
    </w:p>
    <w:p w14:paraId="3C968EBC">
      <w:pPr>
        <w:adjustRightInd w:val="0"/>
        <w:snapToGrid w:val="0"/>
        <w:spacing w:line="360" w:lineRule="auto"/>
        <w:ind w:firstLine="420"/>
        <w:contextualSpacing/>
        <w:rPr>
          <w:rFonts w:hint="eastAsia" w:ascii="宋体"/>
          <w:sz w:val="24"/>
        </w:rPr>
      </w:pPr>
      <w:r>
        <w:rPr>
          <w:rFonts w:hint="eastAsia" w:ascii="宋体"/>
          <w:sz w:val="24"/>
        </w:rPr>
        <w:t>（9）不同投标人的投标文件由同一单位IP地址或者个人编制的；</w:t>
      </w:r>
    </w:p>
    <w:p w14:paraId="724F4402">
      <w:pPr>
        <w:adjustRightInd w:val="0"/>
        <w:snapToGrid w:val="0"/>
        <w:spacing w:line="360" w:lineRule="auto"/>
        <w:ind w:firstLine="420"/>
        <w:contextualSpacing/>
        <w:rPr>
          <w:rFonts w:hint="eastAsia" w:ascii="宋体"/>
          <w:sz w:val="24"/>
        </w:rPr>
      </w:pPr>
      <w:r>
        <w:rPr>
          <w:rFonts w:hint="eastAsia" w:ascii="宋体"/>
          <w:sz w:val="24"/>
        </w:rPr>
        <w:t>（10）电子投标文件超过规定时间（开标后30分钟内）未解密的；</w:t>
      </w:r>
    </w:p>
    <w:p w14:paraId="1846A29F">
      <w:pPr>
        <w:adjustRightInd w:val="0"/>
        <w:snapToGrid w:val="0"/>
        <w:spacing w:line="360" w:lineRule="auto"/>
        <w:ind w:firstLine="420"/>
        <w:contextualSpacing/>
        <w:rPr>
          <w:rFonts w:hint="eastAsia" w:ascii="宋体"/>
          <w:sz w:val="24"/>
        </w:rPr>
      </w:pPr>
      <w:r>
        <w:rPr>
          <w:rFonts w:hint="eastAsia" w:ascii="宋体"/>
          <w:sz w:val="24"/>
        </w:rPr>
        <w:t>（11）不同投标人的投标文件载明的项目管理成员或者联系人员为同一人的；</w:t>
      </w:r>
    </w:p>
    <w:p w14:paraId="18F5F50A">
      <w:pPr>
        <w:adjustRightInd w:val="0"/>
        <w:snapToGrid w:val="0"/>
        <w:spacing w:line="360" w:lineRule="auto"/>
        <w:ind w:firstLine="420"/>
        <w:contextualSpacing/>
        <w:rPr>
          <w:rFonts w:hint="eastAsia" w:ascii="宋体"/>
          <w:sz w:val="24"/>
        </w:rPr>
      </w:pPr>
      <w:r>
        <w:rPr>
          <w:rFonts w:hint="eastAsia" w:ascii="宋体"/>
          <w:sz w:val="24"/>
        </w:rPr>
        <w:t>（12）不同投标人的投标文件异常一致或者投标报价呈规律性差异的；</w:t>
      </w:r>
    </w:p>
    <w:p w14:paraId="5E76AC28">
      <w:pPr>
        <w:adjustRightInd w:val="0"/>
        <w:snapToGrid w:val="0"/>
        <w:spacing w:line="360" w:lineRule="auto"/>
        <w:ind w:firstLine="420"/>
        <w:contextualSpacing/>
        <w:rPr>
          <w:rFonts w:hint="eastAsia" w:ascii="宋体"/>
          <w:sz w:val="24"/>
        </w:rPr>
      </w:pPr>
      <w:r>
        <w:rPr>
          <w:rFonts w:hint="eastAsia" w:ascii="宋体"/>
          <w:sz w:val="24"/>
        </w:rPr>
        <w:t>（13）不同投标人的投标文件相互混装的；</w:t>
      </w:r>
    </w:p>
    <w:p w14:paraId="525BB427">
      <w:pPr>
        <w:adjustRightInd w:val="0"/>
        <w:snapToGrid w:val="0"/>
        <w:spacing w:line="360" w:lineRule="auto"/>
        <w:ind w:firstLine="420"/>
        <w:contextualSpacing/>
        <w:rPr>
          <w:rFonts w:hint="eastAsia" w:ascii="宋体"/>
          <w:sz w:val="24"/>
        </w:rPr>
      </w:pPr>
      <w:r>
        <w:rPr>
          <w:rFonts w:hint="eastAsia" w:ascii="宋体"/>
          <w:sz w:val="24"/>
        </w:rPr>
        <w:t>（14）不同投标人的投标保证金从同一单位或者个人的账户转出的；</w:t>
      </w:r>
    </w:p>
    <w:p w14:paraId="18CBB710">
      <w:pPr>
        <w:adjustRightInd w:val="0"/>
        <w:snapToGrid w:val="0"/>
        <w:spacing w:line="360" w:lineRule="auto"/>
        <w:ind w:firstLine="420"/>
        <w:contextualSpacing/>
        <w:rPr>
          <w:rFonts w:hint="eastAsia" w:ascii="宋体"/>
          <w:sz w:val="24"/>
        </w:rPr>
      </w:pPr>
      <w:r>
        <w:rPr>
          <w:rFonts w:hint="eastAsia" w:ascii="宋体"/>
          <w:sz w:val="24"/>
        </w:rPr>
        <w:t>（15）法律、法规和招标文件规定的其他无效情形。</w:t>
      </w:r>
    </w:p>
    <w:p w14:paraId="7D8243AA">
      <w:pPr>
        <w:pStyle w:val="13"/>
        <w:snapToGrid w:val="0"/>
        <w:spacing w:line="400" w:lineRule="exact"/>
        <w:ind w:firstLine="472" w:firstLineChars="196"/>
        <w:rPr>
          <w:b/>
          <w:bCs/>
          <w:sz w:val="24"/>
        </w:rPr>
      </w:pPr>
      <w:r>
        <w:rPr>
          <w:rFonts w:hint="eastAsia"/>
          <w:b/>
          <w:bCs/>
          <w:sz w:val="24"/>
        </w:rPr>
        <w:t>2.</w:t>
      </w:r>
      <w:r>
        <w:rPr>
          <w:b/>
          <w:bCs/>
          <w:sz w:val="24"/>
        </w:rPr>
        <w:t>在</w:t>
      </w:r>
      <w:r>
        <w:rPr>
          <w:rFonts w:hint="eastAsia"/>
          <w:b/>
          <w:bCs/>
          <w:sz w:val="24"/>
        </w:rPr>
        <w:t>商务经济标书</w:t>
      </w:r>
      <w:r>
        <w:rPr>
          <w:b/>
          <w:bCs/>
          <w:sz w:val="24"/>
        </w:rPr>
        <w:t>评审时，如发现下列情形之一的，投标将被视为无效：</w:t>
      </w:r>
    </w:p>
    <w:p w14:paraId="0DE419CB">
      <w:pPr>
        <w:adjustRightInd w:val="0"/>
        <w:snapToGrid w:val="0"/>
        <w:spacing w:line="360" w:lineRule="auto"/>
        <w:ind w:firstLine="420"/>
        <w:contextualSpacing/>
        <w:rPr>
          <w:rFonts w:hint="eastAsia" w:ascii="宋体"/>
          <w:sz w:val="24"/>
        </w:rPr>
      </w:pPr>
      <w:bookmarkStart w:id="52" w:name="_Toc127277070"/>
      <w:r>
        <w:rPr>
          <w:rFonts w:hint="eastAsia" w:ascii="宋体"/>
          <w:sz w:val="24"/>
        </w:rPr>
        <w:t>（1）未按招标文件要求盖章的；</w:t>
      </w:r>
    </w:p>
    <w:p w14:paraId="201DA335">
      <w:pPr>
        <w:adjustRightInd w:val="0"/>
        <w:snapToGrid w:val="0"/>
        <w:spacing w:line="360" w:lineRule="auto"/>
        <w:ind w:firstLine="420"/>
        <w:contextualSpacing/>
        <w:rPr>
          <w:rFonts w:hint="eastAsia" w:ascii="宋体"/>
          <w:sz w:val="24"/>
        </w:rPr>
      </w:pPr>
      <w:r>
        <w:rPr>
          <w:rFonts w:hint="eastAsia" w:ascii="宋体"/>
          <w:sz w:val="24"/>
        </w:rPr>
        <w:t>（2）报价超过招标文件中规定的最高限价的；</w:t>
      </w:r>
    </w:p>
    <w:p w14:paraId="3A3EA59A">
      <w:pPr>
        <w:adjustRightInd w:val="0"/>
        <w:snapToGrid w:val="0"/>
        <w:spacing w:line="360" w:lineRule="auto"/>
        <w:ind w:firstLine="420"/>
        <w:contextualSpacing/>
        <w:rPr>
          <w:rFonts w:hint="eastAsia" w:ascii="宋体"/>
          <w:sz w:val="24"/>
        </w:rPr>
      </w:pPr>
      <w:r>
        <w:rPr>
          <w:rFonts w:hint="eastAsia" w:ascii="宋体"/>
          <w:sz w:val="24"/>
        </w:rPr>
        <w:t>（3）投标报价具有选择性的；</w:t>
      </w:r>
    </w:p>
    <w:p w14:paraId="58A6C150">
      <w:pPr>
        <w:adjustRightInd w:val="0"/>
        <w:snapToGrid w:val="0"/>
        <w:spacing w:line="360" w:lineRule="auto"/>
        <w:ind w:firstLine="420"/>
        <w:contextualSpacing/>
        <w:rPr>
          <w:rFonts w:hint="eastAsia" w:ascii="宋体"/>
          <w:sz w:val="24"/>
        </w:rPr>
      </w:pPr>
      <w:r>
        <w:rPr>
          <w:rFonts w:hint="eastAsia" w:ascii="宋体"/>
          <w:sz w:val="24"/>
        </w:rPr>
        <w:t>（4）不接受按招标文件规定的修正错误原则修正后的报价的；</w:t>
      </w:r>
    </w:p>
    <w:p w14:paraId="34AE045A">
      <w:pPr>
        <w:adjustRightInd w:val="0"/>
        <w:snapToGrid w:val="0"/>
        <w:spacing w:line="360" w:lineRule="auto"/>
        <w:ind w:firstLine="420"/>
        <w:contextualSpacing/>
        <w:rPr>
          <w:rFonts w:hint="eastAsia" w:ascii="宋体"/>
          <w:sz w:val="24"/>
        </w:rPr>
      </w:pPr>
      <w:r>
        <w:rPr>
          <w:rFonts w:hint="eastAsia" w:ascii="宋体"/>
          <w:sz w:val="24"/>
        </w:rPr>
        <w:t>（5）评标委员会认为投标人的报价明显低于其他通过符合性审查投标人的报价，且投标人不能证明其报价合理性，有可能影响服务质量或者不能诚信履约的；</w:t>
      </w:r>
    </w:p>
    <w:p w14:paraId="1690E2DD">
      <w:pPr>
        <w:adjustRightInd w:val="0"/>
        <w:snapToGrid w:val="0"/>
        <w:spacing w:line="360" w:lineRule="auto"/>
        <w:ind w:firstLine="420"/>
        <w:contextualSpacing/>
        <w:rPr>
          <w:rFonts w:hint="eastAsia" w:ascii="宋体" w:cs="宋体"/>
          <w:b/>
          <w:sz w:val="28"/>
          <w:szCs w:val="28"/>
        </w:rPr>
      </w:pPr>
      <w:r>
        <w:rPr>
          <w:rFonts w:hint="eastAsia" w:ascii="宋体"/>
          <w:sz w:val="24"/>
        </w:rPr>
        <w:t>（6）法律、法规和招标文件规定的其他无效情形。</w:t>
      </w:r>
    </w:p>
    <w:p w14:paraId="76456F8C">
      <w:pPr>
        <w:snapToGrid w:val="0"/>
        <w:spacing w:line="360" w:lineRule="auto"/>
        <w:ind w:left="426"/>
        <w:jc w:val="left"/>
        <w:outlineLvl w:val="1"/>
        <w:rPr>
          <w:rFonts w:ascii="宋体"/>
          <w:b/>
          <w:sz w:val="28"/>
          <w:szCs w:val="28"/>
        </w:rPr>
      </w:pPr>
      <w:r>
        <w:rPr>
          <w:rFonts w:hint="eastAsia" w:ascii="宋体"/>
          <w:b/>
          <w:sz w:val="28"/>
          <w:szCs w:val="28"/>
        </w:rPr>
        <w:t>五、评审内容及标准</w:t>
      </w:r>
      <w:bookmarkEnd w:id="52"/>
    </w:p>
    <w:p w14:paraId="05803FBA">
      <w:pPr>
        <w:snapToGrid w:val="0"/>
        <w:spacing w:line="480" w:lineRule="exact"/>
        <w:ind w:firstLine="482" w:firstLineChars="200"/>
        <w:rPr>
          <w:rFonts w:ascii="宋体"/>
          <w:sz w:val="24"/>
          <w:highlight w:val="none"/>
        </w:rPr>
      </w:pPr>
      <w:r>
        <w:rPr>
          <w:rFonts w:hint="eastAsia" w:ascii="宋体" w:cs="宋体"/>
          <w:b/>
          <w:bCs/>
          <w:sz w:val="24"/>
          <w:highlight w:val="none"/>
        </w:rPr>
        <w:t>技术资信文件得分（</w:t>
      </w:r>
      <w:r>
        <w:rPr>
          <w:rFonts w:hint="eastAsia" w:ascii="宋体" w:cs="宋体"/>
          <w:b/>
          <w:bCs/>
          <w:sz w:val="24"/>
          <w:highlight w:val="none"/>
          <w:lang w:val="en-US" w:eastAsia="zh-CN"/>
        </w:rPr>
        <w:t>满分100，</w:t>
      </w:r>
      <w:r>
        <w:rPr>
          <w:rFonts w:hint="eastAsia" w:ascii="宋体" w:cs="宋体"/>
          <w:b/>
          <w:bCs/>
          <w:sz w:val="24"/>
          <w:highlight w:val="none"/>
        </w:rPr>
        <w:t>占总分权重的</w:t>
      </w:r>
      <w:r>
        <w:rPr>
          <w:rFonts w:hint="eastAsia" w:ascii="宋体" w:cs="宋体"/>
          <w:b/>
          <w:bCs/>
          <w:sz w:val="24"/>
          <w:highlight w:val="none"/>
          <w:lang w:val="en-US" w:eastAsia="zh-CN"/>
        </w:rPr>
        <w:t>30</w:t>
      </w:r>
      <w:r>
        <w:rPr>
          <w:rFonts w:hint="eastAsia" w:ascii="宋体" w:cs="宋体"/>
          <w:b/>
          <w:bCs/>
          <w:sz w:val="24"/>
          <w:highlight w:val="none"/>
        </w:rPr>
        <w:t>%）</w:t>
      </w:r>
    </w:p>
    <w:p w14:paraId="742C43BC">
      <w:pPr>
        <w:snapToGrid w:val="0"/>
        <w:spacing w:line="480" w:lineRule="exact"/>
        <w:ind w:firstLine="480" w:firstLineChars="200"/>
        <w:rPr>
          <w:rFonts w:hint="eastAsia" w:ascii="宋体" w:cs="宋体"/>
          <w:b/>
          <w:bCs/>
          <w:color w:val="auto"/>
          <w:sz w:val="24"/>
          <w:highlight w:val="none"/>
          <w:lang w:bidi="ar-SA"/>
        </w:rPr>
      </w:pPr>
      <w:r>
        <w:rPr>
          <w:rFonts w:hint="eastAsia" w:ascii="宋体"/>
          <w:color w:val="auto"/>
          <w:sz w:val="24"/>
          <w:highlight w:val="none"/>
        </w:rPr>
        <w:t>具体评审方法如下：</w:t>
      </w:r>
    </w:p>
    <w:tbl>
      <w:tblPr>
        <w:tblStyle w:val="30"/>
        <w:tblW w:w="9581" w:type="dxa"/>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6"/>
        <w:gridCol w:w="7275"/>
        <w:gridCol w:w="885"/>
        <w:gridCol w:w="765"/>
      </w:tblGrid>
      <w:tr w14:paraId="27437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611030CB">
            <w:pPr>
              <w:pStyle w:val="53"/>
              <w:spacing w:before="1"/>
              <w:ind w:left="89" w:right="98"/>
              <w:jc w:val="center"/>
              <w:rPr>
                <w:rFonts w:hint="eastAsia" w:ascii="宋体" w:eastAsia="宋体" w:cs="宋体"/>
                <w:b/>
                <w:color w:val="auto"/>
                <w:sz w:val="21"/>
                <w:highlight w:val="none"/>
                <w:lang w:bidi="ar-SA"/>
              </w:rPr>
            </w:pPr>
            <w:r>
              <w:rPr>
                <w:rFonts w:hint="eastAsia" w:ascii="宋体" w:eastAsia="宋体" w:cs="宋体"/>
                <w:b/>
                <w:color w:val="auto"/>
                <w:sz w:val="21"/>
                <w:highlight w:val="none"/>
                <w:lang w:bidi="ar-SA"/>
              </w:rPr>
              <w:t>序号</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384A87A2">
            <w:pPr>
              <w:pStyle w:val="53"/>
              <w:spacing w:before="1"/>
              <w:ind w:left="107" w:firstLine="210"/>
              <w:jc w:val="center"/>
              <w:rPr>
                <w:rFonts w:hint="eastAsia" w:ascii="宋体" w:eastAsia="宋体" w:cs="宋体"/>
                <w:b/>
                <w:color w:val="auto"/>
                <w:sz w:val="21"/>
                <w:highlight w:val="none"/>
                <w:lang w:bidi="ar-SA"/>
              </w:rPr>
            </w:pPr>
            <w:r>
              <w:rPr>
                <w:rFonts w:hint="eastAsia" w:ascii="宋体" w:eastAsia="宋体" w:cs="宋体"/>
                <w:b/>
                <w:color w:val="auto"/>
                <w:sz w:val="21"/>
                <w:highlight w:val="none"/>
                <w:lang w:bidi="ar-SA"/>
              </w:rPr>
              <w:t>评审</w:t>
            </w:r>
            <w:r>
              <w:rPr>
                <w:rFonts w:hint="eastAsia" w:ascii="宋体" w:eastAsia="宋体" w:cs="宋体"/>
                <w:b/>
                <w:color w:val="auto"/>
                <w:sz w:val="21"/>
                <w:highlight w:val="none"/>
                <w:lang w:eastAsia="zh-CN" w:bidi="ar-SA"/>
              </w:rPr>
              <w:t>标准</w:t>
            </w:r>
          </w:p>
        </w:tc>
        <w:tc>
          <w:tcPr>
            <w:tcW w:w="885" w:type="dxa"/>
            <w:tcBorders>
              <w:top w:val="single" w:color="auto" w:sz="4" w:space="0"/>
              <w:left w:val="single" w:color="000000" w:sz="4" w:space="0"/>
              <w:bottom w:val="single" w:color="000000" w:sz="4" w:space="0"/>
              <w:right w:val="single" w:color="auto" w:sz="4" w:space="0"/>
            </w:tcBorders>
            <w:noWrap/>
            <w:vAlign w:val="center"/>
          </w:tcPr>
          <w:p w14:paraId="11F560A9">
            <w:pPr>
              <w:pStyle w:val="53"/>
              <w:spacing w:before="1"/>
              <w:ind w:left="107" w:firstLine="211" w:firstLineChars="100"/>
              <w:jc w:val="both"/>
              <w:rPr>
                <w:rFonts w:hint="eastAsia" w:ascii="宋体" w:eastAsia="宋体" w:cs="宋体"/>
                <w:b/>
                <w:color w:val="auto"/>
                <w:sz w:val="21"/>
                <w:highlight w:val="none"/>
                <w:lang w:eastAsia="zh-CN" w:bidi="ar-SA"/>
              </w:rPr>
            </w:pPr>
            <w:r>
              <w:rPr>
                <w:rFonts w:hint="eastAsia" w:ascii="宋体" w:eastAsia="宋体" w:cs="宋体"/>
                <w:b/>
                <w:color w:val="auto"/>
                <w:sz w:val="21"/>
                <w:highlight w:val="none"/>
                <w:lang w:eastAsia="zh-CN" w:bidi="ar-SA"/>
              </w:rPr>
              <w:t>分值</w:t>
            </w:r>
          </w:p>
        </w:tc>
        <w:tc>
          <w:tcPr>
            <w:tcW w:w="765" w:type="dxa"/>
            <w:tcBorders>
              <w:top w:val="single" w:color="auto" w:sz="4" w:space="0"/>
              <w:left w:val="single" w:color="auto" w:sz="4" w:space="0"/>
              <w:bottom w:val="single" w:color="000000" w:sz="4" w:space="0"/>
              <w:right w:val="single" w:color="000000" w:sz="4" w:space="0"/>
            </w:tcBorders>
            <w:noWrap/>
            <w:vAlign w:val="center"/>
          </w:tcPr>
          <w:p w14:paraId="08D07689">
            <w:pPr>
              <w:pStyle w:val="53"/>
              <w:spacing w:before="1"/>
              <w:ind w:firstLine="211" w:firstLineChars="100"/>
              <w:jc w:val="both"/>
              <w:rPr>
                <w:rFonts w:hint="eastAsia" w:ascii="宋体" w:eastAsia="宋体" w:cs="宋体"/>
                <w:b/>
                <w:color w:val="auto"/>
                <w:sz w:val="21"/>
                <w:highlight w:val="none"/>
                <w:lang w:eastAsia="zh-CN" w:bidi="ar-SA"/>
              </w:rPr>
            </w:pPr>
            <w:r>
              <w:rPr>
                <w:rFonts w:hint="eastAsia" w:ascii="宋体" w:eastAsia="宋体" w:cs="宋体"/>
                <w:b/>
                <w:color w:val="auto"/>
                <w:sz w:val="21"/>
                <w:highlight w:val="none"/>
                <w:lang w:eastAsia="zh-CN" w:bidi="ar-SA"/>
              </w:rPr>
              <w:t>权重</w:t>
            </w:r>
          </w:p>
        </w:tc>
      </w:tr>
      <w:tr w14:paraId="75835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57E4D2CF">
            <w:pPr>
              <w:pStyle w:val="53"/>
              <w:spacing w:before="155"/>
              <w:jc w:val="center"/>
              <w:rPr>
                <w:rFonts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1</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0D9EF5AA">
            <w:pPr>
              <w:spacing w:line="360" w:lineRule="auto"/>
              <w:ind w:firstLine="240" w:firstLineChars="100"/>
              <w:rPr>
                <w:rFonts w:hint="eastAsia" w:eastAsia="宋体"/>
                <w:color w:val="auto"/>
                <w:sz w:val="24"/>
                <w:highlight w:val="none"/>
                <w:lang w:val="zh-CN" w:eastAsia="zh-CN"/>
              </w:rPr>
            </w:pPr>
            <w:r>
              <w:rPr>
                <w:rFonts w:hint="eastAsia"/>
                <w:color w:val="auto"/>
                <w:sz w:val="24"/>
                <w:highlight w:val="none"/>
                <w:lang w:val="zh-CN" w:eastAsia="zh-CN" w:bidi="ar-SA"/>
              </w:rPr>
              <w:t>投标人自20</w:t>
            </w:r>
            <w:r>
              <w:rPr>
                <w:color w:val="auto"/>
                <w:sz w:val="24"/>
                <w:highlight w:val="none"/>
                <w:lang w:val="en-US" w:eastAsia="zh-CN" w:bidi="ar-SA"/>
              </w:rPr>
              <w:t>2</w:t>
            </w:r>
            <w:r>
              <w:rPr>
                <w:rFonts w:hint="eastAsia"/>
                <w:color w:val="auto"/>
                <w:sz w:val="24"/>
                <w:highlight w:val="none"/>
                <w:lang w:val="en-US" w:eastAsia="zh-CN" w:bidi="ar-SA"/>
              </w:rPr>
              <w:t>2</w:t>
            </w:r>
            <w:r>
              <w:rPr>
                <w:rFonts w:hint="eastAsia"/>
                <w:color w:val="auto"/>
                <w:sz w:val="24"/>
                <w:highlight w:val="none"/>
                <w:lang w:val="zh-CN" w:eastAsia="zh-CN" w:bidi="ar-SA"/>
              </w:rPr>
              <w:t>年</w:t>
            </w:r>
            <w:r>
              <w:rPr>
                <w:rFonts w:hint="eastAsia"/>
                <w:color w:val="auto"/>
                <w:sz w:val="24"/>
                <w:highlight w:val="none"/>
                <w:lang w:bidi="ar-SA"/>
              </w:rPr>
              <w:t>1</w:t>
            </w:r>
            <w:r>
              <w:rPr>
                <w:rFonts w:hint="eastAsia"/>
                <w:color w:val="auto"/>
                <w:sz w:val="24"/>
                <w:highlight w:val="none"/>
                <w:lang w:val="zh-CN" w:eastAsia="zh-CN" w:bidi="ar-SA"/>
              </w:rPr>
              <w:t>月1日至投标截止日，</w:t>
            </w:r>
            <w:r>
              <w:rPr>
                <w:rFonts w:hint="eastAsia"/>
                <w:color w:val="auto"/>
                <w:sz w:val="24"/>
                <w:highlight w:val="none"/>
                <w:lang w:val="en-US" w:eastAsia="zh-CN" w:bidi="ar-SA"/>
              </w:rPr>
              <w:t>具有110kV及以上施工或检修或</w:t>
            </w:r>
            <w:r>
              <w:rPr>
                <w:color w:val="auto"/>
                <w:sz w:val="24"/>
                <w:highlight w:val="none"/>
                <w:lang w:val="zh-CN" w:eastAsia="zh-CN" w:bidi="ar-SA"/>
              </w:rPr>
              <w:t>电仪安装调试工程业绩，</w:t>
            </w:r>
            <w:r>
              <w:rPr>
                <w:rFonts w:hint="eastAsia"/>
                <w:color w:val="auto"/>
                <w:sz w:val="24"/>
                <w:highlight w:val="none"/>
                <w:lang w:val="en-US" w:eastAsia="zh-CN"/>
              </w:rPr>
              <w:t>1个业绩得20分，本项最高得100分，</w:t>
            </w:r>
            <w:r>
              <w:rPr>
                <w:rFonts w:hint="eastAsia"/>
                <w:color w:val="auto"/>
                <w:sz w:val="24"/>
                <w:highlight w:val="none"/>
              </w:rPr>
              <w:t>以合同</w:t>
            </w:r>
            <w:r>
              <w:rPr>
                <w:rFonts w:hint="eastAsia"/>
                <w:color w:val="auto"/>
                <w:sz w:val="24"/>
                <w:highlight w:val="none"/>
                <w:lang w:eastAsia="zh-CN"/>
              </w:rPr>
              <w:t>扫描件</w:t>
            </w:r>
            <w:r>
              <w:rPr>
                <w:rFonts w:hint="eastAsia"/>
                <w:color w:val="auto"/>
                <w:sz w:val="24"/>
                <w:highlight w:val="none"/>
              </w:rPr>
              <w:t>为准</w:t>
            </w:r>
            <w:r>
              <w:rPr>
                <w:color w:val="auto"/>
                <w:sz w:val="24"/>
                <w:highlight w:val="none"/>
              </w:rPr>
              <w:t>，</w:t>
            </w:r>
            <w:r>
              <w:rPr>
                <w:rFonts w:hint="eastAsia"/>
                <w:color w:val="auto"/>
                <w:sz w:val="24"/>
                <w:highlight w:val="none"/>
              </w:rPr>
              <w:t>合同不能体现项目性质，应另行提供业主证明</w:t>
            </w:r>
            <w:r>
              <w:rPr>
                <w:rFonts w:hint="eastAsia"/>
                <w:color w:val="auto"/>
                <w:sz w:val="24"/>
                <w:highlight w:val="none"/>
                <w:lang w:eastAsia="zh-CN"/>
              </w:rPr>
              <w:t>。</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4E16AE96">
            <w:pPr>
              <w:pStyle w:val="53"/>
              <w:jc w:val="center"/>
              <w:rPr>
                <w:rFonts w:hint="eastAsia" w:ascii="宋体" w:eastAsia="宋体" w:cs="宋体"/>
                <w:color w:val="auto"/>
                <w:sz w:val="20"/>
                <w:highlight w:val="none"/>
                <w:lang w:eastAsia="zh-CN" w:bidi="ar-SA"/>
              </w:rPr>
            </w:pPr>
          </w:p>
          <w:p w14:paraId="0C66CE04">
            <w:pPr>
              <w:pStyle w:val="53"/>
              <w:spacing w:before="155"/>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0-100分</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208DA7C6">
            <w:pPr>
              <w:pStyle w:val="53"/>
              <w:spacing w:before="155"/>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15%</w:t>
            </w:r>
          </w:p>
        </w:tc>
      </w:tr>
      <w:tr w14:paraId="401F5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731A2B46">
            <w:pPr>
              <w:pStyle w:val="53"/>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2</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16F58B1F">
            <w:pPr>
              <w:pStyle w:val="53"/>
              <w:spacing w:before="1" w:line="340" w:lineRule="exact"/>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投标人拟派驻现场组织管理模式，根据进度安排和工作内容拟安排的劳动力投入计划，用于本工程施工的机具配备计划</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2B208C07">
            <w:pPr>
              <w:pStyle w:val="53"/>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0-100分</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26A50199">
            <w:pPr>
              <w:pStyle w:val="53"/>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10%</w:t>
            </w:r>
          </w:p>
        </w:tc>
      </w:tr>
      <w:tr w14:paraId="72F8D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6"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17BB8540">
            <w:pPr>
              <w:pStyle w:val="53"/>
              <w:spacing w:before="1" w:line="340" w:lineRule="exact"/>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3</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07CF6EEF">
            <w:pPr>
              <w:spacing w:line="360" w:lineRule="auto"/>
              <w:rPr>
                <w:rFonts w:hint="eastAsia" w:ascii="宋体" w:eastAsia="宋体" w:cs="宋体"/>
                <w:color w:val="auto"/>
                <w:kern w:val="2"/>
                <w:sz w:val="24"/>
                <w:szCs w:val="24"/>
                <w:highlight w:val="none"/>
                <w:lang w:val="en-US" w:eastAsia="zh-CN" w:bidi="ar-SA"/>
              </w:rPr>
            </w:pPr>
            <w:r>
              <w:rPr>
                <w:rFonts w:hint="eastAsia" w:ascii="Times New Roman" w:hAnsi="Times New Roman" w:eastAsia="宋体" w:cs="Times New Roman"/>
                <w:color w:val="auto"/>
                <w:sz w:val="24"/>
                <w:highlight w:val="none"/>
                <w:lang w:val="en-US" w:eastAsia="zh-CN" w:bidi="ar-SA"/>
              </w:rPr>
              <w:t>投标人承诺在接到发包人任务单后的施工响应时间</w:t>
            </w:r>
            <w:r>
              <w:rPr>
                <w:rFonts w:ascii="Times New Roman" w:hAnsi="Times New Roman" w:eastAsia="宋体" w:cs="Times New Roman"/>
                <w:color w:val="auto"/>
                <w:sz w:val="24"/>
                <w:highlight w:val="none"/>
                <w:lang w:val="en-US" w:eastAsia="zh-CN" w:bidi="ar-SA"/>
              </w:rPr>
              <w:t>，不得超过24小时，生产或安全等紧急情况，须保准30分钟内到场。工程项目负责人必须24小时手机开机，随时待命。</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06CCAE39">
            <w:pPr>
              <w:pStyle w:val="53"/>
              <w:jc w:val="center"/>
              <w:rPr>
                <w:rFonts w:hint="eastAsia" w:ascii="宋体" w:eastAsia="宋体" w:cs="宋体"/>
                <w:color w:val="auto"/>
                <w:sz w:val="21"/>
                <w:highlight w:val="none"/>
                <w:lang w:bidi="ar-SA"/>
              </w:rPr>
            </w:pPr>
            <w:r>
              <w:rPr>
                <w:rFonts w:hint="eastAsia" w:ascii="宋体" w:eastAsia="宋体" w:cs="宋体"/>
                <w:color w:val="auto"/>
                <w:sz w:val="21"/>
                <w:highlight w:val="none"/>
                <w:lang w:val="en-US" w:eastAsia="zh-CN" w:bidi="ar-SA"/>
              </w:rPr>
              <w:t>0-100分</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35E9DFAA">
            <w:pPr>
              <w:pStyle w:val="53"/>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15%</w:t>
            </w:r>
          </w:p>
        </w:tc>
      </w:tr>
      <w:tr w14:paraId="4F229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7878D70C">
            <w:pPr>
              <w:pStyle w:val="53"/>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4</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138F78FE">
            <w:pPr>
              <w:pStyle w:val="53"/>
              <w:spacing w:before="1" w:line="340" w:lineRule="exact"/>
              <w:jc w:val="both"/>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投标人单位拥有特殊工种作业人员种类及数量，以高压电工证为准。</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26444415">
            <w:pPr>
              <w:pStyle w:val="53"/>
              <w:jc w:val="center"/>
              <w:rPr>
                <w:rFonts w:hint="eastAsia" w:ascii="宋体" w:eastAsia="宋体" w:cs="宋体"/>
                <w:b/>
                <w:color w:val="auto"/>
                <w:sz w:val="21"/>
                <w:highlight w:val="none"/>
                <w:lang w:eastAsia="zh-CN" w:bidi="ar-SA"/>
              </w:rPr>
            </w:pPr>
            <w:r>
              <w:rPr>
                <w:rFonts w:hint="eastAsia" w:ascii="宋体" w:eastAsia="宋体" w:cs="宋体"/>
                <w:color w:val="auto"/>
                <w:sz w:val="21"/>
                <w:highlight w:val="none"/>
                <w:lang w:val="en-US" w:eastAsia="zh-CN" w:bidi="ar-SA"/>
              </w:rPr>
              <w:t>0-100分</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44748E95">
            <w:pPr>
              <w:pStyle w:val="53"/>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10%</w:t>
            </w:r>
          </w:p>
        </w:tc>
      </w:tr>
      <w:tr w14:paraId="2CD9D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06186442">
            <w:pPr>
              <w:pStyle w:val="53"/>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5</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50073D43">
            <w:pPr>
              <w:pStyle w:val="53"/>
              <w:spacing w:before="1" w:line="340" w:lineRule="exact"/>
              <w:jc w:val="both"/>
              <w:rPr>
                <w:rFonts w:hint="eastAsia" w:ascii="宋体" w:eastAsia="宋体" w:cs="宋体"/>
                <w:color w:val="auto"/>
                <w:kern w:val="2"/>
                <w:sz w:val="24"/>
                <w:szCs w:val="24"/>
                <w:highlight w:val="none"/>
                <w:lang w:val="en-US" w:eastAsia="zh-CN" w:bidi="ar-SA"/>
              </w:rPr>
            </w:pPr>
            <w:r>
              <w:rPr>
                <w:rFonts w:hint="eastAsia" w:ascii="Times New Roman" w:hAnsi="Times New Roman" w:eastAsia="宋体" w:cs="Times New Roman"/>
                <w:color w:val="auto"/>
                <w:sz w:val="24"/>
                <w:highlight w:val="none"/>
                <w:lang w:bidi="ar-SA"/>
              </w:rPr>
              <w:t>质量保证措施，严格按要求施工</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440A3D9A">
            <w:pPr>
              <w:pStyle w:val="53"/>
              <w:jc w:val="center"/>
              <w:rPr>
                <w:rFonts w:hint="eastAsia" w:ascii="宋体" w:eastAsia="宋体" w:cs="宋体"/>
                <w:b/>
                <w:color w:val="auto"/>
                <w:sz w:val="21"/>
                <w:highlight w:val="none"/>
                <w:lang w:eastAsia="zh-CN" w:bidi="ar-SA"/>
              </w:rPr>
            </w:pPr>
          </w:p>
          <w:p w14:paraId="688C64D1">
            <w:pPr>
              <w:pStyle w:val="53"/>
              <w:spacing w:before="1"/>
              <w:jc w:val="center"/>
              <w:rPr>
                <w:rFonts w:hint="eastAsia" w:ascii="宋体" w:eastAsia="宋体" w:cs="宋体"/>
                <w:color w:val="auto"/>
                <w:sz w:val="21"/>
                <w:highlight w:val="none"/>
                <w:lang w:bidi="ar-SA"/>
              </w:rPr>
            </w:pPr>
            <w:r>
              <w:rPr>
                <w:rFonts w:hint="eastAsia" w:ascii="宋体" w:eastAsia="宋体" w:cs="宋体"/>
                <w:color w:val="auto"/>
                <w:sz w:val="21"/>
                <w:highlight w:val="none"/>
                <w:lang w:val="en-US" w:eastAsia="zh-CN" w:bidi="ar-SA"/>
              </w:rPr>
              <w:t>0-100分</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74F6B7A1">
            <w:pPr>
              <w:pStyle w:val="53"/>
              <w:spacing w:before="1"/>
              <w:jc w:val="center"/>
              <w:rPr>
                <w:rFonts w:hint="eastAsia" w:ascii="宋体" w:eastAsia="宋体" w:cs="宋体"/>
                <w:color w:val="auto"/>
                <w:sz w:val="21"/>
                <w:highlight w:val="none"/>
                <w:lang w:val="en-US" w:eastAsia="zh-CN" w:bidi="ar-SA"/>
              </w:rPr>
            </w:pPr>
            <w:r>
              <w:rPr>
                <w:rFonts w:hint="eastAsia" w:ascii="宋体" w:eastAsia="宋体" w:cs="宋体"/>
                <w:color w:val="auto"/>
                <w:sz w:val="21"/>
                <w:highlight w:val="none"/>
                <w:lang w:val="en-US" w:eastAsia="zh-CN" w:bidi="ar-SA"/>
              </w:rPr>
              <w:t>25%</w:t>
            </w:r>
          </w:p>
        </w:tc>
      </w:tr>
      <w:tr w14:paraId="5B8B2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5D433AC9">
            <w:pPr>
              <w:pStyle w:val="53"/>
              <w:spacing w:before="1"/>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6</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78E0729F">
            <w:pPr>
              <w:pStyle w:val="53"/>
              <w:spacing w:before="1" w:line="340" w:lineRule="exact"/>
              <w:jc w:val="both"/>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保证安全、文明施工的具体措施，包括安全事故应急预案等</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21B4C169">
            <w:pPr>
              <w:pStyle w:val="53"/>
              <w:ind w:firstLine="200"/>
              <w:jc w:val="center"/>
              <w:rPr>
                <w:rFonts w:hint="eastAsia" w:ascii="宋体" w:eastAsia="宋体" w:cs="宋体"/>
                <w:color w:val="auto"/>
                <w:sz w:val="20"/>
                <w:highlight w:val="none"/>
                <w:lang w:bidi="ar-SA"/>
              </w:rPr>
            </w:pPr>
          </w:p>
          <w:p w14:paraId="430D15F3">
            <w:pPr>
              <w:pStyle w:val="53"/>
              <w:ind w:firstLine="102" w:firstLineChars="49"/>
              <w:jc w:val="center"/>
              <w:rPr>
                <w:rFonts w:hint="eastAsia" w:ascii="宋体" w:eastAsia="宋体" w:cs="宋体"/>
                <w:b/>
                <w:color w:val="auto"/>
                <w:sz w:val="21"/>
                <w:highlight w:val="none"/>
                <w:lang w:eastAsia="zh-CN" w:bidi="ar-SA"/>
              </w:rPr>
            </w:pPr>
            <w:r>
              <w:rPr>
                <w:rFonts w:hint="eastAsia" w:ascii="宋体" w:eastAsia="宋体" w:cs="宋体"/>
                <w:color w:val="auto"/>
                <w:sz w:val="21"/>
                <w:highlight w:val="none"/>
                <w:lang w:val="en-US" w:eastAsia="zh-CN" w:bidi="ar-SA"/>
              </w:rPr>
              <w:t>0-100分</w:t>
            </w:r>
          </w:p>
          <w:p w14:paraId="5C946184">
            <w:pPr>
              <w:pStyle w:val="53"/>
              <w:jc w:val="center"/>
              <w:rPr>
                <w:rFonts w:hint="eastAsia" w:ascii="宋体" w:eastAsia="宋体" w:cs="宋体"/>
                <w:color w:val="auto"/>
                <w:sz w:val="20"/>
                <w:highlight w:val="none"/>
                <w:lang w:bidi="ar-SA"/>
              </w:rPr>
            </w:pPr>
          </w:p>
        </w:tc>
        <w:tc>
          <w:tcPr>
            <w:tcW w:w="765" w:type="dxa"/>
            <w:tcBorders>
              <w:top w:val="single" w:color="000000" w:sz="4" w:space="0"/>
              <w:left w:val="single" w:color="auto" w:sz="4" w:space="0"/>
              <w:bottom w:val="single" w:color="000000" w:sz="4" w:space="0"/>
              <w:right w:val="single" w:color="000000" w:sz="4" w:space="0"/>
            </w:tcBorders>
            <w:noWrap/>
            <w:vAlign w:val="center"/>
          </w:tcPr>
          <w:p w14:paraId="313D6FFD">
            <w:pPr>
              <w:pStyle w:val="53"/>
              <w:ind w:left="13"/>
              <w:jc w:val="center"/>
              <w:rPr>
                <w:rFonts w:hint="eastAsia" w:ascii="宋体" w:eastAsia="宋体" w:cs="宋体"/>
                <w:color w:val="auto"/>
                <w:sz w:val="20"/>
                <w:highlight w:val="none"/>
                <w:lang w:val="en-US" w:eastAsia="zh-CN" w:bidi="ar-SA"/>
              </w:rPr>
            </w:pPr>
            <w:r>
              <w:rPr>
                <w:rFonts w:hint="eastAsia" w:ascii="宋体" w:eastAsia="宋体" w:cs="宋体"/>
                <w:color w:val="auto"/>
                <w:sz w:val="20"/>
                <w:highlight w:val="none"/>
                <w:lang w:val="en-US" w:eastAsia="zh-CN" w:bidi="ar-SA"/>
              </w:rPr>
              <w:t>15%</w:t>
            </w:r>
          </w:p>
          <w:p w14:paraId="2CA5E564">
            <w:pPr>
              <w:pStyle w:val="53"/>
              <w:ind w:left="13"/>
              <w:jc w:val="center"/>
              <w:rPr>
                <w:rFonts w:hint="eastAsia" w:ascii="宋体" w:eastAsia="宋体" w:cs="宋体"/>
                <w:color w:val="auto"/>
                <w:sz w:val="20"/>
                <w:highlight w:val="none"/>
                <w:lang w:bidi="ar-SA"/>
              </w:rPr>
            </w:pPr>
          </w:p>
        </w:tc>
      </w:tr>
      <w:tr w14:paraId="2D53AB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14:paraId="0F528C4D">
            <w:pPr>
              <w:pStyle w:val="53"/>
              <w:spacing w:before="1"/>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7</w:t>
            </w:r>
          </w:p>
        </w:tc>
        <w:tc>
          <w:tcPr>
            <w:tcW w:w="7275" w:type="dxa"/>
            <w:tcBorders>
              <w:top w:val="single" w:color="000000" w:sz="4" w:space="0"/>
              <w:left w:val="single" w:color="000000" w:sz="4" w:space="0"/>
              <w:bottom w:val="single" w:color="000000" w:sz="4" w:space="0"/>
              <w:right w:val="single" w:color="000000" w:sz="4" w:space="0"/>
            </w:tcBorders>
            <w:noWrap/>
            <w:vAlign w:val="center"/>
          </w:tcPr>
          <w:p w14:paraId="68DF3B6C">
            <w:pPr>
              <w:pStyle w:val="53"/>
              <w:spacing w:before="1" w:line="340" w:lineRule="exact"/>
              <w:jc w:val="center"/>
              <w:rPr>
                <w:rFonts w:hint="eastAsia" w:ascii="宋体" w:eastAsia="宋体" w:cs="宋体"/>
                <w:color w:val="auto"/>
                <w:kern w:val="2"/>
                <w:sz w:val="24"/>
                <w:szCs w:val="24"/>
                <w:highlight w:val="none"/>
                <w:lang w:val="en-US" w:eastAsia="zh-CN" w:bidi="ar-SA"/>
              </w:rPr>
            </w:pPr>
            <w:r>
              <w:rPr>
                <w:rFonts w:hint="eastAsia" w:ascii="宋体" w:eastAsia="宋体" w:cs="宋体"/>
                <w:color w:val="auto"/>
                <w:kern w:val="2"/>
                <w:sz w:val="24"/>
                <w:szCs w:val="24"/>
                <w:highlight w:val="none"/>
                <w:lang w:val="en-US" w:eastAsia="zh-CN" w:bidi="ar-SA"/>
              </w:rPr>
              <w:t>进度、质量、安全文明施工、项目负责人和安全员到位率的承诺及未达到承诺的要求所承担的违约责任</w:t>
            </w:r>
          </w:p>
        </w:tc>
        <w:tc>
          <w:tcPr>
            <w:tcW w:w="885" w:type="dxa"/>
            <w:tcBorders>
              <w:top w:val="single" w:color="000000" w:sz="4" w:space="0"/>
              <w:left w:val="single" w:color="000000" w:sz="4" w:space="0"/>
              <w:bottom w:val="single" w:color="000000" w:sz="4" w:space="0"/>
              <w:right w:val="single" w:color="auto" w:sz="4" w:space="0"/>
            </w:tcBorders>
            <w:noWrap/>
            <w:vAlign w:val="center"/>
          </w:tcPr>
          <w:p w14:paraId="7B5F4428">
            <w:pPr>
              <w:pStyle w:val="53"/>
              <w:ind w:firstLine="102" w:firstLineChars="49"/>
              <w:jc w:val="center"/>
              <w:rPr>
                <w:rFonts w:hint="eastAsia" w:ascii="宋体" w:eastAsia="宋体" w:cs="宋体"/>
                <w:b/>
                <w:color w:val="auto"/>
                <w:sz w:val="21"/>
                <w:highlight w:val="none"/>
                <w:lang w:eastAsia="zh-CN" w:bidi="ar-SA"/>
              </w:rPr>
            </w:pPr>
            <w:r>
              <w:rPr>
                <w:rFonts w:hint="eastAsia" w:ascii="宋体" w:eastAsia="宋体" w:cs="宋体"/>
                <w:color w:val="auto"/>
                <w:sz w:val="21"/>
                <w:highlight w:val="none"/>
                <w:lang w:val="en-US" w:eastAsia="zh-CN" w:bidi="ar-SA"/>
              </w:rPr>
              <w:t>0-100分</w:t>
            </w:r>
          </w:p>
          <w:p w14:paraId="6C04C5DA">
            <w:pPr>
              <w:pStyle w:val="53"/>
              <w:jc w:val="center"/>
              <w:rPr>
                <w:rFonts w:hint="eastAsia" w:ascii="宋体" w:eastAsia="宋体" w:cs="宋体"/>
                <w:color w:val="auto"/>
                <w:sz w:val="20"/>
                <w:highlight w:val="none"/>
                <w:lang w:bidi="ar-SA"/>
              </w:rPr>
            </w:pPr>
          </w:p>
        </w:tc>
        <w:tc>
          <w:tcPr>
            <w:tcW w:w="765" w:type="dxa"/>
            <w:tcBorders>
              <w:top w:val="single" w:color="000000" w:sz="4" w:space="0"/>
              <w:left w:val="single" w:color="auto" w:sz="4" w:space="0"/>
              <w:bottom w:val="single" w:color="000000" w:sz="4" w:space="0"/>
              <w:right w:val="single" w:color="000000" w:sz="4" w:space="0"/>
            </w:tcBorders>
            <w:noWrap/>
            <w:vAlign w:val="center"/>
          </w:tcPr>
          <w:p w14:paraId="054DA162">
            <w:pPr>
              <w:pStyle w:val="53"/>
              <w:ind w:left="13"/>
              <w:jc w:val="center"/>
              <w:rPr>
                <w:rFonts w:hint="eastAsia" w:ascii="宋体" w:eastAsia="宋体" w:cs="宋体"/>
                <w:color w:val="auto"/>
                <w:sz w:val="20"/>
                <w:highlight w:val="none"/>
                <w:lang w:val="en-US" w:eastAsia="zh-CN" w:bidi="ar-SA"/>
              </w:rPr>
            </w:pPr>
            <w:r>
              <w:rPr>
                <w:rFonts w:hint="eastAsia" w:ascii="宋体" w:eastAsia="宋体" w:cs="宋体"/>
                <w:color w:val="auto"/>
                <w:sz w:val="20"/>
                <w:highlight w:val="none"/>
                <w:lang w:val="en-US" w:eastAsia="zh-CN" w:bidi="ar-SA"/>
              </w:rPr>
              <w:t>10%</w:t>
            </w:r>
          </w:p>
        </w:tc>
      </w:tr>
    </w:tbl>
    <w:p w14:paraId="4159C41C">
      <w:pPr>
        <w:spacing w:line="360" w:lineRule="auto"/>
        <w:ind w:firstLine="241" w:firstLineChars="100"/>
        <w:rPr>
          <w:rFonts w:hint="eastAsia" w:ascii="宋体" w:cs="宋体"/>
          <w:b/>
          <w:bCs/>
          <w:color w:val="auto"/>
          <w:sz w:val="24"/>
          <w:highlight w:val="none"/>
          <w:lang w:bidi="ar-SA"/>
        </w:rPr>
      </w:pPr>
      <w:r>
        <w:rPr>
          <w:rFonts w:hint="eastAsia" w:ascii="宋体" w:cs="宋体"/>
          <w:b/>
          <w:bCs/>
          <w:color w:val="auto"/>
          <w:sz w:val="24"/>
          <w:highlight w:val="none"/>
          <w:lang w:val="en-US" w:eastAsia="zh-CN" w:bidi="ar-SA"/>
        </w:rPr>
        <w:t>2</w:t>
      </w:r>
      <w:r>
        <w:rPr>
          <w:rFonts w:hint="eastAsia" w:ascii="宋体" w:cs="宋体"/>
          <w:b/>
          <w:bCs/>
          <w:color w:val="auto"/>
          <w:sz w:val="24"/>
          <w:highlight w:val="none"/>
          <w:lang w:bidi="ar-SA"/>
        </w:rPr>
        <w:t>、</w:t>
      </w:r>
      <w:r>
        <w:rPr>
          <w:rFonts w:hint="eastAsia" w:ascii="宋体" w:cs="宋体"/>
          <w:b/>
          <w:bCs/>
          <w:color w:val="auto"/>
          <w:sz w:val="24"/>
          <w:highlight w:val="none"/>
          <w:lang w:eastAsia="zh-CN" w:bidi="ar-SA"/>
        </w:rPr>
        <w:t>商务经济部分得分</w:t>
      </w:r>
      <w:r>
        <w:rPr>
          <w:rFonts w:hint="eastAsia" w:ascii="宋体" w:cs="宋体"/>
          <w:b/>
          <w:bCs/>
          <w:color w:val="auto"/>
          <w:sz w:val="24"/>
          <w:highlight w:val="none"/>
          <w:lang w:bidi="ar-SA"/>
        </w:rPr>
        <w:t>（</w:t>
      </w:r>
      <w:r>
        <w:rPr>
          <w:rFonts w:hint="eastAsia" w:ascii="宋体" w:cs="宋体"/>
          <w:b/>
          <w:bCs/>
          <w:color w:val="auto"/>
          <w:sz w:val="24"/>
          <w:highlight w:val="none"/>
          <w:lang w:val="en-US" w:eastAsia="zh-CN" w:bidi="ar-SA"/>
        </w:rPr>
        <w:t>满分100，</w:t>
      </w:r>
      <w:r>
        <w:rPr>
          <w:rFonts w:hint="eastAsia" w:ascii="宋体" w:cs="宋体"/>
          <w:b/>
          <w:bCs/>
          <w:color w:val="auto"/>
          <w:sz w:val="24"/>
          <w:highlight w:val="none"/>
          <w:lang w:bidi="ar-SA"/>
        </w:rPr>
        <w:t>占总分权重的</w:t>
      </w:r>
      <w:r>
        <w:rPr>
          <w:rFonts w:ascii="宋体" w:cs="宋体"/>
          <w:b/>
          <w:bCs/>
          <w:color w:val="auto"/>
          <w:sz w:val="24"/>
          <w:highlight w:val="none"/>
          <w:lang w:val="en-US" w:eastAsia="zh-CN" w:bidi="ar-SA"/>
        </w:rPr>
        <w:t>70</w:t>
      </w:r>
      <w:r>
        <w:rPr>
          <w:rFonts w:hint="eastAsia" w:ascii="宋体" w:cs="宋体"/>
          <w:b/>
          <w:bCs/>
          <w:color w:val="auto"/>
          <w:sz w:val="24"/>
          <w:highlight w:val="none"/>
          <w:lang w:val="en-US" w:eastAsia="zh-CN" w:bidi="ar-SA"/>
        </w:rPr>
        <w:t>%）</w:t>
      </w:r>
    </w:p>
    <w:p w14:paraId="61F17517">
      <w:pPr>
        <w:adjustRightInd w:val="0"/>
        <w:snapToGrid w:val="0"/>
        <w:spacing w:line="360" w:lineRule="auto"/>
        <w:ind w:firstLine="480" w:firstLineChars="200"/>
        <w:rPr>
          <w:rFonts w:hint="eastAsia" w:ascii="宋体" w:eastAsia="宋体" w:cs="宋体"/>
          <w:color w:val="auto"/>
          <w:sz w:val="24"/>
          <w:lang w:val="en-US" w:eastAsia="zh-CN" w:bidi="ar-SA"/>
        </w:rPr>
      </w:pPr>
      <w:r>
        <w:rPr>
          <w:rFonts w:hint="eastAsia" w:ascii="宋体" w:cs="宋体"/>
          <w:color w:val="auto"/>
          <w:sz w:val="24"/>
          <w:lang w:val="en-US" w:eastAsia="zh-CN" w:bidi="ar-SA"/>
        </w:rPr>
        <w:t>1.</w:t>
      </w:r>
      <w:r>
        <w:rPr>
          <w:rFonts w:hint="eastAsia" w:ascii="宋体" w:cs="宋体"/>
          <w:color w:val="auto"/>
          <w:sz w:val="24"/>
          <w:lang w:bidi="ar-SA"/>
        </w:rPr>
        <w:t>最佳报价：</w:t>
      </w:r>
    </w:p>
    <w:p w14:paraId="7DEECEBE">
      <w:pPr>
        <w:spacing w:line="360" w:lineRule="auto"/>
        <w:ind w:firstLine="240" w:firstLineChars="100"/>
        <w:rPr>
          <w:rFonts w:hint="eastAsia" w:ascii="宋体" w:cs="宋体"/>
          <w:sz w:val="24"/>
        </w:rPr>
      </w:pPr>
      <w:r>
        <w:rPr>
          <w:rFonts w:hint="eastAsia" w:ascii="宋体" w:cs="宋体"/>
          <w:sz w:val="24"/>
        </w:rPr>
        <w:t>（1）当有效投标人数量≥5家：去掉最高价，所有有效投标价的算术平均值与最低报价的二次平均值为最佳报价；</w:t>
      </w:r>
    </w:p>
    <w:p w14:paraId="201B7849">
      <w:pPr>
        <w:spacing w:line="360" w:lineRule="auto"/>
        <w:ind w:firstLine="240" w:firstLineChars="100"/>
        <w:rPr>
          <w:rFonts w:hint="eastAsia" w:ascii="宋体" w:cs="宋体"/>
          <w:sz w:val="24"/>
        </w:rPr>
      </w:pPr>
      <w:r>
        <w:rPr>
          <w:rFonts w:hint="eastAsia" w:ascii="宋体" w:cs="宋体"/>
          <w:sz w:val="24"/>
        </w:rPr>
        <w:t>（2）当3家≤有效投标人数量＜5家：所有有效投标价的算术平均值与最低报价的二次平均值为最佳报价；</w:t>
      </w:r>
    </w:p>
    <w:p w14:paraId="14191598">
      <w:pPr>
        <w:adjustRightInd w:val="0"/>
        <w:snapToGrid w:val="0"/>
        <w:spacing w:line="360" w:lineRule="auto"/>
        <w:ind w:firstLine="480" w:firstLineChars="200"/>
        <w:rPr>
          <w:rFonts w:hint="eastAsia" w:ascii="宋体" w:cs="宋体"/>
          <w:sz w:val="24"/>
        </w:rPr>
      </w:pPr>
      <w:r>
        <w:rPr>
          <w:rFonts w:hint="eastAsia" w:ascii="宋体" w:cs="宋体"/>
          <w:sz w:val="24"/>
        </w:rPr>
        <w:t>2.价格得分：</w:t>
      </w:r>
    </w:p>
    <w:p w14:paraId="32FF22DA">
      <w:pPr>
        <w:spacing w:line="360" w:lineRule="auto"/>
        <w:ind w:firstLine="480" w:firstLineChars="200"/>
        <w:rPr>
          <w:rFonts w:hint="eastAsia" w:ascii="宋体" w:cs="宋体"/>
          <w:sz w:val="24"/>
        </w:rPr>
      </w:pPr>
      <w:r>
        <w:rPr>
          <w:rFonts w:hint="eastAsia" w:ascii="宋体" w:cs="宋体"/>
          <w:sz w:val="24"/>
        </w:rPr>
        <w:t>(1)投标人的最终报价与最佳报价相比，每上升一个百分点扣1分，每下降一个百分点扣0.5分。</w:t>
      </w:r>
    </w:p>
    <w:p w14:paraId="696A64BD">
      <w:pPr>
        <w:spacing w:line="360" w:lineRule="auto"/>
        <w:ind w:firstLine="240" w:firstLineChars="100"/>
        <w:rPr>
          <w:rFonts w:hint="eastAsia" w:ascii="宋体" w:cs="宋体"/>
          <w:sz w:val="24"/>
        </w:rPr>
      </w:pPr>
      <w:r>
        <w:rPr>
          <w:rFonts w:hint="eastAsia" w:ascii="宋体" w:cs="宋体"/>
          <w:sz w:val="24"/>
        </w:rPr>
        <w:t>注：以上报价评分不足一个百分点时，使用直线插入法计算，保留小数2位。</w:t>
      </w:r>
    </w:p>
    <w:p w14:paraId="10208A77">
      <w:pPr>
        <w:spacing w:line="360" w:lineRule="auto"/>
        <w:ind w:firstLine="240" w:firstLineChars="100"/>
        <w:rPr>
          <w:rFonts w:hint="eastAsia" w:ascii="宋体" w:cs="宋体"/>
          <w:sz w:val="24"/>
        </w:rPr>
      </w:pPr>
      <w:r>
        <w:rPr>
          <w:rFonts w:hint="eastAsia" w:ascii="宋体"/>
          <w:sz w:val="24"/>
        </w:rPr>
        <w:t>▲</w:t>
      </w:r>
      <w:r>
        <w:rPr>
          <w:rFonts w:hint="eastAsia" w:ascii="宋体" w:cs="宋体"/>
          <w:sz w:val="24"/>
        </w:rPr>
        <w:t>投标报价高于最高限价的，其投标文件作否决处理。</w:t>
      </w:r>
    </w:p>
    <w:p w14:paraId="7B91E502">
      <w:pPr>
        <w:keepNext w:val="0"/>
        <w:keepLines w:val="0"/>
        <w:pageBreakBefore w:val="0"/>
        <w:widowControl w:val="0"/>
        <w:kinsoku/>
        <w:wordWrap/>
        <w:overflowPunct/>
        <w:topLinePunct w:val="0"/>
        <w:autoSpaceDE/>
        <w:autoSpaceDN/>
        <w:bidi w:val="0"/>
        <w:snapToGrid w:val="0"/>
        <w:spacing w:line="360" w:lineRule="auto"/>
        <w:ind w:left="426"/>
        <w:jc w:val="left"/>
        <w:textAlignment w:val="auto"/>
        <w:outlineLvl w:val="1"/>
        <w:rPr>
          <w:rFonts w:ascii="宋体"/>
          <w:b/>
          <w:sz w:val="28"/>
          <w:szCs w:val="28"/>
          <w:highlight w:val="none"/>
        </w:rPr>
      </w:pPr>
      <w:r>
        <w:rPr>
          <w:rFonts w:hint="eastAsia" w:ascii="宋体"/>
          <w:b/>
          <w:sz w:val="28"/>
          <w:szCs w:val="28"/>
          <w:highlight w:val="none"/>
        </w:rPr>
        <w:t>六、 投标文件的澄清和补正</w:t>
      </w:r>
    </w:p>
    <w:p w14:paraId="3E50DD48">
      <w:pPr>
        <w:keepNext w:val="0"/>
        <w:keepLines w:val="0"/>
        <w:pageBreakBefore w:val="0"/>
        <w:widowControl w:val="0"/>
        <w:kinsoku/>
        <w:wordWrap/>
        <w:overflowPunct/>
        <w:topLinePunct w:val="0"/>
        <w:autoSpaceDE/>
        <w:autoSpaceDN/>
        <w:bidi w:val="0"/>
        <w:spacing w:line="360" w:lineRule="auto"/>
        <w:ind w:firstLine="240" w:firstLineChars="100"/>
        <w:textAlignment w:val="auto"/>
        <w:rPr>
          <w:rFonts w:ascii="宋体" w:cs="宋体"/>
          <w:sz w:val="24"/>
        </w:rPr>
      </w:pPr>
      <w:r>
        <w:rPr>
          <w:rFonts w:hint="eastAsia" w:ascii="宋体" w:cs="宋体"/>
          <w:sz w:val="24"/>
        </w:rPr>
        <w:t>1、在评标过程中，评标委员会可以书面形式要求投标人对所提交的投标文件中不明确的内容进行书面澄清或说明，或者对细微偏差进行补正。评标委员会不接受投标人主动提出的澄清、说明或补正。</w:t>
      </w:r>
    </w:p>
    <w:p w14:paraId="26ABA138">
      <w:pPr>
        <w:keepNext w:val="0"/>
        <w:keepLines w:val="0"/>
        <w:pageBreakBefore w:val="0"/>
        <w:widowControl w:val="0"/>
        <w:kinsoku/>
        <w:wordWrap/>
        <w:overflowPunct/>
        <w:topLinePunct w:val="0"/>
        <w:autoSpaceDE/>
        <w:autoSpaceDN/>
        <w:bidi w:val="0"/>
        <w:spacing w:line="360" w:lineRule="auto"/>
        <w:ind w:firstLine="240" w:firstLineChars="100"/>
        <w:textAlignment w:val="auto"/>
        <w:rPr>
          <w:rFonts w:ascii="宋体" w:cs="宋体"/>
          <w:sz w:val="24"/>
        </w:rPr>
      </w:pPr>
      <w:r>
        <w:rPr>
          <w:rFonts w:hint="eastAsia" w:ascii="宋体" w:cs="宋体"/>
          <w:sz w:val="24"/>
        </w:rPr>
        <w:t>2、澄清、说明和补正不得改变投标文件的实质性内容（算术性错误修正的除外）。投标人的书面澄清、说明和补正属于投标文件的组成部分。</w:t>
      </w:r>
    </w:p>
    <w:p w14:paraId="69AA515D">
      <w:pPr>
        <w:keepNext w:val="0"/>
        <w:keepLines w:val="0"/>
        <w:pageBreakBefore w:val="0"/>
        <w:widowControl w:val="0"/>
        <w:kinsoku/>
        <w:wordWrap/>
        <w:overflowPunct/>
        <w:topLinePunct w:val="0"/>
        <w:autoSpaceDE/>
        <w:autoSpaceDN/>
        <w:bidi w:val="0"/>
        <w:spacing w:line="360" w:lineRule="auto"/>
        <w:ind w:firstLine="240" w:firstLineChars="100"/>
        <w:textAlignment w:val="auto"/>
        <w:rPr>
          <w:rFonts w:ascii="宋体" w:cs="宋体"/>
          <w:sz w:val="24"/>
        </w:rPr>
      </w:pPr>
      <w:r>
        <w:rPr>
          <w:rFonts w:hint="eastAsia" w:ascii="宋体" w:cs="宋体"/>
          <w:sz w:val="24"/>
        </w:rPr>
        <w:t>3、 评标委员会对投标人提交的澄清、说明或补正有疑问的，可以要求投标人进一步澄清、说明或补正，直至满足评标委员会的要求。</w:t>
      </w:r>
    </w:p>
    <w:p w14:paraId="3D8D7B6F">
      <w:pPr>
        <w:keepNext w:val="0"/>
        <w:keepLines w:val="0"/>
        <w:pageBreakBefore w:val="0"/>
        <w:widowControl w:val="0"/>
        <w:kinsoku/>
        <w:wordWrap/>
        <w:overflowPunct/>
        <w:topLinePunct w:val="0"/>
        <w:autoSpaceDE/>
        <w:autoSpaceDN/>
        <w:bidi w:val="0"/>
        <w:snapToGrid w:val="0"/>
        <w:spacing w:line="360" w:lineRule="auto"/>
        <w:ind w:left="426"/>
        <w:jc w:val="left"/>
        <w:textAlignment w:val="auto"/>
        <w:outlineLvl w:val="1"/>
        <w:rPr>
          <w:rFonts w:ascii="宋体"/>
          <w:b/>
          <w:sz w:val="28"/>
          <w:szCs w:val="28"/>
        </w:rPr>
      </w:pPr>
      <w:r>
        <w:rPr>
          <w:rFonts w:hint="eastAsia" w:ascii="宋体"/>
          <w:b/>
          <w:sz w:val="28"/>
          <w:szCs w:val="28"/>
        </w:rPr>
        <w:t>七、 评标结果</w:t>
      </w:r>
    </w:p>
    <w:p w14:paraId="03CA5ACA">
      <w:pPr>
        <w:spacing w:line="360" w:lineRule="auto"/>
        <w:ind w:firstLine="240" w:firstLineChars="100"/>
        <w:rPr>
          <w:rFonts w:hint="eastAsia" w:ascii="宋体" w:cs="宋体"/>
          <w:sz w:val="24"/>
        </w:rPr>
      </w:pPr>
      <w:r>
        <w:rPr>
          <w:rFonts w:hint="eastAsia" w:ascii="宋体" w:cs="宋体"/>
          <w:sz w:val="24"/>
        </w:rPr>
        <w:t>1、评标委员会按综合得分由高到低的顺序推荐中标候选人1家。</w:t>
      </w:r>
    </w:p>
    <w:p w14:paraId="71DAC49A">
      <w:pPr>
        <w:spacing w:line="360" w:lineRule="auto"/>
        <w:ind w:firstLine="240" w:firstLineChars="100"/>
        <w:rPr>
          <w:rFonts w:hint="eastAsia" w:ascii="宋体" w:cs="宋体"/>
          <w:sz w:val="24"/>
        </w:rPr>
      </w:pPr>
      <w:r>
        <w:rPr>
          <w:rFonts w:hint="eastAsia" w:ascii="宋体" w:cs="宋体"/>
          <w:sz w:val="24"/>
        </w:rPr>
        <w:t>2、评标委员会完成评标后，应当向招标人提交书面评标报告。</w:t>
      </w:r>
    </w:p>
    <w:p w14:paraId="21809D11">
      <w:pPr>
        <w:spacing w:line="360" w:lineRule="auto"/>
        <w:ind w:firstLine="240" w:firstLineChars="100"/>
        <w:rPr>
          <w:rFonts w:hint="eastAsia" w:ascii="宋体" w:eastAsia="宋体" w:cs="宋体"/>
          <w:sz w:val="24"/>
        </w:rPr>
      </w:pPr>
      <w:r>
        <w:rPr>
          <w:rFonts w:hint="eastAsia" w:ascii="宋体" w:eastAsia="宋体" w:cs="宋体"/>
          <w:sz w:val="24"/>
        </w:rPr>
        <w:t>3、</w:t>
      </w:r>
      <w:r>
        <w:rPr>
          <w:rFonts w:ascii="宋体" w:eastAsia="宋体" w:cs="宋体"/>
          <w:sz w:val="24"/>
        </w:rPr>
        <w:t>招标人确定一名中标人。若中标人主动放弃中标资格、因不可抗力不能履行合同、未按约定提交履约保证金，或在过程中被查实存在影响中标结果的违法违规行为的，招标人可按照中标候选人名单排序依次递补中标人。</w:t>
      </w:r>
    </w:p>
    <w:p w14:paraId="39112FAA">
      <w:pPr>
        <w:spacing w:line="360" w:lineRule="auto"/>
        <w:ind w:firstLine="240" w:firstLineChars="100"/>
        <w:rPr>
          <w:rFonts w:ascii="宋体" w:eastAsia="宋体" w:cs="宋体"/>
          <w:sz w:val="24"/>
        </w:rPr>
      </w:pPr>
      <w:r>
        <w:rPr>
          <w:rFonts w:hint="eastAsia" w:ascii="宋体" w:eastAsia="宋体" w:cs="宋体"/>
          <w:sz w:val="24"/>
          <w:lang w:val="en-US" w:eastAsia="zh-CN"/>
        </w:rPr>
        <w:t>4、</w:t>
      </w:r>
      <w:r>
        <w:rPr>
          <w:rFonts w:ascii="宋体" w:eastAsia="宋体" w:cs="宋体"/>
          <w:sz w:val="24"/>
        </w:rPr>
        <w:t>对无正当理由放弃中标资格或存在虚假应标行为的，招标人将依据《供应商管理办法》对原中标人追究相应责任，并予以惩戒处理。</w:t>
      </w:r>
    </w:p>
    <w:p w14:paraId="6F3F25F8"/>
    <w:p w14:paraId="72CBC2EB">
      <w:pPr>
        <w:pStyle w:val="47"/>
        <w:rPr>
          <w:rFonts w:hint="eastAsia"/>
          <w:highlight w:val="red"/>
          <w:lang w:val="zh-CN"/>
        </w:rPr>
      </w:pPr>
    </w:p>
    <w:p w14:paraId="71223EEC">
      <w:pPr>
        <w:pStyle w:val="47"/>
        <w:rPr>
          <w:rFonts w:hint="eastAsia"/>
          <w:highlight w:val="red"/>
          <w:lang w:val="zh-CN"/>
        </w:rPr>
      </w:pPr>
    </w:p>
    <w:p w14:paraId="3C0EB3BF">
      <w:pPr>
        <w:rPr>
          <w:highlight w:val="red"/>
        </w:rPr>
        <w:sectPr>
          <w:pgSz w:w="11907" w:h="16840"/>
          <w:pgMar w:top="1440" w:right="1080" w:bottom="1440" w:left="1080" w:header="680" w:footer="964" w:gutter="0"/>
          <w:cols w:space="720" w:num="1"/>
          <w:docGrid w:linePitch="271" w:charSpace="0"/>
        </w:sectPr>
      </w:pPr>
    </w:p>
    <w:p w14:paraId="58E2FE9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宋体"/>
          <w:b/>
          <w:sz w:val="24"/>
        </w:rPr>
      </w:pPr>
      <w:bookmarkStart w:id="53" w:name="_Toc6826"/>
      <w:r>
        <w:rPr>
          <w:rFonts w:hint="eastAsia" w:ascii="宋体"/>
          <w:b/>
          <w:bCs/>
          <w:sz w:val="32"/>
          <w:szCs w:val="32"/>
        </w:rPr>
        <w:t>第四章 招标内容及要求</w:t>
      </w:r>
      <w:bookmarkEnd w:id="53"/>
    </w:p>
    <w:p w14:paraId="69A6C810">
      <w:pPr>
        <w:spacing w:line="400" w:lineRule="exact"/>
        <w:jc w:val="center"/>
        <w:rPr>
          <w:rFonts w:hint="eastAsia" w:ascii="宋体"/>
          <w:b/>
          <w:bCs/>
          <w:sz w:val="32"/>
          <w:szCs w:val="32"/>
        </w:rPr>
      </w:pPr>
    </w:p>
    <w:p w14:paraId="5672F0B4">
      <w:pPr>
        <w:pStyle w:val="29"/>
        <w:numPr>
          <w:numId w:val="0"/>
        </w:numPr>
        <w:ind w:leftChars="0"/>
        <w:rPr>
          <w:color w:val="auto"/>
        </w:rPr>
      </w:pPr>
      <w:r>
        <w:rPr>
          <w:rFonts w:hint="eastAsia"/>
          <w:color w:val="auto"/>
          <w:lang w:val="en-US" w:eastAsia="zh-CN"/>
        </w:rPr>
        <w:t>一、</w:t>
      </w:r>
      <w:r>
        <w:rPr>
          <w:color w:val="auto"/>
        </w:rPr>
        <w:t>项目内容：</w:t>
      </w:r>
    </w:p>
    <w:p w14:paraId="267172BC">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1、公用事业部</w:t>
      </w:r>
      <w:r>
        <w:rPr>
          <w:rFonts w:ascii="宋体" w:cs="宋体"/>
          <w:color w:val="auto"/>
          <w:sz w:val="24"/>
          <w:lang w:bidi="ar-SA"/>
        </w:rPr>
        <w:t>220kV主变、110kV主变、热电各机组主变、联络部变压器、厂用变压器及其附属一次、二次系统的安装、</w:t>
      </w:r>
      <w:r>
        <w:rPr>
          <w:rFonts w:hint="eastAsia" w:ascii="宋体" w:cs="宋体"/>
          <w:color w:val="auto"/>
          <w:sz w:val="24"/>
          <w:lang w:bidi="ar-SA"/>
        </w:rPr>
        <w:t>检维、试验、预试等工作。</w:t>
      </w:r>
    </w:p>
    <w:p w14:paraId="434A1DF8">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2、公用事业部所辖110kV及以上配电装置安装、检维、试验、预试等工作。</w:t>
      </w:r>
    </w:p>
    <w:p w14:paraId="061C4369">
      <w:pPr>
        <w:pStyle w:val="29"/>
        <w:ind w:left="0" w:leftChars="0" w:firstLine="0" w:firstLineChars="0"/>
        <w:rPr>
          <w:rFonts w:hint="eastAsia" w:ascii="宋体" w:cs="宋体"/>
          <w:color w:val="auto"/>
          <w:sz w:val="24"/>
          <w:lang w:bidi="ar-SA"/>
        </w:rPr>
      </w:pPr>
      <w:r>
        <w:rPr>
          <w:rFonts w:hint="eastAsia" w:ascii="宋体" w:cs="宋体"/>
          <w:color w:val="auto"/>
          <w:sz w:val="24"/>
          <w:lang w:bidi="ar-SA"/>
        </w:rPr>
        <w:t xml:space="preserve">    3、公用事业部所辖110kV及以上线路安装检维、试验等工作。</w:t>
      </w:r>
    </w:p>
    <w:p w14:paraId="2FF719E5">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4、电力通信系统各类网络（包括光纤、网线、交换机等）的保畅、维修、技改服务等工作。</w:t>
      </w:r>
    </w:p>
    <w:p w14:paraId="33239908">
      <w:pPr>
        <w:adjustRightInd w:val="0"/>
        <w:snapToGrid w:val="0"/>
        <w:spacing w:line="360" w:lineRule="auto"/>
        <w:ind w:firstLine="480" w:firstLineChars="200"/>
        <w:jc w:val="left"/>
        <w:rPr>
          <w:rFonts w:hint="eastAsia" w:ascii="宋体" w:cs="宋体"/>
          <w:color w:val="auto"/>
          <w:sz w:val="24"/>
          <w:lang w:bidi="ar-SA"/>
        </w:rPr>
      </w:pPr>
      <w:r>
        <w:rPr>
          <w:rFonts w:hint="eastAsia" w:ascii="宋体" w:cs="宋体"/>
          <w:color w:val="auto"/>
          <w:sz w:val="24"/>
          <w:lang w:bidi="ar-SA"/>
        </w:rPr>
        <w:t>5、电气事故抢修、电力电缆故障抢修，电缆敷设施工，电缆预试等工作。</w:t>
      </w:r>
    </w:p>
    <w:p w14:paraId="5284EDC9">
      <w:pPr>
        <w:adjustRightInd w:val="0"/>
        <w:snapToGrid w:val="0"/>
        <w:spacing w:line="360" w:lineRule="auto"/>
        <w:ind w:firstLine="480" w:firstLineChars="200"/>
        <w:jc w:val="left"/>
        <w:rPr>
          <w:rFonts w:hint="eastAsia" w:ascii="宋体" w:eastAsia="宋体" w:cs="宋体"/>
          <w:color w:val="auto"/>
          <w:sz w:val="24"/>
          <w:lang w:bidi="ar-SA"/>
        </w:rPr>
      </w:pPr>
      <w:r>
        <w:rPr>
          <w:rFonts w:hint="eastAsia" w:ascii="宋体" w:eastAsia="宋体" w:cs="宋体"/>
          <w:color w:val="auto"/>
          <w:sz w:val="24"/>
          <w:lang w:bidi="ar-SA"/>
        </w:rPr>
        <w:t>6、GIS配电装置，</w:t>
      </w:r>
      <w:r>
        <w:rPr>
          <w:rFonts w:ascii="宋体" w:eastAsia="宋体" w:cs="宋体"/>
          <w:color w:val="auto"/>
          <w:sz w:val="24"/>
          <w:lang w:bidi="ar-SA"/>
        </w:rPr>
        <w:t>35kV及以上</w:t>
      </w:r>
      <w:r>
        <w:rPr>
          <w:rFonts w:hint="eastAsia" w:ascii="宋体" w:eastAsia="宋体" w:cs="宋体"/>
          <w:color w:val="auto"/>
          <w:sz w:val="24"/>
          <w:lang w:bidi="ar-SA"/>
        </w:rPr>
        <w:t>高压开关柜等保护试验，高压预试等工作。</w:t>
      </w:r>
    </w:p>
    <w:p w14:paraId="72BB08D1">
      <w:pPr>
        <w:rPr>
          <w:rFonts w:ascii="Times New Roman" w:hAnsi="Times New Roman" w:eastAsia="宋体" w:cs="Times New Roman"/>
          <w:color w:val="auto"/>
          <w:kern w:val="2"/>
          <w:sz w:val="28"/>
          <w:szCs w:val="24"/>
          <w:lang w:val="en-US" w:eastAsia="zh-CN" w:bidi="ar-SA"/>
        </w:rPr>
      </w:pPr>
      <w:r>
        <w:rPr>
          <w:rFonts w:ascii="Times New Roman" w:hAnsi="Times New Roman" w:eastAsia="宋体" w:cs="Times New Roman"/>
          <w:color w:val="auto"/>
          <w:kern w:val="2"/>
          <w:sz w:val="28"/>
          <w:szCs w:val="24"/>
          <w:lang w:val="en-US" w:eastAsia="zh-CN" w:bidi="ar-SA"/>
        </w:rPr>
        <w:t>二、</w:t>
      </w:r>
      <w:r>
        <w:rPr>
          <w:rFonts w:hint="eastAsia" w:ascii="Times New Roman" w:hAnsi="Times New Roman" w:eastAsia="宋体" w:cs="Times New Roman"/>
          <w:color w:val="auto"/>
          <w:kern w:val="2"/>
          <w:sz w:val="28"/>
          <w:szCs w:val="24"/>
          <w:lang w:val="en-US" w:eastAsia="zh-CN" w:bidi="ar-SA"/>
        </w:rPr>
        <w:t>要求</w:t>
      </w:r>
    </w:p>
    <w:p w14:paraId="2E3BF384">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1、甲方应对乙方在施工现场的工作人员进行安全教育，明示危险源及紧急避险措施。乙方应严格遵守甲方的现场安全生产有关管理规定，采取必要的安全防护措施，消除事故隐患。甲方配合乙方做好必要的安全措施落实（一次设备拆搭头，现场安全措施和工作票签发等），满足施工条件。</w:t>
      </w:r>
    </w:p>
    <w:p w14:paraId="3DF693F8">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2、甲方具备施工条件前五个工作日，通知乙方，充分沟通工作计划，以利双方做好工作准备。施工工期由双方管理人员协商确定。</w:t>
      </w:r>
    </w:p>
    <w:p w14:paraId="425EEBC1">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3、甲方负责工程施工电源、安全措施落实、施工条件提前准备、工具和材料堆放场地协调工作。</w:t>
      </w:r>
    </w:p>
    <w:p w14:paraId="08927B87">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4、乙方按照甲方乙方按照甲方零星工程单内容，按时进场，按要求组织施工，遵照国家行业规范标准完成各项工作，确保工程进度、工程质量、施工安全。。</w:t>
      </w:r>
    </w:p>
    <w:p w14:paraId="7D13D09B">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5、乙方在甲方区域内施工，应遵守甲方的各项管理规定，服从甲方管理。</w:t>
      </w:r>
    </w:p>
    <w:p w14:paraId="388D5474">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6、进场前完成三级安全教育，按规定开具票证，办理许可手续后方可开工。</w:t>
      </w:r>
    </w:p>
    <w:p w14:paraId="1EE4336B">
      <w:pPr>
        <w:adjustRightInd w:val="0"/>
        <w:snapToGrid w:val="0"/>
        <w:spacing w:line="360" w:lineRule="auto"/>
        <w:ind w:left="0"/>
        <w:jc w:val="left"/>
        <w:rPr>
          <w:rFonts w:hint="eastAsia" w:ascii="宋体" w:cs="宋体"/>
          <w:color w:val="auto"/>
          <w:sz w:val="24"/>
          <w:lang w:bidi="ar-SA"/>
        </w:rPr>
      </w:pPr>
      <w:r>
        <w:rPr>
          <w:rFonts w:hint="eastAsia" w:ascii="宋体" w:cs="宋体"/>
          <w:color w:val="auto"/>
          <w:sz w:val="24"/>
          <w:lang w:bidi="ar-SA"/>
        </w:rPr>
        <w:t>7、事故或生产紧急需要时，乙方接到甲方通知，应立即响应，应承诺30分内到现场，并开展抢修工作。</w:t>
      </w:r>
    </w:p>
    <w:p w14:paraId="00ED3FE3">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eastAsia="zh-CN" w:bidi="ar-SA"/>
        </w:rPr>
        <w:t>8、乙方</w:t>
      </w:r>
      <w:r>
        <w:rPr>
          <w:rFonts w:hint="eastAsia" w:ascii="宋体" w:cs="宋体"/>
          <w:bCs/>
          <w:color w:val="auto"/>
          <w:sz w:val="24"/>
          <w:lang w:bidi="ar-SA"/>
        </w:rPr>
        <w:t>所提供维修服务中所采用的维修配件必须是原装合格全新产品、符合国家有关技术标准和规定，保证质量。</w:t>
      </w:r>
    </w:p>
    <w:p w14:paraId="66223C26">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eastAsia="zh-CN" w:bidi="ar-SA"/>
        </w:rPr>
        <w:t>9、成交</w:t>
      </w:r>
      <w:r>
        <w:rPr>
          <w:rFonts w:hint="eastAsia" w:ascii="宋体" w:cs="宋体"/>
          <w:bCs/>
          <w:color w:val="auto"/>
          <w:sz w:val="24"/>
          <w:lang w:bidi="ar-SA"/>
        </w:rPr>
        <w:t>单价一经确定合同期内不予变更，</w:t>
      </w:r>
      <w:r>
        <w:rPr>
          <w:rFonts w:hint="eastAsia" w:ascii="宋体" w:cs="宋体"/>
          <w:bCs/>
          <w:color w:val="auto"/>
          <w:sz w:val="24"/>
          <w:lang w:eastAsia="zh-CN" w:bidi="ar-SA"/>
        </w:rPr>
        <w:t>响应</w:t>
      </w:r>
      <w:r>
        <w:rPr>
          <w:rFonts w:hint="eastAsia" w:ascii="宋体" w:cs="宋体"/>
          <w:bCs/>
          <w:color w:val="auto"/>
          <w:sz w:val="24"/>
          <w:lang w:bidi="ar-SA"/>
        </w:rPr>
        <w:t>人须按照其在</w:t>
      </w:r>
      <w:r>
        <w:rPr>
          <w:rFonts w:hint="eastAsia" w:ascii="宋体" w:cs="宋体"/>
          <w:bCs/>
          <w:color w:val="auto"/>
          <w:sz w:val="24"/>
          <w:lang w:eastAsia="zh-CN" w:bidi="ar-SA"/>
        </w:rPr>
        <w:t>响应</w:t>
      </w:r>
      <w:r>
        <w:rPr>
          <w:rFonts w:hint="eastAsia" w:ascii="宋体" w:cs="宋体"/>
          <w:bCs/>
          <w:color w:val="auto"/>
          <w:sz w:val="24"/>
          <w:lang w:bidi="ar-SA"/>
        </w:rPr>
        <w:t>书中做出的服务承诺履行相关义务。</w:t>
      </w:r>
    </w:p>
    <w:p w14:paraId="65473EF6">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bidi="ar-SA"/>
        </w:rPr>
        <w:t>10、</w:t>
      </w:r>
      <w:r>
        <w:rPr>
          <w:rFonts w:hint="eastAsia" w:ascii="宋体" w:cs="宋体"/>
          <w:bCs/>
          <w:color w:val="auto"/>
          <w:sz w:val="24"/>
          <w:lang w:eastAsia="zh-CN" w:bidi="ar-SA"/>
        </w:rPr>
        <w:t>乙方</w:t>
      </w:r>
      <w:r>
        <w:rPr>
          <w:rFonts w:hint="eastAsia" w:ascii="宋体" w:cs="宋体"/>
          <w:bCs/>
          <w:color w:val="auto"/>
          <w:sz w:val="24"/>
          <w:lang w:bidi="ar-SA"/>
        </w:rPr>
        <w:t>在提供维修服务中必须确保</w:t>
      </w:r>
      <w:r>
        <w:rPr>
          <w:rFonts w:hint="eastAsia" w:ascii="宋体" w:cs="宋体"/>
          <w:bCs/>
          <w:color w:val="auto"/>
          <w:sz w:val="24"/>
          <w:lang w:eastAsia="zh-CN" w:bidi="ar-SA"/>
        </w:rPr>
        <w:t>甲方</w:t>
      </w:r>
      <w:r>
        <w:rPr>
          <w:rFonts w:hint="eastAsia" w:ascii="宋体" w:cs="宋体"/>
          <w:bCs/>
          <w:color w:val="auto"/>
          <w:sz w:val="24"/>
          <w:lang w:bidi="ar-SA"/>
        </w:rPr>
        <w:t>信息化设备中数据的安全，在维修过程中造成数据丢失或泄密的，由</w:t>
      </w:r>
      <w:r>
        <w:rPr>
          <w:rFonts w:hint="eastAsia" w:ascii="宋体" w:cs="宋体"/>
          <w:bCs/>
          <w:color w:val="auto"/>
          <w:sz w:val="24"/>
          <w:lang w:eastAsia="zh-CN" w:bidi="ar-SA"/>
        </w:rPr>
        <w:t>成交</w:t>
      </w:r>
      <w:r>
        <w:rPr>
          <w:rFonts w:hint="eastAsia" w:ascii="宋体" w:cs="宋体"/>
          <w:bCs/>
          <w:color w:val="auto"/>
          <w:sz w:val="24"/>
          <w:lang w:bidi="ar-SA"/>
        </w:rPr>
        <w:t>人承担全部责任。</w:t>
      </w:r>
    </w:p>
    <w:p w14:paraId="2137CE42">
      <w:pPr>
        <w:adjustRightInd w:val="0"/>
        <w:snapToGrid w:val="0"/>
        <w:spacing w:line="360" w:lineRule="auto"/>
        <w:ind w:left="0"/>
        <w:jc w:val="left"/>
        <w:rPr>
          <w:rFonts w:hint="eastAsia" w:ascii="宋体" w:cs="宋体"/>
          <w:bCs/>
          <w:color w:val="auto"/>
          <w:sz w:val="24"/>
          <w:lang w:bidi="ar-SA"/>
        </w:rPr>
      </w:pPr>
      <w:r>
        <w:rPr>
          <w:rFonts w:hint="eastAsia" w:ascii="宋体" w:cs="宋体"/>
          <w:color w:val="auto"/>
          <w:sz w:val="24"/>
          <w:lang w:bidi="ar-SA"/>
        </w:rPr>
        <w:t>11、对</w:t>
      </w:r>
      <w:r>
        <w:rPr>
          <w:rFonts w:hint="eastAsia" w:ascii="宋体" w:cs="宋体"/>
          <w:color w:val="auto"/>
          <w:sz w:val="24"/>
          <w:lang w:eastAsia="zh-CN" w:bidi="ar-SA"/>
        </w:rPr>
        <w:t>乙方</w:t>
      </w:r>
      <w:r>
        <w:rPr>
          <w:rFonts w:hint="eastAsia" w:ascii="宋体" w:cs="宋体"/>
          <w:color w:val="auto"/>
          <w:sz w:val="24"/>
          <w:lang w:bidi="ar-SA"/>
        </w:rPr>
        <w:t>维修的设备，</w:t>
      </w:r>
      <w:r>
        <w:rPr>
          <w:rFonts w:hint="eastAsia" w:ascii="宋体" w:cs="宋体"/>
          <w:color w:val="auto"/>
          <w:sz w:val="24"/>
          <w:lang w:eastAsia="zh-CN" w:bidi="ar-SA"/>
        </w:rPr>
        <w:t>甲方</w:t>
      </w:r>
      <w:r>
        <w:rPr>
          <w:rFonts w:hint="eastAsia" w:ascii="宋体" w:cs="宋体"/>
          <w:color w:val="auto"/>
          <w:sz w:val="24"/>
          <w:lang w:bidi="ar-SA"/>
        </w:rPr>
        <w:t>验收时发现不符合国家有关标准或经使用出现有关质量问题</w:t>
      </w:r>
      <w:r>
        <w:rPr>
          <w:rFonts w:hint="eastAsia" w:ascii="宋体" w:cs="宋体"/>
          <w:bCs/>
          <w:color w:val="auto"/>
          <w:sz w:val="24"/>
          <w:lang w:bidi="ar-SA"/>
        </w:rPr>
        <w:t>时，乙方必须及时来处理，甲方有权退回返修。造成甲方损失的，由乙方负责赔偿。</w:t>
      </w:r>
    </w:p>
    <w:p w14:paraId="6C8A6AC7">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bidi="ar-SA"/>
        </w:rPr>
        <w:t>12、 因乙方自身原因对作业过程中的一切可能发生或已经发生的包括但不限于人员伤亡，机具、车辆、设备、材料的遗失，与第三方的任何纠纷及其它任何施工事故由乙方负责，并承担因此而发生的全部费用、损失等。</w:t>
      </w:r>
    </w:p>
    <w:p w14:paraId="754AF124">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bidi="ar-SA"/>
        </w:rPr>
        <w:t>13、标的具体数量按实际维修量、工程量结算。</w:t>
      </w:r>
    </w:p>
    <w:p w14:paraId="51F91EB1">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bidi="ar-SA"/>
        </w:rPr>
        <w:t>14、其他服务承诺</w:t>
      </w:r>
    </w:p>
    <w:p w14:paraId="71127280">
      <w:pPr>
        <w:adjustRightInd w:val="0"/>
        <w:snapToGrid w:val="0"/>
        <w:spacing w:line="360" w:lineRule="auto"/>
        <w:ind w:left="0"/>
        <w:jc w:val="left"/>
        <w:rPr>
          <w:rFonts w:hint="eastAsia" w:ascii="宋体" w:cs="宋体"/>
          <w:bCs/>
          <w:color w:val="auto"/>
          <w:sz w:val="24"/>
          <w:lang w:bidi="ar-SA"/>
        </w:rPr>
      </w:pPr>
      <w:r>
        <w:rPr>
          <w:rFonts w:hint="eastAsia" w:ascii="宋体" w:cs="宋体"/>
          <w:bCs/>
          <w:color w:val="auto"/>
          <w:sz w:val="24"/>
          <w:lang w:bidi="ar-SA"/>
        </w:rPr>
        <w:t>以上为最低服务承诺要求，乙方必须满足，在此基础上可提供其他更多的服务承诺（如质保期等）。</w:t>
      </w:r>
    </w:p>
    <w:p w14:paraId="01E4CAC8">
      <w:pPr>
        <w:spacing w:line="400" w:lineRule="exact"/>
        <w:jc w:val="center"/>
        <w:rPr>
          <w:rFonts w:hint="eastAsia" w:ascii="宋体"/>
          <w:b/>
          <w:bCs/>
          <w:color w:val="auto"/>
          <w:sz w:val="32"/>
          <w:szCs w:val="32"/>
        </w:rPr>
      </w:pPr>
    </w:p>
    <w:p w14:paraId="1DAEF312">
      <w:pPr>
        <w:spacing w:line="400" w:lineRule="exact"/>
        <w:jc w:val="center"/>
        <w:rPr>
          <w:rFonts w:hint="eastAsia" w:ascii="宋体"/>
          <w:b/>
          <w:bCs/>
          <w:sz w:val="32"/>
          <w:szCs w:val="32"/>
        </w:rPr>
      </w:pPr>
    </w:p>
    <w:p w14:paraId="13CB3EDF">
      <w:pPr>
        <w:spacing w:line="400" w:lineRule="exact"/>
        <w:jc w:val="center"/>
        <w:rPr>
          <w:rFonts w:hint="eastAsia" w:ascii="宋体"/>
          <w:b/>
          <w:bCs/>
          <w:sz w:val="32"/>
          <w:szCs w:val="32"/>
        </w:rPr>
      </w:pPr>
    </w:p>
    <w:p w14:paraId="32822ABE">
      <w:pPr>
        <w:spacing w:line="400" w:lineRule="exact"/>
        <w:jc w:val="center"/>
        <w:rPr>
          <w:rFonts w:hint="eastAsia" w:ascii="宋体"/>
          <w:b/>
          <w:bCs/>
          <w:sz w:val="32"/>
          <w:szCs w:val="32"/>
        </w:rPr>
      </w:pPr>
    </w:p>
    <w:p w14:paraId="725E2A68">
      <w:pPr>
        <w:spacing w:line="400" w:lineRule="exact"/>
        <w:jc w:val="center"/>
        <w:rPr>
          <w:rFonts w:hint="eastAsia" w:ascii="宋体"/>
          <w:b/>
          <w:bCs/>
          <w:sz w:val="32"/>
          <w:szCs w:val="32"/>
        </w:rPr>
      </w:pPr>
    </w:p>
    <w:p w14:paraId="072F991B">
      <w:pPr>
        <w:spacing w:line="400" w:lineRule="exact"/>
        <w:jc w:val="center"/>
        <w:rPr>
          <w:rFonts w:hint="eastAsia" w:ascii="宋体"/>
          <w:b/>
          <w:bCs/>
          <w:sz w:val="32"/>
          <w:szCs w:val="32"/>
        </w:rPr>
      </w:pPr>
    </w:p>
    <w:p w14:paraId="11D82DCC">
      <w:pPr>
        <w:spacing w:line="400" w:lineRule="exact"/>
        <w:jc w:val="center"/>
        <w:rPr>
          <w:rFonts w:hint="eastAsia" w:ascii="宋体"/>
          <w:b/>
          <w:bCs/>
          <w:sz w:val="32"/>
          <w:szCs w:val="32"/>
        </w:rPr>
      </w:pPr>
    </w:p>
    <w:p w14:paraId="266A7BA9">
      <w:pPr>
        <w:spacing w:line="400" w:lineRule="exact"/>
        <w:jc w:val="center"/>
        <w:rPr>
          <w:rFonts w:hint="eastAsia" w:ascii="宋体"/>
          <w:b/>
          <w:bCs/>
          <w:sz w:val="32"/>
          <w:szCs w:val="32"/>
        </w:rPr>
      </w:pPr>
    </w:p>
    <w:p w14:paraId="6A56A2AE">
      <w:pPr>
        <w:spacing w:line="400" w:lineRule="exact"/>
        <w:jc w:val="center"/>
        <w:rPr>
          <w:rFonts w:hint="eastAsia" w:ascii="宋体"/>
          <w:b/>
          <w:bCs/>
          <w:sz w:val="32"/>
          <w:szCs w:val="32"/>
        </w:rPr>
      </w:pPr>
    </w:p>
    <w:p w14:paraId="51C90778">
      <w:pPr>
        <w:spacing w:line="400" w:lineRule="exact"/>
        <w:jc w:val="center"/>
        <w:rPr>
          <w:rFonts w:hint="eastAsia" w:ascii="宋体"/>
          <w:b/>
          <w:bCs/>
          <w:sz w:val="32"/>
          <w:szCs w:val="32"/>
        </w:rPr>
      </w:pPr>
    </w:p>
    <w:p w14:paraId="04E14029">
      <w:pPr>
        <w:spacing w:line="400" w:lineRule="exact"/>
        <w:jc w:val="center"/>
        <w:rPr>
          <w:rFonts w:hint="eastAsia" w:ascii="宋体"/>
          <w:b/>
          <w:bCs/>
          <w:sz w:val="32"/>
          <w:szCs w:val="32"/>
        </w:rPr>
      </w:pPr>
    </w:p>
    <w:p w14:paraId="082EE5CF">
      <w:pPr>
        <w:spacing w:line="400" w:lineRule="exact"/>
        <w:jc w:val="center"/>
        <w:rPr>
          <w:rFonts w:hint="eastAsia" w:ascii="宋体"/>
          <w:b/>
          <w:bCs/>
          <w:sz w:val="32"/>
          <w:szCs w:val="32"/>
        </w:rPr>
      </w:pPr>
    </w:p>
    <w:p w14:paraId="35F7AB93">
      <w:pPr>
        <w:spacing w:line="400" w:lineRule="exact"/>
        <w:jc w:val="center"/>
        <w:rPr>
          <w:rFonts w:hint="eastAsia" w:ascii="宋体"/>
          <w:b/>
          <w:bCs/>
          <w:sz w:val="32"/>
          <w:szCs w:val="32"/>
        </w:rPr>
      </w:pPr>
    </w:p>
    <w:p w14:paraId="0137F914">
      <w:pPr>
        <w:spacing w:line="400" w:lineRule="exact"/>
        <w:jc w:val="center"/>
        <w:rPr>
          <w:rFonts w:hint="eastAsia" w:ascii="宋体"/>
          <w:b/>
          <w:bCs/>
          <w:sz w:val="32"/>
          <w:szCs w:val="32"/>
        </w:rPr>
      </w:pPr>
    </w:p>
    <w:p w14:paraId="307128A3">
      <w:pPr>
        <w:spacing w:line="400" w:lineRule="exact"/>
        <w:jc w:val="center"/>
        <w:rPr>
          <w:rFonts w:hint="eastAsia" w:ascii="宋体"/>
          <w:b/>
          <w:bCs/>
          <w:sz w:val="32"/>
          <w:szCs w:val="32"/>
        </w:rPr>
      </w:pPr>
    </w:p>
    <w:p w14:paraId="6C449598">
      <w:pPr>
        <w:spacing w:line="400" w:lineRule="exact"/>
        <w:jc w:val="center"/>
        <w:rPr>
          <w:rFonts w:hint="eastAsia" w:ascii="宋体"/>
          <w:b/>
          <w:bCs/>
          <w:sz w:val="32"/>
          <w:szCs w:val="32"/>
        </w:rPr>
      </w:pPr>
    </w:p>
    <w:p w14:paraId="12DB0830">
      <w:pPr>
        <w:spacing w:line="400" w:lineRule="exact"/>
        <w:jc w:val="center"/>
        <w:rPr>
          <w:rFonts w:hint="eastAsia" w:ascii="宋体"/>
          <w:b/>
          <w:bCs/>
          <w:sz w:val="32"/>
          <w:szCs w:val="32"/>
        </w:rPr>
      </w:pPr>
    </w:p>
    <w:p w14:paraId="4EEB8AE5">
      <w:pPr>
        <w:spacing w:line="400" w:lineRule="exact"/>
        <w:jc w:val="center"/>
        <w:rPr>
          <w:rFonts w:hint="eastAsia" w:ascii="宋体"/>
          <w:b/>
          <w:bCs/>
          <w:sz w:val="32"/>
          <w:szCs w:val="32"/>
        </w:rPr>
      </w:pPr>
    </w:p>
    <w:p w14:paraId="3B8792FD">
      <w:pPr>
        <w:spacing w:line="400" w:lineRule="exact"/>
        <w:jc w:val="center"/>
        <w:rPr>
          <w:rFonts w:hint="eastAsia" w:ascii="宋体"/>
          <w:b/>
          <w:bCs/>
          <w:sz w:val="32"/>
          <w:szCs w:val="32"/>
        </w:rPr>
      </w:pPr>
    </w:p>
    <w:p w14:paraId="2DCDC46A">
      <w:pPr>
        <w:spacing w:line="400" w:lineRule="exact"/>
        <w:jc w:val="center"/>
        <w:rPr>
          <w:rFonts w:hint="eastAsia" w:ascii="宋体"/>
          <w:b/>
          <w:bCs/>
          <w:sz w:val="32"/>
          <w:szCs w:val="32"/>
        </w:rPr>
      </w:pPr>
    </w:p>
    <w:p w14:paraId="614B09EE">
      <w:pPr>
        <w:spacing w:line="360" w:lineRule="auto"/>
        <w:jc w:val="both"/>
        <w:rPr>
          <w:rFonts w:hint="eastAsia" w:ascii="宋体"/>
          <w:b/>
          <w:bCs/>
          <w:sz w:val="32"/>
          <w:szCs w:val="32"/>
          <w:highlight w:val="none"/>
        </w:rPr>
      </w:pPr>
    </w:p>
    <w:p w14:paraId="60A638FD">
      <w:pPr>
        <w:spacing w:line="360" w:lineRule="auto"/>
        <w:jc w:val="center"/>
        <w:rPr>
          <w:b/>
          <w:bCs/>
          <w:sz w:val="32"/>
          <w:highlight w:val="none"/>
        </w:rPr>
      </w:pPr>
      <w:r>
        <w:rPr>
          <w:rFonts w:hint="eastAsia" w:ascii="宋体"/>
          <w:b/>
          <w:bCs/>
          <w:sz w:val="32"/>
          <w:szCs w:val="32"/>
          <w:highlight w:val="none"/>
        </w:rPr>
        <w:t xml:space="preserve">第五章 </w:t>
      </w:r>
      <w:r>
        <w:rPr>
          <w:b/>
          <w:bCs/>
          <w:sz w:val="32"/>
          <w:highlight w:val="none"/>
        </w:rPr>
        <w:t>合同主要条款</w:t>
      </w:r>
    </w:p>
    <w:p w14:paraId="13D478D0">
      <w:pPr>
        <w:spacing w:line="360" w:lineRule="auto"/>
        <w:jc w:val="center"/>
        <w:rPr>
          <w:szCs w:val="21"/>
          <w:highlight w:val="none"/>
        </w:rPr>
      </w:pPr>
      <w:r>
        <w:rPr>
          <w:rFonts w:hint="eastAsia"/>
          <w:sz w:val="24"/>
          <w:highlight w:val="none"/>
        </w:rPr>
        <w:t>（最终以双方签字盖章的合同文本为准）</w:t>
      </w:r>
    </w:p>
    <w:p w14:paraId="07EC7D6E">
      <w:pPr>
        <w:spacing w:line="520" w:lineRule="exact"/>
        <w:jc w:val="center"/>
        <w:rPr>
          <w:b/>
          <w:sz w:val="32"/>
          <w:szCs w:val="32"/>
        </w:rPr>
      </w:pPr>
      <w:bookmarkStart w:id="54" w:name="_Toc17600"/>
      <w:r>
        <w:rPr>
          <w:rFonts w:hint="eastAsia"/>
          <w:sz w:val="24"/>
          <w:highlight w:val="none"/>
        </w:rPr>
        <w:t xml:space="preserve"> </w:t>
      </w:r>
      <w:r>
        <w:rPr>
          <w:rFonts w:hint="eastAsia" w:ascii="宋体" w:cs="宋体"/>
          <w:sz w:val="22"/>
          <w:szCs w:val="22"/>
          <w:highlight w:val="none"/>
        </w:rPr>
        <w:t xml:space="preserve"> </w:t>
      </w:r>
      <w:r>
        <w:rPr>
          <w:rFonts w:hint="eastAsia" w:ascii="楷体" w:eastAsia="楷体"/>
          <w:b/>
          <w:sz w:val="36"/>
          <w:szCs w:val="36"/>
        </w:rPr>
        <w:t>浙江巨化热电有限公司</w:t>
      </w:r>
      <w:r>
        <w:rPr>
          <w:b/>
          <w:sz w:val="32"/>
          <w:szCs w:val="32"/>
        </w:rPr>
        <w:t>110kV及以上电气设备检维修项目</w:t>
      </w:r>
    </w:p>
    <w:p w14:paraId="41DFD488">
      <w:pPr>
        <w:spacing w:line="520" w:lineRule="exact"/>
        <w:jc w:val="center"/>
      </w:pPr>
      <w:r>
        <w:rPr>
          <w:b/>
          <w:sz w:val="32"/>
          <w:szCs w:val="32"/>
        </w:rPr>
        <w:t>施工合同</w:t>
      </w:r>
    </w:p>
    <w:p w14:paraId="72E79B6D">
      <w:pPr>
        <w:adjustRightInd w:val="0"/>
        <w:snapToGrid w:val="0"/>
        <w:spacing w:line="360" w:lineRule="auto"/>
        <w:ind w:firstLine="480" w:firstLineChars="200"/>
        <w:rPr>
          <w:rFonts w:hint="eastAsia" w:ascii="宋体"/>
          <w:sz w:val="24"/>
          <w:szCs w:val="24"/>
        </w:rPr>
      </w:pPr>
      <w:r>
        <w:rPr>
          <w:rFonts w:hint="eastAsia" w:ascii="宋体"/>
          <w:sz w:val="24"/>
          <w:szCs w:val="24"/>
        </w:rPr>
        <w:t>甲乙双方就甲方</w:t>
      </w:r>
      <w:r>
        <w:rPr>
          <w:rFonts w:hint="eastAsia" w:ascii="宋体"/>
          <w:sz w:val="24"/>
          <w:szCs w:val="24"/>
          <w:lang w:val="en-US" w:eastAsia="zh-CN"/>
        </w:rPr>
        <w:t>的有关电仪设备零星委托相关事宜</w:t>
      </w:r>
      <w:r>
        <w:rPr>
          <w:rFonts w:hint="eastAsia" w:ascii="宋体"/>
          <w:sz w:val="24"/>
          <w:szCs w:val="24"/>
        </w:rPr>
        <w:t>，双方本着相互尊重、平等自愿、互惠互利的原则，经协商一致签订本合同，双方共同遵守。</w:t>
      </w:r>
    </w:p>
    <w:p w14:paraId="3B0E55EC">
      <w:pPr>
        <w:adjustRightInd w:val="0"/>
        <w:snapToGrid w:val="0"/>
        <w:spacing w:line="360" w:lineRule="auto"/>
        <w:ind w:firstLine="480" w:firstLineChars="200"/>
        <w:rPr>
          <w:rFonts w:hint="eastAsia" w:ascii="宋体"/>
          <w:sz w:val="24"/>
          <w:szCs w:val="24"/>
        </w:rPr>
      </w:pPr>
      <w:r>
        <w:rPr>
          <w:rFonts w:hint="eastAsia" w:ascii="宋体"/>
          <w:sz w:val="24"/>
          <w:szCs w:val="24"/>
        </w:rPr>
        <w:t>1、</w:t>
      </w:r>
      <w:r>
        <w:rPr>
          <w:rFonts w:hint="eastAsia" w:ascii="宋体"/>
          <w:sz w:val="24"/>
          <w:szCs w:val="24"/>
          <w:lang w:val="en-US" w:eastAsia="zh-CN"/>
        </w:rPr>
        <w:t>零星委托工作</w:t>
      </w:r>
      <w:r>
        <w:rPr>
          <w:rFonts w:hint="eastAsia" w:ascii="宋体" w:eastAsia="宋体" w:cs="仿宋_GB2312"/>
          <w:sz w:val="24"/>
          <w:szCs w:val="24"/>
          <w:lang w:bidi="ar-SA"/>
        </w:rPr>
        <w:t>内容及安全、质量、进度等要求：</w:t>
      </w:r>
    </w:p>
    <w:p w14:paraId="0B11994E">
      <w:pPr>
        <w:adjustRightInd w:val="0"/>
        <w:snapToGrid w:val="0"/>
        <w:spacing w:line="360" w:lineRule="auto"/>
        <w:ind w:firstLine="480" w:firstLineChars="200"/>
        <w:rPr>
          <w:rFonts w:hint="eastAsia" w:ascii="宋体"/>
          <w:sz w:val="24"/>
          <w:szCs w:val="24"/>
          <w:lang w:val="en-US" w:eastAsia="zh-CN"/>
        </w:rPr>
      </w:pPr>
      <w:r>
        <w:rPr>
          <w:rFonts w:hint="eastAsia" w:ascii="宋体"/>
          <w:sz w:val="24"/>
          <w:szCs w:val="24"/>
        </w:rPr>
        <w:t xml:space="preserve">1.1 </w:t>
      </w:r>
      <w:r>
        <w:rPr>
          <w:rFonts w:hint="eastAsia" w:ascii="宋体"/>
          <w:sz w:val="24"/>
          <w:szCs w:val="24"/>
          <w:lang w:val="en-US" w:eastAsia="zh-CN"/>
        </w:rPr>
        <w:t>零星委托的工作内容根据甲方出具的委托单确定</w:t>
      </w:r>
    </w:p>
    <w:p w14:paraId="63ABB5D1">
      <w:pPr>
        <w:adjustRightInd w:val="0"/>
        <w:snapToGrid w:val="0"/>
        <w:spacing w:line="360" w:lineRule="auto"/>
        <w:ind w:firstLine="480" w:firstLineChars="200"/>
        <w:rPr>
          <w:rFonts w:hint="eastAsia" w:ascii="宋体" w:eastAsia="宋体" w:cs="仿宋_GB2312"/>
          <w:sz w:val="24"/>
          <w:szCs w:val="24"/>
          <w:lang w:bidi="ar-SA"/>
        </w:rPr>
      </w:pPr>
      <w:r>
        <w:rPr>
          <w:rFonts w:hint="eastAsia" w:ascii="宋体"/>
          <w:sz w:val="24"/>
          <w:szCs w:val="24"/>
          <w:lang w:val="en-US" w:eastAsia="zh-CN"/>
        </w:rPr>
        <w:t xml:space="preserve">1.2 </w:t>
      </w:r>
      <w:r>
        <w:rPr>
          <w:rFonts w:hint="eastAsia" w:ascii="宋体" w:eastAsia="宋体" w:cs="仿宋_GB2312"/>
          <w:sz w:val="24"/>
          <w:szCs w:val="24"/>
          <w:lang w:bidi="ar-SA"/>
        </w:rPr>
        <w:t>甲方应对乙方在施工现场的工作人员进行安全教育，明示危险源及紧急避险措施。乙方应严格遵守甲方的现场安全生产有关管理规定，采取必要的安全防护措施，消除事故隐患。甲方配合乙方做好必要的安全措施落实（一次设备拆搭头，现场安全措施和工作票签发等），满足施工条件。</w:t>
      </w:r>
    </w:p>
    <w:p w14:paraId="625EC01A">
      <w:pPr>
        <w:adjustRightInd w:val="0"/>
        <w:snapToGrid w:val="0"/>
        <w:spacing w:line="360" w:lineRule="auto"/>
        <w:ind w:firstLine="480" w:firstLineChars="200"/>
        <w:rPr>
          <w:rFonts w:hint="eastAsia" w:ascii="宋体" w:eastAsia="宋体" w:cs="仿宋_GB2312"/>
          <w:sz w:val="24"/>
          <w:szCs w:val="24"/>
          <w:lang w:bidi="ar-SA"/>
        </w:rPr>
      </w:pPr>
      <w:r>
        <w:rPr>
          <w:rFonts w:hint="eastAsia" w:ascii="宋体" w:eastAsia="宋体" w:cs="仿宋_GB2312"/>
          <w:sz w:val="24"/>
          <w:szCs w:val="24"/>
          <w:lang w:val="en-US" w:eastAsia="zh-CN" w:bidi="ar-SA"/>
        </w:rPr>
        <w:t>1.3</w:t>
      </w:r>
      <w:r>
        <w:rPr>
          <w:rFonts w:hint="eastAsia" w:ascii="宋体" w:eastAsia="宋体" w:cs="仿宋_GB2312"/>
          <w:sz w:val="24"/>
          <w:szCs w:val="24"/>
          <w:lang w:bidi="ar-SA"/>
        </w:rPr>
        <w:t>乙方必须严格履行《国家电网公司电力安全工作规程（变电部分）》、DL/T596《电力设备预防性试验规程》、GB50150《电气装置安装工程电气设备交接试验标准》、《电缆线路施工及验收规范》、《电气装置安装工程施工及验收贵方》、GBJ233《110-500kV架空线路规范》等规范，发现问题及时与甲方沟通，</w:t>
      </w:r>
      <w:r>
        <w:rPr>
          <w:rFonts w:hint="eastAsia" w:ascii="宋体" w:eastAsia="宋体" w:cs="仿宋_GB2312"/>
          <w:sz w:val="24"/>
          <w:szCs w:val="24"/>
          <w:lang w:val="en-US" w:eastAsia="zh-CN" w:bidi="ar-SA"/>
        </w:rPr>
        <w:t>工作</w:t>
      </w:r>
      <w:r>
        <w:rPr>
          <w:rFonts w:hint="eastAsia" w:ascii="宋体" w:eastAsia="宋体" w:cs="仿宋_GB2312"/>
          <w:sz w:val="24"/>
          <w:szCs w:val="24"/>
          <w:lang w:bidi="ar-SA"/>
        </w:rPr>
        <w:t>结束后出具</w:t>
      </w:r>
      <w:r>
        <w:rPr>
          <w:rFonts w:hint="eastAsia" w:ascii="宋体" w:eastAsia="宋体" w:cs="仿宋_GB2312"/>
          <w:sz w:val="24"/>
          <w:szCs w:val="24"/>
          <w:lang w:val="en-US" w:eastAsia="zh-CN" w:bidi="ar-SA"/>
        </w:rPr>
        <w:t>相应</w:t>
      </w:r>
      <w:r>
        <w:rPr>
          <w:rFonts w:hint="eastAsia" w:ascii="宋体" w:eastAsia="宋体" w:cs="仿宋_GB2312"/>
          <w:sz w:val="24"/>
          <w:szCs w:val="24"/>
          <w:lang w:bidi="ar-SA"/>
        </w:rPr>
        <w:t>报告。</w:t>
      </w:r>
    </w:p>
    <w:p w14:paraId="1FECDC7D">
      <w:pPr>
        <w:adjustRightInd w:val="0"/>
        <w:snapToGrid w:val="0"/>
        <w:spacing w:line="360" w:lineRule="auto"/>
        <w:ind w:firstLine="480" w:firstLineChars="200"/>
        <w:rPr>
          <w:rFonts w:hint="eastAsia" w:ascii="宋体" w:eastAsia="宋体" w:cs="仿宋_GB2312"/>
          <w:sz w:val="24"/>
          <w:szCs w:val="24"/>
          <w:lang w:bidi="ar-SA"/>
        </w:rPr>
      </w:pPr>
      <w:r>
        <w:rPr>
          <w:rFonts w:hint="eastAsia" w:ascii="宋体" w:eastAsia="宋体" w:cs="仿宋_GB2312"/>
          <w:sz w:val="24"/>
          <w:szCs w:val="24"/>
          <w:lang w:val="en-US" w:eastAsia="zh-CN" w:bidi="ar-SA"/>
        </w:rPr>
        <w:t>1.4</w:t>
      </w:r>
      <w:r>
        <w:rPr>
          <w:rFonts w:hint="eastAsia" w:ascii="宋体" w:eastAsia="宋体" w:cs="仿宋_GB2312"/>
          <w:sz w:val="24"/>
          <w:szCs w:val="24"/>
          <w:lang w:bidi="ar-SA"/>
        </w:rPr>
        <w:t>甲方具备施工条件前五个工作日，通知乙方，充分沟通工作计划，以利双方做好工作准备。施工工期由双方管理人员协商确定。</w:t>
      </w:r>
    </w:p>
    <w:p w14:paraId="706FB580">
      <w:pPr>
        <w:adjustRightInd w:val="0"/>
        <w:snapToGrid w:val="0"/>
        <w:spacing w:line="360" w:lineRule="auto"/>
        <w:ind w:firstLine="480" w:firstLineChars="200"/>
        <w:rPr>
          <w:rFonts w:hint="eastAsia" w:ascii="宋体" w:eastAsia="宋体" w:cs="仿宋_GB2312"/>
          <w:sz w:val="24"/>
          <w:szCs w:val="24"/>
          <w:lang w:bidi="ar-SA"/>
        </w:rPr>
      </w:pPr>
      <w:r>
        <w:rPr>
          <w:rFonts w:hint="eastAsia" w:ascii="宋体" w:eastAsia="宋体" w:cs="仿宋_GB2312"/>
          <w:sz w:val="24"/>
          <w:szCs w:val="24"/>
          <w:lang w:val="en-US" w:eastAsia="zh-CN" w:bidi="ar-SA"/>
        </w:rPr>
        <w:t>1.5</w:t>
      </w:r>
      <w:r>
        <w:rPr>
          <w:rFonts w:hint="eastAsia" w:ascii="宋体" w:eastAsia="宋体" w:cs="仿宋_GB2312"/>
          <w:sz w:val="24"/>
          <w:szCs w:val="24"/>
          <w:lang w:bidi="ar-SA"/>
        </w:rPr>
        <w:t>甲方负责</w:t>
      </w:r>
      <w:r>
        <w:rPr>
          <w:rFonts w:hint="eastAsia" w:ascii="宋体" w:eastAsia="宋体" w:cs="仿宋_GB2312"/>
          <w:sz w:val="24"/>
          <w:szCs w:val="24"/>
          <w:lang w:val="en-US" w:eastAsia="zh-CN" w:bidi="ar-SA"/>
        </w:rPr>
        <w:t>乙方在工作期间所需的</w:t>
      </w:r>
      <w:r>
        <w:rPr>
          <w:rFonts w:hint="eastAsia" w:ascii="宋体" w:eastAsia="宋体" w:cs="仿宋_GB2312"/>
          <w:sz w:val="24"/>
          <w:szCs w:val="24"/>
          <w:lang w:bidi="ar-SA"/>
        </w:rPr>
        <w:t>施工电源、安全措施落实、施工条件提前准备、工具和材料堆放场地协调工作，乙方负责施工，确保</w:t>
      </w:r>
      <w:r>
        <w:rPr>
          <w:rFonts w:hint="eastAsia" w:ascii="宋体" w:eastAsia="宋体" w:cs="仿宋_GB2312"/>
          <w:sz w:val="24"/>
          <w:szCs w:val="24"/>
          <w:lang w:val="en-US" w:eastAsia="zh-CN" w:bidi="ar-SA"/>
        </w:rPr>
        <w:t>工作</w:t>
      </w:r>
      <w:r>
        <w:rPr>
          <w:rFonts w:hint="eastAsia" w:ascii="宋体" w:eastAsia="宋体" w:cs="仿宋_GB2312"/>
          <w:sz w:val="24"/>
          <w:szCs w:val="24"/>
          <w:lang w:bidi="ar-SA"/>
        </w:rPr>
        <w:t>进度、</w:t>
      </w:r>
      <w:r>
        <w:rPr>
          <w:rFonts w:hint="eastAsia" w:ascii="宋体" w:eastAsia="宋体" w:cs="仿宋_GB2312"/>
          <w:sz w:val="24"/>
          <w:szCs w:val="24"/>
          <w:lang w:val="en-US" w:eastAsia="zh-CN" w:bidi="ar-SA"/>
        </w:rPr>
        <w:t>工作</w:t>
      </w:r>
      <w:r>
        <w:rPr>
          <w:rFonts w:hint="eastAsia" w:ascii="宋体" w:eastAsia="宋体" w:cs="仿宋_GB2312"/>
          <w:sz w:val="24"/>
          <w:szCs w:val="24"/>
          <w:lang w:bidi="ar-SA"/>
        </w:rPr>
        <w:t>质量、施工安全。</w:t>
      </w:r>
    </w:p>
    <w:p w14:paraId="3B3E4012">
      <w:pPr>
        <w:adjustRightInd w:val="0"/>
        <w:snapToGrid w:val="0"/>
        <w:spacing w:line="360" w:lineRule="auto"/>
        <w:ind w:firstLine="480" w:firstLineChars="200"/>
        <w:rPr>
          <w:rFonts w:hint="eastAsia" w:ascii="宋体"/>
          <w:sz w:val="24"/>
          <w:szCs w:val="24"/>
        </w:rPr>
      </w:pPr>
      <w:r>
        <w:rPr>
          <w:rFonts w:hint="eastAsia" w:ascii="宋体" w:eastAsia="宋体" w:cs="仿宋_GB2312"/>
          <w:sz w:val="24"/>
          <w:szCs w:val="24"/>
          <w:lang w:val="en-US" w:eastAsia="zh-CN" w:bidi="ar-SA"/>
        </w:rPr>
        <w:t>1.6</w:t>
      </w:r>
      <w:r>
        <w:rPr>
          <w:rFonts w:hint="eastAsia" w:ascii="宋体" w:eastAsia="宋体" w:cs="仿宋_GB2312"/>
          <w:sz w:val="24"/>
          <w:szCs w:val="24"/>
          <w:lang w:bidi="ar-SA"/>
        </w:rPr>
        <w:t>因乙方自身原因对作业过程中的一切可能发生或已经发生的包括但不限于人员伤亡，机具、车辆、设备、材料的遗失，与第三方的任何纠纷及其它任何施工事故由乙方负责，并承担因此而发生的全部费用、损失等。</w:t>
      </w:r>
    </w:p>
    <w:p w14:paraId="3A359A44">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bidi="ar-SA"/>
        </w:rPr>
        <w:t>2 结算方式</w:t>
      </w:r>
    </w:p>
    <w:p w14:paraId="16715820">
      <w:pPr>
        <w:numPr>
          <w:ilvl w:val="0"/>
          <w:numId w:val="5"/>
        </w:numPr>
        <w:adjustRightInd w:val="0"/>
        <w:snapToGrid w:val="0"/>
        <w:spacing w:line="360" w:lineRule="auto"/>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工程价款：结算时按实际发生结算</w:t>
      </w:r>
      <w:r>
        <w:rPr>
          <w:rFonts w:ascii="宋体" w:cs="仿宋_GB2312"/>
          <w:color w:val="auto"/>
          <w:sz w:val="24"/>
          <w:szCs w:val="24"/>
          <w:highlight w:val="none"/>
          <w:lang w:bidi="ar-SA"/>
        </w:rPr>
        <w:t>，暂估含税金额：伍拾万元/年</w:t>
      </w:r>
      <w:r>
        <w:rPr>
          <w:rFonts w:hint="eastAsia" w:ascii="宋体" w:cs="仿宋_GB2312"/>
          <w:color w:val="auto"/>
          <w:sz w:val="24"/>
          <w:szCs w:val="24"/>
          <w:highlight w:val="none"/>
          <w:lang w:bidi="ar-SA"/>
        </w:rPr>
        <w:t>。</w:t>
      </w:r>
    </w:p>
    <w:p w14:paraId="6CB2D8C1">
      <w:pPr>
        <w:adjustRightInd w:val="0"/>
        <w:snapToGrid w:val="0"/>
        <w:spacing w:line="360" w:lineRule="auto"/>
        <w:ind w:firstLine="480" w:firstLineChars="200"/>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2、定额采用及取费标准：</w:t>
      </w:r>
    </w:p>
    <w:p w14:paraId="1796F98B">
      <w:pPr>
        <w:adjustRightInd w:val="0"/>
        <w:snapToGrid w:val="0"/>
        <w:spacing w:line="360" w:lineRule="auto"/>
        <w:ind w:firstLine="480" w:firstLineChars="200"/>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1）定额采用：</w:t>
      </w:r>
      <w:r>
        <w:rPr>
          <w:rFonts w:hint="eastAsia" w:ascii="宋体" w:cs="仿宋_GB2312"/>
          <w:color w:val="auto"/>
          <w:sz w:val="24"/>
          <w:szCs w:val="24"/>
          <w:highlight w:val="none"/>
          <w:lang w:val="en-US" w:eastAsia="zh-CN" w:bidi="ar-SA"/>
        </w:rPr>
        <w:t>计算</w:t>
      </w:r>
      <w:r>
        <w:rPr>
          <w:rFonts w:hint="eastAsia" w:ascii="宋体" w:cs="仿宋_GB2312"/>
          <w:color w:val="auto"/>
          <w:sz w:val="24"/>
          <w:szCs w:val="24"/>
          <w:highlight w:val="none"/>
          <w:lang w:bidi="ar-SA"/>
        </w:rPr>
        <w:t>定额采用《电网技术改造工程</w:t>
      </w:r>
      <w:r>
        <w:rPr>
          <w:rFonts w:hint="eastAsia" w:ascii="宋体" w:cs="仿宋_GB2312"/>
          <w:color w:val="auto"/>
          <w:sz w:val="24"/>
          <w:szCs w:val="24"/>
          <w:highlight w:val="none"/>
          <w:lang w:val="en-US" w:eastAsia="zh-CN" w:bidi="ar-SA"/>
        </w:rPr>
        <w:t>预算定额2020年版</w:t>
      </w:r>
      <w:r>
        <w:rPr>
          <w:rFonts w:hint="eastAsia" w:ascii="宋体" w:cs="仿宋_GB2312"/>
          <w:color w:val="auto"/>
          <w:sz w:val="24"/>
          <w:szCs w:val="24"/>
          <w:highlight w:val="none"/>
          <w:lang w:bidi="ar-SA"/>
        </w:rPr>
        <w:t>》和《电网检修工程</w:t>
      </w:r>
      <w:r>
        <w:rPr>
          <w:rFonts w:hint="eastAsia" w:ascii="宋体" w:cs="仿宋_GB2312"/>
          <w:color w:val="auto"/>
          <w:sz w:val="24"/>
          <w:szCs w:val="24"/>
          <w:highlight w:val="none"/>
          <w:lang w:val="en-US" w:eastAsia="zh-CN" w:bidi="ar-SA"/>
        </w:rPr>
        <w:t>预算定额2020年版</w:t>
      </w:r>
      <w:r>
        <w:rPr>
          <w:rFonts w:hint="eastAsia" w:ascii="宋体" w:cs="仿宋_GB2312"/>
          <w:color w:val="auto"/>
          <w:sz w:val="24"/>
          <w:szCs w:val="24"/>
          <w:highlight w:val="none"/>
          <w:lang w:bidi="ar-SA"/>
        </w:rPr>
        <w:t>》</w:t>
      </w:r>
      <w:r>
        <w:rPr>
          <w:rFonts w:hint="eastAsia" w:ascii="宋体" w:cs="仿宋_GB2312"/>
          <w:color w:val="auto"/>
          <w:sz w:val="24"/>
          <w:szCs w:val="24"/>
          <w:highlight w:val="none"/>
          <w:lang w:val="en-US" w:eastAsia="zh-CN" w:bidi="ar-SA"/>
        </w:rPr>
        <w:t>以及《电网拆除工程预算定额2020年版》</w:t>
      </w:r>
      <w:r>
        <w:rPr>
          <w:rFonts w:hint="eastAsia" w:ascii="宋体" w:cs="仿宋_GB2312"/>
          <w:color w:val="auto"/>
          <w:sz w:val="24"/>
          <w:szCs w:val="24"/>
          <w:highlight w:val="none"/>
          <w:lang w:bidi="ar-SA"/>
        </w:rPr>
        <w:t>等计价,</w:t>
      </w:r>
      <w:r>
        <w:rPr>
          <w:rFonts w:hint="eastAsia" w:ascii="宋体" w:cs="仿宋_GB2312"/>
          <w:color w:val="auto"/>
          <w:sz w:val="24"/>
          <w:szCs w:val="24"/>
          <w:highlight w:val="none"/>
          <w:lang w:val="en-US" w:eastAsia="zh-CN" w:bidi="ar-SA"/>
        </w:rPr>
        <w:t>结算率</w:t>
      </w:r>
      <w:r>
        <w:rPr>
          <w:rFonts w:hint="eastAsia" w:ascii="宋体" w:cs="仿宋_GB2312"/>
          <w:color w:val="auto"/>
          <w:sz w:val="24"/>
          <w:szCs w:val="24"/>
          <w:highlight w:val="none"/>
          <w:lang w:bidi="ar-SA"/>
        </w:rPr>
        <w:t xml:space="preserve">    %。</w:t>
      </w:r>
    </w:p>
    <w:p w14:paraId="7584AFFF">
      <w:pPr>
        <w:adjustRightInd w:val="0"/>
        <w:snapToGrid w:val="0"/>
        <w:spacing w:line="360" w:lineRule="auto"/>
        <w:ind w:firstLine="480" w:firstLineChars="200"/>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2）施工组织措施费(提前竣工增加费、优质工程增加费不计取)按规定的下限计取，其中安全文明施工费按非市区工程中限计取，专款专用不下浮，企业管理费、利润费率按规定三类的下限计取，规费、税金按9%规定计取。危险作业意外伤害保险费按规定计取。</w:t>
      </w:r>
    </w:p>
    <w:p w14:paraId="65A05351">
      <w:pPr>
        <w:adjustRightInd w:val="0"/>
        <w:snapToGrid w:val="0"/>
        <w:spacing w:line="360" w:lineRule="auto"/>
        <w:ind w:firstLine="480" w:firstLineChars="200"/>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3）人工价差：按施工期间《衢州造价信息》人工市场平均单价计取与定额人工的价差，价差只计税不取费。</w:t>
      </w:r>
    </w:p>
    <w:p w14:paraId="38390193">
      <w:pPr>
        <w:adjustRightInd w:val="0"/>
        <w:snapToGrid w:val="0"/>
        <w:spacing w:line="360" w:lineRule="auto"/>
        <w:ind w:left="-360" w:firstLine="780"/>
        <w:rPr>
          <w:rFonts w:hint="eastAsia" w:ascii="宋体" w:cs="仿宋_GB2312"/>
          <w:color w:val="auto"/>
          <w:sz w:val="24"/>
          <w:szCs w:val="24"/>
          <w:highlight w:val="none"/>
          <w:lang w:bidi="ar-SA"/>
        </w:rPr>
      </w:pPr>
      <w:r>
        <w:rPr>
          <w:rFonts w:hint="eastAsia" w:ascii="宋体" w:cs="仿宋_GB2312"/>
          <w:color w:val="auto"/>
          <w:sz w:val="24"/>
          <w:szCs w:val="24"/>
          <w:highlight w:val="none"/>
          <w:lang w:bidi="ar-SA"/>
        </w:rPr>
        <w:t>4）零星人工原则上按技术工</w:t>
      </w:r>
      <w:r>
        <w:rPr>
          <w:rFonts w:ascii="宋体" w:cs="仿宋_GB2312"/>
          <w:color w:val="auto"/>
          <w:sz w:val="24"/>
          <w:szCs w:val="24"/>
          <w:highlight w:val="none"/>
          <w:lang w:val="en-US" w:eastAsia="zh-CN" w:bidi="ar-SA"/>
        </w:rPr>
        <w:t>5</w:t>
      </w:r>
      <w:r>
        <w:rPr>
          <w:rFonts w:hint="eastAsia" w:ascii="宋体" w:cs="仿宋_GB2312"/>
          <w:color w:val="auto"/>
          <w:sz w:val="24"/>
          <w:szCs w:val="24"/>
          <w:highlight w:val="none"/>
          <w:lang w:val="en-US" w:eastAsia="zh-CN" w:bidi="ar-SA"/>
        </w:rPr>
        <w:t>00</w:t>
      </w:r>
      <w:r>
        <w:rPr>
          <w:rFonts w:hint="eastAsia" w:ascii="宋体" w:cs="仿宋_GB2312"/>
          <w:color w:val="auto"/>
          <w:sz w:val="24"/>
          <w:szCs w:val="24"/>
          <w:highlight w:val="none"/>
          <w:lang w:bidi="ar-SA"/>
        </w:rPr>
        <w:t>元/天、普工</w:t>
      </w:r>
      <w:r>
        <w:rPr>
          <w:rFonts w:ascii="宋体" w:cs="仿宋_GB2312"/>
          <w:color w:val="auto"/>
          <w:sz w:val="24"/>
          <w:szCs w:val="24"/>
          <w:highlight w:val="none"/>
          <w:lang w:bidi="ar-SA"/>
        </w:rPr>
        <w:t>3</w:t>
      </w:r>
      <w:r>
        <w:rPr>
          <w:rFonts w:hint="eastAsia" w:ascii="宋体" w:cs="仿宋_GB2312"/>
          <w:color w:val="auto"/>
          <w:sz w:val="24"/>
          <w:szCs w:val="24"/>
          <w:highlight w:val="none"/>
          <w:lang w:bidi="ar-SA"/>
        </w:rPr>
        <w:t>00元/天计（不计税费，不下浮）。</w:t>
      </w:r>
    </w:p>
    <w:p w14:paraId="760515A0">
      <w:pPr>
        <w:adjustRightInd w:val="0"/>
        <w:snapToGrid w:val="0"/>
        <w:spacing w:line="360" w:lineRule="auto"/>
        <w:ind w:firstLine="480" w:firstLineChars="200"/>
        <w:rPr>
          <w:rFonts w:hint="eastAsia" w:ascii="宋体" w:cs="仿宋_GB2312"/>
          <w:color w:val="auto"/>
          <w:sz w:val="24"/>
          <w:szCs w:val="24"/>
          <w:lang w:bidi="ar-SA"/>
        </w:rPr>
      </w:pPr>
      <w:r>
        <w:rPr>
          <w:rFonts w:hint="eastAsia" w:ascii="宋体" w:cs="仿宋_GB2312"/>
          <w:color w:val="auto"/>
          <w:sz w:val="24"/>
          <w:szCs w:val="24"/>
          <w:highlight w:val="none"/>
          <w:lang w:bidi="ar-SA"/>
        </w:rPr>
        <w:t>5）材料供应：材料乙供。材料价格按施工期间《衢州造价信息》、《浙江造价信息》信息平均价计取，无信息价的材料其规格、型号、价格在使用前需经甲方书面</w:t>
      </w:r>
      <w:r>
        <w:rPr>
          <w:rFonts w:hint="eastAsia" w:ascii="宋体" w:cs="仿宋_GB2312"/>
          <w:color w:val="auto"/>
          <w:sz w:val="24"/>
          <w:szCs w:val="24"/>
          <w:lang w:bidi="ar-SA"/>
        </w:rPr>
        <w:t>确认后方可用于工程，并按确认的价格进入结算，未按程序确认的无价材料，以甲方自定价格进入结算。</w:t>
      </w:r>
    </w:p>
    <w:p w14:paraId="7D2A9C15">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color w:val="auto"/>
          <w:sz w:val="24"/>
          <w:szCs w:val="24"/>
          <w:lang w:bidi="ar-SA"/>
        </w:rPr>
        <w:t>6）如遇施工期间人工、材料价格因政策性调整的，则物价波动</w:t>
      </w:r>
      <w:r>
        <w:rPr>
          <w:rFonts w:hint="eastAsia" w:ascii="宋体" w:cs="仿宋_GB2312"/>
          <w:sz w:val="24"/>
          <w:szCs w:val="24"/>
          <w:lang w:bidi="ar-SA"/>
        </w:rPr>
        <w:t>引起的价格调整方法按衢住建建〔2012〕127 号文执行。</w:t>
      </w:r>
    </w:p>
    <w:p w14:paraId="654F4501">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bidi="ar-SA"/>
        </w:rPr>
        <w:t>7）施工用水电费按结算总价的 0.9%扣除（单列费用除外）。</w:t>
      </w:r>
    </w:p>
    <w:p w14:paraId="46EF3634">
      <w:pPr>
        <w:pBdr>
          <w:top w:val="none" w:color="auto" w:sz="0" w:space="0"/>
          <w:left w:val="none" w:color="auto" w:sz="0" w:space="0"/>
          <w:bottom w:val="none" w:color="auto" w:sz="0" w:space="0"/>
          <w:right w:val="none" w:color="auto" w:sz="0" w:space="0"/>
        </w:pBdr>
        <w:spacing w:line="85" w:lineRule="atLeast"/>
        <w:ind w:left="0" w:firstLine="0"/>
        <w:rPr>
          <w:rFonts w:hint="eastAsia" w:ascii="宋体" w:cs="仿宋_GB2312"/>
          <w:sz w:val="24"/>
          <w:szCs w:val="24"/>
          <w:lang w:bidi="ar-SA"/>
        </w:rPr>
      </w:pPr>
      <w:r>
        <w:rPr>
          <w:rFonts w:hint="eastAsia" w:ascii="宋体" w:cs="仿宋_GB2312"/>
          <w:sz w:val="24"/>
          <w:szCs w:val="24"/>
          <w:lang w:bidi="ar-SA"/>
        </w:rPr>
        <w:t>8）施工过程中如使用起重汽车吊机，吊机台班执行设备技术科 202</w:t>
      </w:r>
      <w:r>
        <w:rPr>
          <w:rFonts w:ascii="宋体" w:cs="仿宋_GB2312"/>
          <w:sz w:val="24"/>
          <w:szCs w:val="24"/>
          <w:lang w:bidi="ar-SA"/>
        </w:rPr>
        <w:t>4</w:t>
      </w:r>
      <w:r>
        <w:rPr>
          <w:rFonts w:hint="eastAsia" w:ascii="宋体" w:cs="仿宋_GB2312"/>
          <w:sz w:val="24"/>
          <w:szCs w:val="24"/>
          <w:lang w:bidi="ar-SA"/>
        </w:rPr>
        <w:t>年合同价格结算</w:t>
      </w:r>
    </w:p>
    <w:p w14:paraId="744E5A6C">
      <w:pPr>
        <w:adjustRightInd w:val="0"/>
        <w:snapToGrid w:val="0"/>
        <w:spacing w:line="360" w:lineRule="auto"/>
        <w:rPr>
          <w:rFonts w:hint="eastAsia" w:ascii="宋体" w:cs="仿宋_GB2312"/>
          <w:sz w:val="24"/>
          <w:szCs w:val="24"/>
          <w:highlight w:val="none"/>
          <w:lang w:bidi="ar-SA"/>
        </w:rPr>
      </w:pPr>
    </w:p>
    <w:tbl>
      <w:tblPr>
        <w:tblStyle w:val="30"/>
        <w:tblpPr w:leftFromText="180" w:rightFromText="180" w:vertAnchor="text" w:horzAnchor="page" w:tblpX="2759" w:tblpY="-68"/>
        <w:tblOverlap w:val="never"/>
        <w:tblW w:w="73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717"/>
        <w:gridCol w:w="724"/>
        <w:gridCol w:w="939"/>
        <w:gridCol w:w="939"/>
        <w:gridCol w:w="939"/>
        <w:gridCol w:w="939"/>
        <w:gridCol w:w="939"/>
      </w:tblGrid>
      <w:tr w14:paraId="6891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190" w:type="dxa"/>
            <w:tcBorders>
              <w:top w:val="single" w:color="auto" w:sz="4" w:space="0"/>
              <w:left w:val="single" w:color="auto" w:sz="4" w:space="0"/>
              <w:bottom w:val="single" w:color="auto" w:sz="4" w:space="0"/>
              <w:right w:val="single" w:color="auto" w:sz="4" w:space="0"/>
            </w:tcBorders>
            <w:noWrap/>
          </w:tcPr>
          <w:p w14:paraId="4B1299B0">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吊机吨位</w:t>
            </w:r>
          </w:p>
        </w:tc>
        <w:tc>
          <w:tcPr>
            <w:tcW w:w="717" w:type="dxa"/>
            <w:tcBorders>
              <w:top w:val="single" w:color="auto" w:sz="4" w:space="0"/>
              <w:left w:val="single" w:color="auto" w:sz="4" w:space="0"/>
              <w:bottom w:val="single" w:color="auto" w:sz="4" w:space="0"/>
              <w:right w:val="single" w:color="auto" w:sz="4" w:space="0"/>
            </w:tcBorders>
            <w:noWrap/>
          </w:tcPr>
          <w:p w14:paraId="2B5264E8">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8T</w:t>
            </w:r>
          </w:p>
        </w:tc>
        <w:tc>
          <w:tcPr>
            <w:tcW w:w="724" w:type="dxa"/>
            <w:tcBorders>
              <w:top w:val="single" w:color="auto" w:sz="4" w:space="0"/>
              <w:left w:val="single" w:color="auto" w:sz="4" w:space="0"/>
              <w:bottom w:val="single" w:color="auto" w:sz="4" w:space="0"/>
              <w:right w:val="single" w:color="auto" w:sz="4" w:space="0"/>
            </w:tcBorders>
            <w:noWrap/>
          </w:tcPr>
          <w:p w14:paraId="369EAE93">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16T</w:t>
            </w:r>
          </w:p>
        </w:tc>
        <w:tc>
          <w:tcPr>
            <w:tcW w:w="939" w:type="dxa"/>
            <w:tcBorders>
              <w:top w:val="single" w:color="auto" w:sz="4" w:space="0"/>
              <w:left w:val="single" w:color="auto" w:sz="4" w:space="0"/>
              <w:bottom w:val="single" w:color="auto" w:sz="4" w:space="0"/>
              <w:right w:val="single" w:color="auto" w:sz="4" w:space="0"/>
            </w:tcBorders>
            <w:noWrap/>
          </w:tcPr>
          <w:p w14:paraId="7202CA48">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25T</w:t>
            </w:r>
          </w:p>
        </w:tc>
        <w:tc>
          <w:tcPr>
            <w:tcW w:w="939" w:type="dxa"/>
            <w:tcBorders>
              <w:top w:val="single" w:color="auto" w:sz="4" w:space="0"/>
              <w:left w:val="single" w:color="auto" w:sz="4" w:space="0"/>
              <w:bottom w:val="single" w:color="auto" w:sz="4" w:space="0"/>
              <w:right w:val="single" w:color="auto" w:sz="4" w:space="0"/>
            </w:tcBorders>
            <w:noWrap/>
          </w:tcPr>
          <w:p w14:paraId="4D6F5FAF">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50T</w:t>
            </w:r>
          </w:p>
        </w:tc>
        <w:tc>
          <w:tcPr>
            <w:tcW w:w="939" w:type="dxa"/>
            <w:tcBorders>
              <w:top w:val="single" w:color="auto" w:sz="4" w:space="0"/>
              <w:left w:val="single" w:color="auto" w:sz="4" w:space="0"/>
              <w:bottom w:val="single" w:color="auto" w:sz="4" w:space="0"/>
              <w:right w:val="single" w:color="auto" w:sz="4" w:space="0"/>
            </w:tcBorders>
            <w:noWrap/>
          </w:tcPr>
          <w:p w14:paraId="12226AA5">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80T</w:t>
            </w:r>
          </w:p>
        </w:tc>
        <w:tc>
          <w:tcPr>
            <w:tcW w:w="939" w:type="dxa"/>
            <w:tcBorders>
              <w:top w:val="single" w:color="auto" w:sz="4" w:space="0"/>
              <w:left w:val="single" w:color="auto" w:sz="4" w:space="0"/>
              <w:bottom w:val="single" w:color="auto" w:sz="4" w:space="0"/>
              <w:right w:val="single" w:color="auto" w:sz="4" w:space="0"/>
            </w:tcBorders>
            <w:noWrap/>
          </w:tcPr>
          <w:p w14:paraId="058C8B86">
            <w:pPr>
              <w:adjustRightInd w:val="0"/>
              <w:snapToGrid w:val="0"/>
              <w:spacing w:line="360" w:lineRule="auto"/>
              <w:ind w:left="0"/>
              <w:rPr>
                <w:rFonts w:hint="eastAsia" w:ascii="宋体" w:cs="仿宋_GB2312"/>
                <w:sz w:val="24"/>
                <w:szCs w:val="24"/>
                <w:highlight w:val="none"/>
                <w:lang w:bidi="ar-SA"/>
              </w:rPr>
            </w:pPr>
            <w:r>
              <w:rPr>
                <w:rFonts w:ascii="宋体" w:cs="仿宋_GB2312"/>
                <w:sz w:val="24"/>
                <w:szCs w:val="24"/>
                <w:highlight w:val="none"/>
                <w:lang w:bidi="ar-SA"/>
              </w:rPr>
              <w:t>其他</w:t>
            </w:r>
          </w:p>
        </w:tc>
        <w:tc>
          <w:tcPr>
            <w:tcW w:w="939" w:type="dxa"/>
            <w:tcBorders>
              <w:top w:val="single" w:color="auto" w:sz="4" w:space="0"/>
              <w:left w:val="single" w:color="auto" w:sz="4" w:space="0"/>
              <w:bottom w:val="single" w:color="auto" w:sz="4" w:space="0"/>
              <w:right w:val="single" w:color="auto" w:sz="4" w:space="0"/>
            </w:tcBorders>
            <w:noWrap/>
          </w:tcPr>
          <w:p w14:paraId="38058520">
            <w:pPr>
              <w:adjustRightInd w:val="0"/>
              <w:snapToGrid w:val="0"/>
              <w:spacing w:line="360" w:lineRule="auto"/>
              <w:rPr>
                <w:rFonts w:ascii="宋体" w:cs="仿宋_GB2312"/>
                <w:sz w:val="24"/>
                <w:szCs w:val="24"/>
                <w:highlight w:val="none"/>
                <w:lang w:bidi="ar-SA"/>
              </w:rPr>
            </w:pPr>
            <w:r>
              <w:rPr>
                <w:rFonts w:ascii="宋体" w:cs="仿宋_GB2312"/>
                <w:sz w:val="24"/>
                <w:szCs w:val="24"/>
                <w:highlight w:val="none"/>
                <w:lang w:bidi="ar-SA"/>
              </w:rPr>
              <w:t>平板叉车组</w:t>
            </w:r>
          </w:p>
        </w:tc>
      </w:tr>
      <w:tr w14:paraId="70282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190" w:type="dxa"/>
            <w:tcBorders>
              <w:top w:val="single" w:color="auto" w:sz="4" w:space="0"/>
              <w:left w:val="single" w:color="auto" w:sz="4" w:space="0"/>
              <w:bottom w:val="single" w:color="auto" w:sz="4" w:space="0"/>
              <w:right w:val="single" w:color="auto" w:sz="4" w:space="0"/>
            </w:tcBorders>
            <w:noWrap/>
          </w:tcPr>
          <w:p w14:paraId="3D9DFB6F">
            <w:pPr>
              <w:adjustRightInd w:val="0"/>
              <w:snapToGrid w:val="0"/>
              <w:spacing w:line="360" w:lineRule="auto"/>
              <w:ind w:firstLine="480" w:firstLineChars="200"/>
              <w:rPr>
                <w:rFonts w:hint="eastAsia" w:ascii="宋体" w:cs="仿宋_GB2312"/>
                <w:sz w:val="24"/>
                <w:szCs w:val="24"/>
                <w:highlight w:val="none"/>
                <w:lang w:bidi="ar-SA"/>
              </w:rPr>
            </w:pPr>
            <w:r>
              <w:rPr>
                <w:rFonts w:hint="eastAsia" w:ascii="宋体" w:cs="仿宋_GB2312"/>
                <w:sz w:val="24"/>
                <w:szCs w:val="24"/>
                <w:highlight w:val="none"/>
                <w:lang w:bidi="ar-SA"/>
              </w:rPr>
              <w:t>8小时价格（元）</w:t>
            </w:r>
          </w:p>
        </w:tc>
        <w:tc>
          <w:tcPr>
            <w:tcW w:w="717" w:type="dxa"/>
            <w:tcBorders>
              <w:top w:val="single" w:color="auto" w:sz="4" w:space="0"/>
              <w:left w:val="single" w:color="auto" w:sz="4" w:space="0"/>
              <w:bottom w:val="single" w:color="auto" w:sz="4" w:space="0"/>
              <w:right w:val="single" w:color="auto" w:sz="4" w:space="0"/>
            </w:tcBorders>
            <w:noWrap/>
          </w:tcPr>
          <w:p w14:paraId="27F1B1FC">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800</w:t>
            </w:r>
          </w:p>
        </w:tc>
        <w:tc>
          <w:tcPr>
            <w:tcW w:w="724" w:type="dxa"/>
            <w:tcBorders>
              <w:top w:val="single" w:color="auto" w:sz="4" w:space="0"/>
              <w:left w:val="single" w:color="auto" w:sz="4" w:space="0"/>
              <w:bottom w:val="single" w:color="auto" w:sz="4" w:space="0"/>
              <w:right w:val="single" w:color="auto" w:sz="4" w:space="0"/>
            </w:tcBorders>
            <w:noWrap/>
          </w:tcPr>
          <w:p w14:paraId="71B2072A">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1100</w:t>
            </w:r>
          </w:p>
        </w:tc>
        <w:tc>
          <w:tcPr>
            <w:tcW w:w="939" w:type="dxa"/>
            <w:tcBorders>
              <w:top w:val="single" w:color="auto" w:sz="4" w:space="0"/>
              <w:left w:val="single" w:color="auto" w:sz="4" w:space="0"/>
              <w:bottom w:val="single" w:color="auto" w:sz="4" w:space="0"/>
              <w:right w:val="single" w:color="auto" w:sz="4" w:space="0"/>
            </w:tcBorders>
            <w:noWrap/>
          </w:tcPr>
          <w:p w14:paraId="2BBF4F54">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1800</w:t>
            </w:r>
          </w:p>
        </w:tc>
        <w:tc>
          <w:tcPr>
            <w:tcW w:w="939" w:type="dxa"/>
            <w:tcBorders>
              <w:top w:val="single" w:color="auto" w:sz="4" w:space="0"/>
              <w:left w:val="single" w:color="auto" w:sz="4" w:space="0"/>
              <w:bottom w:val="single" w:color="auto" w:sz="4" w:space="0"/>
              <w:right w:val="single" w:color="auto" w:sz="4" w:space="0"/>
            </w:tcBorders>
            <w:noWrap/>
          </w:tcPr>
          <w:p w14:paraId="028FC6F6">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3600</w:t>
            </w:r>
          </w:p>
        </w:tc>
        <w:tc>
          <w:tcPr>
            <w:tcW w:w="939" w:type="dxa"/>
            <w:tcBorders>
              <w:top w:val="single" w:color="auto" w:sz="4" w:space="0"/>
              <w:left w:val="single" w:color="auto" w:sz="4" w:space="0"/>
              <w:bottom w:val="single" w:color="auto" w:sz="4" w:space="0"/>
              <w:right w:val="single" w:color="auto" w:sz="4" w:space="0"/>
            </w:tcBorders>
            <w:noWrap/>
          </w:tcPr>
          <w:p w14:paraId="5A3A6572">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5600</w:t>
            </w:r>
          </w:p>
        </w:tc>
        <w:tc>
          <w:tcPr>
            <w:tcW w:w="939" w:type="dxa"/>
            <w:tcBorders>
              <w:top w:val="single" w:color="auto" w:sz="4" w:space="0"/>
              <w:left w:val="single" w:color="auto" w:sz="4" w:space="0"/>
              <w:bottom w:val="single" w:color="auto" w:sz="4" w:space="0"/>
              <w:right w:val="single" w:color="auto" w:sz="4" w:space="0"/>
            </w:tcBorders>
            <w:noWrap/>
          </w:tcPr>
          <w:p w14:paraId="3D7459CA">
            <w:pPr>
              <w:adjustRightInd w:val="0"/>
              <w:snapToGrid w:val="0"/>
              <w:spacing w:line="360" w:lineRule="auto"/>
              <w:ind w:left="0"/>
              <w:rPr>
                <w:rFonts w:hint="eastAsia" w:ascii="宋体" w:cs="仿宋_GB2312"/>
                <w:sz w:val="24"/>
                <w:szCs w:val="24"/>
                <w:highlight w:val="none"/>
                <w:lang w:bidi="ar-SA"/>
              </w:rPr>
            </w:pPr>
            <w:r>
              <w:rPr>
                <w:rFonts w:hint="eastAsia" w:ascii="宋体" w:cs="仿宋_GB2312"/>
                <w:sz w:val="24"/>
                <w:szCs w:val="24"/>
                <w:highlight w:val="none"/>
                <w:lang w:bidi="ar-SA"/>
              </w:rPr>
              <w:t>双方协商</w:t>
            </w:r>
          </w:p>
        </w:tc>
        <w:tc>
          <w:tcPr>
            <w:tcW w:w="939" w:type="dxa"/>
            <w:tcBorders>
              <w:top w:val="single" w:color="auto" w:sz="4" w:space="0"/>
              <w:left w:val="single" w:color="auto" w:sz="4" w:space="0"/>
              <w:bottom w:val="single" w:color="auto" w:sz="4" w:space="0"/>
              <w:right w:val="single" w:color="auto" w:sz="4" w:space="0"/>
            </w:tcBorders>
            <w:noWrap/>
          </w:tcPr>
          <w:p w14:paraId="0359F792">
            <w:pPr>
              <w:adjustRightInd w:val="0"/>
              <w:snapToGrid w:val="0"/>
              <w:spacing w:line="360" w:lineRule="auto"/>
              <w:rPr>
                <w:rFonts w:ascii="宋体" w:cs="仿宋_GB2312"/>
                <w:sz w:val="24"/>
                <w:szCs w:val="24"/>
                <w:highlight w:val="none"/>
                <w:lang w:bidi="ar-SA"/>
              </w:rPr>
            </w:pPr>
            <w:r>
              <w:rPr>
                <w:rFonts w:ascii="宋体" w:cs="仿宋_GB2312"/>
                <w:sz w:val="24"/>
                <w:szCs w:val="24"/>
                <w:highlight w:val="none"/>
                <w:lang w:bidi="ar-SA"/>
              </w:rPr>
              <w:t>1000</w:t>
            </w:r>
          </w:p>
        </w:tc>
      </w:tr>
    </w:tbl>
    <w:p w14:paraId="2D0779E0">
      <w:pPr>
        <w:adjustRightInd w:val="0"/>
        <w:snapToGrid w:val="0"/>
        <w:spacing w:line="360" w:lineRule="auto"/>
        <w:ind w:firstLine="480" w:firstLineChars="200"/>
        <w:rPr>
          <w:rFonts w:hint="eastAsia" w:ascii="宋体" w:cs="仿宋_GB2312"/>
          <w:sz w:val="24"/>
          <w:szCs w:val="24"/>
          <w:highlight w:val="none"/>
          <w:lang w:bidi="ar-SA"/>
        </w:rPr>
      </w:pPr>
      <w:r>
        <w:rPr>
          <w:rFonts w:hint="eastAsia" w:ascii="宋体" w:cs="仿宋_GB2312"/>
          <w:sz w:val="24"/>
          <w:szCs w:val="24"/>
          <w:highlight w:val="none"/>
          <w:lang w:bidi="ar-SA"/>
        </w:rPr>
        <w:t>8.1）</w:t>
      </w:r>
    </w:p>
    <w:p w14:paraId="0BDAAEFA">
      <w:pPr>
        <w:adjustRightInd w:val="0"/>
        <w:snapToGrid w:val="0"/>
        <w:spacing w:line="360" w:lineRule="auto"/>
        <w:ind w:firstLine="480" w:firstLineChars="200"/>
        <w:rPr>
          <w:rFonts w:hint="eastAsia" w:ascii="宋体" w:cs="仿宋_GB2312"/>
          <w:sz w:val="24"/>
          <w:szCs w:val="24"/>
          <w:highlight w:val="none"/>
          <w:lang w:bidi="ar-SA"/>
        </w:rPr>
      </w:pPr>
    </w:p>
    <w:p w14:paraId="78F64C20">
      <w:pPr>
        <w:adjustRightInd w:val="0"/>
        <w:snapToGrid w:val="0"/>
        <w:spacing w:line="360" w:lineRule="auto"/>
        <w:ind w:firstLine="480" w:firstLineChars="200"/>
        <w:rPr>
          <w:rFonts w:hint="eastAsia" w:ascii="宋体" w:cs="仿宋_GB2312"/>
          <w:sz w:val="24"/>
          <w:szCs w:val="24"/>
          <w:highlight w:val="none"/>
          <w:lang w:bidi="ar-SA"/>
        </w:rPr>
      </w:pPr>
    </w:p>
    <w:p w14:paraId="20BEA538">
      <w:pPr>
        <w:pStyle w:val="29"/>
        <w:spacing w:line="360" w:lineRule="auto"/>
        <w:ind w:firstLine="480" w:firstLineChars="200"/>
        <w:rPr>
          <w:sz w:val="24"/>
          <w:szCs w:val="24"/>
          <w:highlight w:val="none"/>
        </w:rPr>
      </w:pPr>
    </w:p>
    <w:p w14:paraId="751627A7">
      <w:pPr>
        <w:adjustRightInd w:val="0"/>
        <w:snapToGrid w:val="0"/>
        <w:spacing w:line="360" w:lineRule="auto"/>
        <w:ind w:firstLine="480" w:firstLineChars="200"/>
        <w:rPr>
          <w:rFonts w:hint="eastAsia" w:ascii="宋体" w:cs="仿宋_GB2312"/>
          <w:sz w:val="24"/>
          <w:szCs w:val="24"/>
          <w:highlight w:val="none"/>
          <w:lang w:bidi="ar-SA"/>
        </w:rPr>
      </w:pPr>
      <w:r>
        <w:rPr>
          <w:rFonts w:hint="eastAsia" w:ascii="宋体" w:cs="仿宋_GB2312"/>
          <w:sz w:val="24"/>
          <w:szCs w:val="24"/>
          <w:highlight w:val="none"/>
          <w:lang w:bidi="ar-SA"/>
        </w:rPr>
        <w:t>8.2）签证时间以 2 小时起计（签证时间以吊机进入厂区作业点为起点，作业完成时间为终点）；超出 2 小时，以每 1 小时为一个计费单位，向上圆整。</w:t>
      </w:r>
    </w:p>
    <w:p w14:paraId="2FF29409">
      <w:pPr>
        <w:adjustRightInd w:val="0"/>
        <w:snapToGrid w:val="0"/>
        <w:spacing w:line="360" w:lineRule="auto"/>
        <w:ind w:firstLine="480" w:firstLineChars="200"/>
        <w:rPr>
          <w:rFonts w:hint="eastAsia" w:ascii="宋体" w:cs="仿宋_GB2312"/>
          <w:sz w:val="24"/>
          <w:szCs w:val="24"/>
          <w:highlight w:val="none"/>
          <w:lang w:bidi="ar-SA"/>
        </w:rPr>
      </w:pPr>
      <w:r>
        <w:rPr>
          <w:rFonts w:hint="eastAsia" w:ascii="宋体" w:cs="仿宋_GB2312"/>
          <w:sz w:val="24"/>
          <w:szCs w:val="24"/>
          <w:highlight w:val="none"/>
          <w:lang w:bidi="ar-SA"/>
        </w:rPr>
        <w:t xml:space="preserve">8.3）如甲方要求配套施工起重人员时，单独需要起重技术工种按 </w:t>
      </w:r>
      <w:r>
        <w:rPr>
          <w:rFonts w:ascii="宋体" w:cs="仿宋_GB2312"/>
          <w:sz w:val="24"/>
          <w:szCs w:val="24"/>
          <w:highlight w:val="none"/>
          <w:lang w:bidi="ar-SA"/>
        </w:rPr>
        <w:t>50</w:t>
      </w:r>
      <w:r>
        <w:rPr>
          <w:rFonts w:hint="eastAsia" w:ascii="宋体" w:cs="仿宋_GB2312"/>
          <w:sz w:val="24"/>
          <w:szCs w:val="24"/>
          <w:highlight w:val="none"/>
          <w:lang w:bidi="ar-SA"/>
        </w:rPr>
        <w:t>0 元/天；</w:t>
      </w:r>
      <w:r>
        <w:rPr>
          <w:rFonts w:ascii="宋体" w:cs="仿宋_GB2312"/>
          <w:sz w:val="24"/>
          <w:szCs w:val="24"/>
          <w:highlight w:val="none"/>
          <w:lang w:bidi="ar-SA"/>
        </w:rPr>
        <w:t>普工300元/天</w:t>
      </w:r>
      <w:r>
        <w:rPr>
          <w:rFonts w:hint="eastAsia" w:ascii="宋体" w:cs="仿宋_GB2312"/>
          <w:color w:val="auto"/>
          <w:sz w:val="24"/>
          <w:szCs w:val="24"/>
          <w:highlight w:val="none"/>
          <w:lang w:bidi="ar-SA"/>
        </w:rPr>
        <w:t>（不计税费，不下浮）</w:t>
      </w:r>
      <w:r>
        <w:rPr>
          <w:rFonts w:ascii="宋体" w:cs="仿宋_GB2312"/>
          <w:color w:val="auto"/>
          <w:sz w:val="24"/>
          <w:szCs w:val="24"/>
          <w:highlight w:val="none"/>
          <w:lang w:bidi="ar-SA"/>
        </w:rPr>
        <w:t>；</w:t>
      </w:r>
    </w:p>
    <w:p w14:paraId="5CABCE57">
      <w:pPr>
        <w:adjustRightInd w:val="0"/>
        <w:snapToGrid w:val="0"/>
        <w:spacing w:line="360" w:lineRule="auto"/>
        <w:ind w:firstLine="480" w:firstLineChars="200"/>
        <w:rPr>
          <w:rFonts w:hint="eastAsia" w:ascii="宋体" w:cs="仿宋_GB2312"/>
          <w:sz w:val="24"/>
          <w:szCs w:val="24"/>
          <w:lang w:bidi="ar-SA"/>
        </w:rPr>
      </w:pPr>
      <w:r>
        <w:rPr>
          <w:rFonts w:ascii="宋体" w:cs="仿宋_GB2312"/>
          <w:sz w:val="24"/>
          <w:szCs w:val="24"/>
          <w:highlight w:val="none"/>
          <w:lang w:bidi="ar-SA"/>
        </w:rPr>
        <w:t>第8）条起重相关内容</w:t>
      </w:r>
      <w:r>
        <w:rPr>
          <w:rFonts w:hint="eastAsia" w:ascii="宋体" w:cs="仿宋_GB2312"/>
          <w:sz w:val="24"/>
          <w:szCs w:val="24"/>
          <w:highlight w:val="none"/>
          <w:lang w:bidi="ar-SA"/>
        </w:rPr>
        <w:t>按上述结算方式计算后按中标总价</w:t>
      </w:r>
      <w:r>
        <w:rPr>
          <w:rFonts w:ascii="宋体" w:cs="仿宋_GB2312"/>
          <w:sz w:val="24"/>
          <w:szCs w:val="24"/>
          <w:highlight w:val="none"/>
          <w:lang w:bidi="ar-SA"/>
        </w:rPr>
        <w:t>84.5</w:t>
      </w:r>
      <w:r>
        <w:rPr>
          <w:rFonts w:hint="eastAsia" w:ascii="宋体" w:cs="仿宋_GB2312"/>
          <w:sz w:val="24"/>
          <w:szCs w:val="24"/>
          <w:highlight w:val="none"/>
          <w:lang w:bidi="ar-SA"/>
        </w:rPr>
        <w:t>%</w:t>
      </w:r>
      <w:r>
        <w:rPr>
          <w:rFonts w:hint="eastAsia" w:ascii="宋体" w:cs="仿宋_GB2312"/>
          <w:sz w:val="24"/>
          <w:szCs w:val="24"/>
          <w:lang w:bidi="ar-SA"/>
        </w:rPr>
        <w:t>结算（安全文明施工费、单列费用、无价材料不参与下浮），结算价包括施工过程中产生的固废危废环保处理费。</w:t>
      </w:r>
    </w:p>
    <w:p w14:paraId="1F8AA9D1">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bidi="ar-SA"/>
        </w:rPr>
        <w:t>3、价款支付：工程竣工，验收合格，工程结算完成，扣除工程结算价</w:t>
      </w:r>
      <w:r>
        <w:rPr>
          <w:rFonts w:hint="eastAsia" w:ascii="宋体" w:cs="仿宋_GB2312"/>
          <w:sz w:val="24"/>
          <w:szCs w:val="24"/>
          <w:lang w:val="en-US" w:eastAsia="zh-CN" w:bidi="ar-SA"/>
        </w:rPr>
        <w:t>3</w:t>
      </w:r>
      <w:r>
        <w:rPr>
          <w:rFonts w:hint="eastAsia" w:ascii="宋体" w:cs="仿宋_GB2312"/>
          <w:sz w:val="24"/>
          <w:szCs w:val="24"/>
          <w:lang w:bidi="ar-SA"/>
        </w:rPr>
        <w:t>%的质保金后付</w:t>
      </w:r>
      <w:r>
        <w:rPr>
          <w:rFonts w:hint="eastAsia" w:ascii="宋体" w:cs="仿宋_GB2312"/>
          <w:sz w:val="24"/>
          <w:szCs w:val="24"/>
          <w:lang w:val="en-US" w:eastAsia="zh-CN" w:bidi="ar-SA"/>
        </w:rPr>
        <w:t>款</w:t>
      </w:r>
      <w:r>
        <w:rPr>
          <w:rFonts w:hint="eastAsia" w:ascii="宋体" w:cs="仿宋_GB2312"/>
          <w:sz w:val="24"/>
          <w:szCs w:val="24"/>
          <w:lang w:bidi="ar-SA"/>
        </w:rPr>
        <w:t>，价款支付承兑汇票，按审定的结算造价开具相对应的增值税专用发票（税率为9%</w:t>
      </w:r>
      <w:r>
        <w:rPr>
          <w:rFonts w:ascii="宋体" w:cs="仿宋_GB2312"/>
          <w:sz w:val="24"/>
          <w:szCs w:val="24"/>
          <w:lang w:bidi="ar-SA"/>
        </w:rPr>
        <w:t>，</w:t>
      </w:r>
      <w:r>
        <w:rPr>
          <w:rFonts w:hint="eastAsia" w:ascii="仿宋_GB2312" w:hAnsi="仿宋_GB2312"/>
          <w:color w:val="auto"/>
          <w:sz w:val="24"/>
        </w:rPr>
        <w:t>（如国家税金调整，按税前价不变，以新的税率执行）</w:t>
      </w:r>
      <w:r>
        <w:rPr>
          <w:rFonts w:hint="eastAsia" w:ascii="宋体" w:cs="仿宋_GB2312"/>
          <w:sz w:val="24"/>
          <w:szCs w:val="24"/>
          <w:lang w:bidi="ar-SA"/>
        </w:rPr>
        <w:t>），结算工程款。</w:t>
      </w:r>
    </w:p>
    <w:p w14:paraId="3DBBD8DF">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bidi="ar-SA"/>
        </w:rPr>
        <w:t>4、质保期限</w:t>
      </w:r>
    </w:p>
    <w:p w14:paraId="2F2E957F">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bidi="ar-SA"/>
        </w:rPr>
        <w:t xml:space="preserve">   工程验收合格，安装工程质保二年，如二年之内发生因安装质量引发的故障，乙方应及时响应甲方要求，并无条件免费处理或更新因安装不良而损坏的元器件。</w:t>
      </w:r>
    </w:p>
    <w:p w14:paraId="3340E95E">
      <w:pPr>
        <w:adjustRightInd w:val="0"/>
        <w:snapToGrid w:val="0"/>
        <w:spacing w:line="360" w:lineRule="auto"/>
        <w:ind w:firstLine="480" w:firstLineChars="200"/>
        <w:rPr>
          <w:rFonts w:hint="eastAsia" w:ascii="宋体" w:cs="仿宋_GB2312"/>
          <w:sz w:val="24"/>
          <w:szCs w:val="24"/>
          <w:lang w:bidi="ar-SA"/>
        </w:rPr>
      </w:pPr>
      <w:r>
        <w:rPr>
          <w:rFonts w:hint="eastAsia" w:ascii="宋体" w:cs="仿宋_GB2312"/>
          <w:sz w:val="24"/>
          <w:szCs w:val="24"/>
          <w:lang w:val="en-US" w:eastAsia="zh-CN" w:bidi="ar-SA"/>
        </w:rPr>
        <w:t>5</w:t>
      </w:r>
      <w:r>
        <w:rPr>
          <w:rFonts w:hint="eastAsia" w:ascii="宋体" w:cs="仿宋_GB2312"/>
          <w:sz w:val="24"/>
          <w:szCs w:val="24"/>
          <w:lang w:bidi="ar-SA"/>
        </w:rPr>
        <w:t xml:space="preserve"> 违约责任</w:t>
      </w:r>
    </w:p>
    <w:p w14:paraId="298ED6CA">
      <w:pPr>
        <w:spacing w:line="360" w:lineRule="auto"/>
        <w:ind w:firstLine="480" w:firstLineChars="200"/>
        <w:rPr>
          <w:rFonts w:hint="eastAsia" w:ascii="宋体" w:eastAsia="宋体"/>
          <w:color w:val="FF0000"/>
          <w:sz w:val="24"/>
          <w:szCs w:val="24"/>
        </w:rPr>
      </w:pPr>
      <w:r>
        <w:rPr>
          <w:rFonts w:hint="eastAsia" w:ascii="宋体" w:eastAsia="宋体" w:cs="仿宋_GB2312"/>
          <w:sz w:val="24"/>
          <w:szCs w:val="24"/>
          <w:lang w:val="en-US" w:eastAsia="zh-CN" w:bidi="ar-SA"/>
        </w:rPr>
        <w:t>5.1</w:t>
      </w:r>
      <w:r>
        <w:rPr>
          <w:rFonts w:hint="eastAsia" w:ascii="宋体" w:eastAsia="宋体" w:cs="仿宋_GB2312"/>
          <w:sz w:val="24"/>
          <w:szCs w:val="24"/>
          <w:lang w:bidi="ar-SA"/>
        </w:rPr>
        <w:t>文明施工、安全生产履约：乙方应严格执行国家和地方（法律法规）及衢州市等有关部门的安全文明施工规定，服从行业管理部门、业主及监理单位的监督管理。若发生的人身伤亡、财产损失及其他一切事故，因乙方原因，由乙方承担、负责；因甲方原因，由甲方承担、负责。</w:t>
      </w:r>
    </w:p>
    <w:p w14:paraId="5B00FA1A">
      <w:pPr>
        <w:spacing w:line="360" w:lineRule="auto"/>
        <w:ind w:firstLine="480" w:firstLineChars="200"/>
        <w:rPr>
          <w:rFonts w:hint="eastAsia" w:ascii="宋体"/>
          <w:sz w:val="24"/>
          <w:szCs w:val="24"/>
        </w:rPr>
      </w:pPr>
      <w:r>
        <w:rPr>
          <w:rFonts w:hint="eastAsia" w:ascii="宋体" w:eastAsia="宋体" w:cs="仿宋_GB2312"/>
          <w:sz w:val="24"/>
          <w:szCs w:val="24"/>
          <w:lang w:val="en-US" w:eastAsia="zh-CN" w:bidi="ar-SA"/>
        </w:rPr>
        <w:t>5.2</w:t>
      </w:r>
      <w:r>
        <w:rPr>
          <w:rFonts w:hint="eastAsia" w:ascii="宋体" w:eastAsia="宋体" w:cs="仿宋_GB2312"/>
          <w:sz w:val="24"/>
          <w:szCs w:val="24"/>
          <w:lang w:bidi="ar-SA"/>
        </w:rPr>
        <w:t>合同履行过程中出现违约行为的，由违约方负责赔偿对方所有损失，并对违约责任方处以最高赔偿金额不超过结算10%的违约金。由于不可抗拒因素致使合同终止或延误工期，双方互不承担违约责任。</w:t>
      </w:r>
    </w:p>
    <w:p w14:paraId="2C16CEEE">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6</w:t>
      </w:r>
      <w:r>
        <w:rPr>
          <w:rFonts w:hint="eastAsia" w:ascii="宋体"/>
          <w:sz w:val="24"/>
          <w:szCs w:val="24"/>
        </w:rPr>
        <w:t xml:space="preserve"> 纠纷及解决方式</w:t>
      </w:r>
    </w:p>
    <w:p w14:paraId="6FD0D443">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6</w:t>
      </w:r>
      <w:r>
        <w:rPr>
          <w:rFonts w:hint="eastAsia" w:ascii="宋体"/>
          <w:sz w:val="24"/>
          <w:szCs w:val="24"/>
        </w:rPr>
        <w:t>.1 在本合同履行过程中发生争议时，甲乙双方应协商解决。</w:t>
      </w:r>
    </w:p>
    <w:p w14:paraId="030295EC">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6</w:t>
      </w:r>
      <w:r>
        <w:rPr>
          <w:rFonts w:hint="eastAsia" w:ascii="宋体"/>
          <w:sz w:val="24"/>
          <w:szCs w:val="24"/>
        </w:rPr>
        <w:t>.2 如协商不成，依法向合同签订地有管辖权的人民法院提起诉讼。</w:t>
      </w:r>
    </w:p>
    <w:p w14:paraId="2FC19ED4">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 xml:space="preserve"> 廉政经营承诺</w:t>
      </w:r>
    </w:p>
    <w:p w14:paraId="1FCCDDF9">
      <w:pPr>
        <w:adjustRightInd w:val="0"/>
        <w:snapToGrid w:val="0"/>
        <w:spacing w:line="360" w:lineRule="auto"/>
        <w:ind w:firstLine="480" w:firstLineChars="200"/>
        <w:rPr>
          <w:rFonts w:hint="eastAsia" w:ascii="宋体"/>
          <w:sz w:val="24"/>
          <w:szCs w:val="24"/>
        </w:rPr>
      </w:pPr>
      <w:r>
        <w:rPr>
          <w:rFonts w:hint="eastAsia" w:ascii="宋体"/>
          <w:sz w:val="24"/>
          <w:szCs w:val="24"/>
        </w:rPr>
        <w:t>乙方作如下郑重承诺：</w:t>
      </w:r>
    </w:p>
    <w:p w14:paraId="3C853623">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.1乙方在与甲方的业务往来中，将严格遵守廉洁从业各项规定。不向甲方相关领导和工作人员及其配偶、近亲属赠送礼金、有价证券（卡）、贵重物品、不为其报销和支付各种应由个人支付的费用。</w:t>
      </w:r>
    </w:p>
    <w:p w14:paraId="6BB975DE">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.2 乙方在与甲方的业务往来中，不做有违“八项规定”和“四风”要求的事情。不邀请甲方公司领导和工作人员参加高消费餐饮、娱乐、旅游或以钱物为赌注的打牌、麻将等活动。</w:t>
      </w:r>
    </w:p>
    <w:p w14:paraId="650D3CCE">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.3 对甲方人员主动向乙方为其本人或亲属索取经济利益或有相关暗示的不良行为，乙方承诺立即向甲方如实反映（电话：0570-3096940）。反映内容如系恶意虚假，乙方须承担相应的法律责任。</w:t>
      </w:r>
    </w:p>
    <w:p w14:paraId="20568785">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.4 乙方承诺，向甲方提供的资料，真实可靠，无任何虚假内容。并通过正当途径开展业务活动，不弄虚作假、不损人利己、不影响双方信誉、不泄露双方商业机密。</w:t>
      </w:r>
    </w:p>
    <w:p w14:paraId="63BD6540">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7</w:t>
      </w:r>
      <w:r>
        <w:rPr>
          <w:rFonts w:hint="eastAsia" w:ascii="宋体"/>
          <w:sz w:val="24"/>
          <w:szCs w:val="24"/>
        </w:rPr>
        <w:t>.5若乙方单位违反以上承诺或隐瞒相关情况，甲方有权取消与乙方的合作，同时乙方须承担由此导致的一切损失和赔偿责任。</w:t>
      </w:r>
    </w:p>
    <w:p w14:paraId="2F79E295">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8</w:t>
      </w:r>
      <w:r>
        <w:rPr>
          <w:rFonts w:hint="eastAsia" w:ascii="宋体"/>
          <w:sz w:val="24"/>
          <w:szCs w:val="24"/>
        </w:rPr>
        <w:t xml:space="preserve"> 知识产权</w:t>
      </w:r>
    </w:p>
    <w:p w14:paraId="640900C3">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8</w:t>
      </w:r>
      <w:r>
        <w:rPr>
          <w:rFonts w:hint="eastAsia" w:ascii="宋体"/>
          <w:sz w:val="24"/>
          <w:szCs w:val="24"/>
        </w:rPr>
        <w:t>.1如果乙方提供的产品或技术有其自己的知识产权，应提供企业知识产权权属证明，并乙方须维持其知识产权有效性的义务及相应责任；</w:t>
      </w:r>
    </w:p>
    <w:p w14:paraId="6BA10B8E">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8</w:t>
      </w:r>
      <w:r>
        <w:rPr>
          <w:rFonts w:hint="eastAsia" w:ascii="宋体"/>
          <w:sz w:val="24"/>
          <w:szCs w:val="24"/>
        </w:rPr>
        <w:t>.2如果乙方对提供的产品或技术没有其自己的知识产权，乙方须保证不侵犯他人知识产权的义务；</w:t>
      </w:r>
    </w:p>
    <w:p w14:paraId="60EB93AD">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8</w:t>
      </w:r>
      <w:r>
        <w:rPr>
          <w:rFonts w:hint="eastAsia" w:ascii="宋体"/>
          <w:sz w:val="24"/>
          <w:szCs w:val="24"/>
        </w:rPr>
        <w:t>.3如乙方发生侵犯他人知识产权的情形，由其承担侵权责任，导致损失的，由乙方承担赔偿责任；</w:t>
      </w:r>
    </w:p>
    <w:p w14:paraId="47750578">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8</w:t>
      </w:r>
      <w:r>
        <w:rPr>
          <w:rFonts w:hint="eastAsia" w:ascii="宋体"/>
          <w:sz w:val="24"/>
          <w:szCs w:val="24"/>
        </w:rPr>
        <w:t xml:space="preserve">.4本合同相关信息不得向第三方透露。 </w:t>
      </w:r>
    </w:p>
    <w:p w14:paraId="5F36E660">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9</w:t>
      </w:r>
      <w:r>
        <w:rPr>
          <w:rFonts w:hint="eastAsia" w:ascii="宋体"/>
          <w:sz w:val="24"/>
          <w:szCs w:val="24"/>
        </w:rPr>
        <w:t xml:space="preserve">  效力及其它</w:t>
      </w:r>
    </w:p>
    <w:p w14:paraId="532008B4">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9</w:t>
      </w:r>
      <w:r>
        <w:rPr>
          <w:rFonts w:hint="eastAsia" w:ascii="宋体"/>
          <w:sz w:val="24"/>
          <w:szCs w:val="24"/>
        </w:rPr>
        <w:t>.1 本合同于双方签字盖章之日起开始生效，截止时间：202</w:t>
      </w:r>
      <w:r>
        <w:rPr>
          <w:rFonts w:hint="eastAsia" w:ascii="宋体"/>
          <w:sz w:val="24"/>
          <w:szCs w:val="24"/>
          <w:lang w:val="en-US" w:eastAsia="zh-CN"/>
        </w:rPr>
        <w:t>5</w:t>
      </w:r>
      <w:r>
        <w:rPr>
          <w:rFonts w:hint="eastAsia" w:ascii="宋体"/>
          <w:sz w:val="24"/>
          <w:szCs w:val="24"/>
        </w:rPr>
        <w:t xml:space="preserve">年12月31日。 </w:t>
      </w:r>
    </w:p>
    <w:p w14:paraId="6193ED5B">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9</w:t>
      </w:r>
      <w:r>
        <w:rPr>
          <w:rFonts w:hint="eastAsia" w:ascii="宋体"/>
          <w:sz w:val="24"/>
          <w:szCs w:val="24"/>
        </w:rPr>
        <w:t>.2 本合同一式肆份，甲方执叁份，乙方执壹份。</w:t>
      </w:r>
    </w:p>
    <w:p w14:paraId="561A14B6">
      <w:pPr>
        <w:adjustRightInd w:val="0"/>
        <w:snapToGrid w:val="0"/>
        <w:spacing w:line="360" w:lineRule="auto"/>
        <w:ind w:firstLine="480" w:firstLineChars="200"/>
        <w:rPr>
          <w:rFonts w:hint="eastAsia" w:ascii="宋体"/>
          <w:sz w:val="24"/>
          <w:szCs w:val="24"/>
        </w:rPr>
      </w:pPr>
      <w:r>
        <w:rPr>
          <w:rFonts w:hint="eastAsia" w:ascii="宋体"/>
          <w:sz w:val="24"/>
          <w:szCs w:val="24"/>
          <w:lang w:val="en-US" w:eastAsia="zh-CN"/>
        </w:rPr>
        <w:t>9</w:t>
      </w:r>
      <w:r>
        <w:rPr>
          <w:rFonts w:hint="eastAsia" w:ascii="宋体"/>
          <w:sz w:val="24"/>
          <w:szCs w:val="24"/>
        </w:rPr>
        <w:t>.3</w:t>
      </w:r>
      <w:r>
        <w:rPr>
          <w:rFonts w:hint="eastAsia" w:ascii="宋体"/>
          <w:sz w:val="24"/>
          <w:szCs w:val="24"/>
          <w:lang w:val="en-US" w:eastAsia="zh-CN"/>
        </w:rPr>
        <w:t xml:space="preserve"> </w:t>
      </w:r>
      <w:r>
        <w:rPr>
          <w:rFonts w:hint="eastAsia" w:ascii="宋体"/>
          <w:sz w:val="24"/>
          <w:szCs w:val="24"/>
        </w:rPr>
        <w:t xml:space="preserve">如需修改或补充合同内容，经双方协商应签署书面修改或补充协议，该协议将作为本合同的一个组成部分。 </w:t>
      </w:r>
    </w:p>
    <w:p w14:paraId="43ABD9A0">
      <w:pPr>
        <w:adjustRightInd w:val="0"/>
        <w:snapToGrid w:val="0"/>
        <w:spacing w:line="360" w:lineRule="auto"/>
        <w:jc w:val="left"/>
        <w:rPr>
          <w:rFonts w:hint="eastAsia" w:ascii="宋体"/>
          <w:sz w:val="24"/>
          <w:szCs w:val="24"/>
        </w:rPr>
      </w:pPr>
    </w:p>
    <w:p w14:paraId="262FF3C3">
      <w:pPr>
        <w:adjustRightInd w:val="0"/>
        <w:snapToGrid w:val="0"/>
        <w:spacing w:line="360" w:lineRule="auto"/>
        <w:jc w:val="left"/>
        <w:rPr>
          <w:rFonts w:hint="eastAsia" w:ascii="宋体"/>
          <w:sz w:val="24"/>
          <w:szCs w:val="24"/>
        </w:rPr>
      </w:pPr>
      <w:r>
        <w:rPr>
          <w:rFonts w:hint="eastAsia" w:ascii="宋体"/>
          <w:sz w:val="24"/>
          <w:szCs w:val="24"/>
        </w:rPr>
        <w:t>本合同自双方在合同项下所有义务全面履行完成之日起自动终止。</w:t>
      </w:r>
    </w:p>
    <w:p w14:paraId="5BB1FD97">
      <w:pPr>
        <w:adjustRightInd w:val="0"/>
        <w:snapToGrid w:val="0"/>
        <w:spacing w:line="360" w:lineRule="auto"/>
        <w:jc w:val="left"/>
        <w:rPr>
          <w:rFonts w:hint="eastAsia" w:ascii="宋体"/>
          <w:sz w:val="24"/>
          <w:szCs w:val="24"/>
        </w:rPr>
      </w:pPr>
    </w:p>
    <w:p w14:paraId="04EF64F0">
      <w:pPr>
        <w:spacing w:line="360" w:lineRule="auto"/>
        <w:ind w:left="4890" w:leftChars="100" w:hanging="4680" w:hangingChars="1950"/>
        <w:rPr>
          <w:rFonts w:hint="eastAsia" w:ascii="宋体" w:eastAsia="宋体" w:cs="仿宋_GB2312"/>
          <w:sz w:val="24"/>
          <w:szCs w:val="24"/>
          <w:lang w:bidi="ar-SA"/>
        </w:rPr>
      </w:pPr>
      <w:r>
        <w:rPr>
          <w:rFonts w:hint="eastAsia" w:ascii="宋体" w:eastAsia="宋体" w:cs="仿宋_GB2312"/>
          <w:sz w:val="24"/>
          <w:szCs w:val="24"/>
          <w:lang w:bidi="ar-SA"/>
        </w:rPr>
        <w:t>甲方：</w:t>
      </w:r>
      <w:r>
        <w:rPr>
          <w:rFonts w:hint="eastAsia" w:ascii="宋体" w:eastAsia="宋体"/>
          <w:sz w:val="24"/>
          <w:szCs w:val="24"/>
        </w:rPr>
        <w:t xml:space="preserve">        </w:t>
      </w:r>
      <w:r>
        <w:rPr>
          <w:rFonts w:hint="eastAsia" w:ascii="宋体" w:eastAsia="宋体" w:cs="仿宋_GB2312"/>
          <w:sz w:val="24"/>
          <w:szCs w:val="24"/>
          <w:lang w:bidi="ar-SA"/>
        </w:rPr>
        <w:t xml:space="preserve">  </w:t>
      </w:r>
      <w:r>
        <w:rPr>
          <w:rFonts w:hint="eastAsia" w:ascii="宋体" w:eastAsia="宋体" w:cs="仿宋_GB2312"/>
          <w:sz w:val="24"/>
          <w:szCs w:val="24"/>
          <w:lang w:val="en-US" w:eastAsia="zh-CN" w:bidi="ar-SA"/>
        </w:rPr>
        <w:t xml:space="preserve">                               </w:t>
      </w:r>
      <w:r>
        <w:rPr>
          <w:rFonts w:hint="eastAsia" w:ascii="宋体" w:eastAsia="宋体" w:cs="仿宋_GB2312"/>
          <w:sz w:val="24"/>
          <w:szCs w:val="24"/>
          <w:lang w:bidi="ar-SA"/>
        </w:rPr>
        <w:t xml:space="preserve"> 乙方：</w:t>
      </w:r>
    </w:p>
    <w:p w14:paraId="2E9D6ED3">
      <w:pPr>
        <w:spacing w:line="360" w:lineRule="auto"/>
        <w:ind w:firstLine="480" w:firstLineChars="200"/>
        <w:rPr>
          <w:rFonts w:hint="eastAsia" w:ascii="宋体" w:eastAsia="宋体"/>
          <w:sz w:val="24"/>
          <w:szCs w:val="24"/>
        </w:rPr>
      </w:pPr>
    </w:p>
    <w:p w14:paraId="5ABF8A46">
      <w:pPr>
        <w:spacing w:after="624" w:line="360" w:lineRule="auto"/>
        <w:ind w:firstLine="240" w:firstLineChars="100"/>
        <w:rPr>
          <w:rFonts w:hint="eastAsia" w:ascii="宋体" w:eastAsia="宋体"/>
          <w:sz w:val="24"/>
          <w:szCs w:val="24"/>
        </w:rPr>
      </w:pPr>
      <w:r>
        <w:rPr>
          <w:rFonts w:hint="eastAsia" w:ascii="宋体" w:eastAsia="宋体" w:cs="仿宋_GB2312"/>
          <w:sz w:val="24"/>
          <w:szCs w:val="24"/>
          <w:lang w:bidi="ar-SA"/>
        </w:rPr>
        <w:t xml:space="preserve">委托代表：                             </w:t>
      </w:r>
      <w:r>
        <w:rPr>
          <w:rFonts w:hint="eastAsia" w:ascii="宋体" w:eastAsia="宋体" w:cs="仿宋_GB2312"/>
          <w:sz w:val="24"/>
          <w:szCs w:val="24"/>
          <w:lang w:val="en-US" w:eastAsia="zh-CN" w:bidi="ar-SA"/>
        </w:rPr>
        <w:t xml:space="preserve">       </w:t>
      </w:r>
      <w:r>
        <w:rPr>
          <w:rFonts w:hint="eastAsia" w:ascii="宋体" w:eastAsia="宋体" w:cs="仿宋_GB2312"/>
          <w:sz w:val="24"/>
          <w:szCs w:val="24"/>
          <w:lang w:bidi="ar-SA"/>
        </w:rPr>
        <w:t>委托代表：</w:t>
      </w:r>
    </w:p>
    <w:p w14:paraId="68C71978">
      <w:pPr>
        <w:spacing w:after="624" w:line="360" w:lineRule="auto"/>
        <w:ind w:firstLine="960" w:firstLineChars="400"/>
        <w:rPr>
          <w:rFonts w:hint="eastAsia" w:ascii="宋体" w:eastAsia="宋体"/>
          <w:sz w:val="24"/>
          <w:szCs w:val="24"/>
        </w:rPr>
      </w:pPr>
      <w:r>
        <w:rPr>
          <w:rFonts w:hint="eastAsia" w:ascii="宋体" w:eastAsia="宋体" w:cs="仿宋_GB2312"/>
          <w:sz w:val="24"/>
          <w:szCs w:val="24"/>
          <w:lang w:bidi="ar-SA"/>
        </w:rPr>
        <w:t>二〇二</w:t>
      </w:r>
      <w:r>
        <w:rPr>
          <w:rFonts w:hint="eastAsia" w:ascii="宋体" w:eastAsia="宋体" w:cs="仿宋_GB2312"/>
          <w:sz w:val="24"/>
          <w:szCs w:val="24"/>
          <w:lang w:val="en-US" w:eastAsia="zh-CN" w:bidi="ar-SA"/>
        </w:rPr>
        <w:t>五</w:t>
      </w:r>
      <w:r>
        <w:rPr>
          <w:rFonts w:hint="eastAsia" w:ascii="宋体" w:eastAsia="宋体" w:cs="仿宋_GB2312"/>
          <w:sz w:val="24"/>
          <w:szCs w:val="24"/>
          <w:lang w:bidi="ar-SA"/>
        </w:rPr>
        <w:t>年</w:t>
      </w:r>
      <w:r>
        <w:rPr>
          <w:rFonts w:hint="eastAsia" w:ascii="宋体" w:eastAsia="宋体" w:cs="仿宋_GB2312"/>
          <w:sz w:val="24"/>
          <w:szCs w:val="24"/>
          <w:u w:val="single"/>
          <w:lang w:val="en-US" w:eastAsia="zh-CN" w:bidi="ar-SA"/>
        </w:rPr>
        <w:t xml:space="preserve">   </w:t>
      </w:r>
      <w:r>
        <w:rPr>
          <w:rFonts w:hint="eastAsia" w:ascii="宋体" w:eastAsia="宋体" w:cs="仿宋_GB2312"/>
          <w:sz w:val="24"/>
          <w:szCs w:val="24"/>
          <w:lang w:bidi="ar-SA"/>
        </w:rPr>
        <w:t>月</w:t>
      </w:r>
      <w:r>
        <w:rPr>
          <w:rFonts w:hint="eastAsia" w:ascii="宋体" w:eastAsia="宋体" w:cs="仿宋_GB2312"/>
          <w:sz w:val="24"/>
          <w:szCs w:val="24"/>
          <w:u w:val="single"/>
          <w:lang w:val="en-US" w:eastAsia="zh-CN" w:bidi="ar-SA"/>
        </w:rPr>
        <w:t xml:space="preserve">   </w:t>
      </w:r>
      <w:r>
        <w:rPr>
          <w:rFonts w:hint="eastAsia" w:ascii="宋体" w:eastAsia="宋体" w:cs="仿宋_GB2312"/>
          <w:sz w:val="24"/>
          <w:szCs w:val="24"/>
          <w:lang w:bidi="ar-SA"/>
        </w:rPr>
        <w:t>日                  二〇二</w:t>
      </w:r>
      <w:r>
        <w:rPr>
          <w:rFonts w:hint="eastAsia" w:ascii="宋体" w:eastAsia="宋体" w:cs="仿宋_GB2312"/>
          <w:sz w:val="24"/>
          <w:szCs w:val="24"/>
          <w:lang w:val="en-US" w:eastAsia="zh-CN" w:bidi="ar-SA"/>
        </w:rPr>
        <w:t>五</w:t>
      </w:r>
      <w:r>
        <w:rPr>
          <w:rFonts w:hint="eastAsia" w:ascii="宋体" w:eastAsia="宋体" w:cs="仿宋_GB2312"/>
          <w:sz w:val="24"/>
          <w:szCs w:val="24"/>
          <w:lang w:bidi="ar-SA"/>
        </w:rPr>
        <w:t>年</w:t>
      </w:r>
      <w:r>
        <w:rPr>
          <w:rFonts w:hint="eastAsia" w:ascii="宋体" w:eastAsia="宋体" w:cs="仿宋_GB2312"/>
          <w:sz w:val="24"/>
          <w:szCs w:val="24"/>
          <w:u w:val="single"/>
          <w:lang w:val="en-US" w:eastAsia="zh-CN" w:bidi="ar-SA"/>
        </w:rPr>
        <w:t xml:space="preserve">   </w:t>
      </w:r>
      <w:r>
        <w:rPr>
          <w:rFonts w:hint="eastAsia" w:ascii="宋体" w:eastAsia="宋体" w:cs="仿宋_GB2312"/>
          <w:sz w:val="24"/>
          <w:szCs w:val="24"/>
          <w:lang w:bidi="ar-SA"/>
        </w:rPr>
        <w:t>月</w:t>
      </w:r>
      <w:r>
        <w:rPr>
          <w:rFonts w:hint="eastAsia" w:ascii="宋体" w:eastAsia="宋体" w:cs="仿宋_GB2312"/>
          <w:sz w:val="24"/>
          <w:szCs w:val="24"/>
          <w:u w:val="single"/>
          <w:lang w:val="en-US" w:eastAsia="zh-CN" w:bidi="ar-SA"/>
        </w:rPr>
        <w:t xml:space="preserve">   </w:t>
      </w:r>
      <w:r>
        <w:rPr>
          <w:rFonts w:hint="eastAsia" w:ascii="宋体" w:eastAsia="宋体" w:cs="仿宋_GB2312"/>
          <w:sz w:val="24"/>
          <w:szCs w:val="24"/>
          <w:lang w:bidi="ar-SA"/>
        </w:rPr>
        <w:t>日</w:t>
      </w:r>
    </w:p>
    <w:p w14:paraId="18CAEC3F">
      <w:pPr>
        <w:pStyle w:val="48"/>
        <w:spacing w:line="360" w:lineRule="auto"/>
        <w:ind w:firstLine="440" w:firstLineChars="200"/>
        <w:rPr>
          <w:rFonts w:hint="eastAsia" w:ascii="宋体" w:cs="宋体"/>
          <w:highlight w:val="none"/>
          <w:lang w:eastAsia="zh-CN"/>
        </w:rPr>
      </w:pPr>
    </w:p>
    <w:p w14:paraId="090F99ED">
      <w:pPr>
        <w:spacing w:line="520" w:lineRule="exact"/>
        <w:rPr>
          <w:rFonts w:hint="eastAsia" w:ascii="宋体" w:cs="宋体"/>
          <w:sz w:val="22"/>
          <w:szCs w:val="22"/>
          <w:highlight w:val="none"/>
        </w:rPr>
      </w:pPr>
    </w:p>
    <w:p w14:paraId="18126FDE">
      <w:pPr>
        <w:pStyle w:val="15"/>
        <w:adjustRightInd w:val="0"/>
        <w:snapToGrid w:val="0"/>
        <w:spacing w:line="400" w:lineRule="exact"/>
        <w:jc w:val="center"/>
        <w:rPr>
          <w:rFonts w:hint="eastAsia" w:cs="宋体"/>
          <w:sz w:val="24"/>
          <w:szCs w:val="24"/>
          <w:highlight w:val="red"/>
        </w:rPr>
      </w:pPr>
    </w:p>
    <w:p w14:paraId="31BFC86B">
      <w:pPr>
        <w:pStyle w:val="16"/>
        <w:rPr>
          <w:rFonts w:hint="eastAsia" w:ascii="宋体" w:cs="宋体"/>
          <w:sz w:val="24"/>
          <w:szCs w:val="24"/>
          <w:highlight w:val="red"/>
        </w:rPr>
      </w:pPr>
    </w:p>
    <w:p w14:paraId="00920130">
      <w:pPr>
        <w:rPr>
          <w:rFonts w:ascii="宋体" w:cs="宋体"/>
          <w:b/>
          <w:bCs/>
          <w:sz w:val="32"/>
        </w:rPr>
      </w:pPr>
    </w:p>
    <w:p w14:paraId="61C2F9F0">
      <w:pPr>
        <w:pStyle w:val="2"/>
        <w:spacing w:before="0" w:after="0" w:line="360" w:lineRule="auto"/>
        <w:rPr>
          <w:rFonts w:ascii="宋体" w:cs="宋体"/>
          <w:b w:val="0"/>
          <w:bCs w:val="0"/>
          <w:sz w:val="21"/>
          <w:szCs w:val="21"/>
        </w:rPr>
        <w:sectPr>
          <w:footerReference r:id="rId11" w:type="default"/>
          <w:pgSz w:w="11907" w:h="16840"/>
          <w:pgMar w:top="1361" w:right="1474" w:bottom="1242" w:left="1474" w:header="720" w:footer="720" w:gutter="0"/>
          <w:cols w:space="720" w:num="1"/>
          <w:docGrid w:linePitch="285" w:charSpace="0"/>
        </w:sectPr>
      </w:pPr>
    </w:p>
    <w:p w14:paraId="3F79DE91">
      <w:pPr>
        <w:spacing w:line="360" w:lineRule="auto"/>
        <w:jc w:val="center"/>
        <w:outlineLvl w:val="0"/>
        <w:rPr>
          <w:b/>
          <w:bCs/>
          <w:sz w:val="32"/>
        </w:rPr>
      </w:pPr>
      <w:r>
        <w:rPr>
          <w:rFonts w:hint="eastAsia"/>
          <w:b/>
          <w:bCs/>
          <w:sz w:val="32"/>
        </w:rPr>
        <w:t>第六章 投标文件格式</w:t>
      </w:r>
      <w:bookmarkEnd w:id="54"/>
    </w:p>
    <w:p w14:paraId="2D202E8E">
      <w:pPr>
        <w:pStyle w:val="29"/>
        <w:ind w:left="0" w:leftChars="0" w:firstLine="0" w:firstLineChars="0"/>
        <w:rPr>
          <w:sz w:val="24"/>
        </w:rPr>
      </w:pPr>
    </w:p>
    <w:p w14:paraId="1F828815">
      <w:pPr>
        <w:pStyle w:val="4"/>
        <w:spacing w:before="0" w:after="0" w:line="360" w:lineRule="auto"/>
        <w:rPr>
          <w:sz w:val="24"/>
          <w:szCs w:val="24"/>
        </w:rPr>
      </w:pPr>
      <w:r>
        <w:rPr>
          <w:rFonts w:hint="eastAsia"/>
          <w:sz w:val="24"/>
          <w:szCs w:val="24"/>
        </w:rPr>
        <w:t xml:space="preserve">3.1 </w:t>
      </w:r>
      <w:r>
        <w:rPr>
          <w:sz w:val="24"/>
          <w:szCs w:val="24"/>
        </w:rPr>
        <w:t>投标文件的组成</w:t>
      </w:r>
    </w:p>
    <w:p w14:paraId="0DFF7F59">
      <w:pPr>
        <w:spacing w:line="360" w:lineRule="auto"/>
        <w:rPr>
          <w:rFonts w:ascii="宋体" w:cs="宋体"/>
          <w:sz w:val="24"/>
          <w:highlight w:val="none"/>
        </w:rPr>
      </w:pPr>
      <w:r>
        <w:rPr>
          <w:rFonts w:ascii="宋体" w:cs="宋体"/>
          <w:sz w:val="24"/>
          <w:highlight w:val="none"/>
        </w:rPr>
        <w:t>3.1.1</w:t>
      </w:r>
      <w:r>
        <w:rPr>
          <w:rFonts w:hint="eastAsia" w:ascii="宋体" w:cs="宋体"/>
          <w:sz w:val="24"/>
          <w:highlight w:val="none"/>
        </w:rPr>
        <w:t xml:space="preserve"> 投标文件由</w:t>
      </w:r>
      <w:r>
        <w:rPr>
          <w:rFonts w:hint="eastAsia"/>
          <w:b/>
          <w:sz w:val="24"/>
          <w:highlight w:val="none"/>
        </w:rPr>
        <w:t>技术资信文件</w:t>
      </w:r>
      <w:r>
        <w:rPr>
          <w:rFonts w:hint="eastAsia" w:ascii="宋体" w:cs="宋体"/>
          <w:b/>
          <w:sz w:val="24"/>
          <w:highlight w:val="none"/>
        </w:rPr>
        <w:t>和</w:t>
      </w:r>
      <w:r>
        <w:rPr>
          <w:rFonts w:hint="eastAsia"/>
          <w:b/>
          <w:sz w:val="24"/>
          <w:highlight w:val="none"/>
        </w:rPr>
        <w:t>商务经济文件</w:t>
      </w:r>
      <w:r>
        <w:rPr>
          <w:rFonts w:hint="eastAsia" w:ascii="宋体" w:cs="宋体"/>
          <w:sz w:val="24"/>
          <w:highlight w:val="none"/>
        </w:rPr>
        <w:t>两部分组成。</w:t>
      </w:r>
    </w:p>
    <w:p w14:paraId="17ED5F4A">
      <w:pPr>
        <w:spacing w:line="360" w:lineRule="auto"/>
        <w:ind w:firstLine="480" w:firstLineChars="200"/>
        <w:rPr>
          <w:rFonts w:ascii="宋体" w:cs="宋体"/>
          <w:sz w:val="24"/>
          <w:highlight w:val="none"/>
          <w:lang w:val="zh-CN"/>
        </w:rPr>
      </w:pPr>
      <w:r>
        <w:rPr>
          <w:rFonts w:ascii="宋体" w:cs="宋体"/>
          <w:sz w:val="24"/>
          <w:highlight w:val="none"/>
          <w:lang w:val="zh-CN"/>
        </w:rPr>
        <w:t>技术资信文件</w:t>
      </w:r>
      <w:r>
        <w:rPr>
          <w:rFonts w:hint="eastAsia" w:ascii="宋体" w:cs="宋体"/>
          <w:sz w:val="24"/>
          <w:highlight w:val="none"/>
          <w:lang w:val="zh-CN"/>
        </w:rPr>
        <w:t>中必须包括：</w:t>
      </w:r>
    </w:p>
    <w:p w14:paraId="77629B42">
      <w:pPr>
        <w:widowControl/>
        <w:spacing w:line="360" w:lineRule="auto"/>
        <w:textAlignment w:val="baseline"/>
        <w:rPr>
          <w:sz w:val="24"/>
          <w:highlight w:val="none"/>
        </w:rPr>
      </w:pPr>
      <w:r>
        <w:rPr>
          <w:rFonts w:hint="eastAsia"/>
          <w:sz w:val="24"/>
          <w:highlight w:val="none"/>
        </w:rPr>
        <w:t>（1）技术资信标书封面（格式见附件）</w:t>
      </w:r>
    </w:p>
    <w:p w14:paraId="4978522E">
      <w:pPr>
        <w:widowControl/>
        <w:spacing w:line="360" w:lineRule="auto"/>
        <w:textAlignment w:val="baseline"/>
        <w:rPr>
          <w:sz w:val="24"/>
          <w:highlight w:val="none"/>
        </w:rPr>
      </w:pPr>
      <w:r>
        <w:rPr>
          <w:rFonts w:hint="eastAsia"/>
          <w:sz w:val="24"/>
          <w:highlight w:val="none"/>
        </w:rPr>
        <w:t>（2）▲资格证明文件：</w:t>
      </w:r>
    </w:p>
    <w:p w14:paraId="5DF5C8BB">
      <w:pPr>
        <w:spacing w:line="360" w:lineRule="auto"/>
        <w:ind w:firstLine="480" w:firstLineChars="200"/>
        <w:rPr>
          <w:rFonts w:hint="eastAsia" w:ascii="宋体" w:eastAsia="宋体" w:cs="宋体"/>
          <w:sz w:val="24"/>
          <w:highlight w:val="none"/>
          <w:lang w:val="zh-CN"/>
        </w:rPr>
      </w:pPr>
      <w:r>
        <w:rPr>
          <w:rFonts w:hint="eastAsia" w:ascii="宋体" w:eastAsia="宋体" w:cs="宋体"/>
          <w:sz w:val="24"/>
          <w:highlight w:val="none"/>
          <w:lang w:val="zh-CN"/>
        </w:rPr>
        <w:t>1</w:t>
      </w:r>
      <w:r>
        <w:rPr>
          <w:rFonts w:hint="eastAsia" w:ascii="宋体" w:eastAsia="宋体" w:cs="宋体"/>
          <w:sz w:val="24"/>
          <w:highlight w:val="none"/>
          <w:lang w:val="zh-CN" w:eastAsia="zh-CN"/>
        </w:rPr>
        <w:t>.</w:t>
      </w:r>
      <w:r>
        <w:rPr>
          <w:rFonts w:hint="eastAsia" w:ascii="宋体" w:eastAsia="宋体" w:cs="宋体"/>
          <w:sz w:val="24"/>
          <w:highlight w:val="none"/>
          <w:lang w:val="zh-CN"/>
        </w:rPr>
        <w:t>投标人资格承诺函(格式见附件)；</w:t>
      </w:r>
    </w:p>
    <w:p w14:paraId="7A9CE4AA">
      <w:pPr>
        <w:spacing w:line="360" w:lineRule="auto"/>
        <w:ind w:firstLine="480" w:firstLineChars="200"/>
        <w:rPr>
          <w:rFonts w:hint="eastAsia" w:ascii="宋体" w:eastAsia="宋体" w:cs="宋体"/>
          <w:sz w:val="24"/>
          <w:highlight w:val="none"/>
          <w:lang w:val="zh-CN"/>
        </w:rPr>
      </w:pPr>
      <w:r>
        <w:rPr>
          <w:rFonts w:hint="eastAsia" w:ascii="宋体" w:eastAsia="宋体" w:cs="宋体"/>
          <w:sz w:val="24"/>
          <w:highlight w:val="none"/>
          <w:lang w:val="en-US" w:eastAsia="zh-CN"/>
        </w:rPr>
        <w:t>2.</w:t>
      </w:r>
      <w:r>
        <w:rPr>
          <w:rFonts w:hint="eastAsia" w:ascii="宋体" w:eastAsia="宋体" w:cs="宋体"/>
          <w:kern w:val="2"/>
          <w:sz w:val="24"/>
          <w:szCs w:val="24"/>
          <w:highlight w:val="none"/>
          <w:lang w:val="en-US" w:eastAsia="zh-CN" w:bidi="ar-SA"/>
        </w:rPr>
        <w:t>招标公告中投标人资格要求的全部内容提供资料</w:t>
      </w:r>
    </w:p>
    <w:p w14:paraId="19D3F273">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3.</w:t>
      </w:r>
      <w:r>
        <w:rPr>
          <w:rFonts w:hint="eastAsia" w:ascii="宋体" w:eastAsia="宋体" w:cs="宋体"/>
          <w:sz w:val="24"/>
          <w:highlight w:val="none"/>
          <w:lang w:val="zh-CN"/>
        </w:rPr>
        <w:t>法定代表人身份证明或法定代表人授权委托书；</w:t>
      </w:r>
    </w:p>
    <w:p w14:paraId="2CE28B2F">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4.</w:t>
      </w:r>
      <w:r>
        <w:rPr>
          <w:rFonts w:hint="eastAsia" w:ascii="宋体" w:eastAsia="宋体" w:cs="宋体"/>
          <w:sz w:val="24"/>
          <w:highlight w:val="none"/>
          <w:lang w:val="zh-CN"/>
        </w:rPr>
        <w:t>投标声明书（格式见附件）；</w:t>
      </w:r>
    </w:p>
    <w:p w14:paraId="0548DF11">
      <w:pPr>
        <w:spacing w:line="360" w:lineRule="auto"/>
        <w:ind w:firstLine="480" w:firstLineChars="200"/>
        <w:rPr>
          <w:rFonts w:ascii="宋体" w:eastAsia="宋体" w:cs="宋体"/>
          <w:sz w:val="24"/>
          <w:highlight w:val="none"/>
          <w:lang w:val="zh-CN"/>
        </w:rPr>
      </w:pPr>
      <w:r>
        <w:rPr>
          <w:rFonts w:hint="eastAsia" w:ascii="宋体" w:eastAsia="宋体" w:cs="宋体"/>
          <w:sz w:val="24"/>
          <w:highlight w:val="none"/>
          <w:lang w:val="en-US" w:eastAsia="zh-CN"/>
        </w:rPr>
        <w:t>5.</w:t>
      </w:r>
      <w:r>
        <w:rPr>
          <w:rFonts w:hint="eastAsia" w:ascii="宋体" w:eastAsia="宋体" w:cs="宋体"/>
          <w:sz w:val="24"/>
          <w:highlight w:val="none"/>
          <w:lang w:val="zh-CN"/>
        </w:rPr>
        <w:t>提供供应商（服务商）承诺书及廉洁承诺书（格式见附件）；</w:t>
      </w:r>
    </w:p>
    <w:p w14:paraId="164C93DF">
      <w:pPr>
        <w:spacing w:line="360" w:lineRule="auto"/>
        <w:ind w:firstLine="480" w:firstLineChars="200"/>
        <w:rPr>
          <w:kern w:val="0"/>
          <w:sz w:val="24"/>
          <w:highlight w:val="none"/>
        </w:rPr>
      </w:pPr>
      <w:r>
        <w:rPr>
          <w:kern w:val="0"/>
          <w:sz w:val="24"/>
          <w:highlight w:val="none"/>
        </w:rPr>
        <w:t>以上为资格证明必备条件，所提供的材料必须在有效期内。资格审查未通过的，投标文件作</w:t>
      </w:r>
      <w:r>
        <w:rPr>
          <w:b/>
          <w:bCs/>
          <w:kern w:val="0"/>
          <w:sz w:val="24"/>
          <w:highlight w:val="none"/>
        </w:rPr>
        <w:t>否决</w:t>
      </w:r>
      <w:r>
        <w:rPr>
          <w:kern w:val="0"/>
          <w:sz w:val="24"/>
          <w:highlight w:val="none"/>
        </w:rPr>
        <w:t>处理。</w:t>
      </w:r>
    </w:p>
    <w:p w14:paraId="3281EA75">
      <w:pPr>
        <w:spacing w:line="360" w:lineRule="auto"/>
        <w:rPr>
          <w:rFonts w:ascii="宋体" w:cs="宋体"/>
          <w:sz w:val="24"/>
          <w:lang w:val="zh-CN"/>
        </w:rPr>
      </w:pPr>
      <w:r>
        <w:rPr>
          <w:rFonts w:hint="eastAsia" w:ascii="宋体" w:cs="宋体"/>
          <w:sz w:val="24"/>
          <w:lang w:val="zh-CN"/>
        </w:rPr>
        <w:t>（</w:t>
      </w:r>
      <w:r>
        <w:rPr>
          <w:rFonts w:hint="eastAsia" w:ascii="宋体" w:cs="宋体"/>
          <w:sz w:val="24"/>
        </w:rPr>
        <w:t>3</w:t>
      </w:r>
      <w:r>
        <w:rPr>
          <w:rFonts w:hint="eastAsia" w:ascii="宋体" w:cs="宋体"/>
          <w:sz w:val="24"/>
          <w:lang w:val="zh-CN"/>
        </w:rPr>
        <w:t>）投标保证金支付凭证；</w:t>
      </w:r>
    </w:p>
    <w:p w14:paraId="7B7E0EC9">
      <w:pPr>
        <w:spacing w:line="360" w:lineRule="auto"/>
        <w:rPr>
          <w:rFonts w:ascii="宋体" w:cs="宋体"/>
          <w:sz w:val="24"/>
          <w:lang w:val="zh-CN"/>
        </w:rPr>
      </w:pPr>
      <w:r>
        <w:rPr>
          <w:rFonts w:hint="eastAsia" w:ascii="宋体" w:cs="宋体"/>
          <w:sz w:val="24"/>
          <w:lang w:val="zh-CN"/>
        </w:rPr>
        <w:t>（</w:t>
      </w:r>
      <w:r>
        <w:rPr>
          <w:rFonts w:hint="eastAsia" w:ascii="宋体" w:cs="宋体"/>
          <w:sz w:val="24"/>
          <w:lang w:val="en-US" w:eastAsia="zh-CN"/>
        </w:rPr>
        <w:t>4</w:t>
      </w:r>
      <w:r>
        <w:rPr>
          <w:rFonts w:hint="eastAsia" w:ascii="宋体" w:cs="宋体"/>
          <w:sz w:val="24"/>
          <w:lang w:val="zh-CN"/>
        </w:rPr>
        <w:t>）评分办法要求的其他内容；</w:t>
      </w:r>
    </w:p>
    <w:p w14:paraId="1021C9CF">
      <w:pPr>
        <w:pStyle w:val="15"/>
        <w:snapToGrid w:val="0"/>
        <w:spacing w:line="360" w:lineRule="auto"/>
        <w:rPr>
          <w:rFonts w:cs="宋体"/>
          <w:sz w:val="24"/>
          <w:szCs w:val="24"/>
        </w:rPr>
      </w:pPr>
      <w:r>
        <w:rPr>
          <w:rFonts w:hint="eastAsia" w:cs="宋体"/>
          <w:kern w:val="0"/>
          <w:sz w:val="24"/>
          <w:szCs w:val="24"/>
        </w:rPr>
        <w:t>（</w:t>
      </w:r>
      <w:r>
        <w:rPr>
          <w:rFonts w:hint="eastAsia" w:cs="宋体"/>
          <w:kern w:val="0"/>
          <w:sz w:val="24"/>
          <w:szCs w:val="24"/>
          <w:lang w:val="en-US" w:eastAsia="zh-CN"/>
        </w:rPr>
        <w:t>5</w:t>
      </w:r>
      <w:r>
        <w:rPr>
          <w:rFonts w:hint="eastAsia" w:cs="宋体"/>
          <w:kern w:val="0"/>
          <w:sz w:val="24"/>
          <w:szCs w:val="24"/>
        </w:rPr>
        <w:t>）投标人认为需要提供的其他文件和资料</w:t>
      </w:r>
      <w:r>
        <w:rPr>
          <w:rFonts w:hint="eastAsia" w:cs="宋体"/>
          <w:sz w:val="24"/>
          <w:szCs w:val="24"/>
        </w:rPr>
        <w:t>。</w:t>
      </w:r>
    </w:p>
    <w:p w14:paraId="71000504">
      <w:pPr>
        <w:spacing w:line="360" w:lineRule="auto"/>
        <w:ind w:firstLine="482" w:firstLineChars="200"/>
        <w:rPr>
          <w:rFonts w:ascii="宋体" w:cs="宋体"/>
          <w:sz w:val="24"/>
          <w:lang w:val="zh-CN"/>
        </w:rPr>
      </w:pPr>
      <w:r>
        <w:rPr>
          <w:rFonts w:hint="eastAsia" w:ascii="宋体" w:cs="宋体"/>
          <w:b/>
          <w:bCs/>
          <w:sz w:val="24"/>
        </w:rPr>
        <w:t>商务经济文件</w:t>
      </w:r>
      <w:r>
        <w:rPr>
          <w:rFonts w:hint="eastAsia" w:ascii="宋体" w:cs="宋体"/>
          <w:sz w:val="24"/>
          <w:lang w:val="zh-CN"/>
        </w:rPr>
        <w:t>中必须包括：</w:t>
      </w:r>
    </w:p>
    <w:p w14:paraId="3AF15D36">
      <w:pPr>
        <w:spacing w:line="360" w:lineRule="auto"/>
        <w:ind w:firstLine="240" w:firstLineChars="100"/>
        <w:rPr>
          <w:rFonts w:ascii="宋体" w:cs="宋体"/>
          <w:sz w:val="24"/>
          <w:lang w:val="zh-CN"/>
        </w:rPr>
      </w:pPr>
      <w:r>
        <w:rPr>
          <w:rFonts w:hint="eastAsia" w:ascii="宋体" w:cs="宋体"/>
          <w:sz w:val="24"/>
          <w:lang w:val="zh-CN"/>
        </w:rPr>
        <w:t>（1）商务经济文件封面；</w:t>
      </w:r>
    </w:p>
    <w:p w14:paraId="55EDAE77">
      <w:pPr>
        <w:spacing w:line="360" w:lineRule="auto"/>
        <w:ind w:firstLine="240" w:firstLineChars="100"/>
        <w:rPr>
          <w:rFonts w:ascii="宋体" w:cs="宋体"/>
          <w:sz w:val="24"/>
          <w:lang w:val="zh-CN"/>
        </w:rPr>
      </w:pPr>
      <w:r>
        <w:rPr>
          <w:rFonts w:hint="eastAsia" w:ascii="宋体" w:cs="宋体"/>
          <w:sz w:val="24"/>
          <w:lang w:val="zh-CN"/>
        </w:rPr>
        <w:t>（2）投标函；</w:t>
      </w:r>
    </w:p>
    <w:p w14:paraId="1A1CD85C">
      <w:pPr>
        <w:spacing w:line="360" w:lineRule="auto"/>
        <w:ind w:firstLine="240" w:firstLineChars="100"/>
        <w:rPr>
          <w:rFonts w:hint="eastAsia" w:ascii="宋体" w:cs="宋体"/>
          <w:sz w:val="24"/>
        </w:rPr>
      </w:pPr>
      <w:r>
        <w:rPr>
          <w:rFonts w:hint="eastAsia" w:ascii="宋体" w:cs="宋体"/>
          <w:sz w:val="24"/>
          <w:lang w:val="zh-CN"/>
        </w:rPr>
        <w:t>（</w:t>
      </w:r>
      <w:r>
        <w:rPr>
          <w:rFonts w:hint="eastAsia" w:ascii="宋体" w:cs="宋体"/>
          <w:sz w:val="24"/>
        </w:rPr>
        <w:t>3</w:t>
      </w:r>
      <w:r>
        <w:rPr>
          <w:rFonts w:hint="eastAsia" w:ascii="宋体" w:cs="宋体"/>
          <w:sz w:val="24"/>
          <w:lang w:val="zh-CN"/>
        </w:rPr>
        <w:t>）</w:t>
      </w:r>
      <w:r>
        <w:rPr>
          <w:rFonts w:hint="eastAsia" w:ascii="宋体" w:cs="宋体"/>
          <w:sz w:val="24"/>
        </w:rPr>
        <w:t>投标人认为需要提供的其他文件和资料。</w:t>
      </w:r>
    </w:p>
    <w:p w14:paraId="09C09131">
      <w:pPr>
        <w:rPr>
          <w:sz w:val="24"/>
        </w:rPr>
      </w:pPr>
    </w:p>
    <w:p w14:paraId="3DFED971">
      <w:pPr>
        <w:pStyle w:val="29"/>
        <w:rPr>
          <w:sz w:val="24"/>
        </w:rPr>
      </w:pPr>
    </w:p>
    <w:p w14:paraId="57EB46FE">
      <w:pPr>
        <w:pStyle w:val="29"/>
        <w:rPr>
          <w:sz w:val="24"/>
        </w:rPr>
      </w:pPr>
    </w:p>
    <w:p w14:paraId="306B9D4D"/>
    <w:p w14:paraId="49901FA3">
      <w:pPr>
        <w:pStyle w:val="29"/>
        <w:rPr>
          <w:sz w:val="24"/>
        </w:rPr>
      </w:pPr>
    </w:p>
    <w:p w14:paraId="10812A0A">
      <w:pPr>
        <w:pStyle w:val="12"/>
        <w:rPr>
          <w:sz w:val="24"/>
        </w:rPr>
      </w:pPr>
    </w:p>
    <w:p w14:paraId="65FA00AA">
      <w:pPr>
        <w:rPr>
          <w:sz w:val="24"/>
        </w:rPr>
      </w:pPr>
    </w:p>
    <w:p w14:paraId="39C0AA34">
      <w:pPr>
        <w:rPr>
          <w:sz w:val="24"/>
        </w:rPr>
      </w:pPr>
    </w:p>
    <w:p w14:paraId="6D7C57C2">
      <w:pPr>
        <w:rPr>
          <w:sz w:val="24"/>
        </w:rPr>
      </w:pPr>
    </w:p>
    <w:p w14:paraId="69A3C2E2">
      <w:pPr>
        <w:rPr>
          <w:sz w:val="24"/>
        </w:rPr>
      </w:pPr>
    </w:p>
    <w:p w14:paraId="2FDAEC6A">
      <w:pPr>
        <w:rPr>
          <w:sz w:val="24"/>
        </w:rPr>
      </w:pPr>
    </w:p>
    <w:p w14:paraId="4E9E0984">
      <w:pPr>
        <w:rPr>
          <w:sz w:val="24"/>
        </w:rPr>
      </w:pPr>
    </w:p>
    <w:p w14:paraId="52E1E36A">
      <w:pPr>
        <w:rPr>
          <w:sz w:val="24"/>
        </w:rPr>
      </w:pPr>
    </w:p>
    <w:p w14:paraId="1DE65977">
      <w:pPr>
        <w:rPr>
          <w:sz w:val="24"/>
        </w:rPr>
      </w:pPr>
    </w:p>
    <w:p w14:paraId="57A10336">
      <w:pPr>
        <w:rPr>
          <w:sz w:val="24"/>
        </w:rPr>
      </w:pPr>
    </w:p>
    <w:p w14:paraId="6AAD0D6D">
      <w:pPr>
        <w:rPr>
          <w:sz w:val="24"/>
        </w:rPr>
      </w:pPr>
    </w:p>
    <w:p w14:paraId="4333DA78">
      <w:pPr>
        <w:jc w:val="center"/>
        <w:rPr>
          <w:rFonts w:ascii="黑体" w:eastAsia="黑体"/>
          <w:sz w:val="28"/>
          <w:szCs w:val="28"/>
        </w:rPr>
      </w:pPr>
      <w:r>
        <w:rPr>
          <w:rFonts w:hint="eastAsia" w:ascii="宋体"/>
          <w:sz w:val="28"/>
          <w:szCs w:val="28"/>
          <w:u w:val="single"/>
        </w:rPr>
        <w:t xml:space="preserve">                                       </w:t>
      </w:r>
      <w:r>
        <w:rPr>
          <w:rFonts w:hint="eastAsia" w:ascii="黑体" w:eastAsia="黑体"/>
          <w:sz w:val="28"/>
          <w:szCs w:val="28"/>
        </w:rPr>
        <w:t>招标</w:t>
      </w:r>
    </w:p>
    <w:p w14:paraId="1D8C45F6">
      <w:pPr>
        <w:spacing w:before="240" w:beforeLines="100"/>
        <w:jc w:val="center"/>
        <w:rPr>
          <w:rFonts w:ascii="黑体" w:eastAsia="黑体"/>
          <w:sz w:val="44"/>
          <w:szCs w:val="44"/>
        </w:rPr>
      </w:pPr>
      <w:r>
        <w:rPr>
          <w:rFonts w:hint="eastAsia" w:ascii="黑体" w:eastAsia="黑体"/>
          <w:sz w:val="44"/>
          <w:szCs w:val="44"/>
        </w:rPr>
        <w:t>投  标  文  件</w:t>
      </w:r>
    </w:p>
    <w:p w14:paraId="74B9634E">
      <w:pPr>
        <w:jc w:val="center"/>
        <w:rPr>
          <w:rFonts w:ascii="黑体" w:eastAsia="黑体"/>
          <w:sz w:val="32"/>
          <w:szCs w:val="32"/>
        </w:rPr>
      </w:pPr>
    </w:p>
    <w:p w14:paraId="3C88EC11">
      <w:pPr>
        <w:jc w:val="center"/>
        <w:rPr>
          <w:rFonts w:ascii="黑体" w:eastAsia="黑体"/>
          <w:sz w:val="32"/>
          <w:szCs w:val="32"/>
        </w:rPr>
      </w:pPr>
    </w:p>
    <w:p w14:paraId="1CE3B2E1">
      <w:pPr>
        <w:jc w:val="center"/>
        <w:rPr>
          <w:rFonts w:ascii="黑体" w:eastAsia="黑体"/>
          <w:sz w:val="32"/>
          <w:szCs w:val="32"/>
        </w:rPr>
      </w:pPr>
    </w:p>
    <w:p w14:paraId="3E97380E">
      <w:pPr>
        <w:jc w:val="center"/>
        <w:rPr>
          <w:rFonts w:ascii="黑体" w:eastAsia="黑体"/>
          <w:sz w:val="32"/>
          <w:szCs w:val="32"/>
        </w:rPr>
      </w:pPr>
    </w:p>
    <w:p w14:paraId="179A7A73">
      <w:pPr>
        <w:jc w:val="center"/>
        <w:rPr>
          <w:rFonts w:ascii="黑体" w:eastAsia="黑体"/>
          <w:sz w:val="32"/>
          <w:szCs w:val="32"/>
        </w:rPr>
      </w:pPr>
    </w:p>
    <w:p w14:paraId="796A186E">
      <w:pPr>
        <w:jc w:val="center"/>
        <w:rPr>
          <w:rFonts w:ascii="黑体" w:eastAsia="黑体"/>
          <w:sz w:val="32"/>
          <w:szCs w:val="32"/>
        </w:rPr>
      </w:pPr>
    </w:p>
    <w:p w14:paraId="798F3C4B">
      <w:pPr>
        <w:snapToGrid w:val="0"/>
        <w:spacing w:line="480" w:lineRule="auto"/>
        <w:rPr>
          <w:rFonts w:ascii="黑体" w:eastAsia="黑体"/>
          <w:sz w:val="28"/>
          <w:szCs w:val="28"/>
          <w:u w:val="single"/>
          <w:lang w:val="en-US" w:eastAsia="zh-CN"/>
        </w:rPr>
      </w:pPr>
      <w:r>
        <w:rPr>
          <w:rFonts w:hint="eastAsia" w:ascii="黑体" w:eastAsia="黑体"/>
          <w:sz w:val="28"/>
          <w:szCs w:val="28"/>
        </w:rPr>
        <w:t>项 目 名 称 ：</w:t>
      </w:r>
      <w:r>
        <w:rPr>
          <w:rFonts w:hint="eastAsia" w:ascii="黑体" w:eastAsia="黑体"/>
          <w:sz w:val="28"/>
          <w:szCs w:val="28"/>
          <w:u w:val="single"/>
        </w:rPr>
        <w:t xml:space="preserve"> </w:t>
      </w:r>
      <w:r>
        <w:rPr>
          <w:rFonts w:hint="eastAsia" w:ascii="黑体" w:eastAsia="黑体"/>
          <w:sz w:val="28"/>
          <w:szCs w:val="28"/>
          <w:u w:val="single"/>
          <w:lang w:val="en-US" w:eastAsia="zh-CN"/>
        </w:rPr>
        <w:t xml:space="preserve">                                                  </w:t>
      </w:r>
    </w:p>
    <w:p w14:paraId="0E7A27B9">
      <w:pPr>
        <w:snapToGrid w:val="0"/>
        <w:spacing w:line="480" w:lineRule="auto"/>
        <w:jc w:val="left"/>
        <w:rPr>
          <w:rFonts w:ascii="黑体" w:eastAsia="黑体"/>
          <w:sz w:val="32"/>
          <w:szCs w:val="32"/>
        </w:rPr>
      </w:pPr>
      <w:r>
        <w:rPr>
          <w:rFonts w:hint="eastAsia" w:ascii="黑体" w:eastAsia="黑体"/>
          <w:sz w:val="28"/>
          <w:szCs w:val="28"/>
        </w:rPr>
        <w:t>投标文件内容：</w:t>
      </w:r>
      <w:r>
        <w:rPr>
          <w:rFonts w:hint="eastAsia" w:ascii="黑体" w:eastAsia="黑体"/>
          <w:sz w:val="28"/>
          <w:szCs w:val="28"/>
          <w:u w:val="single"/>
        </w:rPr>
        <w:t xml:space="preserve">                 技术资信文件               </w:t>
      </w:r>
      <w:r>
        <w:rPr>
          <w:rFonts w:ascii="黑体" w:eastAsia="黑体"/>
          <w:sz w:val="28"/>
          <w:szCs w:val="28"/>
          <w:u w:val="single"/>
        </w:rPr>
        <w:t xml:space="preserve">    </w:t>
      </w:r>
      <w:r>
        <w:rPr>
          <w:rFonts w:hint="eastAsia" w:ascii="黑体" w:eastAsia="黑体"/>
          <w:sz w:val="28"/>
          <w:szCs w:val="28"/>
          <w:u w:val="single"/>
        </w:rPr>
        <w:t xml:space="preserve">   </w:t>
      </w:r>
    </w:p>
    <w:p w14:paraId="5AA15404">
      <w:pPr>
        <w:spacing w:line="480" w:lineRule="auto"/>
        <w:rPr>
          <w:rFonts w:ascii="黑体" w:eastAsia="黑体"/>
          <w:sz w:val="28"/>
          <w:szCs w:val="28"/>
        </w:rPr>
      </w:pPr>
      <w:r>
        <w:rPr>
          <w:rFonts w:hint="eastAsia" w:ascii="黑体" w:eastAsia="黑体"/>
          <w:sz w:val="28"/>
          <w:szCs w:val="28"/>
        </w:rPr>
        <w:t>投  标  人：</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u w:val="single"/>
        </w:rPr>
        <w:t xml:space="preserve">    </w:t>
      </w:r>
      <w:r>
        <w:rPr>
          <w:rFonts w:hint="eastAsia" w:ascii="黑体" w:eastAsia="黑体"/>
          <w:sz w:val="28"/>
          <w:szCs w:val="28"/>
        </w:rPr>
        <w:t>（盖章）</w:t>
      </w:r>
    </w:p>
    <w:p w14:paraId="38455F9D">
      <w:pPr>
        <w:spacing w:line="480" w:lineRule="auto"/>
        <w:rPr>
          <w:rFonts w:ascii="黑体" w:eastAsia="黑体"/>
          <w:sz w:val="28"/>
          <w:szCs w:val="28"/>
        </w:rPr>
      </w:pPr>
      <w:r>
        <w:rPr>
          <w:rFonts w:hint="eastAsia" w:ascii="黑体" w:eastAsia="黑体"/>
          <w:sz w:val="28"/>
          <w:szCs w:val="28"/>
        </w:rPr>
        <w:t>法定代表人：</w:t>
      </w:r>
      <w:r>
        <w:rPr>
          <w:rFonts w:hint="eastAsia" w:ascii="黑体" w:eastAsia="黑体"/>
          <w:sz w:val="28"/>
          <w:szCs w:val="28"/>
          <w:u w:val="single"/>
        </w:rPr>
        <w:t xml:space="preserve">                                         </w:t>
      </w:r>
      <w:r>
        <w:rPr>
          <w:rFonts w:hint="eastAsia" w:ascii="黑体" w:eastAsia="黑体"/>
          <w:sz w:val="28"/>
          <w:szCs w:val="28"/>
        </w:rPr>
        <w:t>（签字或盖章）</w:t>
      </w:r>
    </w:p>
    <w:p w14:paraId="203703F9">
      <w:pPr>
        <w:spacing w:line="480" w:lineRule="auto"/>
        <w:jc w:val="center"/>
        <w:rPr>
          <w:rFonts w:ascii="黑体" w:eastAsia="黑体"/>
          <w:sz w:val="28"/>
          <w:szCs w:val="28"/>
        </w:rPr>
      </w:pPr>
    </w:p>
    <w:p w14:paraId="1A6FDF9F">
      <w:pPr>
        <w:spacing w:line="480" w:lineRule="auto"/>
        <w:jc w:val="center"/>
        <w:rPr>
          <w:rFonts w:ascii="黑体" w:eastAsia="黑体"/>
          <w:sz w:val="28"/>
          <w:szCs w:val="28"/>
        </w:rPr>
      </w:pPr>
    </w:p>
    <w:p w14:paraId="4CECBEEE">
      <w:pPr>
        <w:spacing w:line="480" w:lineRule="auto"/>
        <w:jc w:val="center"/>
        <w:rPr>
          <w:rFonts w:ascii="黑体" w:eastAsia="黑体"/>
          <w:sz w:val="28"/>
          <w:szCs w:val="28"/>
        </w:rPr>
      </w:pPr>
      <w:r>
        <w:rPr>
          <w:rFonts w:hint="eastAsia" w:ascii="黑体" w:eastAsia="黑体"/>
          <w:sz w:val="28"/>
          <w:szCs w:val="28"/>
          <w:u w:val="single"/>
        </w:rPr>
        <w:t xml:space="preserve">         </w:t>
      </w:r>
      <w:r>
        <w:rPr>
          <w:rFonts w:hint="eastAsia" w:ascii="黑体" w:eastAsia="黑体"/>
          <w:sz w:val="28"/>
          <w:szCs w:val="28"/>
        </w:rPr>
        <w:t>年</w:t>
      </w:r>
      <w:r>
        <w:rPr>
          <w:rFonts w:hint="eastAsia" w:ascii="黑体" w:eastAsia="黑体"/>
          <w:sz w:val="28"/>
          <w:szCs w:val="28"/>
          <w:u w:val="single"/>
        </w:rPr>
        <w:t xml:space="preserve">         </w:t>
      </w:r>
      <w:r>
        <w:rPr>
          <w:rFonts w:hint="eastAsia" w:ascii="黑体" w:eastAsia="黑体"/>
          <w:sz w:val="28"/>
          <w:szCs w:val="28"/>
        </w:rPr>
        <w:t>月</w:t>
      </w:r>
      <w:r>
        <w:rPr>
          <w:rFonts w:hint="eastAsia" w:ascii="黑体" w:eastAsia="黑体"/>
          <w:sz w:val="28"/>
          <w:szCs w:val="28"/>
          <w:u w:val="single"/>
        </w:rPr>
        <w:t xml:space="preserve">         </w:t>
      </w:r>
      <w:r>
        <w:rPr>
          <w:rFonts w:hint="eastAsia" w:ascii="黑体" w:eastAsia="黑体"/>
          <w:sz w:val="28"/>
          <w:szCs w:val="28"/>
        </w:rPr>
        <w:t>日</w:t>
      </w:r>
    </w:p>
    <w:p w14:paraId="79590D45">
      <w:pPr>
        <w:tabs>
          <w:tab w:val="left" w:pos="4410"/>
        </w:tabs>
        <w:spacing w:line="360" w:lineRule="auto"/>
        <w:jc w:val="center"/>
        <w:rPr>
          <w:rFonts w:ascii="黑体" w:eastAsia="黑体"/>
          <w:sz w:val="28"/>
          <w:szCs w:val="28"/>
        </w:rPr>
      </w:pPr>
    </w:p>
    <w:p w14:paraId="73BAECFE">
      <w:pPr>
        <w:tabs>
          <w:tab w:val="left" w:pos="4410"/>
        </w:tabs>
        <w:spacing w:line="360" w:lineRule="auto"/>
        <w:jc w:val="center"/>
        <w:rPr>
          <w:rFonts w:ascii="黑体" w:eastAsia="黑体"/>
          <w:sz w:val="28"/>
          <w:szCs w:val="28"/>
        </w:rPr>
      </w:pPr>
    </w:p>
    <w:p w14:paraId="05DF4FF7">
      <w:pPr>
        <w:tabs>
          <w:tab w:val="left" w:pos="4410"/>
        </w:tabs>
        <w:spacing w:line="360" w:lineRule="auto"/>
        <w:jc w:val="both"/>
        <w:rPr>
          <w:rFonts w:ascii="黑体" w:eastAsia="黑体"/>
          <w:sz w:val="28"/>
          <w:szCs w:val="28"/>
        </w:rPr>
      </w:pPr>
    </w:p>
    <w:p w14:paraId="3A85C13E">
      <w:pPr>
        <w:pStyle w:val="3"/>
        <w:rPr>
          <w:rFonts w:ascii="黑体" w:eastAsia="黑体"/>
          <w:sz w:val="28"/>
          <w:szCs w:val="28"/>
        </w:rPr>
      </w:pPr>
    </w:p>
    <w:p w14:paraId="29613B6A"/>
    <w:p w14:paraId="0B2212B3"/>
    <w:p w14:paraId="55CCF64F"/>
    <w:p w14:paraId="0F3F6481"/>
    <w:p w14:paraId="48D8ADF0"/>
    <w:p w14:paraId="2CBC5AF1"/>
    <w:p w14:paraId="3945A9E1">
      <w:pPr>
        <w:tabs>
          <w:tab w:val="left" w:pos="4410"/>
        </w:tabs>
        <w:spacing w:line="360" w:lineRule="auto"/>
        <w:jc w:val="center"/>
        <w:rPr>
          <w:rFonts w:hint="eastAsia" w:ascii="黑体" w:eastAsia="黑体"/>
          <w:sz w:val="28"/>
          <w:szCs w:val="28"/>
          <w:lang w:val="en-US" w:eastAsia="zh-CN"/>
        </w:rPr>
      </w:pPr>
      <w:r>
        <w:rPr>
          <w:rFonts w:hint="eastAsia" w:ascii="黑体" w:eastAsia="黑体"/>
          <w:sz w:val="28"/>
          <w:szCs w:val="28"/>
          <w:lang w:val="en-US" w:eastAsia="zh-CN"/>
        </w:rPr>
        <w:t>自评分</w:t>
      </w:r>
    </w:p>
    <w:tbl>
      <w:tblPr>
        <w:tblStyle w:val="30"/>
        <w:tblW w:w="10173" w:type="dxa"/>
        <w:tblInd w:w="9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655"/>
        <w:gridCol w:w="709"/>
        <w:gridCol w:w="7432"/>
        <w:gridCol w:w="682"/>
        <w:gridCol w:w="695"/>
      </w:tblGrid>
      <w:tr w14:paraId="4EA13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6FDBBC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b/>
                <w:bCs/>
                <w:i w:val="0"/>
                <w:iCs w:val="0"/>
                <w:color w:val="000000"/>
                <w:sz w:val="24"/>
                <w:szCs w:val="24"/>
                <w:u w:val="none"/>
              </w:rPr>
            </w:pPr>
            <w:r>
              <w:rPr>
                <w:rFonts w:hint="eastAsia" w:ascii="宋体" w:eastAsia="宋体" w:cs="宋体"/>
                <w:b/>
                <w:bCs/>
                <w:i w:val="0"/>
                <w:iCs w:val="0"/>
                <w:color w:val="000000"/>
                <w:kern w:val="0"/>
                <w:sz w:val="24"/>
                <w:szCs w:val="24"/>
                <w:u w:val="none"/>
                <w:lang w:val="en-US" w:eastAsia="zh-CN"/>
              </w:rPr>
              <w:t>序号</w:t>
            </w: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C5F71B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b/>
                <w:bCs/>
                <w:i w:val="0"/>
                <w:iCs w:val="0"/>
                <w:color w:val="000000"/>
                <w:kern w:val="0"/>
                <w:sz w:val="24"/>
                <w:szCs w:val="24"/>
                <w:u w:val="none"/>
                <w:lang w:val="en-US" w:eastAsia="zh-CN"/>
              </w:rPr>
            </w:pPr>
            <w:r>
              <w:rPr>
                <w:rFonts w:hint="eastAsia" w:ascii="宋体" w:eastAsia="宋体" w:cs="宋体"/>
                <w:b/>
                <w:bCs/>
                <w:i w:val="0"/>
                <w:iCs w:val="0"/>
                <w:color w:val="000000"/>
                <w:kern w:val="0"/>
                <w:sz w:val="24"/>
                <w:szCs w:val="24"/>
                <w:u w:val="none"/>
                <w:lang w:val="en-US" w:eastAsia="zh-CN"/>
              </w:rPr>
              <w:t>评分</w:t>
            </w:r>
          </w:p>
          <w:p w14:paraId="488FBE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b/>
                <w:bCs/>
                <w:i w:val="0"/>
                <w:iCs w:val="0"/>
                <w:color w:val="000000"/>
                <w:sz w:val="24"/>
                <w:szCs w:val="24"/>
                <w:u w:val="none"/>
              </w:rPr>
            </w:pPr>
            <w:r>
              <w:rPr>
                <w:rFonts w:hint="eastAsia" w:ascii="宋体" w:eastAsia="宋体" w:cs="宋体"/>
                <w:b/>
                <w:bCs/>
                <w:i w:val="0"/>
                <w:iCs w:val="0"/>
                <w:color w:val="000000"/>
                <w:kern w:val="0"/>
                <w:sz w:val="24"/>
                <w:szCs w:val="24"/>
                <w:u w:val="none"/>
                <w:lang w:val="en-US" w:eastAsia="zh-CN"/>
              </w:rPr>
              <w:t>因素</w:t>
            </w: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64386E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b/>
                <w:bCs/>
                <w:i w:val="0"/>
                <w:iCs w:val="0"/>
                <w:color w:val="000000"/>
                <w:kern w:val="0"/>
                <w:sz w:val="24"/>
                <w:szCs w:val="24"/>
                <w:u w:val="none"/>
                <w:lang w:val="en-US" w:eastAsia="zh-CN"/>
              </w:rPr>
            </w:pPr>
            <w:r>
              <w:rPr>
                <w:rFonts w:hint="eastAsia" w:ascii="宋体" w:eastAsia="宋体" w:cs="宋体"/>
                <w:b/>
                <w:bCs/>
                <w:i w:val="0"/>
                <w:iCs w:val="0"/>
                <w:color w:val="000000"/>
                <w:kern w:val="0"/>
                <w:sz w:val="24"/>
                <w:szCs w:val="24"/>
                <w:u w:val="none"/>
                <w:lang w:val="en-US" w:eastAsia="zh-CN"/>
              </w:rPr>
              <w:t>评审标准</w:t>
            </w: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1C14E16F">
            <w:pPr>
              <w:spacing w:line="360" w:lineRule="exact"/>
              <w:rPr>
                <w:rFonts w:hint="eastAsia" w:ascii="宋体" w:eastAsia="宋体" w:cs="宋体"/>
                <w:b/>
                <w:bCs/>
                <w:i w:val="0"/>
                <w:iCs w:val="0"/>
                <w:color w:val="000000"/>
                <w:kern w:val="0"/>
                <w:sz w:val="24"/>
                <w:szCs w:val="24"/>
                <w:u w:val="none"/>
                <w:lang w:val="en-US" w:eastAsia="zh-CN"/>
              </w:rPr>
            </w:pPr>
            <w:r>
              <w:rPr>
                <w:rFonts w:hint="eastAsia" w:ascii="宋体" w:cs="宋体"/>
                <w:b/>
                <w:bCs/>
                <w:sz w:val="24"/>
              </w:rPr>
              <w:t>自评分</w:t>
            </w: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07EC2967">
            <w:pPr>
              <w:spacing w:line="360" w:lineRule="exact"/>
              <w:rPr>
                <w:rFonts w:hint="eastAsia" w:ascii="宋体" w:eastAsia="宋体" w:cs="宋体"/>
                <w:b/>
                <w:bCs/>
                <w:i w:val="0"/>
                <w:iCs w:val="0"/>
                <w:color w:val="000000"/>
                <w:kern w:val="0"/>
                <w:sz w:val="24"/>
                <w:szCs w:val="24"/>
                <w:u w:val="none"/>
                <w:lang w:val="en-US" w:eastAsia="zh-CN"/>
              </w:rPr>
            </w:pPr>
            <w:r>
              <w:rPr>
                <w:rFonts w:hint="eastAsia" w:ascii="宋体" w:cs="宋体"/>
                <w:b/>
                <w:bCs/>
                <w:sz w:val="24"/>
              </w:rPr>
              <w:t>页码</w:t>
            </w:r>
          </w:p>
        </w:tc>
      </w:tr>
      <w:tr w14:paraId="578EA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12"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392F084C">
            <w:pPr>
              <w:keepNext w:val="0"/>
              <w:keepLines w:val="0"/>
              <w:pageBreakBefore w:val="0"/>
              <w:widowControl/>
              <w:kinsoku/>
              <w:wordWrap/>
              <w:overflowPunct/>
              <w:topLinePunct w:val="0"/>
              <w:autoSpaceDE/>
              <w:autoSpaceDN/>
              <w:bidi w:val="0"/>
              <w:adjustRightInd/>
              <w:snapToGrid/>
              <w:spacing w:line="400" w:lineRule="exact"/>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noWrap/>
            <w:vAlign w:val="center"/>
          </w:tcPr>
          <w:p w14:paraId="40E8DD29">
            <w:pPr>
              <w:keepNext w:val="0"/>
              <w:keepLines w:val="0"/>
              <w:pageBreakBefore w:val="0"/>
              <w:widowControl/>
              <w:kinsoku/>
              <w:wordWrap/>
              <w:overflowPunct/>
              <w:topLinePunct w:val="0"/>
              <w:autoSpaceDE/>
              <w:autoSpaceDN/>
              <w:bidi w:val="0"/>
              <w:adjustRightInd/>
              <w:snapToGrid/>
              <w:spacing w:line="400" w:lineRule="exact"/>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0B4FAF4F">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5EED8438">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44569B9">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r>
      <w:tr w14:paraId="6B95E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25"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7B661F8A">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3F000A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049C43F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1CF1AC1C">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090D2DD3">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r>
      <w:tr w14:paraId="4491F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35"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4EA8E73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5450E096">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4149F6E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643F06A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71B3F6C3">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r>
      <w:tr w14:paraId="2E32F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139"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17BC9FF4">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423C7A7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FFC551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1BEB0B88">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3542EF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r>
      <w:tr w14:paraId="4E63B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16"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72BF5CBC">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16D7BDD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339494F0">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325F95D1">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40B1F1A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r>
      <w:tr w14:paraId="46884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19" w:hRule="atLeast"/>
        </w:trPr>
        <w:tc>
          <w:tcPr>
            <w:tcW w:w="65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4F7BF07A">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709"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36100D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eastAsia="宋体" w:cs="宋体"/>
                <w:i w:val="0"/>
                <w:iCs w:val="0"/>
                <w:color w:val="000000"/>
                <w:kern w:val="0"/>
                <w:sz w:val="24"/>
                <w:szCs w:val="24"/>
                <w:u w:val="none"/>
                <w:lang w:val="en-US" w:eastAsia="zh-CN"/>
              </w:rPr>
            </w:pPr>
          </w:p>
        </w:tc>
        <w:tc>
          <w:tcPr>
            <w:tcW w:w="743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1FAD842">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c>
          <w:tcPr>
            <w:tcW w:w="682"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015212BD">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eastAsia="宋体" w:cs="宋体"/>
                <w:i w:val="0"/>
                <w:iCs w:val="0"/>
                <w:color w:val="000000"/>
                <w:kern w:val="0"/>
                <w:sz w:val="24"/>
                <w:szCs w:val="24"/>
                <w:u w:val="none"/>
                <w:lang w:val="en-US" w:eastAsia="zh-CN"/>
              </w:rPr>
            </w:pPr>
          </w:p>
        </w:tc>
        <w:tc>
          <w:tcPr>
            <w:tcW w:w="695" w:type="dxa"/>
            <w:tcBorders>
              <w:top w:val="single" w:color="000000" w:sz="8" w:space="0"/>
              <w:left w:val="single" w:color="000000" w:sz="8" w:space="0"/>
              <w:bottom w:val="single" w:color="000000" w:sz="8" w:space="0"/>
              <w:right w:val="single" w:color="000000" w:sz="8" w:space="0"/>
              <w:tl2br w:val="nil"/>
              <w:tr2bl w:val="nil"/>
            </w:tcBorders>
            <w:shd w:val="clear" w:color="auto" w:fill="auto"/>
            <w:vAlign w:val="center"/>
          </w:tcPr>
          <w:p w14:paraId="2B055947">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eastAsia="宋体" w:cs="宋体"/>
                <w:i w:val="0"/>
                <w:iCs w:val="0"/>
                <w:color w:val="000000"/>
                <w:kern w:val="0"/>
                <w:sz w:val="24"/>
                <w:szCs w:val="24"/>
                <w:u w:val="none"/>
                <w:lang w:val="en-US" w:eastAsia="zh-CN"/>
              </w:rPr>
            </w:pPr>
          </w:p>
        </w:tc>
      </w:tr>
    </w:tbl>
    <w:p w14:paraId="0BECA870">
      <w:pPr>
        <w:snapToGrid w:val="0"/>
        <w:spacing w:line="360" w:lineRule="auto"/>
        <w:ind w:firstLine="720" w:firstLineChars="300"/>
        <w:jc w:val="right"/>
        <w:rPr>
          <w:rFonts w:hint="eastAsia" w:ascii="宋体" w:eastAsia="宋体" w:cs="Times New Roman"/>
          <w:sz w:val="24"/>
        </w:rPr>
      </w:pPr>
      <w:r>
        <w:rPr>
          <w:rFonts w:hint="eastAsia" w:ascii="宋体" w:eastAsia="宋体" w:cs="Times New Roman"/>
          <w:sz w:val="24"/>
        </w:rPr>
        <w:t>投标人名称（公章）：</w:t>
      </w:r>
    </w:p>
    <w:p w14:paraId="6D62C506">
      <w:pPr>
        <w:snapToGrid w:val="0"/>
        <w:spacing w:line="360" w:lineRule="auto"/>
        <w:ind w:firstLine="720" w:firstLineChars="300"/>
        <w:jc w:val="right"/>
        <w:rPr>
          <w:rFonts w:hint="eastAsia" w:ascii="宋体" w:eastAsia="宋体" w:cs="Times New Roman"/>
          <w:sz w:val="24"/>
        </w:rPr>
      </w:pPr>
      <w:r>
        <w:rPr>
          <w:rFonts w:hint="eastAsia" w:ascii="宋体" w:eastAsia="宋体" w:cs="Times New Roman"/>
          <w:sz w:val="24"/>
        </w:rPr>
        <w:t>法定代表人或授权委托人（签字或盖章）：</w:t>
      </w:r>
    </w:p>
    <w:p w14:paraId="46F5403A">
      <w:pPr>
        <w:snapToGrid w:val="0"/>
        <w:spacing w:line="360" w:lineRule="auto"/>
        <w:ind w:firstLine="720" w:firstLineChars="300"/>
        <w:jc w:val="right"/>
        <w:rPr>
          <w:rFonts w:ascii="宋体"/>
          <w:szCs w:val="21"/>
        </w:rPr>
      </w:pPr>
      <w:r>
        <w:rPr>
          <w:rFonts w:hint="eastAsia" w:ascii="宋体" w:eastAsia="宋体" w:cs="Times New Roman"/>
          <w:sz w:val="24"/>
        </w:rPr>
        <w:t>日期：年  月   日</w:t>
      </w:r>
    </w:p>
    <w:p w14:paraId="1652A916">
      <w:pPr>
        <w:pStyle w:val="20"/>
        <w:rPr>
          <w:rFonts w:ascii="宋体"/>
          <w:b/>
          <w:sz w:val="32"/>
        </w:rPr>
      </w:pPr>
    </w:p>
    <w:p w14:paraId="7FD4F61C">
      <w:pPr>
        <w:snapToGrid w:val="0"/>
        <w:spacing w:line="360" w:lineRule="auto"/>
        <w:jc w:val="center"/>
        <w:rPr>
          <w:rFonts w:hint="eastAsia" w:ascii="宋体"/>
          <w:b/>
          <w:sz w:val="30"/>
          <w:szCs w:val="30"/>
        </w:rPr>
      </w:pPr>
    </w:p>
    <w:p w14:paraId="5D40B748">
      <w:pPr>
        <w:snapToGrid w:val="0"/>
        <w:spacing w:line="360" w:lineRule="auto"/>
        <w:jc w:val="center"/>
        <w:rPr>
          <w:rFonts w:hint="eastAsia" w:ascii="宋体"/>
          <w:b/>
          <w:sz w:val="30"/>
          <w:szCs w:val="30"/>
        </w:rPr>
      </w:pPr>
    </w:p>
    <w:p w14:paraId="2B5424B8">
      <w:pPr>
        <w:snapToGrid w:val="0"/>
        <w:spacing w:line="360" w:lineRule="auto"/>
        <w:jc w:val="center"/>
        <w:rPr>
          <w:rFonts w:hint="eastAsia" w:ascii="宋体"/>
          <w:b/>
          <w:sz w:val="30"/>
          <w:szCs w:val="30"/>
        </w:rPr>
      </w:pPr>
    </w:p>
    <w:p w14:paraId="3B280CF4">
      <w:pPr>
        <w:snapToGrid w:val="0"/>
        <w:spacing w:line="360" w:lineRule="auto"/>
        <w:jc w:val="center"/>
        <w:rPr>
          <w:rFonts w:hint="eastAsia" w:ascii="宋体"/>
          <w:b/>
          <w:sz w:val="30"/>
          <w:szCs w:val="30"/>
        </w:rPr>
      </w:pPr>
    </w:p>
    <w:p w14:paraId="3A94331C">
      <w:pPr>
        <w:snapToGrid w:val="0"/>
        <w:spacing w:line="360" w:lineRule="auto"/>
        <w:jc w:val="center"/>
        <w:rPr>
          <w:rFonts w:hint="eastAsia" w:ascii="宋体"/>
          <w:b/>
          <w:sz w:val="30"/>
          <w:szCs w:val="30"/>
        </w:rPr>
      </w:pPr>
    </w:p>
    <w:p w14:paraId="5B1BFD77">
      <w:pPr>
        <w:snapToGrid w:val="0"/>
        <w:spacing w:line="360" w:lineRule="auto"/>
        <w:jc w:val="both"/>
        <w:rPr>
          <w:rFonts w:hint="eastAsia" w:ascii="宋体"/>
          <w:b/>
          <w:sz w:val="30"/>
          <w:szCs w:val="30"/>
        </w:rPr>
      </w:pPr>
    </w:p>
    <w:p w14:paraId="5BD4DBAD">
      <w:pPr>
        <w:snapToGrid w:val="0"/>
        <w:spacing w:line="360" w:lineRule="auto"/>
        <w:jc w:val="center"/>
        <w:rPr>
          <w:rFonts w:ascii="宋体"/>
          <w:sz w:val="24"/>
        </w:rPr>
      </w:pPr>
      <w:r>
        <w:rPr>
          <w:rFonts w:hint="eastAsia" w:ascii="宋体"/>
          <w:b/>
          <w:sz w:val="30"/>
          <w:szCs w:val="30"/>
        </w:rPr>
        <w:t>投标人资格承诺函</w:t>
      </w:r>
    </w:p>
    <w:p w14:paraId="3D6C54F0">
      <w:pPr>
        <w:snapToGrid w:val="0"/>
        <w:spacing w:line="360" w:lineRule="auto"/>
        <w:rPr>
          <w:rFonts w:ascii="宋体"/>
          <w:sz w:val="24"/>
          <w:szCs w:val="20"/>
        </w:rPr>
      </w:pPr>
      <w:r>
        <w:rPr>
          <w:rFonts w:hint="eastAsia" w:ascii="宋体"/>
          <w:sz w:val="24"/>
        </w:rPr>
        <w:t>致：</w:t>
      </w:r>
      <w:r>
        <w:rPr>
          <w:rFonts w:hint="eastAsia" w:ascii="宋体"/>
          <w:sz w:val="24"/>
          <w:u w:val="single"/>
        </w:rPr>
        <w:t>招标人</w:t>
      </w:r>
    </w:p>
    <w:p w14:paraId="16142C35">
      <w:pPr>
        <w:snapToGrid w:val="0"/>
        <w:spacing w:line="360" w:lineRule="auto"/>
        <w:rPr>
          <w:rFonts w:hint="eastAsia" w:ascii="宋体"/>
          <w:sz w:val="24"/>
          <w:szCs w:val="20"/>
        </w:rPr>
      </w:pPr>
      <w:r>
        <w:rPr>
          <w:rFonts w:hint="eastAsia" w:ascii="宋体"/>
          <w:sz w:val="24"/>
        </w:rPr>
        <w:t>致：</w:t>
      </w:r>
      <w:r>
        <w:rPr>
          <w:rFonts w:hint="eastAsia" w:ascii="宋体"/>
          <w:sz w:val="24"/>
          <w:u w:val="single"/>
        </w:rPr>
        <w:t>巨化集团有限公司</w:t>
      </w:r>
    </w:p>
    <w:p w14:paraId="0DA6639B">
      <w:pPr>
        <w:snapToGrid w:val="0"/>
        <w:spacing w:line="360" w:lineRule="auto"/>
        <w:ind w:firstLine="720" w:firstLineChars="300"/>
        <w:rPr>
          <w:rFonts w:hint="eastAsia" w:ascii="宋体"/>
          <w:sz w:val="24"/>
          <w:szCs w:val="20"/>
        </w:rPr>
      </w:pPr>
      <w:r>
        <w:rPr>
          <w:rFonts w:hint="eastAsia" w:ascii="宋体"/>
          <w:sz w:val="24"/>
          <w:u w:val="single"/>
        </w:rPr>
        <w:t xml:space="preserve">                       </w:t>
      </w:r>
      <w:r>
        <w:rPr>
          <w:rFonts w:hint="eastAsia" w:ascii="宋体"/>
          <w:sz w:val="24"/>
        </w:rPr>
        <w:t>（投标人名称）符合参加本次招标活动的资格条件并承诺如下。</w:t>
      </w:r>
    </w:p>
    <w:p w14:paraId="59A1CC5B">
      <w:pPr>
        <w:numPr>
          <w:ilvl w:val="0"/>
          <w:numId w:val="6"/>
        </w:numPr>
        <w:snapToGrid w:val="0"/>
        <w:spacing w:line="360" w:lineRule="auto"/>
        <w:ind w:left="0" w:firstLine="480" w:firstLineChars="200"/>
        <w:rPr>
          <w:rFonts w:hint="eastAsia" w:ascii="宋体"/>
          <w:sz w:val="24"/>
          <w:lang w:val="zh-CN"/>
        </w:rPr>
      </w:pPr>
      <w:r>
        <w:rPr>
          <w:rFonts w:hint="eastAsia" w:ascii="宋体"/>
          <w:sz w:val="24"/>
          <w:lang w:val="zh-CN"/>
        </w:rPr>
        <w:t>投标人具备独立承担民事责任的能力，未被巨化集团禁止参加采购活动。</w:t>
      </w:r>
    </w:p>
    <w:p w14:paraId="5E0CF1AA">
      <w:pPr>
        <w:numPr>
          <w:ilvl w:val="0"/>
          <w:numId w:val="6"/>
        </w:numPr>
        <w:snapToGrid w:val="0"/>
        <w:spacing w:line="360" w:lineRule="auto"/>
        <w:ind w:left="0" w:firstLine="480" w:firstLineChars="200"/>
        <w:rPr>
          <w:rFonts w:hint="eastAsia" w:ascii="宋体"/>
          <w:sz w:val="24"/>
        </w:rPr>
      </w:pPr>
      <w:r>
        <w:rPr>
          <w:rFonts w:hint="eastAsia" w:ascii="宋体"/>
          <w:sz w:val="24"/>
        </w:rPr>
        <w:t>投标人未被“信用中国”（www.creditchina.gov.cn)列入失信被执行人、重大税收违法案件当事人名单。</w:t>
      </w:r>
    </w:p>
    <w:p w14:paraId="3FF57C06">
      <w:pPr>
        <w:snapToGrid w:val="0"/>
        <w:spacing w:line="360" w:lineRule="auto"/>
        <w:ind w:firstLine="480" w:firstLineChars="200"/>
        <w:rPr>
          <w:rFonts w:hint="eastAsia" w:ascii="宋体"/>
          <w:sz w:val="24"/>
        </w:rPr>
      </w:pPr>
      <w:r>
        <w:rPr>
          <w:rFonts w:hint="eastAsia" w:ascii="宋体"/>
          <w:sz w:val="24"/>
          <w:lang w:val="en-US" w:eastAsia="zh-CN"/>
        </w:rPr>
        <w:t>三</w:t>
      </w:r>
      <w:r>
        <w:rPr>
          <w:rFonts w:hint="eastAsia" w:ascii="宋体"/>
          <w:sz w:val="24"/>
        </w:rPr>
        <w:t>、投标人本次投标无如下情形：</w:t>
      </w:r>
    </w:p>
    <w:p w14:paraId="5D348CC2">
      <w:pPr>
        <w:snapToGrid w:val="0"/>
        <w:spacing w:line="360" w:lineRule="auto"/>
        <w:ind w:firstLine="480" w:firstLineChars="200"/>
        <w:rPr>
          <w:rFonts w:hint="eastAsia" w:ascii="宋体"/>
          <w:sz w:val="24"/>
        </w:rPr>
      </w:pPr>
      <w:r>
        <w:rPr>
          <w:rFonts w:hint="eastAsia" w:ascii="宋体"/>
          <w:sz w:val="24"/>
        </w:rPr>
        <w:t>1. 单位负责人为同一人或者存在控股、管理关系的不同单位，存在关联关系的不同单位，参加同一标项投标。</w:t>
      </w:r>
    </w:p>
    <w:p w14:paraId="24590120">
      <w:pPr>
        <w:snapToGrid w:val="0"/>
        <w:spacing w:line="360" w:lineRule="auto"/>
        <w:ind w:firstLine="480" w:firstLineChars="200"/>
        <w:rPr>
          <w:rFonts w:hint="eastAsia" w:ascii="宋体"/>
          <w:sz w:val="24"/>
        </w:rPr>
      </w:pPr>
      <w:r>
        <w:rPr>
          <w:rFonts w:hint="eastAsia" w:ascii="宋体"/>
          <w:sz w:val="24"/>
        </w:rPr>
        <w:t>2.关联关系是具有以下情形之一：</w:t>
      </w:r>
    </w:p>
    <w:p w14:paraId="6307BAFF">
      <w:pPr>
        <w:snapToGrid w:val="0"/>
        <w:spacing w:line="360" w:lineRule="auto"/>
        <w:ind w:firstLine="480" w:firstLineChars="200"/>
        <w:rPr>
          <w:rFonts w:ascii="宋体"/>
          <w:sz w:val="24"/>
        </w:rPr>
      </w:pPr>
      <w:r>
        <w:rPr>
          <w:rFonts w:ascii="宋体"/>
          <w:sz w:val="24"/>
        </w:rPr>
        <w:t>A.法定代表人或负责人或实际控制人是同一人</w:t>
      </w:r>
    </w:p>
    <w:p w14:paraId="5A0CB84A">
      <w:pPr>
        <w:snapToGrid w:val="0"/>
        <w:spacing w:line="360" w:lineRule="auto"/>
        <w:ind w:firstLine="480" w:firstLineChars="200"/>
        <w:rPr>
          <w:rFonts w:ascii="宋体"/>
          <w:sz w:val="24"/>
        </w:rPr>
      </w:pPr>
      <w:r>
        <w:rPr>
          <w:rFonts w:ascii="宋体"/>
          <w:sz w:val="24"/>
        </w:rPr>
        <w:t>B.法定代表人或负责人或实际控制人是夫妻关系</w:t>
      </w:r>
    </w:p>
    <w:p w14:paraId="27884B73">
      <w:pPr>
        <w:snapToGrid w:val="0"/>
        <w:spacing w:line="360" w:lineRule="auto"/>
        <w:ind w:firstLine="480" w:firstLineChars="200"/>
        <w:rPr>
          <w:rFonts w:ascii="宋体"/>
          <w:sz w:val="24"/>
        </w:rPr>
      </w:pPr>
      <w:r>
        <w:rPr>
          <w:rFonts w:ascii="宋体"/>
          <w:sz w:val="24"/>
        </w:rPr>
        <w:t>C.法定代表人或负责人或实际控制人是直系血亲关系</w:t>
      </w:r>
    </w:p>
    <w:p w14:paraId="121D014D">
      <w:pPr>
        <w:snapToGrid w:val="0"/>
        <w:spacing w:line="360" w:lineRule="auto"/>
        <w:ind w:firstLine="480" w:firstLineChars="200"/>
        <w:rPr>
          <w:rFonts w:ascii="宋体"/>
          <w:sz w:val="24"/>
        </w:rPr>
      </w:pPr>
      <w:r>
        <w:rPr>
          <w:rFonts w:ascii="宋体"/>
          <w:sz w:val="24"/>
        </w:rPr>
        <w:t>D.法定代表人或负责人或实际控制人存在三代以内旁系血亲关系</w:t>
      </w:r>
    </w:p>
    <w:p w14:paraId="54D54D6A">
      <w:pPr>
        <w:snapToGrid w:val="0"/>
        <w:spacing w:line="360" w:lineRule="auto"/>
        <w:ind w:firstLine="480" w:firstLineChars="200"/>
        <w:rPr>
          <w:rFonts w:ascii="宋体"/>
          <w:sz w:val="24"/>
        </w:rPr>
      </w:pPr>
      <w:r>
        <w:rPr>
          <w:rFonts w:ascii="宋体"/>
          <w:sz w:val="24"/>
        </w:rPr>
        <w:t>E.法定代表人或负责人或实际控制人存在近姻亲关系</w:t>
      </w:r>
    </w:p>
    <w:p w14:paraId="4ED83036">
      <w:pPr>
        <w:snapToGrid w:val="0"/>
        <w:spacing w:line="360" w:lineRule="auto"/>
        <w:ind w:firstLine="480" w:firstLineChars="200"/>
        <w:rPr>
          <w:rFonts w:ascii="宋体"/>
          <w:sz w:val="24"/>
        </w:rPr>
      </w:pPr>
      <w:r>
        <w:rPr>
          <w:rFonts w:ascii="宋体"/>
          <w:sz w:val="24"/>
        </w:rPr>
        <w:t>F.法定代表人或负责人或实际控制人存在股份控制或实际控制关系</w:t>
      </w:r>
    </w:p>
    <w:p w14:paraId="146F7E66">
      <w:pPr>
        <w:snapToGrid w:val="0"/>
        <w:spacing w:line="360" w:lineRule="auto"/>
        <w:ind w:firstLine="480" w:firstLineChars="200"/>
        <w:rPr>
          <w:rFonts w:ascii="宋体"/>
          <w:sz w:val="24"/>
        </w:rPr>
      </w:pPr>
      <w:r>
        <w:rPr>
          <w:rFonts w:ascii="宋体"/>
          <w:sz w:val="24"/>
        </w:rPr>
        <w:t>G.存在共同直接或间接投资设立子公司、联营企业和合营企业情况</w:t>
      </w:r>
    </w:p>
    <w:p w14:paraId="5B563346">
      <w:pPr>
        <w:snapToGrid w:val="0"/>
        <w:spacing w:line="360" w:lineRule="auto"/>
        <w:ind w:firstLine="480" w:firstLineChars="200"/>
        <w:rPr>
          <w:rFonts w:hint="eastAsia" w:ascii="宋体"/>
          <w:sz w:val="24"/>
        </w:rPr>
      </w:pPr>
      <w:r>
        <w:rPr>
          <w:rFonts w:ascii="宋体"/>
          <w:sz w:val="24"/>
        </w:rPr>
        <w:t>H.存在分级代理或代销关系、同一生产制造商关系、管理关系、重要业务（占主营业务收入50%以上）或重要财务往来关系（如融资）等其他实质性控制关系</w:t>
      </w:r>
    </w:p>
    <w:p w14:paraId="3DB45D0B">
      <w:pPr>
        <w:snapToGrid w:val="0"/>
        <w:spacing w:line="360" w:lineRule="auto"/>
        <w:ind w:firstLine="480" w:firstLineChars="200"/>
        <w:rPr>
          <w:rFonts w:hint="eastAsia" w:ascii="宋体"/>
          <w:sz w:val="24"/>
        </w:rPr>
      </w:pPr>
      <w:r>
        <w:rPr>
          <w:rFonts w:hint="eastAsia" w:ascii="宋体"/>
          <w:sz w:val="24"/>
        </w:rPr>
        <w:t>I.其他利害关系情况</w:t>
      </w:r>
    </w:p>
    <w:p w14:paraId="6368E4B8">
      <w:pPr>
        <w:snapToGrid w:val="0"/>
        <w:spacing w:line="360" w:lineRule="auto"/>
        <w:ind w:firstLine="480" w:firstLineChars="200"/>
        <w:rPr>
          <w:rFonts w:ascii="宋体" w:eastAsia="宋体"/>
          <w:sz w:val="24"/>
          <w:u w:val="single"/>
          <w:lang w:val="en-US" w:eastAsia="zh-CN"/>
        </w:rPr>
      </w:pPr>
      <w:r>
        <w:rPr>
          <w:rFonts w:hint="eastAsia" w:ascii="宋体"/>
          <w:sz w:val="24"/>
          <w:lang w:val="en-US" w:eastAsia="zh-CN"/>
        </w:rPr>
        <w:t>四</w:t>
      </w:r>
      <w:r>
        <w:rPr>
          <w:rFonts w:hint="eastAsia" w:ascii="宋体"/>
          <w:sz w:val="24"/>
        </w:rPr>
        <w:t>、满足本项目的资格要求：</w:t>
      </w:r>
      <w:r>
        <w:rPr>
          <w:rFonts w:hint="eastAsia" w:ascii="宋体"/>
          <w:sz w:val="24"/>
          <w:u w:val="single"/>
          <w:lang w:val="en-US" w:eastAsia="zh-CN"/>
        </w:rPr>
        <w:t xml:space="preserve">                         </w:t>
      </w:r>
      <w:r>
        <w:rPr>
          <w:rFonts w:hint="eastAsia" w:ascii="宋体"/>
          <w:sz w:val="24"/>
          <w:u w:val="none"/>
          <w:lang w:val="en-US" w:eastAsia="zh-CN"/>
        </w:rPr>
        <w:t>。</w:t>
      </w:r>
    </w:p>
    <w:p w14:paraId="562FFB89">
      <w:pPr>
        <w:snapToGrid w:val="0"/>
        <w:spacing w:line="360" w:lineRule="auto"/>
        <w:ind w:firstLine="480" w:firstLineChars="200"/>
        <w:rPr>
          <w:rFonts w:hint="eastAsia" w:ascii="宋体"/>
          <w:sz w:val="24"/>
        </w:rPr>
      </w:pPr>
      <w:r>
        <w:rPr>
          <w:rFonts w:hint="eastAsia" w:ascii="宋体"/>
          <w:sz w:val="24"/>
          <w:lang w:val="en-US" w:eastAsia="zh-CN"/>
        </w:rPr>
        <w:t>五</w:t>
      </w:r>
      <w:r>
        <w:rPr>
          <w:rFonts w:hint="eastAsia" w:ascii="宋体"/>
          <w:sz w:val="24"/>
        </w:rPr>
        <w:t>、联合体投标情形符合招标文件要求。</w:t>
      </w:r>
    </w:p>
    <w:p w14:paraId="165AA08A">
      <w:pPr>
        <w:snapToGrid w:val="0"/>
        <w:spacing w:line="360" w:lineRule="auto"/>
        <w:ind w:firstLine="480" w:firstLineChars="200"/>
        <w:rPr>
          <w:rFonts w:hint="eastAsia" w:ascii="宋体" w:cs="宋体"/>
          <w:kern w:val="0"/>
          <w:sz w:val="24"/>
        </w:rPr>
      </w:pPr>
      <w:r>
        <w:rPr>
          <w:rFonts w:hint="eastAsia" w:ascii="宋体" w:cs="宋体"/>
          <w:kern w:val="0"/>
          <w:sz w:val="24"/>
        </w:rPr>
        <w:t>本单位对上述承诺内容的真实性负责，已清楚知道并严格遵守招标法律法规和承诺要求如有虚假，将依法承担相应责任。</w:t>
      </w:r>
    </w:p>
    <w:p w14:paraId="7EF81368">
      <w:pPr>
        <w:snapToGrid w:val="0"/>
        <w:spacing w:line="360" w:lineRule="auto"/>
        <w:rPr>
          <w:rFonts w:hint="eastAsia" w:ascii="宋体"/>
          <w:sz w:val="24"/>
        </w:rPr>
      </w:pPr>
    </w:p>
    <w:p w14:paraId="6E2A6C9D">
      <w:pPr>
        <w:widowControl/>
        <w:snapToGrid w:val="0"/>
        <w:spacing w:line="360" w:lineRule="auto"/>
        <w:jc w:val="left"/>
        <w:rPr>
          <w:rFonts w:hint="eastAsia" w:ascii="宋体" w:cs="Arial"/>
          <w:kern w:val="0"/>
          <w:sz w:val="24"/>
        </w:rPr>
      </w:pPr>
      <w:r>
        <w:rPr>
          <w:rFonts w:hint="eastAsia" w:ascii="宋体"/>
          <w:sz w:val="24"/>
        </w:rPr>
        <w:t>投标人：</w:t>
      </w:r>
      <w:r>
        <w:rPr>
          <w:rFonts w:hint="eastAsia" w:ascii="宋体"/>
          <w:sz w:val="24"/>
          <w:u w:val="single"/>
        </w:rPr>
        <w:t xml:space="preserve">       （盖章）        </w:t>
      </w:r>
      <w:r>
        <w:rPr>
          <w:rFonts w:hint="eastAsia" w:ascii="宋体"/>
          <w:sz w:val="24"/>
        </w:rPr>
        <w:t xml:space="preserve">                      年    月    日</w:t>
      </w:r>
    </w:p>
    <w:p w14:paraId="6BFC0C06">
      <w:pPr>
        <w:widowControl/>
        <w:snapToGrid w:val="0"/>
        <w:spacing w:line="360" w:lineRule="auto"/>
        <w:jc w:val="both"/>
        <w:rPr>
          <w:rFonts w:hint="eastAsia" w:ascii="宋体"/>
          <w:b/>
          <w:sz w:val="30"/>
          <w:szCs w:val="30"/>
        </w:rPr>
      </w:pPr>
      <w:r>
        <w:rPr>
          <w:rFonts w:hint="eastAsia" w:ascii="宋体"/>
        </w:rPr>
        <w:br w:type="page"/>
      </w:r>
    </w:p>
    <w:p w14:paraId="18517595">
      <w:pPr>
        <w:snapToGrid w:val="0"/>
        <w:spacing w:line="360" w:lineRule="auto"/>
        <w:jc w:val="center"/>
        <w:rPr>
          <w:rFonts w:ascii="宋体"/>
          <w:b/>
          <w:sz w:val="30"/>
          <w:szCs w:val="30"/>
        </w:rPr>
      </w:pPr>
      <w:r>
        <w:rPr>
          <w:rFonts w:hint="eastAsia" w:ascii="宋体"/>
          <w:b/>
          <w:sz w:val="30"/>
          <w:szCs w:val="30"/>
        </w:rPr>
        <w:t>法定代表人身份证明</w:t>
      </w:r>
    </w:p>
    <w:p w14:paraId="70F765EA">
      <w:pPr>
        <w:autoSpaceDE w:val="0"/>
        <w:autoSpaceDN w:val="0"/>
        <w:adjustRightInd w:val="0"/>
        <w:spacing w:line="400" w:lineRule="exact"/>
        <w:jc w:val="center"/>
        <w:rPr>
          <w:rFonts w:ascii="宋体" w:cs="宋体"/>
          <w:bCs/>
          <w:sz w:val="30"/>
          <w:szCs w:val="30"/>
          <w:lang w:val="zh-CN"/>
        </w:rPr>
      </w:pPr>
    </w:p>
    <w:p w14:paraId="6BC36AA4">
      <w:pPr>
        <w:autoSpaceDE w:val="0"/>
        <w:autoSpaceDN w:val="0"/>
        <w:adjustRightInd w:val="0"/>
        <w:spacing w:line="400" w:lineRule="exact"/>
        <w:jc w:val="center"/>
        <w:rPr>
          <w:rFonts w:ascii="宋体" w:cs="宋体"/>
          <w:bCs/>
          <w:sz w:val="30"/>
          <w:szCs w:val="30"/>
          <w:lang w:val="zh-CN"/>
        </w:rPr>
      </w:pPr>
    </w:p>
    <w:p w14:paraId="08C162FE">
      <w:pPr>
        <w:spacing w:line="500" w:lineRule="exact"/>
        <w:ind w:firstLine="424" w:firstLineChars="177"/>
        <w:rPr>
          <w:rFonts w:ascii="宋体" w:cs="宋体"/>
          <w:sz w:val="24"/>
          <w:u w:val="single"/>
        </w:rPr>
      </w:pPr>
      <w:r>
        <w:rPr>
          <w:rFonts w:hint="eastAsia" w:ascii="宋体" w:cs="宋体"/>
          <w:sz w:val="24"/>
        </w:rPr>
        <w:t>投 标 人：</w:t>
      </w:r>
      <w:r>
        <w:rPr>
          <w:rFonts w:hint="eastAsia" w:ascii="宋体" w:cs="宋体"/>
          <w:sz w:val="24"/>
          <w:u w:val="single"/>
        </w:rPr>
        <w:t xml:space="preserve">                     </w:t>
      </w:r>
    </w:p>
    <w:p w14:paraId="5EFD4311">
      <w:pPr>
        <w:spacing w:line="500" w:lineRule="exact"/>
        <w:ind w:firstLine="424" w:firstLineChars="177"/>
        <w:rPr>
          <w:rFonts w:ascii="宋体" w:cs="宋体"/>
          <w:sz w:val="24"/>
        </w:rPr>
      </w:pPr>
      <w:r>
        <w:rPr>
          <w:rFonts w:hint="eastAsia" w:ascii="宋体" w:cs="宋体"/>
          <w:sz w:val="24"/>
        </w:rPr>
        <w:t>单位性质：</w:t>
      </w:r>
      <w:r>
        <w:rPr>
          <w:rFonts w:hint="eastAsia" w:ascii="宋体" w:cs="宋体"/>
          <w:sz w:val="24"/>
          <w:u w:val="single"/>
        </w:rPr>
        <w:t xml:space="preserve">                     </w:t>
      </w:r>
    </w:p>
    <w:p w14:paraId="41C49E3B">
      <w:pPr>
        <w:spacing w:line="500" w:lineRule="exact"/>
        <w:ind w:firstLine="424" w:firstLineChars="177"/>
        <w:rPr>
          <w:rFonts w:ascii="宋体" w:cs="宋体"/>
          <w:sz w:val="24"/>
        </w:rPr>
      </w:pPr>
      <w:r>
        <w:rPr>
          <w:rFonts w:hint="eastAsia" w:ascii="宋体" w:cs="宋体"/>
          <w:sz w:val="24"/>
        </w:rPr>
        <w:t>地    址：</w:t>
      </w:r>
      <w:r>
        <w:rPr>
          <w:rFonts w:hint="eastAsia" w:ascii="宋体" w:cs="宋体"/>
          <w:sz w:val="24"/>
          <w:u w:val="single"/>
        </w:rPr>
        <w:t xml:space="preserve">                     </w:t>
      </w:r>
    </w:p>
    <w:p w14:paraId="5C3C152E">
      <w:pPr>
        <w:spacing w:line="500" w:lineRule="exact"/>
        <w:ind w:firstLine="424" w:firstLineChars="177"/>
        <w:rPr>
          <w:rFonts w:ascii="宋体" w:cs="宋体"/>
          <w:sz w:val="24"/>
        </w:rPr>
      </w:pPr>
      <w:r>
        <w:rPr>
          <w:rFonts w:hint="eastAsia" w:ascii="宋体" w:cs="宋体"/>
          <w:sz w:val="24"/>
        </w:rPr>
        <w:t>成立时间：</w:t>
      </w:r>
      <w:r>
        <w:rPr>
          <w:rFonts w:hint="eastAsia" w:ascii="宋体" w:cs="宋体"/>
          <w:sz w:val="24"/>
          <w:u w:val="single"/>
        </w:rPr>
        <w:t xml:space="preserve">   </w:t>
      </w:r>
      <w:r>
        <w:rPr>
          <w:rFonts w:hint="eastAsia" w:ascii="宋体" w:cs="宋体"/>
          <w:sz w:val="24"/>
        </w:rPr>
        <w:t xml:space="preserve"> 年</w:t>
      </w:r>
      <w:r>
        <w:rPr>
          <w:rFonts w:hint="eastAsia" w:ascii="宋体" w:cs="宋体"/>
          <w:sz w:val="24"/>
          <w:u w:val="single"/>
        </w:rPr>
        <w:t xml:space="preserve">  </w:t>
      </w:r>
      <w:r>
        <w:rPr>
          <w:rFonts w:hint="eastAsia" w:ascii="宋体" w:cs="宋体"/>
          <w:sz w:val="24"/>
        </w:rPr>
        <w:t xml:space="preserve"> 月</w:t>
      </w:r>
      <w:r>
        <w:rPr>
          <w:rFonts w:hint="eastAsia" w:ascii="宋体" w:cs="宋体"/>
          <w:sz w:val="24"/>
          <w:u w:val="single"/>
        </w:rPr>
        <w:t xml:space="preserve">   </w:t>
      </w:r>
      <w:r>
        <w:rPr>
          <w:rFonts w:hint="eastAsia" w:ascii="宋体" w:cs="宋体"/>
          <w:sz w:val="24"/>
        </w:rPr>
        <w:t>日</w:t>
      </w:r>
    </w:p>
    <w:p w14:paraId="79204EB8">
      <w:pPr>
        <w:spacing w:line="500" w:lineRule="exact"/>
        <w:ind w:firstLine="424" w:firstLineChars="177"/>
        <w:rPr>
          <w:rFonts w:ascii="宋体" w:cs="宋体"/>
          <w:sz w:val="24"/>
        </w:rPr>
      </w:pPr>
      <w:r>
        <w:rPr>
          <w:rFonts w:hint="eastAsia" w:ascii="宋体" w:cs="宋体"/>
          <w:sz w:val="24"/>
        </w:rPr>
        <w:t>经营期限：</w:t>
      </w:r>
      <w:r>
        <w:rPr>
          <w:rFonts w:hint="eastAsia" w:ascii="宋体" w:cs="宋体"/>
          <w:sz w:val="24"/>
          <w:u w:val="single"/>
        </w:rPr>
        <w:t xml:space="preserve">                     </w:t>
      </w:r>
    </w:p>
    <w:p w14:paraId="257D88E8">
      <w:pPr>
        <w:spacing w:line="500" w:lineRule="exact"/>
        <w:ind w:firstLine="424" w:firstLineChars="177"/>
        <w:rPr>
          <w:rFonts w:ascii="宋体" w:cs="宋体"/>
          <w:sz w:val="24"/>
          <w:u w:val="single"/>
        </w:rPr>
      </w:pPr>
      <w:r>
        <w:rPr>
          <w:rFonts w:hint="eastAsia" w:ascii="宋体" w:cs="宋体"/>
          <w:sz w:val="24"/>
        </w:rPr>
        <w:t>姓   名：</w:t>
      </w:r>
      <w:r>
        <w:rPr>
          <w:rFonts w:hint="eastAsia" w:ascii="宋体" w:cs="宋体"/>
          <w:sz w:val="24"/>
          <w:u w:val="single"/>
        </w:rPr>
        <w:t xml:space="preserve">     </w:t>
      </w:r>
      <w:r>
        <w:rPr>
          <w:rFonts w:hint="eastAsia" w:ascii="宋体" w:cs="宋体"/>
          <w:sz w:val="24"/>
        </w:rPr>
        <w:t>性  别：</w:t>
      </w:r>
      <w:r>
        <w:rPr>
          <w:rFonts w:hint="eastAsia" w:ascii="宋体" w:cs="宋体"/>
          <w:sz w:val="24"/>
          <w:u w:val="single"/>
        </w:rPr>
        <w:t xml:space="preserve">       </w:t>
      </w:r>
      <w:r>
        <w:rPr>
          <w:rFonts w:hint="eastAsia" w:ascii="宋体" w:cs="宋体"/>
          <w:sz w:val="24"/>
        </w:rPr>
        <w:t>年   龄：</w:t>
      </w:r>
      <w:r>
        <w:rPr>
          <w:rFonts w:hint="eastAsia" w:ascii="宋体" w:cs="宋体"/>
          <w:sz w:val="24"/>
          <w:u w:val="single"/>
        </w:rPr>
        <w:t xml:space="preserve">    </w:t>
      </w:r>
      <w:r>
        <w:rPr>
          <w:rFonts w:hint="eastAsia" w:ascii="宋体" w:cs="宋体"/>
          <w:sz w:val="24"/>
        </w:rPr>
        <w:t xml:space="preserve"> 职  务：</w:t>
      </w:r>
      <w:r>
        <w:rPr>
          <w:rFonts w:hint="eastAsia" w:ascii="宋体" w:cs="宋体"/>
          <w:sz w:val="24"/>
          <w:u w:val="single"/>
        </w:rPr>
        <w:t xml:space="preserve">     </w:t>
      </w:r>
    </w:p>
    <w:p w14:paraId="150A8678">
      <w:pPr>
        <w:spacing w:line="500" w:lineRule="exact"/>
        <w:ind w:firstLine="424" w:firstLineChars="177"/>
        <w:rPr>
          <w:rFonts w:ascii="宋体" w:cs="宋体"/>
          <w:sz w:val="24"/>
        </w:rPr>
      </w:pPr>
      <w:r>
        <w:rPr>
          <w:rFonts w:hint="eastAsia" w:ascii="宋体" w:cs="宋体"/>
          <w:sz w:val="24"/>
        </w:rPr>
        <w:t>系（投标人名称）的法定代表人。</w:t>
      </w:r>
    </w:p>
    <w:p w14:paraId="4B1F3139">
      <w:pPr>
        <w:spacing w:line="440" w:lineRule="exact"/>
        <w:ind w:firstLine="426"/>
        <w:rPr>
          <w:rFonts w:ascii="宋体" w:cs="宋体"/>
          <w:sz w:val="24"/>
        </w:rPr>
      </w:pPr>
      <w:r>
        <w:rPr>
          <w:rFonts w:hint="eastAsia" w:ascii="宋体" w:cs="宋体"/>
          <w:sz w:val="24"/>
        </w:rPr>
        <w:t>特此证明。</w:t>
      </w:r>
    </w:p>
    <w:p w14:paraId="25CD8365">
      <w:pPr>
        <w:spacing w:line="500" w:lineRule="exact"/>
        <w:ind w:firstLine="424" w:firstLineChars="177"/>
        <w:rPr>
          <w:rFonts w:ascii="宋体" w:cs="宋体"/>
          <w:sz w:val="24"/>
        </w:rPr>
      </w:pPr>
    </w:p>
    <w:p w14:paraId="4440B1CA">
      <w:pPr>
        <w:spacing w:line="420" w:lineRule="atLeast"/>
        <w:rPr>
          <w:rFonts w:ascii="宋体" w:cs="宋体"/>
          <w:sz w:val="24"/>
        </w:rPr>
      </w:pPr>
    </w:p>
    <w:p w14:paraId="50D9CD93">
      <w:pPr>
        <w:spacing w:line="420" w:lineRule="atLeast"/>
        <w:ind w:right="-64" w:firstLine="3600"/>
        <w:rPr>
          <w:rFonts w:ascii="宋体" w:cs="宋体"/>
          <w:sz w:val="24"/>
        </w:rPr>
      </w:pPr>
      <w:r>
        <w:rPr>
          <w:rFonts w:hint="eastAsia" w:ascii="宋体" w:cs="宋体"/>
          <w:sz w:val="24"/>
        </w:rPr>
        <w:t>投标人：（盖单位章）</w:t>
      </w:r>
    </w:p>
    <w:p w14:paraId="59EAFA14">
      <w:pPr>
        <w:spacing w:line="420" w:lineRule="atLeast"/>
        <w:ind w:right="420"/>
        <w:rPr>
          <w:rFonts w:ascii="宋体" w:cs="宋体"/>
          <w:sz w:val="24"/>
          <w:u w:val="single"/>
        </w:rPr>
      </w:pPr>
    </w:p>
    <w:p w14:paraId="7B3D6692">
      <w:pPr>
        <w:spacing w:line="360" w:lineRule="exact"/>
        <w:ind w:firstLine="3600" w:firstLineChars="1500"/>
        <w:rPr>
          <w:rFonts w:ascii="宋体" w:cs="宋体"/>
          <w:sz w:val="24"/>
        </w:rPr>
      </w:pPr>
      <w:r>
        <w:rPr>
          <w:rFonts w:hint="eastAsia" w:ascii="宋体" w:cs="宋体"/>
          <w:sz w:val="24"/>
        </w:rPr>
        <w:t>日  期：</w:t>
      </w:r>
    </w:p>
    <w:p w14:paraId="20958D51">
      <w:pPr>
        <w:pStyle w:val="44"/>
        <w:rPr>
          <w:color w:val="auto"/>
          <w:lang w:val="zh-CN"/>
        </w:rPr>
      </w:pPr>
    </w:p>
    <w:p w14:paraId="13EA0D8B">
      <w:pPr>
        <w:spacing w:line="420" w:lineRule="atLeast"/>
        <w:jc w:val="center"/>
        <w:rPr>
          <w:rFonts w:ascii="宋体" w:cs="宋体"/>
          <w:sz w:val="24"/>
        </w:rPr>
      </w:pPr>
    </w:p>
    <w:p w14:paraId="34DFBD34">
      <w:pPr>
        <w:spacing w:line="400" w:lineRule="exact"/>
        <w:rPr>
          <w:rFonts w:ascii="宋体" w:cs="宋体"/>
          <w:b/>
          <w:sz w:val="24"/>
        </w:rPr>
      </w:pPr>
      <w:r>
        <w:rPr>
          <w:rFonts w:hint="eastAsia" w:ascii="宋体" w:cs="宋体"/>
          <w:b/>
          <w:sz w:val="24"/>
        </w:rPr>
        <w:t>后附法定代表人身份证原件扫描件加盖投标单位公章。</w:t>
      </w:r>
    </w:p>
    <w:p w14:paraId="1A626260">
      <w:pPr>
        <w:tabs>
          <w:tab w:val="left" w:pos="1080"/>
        </w:tabs>
        <w:autoSpaceDE w:val="0"/>
        <w:autoSpaceDN w:val="0"/>
        <w:adjustRightInd w:val="0"/>
        <w:spacing w:line="460" w:lineRule="atLeast"/>
        <w:jc w:val="left"/>
        <w:rPr>
          <w:rStyle w:val="37"/>
          <w:rFonts w:ascii="宋体" w:eastAsia="宋体" w:cs="宋体"/>
          <w:sz w:val="24"/>
          <w:szCs w:val="24"/>
        </w:rPr>
      </w:pPr>
      <w:r>
        <w:rPr>
          <w:rStyle w:val="37"/>
          <w:rFonts w:hint="eastAsia" w:ascii="宋体" w:eastAsia="宋体" w:cs="宋体"/>
          <w:sz w:val="24"/>
          <w:szCs w:val="24"/>
        </w:rPr>
        <w:t xml:space="preserve">         </w:t>
      </w:r>
    </w:p>
    <w:p w14:paraId="4D4885A5">
      <w:pPr>
        <w:tabs>
          <w:tab w:val="left" w:pos="1080"/>
        </w:tabs>
        <w:autoSpaceDE w:val="0"/>
        <w:autoSpaceDN w:val="0"/>
        <w:adjustRightInd w:val="0"/>
        <w:spacing w:line="460" w:lineRule="atLeast"/>
        <w:jc w:val="center"/>
        <w:rPr>
          <w:rFonts w:ascii="宋体" w:cs="宋体"/>
          <w:sz w:val="22"/>
          <w:szCs w:val="22"/>
          <w:lang w:val="zh-CN"/>
        </w:rPr>
      </w:pPr>
    </w:p>
    <w:p w14:paraId="674C3D65">
      <w:pPr>
        <w:tabs>
          <w:tab w:val="left" w:pos="1080"/>
        </w:tabs>
        <w:autoSpaceDE w:val="0"/>
        <w:autoSpaceDN w:val="0"/>
        <w:adjustRightInd w:val="0"/>
        <w:spacing w:line="460" w:lineRule="atLeast"/>
        <w:jc w:val="center"/>
        <w:rPr>
          <w:rFonts w:ascii="宋体" w:cs="宋体"/>
          <w:sz w:val="22"/>
          <w:szCs w:val="22"/>
          <w:lang w:val="zh-CN"/>
        </w:rPr>
      </w:pPr>
    </w:p>
    <w:p w14:paraId="1941C67B">
      <w:pPr>
        <w:tabs>
          <w:tab w:val="left" w:pos="1080"/>
        </w:tabs>
        <w:autoSpaceDE w:val="0"/>
        <w:autoSpaceDN w:val="0"/>
        <w:adjustRightInd w:val="0"/>
        <w:spacing w:line="460" w:lineRule="atLeast"/>
        <w:jc w:val="center"/>
        <w:rPr>
          <w:rFonts w:ascii="宋体" w:cs="宋体"/>
          <w:sz w:val="36"/>
          <w:szCs w:val="36"/>
          <w:lang w:val="zh-CN"/>
        </w:rPr>
      </w:pPr>
    </w:p>
    <w:p w14:paraId="44A620BC">
      <w:pPr>
        <w:tabs>
          <w:tab w:val="left" w:pos="1080"/>
        </w:tabs>
        <w:autoSpaceDE w:val="0"/>
        <w:autoSpaceDN w:val="0"/>
        <w:adjustRightInd w:val="0"/>
        <w:spacing w:line="460" w:lineRule="atLeast"/>
        <w:jc w:val="center"/>
        <w:rPr>
          <w:rFonts w:ascii="宋体" w:cs="宋体"/>
          <w:sz w:val="36"/>
          <w:szCs w:val="36"/>
          <w:lang w:val="zh-CN"/>
        </w:rPr>
      </w:pPr>
    </w:p>
    <w:p w14:paraId="74555F50">
      <w:pPr>
        <w:tabs>
          <w:tab w:val="left" w:pos="1080"/>
        </w:tabs>
        <w:autoSpaceDE w:val="0"/>
        <w:autoSpaceDN w:val="0"/>
        <w:adjustRightInd w:val="0"/>
        <w:spacing w:line="460" w:lineRule="atLeast"/>
        <w:jc w:val="center"/>
        <w:rPr>
          <w:rFonts w:ascii="宋体" w:cs="宋体"/>
          <w:sz w:val="36"/>
          <w:szCs w:val="36"/>
          <w:lang w:val="zh-CN"/>
        </w:rPr>
      </w:pPr>
    </w:p>
    <w:p w14:paraId="292A85A6">
      <w:pPr>
        <w:tabs>
          <w:tab w:val="left" w:pos="1080"/>
        </w:tabs>
        <w:autoSpaceDE w:val="0"/>
        <w:autoSpaceDN w:val="0"/>
        <w:adjustRightInd w:val="0"/>
        <w:spacing w:line="460" w:lineRule="atLeast"/>
        <w:jc w:val="center"/>
        <w:rPr>
          <w:rFonts w:ascii="宋体" w:cs="宋体"/>
          <w:sz w:val="36"/>
          <w:szCs w:val="36"/>
          <w:lang w:val="zh-CN"/>
        </w:rPr>
      </w:pPr>
    </w:p>
    <w:p w14:paraId="6EAEBBC2">
      <w:pPr>
        <w:tabs>
          <w:tab w:val="left" w:pos="1080"/>
        </w:tabs>
        <w:autoSpaceDE w:val="0"/>
        <w:autoSpaceDN w:val="0"/>
        <w:adjustRightInd w:val="0"/>
        <w:spacing w:line="460" w:lineRule="atLeast"/>
        <w:jc w:val="center"/>
        <w:rPr>
          <w:rFonts w:ascii="宋体" w:cs="宋体"/>
          <w:sz w:val="36"/>
          <w:szCs w:val="36"/>
          <w:lang w:val="zh-CN"/>
        </w:rPr>
      </w:pPr>
    </w:p>
    <w:p w14:paraId="55ABD7EA">
      <w:pPr>
        <w:widowControl/>
        <w:jc w:val="left"/>
        <w:rPr>
          <w:lang w:val="zh-CN"/>
        </w:rPr>
      </w:pPr>
      <w:r>
        <w:rPr>
          <w:lang w:val="zh-CN"/>
        </w:rPr>
        <w:br w:type="page"/>
      </w:r>
    </w:p>
    <w:p w14:paraId="231386EF">
      <w:pPr>
        <w:snapToGrid w:val="0"/>
        <w:spacing w:line="360" w:lineRule="auto"/>
        <w:jc w:val="center"/>
        <w:rPr>
          <w:rFonts w:ascii="宋体"/>
          <w:b/>
          <w:sz w:val="30"/>
          <w:szCs w:val="30"/>
        </w:rPr>
      </w:pPr>
      <w:r>
        <w:rPr>
          <w:rFonts w:hint="eastAsia" w:ascii="宋体"/>
          <w:b/>
          <w:sz w:val="30"/>
          <w:szCs w:val="30"/>
        </w:rPr>
        <w:t>法定代表人授权委托书</w:t>
      </w:r>
    </w:p>
    <w:p w14:paraId="5AD857D0">
      <w:pPr>
        <w:snapToGrid w:val="0"/>
        <w:spacing w:line="580" w:lineRule="atLeast"/>
        <w:rPr>
          <w:rFonts w:ascii="宋体" w:cs="宋体"/>
          <w:sz w:val="24"/>
          <w:u w:val="single"/>
          <w:lang w:val="zh-CN"/>
        </w:rPr>
      </w:pPr>
      <w:r>
        <w:rPr>
          <w:rFonts w:hint="eastAsia" w:ascii="宋体" w:cs="宋体"/>
          <w:sz w:val="24"/>
          <w:u w:val="single"/>
        </w:rPr>
        <w:t>（采购人）、（采购代理机构）</w:t>
      </w:r>
      <w:r>
        <w:rPr>
          <w:rFonts w:hint="eastAsia" w:ascii="宋体" w:cs="宋体"/>
          <w:sz w:val="24"/>
          <w:u w:val="single"/>
          <w:lang w:val="zh-CN"/>
        </w:rPr>
        <w:t>：</w:t>
      </w:r>
    </w:p>
    <w:p w14:paraId="246F7179">
      <w:pPr>
        <w:snapToGrid w:val="0"/>
        <w:spacing w:line="580" w:lineRule="atLeast"/>
        <w:ind w:firstLine="480" w:firstLineChars="200"/>
        <w:rPr>
          <w:rFonts w:ascii="宋体" w:cs="宋体"/>
          <w:sz w:val="24"/>
        </w:rPr>
      </w:pPr>
      <w:r>
        <w:rPr>
          <w:rFonts w:hint="eastAsia" w:ascii="宋体" w:cs="宋体"/>
          <w:sz w:val="24"/>
        </w:rPr>
        <w:t>本授权委托书声明：我</w:t>
      </w:r>
      <w:r>
        <w:rPr>
          <w:rFonts w:hint="eastAsia" w:ascii="宋体" w:cs="宋体"/>
          <w:sz w:val="24"/>
          <w:u w:val="single"/>
        </w:rPr>
        <w:t xml:space="preserve">   （法定代表人姓名）   </w:t>
      </w:r>
      <w:r>
        <w:rPr>
          <w:rFonts w:hint="eastAsia" w:ascii="宋体" w:cs="宋体"/>
          <w:sz w:val="24"/>
        </w:rPr>
        <w:t>系</w:t>
      </w:r>
      <w:r>
        <w:rPr>
          <w:rFonts w:hint="eastAsia" w:ascii="宋体" w:cs="宋体"/>
          <w:sz w:val="24"/>
          <w:u w:val="single"/>
        </w:rPr>
        <w:t xml:space="preserve">   （供 应 商 名 称）  </w:t>
      </w:r>
      <w:r>
        <w:rPr>
          <w:rFonts w:hint="eastAsia" w:ascii="宋体" w:cs="宋体"/>
          <w:sz w:val="24"/>
        </w:rPr>
        <w:t>的法定代表人，现授权委托</w:t>
      </w:r>
      <w:r>
        <w:rPr>
          <w:rFonts w:hint="eastAsia" w:ascii="宋体" w:cs="宋体"/>
          <w:sz w:val="24"/>
          <w:u w:val="single"/>
        </w:rPr>
        <w:t xml:space="preserve">  （单 位 名 称）   </w:t>
      </w:r>
      <w:r>
        <w:rPr>
          <w:rFonts w:hint="eastAsia" w:ascii="宋体" w:cs="宋体"/>
          <w:sz w:val="24"/>
        </w:rPr>
        <w:t>的</w:t>
      </w:r>
      <w:r>
        <w:rPr>
          <w:rFonts w:hint="eastAsia" w:ascii="宋体" w:cs="宋体"/>
          <w:sz w:val="24"/>
          <w:u w:val="single"/>
        </w:rPr>
        <w:t xml:space="preserve">  （授权代表姓名）  </w:t>
      </w:r>
      <w:r>
        <w:rPr>
          <w:rFonts w:hint="eastAsia" w:ascii="宋体" w:cs="宋体"/>
          <w:sz w:val="24"/>
        </w:rPr>
        <w:t>为我公司法定代表人授权代表，参加贵处组织的</w:t>
      </w:r>
      <w:r>
        <w:rPr>
          <w:rFonts w:hint="eastAsia" w:ascii="宋体" w:cs="宋体"/>
          <w:sz w:val="24"/>
          <w:u w:val="single"/>
        </w:rPr>
        <w:t xml:space="preserve">  （招标项目名称，项目编号）  </w:t>
      </w:r>
      <w:r>
        <w:rPr>
          <w:rFonts w:hint="eastAsia" w:ascii="宋体" w:cs="宋体"/>
          <w:sz w:val="24"/>
        </w:rPr>
        <w:t>项目投标，全权处理本次招投标活动中的一切事宜，我承认授权代表全权代表我所签署的本项目的投标文件的内容。</w:t>
      </w:r>
    </w:p>
    <w:p w14:paraId="3EF94D7A">
      <w:pPr>
        <w:snapToGrid w:val="0"/>
        <w:spacing w:line="580" w:lineRule="atLeast"/>
        <w:ind w:firstLine="480" w:firstLineChars="200"/>
        <w:rPr>
          <w:rFonts w:ascii="宋体" w:cs="宋体"/>
          <w:sz w:val="24"/>
        </w:rPr>
      </w:pPr>
      <w:r>
        <w:rPr>
          <w:rFonts w:hint="eastAsia" w:ascii="宋体" w:cs="宋体"/>
          <w:sz w:val="24"/>
        </w:rPr>
        <w:t>授权代表无转授权，特此授权。</w:t>
      </w:r>
    </w:p>
    <w:p w14:paraId="4F9351AA">
      <w:pPr>
        <w:snapToGrid w:val="0"/>
        <w:spacing w:line="580" w:lineRule="atLeast"/>
        <w:ind w:left="1260"/>
        <w:rPr>
          <w:rFonts w:ascii="宋体" w:cs="宋体"/>
          <w:sz w:val="24"/>
        </w:rPr>
      </w:pPr>
    </w:p>
    <w:p w14:paraId="6AF21D5F">
      <w:pPr>
        <w:snapToGrid w:val="0"/>
        <w:spacing w:line="580" w:lineRule="atLeast"/>
        <w:rPr>
          <w:rFonts w:ascii="宋体" w:cs="宋体"/>
          <w:sz w:val="24"/>
          <w:u w:val="single"/>
        </w:rPr>
      </w:pPr>
      <w:r>
        <w:rPr>
          <w:rFonts w:hint="eastAsia" w:ascii="宋体" w:cs="宋体"/>
          <w:sz w:val="24"/>
        </w:rPr>
        <w:t>授权代表：</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性别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年龄：</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54FE468D">
      <w:pPr>
        <w:snapToGrid w:val="0"/>
        <w:spacing w:line="580" w:lineRule="atLeast"/>
        <w:rPr>
          <w:rFonts w:ascii="宋体" w:cs="宋体"/>
          <w:sz w:val="24"/>
          <w:u w:val="single"/>
        </w:rPr>
      </w:pPr>
      <w:r>
        <w:rPr>
          <w:rFonts w:hint="eastAsia" w:ascii="宋体" w:cs="宋体"/>
          <w:sz w:val="24"/>
        </w:rPr>
        <w:t>详细通讯地址：</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邮政编码：</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386863D9">
      <w:pPr>
        <w:snapToGrid w:val="0"/>
        <w:spacing w:line="580" w:lineRule="atLeast"/>
        <w:rPr>
          <w:rFonts w:ascii="宋体" w:cs="宋体"/>
          <w:sz w:val="24"/>
          <w:u w:val="single"/>
        </w:rPr>
      </w:pPr>
      <w:r>
        <w:rPr>
          <w:rFonts w:hint="eastAsia" w:ascii="宋体" w:cs="宋体"/>
          <w:sz w:val="24"/>
        </w:rPr>
        <w:t>电话：</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传真：</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36E4453B">
      <w:pPr>
        <w:snapToGrid w:val="0"/>
        <w:spacing w:line="580" w:lineRule="atLeast"/>
        <w:rPr>
          <w:rFonts w:ascii="宋体" w:cs="宋体"/>
          <w:sz w:val="24"/>
          <w:u w:val="single"/>
        </w:rPr>
      </w:pPr>
      <w:r>
        <w:rPr>
          <w:rFonts w:hint="eastAsia" w:ascii="宋体" w:cs="宋体"/>
          <w:sz w:val="24"/>
        </w:rPr>
        <w:t>投标供应商：</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4F766582">
      <w:pPr>
        <w:snapToGrid w:val="0"/>
        <w:spacing w:line="580" w:lineRule="atLeast"/>
        <w:ind w:right="440"/>
        <w:rPr>
          <w:rFonts w:ascii="宋体" w:cs="宋体"/>
          <w:sz w:val="24"/>
          <w:u w:val="single"/>
        </w:rPr>
      </w:pPr>
      <w:r>
        <w:rPr>
          <w:rFonts w:hint="eastAsia" w:ascii="宋体" w:cs="宋体"/>
          <w:sz w:val="24"/>
        </w:rPr>
        <w:t>法定代表人：</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130D0CD2">
      <w:pPr>
        <w:snapToGrid w:val="0"/>
        <w:spacing w:line="580" w:lineRule="atLeast"/>
        <w:ind w:right="440"/>
        <w:rPr>
          <w:rFonts w:ascii="宋体" w:cs="宋体"/>
          <w:sz w:val="24"/>
        </w:rPr>
      </w:pPr>
      <w:r>
        <w:rPr>
          <w:rFonts w:hint="eastAsia" w:cs="宋体"/>
          <w:sz w:val="24"/>
        </w:rPr>
        <w:t>授权委托日期：</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 xml:space="preserve">年 </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月</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日</w:t>
      </w:r>
    </w:p>
    <w:p w14:paraId="08194D79">
      <w:pPr>
        <w:pStyle w:val="17"/>
        <w:rPr>
          <w:rFonts w:cs="宋体"/>
          <w:sz w:val="22"/>
          <w:szCs w:val="22"/>
        </w:rPr>
      </w:pPr>
    </w:p>
    <w:p w14:paraId="7E26665A">
      <w:pPr>
        <w:rPr>
          <w:rFonts w:ascii="宋体" w:cs="宋体"/>
        </w:rPr>
      </w:pPr>
    </w:p>
    <w:tbl>
      <w:tblPr>
        <w:tblStyle w:val="30"/>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1D15C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tcBorders>
              <w:top w:val="single" w:color="auto" w:sz="4" w:space="0"/>
              <w:left w:val="single" w:color="auto" w:sz="4" w:space="0"/>
              <w:bottom w:val="single" w:color="auto" w:sz="4" w:space="0"/>
              <w:right w:val="single" w:color="auto" w:sz="4" w:space="0"/>
            </w:tcBorders>
            <w:vAlign w:val="center"/>
          </w:tcPr>
          <w:p w14:paraId="18C93F1F">
            <w:pPr>
              <w:pStyle w:val="15"/>
              <w:spacing w:line="440" w:lineRule="atLeast"/>
              <w:jc w:val="center"/>
              <w:rPr>
                <w:rFonts w:cs="宋体"/>
                <w:sz w:val="36"/>
                <w:szCs w:val="22"/>
              </w:rPr>
            </w:pPr>
            <w:r>
              <w:rPr>
                <w:rFonts w:hint="eastAsia" w:cs="宋体"/>
                <w:sz w:val="36"/>
                <w:szCs w:val="22"/>
              </w:rPr>
              <w:t>粘贴法定代表人身份证原件扫描件</w:t>
            </w:r>
          </w:p>
        </w:tc>
      </w:tr>
    </w:tbl>
    <w:p w14:paraId="6EB4406D">
      <w:pPr>
        <w:pStyle w:val="15"/>
        <w:snapToGrid w:val="0"/>
        <w:spacing w:line="580" w:lineRule="atLeast"/>
        <w:jc w:val="center"/>
        <w:rPr>
          <w:rFonts w:cs="宋体"/>
          <w:sz w:val="22"/>
          <w:szCs w:val="22"/>
        </w:rPr>
      </w:pPr>
    </w:p>
    <w:p w14:paraId="7C444623">
      <w:pPr>
        <w:pStyle w:val="15"/>
        <w:snapToGrid w:val="0"/>
        <w:spacing w:line="580" w:lineRule="atLeast"/>
        <w:rPr>
          <w:rFonts w:cs="宋体"/>
          <w:sz w:val="22"/>
          <w:szCs w:val="22"/>
          <w:u w:val="thick"/>
        </w:rPr>
      </w:pPr>
    </w:p>
    <w:p w14:paraId="5C996680">
      <w:pPr>
        <w:pStyle w:val="15"/>
        <w:snapToGrid w:val="0"/>
        <w:spacing w:line="580" w:lineRule="atLeast"/>
        <w:rPr>
          <w:rFonts w:cs="宋体"/>
          <w:sz w:val="22"/>
          <w:szCs w:val="22"/>
          <w:u w:val="thick"/>
        </w:rPr>
      </w:pPr>
    </w:p>
    <w:p w14:paraId="6222FC68">
      <w:pPr>
        <w:pStyle w:val="15"/>
        <w:snapToGrid w:val="0"/>
        <w:spacing w:line="580" w:lineRule="atLeast"/>
        <w:rPr>
          <w:rFonts w:cs="宋体"/>
          <w:sz w:val="22"/>
          <w:szCs w:val="22"/>
          <w:u w:val="thick"/>
        </w:rPr>
      </w:pPr>
    </w:p>
    <w:tbl>
      <w:tblPr>
        <w:tblStyle w:val="30"/>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7C6AD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tcBorders>
              <w:top w:val="single" w:color="auto" w:sz="4" w:space="0"/>
              <w:left w:val="single" w:color="auto" w:sz="4" w:space="0"/>
              <w:bottom w:val="single" w:color="auto" w:sz="4" w:space="0"/>
              <w:right w:val="single" w:color="auto" w:sz="4" w:space="0"/>
            </w:tcBorders>
            <w:vAlign w:val="center"/>
          </w:tcPr>
          <w:p w14:paraId="302722FA">
            <w:pPr>
              <w:pStyle w:val="15"/>
              <w:spacing w:line="440" w:lineRule="atLeast"/>
              <w:jc w:val="center"/>
              <w:rPr>
                <w:rFonts w:cs="宋体"/>
                <w:sz w:val="36"/>
                <w:szCs w:val="22"/>
              </w:rPr>
            </w:pPr>
            <w:r>
              <w:rPr>
                <w:rFonts w:hint="eastAsia" w:cs="宋体"/>
                <w:sz w:val="36"/>
                <w:szCs w:val="22"/>
              </w:rPr>
              <w:t>粘贴授权代表身份证原件扫描件</w:t>
            </w:r>
          </w:p>
        </w:tc>
      </w:tr>
    </w:tbl>
    <w:p w14:paraId="1717C0D3">
      <w:pPr>
        <w:snapToGrid w:val="0"/>
        <w:spacing w:line="500" w:lineRule="exact"/>
        <w:ind w:firstLine="480"/>
        <w:jc w:val="center"/>
        <w:rPr>
          <w:rStyle w:val="37"/>
          <w:rFonts w:ascii="宋体" w:eastAsia="宋体" w:cs="宋体"/>
          <w:sz w:val="24"/>
          <w:szCs w:val="24"/>
        </w:rPr>
      </w:pPr>
    </w:p>
    <w:p w14:paraId="007FFF8E">
      <w:pPr>
        <w:snapToGrid w:val="0"/>
        <w:spacing w:line="500" w:lineRule="exact"/>
        <w:ind w:firstLine="480"/>
        <w:jc w:val="center"/>
        <w:rPr>
          <w:rFonts w:ascii="宋体" w:cs="宋体"/>
          <w:b/>
          <w:kern w:val="0"/>
          <w:sz w:val="32"/>
          <w:szCs w:val="32"/>
          <w:lang w:val="zh-CN"/>
        </w:rPr>
      </w:pPr>
    </w:p>
    <w:p w14:paraId="4C50381C">
      <w:pPr>
        <w:snapToGrid w:val="0"/>
        <w:spacing w:line="500" w:lineRule="exact"/>
        <w:ind w:firstLine="480"/>
        <w:jc w:val="center"/>
        <w:rPr>
          <w:rFonts w:ascii="宋体" w:cs="宋体"/>
          <w:b/>
          <w:kern w:val="0"/>
          <w:sz w:val="32"/>
          <w:szCs w:val="32"/>
          <w:lang w:val="zh-CN"/>
        </w:rPr>
      </w:pPr>
    </w:p>
    <w:p w14:paraId="4606C0F1">
      <w:pPr>
        <w:snapToGrid w:val="0"/>
        <w:spacing w:line="500" w:lineRule="exact"/>
        <w:ind w:firstLine="480"/>
        <w:jc w:val="center"/>
        <w:rPr>
          <w:rFonts w:ascii="宋体" w:cs="宋体"/>
          <w:b/>
          <w:kern w:val="0"/>
          <w:sz w:val="32"/>
          <w:szCs w:val="32"/>
          <w:lang w:val="zh-CN"/>
        </w:rPr>
      </w:pPr>
    </w:p>
    <w:p w14:paraId="465DB6F7">
      <w:pPr>
        <w:widowControl/>
        <w:jc w:val="left"/>
        <w:rPr>
          <w:rFonts w:ascii="宋体"/>
          <w:b/>
          <w:snapToGrid w:val="0"/>
          <w:kern w:val="0"/>
          <w:szCs w:val="21"/>
        </w:rPr>
      </w:pPr>
      <w:r>
        <w:rPr>
          <w:rFonts w:ascii="宋体"/>
          <w:b/>
          <w:snapToGrid w:val="0"/>
          <w:kern w:val="0"/>
          <w:szCs w:val="21"/>
        </w:rPr>
        <w:br w:type="page"/>
      </w:r>
    </w:p>
    <w:p w14:paraId="12A39DA8">
      <w:pPr>
        <w:snapToGrid w:val="0"/>
        <w:spacing w:line="360" w:lineRule="auto"/>
        <w:jc w:val="center"/>
        <w:rPr>
          <w:rFonts w:ascii="宋体" w:cs="宋体"/>
          <w:szCs w:val="21"/>
        </w:rPr>
      </w:pPr>
      <w:r>
        <w:rPr>
          <w:rFonts w:hint="eastAsia" w:ascii="宋体"/>
          <w:b/>
          <w:sz w:val="30"/>
          <w:szCs w:val="30"/>
        </w:rPr>
        <w:t>投标声明书</w:t>
      </w:r>
    </w:p>
    <w:p w14:paraId="005B1D55">
      <w:pPr>
        <w:snapToGrid w:val="0"/>
        <w:spacing w:line="500" w:lineRule="exact"/>
        <w:rPr>
          <w:rFonts w:ascii="宋体" w:cs="宋体"/>
          <w:sz w:val="24"/>
          <w:u w:val="single"/>
        </w:rPr>
      </w:pPr>
      <w:r>
        <w:rPr>
          <w:rFonts w:hint="eastAsia" w:ascii="宋体" w:cs="宋体"/>
          <w:sz w:val="24"/>
          <w:u w:val="single"/>
        </w:rPr>
        <w:t>（采购人）、（采购代理机构） ：</w:t>
      </w:r>
    </w:p>
    <w:p w14:paraId="72AC2DF7">
      <w:pPr>
        <w:snapToGrid w:val="0"/>
        <w:spacing w:line="500" w:lineRule="exact"/>
        <w:ind w:firstLine="480" w:firstLineChars="200"/>
        <w:rPr>
          <w:rFonts w:ascii="宋体" w:cs="宋体"/>
          <w:sz w:val="24"/>
        </w:rPr>
      </w:pPr>
      <w:r>
        <w:rPr>
          <w:rFonts w:hint="eastAsia" w:ascii="宋体" w:cs="宋体"/>
          <w:sz w:val="24"/>
        </w:rPr>
        <w:t>根据贵方</w:t>
      </w:r>
      <w:r>
        <w:rPr>
          <w:rFonts w:hint="eastAsia" w:ascii="宋体" w:cs="宋体"/>
          <w:sz w:val="24"/>
          <w:u w:val="single"/>
        </w:rPr>
        <w:t xml:space="preserve">                             （项目编号：               ）</w:t>
      </w:r>
      <w:r>
        <w:rPr>
          <w:rFonts w:hint="eastAsia" w:ascii="宋体" w:cs="宋体"/>
          <w:sz w:val="24"/>
        </w:rPr>
        <w:t>的采购公告，我方提交的投标文件，宣布同意如下：</w:t>
      </w:r>
    </w:p>
    <w:p w14:paraId="00B81359">
      <w:pPr>
        <w:pStyle w:val="15"/>
        <w:spacing w:line="500" w:lineRule="exact"/>
        <w:ind w:firstLine="480" w:firstLineChars="200"/>
        <w:rPr>
          <w:rFonts w:cs="宋体"/>
          <w:sz w:val="24"/>
          <w:szCs w:val="24"/>
        </w:rPr>
      </w:pPr>
      <w:r>
        <w:rPr>
          <w:rFonts w:hint="eastAsia" w:cs="宋体"/>
          <w:sz w:val="24"/>
          <w:szCs w:val="24"/>
        </w:rPr>
        <w:t>1.我方向贵方提交的所有投标文件、资料都是准确的和真实的。</w:t>
      </w:r>
    </w:p>
    <w:p w14:paraId="5671A328">
      <w:pPr>
        <w:snapToGrid w:val="0"/>
        <w:spacing w:line="500" w:lineRule="exact"/>
        <w:ind w:firstLine="480" w:firstLineChars="200"/>
        <w:rPr>
          <w:rFonts w:ascii="宋体" w:cs="宋体"/>
          <w:sz w:val="24"/>
        </w:rPr>
      </w:pPr>
      <w:r>
        <w:rPr>
          <w:rFonts w:hint="eastAsia" w:ascii="宋体" w:cs="宋体"/>
          <w:sz w:val="24"/>
        </w:rPr>
        <w:t>2.我方已详细审查全部“招标文件”，包括修改文件（如有的话）以及全部参考资料和有关附件，已经了解我方对于招标文件、采购过程、采购结果有依法进行询问、质疑、投诉的权利及相关渠道和要求。</w:t>
      </w:r>
    </w:p>
    <w:p w14:paraId="551C1864">
      <w:pPr>
        <w:snapToGrid w:val="0"/>
        <w:spacing w:line="500" w:lineRule="exact"/>
        <w:ind w:firstLine="480" w:firstLineChars="200"/>
        <w:rPr>
          <w:rFonts w:ascii="宋体" w:cs="宋体"/>
          <w:sz w:val="24"/>
        </w:rPr>
      </w:pPr>
      <w:r>
        <w:rPr>
          <w:rFonts w:hint="eastAsia" w:ascii="宋体" w:cs="宋体"/>
          <w:sz w:val="24"/>
        </w:rPr>
        <w:t>3.我方在投标之前已经与贵方进行了充分的沟通，完全理解并接受招标文件的各项规定和要求，对招标文件的合理性、合法性不再有异议。</w:t>
      </w:r>
    </w:p>
    <w:p w14:paraId="78F7D3AE">
      <w:pPr>
        <w:snapToGrid w:val="0"/>
        <w:spacing w:line="500" w:lineRule="exact"/>
        <w:ind w:firstLine="480" w:firstLineChars="200"/>
        <w:rPr>
          <w:rFonts w:ascii="宋体" w:cs="宋体"/>
          <w:sz w:val="24"/>
        </w:rPr>
      </w:pPr>
      <w:r>
        <w:rPr>
          <w:rFonts w:hint="eastAsia" w:ascii="宋体" w:cs="宋体"/>
          <w:sz w:val="24"/>
        </w:rPr>
        <w:t>4.本投标有效期自开标日起90日。</w:t>
      </w:r>
    </w:p>
    <w:p w14:paraId="2B2D5115">
      <w:pPr>
        <w:snapToGrid w:val="0"/>
        <w:spacing w:line="500" w:lineRule="exact"/>
        <w:ind w:firstLine="480" w:firstLineChars="200"/>
        <w:rPr>
          <w:rFonts w:ascii="宋体" w:cs="宋体"/>
          <w:sz w:val="24"/>
        </w:rPr>
      </w:pPr>
      <w:r>
        <w:rPr>
          <w:rFonts w:hint="eastAsia" w:ascii="宋体" w:cs="宋体"/>
          <w:sz w:val="24"/>
        </w:rPr>
        <w:t>5.如中标，本投标文件至本项目合同履行完毕止均保持有效，本投标人将按“招标文件”及相关采购法律、法规的规定履行合同责任和义务。</w:t>
      </w:r>
    </w:p>
    <w:p w14:paraId="49BC6E85">
      <w:pPr>
        <w:snapToGrid w:val="0"/>
        <w:spacing w:line="500" w:lineRule="exact"/>
        <w:ind w:firstLine="480" w:firstLineChars="200"/>
        <w:rPr>
          <w:rFonts w:ascii="宋体" w:cs="宋体"/>
          <w:sz w:val="24"/>
        </w:rPr>
      </w:pPr>
      <w:r>
        <w:rPr>
          <w:rFonts w:hint="eastAsia" w:ascii="宋体" w:cs="宋体"/>
          <w:sz w:val="24"/>
        </w:rPr>
        <w:t>6.我方同意按照贵方要求提供与投标有关的一切数据或资料。</w:t>
      </w:r>
    </w:p>
    <w:p w14:paraId="4A966A8A">
      <w:pPr>
        <w:snapToGrid w:val="0"/>
        <w:spacing w:line="500" w:lineRule="exact"/>
        <w:ind w:firstLine="480" w:firstLineChars="200"/>
        <w:rPr>
          <w:rFonts w:ascii="宋体" w:cs="宋体"/>
          <w:sz w:val="24"/>
        </w:rPr>
      </w:pPr>
      <w:r>
        <w:rPr>
          <w:rFonts w:hint="eastAsia" w:ascii="宋体" w:cs="宋体"/>
          <w:sz w:val="24"/>
        </w:rPr>
        <w:t>7.与本投标有关的一切正式往来信函请寄：</w:t>
      </w:r>
    </w:p>
    <w:p w14:paraId="2FB47BEE">
      <w:pPr>
        <w:snapToGrid w:val="0"/>
        <w:spacing w:line="500" w:lineRule="exact"/>
        <w:ind w:firstLine="480" w:firstLineChars="200"/>
        <w:rPr>
          <w:rFonts w:ascii="宋体" w:cs="宋体"/>
          <w:sz w:val="24"/>
        </w:rPr>
      </w:pPr>
      <w:r>
        <w:rPr>
          <w:rFonts w:hint="eastAsia" w:ascii="宋体" w:cs="宋体"/>
          <w:sz w:val="24"/>
        </w:rPr>
        <w:t>地址：__________邮编：__________电话：______________</w:t>
      </w:r>
    </w:p>
    <w:p w14:paraId="4A9F9B14">
      <w:pPr>
        <w:snapToGrid w:val="0"/>
        <w:spacing w:line="500" w:lineRule="exact"/>
        <w:ind w:firstLine="480" w:firstLineChars="200"/>
        <w:rPr>
          <w:rFonts w:ascii="宋体" w:cs="宋体"/>
          <w:sz w:val="24"/>
        </w:rPr>
      </w:pPr>
      <w:r>
        <w:rPr>
          <w:rFonts w:hint="eastAsia" w:ascii="宋体" w:cs="宋体"/>
          <w:sz w:val="24"/>
        </w:rPr>
        <w:t>传真：______________投标人代表姓名_______职务：_____________</w:t>
      </w:r>
    </w:p>
    <w:p w14:paraId="6C4C2960">
      <w:pPr>
        <w:snapToGrid w:val="0"/>
        <w:spacing w:line="500" w:lineRule="exact"/>
        <w:ind w:firstLine="480" w:firstLineChars="200"/>
        <w:rPr>
          <w:rFonts w:ascii="宋体" w:cs="宋体"/>
          <w:sz w:val="24"/>
        </w:rPr>
      </w:pPr>
      <w:r>
        <w:rPr>
          <w:rFonts w:hint="eastAsia" w:ascii="宋体" w:cs="宋体"/>
          <w:sz w:val="24"/>
        </w:rPr>
        <w:t>投标人名称(盖章):___________________</w:t>
      </w:r>
    </w:p>
    <w:p w14:paraId="270356D2">
      <w:pPr>
        <w:snapToGrid w:val="0"/>
        <w:spacing w:line="500" w:lineRule="exact"/>
        <w:ind w:firstLine="480" w:firstLineChars="200"/>
        <w:rPr>
          <w:rFonts w:ascii="宋体" w:cs="宋体"/>
          <w:sz w:val="24"/>
          <w:u w:val="single"/>
        </w:rPr>
      </w:pPr>
      <w:r>
        <w:rPr>
          <w:rFonts w:hint="eastAsia" w:ascii="宋体" w:cs="宋体"/>
          <w:sz w:val="24"/>
        </w:rPr>
        <w:t>开户银行：</w:t>
      </w:r>
      <w:r>
        <w:rPr>
          <w:rFonts w:hint="eastAsia" w:ascii="宋体" w:cs="宋体"/>
          <w:sz w:val="24"/>
          <w:u w:val="single"/>
        </w:rPr>
        <w:t xml:space="preserve">             </w:t>
      </w:r>
      <w:r>
        <w:rPr>
          <w:rFonts w:hint="eastAsia" w:ascii="宋体" w:cs="宋体"/>
          <w:sz w:val="24"/>
        </w:rPr>
        <w:t>银行账号：</w:t>
      </w:r>
      <w:r>
        <w:rPr>
          <w:rFonts w:hint="eastAsia" w:ascii="宋体" w:cs="宋体"/>
          <w:sz w:val="24"/>
          <w:u w:val="single"/>
        </w:rPr>
        <w:t xml:space="preserve">             </w:t>
      </w:r>
    </w:p>
    <w:p w14:paraId="2FF78008">
      <w:pPr>
        <w:snapToGrid w:val="0"/>
        <w:spacing w:line="500" w:lineRule="exact"/>
        <w:ind w:firstLine="480" w:firstLineChars="200"/>
        <w:rPr>
          <w:rFonts w:ascii="宋体" w:cs="宋体"/>
          <w:sz w:val="24"/>
        </w:rPr>
      </w:pPr>
      <w:r>
        <w:rPr>
          <w:rFonts w:hint="eastAsia" w:ascii="宋体" w:cs="宋体"/>
          <w:sz w:val="24"/>
        </w:rPr>
        <w:t>法定代表人（盖章）___________</w:t>
      </w:r>
    </w:p>
    <w:p w14:paraId="44A25F8C">
      <w:pPr>
        <w:snapToGrid w:val="0"/>
        <w:spacing w:line="500" w:lineRule="exact"/>
        <w:ind w:firstLine="480" w:firstLineChars="200"/>
        <w:rPr>
          <w:rFonts w:ascii="宋体" w:cs="宋体"/>
          <w:sz w:val="24"/>
        </w:rPr>
      </w:pPr>
      <w:r>
        <w:rPr>
          <w:rFonts w:hint="eastAsia" w:ascii="宋体" w:cs="宋体"/>
          <w:sz w:val="24"/>
        </w:rPr>
        <w:t>日期:_____年___月___日</w:t>
      </w:r>
    </w:p>
    <w:p w14:paraId="70458F47">
      <w:pPr>
        <w:pStyle w:val="8"/>
      </w:pPr>
      <w:r>
        <w:br w:type="page"/>
      </w:r>
    </w:p>
    <w:p w14:paraId="61A7893D">
      <w:pPr>
        <w:snapToGrid w:val="0"/>
        <w:spacing w:line="360" w:lineRule="auto"/>
        <w:jc w:val="center"/>
      </w:pPr>
      <w:r>
        <w:rPr>
          <w:rFonts w:hint="eastAsia" w:ascii="宋体"/>
          <w:b/>
          <w:sz w:val="30"/>
          <w:szCs w:val="30"/>
        </w:rPr>
        <w:t>供应商（服务商）承诺书</w:t>
      </w:r>
    </w:p>
    <w:p w14:paraId="1DE4CEF0">
      <w:pPr>
        <w:pStyle w:val="42"/>
        <w:adjustRightInd w:val="0"/>
        <w:snapToGrid w:val="0"/>
        <w:spacing w:line="360" w:lineRule="auto"/>
        <w:ind w:left="0" w:firstLine="504" w:firstLineChars="200"/>
        <w:rPr>
          <w:spacing w:val="6"/>
          <w:sz w:val="24"/>
          <w:szCs w:val="24"/>
        </w:rPr>
      </w:pPr>
      <w:r>
        <w:rPr>
          <w:spacing w:val="6"/>
          <w:sz w:val="24"/>
          <w:szCs w:val="24"/>
        </w:rPr>
        <w:t>本人经由</w:t>
      </w:r>
      <w:r>
        <w:rPr>
          <w:spacing w:val="6"/>
          <w:sz w:val="24"/>
          <w:szCs w:val="24"/>
          <w:u w:val="single"/>
        </w:rPr>
        <w:t xml:space="preserve">                     （单位）</w:t>
      </w:r>
      <w:r>
        <w:rPr>
          <w:rFonts w:hint="eastAsia"/>
          <w:spacing w:val="6"/>
          <w:sz w:val="24"/>
          <w:szCs w:val="24"/>
        </w:rPr>
        <w:t>法人</w:t>
      </w:r>
      <w:r>
        <w:rPr>
          <w:spacing w:val="6"/>
          <w:sz w:val="24"/>
          <w:szCs w:val="24"/>
          <w:u w:val="single"/>
        </w:rPr>
        <w:t xml:space="preserve">      （姓名）</w:t>
      </w:r>
      <w:r>
        <w:rPr>
          <w:spacing w:val="6"/>
          <w:sz w:val="24"/>
          <w:szCs w:val="24"/>
        </w:rPr>
        <w:t>合法授权参加项目</w:t>
      </w:r>
      <w:r>
        <w:rPr>
          <w:rFonts w:hint="eastAsia"/>
          <w:spacing w:val="6"/>
          <w:sz w:val="24"/>
          <w:szCs w:val="24"/>
        </w:rPr>
        <w:t>的招标</w:t>
      </w:r>
      <w:r>
        <w:rPr>
          <w:spacing w:val="6"/>
          <w:sz w:val="24"/>
          <w:szCs w:val="24"/>
        </w:rPr>
        <w:t>活动，经与本单位法人代表（负责人）确认，现就有关公平竞争事项郑重</w:t>
      </w:r>
      <w:r>
        <w:rPr>
          <w:rFonts w:hint="eastAsia"/>
          <w:spacing w:val="6"/>
          <w:sz w:val="24"/>
          <w:szCs w:val="24"/>
        </w:rPr>
        <w:t>承诺</w:t>
      </w:r>
      <w:r>
        <w:rPr>
          <w:spacing w:val="6"/>
          <w:sz w:val="24"/>
          <w:szCs w:val="24"/>
        </w:rPr>
        <w:t xml:space="preserve">如下： </w:t>
      </w:r>
    </w:p>
    <w:p w14:paraId="2262D336">
      <w:pPr>
        <w:pStyle w:val="42"/>
        <w:numPr>
          <w:ilvl w:val="0"/>
          <w:numId w:val="7"/>
        </w:numPr>
        <w:adjustRightInd w:val="0"/>
        <w:snapToGrid w:val="0"/>
        <w:spacing w:line="360" w:lineRule="auto"/>
        <w:ind w:left="0" w:firstLine="407" w:firstLineChars="169"/>
        <w:rPr>
          <w:kern w:val="0"/>
          <w:sz w:val="24"/>
          <w:szCs w:val="24"/>
        </w:rPr>
      </w:pPr>
      <w:r>
        <w:rPr>
          <w:rFonts w:hint="eastAsia"/>
          <w:b/>
          <w:kern w:val="0"/>
          <w:sz w:val="24"/>
          <w:szCs w:val="24"/>
        </w:rPr>
        <w:t>本单位承诺不存在与关联关系的企业共同参与本次招标活动，所述的关联关系是具有以下情形之一：</w:t>
      </w:r>
    </w:p>
    <w:p w14:paraId="53173A85">
      <w:pPr>
        <w:pStyle w:val="42"/>
        <w:widowControl w:val="0"/>
        <w:adjustRightInd w:val="0"/>
        <w:snapToGrid w:val="0"/>
        <w:spacing w:line="360" w:lineRule="auto"/>
        <w:ind w:firstLine="405" w:firstLineChars="169"/>
        <w:jc w:val="both"/>
        <w:rPr>
          <w:kern w:val="0"/>
          <w:sz w:val="24"/>
          <w:szCs w:val="24"/>
        </w:rPr>
      </w:pPr>
      <w:r>
        <w:rPr>
          <w:kern w:val="0"/>
          <w:sz w:val="24"/>
          <w:szCs w:val="24"/>
        </w:rPr>
        <w:t>A.法定代表人或负责人或实际控制人是同一人</w:t>
      </w:r>
    </w:p>
    <w:p w14:paraId="7D8592B6">
      <w:pPr>
        <w:pStyle w:val="42"/>
        <w:widowControl w:val="0"/>
        <w:adjustRightInd w:val="0"/>
        <w:snapToGrid w:val="0"/>
        <w:spacing w:line="360" w:lineRule="auto"/>
        <w:ind w:firstLine="405" w:firstLineChars="169"/>
        <w:jc w:val="both"/>
        <w:rPr>
          <w:spacing w:val="6"/>
          <w:sz w:val="24"/>
          <w:szCs w:val="24"/>
        </w:rPr>
      </w:pPr>
      <w:r>
        <w:rPr>
          <w:kern w:val="0"/>
          <w:sz w:val="24"/>
          <w:szCs w:val="24"/>
        </w:rPr>
        <w:t>B.法定代表人或负责人或实际控制人是夫妻关系</w:t>
      </w:r>
    </w:p>
    <w:p w14:paraId="6BDB273F">
      <w:pPr>
        <w:pStyle w:val="42"/>
        <w:widowControl w:val="0"/>
        <w:adjustRightInd w:val="0"/>
        <w:snapToGrid w:val="0"/>
        <w:spacing w:line="360" w:lineRule="auto"/>
        <w:ind w:firstLine="405" w:firstLineChars="169"/>
        <w:jc w:val="both"/>
        <w:rPr>
          <w:spacing w:val="6"/>
          <w:sz w:val="24"/>
          <w:szCs w:val="24"/>
        </w:rPr>
      </w:pPr>
      <w:r>
        <w:rPr>
          <w:kern w:val="0"/>
          <w:sz w:val="24"/>
          <w:szCs w:val="24"/>
        </w:rPr>
        <w:t>C.法定代表人或负责人或实际控制人是直系血亲关系</w:t>
      </w:r>
    </w:p>
    <w:p w14:paraId="1006E757">
      <w:pPr>
        <w:pStyle w:val="42"/>
        <w:widowControl w:val="0"/>
        <w:adjustRightInd w:val="0"/>
        <w:snapToGrid w:val="0"/>
        <w:spacing w:line="360" w:lineRule="auto"/>
        <w:ind w:firstLine="405" w:firstLineChars="169"/>
        <w:jc w:val="both"/>
        <w:rPr>
          <w:spacing w:val="6"/>
          <w:sz w:val="24"/>
          <w:szCs w:val="24"/>
        </w:rPr>
      </w:pPr>
      <w:r>
        <w:rPr>
          <w:kern w:val="0"/>
          <w:sz w:val="24"/>
          <w:szCs w:val="24"/>
        </w:rPr>
        <w:t>D.法定代表人或负责人或实际控制人存在三代以内旁系血亲关系</w:t>
      </w:r>
    </w:p>
    <w:p w14:paraId="79BBAE72">
      <w:pPr>
        <w:pStyle w:val="42"/>
        <w:widowControl w:val="0"/>
        <w:adjustRightInd w:val="0"/>
        <w:snapToGrid w:val="0"/>
        <w:spacing w:line="360" w:lineRule="auto"/>
        <w:ind w:firstLine="405" w:firstLineChars="169"/>
        <w:jc w:val="both"/>
        <w:rPr>
          <w:kern w:val="0"/>
          <w:sz w:val="24"/>
          <w:szCs w:val="24"/>
        </w:rPr>
      </w:pPr>
      <w:r>
        <w:rPr>
          <w:kern w:val="0"/>
          <w:sz w:val="24"/>
          <w:szCs w:val="24"/>
        </w:rPr>
        <w:t>E.法定代表人或负责人或实际控制人存在近姻亲关系</w:t>
      </w:r>
    </w:p>
    <w:p w14:paraId="7489BD03">
      <w:pPr>
        <w:pStyle w:val="42"/>
        <w:widowControl w:val="0"/>
        <w:adjustRightInd w:val="0"/>
        <w:snapToGrid w:val="0"/>
        <w:spacing w:line="360" w:lineRule="auto"/>
        <w:ind w:firstLine="405" w:firstLineChars="169"/>
        <w:jc w:val="both"/>
        <w:rPr>
          <w:kern w:val="0"/>
          <w:sz w:val="24"/>
          <w:szCs w:val="24"/>
        </w:rPr>
      </w:pPr>
      <w:r>
        <w:rPr>
          <w:kern w:val="0"/>
          <w:sz w:val="24"/>
          <w:szCs w:val="24"/>
        </w:rPr>
        <w:t>F.法定代表人或负责人或实际控制人存在股份控制或实际控制关系</w:t>
      </w:r>
    </w:p>
    <w:p w14:paraId="6BD8A064">
      <w:pPr>
        <w:pStyle w:val="42"/>
        <w:widowControl w:val="0"/>
        <w:adjustRightInd w:val="0"/>
        <w:snapToGrid w:val="0"/>
        <w:spacing w:line="360" w:lineRule="auto"/>
        <w:ind w:firstLine="405" w:firstLineChars="169"/>
        <w:jc w:val="both"/>
        <w:outlineLvl w:val="0"/>
        <w:rPr>
          <w:kern w:val="0"/>
          <w:sz w:val="24"/>
          <w:szCs w:val="24"/>
        </w:rPr>
      </w:pPr>
      <w:bookmarkStart w:id="55" w:name="_Toc16754"/>
      <w:bookmarkStart w:id="56" w:name="_Toc5999"/>
      <w:bookmarkStart w:id="57" w:name="_Toc20769"/>
      <w:r>
        <w:rPr>
          <w:kern w:val="0"/>
          <w:sz w:val="24"/>
          <w:szCs w:val="24"/>
        </w:rPr>
        <w:t>G.存在共同直接或间接投资设立子公司、联营企业和合营企业情况</w:t>
      </w:r>
      <w:bookmarkEnd w:id="55"/>
      <w:bookmarkEnd w:id="56"/>
      <w:bookmarkEnd w:id="57"/>
    </w:p>
    <w:p w14:paraId="1B4EC2ED">
      <w:pPr>
        <w:pStyle w:val="42"/>
        <w:widowControl w:val="0"/>
        <w:adjustRightInd w:val="0"/>
        <w:snapToGrid w:val="0"/>
        <w:spacing w:line="360" w:lineRule="auto"/>
        <w:ind w:firstLine="405" w:firstLineChars="169"/>
        <w:jc w:val="both"/>
        <w:rPr>
          <w:sz w:val="24"/>
          <w:szCs w:val="24"/>
        </w:rPr>
      </w:pPr>
      <w:r>
        <w:rPr>
          <w:kern w:val="0"/>
          <w:sz w:val="24"/>
          <w:szCs w:val="24"/>
        </w:rPr>
        <w:t>H.存在分级代理或代销关系、同一生产制造商关系、</w:t>
      </w:r>
      <w:r>
        <w:rPr>
          <w:sz w:val="24"/>
          <w:szCs w:val="24"/>
        </w:rPr>
        <w:t>管理关系、重要业务（占主营业务收入50%以上）或重要财务往来关系（如融资）等其他实质性控制关系</w:t>
      </w:r>
    </w:p>
    <w:p w14:paraId="6B1B561B">
      <w:pPr>
        <w:pStyle w:val="42"/>
        <w:widowControl w:val="0"/>
        <w:adjustRightInd w:val="0"/>
        <w:snapToGrid w:val="0"/>
        <w:spacing w:line="360" w:lineRule="auto"/>
        <w:ind w:firstLine="405" w:firstLineChars="169"/>
        <w:jc w:val="both"/>
        <w:rPr>
          <w:spacing w:val="6"/>
          <w:sz w:val="24"/>
          <w:szCs w:val="24"/>
        </w:rPr>
      </w:pPr>
      <w:r>
        <w:rPr>
          <w:sz w:val="24"/>
          <w:szCs w:val="24"/>
        </w:rPr>
        <w:t>I</w:t>
      </w:r>
      <w:r>
        <w:rPr>
          <w:kern w:val="0"/>
          <w:sz w:val="24"/>
          <w:szCs w:val="24"/>
        </w:rPr>
        <w:t>.</w:t>
      </w:r>
      <w:r>
        <w:rPr>
          <w:sz w:val="24"/>
          <w:szCs w:val="24"/>
        </w:rPr>
        <w:t>其他利害关系情况</w:t>
      </w:r>
      <w:r>
        <w:rPr>
          <w:kern w:val="0"/>
          <w:sz w:val="24"/>
          <w:szCs w:val="24"/>
        </w:rPr>
        <w:t>。</w:t>
      </w:r>
    </w:p>
    <w:p w14:paraId="2616CAFE">
      <w:pPr>
        <w:pStyle w:val="42"/>
        <w:adjustRightInd w:val="0"/>
        <w:snapToGrid w:val="0"/>
        <w:spacing w:line="360" w:lineRule="auto"/>
        <w:ind w:firstLine="407" w:firstLineChars="169"/>
        <w:rPr>
          <w:b/>
          <w:kern w:val="0"/>
          <w:sz w:val="24"/>
          <w:szCs w:val="24"/>
        </w:rPr>
      </w:pPr>
      <w:r>
        <w:rPr>
          <w:rFonts w:hint="eastAsia"/>
          <w:b/>
          <w:sz w:val="24"/>
          <w:szCs w:val="24"/>
        </w:rPr>
        <w:t>二、</w:t>
      </w:r>
      <w:r>
        <w:rPr>
          <w:b/>
          <w:sz w:val="24"/>
          <w:szCs w:val="24"/>
        </w:rPr>
        <w:t>现已清楚知道并</w:t>
      </w:r>
      <w:r>
        <w:rPr>
          <w:b/>
          <w:kern w:val="0"/>
          <w:sz w:val="24"/>
          <w:szCs w:val="24"/>
        </w:rPr>
        <w:t>严格遵守法律法规和</w:t>
      </w:r>
      <w:r>
        <w:rPr>
          <w:rFonts w:hint="eastAsia"/>
          <w:b/>
          <w:kern w:val="0"/>
          <w:sz w:val="24"/>
          <w:szCs w:val="24"/>
        </w:rPr>
        <w:t>承诺要求</w:t>
      </w:r>
      <w:r>
        <w:rPr>
          <w:b/>
          <w:kern w:val="0"/>
          <w:sz w:val="24"/>
          <w:szCs w:val="24"/>
        </w:rPr>
        <w:t>。</w:t>
      </w:r>
    </w:p>
    <w:p w14:paraId="03330301">
      <w:pPr>
        <w:spacing w:line="360" w:lineRule="atLeast"/>
        <w:ind w:firstLine="3360" w:firstLineChars="1600"/>
        <w:jc w:val="right"/>
        <w:rPr>
          <w:rFonts w:ascii="宋体"/>
          <w:szCs w:val="21"/>
        </w:rPr>
      </w:pPr>
      <w:r>
        <w:rPr>
          <w:rFonts w:hint="eastAsia" w:ascii="宋体"/>
          <w:szCs w:val="21"/>
        </w:rPr>
        <w:t>投标人</w:t>
      </w:r>
      <w:r>
        <w:rPr>
          <w:rFonts w:ascii="宋体"/>
          <w:szCs w:val="21"/>
        </w:rPr>
        <w:t>名称（公章）：</w:t>
      </w:r>
    </w:p>
    <w:p w14:paraId="7AD7C4AF">
      <w:pPr>
        <w:spacing w:line="360" w:lineRule="atLeast"/>
        <w:ind w:firstLine="3360" w:firstLineChars="1600"/>
        <w:jc w:val="right"/>
        <w:rPr>
          <w:rFonts w:ascii="宋体"/>
          <w:szCs w:val="21"/>
        </w:rPr>
      </w:pPr>
      <w:r>
        <w:rPr>
          <w:rFonts w:ascii="宋体"/>
          <w:szCs w:val="21"/>
        </w:rPr>
        <w:t>法定代表人或授权委托人（签字</w:t>
      </w:r>
      <w:r>
        <w:rPr>
          <w:rFonts w:hint="eastAsia" w:ascii="宋体"/>
          <w:szCs w:val="21"/>
        </w:rPr>
        <w:t>或盖章</w:t>
      </w:r>
      <w:r>
        <w:rPr>
          <w:rFonts w:ascii="宋体"/>
          <w:szCs w:val="21"/>
        </w:rPr>
        <w:t>）：</w:t>
      </w:r>
    </w:p>
    <w:p w14:paraId="767A4446">
      <w:pPr>
        <w:spacing w:line="360" w:lineRule="atLeast"/>
        <w:ind w:firstLine="3360" w:firstLineChars="1600"/>
        <w:jc w:val="right"/>
        <w:rPr>
          <w:rFonts w:ascii="宋体"/>
          <w:szCs w:val="21"/>
        </w:rPr>
      </w:pPr>
      <w:r>
        <w:rPr>
          <w:rFonts w:ascii="宋体"/>
          <w:szCs w:val="21"/>
        </w:rPr>
        <w:t>日期：</w:t>
      </w:r>
      <w:r>
        <w:rPr>
          <w:rFonts w:hint="eastAsia" w:ascii="宋体"/>
          <w:szCs w:val="21"/>
        </w:rPr>
        <w:t xml:space="preserve"> </w:t>
      </w:r>
      <w:r>
        <w:rPr>
          <w:rFonts w:ascii="宋体"/>
          <w:szCs w:val="21"/>
        </w:rPr>
        <w:t xml:space="preserve">    年  月   日</w:t>
      </w:r>
    </w:p>
    <w:p w14:paraId="6EA0223C">
      <w:pPr>
        <w:pStyle w:val="8"/>
      </w:pPr>
      <w:r>
        <w:br w:type="page"/>
      </w:r>
    </w:p>
    <w:p w14:paraId="26B8008D">
      <w:pPr>
        <w:snapToGrid w:val="0"/>
        <w:spacing w:line="360" w:lineRule="auto"/>
        <w:jc w:val="center"/>
        <w:rPr>
          <w:rFonts w:cs="方正小标宋简体"/>
          <w:b/>
          <w:sz w:val="32"/>
          <w:szCs w:val="32"/>
        </w:rPr>
      </w:pPr>
      <w:r>
        <w:rPr>
          <w:rFonts w:hint="eastAsia" w:ascii="宋体"/>
          <w:b/>
          <w:sz w:val="30"/>
          <w:szCs w:val="30"/>
        </w:rPr>
        <w:t>廉洁承诺书</w:t>
      </w:r>
    </w:p>
    <w:p w14:paraId="14A27062">
      <w:pPr>
        <w:pStyle w:val="42"/>
        <w:widowControl w:val="0"/>
        <w:adjustRightInd w:val="0"/>
        <w:snapToGrid w:val="0"/>
        <w:spacing w:line="360" w:lineRule="auto"/>
        <w:jc w:val="both"/>
        <w:outlineLvl w:val="0"/>
        <w:rPr>
          <w:kern w:val="0"/>
          <w:sz w:val="24"/>
          <w:szCs w:val="24"/>
        </w:rPr>
      </w:pPr>
      <w:bookmarkStart w:id="58" w:name="_Toc9712"/>
      <w:bookmarkStart w:id="59" w:name="_Toc27139"/>
      <w:bookmarkStart w:id="60" w:name="_Toc5943"/>
      <w:r>
        <w:rPr>
          <w:rFonts w:hint="eastAsia"/>
          <w:kern w:val="0"/>
          <w:sz w:val="24"/>
          <w:szCs w:val="24"/>
          <w:u w:val="single"/>
        </w:rPr>
        <w:t>招标人：</w:t>
      </w:r>
      <w:bookmarkEnd w:id="58"/>
      <w:bookmarkEnd w:id="59"/>
      <w:bookmarkEnd w:id="60"/>
      <w:r>
        <w:rPr>
          <w:kern w:val="0"/>
          <w:sz w:val="24"/>
          <w:szCs w:val="24"/>
          <w:u w:val="single"/>
        </w:rPr>
        <w:t xml:space="preserve"> </w:t>
      </w:r>
      <w:r>
        <w:rPr>
          <w:kern w:val="0"/>
          <w:sz w:val="24"/>
          <w:szCs w:val="24"/>
        </w:rPr>
        <w:t xml:space="preserve">      </w:t>
      </w:r>
    </w:p>
    <w:p w14:paraId="419BEED0">
      <w:pPr>
        <w:pStyle w:val="42"/>
        <w:widowControl w:val="0"/>
        <w:adjustRightInd w:val="0"/>
        <w:snapToGrid w:val="0"/>
        <w:spacing w:line="360" w:lineRule="auto"/>
        <w:ind w:firstLine="405" w:firstLineChars="169"/>
        <w:jc w:val="both"/>
        <w:outlineLvl w:val="0"/>
        <w:rPr>
          <w:kern w:val="0"/>
          <w:sz w:val="24"/>
          <w:szCs w:val="24"/>
        </w:rPr>
      </w:pPr>
      <w:bookmarkStart w:id="61" w:name="_Toc27344"/>
      <w:bookmarkStart w:id="62" w:name="_Toc2897"/>
      <w:bookmarkStart w:id="63" w:name="_Toc9603"/>
      <w:r>
        <w:rPr>
          <w:rFonts w:hint="eastAsia"/>
          <w:kern w:val="0"/>
          <w:sz w:val="24"/>
          <w:szCs w:val="24"/>
        </w:rPr>
        <w:t>作为贵公司潜在供应商，我单位现作如下郑重承诺：</w:t>
      </w:r>
      <w:bookmarkEnd w:id="61"/>
      <w:bookmarkEnd w:id="62"/>
      <w:bookmarkEnd w:id="63"/>
    </w:p>
    <w:p w14:paraId="318CFA37">
      <w:pPr>
        <w:pStyle w:val="42"/>
        <w:widowControl w:val="0"/>
        <w:adjustRightInd w:val="0"/>
        <w:snapToGrid w:val="0"/>
        <w:spacing w:line="360" w:lineRule="auto"/>
        <w:ind w:firstLine="405" w:firstLineChars="169"/>
        <w:jc w:val="both"/>
        <w:outlineLvl w:val="0"/>
        <w:rPr>
          <w:kern w:val="0"/>
          <w:sz w:val="24"/>
          <w:szCs w:val="24"/>
        </w:rPr>
      </w:pPr>
      <w:bookmarkStart w:id="64" w:name="_Toc22797"/>
      <w:bookmarkStart w:id="65" w:name="_Toc26687"/>
      <w:bookmarkStart w:id="66" w:name="_Toc27318"/>
      <w:r>
        <w:rPr>
          <w:rFonts w:hint="eastAsia"/>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64"/>
      <w:bookmarkEnd w:id="65"/>
      <w:bookmarkEnd w:id="66"/>
    </w:p>
    <w:p w14:paraId="6C605BDC">
      <w:pPr>
        <w:pStyle w:val="42"/>
        <w:widowControl w:val="0"/>
        <w:adjustRightInd w:val="0"/>
        <w:snapToGrid w:val="0"/>
        <w:spacing w:line="360" w:lineRule="auto"/>
        <w:ind w:firstLine="405" w:firstLineChars="169"/>
        <w:jc w:val="both"/>
        <w:outlineLvl w:val="0"/>
        <w:rPr>
          <w:kern w:val="0"/>
          <w:sz w:val="24"/>
          <w:szCs w:val="24"/>
        </w:rPr>
      </w:pPr>
      <w:bookmarkStart w:id="67" w:name="_Toc32329"/>
      <w:bookmarkStart w:id="68" w:name="_Toc2523"/>
      <w:bookmarkStart w:id="69" w:name="_Toc4844"/>
      <w:r>
        <w:rPr>
          <w:rFonts w:hint="eastAsia"/>
          <w:kern w:val="0"/>
          <w:sz w:val="24"/>
          <w:szCs w:val="24"/>
        </w:rPr>
        <w:t>2. 在与贵公司的业务往来过程中，不做违反中央八项规定精神和“四风”的事情，不向贵公司工作人员提供宴请、旅游、健身、娱乐等活动安排。</w:t>
      </w:r>
      <w:bookmarkEnd w:id="67"/>
      <w:bookmarkEnd w:id="68"/>
      <w:bookmarkEnd w:id="69"/>
    </w:p>
    <w:p w14:paraId="2A73ED14">
      <w:pPr>
        <w:pStyle w:val="42"/>
        <w:widowControl w:val="0"/>
        <w:adjustRightInd w:val="0"/>
        <w:snapToGrid w:val="0"/>
        <w:spacing w:line="360" w:lineRule="auto"/>
        <w:ind w:firstLine="405" w:firstLineChars="169"/>
        <w:jc w:val="both"/>
        <w:outlineLvl w:val="0"/>
        <w:rPr>
          <w:kern w:val="0"/>
          <w:sz w:val="24"/>
          <w:szCs w:val="24"/>
        </w:rPr>
      </w:pPr>
      <w:bookmarkStart w:id="70" w:name="_Toc16312"/>
      <w:bookmarkStart w:id="71" w:name="_Toc26123"/>
      <w:bookmarkStart w:id="72" w:name="_Toc19197"/>
      <w:r>
        <w:rPr>
          <w:rFonts w:hint="eastAsia"/>
          <w:kern w:val="0"/>
          <w:sz w:val="24"/>
          <w:szCs w:val="24"/>
        </w:rPr>
        <w:t>3. 对贵公司工作人员主动向我单位为其本人或亲属索取好处或有相关暗示的不良行为，我单位承诺立即向贵公司如实反映（举报电话：0570-</w:t>
      </w:r>
      <w:r>
        <w:rPr>
          <w:rFonts w:hint="eastAsia"/>
          <w:kern w:val="0"/>
          <w:sz w:val="24"/>
          <w:szCs w:val="24"/>
          <w:lang w:val="en-US" w:eastAsia="zh-CN"/>
        </w:rPr>
        <w:t>3097581</w:t>
      </w:r>
      <w:r>
        <w:rPr>
          <w:rFonts w:hint="eastAsia"/>
          <w:kern w:val="0"/>
          <w:sz w:val="24"/>
          <w:szCs w:val="24"/>
        </w:rPr>
        <w:t>；巨化</w:t>
      </w:r>
      <w:r>
        <w:rPr>
          <w:rFonts w:hint="eastAsia"/>
          <w:kern w:val="0"/>
          <w:sz w:val="24"/>
        </w:rPr>
        <w:t>招标</w:t>
      </w:r>
      <w:r>
        <w:rPr>
          <w:rFonts w:hint="eastAsia"/>
          <w:kern w:val="0"/>
          <w:sz w:val="24"/>
          <w:szCs w:val="24"/>
        </w:rPr>
        <w:t xml:space="preserve">监管办公室投诉邮箱： </w:t>
      </w:r>
      <w:r>
        <w:rPr>
          <w:rFonts w:hint="eastAsia"/>
          <w:kern w:val="0"/>
          <w:sz w:val="24"/>
          <w:szCs w:val="24"/>
        </w:rPr>
        <w:fldChar w:fldCharType="begin"/>
      </w:r>
      <w:r>
        <w:instrText xml:space="preserve">HYPERLINK "mailto:3091876@juhua.com"</w:instrText>
      </w:r>
      <w:r>
        <w:rPr>
          <w:rFonts w:hint="eastAsia"/>
          <w:kern w:val="0"/>
          <w:sz w:val="24"/>
          <w:szCs w:val="24"/>
        </w:rPr>
        <w:fldChar w:fldCharType="separate"/>
      </w:r>
      <w:r>
        <w:rPr>
          <w:rFonts w:hint="eastAsia"/>
          <w:kern w:val="0"/>
          <w:sz w:val="24"/>
          <w:szCs w:val="24"/>
        </w:rPr>
        <w:t>3091876@juhua.com</w:t>
      </w:r>
      <w:r>
        <w:rPr>
          <w:rFonts w:hint="eastAsia"/>
          <w:kern w:val="0"/>
          <w:sz w:val="24"/>
          <w:szCs w:val="24"/>
        </w:rPr>
        <w:fldChar w:fldCharType="end"/>
      </w:r>
      <w:r>
        <w:rPr>
          <w:rFonts w:hint="eastAsia"/>
          <w:kern w:val="0"/>
          <w:sz w:val="24"/>
          <w:szCs w:val="24"/>
        </w:rPr>
        <w:t>）。反映内容如系恶意虚假，我单位愿承担相应的法律责任。</w:t>
      </w:r>
      <w:bookmarkEnd w:id="70"/>
      <w:bookmarkEnd w:id="71"/>
      <w:bookmarkEnd w:id="72"/>
    </w:p>
    <w:p w14:paraId="1949B28B">
      <w:pPr>
        <w:pStyle w:val="42"/>
        <w:widowControl w:val="0"/>
        <w:adjustRightInd w:val="0"/>
        <w:snapToGrid w:val="0"/>
        <w:spacing w:line="360" w:lineRule="auto"/>
        <w:ind w:firstLine="405" w:firstLineChars="169"/>
        <w:jc w:val="both"/>
        <w:outlineLvl w:val="0"/>
        <w:rPr>
          <w:kern w:val="0"/>
          <w:sz w:val="24"/>
          <w:szCs w:val="24"/>
        </w:rPr>
      </w:pPr>
      <w:bookmarkStart w:id="73" w:name="_Toc27820"/>
      <w:bookmarkStart w:id="74" w:name="_Toc21989"/>
      <w:bookmarkStart w:id="75" w:name="_Toc31402"/>
      <w:r>
        <w:rPr>
          <w:rFonts w:hint="eastAsia"/>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73"/>
      <w:bookmarkEnd w:id="74"/>
      <w:bookmarkEnd w:id="75"/>
    </w:p>
    <w:p w14:paraId="26ECF850">
      <w:pPr>
        <w:pStyle w:val="42"/>
        <w:widowControl w:val="0"/>
        <w:adjustRightInd w:val="0"/>
        <w:snapToGrid w:val="0"/>
        <w:spacing w:line="360" w:lineRule="auto"/>
        <w:ind w:firstLine="405" w:firstLineChars="169"/>
        <w:jc w:val="both"/>
        <w:outlineLvl w:val="0"/>
        <w:rPr>
          <w:kern w:val="0"/>
          <w:sz w:val="24"/>
          <w:szCs w:val="24"/>
        </w:rPr>
      </w:pPr>
      <w:bookmarkStart w:id="76" w:name="_Toc4665"/>
      <w:bookmarkStart w:id="77" w:name="_Toc9114"/>
      <w:bookmarkStart w:id="78" w:name="_Toc22302"/>
      <w:r>
        <w:rPr>
          <w:rFonts w:hint="eastAsia"/>
          <w:kern w:val="0"/>
          <w:sz w:val="24"/>
          <w:szCs w:val="24"/>
        </w:rPr>
        <w:t>本承诺书作为投标附件提供给招标单位。</w:t>
      </w:r>
      <w:bookmarkEnd w:id="76"/>
      <w:bookmarkEnd w:id="77"/>
      <w:bookmarkEnd w:id="78"/>
    </w:p>
    <w:p w14:paraId="5195F97B">
      <w:pPr>
        <w:pStyle w:val="42"/>
        <w:widowControl w:val="0"/>
        <w:adjustRightInd w:val="0"/>
        <w:snapToGrid w:val="0"/>
        <w:spacing w:line="360" w:lineRule="auto"/>
        <w:ind w:firstLine="405" w:firstLineChars="169"/>
        <w:jc w:val="both"/>
        <w:outlineLvl w:val="0"/>
        <w:rPr>
          <w:kern w:val="0"/>
          <w:sz w:val="24"/>
          <w:szCs w:val="24"/>
        </w:rPr>
      </w:pPr>
    </w:p>
    <w:p w14:paraId="1CC2102E">
      <w:pPr>
        <w:pStyle w:val="42"/>
        <w:widowControl w:val="0"/>
        <w:adjustRightInd w:val="0"/>
        <w:snapToGrid w:val="0"/>
        <w:spacing w:line="360" w:lineRule="auto"/>
        <w:ind w:firstLine="405" w:firstLineChars="169"/>
        <w:jc w:val="both"/>
        <w:outlineLvl w:val="0"/>
        <w:rPr>
          <w:kern w:val="0"/>
          <w:sz w:val="24"/>
          <w:szCs w:val="24"/>
        </w:rPr>
      </w:pPr>
    </w:p>
    <w:p w14:paraId="6003D368">
      <w:pPr>
        <w:pStyle w:val="42"/>
        <w:widowControl w:val="0"/>
        <w:adjustRightInd w:val="0"/>
        <w:snapToGrid w:val="0"/>
        <w:spacing w:line="360" w:lineRule="auto"/>
        <w:ind w:firstLine="405" w:firstLineChars="169"/>
        <w:jc w:val="both"/>
        <w:outlineLvl w:val="0"/>
        <w:rPr>
          <w:kern w:val="0"/>
          <w:sz w:val="24"/>
          <w:szCs w:val="24"/>
        </w:rPr>
      </w:pPr>
    </w:p>
    <w:p w14:paraId="0F85FE38">
      <w:pPr>
        <w:pStyle w:val="42"/>
        <w:widowControl w:val="0"/>
        <w:adjustRightInd w:val="0"/>
        <w:snapToGrid w:val="0"/>
        <w:spacing w:line="360" w:lineRule="auto"/>
        <w:ind w:firstLine="405" w:firstLineChars="169"/>
        <w:jc w:val="both"/>
        <w:outlineLvl w:val="0"/>
        <w:rPr>
          <w:kern w:val="0"/>
          <w:sz w:val="24"/>
          <w:szCs w:val="24"/>
        </w:rPr>
      </w:pPr>
    </w:p>
    <w:p w14:paraId="03FC7663">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投标人（盖公章）：                </w:t>
      </w:r>
    </w:p>
    <w:p w14:paraId="3B2F45D5">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法定代表人（签字或盖章）：                             </w:t>
      </w:r>
    </w:p>
    <w:p w14:paraId="61085C1E">
      <w:pPr>
        <w:spacing w:line="360" w:lineRule="auto"/>
        <w:ind w:firstLine="360" w:firstLineChars="150"/>
        <w:jc w:val="right"/>
        <w:rPr>
          <w:rFonts w:ascii="宋体"/>
          <w:bCs/>
          <w:snapToGrid w:val="0"/>
          <w:kern w:val="0"/>
          <w:sz w:val="24"/>
        </w:rPr>
      </w:pPr>
    </w:p>
    <w:p w14:paraId="22EB29F7">
      <w:pPr>
        <w:spacing w:line="360" w:lineRule="auto"/>
        <w:ind w:firstLine="360" w:firstLineChars="150"/>
        <w:jc w:val="right"/>
        <w:rPr>
          <w:rFonts w:ascii="宋体"/>
          <w:bCs/>
          <w:snapToGrid w:val="0"/>
          <w:kern w:val="0"/>
          <w:sz w:val="24"/>
        </w:rPr>
      </w:pPr>
    </w:p>
    <w:p w14:paraId="6BDA0FAE">
      <w:pPr>
        <w:spacing w:line="360" w:lineRule="auto"/>
        <w:ind w:firstLine="360" w:firstLineChars="150"/>
        <w:jc w:val="right"/>
        <w:rPr>
          <w:rFonts w:ascii="宋体"/>
          <w:bCs/>
          <w:snapToGrid w:val="0"/>
          <w:kern w:val="0"/>
          <w:sz w:val="24"/>
        </w:rPr>
      </w:pPr>
      <w:r>
        <w:rPr>
          <w:rFonts w:hint="eastAsia" w:ascii="宋体"/>
          <w:bCs/>
          <w:snapToGrid w:val="0"/>
          <w:kern w:val="0"/>
          <w:sz w:val="24"/>
        </w:rPr>
        <w:t>_______年＿月 ＿日</w:t>
      </w:r>
    </w:p>
    <w:p w14:paraId="6719CE2C">
      <w:pPr>
        <w:pStyle w:val="8"/>
        <w:rPr>
          <w:snapToGrid w:val="0"/>
        </w:rPr>
      </w:pPr>
      <w:r>
        <w:rPr>
          <w:snapToGrid w:val="0"/>
        </w:rPr>
        <w:br w:type="page"/>
      </w:r>
    </w:p>
    <w:p w14:paraId="22951DFC">
      <w:pPr>
        <w:autoSpaceDE w:val="0"/>
        <w:autoSpaceDN w:val="0"/>
        <w:adjustRightInd w:val="0"/>
        <w:jc w:val="center"/>
        <w:outlineLvl w:val="0"/>
        <w:rPr>
          <w:rFonts w:hint="eastAsia" w:ascii="宋体" w:eastAsia="宋体" w:cs="宋体"/>
          <w:b/>
          <w:bCs/>
          <w:color w:val="auto"/>
          <w:sz w:val="30"/>
          <w:szCs w:val="30"/>
          <w:u w:val="none"/>
          <w:lang w:val="zh-CN"/>
        </w:rPr>
      </w:pPr>
      <w:r>
        <w:rPr>
          <w:rFonts w:hint="eastAsia" w:ascii="宋体" w:eastAsia="宋体" w:cs="宋体"/>
          <w:b/>
          <w:bCs/>
          <w:color w:val="auto"/>
          <w:sz w:val="30"/>
          <w:szCs w:val="30"/>
          <w:u w:val="none"/>
          <w:lang w:val="zh-CN"/>
        </w:rPr>
        <w:t>投标人自20</w:t>
      </w:r>
      <w:r>
        <w:rPr>
          <w:rFonts w:hint="eastAsia" w:ascii="宋体" w:cs="宋体"/>
          <w:b/>
          <w:bCs/>
          <w:color w:val="auto"/>
          <w:sz w:val="30"/>
          <w:szCs w:val="30"/>
          <w:u w:val="none"/>
          <w:lang w:val="en-US" w:eastAsia="zh-CN"/>
        </w:rPr>
        <w:t>22</w:t>
      </w:r>
      <w:r>
        <w:rPr>
          <w:rFonts w:hint="eastAsia" w:ascii="宋体" w:eastAsia="宋体" w:cs="宋体"/>
          <w:b/>
          <w:bCs/>
          <w:color w:val="auto"/>
          <w:sz w:val="30"/>
          <w:szCs w:val="30"/>
          <w:u w:val="none"/>
          <w:lang w:val="zh-CN"/>
        </w:rPr>
        <w:t>年</w:t>
      </w:r>
      <w:r>
        <w:rPr>
          <w:rFonts w:ascii="宋体" w:eastAsia="宋体" w:cs="宋体"/>
          <w:b/>
          <w:bCs/>
          <w:color w:val="auto"/>
          <w:sz w:val="30"/>
          <w:szCs w:val="30"/>
          <w:u w:val="none"/>
          <w:lang w:val="zh-CN"/>
        </w:rPr>
        <w:t>1</w:t>
      </w:r>
      <w:r>
        <w:rPr>
          <w:rFonts w:hint="eastAsia" w:ascii="宋体" w:eastAsia="宋体" w:cs="宋体"/>
          <w:b/>
          <w:bCs/>
          <w:color w:val="auto"/>
          <w:sz w:val="30"/>
          <w:szCs w:val="30"/>
          <w:u w:val="none"/>
          <w:lang w:val="zh-CN"/>
        </w:rPr>
        <w:t>月1日以来承担过项目的业绩情况表</w:t>
      </w:r>
    </w:p>
    <w:p w14:paraId="4B52C717">
      <w:pPr>
        <w:rPr>
          <w:rFonts w:ascii="宋体"/>
          <w:sz w:val="28"/>
        </w:rPr>
      </w:pPr>
    </w:p>
    <w:tbl>
      <w:tblPr>
        <w:tblStyle w:val="30"/>
        <w:tblW w:w="3965"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2"/>
        <w:gridCol w:w="2154"/>
        <w:gridCol w:w="1554"/>
        <w:gridCol w:w="1739"/>
        <w:gridCol w:w="1814"/>
      </w:tblGrid>
      <w:tr w14:paraId="5DBFCA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3DA8AC57">
            <w:pPr>
              <w:adjustRightInd w:val="0"/>
              <w:snapToGrid w:val="0"/>
              <w:spacing w:line="360" w:lineRule="auto"/>
              <w:jc w:val="center"/>
              <w:rPr>
                <w:rFonts w:hint="eastAsia" w:ascii="宋体" w:eastAsia="宋体" w:cs="宋体"/>
                <w:color w:val="auto"/>
                <w:sz w:val="24"/>
                <w:highlight w:val="none"/>
                <w:lang w:bidi="ar-SA"/>
              </w:rPr>
            </w:pPr>
            <w:r>
              <w:rPr>
                <w:rFonts w:hint="eastAsia" w:ascii="宋体" w:eastAsia="宋体" w:cs="宋体"/>
                <w:color w:val="auto"/>
                <w:sz w:val="24"/>
                <w:highlight w:val="none"/>
                <w:lang w:bidi="ar-SA"/>
              </w:rPr>
              <w:t>序号</w:t>
            </w:r>
          </w:p>
        </w:tc>
        <w:tc>
          <w:tcPr>
            <w:tcW w:w="2154" w:type="dxa"/>
            <w:tcBorders>
              <w:top w:val="single" w:color="auto" w:sz="4" w:space="0"/>
              <w:left w:val="single" w:color="auto" w:sz="4" w:space="0"/>
              <w:bottom w:val="single" w:color="auto" w:sz="4" w:space="0"/>
              <w:right w:val="single" w:color="auto" w:sz="4" w:space="0"/>
            </w:tcBorders>
            <w:noWrap/>
            <w:vAlign w:val="center"/>
          </w:tcPr>
          <w:p w14:paraId="4BF1BCD6">
            <w:pPr>
              <w:adjustRightInd w:val="0"/>
              <w:snapToGrid w:val="0"/>
              <w:spacing w:line="360" w:lineRule="auto"/>
              <w:jc w:val="center"/>
              <w:rPr>
                <w:rFonts w:hint="eastAsia" w:ascii="宋体" w:eastAsia="宋体" w:cs="宋体"/>
                <w:color w:val="auto"/>
                <w:sz w:val="24"/>
                <w:highlight w:val="none"/>
                <w:lang w:bidi="ar-SA"/>
              </w:rPr>
            </w:pPr>
            <w:r>
              <w:rPr>
                <w:rFonts w:hint="eastAsia" w:ascii="宋体" w:eastAsia="宋体" w:cs="宋体"/>
                <w:color w:val="auto"/>
                <w:sz w:val="24"/>
                <w:highlight w:val="none"/>
                <w:lang w:bidi="ar-SA"/>
              </w:rPr>
              <w:t>项目名称</w:t>
            </w:r>
          </w:p>
        </w:tc>
        <w:tc>
          <w:tcPr>
            <w:tcW w:w="1554" w:type="dxa"/>
            <w:tcBorders>
              <w:top w:val="single" w:color="auto" w:sz="4" w:space="0"/>
              <w:left w:val="single" w:color="auto" w:sz="4" w:space="0"/>
              <w:bottom w:val="single" w:color="auto" w:sz="4" w:space="0"/>
              <w:right w:val="single" w:color="auto" w:sz="4" w:space="0"/>
            </w:tcBorders>
            <w:noWrap/>
            <w:vAlign w:val="center"/>
          </w:tcPr>
          <w:p w14:paraId="7AC06BA4">
            <w:pPr>
              <w:adjustRightInd w:val="0"/>
              <w:snapToGrid w:val="0"/>
              <w:spacing w:line="360" w:lineRule="auto"/>
              <w:jc w:val="center"/>
              <w:rPr>
                <w:rFonts w:ascii="宋体" w:eastAsia="宋体" w:cs="宋体"/>
                <w:color w:val="auto"/>
                <w:sz w:val="24"/>
                <w:highlight w:val="none"/>
                <w:lang w:val="en-US" w:bidi="ar-SA"/>
              </w:rPr>
            </w:pPr>
            <w:r>
              <w:rPr>
                <w:rFonts w:hint="eastAsia" w:ascii="宋体" w:eastAsia="宋体" w:cs="宋体"/>
                <w:i w:val="0"/>
                <w:iCs w:val="0"/>
                <w:color w:val="000000"/>
                <w:kern w:val="0"/>
                <w:sz w:val="24"/>
                <w:szCs w:val="24"/>
                <w:u w:val="none"/>
                <w:lang w:val="en-US" w:eastAsia="zh-CN"/>
              </w:rPr>
              <w:t>服务内容</w:t>
            </w:r>
          </w:p>
        </w:tc>
        <w:tc>
          <w:tcPr>
            <w:tcW w:w="1739" w:type="dxa"/>
            <w:tcBorders>
              <w:top w:val="single" w:color="auto" w:sz="4" w:space="0"/>
              <w:left w:val="single" w:color="auto" w:sz="4" w:space="0"/>
              <w:bottom w:val="single" w:color="auto" w:sz="4" w:space="0"/>
              <w:right w:val="single" w:color="auto" w:sz="4" w:space="0"/>
            </w:tcBorders>
            <w:noWrap/>
            <w:vAlign w:val="center"/>
          </w:tcPr>
          <w:p w14:paraId="0A18B267">
            <w:pPr>
              <w:adjustRightInd w:val="0"/>
              <w:snapToGrid w:val="0"/>
              <w:spacing w:line="360" w:lineRule="auto"/>
              <w:jc w:val="center"/>
              <w:rPr>
                <w:rFonts w:hint="eastAsia" w:ascii="宋体" w:eastAsia="宋体" w:cs="宋体"/>
                <w:i w:val="0"/>
                <w:iCs w:val="0"/>
                <w:color w:val="000000"/>
                <w:kern w:val="0"/>
                <w:sz w:val="24"/>
                <w:szCs w:val="24"/>
                <w:u w:val="none"/>
                <w:lang w:val="en-US" w:eastAsia="zh-CN"/>
              </w:rPr>
            </w:pPr>
            <w:r>
              <w:rPr>
                <w:rFonts w:hint="eastAsia" w:ascii="宋体" w:eastAsia="宋体" w:cs="宋体"/>
                <w:i w:val="0"/>
                <w:iCs w:val="0"/>
                <w:color w:val="000000"/>
                <w:kern w:val="0"/>
                <w:sz w:val="24"/>
                <w:szCs w:val="24"/>
                <w:u w:val="none"/>
                <w:lang w:val="en-US" w:eastAsia="zh-CN"/>
              </w:rPr>
              <w:t>合同金额</w:t>
            </w:r>
          </w:p>
        </w:tc>
        <w:tc>
          <w:tcPr>
            <w:tcW w:w="1813" w:type="dxa"/>
            <w:tcBorders>
              <w:top w:val="single" w:color="auto" w:sz="4" w:space="0"/>
              <w:left w:val="single" w:color="auto" w:sz="4" w:space="0"/>
              <w:bottom w:val="single" w:color="auto" w:sz="4" w:space="0"/>
              <w:right w:val="single" w:color="auto" w:sz="4" w:space="0"/>
            </w:tcBorders>
            <w:noWrap/>
            <w:vAlign w:val="center"/>
          </w:tcPr>
          <w:p w14:paraId="4C139454">
            <w:pPr>
              <w:adjustRightInd w:val="0"/>
              <w:snapToGrid w:val="0"/>
              <w:spacing w:line="360" w:lineRule="auto"/>
              <w:jc w:val="center"/>
              <w:rPr>
                <w:rFonts w:hint="eastAsia" w:ascii="宋体" w:eastAsia="宋体" w:cs="宋体"/>
                <w:color w:val="auto"/>
                <w:sz w:val="24"/>
                <w:highlight w:val="none"/>
                <w:lang w:bidi="ar-SA"/>
              </w:rPr>
            </w:pPr>
            <w:r>
              <w:rPr>
                <w:rFonts w:hint="eastAsia" w:ascii="宋体" w:eastAsia="宋体" w:cs="宋体"/>
                <w:color w:val="auto"/>
                <w:sz w:val="24"/>
                <w:highlight w:val="none"/>
                <w:lang w:bidi="ar-SA"/>
              </w:rPr>
              <w:t>合同签订时间</w:t>
            </w:r>
          </w:p>
        </w:tc>
      </w:tr>
      <w:tr w14:paraId="24DF69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453A3A38">
            <w:pPr>
              <w:adjustRightInd w:val="0"/>
              <w:snapToGrid w:val="0"/>
              <w:spacing w:line="360" w:lineRule="auto"/>
              <w:jc w:val="center"/>
              <w:rPr>
                <w:rFonts w:hint="eastAsia" w:ascii="宋体" w:eastAsia="宋体" w:cs="宋体"/>
                <w:color w:val="auto"/>
                <w:sz w:val="24"/>
                <w:highlight w:val="none"/>
                <w:lang w:bidi="ar-SA"/>
              </w:rPr>
            </w:pPr>
            <w:r>
              <w:rPr>
                <w:rFonts w:hint="eastAsia" w:ascii="宋体" w:eastAsia="宋体" w:cs="宋体"/>
                <w:color w:val="auto"/>
                <w:sz w:val="24"/>
                <w:highlight w:val="none"/>
                <w:lang w:bidi="ar-SA"/>
              </w:rPr>
              <w:t>1</w:t>
            </w:r>
          </w:p>
        </w:tc>
        <w:tc>
          <w:tcPr>
            <w:tcW w:w="2154" w:type="dxa"/>
            <w:tcBorders>
              <w:top w:val="single" w:color="auto" w:sz="4" w:space="0"/>
              <w:left w:val="single" w:color="auto" w:sz="4" w:space="0"/>
              <w:bottom w:val="single" w:color="auto" w:sz="4" w:space="0"/>
              <w:right w:val="single" w:color="auto" w:sz="4" w:space="0"/>
            </w:tcBorders>
            <w:noWrap/>
            <w:vAlign w:val="center"/>
          </w:tcPr>
          <w:p w14:paraId="436006C3">
            <w:pPr>
              <w:adjustRightInd w:val="0"/>
              <w:snapToGrid w:val="0"/>
              <w:spacing w:line="360" w:lineRule="auto"/>
              <w:jc w:val="center"/>
              <w:rPr>
                <w:rFonts w:hint="eastAsia" w:ascii="宋体" w:eastAsia="宋体" w:cs="宋体"/>
                <w:color w:val="auto"/>
                <w:sz w:val="24"/>
                <w:highlight w:val="none"/>
                <w:lang w:bidi="ar-SA"/>
              </w:rPr>
            </w:pPr>
          </w:p>
        </w:tc>
        <w:tc>
          <w:tcPr>
            <w:tcW w:w="1554" w:type="dxa"/>
            <w:tcBorders>
              <w:top w:val="single" w:color="auto" w:sz="4" w:space="0"/>
              <w:left w:val="single" w:color="auto" w:sz="4" w:space="0"/>
              <w:bottom w:val="single" w:color="auto" w:sz="4" w:space="0"/>
              <w:right w:val="single" w:color="auto" w:sz="4" w:space="0"/>
            </w:tcBorders>
            <w:noWrap/>
            <w:vAlign w:val="center"/>
          </w:tcPr>
          <w:p w14:paraId="2D0C0704">
            <w:pPr>
              <w:adjustRightInd w:val="0"/>
              <w:snapToGrid w:val="0"/>
              <w:spacing w:line="360" w:lineRule="auto"/>
              <w:jc w:val="center"/>
              <w:rPr>
                <w:rFonts w:hint="eastAsia" w:ascii="宋体" w:eastAsia="宋体" w:cs="宋体"/>
                <w:color w:val="auto"/>
                <w:sz w:val="24"/>
                <w:highlight w:val="none"/>
                <w:lang w:bidi="ar-SA"/>
              </w:rPr>
            </w:pPr>
          </w:p>
        </w:tc>
        <w:tc>
          <w:tcPr>
            <w:tcW w:w="1739" w:type="dxa"/>
            <w:tcBorders>
              <w:top w:val="single" w:color="auto" w:sz="4" w:space="0"/>
              <w:left w:val="single" w:color="auto" w:sz="4" w:space="0"/>
              <w:bottom w:val="single" w:color="auto" w:sz="4" w:space="0"/>
              <w:right w:val="single" w:color="auto" w:sz="4" w:space="0"/>
            </w:tcBorders>
            <w:noWrap/>
            <w:vAlign w:val="center"/>
          </w:tcPr>
          <w:p w14:paraId="31821803">
            <w:pPr>
              <w:adjustRightInd w:val="0"/>
              <w:snapToGrid w:val="0"/>
              <w:spacing w:line="360" w:lineRule="auto"/>
              <w:jc w:val="center"/>
              <w:rPr>
                <w:rFonts w:hint="eastAsia" w:ascii="宋体" w:eastAsia="宋体" w:cs="宋体"/>
                <w:color w:val="auto"/>
                <w:sz w:val="24"/>
                <w:highlight w:val="none"/>
                <w:lang w:bidi="ar-SA"/>
              </w:rPr>
            </w:pPr>
          </w:p>
        </w:tc>
        <w:tc>
          <w:tcPr>
            <w:tcW w:w="1813" w:type="dxa"/>
            <w:tcBorders>
              <w:top w:val="single" w:color="auto" w:sz="4" w:space="0"/>
              <w:left w:val="single" w:color="auto" w:sz="4" w:space="0"/>
              <w:bottom w:val="single" w:color="auto" w:sz="4" w:space="0"/>
              <w:right w:val="single" w:color="auto" w:sz="4" w:space="0"/>
            </w:tcBorders>
            <w:noWrap/>
            <w:vAlign w:val="center"/>
          </w:tcPr>
          <w:p w14:paraId="3E5678EF">
            <w:pPr>
              <w:adjustRightInd w:val="0"/>
              <w:snapToGrid w:val="0"/>
              <w:spacing w:line="360" w:lineRule="auto"/>
              <w:jc w:val="center"/>
              <w:rPr>
                <w:rFonts w:hint="eastAsia" w:ascii="宋体" w:eastAsia="宋体" w:cs="宋体"/>
                <w:color w:val="auto"/>
                <w:sz w:val="24"/>
                <w:highlight w:val="none"/>
                <w:lang w:bidi="ar-SA"/>
              </w:rPr>
            </w:pPr>
          </w:p>
        </w:tc>
      </w:tr>
      <w:tr w14:paraId="08204E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057B2A37">
            <w:pPr>
              <w:adjustRightInd w:val="0"/>
              <w:snapToGrid w:val="0"/>
              <w:spacing w:line="360" w:lineRule="auto"/>
              <w:jc w:val="center"/>
              <w:rPr>
                <w:rFonts w:hint="eastAsia" w:ascii="宋体" w:eastAsia="宋体" w:cs="宋体"/>
                <w:color w:val="auto"/>
                <w:sz w:val="24"/>
                <w:highlight w:val="none"/>
                <w:lang w:bidi="ar-SA"/>
              </w:rPr>
            </w:pPr>
            <w:r>
              <w:rPr>
                <w:rFonts w:hint="eastAsia" w:ascii="宋体" w:eastAsia="宋体" w:cs="宋体"/>
                <w:color w:val="auto"/>
                <w:sz w:val="24"/>
                <w:highlight w:val="none"/>
                <w:lang w:bidi="ar-SA"/>
              </w:rPr>
              <w:t>2</w:t>
            </w:r>
          </w:p>
        </w:tc>
        <w:tc>
          <w:tcPr>
            <w:tcW w:w="2154" w:type="dxa"/>
            <w:tcBorders>
              <w:top w:val="single" w:color="auto" w:sz="4" w:space="0"/>
              <w:left w:val="single" w:color="auto" w:sz="4" w:space="0"/>
              <w:bottom w:val="single" w:color="auto" w:sz="4" w:space="0"/>
              <w:right w:val="single" w:color="auto" w:sz="4" w:space="0"/>
            </w:tcBorders>
            <w:noWrap/>
            <w:vAlign w:val="center"/>
          </w:tcPr>
          <w:p w14:paraId="7BE4FC8D">
            <w:pPr>
              <w:adjustRightInd w:val="0"/>
              <w:snapToGrid w:val="0"/>
              <w:spacing w:line="360" w:lineRule="auto"/>
              <w:jc w:val="center"/>
              <w:rPr>
                <w:rFonts w:hint="eastAsia" w:ascii="宋体" w:eastAsia="宋体" w:cs="宋体"/>
                <w:color w:val="auto"/>
                <w:sz w:val="24"/>
                <w:highlight w:val="none"/>
                <w:lang w:bidi="ar-SA"/>
              </w:rPr>
            </w:pPr>
          </w:p>
        </w:tc>
        <w:tc>
          <w:tcPr>
            <w:tcW w:w="1554" w:type="dxa"/>
            <w:tcBorders>
              <w:top w:val="single" w:color="auto" w:sz="4" w:space="0"/>
              <w:left w:val="single" w:color="auto" w:sz="4" w:space="0"/>
              <w:bottom w:val="single" w:color="auto" w:sz="4" w:space="0"/>
              <w:right w:val="single" w:color="auto" w:sz="4" w:space="0"/>
            </w:tcBorders>
            <w:noWrap/>
            <w:vAlign w:val="center"/>
          </w:tcPr>
          <w:p w14:paraId="212C5705">
            <w:pPr>
              <w:adjustRightInd w:val="0"/>
              <w:snapToGrid w:val="0"/>
              <w:spacing w:line="360" w:lineRule="auto"/>
              <w:jc w:val="center"/>
              <w:rPr>
                <w:rFonts w:hint="eastAsia" w:ascii="宋体" w:eastAsia="宋体" w:cs="宋体"/>
                <w:color w:val="auto"/>
                <w:sz w:val="24"/>
                <w:highlight w:val="none"/>
                <w:lang w:bidi="ar-SA"/>
              </w:rPr>
            </w:pPr>
          </w:p>
        </w:tc>
        <w:tc>
          <w:tcPr>
            <w:tcW w:w="1739" w:type="dxa"/>
            <w:tcBorders>
              <w:top w:val="single" w:color="auto" w:sz="4" w:space="0"/>
              <w:left w:val="single" w:color="auto" w:sz="4" w:space="0"/>
              <w:bottom w:val="single" w:color="auto" w:sz="4" w:space="0"/>
              <w:right w:val="single" w:color="auto" w:sz="4" w:space="0"/>
            </w:tcBorders>
            <w:noWrap/>
            <w:vAlign w:val="center"/>
          </w:tcPr>
          <w:p w14:paraId="575893A7">
            <w:pPr>
              <w:adjustRightInd w:val="0"/>
              <w:snapToGrid w:val="0"/>
              <w:spacing w:line="360" w:lineRule="auto"/>
              <w:jc w:val="center"/>
              <w:rPr>
                <w:rFonts w:hint="eastAsia" w:ascii="宋体" w:eastAsia="宋体" w:cs="宋体"/>
                <w:color w:val="auto"/>
                <w:sz w:val="24"/>
                <w:highlight w:val="none"/>
                <w:lang w:bidi="ar-SA"/>
              </w:rPr>
            </w:pPr>
          </w:p>
        </w:tc>
        <w:tc>
          <w:tcPr>
            <w:tcW w:w="1813" w:type="dxa"/>
            <w:tcBorders>
              <w:top w:val="single" w:color="auto" w:sz="4" w:space="0"/>
              <w:left w:val="single" w:color="auto" w:sz="4" w:space="0"/>
              <w:bottom w:val="single" w:color="auto" w:sz="4" w:space="0"/>
              <w:right w:val="single" w:color="auto" w:sz="4" w:space="0"/>
            </w:tcBorders>
            <w:noWrap/>
            <w:vAlign w:val="center"/>
          </w:tcPr>
          <w:p w14:paraId="7582DF07">
            <w:pPr>
              <w:adjustRightInd w:val="0"/>
              <w:snapToGrid w:val="0"/>
              <w:spacing w:line="360" w:lineRule="auto"/>
              <w:jc w:val="center"/>
              <w:rPr>
                <w:rFonts w:hint="eastAsia" w:ascii="宋体" w:eastAsia="宋体" w:cs="宋体"/>
                <w:color w:val="auto"/>
                <w:sz w:val="24"/>
                <w:highlight w:val="none"/>
                <w:lang w:bidi="ar-SA"/>
              </w:rPr>
            </w:pPr>
          </w:p>
        </w:tc>
      </w:tr>
      <w:tr w14:paraId="5D52F7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7BAFCC24">
            <w:pPr>
              <w:adjustRightInd w:val="0"/>
              <w:snapToGrid w:val="0"/>
              <w:spacing w:line="360" w:lineRule="auto"/>
              <w:jc w:val="center"/>
              <w:rPr>
                <w:rFonts w:hint="eastAsia" w:ascii="宋体" w:eastAsia="宋体" w:cs="宋体"/>
                <w:color w:val="auto"/>
                <w:sz w:val="24"/>
                <w:highlight w:val="none"/>
                <w:lang w:val="en-US" w:eastAsia="zh-CN" w:bidi="ar-SA"/>
              </w:rPr>
            </w:pPr>
            <w:r>
              <w:rPr>
                <w:rFonts w:hint="eastAsia" w:ascii="宋体" w:eastAsia="宋体" w:cs="宋体"/>
                <w:color w:val="auto"/>
                <w:sz w:val="24"/>
                <w:highlight w:val="none"/>
                <w:lang w:val="en-US" w:eastAsia="zh-CN" w:bidi="ar-SA"/>
              </w:rPr>
              <w:t>3</w:t>
            </w:r>
          </w:p>
        </w:tc>
        <w:tc>
          <w:tcPr>
            <w:tcW w:w="2154" w:type="dxa"/>
            <w:tcBorders>
              <w:top w:val="single" w:color="auto" w:sz="4" w:space="0"/>
              <w:left w:val="single" w:color="auto" w:sz="4" w:space="0"/>
              <w:bottom w:val="single" w:color="auto" w:sz="4" w:space="0"/>
              <w:right w:val="single" w:color="auto" w:sz="4" w:space="0"/>
            </w:tcBorders>
            <w:noWrap/>
            <w:vAlign w:val="center"/>
          </w:tcPr>
          <w:p w14:paraId="24563FB5">
            <w:pPr>
              <w:adjustRightInd w:val="0"/>
              <w:snapToGrid w:val="0"/>
              <w:spacing w:line="360" w:lineRule="auto"/>
              <w:jc w:val="center"/>
              <w:rPr>
                <w:rFonts w:hint="eastAsia" w:ascii="宋体" w:eastAsia="宋体" w:cs="宋体"/>
                <w:color w:val="auto"/>
                <w:sz w:val="24"/>
                <w:highlight w:val="none"/>
                <w:lang w:bidi="ar-SA"/>
              </w:rPr>
            </w:pPr>
          </w:p>
        </w:tc>
        <w:tc>
          <w:tcPr>
            <w:tcW w:w="1554" w:type="dxa"/>
            <w:tcBorders>
              <w:top w:val="single" w:color="auto" w:sz="4" w:space="0"/>
              <w:left w:val="single" w:color="auto" w:sz="4" w:space="0"/>
              <w:bottom w:val="single" w:color="auto" w:sz="4" w:space="0"/>
              <w:right w:val="single" w:color="auto" w:sz="4" w:space="0"/>
            </w:tcBorders>
            <w:noWrap/>
            <w:vAlign w:val="center"/>
          </w:tcPr>
          <w:p w14:paraId="794B5DD0">
            <w:pPr>
              <w:adjustRightInd w:val="0"/>
              <w:snapToGrid w:val="0"/>
              <w:spacing w:line="360" w:lineRule="auto"/>
              <w:jc w:val="center"/>
              <w:rPr>
                <w:rFonts w:hint="eastAsia" w:ascii="宋体" w:eastAsia="宋体" w:cs="宋体"/>
                <w:color w:val="auto"/>
                <w:sz w:val="24"/>
                <w:highlight w:val="none"/>
                <w:lang w:bidi="ar-SA"/>
              </w:rPr>
            </w:pPr>
          </w:p>
        </w:tc>
        <w:tc>
          <w:tcPr>
            <w:tcW w:w="1739" w:type="dxa"/>
            <w:tcBorders>
              <w:top w:val="single" w:color="auto" w:sz="4" w:space="0"/>
              <w:left w:val="single" w:color="auto" w:sz="4" w:space="0"/>
              <w:bottom w:val="single" w:color="auto" w:sz="4" w:space="0"/>
              <w:right w:val="single" w:color="auto" w:sz="4" w:space="0"/>
            </w:tcBorders>
            <w:noWrap/>
            <w:vAlign w:val="center"/>
          </w:tcPr>
          <w:p w14:paraId="50A325A2">
            <w:pPr>
              <w:adjustRightInd w:val="0"/>
              <w:snapToGrid w:val="0"/>
              <w:spacing w:line="360" w:lineRule="auto"/>
              <w:jc w:val="center"/>
              <w:rPr>
                <w:rFonts w:hint="eastAsia" w:ascii="宋体" w:eastAsia="宋体" w:cs="宋体"/>
                <w:color w:val="auto"/>
                <w:sz w:val="24"/>
                <w:highlight w:val="none"/>
                <w:lang w:bidi="ar-SA"/>
              </w:rPr>
            </w:pPr>
          </w:p>
        </w:tc>
        <w:tc>
          <w:tcPr>
            <w:tcW w:w="1813" w:type="dxa"/>
            <w:tcBorders>
              <w:top w:val="single" w:color="auto" w:sz="4" w:space="0"/>
              <w:left w:val="single" w:color="auto" w:sz="4" w:space="0"/>
              <w:bottom w:val="single" w:color="auto" w:sz="4" w:space="0"/>
              <w:right w:val="single" w:color="auto" w:sz="4" w:space="0"/>
            </w:tcBorders>
            <w:noWrap/>
            <w:vAlign w:val="center"/>
          </w:tcPr>
          <w:p w14:paraId="3386D181">
            <w:pPr>
              <w:adjustRightInd w:val="0"/>
              <w:snapToGrid w:val="0"/>
              <w:spacing w:line="360" w:lineRule="auto"/>
              <w:jc w:val="center"/>
              <w:rPr>
                <w:rFonts w:hint="eastAsia" w:ascii="宋体" w:eastAsia="宋体" w:cs="宋体"/>
                <w:color w:val="auto"/>
                <w:sz w:val="24"/>
                <w:highlight w:val="none"/>
                <w:lang w:bidi="ar-SA"/>
              </w:rPr>
            </w:pPr>
          </w:p>
        </w:tc>
      </w:tr>
      <w:tr w14:paraId="66AE03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06BED3F5">
            <w:pPr>
              <w:adjustRightInd w:val="0"/>
              <w:snapToGrid w:val="0"/>
              <w:spacing w:line="360" w:lineRule="auto"/>
              <w:jc w:val="center"/>
              <w:rPr>
                <w:rFonts w:hint="eastAsia" w:ascii="宋体" w:eastAsia="宋体" w:cs="宋体"/>
                <w:color w:val="auto"/>
                <w:sz w:val="24"/>
                <w:highlight w:val="none"/>
                <w:lang w:val="en-US" w:eastAsia="zh-CN" w:bidi="ar-SA"/>
              </w:rPr>
            </w:pPr>
            <w:r>
              <w:rPr>
                <w:rFonts w:hint="eastAsia" w:ascii="宋体" w:eastAsia="宋体" w:cs="宋体"/>
                <w:color w:val="auto"/>
                <w:sz w:val="24"/>
                <w:highlight w:val="none"/>
                <w:lang w:val="en-US" w:eastAsia="zh-CN" w:bidi="ar-SA"/>
              </w:rPr>
              <w:t>4</w:t>
            </w:r>
          </w:p>
        </w:tc>
        <w:tc>
          <w:tcPr>
            <w:tcW w:w="2154" w:type="dxa"/>
            <w:tcBorders>
              <w:top w:val="single" w:color="auto" w:sz="4" w:space="0"/>
              <w:left w:val="single" w:color="auto" w:sz="4" w:space="0"/>
              <w:bottom w:val="single" w:color="auto" w:sz="4" w:space="0"/>
              <w:right w:val="single" w:color="auto" w:sz="4" w:space="0"/>
            </w:tcBorders>
            <w:noWrap/>
            <w:vAlign w:val="center"/>
          </w:tcPr>
          <w:p w14:paraId="6561AAEF">
            <w:pPr>
              <w:adjustRightInd w:val="0"/>
              <w:snapToGrid w:val="0"/>
              <w:spacing w:line="360" w:lineRule="auto"/>
              <w:jc w:val="center"/>
              <w:rPr>
                <w:rFonts w:hint="eastAsia" w:ascii="宋体" w:eastAsia="宋体" w:cs="宋体"/>
                <w:color w:val="auto"/>
                <w:sz w:val="24"/>
                <w:highlight w:val="none"/>
                <w:lang w:bidi="ar-SA"/>
              </w:rPr>
            </w:pPr>
          </w:p>
        </w:tc>
        <w:tc>
          <w:tcPr>
            <w:tcW w:w="1554" w:type="dxa"/>
            <w:tcBorders>
              <w:top w:val="single" w:color="auto" w:sz="4" w:space="0"/>
              <w:left w:val="single" w:color="auto" w:sz="4" w:space="0"/>
              <w:bottom w:val="single" w:color="auto" w:sz="4" w:space="0"/>
              <w:right w:val="single" w:color="auto" w:sz="4" w:space="0"/>
            </w:tcBorders>
            <w:noWrap/>
            <w:vAlign w:val="center"/>
          </w:tcPr>
          <w:p w14:paraId="339D7DBE">
            <w:pPr>
              <w:adjustRightInd w:val="0"/>
              <w:snapToGrid w:val="0"/>
              <w:spacing w:line="360" w:lineRule="auto"/>
              <w:jc w:val="center"/>
              <w:rPr>
                <w:rFonts w:hint="eastAsia" w:ascii="宋体" w:eastAsia="宋体" w:cs="宋体"/>
                <w:color w:val="auto"/>
                <w:sz w:val="24"/>
                <w:highlight w:val="none"/>
                <w:lang w:bidi="ar-SA"/>
              </w:rPr>
            </w:pPr>
          </w:p>
        </w:tc>
        <w:tc>
          <w:tcPr>
            <w:tcW w:w="1739" w:type="dxa"/>
            <w:tcBorders>
              <w:top w:val="single" w:color="auto" w:sz="4" w:space="0"/>
              <w:left w:val="single" w:color="auto" w:sz="4" w:space="0"/>
              <w:bottom w:val="single" w:color="auto" w:sz="4" w:space="0"/>
              <w:right w:val="single" w:color="auto" w:sz="4" w:space="0"/>
            </w:tcBorders>
            <w:noWrap/>
            <w:vAlign w:val="center"/>
          </w:tcPr>
          <w:p w14:paraId="1FFF82D9">
            <w:pPr>
              <w:adjustRightInd w:val="0"/>
              <w:snapToGrid w:val="0"/>
              <w:spacing w:line="360" w:lineRule="auto"/>
              <w:jc w:val="center"/>
              <w:rPr>
                <w:rFonts w:hint="eastAsia" w:ascii="宋体" w:eastAsia="宋体" w:cs="宋体"/>
                <w:color w:val="auto"/>
                <w:sz w:val="24"/>
                <w:highlight w:val="none"/>
                <w:lang w:bidi="ar-SA"/>
              </w:rPr>
            </w:pPr>
          </w:p>
        </w:tc>
        <w:tc>
          <w:tcPr>
            <w:tcW w:w="1813" w:type="dxa"/>
            <w:tcBorders>
              <w:top w:val="single" w:color="auto" w:sz="4" w:space="0"/>
              <w:left w:val="single" w:color="auto" w:sz="4" w:space="0"/>
              <w:bottom w:val="single" w:color="auto" w:sz="4" w:space="0"/>
              <w:right w:val="single" w:color="auto" w:sz="4" w:space="0"/>
            </w:tcBorders>
            <w:noWrap/>
            <w:vAlign w:val="center"/>
          </w:tcPr>
          <w:p w14:paraId="5FB0E040">
            <w:pPr>
              <w:adjustRightInd w:val="0"/>
              <w:snapToGrid w:val="0"/>
              <w:spacing w:line="360" w:lineRule="auto"/>
              <w:jc w:val="center"/>
              <w:rPr>
                <w:rFonts w:hint="eastAsia" w:ascii="宋体" w:eastAsia="宋体" w:cs="宋体"/>
                <w:color w:val="auto"/>
                <w:sz w:val="24"/>
                <w:highlight w:val="none"/>
                <w:lang w:bidi="ar-SA"/>
              </w:rPr>
            </w:pPr>
          </w:p>
        </w:tc>
      </w:tr>
      <w:tr w14:paraId="1542E9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642" w:type="dxa"/>
            <w:tcBorders>
              <w:top w:val="single" w:color="auto" w:sz="4" w:space="0"/>
              <w:left w:val="single" w:color="auto" w:sz="4" w:space="0"/>
              <w:bottom w:val="single" w:color="auto" w:sz="4" w:space="0"/>
              <w:right w:val="single" w:color="auto" w:sz="4" w:space="0"/>
            </w:tcBorders>
            <w:noWrap/>
            <w:vAlign w:val="center"/>
          </w:tcPr>
          <w:p w14:paraId="1EB39D33">
            <w:pPr>
              <w:adjustRightInd w:val="0"/>
              <w:snapToGrid w:val="0"/>
              <w:spacing w:line="360" w:lineRule="auto"/>
              <w:jc w:val="center"/>
              <w:rPr>
                <w:rFonts w:hint="eastAsia" w:ascii="宋体" w:eastAsia="宋体" w:cs="宋体"/>
                <w:color w:val="auto"/>
                <w:sz w:val="24"/>
                <w:highlight w:val="none"/>
                <w:lang w:val="en-US" w:eastAsia="zh-CN" w:bidi="ar-SA"/>
              </w:rPr>
            </w:pPr>
            <w:r>
              <w:rPr>
                <w:rFonts w:hint="eastAsia" w:ascii="宋体" w:eastAsia="宋体" w:cs="宋体"/>
                <w:color w:val="auto"/>
                <w:sz w:val="24"/>
                <w:highlight w:val="none"/>
                <w:lang w:val="en-US" w:eastAsia="zh-CN" w:bidi="ar-SA"/>
              </w:rPr>
              <w:t>5</w:t>
            </w:r>
          </w:p>
        </w:tc>
        <w:tc>
          <w:tcPr>
            <w:tcW w:w="2154" w:type="dxa"/>
            <w:tcBorders>
              <w:top w:val="single" w:color="auto" w:sz="4" w:space="0"/>
              <w:left w:val="single" w:color="auto" w:sz="4" w:space="0"/>
              <w:bottom w:val="single" w:color="auto" w:sz="4" w:space="0"/>
              <w:right w:val="single" w:color="auto" w:sz="4" w:space="0"/>
            </w:tcBorders>
            <w:noWrap/>
            <w:vAlign w:val="center"/>
          </w:tcPr>
          <w:p w14:paraId="11C46461">
            <w:pPr>
              <w:adjustRightInd w:val="0"/>
              <w:snapToGrid w:val="0"/>
              <w:spacing w:line="360" w:lineRule="auto"/>
              <w:jc w:val="center"/>
              <w:rPr>
                <w:rFonts w:hint="eastAsia" w:ascii="宋体" w:eastAsia="宋体" w:cs="宋体"/>
                <w:color w:val="auto"/>
                <w:sz w:val="24"/>
                <w:highlight w:val="none"/>
                <w:lang w:bidi="ar-SA"/>
              </w:rPr>
            </w:pPr>
          </w:p>
        </w:tc>
        <w:tc>
          <w:tcPr>
            <w:tcW w:w="1554" w:type="dxa"/>
            <w:tcBorders>
              <w:top w:val="single" w:color="auto" w:sz="4" w:space="0"/>
              <w:left w:val="single" w:color="auto" w:sz="4" w:space="0"/>
              <w:bottom w:val="single" w:color="auto" w:sz="4" w:space="0"/>
              <w:right w:val="single" w:color="auto" w:sz="4" w:space="0"/>
            </w:tcBorders>
            <w:noWrap/>
            <w:vAlign w:val="center"/>
          </w:tcPr>
          <w:p w14:paraId="7AE28C8F">
            <w:pPr>
              <w:adjustRightInd w:val="0"/>
              <w:snapToGrid w:val="0"/>
              <w:spacing w:line="360" w:lineRule="auto"/>
              <w:jc w:val="center"/>
              <w:rPr>
                <w:rFonts w:hint="eastAsia" w:ascii="宋体" w:eastAsia="宋体" w:cs="宋体"/>
                <w:color w:val="auto"/>
                <w:sz w:val="24"/>
                <w:highlight w:val="none"/>
                <w:lang w:bidi="ar-SA"/>
              </w:rPr>
            </w:pPr>
          </w:p>
        </w:tc>
        <w:tc>
          <w:tcPr>
            <w:tcW w:w="1739" w:type="dxa"/>
            <w:tcBorders>
              <w:top w:val="single" w:color="auto" w:sz="4" w:space="0"/>
              <w:left w:val="single" w:color="auto" w:sz="4" w:space="0"/>
              <w:bottom w:val="single" w:color="auto" w:sz="4" w:space="0"/>
              <w:right w:val="single" w:color="auto" w:sz="4" w:space="0"/>
            </w:tcBorders>
            <w:noWrap/>
            <w:vAlign w:val="center"/>
          </w:tcPr>
          <w:p w14:paraId="6F7DC249">
            <w:pPr>
              <w:adjustRightInd w:val="0"/>
              <w:snapToGrid w:val="0"/>
              <w:spacing w:line="360" w:lineRule="auto"/>
              <w:jc w:val="center"/>
              <w:rPr>
                <w:rFonts w:hint="eastAsia" w:ascii="宋体" w:eastAsia="宋体" w:cs="宋体"/>
                <w:color w:val="auto"/>
                <w:sz w:val="24"/>
                <w:highlight w:val="none"/>
                <w:lang w:bidi="ar-SA"/>
              </w:rPr>
            </w:pPr>
          </w:p>
        </w:tc>
        <w:tc>
          <w:tcPr>
            <w:tcW w:w="1813" w:type="dxa"/>
            <w:tcBorders>
              <w:top w:val="single" w:color="auto" w:sz="4" w:space="0"/>
              <w:left w:val="single" w:color="auto" w:sz="4" w:space="0"/>
              <w:bottom w:val="single" w:color="auto" w:sz="4" w:space="0"/>
              <w:right w:val="single" w:color="auto" w:sz="4" w:space="0"/>
            </w:tcBorders>
            <w:noWrap/>
            <w:vAlign w:val="center"/>
          </w:tcPr>
          <w:p w14:paraId="5F3CA3AD">
            <w:pPr>
              <w:adjustRightInd w:val="0"/>
              <w:snapToGrid w:val="0"/>
              <w:spacing w:line="360" w:lineRule="auto"/>
              <w:jc w:val="center"/>
              <w:rPr>
                <w:rFonts w:hint="eastAsia" w:ascii="宋体" w:eastAsia="宋体" w:cs="宋体"/>
                <w:color w:val="auto"/>
                <w:sz w:val="24"/>
                <w:highlight w:val="none"/>
                <w:lang w:bidi="ar-SA"/>
              </w:rPr>
            </w:pPr>
          </w:p>
        </w:tc>
      </w:tr>
    </w:tbl>
    <w:p w14:paraId="263536BF">
      <w:pPr>
        <w:adjustRightInd w:val="0"/>
        <w:snapToGrid w:val="0"/>
        <w:spacing w:line="288" w:lineRule="auto"/>
        <w:ind w:firstLine="422" w:firstLineChars="200"/>
        <w:rPr>
          <w:b/>
          <w:bCs/>
          <w:szCs w:val="21"/>
        </w:rPr>
      </w:pPr>
      <w:r>
        <w:rPr>
          <w:rFonts w:hint="eastAsia"/>
          <w:b/>
          <w:bCs/>
          <w:szCs w:val="21"/>
        </w:rPr>
        <w:t>说明：根据评分标准要求提供相关证明材料。</w:t>
      </w:r>
    </w:p>
    <w:p w14:paraId="2C8EB30D">
      <w:pPr>
        <w:adjustRightInd w:val="0"/>
        <w:snapToGrid w:val="0"/>
        <w:spacing w:line="360" w:lineRule="auto"/>
        <w:rPr>
          <w:rFonts w:hint="eastAsia" w:ascii="宋体" w:eastAsia="宋体" w:cs="宋体"/>
          <w:color w:val="auto"/>
          <w:sz w:val="24"/>
          <w:highlight w:val="none"/>
        </w:rPr>
      </w:pPr>
    </w:p>
    <w:p w14:paraId="158E03BD">
      <w:pPr>
        <w:widowControl/>
        <w:spacing w:line="360" w:lineRule="auto"/>
        <w:ind w:firstLine="420" w:firstLineChars="200"/>
        <w:jc w:val="left"/>
        <w:rPr>
          <w:rFonts w:ascii="宋体" w:cs="宋体"/>
          <w:szCs w:val="21"/>
        </w:rPr>
      </w:pPr>
      <w:r>
        <w:rPr>
          <w:rFonts w:hint="eastAsia" w:ascii="宋体" w:cs="宋体"/>
          <w:szCs w:val="21"/>
        </w:rPr>
        <w:t>投 标 人（盖章）：</w:t>
      </w:r>
    </w:p>
    <w:p w14:paraId="3075F4B3">
      <w:pPr>
        <w:widowControl/>
        <w:spacing w:line="360" w:lineRule="auto"/>
        <w:ind w:firstLine="420" w:firstLineChars="200"/>
        <w:jc w:val="left"/>
        <w:rPr>
          <w:rFonts w:ascii="宋体" w:cs="宋体"/>
          <w:szCs w:val="21"/>
        </w:rPr>
      </w:pPr>
    </w:p>
    <w:p w14:paraId="4CEF7E5D">
      <w:pPr>
        <w:pStyle w:val="13"/>
        <w:snapToGrid w:val="0"/>
        <w:spacing w:line="360" w:lineRule="auto"/>
        <w:rPr>
          <w:rFonts w:cs="宋体"/>
          <w:szCs w:val="21"/>
        </w:rPr>
      </w:pPr>
      <w:r>
        <w:rPr>
          <w:rFonts w:hint="eastAsia" w:cs="宋体"/>
          <w:szCs w:val="21"/>
        </w:rPr>
        <w:t>法定代表人或其授权代表（签字或盖章）：</w:t>
      </w:r>
    </w:p>
    <w:p w14:paraId="01507C04">
      <w:pPr>
        <w:pStyle w:val="21"/>
      </w:pPr>
    </w:p>
    <w:p w14:paraId="39444A31">
      <w:pPr>
        <w:pStyle w:val="13"/>
        <w:widowControl/>
        <w:spacing w:line="360" w:lineRule="auto"/>
        <w:jc w:val="left"/>
        <w:rPr>
          <w:rFonts w:cs="宋体"/>
          <w:szCs w:val="21"/>
        </w:rPr>
      </w:pPr>
      <w:r>
        <w:rPr>
          <w:rFonts w:hint="eastAsia" w:cs="宋体"/>
          <w:szCs w:val="21"/>
        </w:rPr>
        <w:t>日            期：</w:t>
      </w:r>
    </w:p>
    <w:p w14:paraId="06B8FDE6">
      <w:pPr>
        <w:pStyle w:val="8"/>
      </w:pPr>
      <w:r>
        <w:br w:type="page"/>
      </w:r>
    </w:p>
    <w:p w14:paraId="788ADD11"/>
    <w:p w14:paraId="2560876A">
      <w:pPr>
        <w:jc w:val="center"/>
        <w:rPr>
          <w:rFonts w:hint="eastAsia" w:ascii="宋体" w:cs="宋体"/>
          <w:b/>
          <w:sz w:val="30"/>
          <w:szCs w:val="30"/>
        </w:rPr>
      </w:pPr>
      <w:r>
        <w:rPr>
          <w:rFonts w:hint="eastAsia" w:ascii="宋体" w:cs="宋体"/>
          <w:b/>
          <w:sz w:val="30"/>
          <w:szCs w:val="30"/>
        </w:rPr>
        <w:t>项目负责人及人员配备一览表</w:t>
      </w:r>
    </w:p>
    <w:p w14:paraId="0BE8080C">
      <w:pPr>
        <w:adjustRightInd w:val="0"/>
        <w:snapToGrid w:val="0"/>
        <w:spacing w:line="360" w:lineRule="auto"/>
        <w:jc w:val="left"/>
        <w:rPr>
          <w:rFonts w:hint="eastAsia" w:ascii="宋体" w:cs="宋体"/>
          <w:b/>
          <w:sz w:val="30"/>
          <w:szCs w:val="30"/>
        </w:rPr>
      </w:pPr>
      <w:r>
        <w:rPr>
          <w:rFonts w:hint="eastAsia" w:ascii="宋体" w:cs="宋体"/>
          <w:sz w:val="24"/>
        </w:rPr>
        <w:t>项目编号：</w:t>
      </w:r>
    </w:p>
    <w:tbl>
      <w:tblPr>
        <w:tblStyle w:val="30"/>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6"/>
        <w:gridCol w:w="2332"/>
        <w:gridCol w:w="1528"/>
        <w:gridCol w:w="1706"/>
        <w:gridCol w:w="1574"/>
        <w:gridCol w:w="1967"/>
      </w:tblGrid>
      <w:tr w14:paraId="0CD840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1FF259C9">
            <w:pPr>
              <w:adjustRightInd w:val="0"/>
              <w:snapToGrid w:val="0"/>
              <w:spacing w:line="360" w:lineRule="auto"/>
              <w:jc w:val="center"/>
              <w:rPr>
                <w:rFonts w:hint="eastAsia" w:ascii="宋体" w:cs="宋体"/>
                <w:sz w:val="24"/>
                <w:szCs w:val="21"/>
              </w:rPr>
            </w:pPr>
            <w:r>
              <w:rPr>
                <w:rFonts w:hint="eastAsia" w:ascii="宋体" w:cs="宋体"/>
                <w:sz w:val="24"/>
                <w:szCs w:val="21"/>
              </w:rPr>
              <w:t>序号</w:t>
            </w:r>
          </w:p>
        </w:tc>
        <w:tc>
          <w:tcPr>
            <w:tcW w:w="2240" w:type="dxa"/>
            <w:tcBorders>
              <w:top w:val="single" w:color="auto" w:sz="4" w:space="0"/>
              <w:left w:val="single" w:color="auto" w:sz="4" w:space="0"/>
              <w:bottom w:val="single" w:color="auto" w:sz="4" w:space="0"/>
              <w:right w:val="single" w:color="auto" w:sz="4" w:space="0"/>
            </w:tcBorders>
            <w:noWrap/>
            <w:vAlign w:val="center"/>
          </w:tcPr>
          <w:p w14:paraId="56C00EDA">
            <w:pPr>
              <w:adjustRightInd w:val="0"/>
              <w:snapToGrid w:val="0"/>
              <w:spacing w:line="360" w:lineRule="auto"/>
              <w:jc w:val="center"/>
              <w:rPr>
                <w:rFonts w:hint="eastAsia" w:ascii="宋体" w:cs="宋体"/>
                <w:sz w:val="24"/>
                <w:szCs w:val="21"/>
              </w:rPr>
            </w:pPr>
            <w:r>
              <w:rPr>
                <w:rFonts w:hint="eastAsia" w:ascii="宋体" w:cs="宋体"/>
                <w:sz w:val="24"/>
                <w:szCs w:val="21"/>
              </w:rPr>
              <w:t>岗位</w:t>
            </w:r>
          </w:p>
        </w:tc>
        <w:tc>
          <w:tcPr>
            <w:tcW w:w="1468" w:type="dxa"/>
            <w:tcBorders>
              <w:top w:val="single" w:color="auto" w:sz="4" w:space="0"/>
              <w:left w:val="single" w:color="auto" w:sz="4" w:space="0"/>
              <w:bottom w:val="single" w:color="auto" w:sz="4" w:space="0"/>
              <w:right w:val="single" w:color="auto" w:sz="4" w:space="0"/>
            </w:tcBorders>
            <w:noWrap/>
            <w:vAlign w:val="center"/>
          </w:tcPr>
          <w:p w14:paraId="2F63D169">
            <w:pPr>
              <w:adjustRightInd w:val="0"/>
              <w:snapToGrid w:val="0"/>
              <w:spacing w:line="360" w:lineRule="auto"/>
              <w:jc w:val="center"/>
              <w:rPr>
                <w:rFonts w:hint="eastAsia" w:ascii="宋体" w:cs="宋体"/>
                <w:sz w:val="24"/>
                <w:szCs w:val="21"/>
              </w:rPr>
            </w:pPr>
            <w:r>
              <w:rPr>
                <w:rFonts w:hint="eastAsia" w:ascii="宋体" w:cs="宋体"/>
                <w:sz w:val="24"/>
                <w:szCs w:val="21"/>
              </w:rPr>
              <w:t>姓名</w:t>
            </w:r>
          </w:p>
        </w:tc>
        <w:tc>
          <w:tcPr>
            <w:tcW w:w="1639" w:type="dxa"/>
            <w:tcBorders>
              <w:top w:val="single" w:color="auto" w:sz="4" w:space="0"/>
              <w:left w:val="single" w:color="auto" w:sz="4" w:space="0"/>
              <w:bottom w:val="single" w:color="auto" w:sz="4" w:space="0"/>
              <w:right w:val="single" w:color="auto" w:sz="4" w:space="0"/>
            </w:tcBorders>
            <w:noWrap/>
            <w:vAlign w:val="center"/>
          </w:tcPr>
          <w:p w14:paraId="701D2406">
            <w:pPr>
              <w:adjustRightInd w:val="0"/>
              <w:snapToGrid w:val="0"/>
              <w:spacing w:line="360" w:lineRule="auto"/>
              <w:jc w:val="center"/>
              <w:rPr>
                <w:rFonts w:hint="eastAsia" w:ascii="宋体" w:cs="宋体"/>
                <w:sz w:val="24"/>
                <w:szCs w:val="21"/>
              </w:rPr>
            </w:pPr>
            <w:r>
              <w:rPr>
                <w:rFonts w:hint="eastAsia" w:ascii="宋体" w:cs="宋体"/>
                <w:sz w:val="24"/>
                <w:szCs w:val="21"/>
              </w:rPr>
              <w:t>身份证号码</w:t>
            </w:r>
          </w:p>
        </w:tc>
        <w:tc>
          <w:tcPr>
            <w:tcW w:w="1512" w:type="dxa"/>
            <w:tcBorders>
              <w:top w:val="single" w:color="auto" w:sz="4" w:space="0"/>
              <w:left w:val="single" w:color="auto" w:sz="4" w:space="0"/>
              <w:bottom w:val="single" w:color="auto" w:sz="4" w:space="0"/>
              <w:right w:val="single" w:color="auto" w:sz="4" w:space="0"/>
            </w:tcBorders>
            <w:noWrap/>
            <w:vAlign w:val="center"/>
          </w:tcPr>
          <w:p w14:paraId="74B3795E">
            <w:pPr>
              <w:adjustRightInd w:val="0"/>
              <w:snapToGrid w:val="0"/>
              <w:spacing w:line="360" w:lineRule="auto"/>
              <w:jc w:val="center"/>
              <w:rPr>
                <w:rFonts w:ascii="宋体" w:cs="宋体"/>
                <w:sz w:val="24"/>
                <w:szCs w:val="21"/>
              </w:rPr>
            </w:pPr>
            <w:r>
              <w:rPr>
                <w:rFonts w:hint="eastAsia" w:ascii="宋体" w:cs="宋体"/>
                <w:sz w:val="24"/>
                <w:szCs w:val="21"/>
              </w:rPr>
              <w:t>专业类型</w:t>
            </w:r>
          </w:p>
        </w:tc>
        <w:tc>
          <w:tcPr>
            <w:tcW w:w="1890" w:type="dxa"/>
            <w:tcBorders>
              <w:top w:val="single" w:color="auto" w:sz="4" w:space="0"/>
              <w:left w:val="single" w:color="auto" w:sz="4" w:space="0"/>
              <w:bottom w:val="single" w:color="auto" w:sz="4" w:space="0"/>
              <w:right w:val="single" w:color="auto" w:sz="4" w:space="0"/>
            </w:tcBorders>
            <w:noWrap/>
            <w:vAlign w:val="center"/>
          </w:tcPr>
          <w:p w14:paraId="061AA7AE">
            <w:pPr>
              <w:adjustRightInd w:val="0"/>
              <w:snapToGrid w:val="0"/>
              <w:spacing w:line="360" w:lineRule="auto"/>
              <w:jc w:val="center"/>
              <w:rPr>
                <w:rFonts w:hint="eastAsia" w:ascii="宋体" w:cs="宋体"/>
                <w:sz w:val="24"/>
                <w:szCs w:val="21"/>
              </w:rPr>
            </w:pPr>
            <w:r>
              <w:rPr>
                <w:rFonts w:hint="eastAsia" w:ascii="宋体" w:cs="宋体"/>
                <w:sz w:val="24"/>
                <w:szCs w:val="21"/>
              </w:rPr>
              <w:t>服务年限</w:t>
            </w:r>
          </w:p>
        </w:tc>
      </w:tr>
      <w:tr w14:paraId="4EFEAF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75A929B4">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1F51F8B9">
            <w:pPr>
              <w:adjustRightInd w:val="0"/>
              <w:snapToGrid w:val="0"/>
              <w:spacing w:line="360" w:lineRule="auto"/>
              <w:jc w:val="center"/>
              <w:rPr>
                <w:rFonts w:ascii="宋体" w:cs="宋体"/>
                <w:sz w:val="24"/>
                <w:szCs w:val="21"/>
              </w:rPr>
            </w:pPr>
            <w:r>
              <w:rPr>
                <w:rFonts w:hint="eastAsia" w:ascii="宋体" w:cs="宋体"/>
                <w:sz w:val="24"/>
                <w:szCs w:val="21"/>
              </w:rPr>
              <w:t>项目负责人</w:t>
            </w:r>
          </w:p>
        </w:tc>
        <w:tc>
          <w:tcPr>
            <w:tcW w:w="1468" w:type="dxa"/>
            <w:tcBorders>
              <w:top w:val="single" w:color="auto" w:sz="4" w:space="0"/>
              <w:left w:val="single" w:color="auto" w:sz="4" w:space="0"/>
              <w:bottom w:val="single" w:color="auto" w:sz="4" w:space="0"/>
              <w:right w:val="single" w:color="auto" w:sz="4" w:space="0"/>
            </w:tcBorders>
            <w:noWrap/>
            <w:vAlign w:val="center"/>
          </w:tcPr>
          <w:p w14:paraId="0B18A41C">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3DF66302">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41FD8C42">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076CC3AD">
            <w:pPr>
              <w:adjustRightInd w:val="0"/>
              <w:snapToGrid w:val="0"/>
              <w:spacing w:line="360" w:lineRule="auto"/>
              <w:jc w:val="center"/>
              <w:rPr>
                <w:rFonts w:hint="eastAsia" w:ascii="宋体" w:cs="宋体"/>
                <w:sz w:val="24"/>
                <w:szCs w:val="21"/>
              </w:rPr>
            </w:pPr>
          </w:p>
        </w:tc>
      </w:tr>
      <w:tr w14:paraId="1610F8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1B0454CF">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40610AFF">
            <w:pPr>
              <w:adjustRightInd w:val="0"/>
              <w:snapToGrid w:val="0"/>
              <w:spacing w:line="360" w:lineRule="auto"/>
              <w:jc w:val="center"/>
              <w:rPr>
                <w:rFonts w:ascii="宋体" w:cs="宋体"/>
                <w:sz w:val="24"/>
                <w:szCs w:val="21"/>
              </w:rPr>
            </w:pPr>
            <w:r>
              <w:rPr>
                <w:rFonts w:hint="eastAsia" w:ascii="宋体" w:cs="宋体"/>
                <w:sz w:val="24"/>
                <w:szCs w:val="21"/>
                <w:lang w:val="en-US" w:eastAsia="zh-CN"/>
              </w:rPr>
              <w:t>其他</w:t>
            </w:r>
            <w:r>
              <w:rPr>
                <w:rFonts w:hint="eastAsia" w:ascii="宋体" w:cs="宋体"/>
                <w:sz w:val="24"/>
                <w:szCs w:val="21"/>
              </w:rPr>
              <w:t>成员</w:t>
            </w:r>
          </w:p>
        </w:tc>
        <w:tc>
          <w:tcPr>
            <w:tcW w:w="1468" w:type="dxa"/>
            <w:tcBorders>
              <w:top w:val="single" w:color="auto" w:sz="4" w:space="0"/>
              <w:left w:val="single" w:color="auto" w:sz="4" w:space="0"/>
              <w:bottom w:val="single" w:color="auto" w:sz="4" w:space="0"/>
              <w:right w:val="single" w:color="auto" w:sz="4" w:space="0"/>
            </w:tcBorders>
            <w:noWrap/>
            <w:vAlign w:val="center"/>
          </w:tcPr>
          <w:p w14:paraId="514F9207">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0E61BB21">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6651D983">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33D58FEF">
            <w:pPr>
              <w:adjustRightInd w:val="0"/>
              <w:snapToGrid w:val="0"/>
              <w:spacing w:line="360" w:lineRule="auto"/>
              <w:jc w:val="center"/>
              <w:rPr>
                <w:rFonts w:hint="eastAsia" w:ascii="宋体" w:cs="宋体"/>
                <w:sz w:val="24"/>
                <w:szCs w:val="21"/>
              </w:rPr>
            </w:pPr>
          </w:p>
        </w:tc>
      </w:tr>
      <w:tr w14:paraId="1437D6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39CA8B63">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15321139">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15746DD9">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45799EA6">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0362E114">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771D88C2">
            <w:pPr>
              <w:adjustRightInd w:val="0"/>
              <w:snapToGrid w:val="0"/>
              <w:spacing w:line="360" w:lineRule="auto"/>
              <w:jc w:val="center"/>
              <w:rPr>
                <w:rFonts w:hint="eastAsia" w:ascii="宋体" w:cs="宋体"/>
                <w:sz w:val="24"/>
                <w:szCs w:val="21"/>
              </w:rPr>
            </w:pPr>
          </w:p>
        </w:tc>
      </w:tr>
      <w:tr w14:paraId="09E8C9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47632730">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571B8BB0">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7DFB6F9D">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3E4EA79D">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33F3410D">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1AAE1843">
            <w:pPr>
              <w:adjustRightInd w:val="0"/>
              <w:snapToGrid w:val="0"/>
              <w:spacing w:line="360" w:lineRule="auto"/>
              <w:jc w:val="center"/>
              <w:rPr>
                <w:rFonts w:hint="eastAsia" w:ascii="宋体" w:cs="宋体"/>
                <w:sz w:val="24"/>
                <w:szCs w:val="21"/>
              </w:rPr>
            </w:pPr>
          </w:p>
        </w:tc>
      </w:tr>
      <w:tr w14:paraId="137E2C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5C02F4AE">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5FB394F0">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252337B3">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10486F54">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00F080F9">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665D0F2F">
            <w:pPr>
              <w:adjustRightInd w:val="0"/>
              <w:snapToGrid w:val="0"/>
              <w:spacing w:line="360" w:lineRule="auto"/>
              <w:jc w:val="center"/>
              <w:rPr>
                <w:rFonts w:hint="eastAsia" w:ascii="宋体" w:cs="宋体"/>
                <w:sz w:val="24"/>
                <w:szCs w:val="21"/>
              </w:rPr>
            </w:pPr>
          </w:p>
        </w:tc>
      </w:tr>
      <w:tr w14:paraId="3D33B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00352D2A">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25733DC1">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4235210C">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6D20B6D1">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4D8A5625">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733C7DBD">
            <w:pPr>
              <w:adjustRightInd w:val="0"/>
              <w:snapToGrid w:val="0"/>
              <w:spacing w:line="360" w:lineRule="auto"/>
              <w:jc w:val="center"/>
              <w:rPr>
                <w:rFonts w:hint="eastAsia" w:ascii="宋体" w:cs="宋体"/>
                <w:sz w:val="24"/>
                <w:szCs w:val="21"/>
              </w:rPr>
            </w:pPr>
          </w:p>
        </w:tc>
      </w:tr>
      <w:tr w14:paraId="4EECF8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358361A4">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52946855">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03E794FA">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670A89CC">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1A0E12D4">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398C1A22">
            <w:pPr>
              <w:adjustRightInd w:val="0"/>
              <w:snapToGrid w:val="0"/>
              <w:spacing w:line="360" w:lineRule="auto"/>
              <w:jc w:val="center"/>
              <w:rPr>
                <w:rFonts w:hint="eastAsia" w:ascii="宋体" w:cs="宋体"/>
                <w:sz w:val="24"/>
                <w:szCs w:val="21"/>
              </w:rPr>
            </w:pPr>
          </w:p>
        </w:tc>
      </w:tr>
      <w:tr w14:paraId="0B40C2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823" w:type="dxa"/>
            <w:tcBorders>
              <w:top w:val="single" w:color="auto" w:sz="4" w:space="0"/>
              <w:left w:val="single" w:color="auto" w:sz="4" w:space="0"/>
              <w:bottom w:val="single" w:color="auto" w:sz="4" w:space="0"/>
              <w:right w:val="single" w:color="auto" w:sz="4" w:space="0"/>
            </w:tcBorders>
            <w:noWrap/>
            <w:vAlign w:val="center"/>
          </w:tcPr>
          <w:p w14:paraId="6E097859">
            <w:pPr>
              <w:adjustRightInd w:val="0"/>
              <w:snapToGrid w:val="0"/>
              <w:spacing w:line="360" w:lineRule="auto"/>
              <w:jc w:val="center"/>
              <w:rPr>
                <w:rFonts w:hint="eastAsia" w:ascii="宋体" w:cs="宋体"/>
                <w:sz w:val="24"/>
                <w:szCs w:val="21"/>
              </w:rPr>
            </w:pPr>
          </w:p>
        </w:tc>
        <w:tc>
          <w:tcPr>
            <w:tcW w:w="2240" w:type="dxa"/>
            <w:tcBorders>
              <w:top w:val="single" w:color="auto" w:sz="4" w:space="0"/>
              <w:left w:val="single" w:color="auto" w:sz="4" w:space="0"/>
              <w:bottom w:val="single" w:color="auto" w:sz="4" w:space="0"/>
              <w:right w:val="single" w:color="auto" w:sz="4" w:space="0"/>
            </w:tcBorders>
            <w:noWrap/>
            <w:vAlign w:val="center"/>
          </w:tcPr>
          <w:p w14:paraId="30712273">
            <w:pPr>
              <w:adjustRightInd w:val="0"/>
              <w:snapToGrid w:val="0"/>
              <w:spacing w:line="360" w:lineRule="auto"/>
              <w:jc w:val="center"/>
              <w:rPr>
                <w:rFonts w:hint="eastAsia" w:ascii="宋体" w:cs="宋体"/>
                <w:sz w:val="24"/>
                <w:szCs w:val="21"/>
              </w:rPr>
            </w:pPr>
          </w:p>
        </w:tc>
        <w:tc>
          <w:tcPr>
            <w:tcW w:w="1468" w:type="dxa"/>
            <w:tcBorders>
              <w:top w:val="single" w:color="auto" w:sz="4" w:space="0"/>
              <w:left w:val="single" w:color="auto" w:sz="4" w:space="0"/>
              <w:bottom w:val="single" w:color="auto" w:sz="4" w:space="0"/>
              <w:right w:val="single" w:color="auto" w:sz="4" w:space="0"/>
            </w:tcBorders>
            <w:noWrap/>
            <w:vAlign w:val="center"/>
          </w:tcPr>
          <w:p w14:paraId="22B532F5">
            <w:pPr>
              <w:adjustRightInd w:val="0"/>
              <w:snapToGrid w:val="0"/>
              <w:spacing w:line="360" w:lineRule="auto"/>
              <w:jc w:val="center"/>
              <w:rPr>
                <w:rFonts w:hint="eastAsia" w:ascii="宋体" w:cs="宋体"/>
                <w:sz w:val="24"/>
                <w:szCs w:val="21"/>
              </w:rPr>
            </w:pPr>
          </w:p>
        </w:tc>
        <w:tc>
          <w:tcPr>
            <w:tcW w:w="1639" w:type="dxa"/>
            <w:tcBorders>
              <w:top w:val="single" w:color="auto" w:sz="4" w:space="0"/>
              <w:left w:val="single" w:color="auto" w:sz="4" w:space="0"/>
              <w:bottom w:val="single" w:color="auto" w:sz="4" w:space="0"/>
              <w:right w:val="single" w:color="auto" w:sz="4" w:space="0"/>
            </w:tcBorders>
            <w:noWrap/>
            <w:vAlign w:val="center"/>
          </w:tcPr>
          <w:p w14:paraId="17A34C52">
            <w:pPr>
              <w:adjustRightInd w:val="0"/>
              <w:snapToGrid w:val="0"/>
              <w:spacing w:line="360" w:lineRule="auto"/>
              <w:jc w:val="center"/>
              <w:rPr>
                <w:rFonts w:hint="eastAsia" w:ascii="宋体" w:cs="宋体"/>
                <w:sz w:val="24"/>
                <w:szCs w:val="21"/>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5ECF5EA1">
            <w:pPr>
              <w:adjustRightInd w:val="0"/>
              <w:snapToGrid w:val="0"/>
              <w:spacing w:line="360" w:lineRule="auto"/>
              <w:jc w:val="center"/>
              <w:rPr>
                <w:rFonts w:hint="eastAsia" w:ascii="宋体" w:cs="宋体"/>
                <w:sz w:val="24"/>
                <w:szCs w:val="21"/>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4B369FFE">
            <w:pPr>
              <w:adjustRightInd w:val="0"/>
              <w:snapToGrid w:val="0"/>
              <w:spacing w:line="360" w:lineRule="auto"/>
              <w:jc w:val="center"/>
              <w:rPr>
                <w:rFonts w:hint="eastAsia" w:ascii="宋体" w:cs="宋体"/>
                <w:sz w:val="24"/>
                <w:szCs w:val="21"/>
              </w:rPr>
            </w:pPr>
          </w:p>
        </w:tc>
      </w:tr>
    </w:tbl>
    <w:p w14:paraId="185F0B5B">
      <w:pPr>
        <w:adjustRightInd w:val="0"/>
        <w:snapToGrid w:val="0"/>
        <w:spacing w:line="360" w:lineRule="auto"/>
        <w:rPr>
          <w:rFonts w:hint="eastAsia" w:ascii="宋体" w:cs="宋体"/>
          <w:sz w:val="24"/>
        </w:rPr>
      </w:pPr>
      <w:r>
        <w:rPr>
          <w:rFonts w:hint="eastAsia" w:ascii="宋体" w:cs="宋体"/>
          <w:sz w:val="24"/>
        </w:rPr>
        <w:t>备注：</w:t>
      </w:r>
    </w:p>
    <w:p w14:paraId="31421EC7">
      <w:pPr>
        <w:numPr>
          <w:ilvl w:val="0"/>
          <w:numId w:val="8"/>
        </w:numPr>
        <w:adjustRightInd w:val="0"/>
        <w:snapToGrid w:val="0"/>
        <w:spacing w:line="360" w:lineRule="auto"/>
        <w:rPr>
          <w:rFonts w:hint="eastAsia" w:ascii="宋体" w:cs="宋体"/>
          <w:sz w:val="24"/>
        </w:rPr>
      </w:pPr>
      <w:r>
        <w:rPr>
          <w:rFonts w:hint="eastAsia" w:ascii="宋体" w:cs="宋体"/>
          <w:sz w:val="24"/>
        </w:rPr>
        <w:t>后附人员</w:t>
      </w:r>
      <w:r>
        <w:rPr>
          <w:rFonts w:hint="eastAsia" w:ascii="宋体" w:cs="宋体"/>
          <w:bCs/>
          <w:kern w:val="0"/>
          <w:sz w:val="24"/>
        </w:rPr>
        <w:t>相应证书扫描件及在投标人任职6个月</w:t>
      </w:r>
      <w:r>
        <w:rPr>
          <w:rFonts w:hint="eastAsia" w:ascii="宋体" w:cs="宋体"/>
          <w:bCs/>
          <w:kern w:val="0"/>
          <w:sz w:val="24"/>
          <w:lang w:val="en-US" w:eastAsia="zh-CN"/>
        </w:rPr>
        <w:t>及</w:t>
      </w:r>
      <w:r>
        <w:rPr>
          <w:rFonts w:hint="eastAsia" w:ascii="宋体" w:cs="宋体"/>
          <w:bCs/>
          <w:kern w:val="0"/>
          <w:sz w:val="24"/>
        </w:rPr>
        <w:t>以上社保缴费证明</w:t>
      </w:r>
      <w:r>
        <w:rPr>
          <w:rFonts w:hint="eastAsia" w:ascii="宋体" w:cs="宋体"/>
          <w:sz w:val="24"/>
        </w:rPr>
        <w:t>；</w:t>
      </w:r>
    </w:p>
    <w:p w14:paraId="47C93232">
      <w:pPr>
        <w:tabs>
          <w:tab w:val="left" w:pos="5387"/>
        </w:tabs>
        <w:spacing w:line="360" w:lineRule="auto"/>
        <w:rPr>
          <w:rFonts w:hint="eastAsia" w:cs="Arial"/>
          <w:iCs/>
          <w:sz w:val="24"/>
        </w:rPr>
      </w:pPr>
    </w:p>
    <w:p w14:paraId="693AB214">
      <w:pPr>
        <w:tabs>
          <w:tab w:val="left" w:pos="5387"/>
        </w:tabs>
        <w:spacing w:line="360" w:lineRule="auto"/>
        <w:rPr>
          <w:rFonts w:hint="eastAsia" w:cs="Arial"/>
          <w:iCs/>
          <w:sz w:val="24"/>
        </w:rPr>
      </w:pPr>
    </w:p>
    <w:p w14:paraId="0F3FC17A">
      <w:pPr>
        <w:tabs>
          <w:tab w:val="left" w:pos="5387"/>
        </w:tabs>
        <w:spacing w:line="360" w:lineRule="auto"/>
        <w:rPr>
          <w:rFonts w:cs="Arial"/>
          <w:iCs/>
          <w:sz w:val="24"/>
        </w:rPr>
      </w:pPr>
      <w:r>
        <w:rPr>
          <w:rFonts w:hint="eastAsia" w:cs="Arial"/>
          <w:iCs/>
          <w:sz w:val="24"/>
        </w:rPr>
        <w:t>投标人：（盖章）</w:t>
      </w:r>
    </w:p>
    <w:p w14:paraId="50785DAA">
      <w:pPr>
        <w:spacing w:line="360" w:lineRule="auto"/>
        <w:ind w:right="-4" w:rightChars="-2"/>
        <w:rPr>
          <w:rFonts w:cs="Arial"/>
          <w:iCs/>
          <w:sz w:val="24"/>
        </w:rPr>
      </w:pPr>
      <w:r>
        <w:rPr>
          <w:sz w:val="24"/>
        </w:rPr>
        <w:t>法定代表人或其委托代理人：（签字</w:t>
      </w:r>
      <w:r>
        <w:rPr>
          <w:rFonts w:hint="eastAsia"/>
          <w:sz w:val="24"/>
        </w:rPr>
        <w:t>或盖章</w:t>
      </w:r>
      <w:r>
        <w:rPr>
          <w:sz w:val="24"/>
        </w:rPr>
        <w:t>）</w:t>
      </w:r>
    </w:p>
    <w:p w14:paraId="23101E6B">
      <w:pPr>
        <w:rPr>
          <w:rFonts w:cs="Arial"/>
          <w:iCs/>
          <w:sz w:val="24"/>
        </w:rPr>
      </w:pPr>
      <w:r>
        <w:rPr>
          <w:rFonts w:hint="eastAsia" w:cs="Arial"/>
          <w:iCs/>
          <w:sz w:val="24"/>
        </w:rPr>
        <w:t>日期：年月日</w:t>
      </w:r>
    </w:p>
    <w:p w14:paraId="789B6A2A"/>
    <w:p w14:paraId="65D9D5B7"/>
    <w:p w14:paraId="62F79CC2"/>
    <w:p w14:paraId="5802BE22"/>
    <w:p w14:paraId="2BA694E2"/>
    <w:p w14:paraId="5987280A"/>
    <w:p w14:paraId="72C82666"/>
    <w:p w14:paraId="3EDF344F"/>
    <w:p w14:paraId="1037971F"/>
    <w:p w14:paraId="44FE8DDA"/>
    <w:p w14:paraId="3F2DD79A"/>
    <w:p w14:paraId="7392CE76"/>
    <w:p w14:paraId="41F57550"/>
    <w:p w14:paraId="013D29D9"/>
    <w:p w14:paraId="230CBA2D"/>
    <w:p w14:paraId="475531CC"/>
    <w:p w14:paraId="6C28B08D"/>
    <w:p w14:paraId="4BDB389D"/>
    <w:p w14:paraId="27235977"/>
    <w:p w14:paraId="52D28305"/>
    <w:p w14:paraId="7725C70A"/>
    <w:p w14:paraId="56CF7993">
      <w:pPr>
        <w:spacing w:line="360" w:lineRule="auto"/>
        <w:ind w:firstLine="241" w:firstLineChars="100"/>
        <w:rPr>
          <w:rFonts w:ascii="宋体" w:cs="宋体"/>
          <w:sz w:val="24"/>
          <w:lang w:val="zh-CN"/>
        </w:rPr>
      </w:pPr>
      <w:r>
        <w:rPr>
          <w:rFonts w:hint="eastAsia" w:ascii="宋体" w:cs="宋体"/>
          <w:b/>
          <w:bCs/>
          <w:sz w:val="24"/>
        </w:rPr>
        <w:t>商务经济文件</w:t>
      </w:r>
      <w:r>
        <w:rPr>
          <w:rFonts w:hint="eastAsia" w:ascii="宋体" w:cs="宋体"/>
          <w:sz w:val="24"/>
          <w:lang w:val="zh-CN"/>
        </w:rPr>
        <w:t>中必须包括：</w:t>
      </w:r>
    </w:p>
    <w:p w14:paraId="4D1E2265">
      <w:pPr>
        <w:spacing w:line="360" w:lineRule="auto"/>
        <w:ind w:firstLine="240" w:firstLineChars="100"/>
        <w:rPr>
          <w:rFonts w:ascii="宋体" w:cs="宋体"/>
          <w:sz w:val="24"/>
          <w:lang w:val="zh-CN"/>
        </w:rPr>
      </w:pPr>
      <w:r>
        <w:rPr>
          <w:rFonts w:hint="eastAsia" w:ascii="宋体" w:cs="宋体"/>
          <w:sz w:val="24"/>
          <w:lang w:val="zh-CN"/>
        </w:rPr>
        <w:t>（1）商务经济文件封面；</w:t>
      </w:r>
    </w:p>
    <w:p w14:paraId="67999F9C">
      <w:pPr>
        <w:spacing w:line="360" w:lineRule="auto"/>
        <w:ind w:left="239" w:leftChars="114"/>
        <w:rPr>
          <w:rFonts w:ascii="宋体" w:cs="宋体"/>
          <w:sz w:val="24"/>
          <w:lang w:val="zh-CN"/>
        </w:rPr>
      </w:pPr>
      <w:r>
        <w:rPr>
          <w:rFonts w:hint="eastAsia" w:ascii="宋体" w:cs="宋体"/>
          <w:sz w:val="24"/>
          <w:lang w:val="zh-CN"/>
        </w:rPr>
        <w:t>（2）投标函；</w:t>
      </w:r>
    </w:p>
    <w:p w14:paraId="32C6CEE8">
      <w:pPr>
        <w:spacing w:line="360" w:lineRule="auto"/>
        <w:ind w:firstLine="240" w:firstLineChars="100"/>
        <w:rPr>
          <w:rFonts w:ascii="宋体" w:cs="宋体"/>
          <w:sz w:val="24"/>
        </w:rPr>
      </w:pPr>
      <w:r>
        <w:rPr>
          <w:rFonts w:hint="eastAsia" w:ascii="宋体" w:cs="宋体"/>
          <w:sz w:val="24"/>
          <w:lang w:val="zh-CN"/>
        </w:rPr>
        <w:t>（</w:t>
      </w:r>
      <w:r>
        <w:rPr>
          <w:rFonts w:hint="eastAsia" w:ascii="宋体" w:cs="宋体"/>
          <w:sz w:val="24"/>
        </w:rPr>
        <w:t>3</w:t>
      </w:r>
      <w:r>
        <w:rPr>
          <w:rFonts w:hint="eastAsia" w:ascii="宋体" w:cs="宋体"/>
          <w:sz w:val="24"/>
          <w:lang w:val="zh-CN"/>
        </w:rPr>
        <w:t>）</w:t>
      </w:r>
      <w:r>
        <w:rPr>
          <w:rFonts w:hint="eastAsia" w:ascii="宋体" w:cs="宋体"/>
          <w:sz w:val="24"/>
        </w:rPr>
        <w:t>投标人认为需要提供的其他文件和资料。</w:t>
      </w:r>
    </w:p>
    <w:p w14:paraId="6447CDAA">
      <w:pPr>
        <w:pStyle w:val="12"/>
        <w:rPr>
          <w:sz w:val="24"/>
        </w:rPr>
      </w:pPr>
    </w:p>
    <w:p w14:paraId="18E61560">
      <w:pPr>
        <w:rPr>
          <w:sz w:val="24"/>
        </w:rPr>
      </w:pPr>
    </w:p>
    <w:p w14:paraId="7D6D114E">
      <w:pPr>
        <w:pStyle w:val="29"/>
        <w:rPr>
          <w:sz w:val="24"/>
        </w:rPr>
      </w:pPr>
    </w:p>
    <w:p w14:paraId="2FF64CF4">
      <w:pPr>
        <w:pStyle w:val="12"/>
        <w:rPr>
          <w:sz w:val="24"/>
        </w:rPr>
      </w:pPr>
    </w:p>
    <w:p w14:paraId="4492A85E">
      <w:pPr>
        <w:rPr>
          <w:sz w:val="24"/>
        </w:rPr>
      </w:pPr>
    </w:p>
    <w:p w14:paraId="5BA43189">
      <w:pPr>
        <w:rPr>
          <w:sz w:val="24"/>
        </w:rPr>
      </w:pPr>
    </w:p>
    <w:p w14:paraId="48695A91">
      <w:pPr>
        <w:rPr>
          <w:sz w:val="24"/>
        </w:rPr>
      </w:pPr>
    </w:p>
    <w:p w14:paraId="6273BDF7">
      <w:pPr>
        <w:rPr>
          <w:sz w:val="24"/>
        </w:rPr>
      </w:pPr>
    </w:p>
    <w:p w14:paraId="293DCB0B">
      <w:pPr>
        <w:rPr>
          <w:sz w:val="24"/>
        </w:rPr>
      </w:pPr>
    </w:p>
    <w:p w14:paraId="28738444">
      <w:pPr>
        <w:rPr>
          <w:sz w:val="24"/>
        </w:rPr>
      </w:pPr>
    </w:p>
    <w:p w14:paraId="5295E744">
      <w:pPr>
        <w:rPr>
          <w:sz w:val="24"/>
        </w:rPr>
      </w:pPr>
    </w:p>
    <w:p w14:paraId="68102190">
      <w:pPr>
        <w:rPr>
          <w:sz w:val="24"/>
        </w:rPr>
      </w:pPr>
    </w:p>
    <w:p w14:paraId="744A9397">
      <w:pPr>
        <w:rPr>
          <w:sz w:val="24"/>
        </w:rPr>
      </w:pPr>
    </w:p>
    <w:p w14:paraId="00435096">
      <w:pPr>
        <w:rPr>
          <w:sz w:val="24"/>
        </w:rPr>
      </w:pPr>
    </w:p>
    <w:p w14:paraId="5DDF5598">
      <w:pPr>
        <w:rPr>
          <w:sz w:val="24"/>
        </w:rPr>
      </w:pPr>
    </w:p>
    <w:p w14:paraId="6573920B">
      <w:pPr>
        <w:rPr>
          <w:sz w:val="24"/>
        </w:rPr>
      </w:pPr>
    </w:p>
    <w:p w14:paraId="2E04916F">
      <w:pPr>
        <w:rPr>
          <w:sz w:val="24"/>
        </w:rPr>
      </w:pPr>
    </w:p>
    <w:p w14:paraId="42C8386A">
      <w:pPr>
        <w:rPr>
          <w:sz w:val="24"/>
        </w:rPr>
      </w:pPr>
    </w:p>
    <w:p w14:paraId="650D5BD3">
      <w:pPr>
        <w:rPr>
          <w:sz w:val="24"/>
        </w:rPr>
      </w:pPr>
    </w:p>
    <w:p w14:paraId="062537DE">
      <w:pPr>
        <w:rPr>
          <w:sz w:val="24"/>
        </w:rPr>
      </w:pPr>
    </w:p>
    <w:p w14:paraId="04CB7D45">
      <w:pPr>
        <w:rPr>
          <w:sz w:val="24"/>
        </w:rPr>
      </w:pPr>
    </w:p>
    <w:p w14:paraId="3187AA7A">
      <w:pPr>
        <w:rPr>
          <w:sz w:val="24"/>
        </w:rPr>
      </w:pPr>
    </w:p>
    <w:p w14:paraId="4F53FC14">
      <w:pPr>
        <w:rPr>
          <w:sz w:val="24"/>
        </w:rPr>
      </w:pPr>
    </w:p>
    <w:p w14:paraId="1DB32093">
      <w:pPr>
        <w:rPr>
          <w:sz w:val="24"/>
        </w:rPr>
      </w:pPr>
    </w:p>
    <w:p w14:paraId="740189C1">
      <w:pPr>
        <w:rPr>
          <w:sz w:val="24"/>
        </w:rPr>
      </w:pPr>
    </w:p>
    <w:p w14:paraId="1DFB9804">
      <w:pPr>
        <w:rPr>
          <w:sz w:val="24"/>
        </w:rPr>
      </w:pPr>
    </w:p>
    <w:p w14:paraId="67B8F846">
      <w:pPr>
        <w:rPr>
          <w:sz w:val="24"/>
        </w:rPr>
      </w:pPr>
    </w:p>
    <w:p w14:paraId="16DAE82F">
      <w:pPr>
        <w:rPr>
          <w:sz w:val="24"/>
        </w:rPr>
      </w:pPr>
    </w:p>
    <w:p w14:paraId="5D7473B2">
      <w:pPr>
        <w:rPr>
          <w:sz w:val="24"/>
        </w:rPr>
      </w:pPr>
    </w:p>
    <w:p w14:paraId="6B722D5F">
      <w:pPr>
        <w:rPr>
          <w:sz w:val="24"/>
        </w:rPr>
      </w:pPr>
    </w:p>
    <w:p w14:paraId="75DA97AF">
      <w:pPr>
        <w:rPr>
          <w:sz w:val="24"/>
        </w:rPr>
      </w:pPr>
    </w:p>
    <w:p w14:paraId="6CFDD8E0">
      <w:pPr>
        <w:rPr>
          <w:sz w:val="24"/>
        </w:rPr>
      </w:pPr>
    </w:p>
    <w:p w14:paraId="10FEEEEF">
      <w:pPr>
        <w:rPr>
          <w:sz w:val="24"/>
        </w:rPr>
      </w:pPr>
    </w:p>
    <w:p w14:paraId="5C376C65">
      <w:pPr>
        <w:rPr>
          <w:sz w:val="24"/>
        </w:rPr>
      </w:pPr>
    </w:p>
    <w:p w14:paraId="32397A65">
      <w:pPr>
        <w:rPr>
          <w:sz w:val="24"/>
        </w:rPr>
      </w:pPr>
    </w:p>
    <w:p w14:paraId="0E640E4A">
      <w:pPr>
        <w:rPr>
          <w:sz w:val="24"/>
        </w:rPr>
      </w:pPr>
    </w:p>
    <w:p w14:paraId="0754D18B">
      <w:pPr>
        <w:rPr>
          <w:sz w:val="24"/>
        </w:rPr>
      </w:pPr>
    </w:p>
    <w:p w14:paraId="0EA3F213">
      <w:pPr>
        <w:rPr>
          <w:sz w:val="24"/>
        </w:rPr>
      </w:pPr>
    </w:p>
    <w:p w14:paraId="1DBEC5A6">
      <w:pPr>
        <w:rPr>
          <w:sz w:val="24"/>
        </w:rPr>
      </w:pPr>
    </w:p>
    <w:p w14:paraId="2BD52139">
      <w:pPr>
        <w:rPr>
          <w:sz w:val="24"/>
        </w:rPr>
      </w:pPr>
    </w:p>
    <w:p w14:paraId="46C9249D"/>
    <w:p w14:paraId="763157C7">
      <w:pPr>
        <w:pStyle w:val="8"/>
      </w:pPr>
    </w:p>
    <w:p w14:paraId="6F5AC922"/>
    <w:p w14:paraId="22FAC53E">
      <w:pPr>
        <w:pStyle w:val="8"/>
      </w:pPr>
    </w:p>
    <w:p w14:paraId="5D6C37D1"/>
    <w:p w14:paraId="54FC6C23">
      <w:pPr>
        <w:pStyle w:val="8"/>
      </w:pPr>
    </w:p>
    <w:p w14:paraId="647B99E2"/>
    <w:p w14:paraId="79F39CB4">
      <w:pPr>
        <w:pStyle w:val="8"/>
      </w:pPr>
    </w:p>
    <w:p w14:paraId="6AE36A2C">
      <w:pPr>
        <w:jc w:val="center"/>
        <w:rPr>
          <w:rFonts w:ascii="黑体" w:eastAsia="黑体"/>
          <w:sz w:val="28"/>
          <w:szCs w:val="28"/>
        </w:rPr>
      </w:pPr>
      <w:r>
        <w:rPr>
          <w:rFonts w:hint="eastAsia" w:ascii="宋体"/>
          <w:sz w:val="28"/>
          <w:szCs w:val="28"/>
          <w:u w:val="single"/>
        </w:rPr>
        <w:t xml:space="preserve">                                       </w:t>
      </w:r>
      <w:r>
        <w:rPr>
          <w:rFonts w:hint="eastAsia" w:ascii="黑体" w:eastAsia="黑体"/>
          <w:sz w:val="28"/>
          <w:szCs w:val="28"/>
        </w:rPr>
        <w:t>招标</w:t>
      </w:r>
    </w:p>
    <w:p w14:paraId="79170F7B">
      <w:pPr>
        <w:spacing w:before="240" w:beforeLines="100"/>
        <w:jc w:val="center"/>
        <w:rPr>
          <w:rFonts w:ascii="黑体" w:eastAsia="黑体"/>
          <w:sz w:val="44"/>
          <w:szCs w:val="44"/>
        </w:rPr>
      </w:pPr>
      <w:r>
        <w:rPr>
          <w:rFonts w:hint="eastAsia" w:ascii="黑体" w:eastAsia="黑体"/>
          <w:sz w:val="44"/>
          <w:szCs w:val="44"/>
        </w:rPr>
        <w:t>投  标  文  件</w:t>
      </w:r>
    </w:p>
    <w:p w14:paraId="3EFE75F5">
      <w:pPr>
        <w:jc w:val="center"/>
        <w:rPr>
          <w:rFonts w:ascii="黑体" w:eastAsia="黑体"/>
          <w:sz w:val="32"/>
          <w:szCs w:val="32"/>
        </w:rPr>
      </w:pPr>
    </w:p>
    <w:p w14:paraId="3927A097">
      <w:pPr>
        <w:jc w:val="center"/>
        <w:rPr>
          <w:rFonts w:ascii="黑体" w:eastAsia="黑体"/>
          <w:sz w:val="32"/>
          <w:szCs w:val="32"/>
        </w:rPr>
      </w:pPr>
    </w:p>
    <w:p w14:paraId="21604195">
      <w:pPr>
        <w:jc w:val="center"/>
        <w:rPr>
          <w:rFonts w:ascii="黑体" w:eastAsia="黑体"/>
          <w:sz w:val="32"/>
          <w:szCs w:val="32"/>
        </w:rPr>
      </w:pPr>
    </w:p>
    <w:p w14:paraId="55925DAF">
      <w:pPr>
        <w:jc w:val="center"/>
        <w:rPr>
          <w:rFonts w:ascii="黑体" w:eastAsia="黑体"/>
          <w:sz w:val="32"/>
          <w:szCs w:val="32"/>
        </w:rPr>
      </w:pPr>
    </w:p>
    <w:p w14:paraId="1AFC8618">
      <w:pPr>
        <w:jc w:val="center"/>
        <w:rPr>
          <w:rFonts w:ascii="黑体" w:eastAsia="黑体"/>
          <w:sz w:val="32"/>
          <w:szCs w:val="32"/>
        </w:rPr>
      </w:pPr>
    </w:p>
    <w:p w14:paraId="15B99E37">
      <w:pPr>
        <w:jc w:val="center"/>
        <w:rPr>
          <w:rFonts w:ascii="黑体" w:eastAsia="黑体"/>
          <w:sz w:val="32"/>
          <w:szCs w:val="32"/>
        </w:rPr>
      </w:pPr>
    </w:p>
    <w:p w14:paraId="6EFC6525">
      <w:pPr>
        <w:snapToGrid w:val="0"/>
        <w:spacing w:line="480" w:lineRule="auto"/>
        <w:rPr>
          <w:rFonts w:ascii="黑体" w:eastAsia="黑体"/>
          <w:sz w:val="28"/>
          <w:szCs w:val="28"/>
          <w:u w:val="single"/>
          <w:lang w:val="en-US" w:eastAsia="zh-CN"/>
        </w:rPr>
      </w:pPr>
      <w:r>
        <w:rPr>
          <w:rFonts w:hint="eastAsia" w:ascii="黑体" w:eastAsia="黑体"/>
          <w:sz w:val="28"/>
          <w:szCs w:val="28"/>
        </w:rPr>
        <w:t>项 目 名 称 ：</w:t>
      </w:r>
      <w:r>
        <w:rPr>
          <w:rFonts w:hint="eastAsia" w:ascii="黑体" w:eastAsia="黑体"/>
          <w:sz w:val="28"/>
          <w:szCs w:val="28"/>
          <w:u w:val="single"/>
        </w:rPr>
        <w:t xml:space="preserve"> </w:t>
      </w:r>
      <w:r>
        <w:rPr>
          <w:rFonts w:hint="eastAsia" w:ascii="黑体" w:eastAsia="黑体"/>
          <w:sz w:val="28"/>
          <w:szCs w:val="28"/>
          <w:u w:val="single"/>
          <w:lang w:val="en-US" w:eastAsia="zh-CN"/>
        </w:rPr>
        <w:t xml:space="preserve">                                               </w:t>
      </w:r>
    </w:p>
    <w:p w14:paraId="30450B04">
      <w:pPr>
        <w:snapToGrid w:val="0"/>
        <w:spacing w:line="480" w:lineRule="auto"/>
        <w:jc w:val="left"/>
        <w:rPr>
          <w:rFonts w:ascii="黑体" w:eastAsia="黑体"/>
          <w:sz w:val="32"/>
          <w:szCs w:val="32"/>
        </w:rPr>
      </w:pPr>
      <w:r>
        <w:rPr>
          <w:rFonts w:hint="eastAsia" w:ascii="黑体" w:eastAsia="黑体"/>
          <w:sz w:val="28"/>
          <w:szCs w:val="28"/>
        </w:rPr>
        <w:t>投标文件内容：</w:t>
      </w:r>
      <w:r>
        <w:rPr>
          <w:rFonts w:hint="eastAsia" w:ascii="黑体" w:eastAsia="黑体"/>
          <w:sz w:val="28"/>
          <w:szCs w:val="28"/>
          <w:u w:val="single"/>
        </w:rPr>
        <w:t xml:space="preserve">               商务经济文件                     </w:t>
      </w:r>
    </w:p>
    <w:p w14:paraId="63345204">
      <w:pPr>
        <w:spacing w:line="480" w:lineRule="auto"/>
        <w:rPr>
          <w:rFonts w:ascii="黑体" w:eastAsia="黑体"/>
          <w:sz w:val="28"/>
          <w:szCs w:val="28"/>
        </w:rPr>
      </w:pPr>
      <w:r>
        <w:rPr>
          <w:rFonts w:hint="eastAsia" w:ascii="黑体" w:eastAsia="黑体"/>
          <w:sz w:val="28"/>
          <w:szCs w:val="28"/>
        </w:rPr>
        <w:t>投  标  人：</w:t>
      </w:r>
      <w:r>
        <w:rPr>
          <w:rFonts w:hint="eastAsia" w:ascii="黑体" w:eastAsia="黑体"/>
          <w:sz w:val="28"/>
          <w:szCs w:val="28"/>
          <w:u w:val="single"/>
        </w:rPr>
        <w:t xml:space="preserve">                                          </w:t>
      </w:r>
      <w:r>
        <w:rPr>
          <w:rFonts w:hint="eastAsia" w:ascii="黑体" w:eastAsia="黑体"/>
          <w:sz w:val="28"/>
          <w:szCs w:val="28"/>
        </w:rPr>
        <w:t>（盖章）</w:t>
      </w:r>
    </w:p>
    <w:p w14:paraId="74EDFBCE">
      <w:pPr>
        <w:spacing w:line="480" w:lineRule="auto"/>
        <w:rPr>
          <w:rFonts w:ascii="黑体" w:eastAsia="黑体"/>
          <w:sz w:val="28"/>
          <w:szCs w:val="28"/>
        </w:rPr>
      </w:pPr>
      <w:r>
        <w:rPr>
          <w:rFonts w:hint="eastAsia" w:ascii="黑体" w:eastAsia="黑体"/>
          <w:sz w:val="28"/>
          <w:szCs w:val="28"/>
        </w:rPr>
        <w:t>法定代表人：</w:t>
      </w:r>
      <w:r>
        <w:rPr>
          <w:rFonts w:hint="eastAsia" w:ascii="黑体" w:eastAsia="黑体"/>
          <w:sz w:val="28"/>
          <w:szCs w:val="28"/>
          <w:u w:val="single"/>
        </w:rPr>
        <w:t xml:space="preserve">                                          </w:t>
      </w:r>
      <w:r>
        <w:rPr>
          <w:rFonts w:hint="eastAsia" w:ascii="黑体" w:eastAsia="黑体"/>
          <w:sz w:val="28"/>
          <w:szCs w:val="28"/>
        </w:rPr>
        <w:t>（签字或盖章）</w:t>
      </w:r>
    </w:p>
    <w:p w14:paraId="3CEEAE8D">
      <w:pPr>
        <w:spacing w:line="480" w:lineRule="auto"/>
        <w:jc w:val="center"/>
        <w:rPr>
          <w:rFonts w:ascii="黑体" w:eastAsia="黑体"/>
          <w:sz w:val="28"/>
          <w:szCs w:val="28"/>
        </w:rPr>
      </w:pPr>
    </w:p>
    <w:p w14:paraId="6B9A9E49">
      <w:pPr>
        <w:spacing w:line="480" w:lineRule="auto"/>
        <w:jc w:val="center"/>
        <w:rPr>
          <w:rFonts w:ascii="黑体" w:eastAsia="黑体"/>
          <w:sz w:val="28"/>
          <w:szCs w:val="28"/>
        </w:rPr>
      </w:pPr>
    </w:p>
    <w:p w14:paraId="544D2F67">
      <w:pPr>
        <w:spacing w:line="480" w:lineRule="auto"/>
        <w:jc w:val="center"/>
        <w:rPr>
          <w:rFonts w:ascii="黑体" w:eastAsia="黑体"/>
          <w:sz w:val="28"/>
          <w:szCs w:val="28"/>
        </w:rPr>
      </w:pPr>
      <w:r>
        <w:rPr>
          <w:rFonts w:hint="eastAsia" w:ascii="黑体" w:eastAsia="黑体"/>
          <w:sz w:val="28"/>
          <w:szCs w:val="28"/>
          <w:u w:val="single"/>
        </w:rPr>
        <w:t xml:space="preserve">         </w:t>
      </w:r>
      <w:r>
        <w:rPr>
          <w:rFonts w:hint="eastAsia" w:ascii="黑体" w:eastAsia="黑体"/>
          <w:sz w:val="28"/>
          <w:szCs w:val="28"/>
        </w:rPr>
        <w:t>年</w:t>
      </w:r>
      <w:r>
        <w:rPr>
          <w:rFonts w:hint="eastAsia" w:ascii="黑体" w:eastAsia="黑体"/>
          <w:sz w:val="28"/>
          <w:szCs w:val="28"/>
          <w:u w:val="single"/>
        </w:rPr>
        <w:t xml:space="preserve">         </w:t>
      </w:r>
      <w:r>
        <w:rPr>
          <w:rFonts w:hint="eastAsia" w:ascii="黑体" w:eastAsia="黑体"/>
          <w:sz w:val="28"/>
          <w:szCs w:val="28"/>
        </w:rPr>
        <w:t>月</w:t>
      </w:r>
      <w:r>
        <w:rPr>
          <w:rFonts w:hint="eastAsia" w:ascii="黑体" w:eastAsia="黑体"/>
          <w:sz w:val="28"/>
          <w:szCs w:val="28"/>
          <w:u w:val="single"/>
        </w:rPr>
        <w:t xml:space="preserve">         </w:t>
      </w:r>
      <w:r>
        <w:rPr>
          <w:rFonts w:hint="eastAsia" w:ascii="黑体" w:eastAsia="黑体"/>
          <w:sz w:val="28"/>
          <w:szCs w:val="28"/>
        </w:rPr>
        <w:t>日</w:t>
      </w:r>
    </w:p>
    <w:p w14:paraId="5A80427C">
      <w:pPr>
        <w:spacing w:line="360" w:lineRule="auto"/>
        <w:ind w:firstLine="241" w:firstLineChars="100"/>
        <w:rPr>
          <w:rFonts w:ascii="宋体" w:cs="宋体"/>
          <w:b/>
          <w:bCs/>
          <w:sz w:val="24"/>
        </w:rPr>
      </w:pPr>
    </w:p>
    <w:p w14:paraId="5B419DFB">
      <w:pPr>
        <w:spacing w:line="360" w:lineRule="auto"/>
        <w:ind w:firstLine="241" w:firstLineChars="100"/>
        <w:rPr>
          <w:rFonts w:ascii="宋体" w:cs="宋体"/>
          <w:b/>
          <w:bCs/>
          <w:sz w:val="24"/>
        </w:rPr>
      </w:pPr>
    </w:p>
    <w:p w14:paraId="7EB9E782">
      <w:pPr>
        <w:spacing w:line="360" w:lineRule="auto"/>
        <w:ind w:firstLine="241" w:firstLineChars="100"/>
        <w:rPr>
          <w:rFonts w:ascii="宋体" w:cs="宋体"/>
          <w:b/>
          <w:bCs/>
          <w:sz w:val="24"/>
        </w:rPr>
      </w:pPr>
    </w:p>
    <w:p w14:paraId="108BF81C">
      <w:pPr>
        <w:spacing w:line="360" w:lineRule="auto"/>
        <w:ind w:firstLine="241" w:firstLineChars="100"/>
        <w:rPr>
          <w:rFonts w:ascii="宋体" w:cs="宋体"/>
          <w:b/>
          <w:bCs/>
          <w:sz w:val="24"/>
        </w:rPr>
      </w:pPr>
    </w:p>
    <w:p w14:paraId="1AC08A80">
      <w:pPr>
        <w:spacing w:line="360" w:lineRule="auto"/>
        <w:ind w:firstLine="241" w:firstLineChars="100"/>
        <w:rPr>
          <w:rFonts w:ascii="宋体" w:cs="宋体"/>
          <w:b/>
          <w:bCs/>
          <w:sz w:val="24"/>
        </w:rPr>
      </w:pPr>
    </w:p>
    <w:p w14:paraId="3BEDED5B">
      <w:pPr>
        <w:spacing w:line="360" w:lineRule="auto"/>
        <w:ind w:firstLine="241" w:firstLineChars="100"/>
        <w:rPr>
          <w:rFonts w:ascii="宋体" w:cs="宋体"/>
          <w:b/>
          <w:bCs/>
          <w:sz w:val="24"/>
        </w:rPr>
      </w:pPr>
    </w:p>
    <w:p w14:paraId="6FFCED99">
      <w:pPr>
        <w:spacing w:line="360" w:lineRule="auto"/>
        <w:rPr>
          <w:rFonts w:ascii="宋体"/>
          <w:b/>
          <w:sz w:val="32"/>
        </w:rPr>
      </w:pPr>
    </w:p>
    <w:p w14:paraId="5338C84E">
      <w:pPr>
        <w:spacing w:line="360" w:lineRule="auto"/>
        <w:jc w:val="center"/>
        <w:rPr>
          <w:rFonts w:ascii="宋体"/>
          <w:b/>
          <w:sz w:val="32"/>
        </w:rPr>
      </w:pPr>
      <w:r>
        <w:rPr>
          <w:rFonts w:hint="eastAsia" w:ascii="宋体"/>
          <w:b/>
          <w:sz w:val="32"/>
        </w:rPr>
        <w:t>投标函</w:t>
      </w:r>
    </w:p>
    <w:p w14:paraId="03C767DD">
      <w:pPr>
        <w:spacing w:line="480" w:lineRule="exact"/>
        <w:rPr>
          <w:rFonts w:ascii="宋体" w:cs="宋体"/>
          <w:sz w:val="24"/>
        </w:rPr>
      </w:pPr>
      <w:r>
        <w:rPr>
          <w:rFonts w:hint="eastAsia" w:ascii="宋体" w:cs="宋体"/>
          <w:sz w:val="24"/>
        </w:rPr>
        <w:t>致：</w:t>
      </w:r>
      <w:r>
        <w:rPr>
          <w:rFonts w:hint="eastAsia" w:ascii="宋体" w:cs="宋体"/>
          <w:sz w:val="24"/>
          <w:u w:val="single"/>
        </w:rPr>
        <w:t>（招标人）：</w:t>
      </w:r>
    </w:p>
    <w:p w14:paraId="3644770D">
      <w:pPr>
        <w:snapToGrid w:val="0"/>
        <w:spacing w:line="360" w:lineRule="auto"/>
        <w:ind w:firstLine="480" w:firstLineChars="200"/>
        <w:rPr>
          <w:rFonts w:ascii="宋体" w:cs="宋体"/>
          <w:sz w:val="24"/>
        </w:rPr>
      </w:pPr>
      <w:r>
        <w:rPr>
          <w:rFonts w:hint="eastAsia" w:ascii="宋体" w:cs="宋体"/>
          <w:sz w:val="24"/>
        </w:rPr>
        <w:t>1、根据你方招标的</w:t>
      </w:r>
      <w:r>
        <w:rPr>
          <w:rFonts w:hint="eastAsia" w:ascii="宋体" w:cs="宋体"/>
          <w:bCs/>
          <w:sz w:val="24"/>
          <w:u w:val="single"/>
          <w:lang w:val="zh-CN"/>
        </w:rPr>
        <w:t xml:space="preserve"> </w:t>
      </w:r>
      <w:r>
        <w:rPr>
          <w:rFonts w:hint="eastAsia" w:ascii="宋体" w:cs="宋体"/>
          <w:bCs/>
          <w:sz w:val="24"/>
          <w:u w:val="single"/>
        </w:rPr>
        <w:t xml:space="preserve"> （项目名称）      </w:t>
      </w:r>
      <w:r>
        <w:rPr>
          <w:rFonts w:hint="eastAsia" w:ascii="宋体" w:cs="宋体"/>
          <w:sz w:val="24"/>
        </w:rPr>
        <w:t xml:space="preserve">招标文件，遵照《中华人民共和国招标投标法》等有关规定，经研究上述招标文件的投标须知、合同条款、工程建设标准及其他有关文件后，我方愿以本投标书向你方发包的 </w:t>
      </w:r>
      <w:r>
        <w:rPr>
          <w:rFonts w:hint="eastAsia" w:ascii="宋体" w:cs="宋体"/>
          <w:bCs/>
          <w:sz w:val="24"/>
          <w:u w:val="single"/>
        </w:rPr>
        <w:t>（项目名称）</w:t>
      </w:r>
      <w:r>
        <w:rPr>
          <w:rFonts w:hint="eastAsia" w:ascii="宋体" w:cs="宋体"/>
          <w:sz w:val="24"/>
          <w:u w:val="single"/>
          <w:lang w:val="zh-CN"/>
        </w:rPr>
        <w:t>投标文件</w:t>
      </w:r>
      <w:r>
        <w:rPr>
          <w:rFonts w:hint="eastAsia" w:ascii="宋体" w:cs="宋体"/>
          <w:sz w:val="24"/>
        </w:rPr>
        <w:t>项目全部内容进行投标。</w:t>
      </w:r>
    </w:p>
    <w:p w14:paraId="3FCAA9F5">
      <w:pPr>
        <w:snapToGrid w:val="0"/>
        <w:spacing w:line="360" w:lineRule="auto"/>
        <w:ind w:firstLine="480" w:firstLineChars="200"/>
        <w:rPr>
          <w:rFonts w:ascii="宋体" w:cs="宋体"/>
          <w:b/>
          <w:sz w:val="24"/>
        </w:rPr>
      </w:pPr>
      <w:r>
        <w:rPr>
          <w:rFonts w:hint="eastAsia" w:ascii="宋体" w:cs="宋体"/>
          <w:sz w:val="24"/>
        </w:rPr>
        <w:t>我方兹以：</w:t>
      </w:r>
    </w:p>
    <w:p w14:paraId="1FD383ED">
      <w:pPr>
        <w:snapToGrid w:val="0"/>
        <w:spacing w:line="360" w:lineRule="auto"/>
        <w:ind w:firstLine="720" w:firstLineChars="300"/>
        <w:rPr>
          <w:rFonts w:ascii="宋体"/>
          <w:sz w:val="24"/>
        </w:rPr>
      </w:pPr>
      <w:r>
        <w:rPr>
          <w:rFonts w:hint="eastAsia" w:ascii="宋体"/>
          <w:bCs/>
          <w:sz w:val="24"/>
          <w:highlight w:val="none"/>
        </w:rPr>
        <w:t>总价结算率为</w:t>
      </w:r>
      <w:r>
        <w:rPr>
          <w:rFonts w:hint="eastAsia"/>
          <w:bCs/>
          <w:sz w:val="24"/>
          <w:highlight w:val="none"/>
        </w:rPr>
        <w:t>：</w:t>
      </w:r>
      <w:r>
        <w:rPr>
          <w:rFonts w:hint="eastAsia"/>
          <w:bCs/>
          <w:sz w:val="24"/>
          <w:highlight w:val="none"/>
          <w:lang w:val="zh-CN"/>
        </w:rPr>
        <w:t>（大写）</w:t>
      </w:r>
      <w:r>
        <w:rPr>
          <w:rFonts w:hint="eastAsia"/>
          <w:bCs/>
          <w:sz w:val="24"/>
          <w:highlight w:val="none"/>
          <w:u w:val="single"/>
          <w:lang w:val="zh-CN"/>
        </w:rPr>
        <w:t xml:space="preserve">           </w:t>
      </w:r>
      <w:r>
        <w:rPr>
          <w:rFonts w:hint="eastAsia"/>
          <w:bCs/>
          <w:sz w:val="24"/>
          <w:highlight w:val="none"/>
          <w:lang w:val="zh-CN"/>
        </w:rPr>
        <w:t>（小写</w:t>
      </w:r>
      <w:r>
        <w:rPr>
          <w:rFonts w:hint="eastAsia"/>
          <w:bCs/>
          <w:sz w:val="24"/>
          <w:highlight w:val="none"/>
          <w:u w:val="single"/>
          <w:lang w:val="zh-CN"/>
        </w:rPr>
        <w:t xml:space="preserve">        </w:t>
      </w:r>
      <w:r>
        <w:rPr>
          <w:rFonts w:hint="eastAsia"/>
          <w:bCs/>
          <w:sz w:val="24"/>
          <w:highlight w:val="none"/>
          <w:u w:val="single"/>
        </w:rPr>
        <w:t>%</w:t>
      </w:r>
      <w:r>
        <w:rPr>
          <w:rFonts w:hint="eastAsia"/>
          <w:bCs/>
          <w:sz w:val="24"/>
          <w:highlight w:val="none"/>
          <w:lang w:val="zh-CN"/>
        </w:rPr>
        <w:t>）</w:t>
      </w:r>
      <w:r>
        <w:rPr>
          <w:sz w:val="24"/>
          <w:highlight w:val="none"/>
        </w:rPr>
        <w:t>（保</w:t>
      </w:r>
      <w:r>
        <w:rPr>
          <w:sz w:val="24"/>
        </w:rPr>
        <w:t>留小数点后两位）</w:t>
      </w:r>
      <w:r>
        <w:rPr>
          <w:rFonts w:hint="eastAsia" w:ascii="宋体"/>
          <w:sz w:val="24"/>
        </w:rPr>
        <w:t>的投标价格和按合同约定有权得到的其它金额，并严格按照合同约定，施工、竣工和交付本工程并维修其中的任何缺陷。</w:t>
      </w:r>
    </w:p>
    <w:p w14:paraId="5B05D25D">
      <w:pPr>
        <w:snapToGrid w:val="0"/>
        <w:spacing w:line="360" w:lineRule="auto"/>
        <w:ind w:firstLine="480" w:firstLineChars="200"/>
        <w:rPr>
          <w:rFonts w:ascii="宋体"/>
          <w:sz w:val="24"/>
        </w:rPr>
      </w:pPr>
      <w:r>
        <w:rPr>
          <w:rFonts w:hint="eastAsia" w:ascii="宋体"/>
          <w:sz w:val="24"/>
        </w:rPr>
        <w:t>项目负责人是_________（身份证号码：_________________________）。</w:t>
      </w:r>
    </w:p>
    <w:p w14:paraId="12075C06">
      <w:pPr>
        <w:snapToGrid w:val="0"/>
        <w:spacing w:line="360" w:lineRule="auto"/>
        <w:ind w:firstLine="480" w:firstLineChars="200"/>
        <w:rPr>
          <w:rFonts w:ascii="宋体" w:cs="宋体"/>
          <w:sz w:val="24"/>
        </w:rPr>
      </w:pPr>
      <w:r>
        <w:rPr>
          <w:rFonts w:hint="eastAsia" w:ascii="宋体" w:cs="宋体"/>
          <w:sz w:val="24"/>
        </w:rPr>
        <w:t>2、我方已详细审核全部招标文件，包括修改文件及有关附件。</w:t>
      </w:r>
    </w:p>
    <w:p w14:paraId="3A2AB6C0">
      <w:pPr>
        <w:snapToGrid w:val="0"/>
        <w:spacing w:line="360" w:lineRule="auto"/>
        <w:ind w:firstLine="480" w:firstLineChars="200"/>
        <w:rPr>
          <w:rFonts w:ascii="宋体" w:cs="宋体"/>
          <w:sz w:val="24"/>
        </w:rPr>
      </w:pPr>
      <w:r>
        <w:rPr>
          <w:rFonts w:hint="eastAsia" w:ascii="宋体" w:cs="宋体"/>
          <w:sz w:val="24"/>
        </w:rPr>
        <w:t>3、我方承认投标函附录是我方投标函的组成部分。</w:t>
      </w:r>
    </w:p>
    <w:p w14:paraId="19679EF7">
      <w:pPr>
        <w:snapToGrid w:val="0"/>
        <w:spacing w:line="360" w:lineRule="auto"/>
        <w:ind w:firstLine="480" w:firstLineChars="200"/>
        <w:rPr>
          <w:rFonts w:ascii="宋体" w:cs="宋体"/>
          <w:sz w:val="24"/>
        </w:rPr>
      </w:pPr>
      <w:r>
        <w:rPr>
          <w:rFonts w:hint="eastAsia" w:ascii="宋体" w:cs="宋体"/>
          <w:sz w:val="24"/>
        </w:rPr>
        <w:t>4、一旦我方中标，我方保证按具体项目合同协议书中规定的工期完成，并确保工程质量达到一次性验收合格的标准并移交全部工程。</w:t>
      </w:r>
    </w:p>
    <w:p w14:paraId="23393CF8">
      <w:pPr>
        <w:snapToGrid w:val="0"/>
        <w:spacing w:line="360" w:lineRule="auto"/>
        <w:ind w:firstLine="480" w:firstLineChars="200"/>
        <w:rPr>
          <w:rFonts w:ascii="宋体" w:cs="宋体"/>
          <w:sz w:val="24"/>
        </w:rPr>
      </w:pPr>
      <w:r>
        <w:rPr>
          <w:rFonts w:hint="eastAsia" w:ascii="宋体" w:cs="宋体"/>
          <w:sz w:val="24"/>
        </w:rPr>
        <w:t>5、我方同意本投标函在招标文件规定的提交投标文件截止时间后，在招标文件规定的投标有效期期满前对我方具有约束力，且随时准备接受你方发出的中标通知书。</w:t>
      </w:r>
    </w:p>
    <w:p w14:paraId="2740C83D">
      <w:pPr>
        <w:snapToGrid w:val="0"/>
        <w:spacing w:line="360" w:lineRule="auto"/>
        <w:ind w:firstLine="480" w:firstLineChars="200"/>
        <w:rPr>
          <w:rFonts w:ascii="宋体" w:cs="宋体"/>
          <w:sz w:val="24"/>
        </w:rPr>
      </w:pPr>
      <w:r>
        <w:rPr>
          <w:rFonts w:hint="eastAsia" w:ascii="宋体" w:cs="宋体"/>
          <w:sz w:val="24"/>
        </w:rPr>
        <w:t>6、随本投标函一道交的投标函附录是本投标函的组成部分，对我方构成约束力。</w:t>
      </w:r>
    </w:p>
    <w:p w14:paraId="29595CC1">
      <w:pPr>
        <w:snapToGrid w:val="0"/>
        <w:spacing w:line="360" w:lineRule="auto"/>
        <w:ind w:firstLine="480" w:firstLineChars="200"/>
        <w:rPr>
          <w:rFonts w:ascii="宋体" w:cs="宋体"/>
          <w:sz w:val="24"/>
        </w:rPr>
      </w:pPr>
      <w:r>
        <w:rPr>
          <w:rFonts w:hint="eastAsia" w:ascii="宋体" w:cs="宋体"/>
          <w:sz w:val="24"/>
        </w:rPr>
        <w:t>7、我方已递交投标保证金一份，金额为人民币（大写）：</w:t>
      </w:r>
      <w:r>
        <w:rPr>
          <w:rFonts w:hint="eastAsia" w:ascii="宋体" w:cs="宋体"/>
          <w:b/>
          <w:sz w:val="24"/>
          <w:u w:val="single"/>
        </w:rPr>
        <w:t xml:space="preserve">    </w:t>
      </w:r>
      <w:r>
        <w:rPr>
          <w:rFonts w:hint="eastAsia" w:ascii="宋体" w:cs="宋体"/>
          <w:sz w:val="24"/>
        </w:rPr>
        <w:t>（￥：</w:t>
      </w:r>
      <w:r>
        <w:rPr>
          <w:rFonts w:hint="eastAsia" w:ascii="宋体" w:cs="宋体"/>
          <w:b/>
          <w:sz w:val="24"/>
          <w:u w:val="single"/>
        </w:rPr>
        <w:t xml:space="preserve">    </w:t>
      </w:r>
      <w:r>
        <w:rPr>
          <w:rFonts w:hint="eastAsia" w:ascii="宋体" w:cs="宋体"/>
          <w:sz w:val="24"/>
        </w:rPr>
        <w:t>元）。</w:t>
      </w:r>
    </w:p>
    <w:p w14:paraId="3B2C3F3A">
      <w:pPr>
        <w:snapToGrid w:val="0"/>
        <w:spacing w:line="360" w:lineRule="auto"/>
        <w:ind w:firstLine="480" w:firstLineChars="200"/>
        <w:rPr>
          <w:rFonts w:ascii="宋体" w:cs="宋体"/>
          <w:sz w:val="24"/>
        </w:rPr>
      </w:pPr>
      <w:r>
        <w:rPr>
          <w:rFonts w:hint="eastAsia" w:ascii="宋体" w:cs="宋体"/>
          <w:sz w:val="24"/>
        </w:rPr>
        <w:t>8、在签署协议书之前，你方的中标通知书连同本投标函，包括投标函附录，对双方具有约束力。</w:t>
      </w:r>
    </w:p>
    <w:p w14:paraId="538461B5">
      <w:pPr>
        <w:snapToGrid w:val="0"/>
        <w:spacing w:line="360" w:lineRule="auto"/>
        <w:ind w:firstLine="480" w:firstLineChars="200"/>
        <w:rPr>
          <w:rFonts w:ascii="宋体" w:cs="宋体"/>
          <w:sz w:val="24"/>
        </w:rPr>
      </w:pPr>
    </w:p>
    <w:p w14:paraId="0ED751A5">
      <w:pPr>
        <w:snapToGrid w:val="0"/>
        <w:spacing w:line="360" w:lineRule="auto"/>
        <w:ind w:firstLine="480" w:firstLineChars="200"/>
        <w:rPr>
          <w:rFonts w:ascii="宋体" w:cs="宋体"/>
          <w:sz w:val="24"/>
        </w:rPr>
      </w:pPr>
      <w:r>
        <w:rPr>
          <w:rFonts w:hint="eastAsia" w:ascii="宋体" w:cs="宋体"/>
          <w:sz w:val="24"/>
        </w:rPr>
        <w:t>投标人（盖章）：</w:t>
      </w:r>
    </w:p>
    <w:p w14:paraId="7F219C13">
      <w:pPr>
        <w:snapToGrid w:val="0"/>
        <w:spacing w:line="360" w:lineRule="auto"/>
        <w:ind w:firstLine="480" w:firstLineChars="200"/>
        <w:rPr>
          <w:rFonts w:ascii="宋体" w:cs="宋体"/>
          <w:sz w:val="24"/>
        </w:rPr>
      </w:pPr>
      <w:r>
        <w:rPr>
          <w:rFonts w:hint="eastAsia" w:ascii="宋体" w:cs="宋体"/>
          <w:sz w:val="24"/>
        </w:rPr>
        <w:t>法定代表人（盖章）：                       .</w:t>
      </w:r>
    </w:p>
    <w:p w14:paraId="01E9069C">
      <w:pPr>
        <w:snapToGrid w:val="0"/>
        <w:spacing w:line="360" w:lineRule="auto"/>
        <w:ind w:firstLine="480" w:firstLineChars="200"/>
        <w:rPr>
          <w:rFonts w:ascii="宋体" w:cs="宋体"/>
          <w:sz w:val="24"/>
        </w:rPr>
      </w:pPr>
      <w:r>
        <w:rPr>
          <w:rFonts w:hint="eastAsia" w:ascii="宋体" w:cs="宋体"/>
          <w:sz w:val="24"/>
        </w:rPr>
        <w:t>日期：</w:t>
      </w:r>
      <w:r>
        <w:rPr>
          <w:rFonts w:hint="eastAsia" w:ascii="宋体" w:cs="宋体"/>
          <w:sz w:val="24"/>
          <w:u w:val="single"/>
        </w:rPr>
        <w:t xml:space="preserve">         </w:t>
      </w:r>
      <w:r>
        <w:rPr>
          <w:rFonts w:hint="eastAsia" w:ascii="宋体" w:cs="宋体"/>
          <w:sz w:val="24"/>
        </w:rPr>
        <w:t>年</w:t>
      </w:r>
      <w:r>
        <w:rPr>
          <w:rFonts w:hint="eastAsia" w:ascii="宋体" w:cs="宋体"/>
          <w:sz w:val="24"/>
          <w:u w:val="single"/>
        </w:rPr>
        <w:t xml:space="preserve">      </w:t>
      </w:r>
      <w:r>
        <w:rPr>
          <w:rFonts w:hint="eastAsia" w:ascii="宋体" w:cs="宋体"/>
          <w:sz w:val="24"/>
        </w:rPr>
        <w:t>月</w:t>
      </w:r>
      <w:r>
        <w:rPr>
          <w:rFonts w:hint="eastAsia" w:ascii="宋体" w:cs="宋体"/>
          <w:sz w:val="24"/>
          <w:u w:val="single"/>
        </w:rPr>
        <w:t xml:space="preserve">      </w:t>
      </w:r>
      <w:r>
        <w:rPr>
          <w:rFonts w:hint="eastAsia" w:ascii="宋体" w:cs="宋体"/>
          <w:sz w:val="24"/>
        </w:rPr>
        <w:t>日</w:t>
      </w:r>
    </w:p>
    <w:p w14:paraId="5EE23ECC">
      <w:pPr>
        <w:pStyle w:val="29"/>
        <w:ind w:left="0" w:leftChars="0" w:firstLine="0" w:firstLineChars="0"/>
      </w:pPr>
    </w:p>
    <w:p w14:paraId="1BA54F27">
      <w:pPr>
        <w:rPr>
          <w:rFonts w:ascii="宋体" w:cs="宋体"/>
        </w:rPr>
      </w:pPr>
    </w:p>
    <w:p w14:paraId="29B305FB">
      <w:pPr>
        <w:rPr>
          <w:rFonts w:ascii="宋体" w:cs="宋体"/>
        </w:rPr>
      </w:pPr>
    </w:p>
    <w:p w14:paraId="4CBC23F7">
      <w:pPr>
        <w:rPr>
          <w:rFonts w:ascii="宋体" w:cs="宋体"/>
        </w:rPr>
      </w:pPr>
    </w:p>
    <w:p w14:paraId="38C18C17">
      <w:pPr>
        <w:rPr>
          <w:rFonts w:ascii="宋体" w:cs="宋体"/>
        </w:rPr>
      </w:pPr>
    </w:p>
    <w:p w14:paraId="42D1DBAE">
      <w:pPr>
        <w:rPr>
          <w:rFonts w:ascii="宋体" w:cs="宋体"/>
        </w:rPr>
      </w:pPr>
    </w:p>
    <w:p w14:paraId="7ED26381">
      <w:pPr>
        <w:snapToGrid w:val="0"/>
        <w:spacing w:before="295" w:after="295" w:line="360" w:lineRule="auto"/>
        <w:jc w:val="center"/>
        <w:rPr>
          <w:rFonts w:hint="eastAsia" w:ascii="宋体" w:eastAsia="宋体" w:cs="宋体"/>
          <w:b/>
          <w:kern w:val="0"/>
          <w:sz w:val="24"/>
          <w:highlight w:val="none"/>
        </w:rPr>
      </w:pPr>
    </w:p>
    <w:p w14:paraId="19F1F33D">
      <w:pPr>
        <w:snapToGrid w:val="0"/>
        <w:spacing w:before="295" w:after="295" w:line="360" w:lineRule="auto"/>
        <w:jc w:val="center"/>
        <w:outlineLvl w:val="2"/>
        <w:rPr>
          <w:rFonts w:hint="eastAsia" w:ascii="宋体"/>
        </w:rPr>
      </w:pPr>
      <w:r>
        <w:rPr>
          <w:rFonts w:hint="eastAsia" w:ascii="宋体"/>
          <w:b/>
          <w:kern w:val="0"/>
          <w:sz w:val="30"/>
          <w:szCs w:val="30"/>
        </w:rPr>
        <w:t>退还投标保证金申请书</w:t>
      </w:r>
    </w:p>
    <w:p w14:paraId="251BC522">
      <w:pPr>
        <w:spacing w:line="360" w:lineRule="auto"/>
        <w:ind w:firstLine="480"/>
        <w:rPr>
          <w:rFonts w:hint="eastAsia" w:ascii="宋体"/>
        </w:rPr>
      </w:pPr>
      <w:r>
        <w:rPr>
          <w:rFonts w:hint="eastAsia" w:ascii="宋体"/>
        </w:rPr>
        <w:t>致：浙江南方工程咨询管理有限公司</w:t>
      </w:r>
    </w:p>
    <w:p w14:paraId="373E65CB">
      <w:pPr>
        <w:spacing w:line="360" w:lineRule="auto"/>
        <w:ind w:firstLine="480"/>
        <w:rPr>
          <w:rFonts w:hint="eastAsia" w:ascii="宋体"/>
        </w:rPr>
      </w:pPr>
      <w:r>
        <w:rPr>
          <w:rFonts w:hint="eastAsia" w:ascii="宋体"/>
        </w:rPr>
        <w:t>我公司参加了贵司组织的        招标项目（项目编号：         ）的投标，现申请退还该笔投标保证金。</w:t>
      </w:r>
    </w:p>
    <w:tbl>
      <w:tblPr>
        <w:tblStyle w:val="30"/>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01D7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11458E35">
            <w:pPr>
              <w:spacing w:line="360" w:lineRule="auto"/>
              <w:jc w:val="center"/>
              <w:rPr>
                <w:rFonts w:hint="eastAsia" w:ascii="宋体"/>
              </w:rPr>
            </w:pPr>
            <w:r>
              <w:rPr>
                <w:rFonts w:hint="eastAsia" w:ascii="宋体"/>
              </w:rPr>
              <w:t>申请人信息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F1CE5E2">
            <w:pPr>
              <w:spacing w:line="360" w:lineRule="auto"/>
              <w:rPr>
                <w:rFonts w:hint="eastAsia" w:ascii="宋体"/>
              </w:rPr>
            </w:pPr>
            <w:r>
              <w:rPr>
                <w:rFonts w:hint="eastAsia" w:ascii="宋体"/>
              </w:rPr>
              <w:t>投标单位（加盖单位公章或财务专用章）：</w:t>
            </w:r>
          </w:p>
        </w:tc>
      </w:tr>
      <w:tr w14:paraId="6BE80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04AE4A0"/>
        </w:tc>
        <w:tc>
          <w:tcPr>
            <w:tcW w:w="4224" w:type="dxa"/>
            <w:tcBorders>
              <w:top w:val="single" w:color="auto" w:sz="4" w:space="0"/>
              <w:left w:val="single" w:color="auto" w:sz="4" w:space="0"/>
              <w:bottom w:val="single" w:color="auto" w:sz="4" w:space="0"/>
              <w:right w:val="single" w:color="auto" w:sz="4" w:space="0"/>
            </w:tcBorders>
            <w:noWrap/>
            <w:vAlign w:val="center"/>
          </w:tcPr>
          <w:p w14:paraId="03C94DBB">
            <w:pPr>
              <w:spacing w:line="360" w:lineRule="auto"/>
              <w:rPr>
                <w:rFonts w:hint="eastAsia" w:ascii="宋体"/>
              </w:rPr>
            </w:pPr>
            <w:r>
              <w:rPr>
                <w:rFonts w:hint="eastAsia" w:ascii="宋体"/>
              </w:rPr>
              <w:t>财务联系人：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7E682080">
            <w:pPr>
              <w:spacing w:line="360" w:lineRule="auto"/>
              <w:rPr>
                <w:rFonts w:hint="eastAsia" w:ascii="宋体"/>
              </w:rPr>
            </w:pPr>
            <w:r>
              <w:rPr>
                <w:rFonts w:hint="eastAsia" w:ascii="宋体"/>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7BB29A34">
            <w:pPr>
              <w:spacing w:line="360" w:lineRule="auto"/>
              <w:rPr>
                <w:rFonts w:hint="eastAsia" w:ascii="宋体"/>
              </w:rPr>
            </w:pPr>
          </w:p>
        </w:tc>
      </w:tr>
      <w:tr w14:paraId="6147D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6D1BF42"/>
        </w:tc>
        <w:tc>
          <w:tcPr>
            <w:tcW w:w="4224" w:type="dxa"/>
            <w:tcBorders>
              <w:top w:val="single" w:color="auto" w:sz="4" w:space="0"/>
              <w:left w:val="single" w:color="auto" w:sz="4" w:space="0"/>
              <w:bottom w:val="single" w:color="auto" w:sz="4" w:space="0"/>
              <w:right w:val="single" w:color="auto" w:sz="4" w:space="0"/>
            </w:tcBorders>
            <w:noWrap/>
            <w:vAlign w:val="center"/>
          </w:tcPr>
          <w:p w14:paraId="03E45419">
            <w:pPr>
              <w:spacing w:line="360" w:lineRule="auto"/>
              <w:rPr>
                <w:rFonts w:hint="eastAsia" w:ascii="宋体"/>
              </w:rPr>
            </w:pPr>
            <w:r>
              <w:rPr>
                <w:rFonts w:hint="eastAsia" w:ascii="宋体"/>
              </w:rPr>
              <w:t>项目负责人：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3F029593">
            <w:pPr>
              <w:spacing w:line="360" w:lineRule="auto"/>
              <w:rPr>
                <w:rFonts w:hint="eastAsia" w:ascii="宋体"/>
              </w:rPr>
            </w:pPr>
            <w:r>
              <w:rPr>
                <w:rFonts w:hint="eastAsia" w:ascii="宋体"/>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00EBEF59">
            <w:pPr>
              <w:spacing w:line="360" w:lineRule="auto"/>
              <w:rPr>
                <w:rFonts w:hint="eastAsia" w:ascii="宋体"/>
              </w:rPr>
            </w:pPr>
          </w:p>
        </w:tc>
      </w:tr>
      <w:tr w14:paraId="413EC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1E451A8"/>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1D355A4">
            <w:pPr>
              <w:spacing w:line="360" w:lineRule="auto"/>
              <w:rPr>
                <w:rFonts w:hint="eastAsia" w:ascii="宋体"/>
              </w:rPr>
            </w:pPr>
            <w:r>
              <w:rPr>
                <w:rFonts w:hint="eastAsia" w:ascii="宋体"/>
              </w:rPr>
              <w:t>投标保证金金额（大写）：</w:t>
            </w:r>
          </w:p>
        </w:tc>
      </w:tr>
      <w:tr w14:paraId="297F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6A3EC431">
            <w:pPr>
              <w:spacing w:line="360" w:lineRule="auto"/>
              <w:jc w:val="center"/>
              <w:rPr>
                <w:rFonts w:hint="eastAsia" w:ascii="宋体"/>
              </w:rPr>
            </w:pPr>
            <w:r>
              <w:rPr>
                <w:rFonts w:hint="eastAsia" w:ascii="宋体"/>
              </w:rPr>
              <w:t>退还账户信息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09D075E8">
            <w:pPr>
              <w:spacing w:line="360" w:lineRule="auto"/>
              <w:rPr>
                <w:rFonts w:hint="eastAsia" w:ascii="宋体"/>
              </w:rPr>
            </w:pPr>
            <w:r>
              <w:rPr>
                <w:rFonts w:hint="eastAsia" w:ascii="宋体"/>
              </w:rPr>
              <w:t>单位名称（户名）：</w:t>
            </w:r>
          </w:p>
        </w:tc>
      </w:tr>
      <w:tr w14:paraId="2C11A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659963B"/>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41EFE144">
            <w:pPr>
              <w:spacing w:line="360" w:lineRule="auto"/>
              <w:rPr>
                <w:rFonts w:hint="eastAsia" w:ascii="宋体"/>
              </w:rPr>
            </w:pPr>
            <w:r>
              <w:rPr>
                <w:rFonts w:hint="eastAsia" w:ascii="宋体"/>
              </w:rPr>
              <w:t>单位税号：</w:t>
            </w:r>
          </w:p>
        </w:tc>
      </w:tr>
      <w:tr w14:paraId="54D4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43A0706B"/>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3565FBA6">
            <w:pPr>
              <w:spacing w:line="360" w:lineRule="auto"/>
              <w:rPr>
                <w:rFonts w:hint="eastAsia" w:ascii="宋体"/>
              </w:rPr>
            </w:pPr>
            <w:r>
              <w:rPr>
                <w:rFonts w:hint="eastAsia" w:ascii="宋体"/>
              </w:rPr>
              <w:t>开户银行：</w:t>
            </w:r>
          </w:p>
        </w:tc>
      </w:tr>
      <w:tr w14:paraId="0FAE8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EEE7385"/>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01736DD7">
            <w:pPr>
              <w:spacing w:line="360" w:lineRule="auto"/>
              <w:rPr>
                <w:rFonts w:hint="eastAsia" w:ascii="宋体"/>
              </w:rPr>
            </w:pPr>
            <w:r>
              <w:rPr>
                <w:rFonts w:hint="eastAsia" w:ascii="宋体"/>
              </w:rPr>
              <w:t>银行账号：</w:t>
            </w:r>
          </w:p>
        </w:tc>
      </w:tr>
      <w:tr w14:paraId="642D0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09E19FBF"/>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56DEB7C">
            <w:pPr>
              <w:spacing w:line="360" w:lineRule="auto"/>
              <w:rPr>
                <w:rFonts w:hint="eastAsia" w:ascii="宋体"/>
              </w:rPr>
            </w:pPr>
            <w:r>
              <w:rPr>
                <w:rFonts w:hint="eastAsia" w:ascii="宋体"/>
              </w:rPr>
              <w:t>单位地址：</w:t>
            </w:r>
          </w:p>
        </w:tc>
      </w:tr>
      <w:tr w14:paraId="2A682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531B431"/>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8AC6FAA">
            <w:pPr>
              <w:spacing w:line="360" w:lineRule="auto"/>
              <w:rPr>
                <w:rFonts w:hint="eastAsia" w:ascii="宋体"/>
              </w:rPr>
            </w:pPr>
            <w:r>
              <w:rPr>
                <w:rFonts w:hint="eastAsia" w:ascii="宋体"/>
              </w:rPr>
              <w:t>电话：</w:t>
            </w:r>
          </w:p>
        </w:tc>
      </w:tr>
      <w:tr w14:paraId="7717C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6973E113">
            <w:pPr>
              <w:spacing w:line="360" w:lineRule="auto"/>
              <w:jc w:val="center"/>
              <w:rPr>
                <w:rFonts w:hint="eastAsia" w:ascii="宋体"/>
              </w:rPr>
            </w:pPr>
            <w:r>
              <w:rPr>
                <w:rFonts w:hint="eastAsia" w:ascii="宋体"/>
              </w:rPr>
              <w:t>开票信息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70FE272C">
            <w:pPr>
              <w:snapToGrid w:val="0"/>
              <w:spacing w:line="360" w:lineRule="auto"/>
              <w:rPr>
                <w:rFonts w:hint="eastAsia" w:ascii="宋体"/>
              </w:rPr>
            </w:pPr>
            <w:r>
              <w:rPr>
                <w:rFonts w:hint="eastAsia" w:ascii="宋体"/>
              </w:rPr>
              <w:t>是否同上    □是    □否   后附开票信息</w:t>
            </w:r>
          </w:p>
        </w:tc>
      </w:tr>
      <w:tr w14:paraId="1F338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7F37B8C"/>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0C97B3A7">
            <w:pPr>
              <w:snapToGrid w:val="0"/>
              <w:spacing w:line="360" w:lineRule="auto"/>
              <w:rPr>
                <w:rFonts w:hint="eastAsia" w:ascii="宋体"/>
              </w:rPr>
            </w:pPr>
            <w:r>
              <w:rPr>
                <w:rFonts w:hint="eastAsia" w:ascii="宋体"/>
              </w:rPr>
              <w:t>□增值税普通发票</w:t>
            </w:r>
          </w:p>
          <w:p w14:paraId="46D1BC1A">
            <w:pPr>
              <w:snapToGrid w:val="0"/>
              <w:spacing w:line="360" w:lineRule="auto"/>
              <w:rPr>
                <w:rFonts w:hint="eastAsia" w:ascii="宋体"/>
              </w:rPr>
            </w:pPr>
            <w:r>
              <w:rPr>
                <w:rFonts w:hint="eastAsia" w:ascii="宋体"/>
              </w:rPr>
              <w:t>□增值税专用发票      接收发票邮箱号：</w:t>
            </w:r>
          </w:p>
        </w:tc>
      </w:tr>
      <w:tr w14:paraId="26372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616" w:type="dxa"/>
            <w:tcBorders>
              <w:top w:val="single" w:color="auto" w:sz="4" w:space="0"/>
              <w:left w:val="single" w:color="auto" w:sz="4" w:space="0"/>
              <w:bottom w:val="single" w:color="auto" w:sz="4" w:space="0"/>
              <w:right w:val="single" w:color="auto" w:sz="4" w:space="0"/>
            </w:tcBorders>
            <w:noWrap/>
            <w:vAlign w:val="center"/>
          </w:tcPr>
          <w:p w14:paraId="1877BAB1">
            <w:pPr>
              <w:spacing w:line="360" w:lineRule="auto"/>
              <w:jc w:val="center"/>
              <w:rPr>
                <w:rFonts w:hint="eastAsia" w:ascii="宋体"/>
              </w:rPr>
            </w:pPr>
            <w:r>
              <w:rPr>
                <w:rFonts w:hint="eastAsia" w:ascii="宋体"/>
              </w:rPr>
              <w:t>代理服务费</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8963BD1">
            <w:pPr>
              <w:snapToGrid w:val="0"/>
              <w:spacing w:line="360" w:lineRule="auto"/>
              <w:rPr>
                <w:rFonts w:hint="eastAsia" w:ascii="宋体"/>
              </w:rPr>
            </w:pPr>
            <w:r>
              <w:rPr>
                <w:rFonts w:hint="eastAsia" w:ascii="宋体"/>
              </w:rPr>
              <w:t>如我单位中标代理服务费缴纳方式：□另行支付        □其他（扣除）</w:t>
            </w:r>
          </w:p>
        </w:tc>
      </w:tr>
    </w:tbl>
    <w:p w14:paraId="1E6D450F">
      <w:pPr>
        <w:spacing w:line="360" w:lineRule="auto"/>
        <w:ind w:left="630" w:hanging="630" w:hangingChars="300"/>
        <w:rPr>
          <w:rFonts w:hint="eastAsia" w:ascii="宋体"/>
          <w:b/>
        </w:rPr>
      </w:pPr>
      <w:r>
        <w:rPr>
          <w:rFonts w:hint="eastAsia" w:ascii="宋体"/>
        </w:rPr>
        <w:t>注：1、该“退还投标保证金申请书”在投标前发送qq邮箱:234461759@qq.com。提供PDF盖章版一份和未盖章Word版一份。</w:t>
      </w:r>
    </w:p>
    <w:p w14:paraId="46A78A63">
      <w:pPr>
        <w:spacing w:line="360" w:lineRule="auto"/>
        <w:ind w:firstLine="420" w:firstLineChars="200"/>
        <w:rPr>
          <w:rFonts w:hint="eastAsia" w:ascii="宋体"/>
        </w:rPr>
      </w:pPr>
      <w:r>
        <w:rPr>
          <w:rFonts w:hint="eastAsia" w:ascii="宋体"/>
        </w:rPr>
        <w:t>2、未中标供应商的投标保证金，招标公司将凭此“申请书”自中标通知书发出后5个工作日内退还。</w:t>
      </w:r>
    </w:p>
    <w:p w14:paraId="22427042">
      <w:pPr>
        <w:spacing w:line="360" w:lineRule="auto"/>
        <w:ind w:firstLine="420" w:firstLineChars="200"/>
        <w:outlineLvl w:val="2"/>
        <w:rPr>
          <w:rFonts w:hint="eastAsia" w:ascii="宋体"/>
        </w:rPr>
      </w:pPr>
      <w:r>
        <w:rPr>
          <w:rFonts w:hint="eastAsia" w:ascii="宋体"/>
        </w:rPr>
        <w:t>3、中标供应商的投标保证金，自合同签订后5个工作日内退还。</w:t>
      </w:r>
    </w:p>
    <w:p w14:paraId="24251FAE">
      <w:pPr>
        <w:snapToGrid w:val="0"/>
        <w:spacing w:line="360" w:lineRule="auto"/>
        <w:ind w:firstLine="480" w:firstLineChars="200"/>
        <w:rPr>
          <w:rFonts w:ascii="宋体" w:eastAsia="宋体" w:cs="宋体"/>
          <w:sz w:val="24"/>
          <w:highlight w:val="none"/>
        </w:rPr>
      </w:pPr>
    </w:p>
    <w:p w14:paraId="48DA054A"/>
    <w:sectPr>
      <w:footerReference r:id="rId12" w:type="default"/>
      <w:pgSz w:w="11907" w:h="16840"/>
      <w:pgMar w:top="1440" w:right="1080" w:bottom="1440" w:left="1080" w:header="680" w:footer="96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Microsoft YaHei UI"/>
    <w:panose1 w:val="020B0604020202020204"/>
    <w:charset w:val="86"/>
    <w:family w:val="roman"/>
    <w:pitch w:val="default"/>
    <w:sig w:usb0="00000000" w:usb1="00000000" w:usb2="0000003F" w:usb3="00000000" w:csb0="603F01FF" w:csb1="FFFF0000"/>
  </w:font>
  <w:font w:name="Microsoft YaHei UI">
    <w:panose1 w:val="020B0503020204020204"/>
    <w:charset w:val="86"/>
    <w:family w:val="auto"/>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65D45">
    <w:pPr>
      <w:pStyle w:val="2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807EE">
    <w:pPr>
      <w:pStyle w:val="20"/>
      <w:framePr w:wrap="around" w:vAnchor="text" w:hAnchor="margin" w:xAlign="center" w:y="1"/>
      <w:rPr>
        <w:rStyle w:val="33"/>
      </w:rPr>
    </w:pPr>
    <w:r>
      <w:rPr>
        <w:rStyle w:val="33"/>
      </w:rPr>
      <w:fldChar w:fldCharType="begin"/>
    </w:r>
    <w:r>
      <w:rPr>
        <w:rStyle w:val="33"/>
      </w:rPr>
      <w:instrText xml:space="preserve">PAGE  </w:instrText>
    </w:r>
    <w:r>
      <w:fldChar w:fldCharType="separate"/>
    </w:r>
    <w:r>
      <w:rPr>
        <w:rStyle w:val="33"/>
      </w:rPr>
      <w:t>1</w:t>
    </w:r>
    <w:r>
      <w:fldChar w:fldCharType="end"/>
    </w:r>
  </w:p>
  <w:p w14:paraId="2824CCCB">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378EA">
    <w:pPr>
      <w:pStyle w:val="20"/>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82CB5">
    <w:pPr>
      <w:pStyle w:val="20"/>
      <w:framePr w:wrap="around" w:vAnchor="text" w:hAnchor="margin" w:xAlign="center" w:y="1"/>
      <w:jc w:val="center"/>
      <w:rPr>
        <w:rStyle w:val="33"/>
      </w:rPr>
    </w:pPr>
    <w:r>
      <w:rPr>
        <w:rStyle w:val="33"/>
      </w:rPr>
      <w:fldChar w:fldCharType="begin"/>
    </w:r>
    <w:r>
      <w:rPr>
        <w:rStyle w:val="33"/>
      </w:rPr>
      <w:instrText xml:space="preserve">PAGE  </w:instrText>
    </w:r>
    <w:r>
      <w:fldChar w:fldCharType="separate"/>
    </w:r>
    <w:r>
      <w:rPr>
        <w:rStyle w:val="33"/>
      </w:rPr>
      <w:t>3</w:t>
    </w:r>
    <w:r>
      <w:fldChar w:fldCharType="end"/>
    </w:r>
  </w:p>
  <w:p w14:paraId="25D30E1D">
    <w:pPr>
      <w:pStyle w:val="20"/>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0CA42">
    <w:pPr>
      <w:pStyle w:val="20"/>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1" name="文本框 1"/>
              <wp:cNvGraphicFramePr/>
              <a:graphic xmlns:a="http://schemas.openxmlformats.org/drawingml/2006/main">
                <a:graphicData uri="http://schemas.microsoft.com/office/word/2010/wordprocessingShape">
                  <wps:wsp>
                    <wps:cNvSpPr/>
                    <wps:spPr>
                      <a:xfrm>
                        <a:off x="0" y="0"/>
                        <a:ext cx="114300" cy="131559"/>
                      </a:xfrm>
                      <a:prstGeom prst="rect">
                        <a:avLst/>
                      </a:prstGeom>
                      <a:noFill/>
                      <a:ln w="6350" cap="flat" cmpd="sng">
                        <a:noFill/>
                        <a:prstDash val="solid"/>
                        <a:round/>
                      </a:ln>
                    </wps:spPr>
                    <wps:txbx>
                      <w:txbxContent>
                        <w:p w14:paraId="402CF25C">
                          <w:pPr>
                            <w:pStyle w:val="2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F0UlydUAAAAD&#10;AQAADwAAAGRycy9kb3ducmV2LnhtbE2PwU7DMBBE70j8g7VIXCpqNweoQjY9gAAJwYFQIXFz420c&#10;NV6H2E0KX4/bC1xGGs1q5m2xOrhOjDSE1jPCYq5AENfetNwgrN8frpYgQtRsdOeZEL4pwKo8Pyt0&#10;bvzEbzRWsRGphEOuEWyMfS5lqC05Hea+J07Z1g9Ox2SHRppBT6ncdTJT6lo63XJasLqnO0v1rto7&#10;hJf7x8+PmX1W2evPbOunaj1+Pe0QLy8W6hZEpEP8O4YjfkKHMjFt/J5NEB1CeiSe9Jgtk9sgZOoG&#10;ZFnI/+zlL1BLAwQUAAAACACHTuJAMP5zJAECAAD0AwAADgAAAGRycy9lMm9Eb2MueG1srVPLjtMw&#10;FN0j8Q+W9zTJlI4gajpCVIOQEIw08AGu4ySW/JKv06R8APwBKzbs+a5+x1w7aTsaNrNgkxy/zr3n&#10;+Hh9M2pF9sKDtKaixSKnRBhua2nain77evvqDSUQmKmZskZU9CCA3mxevlgPrhRXtrOqFp4giYFy&#10;cBXtQnBllgHvhGawsE4YXGys1yzg0LdZ7dmA7FplV3l+nQ3W185bLgBwdjst0pnRP4fQNo3kYmt5&#10;r4UJE6sXigWUBJ10QDep26YRPHxpGhCBqIqi0pC+WATxLn6zzZqVrWeuk3xugT2nhSeaNJMGi56p&#10;tiww0nv5D5WW3FuwTVhwq7NJSHIEVRT5E2/uO+ZE0oJWgzubDv+Pln/e33kia0wCJYZpvPDjr5/H&#10;33+Pf36QItozOChx17278/MIEEatY+N1/KMKMiZLD2dLxRgIx8mieL3M0WyOS8WyWK3eRs7scth5&#10;CB+E1SSCinq8sWQk23+CMG09bYm1jL2VSuE8K5UhQ0Wvl6tIzzCJDSYAoXaoBkybaB7tjzRbBh3Z&#10;MwwDWCXr6fq97U09lVIGm4uKJ40RhXE34mKEO1sf0C18PNhpZ/13SgaMTkUNvhRK1EeDNxNTdgL+&#10;BHYnwAzHgxXFRif4Pkxp7J2XbYe8eeob3Ls+oNZkwaX23B2GIZk4Bzem7fE47bo81s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0UlydUAAAADAQAADwAAAAAAAAABACAAAAAiAAAAZHJzL2Rvd25y&#10;ZXYueG1sUEsBAhQAFAAAAAgAh07iQDD+cyQBAgAA9AMAAA4AAAAAAAAAAQAgAAAAJAEAAGRycy9l&#10;Mm9Eb2MueG1sUEsFBgAAAAAGAAYAWQEAAJcFAAAAAA==&#10;">
              <v:fill on="f" focussize="0,0"/>
              <v:stroke on="f" weight="0.5pt" joinstyle="round"/>
              <v:imagedata o:title=""/>
              <o:lock v:ext="edit" aspectratio="f"/>
              <v:textbox inset="0mm,0mm,0mm,0mm" style="mso-fit-shape-to-text:t;">
                <w:txbxContent>
                  <w:p w14:paraId="402CF25C">
                    <w:pPr>
                      <w:pStyle w:val="20"/>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BA83C">
    <w:pPr>
      <w:pStyle w:val="20"/>
      <w:framePr w:wrap="around" w:vAnchor="text" w:hAnchor="margin" w:xAlign="center" w:y="1"/>
      <w:jc w:val="center"/>
      <w:rPr>
        <w:rStyle w:val="33"/>
      </w:rPr>
    </w:pPr>
    <w:r>
      <w:rPr>
        <w:rStyle w:val="33"/>
      </w:rPr>
      <w:fldChar w:fldCharType="begin"/>
    </w:r>
    <w:r>
      <w:rPr>
        <w:rStyle w:val="33"/>
      </w:rPr>
      <w:instrText xml:space="preserve">PAGE  </w:instrText>
    </w:r>
    <w:r>
      <w:fldChar w:fldCharType="separate"/>
    </w:r>
    <w:r>
      <w:rPr>
        <w:rStyle w:val="33"/>
      </w:rPr>
      <w:t>58</w:t>
    </w:r>
    <w:r>
      <w:fldChar w:fldCharType="end"/>
    </w:r>
  </w:p>
  <w:p w14:paraId="5804380A">
    <w:pPr>
      <w:pStyle w:val="20"/>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60D5">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F3815">
    <w:pPr>
      <w:pStyle w:val="22"/>
      <w:framePr w:wrap="around" w:vAnchor="text" w:hAnchor="margin" w:xAlign="right" w:y="1"/>
      <w:rPr>
        <w:rStyle w:val="33"/>
      </w:rPr>
    </w:pPr>
    <w:r>
      <w:rPr>
        <w:rStyle w:val="33"/>
      </w:rPr>
      <w:fldChar w:fldCharType="begin"/>
    </w:r>
    <w:r>
      <w:rPr>
        <w:rStyle w:val="33"/>
      </w:rPr>
      <w:instrText xml:space="preserve">PAGE  </w:instrText>
    </w:r>
    <w:r>
      <w:fldChar w:fldCharType="separate"/>
    </w:r>
    <w:r>
      <w:t xml:space="preserve"> </w:t>
    </w:r>
    <w:r>
      <w:fldChar w:fldCharType="end"/>
    </w:r>
  </w:p>
  <w:p w14:paraId="4D7AA8C9">
    <w:pPr>
      <w:pStyle w:val="2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C732B">
    <w:pPr>
      <w:pStyle w:val="38"/>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097B7">
    <w:pPr>
      <w:pStyle w:val="22"/>
      <w:jc w:val="right"/>
    </w:pPr>
    <w:r>
      <w:rPr>
        <w:rFonts w:hint="eastAsia"/>
        <w:b/>
        <w:iCs/>
        <w:lang w:val="en-US" w:eastAsia="zh-CN"/>
      </w:rPr>
      <w:t>巨化集团有限公司公用事业部</w:t>
    </w:r>
    <w:r>
      <w:rPr>
        <w:rFonts w:hint="eastAsia"/>
        <w:b/>
        <w:iCs/>
      </w:rPr>
      <w:t>110kV及以上电气设备检维修项目招标文件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D87D4F"/>
    <w:multiLevelType w:val="singleLevel"/>
    <w:tmpl w:val="C4D87D4F"/>
    <w:lvl w:ilvl="0" w:tentative="0">
      <w:start w:val="1"/>
      <w:numFmt w:val="decimal"/>
      <w:lvlText w:val="%1."/>
      <w:lvlJc w:val="left"/>
      <w:pPr>
        <w:ind w:left="0" w:firstLine="0"/>
      </w:pPr>
    </w:lvl>
  </w:abstractNum>
  <w:abstractNum w:abstractNumId="1">
    <w:nsid w:val="D1BB2168"/>
    <w:multiLevelType w:val="singleLevel"/>
    <w:tmpl w:val="D1BB2168"/>
    <w:lvl w:ilvl="0" w:tentative="0">
      <w:start w:val="8"/>
      <w:numFmt w:val="decimal"/>
      <w:lvlText w:val="%1."/>
      <w:lvlJc w:val="left"/>
      <w:pPr>
        <w:ind w:left="0" w:firstLine="0"/>
      </w:pPr>
    </w:lvl>
  </w:abstractNum>
  <w:abstractNum w:abstractNumId="2">
    <w:nsid w:val="01598A5A"/>
    <w:multiLevelType w:val="singleLevel"/>
    <w:tmpl w:val="01598A5A"/>
    <w:lvl w:ilvl="0" w:tentative="0">
      <w:start w:val="1"/>
      <w:numFmt w:val="chineseCounting"/>
      <w:suff w:val="space"/>
      <w:lvlText w:val="第%1章"/>
      <w:lvlJc w:val="left"/>
      <w:pPr>
        <w:ind w:left="0" w:firstLine="0"/>
      </w:pPr>
      <w:rPr>
        <w:rFonts w:hint="eastAsia"/>
      </w:rPr>
    </w:lvl>
  </w:abstractNum>
  <w:abstractNum w:abstractNumId="3">
    <w:nsid w:val="0FFFFF7F"/>
    <w:multiLevelType w:val="singleLevel"/>
    <w:tmpl w:val="0FFFFF7F"/>
    <w:lvl w:ilvl="0" w:tentative="0">
      <w:start w:val="1"/>
      <w:numFmt w:val="decimal"/>
      <w:pStyle w:val="9"/>
      <w:lvlText w:val="%1."/>
      <w:lvlJc w:val="left"/>
      <w:pPr>
        <w:tabs>
          <w:tab w:val="left" w:pos="780"/>
        </w:tabs>
        <w:ind w:left="780" w:hanging="360"/>
      </w:pPr>
    </w:lvl>
  </w:abstractNum>
  <w:abstractNum w:abstractNumId="4">
    <w:nsid w:val="1B534D86"/>
    <w:multiLevelType w:val="singleLevel"/>
    <w:tmpl w:val="1B534D86"/>
    <w:lvl w:ilvl="0" w:tentative="0">
      <w:start w:val="1"/>
      <w:numFmt w:val="chineseCounting"/>
      <w:suff w:val="nothing"/>
      <w:lvlText w:val="%1、"/>
      <w:lvlJc w:val="left"/>
      <w:pPr>
        <w:ind w:left="0" w:firstLine="0"/>
      </w:pPr>
      <w:rPr>
        <w:rFonts w:hint="eastAsia"/>
      </w:rPr>
    </w:lvl>
  </w:abstractNum>
  <w:abstractNum w:abstractNumId="5">
    <w:nsid w:val="4627506A"/>
    <w:multiLevelType w:val="singleLevel"/>
    <w:tmpl w:val="4627506A"/>
    <w:lvl w:ilvl="0" w:tentative="0">
      <w:start w:val="1"/>
      <w:numFmt w:val="decimal"/>
      <w:pStyle w:val="7"/>
      <w:lvlText w:val="%1."/>
      <w:lvlJc w:val="left"/>
      <w:pPr>
        <w:ind w:left="360" w:hanging="360"/>
      </w:pPr>
    </w:lvl>
  </w:abstractNum>
  <w:abstractNum w:abstractNumId="6">
    <w:nsid w:val="46285560"/>
    <w:multiLevelType w:val="singleLevel"/>
    <w:tmpl w:val="46285560"/>
    <w:lvl w:ilvl="0" w:tentative="0">
      <w:start w:val="1"/>
      <w:numFmt w:val="chineseCounting"/>
      <w:suff w:val="nothing"/>
      <w:lvlText w:val="%1、"/>
      <w:lvlJc w:val="left"/>
      <w:pPr>
        <w:ind w:left="0" w:firstLine="0"/>
      </w:pPr>
      <w:rPr>
        <w:rFonts w:hint="eastAsia"/>
      </w:rPr>
    </w:lvl>
  </w:abstractNum>
  <w:abstractNum w:abstractNumId="7">
    <w:nsid w:val="55FB1C3C"/>
    <w:multiLevelType w:val="multilevel"/>
    <w:tmpl w:val="55FB1C3C"/>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5"/>
  </w:num>
  <w:num w:numId="2">
    <w:abstractNumId w:val="3"/>
  </w:num>
  <w:num w:numId="3">
    <w:abstractNumId w:val="1"/>
  </w:num>
  <w:num w:numId="4">
    <w:abstractNumId w:val="2"/>
  </w:num>
  <w:num w:numId="5">
    <w:abstractNumId w:val="7"/>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5"/>
  </w:compat>
  <w:docVars>
    <w:docVar w:name="commondata" w:val="eyJoZGlkIjoiMTIyOTkzZGI3YTQ0YmQ1MzM5ZDJlNjY2ZmJmN2E0NDgifQ=="/>
  </w:docVars>
  <w:rsids>
    <w:rsidRoot w:val="00000000"/>
    <w:rsid w:val="01F42D45"/>
    <w:rsid w:val="0925299D"/>
    <w:rsid w:val="09CA10DA"/>
    <w:rsid w:val="18055854"/>
    <w:rsid w:val="18267CA4"/>
    <w:rsid w:val="1B740D26"/>
    <w:rsid w:val="1C0F6CA1"/>
    <w:rsid w:val="23243032"/>
    <w:rsid w:val="2939710B"/>
    <w:rsid w:val="2C3A5674"/>
    <w:rsid w:val="2CFF066C"/>
    <w:rsid w:val="32170BF7"/>
    <w:rsid w:val="35CB1A33"/>
    <w:rsid w:val="3B822B94"/>
    <w:rsid w:val="4D447CA9"/>
    <w:rsid w:val="4DDF3E76"/>
    <w:rsid w:val="553D7E00"/>
    <w:rsid w:val="56A416CE"/>
    <w:rsid w:val="647C6CC8"/>
    <w:rsid w:val="72916C3D"/>
    <w:rsid w:val="74BD1D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keepLines/>
      <w:widowControl w:val="0"/>
      <w:spacing w:before="340" w:after="330" w:line="576" w:lineRule="auto"/>
      <w:outlineLvl w:val="0"/>
    </w:pPr>
    <w:rPr>
      <w:b/>
      <w:bCs/>
      <w:kern w:val="44"/>
      <w:sz w:val="44"/>
      <w:szCs w:val="44"/>
    </w:rPr>
  </w:style>
  <w:style w:type="paragraph" w:styleId="3">
    <w:name w:val="heading 2"/>
    <w:basedOn w:val="1"/>
    <w:next w:val="1"/>
    <w:link w:val="37"/>
    <w:uiPriority w:val="0"/>
    <w:pPr>
      <w:keepNext/>
      <w:keepLines/>
      <w:widowControl/>
      <w:spacing w:before="260" w:after="260" w:line="415"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paragraph" w:styleId="5">
    <w:name w:val="heading 4"/>
    <w:basedOn w:val="1"/>
    <w:next w:val="1"/>
    <w:qFormat/>
    <w:uiPriority w:val="0"/>
    <w:pPr>
      <w:keepNext/>
      <w:keepLines/>
      <w:widowControl w:val="0"/>
      <w:spacing w:before="280" w:after="290" w:line="377"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val="0"/>
      <w:spacing w:before="280" w:after="290" w:line="377" w:lineRule="auto"/>
      <w:outlineLvl w:val="4"/>
    </w:pPr>
    <w:rPr>
      <w:b/>
      <w:bCs/>
      <w:sz w:val="28"/>
      <w:szCs w:val="28"/>
    </w:rPr>
  </w:style>
  <w:style w:type="character" w:default="1" w:styleId="31">
    <w:name w:val="Default Paragraph Font"/>
    <w:qFormat/>
    <w:uiPriority w:val="0"/>
  </w:style>
  <w:style w:type="table" w:default="1" w:styleId="30">
    <w:name w:val="Normal Table"/>
    <w:semiHidden/>
    <w:uiPriority w:val="0"/>
    <w:tblPr>
      <w:tblCellMar>
        <w:top w:w="0" w:type="dxa"/>
        <w:left w:w="108" w:type="dxa"/>
        <w:bottom w:w="0" w:type="dxa"/>
        <w:right w:w="108" w:type="dxa"/>
      </w:tblCellMar>
    </w:tblPr>
  </w:style>
  <w:style w:type="paragraph" w:styleId="7">
    <w:name w:val="List Number"/>
    <w:basedOn w:val="1"/>
    <w:qFormat/>
    <w:uiPriority w:val="0"/>
    <w:pPr>
      <w:numPr>
        <w:ilvl w:val="0"/>
        <w:numId w:val="1"/>
      </w:numPr>
    </w:pPr>
  </w:style>
  <w:style w:type="paragraph" w:styleId="8">
    <w:name w:val="Normal Indent"/>
    <w:basedOn w:val="1"/>
    <w:next w:val="1"/>
    <w:qFormat/>
    <w:uiPriority w:val="0"/>
    <w:pPr>
      <w:ind w:firstLine="200" w:firstLineChars="200"/>
    </w:pPr>
  </w:style>
  <w:style w:type="paragraph" w:styleId="9">
    <w:name w:val="caption"/>
    <w:basedOn w:val="1"/>
    <w:next w:val="1"/>
    <w:qFormat/>
    <w:uiPriority w:val="0"/>
    <w:pPr>
      <w:numPr>
        <w:ilvl w:val="0"/>
        <w:numId w:val="2"/>
      </w:numPr>
      <w:tabs>
        <w:tab w:val="clear" w:pos="780"/>
      </w:tabs>
      <w:spacing w:before="152" w:after="160"/>
      <w:ind w:left="0" w:firstLine="0"/>
    </w:pPr>
    <w:rPr>
      <w:rFonts w:ascii="Arial" w:hAnsi="Arial" w:eastAsia="黑体" w:cs="Arial"/>
      <w:sz w:val="20"/>
      <w:szCs w:val="20"/>
    </w:rPr>
  </w:style>
  <w:style w:type="paragraph" w:styleId="10">
    <w:name w:val="annotation text"/>
    <w:basedOn w:val="1"/>
    <w:qFormat/>
    <w:uiPriority w:val="0"/>
    <w:pPr>
      <w:jc w:val="left"/>
    </w:pPr>
    <w:rPr>
      <w:kern w:val="0"/>
      <w:sz w:val="20"/>
      <w:szCs w:val="20"/>
    </w:rPr>
  </w:style>
  <w:style w:type="paragraph" w:styleId="11">
    <w:name w:val="Body Text"/>
    <w:basedOn w:val="1"/>
    <w:next w:val="12"/>
    <w:qFormat/>
    <w:uiPriority w:val="0"/>
    <w:pPr>
      <w:tabs>
        <w:tab w:val="left" w:pos="574"/>
      </w:tabs>
      <w:spacing w:line="288" w:lineRule="auto"/>
    </w:pPr>
    <w:rPr>
      <w:rFonts w:ascii="宋体"/>
      <w:szCs w:val="20"/>
    </w:rPr>
  </w:style>
  <w:style w:type="paragraph" w:styleId="12">
    <w:name w:val="Body Text First Indent"/>
    <w:basedOn w:val="11"/>
    <w:next w:val="1"/>
    <w:qFormat/>
    <w:uiPriority w:val="0"/>
    <w:pPr>
      <w:spacing w:after="120" w:line="240" w:lineRule="auto"/>
      <w:ind w:firstLine="100" w:firstLineChars="100"/>
    </w:pPr>
    <w:rPr>
      <w:rFonts w:ascii="Times New Roman" w:hAnsi="Times New Roman"/>
      <w:szCs w:val="24"/>
    </w:rPr>
  </w:style>
  <w:style w:type="paragraph" w:styleId="13">
    <w:name w:val="Body Text Indent"/>
    <w:basedOn w:val="1"/>
    <w:next w:val="14"/>
    <w:qFormat/>
    <w:uiPriority w:val="0"/>
    <w:pPr>
      <w:spacing w:after="120"/>
      <w:ind w:left="200" w:leftChars="200"/>
    </w:pPr>
  </w:style>
  <w:style w:type="paragraph" w:customStyle="1" w:styleId="14">
    <w:name w:val="font5"/>
    <w:basedOn w:val="1"/>
    <w:qFormat/>
    <w:uiPriority w:val="0"/>
    <w:pPr>
      <w:widowControl/>
      <w:spacing w:before="100" w:beforeAutospacing="1" w:after="100" w:afterAutospacing="1"/>
      <w:jc w:val="left"/>
    </w:pPr>
    <w:rPr>
      <w:rFonts w:cs="Arial Unicode MS"/>
      <w:sz w:val="18"/>
      <w:szCs w:val="18"/>
    </w:rPr>
  </w:style>
  <w:style w:type="paragraph" w:styleId="15">
    <w:name w:val="Plain Text"/>
    <w:basedOn w:val="1"/>
    <w:next w:val="16"/>
    <w:qFormat/>
    <w:uiPriority w:val="0"/>
    <w:rPr>
      <w:rFonts w:ascii="宋体" w:cs="ˎ̥"/>
      <w:szCs w:val="21"/>
    </w:rPr>
  </w:style>
  <w:style w:type="paragraph" w:styleId="16">
    <w:name w:val="toc 2"/>
    <w:basedOn w:val="1"/>
    <w:next w:val="1"/>
    <w:qFormat/>
    <w:uiPriority w:val="0"/>
    <w:pPr>
      <w:ind w:left="200" w:leftChars="200"/>
    </w:pPr>
    <w:rPr>
      <w:szCs w:val="20"/>
    </w:rPr>
  </w:style>
  <w:style w:type="paragraph" w:styleId="17">
    <w:name w:val="Date"/>
    <w:basedOn w:val="1"/>
    <w:next w:val="1"/>
    <w:qFormat/>
    <w:uiPriority w:val="0"/>
    <w:rPr>
      <w:sz w:val="24"/>
      <w:szCs w:val="20"/>
    </w:rPr>
  </w:style>
  <w:style w:type="paragraph" w:styleId="18">
    <w:name w:val="Body Text Indent 2"/>
    <w:basedOn w:val="1"/>
    <w:qFormat/>
    <w:uiPriority w:val="0"/>
    <w:pPr>
      <w:snapToGrid w:val="0"/>
      <w:ind w:firstLine="225" w:firstLineChars="225"/>
    </w:pPr>
    <w:rPr>
      <w:rFonts w:ascii="仿宋_GB2312" w:hAnsi="仿宋_GB2312"/>
      <w:b/>
      <w:bCs/>
      <w:color w:val="000000"/>
      <w:kern w:val="0"/>
      <w:sz w:val="24"/>
    </w:rPr>
  </w:style>
  <w:style w:type="paragraph" w:styleId="19">
    <w:name w:val="Balloon Text"/>
    <w:basedOn w:val="1"/>
    <w:qFormat/>
    <w:uiPriority w:val="0"/>
    <w:rPr>
      <w:sz w:val="18"/>
      <w:szCs w:val="18"/>
    </w:rPr>
  </w:style>
  <w:style w:type="paragraph" w:styleId="20">
    <w:name w:val="footer"/>
    <w:basedOn w:val="1"/>
    <w:qFormat/>
    <w:uiPriority w:val="0"/>
    <w:pPr>
      <w:widowControl/>
      <w:tabs>
        <w:tab w:val="center" w:pos="4153"/>
        <w:tab w:val="right" w:pos="8306"/>
      </w:tabs>
      <w:snapToGrid w:val="0"/>
      <w:jc w:val="left"/>
    </w:pPr>
    <w:rPr>
      <w:kern w:val="0"/>
      <w:sz w:val="18"/>
      <w:szCs w:val="20"/>
    </w:rPr>
  </w:style>
  <w:style w:type="paragraph" w:styleId="21">
    <w:name w:val="envelope return"/>
    <w:basedOn w:val="1"/>
    <w:qFormat/>
    <w:uiPriority w:val="0"/>
    <w:pPr>
      <w:snapToGrid w:val="0"/>
    </w:pPr>
    <w:rPr>
      <w:rFonts w:ascii="Arial" w:hAnsi="Arial"/>
    </w:rPr>
  </w:style>
  <w:style w:type="paragraph" w:styleId="22">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23">
    <w:name w:val="toc 1"/>
    <w:basedOn w:val="1"/>
    <w:next w:val="1"/>
    <w:autoRedefine/>
    <w:qFormat/>
    <w:uiPriority w:val="0"/>
  </w:style>
  <w:style w:type="paragraph" w:styleId="24">
    <w:name w:val="toc 4"/>
    <w:basedOn w:val="1"/>
    <w:next w:val="1"/>
    <w:qFormat/>
    <w:uiPriority w:val="0"/>
    <w:pPr>
      <w:tabs>
        <w:tab w:val="left" w:pos="737"/>
      </w:tabs>
      <w:ind w:left="600" w:leftChars="600"/>
    </w:pPr>
    <w:rPr>
      <w:rFonts w:ascii="Calibri" w:hAnsi="Calibri"/>
      <w:szCs w:val="22"/>
    </w:rPr>
  </w:style>
  <w:style w:type="paragraph" w:styleId="25">
    <w:name w:val="List"/>
    <w:basedOn w:val="1"/>
    <w:qFormat/>
    <w:uiPriority w:val="0"/>
    <w:pPr>
      <w:ind w:left="200" w:hanging="200" w:hangingChars="200"/>
    </w:pPr>
    <w:rPr>
      <w:sz w:val="28"/>
    </w:rPr>
  </w:style>
  <w:style w:type="paragraph" w:styleId="26">
    <w:name w:val="Normal (Web)"/>
    <w:basedOn w:val="1"/>
    <w:qFormat/>
    <w:uiPriority w:val="0"/>
    <w:pPr>
      <w:widowControl/>
      <w:spacing w:before="100" w:beforeAutospacing="1" w:after="100" w:afterAutospacing="1"/>
      <w:jc w:val="left"/>
    </w:pPr>
    <w:rPr>
      <w:rFonts w:ascii="宋体" w:cs="宋体"/>
      <w:kern w:val="0"/>
      <w:sz w:val="24"/>
    </w:rPr>
  </w:style>
  <w:style w:type="paragraph" w:styleId="27">
    <w:name w:val="Title"/>
    <w:basedOn w:val="1"/>
    <w:next w:val="1"/>
    <w:qFormat/>
    <w:uiPriority w:val="0"/>
    <w:pPr>
      <w:spacing w:before="240" w:after="60"/>
      <w:jc w:val="center"/>
      <w:outlineLvl w:val="0"/>
    </w:pPr>
    <w:rPr>
      <w:rFonts w:ascii="Arial" w:hAnsi="Arial"/>
      <w:b/>
      <w:bCs/>
      <w:sz w:val="32"/>
      <w:szCs w:val="32"/>
    </w:rPr>
  </w:style>
  <w:style w:type="paragraph" w:styleId="28">
    <w:name w:val="annotation subject"/>
    <w:basedOn w:val="10"/>
    <w:next w:val="10"/>
    <w:autoRedefine/>
    <w:qFormat/>
    <w:uiPriority w:val="0"/>
    <w:rPr>
      <w:b/>
      <w:bCs/>
      <w:kern w:val="2"/>
      <w:sz w:val="21"/>
      <w:szCs w:val="24"/>
    </w:rPr>
  </w:style>
  <w:style w:type="paragraph" w:styleId="29">
    <w:name w:val="Body Text First Indent 2"/>
    <w:basedOn w:val="13"/>
    <w:next w:val="1"/>
    <w:qFormat/>
    <w:uiPriority w:val="0"/>
    <w:pPr>
      <w:tabs>
        <w:tab w:val="left" w:pos="435"/>
      </w:tabs>
      <w:ind w:firstLine="200" w:firstLineChars="200"/>
    </w:pPr>
    <w:rPr>
      <w:sz w:val="28"/>
    </w:rPr>
  </w:style>
  <w:style w:type="character" w:styleId="32">
    <w:name w:val="Strong"/>
    <w:basedOn w:val="31"/>
    <w:qFormat/>
    <w:uiPriority w:val="0"/>
    <w:rPr>
      <w:b/>
    </w:rPr>
  </w:style>
  <w:style w:type="character" w:styleId="33">
    <w:name w:val="page number"/>
    <w:basedOn w:val="31"/>
    <w:qFormat/>
    <w:uiPriority w:val="0"/>
  </w:style>
  <w:style w:type="character" w:styleId="34">
    <w:name w:val="FollowedHyperlink"/>
    <w:basedOn w:val="31"/>
    <w:qFormat/>
    <w:uiPriority w:val="0"/>
    <w:rPr>
      <w:color w:val="954F72"/>
      <w:u w:val="single"/>
    </w:rPr>
  </w:style>
  <w:style w:type="character" w:styleId="35">
    <w:name w:val="Hyperlink"/>
    <w:qFormat/>
    <w:uiPriority w:val="0"/>
    <w:rPr>
      <w:color w:val="4D7AD8"/>
      <w:u w:val="none"/>
    </w:rPr>
  </w:style>
  <w:style w:type="character" w:styleId="36">
    <w:name w:val="annotation reference"/>
    <w:basedOn w:val="31"/>
    <w:qFormat/>
    <w:uiPriority w:val="0"/>
    <w:rPr>
      <w:sz w:val="21"/>
      <w:szCs w:val="21"/>
    </w:rPr>
  </w:style>
  <w:style w:type="character" w:customStyle="1" w:styleId="37">
    <w:name w:val="heading 2 Char"/>
    <w:basedOn w:val="31"/>
    <w:link w:val="3"/>
    <w:uiPriority w:val="0"/>
    <w:rPr>
      <w:rFonts w:ascii="Arial" w:hAnsi="Arial" w:eastAsia="黑体" w:cs="Times New Roman"/>
      <w:b/>
      <w:kern w:val="0"/>
      <w:sz w:val="44"/>
      <w:szCs w:val="20"/>
      <w:lang w:val="en-US" w:eastAsia="zh-CN" w:bidi="ar-SA"/>
    </w:rPr>
  </w:style>
  <w:style w:type="paragraph" w:customStyle="1" w:styleId="38">
    <w:name w:val="样式1"/>
    <w:basedOn w:val="1"/>
    <w:uiPriority w:val="0"/>
    <w:pPr>
      <w:spacing w:before="120" w:after="120" w:line="300" w:lineRule="auto"/>
    </w:pPr>
    <w:rPr>
      <w:rFonts w:ascii="宋体"/>
      <w:b/>
      <w:sz w:val="24"/>
      <w:szCs w:val="20"/>
    </w:rPr>
  </w:style>
  <w:style w:type="paragraph" w:customStyle="1" w:styleId="3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40">
    <w:name w:val="p0"/>
    <w:basedOn w:val="1"/>
    <w:qFormat/>
    <w:uiPriority w:val="0"/>
    <w:pPr>
      <w:widowControl/>
    </w:pPr>
    <w:rPr>
      <w:kern w:val="0"/>
      <w:szCs w:val="21"/>
    </w:rPr>
  </w:style>
  <w:style w:type="paragraph" w:customStyle="1" w:styleId="41">
    <w:name w:val="正文1"/>
    <w:basedOn w:val="1"/>
    <w:qFormat/>
    <w:uiPriority w:val="0"/>
    <w:pPr>
      <w:adjustRightInd w:val="0"/>
      <w:spacing w:line="318" w:lineRule="atLeast"/>
      <w:ind w:left="369" w:firstLine="369"/>
      <w:textAlignment w:val="baseline"/>
    </w:pPr>
    <w:rPr>
      <w:rFonts w:ascii="宋体"/>
      <w:szCs w:val="20"/>
    </w:rPr>
  </w:style>
  <w:style w:type="paragraph" w:customStyle="1" w:styleId="42">
    <w:name w:val="纯文本1"/>
    <w:basedOn w:val="41"/>
    <w:qFormat/>
    <w:uiPriority w:val="0"/>
    <w:pPr>
      <w:widowControl/>
      <w:jc w:val="left"/>
    </w:pPr>
  </w:style>
  <w:style w:type="paragraph" w:customStyle="1" w:styleId="43">
    <w:name w:val="WPSOffice手动目录 1"/>
    <w:autoRedefine/>
    <w:qFormat/>
    <w:uiPriority w:val="0"/>
    <w:rPr>
      <w:rFonts w:ascii="Calibri" w:hAnsi="Calibri" w:eastAsia="宋体" w:cs="Arial"/>
      <w:sz w:val="20"/>
      <w:szCs w:val="20"/>
      <w:lang w:val="en-US" w:eastAsia="zh-CN" w:bidi="ar-SA"/>
    </w:rPr>
  </w:style>
  <w:style w:type="paragraph" w:customStyle="1" w:styleId="44">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45">
    <w:name w:val="修订1"/>
    <w:qFormat/>
    <w:uiPriority w:val="0"/>
    <w:rPr>
      <w:rFonts w:ascii="Times New Roman" w:hAnsi="Times New Roman" w:eastAsia="宋体" w:cs="Times New Roman"/>
      <w:kern w:val="2"/>
      <w:sz w:val="21"/>
      <w:szCs w:val="24"/>
      <w:lang w:val="en-US" w:eastAsia="zh-CN" w:bidi="ar-SA"/>
    </w:rPr>
  </w:style>
  <w:style w:type="paragraph" w:customStyle="1" w:styleId="46">
    <w:name w:val="列出段落1"/>
    <w:basedOn w:val="1"/>
    <w:qFormat/>
    <w:uiPriority w:val="0"/>
    <w:pPr>
      <w:ind w:firstLine="200" w:firstLineChars="200"/>
    </w:pPr>
    <w:rPr>
      <w:szCs w:val="24"/>
    </w:rPr>
  </w:style>
  <w:style w:type="paragraph" w:customStyle="1" w:styleId="47">
    <w:name w:val="段"/>
    <w:qFormat/>
    <w:uiPriority w:val="0"/>
    <w:pPr>
      <w:autoSpaceDE w:val="0"/>
      <w:autoSpaceDN w:val="0"/>
      <w:ind w:firstLine="200" w:firstLineChars="200"/>
      <w:jc w:val="both"/>
    </w:pPr>
    <w:rPr>
      <w:rFonts w:ascii="Arial" w:hAnsi="Arial" w:eastAsia="宋体" w:cs="Times New Roman"/>
      <w:kern w:val="2"/>
      <w:sz w:val="21"/>
      <w:szCs w:val="20"/>
      <w:lang w:val="en-US" w:eastAsia="zh-CN" w:bidi="ar-SA"/>
    </w:rPr>
  </w:style>
  <w:style w:type="paragraph" w:customStyle="1" w:styleId="48">
    <w:name w:val="No Spacing"/>
    <w:qFormat/>
    <w:uiPriority w:val="0"/>
    <w:rPr>
      <w:rFonts w:ascii="Times New Roman" w:hAnsi="Times New Roman" w:eastAsia="宋体" w:cs="Times New Roman"/>
      <w:sz w:val="22"/>
      <w:szCs w:val="22"/>
      <w:lang w:val="en-US" w:eastAsia="zh-CN" w:bidi="ar-SA"/>
    </w:rPr>
  </w:style>
  <w:style w:type="character" w:customStyle="1" w:styleId="49">
    <w:name w:val="font41"/>
    <w:basedOn w:val="31"/>
    <w:qFormat/>
    <w:uiPriority w:val="0"/>
    <w:rPr>
      <w:rFonts w:ascii="Calibri" w:hAnsi="Calibri" w:cs="Calibri"/>
      <w:b/>
      <w:bCs/>
      <w:color w:val="000000"/>
      <w:sz w:val="20"/>
      <w:szCs w:val="20"/>
      <w:u w:val="none"/>
    </w:rPr>
  </w:style>
  <w:style w:type="character" w:customStyle="1" w:styleId="50">
    <w:name w:val="font21"/>
    <w:basedOn w:val="31"/>
    <w:qFormat/>
    <w:uiPriority w:val="0"/>
    <w:rPr>
      <w:rFonts w:ascii="宋体" w:eastAsia="宋体" w:cs="宋体"/>
      <w:b/>
      <w:bCs/>
      <w:color w:val="000000"/>
      <w:sz w:val="20"/>
      <w:szCs w:val="20"/>
      <w:u w:val="none"/>
    </w:rPr>
  </w:style>
  <w:style w:type="character" w:customStyle="1" w:styleId="51">
    <w:name w:val="font11"/>
    <w:basedOn w:val="31"/>
    <w:qFormat/>
    <w:uiPriority w:val="0"/>
    <w:rPr>
      <w:rFonts w:ascii="华文仿宋" w:eastAsia="华文仿宋" w:cs="华文仿宋"/>
      <w:color w:val="000000"/>
      <w:sz w:val="21"/>
      <w:szCs w:val="21"/>
      <w:u w:val="none"/>
    </w:rPr>
  </w:style>
  <w:style w:type="character" w:customStyle="1" w:styleId="52">
    <w:name w:val="font31"/>
    <w:basedOn w:val="31"/>
    <w:qFormat/>
    <w:uiPriority w:val="0"/>
    <w:rPr>
      <w:rFonts w:ascii="华文仿宋" w:eastAsia="华文仿宋" w:cs="华文仿宋"/>
      <w:color w:val="000000"/>
      <w:sz w:val="21"/>
      <w:szCs w:val="21"/>
      <w:u w:val="none"/>
    </w:rPr>
  </w:style>
  <w:style w:type="paragraph" w:customStyle="1" w:styleId="53">
    <w:name w:val="Table Paragraph"/>
    <w:basedOn w:val="1"/>
    <w:qFormat/>
    <w:uiPriority w:val="0"/>
    <w:pPr>
      <w:autoSpaceDE w:val="0"/>
      <w:autoSpaceDN w:val="0"/>
      <w:jc w:val="left"/>
    </w:pPr>
    <w:rPr>
      <w:rFonts w:ascii="仿宋" w:eastAsia="仿宋" w:cs="仿宋"/>
      <w:kern w:val="0"/>
      <w:sz w:val="22"/>
      <w:szCs w:val="22"/>
      <w:lang w:eastAsia="ja-JP"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42</Pages>
  <Words>19551</Words>
  <Characters>20719</Characters>
  <Lines>1233</Lines>
  <Paragraphs>748</Paragraphs>
  <TotalTime>112</TotalTime>
  <ScaleCrop>false</ScaleCrop>
  <LinksUpToDate>false</LinksUpToDate>
  <CharactersWithSpaces>22471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2024-06-06T10:13:00Z</dcterms:created>
  <dc:creator>干昌武</dc:creator>
  <cp:lastModifiedBy>蕴</cp:lastModifiedBy>
  <cp:lastPrinted>2024-10-31T00:49:00Z</cp:lastPrinted>
  <dcterms:modified xsi:type="dcterms:W3CDTF">2025-12-03T03:31:52Z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E896478B891349F89BE7A2305609CBB2_13</vt:lpwstr>
  </property>
  <property fmtid="{D5CDD505-2E9C-101B-9397-08002B2CF9AE}" pid="4" name="KSOTemplateDocerSaveRecord">
    <vt:lpwstr>eyJoZGlkIjoiNDllOTQ3MzQ0NTliOWY1OTA0NjRiMjYxNjViZWQ5MzEiLCJ1c2VySWQiOiI0NTc0ODE4OTQifQ==</vt:lpwstr>
  </property>
</Properties>
</file>