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 w14:paraId="6C487185">
      <w:pPr>
        <w:pStyle w:val="style0"/>
        <w:jc w:val="center"/>
        <w:rPr>
          <w:rFonts w:ascii="宋体" w:eastAsia="宋体" w:hAnsi="宋体" w:hint="eastAsia"/>
          <w:b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浙江晋巨化工有限公司</w:t>
      </w:r>
      <w:r>
        <w:rPr>
          <w:rFonts w:ascii="宋体" w:eastAsia="宋体" w:hAnsi="宋体" w:hint="eastAsia"/>
          <w:b/>
          <w:sz w:val="28"/>
          <w:szCs w:val="28"/>
        </w:rPr>
        <w:t>5</w:t>
      </w:r>
      <w:r>
        <w:rPr>
          <w:rFonts w:ascii="宋体" w:eastAsia="宋体" w:hAnsi="宋体"/>
          <w:b/>
          <w:sz w:val="28"/>
          <w:szCs w:val="28"/>
        </w:rPr>
        <w:t>000NM</w:t>
      </w:r>
      <w:r>
        <w:rPr>
          <w:rFonts w:ascii="宋体" w:eastAsia="宋体" w:hAnsi="宋体"/>
          <w:b/>
          <w:sz w:val="28"/>
          <w:szCs w:val="28"/>
          <w:vertAlign w:val="superscript"/>
        </w:rPr>
        <w:t>3</w:t>
      </w:r>
      <w:r>
        <w:rPr>
          <w:rFonts w:ascii="宋体" w:eastAsia="宋体" w:hAnsi="宋体"/>
          <w:b/>
          <w:sz w:val="28"/>
          <w:szCs w:val="28"/>
        </w:rPr>
        <w:t>/h</w:t>
      </w:r>
      <w:r>
        <w:rPr>
          <w:rFonts w:ascii="宋体" w:eastAsia="宋体" w:hAnsi="宋体" w:hint="eastAsia"/>
          <w:b/>
          <w:sz w:val="28"/>
          <w:szCs w:val="28"/>
        </w:rPr>
        <w:t>氢气资源综合利用项目澄清文件</w:t>
      </w:r>
    </w:p>
    <w:tbl>
      <w:tblPr>
        <w:tblStyle w:val="style154"/>
        <w:tblW w:w="15026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1846"/>
        <w:gridCol w:w="4683"/>
        <w:gridCol w:w="4693"/>
        <w:gridCol w:w="2709"/>
      </w:tblGrid>
      <w:tr w14:paraId="0AA72509">
        <w:trPr>
          <w:trHeight w:val="567" w:hRule="atLeast"/>
          <w:tblHeader/>
        </w:trPr>
        <w:tc>
          <w:tcPr>
            <w:tcW w:w="737" w:type="dxa"/>
            <w:tcBorders/>
            <w:shd w:val="clear" w:color="auto" w:fill="dae9f7"/>
            <w:vAlign w:val="center"/>
          </w:tcPr>
          <w:p w14:paraId="30C3A544">
            <w:pPr>
              <w:pStyle w:val="style0"/>
              <w:spacing w:lineRule="exact" w:line="260"/>
              <w:jc w:val="center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序号</w:t>
            </w:r>
          </w:p>
        </w:tc>
        <w:tc>
          <w:tcPr>
            <w:tcW w:w="1871" w:type="dxa"/>
            <w:tcBorders/>
            <w:shd w:val="clear" w:color="auto" w:fill="dae9f7"/>
            <w:vAlign w:val="center"/>
          </w:tcPr>
          <w:p w14:paraId="5CA7E151">
            <w:pPr>
              <w:pStyle w:val="style0"/>
              <w:spacing w:lineRule="exact" w:line="260"/>
              <w:jc w:val="center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招标文件位置</w:t>
            </w:r>
          </w:p>
        </w:tc>
        <w:tc>
          <w:tcPr>
            <w:tcW w:w="4819" w:type="dxa"/>
            <w:tcBorders/>
            <w:shd w:val="clear" w:color="auto" w:fill="dae9f7"/>
            <w:vAlign w:val="center"/>
          </w:tcPr>
          <w:p w14:paraId="2F7BC26F">
            <w:pPr>
              <w:pStyle w:val="style0"/>
              <w:spacing w:lineRule="exact" w:line="260"/>
              <w:jc w:val="center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招标文件技术要求</w:t>
            </w:r>
          </w:p>
        </w:tc>
        <w:tc>
          <w:tcPr>
            <w:tcW w:w="4820" w:type="dxa"/>
            <w:tcBorders/>
            <w:shd w:val="clear" w:color="auto" w:fill="dae9f7"/>
            <w:vAlign w:val="center"/>
          </w:tcPr>
          <w:p w14:paraId="39DEE647">
            <w:pPr>
              <w:pStyle w:val="style0"/>
              <w:spacing w:lineRule="exact" w:line="260"/>
              <w:jc w:val="center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澄清内容</w:t>
            </w:r>
          </w:p>
        </w:tc>
        <w:tc>
          <w:tcPr>
            <w:tcW w:w="2779" w:type="dxa"/>
            <w:tcBorders/>
            <w:shd w:val="clear" w:color="auto" w:fill="dae9f7"/>
            <w:vAlign w:val="center"/>
          </w:tcPr>
          <w:p w14:paraId="37351659">
            <w:pPr>
              <w:pStyle w:val="style0"/>
              <w:spacing w:lineRule="exact" w:line="260"/>
              <w:jc w:val="center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答复</w:t>
            </w:r>
          </w:p>
        </w:tc>
      </w:tr>
      <w:tr w14:paraId="1214E2F4">
        <w:tblPrEx/>
        <w:trPr>
          <w:trHeight w:val="567" w:hRule="atLeast"/>
        </w:trPr>
        <w:tc>
          <w:tcPr>
            <w:tcW w:w="737" w:type="dxa"/>
            <w:tcBorders/>
          </w:tcPr>
          <w:p w14:paraId="16E0423A">
            <w:pPr>
              <w:pStyle w:val="style179"/>
              <w:numPr>
                <w:ilvl w:val="0"/>
                <w:numId w:val="1"/>
              </w:numPr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</w:p>
        </w:tc>
        <w:tc>
          <w:tcPr>
            <w:tcW w:w="1871" w:type="dxa"/>
            <w:tcBorders/>
          </w:tcPr>
          <w:p w14:paraId="345958DA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《招标文件》P18页</w:t>
            </w:r>
          </w:p>
        </w:tc>
        <w:tc>
          <w:tcPr>
            <w:tcW w:w="4819" w:type="dxa"/>
            <w:tcBorders/>
          </w:tcPr>
          <w:p w14:paraId="62B27C5C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3.1.1本项目氢气来自总管（温度：40℃；压力：40KpaG；组成：100%氢气干气+饱和态水），经过工业水（提供200t/h的0.2MpaG，25℃的冷却水，换热后排放至清下水系统）冷却后进入压缩机一级入口分离器</w:t>
            </w:r>
          </w:p>
        </w:tc>
        <w:tc>
          <w:tcPr>
            <w:tcW w:w="4820" w:type="dxa"/>
            <w:tcBorders/>
          </w:tcPr>
          <w:p w14:paraId="7459B51A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氢气总管40℃可以不需要冷却直接进压缩机，本机组不配置压缩机入口冷却器和入口分离器</w:t>
            </w:r>
          </w:p>
        </w:tc>
        <w:tc>
          <w:tcPr>
            <w:tcW w:w="2779" w:type="dxa"/>
            <w:tcBorders/>
          </w:tcPr>
          <w:p w14:paraId="1AAED96F">
            <w:pPr>
              <w:pStyle w:val="style0"/>
              <w:spacing w:lineRule="auto" w:line="360"/>
              <w:ind w:firstLine="315" w:firstLineChars="150"/>
              <w:jc w:val="center"/>
              <w:rPr>
                <w:rFonts w:ascii="Times New Roman" w:cs="Times New Roman" w:eastAsia="宋体" w:hAnsi="Times New Roman" w:hint="default"/>
                <w:sz w:val="21"/>
                <w:szCs w:val="21"/>
                <w:lang w:val="en-US" w:eastAsia="zh-CN"/>
              </w:rPr>
            </w:pPr>
            <w:r>
              <w:rPr>
                <w:rFonts w:ascii="Times New Roman" w:cs="Times New Roman" w:eastAsia="宋体" w:hAnsi="Times New Roman" w:hint="eastAsia"/>
                <w:sz w:val="21"/>
                <w:szCs w:val="21"/>
                <w:lang w:val="en-US" w:eastAsia="zh-CN"/>
              </w:rPr>
              <w:t>见第四章采购内容及技术要求  第5.3条</w:t>
            </w:r>
          </w:p>
        </w:tc>
      </w:tr>
      <w:tr w14:paraId="63C9275E">
        <w:tblPrEx/>
        <w:trPr>
          <w:trHeight w:val="567" w:hRule="atLeast"/>
        </w:trPr>
        <w:tc>
          <w:tcPr>
            <w:tcW w:w="737" w:type="dxa"/>
            <w:tcBorders/>
          </w:tcPr>
          <w:p w14:paraId="2059BFC8">
            <w:pPr>
              <w:pStyle w:val="style179"/>
              <w:numPr>
                <w:ilvl w:val="0"/>
                <w:numId w:val="1"/>
              </w:numPr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</w:p>
        </w:tc>
        <w:tc>
          <w:tcPr>
            <w:tcW w:w="1871" w:type="dxa"/>
            <w:tcBorders/>
          </w:tcPr>
          <w:p w14:paraId="2E1F14D4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《招标文件》P19页</w:t>
            </w:r>
          </w:p>
        </w:tc>
        <w:tc>
          <w:tcPr>
            <w:tcW w:w="4819" w:type="dxa"/>
            <w:tcBorders/>
          </w:tcPr>
          <w:p w14:paraId="796ED331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循环水进水温度33℃，回水温度42℃</w:t>
            </w:r>
          </w:p>
        </w:tc>
        <w:tc>
          <w:tcPr>
            <w:tcW w:w="4820" w:type="dxa"/>
            <w:tcBorders/>
          </w:tcPr>
          <w:p w14:paraId="2BA8F843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与3.1.1中“提供200t/h的0.2MpaG，25℃的冷却水”冲突，请确认工艺气冷却器循环水进回水温度</w:t>
            </w:r>
          </w:p>
        </w:tc>
        <w:tc>
          <w:tcPr>
            <w:tcW w:w="2779" w:type="dxa"/>
            <w:tcBorders/>
          </w:tcPr>
          <w:p w14:paraId="0C48E6C1">
            <w:pPr>
              <w:pStyle w:val="style0"/>
              <w:spacing w:lineRule="exact" w:line="260"/>
              <w:rPr>
                <w:rFonts w:ascii="Times New Roman" w:cs="Times New Roman" w:eastAsia="宋体" w:hAnsi="Times New Roman" w:hint="default"/>
                <w:sz w:val="21"/>
                <w:szCs w:val="21"/>
                <w:lang w:val="en-US" w:eastAsia="zh-CN"/>
              </w:rPr>
            </w:pPr>
            <w:r>
              <w:rPr>
                <w:rFonts w:ascii="Times New Roman" w:cs="Times New Roman" w:eastAsia="宋体" w:hAnsi="Times New Roman" w:hint="eastAsia"/>
                <w:sz w:val="21"/>
                <w:szCs w:val="21"/>
                <w:lang w:val="en-US" w:eastAsia="zh-CN"/>
              </w:rPr>
              <w:t>3.1.1中所提供冷却水只供应总管入口冷却器使用而非机组内</w:t>
            </w: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工艺气冷却器循环水</w:t>
            </w:r>
          </w:p>
        </w:tc>
      </w:tr>
      <w:tr w14:paraId="163EC567">
        <w:tblPrEx/>
        <w:trPr>
          <w:trHeight w:val="567" w:hRule="atLeast"/>
        </w:trPr>
        <w:tc>
          <w:tcPr>
            <w:tcW w:w="737" w:type="dxa"/>
            <w:tcBorders/>
          </w:tcPr>
          <w:p w14:paraId="559990BD">
            <w:pPr>
              <w:pStyle w:val="style179"/>
              <w:numPr>
                <w:ilvl w:val="0"/>
                <w:numId w:val="1"/>
              </w:numPr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</w:p>
        </w:tc>
        <w:tc>
          <w:tcPr>
            <w:tcW w:w="1871" w:type="dxa"/>
            <w:tcBorders/>
          </w:tcPr>
          <w:p w14:paraId="7F5289C2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《招标文件》P20页</w:t>
            </w:r>
          </w:p>
        </w:tc>
        <w:tc>
          <w:tcPr>
            <w:tcW w:w="4819" w:type="dxa"/>
            <w:tcBorders/>
          </w:tcPr>
          <w:p w14:paraId="1C7BD549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5.2电机：本安型无刷励磁同步电动机1台</w:t>
            </w:r>
          </w:p>
        </w:tc>
        <w:tc>
          <w:tcPr>
            <w:tcW w:w="4820" w:type="dxa"/>
            <w:tcBorders/>
          </w:tcPr>
          <w:p w14:paraId="55B20418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本项目电机功率无需采用同步电机，本项目配置增安三项异步电机（带吹扫装置）</w:t>
            </w:r>
          </w:p>
        </w:tc>
        <w:tc>
          <w:tcPr>
            <w:tcW w:w="2779" w:type="dxa"/>
            <w:tcBorders/>
          </w:tcPr>
          <w:p w14:paraId="2953FDDD">
            <w:pPr>
              <w:pStyle w:val="style0"/>
              <w:spacing w:lineRule="exact" w:line="260"/>
              <w:rPr>
                <w:rFonts w:ascii="Times New Roman" w:cs="Times New Roman" w:eastAsia="宋体" w:hAnsi="Times New Roman" w:hint="default"/>
                <w:sz w:val="21"/>
                <w:szCs w:val="21"/>
                <w:lang w:val="en-US" w:eastAsia="zh-CN"/>
              </w:rPr>
            </w:pPr>
            <w:r>
              <w:rPr>
                <w:rFonts w:ascii="Times New Roman" w:cs="Times New Roman" w:eastAsia="宋体" w:hAnsi="Times New Roman" w:hint="default"/>
                <w:sz w:val="21"/>
                <w:szCs w:val="21"/>
                <w:lang w:val="en-US" w:eastAsia="zh-CN"/>
              </w:rPr>
              <w:t>按招标文件执行</w:t>
            </w:r>
          </w:p>
          <w:p w14:paraId="D07C6F7D">
            <w:pPr>
              <w:pStyle w:val="style0"/>
              <w:spacing w:lineRule="exact" w:line="260"/>
              <w:rPr>
                <w:rFonts w:ascii="Times New Roman" w:cs="Times New Roman" w:eastAsia="宋体" w:hAnsi="Times New Roman" w:hint="default"/>
                <w:sz w:val="21"/>
                <w:szCs w:val="21"/>
                <w:lang w:val="en-US" w:eastAsia="zh-CN"/>
              </w:rPr>
            </w:pPr>
          </w:p>
        </w:tc>
      </w:tr>
      <w:tr w14:paraId="2DC5C6E9">
        <w:tblPrEx/>
        <w:trPr>
          <w:trHeight w:val="567" w:hRule="atLeast"/>
        </w:trPr>
        <w:tc>
          <w:tcPr>
            <w:tcW w:w="737" w:type="dxa"/>
            <w:tcBorders/>
          </w:tcPr>
          <w:p w14:paraId="103650E7">
            <w:pPr>
              <w:pStyle w:val="style179"/>
              <w:numPr>
                <w:ilvl w:val="0"/>
                <w:numId w:val="1"/>
              </w:numPr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</w:p>
        </w:tc>
        <w:tc>
          <w:tcPr>
            <w:tcW w:w="1871" w:type="dxa"/>
            <w:tcBorders/>
          </w:tcPr>
          <w:p w14:paraId="0ECA6AB0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《招标文件》P20页</w:t>
            </w:r>
          </w:p>
        </w:tc>
        <w:tc>
          <w:tcPr>
            <w:tcW w:w="4819" w:type="dxa"/>
            <w:tcBorders/>
          </w:tcPr>
          <w:p w14:paraId="066BA155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5.4油站：传动机构润滑油站系统，包括润滑油箱，主辅油泵、油过滤器、油冷却器、管路、管件和阀门，油箱采用电加热方式且采用不锈钢材料</w:t>
            </w:r>
          </w:p>
        </w:tc>
        <w:tc>
          <w:tcPr>
            <w:tcW w:w="4820" w:type="dxa"/>
            <w:tcBorders/>
          </w:tcPr>
          <w:p w14:paraId="6A18E09D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本项目采用机身最为油池，材质同机身（HT250材质），不单独配置润滑油箱</w:t>
            </w:r>
          </w:p>
        </w:tc>
        <w:tc>
          <w:tcPr>
            <w:tcW w:w="2779" w:type="dxa"/>
            <w:tcBorders/>
          </w:tcPr>
          <w:p w14:paraId="576DE3B7">
            <w:pPr>
              <w:pStyle w:val="style0"/>
              <w:spacing w:lineRule="exact" w:line="260"/>
              <w:rPr>
                <w:rFonts w:ascii="Times New Roman" w:cs="Times New Roman" w:eastAsia="宋体" w:hAnsi="Times New Roman" w:hint="eastAsia"/>
                <w:sz w:val="21"/>
                <w:szCs w:val="21"/>
                <w:lang w:val="en-US" w:eastAsia="zh-CN"/>
              </w:rPr>
            </w:pPr>
            <w:r>
              <w:rPr>
                <w:rFonts w:ascii="Times New Roman" w:cs="Times New Roman" w:eastAsia="宋体" w:hAnsi="Times New Roman" w:hint="eastAsia"/>
                <w:sz w:val="21"/>
                <w:szCs w:val="21"/>
                <w:lang w:val="en-US" w:eastAsia="zh-CN"/>
              </w:rPr>
              <w:t>不同意</w:t>
            </w:r>
          </w:p>
        </w:tc>
      </w:tr>
      <w:tr w14:paraId="6BB3C6EC">
        <w:tblPrEx/>
        <w:trPr>
          <w:trHeight w:val="567" w:hRule="atLeast"/>
        </w:trPr>
        <w:tc>
          <w:tcPr>
            <w:tcW w:w="737" w:type="dxa"/>
            <w:tcBorders/>
          </w:tcPr>
          <w:p w14:paraId="362B046C">
            <w:pPr>
              <w:pStyle w:val="style179"/>
              <w:numPr>
                <w:ilvl w:val="0"/>
                <w:numId w:val="1"/>
              </w:numPr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</w:p>
        </w:tc>
        <w:tc>
          <w:tcPr>
            <w:tcW w:w="1871" w:type="dxa"/>
            <w:tcBorders/>
          </w:tcPr>
          <w:p w14:paraId="2B557A61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《招标文件》P20页</w:t>
            </w:r>
          </w:p>
        </w:tc>
        <w:tc>
          <w:tcPr>
            <w:tcW w:w="4819" w:type="dxa"/>
            <w:tcBorders/>
          </w:tcPr>
          <w:p w14:paraId="0944983C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5.5压缩机机身及各缸体振动检测系统和各段活塞杆下沉位移检测系统，压缩机轴瓦、连杆大头瓦温度监测系统等</w:t>
            </w:r>
          </w:p>
        </w:tc>
        <w:tc>
          <w:tcPr>
            <w:tcW w:w="4820" w:type="dxa"/>
            <w:tcBorders/>
          </w:tcPr>
          <w:p w14:paraId="2790E3BB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本项目配置机身振动变送器，不配置缸体振动，不配置MMS振动监测系统</w:t>
            </w:r>
          </w:p>
        </w:tc>
        <w:tc>
          <w:tcPr>
            <w:tcW w:w="2779" w:type="dxa"/>
            <w:tcBorders/>
          </w:tcPr>
          <w:p w14:paraId="7C7D3DAB">
            <w:pPr>
              <w:pStyle w:val="style0"/>
              <w:spacing w:lineRule="exact" w:line="260"/>
              <w:rPr>
                <w:rFonts w:ascii="Times New Roman" w:cs="Times New Roman" w:eastAsia="宋体" w:hAnsi="Times New Roman" w:hint="default"/>
                <w:sz w:val="21"/>
                <w:szCs w:val="21"/>
                <w:lang w:val="en-US" w:eastAsia="zh-CN"/>
              </w:rPr>
            </w:pPr>
            <w:r>
              <w:rPr>
                <w:rFonts w:ascii="Times New Roman" w:cs="Times New Roman" w:eastAsia="宋体" w:hAnsi="Times New Roman" w:hint="eastAsia"/>
                <w:sz w:val="21"/>
                <w:szCs w:val="21"/>
                <w:lang w:val="en-US" w:eastAsia="zh-CN"/>
              </w:rPr>
              <w:t>按招标文件执行</w:t>
            </w:r>
          </w:p>
        </w:tc>
      </w:tr>
      <w:tr w14:paraId="617947B4">
        <w:tblPrEx/>
        <w:trPr>
          <w:trHeight w:val="567" w:hRule="atLeast"/>
        </w:trPr>
        <w:tc>
          <w:tcPr>
            <w:tcW w:w="737" w:type="dxa"/>
            <w:tcBorders/>
          </w:tcPr>
          <w:p w14:paraId="056DEC5E">
            <w:pPr>
              <w:pStyle w:val="style179"/>
              <w:numPr>
                <w:ilvl w:val="0"/>
                <w:numId w:val="1"/>
              </w:numPr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</w:p>
        </w:tc>
        <w:tc>
          <w:tcPr>
            <w:tcW w:w="1871" w:type="dxa"/>
            <w:tcBorders/>
          </w:tcPr>
          <w:p w14:paraId="6511791C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《招标文件》P20页</w:t>
            </w:r>
          </w:p>
        </w:tc>
        <w:tc>
          <w:tcPr>
            <w:tcW w:w="4819" w:type="dxa"/>
            <w:tcBorders/>
          </w:tcPr>
          <w:p w14:paraId="6A601264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5.5现场防爆接线箱到就地仪表之间的接线由投标人负责</w:t>
            </w:r>
          </w:p>
        </w:tc>
        <w:tc>
          <w:tcPr>
            <w:tcW w:w="4820" w:type="dxa"/>
            <w:tcBorders/>
          </w:tcPr>
          <w:p w14:paraId="02AE83C3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卖方仅提供现场指导安装</w:t>
            </w:r>
          </w:p>
        </w:tc>
        <w:tc>
          <w:tcPr>
            <w:tcW w:w="2779" w:type="dxa"/>
            <w:tcBorders/>
          </w:tcPr>
          <w:p w14:paraId="7C0185DC">
            <w:pPr>
              <w:pStyle w:val="style0"/>
              <w:spacing w:lineRule="exact" w:line="260"/>
              <w:rPr>
                <w:rFonts w:ascii="Times New Roman" w:cs="Times New Roman" w:eastAsia="宋体" w:hAnsi="Times New Roman" w:hint="default"/>
                <w:sz w:val="21"/>
                <w:szCs w:val="21"/>
                <w:lang w:val="en-US" w:eastAsia="zh-CN"/>
              </w:rPr>
            </w:pPr>
            <w:r>
              <w:rPr>
                <w:rFonts w:ascii="Times New Roman" w:cs="Times New Roman" w:eastAsia="宋体" w:hAnsi="Times New Roman" w:hint="eastAsia"/>
                <w:sz w:val="21"/>
                <w:szCs w:val="21"/>
                <w:lang w:val="en-US" w:eastAsia="zh-CN"/>
              </w:rPr>
              <w:t>同意厂家意见</w:t>
            </w:r>
          </w:p>
        </w:tc>
      </w:tr>
      <w:tr w14:paraId="4247A82C">
        <w:tblPrEx/>
        <w:trPr>
          <w:trHeight w:val="567" w:hRule="atLeast"/>
        </w:trPr>
        <w:tc>
          <w:tcPr>
            <w:tcW w:w="737" w:type="dxa"/>
            <w:tcBorders/>
          </w:tcPr>
          <w:p w14:paraId="1F72CDC0">
            <w:pPr>
              <w:pStyle w:val="style179"/>
              <w:numPr>
                <w:ilvl w:val="0"/>
                <w:numId w:val="1"/>
              </w:numPr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</w:p>
        </w:tc>
        <w:tc>
          <w:tcPr>
            <w:tcW w:w="1871" w:type="dxa"/>
            <w:tcBorders/>
          </w:tcPr>
          <w:p w14:paraId="124C05EF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《招标文件》P24页</w:t>
            </w:r>
          </w:p>
        </w:tc>
        <w:tc>
          <w:tcPr>
            <w:tcW w:w="4819" w:type="dxa"/>
            <w:tcBorders/>
          </w:tcPr>
          <w:p w14:paraId="098C6ABC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8.1.10机组设计应采用先进且成熟的方案。包含整个界区内工艺、设备、管道（包括管道应力分析和支架设计）、电气、仪表的设计，公用工程及接口的管道设计，到高低压柜和仪表控制柜等配套设计</w:t>
            </w:r>
          </w:p>
        </w:tc>
        <w:tc>
          <w:tcPr>
            <w:tcW w:w="4820" w:type="dxa"/>
            <w:tcBorders/>
          </w:tcPr>
          <w:p w14:paraId="6AE757A8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卖方不供货高压开关柜、低压电控柜及现场操作盘。仅供货现场操作柱</w:t>
            </w:r>
          </w:p>
        </w:tc>
        <w:tc>
          <w:tcPr>
            <w:tcW w:w="2779" w:type="dxa"/>
            <w:tcBorders/>
          </w:tcPr>
          <w:p w14:paraId="481AAC0F">
            <w:pPr>
              <w:pStyle w:val="style0"/>
              <w:spacing w:lineRule="exact" w:line="260"/>
              <w:rPr>
                <w:rFonts w:ascii="Times New Roman" w:cs="Times New Roman" w:eastAsia="宋体" w:hAnsi="Times New Roman" w:hint="eastAsia"/>
                <w:sz w:val="21"/>
                <w:szCs w:val="21"/>
                <w:lang w:val="en-US" w:eastAsia="zh-CN"/>
              </w:rPr>
            </w:pPr>
            <w:r>
              <w:rPr>
                <w:rFonts w:ascii="Times New Roman" w:cs="Times New Roman" w:eastAsia="宋体" w:hAnsi="Times New Roman" w:hint="eastAsia"/>
                <w:sz w:val="21"/>
                <w:szCs w:val="21"/>
                <w:lang w:val="en-US" w:eastAsia="zh-CN"/>
              </w:rPr>
              <w:t>除高压开关柜外，其余都由卖方提供</w:t>
            </w:r>
          </w:p>
          <w:p w14:paraId="683179FF">
            <w:pPr>
              <w:pStyle w:val="style0"/>
              <w:spacing w:lineRule="exact" w:line="260"/>
              <w:rPr>
                <w:rFonts w:ascii="Times New Roman" w:cs="Times New Roman" w:eastAsia="宋体" w:hAnsi="Times New Roman" w:hint="eastAsia"/>
                <w:sz w:val="21"/>
                <w:szCs w:val="21"/>
                <w:lang w:val="en-US" w:eastAsia="zh-CN"/>
              </w:rPr>
            </w:pPr>
          </w:p>
        </w:tc>
      </w:tr>
      <w:tr w14:paraId="69462885">
        <w:tblPrEx/>
        <w:trPr>
          <w:trHeight w:val="567" w:hRule="atLeast"/>
        </w:trPr>
        <w:tc>
          <w:tcPr>
            <w:tcW w:w="737" w:type="dxa"/>
            <w:tcBorders/>
          </w:tcPr>
          <w:p w14:paraId="1CE4B428">
            <w:pPr>
              <w:pStyle w:val="style179"/>
              <w:numPr>
                <w:ilvl w:val="0"/>
                <w:numId w:val="1"/>
              </w:numPr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</w:p>
        </w:tc>
        <w:tc>
          <w:tcPr>
            <w:tcW w:w="1871" w:type="dxa"/>
            <w:tcBorders/>
          </w:tcPr>
          <w:p w14:paraId="0CE0139D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《招标文件》P25页</w:t>
            </w:r>
          </w:p>
        </w:tc>
        <w:tc>
          <w:tcPr>
            <w:tcW w:w="4819" w:type="dxa"/>
            <w:tcBorders/>
          </w:tcPr>
          <w:p w14:paraId="0B5D208A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8.2.9每个连杆大头瓦内设置芯片检测温度，用于温度指示及超温报警停车</w:t>
            </w:r>
          </w:p>
        </w:tc>
        <w:tc>
          <w:tcPr>
            <w:tcW w:w="4820" w:type="dxa"/>
            <w:tcBorders/>
          </w:tcPr>
          <w:p w14:paraId="0EB611F2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 xml:space="preserve">连杆大头瓦测温进DCS </w:t>
            </w:r>
          </w:p>
        </w:tc>
        <w:tc>
          <w:tcPr>
            <w:tcW w:w="2779" w:type="dxa"/>
            <w:tcBorders/>
          </w:tcPr>
          <w:p w14:paraId="79DB3326">
            <w:pPr>
              <w:pStyle w:val="style0"/>
              <w:spacing w:lineRule="exact" w:line="260"/>
              <w:rPr>
                <w:rFonts w:ascii="Times New Roman" w:cs="Times New Roman" w:eastAsia="宋体" w:hAnsi="Times New Roman" w:hint="default"/>
                <w:sz w:val="21"/>
                <w:szCs w:val="21"/>
                <w:lang w:val="en-US" w:eastAsia="zh-CN"/>
              </w:rPr>
            </w:pPr>
            <w:r>
              <w:rPr>
                <w:rFonts w:ascii="Times New Roman" w:cs="Times New Roman" w:eastAsia="宋体" w:hAnsi="Times New Roman" w:hint="eastAsia"/>
                <w:sz w:val="21"/>
                <w:szCs w:val="21"/>
                <w:lang w:val="en-US" w:eastAsia="zh-CN"/>
              </w:rPr>
              <w:t>同意厂家方案</w:t>
            </w:r>
          </w:p>
        </w:tc>
      </w:tr>
      <w:tr w14:paraId="212245EC">
        <w:tblPrEx/>
        <w:trPr>
          <w:trHeight w:val="567" w:hRule="atLeast"/>
        </w:trPr>
        <w:tc>
          <w:tcPr>
            <w:tcW w:w="737" w:type="dxa"/>
            <w:tcBorders/>
          </w:tcPr>
          <w:p w14:paraId="5F630A3B">
            <w:pPr>
              <w:pStyle w:val="style179"/>
              <w:numPr>
                <w:ilvl w:val="0"/>
                <w:numId w:val="1"/>
              </w:numPr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</w:p>
        </w:tc>
        <w:tc>
          <w:tcPr>
            <w:tcW w:w="1871" w:type="dxa"/>
            <w:tcBorders/>
          </w:tcPr>
          <w:p w14:paraId="758C71C4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《招标文件》P26页</w:t>
            </w:r>
          </w:p>
        </w:tc>
        <w:tc>
          <w:tcPr>
            <w:tcW w:w="4819" w:type="dxa"/>
            <w:tcBorders/>
          </w:tcPr>
          <w:p w14:paraId="27F56178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8.6.2进口缓冲器按出口缓冲器的压力等级设计</w:t>
            </w:r>
          </w:p>
        </w:tc>
        <w:tc>
          <w:tcPr>
            <w:tcW w:w="4820" w:type="dxa"/>
            <w:tcBorders/>
          </w:tcPr>
          <w:p w14:paraId="0BA8F66A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仅一级进气缓冲器按一级排气缓冲器等压设计</w:t>
            </w:r>
          </w:p>
        </w:tc>
        <w:tc>
          <w:tcPr>
            <w:tcW w:w="2779" w:type="dxa"/>
            <w:tcBorders/>
          </w:tcPr>
          <w:p w14:paraId="6C01EE5D">
            <w:pPr>
              <w:pStyle w:val="style0"/>
              <w:spacing w:lineRule="exact" w:line="260"/>
              <w:rPr>
                <w:rFonts w:ascii="Times New Roman" w:cs="Times New Roman" w:eastAsia="宋体" w:hAnsi="Times New Roman" w:hint="default"/>
                <w:sz w:val="21"/>
                <w:szCs w:val="21"/>
                <w:lang w:val="en-US" w:eastAsia="zh-CN"/>
              </w:rPr>
            </w:pPr>
            <w:r>
              <w:rPr>
                <w:rFonts w:ascii="Times New Roman" w:cs="Times New Roman" w:eastAsia="宋体" w:hAnsi="Times New Roman" w:hint="eastAsia"/>
                <w:sz w:val="21"/>
                <w:szCs w:val="21"/>
                <w:lang w:val="en-US" w:eastAsia="zh-CN"/>
              </w:rPr>
              <w:t>要求机组内各容器设计压力均不低于0.4MPa（G）</w:t>
            </w:r>
          </w:p>
        </w:tc>
      </w:tr>
      <w:tr w14:paraId="3F802CFB">
        <w:tblPrEx/>
        <w:trPr>
          <w:trHeight w:val="567" w:hRule="atLeast"/>
        </w:trPr>
        <w:tc>
          <w:tcPr>
            <w:tcW w:w="737" w:type="dxa"/>
            <w:tcBorders/>
          </w:tcPr>
          <w:p w14:paraId="01C7839D">
            <w:pPr>
              <w:pStyle w:val="style179"/>
              <w:numPr>
                <w:ilvl w:val="0"/>
                <w:numId w:val="1"/>
              </w:numPr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</w:p>
        </w:tc>
        <w:tc>
          <w:tcPr>
            <w:tcW w:w="1871" w:type="dxa"/>
            <w:tcBorders/>
          </w:tcPr>
          <w:p w14:paraId="5E10D901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《招标文件》P27页</w:t>
            </w:r>
          </w:p>
        </w:tc>
        <w:tc>
          <w:tcPr>
            <w:tcW w:w="4819" w:type="dxa"/>
            <w:tcBorders/>
          </w:tcPr>
          <w:p w14:paraId="4761D355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8.7.9油站液位要求显示、报警</w:t>
            </w:r>
          </w:p>
        </w:tc>
        <w:tc>
          <w:tcPr>
            <w:tcW w:w="4820" w:type="dxa"/>
            <w:tcBorders/>
          </w:tcPr>
          <w:p w14:paraId="0EF537CD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机身油池配置液位开关，具有报警功能</w:t>
            </w:r>
          </w:p>
        </w:tc>
        <w:tc>
          <w:tcPr>
            <w:tcW w:w="2779" w:type="dxa"/>
            <w:tcBorders/>
          </w:tcPr>
          <w:p w14:paraId="706A77BB">
            <w:pPr>
              <w:pStyle w:val="style0"/>
              <w:spacing w:lineRule="exact" w:line="260"/>
              <w:rPr>
                <w:rFonts w:ascii="Times New Roman" w:cs="Times New Roman" w:eastAsia="宋体" w:hAnsi="Times New Roman" w:hint="default"/>
                <w:sz w:val="21"/>
                <w:szCs w:val="21"/>
                <w:lang w:val="en-US"/>
              </w:rPr>
            </w:pPr>
            <w:r>
              <w:rPr>
                <w:rFonts w:ascii="Times New Roman" w:cs="Times New Roman" w:eastAsia="宋体" w:hAnsi="Times New Roman" w:hint="eastAsia"/>
                <w:sz w:val="21"/>
                <w:szCs w:val="21"/>
                <w:lang w:val="en-US" w:eastAsia="zh-CN"/>
              </w:rPr>
              <w:t>按招标文件执行</w:t>
            </w:r>
          </w:p>
        </w:tc>
      </w:tr>
      <w:tr w14:paraId="7895F583">
        <w:tblPrEx/>
        <w:trPr>
          <w:trHeight w:val="567" w:hRule="atLeast"/>
        </w:trPr>
        <w:tc>
          <w:tcPr>
            <w:tcW w:w="737" w:type="dxa"/>
            <w:tcBorders/>
          </w:tcPr>
          <w:p w14:paraId="13B4A5AC">
            <w:pPr>
              <w:pStyle w:val="style179"/>
              <w:numPr>
                <w:ilvl w:val="0"/>
                <w:numId w:val="1"/>
              </w:numPr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</w:p>
        </w:tc>
        <w:tc>
          <w:tcPr>
            <w:tcW w:w="1871" w:type="dxa"/>
            <w:tcBorders/>
          </w:tcPr>
          <w:p w14:paraId="14447621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《招标文件》P27页</w:t>
            </w:r>
          </w:p>
        </w:tc>
        <w:tc>
          <w:tcPr>
            <w:tcW w:w="4819" w:type="dxa"/>
            <w:tcBorders/>
          </w:tcPr>
          <w:p w14:paraId="21747DC6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8.7.7～8.7.9仪表测点</w:t>
            </w:r>
          </w:p>
        </w:tc>
        <w:tc>
          <w:tcPr>
            <w:tcW w:w="4820" w:type="dxa"/>
            <w:tcBorders/>
          </w:tcPr>
          <w:p w14:paraId="0D09C7BC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仪表测点中的连锁配置为单点连锁，如需三取二连锁的测点请单独明确</w:t>
            </w:r>
          </w:p>
        </w:tc>
        <w:tc>
          <w:tcPr>
            <w:tcW w:w="2779" w:type="dxa"/>
            <w:tcBorders/>
          </w:tcPr>
          <w:p w14:paraId="4B40309E">
            <w:pPr>
              <w:pStyle w:val="style0"/>
              <w:spacing w:lineRule="exact" w:line="260"/>
              <w:rPr>
                <w:rFonts w:ascii="Times New Roman" w:cs="Times New Roman" w:eastAsia="等线" w:hAnsi="Times New Roman" w:hint="default"/>
                <w:sz w:val="21"/>
                <w:szCs w:val="21"/>
                <w:lang w:val="en-US" w:eastAsia="zh-CN"/>
              </w:rPr>
            </w:pPr>
            <w:r>
              <w:rPr>
                <w:rFonts w:ascii="Times New Roman" w:cs="Times New Roman" w:eastAsia="宋体" w:hAnsi="Times New Roman" w:hint="eastAsia"/>
                <w:sz w:val="21"/>
                <w:szCs w:val="21"/>
                <w:lang w:val="en-US" w:eastAsia="zh-CN"/>
              </w:rPr>
              <w:t>一级进气压力为单点连锁，其余各级压力点不设连锁；</w:t>
            </w:r>
            <w:r>
              <w:t>润滑油供油总管压力</w:t>
            </w:r>
            <w:r>
              <w:rPr>
                <w:rFonts w:hint="eastAsia"/>
                <w:lang w:val="en-US" w:eastAsia="zh-CN"/>
              </w:rPr>
              <w:t>为单点连锁；</w:t>
            </w:r>
            <w:r>
              <w:rPr>
                <w:rFonts w:hint="eastAsia"/>
              </w:rPr>
              <w:t>机身振动</w:t>
            </w:r>
            <w:r>
              <w:rPr>
                <w:rFonts w:hint="eastAsia"/>
                <w:lang w:val="en-US" w:eastAsia="zh-CN"/>
              </w:rPr>
              <w:t>为单点连锁；</w:t>
            </w:r>
            <w:r>
              <w:t>主电机轴承温度</w:t>
            </w:r>
            <w:r>
              <w:rPr>
                <w:rFonts w:hint="eastAsia"/>
                <w:lang w:val="en-US" w:eastAsia="zh-CN"/>
              </w:rPr>
              <w:t>为单点连锁；</w:t>
            </w:r>
            <w:r>
              <w:rPr>
                <w:rFonts w:hint="eastAsia"/>
              </w:rPr>
              <w:t>电机定子温度</w:t>
            </w:r>
            <w:r>
              <w:rPr>
                <w:rFonts w:hint="eastAsia"/>
                <w:lang w:val="en-US" w:eastAsia="zh-CN"/>
              </w:rPr>
              <w:t>为单点连锁；分离器液位与排液阀做连锁</w:t>
            </w:r>
          </w:p>
        </w:tc>
      </w:tr>
      <w:tr w14:paraId="1CB48C00">
        <w:tblPrEx/>
        <w:trPr>
          <w:trHeight w:val="567" w:hRule="atLeast"/>
        </w:trPr>
        <w:tc>
          <w:tcPr>
            <w:tcW w:w="737" w:type="dxa"/>
            <w:tcBorders/>
          </w:tcPr>
          <w:p w14:paraId="0DB161FA">
            <w:pPr>
              <w:pStyle w:val="style179"/>
              <w:numPr>
                <w:ilvl w:val="0"/>
                <w:numId w:val="1"/>
              </w:numPr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</w:p>
        </w:tc>
        <w:tc>
          <w:tcPr>
            <w:tcW w:w="1871" w:type="dxa"/>
            <w:tcBorders/>
          </w:tcPr>
          <w:p w14:paraId="6908608D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《招标文件》P28页</w:t>
            </w:r>
          </w:p>
        </w:tc>
        <w:tc>
          <w:tcPr>
            <w:tcW w:w="4819" w:type="dxa"/>
            <w:tcBorders/>
          </w:tcPr>
          <w:p w14:paraId="016CEBED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8.8.1电机能效等级：要求满足高低压电机国标2级能效及以上（以国家最新标准为准），且同步电机效率不低于93%</w:t>
            </w:r>
          </w:p>
        </w:tc>
        <w:tc>
          <w:tcPr>
            <w:tcW w:w="4820" w:type="dxa"/>
            <w:tcBorders/>
          </w:tcPr>
          <w:p w14:paraId="4AA38963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主电机不在国家能效标准范围内，低压电机可执行国家2级能效要求</w:t>
            </w:r>
          </w:p>
        </w:tc>
        <w:tc>
          <w:tcPr>
            <w:tcW w:w="2779" w:type="dxa"/>
            <w:tcBorders/>
          </w:tcPr>
          <w:p w14:paraId="7EDA6DD5">
            <w:pPr>
              <w:pStyle w:val="style0"/>
              <w:spacing w:lineRule="exact" w:line="260"/>
              <w:rPr>
                <w:rFonts w:ascii="Times New Roman" w:cs="Times New Roman" w:eastAsia="宋体" w:hAnsi="Times New Roman" w:hint="default"/>
                <w:sz w:val="21"/>
                <w:szCs w:val="21"/>
                <w:lang w:val="en-US" w:eastAsia="zh-CN"/>
              </w:rPr>
            </w:pPr>
            <w:r>
              <w:rPr>
                <w:rFonts w:ascii="Times New Roman" w:cs="Times New Roman" w:eastAsia="宋体" w:hAnsi="Times New Roman" w:hint="eastAsia"/>
                <w:sz w:val="21"/>
                <w:szCs w:val="21"/>
                <w:lang w:val="en-US" w:eastAsia="zh-CN"/>
              </w:rPr>
              <w:t>按招标文件执行</w:t>
            </w:r>
          </w:p>
        </w:tc>
      </w:tr>
      <w:tr w14:paraId="55CF05D2">
        <w:tblPrEx/>
        <w:trPr>
          <w:trHeight w:val="567" w:hRule="atLeast"/>
        </w:trPr>
        <w:tc>
          <w:tcPr>
            <w:tcW w:w="737" w:type="dxa"/>
            <w:tcBorders/>
          </w:tcPr>
          <w:p w14:paraId="641BE71A">
            <w:pPr>
              <w:pStyle w:val="style179"/>
              <w:numPr>
                <w:ilvl w:val="0"/>
                <w:numId w:val="1"/>
              </w:numPr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</w:p>
        </w:tc>
        <w:tc>
          <w:tcPr>
            <w:tcW w:w="1871" w:type="dxa"/>
            <w:tcBorders/>
          </w:tcPr>
          <w:p w14:paraId="1D7DBB12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《附件3：5000Nm3氢气压缩机项目供货范围PID(1)》</w:t>
            </w:r>
          </w:p>
        </w:tc>
        <w:tc>
          <w:tcPr>
            <w:tcW w:w="4819" w:type="dxa"/>
            <w:tcBorders/>
          </w:tcPr>
          <w:p w14:paraId="7B7E6738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</w:p>
        </w:tc>
        <w:tc>
          <w:tcPr>
            <w:tcW w:w="4820" w:type="dxa"/>
            <w:tcBorders/>
          </w:tcPr>
          <w:p w14:paraId="3B4ACCB3">
            <w:pPr>
              <w:pStyle w:val="style0"/>
              <w:spacing w:lineRule="exact" w:line="260"/>
              <w:rPr>
                <w:rFonts w:ascii="Times New Roman" w:cs="Times New Roman" w:eastAsia="宋体" w:hAnsi="Times New Roman"/>
                <w:sz w:val="21"/>
                <w:szCs w:val="21"/>
              </w:rPr>
            </w:pPr>
            <w:r>
              <w:rPr>
                <w:rFonts w:ascii="Times New Roman" w:cs="Times New Roman" w:eastAsia="宋体" w:hAnsi="Times New Roman"/>
                <w:sz w:val="21"/>
                <w:szCs w:val="21"/>
              </w:rPr>
              <w:t>请明确P-324001A/B是什么设备，图中未体现</w:t>
            </w:r>
          </w:p>
        </w:tc>
        <w:tc>
          <w:tcPr>
            <w:tcW w:w="2779" w:type="dxa"/>
            <w:tcBorders/>
          </w:tcPr>
          <w:p w14:paraId="3F9BC485">
            <w:pPr>
              <w:pStyle w:val="style0"/>
              <w:spacing w:lineRule="exact" w:line="260"/>
              <w:rPr>
                <w:rFonts w:ascii="Times New Roman" w:cs="Times New Roman" w:eastAsia="等线" w:hAnsi="Times New Roman" w:hint="default"/>
                <w:sz w:val="21"/>
                <w:szCs w:val="21"/>
                <w:lang w:val="en-US" w:eastAsia="zh-CN"/>
              </w:rPr>
            </w:pPr>
            <w:r>
              <w:rPr>
                <w:rFonts w:ascii="Times New Roman" w:cs="Times New Roman" w:eastAsia="宋体" w:hAnsi="Times New Roman" w:hint="eastAsia"/>
                <w:sz w:val="21"/>
                <w:szCs w:val="21"/>
                <w:lang w:val="en-US" w:eastAsia="zh-CN"/>
              </w:rPr>
              <w:t>该泵用于</w:t>
            </w:r>
            <w:bookmarkStart w:id="0" w:name="OLE_LINK6"/>
            <w:r>
              <w:rPr>
                <w:rFonts w:hint="eastAsia"/>
                <w:color w:val="auto"/>
              </w:rPr>
              <w:t>进口总管上的气体冷却分离系统</w:t>
            </w:r>
            <w:bookmarkEnd w:id="0"/>
            <w:r>
              <w:rPr>
                <w:rFonts w:hint="eastAsia"/>
                <w:color w:val="auto"/>
                <w:lang w:val="en-US" w:eastAsia="zh-CN"/>
              </w:rPr>
              <w:t>排液，扬程不低于20m</w:t>
            </w:r>
          </w:p>
        </w:tc>
      </w:tr>
    </w:tbl>
    <w:p w14:paraId="10CC8DA9">
      <w:pPr>
        <w:pStyle w:val="style0"/>
        <w:jc w:val="center"/>
        <w:rPr>
          <w:rFonts w:ascii="宋体" w:eastAsia="宋体" w:hAnsi="宋体" w:hint="eastAsia"/>
          <w:sz w:val="28"/>
          <w:szCs w:val="28"/>
        </w:rPr>
      </w:pPr>
    </w:p>
    <w:sectPr>
      <w:pgSz w:w="16838" w:h="11906" w:orient="landscape"/>
      <w:pgMar w:top="1134" w:right="907" w:bottom="1134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"/>
    <w:panose1 w:val="020106000300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等线"/>
    <w:panose1 w:val="02010600030001010101"/>
    <w:charset w:val="86"/>
    <w:family w:val="auto"/>
    <w:pitch w:val="default"/>
    <w:sig w:usb0="A00002BF" w:usb1="38CF7CFA" w:usb2="00000016" w:usb3="00000000" w:csb0="0004000F" w:csb1="00000000"/>
  </w:font>
  <w:font w:name="等线 Light">
    <w:altName w:val="等线 Light"/>
    <w:panose1 w:val="020106000300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55D46639"/>
    <w:lvl w:ilvl="0">
      <w:start w:val="1"/>
      <w:numFmt w:val="decimal"/>
      <w:lvlText w:val="%1."/>
      <w:lvlJc w:val="left"/>
      <w:pPr>
        <w:ind w:left="440" w:hanging="440"/>
      </w:p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40"/>
  <w:doNotDisplayPageBoundarie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等线" w:cs="Arial" w:eastAsia="等线" w:hAnsi="等线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等线" w:cs="Arial" w:eastAsia="等线" w:hAnsi="等线"/>
      <w:kern w:val="2"/>
      <w:sz w:val="22"/>
      <w:szCs w:val="22"/>
      <w:lang w:val="en-US" w:bidi="ar-SA" w:eastAsia="zh-CN"/>
      <w14:ligatures xmlns:w14="http://schemas.microsoft.com/office/word/2010/wordml" w14:val="standardContextual"/>
    </w:rPr>
  </w:style>
  <w:style w:type="paragraph" w:styleId="style1">
    <w:name w:val="heading 1"/>
    <w:basedOn w:val="style0"/>
    <w:next w:val="style0"/>
    <w:link w:val="style4097"/>
    <w:qFormat/>
    <w:uiPriority w:val="9"/>
    <w:pPr>
      <w:keepNext/>
      <w:keepLines/>
      <w:spacing w:before="480" w:after="80"/>
      <w:outlineLvl w:val="0"/>
    </w:pPr>
    <w:rPr>
      <w:rFonts w:ascii="等线 Light" w:cs="Times New Roman" w:eastAsia="等线 Light" w:hAnsi="等线 Light"/>
      <w:color w:val="104862"/>
      <w:sz w:val="48"/>
      <w:szCs w:val="48"/>
    </w:rPr>
  </w:style>
  <w:style w:type="paragraph" w:styleId="style2">
    <w:name w:val="heading 2"/>
    <w:basedOn w:val="style0"/>
    <w:next w:val="style0"/>
    <w:link w:val="style4098"/>
    <w:qFormat/>
    <w:uiPriority w:val="9"/>
    <w:pPr>
      <w:keepNext/>
      <w:keepLines/>
      <w:spacing w:before="160" w:after="80"/>
      <w:outlineLvl w:val="1"/>
    </w:pPr>
    <w:rPr>
      <w:rFonts w:ascii="等线 Light" w:cs="Times New Roman" w:eastAsia="等线 Light" w:hAnsi="等线 Light"/>
      <w:color w:val="104862"/>
      <w:sz w:val="40"/>
      <w:szCs w:val="40"/>
    </w:rPr>
  </w:style>
  <w:style w:type="paragraph" w:styleId="style3">
    <w:name w:val="heading 3"/>
    <w:basedOn w:val="style0"/>
    <w:next w:val="style0"/>
    <w:link w:val="style4099"/>
    <w:qFormat/>
    <w:uiPriority w:val="9"/>
    <w:pPr>
      <w:keepNext/>
      <w:keepLines/>
      <w:spacing w:before="160" w:after="80"/>
      <w:outlineLvl w:val="2"/>
    </w:pPr>
    <w:rPr>
      <w:rFonts w:ascii="等线 Light" w:cs="Times New Roman" w:eastAsia="等线 Light" w:hAnsi="等线 Light"/>
      <w:color w:val="104862"/>
      <w:sz w:val="32"/>
      <w:szCs w:val="32"/>
    </w:rPr>
  </w:style>
  <w:style w:type="paragraph" w:styleId="style4">
    <w:name w:val="heading 4"/>
    <w:basedOn w:val="style0"/>
    <w:next w:val="style0"/>
    <w:link w:val="style4100"/>
    <w:qFormat/>
    <w:uiPriority w:val="9"/>
    <w:pPr>
      <w:keepNext/>
      <w:keepLines/>
      <w:spacing w:before="80" w:after="40"/>
      <w:outlineLvl w:val="3"/>
    </w:pPr>
    <w:rPr>
      <w:rFonts w:cs="Times New Roman"/>
      <w:color w:val="104862"/>
      <w:sz w:val="28"/>
      <w:szCs w:val="28"/>
    </w:rPr>
  </w:style>
  <w:style w:type="paragraph" w:styleId="style5">
    <w:name w:val="heading 5"/>
    <w:basedOn w:val="style0"/>
    <w:next w:val="style0"/>
    <w:link w:val="style4101"/>
    <w:qFormat/>
    <w:uiPriority w:val="9"/>
    <w:pPr>
      <w:keepNext/>
      <w:keepLines/>
      <w:spacing w:before="80" w:after="40"/>
      <w:outlineLvl w:val="4"/>
    </w:pPr>
    <w:rPr>
      <w:rFonts w:cs="Times New Roman"/>
      <w:color w:val="104862"/>
      <w:sz w:val="24"/>
      <w:szCs w:val="24"/>
    </w:rPr>
  </w:style>
  <w:style w:type="paragraph" w:styleId="style6">
    <w:name w:val="heading 6"/>
    <w:basedOn w:val="style0"/>
    <w:next w:val="style0"/>
    <w:link w:val="style4102"/>
    <w:qFormat/>
    <w:uiPriority w:val="9"/>
    <w:pPr>
      <w:keepNext/>
      <w:keepLines/>
      <w:spacing w:before="40"/>
      <w:outlineLvl w:val="5"/>
    </w:pPr>
    <w:rPr>
      <w:rFonts w:cs="Times New Roman"/>
      <w:b/>
      <w:bCs/>
      <w:color w:val="104862"/>
    </w:rPr>
  </w:style>
  <w:style w:type="paragraph" w:styleId="style7">
    <w:name w:val="heading 7"/>
    <w:basedOn w:val="style0"/>
    <w:next w:val="style0"/>
    <w:link w:val="style4103"/>
    <w:qFormat/>
    <w:uiPriority w:val="9"/>
    <w:pPr>
      <w:keepNext/>
      <w:keepLines/>
      <w:spacing w:before="40"/>
      <w:outlineLvl w:val="6"/>
    </w:pPr>
    <w:rPr>
      <w:rFonts w:cs="Times New Roman"/>
      <w:b/>
      <w:bCs/>
      <w:color w:val="595959"/>
      <w14:textFill>
        <w14:solidFill>
          <w14:srgbClr w14:val="595959"/>
        </w14:solidFill>
      </w14:textFill>
    </w:rPr>
  </w:style>
  <w:style w:type="paragraph" w:styleId="style8">
    <w:name w:val="heading 8"/>
    <w:basedOn w:val="style0"/>
    <w:next w:val="style0"/>
    <w:link w:val="style4104"/>
    <w:qFormat/>
    <w:uiPriority w:val="9"/>
    <w:pPr>
      <w:keepNext/>
      <w:keepLines/>
      <w:outlineLvl w:val="7"/>
    </w:pPr>
    <w:rPr>
      <w:rFonts w:cs="Times New Roman"/>
      <w:color w:val="595959"/>
      <w14:textFill>
        <w14:solidFill>
          <w14:srgbClr w14:val="595959"/>
        </w14:solidFill>
      </w14:textFill>
    </w:rPr>
  </w:style>
  <w:style w:type="paragraph" w:styleId="style9">
    <w:name w:val="heading 9"/>
    <w:basedOn w:val="style0"/>
    <w:next w:val="style0"/>
    <w:link w:val="style4105"/>
    <w:qFormat/>
    <w:uiPriority w:val="9"/>
    <w:pPr>
      <w:keepNext/>
      <w:keepLines/>
      <w:outlineLvl w:val="8"/>
    </w:pPr>
    <w:rPr>
      <w:rFonts w:cs="Times New Roman" w:eastAsia="等线 Light"/>
      <w:color w:val="595959"/>
      <w14:textFill>
        <w14:solidFill>
          <w14:srgbClr w14:val="595959"/>
        </w14:solidFill>
      </w14:textFill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32">
    <w:name w:val="footer"/>
    <w:basedOn w:val="style0"/>
    <w:next w:val="style32"/>
    <w:link w:val="style4113"/>
    <w:uiPriority w:val="99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  <w:szCs w:val="18"/>
    </w:rPr>
  </w:style>
  <w:style w:type="paragraph" w:styleId="style31">
    <w:name w:val="header"/>
    <w:basedOn w:val="style0"/>
    <w:next w:val="style31"/>
    <w:link w:val="style4112"/>
    <w:uiPriority w:val="99"/>
    <w:pPr>
      <w:tabs>
        <w:tab w:val="center" w:leader="none" w:pos="4153"/>
        <w:tab w:val="right" w:leader="none" w:pos="8306"/>
      </w:tabs>
      <w:snapToGrid w:val="false"/>
      <w:jc w:val="center"/>
    </w:pPr>
    <w:rPr>
      <w:sz w:val="18"/>
      <w:szCs w:val="18"/>
    </w:rPr>
  </w:style>
  <w:style w:type="paragraph" w:styleId="style74">
    <w:name w:val="Subtitle"/>
    <w:basedOn w:val="style0"/>
    <w:next w:val="style0"/>
    <w:link w:val="style4107"/>
    <w:qFormat/>
    <w:uiPriority w:val="11"/>
    <w:pPr>
      <w:spacing w:after="160"/>
      <w:jc w:val="center"/>
    </w:pPr>
    <w:rPr>
      <w:rFonts w:ascii="等线 Light" w:cs="Times New Roman" w:eastAsia="等线 Light" w:hAnsi="等线 Light"/>
      <w:color w:val="595959"/>
      <w:spacing w:val="15"/>
      <w:sz w:val="28"/>
      <w:szCs w:val="28"/>
      <w14:textFill>
        <w14:solidFill>
          <w14:srgbClr w14:val="595959"/>
        </w14:solidFill>
      </w14:textFill>
    </w:rPr>
  </w:style>
  <w:style w:type="paragraph" w:styleId="style62">
    <w:name w:val="Title"/>
    <w:basedOn w:val="style0"/>
    <w:next w:val="style0"/>
    <w:link w:val="style4106"/>
    <w:qFormat/>
    <w:uiPriority w:val="10"/>
    <w:pPr>
      <w:spacing w:after="80"/>
      <w:jc w:val="center"/>
      <w:contextualSpacing/>
    </w:pPr>
    <w:rPr>
      <w:rFonts w:ascii="等线 Light" w:cs="Times New Roman" w:eastAsia="等线 Light" w:hAnsi="等线 Light"/>
      <w:spacing w:val="-10"/>
      <w:kern w:val="28"/>
      <w:sz w:val="56"/>
      <w:szCs w:val="56"/>
    </w:rPr>
  </w:style>
  <w:style w:type="table" w:styleId="style154">
    <w:name w:val="Table Grid"/>
    <w:basedOn w:val="style105"/>
    <w:next w:val="style154"/>
    <w:uiPriority w:val="39"/>
    <w:pPr/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character" w:customStyle="1" w:styleId="style4097">
    <w:name w:val="标题 1 字符"/>
    <w:basedOn w:val="style65"/>
    <w:next w:val="style4097"/>
    <w:link w:val="style1"/>
    <w:qFormat/>
    <w:uiPriority w:val="9"/>
    <w:rPr>
      <w:rFonts w:ascii="等线 Light" w:cs="Times New Roman" w:eastAsia="等线 Light" w:hAnsi="等线 Light"/>
      <w:color w:val="104862"/>
      <w:sz w:val="48"/>
      <w:szCs w:val="48"/>
    </w:rPr>
  </w:style>
  <w:style w:type="character" w:customStyle="1" w:styleId="style4098">
    <w:name w:val="标题 2 字符"/>
    <w:basedOn w:val="style65"/>
    <w:next w:val="style4098"/>
    <w:link w:val="style2"/>
    <w:qFormat/>
    <w:uiPriority w:val="9"/>
    <w:rPr>
      <w:rFonts w:ascii="等线 Light" w:cs="Times New Roman" w:eastAsia="等线 Light" w:hAnsi="等线 Light"/>
      <w:color w:val="104862"/>
      <w:sz w:val="40"/>
      <w:szCs w:val="40"/>
    </w:rPr>
  </w:style>
  <w:style w:type="character" w:customStyle="1" w:styleId="style4099">
    <w:name w:val="标题 3 字符"/>
    <w:basedOn w:val="style65"/>
    <w:next w:val="style4099"/>
    <w:link w:val="style3"/>
    <w:qFormat/>
    <w:uiPriority w:val="9"/>
    <w:rPr>
      <w:rFonts w:ascii="等线 Light" w:cs="Times New Roman" w:eastAsia="等线 Light" w:hAnsi="等线 Light"/>
      <w:color w:val="104862"/>
      <w:sz w:val="32"/>
      <w:szCs w:val="32"/>
    </w:rPr>
  </w:style>
  <w:style w:type="character" w:customStyle="1" w:styleId="style4100">
    <w:name w:val="标题 4 字符"/>
    <w:basedOn w:val="style65"/>
    <w:next w:val="style4100"/>
    <w:link w:val="style4"/>
    <w:uiPriority w:val="9"/>
    <w:rPr>
      <w:rFonts w:cs="Times New Roman"/>
      <w:color w:val="104862"/>
      <w:sz w:val="28"/>
      <w:szCs w:val="28"/>
    </w:rPr>
  </w:style>
  <w:style w:type="character" w:customStyle="1" w:styleId="style4101">
    <w:name w:val="标题 5 字符"/>
    <w:basedOn w:val="style65"/>
    <w:next w:val="style4101"/>
    <w:link w:val="style5"/>
    <w:qFormat/>
    <w:uiPriority w:val="9"/>
    <w:rPr>
      <w:rFonts w:cs="Times New Roman"/>
      <w:color w:val="104862"/>
      <w:sz w:val="24"/>
      <w:szCs w:val="24"/>
    </w:rPr>
  </w:style>
  <w:style w:type="character" w:customStyle="1" w:styleId="style4102">
    <w:name w:val="标题 6 字符"/>
    <w:basedOn w:val="style65"/>
    <w:next w:val="style4102"/>
    <w:link w:val="style6"/>
    <w:uiPriority w:val="9"/>
    <w:rPr>
      <w:rFonts w:cs="Times New Roman"/>
      <w:b/>
      <w:bCs/>
      <w:color w:val="104862"/>
    </w:rPr>
  </w:style>
  <w:style w:type="character" w:customStyle="1" w:styleId="style4103">
    <w:name w:val="标题 7 字符"/>
    <w:basedOn w:val="style65"/>
    <w:next w:val="style4103"/>
    <w:link w:val="style7"/>
    <w:uiPriority w:val="9"/>
    <w:rPr>
      <w:rFonts w:cs="Times New Roman"/>
      <w:b/>
      <w:bCs/>
      <w:color w:val="595959"/>
      <w14:textFill>
        <w14:solidFill>
          <w14:srgbClr w14:val="595959"/>
        </w14:solidFill>
      </w14:textFill>
    </w:rPr>
  </w:style>
  <w:style w:type="character" w:customStyle="1" w:styleId="style4104">
    <w:name w:val="标题 8 字符"/>
    <w:basedOn w:val="style65"/>
    <w:next w:val="style4104"/>
    <w:link w:val="style8"/>
    <w:uiPriority w:val="9"/>
    <w:rPr>
      <w:rFonts w:cs="Times New Roman"/>
      <w:color w:val="595959"/>
      <w14:textFill>
        <w14:solidFill>
          <w14:srgbClr w14:val="595959"/>
        </w14:solidFill>
      </w14:textFill>
    </w:rPr>
  </w:style>
  <w:style w:type="character" w:customStyle="1" w:styleId="style4105">
    <w:name w:val="标题 9 字符"/>
    <w:basedOn w:val="style65"/>
    <w:next w:val="style4105"/>
    <w:link w:val="style9"/>
    <w:qFormat/>
    <w:uiPriority w:val="9"/>
    <w:rPr>
      <w:rFonts w:cs="Times New Roman" w:eastAsia="等线 Light"/>
      <w:color w:val="595959"/>
      <w14:textFill>
        <w14:solidFill>
          <w14:srgbClr w14:val="595959"/>
        </w14:solidFill>
      </w14:textFill>
    </w:rPr>
  </w:style>
  <w:style w:type="character" w:customStyle="1" w:styleId="style4106">
    <w:name w:val="标题 字符"/>
    <w:basedOn w:val="style65"/>
    <w:next w:val="style4106"/>
    <w:link w:val="style62"/>
    <w:qFormat/>
    <w:uiPriority w:val="10"/>
    <w:rPr>
      <w:rFonts w:ascii="等线 Light" w:cs="Times New Roman" w:eastAsia="等线 Light" w:hAnsi="等线 Light"/>
      <w:spacing w:val="-10"/>
      <w:kern w:val="28"/>
      <w:sz w:val="56"/>
      <w:szCs w:val="56"/>
    </w:rPr>
  </w:style>
  <w:style w:type="character" w:customStyle="1" w:styleId="style4107">
    <w:name w:val="副标题 字符"/>
    <w:basedOn w:val="style65"/>
    <w:next w:val="style4107"/>
    <w:link w:val="style74"/>
    <w:uiPriority w:val="11"/>
    <w:rPr>
      <w:rFonts w:ascii="等线 Light" w:cs="Times New Roman" w:eastAsia="等线 Light" w:hAnsi="等线 Light"/>
      <w:color w:val="595959"/>
      <w:spacing w:val="15"/>
      <w:sz w:val="28"/>
      <w:szCs w:val="28"/>
      <w14:textFill>
        <w14:solidFill>
          <w14:srgbClr w14:val="595959"/>
        </w14:solidFill>
      </w14:textFill>
    </w:rPr>
  </w:style>
  <w:style w:type="paragraph" w:styleId="style180">
    <w:name w:val="Quote"/>
    <w:basedOn w:val="style0"/>
    <w:next w:val="style0"/>
    <w:link w:val="style4108"/>
    <w:qFormat/>
    <w:uiPriority w:val="29"/>
    <w:pPr>
      <w:spacing w:before="160" w:after="160"/>
      <w:jc w:val="center"/>
    </w:pPr>
    <w:rPr>
      <w:i/>
      <w:iCs/>
      <w:color w:val="404040"/>
      <w14:textFill>
        <w14:solidFill>
          <w14:srgbClr w14:val="3f3f3f"/>
        </w14:solidFill>
      </w14:textFill>
    </w:rPr>
  </w:style>
  <w:style w:type="character" w:customStyle="1" w:styleId="style4108">
    <w:name w:val="引用 字符"/>
    <w:basedOn w:val="style65"/>
    <w:next w:val="style4108"/>
    <w:link w:val="style180"/>
    <w:qFormat/>
    <w:uiPriority w:val="29"/>
    <w:rPr>
      <w:i/>
      <w:iCs/>
      <w:color w:val="404040"/>
      <w14:textFill>
        <w14:solidFill>
          <w14:srgbClr w14:val="3f3f3f"/>
        </w14:solidFill>
      </w14:textFill>
    </w:rPr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character" w:customStyle="1" w:styleId="style4109">
    <w:name w:val="Intense Emphasis_c24524d4-c4ba-428c-a6c1-869e0978d5d1"/>
    <w:basedOn w:val="style65"/>
    <w:next w:val="style4109"/>
    <w:qFormat/>
    <w:uiPriority w:val="21"/>
    <w:rPr>
      <w:i/>
      <w:iCs/>
      <w:color w:val="104862"/>
    </w:rPr>
  </w:style>
  <w:style w:type="paragraph" w:styleId="style181">
    <w:name w:val="Intense Quote"/>
    <w:basedOn w:val="style0"/>
    <w:next w:val="style0"/>
    <w:link w:val="style4110"/>
    <w:qFormat/>
    <w:uiPriority w:val="30"/>
    <w:pPr>
      <w:pBdr>
        <w:top w:val="single" w:sz="4" w:space="10" w:color="0f4761"/>
        <w:bottom w:val="single" w:sz="4" w:space="10" w:color="0f4761"/>
      </w:pBdr>
      <w:spacing w:before="360" w:after="360"/>
      <w:ind w:left="864" w:right="864"/>
      <w:jc w:val="center"/>
    </w:pPr>
    <w:rPr>
      <w:i/>
      <w:iCs/>
      <w:color w:val="104862"/>
    </w:rPr>
  </w:style>
  <w:style w:type="character" w:customStyle="1" w:styleId="style4110">
    <w:name w:val="明显引用 字符"/>
    <w:basedOn w:val="style65"/>
    <w:next w:val="style4110"/>
    <w:link w:val="style181"/>
    <w:qFormat/>
    <w:uiPriority w:val="30"/>
    <w:rPr>
      <w:i/>
      <w:iCs/>
      <w:color w:val="104862"/>
    </w:rPr>
  </w:style>
  <w:style w:type="character" w:customStyle="1" w:styleId="style4111">
    <w:name w:val="Intense Reference_c49f677c-e461-463f-912a-3d8927eb3df7"/>
    <w:basedOn w:val="style65"/>
    <w:next w:val="style4111"/>
    <w:qFormat/>
    <w:uiPriority w:val="32"/>
    <w:rPr>
      <w:b/>
      <w:bCs/>
      <w:smallCaps/>
      <w:color w:val="104862"/>
      <w:spacing w:val="5"/>
    </w:rPr>
  </w:style>
  <w:style w:type="character" w:customStyle="1" w:styleId="style4112">
    <w:name w:val="页眉 字符"/>
    <w:basedOn w:val="style65"/>
    <w:next w:val="style4112"/>
    <w:link w:val="style31"/>
    <w:uiPriority w:val="99"/>
    <w:rPr>
      <w:sz w:val="18"/>
      <w:szCs w:val="18"/>
    </w:rPr>
  </w:style>
  <w:style w:type="character" w:customStyle="1" w:styleId="style4113">
    <w:name w:val="页脚 字符"/>
    <w:basedOn w:val="style65"/>
    <w:next w:val="style4113"/>
    <w:link w:val="style32"/>
    <w:qFormat/>
    <w:uiPriority w:val="99"/>
    <w:rPr>
      <w:sz w:val="18"/>
      <w:szCs w:val="18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459CBB-68C0-4DF1-B5DA-7183354C99D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1201</Words>
  <Characters>1358</Characters>
  <DocSecurity>0</DocSecurity>
  <Paragraphs>88</Paragraphs>
  <ScaleCrop>false</ScaleCrop>
  <LinksUpToDate>false</LinksUpToDate>
  <CharactersWithSpaces>1361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2025-11-30T08:43:00Z</dcterms:created>
  <dcterms:modified xsi:type="dcterms:W3CDTF">2025-12-02T08:22:06Z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eyJoZGlkIjoiODQzNmU5YmY3ZjIzNDFjMTMxYmI0ZDNjNDY2NWZkNGYiLCJ1c2VySWQiOiI2MDM4MjY4NjcifQ==</vt:lpwstr>
  </property>
  <property fmtid="{D5CDD505-2E9C-101B-9397-08002B2CF9AE}" pid="3" name="KSOProductBuildVer">
    <vt:lpwstr>2052-12.1.0.23542</vt:lpwstr>
  </property>
  <property fmtid="{D5CDD505-2E9C-101B-9397-08002B2CF9AE}" pid="4" name="ICV">
    <vt:lpwstr>e697028b9462428395e81ea5f5d8f230_23</vt:lpwstr>
  </property>
</Properties>
</file>