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62FD72">
      <w:pPr>
        <w:jc w:val="center"/>
        <w:rPr>
          <w:sz w:val="144"/>
        </w:rPr>
      </w:pPr>
    </w:p>
    <w:p w14:paraId="74A1DB66">
      <w:pPr>
        <w:jc w:val="center"/>
        <w:rPr>
          <w:rFonts w:ascii="楷体_GB2312" w:eastAsia="楷体_GB2312"/>
          <w:b/>
          <w:sz w:val="72"/>
          <w:szCs w:val="72"/>
        </w:rPr>
      </w:pPr>
      <w:r>
        <w:rPr>
          <w:rFonts w:hint="eastAsia" w:ascii="楷体_GB2312" w:eastAsia="楷体_GB2312"/>
          <w:b/>
          <w:sz w:val="72"/>
          <w:szCs w:val="72"/>
        </w:rPr>
        <w:t xml:space="preserve">询 </w:t>
      </w:r>
    </w:p>
    <w:p w14:paraId="006AC1DC">
      <w:pPr>
        <w:jc w:val="center"/>
        <w:rPr>
          <w:rFonts w:ascii="楷体_GB2312" w:eastAsia="楷体_GB2312"/>
          <w:b/>
          <w:sz w:val="72"/>
          <w:szCs w:val="72"/>
        </w:rPr>
      </w:pPr>
    </w:p>
    <w:p w14:paraId="1A9BB452">
      <w:pPr>
        <w:jc w:val="center"/>
        <w:rPr>
          <w:rFonts w:ascii="楷体_GB2312" w:eastAsia="楷体_GB2312"/>
          <w:b/>
          <w:sz w:val="72"/>
          <w:szCs w:val="72"/>
        </w:rPr>
      </w:pPr>
      <w:r>
        <w:rPr>
          <w:rFonts w:hint="eastAsia" w:ascii="楷体_GB2312" w:eastAsia="楷体_GB2312"/>
          <w:b/>
          <w:sz w:val="72"/>
          <w:szCs w:val="72"/>
        </w:rPr>
        <w:t xml:space="preserve">价 </w:t>
      </w:r>
    </w:p>
    <w:p w14:paraId="62616563">
      <w:pPr>
        <w:jc w:val="center"/>
        <w:rPr>
          <w:rFonts w:ascii="楷体_GB2312" w:eastAsia="楷体_GB2312"/>
          <w:b/>
          <w:sz w:val="72"/>
          <w:szCs w:val="72"/>
        </w:rPr>
      </w:pPr>
    </w:p>
    <w:p w14:paraId="4D7B63C3">
      <w:pPr>
        <w:jc w:val="center"/>
        <w:rPr>
          <w:rFonts w:ascii="楷体_GB2312" w:eastAsia="楷体_GB2312"/>
          <w:b/>
          <w:sz w:val="72"/>
          <w:szCs w:val="72"/>
        </w:rPr>
      </w:pPr>
      <w:r>
        <w:rPr>
          <w:rFonts w:hint="eastAsia" w:ascii="楷体_GB2312" w:eastAsia="楷体_GB2312"/>
          <w:b/>
          <w:sz w:val="72"/>
          <w:szCs w:val="72"/>
        </w:rPr>
        <w:t xml:space="preserve">文 </w:t>
      </w:r>
    </w:p>
    <w:p w14:paraId="11AF1B71">
      <w:pPr>
        <w:jc w:val="center"/>
        <w:rPr>
          <w:rFonts w:ascii="楷体_GB2312" w:eastAsia="楷体_GB2312"/>
          <w:b/>
          <w:sz w:val="72"/>
          <w:szCs w:val="72"/>
        </w:rPr>
      </w:pPr>
    </w:p>
    <w:p w14:paraId="05BC6B3D">
      <w:pPr>
        <w:jc w:val="center"/>
        <w:rPr>
          <w:rFonts w:ascii="楷体_GB2312" w:eastAsia="楷体_GB2312"/>
          <w:b/>
          <w:sz w:val="52"/>
          <w:szCs w:val="52"/>
        </w:rPr>
      </w:pPr>
      <w:r>
        <w:rPr>
          <w:rFonts w:hint="eastAsia" w:ascii="楷体_GB2312" w:eastAsia="楷体_GB2312"/>
          <w:b/>
          <w:sz w:val="72"/>
          <w:szCs w:val="72"/>
        </w:rPr>
        <w:t>件</w:t>
      </w:r>
    </w:p>
    <w:p w14:paraId="286AA494">
      <w:pPr>
        <w:spacing w:line="560" w:lineRule="exact"/>
        <w:rPr>
          <w:rFonts w:ascii="楷体_GB2312" w:eastAsia="楷体_GB2312"/>
          <w:sz w:val="28"/>
          <w:szCs w:val="28"/>
        </w:rPr>
      </w:pPr>
    </w:p>
    <w:p w14:paraId="1E389C0E">
      <w:pPr>
        <w:spacing w:line="560" w:lineRule="exact"/>
        <w:rPr>
          <w:rFonts w:ascii="楷体_GB2312" w:eastAsia="楷体_GB2312"/>
          <w:sz w:val="28"/>
        </w:rPr>
      </w:pPr>
    </w:p>
    <w:p w14:paraId="7CC79A33">
      <w:pPr>
        <w:spacing w:line="560" w:lineRule="exact"/>
        <w:rPr>
          <w:rFonts w:ascii="楷体_GB2312" w:eastAsia="楷体_GB2312"/>
          <w:sz w:val="28"/>
        </w:rPr>
      </w:pPr>
    </w:p>
    <w:p w14:paraId="1073A3EC">
      <w:pPr>
        <w:spacing w:line="560" w:lineRule="exact"/>
        <w:ind w:firstLine="3220" w:firstLineChars="1150"/>
        <w:rPr>
          <w:rFonts w:ascii="楷体_GB2312" w:eastAsia="楷体_GB2312"/>
          <w:sz w:val="28"/>
        </w:rPr>
      </w:pPr>
    </w:p>
    <w:p w14:paraId="3F643EEB">
      <w:pPr>
        <w:spacing w:line="560" w:lineRule="exact"/>
        <w:ind w:firstLine="3220" w:firstLineChars="1150"/>
        <w:jc w:val="left"/>
        <w:rPr>
          <w:rFonts w:ascii="楷体_GB2312" w:eastAsia="楷体_GB2312"/>
          <w:sz w:val="28"/>
        </w:rPr>
      </w:pPr>
      <w:r>
        <w:rPr>
          <w:rFonts w:hint="eastAsia" w:ascii="楷体_GB2312" w:eastAsia="楷体_GB2312"/>
          <w:sz w:val="28"/>
        </w:rPr>
        <w:t>浙江巨化化工材料有限公司</w:t>
      </w:r>
    </w:p>
    <w:p w14:paraId="03CEA154">
      <w:pPr>
        <w:spacing w:line="560" w:lineRule="exact"/>
        <w:ind w:firstLine="4200" w:firstLineChars="1500"/>
        <w:jc w:val="left"/>
        <w:rPr>
          <w:rFonts w:ascii="楷体_GB2312" w:eastAsia="楷体_GB2312"/>
          <w:sz w:val="28"/>
        </w:rPr>
      </w:pPr>
      <w:r>
        <w:rPr>
          <w:rFonts w:hint="eastAsia" w:ascii="楷体_GB2312" w:eastAsia="楷体_GB2312"/>
          <w:sz w:val="28"/>
        </w:rPr>
        <w:t>二0二五年十一月</w:t>
      </w:r>
    </w:p>
    <w:p w14:paraId="290FD2D5">
      <w:pPr>
        <w:widowControl/>
        <w:jc w:val="left"/>
        <w:sectPr>
          <w:headerReference r:id="rId3" w:type="default"/>
          <w:footnotePr>
            <w:numRestart w:val="eachPage"/>
          </w:footnotePr>
          <w:endnotePr>
            <w:numRestart w:val="eachSect"/>
          </w:endnotePr>
          <w:pgSz w:w="11907" w:h="16840"/>
          <w:pgMar w:top="1440" w:right="1797" w:bottom="1440" w:left="1797" w:header="851" w:footer="992" w:gutter="0"/>
          <w:pgNumType w:start="1"/>
          <w:cols w:space="720" w:num="1"/>
        </w:sectPr>
      </w:pPr>
    </w:p>
    <w:p w14:paraId="5F17FB83">
      <w:pPr>
        <w:pStyle w:val="5"/>
        <w:jc w:val="both"/>
        <w:rPr>
          <w:rFonts w:hint="eastAsia" w:ascii="宋体" w:hAnsi="宋体" w:cs="Times New Roman"/>
          <w:sz w:val="30"/>
          <w:szCs w:val="30"/>
        </w:rPr>
      </w:pPr>
      <w:bookmarkStart w:id="0" w:name="_Toc385925541"/>
      <w:bookmarkStart w:id="1" w:name="_Toc359873210"/>
      <w:r>
        <w:rPr>
          <w:rFonts w:hint="eastAsia" w:ascii="宋体" w:hAnsi="宋体" w:cs="Times New Roman"/>
          <w:sz w:val="30"/>
          <w:szCs w:val="30"/>
        </w:rPr>
        <w:t xml:space="preserve">一、 </w:t>
      </w:r>
      <w:bookmarkEnd w:id="0"/>
      <w:bookmarkEnd w:id="1"/>
      <w:r>
        <w:rPr>
          <w:rFonts w:hint="eastAsia" w:ascii="宋体" w:hAnsi="宋体" w:cs="Times New Roman"/>
          <w:sz w:val="30"/>
          <w:szCs w:val="30"/>
        </w:rPr>
        <w:t>概述</w:t>
      </w:r>
    </w:p>
    <w:p w14:paraId="3618AB07">
      <w:pPr>
        <w:spacing w:line="360" w:lineRule="exact"/>
        <w:rPr>
          <w:rFonts w:hint="eastAsia" w:ascii="宋体" w:hAnsi="宋体"/>
          <w:kern w:val="144"/>
          <w:szCs w:val="21"/>
        </w:rPr>
      </w:pPr>
      <w:r>
        <w:rPr>
          <w:rFonts w:hint="eastAsia" w:ascii="宋体" w:hAnsi="宋体"/>
          <w:kern w:val="144"/>
          <w:szCs w:val="21"/>
        </w:rPr>
        <w:t>浙江巨化化工材料有限公司就电化研发项目所需化学再生罐等4台玻璃钢设备公开比价，现将有关事宜公告如下:</w:t>
      </w:r>
    </w:p>
    <w:p w14:paraId="6B660E99">
      <w:pPr>
        <w:spacing w:line="360" w:lineRule="exact"/>
        <w:rPr>
          <w:rFonts w:hint="eastAsia" w:ascii="宋体" w:hAnsi="宋体"/>
          <w:kern w:val="144"/>
          <w:szCs w:val="21"/>
        </w:rPr>
      </w:pPr>
      <w:r>
        <w:rPr>
          <w:rFonts w:hint="eastAsia" w:ascii="宋体" w:hAnsi="宋体"/>
          <w:kern w:val="144"/>
          <w:szCs w:val="21"/>
        </w:rPr>
        <w:t>1</w:t>
      </w:r>
      <w:r>
        <w:rPr>
          <w:rFonts w:ascii="宋体" w:hAnsi="宋体"/>
          <w:kern w:val="144"/>
          <w:szCs w:val="21"/>
        </w:rPr>
        <w:t>.</w:t>
      </w:r>
      <w:r>
        <w:rPr>
          <w:rFonts w:hint="eastAsia" w:ascii="宋体" w:hAnsi="宋体"/>
          <w:kern w:val="144"/>
          <w:szCs w:val="21"/>
        </w:rPr>
        <w:t>比价内容：化学再生罐等4台玻璃钢设备设计、制作；名称、型号、规格、数量、技术参数等详见询价函。</w:t>
      </w:r>
    </w:p>
    <w:p w14:paraId="454AE25E">
      <w:pPr>
        <w:spacing w:line="360" w:lineRule="exact"/>
        <w:rPr>
          <w:rFonts w:hint="eastAsia" w:ascii="宋体" w:hAnsi="宋体"/>
          <w:kern w:val="144"/>
          <w:szCs w:val="21"/>
        </w:rPr>
      </w:pPr>
      <w:r>
        <w:rPr>
          <w:rFonts w:ascii="宋体" w:hAnsi="宋体"/>
          <w:kern w:val="144"/>
          <w:szCs w:val="21"/>
        </w:rPr>
        <w:t>2.</w:t>
      </w:r>
      <w:r>
        <w:rPr>
          <w:rFonts w:hint="eastAsia" w:ascii="宋体" w:hAnsi="宋体"/>
          <w:kern w:val="144"/>
          <w:szCs w:val="21"/>
        </w:rPr>
        <w:t>报价人资格标准：</w:t>
      </w:r>
    </w:p>
    <w:p w14:paraId="03E0296D">
      <w:pPr>
        <w:pStyle w:val="25"/>
        <w:shd w:val="clear" w:color="auto" w:fill="FFFFFF"/>
        <w:spacing w:before="180" w:beforeAutospacing="0" w:after="180" w:afterAutospacing="0"/>
        <w:rPr>
          <w:rFonts w:hint="eastAsia" w:cs="Times New Roman"/>
          <w:kern w:val="144"/>
          <w:sz w:val="21"/>
          <w:szCs w:val="21"/>
        </w:rPr>
      </w:pPr>
      <w:r>
        <w:rPr>
          <w:rFonts w:hint="eastAsia" w:cs="Times New Roman"/>
          <w:kern w:val="144"/>
          <w:sz w:val="21"/>
          <w:szCs w:val="21"/>
        </w:rPr>
        <w:t>2.1. </w:t>
      </w:r>
      <w:r>
        <w:rPr>
          <w:rFonts w:cs="Times New Roman"/>
          <w:kern w:val="144"/>
          <w:sz w:val="21"/>
          <w:szCs w:val="21"/>
        </w:rPr>
        <w:t>凡具有独立法人资格、</w:t>
      </w:r>
      <w:r>
        <w:rPr>
          <w:rFonts w:hint="eastAsia" w:cs="Times New Roman"/>
          <w:kern w:val="144"/>
          <w:sz w:val="21"/>
          <w:szCs w:val="21"/>
        </w:rPr>
        <w:t>2022~2024年年均销售额不少于5000万，通过ISO9001质量体系认证。</w:t>
      </w:r>
    </w:p>
    <w:p w14:paraId="64DB0172">
      <w:pPr>
        <w:spacing w:line="360" w:lineRule="exact"/>
        <w:rPr>
          <w:rFonts w:hint="eastAsia" w:ascii="宋体" w:hAnsi="宋体"/>
          <w:kern w:val="144"/>
          <w:szCs w:val="21"/>
        </w:rPr>
      </w:pPr>
      <w:r>
        <w:rPr>
          <w:rFonts w:hint="eastAsia" w:ascii="宋体" w:hAnsi="宋体"/>
          <w:kern w:val="144"/>
          <w:szCs w:val="21"/>
        </w:rPr>
        <w:t>2.2具有类似工况的玻璃钢储槽类设备制作业绩（提供合同及发票复印件各3份）</w:t>
      </w:r>
    </w:p>
    <w:p w14:paraId="40D34F53">
      <w:pPr>
        <w:spacing w:line="360" w:lineRule="exact"/>
        <w:rPr>
          <w:rFonts w:hint="eastAsia" w:ascii="宋体" w:hAnsi="宋体"/>
          <w:kern w:val="144"/>
          <w:szCs w:val="21"/>
        </w:rPr>
      </w:pPr>
      <w:r>
        <w:rPr>
          <w:rFonts w:hint="eastAsia" w:ascii="宋体" w:hAnsi="宋体"/>
          <w:kern w:val="144"/>
          <w:szCs w:val="21"/>
        </w:rPr>
        <w:t>3.请列出设备分项报价清单及材料生产厂家等（见设备清单表）。带</w:t>
      </w:r>
      <w:r>
        <w:rPr>
          <w:rFonts w:hint="eastAsia" w:ascii="宋体" w:hAnsi="宋体"/>
          <w:kern w:val="144"/>
          <w:sz w:val="28"/>
          <w:szCs w:val="28"/>
        </w:rPr>
        <w:t>*</w:t>
      </w:r>
      <w:r>
        <w:rPr>
          <w:rFonts w:hint="eastAsia" w:ascii="宋体" w:hAnsi="宋体"/>
          <w:kern w:val="144"/>
          <w:szCs w:val="21"/>
        </w:rPr>
        <w:t>条款必须响应</w:t>
      </w:r>
    </w:p>
    <w:p w14:paraId="059705FD">
      <w:pPr>
        <w:spacing w:line="360" w:lineRule="exact"/>
        <w:rPr>
          <w:rFonts w:hint="eastAsia" w:ascii="宋体" w:hAnsi="宋体"/>
          <w:color w:val="FF0000"/>
          <w:kern w:val="144"/>
          <w:szCs w:val="21"/>
        </w:rPr>
      </w:pPr>
      <w:r>
        <w:rPr>
          <w:rFonts w:hint="eastAsia" w:ascii="宋体" w:hAnsi="宋体"/>
          <w:kern w:val="144"/>
          <w:szCs w:val="21"/>
        </w:rPr>
        <w:t>4.本次报价为一次性报价（含到货各类杂费及13%税价）。报价时必须提供供应商（服务商）承诺书</w:t>
      </w:r>
      <w:r>
        <w:rPr>
          <w:rFonts w:hint="eastAsia" w:ascii="宋体" w:hAnsi="宋体"/>
          <w:color w:val="FF0000"/>
          <w:kern w:val="144"/>
          <w:szCs w:val="21"/>
        </w:rPr>
        <w:t>。</w:t>
      </w:r>
    </w:p>
    <w:p w14:paraId="0DCD5E6E">
      <w:pPr>
        <w:spacing w:line="360" w:lineRule="exact"/>
        <w:rPr>
          <w:rFonts w:hint="eastAsia" w:ascii="宋体" w:hAnsi="宋体"/>
          <w:kern w:val="144"/>
          <w:szCs w:val="21"/>
        </w:rPr>
      </w:pPr>
      <w:r>
        <w:rPr>
          <w:rFonts w:hint="eastAsia" w:ascii="宋体" w:hAnsi="宋体"/>
          <w:kern w:val="144"/>
          <w:szCs w:val="21"/>
        </w:rPr>
        <w:t>5.报价方式：报价函要求加盖单位公章，请有意向参加的单位将报价文件上传</w:t>
      </w:r>
      <w:r>
        <w:rPr>
          <w:rFonts w:hint="eastAsia" w:ascii="微软雅黑" w:hAnsi="微软雅黑" w:eastAsia="微软雅黑"/>
          <w:color w:val="333333"/>
          <w:sz w:val="23"/>
          <w:szCs w:val="23"/>
          <w:shd w:val="clear" w:color="auto" w:fill="FFFFFF"/>
        </w:rPr>
        <w:t>化工云商网（巨化数字化招采平台）https://juhua.ccccnet.com</w:t>
      </w:r>
      <w:r>
        <w:rPr>
          <w:rFonts w:hint="eastAsia" w:ascii="宋体" w:hAnsi="宋体"/>
          <w:kern w:val="144"/>
          <w:szCs w:val="21"/>
        </w:rPr>
        <w:t>，要求详见化工云商网,报价采用一次性网上报价的形式。请避免不平衡报价，需方有权按项目单位不同分别确定供应商。</w:t>
      </w:r>
    </w:p>
    <w:p w14:paraId="1AAC5930">
      <w:pPr>
        <w:spacing w:line="360" w:lineRule="exact"/>
        <w:rPr>
          <w:rFonts w:hint="eastAsia" w:ascii="宋体" w:hAnsi="宋体" w:cs="宋体"/>
          <w:szCs w:val="21"/>
        </w:rPr>
      </w:pPr>
      <w:r>
        <w:rPr>
          <w:rFonts w:hint="eastAsia" w:ascii="宋体" w:hAnsi="宋体" w:cs="宋体"/>
          <w:szCs w:val="21"/>
        </w:rPr>
        <w:t>6、报价文件时需递交材料：法定代表人委托书、被委托人身份证复印件、企业营业执照复印件、有关资质证书、单位简介、2021年至今同类产品业绩表（合同、发票复印件）、专业会计事务所出具的2022-2024年度财务报表。</w:t>
      </w:r>
    </w:p>
    <w:p w14:paraId="60E634E4">
      <w:pPr>
        <w:spacing w:line="360" w:lineRule="exact"/>
        <w:rPr>
          <w:rFonts w:hint="eastAsia" w:ascii="宋体" w:hAnsi="宋体" w:cs="宋体"/>
          <w:szCs w:val="21"/>
        </w:rPr>
      </w:pPr>
      <w:r>
        <w:rPr>
          <w:rFonts w:hint="eastAsia" w:ascii="宋体" w:hAnsi="宋体" w:cs="宋体"/>
          <w:szCs w:val="21"/>
        </w:rPr>
        <w:t xml:space="preserve">7、联系人：宋伟                联系电话：0570-3096756         </w:t>
      </w:r>
    </w:p>
    <w:p w14:paraId="7A880057">
      <w:pPr>
        <w:spacing w:line="360" w:lineRule="exact"/>
        <w:rPr>
          <w:rFonts w:hint="eastAsia" w:ascii="宋体" w:hAnsi="宋体" w:cs="宋体"/>
          <w:szCs w:val="21"/>
        </w:rPr>
      </w:pPr>
      <w:r>
        <w:rPr>
          <w:rFonts w:hint="eastAsia" w:ascii="宋体" w:hAnsi="宋体" w:cs="宋体"/>
          <w:szCs w:val="21"/>
        </w:rPr>
        <w:t>传真：0570-3617765                E-mail: wzsbk01@126.com</w:t>
      </w:r>
    </w:p>
    <w:p w14:paraId="4E8210ED">
      <w:pPr>
        <w:spacing w:line="360" w:lineRule="exact"/>
        <w:rPr>
          <w:rFonts w:hint="eastAsia" w:ascii="宋体" w:hAnsi="宋体" w:cs="宋体"/>
          <w:szCs w:val="21"/>
        </w:rPr>
      </w:pPr>
      <w:r>
        <w:rPr>
          <w:rFonts w:hint="eastAsia" w:ascii="宋体" w:hAnsi="宋体" w:cs="宋体"/>
          <w:szCs w:val="21"/>
        </w:rPr>
        <w:t>地    址：浙江省衢州市巨化集团公司北一道165号</w:t>
      </w:r>
    </w:p>
    <w:p w14:paraId="6ED02FBC">
      <w:pPr>
        <w:spacing w:line="360" w:lineRule="exact"/>
        <w:rPr>
          <w:rFonts w:hint="eastAsia" w:ascii="宋体" w:hAnsi="宋体"/>
          <w:kern w:val="144"/>
          <w:szCs w:val="21"/>
        </w:rPr>
      </w:pPr>
      <w:r>
        <w:rPr>
          <w:rFonts w:hint="eastAsia" w:ascii="宋体" w:hAnsi="宋体" w:cs="宋体"/>
          <w:szCs w:val="21"/>
        </w:rPr>
        <w:t>单位名称：浙江巨化化工材料有限公司</w:t>
      </w:r>
    </w:p>
    <w:p w14:paraId="43C41EC1">
      <w:pPr>
        <w:pStyle w:val="5"/>
        <w:jc w:val="both"/>
        <w:rPr>
          <w:rFonts w:hint="eastAsia" w:ascii="宋体" w:hAnsi="宋体" w:cs="Times New Roman"/>
          <w:sz w:val="30"/>
          <w:szCs w:val="30"/>
        </w:rPr>
      </w:pPr>
      <w:bookmarkStart w:id="2" w:name="_Toc364866920"/>
      <w:bookmarkStart w:id="3" w:name="_Toc385925588"/>
      <w:r>
        <w:rPr>
          <w:rFonts w:hint="eastAsia" w:ascii="宋体" w:hAnsi="宋体" w:cs="Times New Roman"/>
          <w:sz w:val="30"/>
          <w:szCs w:val="30"/>
        </w:rPr>
        <w:t>二、 采购内容</w:t>
      </w:r>
      <w:bookmarkEnd w:id="2"/>
      <w:bookmarkEnd w:id="3"/>
    </w:p>
    <w:p w14:paraId="55DCBBD6">
      <w:pPr>
        <w:pStyle w:val="5"/>
        <w:jc w:val="both"/>
        <w:rPr>
          <w:kern w:val="0"/>
        </w:rPr>
      </w:pPr>
      <w:bookmarkStart w:id="4" w:name="_Toc385925592"/>
      <w:bookmarkStart w:id="5" w:name="_Toc364866924"/>
      <w:bookmarkStart w:id="6" w:name="_Toc372796354"/>
      <w:r>
        <w:rPr>
          <w:rFonts w:hint="eastAsia" w:ascii="宋体" w:hAnsi="宋体" w:cs="宋体"/>
          <w:bCs w:val="0"/>
          <w:kern w:val="0"/>
          <w:sz w:val="21"/>
          <w:szCs w:val="21"/>
        </w:rPr>
        <w:t>1.设备规格数量</w:t>
      </w:r>
      <w:r>
        <w:rPr>
          <w:rFonts w:hint="eastAsia" w:ascii="宋体" w:hAnsi="宋体" w:cs="宋体"/>
          <w:b w:val="0"/>
          <w:bCs w:val="0"/>
          <w:kern w:val="0"/>
          <w:sz w:val="21"/>
          <w:szCs w:val="21"/>
        </w:rPr>
        <w:t>：</w:t>
      </w:r>
      <w:bookmarkEnd w:id="4"/>
      <w:bookmarkEnd w:id="5"/>
      <w:bookmarkEnd w:id="6"/>
    </w:p>
    <w:tbl>
      <w:tblPr>
        <w:tblStyle w:val="26"/>
        <w:tblW w:w="81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2"/>
        <w:gridCol w:w="2765"/>
        <w:gridCol w:w="1227"/>
        <w:gridCol w:w="700"/>
        <w:gridCol w:w="1568"/>
        <w:gridCol w:w="1426"/>
      </w:tblGrid>
      <w:tr w14:paraId="01787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jc w:val="center"/>
        </w:trPr>
        <w:tc>
          <w:tcPr>
            <w:tcW w:w="462" w:type="dxa"/>
            <w:tcBorders>
              <w:top w:val="single" w:color="auto" w:sz="4" w:space="0"/>
              <w:left w:val="single" w:color="auto" w:sz="4" w:space="0"/>
              <w:bottom w:val="single" w:color="auto" w:sz="4" w:space="0"/>
              <w:right w:val="single" w:color="auto" w:sz="4" w:space="0"/>
            </w:tcBorders>
            <w:vAlign w:val="center"/>
          </w:tcPr>
          <w:p w14:paraId="101EE5E6">
            <w:pPr>
              <w:pStyle w:val="9"/>
              <w:jc w:val="center"/>
              <w:rPr>
                <w:rFonts w:hint="eastAsia" w:cs="宋体"/>
                <w:kern w:val="0"/>
                <w:szCs w:val="21"/>
              </w:rPr>
            </w:pPr>
            <w:r>
              <w:rPr>
                <w:rFonts w:hint="eastAsia" w:cs="宋体"/>
                <w:kern w:val="0"/>
                <w:szCs w:val="21"/>
              </w:rPr>
              <w:t>序号</w:t>
            </w:r>
          </w:p>
        </w:tc>
        <w:tc>
          <w:tcPr>
            <w:tcW w:w="2765" w:type="dxa"/>
            <w:tcBorders>
              <w:top w:val="single" w:color="auto" w:sz="4" w:space="0"/>
              <w:left w:val="single" w:color="auto" w:sz="4" w:space="0"/>
              <w:bottom w:val="single" w:color="auto" w:sz="4" w:space="0"/>
              <w:right w:val="single" w:color="auto" w:sz="4" w:space="0"/>
            </w:tcBorders>
            <w:vAlign w:val="center"/>
          </w:tcPr>
          <w:p w14:paraId="0C666447">
            <w:pPr>
              <w:pStyle w:val="9"/>
              <w:jc w:val="center"/>
              <w:rPr>
                <w:rFonts w:hint="eastAsia" w:cs="宋体"/>
                <w:kern w:val="0"/>
                <w:szCs w:val="21"/>
              </w:rPr>
            </w:pPr>
            <w:r>
              <w:rPr>
                <w:rFonts w:hint="eastAsia" w:cs="宋体"/>
                <w:kern w:val="0"/>
                <w:szCs w:val="21"/>
              </w:rPr>
              <w:t>设备名称</w:t>
            </w:r>
          </w:p>
        </w:tc>
        <w:tc>
          <w:tcPr>
            <w:tcW w:w="1227" w:type="dxa"/>
            <w:tcBorders>
              <w:top w:val="single" w:color="auto" w:sz="4" w:space="0"/>
              <w:left w:val="single" w:color="auto" w:sz="4" w:space="0"/>
              <w:bottom w:val="single" w:color="auto" w:sz="4" w:space="0"/>
              <w:right w:val="single" w:color="auto" w:sz="4" w:space="0"/>
            </w:tcBorders>
            <w:vAlign w:val="center"/>
          </w:tcPr>
          <w:p w14:paraId="4F21A25A">
            <w:pPr>
              <w:pStyle w:val="9"/>
              <w:ind w:firstLine="210" w:firstLineChars="100"/>
              <w:jc w:val="center"/>
              <w:rPr>
                <w:rFonts w:hint="eastAsia"/>
                <w:szCs w:val="21"/>
              </w:rPr>
            </w:pPr>
            <w:r>
              <w:rPr>
                <w:rFonts w:hint="eastAsia"/>
                <w:szCs w:val="21"/>
              </w:rPr>
              <w:t>设备位号</w:t>
            </w:r>
          </w:p>
        </w:tc>
        <w:tc>
          <w:tcPr>
            <w:tcW w:w="700" w:type="dxa"/>
            <w:tcBorders>
              <w:top w:val="single" w:color="auto" w:sz="4" w:space="0"/>
              <w:left w:val="single" w:color="auto" w:sz="4" w:space="0"/>
              <w:bottom w:val="single" w:color="auto" w:sz="4" w:space="0"/>
              <w:right w:val="single" w:color="auto" w:sz="4" w:space="0"/>
            </w:tcBorders>
            <w:vAlign w:val="center"/>
          </w:tcPr>
          <w:p w14:paraId="3175BE10">
            <w:pPr>
              <w:pStyle w:val="9"/>
              <w:jc w:val="center"/>
              <w:rPr>
                <w:rFonts w:hint="eastAsia"/>
                <w:szCs w:val="21"/>
              </w:rPr>
            </w:pPr>
            <w:r>
              <w:rPr>
                <w:rFonts w:hint="eastAsia"/>
                <w:szCs w:val="21"/>
              </w:rPr>
              <w:t>数量</w:t>
            </w:r>
          </w:p>
          <w:p w14:paraId="0D0933D2">
            <w:pPr>
              <w:pStyle w:val="9"/>
              <w:jc w:val="center"/>
              <w:rPr>
                <w:rFonts w:hint="eastAsia"/>
                <w:szCs w:val="21"/>
              </w:rPr>
            </w:pPr>
            <w:r>
              <w:rPr>
                <w:rFonts w:hint="eastAsia"/>
                <w:szCs w:val="21"/>
              </w:rPr>
              <w:t>(台)</w:t>
            </w:r>
          </w:p>
        </w:tc>
        <w:tc>
          <w:tcPr>
            <w:tcW w:w="1568" w:type="dxa"/>
            <w:tcBorders>
              <w:top w:val="single" w:color="auto" w:sz="4" w:space="0"/>
              <w:left w:val="single" w:color="auto" w:sz="4" w:space="0"/>
              <w:bottom w:val="single" w:color="auto" w:sz="4" w:space="0"/>
              <w:right w:val="single" w:color="auto" w:sz="4" w:space="0"/>
            </w:tcBorders>
          </w:tcPr>
          <w:p w14:paraId="3515C81F">
            <w:pPr>
              <w:pStyle w:val="9"/>
              <w:jc w:val="center"/>
              <w:rPr>
                <w:rFonts w:hint="eastAsia"/>
                <w:szCs w:val="21"/>
              </w:rPr>
            </w:pPr>
            <w:r>
              <w:rPr>
                <w:rFonts w:hint="eastAsia"/>
                <w:szCs w:val="21"/>
              </w:rPr>
              <w:t>备注</w:t>
            </w:r>
          </w:p>
        </w:tc>
        <w:tc>
          <w:tcPr>
            <w:tcW w:w="1426" w:type="dxa"/>
            <w:tcBorders>
              <w:top w:val="single" w:color="auto" w:sz="4" w:space="0"/>
              <w:left w:val="single" w:color="auto" w:sz="4" w:space="0"/>
              <w:bottom w:val="single" w:color="auto" w:sz="4" w:space="0"/>
              <w:right w:val="single" w:color="auto" w:sz="4" w:space="0"/>
            </w:tcBorders>
            <w:vAlign w:val="center"/>
          </w:tcPr>
          <w:p w14:paraId="1FAB1605">
            <w:pPr>
              <w:pStyle w:val="9"/>
              <w:jc w:val="center"/>
              <w:rPr>
                <w:rFonts w:hint="eastAsia"/>
                <w:szCs w:val="21"/>
              </w:rPr>
            </w:pPr>
            <w:r>
              <w:rPr>
                <w:rFonts w:hint="eastAsia"/>
                <w:szCs w:val="21"/>
              </w:rPr>
              <w:t>项目单位</w:t>
            </w:r>
          </w:p>
        </w:tc>
      </w:tr>
      <w:tr w14:paraId="476EB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462" w:type="dxa"/>
            <w:tcBorders>
              <w:top w:val="single" w:color="auto" w:sz="4" w:space="0"/>
              <w:left w:val="single" w:color="auto" w:sz="4" w:space="0"/>
              <w:bottom w:val="single" w:color="auto" w:sz="4" w:space="0"/>
              <w:right w:val="single" w:color="auto" w:sz="4" w:space="0"/>
            </w:tcBorders>
            <w:vAlign w:val="center"/>
          </w:tcPr>
          <w:p w14:paraId="06C42338">
            <w:pPr>
              <w:pStyle w:val="9"/>
              <w:jc w:val="center"/>
              <w:rPr>
                <w:rFonts w:hint="eastAsia" w:cs="宋体"/>
                <w:kern w:val="0"/>
                <w:szCs w:val="21"/>
              </w:rPr>
            </w:pPr>
            <w:r>
              <w:rPr>
                <w:rFonts w:hint="eastAsia" w:cs="宋体"/>
                <w:kern w:val="0"/>
                <w:szCs w:val="21"/>
              </w:rPr>
              <w:t>1</w:t>
            </w:r>
          </w:p>
        </w:tc>
        <w:tc>
          <w:tcPr>
            <w:tcW w:w="2765" w:type="dxa"/>
            <w:tcBorders>
              <w:top w:val="single" w:color="auto" w:sz="4" w:space="0"/>
              <w:left w:val="single" w:color="auto" w:sz="4" w:space="0"/>
              <w:bottom w:val="single" w:color="auto" w:sz="4" w:space="0"/>
              <w:right w:val="single" w:color="auto" w:sz="4" w:space="0"/>
            </w:tcBorders>
          </w:tcPr>
          <w:p w14:paraId="2D87E0E1">
            <w:pPr>
              <w:rPr>
                <w:sz w:val="20"/>
                <w:szCs w:val="20"/>
              </w:rPr>
            </w:pPr>
            <w:r>
              <w:rPr>
                <w:rFonts w:hint="eastAsia" w:ascii="Arial" w:hAnsi="Arial" w:cs="Arial"/>
                <w:sz w:val="20"/>
                <w:szCs w:val="20"/>
              </w:rPr>
              <w:t>化学再生罐</w:t>
            </w:r>
            <w:r>
              <w:rPr>
                <w:rFonts w:ascii="Arial" w:hAnsi="Arial" w:cs="Arial"/>
                <w:sz w:val="20"/>
                <w:szCs w:val="20"/>
              </w:rPr>
              <w:t>\67.5m3/FRP/V7103</w:t>
            </w:r>
          </w:p>
        </w:tc>
        <w:tc>
          <w:tcPr>
            <w:tcW w:w="1227" w:type="dxa"/>
            <w:tcBorders>
              <w:top w:val="single" w:color="auto" w:sz="4" w:space="0"/>
              <w:left w:val="single" w:color="auto" w:sz="4" w:space="0"/>
              <w:bottom w:val="single" w:color="auto" w:sz="4" w:space="0"/>
              <w:right w:val="single" w:color="auto" w:sz="4" w:space="0"/>
            </w:tcBorders>
            <w:vAlign w:val="center"/>
          </w:tcPr>
          <w:p w14:paraId="50CAEC4B">
            <w:pPr>
              <w:widowControl/>
              <w:jc w:val="left"/>
              <w:textAlignment w:val="center"/>
              <w:rPr>
                <w:sz w:val="20"/>
                <w:szCs w:val="20"/>
              </w:rPr>
            </w:pPr>
            <w:r>
              <w:rPr>
                <w:rFonts w:ascii="Arial" w:hAnsi="Arial" w:cs="Arial"/>
                <w:sz w:val="20"/>
                <w:szCs w:val="20"/>
              </w:rPr>
              <w:t>V7103</w:t>
            </w:r>
          </w:p>
        </w:tc>
        <w:tc>
          <w:tcPr>
            <w:tcW w:w="700" w:type="dxa"/>
            <w:tcBorders>
              <w:top w:val="single" w:color="auto" w:sz="4" w:space="0"/>
              <w:left w:val="single" w:color="auto" w:sz="4" w:space="0"/>
              <w:bottom w:val="single" w:color="auto" w:sz="4" w:space="0"/>
              <w:right w:val="single" w:color="auto" w:sz="4" w:space="0"/>
            </w:tcBorders>
            <w:vAlign w:val="center"/>
          </w:tcPr>
          <w:p w14:paraId="5C8E54BF">
            <w:pPr>
              <w:pStyle w:val="9"/>
              <w:jc w:val="center"/>
              <w:rPr>
                <w:rFonts w:hint="eastAsia" w:cs="宋体"/>
                <w:kern w:val="0"/>
                <w:szCs w:val="21"/>
              </w:rPr>
            </w:pPr>
            <w:r>
              <w:rPr>
                <w:rFonts w:hint="eastAsia" w:cs="宋体"/>
                <w:kern w:val="0"/>
                <w:szCs w:val="21"/>
              </w:rPr>
              <w:t>1</w:t>
            </w:r>
          </w:p>
        </w:tc>
        <w:tc>
          <w:tcPr>
            <w:tcW w:w="1568" w:type="dxa"/>
            <w:tcBorders>
              <w:left w:val="single" w:color="auto" w:sz="4" w:space="0"/>
              <w:right w:val="single" w:color="auto" w:sz="4" w:space="0"/>
            </w:tcBorders>
          </w:tcPr>
          <w:p w14:paraId="5B560D42">
            <w:pPr>
              <w:rPr>
                <w:rFonts w:ascii="Arial" w:hAnsi="Arial" w:cs="Arial"/>
                <w:sz w:val="20"/>
                <w:szCs w:val="20"/>
              </w:rPr>
            </w:pPr>
            <w:r>
              <w:rPr>
                <w:rFonts w:hint="eastAsia" w:ascii="Arial" w:hAnsi="Arial" w:cs="Arial"/>
                <w:sz w:val="20"/>
                <w:szCs w:val="20"/>
              </w:rPr>
              <w:t xml:space="preserve"> </w:t>
            </w:r>
          </w:p>
        </w:tc>
        <w:tc>
          <w:tcPr>
            <w:tcW w:w="1426" w:type="dxa"/>
            <w:vMerge w:val="restart"/>
            <w:tcBorders>
              <w:left w:val="single" w:color="auto" w:sz="4" w:space="0"/>
              <w:right w:val="single" w:color="auto" w:sz="4" w:space="0"/>
            </w:tcBorders>
            <w:vAlign w:val="center"/>
          </w:tcPr>
          <w:p w14:paraId="0F479012">
            <w:pPr>
              <w:pStyle w:val="9"/>
              <w:rPr>
                <w:rFonts w:hint="eastAsia" w:cs="宋体"/>
                <w:kern w:val="0"/>
                <w:szCs w:val="21"/>
              </w:rPr>
            </w:pPr>
            <w:r>
              <w:rPr>
                <w:rFonts w:hint="eastAsia"/>
                <w:color w:val="000000"/>
                <w:sz w:val="23"/>
                <w:szCs w:val="23"/>
              </w:rPr>
              <w:t>电化</w:t>
            </w:r>
          </w:p>
        </w:tc>
      </w:tr>
      <w:tr w14:paraId="286A0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462" w:type="dxa"/>
            <w:tcBorders>
              <w:top w:val="single" w:color="auto" w:sz="4" w:space="0"/>
              <w:left w:val="single" w:color="auto" w:sz="4" w:space="0"/>
              <w:bottom w:val="single" w:color="auto" w:sz="4" w:space="0"/>
              <w:right w:val="single" w:color="auto" w:sz="4" w:space="0"/>
            </w:tcBorders>
            <w:vAlign w:val="center"/>
          </w:tcPr>
          <w:p w14:paraId="47B250A8">
            <w:pPr>
              <w:pStyle w:val="9"/>
              <w:jc w:val="center"/>
              <w:rPr>
                <w:rFonts w:hint="eastAsia" w:cs="宋体"/>
                <w:kern w:val="0"/>
                <w:szCs w:val="21"/>
              </w:rPr>
            </w:pPr>
            <w:r>
              <w:rPr>
                <w:rFonts w:hint="eastAsia" w:cs="宋体"/>
                <w:kern w:val="0"/>
                <w:szCs w:val="21"/>
              </w:rPr>
              <w:t>2</w:t>
            </w:r>
          </w:p>
        </w:tc>
        <w:tc>
          <w:tcPr>
            <w:tcW w:w="2765" w:type="dxa"/>
            <w:tcBorders>
              <w:top w:val="single" w:color="auto" w:sz="4" w:space="0"/>
              <w:left w:val="single" w:color="auto" w:sz="4" w:space="0"/>
              <w:bottom w:val="single" w:color="auto" w:sz="4" w:space="0"/>
              <w:right w:val="single" w:color="auto" w:sz="4" w:space="0"/>
            </w:tcBorders>
          </w:tcPr>
          <w:p w14:paraId="1ECD197F">
            <w:pPr>
              <w:rPr>
                <w:rFonts w:ascii="Arial" w:hAnsi="Arial" w:cs="Arial"/>
                <w:sz w:val="20"/>
                <w:szCs w:val="20"/>
              </w:rPr>
            </w:pPr>
            <w:r>
              <w:rPr>
                <w:rFonts w:hint="eastAsia" w:ascii="Arial" w:hAnsi="Arial" w:cs="Arial"/>
                <w:sz w:val="20"/>
                <w:szCs w:val="20"/>
              </w:rPr>
              <w:t>放空逆水封</w:t>
            </w:r>
            <w:r>
              <w:rPr>
                <w:rFonts w:ascii="Arial" w:hAnsi="Arial" w:cs="Arial"/>
                <w:sz w:val="20"/>
                <w:szCs w:val="20"/>
              </w:rPr>
              <w:t>/FRP/V7107A</w:t>
            </w:r>
          </w:p>
        </w:tc>
        <w:tc>
          <w:tcPr>
            <w:tcW w:w="1227" w:type="dxa"/>
            <w:tcBorders>
              <w:top w:val="single" w:color="auto" w:sz="4" w:space="0"/>
              <w:left w:val="single" w:color="auto" w:sz="4" w:space="0"/>
              <w:bottom w:val="single" w:color="auto" w:sz="4" w:space="0"/>
              <w:right w:val="single" w:color="auto" w:sz="4" w:space="0"/>
            </w:tcBorders>
            <w:vAlign w:val="center"/>
          </w:tcPr>
          <w:p w14:paraId="3D57D628">
            <w:pPr>
              <w:widowControl/>
              <w:jc w:val="left"/>
              <w:textAlignment w:val="center"/>
              <w:rPr>
                <w:rFonts w:ascii="Arial" w:hAnsi="Arial" w:cs="Arial"/>
                <w:sz w:val="20"/>
                <w:szCs w:val="20"/>
              </w:rPr>
            </w:pPr>
            <w:r>
              <w:rPr>
                <w:rFonts w:ascii="Arial" w:hAnsi="Arial" w:cs="Arial"/>
                <w:sz w:val="20"/>
                <w:szCs w:val="20"/>
              </w:rPr>
              <w:t>V7107A</w:t>
            </w:r>
          </w:p>
        </w:tc>
        <w:tc>
          <w:tcPr>
            <w:tcW w:w="700" w:type="dxa"/>
            <w:tcBorders>
              <w:top w:val="single" w:color="auto" w:sz="4" w:space="0"/>
              <w:left w:val="single" w:color="auto" w:sz="4" w:space="0"/>
              <w:bottom w:val="single" w:color="auto" w:sz="4" w:space="0"/>
              <w:right w:val="single" w:color="auto" w:sz="4" w:space="0"/>
            </w:tcBorders>
            <w:vAlign w:val="center"/>
          </w:tcPr>
          <w:p w14:paraId="6B48DD0D">
            <w:pPr>
              <w:pStyle w:val="9"/>
              <w:jc w:val="center"/>
              <w:rPr>
                <w:rFonts w:hint="eastAsia" w:cs="宋体"/>
                <w:kern w:val="0"/>
                <w:szCs w:val="21"/>
              </w:rPr>
            </w:pPr>
            <w:r>
              <w:rPr>
                <w:rFonts w:hint="eastAsia" w:cs="宋体"/>
                <w:kern w:val="0"/>
                <w:szCs w:val="21"/>
              </w:rPr>
              <w:t>1</w:t>
            </w:r>
          </w:p>
        </w:tc>
        <w:tc>
          <w:tcPr>
            <w:tcW w:w="1568" w:type="dxa"/>
            <w:tcBorders>
              <w:left w:val="single" w:color="auto" w:sz="4" w:space="0"/>
              <w:right w:val="single" w:color="auto" w:sz="4" w:space="0"/>
            </w:tcBorders>
          </w:tcPr>
          <w:p w14:paraId="655525BF">
            <w:pPr>
              <w:rPr>
                <w:rFonts w:ascii="Arial" w:hAnsi="Arial" w:cs="Arial"/>
                <w:sz w:val="20"/>
                <w:szCs w:val="20"/>
              </w:rPr>
            </w:pPr>
          </w:p>
        </w:tc>
        <w:tc>
          <w:tcPr>
            <w:tcW w:w="1426" w:type="dxa"/>
            <w:vMerge w:val="continue"/>
            <w:tcBorders>
              <w:left w:val="single" w:color="auto" w:sz="4" w:space="0"/>
              <w:right w:val="single" w:color="auto" w:sz="4" w:space="0"/>
            </w:tcBorders>
            <w:vAlign w:val="center"/>
          </w:tcPr>
          <w:p w14:paraId="0E95EB21">
            <w:pPr>
              <w:pStyle w:val="9"/>
              <w:rPr>
                <w:rFonts w:hint="eastAsia"/>
                <w:color w:val="000000"/>
                <w:sz w:val="23"/>
                <w:szCs w:val="23"/>
              </w:rPr>
            </w:pPr>
          </w:p>
        </w:tc>
      </w:tr>
      <w:tr w14:paraId="3E60B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462" w:type="dxa"/>
            <w:tcBorders>
              <w:top w:val="single" w:color="auto" w:sz="4" w:space="0"/>
              <w:left w:val="single" w:color="auto" w:sz="4" w:space="0"/>
              <w:bottom w:val="single" w:color="auto" w:sz="4" w:space="0"/>
              <w:right w:val="single" w:color="auto" w:sz="4" w:space="0"/>
            </w:tcBorders>
            <w:vAlign w:val="center"/>
          </w:tcPr>
          <w:p w14:paraId="2B48591C">
            <w:pPr>
              <w:pStyle w:val="9"/>
              <w:jc w:val="center"/>
              <w:rPr>
                <w:rFonts w:hint="eastAsia" w:cs="宋体"/>
                <w:kern w:val="0"/>
                <w:szCs w:val="21"/>
              </w:rPr>
            </w:pPr>
            <w:r>
              <w:rPr>
                <w:rFonts w:hint="eastAsia" w:cs="宋体"/>
                <w:kern w:val="0"/>
                <w:szCs w:val="21"/>
              </w:rPr>
              <w:t>3</w:t>
            </w:r>
          </w:p>
        </w:tc>
        <w:tc>
          <w:tcPr>
            <w:tcW w:w="2765" w:type="dxa"/>
            <w:tcBorders>
              <w:top w:val="single" w:color="auto" w:sz="4" w:space="0"/>
              <w:left w:val="single" w:color="auto" w:sz="4" w:space="0"/>
              <w:bottom w:val="single" w:color="auto" w:sz="4" w:space="0"/>
              <w:right w:val="single" w:color="auto" w:sz="4" w:space="0"/>
            </w:tcBorders>
          </w:tcPr>
          <w:p w14:paraId="118F4571">
            <w:pPr>
              <w:rPr>
                <w:rFonts w:ascii="Arial" w:hAnsi="Arial" w:cs="Arial"/>
                <w:sz w:val="20"/>
                <w:szCs w:val="20"/>
              </w:rPr>
            </w:pPr>
            <w:r>
              <w:rPr>
                <w:rFonts w:hint="eastAsia" w:ascii="Arial" w:hAnsi="Arial" w:cs="Arial"/>
                <w:sz w:val="20"/>
                <w:szCs w:val="20"/>
              </w:rPr>
              <w:t>放空</w:t>
            </w:r>
            <w:r>
              <w:rPr>
                <w:rFonts w:hint="eastAsia" w:ascii="Arial" w:hAnsi="Arial" w:cs="Arial"/>
                <w:sz w:val="20"/>
                <w:szCs w:val="20"/>
                <w:lang w:val="en-US" w:eastAsia="zh-CN"/>
              </w:rPr>
              <w:t>正</w:t>
            </w:r>
            <w:r>
              <w:rPr>
                <w:rFonts w:hint="eastAsia" w:ascii="Arial" w:hAnsi="Arial" w:cs="Arial"/>
                <w:sz w:val="20"/>
                <w:szCs w:val="20"/>
              </w:rPr>
              <w:t>水封</w:t>
            </w:r>
            <w:r>
              <w:rPr>
                <w:rFonts w:ascii="Arial" w:hAnsi="Arial" w:cs="Arial"/>
                <w:sz w:val="20"/>
                <w:szCs w:val="20"/>
              </w:rPr>
              <w:t>/FRP/V7107B</w:t>
            </w:r>
          </w:p>
        </w:tc>
        <w:tc>
          <w:tcPr>
            <w:tcW w:w="1227" w:type="dxa"/>
            <w:tcBorders>
              <w:top w:val="single" w:color="auto" w:sz="4" w:space="0"/>
              <w:left w:val="single" w:color="auto" w:sz="4" w:space="0"/>
              <w:bottom w:val="single" w:color="auto" w:sz="4" w:space="0"/>
              <w:right w:val="single" w:color="auto" w:sz="4" w:space="0"/>
            </w:tcBorders>
            <w:vAlign w:val="center"/>
          </w:tcPr>
          <w:p w14:paraId="4067B15B">
            <w:pPr>
              <w:widowControl/>
              <w:jc w:val="left"/>
              <w:textAlignment w:val="center"/>
              <w:rPr>
                <w:rFonts w:ascii="Arial" w:hAnsi="Arial" w:cs="Arial"/>
                <w:sz w:val="20"/>
                <w:szCs w:val="20"/>
              </w:rPr>
            </w:pPr>
            <w:r>
              <w:rPr>
                <w:rFonts w:ascii="Arial" w:hAnsi="Arial" w:cs="Arial"/>
                <w:sz w:val="20"/>
                <w:szCs w:val="20"/>
              </w:rPr>
              <w:t>V7107B</w:t>
            </w:r>
            <w:bookmarkStart w:id="19" w:name="_GoBack"/>
            <w:bookmarkEnd w:id="19"/>
          </w:p>
        </w:tc>
        <w:tc>
          <w:tcPr>
            <w:tcW w:w="700" w:type="dxa"/>
            <w:tcBorders>
              <w:top w:val="single" w:color="auto" w:sz="4" w:space="0"/>
              <w:left w:val="single" w:color="auto" w:sz="4" w:space="0"/>
              <w:bottom w:val="single" w:color="auto" w:sz="4" w:space="0"/>
              <w:right w:val="single" w:color="auto" w:sz="4" w:space="0"/>
            </w:tcBorders>
            <w:vAlign w:val="center"/>
          </w:tcPr>
          <w:p w14:paraId="0D8A2E0B">
            <w:pPr>
              <w:pStyle w:val="9"/>
              <w:jc w:val="center"/>
              <w:rPr>
                <w:rFonts w:hint="eastAsia" w:cs="宋体"/>
                <w:kern w:val="0"/>
                <w:szCs w:val="21"/>
              </w:rPr>
            </w:pPr>
            <w:r>
              <w:rPr>
                <w:rFonts w:hint="eastAsia" w:cs="宋体"/>
                <w:kern w:val="0"/>
                <w:szCs w:val="21"/>
              </w:rPr>
              <w:t>1</w:t>
            </w:r>
          </w:p>
        </w:tc>
        <w:tc>
          <w:tcPr>
            <w:tcW w:w="1568" w:type="dxa"/>
            <w:tcBorders>
              <w:left w:val="single" w:color="auto" w:sz="4" w:space="0"/>
              <w:right w:val="single" w:color="auto" w:sz="4" w:space="0"/>
            </w:tcBorders>
          </w:tcPr>
          <w:p w14:paraId="09151F5C">
            <w:pPr>
              <w:rPr>
                <w:rFonts w:ascii="Arial" w:hAnsi="Arial" w:cs="Arial"/>
                <w:sz w:val="20"/>
                <w:szCs w:val="20"/>
              </w:rPr>
            </w:pPr>
          </w:p>
        </w:tc>
        <w:tc>
          <w:tcPr>
            <w:tcW w:w="1426" w:type="dxa"/>
            <w:vMerge w:val="continue"/>
            <w:tcBorders>
              <w:left w:val="single" w:color="auto" w:sz="4" w:space="0"/>
              <w:right w:val="single" w:color="auto" w:sz="4" w:space="0"/>
            </w:tcBorders>
            <w:vAlign w:val="center"/>
          </w:tcPr>
          <w:p w14:paraId="0A60CB37">
            <w:pPr>
              <w:pStyle w:val="9"/>
              <w:rPr>
                <w:rFonts w:hint="eastAsia"/>
                <w:color w:val="000000"/>
                <w:sz w:val="23"/>
                <w:szCs w:val="23"/>
              </w:rPr>
            </w:pPr>
          </w:p>
        </w:tc>
      </w:tr>
      <w:tr w14:paraId="40CF2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462" w:type="dxa"/>
            <w:tcBorders>
              <w:top w:val="single" w:color="auto" w:sz="4" w:space="0"/>
              <w:left w:val="single" w:color="auto" w:sz="4" w:space="0"/>
              <w:bottom w:val="single" w:color="auto" w:sz="4" w:space="0"/>
              <w:right w:val="single" w:color="auto" w:sz="4" w:space="0"/>
            </w:tcBorders>
            <w:vAlign w:val="center"/>
          </w:tcPr>
          <w:p w14:paraId="3CA083F9">
            <w:pPr>
              <w:pStyle w:val="9"/>
              <w:jc w:val="center"/>
              <w:rPr>
                <w:rFonts w:hint="eastAsia" w:cs="宋体"/>
                <w:kern w:val="0"/>
                <w:szCs w:val="21"/>
              </w:rPr>
            </w:pPr>
            <w:r>
              <w:rPr>
                <w:rFonts w:hint="eastAsia" w:cs="宋体"/>
                <w:kern w:val="0"/>
                <w:szCs w:val="21"/>
              </w:rPr>
              <w:t>4</w:t>
            </w:r>
          </w:p>
        </w:tc>
        <w:tc>
          <w:tcPr>
            <w:tcW w:w="2765" w:type="dxa"/>
            <w:tcBorders>
              <w:top w:val="single" w:color="auto" w:sz="4" w:space="0"/>
              <w:left w:val="single" w:color="auto" w:sz="4" w:space="0"/>
              <w:bottom w:val="single" w:color="auto" w:sz="4" w:space="0"/>
              <w:right w:val="single" w:color="auto" w:sz="4" w:space="0"/>
            </w:tcBorders>
          </w:tcPr>
          <w:p w14:paraId="74F3A99E">
            <w:pPr>
              <w:widowControl/>
              <w:rPr>
                <w:rFonts w:hint="eastAsia" w:ascii="Arial" w:hAnsi="Arial" w:cs="Arial"/>
                <w:kern w:val="0"/>
                <w:sz w:val="20"/>
                <w:szCs w:val="20"/>
              </w:rPr>
            </w:pPr>
            <w:r>
              <w:rPr>
                <w:rFonts w:ascii="Arial" w:hAnsi="Arial" w:cs="Arial"/>
                <w:sz w:val="20"/>
                <w:szCs w:val="20"/>
              </w:rPr>
              <w:t>尾气排放筒\5m3/PVC/FRP/S2010</w:t>
            </w:r>
          </w:p>
        </w:tc>
        <w:tc>
          <w:tcPr>
            <w:tcW w:w="1227" w:type="dxa"/>
            <w:tcBorders>
              <w:top w:val="single" w:color="auto" w:sz="4" w:space="0"/>
              <w:left w:val="single" w:color="auto" w:sz="4" w:space="0"/>
              <w:bottom w:val="single" w:color="auto" w:sz="4" w:space="0"/>
              <w:right w:val="single" w:color="auto" w:sz="4" w:space="0"/>
            </w:tcBorders>
            <w:vAlign w:val="center"/>
          </w:tcPr>
          <w:p w14:paraId="42BEFB26">
            <w:pPr>
              <w:widowControl/>
              <w:jc w:val="left"/>
              <w:textAlignment w:val="center"/>
              <w:rPr>
                <w:rFonts w:ascii="Arial" w:hAnsi="Arial" w:cs="Arial"/>
                <w:sz w:val="20"/>
                <w:szCs w:val="20"/>
              </w:rPr>
            </w:pPr>
            <w:r>
              <w:rPr>
                <w:rFonts w:ascii="Arial" w:hAnsi="Arial" w:cs="Arial"/>
                <w:sz w:val="20"/>
                <w:szCs w:val="20"/>
              </w:rPr>
              <w:t>S2010</w:t>
            </w:r>
          </w:p>
        </w:tc>
        <w:tc>
          <w:tcPr>
            <w:tcW w:w="700" w:type="dxa"/>
            <w:tcBorders>
              <w:top w:val="single" w:color="auto" w:sz="4" w:space="0"/>
              <w:left w:val="single" w:color="auto" w:sz="4" w:space="0"/>
              <w:bottom w:val="single" w:color="auto" w:sz="4" w:space="0"/>
              <w:right w:val="single" w:color="auto" w:sz="4" w:space="0"/>
            </w:tcBorders>
            <w:vAlign w:val="center"/>
          </w:tcPr>
          <w:p w14:paraId="5D6A21C0">
            <w:pPr>
              <w:pStyle w:val="9"/>
              <w:jc w:val="center"/>
              <w:rPr>
                <w:rFonts w:hint="eastAsia" w:cs="宋体"/>
                <w:kern w:val="0"/>
                <w:szCs w:val="21"/>
              </w:rPr>
            </w:pPr>
            <w:r>
              <w:rPr>
                <w:rFonts w:hint="eastAsia" w:cs="宋体"/>
                <w:kern w:val="0"/>
                <w:szCs w:val="21"/>
              </w:rPr>
              <w:t>1</w:t>
            </w:r>
          </w:p>
        </w:tc>
        <w:tc>
          <w:tcPr>
            <w:tcW w:w="1568" w:type="dxa"/>
            <w:tcBorders>
              <w:left w:val="single" w:color="auto" w:sz="4" w:space="0"/>
              <w:right w:val="single" w:color="auto" w:sz="4" w:space="0"/>
            </w:tcBorders>
          </w:tcPr>
          <w:p w14:paraId="4B9DACEC">
            <w:pPr>
              <w:rPr>
                <w:rFonts w:ascii="Arial" w:hAnsi="Arial" w:cs="Arial"/>
                <w:sz w:val="20"/>
                <w:szCs w:val="20"/>
              </w:rPr>
            </w:pPr>
          </w:p>
        </w:tc>
        <w:tc>
          <w:tcPr>
            <w:tcW w:w="1426" w:type="dxa"/>
            <w:vMerge w:val="continue"/>
            <w:tcBorders>
              <w:left w:val="single" w:color="auto" w:sz="4" w:space="0"/>
              <w:right w:val="single" w:color="auto" w:sz="4" w:space="0"/>
            </w:tcBorders>
            <w:vAlign w:val="center"/>
          </w:tcPr>
          <w:p w14:paraId="7AFFC255">
            <w:pPr>
              <w:pStyle w:val="9"/>
              <w:rPr>
                <w:rFonts w:hint="eastAsia"/>
                <w:color w:val="000000"/>
                <w:sz w:val="23"/>
                <w:szCs w:val="23"/>
              </w:rPr>
            </w:pPr>
          </w:p>
        </w:tc>
      </w:tr>
    </w:tbl>
    <w:p w14:paraId="7D49891F">
      <w:pPr>
        <w:pStyle w:val="48"/>
        <w:tabs>
          <w:tab w:val="left" w:pos="6946"/>
          <w:tab w:val="left" w:pos="9540"/>
        </w:tabs>
        <w:autoSpaceDE w:val="0"/>
        <w:autoSpaceDN w:val="0"/>
        <w:spacing w:line="360" w:lineRule="auto"/>
        <w:ind w:firstLine="424" w:firstLineChars="201"/>
        <w:textAlignment w:val="bottom"/>
        <w:rPr>
          <w:rFonts w:hint="eastAsia" w:hAnsi="宋体"/>
          <w:b/>
          <w:sz w:val="21"/>
          <w:szCs w:val="21"/>
        </w:rPr>
      </w:pPr>
    </w:p>
    <w:p w14:paraId="5058C9AE">
      <w:pPr>
        <w:pStyle w:val="48"/>
        <w:tabs>
          <w:tab w:val="left" w:pos="6946"/>
          <w:tab w:val="left" w:pos="9540"/>
        </w:tabs>
        <w:autoSpaceDE w:val="0"/>
        <w:autoSpaceDN w:val="0"/>
        <w:spacing w:line="360" w:lineRule="auto"/>
        <w:ind w:firstLine="424" w:firstLineChars="201"/>
        <w:textAlignment w:val="bottom"/>
        <w:rPr>
          <w:rFonts w:hAnsi="宋体"/>
          <w:b/>
          <w:sz w:val="21"/>
          <w:szCs w:val="21"/>
        </w:rPr>
      </w:pPr>
      <w:r>
        <w:rPr>
          <w:rFonts w:hint="eastAsia" w:hAnsi="宋体"/>
          <w:b/>
          <w:sz w:val="21"/>
          <w:szCs w:val="21"/>
        </w:rPr>
        <w:t>*化学再生罐、放空逆水封、放空正水封详见设备的招标用图纸，管口按管口方位图。注：各设备招标用图纸仅用于招标，设备最终按终版蓝图进行制作，除直径、高度（长度）、厚度三项主要尺寸和主要材质发生变更外，其它变更商务价格不作调整。</w:t>
      </w:r>
    </w:p>
    <w:p w14:paraId="091E6A05">
      <w:pPr>
        <w:pStyle w:val="48"/>
        <w:tabs>
          <w:tab w:val="left" w:pos="6946"/>
          <w:tab w:val="left" w:pos="9540"/>
        </w:tabs>
        <w:autoSpaceDE w:val="0"/>
        <w:autoSpaceDN w:val="0"/>
        <w:spacing w:line="360" w:lineRule="auto"/>
        <w:ind w:firstLine="424" w:firstLineChars="201"/>
        <w:textAlignment w:val="bottom"/>
        <w:rPr>
          <w:rFonts w:hint="eastAsia" w:hAnsi="宋体"/>
          <w:b/>
          <w:sz w:val="21"/>
          <w:szCs w:val="21"/>
        </w:rPr>
      </w:pPr>
      <w:r>
        <w:rPr>
          <w:rFonts w:hint="eastAsia" w:hAnsi="宋体"/>
          <w:b/>
          <w:sz w:val="21"/>
          <w:szCs w:val="21"/>
        </w:rPr>
        <w:t>尾气排放筒材质：PVC外缠FRP，设备PVC部分按HG20640-97,FRP部分按HG/T20696-2018的要求制造、检验。树脂请根据工况选择，制造本设备的PVC板材应符合GB22789.1-2023规定,管材应符合 GB4219.1-2008-T规定,不允许采用再生PVC；需配各筒段联接螺栓，垫片。所有配套紧固件要求外涂特氟龙，使用双头螺柱。发货时可分段发运。</w:t>
      </w:r>
    </w:p>
    <w:p w14:paraId="6ED5E9C0">
      <w:pPr>
        <w:pStyle w:val="5"/>
        <w:jc w:val="both"/>
        <w:rPr>
          <w:rFonts w:hint="eastAsia" w:ascii="宋体" w:hAnsi="宋体" w:cs="宋体"/>
          <w:b w:val="0"/>
          <w:bCs w:val="0"/>
          <w:kern w:val="0"/>
          <w:sz w:val="21"/>
          <w:szCs w:val="21"/>
        </w:rPr>
      </w:pPr>
    </w:p>
    <w:p w14:paraId="1F7563D6">
      <w:pPr>
        <w:pStyle w:val="48"/>
        <w:tabs>
          <w:tab w:val="left" w:pos="6946"/>
          <w:tab w:val="left" w:pos="9540"/>
        </w:tabs>
        <w:autoSpaceDE w:val="0"/>
        <w:autoSpaceDN w:val="0"/>
        <w:spacing w:line="360" w:lineRule="auto"/>
        <w:textAlignment w:val="bottom"/>
        <w:rPr>
          <w:rFonts w:hint="eastAsia" w:hAnsi="宋体" w:cs="宋体"/>
          <w:b/>
          <w:sz w:val="21"/>
          <w:szCs w:val="21"/>
        </w:rPr>
      </w:pPr>
      <w:r>
        <w:rPr>
          <w:rFonts w:hint="eastAsia" w:hAnsi="宋体" w:cs="宋体"/>
          <w:b/>
          <w:sz w:val="21"/>
          <w:szCs w:val="21"/>
        </w:rPr>
        <w:t>*</w:t>
      </w:r>
      <w:r>
        <w:rPr>
          <w:rFonts w:hAnsi="宋体" w:cs="宋体"/>
          <w:b/>
          <w:sz w:val="21"/>
          <w:szCs w:val="21"/>
        </w:rPr>
        <w:t>2</w:t>
      </w:r>
      <w:r>
        <w:rPr>
          <w:rFonts w:hint="eastAsia" w:hAnsi="宋体" w:cs="宋体"/>
          <w:b/>
          <w:sz w:val="21"/>
          <w:szCs w:val="21"/>
        </w:rPr>
        <w:t>.技术要求及执行标准</w:t>
      </w:r>
    </w:p>
    <w:p w14:paraId="00F41416">
      <w:pPr>
        <w:tabs>
          <w:tab w:val="left" w:pos="9540"/>
        </w:tabs>
        <w:spacing w:line="360" w:lineRule="auto"/>
        <w:ind w:firstLine="359" w:firstLineChars="171"/>
        <w:rPr>
          <w:rFonts w:hint="eastAsia" w:ascii="宋体" w:hAnsi="宋体"/>
          <w:szCs w:val="21"/>
        </w:rPr>
      </w:pPr>
      <w:r>
        <w:rPr>
          <w:rFonts w:hint="eastAsia" w:ascii="宋体" w:hAnsi="宋体"/>
          <w:szCs w:val="21"/>
        </w:rPr>
        <w:t>2.1设备按HG/T20696-2018的要求设计、制造、检验。</w:t>
      </w:r>
    </w:p>
    <w:p w14:paraId="5BC21BCB">
      <w:pPr>
        <w:tabs>
          <w:tab w:val="left" w:pos="9540"/>
        </w:tabs>
        <w:spacing w:line="360" w:lineRule="auto"/>
        <w:ind w:firstLine="359" w:firstLineChars="171"/>
        <w:rPr>
          <w:rFonts w:hint="eastAsia" w:ascii="宋体" w:hAnsi="宋体"/>
          <w:szCs w:val="21"/>
        </w:rPr>
      </w:pPr>
      <w:r>
        <w:rPr>
          <w:rFonts w:hint="eastAsia" w:ascii="宋体" w:hAnsi="宋体"/>
          <w:szCs w:val="21"/>
        </w:rPr>
        <w:t>2.2 FRP应分为耐腐蚀层、结构层、耐候层。请分别明确厚度、树脂品牌、牌号。请根据物料特性、设备结构设计、选用适用的树脂。</w:t>
      </w:r>
    </w:p>
    <w:p w14:paraId="4A778E9E">
      <w:pPr>
        <w:tabs>
          <w:tab w:val="left" w:pos="9540"/>
        </w:tabs>
        <w:spacing w:line="360" w:lineRule="auto"/>
        <w:ind w:firstLine="359" w:firstLineChars="171"/>
        <w:rPr>
          <w:rFonts w:hint="eastAsia" w:ascii="宋体" w:hAnsi="宋体"/>
          <w:szCs w:val="21"/>
        </w:rPr>
      </w:pPr>
      <w:r>
        <w:rPr>
          <w:rFonts w:hint="eastAsia" w:ascii="宋体" w:hAnsi="宋体"/>
          <w:szCs w:val="21"/>
        </w:rPr>
        <w:t>2.3 其他按招标图技术要求</w:t>
      </w:r>
    </w:p>
    <w:p w14:paraId="5C0D2890">
      <w:pPr>
        <w:tabs>
          <w:tab w:val="left" w:pos="9540"/>
        </w:tabs>
        <w:spacing w:line="360" w:lineRule="auto"/>
        <w:ind w:firstLine="420" w:firstLineChars="200"/>
        <w:rPr>
          <w:rFonts w:hint="eastAsia" w:ascii="宋体" w:hAnsi="宋体"/>
          <w:szCs w:val="21"/>
        </w:rPr>
      </w:pPr>
      <w:r>
        <w:rPr>
          <w:rFonts w:hint="eastAsia" w:ascii="宋体" w:hAnsi="宋体"/>
          <w:szCs w:val="21"/>
        </w:rPr>
        <w:t>2.4收货地址为浙江衢州巨化。按浙江巨化股份有限公司电化厂离子膜车间、氯化钙车间等两个地址卸货，请考虑相应费用。</w:t>
      </w:r>
    </w:p>
    <w:p w14:paraId="7FDA0BCD">
      <w:pPr>
        <w:spacing w:line="360" w:lineRule="auto"/>
        <w:rPr>
          <w:rFonts w:hint="eastAsia" w:ascii="宋体" w:hAnsi="宋体"/>
          <w:szCs w:val="21"/>
        </w:rPr>
      </w:pPr>
    </w:p>
    <w:p w14:paraId="6B03C276">
      <w:pPr>
        <w:spacing w:line="360" w:lineRule="auto"/>
        <w:rPr>
          <w:rFonts w:hint="eastAsia" w:ascii="宋体" w:hAnsi="宋体"/>
          <w:szCs w:val="21"/>
        </w:rPr>
      </w:pPr>
    </w:p>
    <w:p w14:paraId="0A4826FA">
      <w:pPr>
        <w:spacing w:line="360" w:lineRule="auto"/>
        <w:rPr>
          <w:rFonts w:hint="eastAsia" w:ascii="宋体" w:hAnsi="宋体"/>
          <w:b/>
          <w:sz w:val="28"/>
          <w:szCs w:val="28"/>
        </w:rPr>
      </w:pPr>
      <w:r>
        <w:rPr>
          <w:rFonts w:ascii="宋体" w:hAnsi="宋体"/>
          <w:b/>
          <w:sz w:val="28"/>
          <w:szCs w:val="28"/>
        </w:rPr>
        <w:t>3</w:t>
      </w:r>
      <w:r>
        <w:rPr>
          <w:rFonts w:hint="eastAsia" w:ascii="宋体" w:hAnsi="宋体"/>
          <w:b/>
          <w:sz w:val="28"/>
          <w:szCs w:val="28"/>
        </w:rPr>
        <w:t>. 检验与试验</w:t>
      </w:r>
    </w:p>
    <w:p w14:paraId="0D0BECE9">
      <w:pPr>
        <w:adjustRightInd w:val="0"/>
        <w:snapToGrid w:val="0"/>
        <w:spacing w:line="312" w:lineRule="auto"/>
        <w:ind w:firstLine="411" w:firstLineChars="196"/>
        <w:rPr>
          <w:rFonts w:hint="eastAsia" w:hAnsi="宋体"/>
          <w:bCs/>
          <w:color w:val="000000"/>
          <w:szCs w:val="21"/>
        </w:rPr>
      </w:pPr>
      <w:r>
        <w:rPr>
          <w:rFonts w:hint="eastAsia" w:hAnsi="宋体"/>
          <w:bCs/>
          <w:color w:val="000000"/>
          <w:szCs w:val="21"/>
        </w:rPr>
        <w:t>中标方严格按照有关的标准规范、图纸及招标方的要求进行检验和试验，具体要求如下：</w:t>
      </w:r>
    </w:p>
    <w:p w14:paraId="1D8C60F1">
      <w:pPr>
        <w:spacing w:line="360" w:lineRule="auto"/>
        <w:rPr>
          <w:rFonts w:hint="eastAsia" w:ascii="宋体" w:hAnsi="宋体"/>
          <w:color w:val="000000"/>
          <w:szCs w:val="21"/>
        </w:rPr>
      </w:pPr>
      <w:r>
        <w:rPr>
          <w:rFonts w:ascii="宋体" w:hAnsi="宋体"/>
          <w:color w:val="000000"/>
          <w:szCs w:val="21"/>
        </w:rPr>
        <w:t>3</w:t>
      </w:r>
      <w:r>
        <w:rPr>
          <w:rFonts w:hint="eastAsia" w:ascii="宋体" w:hAnsi="宋体"/>
          <w:color w:val="000000"/>
          <w:szCs w:val="21"/>
        </w:rPr>
        <w:t>.1 在设备加工制造过程中，需要设置停滞点，供双方验收的工序如下：1、材料到货后的复检；2、设备制作完成后各类试验；3、设备干燥、密封检查。以上检验和试验报告应随其他检验报告一起提供给招标方。</w:t>
      </w:r>
    </w:p>
    <w:p w14:paraId="2D6FBD2B">
      <w:pPr>
        <w:spacing w:line="360" w:lineRule="auto"/>
        <w:rPr>
          <w:rFonts w:hint="eastAsia" w:ascii="宋体" w:hAnsi="宋体"/>
          <w:szCs w:val="21"/>
        </w:rPr>
      </w:pPr>
      <w:r>
        <w:rPr>
          <w:rFonts w:ascii="宋体" w:hAnsi="宋体"/>
          <w:szCs w:val="21"/>
        </w:rPr>
        <w:t>3</w:t>
      </w:r>
      <w:r>
        <w:rPr>
          <w:rFonts w:hint="eastAsia" w:ascii="宋体" w:hAnsi="宋体"/>
          <w:szCs w:val="21"/>
        </w:rPr>
        <w:t>.2 中标方应编制详细的加工制造进度计划给招标方，并在上述停滞点前5个工作日书面通知招标方参与现场验收，招标方在接到书面通知3个工作日内决定是否派人参与现场验收，并通知到中标方。中标方必须在得到招标方认可后方可进入下一道工序。</w:t>
      </w:r>
    </w:p>
    <w:p w14:paraId="32B8D644">
      <w:pPr>
        <w:spacing w:line="360" w:lineRule="auto"/>
        <w:rPr>
          <w:rFonts w:hint="eastAsia" w:ascii="宋体" w:hAnsi="宋体"/>
          <w:szCs w:val="21"/>
        </w:rPr>
      </w:pPr>
      <w:r>
        <w:rPr>
          <w:rFonts w:ascii="宋体" w:hAnsi="宋体"/>
          <w:szCs w:val="21"/>
        </w:rPr>
        <w:t>3</w:t>
      </w:r>
      <w:r>
        <w:rPr>
          <w:rFonts w:hint="eastAsia" w:ascii="宋体" w:hAnsi="宋体"/>
          <w:szCs w:val="21"/>
        </w:rPr>
        <w:t>.3 招标方的现场验收并不免除中标方对产品的质量、进度责任。</w:t>
      </w:r>
    </w:p>
    <w:p w14:paraId="7800B8A7">
      <w:pPr>
        <w:spacing w:line="360" w:lineRule="auto"/>
        <w:rPr>
          <w:rFonts w:hint="eastAsia" w:ascii="宋体" w:hAnsi="宋体"/>
        </w:rPr>
      </w:pPr>
    </w:p>
    <w:p w14:paraId="4EB8E996">
      <w:pPr>
        <w:spacing w:line="360" w:lineRule="auto"/>
        <w:rPr>
          <w:rFonts w:hint="eastAsia" w:ascii="宋体" w:hAnsi="宋体"/>
          <w:b/>
          <w:sz w:val="28"/>
          <w:szCs w:val="28"/>
        </w:rPr>
      </w:pPr>
      <w:r>
        <w:rPr>
          <w:rFonts w:ascii="宋体" w:hAnsi="宋体"/>
          <w:b/>
          <w:sz w:val="28"/>
          <w:szCs w:val="28"/>
        </w:rPr>
        <w:t>4</w:t>
      </w:r>
      <w:r>
        <w:rPr>
          <w:rFonts w:hint="eastAsia" w:ascii="宋体" w:hAnsi="宋体"/>
          <w:b/>
          <w:sz w:val="28"/>
          <w:szCs w:val="28"/>
        </w:rPr>
        <w:t>. 包装与运输</w:t>
      </w:r>
    </w:p>
    <w:p w14:paraId="26E5F057">
      <w:pPr>
        <w:spacing w:line="360" w:lineRule="auto"/>
        <w:rPr>
          <w:rFonts w:hint="eastAsia" w:ascii="宋体" w:hAnsi="宋体"/>
        </w:rPr>
      </w:pPr>
      <w:r>
        <w:rPr>
          <w:rFonts w:ascii="宋体" w:hAnsi="宋体"/>
        </w:rPr>
        <w:t>4</w:t>
      </w:r>
      <w:r>
        <w:rPr>
          <w:rFonts w:hint="eastAsia" w:ascii="宋体" w:hAnsi="宋体"/>
        </w:rPr>
        <w:t>.1</w:t>
      </w:r>
      <w:r>
        <w:rPr>
          <w:rFonts w:hint="eastAsia" w:ascii="宋体" w:hAnsi="宋体"/>
          <w:szCs w:val="21"/>
        </w:rPr>
        <w:t>设备在起吊装车</w:t>
      </w:r>
      <w:r>
        <w:rPr>
          <w:rFonts w:ascii="宋体" w:hAnsi="宋体"/>
          <w:szCs w:val="21"/>
        </w:rPr>
        <w:t>过程中不得用钢丝绳直接捆扎，</w:t>
      </w:r>
      <w:r>
        <w:rPr>
          <w:rFonts w:hint="eastAsia" w:ascii="宋体" w:hAnsi="宋体"/>
          <w:szCs w:val="21"/>
        </w:rPr>
        <w:t>应</w:t>
      </w:r>
      <w:r>
        <w:rPr>
          <w:rFonts w:ascii="宋体" w:hAnsi="宋体"/>
          <w:szCs w:val="21"/>
        </w:rPr>
        <w:t>垫放软垫或用吊带起吊，</w:t>
      </w:r>
      <w:r>
        <w:rPr>
          <w:rFonts w:hint="eastAsia" w:ascii="宋体" w:hAnsi="宋体"/>
          <w:szCs w:val="21"/>
        </w:rPr>
        <w:t>起吊</w:t>
      </w:r>
      <w:r>
        <w:rPr>
          <w:rFonts w:ascii="宋体" w:hAnsi="宋体"/>
          <w:szCs w:val="21"/>
        </w:rPr>
        <w:t>时，</w:t>
      </w:r>
      <w:r>
        <w:rPr>
          <w:rFonts w:hint="eastAsia" w:ascii="宋体" w:hAnsi="宋体"/>
          <w:szCs w:val="21"/>
        </w:rPr>
        <w:t>设备</w:t>
      </w:r>
      <w:r>
        <w:rPr>
          <w:rFonts w:ascii="宋体" w:hAnsi="宋体"/>
          <w:szCs w:val="21"/>
        </w:rPr>
        <w:t>上的接管、法兰不得作为着力点，</w:t>
      </w:r>
      <w:r>
        <w:rPr>
          <w:rFonts w:hint="eastAsia" w:ascii="宋体" w:hAnsi="宋体"/>
          <w:szCs w:val="21"/>
        </w:rPr>
        <w:t>装车</w:t>
      </w:r>
      <w:r>
        <w:rPr>
          <w:rFonts w:ascii="宋体" w:hAnsi="宋体"/>
          <w:szCs w:val="21"/>
        </w:rPr>
        <w:t>时</w:t>
      </w:r>
      <w:r>
        <w:rPr>
          <w:rFonts w:hint="eastAsia" w:ascii="宋体" w:hAnsi="宋体"/>
          <w:szCs w:val="21"/>
        </w:rPr>
        <w:t>运输</w:t>
      </w:r>
      <w:r>
        <w:rPr>
          <w:rFonts w:ascii="宋体" w:hAnsi="宋体"/>
          <w:szCs w:val="21"/>
        </w:rPr>
        <w:t>车内应设有软垫板</w:t>
      </w:r>
      <w:r>
        <w:rPr>
          <w:rFonts w:hint="eastAsia" w:ascii="宋体" w:hAnsi="宋体"/>
          <w:szCs w:val="21"/>
        </w:rPr>
        <w:t>，</w:t>
      </w:r>
      <w:r>
        <w:rPr>
          <w:rFonts w:ascii="宋体" w:hAnsi="宋体"/>
          <w:szCs w:val="21"/>
        </w:rPr>
        <w:t>防止设备</w:t>
      </w:r>
      <w:r>
        <w:rPr>
          <w:rFonts w:hint="eastAsia" w:ascii="宋体" w:hAnsi="宋体"/>
          <w:szCs w:val="21"/>
        </w:rPr>
        <w:t>窜动</w:t>
      </w:r>
      <w:r>
        <w:rPr>
          <w:rFonts w:ascii="宋体" w:hAnsi="宋体"/>
          <w:szCs w:val="21"/>
        </w:rPr>
        <w:t>或滚动</w:t>
      </w:r>
      <w:r>
        <w:rPr>
          <w:rFonts w:hint="eastAsia" w:ascii="宋体" w:hAnsi="宋体"/>
          <w:szCs w:val="21"/>
        </w:rPr>
        <w:t>。</w:t>
      </w:r>
    </w:p>
    <w:p w14:paraId="065AB2B3">
      <w:pPr>
        <w:widowControl/>
        <w:rPr>
          <w:rFonts w:hint="eastAsia" w:ascii="宋体" w:hAnsi="宋体"/>
          <w:szCs w:val="21"/>
        </w:rPr>
      </w:pPr>
    </w:p>
    <w:p w14:paraId="5E421311">
      <w:pPr>
        <w:spacing w:line="360" w:lineRule="auto"/>
        <w:rPr>
          <w:rFonts w:hint="eastAsia" w:ascii="宋体" w:hAnsi="宋体"/>
          <w:szCs w:val="21"/>
        </w:rPr>
      </w:pPr>
    </w:p>
    <w:p w14:paraId="27E26EBC">
      <w:pPr>
        <w:spacing w:line="360" w:lineRule="auto"/>
        <w:rPr>
          <w:rFonts w:hint="eastAsia" w:ascii="宋体" w:hAnsi="宋体"/>
        </w:rPr>
      </w:pPr>
    </w:p>
    <w:p w14:paraId="34BEE9EE">
      <w:pPr>
        <w:tabs>
          <w:tab w:val="left" w:pos="9540"/>
        </w:tabs>
        <w:spacing w:line="360" w:lineRule="auto"/>
        <w:rPr>
          <w:rFonts w:hint="eastAsia" w:ascii="宋体" w:hAnsi="宋体"/>
          <w:b/>
          <w:sz w:val="28"/>
          <w:szCs w:val="28"/>
        </w:rPr>
      </w:pPr>
      <w:r>
        <w:rPr>
          <w:rFonts w:ascii="宋体" w:hAnsi="宋体"/>
          <w:b/>
          <w:sz w:val="28"/>
          <w:szCs w:val="28"/>
        </w:rPr>
        <w:t>5</w:t>
      </w:r>
      <w:r>
        <w:rPr>
          <w:rFonts w:hint="eastAsia" w:ascii="宋体" w:hAnsi="宋体"/>
          <w:b/>
          <w:sz w:val="28"/>
          <w:szCs w:val="28"/>
        </w:rPr>
        <w:t>.</w:t>
      </w:r>
      <w:r>
        <w:rPr>
          <w:rFonts w:hint="eastAsia" w:ascii="宋体" w:hAnsi="宋体"/>
          <w:b/>
          <w:color w:val="000000"/>
          <w:sz w:val="28"/>
          <w:szCs w:val="28"/>
        </w:rPr>
        <w:t xml:space="preserve"> 设备质保及售后服务承诺</w:t>
      </w:r>
    </w:p>
    <w:p w14:paraId="1B211BD1">
      <w:pPr>
        <w:spacing w:line="360" w:lineRule="auto"/>
        <w:rPr>
          <w:rFonts w:hint="eastAsia" w:ascii="宋体" w:hAnsi="宋体"/>
        </w:rPr>
      </w:pPr>
      <w:r>
        <w:rPr>
          <w:rFonts w:ascii="宋体" w:hAnsi="宋体"/>
        </w:rPr>
        <w:t>5</w:t>
      </w:r>
      <w:r>
        <w:rPr>
          <w:rFonts w:hint="eastAsia" w:ascii="宋体" w:hAnsi="宋体"/>
        </w:rPr>
        <w:t>.1 投标人应保证提供的产品是全新、未使用过的，按正确工艺生产的，完全符合技术要求中对规格、性能、质量要求的产品。</w:t>
      </w:r>
    </w:p>
    <w:p w14:paraId="6034D7EC">
      <w:pPr>
        <w:spacing w:line="360" w:lineRule="auto"/>
        <w:rPr>
          <w:rFonts w:hint="eastAsia" w:ascii="宋体" w:hAnsi="宋体"/>
        </w:rPr>
      </w:pPr>
      <w:r>
        <w:rPr>
          <w:rFonts w:ascii="宋体" w:hAnsi="宋体"/>
        </w:rPr>
        <w:t>5</w:t>
      </w:r>
      <w:r>
        <w:rPr>
          <w:rFonts w:hint="eastAsia" w:ascii="宋体" w:hAnsi="宋体"/>
        </w:rPr>
        <w:t>.2 质量保证期：</w:t>
      </w:r>
      <w:r>
        <w:rPr>
          <w:rFonts w:hint="eastAsia" w:ascii="宋体" w:hAnsi="宋体"/>
          <w:szCs w:val="21"/>
        </w:rPr>
        <w:t>投标人承诺的</w:t>
      </w:r>
      <w:r>
        <w:rPr>
          <w:rFonts w:ascii="宋体" w:hAnsi="宋体"/>
          <w:szCs w:val="21"/>
        </w:rPr>
        <w:t>质保期</w:t>
      </w:r>
      <w:r>
        <w:rPr>
          <w:rFonts w:hint="eastAsia" w:ascii="宋体" w:hAnsi="宋体"/>
          <w:szCs w:val="21"/>
        </w:rPr>
        <w:t>不得低于化工投料运行后</w:t>
      </w:r>
      <w:r>
        <w:rPr>
          <w:rFonts w:ascii="宋体" w:hAnsi="宋体"/>
          <w:szCs w:val="21"/>
        </w:rPr>
        <w:t>12个月或货到现场后18个月。</w:t>
      </w:r>
      <w:r>
        <w:rPr>
          <w:rFonts w:hint="eastAsia" w:ascii="宋体" w:hAnsi="宋体"/>
          <w:szCs w:val="21"/>
        </w:rPr>
        <w:t>投标人承诺的质保期越长，则在技术标评分中越有优势。</w:t>
      </w:r>
    </w:p>
    <w:p w14:paraId="664C5F02">
      <w:pPr>
        <w:spacing w:line="360" w:lineRule="auto"/>
        <w:rPr>
          <w:rFonts w:hint="eastAsia" w:ascii="宋体" w:hAnsi="宋体"/>
        </w:rPr>
      </w:pPr>
      <w:r>
        <w:rPr>
          <w:rFonts w:ascii="宋体" w:hAnsi="宋体"/>
        </w:rPr>
        <w:t>5</w:t>
      </w:r>
      <w:r>
        <w:rPr>
          <w:rFonts w:hint="eastAsia" w:ascii="宋体" w:hAnsi="宋体"/>
        </w:rPr>
        <w:t>.3 售后服务承诺：</w:t>
      </w:r>
      <w:r>
        <w:rPr>
          <w:rFonts w:hint="eastAsia" w:ascii="宋体" w:hAnsi="宋体"/>
          <w:szCs w:val="21"/>
        </w:rPr>
        <w:t>投标人须在投标时明确异常情况出现时的响应速度和处理方法。</w:t>
      </w:r>
    </w:p>
    <w:p w14:paraId="1AE5CD9C">
      <w:pPr>
        <w:tabs>
          <w:tab w:val="left" w:pos="9540"/>
        </w:tabs>
        <w:spacing w:line="360" w:lineRule="auto"/>
        <w:rPr>
          <w:rFonts w:hint="eastAsia" w:ascii="宋体" w:hAnsi="宋体"/>
          <w:szCs w:val="21"/>
        </w:rPr>
      </w:pPr>
      <w:r>
        <w:rPr>
          <w:rFonts w:ascii="宋体" w:hAnsi="宋体"/>
          <w:szCs w:val="21"/>
        </w:rPr>
        <w:t>5</w:t>
      </w:r>
      <w:r>
        <w:rPr>
          <w:rFonts w:hint="eastAsia" w:ascii="宋体" w:hAnsi="宋体"/>
          <w:szCs w:val="21"/>
        </w:rPr>
        <w:t xml:space="preserve">.4 </w:t>
      </w:r>
      <w:r>
        <w:rPr>
          <w:rFonts w:ascii="宋体" w:hAnsi="宋体"/>
          <w:kern w:val="0"/>
          <w:szCs w:val="21"/>
        </w:rPr>
        <w:t>在质保期内，投标人应负责因设备本身导致的各种故障的免费技术服务及维修。在故障处理完成后，质保期应重新进行计算。</w:t>
      </w:r>
    </w:p>
    <w:p w14:paraId="7D0D9323">
      <w:pPr>
        <w:tabs>
          <w:tab w:val="left" w:pos="9540"/>
        </w:tabs>
        <w:spacing w:line="360" w:lineRule="auto"/>
        <w:rPr>
          <w:rFonts w:hint="eastAsia" w:ascii="宋体" w:hAnsi="宋体"/>
          <w:szCs w:val="21"/>
        </w:rPr>
      </w:pPr>
    </w:p>
    <w:p w14:paraId="0CD2B222">
      <w:pPr>
        <w:tabs>
          <w:tab w:val="left" w:pos="9540"/>
        </w:tabs>
        <w:spacing w:line="360" w:lineRule="auto"/>
        <w:rPr>
          <w:rFonts w:hint="eastAsia" w:ascii="宋体" w:hAnsi="宋体"/>
          <w:b/>
          <w:sz w:val="28"/>
          <w:szCs w:val="28"/>
        </w:rPr>
      </w:pPr>
      <w:r>
        <w:rPr>
          <w:rFonts w:ascii="宋体" w:hAnsi="宋体"/>
          <w:b/>
          <w:sz w:val="28"/>
          <w:szCs w:val="28"/>
        </w:rPr>
        <w:t>6</w:t>
      </w:r>
      <w:r>
        <w:rPr>
          <w:rFonts w:hint="eastAsia" w:ascii="宋体" w:hAnsi="宋体"/>
          <w:b/>
          <w:sz w:val="28"/>
          <w:szCs w:val="28"/>
        </w:rPr>
        <w:t xml:space="preserve">. </w:t>
      </w:r>
      <w:r>
        <w:rPr>
          <w:rFonts w:hint="eastAsia" w:hAnsi="宋体"/>
          <w:b/>
          <w:sz w:val="28"/>
          <w:szCs w:val="28"/>
        </w:rPr>
        <w:t>资料图纸交付及保密要求</w:t>
      </w:r>
    </w:p>
    <w:p w14:paraId="0A08851E">
      <w:pPr>
        <w:ind w:left="716" w:leftChars="114" w:hanging="477" w:hangingChars="199"/>
        <w:rPr>
          <w:rFonts w:hint="eastAsia" w:ascii="宋体" w:hAnsi="宋体"/>
          <w:sz w:val="24"/>
        </w:rPr>
      </w:pPr>
      <w:r>
        <w:rPr>
          <w:rFonts w:hint="eastAsia" w:ascii="宋体" w:hAnsi="宋体"/>
          <w:sz w:val="24"/>
        </w:rPr>
        <w:t>*</w:t>
      </w:r>
      <w:r>
        <w:rPr>
          <w:rFonts w:ascii="宋体" w:hAnsi="宋体"/>
          <w:sz w:val="24"/>
        </w:rPr>
        <w:t>6</w:t>
      </w:r>
      <w:r>
        <w:rPr>
          <w:rFonts w:hint="eastAsia" w:ascii="宋体" w:hAnsi="宋体"/>
          <w:sz w:val="24"/>
        </w:rPr>
        <w:t>.1投标人在投标时至少要提供以下资料文件以供评审：公司生产能力和资质简介，近三年玻璃钢的制造业绩和产值，制造加工进度计划表，人员配置，材料到货计划，制造加工工艺说明，详细说明贮槽制作中各项具体工序及各个工序的质量控制方法并设置便于招标方中间验收的质量停止点，质量控制说明（如材料复检内容说明等），主要材料、部件供货商名录，外协件和外协厂家清单等等。树脂，玻纤请明确型号，品牌</w:t>
      </w:r>
    </w:p>
    <w:p w14:paraId="03E77D4F">
      <w:pPr>
        <w:ind w:left="716" w:leftChars="114" w:hanging="477" w:hangingChars="199"/>
        <w:rPr>
          <w:rFonts w:hint="eastAsia" w:ascii="宋体" w:hAnsi="宋体"/>
          <w:sz w:val="24"/>
        </w:rPr>
      </w:pPr>
    </w:p>
    <w:p w14:paraId="62BEF605">
      <w:pPr>
        <w:snapToGrid w:val="0"/>
        <w:spacing w:line="360" w:lineRule="auto"/>
        <w:rPr>
          <w:rFonts w:hint="eastAsia" w:ascii="宋体" w:hAnsi="宋体"/>
          <w:szCs w:val="21"/>
        </w:rPr>
      </w:pPr>
    </w:p>
    <w:p w14:paraId="05506C0E">
      <w:pPr>
        <w:spacing w:line="360" w:lineRule="auto"/>
        <w:rPr>
          <w:rFonts w:hint="eastAsia" w:ascii="宋体" w:hAnsi="宋体" w:cs="Arial"/>
          <w:szCs w:val="21"/>
        </w:rPr>
      </w:pPr>
    </w:p>
    <w:p w14:paraId="794E0B2E">
      <w:pPr>
        <w:tabs>
          <w:tab w:val="left" w:pos="9540"/>
        </w:tabs>
        <w:spacing w:line="360" w:lineRule="auto"/>
        <w:rPr>
          <w:rFonts w:hint="eastAsia" w:ascii="宋体" w:hAnsi="宋体"/>
          <w:b/>
          <w:sz w:val="28"/>
          <w:szCs w:val="28"/>
        </w:rPr>
      </w:pPr>
      <w:r>
        <w:rPr>
          <w:rFonts w:ascii="宋体" w:hAnsi="宋体"/>
          <w:b/>
          <w:sz w:val="28"/>
          <w:szCs w:val="28"/>
        </w:rPr>
        <w:t>7</w:t>
      </w:r>
      <w:r>
        <w:rPr>
          <w:rFonts w:hint="eastAsia" w:ascii="宋体" w:hAnsi="宋体"/>
          <w:b/>
          <w:sz w:val="28"/>
          <w:szCs w:val="28"/>
        </w:rPr>
        <w:t xml:space="preserve">. </w:t>
      </w:r>
      <w:r>
        <w:rPr>
          <w:rFonts w:hint="eastAsia" w:hAnsi="宋体"/>
          <w:b/>
          <w:sz w:val="28"/>
          <w:szCs w:val="28"/>
        </w:rPr>
        <w:t>保密要求</w:t>
      </w:r>
    </w:p>
    <w:p w14:paraId="420FE975">
      <w:pPr>
        <w:pStyle w:val="5"/>
        <w:jc w:val="both"/>
        <w:rPr>
          <w:rFonts w:hint="eastAsia" w:ascii="宋体" w:hAnsi="宋体" w:cs="Times New Roman"/>
          <w:b w:val="0"/>
          <w:bCs w:val="0"/>
          <w:sz w:val="21"/>
          <w:szCs w:val="21"/>
        </w:rPr>
      </w:pPr>
      <w:r>
        <w:rPr>
          <w:rFonts w:hint="eastAsia" w:ascii="宋体" w:hAnsi="宋体" w:cs="Times New Roman"/>
          <w:b w:val="0"/>
          <w:bCs w:val="0"/>
          <w:sz w:val="21"/>
          <w:szCs w:val="21"/>
        </w:rPr>
        <w:t>招标方有权力直接派授权代表或委托第三方进行驻厂监造，招标方监造人员有义务为其在监造期间从投标方获得的有关投标方技术、工艺、生产、经营等方面的信息保密；投标方对招标方提供的图纸及相关交流的信息进行保密，不得以任何形式透露第三方知道。否则泄密方承担相应的法律责任。</w:t>
      </w:r>
    </w:p>
    <w:p w14:paraId="777C102E">
      <w:pPr>
        <w:pStyle w:val="5"/>
        <w:jc w:val="both"/>
        <w:rPr>
          <w:rFonts w:hint="eastAsia" w:ascii="宋体" w:hAnsi="宋体" w:cs="Times New Roman"/>
          <w:sz w:val="30"/>
          <w:szCs w:val="30"/>
        </w:rPr>
      </w:pPr>
      <w:bookmarkStart w:id="7" w:name="_Toc359873218"/>
      <w:bookmarkStart w:id="8" w:name="_Toc385925621"/>
      <w:r>
        <w:rPr>
          <w:rFonts w:hint="eastAsia" w:ascii="宋体" w:hAnsi="宋体" w:cs="Times New Roman"/>
          <w:sz w:val="30"/>
          <w:szCs w:val="30"/>
        </w:rPr>
        <w:t>三、主要商务条款</w:t>
      </w:r>
      <w:bookmarkEnd w:id="7"/>
      <w:bookmarkEnd w:id="8"/>
    </w:p>
    <w:p w14:paraId="6D85BD61">
      <w:pPr>
        <w:pStyle w:val="3"/>
        <w:numPr>
          <w:ilvl w:val="0"/>
          <w:numId w:val="1"/>
        </w:numPr>
        <w:jc w:val="left"/>
        <w:rPr>
          <w:sz w:val="21"/>
          <w:szCs w:val="21"/>
          <w:u w:val="single"/>
        </w:rPr>
      </w:pPr>
      <w:bookmarkStart w:id="9" w:name="_Toc385925622"/>
      <w:r>
        <w:rPr>
          <w:rFonts w:hint="eastAsia"/>
          <w:sz w:val="21"/>
          <w:szCs w:val="21"/>
        </w:rPr>
        <w:t>供货范围：</w:t>
      </w:r>
      <w:bookmarkEnd w:id="9"/>
    </w:p>
    <w:p w14:paraId="3EBF1811">
      <w:pPr>
        <w:spacing w:line="400" w:lineRule="exact"/>
        <w:ind w:firstLine="420" w:firstLineChars="200"/>
        <w:rPr>
          <w:rFonts w:hint="eastAsia" w:ascii="宋体" w:hAnsi="宋体" w:cs="宋体"/>
          <w:b/>
          <w:kern w:val="0"/>
          <w:sz w:val="24"/>
        </w:rPr>
      </w:pPr>
      <w:r>
        <w:rPr>
          <w:rFonts w:hint="eastAsia" w:ascii="宋体" w:hAnsi="宋体" w:cs="宋体"/>
          <w:kern w:val="0"/>
          <w:szCs w:val="21"/>
          <w:u w:val="single"/>
        </w:rPr>
        <w:t>1.1招标内容：</w:t>
      </w:r>
      <w:r>
        <w:rPr>
          <w:rFonts w:hint="eastAsia" w:ascii="微软雅黑" w:hAnsi="微软雅黑" w:eastAsia="微软雅黑" w:cs="Arial"/>
          <w:sz w:val="20"/>
          <w:szCs w:val="20"/>
        </w:rPr>
        <w:t>玻璃钢设备</w:t>
      </w:r>
    </w:p>
    <w:p w14:paraId="440B1852">
      <w:pPr>
        <w:spacing w:line="400" w:lineRule="exact"/>
        <w:ind w:firstLine="420" w:firstLineChars="200"/>
        <w:rPr>
          <w:rFonts w:hint="eastAsia" w:ascii="宋体" w:hAnsi="宋体" w:cs="宋体"/>
          <w:kern w:val="0"/>
          <w:szCs w:val="21"/>
        </w:rPr>
      </w:pPr>
      <w:r>
        <w:rPr>
          <w:rFonts w:hint="eastAsia" w:ascii="宋体" w:hAnsi="宋体" w:cs="宋体"/>
          <w:kern w:val="0"/>
          <w:szCs w:val="21"/>
        </w:rPr>
        <w:t>1.2报价一律以人民币报价。本项目投标总价包括标的物的设计、制造、包装、运输、保险、验收、技术资料、服务、指导安装及调试等。</w:t>
      </w:r>
    </w:p>
    <w:p w14:paraId="78B0DAF3">
      <w:pPr>
        <w:spacing w:line="400" w:lineRule="exact"/>
        <w:ind w:firstLine="420" w:firstLineChars="200"/>
        <w:rPr>
          <w:rFonts w:hint="eastAsia" w:ascii="宋体" w:hAnsi="宋体" w:cs="宋体"/>
          <w:kern w:val="0"/>
          <w:szCs w:val="21"/>
        </w:rPr>
      </w:pPr>
      <w:r>
        <w:rPr>
          <w:rFonts w:hint="eastAsia" w:ascii="宋体" w:hAnsi="宋体" w:cs="宋体"/>
          <w:kern w:val="0"/>
          <w:szCs w:val="21"/>
        </w:rPr>
        <w:t>1.3投标文件中要求对主要的构成进行分项报价（含随机备件、随机专用工具、指导调试培训费用等）；报价单格式详见附件。</w:t>
      </w:r>
    </w:p>
    <w:p w14:paraId="33CCA253">
      <w:pPr>
        <w:pStyle w:val="3"/>
        <w:numPr>
          <w:ilvl w:val="0"/>
          <w:numId w:val="1"/>
        </w:numPr>
        <w:jc w:val="left"/>
        <w:rPr>
          <w:sz w:val="21"/>
          <w:szCs w:val="21"/>
        </w:rPr>
      </w:pPr>
      <w:bookmarkStart w:id="10" w:name="_Toc385925623"/>
      <w:r>
        <w:rPr>
          <w:rFonts w:hint="eastAsia"/>
          <w:sz w:val="21"/>
          <w:szCs w:val="21"/>
        </w:rPr>
        <w:t>交货</w:t>
      </w:r>
      <w:bookmarkEnd w:id="10"/>
    </w:p>
    <w:p w14:paraId="4C7C2258">
      <w:pPr>
        <w:rPr>
          <w:rFonts w:hint="eastAsia" w:ascii="宋体" w:hAnsi="宋体" w:cs="宋体"/>
          <w:kern w:val="0"/>
          <w:szCs w:val="21"/>
        </w:rPr>
      </w:pPr>
      <w:r>
        <w:rPr>
          <w:rFonts w:hint="eastAsia" w:ascii="宋体" w:hAnsi="宋体"/>
          <w:kern w:val="144"/>
          <w:sz w:val="28"/>
          <w:szCs w:val="28"/>
        </w:rPr>
        <w:t>*</w:t>
      </w:r>
      <w:r>
        <w:rPr>
          <w:rFonts w:hint="eastAsia" w:ascii="宋体" w:hAnsi="宋体" w:cs="宋体"/>
          <w:kern w:val="0"/>
          <w:szCs w:val="21"/>
        </w:rPr>
        <w:t>2.1 交货期：合同签字盖章生效后50个日历日内</w:t>
      </w:r>
      <w:r>
        <w:rPr>
          <w:rFonts w:hint="eastAsia"/>
          <w:sz w:val="20"/>
          <w:szCs w:val="20"/>
        </w:rPr>
        <w:t>。</w:t>
      </w:r>
      <w:r>
        <w:rPr>
          <w:rFonts w:hint="eastAsia" w:ascii="宋体" w:hAnsi="宋体" w:cs="宋体"/>
          <w:kern w:val="0"/>
          <w:szCs w:val="21"/>
        </w:rPr>
        <w:t>可自报最短交货期。</w:t>
      </w:r>
    </w:p>
    <w:p w14:paraId="513E5BCA">
      <w:pPr>
        <w:spacing w:line="400" w:lineRule="exact"/>
        <w:rPr>
          <w:rFonts w:hint="eastAsia" w:ascii="宋体" w:hAnsi="宋体" w:cs="宋体"/>
          <w:kern w:val="0"/>
          <w:szCs w:val="21"/>
        </w:rPr>
      </w:pPr>
      <w:r>
        <w:rPr>
          <w:rFonts w:hint="eastAsia" w:ascii="宋体" w:hAnsi="宋体" w:cs="宋体"/>
          <w:kern w:val="0"/>
          <w:szCs w:val="21"/>
        </w:rPr>
        <w:t>2.2 交货方式：全部标的物到招标人项目现场车板整体交货。</w:t>
      </w:r>
    </w:p>
    <w:p w14:paraId="60543BB5">
      <w:pPr>
        <w:spacing w:line="400" w:lineRule="exact"/>
        <w:rPr>
          <w:rFonts w:hint="eastAsia" w:ascii="宋体" w:hAnsi="宋体" w:cs="宋体"/>
          <w:kern w:val="0"/>
          <w:szCs w:val="21"/>
        </w:rPr>
      </w:pPr>
      <w:r>
        <w:rPr>
          <w:rFonts w:hint="eastAsia" w:ascii="宋体" w:hAnsi="宋体" w:cs="宋体"/>
          <w:kern w:val="0"/>
          <w:szCs w:val="21"/>
        </w:rPr>
        <w:t>2.3 包装标准、包装物的供应与回收：按出厂标准，提供标的物运至合同规定的最终目的地所需要的包装，这类包装应采取防潮、防晒、防锈、防腐蚀、防震动及防止其它损坏的必要保护措施，从而保护标的物能够经多次搬运、装卸和长途运输而不被损坏。投标人应承担由于其包装或防护措施不妥而引起标的物锈蚀、损坏和丢失的任何损失的责任或费用。包装物不回收</w:t>
      </w:r>
      <w:r>
        <w:rPr>
          <w:rFonts w:ascii="宋体" w:hAnsi="宋体" w:cs="宋体"/>
          <w:kern w:val="0"/>
          <w:szCs w:val="21"/>
        </w:rPr>
        <w:t>。</w:t>
      </w:r>
      <w:r>
        <w:rPr>
          <w:rFonts w:hint="eastAsia" w:ascii="宋体" w:hAnsi="宋体" w:cs="宋体"/>
          <w:kern w:val="0"/>
          <w:szCs w:val="21"/>
        </w:rPr>
        <w:t>标的物的包装箱内应有设备装箱单及随机资料。</w:t>
      </w:r>
    </w:p>
    <w:p w14:paraId="1A837B1A">
      <w:pPr>
        <w:spacing w:line="400" w:lineRule="exact"/>
        <w:rPr>
          <w:rFonts w:hint="eastAsia" w:ascii="宋体" w:hAnsi="宋体" w:cs="宋体"/>
          <w:kern w:val="0"/>
          <w:szCs w:val="21"/>
        </w:rPr>
      </w:pPr>
      <w:r>
        <w:rPr>
          <w:rFonts w:hint="eastAsia" w:ascii="宋体" w:hAnsi="宋体" w:cs="宋体"/>
          <w:kern w:val="0"/>
          <w:szCs w:val="21"/>
        </w:rPr>
        <w:t>2.4 投标人提供的产品必须具备适合于长途运输所必须的外包装标识。具体内容参见产品唛头，唛头必须牢固粘贴在外包装显著部位，唛头格式见附件8。出厂规格型号在的范围需用木箱包装，规格型号在范围以上无须木箱包装。</w:t>
      </w:r>
    </w:p>
    <w:p w14:paraId="411660F3">
      <w:pPr>
        <w:pStyle w:val="3"/>
        <w:numPr>
          <w:ilvl w:val="0"/>
          <w:numId w:val="1"/>
        </w:numPr>
        <w:jc w:val="left"/>
        <w:rPr>
          <w:sz w:val="21"/>
          <w:szCs w:val="21"/>
        </w:rPr>
      </w:pPr>
      <w:bookmarkStart w:id="11" w:name="_Toc385925624"/>
      <w:r>
        <w:rPr>
          <w:rFonts w:hint="eastAsia"/>
          <w:sz w:val="21"/>
          <w:szCs w:val="21"/>
        </w:rPr>
        <w:t>货款支付</w:t>
      </w:r>
      <w:bookmarkEnd w:id="11"/>
    </w:p>
    <w:p w14:paraId="6479FC34">
      <w:pPr>
        <w:pStyle w:val="40"/>
        <w:spacing w:line="400" w:lineRule="exact"/>
        <w:ind w:left="420" w:firstLine="0" w:firstLineChars="0"/>
        <w:rPr>
          <w:rFonts w:hint="eastAsia" w:ascii="宋体" w:hAnsi="宋体" w:cs="宋体"/>
          <w:kern w:val="0"/>
          <w:szCs w:val="21"/>
        </w:rPr>
      </w:pPr>
      <w:r>
        <w:rPr>
          <w:rFonts w:hint="eastAsia" w:ascii="宋体" w:hAnsi="宋体" w:cs="宋体"/>
          <w:kern w:val="0"/>
          <w:szCs w:val="21"/>
        </w:rPr>
        <w:t>*3.1货款支付使用银行承兑汇票。</w:t>
      </w:r>
    </w:p>
    <w:p w14:paraId="36CD33F4">
      <w:pPr>
        <w:pStyle w:val="40"/>
        <w:spacing w:line="400" w:lineRule="exact"/>
        <w:ind w:left="420" w:firstLine="0" w:firstLineChars="0"/>
        <w:rPr>
          <w:rFonts w:hint="eastAsia" w:ascii="宋体" w:hAnsi="宋体" w:cs="宋体"/>
          <w:kern w:val="0"/>
          <w:szCs w:val="21"/>
        </w:rPr>
      </w:pPr>
      <w:r>
        <w:rPr>
          <w:rFonts w:hint="eastAsia" w:ascii="宋体" w:hAnsi="宋体" w:cs="宋体"/>
          <w:kern w:val="0"/>
          <w:szCs w:val="21"/>
        </w:rPr>
        <w:t>*3.2；设备到货验收合格后，供方提供合同全额（含13%增值税</w:t>
      </w:r>
      <w:r>
        <w:rPr>
          <w:rFonts w:ascii="宋体" w:hAnsi="宋体" w:cs="宋体"/>
          <w:kern w:val="0"/>
          <w:szCs w:val="21"/>
        </w:rPr>
        <w:t>）</w:t>
      </w:r>
      <w:r>
        <w:rPr>
          <w:rFonts w:hint="eastAsia" w:ascii="宋体" w:hAnsi="宋体" w:cs="宋体"/>
          <w:kern w:val="0"/>
          <w:szCs w:val="21"/>
        </w:rPr>
        <w:t>发票。需方在两个月内向供方支付合同总金额90%的到货款；</w:t>
      </w:r>
    </w:p>
    <w:p w14:paraId="28E1A6EF">
      <w:pPr>
        <w:pStyle w:val="40"/>
        <w:spacing w:line="400" w:lineRule="exact"/>
        <w:ind w:left="420" w:firstLine="0" w:firstLineChars="0"/>
        <w:rPr>
          <w:rFonts w:hint="eastAsia" w:ascii="宋体" w:hAnsi="宋体" w:cs="宋体"/>
          <w:kern w:val="0"/>
          <w:szCs w:val="21"/>
        </w:rPr>
      </w:pPr>
      <w:r>
        <w:rPr>
          <w:rFonts w:hint="eastAsia" w:ascii="宋体" w:hAnsi="宋体" w:cs="宋体"/>
          <w:kern w:val="0"/>
          <w:szCs w:val="21"/>
        </w:rPr>
        <w:t>*3.3合同总金额的10%作为质保金，在设备投入运行18个月后无质量异议付清。</w:t>
      </w:r>
    </w:p>
    <w:p w14:paraId="73CDF79D">
      <w:pPr>
        <w:pStyle w:val="40"/>
        <w:spacing w:line="400" w:lineRule="exact"/>
        <w:ind w:left="420" w:firstLine="0" w:firstLineChars="0"/>
        <w:rPr>
          <w:rFonts w:hint="eastAsia" w:ascii="宋体" w:hAnsi="宋体" w:cs="宋体"/>
          <w:kern w:val="0"/>
          <w:szCs w:val="21"/>
        </w:rPr>
      </w:pPr>
    </w:p>
    <w:p w14:paraId="3FA1253E">
      <w:pPr>
        <w:pStyle w:val="3"/>
        <w:numPr>
          <w:ilvl w:val="0"/>
          <w:numId w:val="1"/>
        </w:numPr>
        <w:jc w:val="left"/>
        <w:rPr>
          <w:sz w:val="21"/>
          <w:szCs w:val="21"/>
        </w:rPr>
      </w:pPr>
      <w:bookmarkStart w:id="12" w:name="_Toc385925625"/>
      <w:r>
        <w:rPr>
          <w:rFonts w:hint="eastAsia"/>
          <w:sz w:val="21"/>
          <w:szCs w:val="21"/>
        </w:rPr>
        <w:t>质量保证期</w:t>
      </w:r>
      <w:bookmarkEnd w:id="12"/>
      <w:r>
        <w:rPr>
          <w:rFonts w:hint="eastAsia"/>
          <w:sz w:val="21"/>
          <w:szCs w:val="21"/>
        </w:rPr>
        <w:t>`</w:t>
      </w:r>
    </w:p>
    <w:p w14:paraId="241E81E2">
      <w:pPr>
        <w:ind w:firstLine="420" w:firstLineChars="200"/>
        <w:rPr>
          <w:rFonts w:hint="eastAsia" w:ascii="宋体" w:hAnsi="宋体"/>
          <w:szCs w:val="21"/>
        </w:rPr>
      </w:pPr>
      <w:r>
        <w:rPr>
          <w:rFonts w:hint="eastAsia" w:ascii="宋体" w:hAnsi="宋体"/>
          <w:szCs w:val="21"/>
        </w:rPr>
        <w:t>4.1自产品调试合格运转之日起12个月或最后一批标的物交验之日起18个月（以先到为准）。</w:t>
      </w:r>
    </w:p>
    <w:p w14:paraId="41698415">
      <w:pPr>
        <w:pStyle w:val="3"/>
        <w:numPr>
          <w:ilvl w:val="0"/>
          <w:numId w:val="1"/>
        </w:numPr>
        <w:jc w:val="left"/>
        <w:rPr>
          <w:sz w:val="21"/>
          <w:szCs w:val="21"/>
        </w:rPr>
      </w:pPr>
      <w:bookmarkStart w:id="13" w:name="_Toc385925627"/>
      <w:r>
        <w:rPr>
          <w:rFonts w:hint="eastAsia"/>
          <w:sz w:val="21"/>
          <w:szCs w:val="21"/>
        </w:rPr>
        <w:t>验收</w:t>
      </w:r>
      <w:bookmarkEnd w:id="13"/>
    </w:p>
    <w:p w14:paraId="07FCF053">
      <w:pPr>
        <w:spacing w:line="400" w:lineRule="exact"/>
        <w:rPr>
          <w:rFonts w:hint="eastAsia" w:ascii="宋体" w:hAnsi="宋体" w:cs="宋体"/>
          <w:kern w:val="0"/>
          <w:szCs w:val="21"/>
        </w:rPr>
      </w:pPr>
      <w:r>
        <w:rPr>
          <w:rFonts w:hint="eastAsia" w:ascii="宋体" w:hAnsi="宋体" w:cs="宋体"/>
          <w:kern w:val="0"/>
          <w:szCs w:val="21"/>
        </w:rPr>
        <w:t xml:space="preserve">5.1投标人应提供标的物的有效检验文件，经招标人认可后，按合同的性能指标、技术协议、招投标文件一起作为标的物验收标准，验收标准有冲突时，以双方签订合同条款为准。验收中发现标的物达不到验收标准或合同规定的性能指标，投标人必须调整或更换标的物，并且赔偿由此给用户造成的损失。在标的物制作过程中，招标人有权派代表随时到制造现场监制，无论招标人是否参与监制,均不视为投标人按合同规定应当承当的质量保证的解除,也不免除投标人对合同设备所负的责任和义务。投标人使用不符合设计要求及国家质量标准的材料时，招标人有权要求投标人立即停止使用并予以更换，由此造成的损失全部由投标人承担。 </w:t>
      </w:r>
    </w:p>
    <w:p w14:paraId="0D9C59B3">
      <w:pPr>
        <w:pStyle w:val="3"/>
        <w:numPr>
          <w:ilvl w:val="0"/>
          <w:numId w:val="1"/>
        </w:numPr>
        <w:jc w:val="left"/>
        <w:rPr>
          <w:sz w:val="21"/>
          <w:szCs w:val="21"/>
        </w:rPr>
      </w:pPr>
      <w:bookmarkStart w:id="14" w:name="_Toc385925628"/>
      <w:r>
        <w:rPr>
          <w:rFonts w:hint="eastAsia"/>
          <w:sz w:val="21"/>
          <w:szCs w:val="21"/>
        </w:rPr>
        <w:t>违约责任</w:t>
      </w:r>
      <w:bookmarkEnd w:id="14"/>
    </w:p>
    <w:p w14:paraId="4229EEAF">
      <w:pPr>
        <w:adjustRightInd w:val="0"/>
        <w:snapToGrid w:val="0"/>
        <w:spacing w:line="360" w:lineRule="auto"/>
        <w:rPr>
          <w:rFonts w:hint="eastAsia" w:ascii="宋体" w:hAnsi="宋体" w:cs="宋体"/>
          <w:kern w:val="0"/>
          <w:szCs w:val="21"/>
        </w:rPr>
      </w:pPr>
      <w:bookmarkStart w:id="15" w:name="_Toc385925629"/>
      <w:r>
        <w:rPr>
          <w:rFonts w:hint="eastAsia" w:ascii="宋体" w:hAnsi="宋体" w:cs="宋体"/>
          <w:kern w:val="0"/>
          <w:szCs w:val="21"/>
        </w:rPr>
        <w:t>6.1如因投标人自身原因造成逾期交货，交货时间（以实际签收日为准）每推迟一天支付合同总价的0.5%违约金，违约金累计总金额不超过合同总金额的30%。逾期交货超过15天，视为投标人交货不能，招标人有权终止合同，终止合同后5个工作日内投标人全额返还招标人所有已付款项，并支付违约金30%，且招标人保留进一步索赔的权利。</w:t>
      </w:r>
    </w:p>
    <w:p w14:paraId="5DB6946D">
      <w:pPr>
        <w:spacing w:line="360" w:lineRule="auto"/>
        <w:rPr>
          <w:rFonts w:hint="eastAsia" w:ascii="宋体" w:hAnsi="宋体" w:cs="宋体"/>
          <w:kern w:val="0"/>
          <w:szCs w:val="21"/>
        </w:rPr>
      </w:pPr>
      <w:r>
        <w:rPr>
          <w:rFonts w:hint="eastAsia" w:ascii="宋体" w:hAnsi="宋体" w:cs="宋体"/>
          <w:kern w:val="0"/>
          <w:szCs w:val="21"/>
        </w:rPr>
        <w:t>6.2 如因中标人所提供的设备有质量缺陷，在质保期内中标人负责免费赔偿。</w:t>
      </w:r>
    </w:p>
    <w:p w14:paraId="4069062B">
      <w:pPr>
        <w:spacing w:line="360" w:lineRule="auto"/>
        <w:rPr>
          <w:rFonts w:hint="eastAsia" w:ascii="宋体" w:hAnsi="宋体" w:cs="宋体"/>
          <w:kern w:val="0"/>
          <w:szCs w:val="21"/>
        </w:rPr>
      </w:pPr>
      <w:r>
        <w:rPr>
          <w:rFonts w:hint="eastAsia" w:ascii="宋体" w:hAnsi="宋体" w:cs="宋体"/>
          <w:kern w:val="0"/>
          <w:szCs w:val="21"/>
        </w:rPr>
        <w:t>6.3如中标人产品质量不符合标准，1、可接受的按质论价。2、不可接受的须在30天内予以解决，否则招标人有权终止合同并保留索赔的权利。若终止合同，中标人须在5个工作日内全额返还招标人所有已付款项。</w:t>
      </w:r>
    </w:p>
    <w:p w14:paraId="181E8108">
      <w:pPr>
        <w:pStyle w:val="3"/>
        <w:ind w:left="0"/>
        <w:jc w:val="left"/>
        <w:rPr>
          <w:rFonts w:hint="eastAsia" w:ascii="宋体" w:hAnsi="宋体" w:eastAsia="宋体" w:cs="宋体"/>
          <w:b w:val="0"/>
          <w:kern w:val="0"/>
          <w:sz w:val="21"/>
          <w:szCs w:val="21"/>
        </w:rPr>
      </w:pPr>
      <w:r>
        <w:rPr>
          <w:rFonts w:hint="eastAsia"/>
          <w:sz w:val="21"/>
          <w:szCs w:val="21"/>
        </w:rPr>
        <w:t>7、合同生效</w:t>
      </w:r>
      <w:bookmarkEnd w:id="15"/>
    </w:p>
    <w:p w14:paraId="6548C87A">
      <w:pPr>
        <w:spacing w:line="400" w:lineRule="exact"/>
        <w:rPr>
          <w:rFonts w:hint="eastAsia" w:ascii="宋体" w:hAnsi="宋体" w:cs="宋体"/>
          <w:kern w:val="0"/>
          <w:szCs w:val="21"/>
        </w:rPr>
      </w:pPr>
      <w:r>
        <w:rPr>
          <w:rFonts w:hint="eastAsia" w:ascii="宋体" w:hAnsi="宋体" w:cs="宋体"/>
          <w:kern w:val="0"/>
          <w:szCs w:val="21"/>
        </w:rPr>
        <w:t>经供需双方签字、且单位盖章后合同即生效。本合同在履行过程中发生争议、纠纷，由双方当事人友好协商解决，协商不成时，依法向招标人所在地人民法院提起诉讼。</w:t>
      </w:r>
    </w:p>
    <w:p w14:paraId="343FCF7B">
      <w:pPr>
        <w:pStyle w:val="3"/>
        <w:rPr>
          <w:sz w:val="28"/>
          <w:szCs w:val="28"/>
        </w:rPr>
      </w:pPr>
    </w:p>
    <w:p w14:paraId="7FC883EF">
      <w:pPr>
        <w:pStyle w:val="5"/>
      </w:pPr>
    </w:p>
    <w:p w14:paraId="57514B21">
      <w:pPr>
        <w:pStyle w:val="5"/>
      </w:pPr>
    </w:p>
    <w:p w14:paraId="207BF036">
      <w:pPr>
        <w:pStyle w:val="5"/>
      </w:pPr>
    </w:p>
    <w:p w14:paraId="1B592136">
      <w:pPr>
        <w:pStyle w:val="5"/>
      </w:pPr>
    </w:p>
    <w:p w14:paraId="6C8578FC">
      <w:pPr>
        <w:pStyle w:val="5"/>
      </w:pPr>
    </w:p>
    <w:p w14:paraId="48DEE9E1">
      <w:pPr>
        <w:pStyle w:val="5"/>
      </w:pPr>
    </w:p>
    <w:p w14:paraId="02C352C8">
      <w:pPr>
        <w:pStyle w:val="5"/>
      </w:pPr>
    </w:p>
    <w:p w14:paraId="5A593B09">
      <w:pPr>
        <w:pStyle w:val="5"/>
      </w:pPr>
    </w:p>
    <w:p w14:paraId="629784C1">
      <w:pPr>
        <w:pStyle w:val="5"/>
      </w:pPr>
    </w:p>
    <w:p w14:paraId="6EE10D7B">
      <w:pPr>
        <w:pStyle w:val="5"/>
      </w:pPr>
    </w:p>
    <w:p w14:paraId="07374CDB">
      <w:pPr>
        <w:pStyle w:val="5"/>
      </w:pPr>
    </w:p>
    <w:p w14:paraId="6CED92AC">
      <w:pPr>
        <w:pStyle w:val="5"/>
      </w:pPr>
    </w:p>
    <w:p w14:paraId="1268C7E5">
      <w:pPr>
        <w:pStyle w:val="5"/>
      </w:pPr>
    </w:p>
    <w:p w14:paraId="3FE50F11">
      <w:pPr>
        <w:pStyle w:val="5"/>
      </w:pPr>
    </w:p>
    <w:p w14:paraId="305F0402">
      <w:pPr>
        <w:pStyle w:val="5"/>
      </w:pPr>
    </w:p>
    <w:p w14:paraId="7A923298">
      <w:pPr>
        <w:pStyle w:val="5"/>
      </w:pPr>
    </w:p>
    <w:p w14:paraId="3CD2F697">
      <w:pPr>
        <w:pStyle w:val="5"/>
        <w:rPr>
          <w:rFonts w:hint="eastAsia"/>
        </w:rPr>
      </w:pPr>
    </w:p>
    <w:p w14:paraId="0F076F63">
      <w:pPr>
        <w:pStyle w:val="3"/>
        <w:rPr>
          <w:sz w:val="28"/>
          <w:szCs w:val="28"/>
        </w:rPr>
      </w:pPr>
      <w:r>
        <w:rPr>
          <w:rFonts w:hint="eastAsia"/>
          <w:sz w:val="28"/>
          <w:szCs w:val="28"/>
        </w:rPr>
        <w:t>供应商（服务商）承诺书</w:t>
      </w:r>
    </w:p>
    <w:p w14:paraId="2B48EA4E">
      <w:pPr>
        <w:pStyle w:val="47"/>
        <w:widowControl w:val="0"/>
        <w:snapToGrid w:val="0"/>
        <w:spacing w:line="360" w:lineRule="auto"/>
        <w:ind w:firstLine="504" w:firstLineChars="200"/>
        <w:jc w:val="both"/>
        <w:rPr>
          <w:rFonts w:hint="eastAsia" w:ascii="仿宋" w:hAnsi="仿宋"/>
          <w:spacing w:val="6"/>
          <w:sz w:val="24"/>
          <w:szCs w:val="24"/>
        </w:rPr>
      </w:pPr>
    </w:p>
    <w:p w14:paraId="275174CD">
      <w:pPr>
        <w:pStyle w:val="47"/>
        <w:snapToGrid w:val="0"/>
        <w:spacing w:line="360" w:lineRule="auto"/>
        <w:ind w:firstLine="425" w:firstLineChars="169"/>
        <w:rPr>
          <w:rFonts w:hint="eastAsia" w:hAnsi="宋体"/>
          <w:spacing w:val="6"/>
          <w:sz w:val="24"/>
          <w:szCs w:val="24"/>
        </w:rPr>
      </w:pPr>
      <w:r>
        <w:rPr>
          <w:rFonts w:hint="eastAsia" w:hAnsi="宋体"/>
          <w:spacing w:val="6"/>
          <w:sz w:val="24"/>
          <w:szCs w:val="24"/>
        </w:rPr>
        <w:t>本人经由</w:t>
      </w:r>
      <w:r>
        <w:rPr>
          <w:rFonts w:hint="eastAsia" w:hAnsi="宋体"/>
          <w:spacing w:val="6"/>
          <w:sz w:val="24"/>
          <w:szCs w:val="24"/>
          <w:u w:val="single"/>
        </w:rPr>
        <w:t xml:space="preserve">                     （单位）</w:t>
      </w:r>
      <w:r>
        <w:rPr>
          <w:rFonts w:hint="eastAsia" w:hAnsi="宋体"/>
          <w:spacing w:val="6"/>
          <w:sz w:val="24"/>
          <w:szCs w:val="24"/>
        </w:rPr>
        <w:t>法人</w:t>
      </w:r>
      <w:r>
        <w:rPr>
          <w:rFonts w:hint="eastAsia" w:hAnsi="宋体"/>
          <w:spacing w:val="6"/>
          <w:sz w:val="24"/>
          <w:szCs w:val="24"/>
          <w:u w:val="single"/>
        </w:rPr>
        <w:t xml:space="preserve">      （姓名）</w:t>
      </w:r>
      <w:r>
        <w:rPr>
          <w:rFonts w:hint="eastAsia" w:hAnsi="宋体"/>
          <w:spacing w:val="6"/>
          <w:sz w:val="24"/>
          <w:szCs w:val="24"/>
        </w:rPr>
        <w:t>合法授权参加</w:t>
      </w:r>
      <w:r>
        <w:rPr>
          <w:rFonts w:hint="eastAsia" w:hAnsi="宋体"/>
          <w:b/>
          <w:bCs/>
          <w:spacing w:val="6"/>
          <w:sz w:val="24"/>
          <w:szCs w:val="24"/>
          <w:u w:val="single"/>
        </w:rPr>
        <w:t xml:space="preserve">                      </w:t>
      </w:r>
      <w:r>
        <w:rPr>
          <w:rFonts w:hint="eastAsia" w:hAnsi="宋体"/>
          <w:spacing w:val="6"/>
          <w:sz w:val="24"/>
          <w:szCs w:val="24"/>
        </w:rPr>
        <w:t xml:space="preserve">项目的采购活动，经与本单位法人代表（负责人）确认，现就有关公平竞争事项郑重承诺如下： </w:t>
      </w:r>
    </w:p>
    <w:p w14:paraId="7AFA945E">
      <w:pPr>
        <w:pStyle w:val="47"/>
        <w:numPr>
          <w:ilvl w:val="0"/>
          <w:numId w:val="2"/>
        </w:numPr>
        <w:snapToGrid w:val="0"/>
        <w:spacing w:line="360" w:lineRule="auto"/>
        <w:ind w:firstLine="407" w:firstLineChars="169"/>
        <w:rPr>
          <w:rFonts w:hint="eastAsia" w:hAnsi="宋体"/>
          <w:kern w:val="0"/>
          <w:sz w:val="24"/>
          <w:szCs w:val="24"/>
        </w:rPr>
      </w:pPr>
      <w:r>
        <w:rPr>
          <w:rFonts w:hint="eastAsia" w:hAnsi="宋体"/>
          <w:b/>
          <w:bCs/>
          <w:kern w:val="0"/>
          <w:sz w:val="24"/>
          <w:szCs w:val="24"/>
        </w:rPr>
        <w:t>本单位承诺不存在与关联关系的企业共同参与本次采购活动，所述的关联关系是具有以下情形之一：</w:t>
      </w:r>
    </w:p>
    <w:p w14:paraId="7A1AC751">
      <w:pPr>
        <w:pStyle w:val="47"/>
        <w:widowControl w:val="0"/>
        <w:snapToGrid w:val="0"/>
        <w:spacing w:line="360" w:lineRule="auto"/>
        <w:ind w:firstLine="405" w:firstLineChars="169"/>
        <w:jc w:val="both"/>
        <w:rPr>
          <w:rFonts w:hint="eastAsia" w:hAnsi="宋体"/>
          <w:kern w:val="0"/>
          <w:sz w:val="24"/>
          <w:szCs w:val="24"/>
        </w:rPr>
      </w:pPr>
      <w:r>
        <w:rPr>
          <w:rFonts w:hint="eastAsia" w:hAnsi="宋体"/>
          <w:kern w:val="0"/>
          <w:sz w:val="24"/>
          <w:szCs w:val="24"/>
        </w:rPr>
        <w:t>A.法定代表人或负责人或实际控制人是同一人</w:t>
      </w:r>
    </w:p>
    <w:p w14:paraId="705D614A">
      <w:pPr>
        <w:pStyle w:val="47"/>
        <w:widowControl w:val="0"/>
        <w:snapToGrid w:val="0"/>
        <w:spacing w:line="360" w:lineRule="auto"/>
        <w:ind w:firstLine="405" w:firstLineChars="169"/>
        <w:jc w:val="both"/>
        <w:rPr>
          <w:rFonts w:hint="eastAsia" w:hAnsi="宋体"/>
          <w:spacing w:val="6"/>
          <w:sz w:val="24"/>
          <w:szCs w:val="24"/>
        </w:rPr>
      </w:pPr>
      <w:r>
        <w:rPr>
          <w:rFonts w:hint="eastAsia" w:hAnsi="宋体"/>
          <w:kern w:val="0"/>
          <w:sz w:val="24"/>
          <w:szCs w:val="24"/>
        </w:rPr>
        <w:t>B.法定代表人或负责人或实际控制人是夫妻关系</w:t>
      </w:r>
    </w:p>
    <w:p w14:paraId="496A3F41">
      <w:pPr>
        <w:pStyle w:val="47"/>
        <w:widowControl w:val="0"/>
        <w:snapToGrid w:val="0"/>
        <w:spacing w:line="360" w:lineRule="auto"/>
        <w:ind w:firstLine="405" w:firstLineChars="169"/>
        <w:jc w:val="both"/>
        <w:rPr>
          <w:rFonts w:hint="eastAsia" w:hAnsi="宋体"/>
          <w:spacing w:val="6"/>
          <w:sz w:val="24"/>
          <w:szCs w:val="24"/>
        </w:rPr>
      </w:pPr>
      <w:r>
        <w:rPr>
          <w:rFonts w:hint="eastAsia" w:hAnsi="宋体"/>
          <w:kern w:val="0"/>
          <w:sz w:val="24"/>
          <w:szCs w:val="24"/>
        </w:rPr>
        <w:t>C.法定代表人或负责人或实际控制人是直系血亲关系</w:t>
      </w:r>
    </w:p>
    <w:p w14:paraId="0C0985B2">
      <w:pPr>
        <w:pStyle w:val="47"/>
        <w:widowControl w:val="0"/>
        <w:snapToGrid w:val="0"/>
        <w:spacing w:line="360" w:lineRule="auto"/>
        <w:ind w:firstLine="405" w:firstLineChars="169"/>
        <w:jc w:val="both"/>
        <w:rPr>
          <w:rFonts w:hint="eastAsia" w:hAnsi="宋体"/>
          <w:spacing w:val="6"/>
          <w:sz w:val="24"/>
          <w:szCs w:val="24"/>
        </w:rPr>
      </w:pPr>
      <w:r>
        <w:rPr>
          <w:rFonts w:hint="eastAsia" w:hAnsi="宋体"/>
          <w:kern w:val="0"/>
          <w:sz w:val="24"/>
          <w:szCs w:val="24"/>
        </w:rPr>
        <w:t>D.法定代表人或负责人或实际控制人存在三代以内旁系血亲关系</w:t>
      </w:r>
    </w:p>
    <w:p w14:paraId="645AB269">
      <w:pPr>
        <w:pStyle w:val="47"/>
        <w:widowControl w:val="0"/>
        <w:snapToGrid w:val="0"/>
        <w:spacing w:line="360" w:lineRule="auto"/>
        <w:ind w:firstLine="405" w:firstLineChars="169"/>
        <w:jc w:val="both"/>
        <w:rPr>
          <w:rFonts w:hint="eastAsia" w:hAnsi="宋体"/>
          <w:kern w:val="0"/>
          <w:sz w:val="24"/>
          <w:szCs w:val="24"/>
        </w:rPr>
      </w:pPr>
      <w:r>
        <w:rPr>
          <w:rFonts w:hint="eastAsia" w:hAnsi="宋体"/>
          <w:kern w:val="0"/>
          <w:sz w:val="24"/>
          <w:szCs w:val="24"/>
        </w:rPr>
        <w:t>E.法定代表人或负责人或实际控制人存在近姻亲关系</w:t>
      </w:r>
    </w:p>
    <w:p w14:paraId="067B618E">
      <w:pPr>
        <w:pStyle w:val="47"/>
        <w:widowControl w:val="0"/>
        <w:snapToGrid w:val="0"/>
        <w:spacing w:line="360" w:lineRule="auto"/>
        <w:ind w:firstLine="405" w:firstLineChars="169"/>
        <w:jc w:val="both"/>
        <w:rPr>
          <w:rFonts w:hint="eastAsia" w:hAnsi="宋体"/>
          <w:kern w:val="0"/>
          <w:sz w:val="24"/>
          <w:szCs w:val="24"/>
        </w:rPr>
      </w:pPr>
      <w:r>
        <w:rPr>
          <w:rFonts w:hint="eastAsia" w:hAnsi="宋体"/>
          <w:kern w:val="0"/>
          <w:sz w:val="24"/>
          <w:szCs w:val="24"/>
        </w:rPr>
        <w:t>F.法定代表人或负责人或实际控制人存在股份控制或实际控制关系</w:t>
      </w:r>
    </w:p>
    <w:p w14:paraId="465A3E48">
      <w:pPr>
        <w:pStyle w:val="47"/>
        <w:widowControl w:val="0"/>
        <w:snapToGrid w:val="0"/>
        <w:spacing w:line="360" w:lineRule="auto"/>
        <w:ind w:firstLine="405" w:firstLineChars="169"/>
        <w:jc w:val="both"/>
        <w:rPr>
          <w:rFonts w:hint="eastAsia" w:hAnsi="宋体"/>
          <w:kern w:val="0"/>
          <w:sz w:val="24"/>
          <w:szCs w:val="24"/>
        </w:rPr>
      </w:pPr>
      <w:bookmarkStart w:id="16" w:name="_Toc91078675"/>
      <w:r>
        <w:rPr>
          <w:rFonts w:hint="eastAsia" w:hAnsi="宋体"/>
          <w:kern w:val="0"/>
          <w:sz w:val="24"/>
          <w:szCs w:val="24"/>
        </w:rPr>
        <w:t>G.存在共同直接或间接投资设立子公司、联营企业和合营企业情况</w:t>
      </w:r>
      <w:bookmarkEnd w:id="16"/>
    </w:p>
    <w:p w14:paraId="0F1424C1">
      <w:pPr>
        <w:pStyle w:val="47"/>
        <w:widowControl w:val="0"/>
        <w:snapToGrid w:val="0"/>
        <w:spacing w:line="360" w:lineRule="auto"/>
        <w:ind w:firstLine="405" w:firstLineChars="169"/>
        <w:jc w:val="both"/>
        <w:rPr>
          <w:rFonts w:hint="eastAsia" w:hAnsi="宋体"/>
          <w:sz w:val="24"/>
          <w:szCs w:val="24"/>
        </w:rPr>
      </w:pPr>
      <w:r>
        <w:rPr>
          <w:rFonts w:hint="eastAsia" w:hAnsi="宋体"/>
          <w:kern w:val="0"/>
          <w:sz w:val="24"/>
          <w:szCs w:val="24"/>
        </w:rPr>
        <w:t>H.存在分级代理或代销关系、同一生产制造商关系、</w:t>
      </w:r>
      <w:r>
        <w:rPr>
          <w:rFonts w:hint="eastAsia" w:hAnsi="宋体"/>
          <w:sz w:val="24"/>
          <w:szCs w:val="24"/>
        </w:rPr>
        <w:t>管理关系、重要业务（占主营业务收入50%以上）或重要财务往来关系（如融资）等其他实质性控制关系</w:t>
      </w:r>
    </w:p>
    <w:p w14:paraId="12D2B65D">
      <w:pPr>
        <w:pStyle w:val="47"/>
        <w:widowControl w:val="0"/>
        <w:snapToGrid w:val="0"/>
        <w:spacing w:line="360" w:lineRule="auto"/>
        <w:ind w:firstLine="405" w:firstLineChars="169"/>
        <w:jc w:val="both"/>
        <w:rPr>
          <w:rFonts w:hint="eastAsia" w:hAnsi="宋体"/>
          <w:spacing w:val="6"/>
          <w:sz w:val="24"/>
          <w:szCs w:val="24"/>
        </w:rPr>
      </w:pPr>
      <w:r>
        <w:rPr>
          <w:rFonts w:hint="eastAsia" w:hAnsi="宋体"/>
          <w:sz w:val="24"/>
          <w:szCs w:val="24"/>
        </w:rPr>
        <w:t>I</w:t>
      </w:r>
      <w:r>
        <w:rPr>
          <w:rFonts w:hint="eastAsia" w:hAnsi="宋体"/>
          <w:kern w:val="0"/>
          <w:sz w:val="24"/>
          <w:szCs w:val="24"/>
        </w:rPr>
        <w:t>.</w:t>
      </w:r>
      <w:r>
        <w:rPr>
          <w:rFonts w:hint="eastAsia" w:hAnsi="宋体"/>
          <w:sz w:val="24"/>
          <w:szCs w:val="24"/>
        </w:rPr>
        <w:t>其他利害关系情况</w:t>
      </w:r>
      <w:r>
        <w:rPr>
          <w:rFonts w:hint="eastAsia" w:hAnsi="宋体"/>
          <w:sz w:val="24"/>
          <w:szCs w:val="24"/>
          <w:u w:val="single"/>
        </w:rPr>
        <w:t xml:space="preserve">                              </w:t>
      </w:r>
      <w:r>
        <w:rPr>
          <w:rFonts w:hint="eastAsia" w:hAnsi="宋体"/>
          <w:kern w:val="0"/>
          <w:sz w:val="24"/>
          <w:szCs w:val="24"/>
        </w:rPr>
        <w:t>。</w:t>
      </w:r>
    </w:p>
    <w:p w14:paraId="38AAD4BE">
      <w:pPr>
        <w:pStyle w:val="47"/>
        <w:snapToGrid w:val="0"/>
        <w:spacing w:line="360" w:lineRule="auto"/>
        <w:ind w:firstLine="407" w:firstLineChars="169"/>
        <w:rPr>
          <w:rFonts w:hint="eastAsia" w:hAnsi="宋体"/>
          <w:b/>
          <w:bCs/>
          <w:kern w:val="0"/>
          <w:sz w:val="24"/>
          <w:szCs w:val="24"/>
        </w:rPr>
      </w:pPr>
      <w:r>
        <w:rPr>
          <w:rFonts w:hint="eastAsia" w:hAnsi="宋体"/>
          <w:b/>
          <w:bCs/>
          <w:sz w:val="24"/>
          <w:szCs w:val="24"/>
        </w:rPr>
        <w:t>二、现已清楚知道并</w:t>
      </w:r>
      <w:r>
        <w:rPr>
          <w:rFonts w:hint="eastAsia" w:hAnsi="宋体"/>
          <w:b/>
          <w:bCs/>
          <w:kern w:val="0"/>
          <w:sz w:val="24"/>
          <w:szCs w:val="24"/>
        </w:rPr>
        <w:t>严格遵守招标法律法规和承诺要求。</w:t>
      </w:r>
    </w:p>
    <w:p w14:paraId="0CB05764">
      <w:pPr>
        <w:pStyle w:val="47"/>
        <w:widowControl w:val="0"/>
        <w:snapToGrid w:val="0"/>
        <w:spacing w:line="360" w:lineRule="auto"/>
        <w:ind w:firstLine="480" w:firstLineChars="200"/>
        <w:jc w:val="both"/>
        <w:rPr>
          <w:rFonts w:hint="eastAsia" w:hAnsi="宋体"/>
          <w:sz w:val="24"/>
          <w:szCs w:val="24"/>
        </w:rPr>
      </w:pPr>
      <w:r>
        <w:rPr>
          <w:rFonts w:hint="eastAsia" w:hAnsi="宋体"/>
          <w:sz w:val="24"/>
          <w:szCs w:val="24"/>
        </w:rPr>
        <w:t xml:space="preserve">                          </w:t>
      </w:r>
    </w:p>
    <w:p w14:paraId="64154D0D">
      <w:pPr>
        <w:pStyle w:val="47"/>
        <w:widowControl w:val="0"/>
        <w:snapToGrid w:val="0"/>
        <w:spacing w:line="360" w:lineRule="auto"/>
        <w:ind w:firstLine="3600" w:firstLineChars="1500"/>
        <w:jc w:val="both"/>
        <w:rPr>
          <w:rFonts w:hint="eastAsia" w:hAnsi="宋体"/>
          <w:sz w:val="24"/>
          <w:szCs w:val="24"/>
        </w:rPr>
      </w:pPr>
      <w:r>
        <w:rPr>
          <w:rFonts w:hint="eastAsia" w:hAnsi="宋体"/>
          <w:sz w:val="24"/>
          <w:szCs w:val="24"/>
        </w:rPr>
        <w:t>单位名称：（公章）</w:t>
      </w:r>
    </w:p>
    <w:p w14:paraId="2039CEA1">
      <w:pPr>
        <w:pStyle w:val="47"/>
        <w:widowControl w:val="0"/>
        <w:snapToGrid w:val="0"/>
        <w:spacing w:line="360" w:lineRule="auto"/>
        <w:ind w:firstLine="480" w:firstLineChars="200"/>
        <w:jc w:val="center"/>
        <w:rPr>
          <w:rFonts w:hint="eastAsia" w:hAnsi="宋体"/>
          <w:sz w:val="24"/>
          <w:szCs w:val="24"/>
        </w:rPr>
      </w:pPr>
      <w:r>
        <w:rPr>
          <w:rFonts w:hint="eastAsia" w:hAnsi="宋体"/>
          <w:sz w:val="24"/>
          <w:szCs w:val="24"/>
        </w:rPr>
        <w:t>授权代表：（签名）</w:t>
      </w:r>
    </w:p>
    <w:p w14:paraId="64B8C756">
      <w:pPr>
        <w:pStyle w:val="47"/>
        <w:widowControl w:val="0"/>
        <w:snapToGrid w:val="0"/>
        <w:spacing w:line="360" w:lineRule="auto"/>
        <w:ind w:firstLine="480" w:firstLineChars="200"/>
        <w:jc w:val="center"/>
      </w:pPr>
      <w:r>
        <w:rPr>
          <w:rFonts w:hint="eastAsia" w:hAnsi="宋体"/>
          <w:sz w:val="24"/>
          <w:szCs w:val="24"/>
        </w:rPr>
        <w:t>年  月  日</w:t>
      </w:r>
    </w:p>
    <w:p w14:paraId="1FC407B5">
      <w:pPr>
        <w:spacing w:line="360" w:lineRule="auto"/>
        <w:rPr>
          <w:rFonts w:hint="eastAsia" w:ascii="宋体" w:hAnsi="宋体"/>
          <w:color w:val="000000"/>
          <w:sz w:val="28"/>
          <w:szCs w:val="28"/>
        </w:rPr>
      </w:pPr>
    </w:p>
    <w:p w14:paraId="3E687FF3">
      <w:pPr>
        <w:spacing w:line="360" w:lineRule="exact"/>
        <w:rPr>
          <w:rFonts w:hint="eastAsia" w:ascii="宋体" w:hAnsi="宋体" w:cs="宋体"/>
          <w:kern w:val="0"/>
          <w:szCs w:val="21"/>
        </w:rPr>
        <w:sectPr>
          <w:pgSz w:w="11907" w:h="16840"/>
          <w:pgMar w:top="1440" w:right="1797" w:bottom="1440" w:left="1797" w:header="567" w:footer="992" w:gutter="0"/>
          <w:pgNumType w:start="1"/>
          <w:cols w:space="425" w:num="1"/>
          <w:docGrid w:linePitch="312" w:charSpace="0"/>
        </w:sectPr>
      </w:pPr>
    </w:p>
    <w:p w14:paraId="4A0154E9">
      <w:pPr>
        <w:pStyle w:val="13"/>
        <w:rPr>
          <w:rFonts w:hint="eastAsia" w:hAnsi="宋体"/>
          <w:b/>
          <w:bCs/>
          <w:sz w:val="30"/>
          <w:szCs w:val="30"/>
        </w:rPr>
      </w:pPr>
      <w:bookmarkStart w:id="17" w:name="投标文件格式"/>
      <w:r>
        <w:rPr>
          <w:rFonts w:hint="eastAsia" w:hAnsi="宋体"/>
          <w:b/>
          <w:bCs/>
          <w:sz w:val="30"/>
          <w:szCs w:val="30"/>
        </w:rPr>
        <w:t>四、附件---报价文件格式</w:t>
      </w:r>
      <w:bookmarkEnd w:id="17"/>
      <w:r>
        <w:rPr>
          <w:rFonts w:hint="eastAsia" w:hAnsi="宋体"/>
          <w:b/>
          <w:bCs/>
          <w:sz w:val="30"/>
          <w:szCs w:val="30"/>
        </w:rPr>
        <w:t>：</w:t>
      </w:r>
    </w:p>
    <w:p w14:paraId="30233AFF">
      <w:pPr>
        <w:spacing w:line="360" w:lineRule="exact"/>
        <w:rPr>
          <w:rFonts w:hint="eastAsia" w:ascii="宋体" w:hAnsi="宋体" w:cs="宋体"/>
          <w:kern w:val="0"/>
          <w:szCs w:val="21"/>
        </w:rPr>
      </w:pPr>
    </w:p>
    <w:p w14:paraId="529B25FF">
      <w:pPr>
        <w:spacing w:line="360" w:lineRule="auto"/>
        <w:rPr>
          <w:rFonts w:hint="eastAsia" w:ascii="宋体" w:hAnsi="宋体" w:cs="宋体"/>
          <w:b/>
          <w:kern w:val="0"/>
          <w:sz w:val="24"/>
        </w:rPr>
      </w:pPr>
      <w:r>
        <w:rPr>
          <w:rFonts w:hint="eastAsia" w:ascii="宋体" w:hAnsi="宋体" w:cs="宋体"/>
          <w:b/>
          <w:kern w:val="0"/>
          <w:sz w:val="24"/>
        </w:rPr>
        <w:t>附件</w:t>
      </w:r>
    </w:p>
    <w:p w14:paraId="250D8DEA">
      <w:pPr>
        <w:pStyle w:val="3"/>
        <w:rPr>
          <w:sz w:val="28"/>
          <w:szCs w:val="28"/>
        </w:rPr>
      </w:pPr>
      <w:bookmarkStart w:id="18" w:name="_Toc385925637"/>
      <w:r>
        <w:rPr>
          <w:rFonts w:hint="eastAsia"/>
          <w:sz w:val="28"/>
          <w:szCs w:val="28"/>
        </w:rPr>
        <w:t>开标一览表</w:t>
      </w:r>
      <w:bookmarkEnd w:id="18"/>
    </w:p>
    <w:p w14:paraId="140A2187">
      <w:pPr>
        <w:spacing w:line="360" w:lineRule="auto"/>
        <w:rPr>
          <w:rFonts w:hint="eastAsia" w:ascii="宋体" w:hAnsi="宋体" w:cs="宋体"/>
          <w:kern w:val="0"/>
          <w:szCs w:val="21"/>
          <w:u w:val="single"/>
        </w:rPr>
      </w:pPr>
      <w:r>
        <w:rPr>
          <w:rFonts w:hint="eastAsia" w:ascii="宋体" w:hAnsi="宋体" w:cs="宋体"/>
          <w:kern w:val="0"/>
          <w:szCs w:val="21"/>
        </w:rPr>
        <w:t>投标人名称：</w:t>
      </w:r>
      <w:r>
        <w:rPr>
          <w:rFonts w:hint="eastAsia" w:ascii="宋体" w:hAnsi="宋体" w:cs="宋体"/>
          <w:kern w:val="0"/>
          <w:szCs w:val="21"/>
          <w:u w:val="single"/>
        </w:rPr>
        <w:t>　　　　　　　　　　</w:t>
      </w:r>
      <w:r>
        <w:rPr>
          <w:rFonts w:hint="eastAsia" w:ascii="宋体" w:hAnsi="宋体" w:cs="宋体"/>
          <w:kern w:val="0"/>
          <w:szCs w:val="21"/>
        </w:rPr>
        <w:t xml:space="preserve"> (加盖单位公章)          </w:t>
      </w:r>
    </w:p>
    <w:tbl>
      <w:tblPr>
        <w:tblStyle w:val="26"/>
        <w:tblW w:w="13609"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7"/>
        <w:gridCol w:w="1184"/>
        <w:gridCol w:w="1563"/>
        <w:gridCol w:w="826"/>
        <w:gridCol w:w="1230"/>
        <w:gridCol w:w="1103"/>
        <w:gridCol w:w="1103"/>
        <w:gridCol w:w="846"/>
        <w:gridCol w:w="915"/>
        <w:gridCol w:w="850"/>
        <w:gridCol w:w="862"/>
        <w:gridCol w:w="1690"/>
      </w:tblGrid>
      <w:tr w14:paraId="4B04F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1437" w:type="dxa"/>
            <w:vAlign w:val="center"/>
          </w:tcPr>
          <w:p w14:paraId="63B4F183">
            <w:pPr>
              <w:spacing w:line="360" w:lineRule="auto"/>
              <w:jc w:val="center"/>
              <w:rPr>
                <w:rFonts w:hint="eastAsia" w:ascii="宋体" w:hAnsi="宋体" w:cs="宋体"/>
                <w:kern w:val="0"/>
                <w:szCs w:val="21"/>
              </w:rPr>
            </w:pPr>
            <w:r>
              <w:rPr>
                <w:rFonts w:hint="eastAsia" w:ascii="宋体" w:hAnsi="宋体" w:cs="宋体"/>
                <w:kern w:val="0"/>
                <w:szCs w:val="21"/>
              </w:rPr>
              <w:t>设备名称</w:t>
            </w:r>
          </w:p>
        </w:tc>
        <w:tc>
          <w:tcPr>
            <w:tcW w:w="1184" w:type="dxa"/>
            <w:vAlign w:val="center"/>
          </w:tcPr>
          <w:p w14:paraId="2FA214A5">
            <w:pPr>
              <w:spacing w:line="360" w:lineRule="auto"/>
              <w:jc w:val="center"/>
              <w:rPr>
                <w:rFonts w:hint="eastAsia" w:ascii="宋体" w:hAnsi="宋体" w:cs="宋体"/>
                <w:kern w:val="0"/>
                <w:szCs w:val="21"/>
              </w:rPr>
            </w:pPr>
            <w:r>
              <w:rPr>
                <w:rFonts w:hint="eastAsia" w:ascii="宋体" w:hAnsi="宋体" w:cs="宋体"/>
                <w:kern w:val="0"/>
                <w:szCs w:val="21"/>
              </w:rPr>
              <w:t>设备位号</w:t>
            </w:r>
          </w:p>
        </w:tc>
        <w:tc>
          <w:tcPr>
            <w:tcW w:w="1563" w:type="dxa"/>
            <w:vAlign w:val="center"/>
          </w:tcPr>
          <w:p w14:paraId="77FEC08D">
            <w:pPr>
              <w:spacing w:line="360" w:lineRule="auto"/>
              <w:jc w:val="center"/>
              <w:rPr>
                <w:rFonts w:hint="eastAsia" w:ascii="宋体" w:hAnsi="宋体" w:cs="宋体"/>
                <w:kern w:val="0"/>
                <w:szCs w:val="21"/>
              </w:rPr>
            </w:pPr>
            <w:r>
              <w:rPr>
                <w:rFonts w:hint="eastAsia" w:ascii="宋体" w:hAnsi="宋体" w:cs="宋体"/>
                <w:kern w:val="0"/>
                <w:szCs w:val="21"/>
              </w:rPr>
              <w:t>规格</w:t>
            </w:r>
          </w:p>
        </w:tc>
        <w:tc>
          <w:tcPr>
            <w:tcW w:w="826" w:type="dxa"/>
            <w:vAlign w:val="center"/>
          </w:tcPr>
          <w:p w14:paraId="032DCD6C">
            <w:pPr>
              <w:spacing w:line="360" w:lineRule="auto"/>
              <w:jc w:val="center"/>
              <w:rPr>
                <w:rFonts w:hint="eastAsia" w:ascii="宋体" w:hAnsi="宋体" w:cs="宋体"/>
                <w:kern w:val="0"/>
                <w:szCs w:val="21"/>
              </w:rPr>
            </w:pPr>
            <w:r>
              <w:rPr>
                <w:rFonts w:hint="eastAsia" w:ascii="宋体" w:hAnsi="宋体" w:cs="宋体"/>
                <w:kern w:val="0"/>
                <w:szCs w:val="21"/>
              </w:rPr>
              <w:t>数量</w:t>
            </w:r>
          </w:p>
          <w:p w14:paraId="0F2E66CE">
            <w:pPr>
              <w:spacing w:line="360" w:lineRule="auto"/>
              <w:jc w:val="center"/>
              <w:rPr>
                <w:rFonts w:hint="eastAsia" w:ascii="宋体" w:hAnsi="宋体" w:cs="宋体"/>
                <w:kern w:val="0"/>
                <w:szCs w:val="21"/>
              </w:rPr>
            </w:pPr>
            <w:r>
              <w:rPr>
                <w:rFonts w:hint="eastAsia" w:ascii="宋体" w:hAnsi="宋体" w:cs="宋体"/>
                <w:kern w:val="0"/>
                <w:szCs w:val="21"/>
              </w:rPr>
              <w:t>(台)</w:t>
            </w:r>
          </w:p>
        </w:tc>
        <w:tc>
          <w:tcPr>
            <w:tcW w:w="1230" w:type="dxa"/>
            <w:vAlign w:val="center"/>
          </w:tcPr>
          <w:p w14:paraId="022A93A8">
            <w:pPr>
              <w:spacing w:line="360" w:lineRule="auto"/>
              <w:jc w:val="center"/>
              <w:rPr>
                <w:rFonts w:hint="eastAsia" w:ascii="宋体" w:hAnsi="宋体" w:cs="宋体"/>
                <w:kern w:val="0"/>
                <w:szCs w:val="21"/>
              </w:rPr>
            </w:pPr>
            <w:r>
              <w:rPr>
                <w:rFonts w:hint="eastAsia" w:ascii="宋体" w:hAnsi="宋体" w:cs="宋体"/>
                <w:kern w:val="0"/>
                <w:szCs w:val="21"/>
              </w:rPr>
              <w:t>总重（kg</w:t>
            </w:r>
            <w:r>
              <w:rPr>
                <w:rFonts w:ascii="宋体" w:hAnsi="宋体" w:cs="宋体"/>
                <w:kern w:val="0"/>
                <w:szCs w:val="21"/>
              </w:rPr>
              <w:t>）</w:t>
            </w:r>
          </w:p>
        </w:tc>
        <w:tc>
          <w:tcPr>
            <w:tcW w:w="1103" w:type="dxa"/>
            <w:vAlign w:val="center"/>
          </w:tcPr>
          <w:p w14:paraId="366F3B98">
            <w:pPr>
              <w:spacing w:line="360" w:lineRule="auto"/>
              <w:jc w:val="center"/>
              <w:rPr>
                <w:rFonts w:hint="eastAsia" w:ascii="宋体" w:hAnsi="宋体" w:cs="宋体"/>
                <w:kern w:val="0"/>
                <w:szCs w:val="21"/>
              </w:rPr>
            </w:pPr>
            <w:r>
              <w:rPr>
                <w:rFonts w:hint="eastAsia" w:ascii="宋体" w:hAnsi="宋体" w:cs="宋体"/>
                <w:kern w:val="0"/>
                <w:szCs w:val="21"/>
              </w:rPr>
              <w:t>材料费</w:t>
            </w:r>
          </w:p>
          <w:p w14:paraId="644E0C76">
            <w:pPr>
              <w:spacing w:line="360" w:lineRule="auto"/>
              <w:jc w:val="center"/>
              <w:rPr>
                <w:rFonts w:hint="eastAsia" w:ascii="宋体" w:hAnsi="宋体" w:cs="宋体"/>
                <w:kern w:val="0"/>
                <w:szCs w:val="21"/>
              </w:rPr>
            </w:pPr>
            <w:r>
              <w:rPr>
                <w:rFonts w:hint="eastAsia" w:ascii="宋体" w:hAnsi="宋体" w:cs="宋体"/>
                <w:kern w:val="0"/>
                <w:szCs w:val="21"/>
              </w:rPr>
              <w:t>（元</w:t>
            </w:r>
            <w:r>
              <w:rPr>
                <w:rFonts w:ascii="宋体" w:hAnsi="宋体" w:cs="宋体"/>
                <w:kern w:val="0"/>
                <w:szCs w:val="21"/>
              </w:rPr>
              <w:t>）</w:t>
            </w:r>
          </w:p>
        </w:tc>
        <w:tc>
          <w:tcPr>
            <w:tcW w:w="1103" w:type="dxa"/>
            <w:vAlign w:val="center"/>
          </w:tcPr>
          <w:p w14:paraId="2140FE55">
            <w:pPr>
              <w:spacing w:line="360" w:lineRule="auto"/>
              <w:jc w:val="center"/>
              <w:rPr>
                <w:rFonts w:hint="eastAsia" w:ascii="宋体" w:hAnsi="宋体" w:cs="宋体"/>
                <w:kern w:val="0"/>
                <w:szCs w:val="21"/>
              </w:rPr>
            </w:pPr>
            <w:r>
              <w:rPr>
                <w:rFonts w:hint="eastAsia" w:ascii="宋体" w:hAnsi="宋体" w:cs="宋体"/>
                <w:kern w:val="0"/>
                <w:szCs w:val="21"/>
              </w:rPr>
              <w:t>制造费</w:t>
            </w:r>
          </w:p>
          <w:p w14:paraId="5569D932">
            <w:pPr>
              <w:spacing w:line="360" w:lineRule="auto"/>
              <w:jc w:val="center"/>
              <w:rPr>
                <w:rFonts w:hint="eastAsia" w:ascii="宋体" w:hAnsi="宋体" w:cs="宋体"/>
                <w:kern w:val="0"/>
                <w:szCs w:val="21"/>
              </w:rPr>
            </w:pPr>
            <w:r>
              <w:rPr>
                <w:rFonts w:hint="eastAsia" w:ascii="宋体" w:hAnsi="宋体" w:cs="宋体"/>
                <w:kern w:val="0"/>
                <w:szCs w:val="21"/>
              </w:rPr>
              <w:t>（元</w:t>
            </w:r>
            <w:r>
              <w:rPr>
                <w:rFonts w:ascii="宋体" w:hAnsi="宋体" w:cs="宋体"/>
                <w:kern w:val="0"/>
                <w:szCs w:val="21"/>
              </w:rPr>
              <w:t>）</w:t>
            </w:r>
          </w:p>
        </w:tc>
        <w:tc>
          <w:tcPr>
            <w:tcW w:w="846" w:type="dxa"/>
            <w:vAlign w:val="center"/>
          </w:tcPr>
          <w:p w14:paraId="58BE3698">
            <w:pPr>
              <w:spacing w:line="360" w:lineRule="auto"/>
              <w:jc w:val="center"/>
              <w:rPr>
                <w:rFonts w:hint="eastAsia" w:ascii="宋体" w:hAnsi="宋体" w:cs="宋体"/>
                <w:kern w:val="0"/>
                <w:szCs w:val="21"/>
              </w:rPr>
            </w:pPr>
            <w:r>
              <w:rPr>
                <w:rFonts w:hint="eastAsia" w:ascii="宋体" w:hAnsi="宋体" w:cs="宋体"/>
                <w:kern w:val="0"/>
                <w:szCs w:val="21"/>
              </w:rPr>
              <w:t>运输费</w:t>
            </w:r>
          </w:p>
          <w:p w14:paraId="1441407C">
            <w:pPr>
              <w:spacing w:line="360" w:lineRule="auto"/>
              <w:jc w:val="center"/>
              <w:rPr>
                <w:rFonts w:hint="eastAsia" w:ascii="宋体" w:hAnsi="宋体" w:cs="宋体"/>
                <w:kern w:val="0"/>
                <w:szCs w:val="21"/>
              </w:rPr>
            </w:pPr>
            <w:r>
              <w:rPr>
                <w:rFonts w:hint="eastAsia" w:ascii="宋体" w:hAnsi="宋体" w:cs="宋体"/>
                <w:kern w:val="0"/>
                <w:szCs w:val="21"/>
              </w:rPr>
              <w:t>（元</w:t>
            </w:r>
            <w:r>
              <w:rPr>
                <w:rFonts w:ascii="宋体" w:hAnsi="宋体" w:cs="宋体"/>
                <w:kern w:val="0"/>
                <w:szCs w:val="21"/>
              </w:rPr>
              <w:t>）</w:t>
            </w:r>
          </w:p>
        </w:tc>
        <w:tc>
          <w:tcPr>
            <w:tcW w:w="915" w:type="dxa"/>
            <w:vAlign w:val="center"/>
          </w:tcPr>
          <w:p w14:paraId="265391AA">
            <w:pPr>
              <w:spacing w:line="360" w:lineRule="auto"/>
              <w:jc w:val="center"/>
              <w:rPr>
                <w:rFonts w:hint="eastAsia" w:ascii="宋体" w:hAnsi="宋体" w:cs="宋体"/>
                <w:kern w:val="0"/>
                <w:szCs w:val="21"/>
              </w:rPr>
            </w:pPr>
            <w:r>
              <w:rPr>
                <w:rFonts w:hint="eastAsia" w:ascii="宋体" w:hAnsi="宋体" w:cs="宋体"/>
                <w:kern w:val="0"/>
                <w:szCs w:val="21"/>
              </w:rPr>
              <w:t>利润</w:t>
            </w:r>
          </w:p>
          <w:p w14:paraId="6F07FE92">
            <w:pPr>
              <w:spacing w:line="360" w:lineRule="auto"/>
              <w:jc w:val="center"/>
              <w:rPr>
                <w:rFonts w:hint="eastAsia" w:ascii="宋体" w:hAnsi="宋体" w:cs="宋体"/>
                <w:kern w:val="0"/>
                <w:szCs w:val="21"/>
              </w:rPr>
            </w:pPr>
            <w:r>
              <w:rPr>
                <w:rFonts w:hint="eastAsia" w:ascii="宋体" w:hAnsi="宋体" w:cs="宋体"/>
                <w:kern w:val="0"/>
                <w:szCs w:val="21"/>
              </w:rPr>
              <w:t>（元</w:t>
            </w:r>
            <w:r>
              <w:rPr>
                <w:rFonts w:ascii="宋体" w:hAnsi="宋体" w:cs="宋体"/>
                <w:kern w:val="0"/>
                <w:szCs w:val="21"/>
              </w:rPr>
              <w:t>）</w:t>
            </w:r>
          </w:p>
        </w:tc>
        <w:tc>
          <w:tcPr>
            <w:tcW w:w="850" w:type="dxa"/>
            <w:vAlign w:val="center"/>
          </w:tcPr>
          <w:p w14:paraId="20BE22BF">
            <w:pPr>
              <w:spacing w:line="360" w:lineRule="auto"/>
              <w:jc w:val="center"/>
              <w:rPr>
                <w:rFonts w:hint="eastAsia" w:ascii="宋体" w:hAnsi="宋体" w:cs="宋体"/>
                <w:kern w:val="0"/>
                <w:szCs w:val="21"/>
              </w:rPr>
            </w:pPr>
            <w:r>
              <w:rPr>
                <w:rFonts w:hint="eastAsia" w:ascii="宋体" w:hAnsi="宋体" w:cs="宋体"/>
                <w:kern w:val="0"/>
                <w:szCs w:val="21"/>
              </w:rPr>
              <w:t>单价</w:t>
            </w:r>
          </w:p>
          <w:p w14:paraId="3947CF08">
            <w:pPr>
              <w:spacing w:line="360" w:lineRule="auto"/>
              <w:jc w:val="center"/>
              <w:rPr>
                <w:rFonts w:hint="eastAsia" w:ascii="宋体" w:hAnsi="宋体" w:cs="宋体"/>
                <w:kern w:val="0"/>
                <w:szCs w:val="21"/>
              </w:rPr>
            </w:pPr>
            <w:r>
              <w:rPr>
                <w:rFonts w:hint="eastAsia" w:ascii="宋体" w:hAnsi="宋体" w:cs="宋体"/>
                <w:kern w:val="0"/>
                <w:szCs w:val="21"/>
              </w:rPr>
              <w:t>（元</w:t>
            </w:r>
            <w:r>
              <w:rPr>
                <w:rFonts w:ascii="宋体" w:hAnsi="宋体" w:cs="宋体"/>
                <w:kern w:val="0"/>
                <w:szCs w:val="21"/>
              </w:rPr>
              <w:t>）</w:t>
            </w:r>
          </w:p>
        </w:tc>
        <w:tc>
          <w:tcPr>
            <w:tcW w:w="862" w:type="dxa"/>
            <w:vAlign w:val="center"/>
          </w:tcPr>
          <w:p w14:paraId="12DE30FD">
            <w:pPr>
              <w:spacing w:line="360" w:lineRule="auto"/>
              <w:jc w:val="center"/>
              <w:rPr>
                <w:rFonts w:hint="eastAsia" w:ascii="宋体" w:hAnsi="宋体" w:cs="宋体"/>
                <w:kern w:val="0"/>
                <w:szCs w:val="21"/>
              </w:rPr>
            </w:pPr>
            <w:r>
              <w:rPr>
                <w:rFonts w:hint="eastAsia" w:ascii="宋体" w:hAnsi="宋体" w:cs="宋体"/>
                <w:kern w:val="0"/>
                <w:szCs w:val="21"/>
              </w:rPr>
              <w:t>总价</w:t>
            </w:r>
          </w:p>
          <w:p w14:paraId="710A0D88">
            <w:pPr>
              <w:spacing w:line="360" w:lineRule="auto"/>
              <w:jc w:val="center"/>
              <w:rPr>
                <w:rFonts w:hint="eastAsia" w:ascii="宋体" w:hAnsi="宋体" w:cs="宋体"/>
                <w:kern w:val="0"/>
                <w:szCs w:val="21"/>
              </w:rPr>
            </w:pPr>
            <w:r>
              <w:rPr>
                <w:rFonts w:hint="eastAsia" w:ascii="宋体" w:hAnsi="宋体" w:cs="宋体"/>
                <w:kern w:val="0"/>
                <w:szCs w:val="21"/>
              </w:rPr>
              <w:t>（元</w:t>
            </w:r>
            <w:r>
              <w:rPr>
                <w:rFonts w:ascii="宋体" w:hAnsi="宋体" w:cs="宋体"/>
                <w:kern w:val="0"/>
                <w:szCs w:val="21"/>
              </w:rPr>
              <w:t>）</w:t>
            </w:r>
          </w:p>
        </w:tc>
        <w:tc>
          <w:tcPr>
            <w:tcW w:w="1690" w:type="dxa"/>
            <w:vAlign w:val="center"/>
          </w:tcPr>
          <w:p w14:paraId="29B62061">
            <w:pPr>
              <w:spacing w:line="360" w:lineRule="auto"/>
              <w:jc w:val="center"/>
              <w:rPr>
                <w:rFonts w:hint="eastAsia" w:ascii="宋体" w:hAnsi="宋体" w:cs="宋体"/>
                <w:kern w:val="0"/>
                <w:szCs w:val="21"/>
              </w:rPr>
            </w:pPr>
            <w:r>
              <w:rPr>
                <w:rFonts w:hint="eastAsia" w:ascii="宋体" w:hAnsi="宋体" w:cs="宋体"/>
                <w:kern w:val="0"/>
                <w:szCs w:val="21"/>
              </w:rPr>
              <w:t>备注</w:t>
            </w:r>
          </w:p>
        </w:tc>
      </w:tr>
      <w:tr w14:paraId="4CB72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437" w:type="dxa"/>
            <w:vAlign w:val="center"/>
          </w:tcPr>
          <w:p w14:paraId="190676F1">
            <w:pPr>
              <w:spacing w:line="360" w:lineRule="auto"/>
              <w:jc w:val="center"/>
              <w:rPr>
                <w:rFonts w:hint="eastAsia" w:ascii="宋体" w:hAnsi="宋体" w:cs="宋体"/>
                <w:kern w:val="0"/>
                <w:szCs w:val="21"/>
              </w:rPr>
            </w:pPr>
          </w:p>
        </w:tc>
        <w:tc>
          <w:tcPr>
            <w:tcW w:w="1184" w:type="dxa"/>
            <w:vAlign w:val="center"/>
          </w:tcPr>
          <w:p w14:paraId="280DC043">
            <w:pPr>
              <w:spacing w:line="360" w:lineRule="auto"/>
              <w:jc w:val="center"/>
              <w:rPr>
                <w:rFonts w:hint="eastAsia" w:ascii="宋体" w:hAnsi="宋体" w:cs="宋体"/>
                <w:kern w:val="0"/>
                <w:szCs w:val="21"/>
              </w:rPr>
            </w:pPr>
          </w:p>
        </w:tc>
        <w:tc>
          <w:tcPr>
            <w:tcW w:w="1563" w:type="dxa"/>
            <w:vAlign w:val="center"/>
          </w:tcPr>
          <w:p w14:paraId="32959379">
            <w:pPr>
              <w:spacing w:line="360" w:lineRule="auto"/>
              <w:jc w:val="center"/>
              <w:rPr>
                <w:rFonts w:hint="eastAsia" w:ascii="宋体" w:hAnsi="宋体" w:cs="宋体"/>
                <w:kern w:val="0"/>
                <w:szCs w:val="21"/>
              </w:rPr>
            </w:pPr>
          </w:p>
        </w:tc>
        <w:tc>
          <w:tcPr>
            <w:tcW w:w="826" w:type="dxa"/>
            <w:vAlign w:val="center"/>
          </w:tcPr>
          <w:p w14:paraId="2F474739">
            <w:pPr>
              <w:spacing w:line="360" w:lineRule="auto"/>
              <w:jc w:val="center"/>
              <w:rPr>
                <w:rFonts w:hint="eastAsia" w:ascii="宋体" w:hAnsi="宋体" w:cs="宋体"/>
                <w:kern w:val="0"/>
                <w:szCs w:val="21"/>
              </w:rPr>
            </w:pPr>
          </w:p>
        </w:tc>
        <w:tc>
          <w:tcPr>
            <w:tcW w:w="1230" w:type="dxa"/>
            <w:vAlign w:val="center"/>
          </w:tcPr>
          <w:p w14:paraId="5C842D5F">
            <w:pPr>
              <w:spacing w:line="360" w:lineRule="auto"/>
              <w:jc w:val="center"/>
              <w:rPr>
                <w:rFonts w:hint="eastAsia" w:ascii="宋体" w:hAnsi="宋体" w:cs="宋体"/>
                <w:kern w:val="0"/>
                <w:szCs w:val="21"/>
              </w:rPr>
            </w:pPr>
          </w:p>
        </w:tc>
        <w:tc>
          <w:tcPr>
            <w:tcW w:w="1103" w:type="dxa"/>
            <w:vAlign w:val="center"/>
          </w:tcPr>
          <w:p w14:paraId="55CD8348">
            <w:pPr>
              <w:spacing w:line="360" w:lineRule="auto"/>
              <w:jc w:val="center"/>
              <w:rPr>
                <w:rFonts w:hint="eastAsia" w:ascii="宋体" w:hAnsi="宋体" w:cs="宋体"/>
                <w:kern w:val="0"/>
                <w:szCs w:val="21"/>
              </w:rPr>
            </w:pPr>
          </w:p>
        </w:tc>
        <w:tc>
          <w:tcPr>
            <w:tcW w:w="1103" w:type="dxa"/>
            <w:vAlign w:val="center"/>
          </w:tcPr>
          <w:p w14:paraId="48323EF7">
            <w:pPr>
              <w:spacing w:line="360" w:lineRule="auto"/>
              <w:jc w:val="center"/>
              <w:rPr>
                <w:rFonts w:hint="eastAsia" w:ascii="宋体" w:hAnsi="宋体" w:cs="宋体"/>
                <w:kern w:val="0"/>
                <w:szCs w:val="21"/>
              </w:rPr>
            </w:pPr>
          </w:p>
        </w:tc>
        <w:tc>
          <w:tcPr>
            <w:tcW w:w="846" w:type="dxa"/>
            <w:vAlign w:val="center"/>
          </w:tcPr>
          <w:p w14:paraId="4AA67374">
            <w:pPr>
              <w:spacing w:line="360" w:lineRule="auto"/>
              <w:jc w:val="center"/>
              <w:rPr>
                <w:rFonts w:hint="eastAsia" w:ascii="宋体" w:hAnsi="宋体" w:cs="宋体"/>
                <w:kern w:val="0"/>
                <w:szCs w:val="21"/>
              </w:rPr>
            </w:pPr>
          </w:p>
        </w:tc>
        <w:tc>
          <w:tcPr>
            <w:tcW w:w="915" w:type="dxa"/>
            <w:vAlign w:val="center"/>
          </w:tcPr>
          <w:p w14:paraId="6EA80E4B">
            <w:pPr>
              <w:spacing w:line="360" w:lineRule="auto"/>
              <w:jc w:val="center"/>
              <w:rPr>
                <w:rFonts w:hint="eastAsia" w:ascii="宋体" w:hAnsi="宋体" w:cs="宋体"/>
                <w:kern w:val="0"/>
                <w:szCs w:val="21"/>
              </w:rPr>
            </w:pPr>
          </w:p>
        </w:tc>
        <w:tc>
          <w:tcPr>
            <w:tcW w:w="850" w:type="dxa"/>
            <w:vAlign w:val="center"/>
          </w:tcPr>
          <w:p w14:paraId="40393554">
            <w:pPr>
              <w:spacing w:line="360" w:lineRule="auto"/>
              <w:jc w:val="center"/>
              <w:rPr>
                <w:rFonts w:hint="eastAsia" w:ascii="宋体" w:hAnsi="宋体" w:cs="宋体"/>
                <w:kern w:val="0"/>
                <w:szCs w:val="21"/>
              </w:rPr>
            </w:pPr>
          </w:p>
        </w:tc>
        <w:tc>
          <w:tcPr>
            <w:tcW w:w="862" w:type="dxa"/>
            <w:vAlign w:val="center"/>
          </w:tcPr>
          <w:p w14:paraId="6DBFA883">
            <w:pPr>
              <w:spacing w:line="360" w:lineRule="auto"/>
              <w:jc w:val="center"/>
              <w:rPr>
                <w:rFonts w:hint="eastAsia" w:ascii="宋体" w:hAnsi="宋体" w:cs="宋体"/>
                <w:kern w:val="0"/>
                <w:szCs w:val="21"/>
              </w:rPr>
            </w:pPr>
          </w:p>
        </w:tc>
        <w:tc>
          <w:tcPr>
            <w:tcW w:w="1690" w:type="dxa"/>
            <w:vAlign w:val="center"/>
          </w:tcPr>
          <w:p w14:paraId="6CB090FD">
            <w:pPr>
              <w:spacing w:line="360" w:lineRule="auto"/>
              <w:jc w:val="center"/>
              <w:rPr>
                <w:rFonts w:hint="eastAsia" w:ascii="宋体" w:hAnsi="宋体" w:cs="宋体"/>
                <w:kern w:val="0"/>
                <w:szCs w:val="21"/>
              </w:rPr>
            </w:pPr>
          </w:p>
        </w:tc>
      </w:tr>
      <w:tr w14:paraId="77B38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437" w:type="dxa"/>
            <w:vAlign w:val="center"/>
          </w:tcPr>
          <w:p w14:paraId="2A4ED287">
            <w:pPr>
              <w:spacing w:line="360" w:lineRule="auto"/>
              <w:jc w:val="center"/>
              <w:rPr>
                <w:rFonts w:hint="eastAsia" w:ascii="宋体" w:hAnsi="宋体" w:cs="宋体"/>
                <w:kern w:val="0"/>
                <w:szCs w:val="21"/>
              </w:rPr>
            </w:pPr>
          </w:p>
        </w:tc>
        <w:tc>
          <w:tcPr>
            <w:tcW w:w="1184" w:type="dxa"/>
            <w:vAlign w:val="center"/>
          </w:tcPr>
          <w:p w14:paraId="2CEF5152">
            <w:pPr>
              <w:spacing w:line="360" w:lineRule="auto"/>
              <w:jc w:val="center"/>
              <w:rPr>
                <w:rFonts w:hint="eastAsia" w:ascii="宋体" w:hAnsi="宋体" w:cs="宋体"/>
                <w:kern w:val="0"/>
                <w:szCs w:val="21"/>
              </w:rPr>
            </w:pPr>
          </w:p>
        </w:tc>
        <w:tc>
          <w:tcPr>
            <w:tcW w:w="1563" w:type="dxa"/>
            <w:vAlign w:val="center"/>
          </w:tcPr>
          <w:p w14:paraId="740F8D2E">
            <w:pPr>
              <w:spacing w:line="360" w:lineRule="auto"/>
              <w:jc w:val="center"/>
              <w:rPr>
                <w:rFonts w:hint="eastAsia" w:ascii="宋体" w:hAnsi="宋体" w:cs="宋体"/>
                <w:kern w:val="0"/>
                <w:szCs w:val="21"/>
              </w:rPr>
            </w:pPr>
          </w:p>
        </w:tc>
        <w:tc>
          <w:tcPr>
            <w:tcW w:w="826" w:type="dxa"/>
            <w:vAlign w:val="center"/>
          </w:tcPr>
          <w:p w14:paraId="13A8081D">
            <w:pPr>
              <w:spacing w:line="360" w:lineRule="auto"/>
              <w:jc w:val="center"/>
              <w:rPr>
                <w:rFonts w:hint="eastAsia" w:ascii="宋体" w:hAnsi="宋体" w:cs="宋体"/>
                <w:kern w:val="0"/>
                <w:szCs w:val="21"/>
              </w:rPr>
            </w:pPr>
          </w:p>
        </w:tc>
        <w:tc>
          <w:tcPr>
            <w:tcW w:w="1230" w:type="dxa"/>
            <w:vAlign w:val="center"/>
          </w:tcPr>
          <w:p w14:paraId="304BF151">
            <w:pPr>
              <w:spacing w:line="360" w:lineRule="auto"/>
              <w:jc w:val="center"/>
              <w:rPr>
                <w:rFonts w:hint="eastAsia" w:ascii="宋体" w:hAnsi="宋体" w:cs="宋体"/>
                <w:kern w:val="0"/>
                <w:szCs w:val="21"/>
              </w:rPr>
            </w:pPr>
          </w:p>
        </w:tc>
        <w:tc>
          <w:tcPr>
            <w:tcW w:w="1103" w:type="dxa"/>
            <w:vAlign w:val="center"/>
          </w:tcPr>
          <w:p w14:paraId="6C756D6A">
            <w:pPr>
              <w:spacing w:line="360" w:lineRule="auto"/>
              <w:jc w:val="center"/>
              <w:rPr>
                <w:rFonts w:hint="eastAsia" w:ascii="宋体" w:hAnsi="宋体" w:cs="宋体"/>
                <w:kern w:val="0"/>
                <w:szCs w:val="21"/>
              </w:rPr>
            </w:pPr>
          </w:p>
        </w:tc>
        <w:tc>
          <w:tcPr>
            <w:tcW w:w="1103" w:type="dxa"/>
            <w:vAlign w:val="center"/>
          </w:tcPr>
          <w:p w14:paraId="6FF3762A">
            <w:pPr>
              <w:spacing w:line="360" w:lineRule="auto"/>
              <w:jc w:val="center"/>
              <w:rPr>
                <w:rFonts w:hint="eastAsia" w:ascii="宋体" w:hAnsi="宋体" w:cs="宋体"/>
                <w:kern w:val="0"/>
                <w:szCs w:val="21"/>
              </w:rPr>
            </w:pPr>
          </w:p>
        </w:tc>
        <w:tc>
          <w:tcPr>
            <w:tcW w:w="846" w:type="dxa"/>
            <w:vAlign w:val="center"/>
          </w:tcPr>
          <w:p w14:paraId="6A09106F">
            <w:pPr>
              <w:spacing w:line="360" w:lineRule="auto"/>
              <w:jc w:val="center"/>
              <w:rPr>
                <w:rFonts w:hint="eastAsia" w:ascii="宋体" w:hAnsi="宋体" w:cs="宋体"/>
                <w:kern w:val="0"/>
                <w:szCs w:val="21"/>
              </w:rPr>
            </w:pPr>
          </w:p>
        </w:tc>
        <w:tc>
          <w:tcPr>
            <w:tcW w:w="915" w:type="dxa"/>
            <w:vAlign w:val="center"/>
          </w:tcPr>
          <w:p w14:paraId="78C850CE">
            <w:pPr>
              <w:spacing w:line="360" w:lineRule="auto"/>
              <w:jc w:val="center"/>
              <w:rPr>
                <w:rFonts w:hint="eastAsia" w:ascii="宋体" w:hAnsi="宋体" w:cs="宋体"/>
                <w:kern w:val="0"/>
                <w:szCs w:val="21"/>
              </w:rPr>
            </w:pPr>
          </w:p>
        </w:tc>
        <w:tc>
          <w:tcPr>
            <w:tcW w:w="850" w:type="dxa"/>
            <w:vAlign w:val="center"/>
          </w:tcPr>
          <w:p w14:paraId="37D0F0EA">
            <w:pPr>
              <w:spacing w:line="360" w:lineRule="auto"/>
              <w:jc w:val="center"/>
              <w:rPr>
                <w:rFonts w:hint="eastAsia" w:ascii="宋体" w:hAnsi="宋体" w:cs="宋体"/>
                <w:kern w:val="0"/>
                <w:szCs w:val="21"/>
              </w:rPr>
            </w:pPr>
          </w:p>
        </w:tc>
        <w:tc>
          <w:tcPr>
            <w:tcW w:w="862" w:type="dxa"/>
            <w:vAlign w:val="center"/>
          </w:tcPr>
          <w:p w14:paraId="65B70112">
            <w:pPr>
              <w:spacing w:line="360" w:lineRule="auto"/>
              <w:jc w:val="center"/>
              <w:rPr>
                <w:rFonts w:hint="eastAsia" w:ascii="宋体" w:hAnsi="宋体" w:cs="宋体"/>
                <w:kern w:val="0"/>
                <w:szCs w:val="21"/>
              </w:rPr>
            </w:pPr>
          </w:p>
        </w:tc>
        <w:tc>
          <w:tcPr>
            <w:tcW w:w="1690" w:type="dxa"/>
            <w:vAlign w:val="center"/>
          </w:tcPr>
          <w:p w14:paraId="38B0F4FE">
            <w:pPr>
              <w:spacing w:line="360" w:lineRule="auto"/>
              <w:jc w:val="center"/>
              <w:rPr>
                <w:rFonts w:hint="eastAsia" w:ascii="宋体" w:hAnsi="宋体" w:cs="宋体"/>
                <w:kern w:val="0"/>
                <w:szCs w:val="21"/>
              </w:rPr>
            </w:pPr>
          </w:p>
        </w:tc>
      </w:tr>
      <w:tr w14:paraId="0EAB4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trPr>
        <w:tc>
          <w:tcPr>
            <w:tcW w:w="2621" w:type="dxa"/>
            <w:gridSpan w:val="2"/>
            <w:vAlign w:val="center"/>
          </w:tcPr>
          <w:p w14:paraId="3E098416">
            <w:pPr>
              <w:spacing w:line="360" w:lineRule="auto"/>
              <w:jc w:val="center"/>
              <w:rPr>
                <w:rFonts w:hint="eastAsia" w:ascii="宋体" w:hAnsi="宋体" w:cs="宋体"/>
                <w:kern w:val="0"/>
                <w:szCs w:val="21"/>
              </w:rPr>
            </w:pPr>
            <w:r>
              <w:rPr>
                <w:rFonts w:ascii="宋体" w:hAnsi="宋体"/>
                <w:szCs w:val="21"/>
              </w:rPr>
              <w:t>投 标 总 价</w:t>
            </w:r>
            <w:r>
              <w:rPr>
                <w:rFonts w:hint="eastAsia" w:ascii="宋体" w:hAnsi="宋体"/>
                <w:szCs w:val="21"/>
              </w:rPr>
              <w:t>(元)</w:t>
            </w:r>
            <w:r>
              <w:rPr>
                <w:rFonts w:ascii="宋体" w:hAnsi="宋体"/>
                <w:szCs w:val="21"/>
              </w:rPr>
              <w:t>:</w:t>
            </w:r>
          </w:p>
        </w:tc>
        <w:tc>
          <w:tcPr>
            <w:tcW w:w="10988" w:type="dxa"/>
            <w:gridSpan w:val="10"/>
            <w:vAlign w:val="center"/>
          </w:tcPr>
          <w:p w14:paraId="0E1D21ED">
            <w:pPr>
              <w:spacing w:line="360" w:lineRule="auto"/>
              <w:ind w:firstLine="5355" w:firstLineChars="2550"/>
              <w:jc w:val="center"/>
              <w:rPr>
                <w:rFonts w:hint="eastAsia" w:ascii="宋体" w:hAnsi="宋体" w:cs="宋体"/>
                <w:kern w:val="0"/>
                <w:szCs w:val="21"/>
              </w:rPr>
            </w:pPr>
            <w:r>
              <w:rPr>
                <w:rFonts w:hint="eastAsia" w:ascii="宋体" w:hAnsi="宋体" w:cs="宋体"/>
                <w:kern w:val="0"/>
                <w:szCs w:val="21"/>
              </w:rPr>
              <w:t>（</w:t>
            </w:r>
            <w:r>
              <w:rPr>
                <w:rFonts w:hint="eastAsia"/>
              </w:rPr>
              <w:t>含税</w:t>
            </w:r>
            <w:r>
              <w:rPr>
                <w:rFonts w:hint="eastAsia" w:ascii="宋体" w:hAnsi="宋体" w:cs="宋体"/>
                <w:kern w:val="0"/>
                <w:szCs w:val="21"/>
              </w:rPr>
              <w:t>13%到货价</w:t>
            </w:r>
            <w:r>
              <w:rPr>
                <w:rFonts w:ascii="宋体" w:hAnsi="宋体" w:cs="宋体"/>
                <w:kern w:val="0"/>
                <w:szCs w:val="21"/>
              </w:rPr>
              <w:t>）</w:t>
            </w:r>
          </w:p>
        </w:tc>
      </w:tr>
    </w:tbl>
    <w:p w14:paraId="5B5FC24D">
      <w:pPr>
        <w:spacing w:line="300" w:lineRule="auto"/>
        <w:rPr>
          <w:rFonts w:hint="eastAsia" w:ascii="宋体" w:hAnsi="宋体" w:cs="宋体"/>
          <w:kern w:val="0"/>
          <w:szCs w:val="21"/>
          <w:u w:val="single"/>
        </w:rPr>
      </w:pPr>
    </w:p>
    <w:sectPr>
      <w:headerReference r:id="rId5" w:type="first"/>
      <w:footerReference r:id="rId7" w:type="first"/>
      <w:headerReference r:id="rId4" w:type="default"/>
      <w:footerReference r:id="rId6" w:type="default"/>
      <w:pgSz w:w="16840" w:h="11907" w:orient="landscape"/>
      <w:pgMar w:top="1797" w:right="1440" w:bottom="1797" w:left="1440" w:header="567"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2F39A0">
    <w:pPr>
      <w:pStyle w:val="17"/>
      <w:tabs>
        <w:tab w:val="left" w:pos="1620"/>
        <w:tab w:val="clear" w:pos="4153"/>
        <w:tab w:val="clear" w:pos="8306"/>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23EF85">
    <w:pPr>
      <w:pStyle w:val="17"/>
      <w:jc w:val="center"/>
      <w:rPr>
        <w:b/>
      </w:rPr>
    </w:pPr>
    <w:r>
      <w:rPr>
        <w:rFonts w:hint="eastAsia"/>
        <w:b/>
      </w:rPr>
      <w:t>5-</w:t>
    </w:r>
    <w:r>
      <w:rPr>
        <w:rStyle w:val="29"/>
        <w:rFonts w:hint="eastAsia"/>
        <w:b/>
      </w:rPr>
      <w:t>1</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9BE941">
    <w:pPr>
      <w:pStyle w:val="1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62F461">
    <w:pPr>
      <w:pStyle w:val="18"/>
      <w:rPr>
        <w:rFonts w:hint="eastAsia" w:ascii="宋体" w:hAnsi="宋体" w:cs="宋体"/>
        <w:kern w:val="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5D8E45">
    <w:pPr>
      <w:pStyle w:val="18"/>
      <w:pBdr>
        <w:bottom w:val="single" w:color="auto" w:sz="6" w:space="0"/>
      </w:pBdr>
      <w:rPr>
        <w:b/>
      </w:rPr>
    </w:pPr>
    <w:r>
      <w:rPr>
        <w:b/>
      </w:rPr>
      <w:t xml:space="preserve">ZITET              </w:t>
    </w:r>
    <w:r>
      <w:rPr>
        <w:rFonts w:hint="eastAsia" w:ascii="仿宋_GB2312" w:hAnsi="宋体"/>
        <w:b/>
      </w:rPr>
      <w:t xml:space="preserve"> 商务条款</w:t>
    </w:r>
    <w:r>
      <w:rPr>
        <w:b/>
      </w:rPr>
      <w:t xml:space="preserve">         IFB No. : 0625-11108016-3 </w:t>
    </w:r>
  </w:p>
  <w:p w14:paraId="0E27D705">
    <w:pPr>
      <w:pStyle w:val="18"/>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7E03B2"/>
    <w:multiLevelType w:val="multilevel"/>
    <w:tmpl w:val="087E03B2"/>
    <w:lvl w:ilvl="0" w:tentative="0">
      <w:start w:val="1"/>
      <w:numFmt w:val="decimal"/>
      <w:lvlText w:val="%1、"/>
      <w:lvlJc w:val="left"/>
      <w:pPr>
        <w:ind w:left="420" w:hanging="420"/>
      </w:pPr>
      <w:rPr>
        <w:rFonts w:hint="default"/>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B534D86"/>
    <w:multiLevelType w:val="singleLevel"/>
    <w:tmpl w:val="1B534D86"/>
    <w:lvl w:ilvl="0" w:tentative="0">
      <w:start w:val="1"/>
      <w:numFmt w:val="chineseCounting"/>
      <w:suff w:val="nothing"/>
      <w:lvlText w:val="%1、"/>
      <w:lvlJc w:val="left"/>
      <w:pPr>
        <w:ind w:left="0" w:firstLine="0"/>
      </w:pPr>
    </w:lvl>
  </w:abstractNum>
  <w:num w:numId="1">
    <w:abstractNumId w:val="0"/>
  </w:num>
  <w:num w:numId="2">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footnotePr>
    <w:numRestart w:val="eachPage"/>
  </w:footnotePr>
  <w:endnotePr>
    <w:numRestart w:val="eachSect"/>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F65350"/>
    <w:rsid w:val="00001049"/>
    <w:rsid w:val="0000161F"/>
    <w:rsid w:val="0000253E"/>
    <w:rsid w:val="0000321D"/>
    <w:rsid w:val="000048AE"/>
    <w:rsid w:val="00010128"/>
    <w:rsid w:val="00010595"/>
    <w:rsid w:val="00012465"/>
    <w:rsid w:val="000126D6"/>
    <w:rsid w:val="000149FD"/>
    <w:rsid w:val="00016342"/>
    <w:rsid w:val="0001728E"/>
    <w:rsid w:val="00017AB7"/>
    <w:rsid w:val="000216AB"/>
    <w:rsid w:val="00023FBA"/>
    <w:rsid w:val="000241A2"/>
    <w:rsid w:val="000246F2"/>
    <w:rsid w:val="00025B72"/>
    <w:rsid w:val="00025D6E"/>
    <w:rsid w:val="00027D13"/>
    <w:rsid w:val="000304DD"/>
    <w:rsid w:val="00031933"/>
    <w:rsid w:val="000321F7"/>
    <w:rsid w:val="00032F0E"/>
    <w:rsid w:val="00033035"/>
    <w:rsid w:val="00033A8A"/>
    <w:rsid w:val="00036E8E"/>
    <w:rsid w:val="00040079"/>
    <w:rsid w:val="00040304"/>
    <w:rsid w:val="00042165"/>
    <w:rsid w:val="000429B7"/>
    <w:rsid w:val="00042C8D"/>
    <w:rsid w:val="00043A28"/>
    <w:rsid w:val="00043E0E"/>
    <w:rsid w:val="0004442F"/>
    <w:rsid w:val="000454F1"/>
    <w:rsid w:val="000457FE"/>
    <w:rsid w:val="000464F4"/>
    <w:rsid w:val="00046FA7"/>
    <w:rsid w:val="0005003A"/>
    <w:rsid w:val="00050746"/>
    <w:rsid w:val="0005081D"/>
    <w:rsid w:val="00052B33"/>
    <w:rsid w:val="00052B6B"/>
    <w:rsid w:val="000532B5"/>
    <w:rsid w:val="00053709"/>
    <w:rsid w:val="00054495"/>
    <w:rsid w:val="00054572"/>
    <w:rsid w:val="00057EA5"/>
    <w:rsid w:val="00062CC4"/>
    <w:rsid w:val="00063C6A"/>
    <w:rsid w:val="000643EC"/>
    <w:rsid w:val="00065FC5"/>
    <w:rsid w:val="00067B37"/>
    <w:rsid w:val="000704A3"/>
    <w:rsid w:val="0007156D"/>
    <w:rsid w:val="00074D49"/>
    <w:rsid w:val="000753E8"/>
    <w:rsid w:val="000773C2"/>
    <w:rsid w:val="00080FDA"/>
    <w:rsid w:val="00083913"/>
    <w:rsid w:val="00084EC4"/>
    <w:rsid w:val="000851CB"/>
    <w:rsid w:val="000853B5"/>
    <w:rsid w:val="00085D03"/>
    <w:rsid w:val="00086647"/>
    <w:rsid w:val="00086CF0"/>
    <w:rsid w:val="000878D5"/>
    <w:rsid w:val="00090B7F"/>
    <w:rsid w:val="00091C62"/>
    <w:rsid w:val="00093303"/>
    <w:rsid w:val="00093524"/>
    <w:rsid w:val="00093E15"/>
    <w:rsid w:val="00094768"/>
    <w:rsid w:val="00096844"/>
    <w:rsid w:val="000A05BF"/>
    <w:rsid w:val="000A106D"/>
    <w:rsid w:val="000A48F4"/>
    <w:rsid w:val="000A490E"/>
    <w:rsid w:val="000A5A32"/>
    <w:rsid w:val="000A5A4F"/>
    <w:rsid w:val="000B0BEB"/>
    <w:rsid w:val="000B297A"/>
    <w:rsid w:val="000B2BB9"/>
    <w:rsid w:val="000B569C"/>
    <w:rsid w:val="000B6647"/>
    <w:rsid w:val="000B7288"/>
    <w:rsid w:val="000C3317"/>
    <w:rsid w:val="000C4F9F"/>
    <w:rsid w:val="000C5B0A"/>
    <w:rsid w:val="000C650D"/>
    <w:rsid w:val="000C666C"/>
    <w:rsid w:val="000C6AB8"/>
    <w:rsid w:val="000C7C04"/>
    <w:rsid w:val="000D373D"/>
    <w:rsid w:val="000D5F2B"/>
    <w:rsid w:val="000D7D23"/>
    <w:rsid w:val="000E08B6"/>
    <w:rsid w:val="000E093F"/>
    <w:rsid w:val="000E0E81"/>
    <w:rsid w:val="000E220D"/>
    <w:rsid w:val="000E2A9D"/>
    <w:rsid w:val="000E370C"/>
    <w:rsid w:val="000E55DE"/>
    <w:rsid w:val="000E57BA"/>
    <w:rsid w:val="000E5CEE"/>
    <w:rsid w:val="000E6456"/>
    <w:rsid w:val="000E6675"/>
    <w:rsid w:val="000E7B5C"/>
    <w:rsid w:val="000F0E4C"/>
    <w:rsid w:val="00100039"/>
    <w:rsid w:val="001008A4"/>
    <w:rsid w:val="0010193F"/>
    <w:rsid w:val="00101AD4"/>
    <w:rsid w:val="00101B03"/>
    <w:rsid w:val="00101C3A"/>
    <w:rsid w:val="00102254"/>
    <w:rsid w:val="001039F8"/>
    <w:rsid w:val="001044F7"/>
    <w:rsid w:val="001048DC"/>
    <w:rsid w:val="001058CB"/>
    <w:rsid w:val="001062F9"/>
    <w:rsid w:val="001130AB"/>
    <w:rsid w:val="00113C3F"/>
    <w:rsid w:val="001142F9"/>
    <w:rsid w:val="00114E24"/>
    <w:rsid w:val="00115762"/>
    <w:rsid w:val="00117E22"/>
    <w:rsid w:val="001215CE"/>
    <w:rsid w:val="001219C4"/>
    <w:rsid w:val="00123B75"/>
    <w:rsid w:val="00123D3B"/>
    <w:rsid w:val="001248DC"/>
    <w:rsid w:val="001254D1"/>
    <w:rsid w:val="00127EEB"/>
    <w:rsid w:val="00130C93"/>
    <w:rsid w:val="00132E95"/>
    <w:rsid w:val="0013489F"/>
    <w:rsid w:val="001353FC"/>
    <w:rsid w:val="00140B3A"/>
    <w:rsid w:val="00141CE0"/>
    <w:rsid w:val="001428A5"/>
    <w:rsid w:val="00146C26"/>
    <w:rsid w:val="00150DAC"/>
    <w:rsid w:val="00151668"/>
    <w:rsid w:val="00152A55"/>
    <w:rsid w:val="001537EF"/>
    <w:rsid w:val="00154082"/>
    <w:rsid w:val="00154311"/>
    <w:rsid w:val="00154CB0"/>
    <w:rsid w:val="00156A38"/>
    <w:rsid w:val="0015725A"/>
    <w:rsid w:val="001572C8"/>
    <w:rsid w:val="00157B8E"/>
    <w:rsid w:val="00157CEE"/>
    <w:rsid w:val="00157D09"/>
    <w:rsid w:val="00160670"/>
    <w:rsid w:val="00160B0B"/>
    <w:rsid w:val="00160C6A"/>
    <w:rsid w:val="001613F1"/>
    <w:rsid w:val="001614B5"/>
    <w:rsid w:val="00161C77"/>
    <w:rsid w:val="001622D9"/>
    <w:rsid w:val="00162FC2"/>
    <w:rsid w:val="0016660F"/>
    <w:rsid w:val="001701BF"/>
    <w:rsid w:val="001730AB"/>
    <w:rsid w:val="00174061"/>
    <w:rsid w:val="00176104"/>
    <w:rsid w:val="00176E94"/>
    <w:rsid w:val="001770C8"/>
    <w:rsid w:val="00177C49"/>
    <w:rsid w:val="00180BCA"/>
    <w:rsid w:val="00180F83"/>
    <w:rsid w:val="00181C4C"/>
    <w:rsid w:val="00182B74"/>
    <w:rsid w:val="00184D80"/>
    <w:rsid w:val="00184F2E"/>
    <w:rsid w:val="001850C0"/>
    <w:rsid w:val="00185CAA"/>
    <w:rsid w:val="001866E5"/>
    <w:rsid w:val="00186A36"/>
    <w:rsid w:val="00186E0D"/>
    <w:rsid w:val="00187A4F"/>
    <w:rsid w:val="00191E64"/>
    <w:rsid w:val="00192CCE"/>
    <w:rsid w:val="00192CFD"/>
    <w:rsid w:val="00193172"/>
    <w:rsid w:val="00193648"/>
    <w:rsid w:val="00194C17"/>
    <w:rsid w:val="001966AC"/>
    <w:rsid w:val="001A220E"/>
    <w:rsid w:val="001A2FD1"/>
    <w:rsid w:val="001A5930"/>
    <w:rsid w:val="001A5F81"/>
    <w:rsid w:val="001B0BB6"/>
    <w:rsid w:val="001B0D0D"/>
    <w:rsid w:val="001B1008"/>
    <w:rsid w:val="001B159E"/>
    <w:rsid w:val="001B29DA"/>
    <w:rsid w:val="001B2EE3"/>
    <w:rsid w:val="001B4F74"/>
    <w:rsid w:val="001B5C47"/>
    <w:rsid w:val="001B659B"/>
    <w:rsid w:val="001B6E94"/>
    <w:rsid w:val="001B7B30"/>
    <w:rsid w:val="001B7CE5"/>
    <w:rsid w:val="001C1212"/>
    <w:rsid w:val="001C31F3"/>
    <w:rsid w:val="001C5CF1"/>
    <w:rsid w:val="001C6861"/>
    <w:rsid w:val="001C7D4D"/>
    <w:rsid w:val="001D0B6B"/>
    <w:rsid w:val="001D1D6F"/>
    <w:rsid w:val="001D21B3"/>
    <w:rsid w:val="001D2C39"/>
    <w:rsid w:val="001D3C26"/>
    <w:rsid w:val="001D3E79"/>
    <w:rsid w:val="001D51D6"/>
    <w:rsid w:val="001D522C"/>
    <w:rsid w:val="001D526D"/>
    <w:rsid w:val="001D5EC8"/>
    <w:rsid w:val="001D6F43"/>
    <w:rsid w:val="001E0117"/>
    <w:rsid w:val="001E04A7"/>
    <w:rsid w:val="001E0ED0"/>
    <w:rsid w:val="001E32F1"/>
    <w:rsid w:val="001E34EE"/>
    <w:rsid w:val="001E3911"/>
    <w:rsid w:val="001E3CB7"/>
    <w:rsid w:val="001E56A8"/>
    <w:rsid w:val="001E78E7"/>
    <w:rsid w:val="001F0944"/>
    <w:rsid w:val="001F0FA5"/>
    <w:rsid w:val="001F4DCB"/>
    <w:rsid w:val="001F4F60"/>
    <w:rsid w:val="001F61FE"/>
    <w:rsid w:val="00205279"/>
    <w:rsid w:val="002062CB"/>
    <w:rsid w:val="00211852"/>
    <w:rsid w:val="0021204D"/>
    <w:rsid w:val="002130CC"/>
    <w:rsid w:val="00214ED4"/>
    <w:rsid w:val="00216B23"/>
    <w:rsid w:val="00216F04"/>
    <w:rsid w:val="00217549"/>
    <w:rsid w:val="00217B35"/>
    <w:rsid w:val="00217F20"/>
    <w:rsid w:val="00221787"/>
    <w:rsid w:val="00221AA3"/>
    <w:rsid w:val="00222160"/>
    <w:rsid w:val="00224580"/>
    <w:rsid w:val="002258A9"/>
    <w:rsid w:val="00227302"/>
    <w:rsid w:val="00230EFF"/>
    <w:rsid w:val="002336AA"/>
    <w:rsid w:val="002344E1"/>
    <w:rsid w:val="0023489C"/>
    <w:rsid w:val="00234D54"/>
    <w:rsid w:val="00241176"/>
    <w:rsid w:val="00242F72"/>
    <w:rsid w:val="0024311E"/>
    <w:rsid w:val="00244032"/>
    <w:rsid w:val="00244E4F"/>
    <w:rsid w:val="00245EBD"/>
    <w:rsid w:val="002460B3"/>
    <w:rsid w:val="002469A8"/>
    <w:rsid w:val="00246D8A"/>
    <w:rsid w:val="002473FB"/>
    <w:rsid w:val="00250F66"/>
    <w:rsid w:val="00251AFA"/>
    <w:rsid w:val="00253028"/>
    <w:rsid w:val="00253B69"/>
    <w:rsid w:val="00254EF1"/>
    <w:rsid w:val="002560FC"/>
    <w:rsid w:val="00256800"/>
    <w:rsid w:val="00257273"/>
    <w:rsid w:val="00257CE7"/>
    <w:rsid w:val="00260F76"/>
    <w:rsid w:val="00261648"/>
    <w:rsid w:val="0026189A"/>
    <w:rsid w:val="00261E3B"/>
    <w:rsid w:val="002628EF"/>
    <w:rsid w:val="00263618"/>
    <w:rsid w:val="0026405B"/>
    <w:rsid w:val="0026745B"/>
    <w:rsid w:val="00270AD9"/>
    <w:rsid w:val="002730B7"/>
    <w:rsid w:val="00274BC7"/>
    <w:rsid w:val="00275E5B"/>
    <w:rsid w:val="00277677"/>
    <w:rsid w:val="00277B75"/>
    <w:rsid w:val="0028048E"/>
    <w:rsid w:val="0028077E"/>
    <w:rsid w:val="00280F52"/>
    <w:rsid w:val="002819BD"/>
    <w:rsid w:val="00282B7B"/>
    <w:rsid w:val="00282EC8"/>
    <w:rsid w:val="00283505"/>
    <w:rsid w:val="002839E9"/>
    <w:rsid w:val="00283BE3"/>
    <w:rsid w:val="00284191"/>
    <w:rsid w:val="002852F8"/>
    <w:rsid w:val="00285BC4"/>
    <w:rsid w:val="002866F6"/>
    <w:rsid w:val="00286BDB"/>
    <w:rsid w:val="00287037"/>
    <w:rsid w:val="00290ABA"/>
    <w:rsid w:val="002911E8"/>
    <w:rsid w:val="002953F0"/>
    <w:rsid w:val="00295603"/>
    <w:rsid w:val="002969FC"/>
    <w:rsid w:val="002A222A"/>
    <w:rsid w:val="002A2ADA"/>
    <w:rsid w:val="002A365B"/>
    <w:rsid w:val="002A4044"/>
    <w:rsid w:val="002A4773"/>
    <w:rsid w:val="002A485D"/>
    <w:rsid w:val="002A528C"/>
    <w:rsid w:val="002A61D1"/>
    <w:rsid w:val="002A73C3"/>
    <w:rsid w:val="002A7AB7"/>
    <w:rsid w:val="002B1D4D"/>
    <w:rsid w:val="002B2836"/>
    <w:rsid w:val="002B3E2E"/>
    <w:rsid w:val="002B50F4"/>
    <w:rsid w:val="002B5237"/>
    <w:rsid w:val="002B5D1B"/>
    <w:rsid w:val="002B768A"/>
    <w:rsid w:val="002B7AC6"/>
    <w:rsid w:val="002B7F90"/>
    <w:rsid w:val="002C0D77"/>
    <w:rsid w:val="002C2183"/>
    <w:rsid w:val="002C25F8"/>
    <w:rsid w:val="002C2CF0"/>
    <w:rsid w:val="002C5F34"/>
    <w:rsid w:val="002C6C17"/>
    <w:rsid w:val="002D027E"/>
    <w:rsid w:val="002D0FF3"/>
    <w:rsid w:val="002D241A"/>
    <w:rsid w:val="002D2F59"/>
    <w:rsid w:val="002D34D4"/>
    <w:rsid w:val="002D4837"/>
    <w:rsid w:val="002D579D"/>
    <w:rsid w:val="002D58DB"/>
    <w:rsid w:val="002D7297"/>
    <w:rsid w:val="002E0D61"/>
    <w:rsid w:val="002E15E1"/>
    <w:rsid w:val="002E19B3"/>
    <w:rsid w:val="002E1CCF"/>
    <w:rsid w:val="002E402B"/>
    <w:rsid w:val="002E540E"/>
    <w:rsid w:val="002E6A90"/>
    <w:rsid w:val="002E797D"/>
    <w:rsid w:val="002F1DF1"/>
    <w:rsid w:val="002F2B52"/>
    <w:rsid w:val="002F492C"/>
    <w:rsid w:val="002F4BAD"/>
    <w:rsid w:val="002F634F"/>
    <w:rsid w:val="00300C08"/>
    <w:rsid w:val="00300D2B"/>
    <w:rsid w:val="00302AB8"/>
    <w:rsid w:val="00303656"/>
    <w:rsid w:val="00304CE2"/>
    <w:rsid w:val="00304FD6"/>
    <w:rsid w:val="00305BA4"/>
    <w:rsid w:val="0030623C"/>
    <w:rsid w:val="00306C64"/>
    <w:rsid w:val="0030717F"/>
    <w:rsid w:val="003128BE"/>
    <w:rsid w:val="00312FEA"/>
    <w:rsid w:val="0031458B"/>
    <w:rsid w:val="00316DF1"/>
    <w:rsid w:val="00321215"/>
    <w:rsid w:val="00321704"/>
    <w:rsid w:val="003219AB"/>
    <w:rsid w:val="00321D7C"/>
    <w:rsid w:val="00324D1E"/>
    <w:rsid w:val="00325A99"/>
    <w:rsid w:val="0032728F"/>
    <w:rsid w:val="00330D91"/>
    <w:rsid w:val="003313AA"/>
    <w:rsid w:val="0033187D"/>
    <w:rsid w:val="00331CA2"/>
    <w:rsid w:val="00332E75"/>
    <w:rsid w:val="00334BBF"/>
    <w:rsid w:val="003351DD"/>
    <w:rsid w:val="00335CE2"/>
    <w:rsid w:val="00337472"/>
    <w:rsid w:val="00337813"/>
    <w:rsid w:val="00341B3D"/>
    <w:rsid w:val="00341C88"/>
    <w:rsid w:val="00342277"/>
    <w:rsid w:val="00342CA0"/>
    <w:rsid w:val="00343634"/>
    <w:rsid w:val="003440F4"/>
    <w:rsid w:val="0034538A"/>
    <w:rsid w:val="00346B25"/>
    <w:rsid w:val="00351C19"/>
    <w:rsid w:val="0035204E"/>
    <w:rsid w:val="00352F14"/>
    <w:rsid w:val="00353D1D"/>
    <w:rsid w:val="003577CA"/>
    <w:rsid w:val="00360F28"/>
    <w:rsid w:val="00362467"/>
    <w:rsid w:val="00362803"/>
    <w:rsid w:val="00362B49"/>
    <w:rsid w:val="00363464"/>
    <w:rsid w:val="00363805"/>
    <w:rsid w:val="00364206"/>
    <w:rsid w:val="003671F5"/>
    <w:rsid w:val="0037027A"/>
    <w:rsid w:val="0037073A"/>
    <w:rsid w:val="00371127"/>
    <w:rsid w:val="00374B59"/>
    <w:rsid w:val="00375008"/>
    <w:rsid w:val="00376F32"/>
    <w:rsid w:val="003779E3"/>
    <w:rsid w:val="00381E7F"/>
    <w:rsid w:val="0038238B"/>
    <w:rsid w:val="00382668"/>
    <w:rsid w:val="0038306A"/>
    <w:rsid w:val="003869C9"/>
    <w:rsid w:val="0038733D"/>
    <w:rsid w:val="003900F7"/>
    <w:rsid w:val="003910DF"/>
    <w:rsid w:val="00391A83"/>
    <w:rsid w:val="0039246F"/>
    <w:rsid w:val="003927B6"/>
    <w:rsid w:val="00394463"/>
    <w:rsid w:val="003972F3"/>
    <w:rsid w:val="00397404"/>
    <w:rsid w:val="00397FAA"/>
    <w:rsid w:val="003A17C8"/>
    <w:rsid w:val="003A36FA"/>
    <w:rsid w:val="003A38BD"/>
    <w:rsid w:val="003A50FF"/>
    <w:rsid w:val="003A6223"/>
    <w:rsid w:val="003A67A9"/>
    <w:rsid w:val="003A7948"/>
    <w:rsid w:val="003B0006"/>
    <w:rsid w:val="003B0C1E"/>
    <w:rsid w:val="003B20AC"/>
    <w:rsid w:val="003B3F77"/>
    <w:rsid w:val="003B4172"/>
    <w:rsid w:val="003B5904"/>
    <w:rsid w:val="003B5B58"/>
    <w:rsid w:val="003B5C5C"/>
    <w:rsid w:val="003C25A2"/>
    <w:rsid w:val="003C39DE"/>
    <w:rsid w:val="003C4072"/>
    <w:rsid w:val="003C4CCB"/>
    <w:rsid w:val="003C5E79"/>
    <w:rsid w:val="003C7154"/>
    <w:rsid w:val="003C7469"/>
    <w:rsid w:val="003C7CF6"/>
    <w:rsid w:val="003C7EA4"/>
    <w:rsid w:val="003D35EA"/>
    <w:rsid w:val="003D4AF3"/>
    <w:rsid w:val="003D5BE2"/>
    <w:rsid w:val="003D5D2A"/>
    <w:rsid w:val="003D6CBB"/>
    <w:rsid w:val="003D778A"/>
    <w:rsid w:val="003D7C24"/>
    <w:rsid w:val="003E249B"/>
    <w:rsid w:val="003E3FD3"/>
    <w:rsid w:val="003E4678"/>
    <w:rsid w:val="003E5326"/>
    <w:rsid w:val="003E75E7"/>
    <w:rsid w:val="003F0BD9"/>
    <w:rsid w:val="003F0EA2"/>
    <w:rsid w:val="003F10BB"/>
    <w:rsid w:val="003F1146"/>
    <w:rsid w:val="003F115B"/>
    <w:rsid w:val="003F180B"/>
    <w:rsid w:val="003F1956"/>
    <w:rsid w:val="003F258D"/>
    <w:rsid w:val="003F2E76"/>
    <w:rsid w:val="003F33CF"/>
    <w:rsid w:val="003F5380"/>
    <w:rsid w:val="003F6436"/>
    <w:rsid w:val="003F6EC3"/>
    <w:rsid w:val="004018FA"/>
    <w:rsid w:val="0040297A"/>
    <w:rsid w:val="00402C6B"/>
    <w:rsid w:val="00402F13"/>
    <w:rsid w:val="00403A1C"/>
    <w:rsid w:val="00404969"/>
    <w:rsid w:val="00404F93"/>
    <w:rsid w:val="00406E64"/>
    <w:rsid w:val="00406F36"/>
    <w:rsid w:val="004074D5"/>
    <w:rsid w:val="00407B6E"/>
    <w:rsid w:val="00407F6B"/>
    <w:rsid w:val="0041004A"/>
    <w:rsid w:val="00411441"/>
    <w:rsid w:val="00412523"/>
    <w:rsid w:val="00413EE5"/>
    <w:rsid w:val="00415041"/>
    <w:rsid w:val="004176A5"/>
    <w:rsid w:val="00417A77"/>
    <w:rsid w:val="00420E19"/>
    <w:rsid w:val="004224FD"/>
    <w:rsid w:val="00422B92"/>
    <w:rsid w:val="00423160"/>
    <w:rsid w:val="0042376A"/>
    <w:rsid w:val="00424309"/>
    <w:rsid w:val="0042506A"/>
    <w:rsid w:val="00425C04"/>
    <w:rsid w:val="00425DF2"/>
    <w:rsid w:val="0043112D"/>
    <w:rsid w:val="00432746"/>
    <w:rsid w:val="00433468"/>
    <w:rsid w:val="004369E8"/>
    <w:rsid w:val="00436D7E"/>
    <w:rsid w:val="00441029"/>
    <w:rsid w:val="0044127A"/>
    <w:rsid w:val="00443105"/>
    <w:rsid w:val="00443388"/>
    <w:rsid w:val="00443B63"/>
    <w:rsid w:val="00444ACC"/>
    <w:rsid w:val="00445589"/>
    <w:rsid w:val="00446805"/>
    <w:rsid w:val="00451213"/>
    <w:rsid w:val="004521D0"/>
    <w:rsid w:val="00452D0B"/>
    <w:rsid w:val="00453609"/>
    <w:rsid w:val="0045407E"/>
    <w:rsid w:val="00454AA1"/>
    <w:rsid w:val="0045566B"/>
    <w:rsid w:val="00455730"/>
    <w:rsid w:val="00455AA7"/>
    <w:rsid w:val="00457D48"/>
    <w:rsid w:val="0046010E"/>
    <w:rsid w:val="0046375F"/>
    <w:rsid w:val="00463E43"/>
    <w:rsid w:val="004646A7"/>
    <w:rsid w:val="004649BE"/>
    <w:rsid w:val="0046520D"/>
    <w:rsid w:val="00465353"/>
    <w:rsid w:val="00465825"/>
    <w:rsid w:val="00465A81"/>
    <w:rsid w:val="0047013B"/>
    <w:rsid w:val="00470811"/>
    <w:rsid w:val="00470E4F"/>
    <w:rsid w:val="0047215B"/>
    <w:rsid w:val="00474DF6"/>
    <w:rsid w:val="00474EB2"/>
    <w:rsid w:val="00480EBF"/>
    <w:rsid w:val="004812D8"/>
    <w:rsid w:val="004822AD"/>
    <w:rsid w:val="00482878"/>
    <w:rsid w:val="00482ACF"/>
    <w:rsid w:val="00484724"/>
    <w:rsid w:val="00491024"/>
    <w:rsid w:val="0049215C"/>
    <w:rsid w:val="004922D6"/>
    <w:rsid w:val="004935E2"/>
    <w:rsid w:val="0049365B"/>
    <w:rsid w:val="00493BF5"/>
    <w:rsid w:val="00494CA4"/>
    <w:rsid w:val="00494F9D"/>
    <w:rsid w:val="0049585E"/>
    <w:rsid w:val="00496AA0"/>
    <w:rsid w:val="00497A21"/>
    <w:rsid w:val="00497AD1"/>
    <w:rsid w:val="00497EF9"/>
    <w:rsid w:val="004A202B"/>
    <w:rsid w:val="004A2109"/>
    <w:rsid w:val="004A21CF"/>
    <w:rsid w:val="004A3A2F"/>
    <w:rsid w:val="004A4688"/>
    <w:rsid w:val="004A5774"/>
    <w:rsid w:val="004A6E4D"/>
    <w:rsid w:val="004A7205"/>
    <w:rsid w:val="004B002B"/>
    <w:rsid w:val="004B0F86"/>
    <w:rsid w:val="004B21F8"/>
    <w:rsid w:val="004B4B51"/>
    <w:rsid w:val="004B4DC2"/>
    <w:rsid w:val="004B723A"/>
    <w:rsid w:val="004B7C2A"/>
    <w:rsid w:val="004C02A8"/>
    <w:rsid w:val="004C0319"/>
    <w:rsid w:val="004C0E30"/>
    <w:rsid w:val="004C15F9"/>
    <w:rsid w:val="004C2423"/>
    <w:rsid w:val="004C2DB7"/>
    <w:rsid w:val="004C39B0"/>
    <w:rsid w:val="004C69AE"/>
    <w:rsid w:val="004C77BA"/>
    <w:rsid w:val="004C79FA"/>
    <w:rsid w:val="004D06AE"/>
    <w:rsid w:val="004D2319"/>
    <w:rsid w:val="004D322F"/>
    <w:rsid w:val="004D48C4"/>
    <w:rsid w:val="004D50A0"/>
    <w:rsid w:val="004D5F5F"/>
    <w:rsid w:val="004D7E19"/>
    <w:rsid w:val="004E1F6A"/>
    <w:rsid w:val="004E287C"/>
    <w:rsid w:val="004E2DF9"/>
    <w:rsid w:val="004E5565"/>
    <w:rsid w:val="004E72FE"/>
    <w:rsid w:val="004F05BD"/>
    <w:rsid w:val="004F0FCA"/>
    <w:rsid w:val="004F2F5B"/>
    <w:rsid w:val="004F3EFE"/>
    <w:rsid w:val="004F4687"/>
    <w:rsid w:val="004F5D35"/>
    <w:rsid w:val="004F7713"/>
    <w:rsid w:val="004F7C8C"/>
    <w:rsid w:val="0050092A"/>
    <w:rsid w:val="00500D04"/>
    <w:rsid w:val="005022DD"/>
    <w:rsid w:val="0050274D"/>
    <w:rsid w:val="00503032"/>
    <w:rsid w:val="005056BF"/>
    <w:rsid w:val="005062AD"/>
    <w:rsid w:val="005100B9"/>
    <w:rsid w:val="0051093B"/>
    <w:rsid w:val="00510F5D"/>
    <w:rsid w:val="00513CFF"/>
    <w:rsid w:val="005149A2"/>
    <w:rsid w:val="00514A9D"/>
    <w:rsid w:val="00514B96"/>
    <w:rsid w:val="00514FEA"/>
    <w:rsid w:val="00515619"/>
    <w:rsid w:val="00515B50"/>
    <w:rsid w:val="00520588"/>
    <w:rsid w:val="0052115D"/>
    <w:rsid w:val="00521485"/>
    <w:rsid w:val="00522BDB"/>
    <w:rsid w:val="00522C57"/>
    <w:rsid w:val="005236EA"/>
    <w:rsid w:val="00523ED7"/>
    <w:rsid w:val="0052568F"/>
    <w:rsid w:val="00525C8E"/>
    <w:rsid w:val="0052635C"/>
    <w:rsid w:val="00526837"/>
    <w:rsid w:val="005274A7"/>
    <w:rsid w:val="005308F8"/>
    <w:rsid w:val="005324EB"/>
    <w:rsid w:val="00533A33"/>
    <w:rsid w:val="00534968"/>
    <w:rsid w:val="005350AA"/>
    <w:rsid w:val="00536D65"/>
    <w:rsid w:val="00536E0F"/>
    <w:rsid w:val="00537634"/>
    <w:rsid w:val="00540729"/>
    <w:rsid w:val="00541594"/>
    <w:rsid w:val="00541901"/>
    <w:rsid w:val="00545D59"/>
    <w:rsid w:val="0054783D"/>
    <w:rsid w:val="00550B59"/>
    <w:rsid w:val="00551F43"/>
    <w:rsid w:val="005524EB"/>
    <w:rsid w:val="00554A3B"/>
    <w:rsid w:val="00555714"/>
    <w:rsid w:val="00560190"/>
    <w:rsid w:val="005621C1"/>
    <w:rsid w:val="0056243C"/>
    <w:rsid w:val="0056274E"/>
    <w:rsid w:val="005642AC"/>
    <w:rsid w:val="00564C0B"/>
    <w:rsid w:val="00565D6C"/>
    <w:rsid w:val="00567249"/>
    <w:rsid w:val="005675E1"/>
    <w:rsid w:val="005701C1"/>
    <w:rsid w:val="005716B5"/>
    <w:rsid w:val="005772C2"/>
    <w:rsid w:val="0058010B"/>
    <w:rsid w:val="00580B90"/>
    <w:rsid w:val="0058286F"/>
    <w:rsid w:val="00583C08"/>
    <w:rsid w:val="00584461"/>
    <w:rsid w:val="00584BB5"/>
    <w:rsid w:val="00584E3D"/>
    <w:rsid w:val="005855B5"/>
    <w:rsid w:val="0058583C"/>
    <w:rsid w:val="005861E9"/>
    <w:rsid w:val="005874E0"/>
    <w:rsid w:val="0059133E"/>
    <w:rsid w:val="0059295E"/>
    <w:rsid w:val="005932F8"/>
    <w:rsid w:val="005960B9"/>
    <w:rsid w:val="00596BE8"/>
    <w:rsid w:val="005971F3"/>
    <w:rsid w:val="005A0854"/>
    <w:rsid w:val="005A147B"/>
    <w:rsid w:val="005A3547"/>
    <w:rsid w:val="005A47B9"/>
    <w:rsid w:val="005A54E6"/>
    <w:rsid w:val="005B02B6"/>
    <w:rsid w:val="005B176B"/>
    <w:rsid w:val="005B23A8"/>
    <w:rsid w:val="005B2DFE"/>
    <w:rsid w:val="005B3DC8"/>
    <w:rsid w:val="005B4C9C"/>
    <w:rsid w:val="005B5313"/>
    <w:rsid w:val="005B5A94"/>
    <w:rsid w:val="005B778E"/>
    <w:rsid w:val="005C14B8"/>
    <w:rsid w:val="005C16EB"/>
    <w:rsid w:val="005C1E60"/>
    <w:rsid w:val="005C29EC"/>
    <w:rsid w:val="005C2EAB"/>
    <w:rsid w:val="005C37F8"/>
    <w:rsid w:val="005C3B66"/>
    <w:rsid w:val="005C4750"/>
    <w:rsid w:val="005C630B"/>
    <w:rsid w:val="005C7BDA"/>
    <w:rsid w:val="005C7D54"/>
    <w:rsid w:val="005D0558"/>
    <w:rsid w:val="005D0C4A"/>
    <w:rsid w:val="005D15CD"/>
    <w:rsid w:val="005D1F99"/>
    <w:rsid w:val="005D251F"/>
    <w:rsid w:val="005D46EE"/>
    <w:rsid w:val="005D6ADF"/>
    <w:rsid w:val="005D778D"/>
    <w:rsid w:val="005E1B28"/>
    <w:rsid w:val="005E1ED4"/>
    <w:rsid w:val="005E26B3"/>
    <w:rsid w:val="005E3141"/>
    <w:rsid w:val="005E397B"/>
    <w:rsid w:val="005E49E8"/>
    <w:rsid w:val="005E4E49"/>
    <w:rsid w:val="005E5746"/>
    <w:rsid w:val="005E7CBE"/>
    <w:rsid w:val="005F0AAE"/>
    <w:rsid w:val="005F1C5E"/>
    <w:rsid w:val="005F2435"/>
    <w:rsid w:val="005F3460"/>
    <w:rsid w:val="005F4DA7"/>
    <w:rsid w:val="005F563E"/>
    <w:rsid w:val="005F5758"/>
    <w:rsid w:val="005F590E"/>
    <w:rsid w:val="005F5D82"/>
    <w:rsid w:val="005F6B6C"/>
    <w:rsid w:val="005F7855"/>
    <w:rsid w:val="006002B6"/>
    <w:rsid w:val="006004B0"/>
    <w:rsid w:val="00600913"/>
    <w:rsid w:val="00600976"/>
    <w:rsid w:val="00600C4E"/>
    <w:rsid w:val="00601ABC"/>
    <w:rsid w:val="00601AEC"/>
    <w:rsid w:val="0060250E"/>
    <w:rsid w:val="00605833"/>
    <w:rsid w:val="00606195"/>
    <w:rsid w:val="0060669D"/>
    <w:rsid w:val="00606C42"/>
    <w:rsid w:val="00606DBD"/>
    <w:rsid w:val="00610D9D"/>
    <w:rsid w:val="006113E9"/>
    <w:rsid w:val="00611693"/>
    <w:rsid w:val="006144B8"/>
    <w:rsid w:val="00614FE0"/>
    <w:rsid w:val="006155C7"/>
    <w:rsid w:val="00615F57"/>
    <w:rsid w:val="0061715C"/>
    <w:rsid w:val="00617215"/>
    <w:rsid w:val="00620D7E"/>
    <w:rsid w:val="00621F4F"/>
    <w:rsid w:val="00623D6C"/>
    <w:rsid w:val="006242CA"/>
    <w:rsid w:val="0062430E"/>
    <w:rsid w:val="00624650"/>
    <w:rsid w:val="006248D5"/>
    <w:rsid w:val="00625CD6"/>
    <w:rsid w:val="00625CF5"/>
    <w:rsid w:val="00626486"/>
    <w:rsid w:val="00627B48"/>
    <w:rsid w:val="00630144"/>
    <w:rsid w:val="00630705"/>
    <w:rsid w:val="00630E3E"/>
    <w:rsid w:val="00631AB4"/>
    <w:rsid w:val="00632C6F"/>
    <w:rsid w:val="006333AC"/>
    <w:rsid w:val="00634AD4"/>
    <w:rsid w:val="0063563A"/>
    <w:rsid w:val="00636971"/>
    <w:rsid w:val="006373F3"/>
    <w:rsid w:val="00637482"/>
    <w:rsid w:val="006408D0"/>
    <w:rsid w:val="00641075"/>
    <w:rsid w:val="00641E2B"/>
    <w:rsid w:val="00642FE5"/>
    <w:rsid w:val="0064311D"/>
    <w:rsid w:val="0064490E"/>
    <w:rsid w:val="0064549C"/>
    <w:rsid w:val="0064614F"/>
    <w:rsid w:val="00646549"/>
    <w:rsid w:val="00647FEB"/>
    <w:rsid w:val="00651BE9"/>
    <w:rsid w:val="00652E7E"/>
    <w:rsid w:val="0065588E"/>
    <w:rsid w:val="00655CC4"/>
    <w:rsid w:val="0065682A"/>
    <w:rsid w:val="00657BA7"/>
    <w:rsid w:val="00661073"/>
    <w:rsid w:val="006625D3"/>
    <w:rsid w:val="00663573"/>
    <w:rsid w:val="006665B8"/>
    <w:rsid w:val="006673A7"/>
    <w:rsid w:val="006676B1"/>
    <w:rsid w:val="0067193D"/>
    <w:rsid w:val="00673442"/>
    <w:rsid w:val="00675CB8"/>
    <w:rsid w:val="00675F4B"/>
    <w:rsid w:val="00676596"/>
    <w:rsid w:val="00676F3F"/>
    <w:rsid w:val="00680BF3"/>
    <w:rsid w:val="00683165"/>
    <w:rsid w:val="0068337D"/>
    <w:rsid w:val="00684801"/>
    <w:rsid w:val="00685F8A"/>
    <w:rsid w:val="00686A8D"/>
    <w:rsid w:val="00686ABB"/>
    <w:rsid w:val="00686C40"/>
    <w:rsid w:val="00686E1C"/>
    <w:rsid w:val="00687057"/>
    <w:rsid w:val="00691EE6"/>
    <w:rsid w:val="0069251A"/>
    <w:rsid w:val="00692AFC"/>
    <w:rsid w:val="00693C39"/>
    <w:rsid w:val="00694AE4"/>
    <w:rsid w:val="00694E34"/>
    <w:rsid w:val="006959CB"/>
    <w:rsid w:val="00695E6D"/>
    <w:rsid w:val="00696303"/>
    <w:rsid w:val="0069699D"/>
    <w:rsid w:val="006972CA"/>
    <w:rsid w:val="0069779C"/>
    <w:rsid w:val="006A19F3"/>
    <w:rsid w:val="006A1BD1"/>
    <w:rsid w:val="006A205C"/>
    <w:rsid w:val="006A2850"/>
    <w:rsid w:val="006A5C6A"/>
    <w:rsid w:val="006A7027"/>
    <w:rsid w:val="006A70A0"/>
    <w:rsid w:val="006A76AE"/>
    <w:rsid w:val="006B09DB"/>
    <w:rsid w:val="006B0B79"/>
    <w:rsid w:val="006B2035"/>
    <w:rsid w:val="006B2A00"/>
    <w:rsid w:val="006B2A06"/>
    <w:rsid w:val="006B3DE4"/>
    <w:rsid w:val="006B45AF"/>
    <w:rsid w:val="006B559D"/>
    <w:rsid w:val="006B5835"/>
    <w:rsid w:val="006B5D46"/>
    <w:rsid w:val="006B63E5"/>
    <w:rsid w:val="006B6C8E"/>
    <w:rsid w:val="006C0F4F"/>
    <w:rsid w:val="006C186C"/>
    <w:rsid w:val="006C31A8"/>
    <w:rsid w:val="006C3430"/>
    <w:rsid w:val="006C4C87"/>
    <w:rsid w:val="006C5386"/>
    <w:rsid w:val="006C5AA3"/>
    <w:rsid w:val="006C5E09"/>
    <w:rsid w:val="006C625C"/>
    <w:rsid w:val="006C74E1"/>
    <w:rsid w:val="006C794A"/>
    <w:rsid w:val="006D09BD"/>
    <w:rsid w:val="006D1B1D"/>
    <w:rsid w:val="006D200A"/>
    <w:rsid w:val="006D3015"/>
    <w:rsid w:val="006D331E"/>
    <w:rsid w:val="006D382E"/>
    <w:rsid w:val="006D4BB4"/>
    <w:rsid w:val="006D59A5"/>
    <w:rsid w:val="006D5F0A"/>
    <w:rsid w:val="006D72E4"/>
    <w:rsid w:val="006E387D"/>
    <w:rsid w:val="006E3928"/>
    <w:rsid w:val="006E3AFB"/>
    <w:rsid w:val="006E3FD0"/>
    <w:rsid w:val="006E42EA"/>
    <w:rsid w:val="006E63D9"/>
    <w:rsid w:val="006E73FE"/>
    <w:rsid w:val="006E78A7"/>
    <w:rsid w:val="006E78C8"/>
    <w:rsid w:val="006F09FB"/>
    <w:rsid w:val="006F1323"/>
    <w:rsid w:val="006F136D"/>
    <w:rsid w:val="006F1AF1"/>
    <w:rsid w:val="006F247E"/>
    <w:rsid w:val="006F257F"/>
    <w:rsid w:val="006F2B93"/>
    <w:rsid w:val="006F31A8"/>
    <w:rsid w:val="006F34A5"/>
    <w:rsid w:val="006F4141"/>
    <w:rsid w:val="006F44E9"/>
    <w:rsid w:val="006F4B7C"/>
    <w:rsid w:val="006F5243"/>
    <w:rsid w:val="006F5ED7"/>
    <w:rsid w:val="006F7141"/>
    <w:rsid w:val="006F7B5F"/>
    <w:rsid w:val="006F7EEF"/>
    <w:rsid w:val="00700B38"/>
    <w:rsid w:val="007013BB"/>
    <w:rsid w:val="00706E3B"/>
    <w:rsid w:val="00710DFC"/>
    <w:rsid w:val="0071120C"/>
    <w:rsid w:val="00711C26"/>
    <w:rsid w:val="0071201F"/>
    <w:rsid w:val="00712692"/>
    <w:rsid w:val="007143B1"/>
    <w:rsid w:val="00714FD8"/>
    <w:rsid w:val="00715B67"/>
    <w:rsid w:val="00716964"/>
    <w:rsid w:val="00717578"/>
    <w:rsid w:val="007223FF"/>
    <w:rsid w:val="007239B3"/>
    <w:rsid w:val="00723A0C"/>
    <w:rsid w:val="00724358"/>
    <w:rsid w:val="00724F6D"/>
    <w:rsid w:val="007258D3"/>
    <w:rsid w:val="00730716"/>
    <w:rsid w:val="007309A3"/>
    <w:rsid w:val="00731C1B"/>
    <w:rsid w:val="007323A0"/>
    <w:rsid w:val="0073385E"/>
    <w:rsid w:val="00734D0A"/>
    <w:rsid w:val="007363B3"/>
    <w:rsid w:val="00737851"/>
    <w:rsid w:val="00737E21"/>
    <w:rsid w:val="007401B1"/>
    <w:rsid w:val="00743DE8"/>
    <w:rsid w:val="00745ED1"/>
    <w:rsid w:val="007476D4"/>
    <w:rsid w:val="00747ADC"/>
    <w:rsid w:val="00747B7C"/>
    <w:rsid w:val="00750620"/>
    <w:rsid w:val="0075113A"/>
    <w:rsid w:val="00751448"/>
    <w:rsid w:val="00751D50"/>
    <w:rsid w:val="0075267E"/>
    <w:rsid w:val="007534CD"/>
    <w:rsid w:val="00754C87"/>
    <w:rsid w:val="00755400"/>
    <w:rsid w:val="00755A95"/>
    <w:rsid w:val="0075654E"/>
    <w:rsid w:val="00761501"/>
    <w:rsid w:val="0076293F"/>
    <w:rsid w:val="0076476C"/>
    <w:rsid w:val="007667C1"/>
    <w:rsid w:val="007669BB"/>
    <w:rsid w:val="00770533"/>
    <w:rsid w:val="00772CCC"/>
    <w:rsid w:val="00772F3D"/>
    <w:rsid w:val="00774820"/>
    <w:rsid w:val="00774F16"/>
    <w:rsid w:val="00776CCB"/>
    <w:rsid w:val="007773F8"/>
    <w:rsid w:val="00777626"/>
    <w:rsid w:val="007778FC"/>
    <w:rsid w:val="00777AFC"/>
    <w:rsid w:val="00780064"/>
    <w:rsid w:val="007802F2"/>
    <w:rsid w:val="0078118A"/>
    <w:rsid w:val="007814C0"/>
    <w:rsid w:val="00783DB6"/>
    <w:rsid w:val="00784CBA"/>
    <w:rsid w:val="007858A5"/>
    <w:rsid w:val="007864E2"/>
    <w:rsid w:val="00786A32"/>
    <w:rsid w:val="00790290"/>
    <w:rsid w:val="0079083A"/>
    <w:rsid w:val="00790AC8"/>
    <w:rsid w:val="00791924"/>
    <w:rsid w:val="00791B47"/>
    <w:rsid w:val="007931C4"/>
    <w:rsid w:val="007938D5"/>
    <w:rsid w:val="00794484"/>
    <w:rsid w:val="007947AB"/>
    <w:rsid w:val="007979D5"/>
    <w:rsid w:val="007A227F"/>
    <w:rsid w:val="007A326D"/>
    <w:rsid w:val="007A3445"/>
    <w:rsid w:val="007A3B12"/>
    <w:rsid w:val="007A49C1"/>
    <w:rsid w:val="007A4DDF"/>
    <w:rsid w:val="007A58B0"/>
    <w:rsid w:val="007A5E8E"/>
    <w:rsid w:val="007A6559"/>
    <w:rsid w:val="007B1676"/>
    <w:rsid w:val="007B29BF"/>
    <w:rsid w:val="007B365D"/>
    <w:rsid w:val="007B47D0"/>
    <w:rsid w:val="007C0C13"/>
    <w:rsid w:val="007C0DAD"/>
    <w:rsid w:val="007C0F61"/>
    <w:rsid w:val="007C1D9D"/>
    <w:rsid w:val="007C264A"/>
    <w:rsid w:val="007C4D3B"/>
    <w:rsid w:val="007C5D1F"/>
    <w:rsid w:val="007C6720"/>
    <w:rsid w:val="007D1FC9"/>
    <w:rsid w:val="007D5C1B"/>
    <w:rsid w:val="007D76CC"/>
    <w:rsid w:val="007E019D"/>
    <w:rsid w:val="007E197C"/>
    <w:rsid w:val="007E5B66"/>
    <w:rsid w:val="007E72ED"/>
    <w:rsid w:val="007E7A1E"/>
    <w:rsid w:val="007F0198"/>
    <w:rsid w:val="007F1577"/>
    <w:rsid w:val="007F2D6B"/>
    <w:rsid w:val="007F45EE"/>
    <w:rsid w:val="007F54C0"/>
    <w:rsid w:val="007F5954"/>
    <w:rsid w:val="007F5CD4"/>
    <w:rsid w:val="007F6C96"/>
    <w:rsid w:val="00800452"/>
    <w:rsid w:val="00800BE7"/>
    <w:rsid w:val="00801184"/>
    <w:rsid w:val="00803ED6"/>
    <w:rsid w:val="00804380"/>
    <w:rsid w:val="00804527"/>
    <w:rsid w:val="00805A2F"/>
    <w:rsid w:val="008065CF"/>
    <w:rsid w:val="00806D83"/>
    <w:rsid w:val="008078F1"/>
    <w:rsid w:val="00807F36"/>
    <w:rsid w:val="00810063"/>
    <w:rsid w:val="00810FBB"/>
    <w:rsid w:val="00811E81"/>
    <w:rsid w:val="00813050"/>
    <w:rsid w:val="008131DF"/>
    <w:rsid w:val="00813246"/>
    <w:rsid w:val="008147F4"/>
    <w:rsid w:val="008219A3"/>
    <w:rsid w:val="00822803"/>
    <w:rsid w:val="008241FE"/>
    <w:rsid w:val="0082537F"/>
    <w:rsid w:val="00825C1D"/>
    <w:rsid w:val="00826714"/>
    <w:rsid w:val="00826945"/>
    <w:rsid w:val="0082711B"/>
    <w:rsid w:val="008302B7"/>
    <w:rsid w:val="00831312"/>
    <w:rsid w:val="0083175C"/>
    <w:rsid w:val="00831830"/>
    <w:rsid w:val="008324B7"/>
    <w:rsid w:val="00833655"/>
    <w:rsid w:val="00834031"/>
    <w:rsid w:val="008343EA"/>
    <w:rsid w:val="00835812"/>
    <w:rsid w:val="00835ADB"/>
    <w:rsid w:val="008378C6"/>
    <w:rsid w:val="00841886"/>
    <w:rsid w:val="00842324"/>
    <w:rsid w:val="00842DE7"/>
    <w:rsid w:val="008431F5"/>
    <w:rsid w:val="0084389F"/>
    <w:rsid w:val="00843C00"/>
    <w:rsid w:val="00844F0B"/>
    <w:rsid w:val="00846265"/>
    <w:rsid w:val="00850109"/>
    <w:rsid w:val="00851A81"/>
    <w:rsid w:val="00852DCF"/>
    <w:rsid w:val="00855DA0"/>
    <w:rsid w:val="00856F73"/>
    <w:rsid w:val="00857B24"/>
    <w:rsid w:val="00857FF2"/>
    <w:rsid w:val="008606A4"/>
    <w:rsid w:val="008608AC"/>
    <w:rsid w:val="00861393"/>
    <w:rsid w:val="008624F9"/>
    <w:rsid w:val="00864131"/>
    <w:rsid w:val="00864C20"/>
    <w:rsid w:val="0086709A"/>
    <w:rsid w:val="00870613"/>
    <w:rsid w:val="00871F8A"/>
    <w:rsid w:val="00875773"/>
    <w:rsid w:val="00876B4D"/>
    <w:rsid w:val="0088174E"/>
    <w:rsid w:val="00882354"/>
    <w:rsid w:val="00887393"/>
    <w:rsid w:val="0088760F"/>
    <w:rsid w:val="00887EA6"/>
    <w:rsid w:val="008948D1"/>
    <w:rsid w:val="00895A6C"/>
    <w:rsid w:val="0089644D"/>
    <w:rsid w:val="00896611"/>
    <w:rsid w:val="00897043"/>
    <w:rsid w:val="008978AB"/>
    <w:rsid w:val="008A140B"/>
    <w:rsid w:val="008A1F7C"/>
    <w:rsid w:val="008A349D"/>
    <w:rsid w:val="008A422B"/>
    <w:rsid w:val="008A5892"/>
    <w:rsid w:val="008A5B74"/>
    <w:rsid w:val="008A71F5"/>
    <w:rsid w:val="008A76D5"/>
    <w:rsid w:val="008B169D"/>
    <w:rsid w:val="008B2027"/>
    <w:rsid w:val="008B308A"/>
    <w:rsid w:val="008B3515"/>
    <w:rsid w:val="008B425B"/>
    <w:rsid w:val="008B71AB"/>
    <w:rsid w:val="008B7799"/>
    <w:rsid w:val="008C0C80"/>
    <w:rsid w:val="008C21C7"/>
    <w:rsid w:val="008C60F2"/>
    <w:rsid w:val="008C65D5"/>
    <w:rsid w:val="008D0015"/>
    <w:rsid w:val="008D060E"/>
    <w:rsid w:val="008D1CF5"/>
    <w:rsid w:val="008D385B"/>
    <w:rsid w:val="008D41D9"/>
    <w:rsid w:val="008D77F6"/>
    <w:rsid w:val="008E23BB"/>
    <w:rsid w:val="008E25EF"/>
    <w:rsid w:val="008E2A4F"/>
    <w:rsid w:val="008E596A"/>
    <w:rsid w:val="008F0D3C"/>
    <w:rsid w:val="008F14A2"/>
    <w:rsid w:val="008F2A1A"/>
    <w:rsid w:val="008F3F82"/>
    <w:rsid w:val="008F3F9A"/>
    <w:rsid w:val="00900251"/>
    <w:rsid w:val="009017E1"/>
    <w:rsid w:val="00902080"/>
    <w:rsid w:val="00902833"/>
    <w:rsid w:val="009036BF"/>
    <w:rsid w:val="0090460E"/>
    <w:rsid w:val="009062A2"/>
    <w:rsid w:val="00906321"/>
    <w:rsid w:val="0090792C"/>
    <w:rsid w:val="00910353"/>
    <w:rsid w:val="00912CB8"/>
    <w:rsid w:val="009132D5"/>
    <w:rsid w:val="00913C4C"/>
    <w:rsid w:val="0091603B"/>
    <w:rsid w:val="009165B1"/>
    <w:rsid w:val="00916666"/>
    <w:rsid w:val="0091714D"/>
    <w:rsid w:val="00917859"/>
    <w:rsid w:val="0092024C"/>
    <w:rsid w:val="00920FE7"/>
    <w:rsid w:val="00921154"/>
    <w:rsid w:val="00921426"/>
    <w:rsid w:val="009221BC"/>
    <w:rsid w:val="00923FFA"/>
    <w:rsid w:val="0092447C"/>
    <w:rsid w:val="00925174"/>
    <w:rsid w:val="009279E9"/>
    <w:rsid w:val="00927AEE"/>
    <w:rsid w:val="0093383F"/>
    <w:rsid w:val="00933DDD"/>
    <w:rsid w:val="009365EA"/>
    <w:rsid w:val="009372D5"/>
    <w:rsid w:val="00937E59"/>
    <w:rsid w:val="00941541"/>
    <w:rsid w:val="0094242A"/>
    <w:rsid w:val="00942708"/>
    <w:rsid w:val="009448A1"/>
    <w:rsid w:val="00946A2E"/>
    <w:rsid w:val="00947924"/>
    <w:rsid w:val="0095006A"/>
    <w:rsid w:val="0095017A"/>
    <w:rsid w:val="0095164E"/>
    <w:rsid w:val="009555CE"/>
    <w:rsid w:val="009561A7"/>
    <w:rsid w:val="00956785"/>
    <w:rsid w:val="00960A0B"/>
    <w:rsid w:val="00960BEB"/>
    <w:rsid w:val="009619FC"/>
    <w:rsid w:val="00961DDF"/>
    <w:rsid w:val="00962105"/>
    <w:rsid w:val="00962237"/>
    <w:rsid w:val="009625B0"/>
    <w:rsid w:val="00964499"/>
    <w:rsid w:val="00966B66"/>
    <w:rsid w:val="00967489"/>
    <w:rsid w:val="009677AA"/>
    <w:rsid w:val="00970D7A"/>
    <w:rsid w:val="00972581"/>
    <w:rsid w:val="00972ED3"/>
    <w:rsid w:val="009760DE"/>
    <w:rsid w:val="0097645A"/>
    <w:rsid w:val="00977393"/>
    <w:rsid w:val="0097757F"/>
    <w:rsid w:val="00980445"/>
    <w:rsid w:val="00980DBF"/>
    <w:rsid w:val="00981439"/>
    <w:rsid w:val="009814EE"/>
    <w:rsid w:val="0098754E"/>
    <w:rsid w:val="009879CE"/>
    <w:rsid w:val="0099046D"/>
    <w:rsid w:val="00991533"/>
    <w:rsid w:val="0099195C"/>
    <w:rsid w:val="0099214C"/>
    <w:rsid w:val="00992500"/>
    <w:rsid w:val="00993F04"/>
    <w:rsid w:val="00995857"/>
    <w:rsid w:val="00995E96"/>
    <w:rsid w:val="00996D67"/>
    <w:rsid w:val="00996FB1"/>
    <w:rsid w:val="009A00E9"/>
    <w:rsid w:val="009A2CA5"/>
    <w:rsid w:val="009A3207"/>
    <w:rsid w:val="009A5447"/>
    <w:rsid w:val="009A61DD"/>
    <w:rsid w:val="009A65F8"/>
    <w:rsid w:val="009A6663"/>
    <w:rsid w:val="009B1708"/>
    <w:rsid w:val="009B1F3F"/>
    <w:rsid w:val="009B341D"/>
    <w:rsid w:val="009B570E"/>
    <w:rsid w:val="009B7653"/>
    <w:rsid w:val="009C0857"/>
    <w:rsid w:val="009C20E8"/>
    <w:rsid w:val="009C4CCE"/>
    <w:rsid w:val="009C5D93"/>
    <w:rsid w:val="009C5DCF"/>
    <w:rsid w:val="009C6246"/>
    <w:rsid w:val="009D0E7E"/>
    <w:rsid w:val="009D1252"/>
    <w:rsid w:val="009D2854"/>
    <w:rsid w:val="009D31C2"/>
    <w:rsid w:val="009D3E6E"/>
    <w:rsid w:val="009D49F3"/>
    <w:rsid w:val="009D4F9D"/>
    <w:rsid w:val="009D60D0"/>
    <w:rsid w:val="009D6B18"/>
    <w:rsid w:val="009D6CDA"/>
    <w:rsid w:val="009D7530"/>
    <w:rsid w:val="009D7797"/>
    <w:rsid w:val="009E1484"/>
    <w:rsid w:val="009E5978"/>
    <w:rsid w:val="009E78C3"/>
    <w:rsid w:val="009F161E"/>
    <w:rsid w:val="009F1643"/>
    <w:rsid w:val="009F19C7"/>
    <w:rsid w:val="009F1EA0"/>
    <w:rsid w:val="009F2468"/>
    <w:rsid w:val="009F3E54"/>
    <w:rsid w:val="009F5F2A"/>
    <w:rsid w:val="009F6D7C"/>
    <w:rsid w:val="009F7326"/>
    <w:rsid w:val="009F7AD7"/>
    <w:rsid w:val="00A014F0"/>
    <w:rsid w:val="00A02007"/>
    <w:rsid w:val="00A024C5"/>
    <w:rsid w:val="00A02995"/>
    <w:rsid w:val="00A063C0"/>
    <w:rsid w:val="00A06849"/>
    <w:rsid w:val="00A07ABA"/>
    <w:rsid w:val="00A1054B"/>
    <w:rsid w:val="00A10A0F"/>
    <w:rsid w:val="00A11357"/>
    <w:rsid w:val="00A11641"/>
    <w:rsid w:val="00A11BC4"/>
    <w:rsid w:val="00A137F5"/>
    <w:rsid w:val="00A154A0"/>
    <w:rsid w:val="00A16950"/>
    <w:rsid w:val="00A17DC1"/>
    <w:rsid w:val="00A17F25"/>
    <w:rsid w:val="00A2022D"/>
    <w:rsid w:val="00A23634"/>
    <w:rsid w:val="00A23AC3"/>
    <w:rsid w:val="00A24023"/>
    <w:rsid w:val="00A245EA"/>
    <w:rsid w:val="00A265C9"/>
    <w:rsid w:val="00A267DC"/>
    <w:rsid w:val="00A30B57"/>
    <w:rsid w:val="00A30FEA"/>
    <w:rsid w:val="00A32CB3"/>
    <w:rsid w:val="00A33314"/>
    <w:rsid w:val="00A33731"/>
    <w:rsid w:val="00A33880"/>
    <w:rsid w:val="00A34FB9"/>
    <w:rsid w:val="00A36A3B"/>
    <w:rsid w:val="00A37DF6"/>
    <w:rsid w:val="00A40750"/>
    <w:rsid w:val="00A413FD"/>
    <w:rsid w:val="00A42B2F"/>
    <w:rsid w:val="00A4468A"/>
    <w:rsid w:val="00A44A86"/>
    <w:rsid w:val="00A472B1"/>
    <w:rsid w:val="00A5012C"/>
    <w:rsid w:val="00A555A1"/>
    <w:rsid w:val="00A576F1"/>
    <w:rsid w:val="00A62189"/>
    <w:rsid w:val="00A630AD"/>
    <w:rsid w:val="00A64ABF"/>
    <w:rsid w:val="00A70039"/>
    <w:rsid w:val="00A701EE"/>
    <w:rsid w:val="00A72065"/>
    <w:rsid w:val="00A73731"/>
    <w:rsid w:val="00A74B57"/>
    <w:rsid w:val="00A75407"/>
    <w:rsid w:val="00A75F38"/>
    <w:rsid w:val="00A7667D"/>
    <w:rsid w:val="00A766C4"/>
    <w:rsid w:val="00A767FA"/>
    <w:rsid w:val="00A77C66"/>
    <w:rsid w:val="00A845A2"/>
    <w:rsid w:val="00A86832"/>
    <w:rsid w:val="00A86E8A"/>
    <w:rsid w:val="00A87750"/>
    <w:rsid w:val="00A912F5"/>
    <w:rsid w:val="00A91C0D"/>
    <w:rsid w:val="00A93C6C"/>
    <w:rsid w:val="00A95815"/>
    <w:rsid w:val="00A965B4"/>
    <w:rsid w:val="00AA02F7"/>
    <w:rsid w:val="00AA0435"/>
    <w:rsid w:val="00AA0823"/>
    <w:rsid w:val="00AA0DD9"/>
    <w:rsid w:val="00AA27B1"/>
    <w:rsid w:val="00AA36C2"/>
    <w:rsid w:val="00AA71CC"/>
    <w:rsid w:val="00AA7AF8"/>
    <w:rsid w:val="00AB1476"/>
    <w:rsid w:val="00AB1771"/>
    <w:rsid w:val="00AB20BD"/>
    <w:rsid w:val="00AB22E5"/>
    <w:rsid w:val="00AB497A"/>
    <w:rsid w:val="00AB7169"/>
    <w:rsid w:val="00AC06E2"/>
    <w:rsid w:val="00AC0FF5"/>
    <w:rsid w:val="00AC2216"/>
    <w:rsid w:val="00AC4F5D"/>
    <w:rsid w:val="00AC6C83"/>
    <w:rsid w:val="00AC6F79"/>
    <w:rsid w:val="00AD0E69"/>
    <w:rsid w:val="00AD40DC"/>
    <w:rsid w:val="00AD417D"/>
    <w:rsid w:val="00AD57F0"/>
    <w:rsid w:val="00AD5FA8"/>
    <w:rsid w:val="00AD69A4"/>
    <w:rsid w:val="00AD7935"/>
    <w:rsid w:val="00AE4DDC"/>
    <w:rsid w:val="00AE59FA"/>
    <w:rsid w:val="00AF22F0"/>
    <w:rsid w:val="00AF23FD"/>
    <w:rsid w:val="00AF24D0"/>
    <w:rsid w:val="00AF2BF4"/>
    <w:rsid w:val="00AF69F6"/>
    <w:rsid w:val="00AF6C64"/>
    <w:rsid w:val="00B0084B"/>
    <w:rsid w:val="00B01265"/>
    <w:rsid w:val="00B01724"/>
    <w:rsid w:val="00B01E2A"/>
    <w:rsid w:val="00B01F3F"/>
    <w:rsid w:val="00B029F3"/>
    <w:rsid w:val="00B02C8D"/>
    <w:rsid w:val="00B03697"/>
    <w:rsid w:val="00B0407F"/>
    <w:rsid w:val="00B05602"/>
    <w:rsid w:val="00B056C3"/>
    <w:rsid w:val="00B06612"/>
    <w:rsid w:val="00B06703"/>
    <w:rsid w:val="00B07A18"/>
    <w:rsid w:val="00B07CAA"/>
    <w:rsid w:val="00B10383"/>
    <w:rsid w:val="00B12D7B"/>
    <w:rsid w:val="00B13B6D"/>
    <w:rsid w:val="00B13DA5"/>
    <w:rsid w:val="00B14240"/>
    <w:rsid w:val="00B142E2"/>
    <w:rsid w:val="00B15D9A"/>
    <w:rsid w:val="00B17016"/>
    <w:rsid w:val="00B202E3"/>
    <w:rsid w:val="00B20CF7"/>
    <w:rsid w:val="00B2101F"/>
    <w:rsid w:val="00B23A7C"/>
    <w:rsid w:val="00B240B1"/>
    <w:rsid w:val="00B24921"/>
    <w:rsid w:val="00B24D86"/>
    <w:rsid w:val="00B25BD2"/>
    <w:rsid w:val="00B26B5D"/>
    <w:rsid w:val="00B36A3B"/>
    <w:rsid w:val="00B36C3F"/>
    <w:rsid w:val="00B37E82"/>
    <w:rsid w:val="00B37F68"/>
    <w:rsid w:val="00B4089C"/>
    <w:rsid w:val="00B4095F"/>
    <w:rsid w:val="00B432F6"/>
    <w:rsid w:val="00B4442E"/>
    <w:rsid w:val="00B4498D"/>
    <w:rsid w:val="00B45A04"/>
    <w:rsid w:val="00B46123"/>
    <w:rsid w:val="00B47228"/>
    <w:rsid w:val="00B4774E"/>
    <w:rsid w:val="00B5283C"/>
    <w:rsid w:val="00B53543"/>
    <w:rsid w:val="00B549E3"/>
    <w:rsid w:val="00B60456"/>
    <w:rsid w:val="00B6067E"/>
    <w:rsid w:val="00B6223A"/>
    <w:rsid w:val="00B70E29"/>
    <w:rsid w:val="00B71750"/>
    <w:rsid w:val="00B719DD"/>
    <w:rsid w:val="00B71CF4"/>
    <w:rsid w:val="00B725F5"/>
    <w:rsid w:val="00B7275B"/>
    <w:rsid w:val="00B73032"/>
    <w:rsid w:val="00B75E4A"/>
    <w:rsid w:val="00B76DDD"/>
    <w:rsid w:val="00B77B74"/>
    <w:rsid w:val="00B80DFF"/>
    <w:rsid w:val="00B857BA"/>
    <w:rsid w:val="00B87853"/>
    <w:rsid w:val="00B87BF2"/>
    <w:rsid w:val="00B905A5"/>
    <w:rsid w:val="00B906CF"/>
    <w:rsid w:val="00B90ADD"/>
    <w:rsid w:val="00B918D9"/>
    <w:rsid w:val="00B930C9"/>
    <w:rsid w:val="00B9353B"/>
    <w:rsid w:val="00B93C53"/>
    <w:rsid w:val="00B93F29"/>
    <w:rsid w:val="00B96715"/>
    <w:rsid w:val="00B9759B"/>
    <w:rsid w:val="00B976E3"/>
    <w:rsid w:val="00B97B32"/>
    <w:rsid w:val="00BA08B0"/>
    <w:rsid w:val="00BA0D41"/>
    <w:rsid w:val="00BA1413"/>
    <w:rsid w:val="00BA4912"/>
    <w:rsid w:val="00BA69FE"/>
    <w:rsid w:val="00BA6EB7"/>
    <w:rsid w:val="00BB2677"/>
    <w:rsid w:val="00BB2E7C"/>
    <w:rsid w:val="00BB3B3B"/>
    <w:rsid w:val="00BB4170"/>
    <w:rsid w:val="00BB49D2"/>
    <w:rsid w:val="00BB4CFA"/>
    <w:rsid w:val="00BB709E"/>
    <w:rsid w:val="00BB74F4"/>
    <w:rsid w:val="00BC036C"/>
    <w:rsid w:val="00BC1629"/>
    <w:rsid w:val="00BC36C9"/>
    <w:rsid w:val="00BC4282"/>
    <w:rsid w:val="00BC5150"/>
    <w:rsid w:val="00BC51E5"/>
    <w:rsid w:val="00BC5279"/>
    <w:rsid w:val="00BC626A"/>
    <w:rsid w:val="00BC6EC2"/>
    <w:rsid w:val="00BC756E"/>
    <w:rsid w:val="00BD27BD"/>
    <w:rsid w:val="00BD3C76"/>
    <w:rsid w:val="00BD3F44"/>
    <w:rsid w:val="00BD5BA9"/>
    <w:rsid w:val="00BD72B7"/>
    <w:rsid w:val="00BE1D1F"/>
    <w:rsid w:val="00BE2C2C"/>
    <w:rsid w:val="00BE4625"/>
    <w:rsid w:val="00BE6884"/>
    <w:rsid w:val="00BE6A03"/>
    <w:rsid w:val="00BE6C8C"/>
    <w:rsid w:val="00BE7ACF"/>
    <w:rsid w:val="00BF3226"/>
    <w:rsid w:val="00BF4E35"/>
    <w:rsid w:val="00BF5D02"/>
    <w:rsid w:val="00BF6557"/>
    <w:rsid w:val="00BF699C"/>
    <w:rsid w:val="00BF7A35"/>
    <w:rsid w:val="00C01303"/>
    <w:rsid w:val="00C01679"/>
    <w:rsid w:val="00C018F9"/>
    <w:rsid w:val="00C0720C"/>
    <w:rsid w:val="00C07F7A"/>
    <w:rsid w:val="00C11E24"/>
    <w:rsid w:val="00C13350"/>
    <w:rsid w:val="00C14201"/>
    <w:rsid w:val="00C148D9"/>
    <w:rsid w:val="00C16A28"/>
    <w:rsid w:val="00C20E21"/>
    <w:rsid w:val="00C2307A"/>
    <w:rsid w:val="00C2344C"/>
    <w:rsid w:val="00C23786"/>
    <w:rsid w:val="00C2632B"/>
    <w:rsid w:val="00C270CC"/>
    <w:rsid w:val="00C300AE"/>
    <w:rsid w:val="00C3242E"/>
    <w:rsid w:val="00C325FB"/>
    <w:rsid w:val="00C33368"/>
    <w:rsid w:val="00C3720A"/>
    <w:rsid w:val="00C37D01"/>
    <w:rsid w:val="00C40512"/>
    <w:rsid w:val="00C41CD1"/>
    <w:rsid w:val="00C42347"/>
    <w:rsid w:val="00C42CA0"/>
    <w:rsid w:val="00C4323E"/>
    <w:rsid w:val="00C445BB"/>
    <w:rsid w:val="00C5002F"/>
    <w:rsid w:val="00C51821"/>
    <w:rsid w:val="00C51CE9"/>
    <w:rsid w:val="00C52804"/>
    <w:rsid w:val="00C53B99"/>
    <w:rsid w:val="00C54864"/>
    <w:rsid w:val="00C57002"/>
    <w:rsid w:val="00C576C6"/>
    <w:rsid w:val="00C6008D"/>
    <w:rsid w:val="00C60CB1"/>
    <w:rsid w:val="00C62185"/>
    <w:rsid w:val="00C62819"/>
    <w:rsid w:val="00C6285A"/>
    <w:rsid w:val="00C64602"/>
    <w:rsid w:val="00C65CEF"/>
    <w:rsid w:val="00C67141"/>
    <w:rsid w:val="00C67407"/>
    <w:rsid w:val="00C6763E"/>
    <w:rsid w:val="00C708D7"/>
    <w:rsid w:val="00C71697"/>
    <w:rsid w:val="00C71CC2"/>
    <w:rsid w:val="00C7505C"/>
    <w:rsid w:val="00C7737A"/>
    <w:rsid w:val="00C8027E"/>
    <w:rsid w:val="00C802F7"/>
    <w:rsid w:val="00C803DA"/>
    <w:rsid w:val="00C80535"/>
    <w:rsid w:val="00C80E04"/>
    <w:rsid w:val="00C833EE"/>
    <w:rsid w:val="00C83D7D"/>
    <w:rsid w:val="00C83DA9"/>
    <w:rsid w:val="00C8448E"/>
    <w:rsid w:val="00C85372"/>
    <w:rsid w:val="00C85A0A"/>
    <w:rsid w:val="00C87FC7"/>
    <w:rsid w:val="00C90039"/>
    <w:rsid w:val="00C90AC6"/>
    <w:rsid w:val="00C90E13"/>
    <w:rsid w:val="00C91BE2"/>
    <w:rsid w:val="00C923CB"/>
    <w:rsid w:val="00C92790"/>
    <w:rsid w:val="00C92E39"/>
    <w:rsid w:val="00C96888"/>
    <w:rsid w:val="00CA05F6"/>
    <w:rsid w:val="00CA1C11"/>
    <w:rsid w:val="00CA3407"/>
    <w:rsid w:val="00CA3665"/>
    <w:rsid w:val="00CA5549"/>
    <w:rsid w:val="00CA5877"/>
    <w:rsid w:val="00CA74F4"/>
    <w:rsid w:val="00CB16CB"/>
    <w:rsid w:val="00CB2653"/>
    <w:rsid w:val="00CB3444"/>
    <w:rsid w:val="00CB35E4"/>
    <w:rsid w:val="00CB49A1"/>
    <w:rsid w:val="00CB5D70"/>
    <w:rsid w:val="00CB667F"/>
    <w:rsid w:val="00CB777B"/>
    <w:rsid w:val="00CC3044"/>
    <w:rsid w:val="00CC3683"/>
    <w:rsid w:val="00CC3ED1"/>
    <w:rsid w:val="00CC4C72"/>
    <w:rsid w:val="00CC6FC6"/>
    <w:rsid w:val="00CC7531"/>
    <w:rsid w:val="00CC7744"/>
    <w:rsid w:val="00CD0616"/>
    <w:rsid w:val="00CD1D1C"/>
    <w:rsid w:val="00CD2509"/>
    <w:rsid w:val="00CD2ED7"/>
    <w:rsid w:val="00CD40FE"/>
    <w:rsid w:val="00CD4418"/>
    <w:rsid w:val="00CD6D79"/>
    <w:rsid w:val="00CD6FDA"/>
    <w:rsid w:val="00CD7668"/>
    <w:rsid w:val="00CD7791"/>
    <w:rsid w:val="00CE0177"/>
    <w:rsid w:val="00CE39E7"/>
    <w:rsid w:val="00CE3C63"/>
    <w:rsid w:val="00CE4E40"/>
    <w:rsid w:val="00CE4F6A"/>
    <w:rsid w:val="00CF18FF"/>
    <w:rsid w:val="00CF1B23"/>
    <w:rsid w:val="00CF51DD"/>
    <w:rsid w:val="00CF51E5"/>
    <w:rsid w:val="00CF567E"/>
    <w:rsid w:val="00D00118"/>
    <w:rsid w:val="00D003EC"/>
    <w:rsid w:val="00D03547"/>
    <w:rsid w:val="00D040D3"/>
    <w:rsid w:val="00D04106"/>
    <w:rsid w:val="00D04D01"/>
    <w:rsid w:val="00D050B4"/>
    <w:rsid w:val="00D13119"/>
    <w:rsid w:val="00D133F4"/>
    <w:rsid w:val="00D14886"/>
    <w:rsid w:val="00D1550D"/>
    <w:rsid w:val="00D156C1"/>
    <w:rsid w:val="00D1623F"/>
    <w:rsid w:val="00D20611"/>
    <w:rsid w:val="00D206D3"/>
    <w:rsid w:val="00D21831"/>
    <w:rsid w:val="00D218B6"/>
    <w:rsid w:val="00D21D62"/>
    <w:rsid w:val="00D228CF"/>
    <w:rsid w:val="00D2294E"/>
    <w:rsid w:val="00D22A4E"/>
    <w:rsid w:val="00D23CD1"/>
    <w:rsid w:val="00D248EA"/>
    <w:rsid w:val="00D24B00"/>
    <w:rsid w:val="00D25FFF"/>
    <w:rsid w:val="00D266A3"/>
    <w:rsid w:val="00D2757C"/>
    <w:rsid w:val="00D27CB5"/>
    <w:rsid w:val="00D31947"/>
    <w:rsid w:val="00D31FF5"/>
    <w:rsid w:val="00D3208F"/>
    <w:rsid w:val="00D3369C"/>
    <w:rsid w:val="00D35B5F"/>
    <w:rsid w:val="00D36CC2"/>
    <w:rsid w:val="00D37F7B"/>
    <w:rsid w:val="00D402F7"/>
    <w:rsid w:val="00D40B29"/>
    <w:rsid w:val="00D412B0"/>
    <w:rsid w:val="00D4214C"/>
    <w:rsid w:val="00D42848"/>
    <w:rsid w:val="00D44FF0"/>
    <w:rsid w:val="00D45BD1"/>
    <w:rsid w:val="00D46DA8"/>
    <w:rsid w:val="00D50041"/>
    <w:rsid w:val="00D507CE"/>
    <w:rsid w:val="00D511A0"/>
    <w:rsid w:val="00D52EDE"/>
    <w:rsid w:val="00D5302D"/>
    <w:rsid w:val="00D532FE"/>
    <w:rsid w:val="00D53CB3"/>
    <w:rsid w:val="00D53D25"/>
    <w:rsid w:val="00D54973"/>
    <w:rsid w:val="00D54BA7"/>
    <w:rsid w:val="00D54DA8"/>
    <w:rsid w:val="00D54F56"/>
    <w:rsid w:val="00D55396"/>
    <w:rsid w:val="00D56558"/>
    <w:rsid w:val="00D565EA"/>
    <w:rsid w:val="00D56833"/>
    <w:rsid w:val="00D56845"/>
    <w:rsid w:val="00D56D85"/>
    <w:rsid w:val="00D57575"/>
    <w:rsid w:val="00D576FC"/>
    <w:rsid w:val="00D57A4B"/>
    <w:rsid w:val="00D61BF7"/>
    <w:rsid w:val="00D6248E"/>
    <w:rsid w:val="00D63A48"/>
    <w:rsid w:val="00D63F66"/>
    <w:rsid w:val="00D649A7"/>
    <w:rsid w:val="00D64AB2"/>
    <w:rsid w:val="00D670E8"/>
    <w:rsid w:val="00D672A1"/>
    <w:rsid w:val="00D67A35"/>
    <w:rsid w:val="00D70477"/>
    <w:rsid w:val="00D71B94"/>
    <w:rsid w:val="00D71E5F"/>
    <w:rsid w:val="00D71EEA"/>
    <w:rsid w:val="00D728AE"/>
    <w:rsid w:val="00D7413C"/>
    <w:rsid w:val="00D7504F"/>
    <w:rsid w:val="00D7779C"/>
    <w:rsid w:val="00D801B1"/>
    <w:rsid w:val="00D815E0"/>
    <w:rsid w:val="00D81C2C"/>
    <w:rsid w:val="00D85BB9"/>
    <w:rsid w:val="00D85C1E"/>
    <w:rsid w:val="00D90B4F"/>
    <w:rsid w:val="00D9109F"/>
    <w:rsid w:val="00D91E08"/>
    <w:rsid w:val="00D92830"/>
    <w:rsid w:val="00D93849"/>
    <w:rsid w:val="00D93FA9"/>
    <w:rsid w:val="00D94039"/>
    <w:rsid w:val="00D946ED"/>
    <w:rsid w:val="00D94EA9"/>
    <w:rsid w:val="00D959F6"/>
    <w:rsid w:val="00D9714A"/>
    <w:rsid w:val="00DA0203"/>
    <w:rsid w:val="00DA0C02"/>
    <w:rsid w:val="00DA0DD6"/>
    <w:rsid w:val="00DA2197"/>
    <w:rsid w:val="00DA239D"/>
    <w:rsid w:val="00DA371E"/>
    <w:rsid w:val="00DA3AF6"/>
    <w:rsid w:val="00DA50F5"/>
    <w:rsid w:val="00DA551A"/>
    <w:rsid w:val="00DB158A"/>
    <w:rsid w:val="00DB3100"/>
    <w:rsid w:val="00DB47D2"/>
    <w:rsid w:val="00DB527C"/>
    <w:rsid w:val="00DB6F7A"/>
    <w:rsid w:val="00DB7CB3"/>
    <w:rsid w:val="00DC0869"/>
    <w:rsid w:val="00DC1621"/>
    <w:rsid w:val="00DC1CE0"/>
    <w:rsid w:val="00DC2E0B"/>
    <w:rsid w:val="00DC3057"/>
    <w:rsid w:val="00DC375A"/>
    <w:rsid w:val="00DC3935"/>
    <w:rsid w:val="00DC3E51"/>
    <w:rsid w:val="00DC6F9A"/>
    <w:rsid w:val="00DD06A4"/>
    <w:rsid w:val="00DD1D05"/>
    <w:rsid w:val="00DD20FC"/>
    <w:rsid w:val="00DD30C7"/>
    <w:rsid w:val="00DD3AA9"/>
    <w:rsid w:val="00DD4EB0"/>
    <w:rsid w:val="00DD6EF6"/>
    <w:rsid w:val="00DD71DC"/>
    <w:rsid w:val="00DD7CD0"/>
    <w:rsid w:val="00DE613B"/>
    <w:rsid w:val="00DE74A8"/>
    <w:rsid w:val="00DF0658"/>
    <w:rsid w:val="00DF1613"/>
    <w:rsid w:val="00DF1F8D"/>
    <w:rsid w:val="00DF2CFC"/>
    <w:rsid w:val="00DF34C3"/>
    <w:rsid w:val="00DF4B86"/>
    <w:rsid w:val="00E0069F"/>
    <w:rsid w:val="00E04733"/>
    <w:rsid w:val="00E04F20"/>
    <w:rsid w:val="00E04F69"/>
    <w:rsid w:val="00E0729A"/>
    <w:rsid w:val="00E072A4"/>
    <w:rsid w:val="00E07937"/>
    <w:rsid w:val="00E1076B"/>
    <w:rsid w:val="00E11AEF"/>
    <w:rsid w:val="00E11F09"/>
    <w:rsid w:val="00E12551"/>
    <w:rsid w:val="00E13EFB"/>
    <w:rsid w:val="00E17F84"/>
    <w:rsid w:val="00E20722"/>
    <w:rsid w:val="00E21CA4"/>
    <w:rsid w:val="00E22321"/>
    <w:rsid w:val="00E254E0"/>
    <w:rsid w:val="00E26105"/>
    <w:rsid w:val="00E26453"/>
    <w:rsid w:val="00E266D4"/>
    <w:rsid w:val="00E26E25"/>
    <w:rsid w:val="00E2743F"/>
    <w:rsid w:val="00E275FE"/>
    <w:rsid w:val="00E30CCF"/>
    <w:rsid w:val="00E31431"/>
    <w:rsid w:val="00E3296E"/>
    <w:rsid w:val="00E37AF1"/>
    <w:rsid w:val="00E408DA"/>
    <w:rsid w:val="00E40A84"/>
    <w:rsid w:val="00E41A86"/>
    <w:rsid w:val="00E4216E"/>
    <w:rsid w:val="00E4265F"/>
    <w:rsid w:val="00E43FC7"/>
    <w:rsid w:val="00E44232"/>
    <w:rsid w:val="00E44A56"/>
    <w:rsid w:val="00E4517D"/>
    <w:rsid w:val="00E45A7B"/>
    <w:rsid w:val="00E45ADB"/>
    <w:rsid w:val="00E45CF8"/>
    <w:rsid w:val="00E471A6"/>
    <w:rsid w:val="00E4771F"/>
    <w:rsid w:val="00E54A22"/>
    <w:rsid w:val="00E54C04"/>
    <w:rsid w:val="00E559E3"/>
    <w:rsid w:val="00E55A05"/>
    <w:rsid w:val="00E55AB5"/>
    <w:rsid w:val="00E60061"/>
    <w:rsid w:val="00E608BA"/>
    <w:rsid w:val="00E6217C"/>
    <w:rsid w:val="00E637F3"/>
    <w:rsid w:val="00E63C81"/>
    <w:rsid w:val="00E642C9"/>
    <w:rsid w:val="00E645CE"/>
    <w:rsid w:val="00E65376"/>
    <w:rsid w:val="00E712FF"/>
    <w:rsid w:val="00E71556"/>
    <w:rsid w:val="00E7388D"/>
    <w:rsid w:val="00E73E31"/>
    <w:rsid w:val="00E75363"/>
    <w:rsid w:val="00E76C13"/>
    <w:rsid w:val="00E773AC"/>
    <w:rsid w:val="00E7777D"/>
    <w:rsid w:val="00E779B3"/>
    <w:rsid w:val="00E81133"/>
    <w:rsid w:val="00E84218"/>
    <w:rsid w:val="00E853D6"/>
    <w:rsid w:val="00E90815"/>
    <w:rsid w:val="00E908E0"/>
    <w:rsid w:val="00E91658"/>
    <w:rsid w:val="00E929E8"/>
    <w:rsid w:val="00E938BB"/>
    <w:rsid w:val="00E93D41"/>
    <w:rsid w:val="00E952A8"/>
    <w:rsid w:val="00E969B9"/>
    <w:rsid w:val="00E96C67"/>
    <w:rsid w:val="00E977C0"/>
    <w:rsid w:val="00E97F59"/>
    <w:rsid w:val="00EA1934"/>
    <w:rsid w:val="00EA2488"/>
    <w:rsid w:val="00EA26A4"/>
    <w:rsid w:val="00EA3663"/>
    <w:rsid w:val="00EA7062"/>
    <w:rsid w:val="00EA720E"/>
    <w:rsid w:val="00EA79FB"/>
    <w:rsid w:val="00EB092C"/>
    <w:rsid w:val="00EB1EEF"/>
    <w:rsid w:val="00EB41EA"/>
    <w:rsid w:val="00EB578A"/>
    <w:rsid w:val="00EB5B71"/>
    <w:rsid w:val="00EB5EDB"/>
    <w:rsid w:val="00EB795B"/>
    <w:rsid w:val="00EB7A3D"/>
    <w:rsid w:val="00EC2E63"/>
    <w:rsid w:val="00EC35A6"/>
    <w:rsid w:val="00EC3942"/>
    <w:rsid w:val="00EC578E"/>
    <w:rsid w:val="00EC6716"/>
    <w:rsid w:val="00EC67D6"/>
    <w:rsid w:val="00EC70D3"/>
    <w:rsid w:val="00EC73B7"/>
    <w:rsid w:val="00ED0EE6"/>
    <w:rsid w:val="00ED1859"/>
    <w:rsid w:val="00ED1BCB"/>
    <w:rsid w:val="00ED2B2F"/>
    <w:rsid w:val="00ED5A9F"/>
    <w:rsid w:val="00ED72C5"/>
    <w:rsid w:val="00ED747A"/>
    <w:rsid w:val="00EE02D3"/>
    <w:rsid w:val="00EE04F7"/>
    <w:rsid w:val="00EE2D4E"/>
    <w:rsid w:val="00EE6CC8"/>
    <w:rsid w:val="00EE6E51"/>
    <w:rsid w:val="00EE72F6"/>
    <w:rsid w:val="00EF0EDE"/>
    <w:rsid w:val="00EF2BBB"/>
    <w:rsid w:val="00EF2DF8"/>
    <w:rsid w:val="00EF3517"/>
    <w:rsid w:val="00EF3757"/>
    <w:rsid w:val="00EF4189"/>
    <w:rsid w:val="00EF4680"/>
    <w:rsid w:val="00EF580C"/>
    <w:rsid w:val="00EF6985"/>
    <w:rsid w:val="00EF69DF"/>
    <w:rsid w:val="00F016F0"/>
    <w:rsid w:val="00F01BB1"/>
    <w:rsid w:val="00F03D5F"/>
    <w:rsid w:val="00F048AE"/>
    <w:rsid w:val="00F04F5E"/>
    <w:rsid w:val="00F06B13"/>
    <w:rsid w:val="00F06EBB"/>
    <w:rsid w:val="00F0754B"/>
    <w:rsid w:val="00F11B67"/>
    <w:rsid w:val="00F11B6E"/>
    <w:rsid w:val="00F15540"/>
    <w:rsid w:val="00F169B8"/>
    <w:rsid w:val="00F16D1E"/>
    <w:rsid w:val="00F202AD"/>
    <w:rsid w:val="00F211CD"/>
    <w:rsid w:val="00F21234"/>
    <w:rsid w:val="00F21AAA"/>
    <w:rsid w:val="00F223DB"/>
    <w:rsid w:val="00F231C9"/>
    <w:rsid w:val="00F24E95"/>
    <w:rsid w:val="00F256F4"/>
    <w:rsid w:val="00F2661F"/>
    <w:rsid w:val="00F26D91"/>
    <w:rsid w:val="00F26E0E"/>
    <w:rsid w:val="00F26E3B"/>
    <w:rsid w:val="00F27548"/>
    <w:rsid w:val="00F277F3"/>
    <w:rsid w:val="00F31004"/>
    <w:rsid w:val="00F31317"/>
    <w:rsid w:val="00F33AD5"/>
    <w:rsid w:val="00F359AB"/>
    <w:rsid w:val="00F35E1F"/>
    <w:rsid w:val="00F36A07"/>
    <w:rsid w:val="00F36AEA"/>
    <w:rsid w:val="00F36D65"/>
    <w:rsid w:val="00F36E1D"/>
    <w:rsid w:val="00F406C9"/>
    <w:rsid w:val="00F44999"/>
    <w:rsid w:val="00F45719"/>
    <w:rsid w:val="00F46702"/>
    <w:rsid w:val="00F47DB6"/>
    <w:rsid w:val="00F53622"/>
    <w:rsid w:val="00F53F1D"/>
    <w:rsid w:val="00F54FAA"/>
    <w:rsid w:val="00F54FB6"/>
    <w:rsid w:val="00F55309"/>
    <w:rsid w:val="00F611BB"/>
    <w:rsid w:val="00F6307B"/>
    <w:rsid w:val="00F63766"/>
    <w:rsid w:val="00F65222"/>
    <w:rsid w:val="00F65350"/>
    <w:rsid w:val="00F66177"/>
    <w:rsid w:val="00F70196"/>
    <w:rsid w:val="00F70360"/>
    <w:rsid w:val="00F717E7"/>
    <w:rsid w:val="00F72978"/>
    <w:rsid w:val="00F7489B"/>
    <w:rsid w:val="00F74DD7"/>
    <w:rsid w:val="00F753BC"/>
    <w:rsid w:val="00F75583"/>
    <w:rsid w:val="00F75C3C"/>
    <w:rsid w:val="00F7780E"/>
    <w:rsid w:val="00F804C5"/>
    <w:rsid w:val="00F83910"/>
    <w:rsid w:val="00F842FC"/>
    <w:rsid w:val="00F85D1F"/>
    <w:rsid w:val="00F865B7"/>
    <w:rsid w:val="00F869A9"/>
    <w:rsid w:val="00F879A4"/>
    <w:rsid w:val="00F87CDC"/>
    <w:rsid w:val="00F91152"/>
    <w:rsid w:val="00F91F5E"/>
    <w:rsid w:val="00F92381"/>
    <w:rsid w:val="00F92E39"/>
    <w:rsid w:val="00F95955"/>
    <w:rsid w:val="00F96BCA"/>
    <w:rsid w:val="00F97AD6"/>
    <w:rsid w:val="00FA0CAE"/>
    <w:rsid w:val="00FA1596"/>
    <w:rsid w:val="00FA16DB"/>
    <w:rsid w:val="00FA1C99"/>
    <w:rsid w:val="00FA323A"/>
    <w:rsid w:val="00FA3C1D"/>
    <w:rsid w:val="00FA3C71"/>
    <w:rsid w:val="00FA4D80"/>
    <w:rsid w:val="00FA5265"/>
    <w:rsid w:val="00FA66D0"/>
    <w:rsid w:val="00FA7162"/>
    <w:rsid w:val="00FA7C18"/>
    <w:rsid w:val="00FB0D28"/>
    <w:rsid w:val="00FB0F71"/>
    <w:rsid w:val="00FB11C1"/>
    <w:rsid w:val="00FB1FCF"/>
    <w:rsid w:val="00FB5237"/>
    <w:rsid w:val="00FB58ED"/>
    <w:rsid w:val="00FB5D46"/>
    <w:rsid w:val="00FC712A"/>
    <w:rsid w:val="00FC777C"/>
    <w:rsid w:val="00FD196F"/>
    <w:rsid w:val="00FD2161"/>
    <w:rsid w:val="00FD22E7"/>
    <w:rsid w:val="00FD26B9"/>
    <w:rsid w:val="00FD37C7"/>
    <w:rsid w:val="00FD4336"/>
    <w:rsid w:val="00FD46FF"/>
    <w:rsid w:val="00FD5945"/>
    <w:rsid w:val="00FD69DE"/>
    <w:rsid w:val="00FD7EE9"/>
    <w:rsid w:val="00FD7F8A"/>
    <w:rsid w:val="00FE0DE5"/>
    <w:rsid w:val="00FE129F"/>
    <w:rsid w:val="00FE2578"/>
    <w:rsid w:val="00FE265D"/>
    <w:rsid w:val="00FE2697"/>
    <w:rsid w:val="00FE2998"/>
    <w:rsid w:val="00FE4076"/>
    <w:rsid w:val="00FE43F2"/>
    <w:rsid w:val="00FE4B66"/>
    <w:rsid w:val="00FE62DF"/>
    <w:rsid w:val="00FE6914"/>
    <w:rsid w:val="00FE6924"/>
    <w:rsid w:val="00FE6E92"/>
    <w:rsid w:val="00FE7C04"/>
    <w:rsid w:val="00FF00CE"/>
    <w:rsid w:val="00FF0460"/>
    <w:rsid w:val="00FF1D17"/>
    <w:rsid w:val="00FF1EB1"/>
    <w:rsid w:val="00FF2875"/>
    <w:rsid w:val="00FF49B2"/>
    <w:rsid w:val="00FF68BB"/>
    <w:rsid w:val="00FF7ED2"/>
    <w:rsid w:val="022729CE"/>
    <w:rsid w:val="15226B29"/>
    <w:rsid w:val="3D9C1A5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qFormat="1" w:unhideWhenUsed="0" w:uiPriority="0" w:name="toa heading"/>
    <w:lsdException w:unhideWhenUsed="0" w:uiPriority="0" w:semiHidden="0" w:name="List"/>
    <w:lsdException w:unhideWhenUsed="0" w:uiPriority="0" w:semiHidden="0" w:name="List Bullet"/>
    <w:lsdException w:uiPriority="0" w:name="List Number"/>
    <w:lsdException w:uiPriority="0" w:name="List 2"/>
    <w:lsdException w:qFormat="1" w:unhideWhenUsed="0" w:uiPriority="0" w:semiHidden="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qFormat="1" w:unhideWhenUsed="0" w:uiPriority="0" w:semiHidden="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2"/>
    <w:qFormat/>
    <w:uiPriority w:val="0"/>
    <w:pPr>
      <w:keepNext/>
      <w:keepLines/>
      <w:spacing w:before="340" w:after="330" w:line="578" w:lineRule="auto"/>
      <w:outlineLvl w:val="0"/>
    </w:pPr>
    <w:rPr>
      <w:b/>
      <w:bCs/>
      <w:kern w:val="44"/>
      <w:sz w:val="44"/>
      <w:szCs w:val="44"/>
    </w:rPr>
  </w:style>
  <w:style w:type="paragraph" w:styleId="3">
    <w:name w:val="heading 2"/>
    <w:basedOn w:val="4"/>
    <w:next w:val="5"/>
    <w:link w:val="46"/>
    <w:qFormat/>
    <w:uiPriority w:val="0"/>
    <w:pPr>
      <w:spacing w:before="360" w:after="120" w:line="360" w:lineRule="auto"/>
      <w:ind w:left="-5"/>
      <w:jc w:val="center"/>
      <w:outlineLvl w:val="1"/>
    </w:pPr>
    <w:rPr>
      <w:rFonts w:eastAsia="黑体" w:cs="Times New Roman"/>
      <w:b/>
      <w:sz w:val="32"/>
      <w:szCs w:val="20"/>
    </w:rPr>
  </w:style>
  <w:style w:type="character" w:default="1" w:styleId="28">
    <w:name w:val="Default Paragraph Font"/>
    <w:semiHidden/>
    <w:unhideWhenUsed/>
    <w:uiPriority w:val="1"/>
  </w:style>
  <w:style w:type="table" w:default="1" w:styleId="26">
    <w:name w:val="Normal Table"/>
    <w:semiHidden/>
    <w:unhideWhenUsed/>
    <w:uiPriority w:val="99"/>
    <w:tblPr>
      <w:tblCellMar>
        <w:top w:w="0" w:type="dxa"/>
        <w:left w:w="108" w:type="dxa"/>
        <w:bottom w:w="0" w:type="dxa"/>
        <w:right w:w="108" w:type="dxa"/>
      </w:tblCellMar>
    </w:tblPr>
  </w:style>
  <w:style w:type="paragraph" w:styleId="4">
    <w:name w:val="toa heading"/>
    <w:basedOn w:val="1"/>
    <w:next w:val="1"/>
    <w:semiHidden/>
    <w:qFormat/>
    <w:uiPriority w:val="0"/>
    <w:pPr>
      <w:spacing w:before="120"/>
    </w:pPr>
    <w:rPr>
      <w:rFonts w:ascii="Arial" w:hAnsi="Arial" w:cs="Arial"/>
      <w:sz w:val="24"/>
    </w:rPr>
  </w:style>
  <w:style w:type="paragraph" w:styleId="5">
    <w:name w:val="Title"/>
    <w:basedOn w:val="1"/>
    <w:qFormat/>
    <w:uiPriority w:val="0"/>
    <w:pPr>
      <w:spacing w:before="240" w:after="60"/>
      <w:jc w:val="center"/>
      <w:outlineLvl w:val="0"/>
    </w:pPr>
    <w:rPr>
      <w:rFonts w:ascii="Arial" w:hAnsi="Arial" w:cs="Arial"/>
      <w:b/>
      <w:bCs/>
      <w:sz w:val="32"/>
      <w:szCs w:val="32"/>
    </w:rPr>
  </w:style>
  <w:style w:type="paragraph" w:styleId="6">
    <w:name w:val="List 3"/>
    <w:basedOn w:val="1"/>
    <w:qFormat/>
    <w:uiPriority w:val="0"/>
    <w:pPr>
      <w:adjustRightInd w:val="0"/>
      <w:spacing w:line="312" w:lineRule="atLeast"/>
      <w:ind w:left="1260" w:hanging="420"/>
      <w:textAlignment w:val="baseline"/>
    </w:pPr>
    <w:rPr>
      <w:rFonts w:ascii="Arial" w:hAnsi="Arial"/>
      <w:kern w:val="0"/>
      <w:sz w:val="28"/>
      <w:szCs w:val="20"/>
    </w:rPr>
  </w:style>
  <w:style w:type="paragraph" w:styleId="7">
    <w:name w:val="toc 7"/>
    <w:basedOn w:val="1"/>
    <w:next w:val="1"/>
    <w:unhideWhenUsed/>
    <w:qFormat/>
    <w:uiPriority w:val="39"/>
    <w:pPr>
      <w:ind w:left="2520" w:leftChars="1200"/>
    </w:pPr>
    <w:rPr>
      <w:rFonts w:ascii="Calibri" w:hAnsi="Calibri"/>
      <w:szCs w:val="22"/>
    </w:rPr>
  </w:style>
  <w:style w:type="paragraph" w:styleId="8">
    <w:name w:val="Normal Indent"/>
    <w:basedOn w:val="1"/>
    <w:link w:val="36"/>
    <w:qFormat/>
    <w:uiPriority w:val="0"/>
    <w:pPr>
      <w:ind w:firstLine="420"/>
    </w:pPr>
    <w:rPr>
      <w:rFonts w:eastAsia="仿宋_GB2312"/>
      <w:sz w:val="32"/>
      <w:szCs w:val="20"/>
    </w:rPr>
  </w:style>
  <w:style w:type="paragraph" w:styleId="9">
    <w:name w:val="Body Text"/>
    <w:basedOn w:val="1"/>
    <w:link w:val="34"/>
    <w:qFormat/>
    <w:uiPriority w:val="0"/>
    <w:pPr>
      <w:tabs>
        <w:tab w:val="left" w:pos="574"/>
      </w:tabs>
      <w:spacing w:line="288" w:lineRule="auto"/>
    </w:pPr>
    <w:rPr>
      <w:rFonts w:ascii="宋体" w:hAnsi="宋体"/>
      <w:szCs w:val="20"/>
    </w:rPr>
  </w:style>
  <w:style w:type="paragraph" w:styleId="10">
    <w:name w:val="Body Text Indent"/>
    <w:basedOn w:val="1"/>
    <w:link w:val="35"/>
    <w:qFormat/>
    <w:uiPriority w:val="0"/>
    <w:pPr>
      <w:spacing w:after="120"/>
      <w:ind w:left="420" w:leftChars="200"/>
    </w:pPr>
    <w:rPr>
      <w:rFonts w:eastAsia="仿宋_GB2312"/>
      <w:sz w:val="32"/>
      <w:szCs w:val="20"/>
    </w:rPr>
  </w:style>
  <w:style w:type="paragraph" w:styleId="11">
    <w:name w:val="toc 5"/>
    <w:basedOn w:val="1"/>
    <w:next w:val="1"/>
    <w:unhideWhenUsed/>
    <w:qFormat/>
    <w:uiPriority w:val="39"/>
    <w:pPr>
      <w:ind w:left="1680" w:leftChars="800"/>
    </w:pPr>
    <w:rPr>
      <w:rFonts w:ascii="Calibri" w:hAnsi="Calibri"/>
      <w:szCs w:val="22"/>
    </w:rPr>
  </w:style>
  <w:style w:type="paragraph" w:styleId="12">
    <w:name w:val="toc 3"/>
    <w:basedOn w:val="1"/>
    <w:next w:val="1"/>
    <w:unhideWhenUsed/>
    <w:qFormat/>
    <w:uiPriority w:val="39"/>
    <w:pPr>
      <w:ind w:left="840" w:leftChars="400"/>
    </w:pPr>
    <w:rPr>
      <w:rFonts w:ascii="Calibri" w:hAnsi="Calibri"/>
      <w:szCs w:val="22"/>
    </w:rPr>
  </w:style>
  <w:style w:type="paragraph" w:styleId="13">
    <w:name w:val="Plain Text"/>
    <w:basedOn w:val="1"/>
    <w:link w:val="44"/>
    <w:qFormat/>
    <w:uiPriority w:val="0"/>
    <w:rPr>
      <w:rFonts w:ascii="宋体" w:hAnsi="Courier New"/>
      <w:szCs w:val="20"/>
    </w:rPr>
  </w:style>
  <w:style w:type="paragraph" w:styleId="14">
    <w:name w:val="toc 8"/>
    <w:basedOn w:val="1"/>
    <w:next w:val="1"/>
    <w:unhideWhenUsed/>
    <w:qFormat/>
    <w:uiPriority w:val="39"/>
    <w:pPr>
      <w:ind w:left="2940" w:leftChars="1400"/>
    </w:pPr>
    <w:rPr>
      <w:rFonts w:ascii="Calibri" w:hAnsi="Calibri"/>
      <w:szCs w:val="22"/>
    </w:rPr>
  </w:style>
  <w:style w:type="paragraph" w:styleId="15">
    <w:name w:val="Date"/>
    <w:basedOn w:val="1"/>
    <w:next w:val="1"/>
    <w:qFormat/>
    <w:uiPriority w:val="0"/>
    <w:rPr>
      <w:rFonts w:eastAsia="仿宋_GB2312"/>
      <w:sz w:val="28"/>
      <w:szCs w:val="20"/>
    </w:rPr>
  </w:style>
  <w:style w:type="paragraph" w:styleId="16">
    <w:name w:val="Balloon Text"/>
    <w:basedOn w:val="1"/>
    <w:link w:val="38"/>
    <w:qFormat/>
    <w:uiPriority w:val="0"/>
    <w:rPr>
      <w:sz w:val="18"/>
      <w:szCs w:val="18"/>
    </w:rPr>
  </w:style>
  <w:style w:type="paragraph" w:styleId="17">
    <w:name w:val="footer"/>
    <w:basedOn w:val="1"/>
    <w:link w:val="33"/>
    <w:qFormat/>
    <w:uiPriority w:val="99"/>
    <w:pPr>
      <w:tabs>
        <w:tab w:val="center" w:pos="4153"/>
        <w:tab w:val="right" w:pos="8306"/>
      </w:tabs>
      <w:snapToGrid w:val="0"/>
      <w:jc w:val="left"/>
    </w:pPr>
    <w:rPr>
      <w:sz w:val="18"/>
      <w:szCs w:val="18"/>
    </w:rPr>
  </w:style>
  <w:style w:type="paragraph" w:styleId="1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style>
  <w:style w:type="paragraph" w:styleId="20">
    <w:name w:val="toc 4"/>
    <w:basedOn w:val="1"/>
    <w:next w:val="1"/>
    <w:unhideWhenUsed/>
    <w:qFormat/>
    <w:uiPriority w:val="39"/>
    <w:pPr>
      <w:ind w:left="1260" w:leftChars="600"/>
    </w:pPr>
    <w:rPr>
      <w:rFonts w:ascii="Calibri" w:hAnsi="Calibri"/>
      <w:szCs w:val="22"/>
    </w:rPr>
  </w:style>
  <w:style w:type="paragraph" w:styleId="21">
    <w:name w:val="toc 6"/>
    <w:basedOn w:val="1"/>
    <w:next w:val="1"/>
    <w:unhideWhenUsed/>
    <w:qFormat/>
    <w:uiPriority w:val="39"/>
    <w:pPr>
      <w:ind w:left="2100" w:leftChars="1000"/>
    </w:pPr>
    <w:rPr>
      <w:rFonts w:ascii="Calibri" w:hAnsi="Calibri"/>
      <w:szCs w:val="22"/>
    </w:rPr>
  </w:style>
  <w:style w:type="paragraph" w:styleId="22">
    <w:name w:val="Body Text Indent 3"/>
    <w:basedOn w:val="1"/>
    <w:link w:val="45"/>
    <w:qFormat/>
    <w:uiPriority w:val="0"/>
    <w:pPr>
      <w:spacing w:after="120"/>
      <w:ind w:left="420" w:leftChars="200"/>
    </w:pPr>
    <w:rPr>
      <w:sz w:val="16"/>
      <w:szCs w:val="16"/>
    </w:rPr>
  </w:style>
  <w:style w:type="paragraph" w:styleId="23">
    <w:name w:val="toc 2"/>
    <w:basedOn w:val="1"/>
    <w:next w:val="1"/>
    <w:qFormat/>
    <w:uiPriority w:val="39"/>
    <w:pPr>
      <w:tabs>
        <w:tab w:val="left" w:pos="1260"/>
        <w:tab w:val="right" w:leader="dot" w:pos="8303"/>
      </w:tabs>
      <w:ind w:left="420" w:leftChars="200"/>
    </w:pPr>
  </w:style>
  <w:style w:type="paragraph" w:styleId="24">
    <w:name w:val="toc 9"/>
    <w:basedOn w:val="1"/>
    <w:next w:val="1"/>
    <w:unhideWhenUsed/>
    <w:qFormat/>
    <w:uiPriority w:val="39"/>
    <w:pPr>
      <w:ind w:left="3360" w:leftChars="1600"/>
    </w:pPr>
    <w:rPr>
      <w:rFonts w:ascii="Calibri" w:hAnsi="Calibri"/>
      <w:szCs w:val="22"/>
    </w:rPr>
  </w:style>
  <w:style w:type="paragraph" w:styleId="2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basedOn w:val="28"/>
    <w:qFormat/>
    <w:uiPriority w:val="0"/>
  </w:style>
  <w:style w:type="character" w:styleId="30">
    <w:name w:val="FollowedHyperlink"/>
    <w:basedOn w:val="28"/>
    <w:qFormat/>
    <w:uiPriority w:val="0"/>
    <w:rPr>
      <w:color w:val="800080"/>
      <w:u w:val="single"/>
    </w:rPr>
  </w:style>
  <w:style w:type="character" w:styleId="31">
    <w:name w:val="Hyperlink"/>
    <w:basedOn w:val="28"/>
    <w:qFormat/>
    <w:uiPriority w:val="99"/>
  </w:style>
  <w:style w:type="character" w:customStyle="1" w:styleId="32">
    <w:name w:val="标题 1 字符"/>
    <w:link w:val="2"/>
    <w:qFormat/>
    <w:uiPriority w:val="0"/>
    <w:rPr>
      <w:rFonts w:eastAsia="宋体"/>
      <w:b/>
      <w:bCs/>
      <w:kern w:val="44"/>
      <w:sz w:val="44"/>
      <w:szCs w:val="44"/>
      <w:lang w:val="en-US" w:eastAsia="zh-CN" w:bidi="ar-SA"/>
    </w:rPr>
  </w:style>
  <w:style w:type="character" w:customStyle="1" w:styleId="33">
    <w:name w:val="页脚 字符"/>
    <w:basedOn w:val="28"/>
    <w:link w:val="17"/>
    <w:qFormat/>
    <w:uiPriority w:val="99"/>
    <w:rPr>
      <w:kern w:val="2"/>
      <w:sz w:val="18"/>
      <w:szCs w:val="18"/>
    </w:rPr>
  </w:style>
  <w:style w:type="character" w:customStyle="1" w:styleId="34">
    <w:name w:val="正文文本 字符"/>
    <w:basedOn w:val="28"/>
    <w:link w:val="9"/>
    <w:qFormat/>
    <w:uiPriority w:val="0"/>
    <w:rPr>
      <w:rFonts w:ascii="宋体" w:hAnsi="宋体"/>
      <w:kern w:val="2"/>
      <w:sz w:val="21"/>
    </w:rPr>
  </w:style>
  <w:style w:type="character" w:customStyle="1" w:styleId="35">
    <w:name w:val="正文文本缩进 字符"/>
    <w:basedOn w:val="28"/>
    <w:link w:val="10"/>
    <w:qFormat/>
    <w:uiPriority w:val="0"/>
    <w:rPr>
      <w:rFonts w:eastAsia="仿宋_GB2312"/>
      <w:kern w:val="2"/>
      <w:sz w:val="32"/>
    </w:rPr>
  </w:style>
  <w:style w:type="character" w:customStyle="1" w:styleId="36">
    <w:name w:val="正文缩进 字符"/>
    <w:basedOn w:val="28"/>
    <w:link w:val="8"/>
    <w:qFormat/>
    <w:locked/>
    <w:uiPriority w:val="0"/>
    <w:rPr>
      <w:rFonts w:eastAsia="仿宋_GB2312"/>
      <w:kern w:val="2"/>
      <w:sz w:val="32"/>
      <w:lang w:val="en-US" w:eastAsia="zh-CN" w:bidi="ar-SA"/>
    </w:rPr>
  </w:style>
  <w:style w:type="paragraph" w:customStyle="1" w:styleId="37">
    <w:name w:val="TOC 标题1"/>
    <w:basedOn w:val="2"/>
    <w:next w:val="1"/>
    <w:qFormat/>
    <w:uiPriority w:val="39"/>
    <w:pPr>
      <w:widowControl/>
      <w:spacing w:before="480" w:after="0" w:line="276" w:lineRule="auto"/>
      <w:jc w:val="left"/>
      <w:outlineLvl w:val="9"/>
    </w:pPr>
    <w:rPr>
      <w:rFonts w:ascii="Cambria" w:hAnsi="Cambria"/>
      <w:color w:val="365F91"/>
      <w:kern w:val="0"/>
      <w:sz w:val="28"/>
      <w:szCs w:val="28"/>
    </w:rPr>
  </w:style>
  <w:style w:type="character" w:customStyle="1" w:styleId="38">
    <w:name w:val="批注框文本 字符"/>
    <w:basedOn w:val="28"/>
    <w:link w:val="16"/>
    <w:qFormat/>
    <w:uiPriority w:val="0"/>
    <w:rPr>
      <w:kern w:val="2"/>
      <w:sz w:val="18"/>
      <w:szCs w:val="18"/>
    </w:rPr>
  </w:style>
  <w:style w:type="paragraph" w:customStyle="1" w:styleId="39">
    <w:name w:val="默认段落字体 Para Char Char Char Char"/>
    <w:basedOn w:val="1"/>
    <w:qFormat/>
    <w:uiPriority w:val="0"/>
  </w:style>
  <w:style w:type="paragraph" w:styleId="40">
    <w:name w:val="List Paragraph"/>
    <w:basedOn w:val="1"/>
    <w:qFormat/>
    <w:uiPriority w:val="0"/>
    <w:pPr>
      <w:ind w:firstLine="420" w:firstLineChars="200"/>
    </w:pPr>
    <w:rPr>
      <w:rFonts w:ascii="Calibri" w:hAnsi="Calibri"/>
      <w:szCs w:val="22"/>
    </w:rPr>
  </w:style>
  <w:style w:type="character" w:customStyle="1" w:styleId="41">
    <w:name w:val="正文内容{858D7CFB-ED40-4347-BF05-701D383B685F}"/>
    <w:link w:val="42"/>
    <w:qFormat/>
    <w:uiPriority w:val="0"/>
    <w:rPr>
      <w:sz w:val="24"/>
    </w:rPr>
  </w:style>
  <w:style w:type="paragraph" w:customStyle="1" w:styleId="42">
    <w:name w:val="正文内容"/>
    <w:basedOn w:val="1"/>
    <w:link w:val="41"/>
    <w:qFormat/>
    <w:uiPriority w:val="0"/>
    <w:rPr>
      <w:kern w:val="0"/>
      <w:sz w:val="24"/>
      <w:szCs w:val="20"/>
    </w:rPr>
  </w:style>
  <w:style w:type="paragraph" w:customStyle="1" w:styleId="43">
    <w:name w:val="小标题"/>
    <w:basedOn w:val="1"/>
    <w:qFormat/>
    <w:uiPriority w:val="0"/>
    <w:pPr>
      <w:outlineLvl w:val="2"/>
    </w:pPr>
    <w:rPr>
      <w:b/>
      <w:sz w:val="24"/>
      <w:szCs w:val="20"/>
    </w:rPr>
  </w:style>
  <w:style w:type="character" w:customStyle="1" w:styleId="44">
    <w:name w:val="纯文本 字符"/>
    <w:basedOn w:val="28"/>
    <w:link w:val="13"/>
    <w:qFormat/>
    <w:uiPriority w:val="0"/>
    <w:rPr>
      <w:rFonts w:ascii="宋体" w:hAnsi="Courier New"/>
      <w:kern w:val="2"/>
      <w:sz w:val="21"/>
    </w:rPr>
  </w:style>
  <w:style w:type="character" w:customStyle="1" w:styleId="45">
    <w:name w:val="正文文本缩进 3 字符"/>
    <w:basedOn w:val="28"/>
    <w:link w:val="22"/>
    <w:qFormat/>
    <w:uiPriority w:val="0"/>
    <w:rPr>
      <w:kern w:val="2"/>
      <w:sz w:val="16"/>
      <w:szCs w:val="16"/>
    </w:rPr>
  </w:style>
  <w:style w:type="character" w:customStyle="1" w:styleId="46">
    <w:name w:val="标题 2 字符"/>
    <w:link w:val="3"/>
    <w:qFormat/>
    <w:uiPriority w:val="0"/>
    <w:rPr>
      <w:rFonts w:ascii="Arial" w:hAnsi="Arial" w:eastAsia="黑体"/>
      <w:b/>
      <w:kern w:val="2"/>
      <w:sz w:val="32"/>
    </w:rPr>
  </w:style>
  <w:style w:type="paragraph" w:customStyle="1" w:styleId="47">
    <w:name w:val="纯文本2"/>
    <w:basedOn w:val="1"/>
    <w:qFormat/>
    <w:uiPriority w:val="0"/>
    <w:pPr>
      <w:widowControl/>
      <w:jc w:val="left"/>
    </w:pPr>
    <w:rPr>
      <w:rFonts w:ascii="宋体" w:hAnsi="Courier New"/>
      <w:szCs w:val="20"/>
    </w:rPr>
  </w:style>
  <w:style w:type="paragraph" w:customStyle="1" w:styleId="48">
    <w:name w:val="正文2"/>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DFC0D88-588E-44D5-AF26-5295F0FC8BEC}">
  <ds:schemaRefs/>
</ds:datastoreItem>
</file>

<file path=docProps/app.xml><?xml version="1.0" encoding="utf-8"?>
<Properties xmlns="http://schemas.openxmlformats.org/officeDocument/2006/extended-properties" xmlns:vt="http://schemas.openxmlformats.org/officeDocument/2006/docPropsVTypes">
  <Template>Normal.dotm</Template>
  <Company>wz</Company>
  <Pages>8</Pages>
  <Words>3700</Words>
  <Characters>4064</Characters>
  <Lines>137</Lines>
  <Paragraphs>132</Paragraphs>
  <TotalTime>2</TotalTime>
  <ScaleCrop>false</ScaleCrop>
  <LinksUpToDate>false</LinksUpToDate>
  <CharactersWithSpaces>4272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2018-08-21T06:46:00Z</dcterms:created>
  <dc:creator>by</dc:creator>
  <cp:lastModifiedBy>JHJT</cp:lastModifiedBy>
  <cp:lastPrinted>2018-08-21T07:11:00Z</cp:lastPrinted>
  <dcterms:modified xsi:type="dcterms:W3CDTF">2025-11-18T03:29:17Z</dcterms:modified>
  <dc:title>        </dc:title>
  <cp:revision>144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7A00C292449D42CF8EAB722AE5CFD1E6</vt:lpwstr>
  </property>
  <property fmtid="{D5CDD505-2E9C-101B-9397-08002B2CF9AE}" pid="4" name="KSOTemplateDocerSaveRecord">
    <vt:lpwstr>eyJoZGlkIjoiNzJhMzRmNmFjNDQ0ZDRmOTRiZTgwYTYxMWNhOTdkZjQifQ==</vt:lpwstr>
  </property>
</Properties>
</file>