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25219">
      <w:pPr>
        <w:pStyle w:val="32"/>
        <w:jc w:val="both"/>
      </w:pPr>
      <w:r>
        <w:rPr>
          <w:rFonts w:hint="eastAsia" w:ascii="宋体" w:hAnsi="宋体" w:eastAsia="宋体" w:cs="宋体"/>
        </w:rPr>
        <w:t>新型高效智能倒角设备采购文件</w:t>
      </w:r>
    </w:p>
    <w:p w14:paraId="7969C6C8"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一、项目概述</w:t>
      </w:r>
    </w:p>
    <w:p w14:paraId="189B58BA">
      <w:pPr>
        <w:bidi w:val="0"/>
      </w:pPr>
      <w:r>
        <w:t>为满足大型管板等工件的高效倒角需求，我单位拟采购一台基于龙门式结构的新型高效智能倒角设备。本次采购项目以技术方案成熟、性能稳定为前提，在符合本采购文件技术要求的条件下，按最低价中标原则确定供应商。</w:t>
      </w:r>
    </w:p>
    <w:p w14:paraId="62C0FFEA"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二、采购方式</w:t>
      </w:r>
    </w:p>
    <w:p w14:paraId="6D0225B9">
      <w:pPr/>
      <w:r>
        <w:t>公开招标，最低价中标。所有投标方需满足本文件规定的技术指标与商务条件，方可参与评标。</w:t>
      </w:r>
    </w:p>
    <w:p w14:paraId="497D7D2A"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三、主要技术要求</w:t>
      </w:r>
    </w:p>
    <w:p w14:paraId="29C69769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1.工件加工能力</w:t>
      </w:r>
    </w:p>
    <w:p w14:paraId="11CD6333">
      <w:pPr/>
      <w:r>
        <w:t>工件直径：≤Φ2300mm</w:t>
      </w:r>
    </w:p>
    <w:p w14:paraId="3A6D8FB0">
      <w:pPr/>
      <w:r>
        <w:t>工件厚度：≤175mm</w:t>
      </w:r>
    </w:p>
    <w:p w14:paraId="67F7F979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2.设备结构</w:t>
      </w:r>
    </w:p>
    <w:p w14:paraId="2FA4099B">
      <w:pPr/>
      <w:r>
        <w:t>龙门式结构，地轨固定工作台，横梁移动式。</w:t>
      </w:r>
    </w:p>
    <w:p w14:paraId="66640B71">
      <w:pPr/>
      <w:r>
        <w:t>导轨</w:t>
      </w:r>
      <w:r>
        <w:rPr>
          <w:rFonts w:hint="eastAsia"/>
          <w:lang w:val="en-US" w:eastAsia="zh-CN"/>
        </w:rPr>
        <w:t>配备</w:t>
      </w:r>
      <w:r>
        <w:t>不锈钢金属防尘罩。</w:t>
      </w:r>
    </w:p>
    <w:p w14:paraId="3931E528">
      <w:pPr/>
      <w:r>
        <w:t>Z轴垂直向下用于倒角，负载</w:t>
      </w:r>
      <w:r>
        <w:rPr>
          <w:rFonts w:hint="eastAsia"/>
          <w:lang w:val="en-US" w:eastAsia="zh-CN"/>
        </w:rPr>
        <w:t>150</w:t>
      </w:r>
      <w:r>
        <w:t>kg。</w:t>
      </w:r>
    </w:p>
    <w:p w14:paraId="29523DD5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348480" cy="2378075"/>
            <wp:effectExtent l="0" t="0" r="10160" b="14605"/>
            <wp:docPr id="1" name="图片 1" descr="edeb1ddf-3dac-4e9e-bd25-85277fb5af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eb1ddf-3dac-4e9e-bd25-85277fb5af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8480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62985" cy="2780030"/>
            <wp:effectExtent l="0" t="0" r="3175" b="889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278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B4914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3.行程与速度</w:t>
      </w:r>
    </w:p>
    <w:p w14:paraId="48A9EAC2">
      <w:pPr/>
      <w:r>
        <w:t>X轴（地轨）有效行程≥3400mm，速度≤25000mm/min</w:t>
      </w:r>
    </w:p>
    <w:p w14:paraId="25CBF7B6">
      <w:pPr/>
      <w:r>
        <w:t>Y轴（横臂）有效行程≥2600mm，速度≤25000mm/min</w:t>
      </w:r>
    </w:p>
    <w:p w14:paraId="00A6A662">
      <w:pPr/>
      <w:r>
        <w:t>Z轴（垂直）行程≥300mm，速度≤10000mm/min</w:t>
      </w:r>
    </w:p>
    <w:p w14:paraId="5307CACF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4.定位精度</w:t>
      </w:r>
    </w:p>
    <w:p w14:paraId="730A6DC7">
      <w:pPr/>
      <w:r>
        <w:t>绝对定位精度：±0.1mm</w:t>
      </w:r>
    </w:p>
    <w:p w14:paraId="42F85CF9">
      <w:pPr/>
      <w:r>
        <w:t>重复定位精度：±0.</w:t>
      </w:r>
      <w:r>
        <w:rPr>
          <w:rFonts w:hint="eastAsia"/>
          <w:lang w:eastAsia="zh-CN"/>
        </w:rPr>
        <w:t>1</w:t>
      </w:r>
      <w:r>
        <w:t>mm</w:t>
      </w:r>
    </w:p>
    <w:p w14:paraId="5A8EBA2B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5.倒角能力</w:t>
      </w:r>
    </w:p>
    <w:p w14:paraId="0EB68421">
      <w:pPr/>
      <w:r>
        <w:t>倒角角度：≤60°</w:t>
      </w:r>
      <w:bookmarkStart w:id="0" w:name="_GoBack"/>
      <w:bookmarkEnd w:id="0"/>
    </w:p>
    <w:p w14:paraId="68C18CB4">
      <w:pPr/>
      <w:r>
        <w:t>倒角深度：≤5mm</w:t>
      </w:r>
    </w:p>
    <w:p w14:paraId="3CCFFEDA">
      <w:pPr/>
      <w:r>
        <w:t>倒角主轴上下行程：≤300mm</w:t>
      </w:r>
    </w:p>
    <w:p w14:paraId="345179A8">
      <w:pPr/>
      <w:r>
        <w:t>倒角钻头最低点距地面最低距离：400mm</w:t>
      </w:r>
    </w:p>
    <w:p w14:paraId="47855F47">
      <w:pPr/>
      <w:r>
        <w:t>倒角钻头最低点距地面最高距离：700mm</w:t>
      </w:r>
    </w:p>
    <w:p w14:paraId="06DF8A30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6.主轴要求</w:t>
      </w:r>
    </w:p>
    <w:p w14:paraId="6A112316">
      <w:pPr/>
      <w:r>
        <w:t>主轴功率≥4.2KW（高惯量）</w:t>
      </w:r>
    </w:p>
    <w:p w14:paraId="53C645EF">
      <w:pPr/>
      <w:r>
        <w:t>主轴转速≤500r/min</w:t>
      </w:r>
    </w:p>
    <w:p w14:paraId="056E5071">
      <w:pPr/>
      <w:r>
        <w:t>主轴孔锥度：BT40</w:t>
      </w:r>
    </w:p>
    <w:p w14:paraId="080F1FB5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7.智能化与视觉系统（硬件部分）</w:t>
      </w:r>
    </w:p>
    <w:p w14:paraId="6B545DF4">
      <w:pPr/>
      <w:r>
        <w:t>提供全自动视觉识别与定位系统的硬件部分，实现对大型工件的快速、精准、无需人工干预的自动寻孔与定位；</w:t>
      </w:r>
    </w:p>
    <w:p w14:paraId="508C152D">
      <w:pPr/>
      <w:r>
        <w:t>具备径向补偿≥±5mm与Z向实时探测并补偿工件翘曲能力；</w:t>
      </w:r>
    </w:p>
    <w:p w14:paraId="0AFCEF8F">
      <w:pPr/>
      <w:r>
        <w:t>需提供与硬件相关的接口文档，以方便我方软件接入。</w:t>
      </w:r>
    </w:p>
    <w:p w14:paraId="02AE2A79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8.软件与控制系统</w:t>
      </w:r>
    </w:p>
    <w:p w14:paraId="57D27111">
      <w:pPr/>
      <w:r>
        <w:t>本次采购仅包含全部硬件部分及控制柜，不包含软件控制部分（由我方自行开发）。</w:t>
      </w:r>
    </w:p>
    <w:p w14:paraId="32B4BC7A">
      <w:pPr/>
      <w:r>
        <w:t>控制柜需完成电气元器件安装、接线、标识及安全防护。</w:t>
      </w:r>
    </w:p>
    <w:p w14:paraId="3D841F4D">
      <w:pPr>
        <w:pStyle w:val="3"/>
        <w:rPr>
          <w:rFonts w:hint="default" w:ascii="宋体" w:hAnsi="宋体" w:eastAsia="宋体" w:cs="宋体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</w:rPr>
        <w:t>.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短名单</w:t>
      </w:r>
    </w:p>
    <w:p w14:paraId="4DBEA4FA">
      <w:pPr/>
    </w:p>
    <w:tbl>
      <w:tblPr>
        <w:tblStyle w:val="36"/>
        <w:tblW w:w="8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36"/>
        <w:gridCol w:w="3583"/>
        <w:gridCol w:w="2350"/>
        <w:gridCol w:w="1989"/>
      </w:tblGrid>
      <w:tr w14:paraId="10E0AF17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706863E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C7F167B">
            <w:pPr>
              <w:bidi w:val="0"/>
            </w:pPr>
            <w:r>
              <w:rPr>
                <w:rFonts w:hint="eastAsia"/>
              </w:rPr>
              <w:t>元件名称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82DCA22">
            <w:pPr>
              <w:bidi w:val="0"/>
            </w:pPr>
            <w:r>
              <w:rPr>
                <w:rFonts w:hint="eastAsia"/>
              </w:rPr>
              <w:t>数量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CBB19C0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品牌</w:t>
            </w:r>
          </w:p>
        </w:tc>
      </w:tr>
      <w:tr w14:paraId="307C1E8A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9700603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0F2B5D9B">
            <w:pPr>
              <w:bidi w:val="0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伺服电机</w:t>
            </w:r>
            <w:r>
              <w:rPr>
                <w:rFonts w:hint="eastAsia"/>
                <w:lang w:val="en-US" w:eastAsia="zh-CN"/>
              </w:rPr>
              <w:t xml:space="preserve"> DS5C2型号(Ethercat 总线) 带绝对值编码器 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2C96F61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t xml:space="preserve">1 </w:t>
            </w:r>
            <w:r>
              <w:rPr>
                <w:rFonts w:hint="eastAsia"/>
              </w:rPr>
              <w:t>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0FDFE00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cs="宋体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 w14:paraId="5A5CA1BC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940D32A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01B2303D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主要低压电气元件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CF21ABC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A88ADC9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德力西/正泰</w:t>
            </w:r>
          </w:p>
        </w:tc>
      </w:tr>
      <w:tr w14:paraId="36C8EDE4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024461A3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D1630B4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倒角主轴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FD86B8B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B8529DE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隆利/景耀</w:t>
            </w:r>
          </w:p>
        </w:tc>
      </w:tr>
      <w:tr w14:paraId="1E969A32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697FFDD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E640427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直线导轨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E4C9630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8C3D314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苏铂瑞</w:t>
            </w:r>
          </w:p>
        </w:tc>
      </w:tr>
      <w:tr w14:paraId="2C92D5A5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163D860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05B0BAEE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齿条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BFEDA55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223A1F6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威斯坦</w:t>
            </w:r>
          </w:p>
        </w:tc>
      </w:tr>
      <w:tr w14:paraId="61AE4170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8C7A053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F94A7D8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滚珠丝杆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96FE43A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0F82C05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上银/TBI</w:t>
            </w:r>
          </w:p>
        </w:tc>
      </w:tr>
      <w:tr w14:paraId="3CA70AC1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51A095C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5B5915F">
            <w:pPr>
              <w:bidi w:val="0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视觉相机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421FC3E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DB66098">
            <w:pPr>
              <w:bidi w:val="0"/>
              <w:ind w:left="0" w:leftChars="0"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海康</w:t>
            </w:r>
          </w:p>
        </w:tc>
      </w:tr>
      <w:tr w14:paraId="717C56FD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53E1072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5A82AF9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PLC XSF5系列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2804BB7">
            <w:pPr>
              <w:bidi w:val="0"/>
              <w:ind w:left="0" w:leftChars="0" w:firstLine="0" w:firstLineChars="0"/>
              <w:rPr>
                <w:rFonts w:hint="eastAsia" w:ascii="宋体" w:hAnsi="宋体" w:eastAsia="宋体" w:cs="宋体"/>
                <w:sz w:val="22"/>
                <w:szCs w:val="22"/>
                <w:lang w:val="en-US" w:eastAsia="en-US" w:bidi="ar-S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C665FE1">
            <w:pPr>
              <w:bidi w:val="0"/>
              <w:ind w:left="0" w:leftChars="0" w:firstLine="0" w:firstLineChars="0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宋体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 w14:paraId="01CE40FC">
        <w:tblPrEx>
          <w:tblLayout w:type="fixed"/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 w14:paraId="06B6D7F9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9147009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触摸屏 TS5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554E97D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803C888">
            <w:pPr>
              <w:bidi w:val="0"/>
              <w:ind w:left="0" w:leftChars="0" w:firstLine="0" w:firstLineChars="0"/>
              <w:rPr>
                <w:rFonts w:hint="eastAsia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宋体"/>
                <w:sz w:val="22"/>
                <w:szCs w:val="22"/>
                <w:lang w:val="en-US" w:eastAsia="zh-CN" w:bidi="ar-SA"/>
              </w:rPr>
              <w:t>信捷</w:t>
            </w:r>
          </w:p>
        </w:tc>
      </w:tr>
    </w:tbl>
    <w:p w14:paraId="29997858">
      <w:pPr/>
    </w:p>
    <w:p w14:paraId="650CD224">
      <w:pPr>
        <w:pStyle w:val="3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</w:rPr>
        <w:t>.交付物清单</w:t>
      </w:r>
    </w:p>
    <w:p w14:paraId="60D1030F">
      <w:pPr/>
      <w:r>
        <w:t>设备主机一台（符合以上全部指标）；</w:t>
      </w:r>
    </w:p>
    <w:p w14:paraId="0B779BE8">
      <w:pPr/>
      <w:r>
        <w:t>控制柜及电气元件；</w:t>
      </w:r>
    </w:p>
    <w:p w14:paraId="2E599987">
      <w:pPr/>
      <w:r>
        <w:t>设计图纸（机械、电气）、BOM清单、操作与维护手册、项目总结报告。</w:t>
      </w:r>
    </w:p>
    <w:p w14:paraId="393B4AB5"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四、投标人资格要求</w:t>
      </w:r>
    </w:p>
    <w:p w14:paraId="55AE9DDC">
      <w:pPr/>
      <w:r>
        <w:t>具有相关设备制造或集成能力，具有类似项目成功经验；</w:t>
      </w:r>
    </w:p>
    <w:p w14:paraId="07003D69">
      <w:pPr/>
      <w:r>
        <w:t>提供技术方案书、产品样本及性能指标说明；</w:t>
      </w:r>
    </w:p>
    <w:p w14:paraId="6F69BFC6">
      <w:pPr/>
      <w:r>
        <w:t>具有完善的售后服务与技术支持能力。</w:t>
      </w:r>
    </w:p>
    <w:p w14:paraId="53BCA03E"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五、交货与验收</w:t>
      </w:r>
    </w:p>
    <w:p w14:paraId="010B53D8">
      <w:pPr/>
      <w:r>
        <w:t>交货期：合同生效后按双方约定执行；</w:t>
      </w:r>
    </w:p>
    <w:p w14:paraId="32834546">
      <w:pPr/>
      <w:r>
        <w:t>验收标准：以本采购文件及合同约定的性能指标为准；</w:t>
      </w:r>
    </w:p>
    <w:p w14:paraId="31F35436">
      <w:pPr/>
      <w:r>
        <w:t>需提供现场安装调试及培训。</w:t>
      </w:r>
    </w:p>
    <w:p w14:paraId="5D805E7E"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六、投标文件要求</w:t>
      </w:r>
    </w:p>
    <w:p w14:paraId="02CE59E8">
      <w:pPr/>
      <w:r>
        <w:t>投标文件应包括：</w:t>
      </w:r>
    </w:p>
    <w:p w14:paraId="4A75F6DA">
      <w:pPr/>
      <w:r>
        <w:t>公司资质与业绩证明；</w:t>
      </w:r>
    </w:p>
    <w:p w14:paraId="1C9FBFC4">
      <w:pPr/>
      <w:r>
        <w:t>技术方案与技术偏离表；</w:t>
      </w:r>
    </w:p>
    <w:p w14:paraId="1CD65431">
      <w:pPr/>
      <w:r>
        <w:t>报价表（含设备、软件、运费、安装调试等全部费用）；</w:t>
      </w:r>
    </w:p>
    <w:p w14:paraId="37883EB3">
      <w:pPr/>
      <w:r>
        <w:t>售后服务承诺。</w:t>
      </w:r>
    </w:p>
    <w:p w14:paraId="20D5F3B0">
      <w:pPr>
        <w:pStyle w:val="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七、评标与定标</w:t>
      </w:r>
    </w:p>
    <w:p w14:paraId="083688D2">
      <w:pPr/>
      <w:r>
        <w:t>采用最低价中标方式；</w:t>
      </w:r>
    </w:p>
    <w:p w14:paraId="6416BE71">
      <w:pPr/>
      <w:r>
        <w:t>投标人须在完全满足本文件技术要求和商务条件的前提下报价，否则作无效标处理。</w:t>
      </w:r>
    </w:p>
    <w:p w14:paraId="59AF507E">
      <w:pPr>
        <w:pStyle w:val="2"/>
        <w:numPr>
          <w:ilvl w:val="0"/>
          <w:numId w:val="8"/>
        </w:num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付款方式</w:t>
      </w:r>
      <w:r>
        <w:rPr>
          <w:rFonts w:hint="eastAsia" w:ascii="宋体" w:hAnsi="宋体" w:eastAsia="宋体" w:cs="宋体"/>
          <w:lang w:val="en-US" w:eastAsia="zh-CN"/>
        </w:rPr>
        <w:t>及交货期</w:t>
      </w:r>
    </w:p>
    <w:p w14:paraId="6648960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BAA96FD">
      <w:pPr/>
      <w:sdt>
        <w:sdtPr>
          <w:rPr>
            <w:rFonts w:hint="eastAsia" w:ascii="宋体" w:hAnsi="宋体" w:cs="宋体"/>
            <w:sz w:val="21"/>
            <w:szCs w:val="21"/>
          </w:rPr>
          <w:alias w:val="交货日期"/>
          <w:tag w:val="1538095507053867010-1540260547822624768"/>
          <w:id w:val="1408213033"/>
          <w:placeholder>
            <w:docPart w:val="{8d146c6f-a528-446c-803e-52d22ccd7841}"/>
          </w:placeholder>
        </w:sdtPr>
        <w:sdtEndPr>
          <w:rPr>
            <w:rFonts w:hint="eastAsia" w:ascii="宋体" w:hAnsi="宋体" w:cs="宋体"/>
            <w:sz w:val="21"/>
            <w:szCs w:val="21"/>
            <w:lang w:val="en-US"/>
          </w:rPr>
        </w:sdtEndPr>
        <w:sdtContent>
          <w:r>
            <w:rPr>
              <w:rFonts w:hint="default"/>
            </w:rPr>
            <w:t>合同签订后</w:t>
          </w:r>
          <w:r>
            <w:rPr>
              <w:rFonts w:hint="eastAsia"/>
              <w:lang w:val="en-US" w:eastAsia="zh-CN"/>
            </w:rPr>
            <w:t>60</w:t>
          </w:r>
          <w:r>
            <w:rPr>
              <w:rFonts w:hint="default"/>
            </w:rPr>
            <w:t>天内完成交付。</w:t>
          </w:r>
          <w:r>
            <w:rPr>
              <w:rFonts w:hint="eastAsia"/>
              <w:lang w:eastAsia="zh-CN"/>
            </w:rPr>
            <w:t>（</w:t>
          </w:r>
          <w:r>
            <w:rPr>
              <w:rFonts w:hint="eastAsia"/>
              <w:lang w:val="en-US" w:eastAsia="zh-CN"/>
            </w:rPr>
            <w:t>供方设计完成，需方需对三维模型/电控原理图等技术图纸确认无误后进行制作加工</w:t>
          </w:r>
          <w:r>
            <w:rPr>
              <w:rFonts w:hint="default"/>
            </w:rPr>
            <w:t>，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方须在收到方案后</w:t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default"/>
            </w:rPr>
            <w:t>个工作日内书面确认或提出修改意见。若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方逾期未确认，则交货期自动顺延相应天数</w:t>
          </w:r>
          <w:r>
            <w:rPr>
              <w:rFonts w:hint="eastAsia"/>
              <w:lang w:eastAsia="zh-CN"/>
            </w:rPr>
            <w:t>；</w:t>
          </w:r>
          <w:r>
            <w:rPr>
              <w:rFonts w:hint="default"/>
            </w:rPr>
            <w:t>若因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方要求的设计修改导致交付时间变更，双方应签署书面补充协议调整交货期</w:t>
          </w:r>
          <w:r>
            <w:rPr>
              <w:rFonts w:hint="eastAsia"/>
              <w:lang w:eastAsia="zh-CN"/>
            </w:rPr>
            <w:t>；</w:t>
          </w:r>
          <w:r>
            <w:rPr>
              <w:rFonts w:hint="default"/>
            </w:rPr>
            <w:t>因供方设计修改超3次导致的延误，由供方承担违约责任</w:t>
          </w:r>
          <w:r>
            <w:rPr>
              <w:rFonts w:hint="eastAsia"/>
              <w:lang w:eastAsia="zh-CN"/>
            </w:rPr>
            <w:t>；</w:t>
          </w:r>
          <w:r>
            <w:rPr>
              <w:rFonts w:hint="default"/>
            </w:rPr>
            <w:t>因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方确认延迟或新增需求导致的延误，不视为供方违约</w:t>
          </w:r>
          <w:r>
            <w:rPr>
              <w:rFonts w:hint="eastAsia"/>
              <w:lang w:eastAsia="zh-CN"/>
            </w:rPr>
            <w:t>。）</w:t>
          </w:r>
        </w:sdtContent>
      </w:sdt>
    </w:p>
    <w:p w14:paraId="29AA7675">
      <w:pPr>
        <w:rPr>
          <w:rFonts w:hint="eastAsia"/>
        </w:rPr>
      </w:pPr>
      <w:r>
        <w:t>根据合同执行，双方协商确定。</w:t>
      </w:r>
    </w:p>
    <w:p w14:paraId="509872FE">
      <w:pPr>
        <w:rPr>
          <w:rFonts w:hint="eastAsia"/>
        </w:rPr>
      </w:pPr>
      <w:r>
        <w:rPr>
          <w:rFonts w:hint="eastAsia"/>
        </w:rPr>
        <w:t>预付款：甲方向乙方支付合同总价款的30%。</w:t>
      </w:r>
      <w:r>
        <w:rPr>
          <w:rFonts w:hint="eastAsia"/>
          <w:lang w:val="en-US" w:eastAsia="zh-CN"/>
        </w:rPr>
        <w:t>双方盖章即合同生效，相关技术文件（三维模型step格式）三维模型确认无误后加工。即开始</w:t>
      </w:r>
      <w:r>
        <w:rPr>
          <w:rFonts w:hint="eastAsia"/>
        </w:rPr>
        <w:t>启动项目、采购原材料及组织生产。</w:t>
      </w:r>
    </w:p>
    <w:p w14:paraId="64A3CAAC">
      <w:pPr>
        <w:rPr>
          <w:rFonts w:hint="eastAsia"/>
        </w:rPr>
      </w:pPr>
      <w:r>
        <w:rPr>
          <w:rFonts w:hint="eastAsia"/>
          <w:lang w:val="en-US" w:eastAsia="zh-CN"/>
        </w:rPr>
        <w:t>验收</w:t>
      </w:r>
      <w:r>
        <w:rPr>
          <w:rFonts w:hint="eastAsia"/>
        </w:rPr>
        <w:t>款：乙方按合同约定完成设备交货，并经甲方初步验收合格后，甲方应于收到乙方发票及付款申请后2个月内，支付合同总价款的60%。</w:t>
      </w:r>
    </w:p>
    <w:p w14:paraId="6AA7F1A6">
      <w:pPr>
        <w:rPr>
          <w:rFonts w:hint="eastAsia"/>
        </w:rPr>
      </w:pPr>
      <w:r>
        <w:rPr>
          <w:rFonts w:hint="eastAsia"/>
        </w:rPr>
        <w:t>质保金：合同总价款的10%作为质量保证金。质保期自设备最终验收合格之日起算</w:t>
      </w:r>
      <w:r>
        <w:rPr>
          <w:rFonts w:hint="eastAsia"/>
          <w:lang w:val="en-US" w:eastAsia="zh-CN"/>
        </w:rPr>
        <w:t>18个月</w:t>
      </w:r>
      <w:r>
        <w:rPr>
          <w:rFonts w:hint="eastAsia"/>
        </w:rPr>
        <w:t>。质保期内，乙方须按合同约定履行保修义务。质保期满后，如无质量异议或乙方已履行完毕全部保修责任，甲方应在</w:t>
      </w:r>
      <w:r>
        <w:rPr>
          <w:rFonts w:hint="eastAsia"/>
          <w:lang w:val="en-US" w:eastAsia="zh-CN"/>
        </w:rPr>
        <w:t>60</w:t>
      </w:r>
      <w:r>
        <w:rPr>
          <w:rFonts w:hint="eastAsia"/>
        </w:rPr>
        <w:t>个工作日内无息付清该笔质保金。</w:t>
      </w:r>
    </w:p>
    <w:p w14:paraId="751EFDDE">
      <w:pPr/>
      <w:r>
        <w:rPr>
          <w:rFonts w:hint="eastAsia"/>
        </w:rPr>
        <w:t>支付方式：所有款项均通过银行电汇支付至乙方指定账户。乙方提供的发票应为增值税专用发票。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S Mincho">
    <w:panose1 w:val="02020609040205080304"/>
    <w:charset w:val="80"/>
    <w:family w:val="auto"/>
    <w:pitch w:val="default"/>
    <w:sig w:usb0="00000000" w:usb1="00000000" w:usb2="00000010" w:usb3="00000000" w:csb0="4002009F" w:csb1="DFD70000"/>
  </w:font>
  <w:font w:name="MS Gothic">
    <w:panose1 w:val="020B0609070205080204"/>
    <w:charset w:val="80"/>
    <w:family w:val="auto"/>
    <w:pitch w:val="default"/>
    <w:sig w:usb0="00000000" w:usb1="00000000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00000000" w:usb1="00000000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541AB2"/>
    <w:multiLevelType w:val="singleLevel"/>
    <w:tmpl w:val="E9541AB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2">
    <w:nsid w:val="FFFFFF7F"/>
    <w:multiLevelType w:val="singleLevel"/>
    <w:tmpl w:val="FFFFFF7F"/>
    <w:lvl w:ilvl="0" w:tentative="0">
      <w:start w:val="1"/>
      <w:numFmt w:val="decimal"/>
      <w:pStyle w:val="1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3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4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5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6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7">
    <w:nsid w:val="710DF002"/>
    <w:multiLevelType w:val="singleLevel"/>
    <w:tmpl w:val="710DF002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firstLine="1060" w:firstLineChars="20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cs="宋体" w:asciiTheme="majorAscii" w:hAnsiTheme="majorAscii" w:eastAsiaTheme="majorEastAsia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1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2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4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5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6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33">
    <w:name w:val="Default Paragraph Font"/>
    <w:unhideWhenUsed/>
    <w:qFormat/>
    <w:uiPriority w:val="1"/>
  </w:style>
  <w:style w:type="table" w:default="1" w:styleId="3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2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3">
    <w:name w:val="macro"/>
    <w:link w:val="1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Body Text Indent 2"/>
    <w:basedOn w:val="1"/>
    <w:qFormat/>
    <w:uiPriority w:val="0"/>
    <w:pPr>
      <w:snapToGrid w:val="0"/>
      <w:spacing w:line="360" w:lineRule="auto"/>
      <w:ind w:left="1050" w:firstLine="570"/>
    </w:pPr>
    <w:rPr>
      <w:rFonts w:ascii="仿宋_GB2312" w:eastAsia="仿宋_GB2312"/>
      <w:sz w:val="28"/>
      <w:szCs w:val="20"/>
    </w:rPr>
  </w:style>
  <w:style w:type="paragraph" w:styleId="25">
    <w:name w:val="foot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head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8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9">
    <w:name w:val="Body Text 2"/>
    <w:basedOn w:val="1"/>
    <w:link w:val="146"/>
    <w:unhideWhenUsed/>
    <w:qFormat/>
    <w:uiPriority w:val="99"/>
    <w:pPr>
      <w:spacing w:after="120" w:line="480" w:lineRule="auto"/>
    </w:pPr>
  </w:style>
  <w:style w:type="paragraph" w:styleId="30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1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2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styleId="34">
    <w:name w:val="Strong"/>
    <w:basedOn w:val="33"/>
    <w:qFormat/>
    <w:uiPriority w:val="22"/>
    <w:rPr>
      <w:b/>
      <w:bCs/>
    </w:rPr>
  </w:style>
  <w:style w:type="character" w:styleId="35">
    <w:name w:val="Emphasis"/>
    <w:basedOn w:val="33"/>
    <w:qFormat/>
    <w:uiPriority w:val="20"/>
    <w:rPr>
      <w:i/>
      <w:iCs/>
    </w:rPr>
  </w:style>
  <w:style w:type="table" w:styleId="37">
    <w:name w:val="Table Grid"/>
    <w:basedOn w:val="36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8">
    <w:name w:val="Light Shading"/>
    <w:basedOn w:val="36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9">
    <w:name w:val="Light Shading Accent 1"/>
    <w:basedOn w:val="36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40">
    <w:name w:val="Light Shading Accent 2"/>
    <w:basedOn w:val="36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1">
    <w:name w:val="Light Shading Accent 3"/>
    <w:basedOn w:val="36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2">
    <w:name w:val="Light Shading Accent 4"/>
    <w:basedOn w:val="36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3">
    <w:name w:val="Light Shading Accent 5"/>
    <w:basedOn w:val="36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4">
    <w:name w:val="Light Shading Accent 6"/>
    <w:basedOn w:val="36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5">
    <w:name w:val="Light List"/>
    <w:basedOn w:val="36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6">
    <w:name w:val="Light List Accent 1"/>
    <w:basedOn w:val="36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7">
    <w:name w:val="Light List Accent 2"/>
    <w:basedOn w:val="36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8">
    <w:name w:val="Light List Accent 3"/>
    <w:basedOn w:val="36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9">
    <w:name w:val="Light List Accent 4"/>
    <w:basedOn w:val="36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50">
    <w:name w:val="Light List Accent 5"/>
    <w:basedOn w:val="36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1">
    <w:name w:val="Light List Accent 6"/>
    <w:basedOn w:val="36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2">
    <w:name w:val="Light Grid"/>
    <w:basedOn w:val="36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3">
    <w:name w:val="Light Grid Accent 1"/>
    <w:basedOn w:val="36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4">
    <w:name w:val="Light Grid Accent 2"/>
    <w:basedOn w:val="36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5">
    <w:name w:val="Light Grid Accent 3"/>
    <w:basedOn w:val="36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6">
    <w:name w:val="Light Grid Accent 4"/>
    <w:basedOn w:val="36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7">
    <w:name w:val="Light Grid Accent 5"/>
    <w:basedOn w:val="36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8">
    <w:name w:val="Light Grid Accent 6"/>
    <w:basedOn w:val="36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9">
    <w:name w:val="Medium Shading 1"/>
    <w:basedOn w:val="36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60">
    <w:name w:val="Medium Shading 1 Accent 1"/>
    <w:basedOn w:val="36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61">
    <w:name w:val="Medium Shading 1 Accent 2"/>
    <w:basedOn w:val="36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62">
    <w:name w:val="Medium Shading 1 Accent 3"/>
    <w:basedOn w:val="36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63">
    <w:name w:val="Medium Shading 1 Accent 4"/>
    <w:basedOn w:val="36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64">
    <w:name w:val="Medium Shading 1 Accent 5"/>
    <w:basedOn w:val="36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65">
    <w:name w:val="Medium Shading 1 Accent 6"/>
    <w:basedOn w:val="36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66">
    <w:name w:val="Medium Shading 2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1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2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3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4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5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Shading 2 Accent 6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3">
    <w:name w:val="Medium List 1"/>
    <w:basedOn w:val="36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>
        <w:tblLayout w:type="fixed"/>
      </w:tbl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>
        <w:tblLayout w:type="fixed"/>
      </w:tblPr>
      <w:tcPr>
        <w:shd w:val="clear" w:color="auto" w:fill="BFBFBF" w:themeFill="text1" w:themeFillTint="3F"/>
      </w:tcPr>
    </w:tblStylePr>
    <w:tblStylePr w:type="band1Horz">
      <w:tblPr>
        <w:tblLayout w:type="fixed"/>
      </w:tblPr>
      <w:tcPr>
        <w:shd w:val="clear" w:color="auto" w:fill="BFBFBF" w:themeFill="text1" w:themeFillTint="3F"/>
      </w:tcPr>
    </w:tblStylePr>
  </w:style>
  <w:style w:type="table" w:styleId="74">
    <w:name w:val="Medium List 1 Accent 1"/>
    <w:basedOn w:val="36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>
        <w:tblLayout w:type="fixed"/>
      </w:tbl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>
        <w:tblLayout w:type="fixed"/>
      </w:tblPr>
      <w:tcPr>
        <w:shd w:val="clear" w:color="auto" w:fill="D3DFEE" w:themeFill="accent1" w:themeFillTint="3F"/>
      </w:tcPr>
    </w:tblStylePr>
    <w:tblStylePr w:type="band1Horz">
      <w:tblPr>
        <w:tblLayout w:type="fixed"/>
      </w:tblPr>
      <w:tcPr>
        <w:shd w:val="clear" w:color="auto" w:fill="D3DFEE" w:themeFill="accent1" w:themeFillTint="3F"/>
      </w:tcPr>
    </w:tblStylePr>
  </w:style>
  <w:style w:type="table" w:styleId="75">
    <w:name w:val="Medium List 1 Accent 2"/>
    <w:basedOn w:val="36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>
        <w:tblLayout w:type="fixed"/>
      </w:tbl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>
        <w:tblLayout w:type="fixed"/>
      </w:tblPr>
      <w:tcPr>
        <w:shd w:val="clear" w:color="auto" w:fill="EFD3D3" w:themeFill="accent2" w:themeFillTint="3F"/>
      </w:tcPr>
    </w:tblStylePr>
    <w:tblStylePr w:type="band1Horz">
      <w:tblPr>
        <w:tblLayout w:type="fixed"/>
      </w:tblPr>
      <w:tcPr>
        <w:shd w:val="clear" w:color="auto" w:fill="EFD3D3" w:themeFill="accent2" w:themeFillTint="3F"/>
      </w:tcPr>
    </w:tblStylePr>
  </w:style>
  <w:style w:type="table" w:styleId="76">
    <w:name w:val="Medium List 1 Accent 3"/>
    <w:basedOn w:val="36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>
        <w:tblLayout w:type="fixed"/>
      </w:tbl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>
        <w:tblLayout w:type="fixed"/>
      </w:tblPr>
      <w:tcPr>
        <w:shd w:val="clear" w:color="auto" w:fill="E6EED5" w:themeFill="accent3" w:themeFillTint="3F"/>
      </w:tcPr>
    </w:tblStylePr>
    <w:tblStylePr w:type="band1Horz">
      <w:tblPr>
        <w:tblLayout w:type="fixed"/>
      </w:tblPr>
      <w:tcPr>
        <w:shd w:val="clear" w:color="auto" w:fill="E6EED5" w:themeFill="accent3" w:themeFillTint="3F"/>
      </w:tcPr>
    </w:tblStylePr>
  </w:style>
  <w:style w:type="table" w:styleId="77">
    <w:name w:val="Medium List 1 Accent 4"/>
    <w:basedOn w:val="36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>
        <w:tblLayout w:type="fixed"/>
      </w:tbl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>
        <w:tblLayout w:type="fixed"/>
      </w:tblPr>
      <w:tcPr>
        <w:shd w:val="clear" w:color="auto" w:fill="DFD8E8" w:themeFill="accent4" w:themeFillTint="3F"/>
      </w:tcPr>
    </w:tblStylePr>
    <w:tblStylePr w:type="band1Horz">
      <w:tblPr>
        <w:tblLayout w:type="fixed"/>
      </w:tblPr>
      <w:tcPr>
        <w:shd w:val="clear" w:color="auto" w:fill="DFD8E8" w:themeFill="accent4" w:themeFillTint="3F"/>
      </w:tcPr>
    </w:tblStylePr>
  </w:style>
  <w:style w:type="table" w:styleId="78">
    <w:name w:val="Medium List 1 Accent 5"/>
    <w:basedOn w:val="36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>
        <w:tblLayout w:type="fixed"/>
      </w:tbl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>
        <w:tblLayout w:type="fixed"/>
      </w:tblPr>
      <w:tcPr>
        <w:shd w:val="clear" w:color="auto" w:fill="D2EAF0" w:themeFill="accent5" w:themeFillTint="3F"/>
      </w:tcPr>
    </w:tblStylePr>
    <w:tblStylePr w:type="band1Horz">
      <w:tblPr>
        <w:tblLayout w:type="fixed"/>
      </w:tblPr>
      <w:tcPr>
        <w:shd w:val="clear" w:color="auto" w:fill="D2EAF0" w:themeFill="accent5" w:themeFillTint="3F"/>
      </w:tcPr>
    </w:tblStylePr>
  </w:style>
  <w:style w:type="table" w:styleId="79">
    <w:name w:val="Medium List 1 Accent 6"/>
    <w:basedOn w:val="36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>
        <w:tblLayout w:type="fixed"/>
      </w:tbl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>
        <w:tblLayout w:type="fixed"/>
      </w:tblPr>
      <w:tcPr>
        <w:shd w:val="clear" w:color="auto" w:fill="FDE5D1" w:themeFill="accent6" w:themeFillTint="3F"/>
      </w:tcPr>
    </w:tblStylePr>
    <w:tblStylePr w:type="band1Horz">
      <w:tblPr>
        <w:tblLayout w:type="fixed"/>
      </w:tblPr>
      <w:tcPr>
        <w:shd w:val="clear" w:color="auto" w:fill="FDE5D1" w:themeFill="accent6" w:themeFillTint="3F"/>
      </w:tcPr>
    </w:tblStylePr>
  </w:style>
  <w:style w:type="table" w:styleId="80">
    <w:name w:val="Medium List 2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81">
    <w:name w:val="Medium List 2 Accent 1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82">
    <w:name w:val="Medium List 2 Accent 2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83">
    <w:name w:val="Medium List 2 Accent 3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84">
    <w:name w:val="Medium List 2 Accent 4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85">
    <w:name w:val="Medium List 2 Accent 5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86">
    <w:name w:val="Medium List 2 Accent 6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87">
    <w:name w:val="Medium Grid 1"/>
    <w:basedOn w:val="36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7F7F7F" w:themeFill="text1" w:themeFillTint="7F"/>
      </w:tcPr>
    </w:tblStylePr>
    <w:tblStylePr w:type="band1Horz">
      <w:tblPr>
        <w:tblLayout w:type="fixed"/>
      </w:tblPr>
      <w:tcPr>
        <w:shd w:val="clear" w:color="auto" w:fill="7F7F7F" w:themeFill="text1" w:themeFillTint="7F"/>
      </w:tcPr>
    </w:tblStylePr>
  </w:style>
  <w:style w:type="table" w:styleId="88">
    <w:name w:val="Medium Grid 1 Accent 1"/>
    <w:basedOn w:val="36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A7C0DE" w:themeFill="accent1" w:themeFillTint="7F"/>
      </w:tcPr>
    </w:tblStylePr>
    <w:tblStylePr w:type="band1Horz">
      <w:tblPr>
        <w:tblLayout w:type="fixed"/>
      </w:tblPr>
      <w:tcPr>
        <w:shd w:val="clear" w:color="auto" w:fill="A7C0DE" w:themeFill="accent1" w:themeFillTint="7F"/>
      </w:tcPr>
    </w:tblStylePr>
  </w:style>
  <w:style w:type="table" w:styleId="89">
    <w:name w:val="Medium Grid 1 Accent 2"/>
    <w:basedOn w:val="36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DFA7A6" w:themeFill="accent2" w:themeFillTint="7F"/>
      </w:tcPr>
    </w:tblStylePr>
    <w:tblStylePr w:type="band1Horz">
      <w:tblPr>
        <w:tblLayout w:type="fixed"/>
      </w:tblPr>
      <w:tcPr>
        <w:shd w:val="clear" w:color="auto" w:fill="DFA7A6" w:themeFill="accent2" w:themeFillTint="7F"/>
      </w:tcPr>
    </w:tblStylePr>
  </w:style>
  <w:style w:type="table" w:styleId="90">
    <w:name w:val="Medium Grid 1 Accent 3"/>
    <w:basedOn w:val="36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CDDDAC" w:themeFill="accent3" w:themeFillTint="7F"/>
      </w:tcPr>
    </w:tblStylePr>
    <w:tblStylePr w:type="band1Horz">
      <w:tblPr>
        <w:tblLayout w:type="fixed"/>
      </w:tblPr>
      <w:tcPr>
        <w:shd w:val="clear" w:color="auto" w:fill="CDDDAC" w:themeFill="accent3" w:themeFillTint="7F"/>
      </w:tcPr>
    </w:tblStylePr>
  </w:style>
  <w:style w:type="table" w:styleId="91">
    <w:name w:val="Medium Grid 1 Accent 4"/>
    <w:basedOn w:val="36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BFB1D0" w:themeFill="accent4" w:themeFillTint="7F"/>
      </w:tcPr>
    </w:tblStylePr>
    <w:tblStylePr w:type="band1Horz">
      <w:tblPr>
        <w:tblLayout w:type="fixed"/>
      </w:tblPr>
      <w:tcPr>
        <w:shd w:val="clear" w:color="auto" w:fill="BFB1D0" w:themeFill="accent4" w:themeFillTint="7F"/>
      </w:tcPr>
    </w:tblStylePr>
  </w:style>
  <w:style w:type="table" w:styleId="92">
    <w:name w:val="Medium Grid 1 Accent 5"/>
    <w:basedOn w:val="36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A5D5E2" w:themeFill="accent5" w:themeFillTint="7F"/>
      </w:tcPr>
    </w:tblStylePr>
    <w:tblStylePr w:type="band1Horz">
      <w:tblPr>
        <w:tblLayout w:type="fixed"/>
      </w:tblPr>
      <w:tcPr>
        <w:shd w:val="clear" w:color="auto" w:fill="A5D5E2" w:themeFill="accent5" w:themeFillTint="7F"/>
      </w:tcPr>
    </w:tblStylePr>
  </w:style>
  <w:style w:type="table" w:styleId="93">
    <w:name w:val="Medium Grid 1 Accent 6"/>
    <w:basedOn w:val="36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FBCAA2" w:themeFill="accent6" w:themeFillTint="7F"/>
      </w:tcPr>
    </w:tblStylePr>
    <w:tblStylePr w:type="band1Horz">
      <w:tblPr>
        <w:tblLayout w:type="fixed"/>
      </w:tblPr>
      <w:tcPr>
        <w:shd w:val="clear" w:color="auto" w:fill="FBCAA2" w:themeFill="accent6" w:themeFillTint="7F"/>
      </w:tcPr>
    </w:tblStylePr>
  </w:style>
  <w:style w:type="table" w:styleId="94">
    <w:name w:val="Medium Grid 2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>
        <w:tblLayout w:type="fixed"/>
      </w:tblPr>
      <w:tcPr>
        <w:shd w:val="clear" w:color="auto" w:fill="7F7F7F" w:themeFill="text1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95">
    <w:name w:val="Medium Grid 2 Accent 1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>
        <w:tblLayout w:type="fixed"/>
      </w:tblPr>
      <w:tcPr>
        <w:shd w:val="clear" w:color="auto" w:fill="A7C0DE" w:themeFill="accent1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96">
    <w:name w:val="Medium Grid 2 Accent 2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>
        <w:tblLayout w:type="fixed"/>
      </w:tblPr>
      <w:tcPr>
        <w:shd w:val="clear" w:color="auto" w:fill="DFA7A6" w:themeFill="accent2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97">
    <w:name w:val="Medium Grid 2 Accent 3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>
        <w:tblLayout w:type="fixed"/>
      </w:tblPr>
      <w:tcPr>
        <w:shd w:val="clear" w:color="auto" w:fill="CDDDAC" w:themeFill="accent3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98">
    <w:name w:val="Medium Grid 2 Accent 4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>
        <w:tblLayout w:type="fixed"/>
      </w:tblPr>
      <w:tcPr>
        <w:shd w:val="clear" w:color="auto" w:fill="BFB1D0" w:themeFill="accent4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99">
    <w:name w:val="Medium Grid 2 Accent 5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>
        <w:tblLayout w:type="fixed"/>
      </w:tblPr>
      <w:tcPr>
        <w:shd w:val="clear" w:color="auto" w:fill="A5D5E2" w:themeFill="accent5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100">
    <w:name w:val="Medium Grid 2 Accent 6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>
        <w:tblLayout w:type="fixed"/>
      </w:tblPr>
      <w:tcPr>
        <w:shd w:val="clear" w:color="auto" w:fill="FBCAA2" w:themeFill="accent6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101">
    <w:name w:val="Medium Grid 3"/>
    <w:basedOn w:val="36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2">
    <w:name w:val="Medium Grid 3 Accent 1"/>
    <w:basedOn w:val="36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3">
    <w:name w:val="Medium Grid 3 Accent 2"/>
    <w:basedOn w:val="36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4">
    <w:name w:val="Medium Grid 3 Accent 3"/>
    <w:basedOn w:val="36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5">
    <w:name w:val="Medium Grid 3 Accent 4"/>
    <w:basedOn w:val="36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6">
    <w:name w:val="Medium Grid 3 Accent 5"/>
    <w:basedOn w:val="36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7">
    <w:name w:val="Medium Grid 3 Accent 6"/>
    <w:basedOn w:val="36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8">
    <w:name w:val="Dark List"/>
    <w:basedOn w:val="36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9">
    <w:name w:val="Dark List Accent 1"/>
    <w:basedOn w:val="36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10">
    <w:name w:val="Dark List Accent 2"/>
    <w:basedOn w:val="36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1">
    <w:name w:val="Dark List Accent 3"/>
    <w:basedOn w:val="36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2">
    <w:name w:val="Dark List Accent 4"/>
    <w:basedOn w:val="36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3">
    <w:name w:val="Dark List Accent 5"/>
    <w:basedOn w:val="36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4">
    <w:name w:val="Dark List Accent 6"/>
    <w:basedOn w:val="36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5">
    <w:name w:val="Colorful Shading"/>
    <w:basedOn w:val="36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>
        <w:tblLayout w:type="fixed"/>
      </w:tblPr>
      <w:tcPr>
        <w:shd w:val="clear" w:color="auto" w:fill="999999" w:themeFill="text1" w:themeFillTint="66"/>
      </w:tcPr>
    </w:tblStylePr>
    <w:tblStylePr w:type="band1Horz">
      <w:tblPr>
        <w:tblLayout w:type="fixed"/>
      </w:tblPr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1"/>
    <w:basedOn w:val="36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>
        <w:tblLayout w:type="fixed"/>
      </w:tblPr>
      <w:tcPr>
        <w:shd w:val="clear" w:color="auto" w:fill="B8CCE4" w:themeFill="accent1" w:themeFillTint="66"/>
      </w:tcPr>
    </w:tblStylePr>
    <w:tblStylePr w:type="band1Horz">
      <w:tblPr>
        <w:tblLayout w:type="fixed"/>
      </w:tblPr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2"/>
    <w:basedOn w:val="36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>
        <w:tblLayout w:type="fixed"/>
      </w:tblPr>
      <w:tcPr>
        <w:shd w:val="clear" w:color="auto" w:fill="E5B8B7" w:themeFill="accent2" w:themeFillTint="66"/>
      </w:tcPr>
    </w:tblStylePr>
    <w:tblStylePr w:type="band1Horz">
      <w:tblPr>
        <w:tblLayout w:type="fixed"/>
      </w:tblPr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3"/>
    <w:basedOn w:val="36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>
        <w:tblLayout w:type="fixed"/>
      </w:tblPr>
      <w:tcPr>
        <w:shd w:val="clear" w:color="auto" w:fill="D6E3BC" w:themeFill="accent3" w:themeFillTint="66"/>
      </w:tcPr>
    </w:tblStylePr>
    <w:tblStylePr w:type="band1Horz">
      <w:tblPr>
        <w:tblLayout w:type="fixed"/>
      </w:tblPr>
      <w:tcPr>
        <w:shd w:val="clear" w:color="auto" w:fill="CDDDAC" w:themeFill="accent3" w:themeFillTint="7F"/>
      </w:tcPr>
    </w:tblStylePr>
  </w:style>
  <w:style w:type="table" w:styleId="119">
    <w:name w:val="Colorful Shading Accent 4"/>
    <w:basedOn w:val="36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>
        <w:tblLayout w:type="fixed"/>
      </w:tblPr>
      <w:tcPr>
        <w:shd w:val="clear" w:color="auto" w:fill="CCC0D9" w:themeFill="accent4" w:themeFillTint="66"/>
      </w:tcPr>
    </w:tblStylePr>
    <w:tblStylePr w:type="band1Horz">
      <w:tblPr>
        <w:tblLayout w:type="fixed"/>
      </w:tblPr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5"/>
    <w:basedOn w:val="36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>
        <w:tblLayout w:type="fixed"/>
      </w:tblPr>
      <w:tcPr>
        <w:shd w:val="clear" w:color="auto" w:fill="B6DDE8" w:themeFill="accent5" w:themeFillTint="66"/>
      </w:tcPr>
    </w:tblStylePr>
    <w:tblStylePr w:type="band1Horz">
      <w:tblPr>
        <w:tblLayout w:type="fixed"/>
      </w:tblPr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Shading Accent 6"/>
    <w:basedOn w:val="36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>
        <w:tblLayout w:type="fixed"/>
      </w:tblPr>
      <w:tcPr>
        <w:shd w:val="clear" w:color="auto" w:fill="FBD4B4" w:themeFill="accent6" w:themeFillTint="66"/>
      </w:tcPr>
    </w:tblStylePr>
    <w:tblStylePr w:type="band1Horz">
      <w:tblPr>
        <w:tblLayout w:type="fixed"/>
      </w:tblPr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2">
    <w:name w:val="Colorful List"/>
    <w:basedOn w:val="36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shd w:val="clear" w:color="auto" w:fill="CCCCCC" w:themeFill="text1" w:themeFillTint="33"/>
      </w:tcPr>
    </w:tblStylePr>
  </w:style>
  <w:style w:type="table" w:styleId="123">
    <w:name w:val="Colorful List Accent 1"/>
    <w:basedOn w:val="36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shd w:val="clear" w:color="auto" w:fill="DBE5F1" w:themeFill="accent1" w:themeFillTint="33"/>
      </w:tcPr>
    </w:tblStylePr>
  </w:style>
  <w:style w:type="table" w:styleId="124">
    <w:name w:val="Colorful List Accent 2"/>
    <w:basedOn w:val="36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shd w:val="clear" w:color="auto" w:fill="F2DBDB" w:themeFill="accent2" w:themeFillTint="33"/>
      </w:tcPr>
    </w:tblStylePr>
  </w:style>
  <w:style w:type="table" w:styleId="125">
    <w:name w:val="Colorful List Accent 3"/>
    <w:basedOn w:val="36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shd w:val="clear" w:color="auto" w:fill="EAF1DD" w:themeFill="accent3" w:themeFillTint="33"/>
      </w:tcPr>
    </w:tblStylePr>
  </w:style>
  <w:style w:type="table" w:styleId="126">
    <w:name w:val="Colorful List Accent 4"/>
    <w:basedOn w:val="36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shd w:val="clear" w:color="auto" w:fill="E5DFEC" w:themeFill="accent4" w:themeFillTint="33"/>
      </w:tcPr>
    </w:tblStylePr>
  </w:style>
  <w:style w:type="table" w:styleId="127">
    <w:name w:val="Colorful List Accent 5"/>
    <w:basedOn w:val="36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shd w:val="clear" w:color="auto" w:fill="DAEEF3" w:themeFill="accent5" w:themeFillTint="33"/>
      </w:tcPr>
    </w:tblStylePr>
  </w:style>
  <w:style w:type="table" w:styleId="128">
    <w:name w:val="Colorful List Accent 6"/>
    <w:basedOn w:val="36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shd w:val="clear" w:color="auto" w:fill="FDE9D9" w:themeFill="accent6" w:themeFillTint="33"/>
      </w:tcPr>
    </w:tblStylePr>
  </w:style>
  <w:style w:type="table" w:styleId="129">
    <w:name w:val="Colorful Grid"/>
    <w:basedOn w:val="36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>
        <w:tblLayout w:type="fixed"/>
      </w:tbl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000000" w:themeFill="text1" w:themeFillShade="BF"/>
      </w:tcPr>
    </w:tblStylePr>
    <w:tblStylePr w:type="band1Vert">
      <w:tblPr>
        <w:tblLayout w:type="fixed"/>
      </w:tblPr>
      <w:tcPr>
        <w:shd w:val="clear" w:color="auto" w:fill="7F7F7F" w:themeFill="text1" w:themeFillTint="7F"/>
      </w:tcPr>
    </w:tblStylePr>
    <w:tblStylePr w:type="band1Horz">
      <w:tblPr>
        <w:tblLayout w:type="fixed"/>
      </w:tblPr>
      <w:tcPr>
        <w:shd w:val="clear" w:color="auto" w:fill="7F7F7F" w:themeFill="text1" w:themeFillTint="7F"/>
      </w:tcPr>
    </w:tblStylePr>
  </w:style>
  <w:style w:type="table" w:styleId="130">
    <w:name w:val="Colorful Grid Accent 1"/>
    <w:basedOn w:val="36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>
        <w:tblLayout w:type="fixed"/>
      </w:tbl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366091" w:themeFill="accent1" w:themeFillShade="BF"/>
      </w:tcPr>
    </w:tblStylePr>
    <w:tblStylePr w:type="band1Vert">
      <w:tblPr>
        <w:tblLayout w:type="fixed"/>
      </w:tblPr>
      <w:tcPr>
        <w:shd w:val="clear" w:color="auto" w:fill="A7C0DE" w:themeFill="accent1" w:themeFillTint="7F"/>
      </w:tcPr>
    </w:tblStylePr>
    <w:tblStylePr w:type="band1Horz">
      <w:tblPr>
        <w:tblLayout w:type="fixed"/>
      </w:tblPr>
      <w:tcPr>
        <w:shd w:val="clear" w:color="auto" w:fill="A7C0DE" w:themeFill="accent1" w:themeFillTint="7F"/>
      </w:tcPr>
    </w:tblStylePr>
  </w:style>
  <w:style w:type="table" w:styleId="131">
    <w:name w:val="Colorful Grid Accent 2"/>
    <w:basedOn w:val="36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>
        <w:tblLayout w:type="fixed"/>
      </w:tbl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943734" w:themeFill="accent2" w:themeFillShade="BF"/>
      </w:tcPr>
    </w:tblStylePr>
    <w:tblStylePr w:type="band1Vert">
      <w:tblPr>
        <w:tblLayout w:type="fixed"/>
      </w:tblPr>
      <w:tcPr>
        <w:shd w:val="clear" w:color="auto" w:fill="DFA7A6" w:themeFill="accent2" w:themeFillTint="7F"/>
      </w:tcPr>
    </w:tblStylePr>
    <w:tblStylePr w:type="band1Horz">
      <w:tblPr>
        <w:tblLayout w:type="fixed"/>
      </w:tblPr>
      <w:tcPr>
        <w:shd w:val="clear" w:color="auto" w:fill="DFA7A6" w:themeFill="accent2" w:themeFillTint="7F"/>
      </w:tcPr>
    </w:tblStylePr>
  </w:style>
  <w:style w:type="table" w:styleId="132">
    <w:name w:val="Colorful Grid Accent 3"/>
    <w:basedOn w:val="36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>
        <w:tblLayout w:type="fixed"/>
      </w:tbl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76923C" w:themeFill="accent3" w:themeFillShade="BF"/>
      </w:tcPr>
    </w:tblStylePr>
    <w:tblStylePr w:type="band1Vert">
      <w:tblPr>
        <w:tblLayout w:type="fixed"/>
      </w:tblPr>
      <w:tcPr>
        <w:shd w:val="clear" w:color="auto" w:fill="CDDDAC" w:themeFill="accent3" w:themeFillTint="7F"/>
      </w:tcPr>
    </w:tblStylePr>
    <w:tblStylePr w:type="band1Horz">
      <w:tblPr>
        <w:tblLayout w:type="fixed"/>
      </w:tblPr>
      <w:tcPr>
        <w:shd w:val="clear" w:color="auto" w:fill="CDDDAC" w:themeFill="accent3" w:themeFillTint="7F"/>
      </w:tcPr>
    </w:tblStylePr>
  </w:style>
  <w:style w:type="table" w:styleId="133">
    <w:name w:val="Colorful Grid Accent 4"/>
    <w:basedOn w:val="36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>
        <w:tblLayout w:type="fixed"/>
      </w:tbl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5F497A" w:themeFill="accent4" w:themeFillShade="BF"/>
      </w:tcPr>
    </w:tblStylePr>
    <w:tblStylePr w:type="band1Vert">
      <w:tblPr>
        <w:tblLayout w:type="fixed"/>
      </w:tblPr>
      <w:tcPr>
        <w:shd w:val="clear" w:color="auto" w:fill="BFB1D0" w:themeFill="accent4" w:themeFillTint="7F"/>
      </w:tcPr>
    </w:tblStylePr>
    <w:tblStylePr w:type="band1Horz">
      <w:tblPr>
        <w:tblLayout w:type="fixed"/>
      </w:tblPr>
      <w:tcPr>
        <w:shd w:val="clear" w:color="auto" w:fill="BFB1D0" w:themeFill="accent4" w:themeFillTint="7F"/>
      </w:tcPr>
    </w:tblStylePr>
  </w:style>
  <w:style w:type="table" w:styleId="134">
    <w:name w:val="Colorful Grid Accent 5"/>
    <w:basedOn w:val="36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>
        <w:tblLayout w:type="fixed"/>
      </w:tbl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31849B" w:themeFill="accent5" w:themeFillShade="BF"/>
      </w:tcPr>
    </w:tblStylePr>
    <w:tblStylePr w:type="band1Vert">
      <w:tblPr>
        <w:tblLayout w:type="fixed"/>
      </w:tblPr>
      <w:tcPr>
        <w:shd w:val="clear" w:color="auto" w:fill="A5D5E2" w:themeFill="accent5" w:themeFillTint="7F"/>
      </w:tcPr>
    </w:tblStylePr>
    <w:tblStylePr w:type="band1Horz">
      <w:tblPr>
        <w:tblLayout w:type="fixed"/>
      </w:tblPr>
      <w:tcPr>
        <w:shd w:val="clear" w:color="auto" w:fill="A5D5E2" w:themeFill="accent5" w:themeFillTint="7F"/>
      </w:tcPr>
    </w:tblStylePr>
  </w:style>
  <w:style w:type="table" w:styleId="135">
    <w:name w:val="Colorful Grid Accent 6"/>
    <w:basedOn w:val="36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>
        <w:tblLayout w:type="fixed"/>
      </w:tbl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>
        <w:tblLayout w:type="fixed"/>
      </w:tblPr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E36C09" w:themeFill="accent6" w:themeFillShade="BF"/>
      </w:tcPr>
    </w:tblStylePr>
    <w:tblStylePr w:type="band1Vert">
      <w:tblPr>
        <w:tblLayout w:type="fixed"/>
      </w:tblPr>
      <w:tcPr>
        <w:shd w:val="clear" w:color="auto" w:fill="FBCAA2" w:themeFill="accent6" w:themeFillTint="7F"/>
      </w:tcPr>
    </w:tblStylePr>
    <w:tblStylePr w:type="band1Horz">
      <w:tblPr>
        <w:tblLayout w:type="fixed"/>
      </w:tblPr>
      <w:tcPr>
        <w:shd w:val="clear" w:color="auto" w:fill="FBCAA2" w:themeFill="accent6" w:themeFillTint="7F"/>
      </w:tcPr>
    </w:tblStylePr>
  </w:style>
  <w:style w:type="character" w:customStyle="1" w:styleId="136">
    <w:name w:val="Header Char"/>
    <w:basedOn w:val="33"/>
    <w:link w:val="26"/>
    <w:qFormat/>
    <w:uiPriority w:val="99"/>
  </w:style>
  <w:style w:type="character" w:customStyle="1" w:styleId="137">
    <w:name w:val="Footer Char"/>
    <w:basedOn w:val="33"/>
    <w:link w:val="25"/>
    <w:uiPriority w:val="99"/>
  </w:style>
  <w:style w:type="paragraph" w:customStyle="1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33"/>
    <w:link w:val="2"/>
    <w:qFormat/>
    <w:uiPriority w:val="9"/>
    <w:rPr>
      <w:rFonts w:cs="宋体" w:asciiTheme="majorAscii" w:hAnsiTheme="majorAscii" w:eastAsiaTheme="majorEastAsia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33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3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33"/>
    <w:link w:val="32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33"/>
    <w:link w:val="2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customStyle="1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33"/>
    <w:link w:val="19"/>
    <w:qFormat/>
    <w:uiPriority w:val="99"/>
  </w:style>
  <w:style w:type="character" w:customStyle="1" w:styleId="146">
    <w:name w:val="Body Text 2 Char"/>
    <w:basedOn w:val="33"/>
    <w:link w:val="29"/>
    <w:qFormat/>
    <w:uiPriority w:val="99"/>
  </w:style>
  <w:style w:type="character" w:customStyle="1" w:styleId="147">
    <w:name w:val="Body Text 3 Char"/>
    <w:basedOn w:val="33"/>
    <w:link w:val="17"/>
    <w:qFormat/>
    <w:uiPriority w:val="99"/>
    <w:rPr>
      <w:sz w:val="16"/>
      <w:szCs w:val="16"/>
    </w:rPr>
  </w:style>
  <w:style w:type="character" w:customStyle="1" w:styleId="148">
    <w:name w:val="Macro Text Char"/>
    <w:basedOn w:val="33"/>
    <w:link w:val="13"/>
    <w:qFormat/>
    <w:uiPriority w:val="99"/>
    <w:rPr>
      <w:rFonts w:ascii="Courier" w:hAnsi="Courier"/>
      <w:sz w:val="20"/>
      <w:szCs w:val="20"/>
    </w:rPr>
  </w:style>
  <w:style w:type="paragraph" w:customStyle="1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33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33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33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33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33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33"/>
    <w:link w:val="9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33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33"/>
    <w:link w:val="1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33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33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33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33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33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2"/>
    <w:next w:val="1"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8d146c6f-a528-446c-803e-52d22ccd784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d146c6f-a528-446c-803e-52d22ccd7841}"/>
      </w:docPartPr>
      <w:docPartBody>
        <w:p w14:paraId="237F7056">
          <w:pPr/>
          <w:r>
            <w:rPr>
              <w:rStyle w:val="3"/>
              <w:rFonts w:hint="eastAsia"/>
            </w:rPr>
            <w:t>__________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S Mincho">
    <w:panose1 w:val="02020609040205080304"/>
    <w:charset w:val="80"/>
    <w:family w:val="auto"/>
    <w:pitch w:val="default"/>
    <w:sig w:usb0="00000000" w:usb1="00000000" w:usb2="00000010" w:usb3="00000000" w:csb0="4002009F" w:csb1="DFD70000"/>
  </w:font>
  <w:font w:name="MS Gothic">
    <w:panose1 w:val="020B0609070205080204"/>
    <w:charset w:val="80"/>
    <w:family w:val="auto"/>
    <w:pitch w:val="default"/>
    <w:sig w:usb0="00000000" w:usb1="00000000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00000000" w:usb1="00000000" w:usb2="00000029" w:usb3="00000000" w:csb0="200101FF" w:csb1="2028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Default Paragraph Fon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2">
    <w:name w:val="Default Paragraph Font"/>
    <w:qFormat/>
    <w:uiPriority w:val="0"/>
  </w:style>
  <w:style w:type="character" w:customStyle="1" w:styleId="3">
    <w:name w:val="Placeholder Text"/>
    <w:basedOn w:val="2"/>
    <w:qFormat/>
    <w:uiPriority w:val="0"/>
    <w:rPr>
      <w:color w:val="808080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1359</Words>
  <Characters>1504</Characters>
  <Lines>0</Lines>
  <Paragraphs>0</Paragraphs>
  <ScaleCrop>false</ScaleCrop>
  <LinksUpToDate>false</LinksUpToDate>
  <CharactersWithSpaces>1515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2013-12-24T07:15:00Z</dcterms:created>
  <dc:creator>python-docx</dc:creator>
  <dc:description>generated by python-docx</dc:description>
  <cp:lastModifiedBy>iPhone</cp:lastModifiedBy>
  <dcterms:modified xsi:type="dcterms:W3CDTF">2025-11-04T10:13:41Z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2052-11.37.01</vt:lpwstr>
  </property>
  <property fmtid="{D5CDD505-2E9C-101B-9397-08002B2CF9AE}" pid="3" name="ICV">
    <vt:lpwstr>5FE79CB99EE14E94BF1B0E6DC0C9FACF</vt:lpwstr>
  </property>
</Properties>
</file>