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B1C86">
      <w:pPr>
        <w:tabs>
          <w:tab w:val="right" w:leader="dot" w:pos="8295"/>
        </w:tabs>
        <w:jc w:val="center"/>
        <w:rPr>
          <w:rFonts w:ascii="宋体"/>
          <w:color w:val="auto"/>
          <w:sz w:val="32"/>
          <w:szCs w:val="32"/>
          <w:highlight w:val="none"/>
        </w:rPr>
      </w:pPr>
    </w:p>
    <w:p w14:paraId="3B6C9B3E">
      <w:pPr>
        <w:tabs>
          <w:tab w:val="right" w:leader="dot" w:pos="8295"/>
        </w:tabs>
        <w:jc w:val="center"/>
        <w:rPr>
          <w:rFonts w:ascii="宋体"/>
          <w:color w:val="auto"/>
          <w:sz w:val="36"/>
          <w:szCs w:val="36"/>
          <w:highlight w:val="none"/>
        </w:rPr>
      </w:pPr>
      <w:r>
        <w:rPr>
          <w:rFonts w:hint="eastAsia" w:ascii="宋体"/>
          <w:color w:val="auto"/>
          <w:sz w:val="36"/>
          <w:szCs w:val="36"/>
          <w:highlight w:val="none"/>
        </w:rPr>
        <w:t>浙江衢州巨塑化工有限公司皂化清液浓缩装置三效蒸发乏汽回收余热利用节能改造项目合作实施方招标</w:t>
      </w:r>
    </w:p>
    <w:p w14:paraId="7783902D">
      <w:pPr>
        <w:tabs>
          <w:tab w:val="right" w:leader="dot" w:pos="8295"/>
        </w:tabs>
        <w:jc w:val="center"/>
        <w:rPr>
          <w:rFonts w:ascii="宋体"/>
          <w:color w:val="auto"/>
          <w:sz w:val="44"/>
          <w:szCs w:val="44"/>
          <w:highlight w:val="none"/>
          <w:u w:val="single"/>
        </w:rPr>
      </w:pPr>
    </w:p>
    <w:p w14:paraId="3E5CA1E9">
      <w:pPr>
        <w:tabs>
          <w:tab w:val="right" w:leader="dot" w:pos="8295"/>
        </w:tabs>
        <w:jc w:val="center"/>
        <w:rPr>
          <w:rFonts w:ascii="宋体"/>
          <w:color w:val="auto"/>
          <w:sz w:val="32"/>
          <w:szCs w:val="32"/>
          <w:highlight w:val="none"/>
        </w:rPr>
      </w:pPr>
    </w:p>
    <w:p w14:paraId="0D29C8C2">
      <w:pPr>
        <w:tabs>
          <w:tab w:val="right" w:leader="dot" w:pos="8295"/>
        </w:tabs>
        <w:jc w:val="center"/>
        <w:rPr>
          <w:rFonts w:ascii="宋体"/>
          <w:color w:val="auto"/>
          <w:sz w:val="32"/>
          <w:szCs w:val="32"/>
          <w:highlight w:val="none"/>
        </w:rPr>
      </w:pPr>
    </w:p>
    <w:p w14:paraId="2DE8F25B">
      <w:pPr>
        <w:tabs>
          <w:tab w:val="right" w:leader="dot" w:pos="8295"/>
        </w:tabs>
        <w:jc w:val="center"/>
        <w:rPr>
          <w:rFonts w:ascii="宋体"/>
          <w:color w:val="auto"/>
          <w:sz w:val="72"/>
          <w:szCs w:val="72"/>
          <w:highlight w:val="none"/>
        </w:rPr>
      </w:pPr>
      <w:r>
        <w:rPr>
          <w:rFonts w:hint="eastAsia" w:ascii="宋体"/>
          <w:color w:val="auto"/>
          <w:sz w:val="72"/>
          <w:szCs w:val="72"/>
          <w:highlight w:val="none"/>
        </w:rPr>
        <w:t>招 标 文 件</w:t>
      </w:r>
    </w:p>
    <w:p w14:paraId="1805ABA8">
      <w:pPr>
        <w:pStyle w:val="16"/>
        <w:jc w:val="center"/>
        <w:rPr>
          <w:color w:val="auto"/>
          <w:sz w:val="21"/>
          <w:szCs w:val="21"/>
          <w:highlight w:val="none"/>
        </w:rPr>
      </w:pPr>
      <w:r>
        <w:rPr>
          <w:color w:val="auto"/>
          <w:sz w:val="32"/>
          <w:szCs w:val="32"/>
          <w:highlight w:val="none"/>
        </w:rPr>
        <w:t>项目编号：</w:t>
      </w:r>
      <w:r>
        <w:rPr>
          <w:rFonts w:hint="eastAsia"/>
          <w:color w:val="auto"/>
          <w:sz w:val="32"/>
          <w:szCs w:val="32"/>
          <w:highlight w:val="none"/>
        </w:rPr>
        <w:t>NFZB-20251008</w:t>
      </w:r>
    </w:p>
    <w:p w14:paraId="5D9DCC3E">
      <w:pPr>
        <w:tabs>
          <w:tab w:val="right" w:leader="dot" w:pos="8295"/>
        </w:tabs>
        <w:jc w:val="center"/>
        <w:rPr>
          <w:rFonts w:ascii="宋体"/>
          <w:color w:val="auto"/>
          <w:sz w:val="32"/>
          <w:szCs w:val="32"/>
          <w:highlight w:val="none"/>
        </w:rPr>
      </w:pPr>
    </w:p>
    <w:p w14:paraId="297DC00E">
      <w:pPr>
        <w:tabs>
          <w:tab w:val="right" w:leader="dot" w:pos="8295"/>
        </w:tabs>
        <w:rPr>
          <w:rFonts w:ascii="宋体"/>
          <w:color w:val="auto"/>
          <w:sz w:val="32"/>
          <w:szCs w:val="32"/>
          <w:highlight w:val="none"/>
        </w:rPr>
      </w:pPr>
    </w:p>
    <w:p w14:paraId="57AA5236">
      <w:pPr>
        <w:tabs>
          <w:tab w:val="right" w:leader="dot" w:pos="8295"/>
        </w:tabs>
        <w:rPr>
          <w:rFonts w:ascii="宋体"/>
          <w:color w:val="auto"/>
          <w:sz w:val="32"/>
          <w:szCs w:val="32"/>
          <w:highlight w:val="none"/>
        </w:rPr>
      </w:pPr>
    </w:p>
    <w:p w14:paraId="6C7A543F">
      <w:pPr>
        <w:tabs>
          <w:tab w:val="right" w:leader="dot" w:pos="8295"/>
        </w:tabs>
        <w:rPr>
          <w:rFonts w:ascii="宋体"/>
          <w:color w:val="auto"/>
          <w:sz w:val="32"/>
          <w:szCs w:val="32"/>
          <w:highlight w:val="none"/>
        </w:rPr>
      </w:pPr>
    </w:p>
    <w:p w14:paraId="29EB3FB1">
      <w:pPr>
        <w:tabs>
          <w:tab w:val="right" w:leader="dot" w:pos="8295"/>
        </w:tabs>
        <w:jc w:val="center"/>
        <w:rPr>
          <w:rFonts w:ascii="宋体"/>
          <w:color w:val="auto"/>
          <w:sz w:val="32"/>
          <w:szCs w:val="32"/>
          <w:highlight w:val="none"/>
        </w:rPr>
      </w:pPr>
    </w:p>
    <w:p w14:paraId="0912CD3D">
      <w:pPr>
        <w:tabs>
          <w:tab w:val="right" w:leader="dot" w:pos="8295"/>
        </w:tabs>
        <w:jc w:val="center"/>
        <w:rPr>
          <w:rFonts w:ascii="宋体"/>
          <w:color w:val="auto"/>
          <w:sz w:val="32"/>
          <w:szCs w:val="32"/>
          <w:highlight w:val="none"/>
        </w:rPr>
      </w:pPr>
    </w:p>
    <w:tbl>
      <w:tblPr>
        <w:tblStyle w:val="19"/>
        <w:tblW w:w="0" w:type="auto"/>
        <w:jc w:val="center"/>
        <w:tblLayout w:type="fixed"/>
        <w:tblCellMar>
          <w:top w:w="0" w:type="dxa"/>
          <w:left w:w="108" w:type="dxa"/>
          <w:bottom w:w="0" w:type="dxa"/>
          <w:right w:w="108" w:type="dxa"/>
        </w:tblCellMar>
      </w:tblPr>
      <w:tblGrid>
        <w:gridCol w:w="1646"/>
        <w:gridCol w:w="4890"/>
      </w:tblGrid>
      <w:tr w14:paraId="34B3843A">
        <w:trPr>
          <w:trHeight w:val="581" w:hRule="atLeast"/>
          <w:jc w:val="center"/>
        </w:trPr>
        <w:tc>
          <w:tcPr>
            <w:tcW w:w="1646" w:type="dxa"/>
            <w:tcBorders>
              <w:top w:val="nil"/>
              <w:left w:val="nil"/>
              <w:bottom w:val="nil"/>
              <w:right w:val="nil"/>
            </w:tcBorders>
            <w:vAlign w:val="center"/>
          </w:tcPr>
          <w:p w14:paraId="0D21B0F5">
            <w:pPr>
              <w:jc w:val="distribute"/>
              <w:rPr>
                <w:rFonts w:ascii="宋体"/>
                <w:b/>
                <w:color w:val="auto"/>
                <w:sz w:val="28"/>
                <w:szCs w:val="28"/>
                <w:highlight w:val="none"/>
              </w:rPr>
            </w:pPr>
            <w:r>
              <w:rPr>
                <w:rFonts w:hint="eastAsia" w:ascii="宋体"/>
                <w:b/>
                <w:color w:val="auto"/>
                <w:sz w:val="28"/>
                <w:szCs w:val="28"/>
                <w:highlight w:val="none"/>
              </w:rPr>
              <w:t>招标人：</w:t>
            </w:r>
          </w:p>
        </w:tc>
        <w:tc>
          <w:tcPr>
            <w:tcW w:w="4890" w:type="dxa"/>
            <w:tcBorders>
              <w:top w:val="nil"/>
              <w:left w:val="nil"/>
              <w:bottom w:val="nil"/>
              <w:right w:val="nil"/>
            </w:tcBorders>
            <w:vAlign w:val="center"/>
          </w:tcPr>
          <w:p w14:paraId="7EB2B90D">
            <w:pPr>
              <w:jc w:val="distribute"/>
              <w:rPr>
                <w:rFonts w:ascii="宋体"/>
                <w:b/>
                <w:color w:val="auto"/>
                <w:sz w:val="28"/>
                <w:szCs w:val="28"/>
                <w:highlight w:val="none"/>
              </w:rPr>
            </w:pPr>
            <w:r>
              <w:rPr>
                <w:rFonts w:hint="eastAsia" w:ascii="宋体"/>
                <w:b/>
                <w:color w:val="auto"/>
                <w:sz w:val="28"/>
                <w:szCs w:val="28"/>
                <w:highlight w:val="none"/>
              </w:rPr>
              <w:t>浙江衢州巨塑化工有限公司</w:t>
            </w:r>
          </w:p>
        </w:tc>
      </w:tr>
      <w:tr w14:paraId="4F27D8E7">
        <w:tblPrEx>
          <w:tblCellMar>
            <w:top w:w="0" w:type="dxa"/>
            <w:left w:w="108" w:type="dxa"/>
            <w:bottom w:w="0" w:type="dxa"/>
            <w:right w:w="108" w:type="dxa"/>
          </w:tblCellMar>
        </w:tblPrEx>
        <w:trPr>
          <w:trHeight w:val="581" w:hRule="atLeast"/>
          <w:jc w:val="center"/>
        </w:trPr>
        <w:tc>
          <w:tcPr>
            <w:tcW w:w="1646" w:type="dxa"/>
            <w:tcBorders>
              <w:top w:val="nil"/>
              <w:left w:val="nil"/>
              <w:bottom w:val="nil"/>
              <w:right w:val="nil"/>
            </w:tcBorders>
          </w:tcPr>
          <w:p w14:paraId="4B1C0E12">
            <w:pPr>
              <w:rPr>
                <w:rFonts w:ascii="宋体"/>
                <w:b/>
                <w:color w:val="auto"/>
                <w:sz w:val="28"/>
                <w:highlight w:val="none"/>
              </w:rPr>
            </w:pPr>
            <w:r>
              <w:rPr>
                <w:rFonts w:hint="eastAsia" w:ascii="宋体"/>
                <w:b/>
                <w:color w:val="auto"/>
                <w:sz w:val="28"/>
                <w:szCs w:val="28"/>
                <w:highlight w:val="none"/>
              </w:rPr>
              <w:t>招标机构：</w:t>
            </w:r>
          </w:p>
        </w:tc>
        <w:tc>
          <w:tcPr>
            <w:tcW w:w="4890" w:type="dxa"/>
            <w:tcBorders>
              <w:top w:val="nil"/>
              <w:left w:val="nil"/>
              <w:bottom w:val="nil"/>
              <w:right w:val="nil"/>
            </w:tcBorders>
          </w:tcPr>
          <w:p w14:paraId="4E81476C">
            <w:pPr>
              <w:jc w:val="distribute"/>
              <w:rPr>
                <w:rFonts w:ascii="宋体"/>
                <w:b/>
                <w:color w:val="auto"/>
                <w:sz w:val="28"/>
                <w:highlight w:val="none"/>
              </w:rPr>
            </w:pPr>
            <w:r>
              <w:rPr>
                <w:rFonts w:hint="eastAsia" w:ascii="宋体"/>
                <w:b/>
                <w:color w:val="auto"/>
                <w:sz w:val="28"/>
                <w:szCs w:val="28"/>
                <w:highlight w:val="none"/>
              </w:rPr>
              <w:t>浙江南方工程咨询管理有限公司</w:t>
            </w:r>
          </w:p>
        </w:tc>
      </w:tr>
      <w:tr w14:paraId="67C6A2EC">
        <w:tblPrEx>
          <w:tblCellMar>
            <w:top w:w="0" w:type="dxa"/>
            <w:left w:w="108" w:type="dxa"/>
            <w:bottom w:w="0" w:type="dxa"/>
            <w:right w:w="108" w:type="dxa"/>
          </w:tblCellMar>
        </w:tblPrEx>
        <w:trPr>
          <w:trHeight w:val="581" w:hRule="atLeast"/>
          <w:jc w:val="center"/>
        </w:trPr>
        <w:tc>
          <w:tcPr>
            <w:tcW w:w="1646" w:type="dxa"/>
            <w:tcBorders>
              <w:top w:val="nil"/>
              <w:left w:val="nil"/>
              <w:bottom w:val="nil"/>
              <w:right w:val="nil"/>
            </w:tcBorders>
          </w:tcPr>
          <w:p w14:paraId="5947D7FB">
            <w:pPr>
              <w:rPr>
                <w:rFonts w:ascii="宋体"/>
                <w:b/>
                <w:color w:val="auto"/>
                <w:sz w:val="28"/>
                <w:szCs w:val="28"/>
                <w:highlight w:val="none"/>
              </w:rPr>
            </w:pPr>
            <w:r>
              <w:rPr>
                <w:rFonts w:hint="eastAsia" w:ascii="宋体"/>
                <w:b/>
                <w:color w:val="auto"/>
                <w:sz w:val="28"/>
                <w:szCs w:val="28"/>
                <w:highlight w:val="none"/>
              </w:rPr>
              <w:t>审核单位：</w:t>
            </w:r>
          </w:p>
        </w:tc>
        <w:tc>
          <w:tcPr>
            <w:tcW w:w="4890" w:type="dxa"/>
            <w:tcBorders>
              <w:top w:val="nil"/>
              <w:left w:val="nil"/>
              <w:bottom w:val="nil"/>
              <w:right w:val="nil"/>
            </w:tcBorders>
          </w:tcPr>
          <w:p w14:paraId="3BB844EF">
            <w:pPr>
              <w:jc w:val="distribute"/>
              <w:rPr>
                <w:rFonts w:ascii="宋体"/>
                <w:b/>
                <w:color w:val="auto"/>
                <w:sz w:val="28"/>
                <w:szCs w:val="28"/>
                <w:highlight w:val="none"/>
              </w:rPr>
            </w:pPr>
            <w:r>
              <w:rPr>
                <w:rFonts w:hint="eastAsia" w:ascii="宋体"/>
                <w:b/>
                <w:color w:val="auto"/>
                <w:sz w:val="28"/>
                <w:szCs w:val="28"/>
                <w:highlight w:val="none"/>
              </w:rPr>
              <w:t>巨化招标办公室</w:t>
            </w:r>
          </w:p>
        </w:tc>
      </w:tr>
    </w:tbl>
    <w:p w14:paraId="27705776">
      <w:pPr>
        <w:tabs>
          <w:tab w:val="right" w:leader="dot" w:pos="8295"/>
        </w:tabs>
        <w:ind w:firstLine="1280" w:firstLineChars="400"/>
        <w:rPr>
          <w:rFonts w:ascii="宋体"/>
          <w:color w:val="auto"/>
          <w:sz w:val="32"/>
          <w:szCs w:val="32"/>
          <w:highlight w:val="none"/>
          <w:u w:val="single"/>
        </w:rPr>
      </w:pPr>
    </w:p>
    <w:p w14:paraId="5642C788">
      <w:pPr>
        <w:tabs>
          <w:tab w:val="right" w:leader="dot" w:pos="8295"/>
        </w:tabs>
        <w:jc w:val="center"/>
        <w:rPr>
          <w:rFonts w:ascii="宋体"/>
          <w:color w:val="auto"/>
          <w:sz w:val="32"/>
          <w:szCs w:val="32"/>
          <w:highlight w:val="none"/>
        </w:rPr>
      </w:pPr>
      <w:r>
        <w:rPr>
          <w:rFonts w:hint="eastAsia" w:ascii="宋体"/>
          <w:color w:val="auto"/>
          <w:sz w:val="32"/>
          <w:szCs w:val="32"/>
          <w:highlight w:val="none"/>
        </w:rPr>
        <w:t xml:space="preserve">2025年10月                                                                                                                                                                                                                                                                                       </w:t>
      </w:r>
    </w:p>
    <w:p w14:paraId="4F38BCEB">
      <w:pPr>
        <w:rPr>
          <w:color w:val="auto"/>
          <w:highlight w:val="none"/>
        </w:rPr>
        <w:sectPr>
          <w:footerReference r:id="rId4" w:type="first"/>
          <w:footerReference r:id="rId3" w:type="default"/>
          <w:pgSz w:w="11906" w:h="16838"/>
          <w:pgMar w:top="1418" w:right="1418" w:bottom="1418" w:left="1418" w:header="851" w:footer="992" w:gutter="0"/>
          <w:cols w:space="720" w:num="1"/>
          <w:docGrid w:linePitch="312" w:charSpace="0"/>
        </w:sectPr>
      </w:pPr>
    </w:p>
    <w:p w14:paraId="530FECB8">
      <w:pPr>
        <w:pStyle w:val="28"/>
        <w:tabs>
          <w:tab w:val="right" w:leader="dot" w:pos="8295"/>
        </w:tabs>
        <w:spacing w:before="0" w:line="360" w:lineRule="auto"/>
        <w:jc w:val="center"/>
        <w:rPr>
          <w:rFonts w:ascii="宋体"/>
          <w:color w:val="auto"/>
          <w:sz w:val="36"/>
          <w:szCs w:val="36"/>
          <w:highlight w:val="none"/>
          <w:lang w:val="zh-CN"/>
        </w:rPr>
      </w:pPr>
      <w:r>
        <w:rPr>
          <w:rFonts w:hint="eastAsia" w:ascii="宋体"/>
          <w:color w:val="auto"/>
          <w:sz w:val="36"/>
          <w:szCs w:val="36"/>
          <w:highlight w:val="none"/>
          <w:lang w:val="zh-CN"/>
        </w:rPr>
        <w:t>目 录</w:t>
      </w:r>
    </w:p>
    <w:p w14:paraId="3C08A14A">
      <w:pPr>
        <w:rPr>
          <w:rFonts w:ascii="宋体"/>
          <w:color w:val="auto"/>
          <w:highlight w:val="none"/>
          <w:lang w:val="zh-CN"/>
        </w:rPr>
      </w:pPr>
    </w:p>
    <w:p w14:paraId="1ADB848D">
      <w:pPr>
        <w:pStyle w:val="12"/>
        <w:tabs>
          <w:tab w:val="right" w:leader="dot" w:pos="8295"/>
          <w:tab w:val="clear" w:pos="0"/>
          <w:tab w:val="clear" w:pos="8280"/>
        </w:tabs>
        <w:rPr>
          <w:rFonts w:ascii="宋体"/>
          <w:bCs/>
          <w:color w:val="auto"/>
          <w:highlight w:val="none"/>
          <w:lang w:val="zh-CN"/>
        </w:rPr>
      </w:pPr>
    </w:p>
    <w:p w14:paraId="7F8F6202">
      <w:pPr>
        <w:pStyle w:val="12"/>
        <w:tabs>
          <w:tab w:val="right" w:leader="dot" w:pos="9070"/>
          <w:tab w:val="clear" w:pos="0"/>
          <w:tab w:val="clear" w:pos="8280"/>
        </w:tabs>
        <w:spacing w:line="480" w:lineRule="auto"/>
        <w:rPr>
          <w:rFonts w:ascii="宋体" w:cs="宋体"/>
          <w:color w:val="auto"/>
          <w:sz w:val="32"/>
          <w:szCs w:val="32"/>
          <w:highlight w:val="none"/>
        </w:rPr>
      </w:pPr>
      <w:r>
        <w:rPr>
          <w:rFonts w:hint="eastAsia" w:ascii="宋体" w:cs="宋体"/>
          <w:bCs/>
          <w:color w:val="auto"/>
          <w:sz w:val="32"/>
          <w:szCs w:val="32"/>
          <w:highlight w:val="none"/>
          <w:lang w:val="zh-CN"/>
        </w:rPr>
        <w:fldChar w:fldCharType="begin"/>
      </w:r>
      <w:r>
        <w:rPr>
          <w:rFonts w:hint="eastAsia" w:ascii="宋体" w:cs="宋体"/>
          <w:bCs/>
          <w:color w:val="auto"/>
          <w:sz w:val="32"/>
          <w:szCs w:val="32"/>
          <w:highlight w:val="none"/>
          <w:lang w:val="zh-CN"/>
        </w:rPr>
        <w:instrText xml:space="preserve"> TOC \o "1-1" \h \z \u </w:instrText>
      </w:r>
      <w:r>
        <w:rPr>
          <w:rFonts w:hint="eastAsia" w:ascii="宋体" w:cs="宋体"/>
          <w:bCs/>
          <w:color w:val="auto"/>
          <w:sz w:val="32"/>
          <w:szCs w:val="32"/>
          <w:highlight w:val="none"/>
          <w:lang w:val="zh-CN"/>
        </w:rPr>
        <w:fldChar w:fldCharType="separate"/>
      </w:r>
      <w:r>
        <w:rPr>
          <w:color w:val="auto"/>
          <w:highlight w:val="none"/>
        </w:rPr>
        <w:fldChar w:fldCharType="begin"/>
      </w:r>
      <w:r>
        <w:rPr>
          <w:color w:val="auto"/>
          <w:highlight w:val="none"/>
        </w:rPr>
        <w:instrText xml:space="preserve"> HYPERLINK \l "_Toc20918" </w:instrText>
      </w:r>
      <w:r>
        <w:rPr>
          <w:color w:val="auto"/>
          <w:highlight w:val="none"/>
        </w:rPr>
        <w:fldChar w:fldCharType="separate"/>
      </w:r>
      <w:r>
        <w:rPr>
          <w:rFonts w:hint="eastAsia" w:ascii="宋体" w:cs="宋体"/>
          <w:color w:val="auto"/>
          <w:sz w:val="32"/>
          <w:szCs w:val="32"/>
          <w:highlight w:val="none"/>
        </w:rPr>
        <w:t>第一章 招标公告</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_Toc20918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1</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12F727F2">
      <w:pPr>
        <w:pStyle w:val="12"/>
        <w:tabs>
          <w:tab w:val="right" w:leader="dot" w:pos="9070"/>
          <w:tab w:val="clear" w:pos="0"/>
          <w:tab w:val="clear" w:pos="8280"/>
        </w:tabs>
        <w:spacing w:line="480" w:lineRule="auto"/>
        <w:rPr>
          <w:rFonts w:ascii="宋体" w:cs="宋体"/>
          <w:color w:val="auto"/>
          <w:sz w:val="32"/>
          <w:szCs w:val="32"/>
          <w:highlight w:val="none"/>
        </w:rPr>
      </w:pPr>
      <w:r>
        <w:rPr>
          <w:color w:val="auto"/>
          <w:highlight w:val="none"/>
        </w:rPr>
        <w:fldChar w:fldCharType="begin"/>
      </w:r>
      <w:r>
        <w:rPr>
          <w:color w:val="auto"/>
          <w:highlight w:val="none"/>
        </w:rPr>
        <w:instrText xml:space="preserve"> HYPERLINK \l "_Toc29293" </w:instrText>
      </w:r>
      <w:r>
        <w:rPr>
          <w:color w:val="auto"/>
          <w:highlight w:val="none"/>
        </w:rPr>
        <w:fldChar w:fldCharType="separate"/>
      </w:r>
      <w:r>
        <w:rPr>
          <w:rFonts w:hint="eastAsia" w:ascii="宋体" w:cs="宋体"/>
          <w:color w:val="auto"/>
          <w:sz w:val="32"/>
          <w:szCs w:val="32"/>
          <w:highlight w:val="none"/>
        </w:rPr>
        <w:t>第二章 投标人须知</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_Toc29293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3</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40CC3759">
      <w:pPr>
        <w:pStyle w:val="12"/>
        <w:tabs>
          <w:tab w:val="right" w:leader="dot" w:pos="9070"/>
          <w:tab w:val="clear" w:pos="0"/>
          <w:tab w:val="clear" w:pos="8280"/>
        </w:tabs>
        <w:spacing w:line="480" w:lineRule="auto"/>
        <w:rPr>
          <w:rFonts w:ascii="宋体" w:cs="宋体"/>
          <w:color w:val="auto"/>
          <w:sz w:val="32"/>
          <w:szCs w:val="32"/>
          <w:highlight w:val="none"/>
        </w:rPr>
      </w:pPr>
      <w:r>
        <w:rPr>
          <w:color w:val="auto"/>
          <w:highlight w:val="none"/>
        </w:rPr>
        <w:fldChar w:fldCharType="begin"/>
      </w:r>
      <w:r>
        <w:rPr>
          <w:color w:val="auto"/>
          <w:highlight w:val="none"/>
        </w:rPr>
        <w:instrText xml:space="preserve"> HYPERLINK \l "_Toc11269" </w:instrText>
      </w:r>
      <w:r>
        <w:rPr>
          <w:color w:val="auto"/>
          <w:highlight w:val="none"/>
        </w:rPr>
        <w:fldChar w:fldCharType="separate"/>
      </w:r>
      <w:r>
        <w:rPr>
          <w:rFonts w:hint="eastAsia" w:ascii="宋体" w:cs="宋体"/>
          <w:color w:val="auto"/>
          <w:sz w:val="32"/>
          <w:szCs w:val="32"/>
          <w:highlight w:val="none"/>
        </w:rPr>
        <w:t>第三章 评标定标办法</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_Toc11269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21</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0AA2815C">
      <w:pPr>
        <w:pStyle w:val="12"/>
        <w:tabs>
          <w:tab w:val="right" w:leader="dot" w:pos="9070"/>
          <w:tab w:val="clear" w:pos="0"/>
          <w:tab w:val="clear" w:pos="8280"/>
        </w:tabs>
        <w:spacing w:line="480" w:lineRule="auto"/>
        <w:rPr>
          <w:rFonts w:ascii="宋体" w:cs="宋体"/>
          <w:color w:val="auto"/>
          <w:sz w:val="32"/>
          <w:szCs w:val="32"/>
          <w:highlight w:val="none"/>
        </w:rPr>
      </w:pPr>
      <w:r>
        <w:rPr>
          <w:color w:val="auto"/>
          <w:highlight w:val="none"/>
        </w:rPr>
        <w:fldChar w:fldCharType="begin"/>
      </w:r>
      <w:r>
        <w:rPr>
          <w:color w:val="auto"/>
          <w:highlight w:val="none"/>
        </w:rPr>
        <w:instrText xml:space="preserve"> HYPERLINK \l "_Toc27253" </w:instrText>
      </w:r>
      <w:r>
        <w:rPr>
          <w:color w:val="auto"/>
          <w:highlight w:val="none"/>
        </w:rPr>
        <w:fldChar w:fldCharType="separate"/>
      </w:r>
      <w:r>
        <w:rPr>
          <w:rFonts w:hint="eastAsia" w:ascii="宋体" w:cs="宋体"/>
          <w:color w:val="auto"/>
          <w:sz w:val="32"/>
          <w:szCs w:val="32"/>
          <w:highlight w:val="none"/>
        </w:rPr>
        <w:t>第四章 合同条款及格式</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_Toc27253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25</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042FBC5A">
      <w:pPr>
        <w:pStyle w:val="12"/>
        <w:tabs>
          <w:tab w:val="right" w:leader="dot" w:pos="9070"/>
          <w:tab w:val="clear" w:pos="0"/>
          <w:tab w:val="clear" w:pos="8280"/>
        </w:tabs>
        <w:spacing w:line="480" w:lineRule="auto"/>
        <w:rPr>
          <w:rFonts w:ascii="宋体" w:cs="宋体"/>
          <w:color w:val="auto"/>
          <w:sz w:val="32"/>
          <w:szCs w:val="32"/>
          <w:highlight w:val="none"/>
        </w:rPr>
      </w:pPr>
      <w:r>
        <w:rPr>
          <w:color w:val="auto"/>
          <w:highlight w:val="none"/>
        </w:rPr>
        <w:fldChar w:fldCharType="begin"/>
      </w:r>
      <w:r>
        <w:rPr>
          <w:color w:val="auto"/>
          <w:highlight w:val="none"/>
        </w:rPr>
        <w:instrText xml:space="preserve"> HYPERLINK \l "_Toc29227" </w:instrText>
      </w:r>
      <w:r>
        <w:rPr>
          <w:color w:val="auto"/>
          <w:highlight w:val="none"/>
        </w:rPr>
        <w:fldChar w:fldCharType="separate"/>
      </w:r>
      <w:r>
        <w:rPr>
          <w:rFonts w:hint="eastAsia" w:ascii="宋体" w:cs="宋体"/>
          <w:color w:val="auto"/>
          <w:sz w:val="32"/>
          <w:szCs w:val="32"/>
          <w:highlight w:val="none"/>
        </w:rPr>
        <w:t>第五章 图纸</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_Toc29227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25</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0EDCE3E0">
      <w:pPr>
        <w:pStyle w:val="12"/>
        <w:tabs>
          <w:tab w:val="right" w:leader="dot" w:pos="9070"/>
          <w:tab w:val="clear" w:pos="0"/>
          <w:tab w:val="clear" w:pos="8280"/>
        </w:tabs>
        <w:spacing w:line="480" w:lineRule="auto"/>
        <w:rPr>
          <w:rFonts w:ascii="宋体" w:cs="宋体"/>
          <w:color w:val="auto"/>
          <w:sz w:val="32"/>
          <w:szCs w:val="32"/>
          <w:highlight w:val="none"/>
        </w:rPr>
      </w:pPr>
      <w:r>
        <w:rPr>
          <w:color w:val="auto"/>
          <w:highlight w:val="none"/>
        </w:rPr>
        <w:fldChar w:fldCharType="begin"/>
      </w:r>
      <w:r>
        <w:rPr>
          <w:color w:val="auto"/>
          <w:highlight w:val="none"/>
        </w:rPr>
        <w:instrText xml:space="preserve"> HYPERLINK \l "_Toc17388" </w:instrText>
      </w:r>
      <w:r>
        <w:rPr>
          <w:color w:val="auto"/>
          <w:highlight w:val="none"/>
        </w:rPr>
        <w:fldChar w:fldCharType="separate"/>
      </w:r>
      <w:r>
        <w:rPr>
          <w:rFonts w:hint="eastAsia" w:ascii="宋体" w:cs="宋体"/>
          <w:color w:val="auto"/>
          <w:sz w:val="32"/>
          <w:szCs w:val="32"/>
          <w:highlight w:val="none"/>
        </w:rPr>
        <w:t>第六章 技术标准和要求</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_Toc17388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40</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04908400">
      <w:pPr>
        <w:pStyle w:val="12"/>
        <w:tabs>
          <w:tab w:val="right" w:leader="dot" w:pos="9070"/>
          <w:tab w:val="clear" w:pos="0"/>
          <w:tab w:val="clear" w:pos="8280"/>
        </w:tabs>
        <w:spacing w:line="480" w:lineRule="auto"/>
        <w:rPr>
          <w:rFonts w:ascii="宋体" w:cs="宋体"/>
          <w:color w:val="auto"/>
          <w:sz w:val="32"/>
          <w:szCs w:val="32"/>
          <w:highlight w:val="none"/>
        </w:rPr>
      </w:pPr>
      <w:r>
        <w:rPr>
          <w:color w:val="auto"/>
          <w:highlight w:val="none"/>
        </w:rPr>
        <w:fldChar w:fldCharType="begin"/>
      </w:r>
      <w:r>
        <w:rPr>
          <w:color w:val="auto"/>
          <w:highlight w:val="none"/>
        </w:rPr>
        <w:instrText xml:space="preserve"> HYPERLINK \l "_Toc15914" </w:instrText>
      </w:r>
      <w:r>
        <w:rPr>
          <w:color w:val="auto"/>
          <w:highlight w:val="none"/>
        </w:rPr>
        <w:fldChar w:fldCharType="separate"/>
      </w:r>
      <w:r>
        <w:rPr>
          <w:rFonts w:hint="eastAsia" w:ascii="宋体" w:cs="宋体"/>
          <w:color w:val="auto"/>
          <w:sz w:val="32"/>
          <w:szCs w:val="32"/>
          <w:highlight w:val="none"/>
        </w:rPr>
        <w:t>第七章 投标文件格式</w:t>
      </w:r>
      <w:r>
        <w:rPr>
          <w:rFonts w:hint="eastAsia" w:ascii="宋体" w:cs="宋体"/>
          <w:color w:val="auto"/>
          <w:sz w:val="32"/>
          <w:szCs w:val="32"/>
          <w:highlight w:val="none"/>
        </w:rPr>
        <w:tab/>
      </w:r>
      <w:r>
        <w:rPr>
          <w:rFonts w:hint="eastAsia" w:ascii="宋体" w:cs="宋体"/>
          <w:color w:val="auto"/>
          <w:sz w:val="32"/>
          <w:szCs w:val="32"/>
          <w:highlight w:val="none"/>
        </w:rPr>
        <w:fldChar w:fldCharType="begin"/>
      </w:r>
      <w:r>
        <w:rPr>
          <w:rFonts w:hint="eastAsia" w:ascii="宋体" w:cs="宋体"/>
          <w:color w:val="auto"/>
          <w:sz w:val="32"/>
          <w:szCs w:val="32"/>
          <w:highlight w:val="none"/>
        </w:rPr>
        <w:instrText xml:space="preserve"> PAGEREF _Toc15914 \h </w:instrText>
      </w:r>
      <w:r>
        <w:rPr>
          <w:rFonts w:hint="eastAsia" w:ascii="宋体" w:cs="宋体"/>
          <w:color w:val="auto"/>
          <w:sz w:val="32"/>
          <w:szCs w:val="32"/>
          <w:highlight w:val="none"/>
        </w:rPr>
        <w:fldChar w:fldCharType="separate"/>
      </w:r>
      <w:r>
        <w:rPr>
          <w:rFonts w:hint="eastAsia" w:ascii="宋体" w:cs="宋体"/>
          <w:color w:val="auto"/>
          <w:sz w:val="32"/>
          <w:szCs w:val="32"/>
          <w:highlight w:val="none"/>
        </w:rPr>
        <w:t>133</w:t>
      </w:r>
      <w:r>
        <w:rPr>
          <w:rFonts w:hint="eastAsia" w:ascii="宋体" w:cs="宋体"/>
          <w:color w:val="auto"/>
          <w:sz w:val="32"/>
          <w:szCs w:val="32"/>
          <w:highlight w:val="none"/>
        </w:rPr>
        <w:fldChar w:fldCharType="end"/>
      </w:r>
      <w:r>
        <w:rPr>
          <w:rFonts w:hint="eastAsia" w:ascii="宋体" w:cs="宋体"/>
          <w:color w:val="auto"/>
          <w:sz w:val="32"/>
          <w:szCs w:val="32"/>
          <w:highlight w:val="none"/>
        </w:rPr>
        <w:fldChar w:fldCharType="end"/>
      </w:r>
    </w:p>
    <w:p w14:paraId="17DBF2AA">
      <w:pPr>
        <w:tabs>
          <w:tab w:val="right" w:leader="dot" w:pos="8295"/>
        </w:tabs>
        <w:spacing w:line="480" w:lineRule="auto"/>
        <w:rPr>
          <w:rFonts w:ascii="宋体"/>
          <w:color w:val="auto"/>
          <w:highlight w:val="none"/>
        </w:rPr>
      </w:pPr>
      <w:r>
        <w:rPr>
          <w:rFonts w:hint="eastAsia" w:ascii="宋体" w:cs="宋体"/>
          <w:bCs/>
          <w:color w:val="auto"/>
          <w:sz w:val="32"/>
          <w:szCs w:val="32"/>
          <w:highlight w:val="none"/>
          <w:lang w:val="zh-CN"/>
        </w:rPr>
        <w:fldChar w:fldCharType="end"/>
      </w:r>
    </w:p>
    <w:p w14:paraId="294ECFEC">
      <w:pPr>
        <w:tabs>
          <w:tab w:val="right" w:leader="dot" w:pos="8295"/>
        </w:tabs>
        <w:jc w:val="center"/>
        <w:rPr>
          <w:rFonts w:ascii="宋体"/>
          <w:color w:val="auto"/>
          <w:sz w:val="32"/>
          <w:szCs w:val="32"/>
          <w:highlight w:val="none"/>
        </w:rPr>
      </w:pPr>
    </w:p>
    <w:p w14:paraId="6D5A6FB3">
      <w:pPr>
        <w:tabs>
          <w:tab w:val="right" w:leader="dot" w:pos="8295"/>
        </w:tabs>
        <w:jc w:val="center"/>
        <w:rPr>
          <w:rFonts w:ascii="宋体"/>
          <w:color w:val="auto"/>
          <w:sz w:val="32"/>
          <w:szCs w:val="32"/>
          <w:highlight w:val="none"/>
        </w:rPr>
      </w:pPr>
    </w:p>
    <w:p w14:paraId="2763ADDD">
      <w:pPr>
        <w:rPr>
          <w:color w:val="auto"/>
          <w:highlight w:val="none"/>
        </w:rPr>
        <w:sectPr>
          <w:footerReference r:id="rId5" w:type="default"/>
          <w:pgSz w:w="11906" w:h="16838"/>
          <w:pgMar w:top="1418" w:right="1368" w:bottom="1418" w:left="1418" w:header="851" w:footer="992" w:gutter="0"/>
          <w:cols w:space="720" w:num="1"/>
          <w:docGrid w:linePitch="312" w:charSpace="0"/>
        </w:sectPr>
      </w:pPr>
      <w:bookmarkStart w:id="0" w:name="_Toc353400019"/>
    </w:p>
    <w:p w14:paraId="5B87914F">
      <w:pPr>
        <w:pStyle w:val="2"/>
        <w:tabs>
          <w:tab w:val="right" w:leader="dot" w:pos="8295"/>
        </w:tabs>
        <w:jc w:val="center"/>
        <w:rPr>
          <w:rFonts w:ascii="宋体" w:eastAsia="宋体"/>
          <w:b w:val="0"/>
          <w:color w:val="auto"/>
          <w:highlight w:val="none"/>
        </w:rPr>
      </w:pPr>
      <w:bookmarkStart w:id="1" w:name="_Toc494121474"/>
      <w:bookmarkStart w:id="2" w:name="_Toc530660795"/>
      <w:bookmarkStart w:id="3" w:name="_Hlk92293814"/>
    </w:p>
    <w:p w14:paraId="21C337C0">
      <w:pPr>
        <w:pStyle w:val="2"/>
        <w:tabs>
          <w:tab w:val="right" w:leader="dot" w:pos="8295"/>
        </w:tabs>
        <w:jc w:val="center"/>
        <w:rPr>
          <w:rFonts w:ascii="宋体" w:eastAsia="宋体"/>
          <w:b w:val="0"/>
          <w:color w:val="auto"/>
          <w:highlight w:val="none"/>
        </w:rPr>
      </w:pPr>
      <w:bookmarkStart w:id="4" w:name="_Toc20918"/>
      <w:r>
        <w:rPr>
          <w:rFonts w:hint="eastAsia" w:ascii="宋体" w:eastAsia="宋体"/>
          <w:b w:val="0"/>
          <w:color w:val="auto"/>
          <w:highlight w:val="none"/>
        </w:rPr>
        <w:t>第一章 招标公告</w:t>
      </w:r>
      <w:bookmarkEnd w:id="0"/>
      <w:bookmarkEnd w:id="1"/>
      <w:bookmarkEnd w:id="2"/>
      <w:bookmarkEnd w:id="4"/>
    </w:p>
    <w:p w14:paraId="5199D231">
      <w:pPr>
        <w:tabs>
          <w:tab w:val="left" w:pos="4110"/>
          <w:tab w:val="right" w:leader="dot" w:pos="8295"/>
        </w:tabs>
        <w:ind w:firstLine="480"/>
        <w:rPr>
          <w:rFonts w:ascii="宋体"/>
          <w:color w:val="auto"/>
          <w:szCs w:val="24"/>
          <w:highlight w:val="none"/>
          <w:shd w:val="clear" w:color="000000" w:fill="FFFFFF"/>
        </w:rPr>
      </w:pPr>
      <w:bookmarkStart w:id="5" w:name="OLE_LINK1"/>
      <w:bookmarkStart w:id="6" w:name="OLE_LINK2"/>
      <w:bookmarkStart w:id="7" w:name="_Toc144974495"/>
      <w:bookmarkStart w:id="8" w:name="_Toc152042303"/>
      <w:bookmarkStart w:id="9" w:name="_Toc229646709"/>
      <w:bookmarkStart w:id="10" w:name="_Toc152045527"/>
    </w:p>
    <w:p w14:paraId="7DD674DD">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一、招标条件</w:t>
      </w:r>
    </w:p>
    <w:p w14:paraId="60D58808">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皂化清液浓缩装置三效蒸发乏汽回收余热利用节能改造项目合作实施方招标经衢州市智造新城衢州智造新城管理委员会备案，投资项目统一代码为2508-330851-04-02-939471。项目建设地址位于衢州智造新城高新片区浙江衢州巨塑化工有限公司厂区内，建设单位为浙江衢州巨塑化工有限公司，资金来源为自筹，出资比例为100%自有资金。项目已具备招标条件，委托代理机构为浙江南方工程咨询管理有限公司，现对该项目进行公开招标。项目编号：NFZB-20251008。</w:t>
      </w:r>
    </w:p>
    <w:p w14:paraId="2A18D309">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二、招标内容</w:t>
      </w:r>
    </w:p>
    <w:p w14:paraId="7356B4F6">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招标内容：浙江衢州巨塑化工有限公司皂化清液浓缩装置三效蒸发乏汽回收余热利用节能改造项目合作实施方招标，具体详见招标文件。</w:t>
      </w:r>
    </w:p>
    <w:p w14:paraId="68672B15">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三、投标资格条件、要求</w:t>
      </w:r>
    </w:p>
    <w:p w14:paraId="35C1FEC0">
      <w:pPr>
        <w:tabs>
          <w:tab w:val="left" w:pos="4110"/>
          <w:tab w:val="right" w:leader="dot" w:pos="8295"/>
        </w:tabs>
        <w:ind w:firstLine="422" w:firstLineChars="200"/>
        <w:rPr>
          <w:rFonts w:ascii="宋体" w:hAnsi="宋体" w:cs="宋体"/>
          <w:b/>
          <w:bCs/>
          <w:color w:val="auto"/>
          <w:szCs w:val="24"/>
          <w:highlight w:val="none"/>
        </w:rPr>
      </w:pPr>
      <w:bookmarkStart w:id="11" w:name="OLE_LINK8"/>
      <w:r>
        <w:rPr>
          <w:rFonts w:hint="eastAsia" w:ascii="宋体" w:hAnsi="宋体" w:cs="宋体"/>
          <w:b/>
          <w:bCs/>
          <w:color w:val="auto"/>
          <w:szCs w:val="24"/>
          <w:highlight w:val="none"/>
        </w:rPr>
        <w:t>1.基本资格要求：</w:t>
      </w:r>
    </w:p>
    <w:bookmarkEnd w:id="11"/>
    <w:p w14:paraId="553B4DFC">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1.1投标人未被“信用中国”（www.creditchina.gov.cn)列入失信被执行人、重大税收违法案件当事人名单。</w:t>
      </w:r>
    </w:p>
    <w:p w14:paraId="5DB3D1A9">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1.2投标人具备独立承担民事责任的能力，未被巨化集团禁止参加采购活动，近三年在招标人单位无不良业绩。</w:t>
      </w:r>
    </w:p>
    <w:p w14:paraId="0BDFAFD7">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1.3单位负责人为同一人或者存在控股、管理关系的不同单位，存在关联关系的不同单位，不得参加同一标项投标。</w:t>
      </w:r>
    </w:p>
    <w:p w14:paraId="7207BA5C">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2. 特定资格要求：</w:t>
      </w:r>
    </w:p>
    <w:p w14:paraId="3BEEA65D">
      <w:pPr>
        <w:tabs>
          <w:tab w:val="left" w:pos="4110"/>
          <w:tab w:val="right" w:leader="dot" w:pos="8295"/>
        </w:tabs>
        <w:ind w:firstLine="420" w:firstLineChars="200"/>
        <w:rPr>
          <w:rFonts w:hint="eastAsia" w:ascii="宋体" w:hAnsi="宋体" w:cs="宋体"/>
          <w:color w:val="auto"/>
          <w:szCs w:val="24"/>
          <w:highlight w:val="none"/>
        </w:rPr>
      </w:pPr>
      <w:r>
        <w:rPr>
          <w:rFonts w:hint="eastAsia" w:ascii="宋体" w:hAnsi="宋体" w:cs="宋体"/>
          <w:color w:val="auto"/>
          <w:szCs w:val="24"/>
          <w:highlight w:val="none"/>
        </w:rPr>
        <w:t xml:space="preserve">2.1投标人须为依法注册的独立法人或其他组织，须提供有效的证明文件。 </w:t>
      </w:r>
    </w:p>
    <w:p w14:paraId="650E257C">
      <w:pPr>
        <w:tabs>
          <w:tab w:val="left" w:pos="4110"/>
          <w:tab w:val="right" w:leader="dot" w:pos="8295"/>
        </w:tabs>
        <w:ind w:firstLine="420" w:firstLineChars="200"/>
        <w:rPr>
          <w:rFonts w:hint="default" w:ascii="宋体" w:hAnsi="宋体" w:eastAsia="宋体" w:cs="宋体"/>
          <w:color w:val="auto"/>
          <w:szCs w:val="24"/>
          <w:highlight w:val="none"/>
          <w:lang w:val="en-US" w:eastAsia="zh-CN"/>
        </w:rPr>
      </w:pPr>
      <w:r>
        <w:rPr>
          <w:rFonts w:hint="eastAsia" w:ascii="宋体" w:hAnsi="宋体" w:cs="宋体"/>
          <w:color w:val="auto"/>
          <w:szCs w:val="24"/>
          <w:highlight w:val="none"/>
          <w:lang w:val="en-US" w:eastAsia="zh-CN"/>
        </w:rPr>
        <w:t>2.2投标人须为核心设备蒸汽压缩机的制造商。</w:t>
      </w:r>
    </w:p>
    <w:p w14:paraId="3E6496D7">
      <w:pPr>
        <w:tabs>
          <w:tab w:val="left" w:pos="4110"/>
          <w:tab w:val="right" w:leader="dot" w:pos="8295"/>
        </w:tabs>
        <w:ind w:firstLine="420" w:firstLineChars="200"/>
        <w:rPr>
          <w:rFonts w:ascii="宋体" w:hAnsi="宋体" w:cs="宋体"/>
          <w:color w:val="auto"/>
          <w:szCs w:val="24"/>
          <w:highlight w:val="none"/>
          <w:lang w:val="zh-CN"/>
        </w:rPr>
      </w:pPr>
      <w:r>
        <w:rPr>
          <w:rFonts w:hint="eastAsia" w:ascii="宋体" w:hAnsi="宋体" w:cs="宋体"/>
          <w:color w:val="auto"/>
          <w:szCs w:val="24"/>
          <w:highlight w:val="none"/>
          <w:lang w:val="zh-CN"/>
        </w:rPr>
        <w:t>2.</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lang w:val="zh-CN"/>
        </w:rPr>
        <w:t>业绩要求：</w:t>
      </w:r>
    </w:p>
    <w:p w14:paraId="2AA411B7">
      <w:pPr>
        <w:tabs>
          <w:tab w:val="left" w:pos="4110"/>
          <w:tab w:val="right" w:leader="dot" w:pos="8295"/>
        </w:tabs>
        <w:ind w:firstLine="420" w:firstLineChars="200"/>
        <w:rPr>
          <w:rFonts w:ascii="宋体" w:hAnsi="宋体" w:cs="宋体"/>
          <w:color w:val="auto"/>
          <w:szCs w:val="24"/>
          <w:highlight w:val="none"/>
          <w:lang w:val="zh-CN"/>
        </w:rPr>
      </w:pPr>
      <w:r>
        <w:rPr>
          <w:rFonts w:hint="eastAsia" w:ascii="宋体" w:hAnsi="宋体" w:cs="宋体"/>
          <w:color w:val="auto"/>
          <w:szCs w:val="24"/>
          <w:highlight w:val="none"/>
        </w:rPr>
        <w:t>2.</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rPr>
        <w:t>.1</w:t>
      </w:r>
      <w:r>
        <w:rPr>
          <w:rFonts w:hint="eastAsia" w:ascii="宋体" w:hAnsi="宋体" w:cs="宋体"/>
          <w:color w:val="auto"/>
          <w:szCs w:val="24"/>
          <w:highlight w:val="none"/>
          <w:lang w:val="zh-CN"/>
        </w:rPr>
        <w:t>投标人</w:t>
      </w:r>
      <w:r>
        <w:rPr>
          <w:rFonts w:hint="eastAsia" w:ascii="宋体" w:hAnsi="宋体" w:cs="宋体"/>
          <w:color w:val="auto"/>
          <w:szCs w:val="24"/>
          <w:highlight w:val="none"/>
        </w:rPr>
        <w:t>自2020年8月至今</w:t>
      </w:r>
      <w:r>
        <w:rPr>
          <w:rFonts w:hint="eastAsia" w:ascii="宋体" w:hAnsi="宋体" w:cs="宋体"/>
          <w:color w:val="auto"/>
          <w:szCs w:val="24"/>
          <w:highlight w:val="none"/>
          <w:lang w:val="zh-CN"/>
        </w:rPr>
        <w:t>，应至少具有 1 套蒸汽压缩机组应用业绩（以合同签订时间为准）。</w:t>
      </w:r>
    </w:p>
    <w:p w14:paraId="07594C8D">
      <w:pPr>
        <w:tabs>
          <w:tab w:val="left" w:pos="4110"/>
          <w:tab w:val="right" w:leader="dot" w:pos="8295"/>
        </w:tabs>
        <w:ind w:firstLine="420" w:firstLineChars="200"/>
        <w:rPr>
          <w:rFonts w:ascii="宋体" w:hAnsi="宋体" w:cs="宋体"/>
          <w:color w:val="auto"/>
          <w:szCs w:val="24"/>
          <w:highlight w:val="none"/>
          <w:lang w:val="zh-CN"/>
        </w:rPr>
      </w:pPr>
      <w:r>
        <w:rPr>
          <w:rFonts w:hint="eastAsia" w:ascii="宋体" w:hAnsi="宋体" w:cs="宋体"/>
          <w:color w:val="auto"/>
          <w:szCs w:val="24"/>
          <w:highlight w:val="none"/>
        </w:rPr>
        <w:t>2.</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rPr>
        <w:t>.2</w:t>
      </w:r>
      <w:r>
        <w:rPr>
          <w:rFonts w:hint="eastAsia" w:ascii="宋体" w:hAnsi="宋体" w:cs="宋体"/>
          <w:color w:val="auto"/>
          <w:szCs w:val="24"/>
          <w:highlight w:val="none"/>
          <w:lang w:val="zh-CN"/>
        </w:rPr>
        <w:t>投标人须提供能证明业绩的合同复印件，内容至少包括项目名称、合同签订时间、压缩机参数、供货范围以及签章页。若不能体现上述要求，须同时提供合同配套的技术协议或数据表复印件。若投标文件提供的业绩证明材料不满足上述要求，则视为无效业绩。</w:t>
      </w:r>
    </w:p>
    <w:p w14:paraId="2D77AC5B">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四、招投标方式</w:t>
      </w:r>
    </w:p>
    <w:p w14:paraId="0AB216C0">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1.公开招标。</w:t>
      </w:r>
    </w:p>
    <w:p w14:paraId="55F80520">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2.不采用评定分离。</w:t>
      </w:r>
    </w:p>
    <w:p w14:paraId="50F44002">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五、招标文件的获取</w:t>
      </w:r>
    </w:p>
    <w:p w14:paraId="77723229">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1.本项目招标文件和补充（答疑、澄清）、修改文件以网上下载方式获取。</w:t>
      </w:r>
    </w:p>
    <w:p w14:paraId="385D0190">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2.招标文件网上下载时间：</w:t>
      </w:r>
      <w:bookmarkStart w:id="12" w:name="_Hlk530727089"/>
      <w:r>
        <w:rPr>
          <w:rFonts w:hint="eastAsia" w:ascii="宋体" w:hAnsi="宋体" w:cs="宋体"/>
          <w:color w:val="auto"/>
          <w:szCs w:val="24"/>
          <w:highlight w:val="none"/>
        </w:rPr>
        <w:t>自招标文件发布之日起至投标截止时间。</w:t>
      </w:r>
      <w:bookmarkEnd w:id="12"/>
    </w:p>
    <w:p w14:paraId="32DFBC15">
      <w:pPr>
        <w:tabs>
          <w:tab w:val="left" w:pos="4110"/>
          <w:tab w:val="right" w:leader="dot" w:pos="8295"/>
        </w:tabs>
        <w:ind w:firstLine="420" w:firstLineChars="200"/>
        <w:rPr>
          <w:rFonts w:ascii="宋体" w:hAnsi="宋体" w:cs="宋体"/>
          <w:color w:val="auto"/>
          <w:szCs w:val="24"/>
          <w:highlight w:val="none"/>
        </w:rPr>
      </w:pPr>
      <w:bookmarkStart w:id="13" w:name="_Hlk530727115"/>
      <w:r>
        <w:rPr>
          <w:rFonts w:hint="eastAsia" w:ascii="宋体" w:hAnsi="宋体" w:cs="宋体"/>
          <w:color w:val="auto"/>
          <w:szCs w:val="24"/>
          <w:highlight w:val="none"/>
        </w:rPr>
        <w:t>3.潜在投标人登录衢州市市县一体公共资源交易平台（https://ggzy.qz.gov.cn/）办理投标人信息入库（衢州市级交易平台市场主体信息库，下同）备案事宜。</w:t>
      </w:r>
    </w:p>
    <w:p w14:paraId="349442DE">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3.1未办理企业信息入库的投标人，根据显示界面提示免费注册，填写、上传相关主体信息，带“*”号的必填，填好后“提交”。投标企业同时可申领招投标企业CA证书及电子签章。经公示三天后自动入库。具体操作可参考衢州市企业入库操作手册（投标人）。</w:t>
      </w:r>
    </w:p>
    <w:bookmarkEnd w:id="13"/>
    <w:p w14:paraId="71936F75">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4.潜在投标人可在衢州市市县一体公共资源交易平台（https://ggzy.qz.gov.cn/）免费下载招标文件及附件。确定参加投标的企业可凭本单位CA数字证书登录衢州市公共资源电子交易系统，按照操作手册在对应模块下载领取。</w:t>
      </w:r>
    </w:p>
    <w:p w14:paraId="5CADCB8C">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5.潜在投标人对招标文件有疑问的，应通过衢州市公共资源电子交易系统或书面向招标人提出。提交疑问截止日为2025年</w:t>
      </w:r>
      <w:r>
        <w:rPr>
          <w:rFonts w:hint="eastAsia" w:ascii="宋体" w:hAnsi="宋体" w:cs="宋体"/>
          <w:color w:val="auto"/>
          <w:szCs w:val="24"/>
          <w:highlight w:val="none"/>
          <w:lang w:val="en-US" w:eastAsia="zh-CN"/>
        </w:rPr>
        <w:t>11</w:t>
      </w:r>
      <w:r>
        <w:rPr>
          <w:rFonts w:hint="eastAsia" w:ascii="宋体" w:hAnsi="宋体" w:cs="宋体"/>
          <w:color w:val="auto"/>
          <w:szCs w:val="24"/>
          <w:highlight w:val="none"/>
        </w:rPr>
        <w:t>月</w:t>
      </w:r>
      <w:r>
        <w:rPr>
          <w:rFonts w:hint="eastAsia" w:ascii="宋体" w:hAnsi="宋体" w:cs="宋体"/>
          <w:color w:val="auto"/>
          <w:szCs w:val="24"/>
          <w:highlight w:val="none"/>
          <w:lang w:val="en-US" w:eastAsia="zh-CN"/>
        </w:rPr>
        <w:t>10</w:t>
      </w:r>
      <w:r>
        <w:rPr>
          <w:rFonts w:hint="eastAsia" w:ascii="宋体" w:hAnsi="宋体" w:cs="宋体"/>
          <w:color w:val="auto"/>
          <w:szCs w:val="24"/>
          <w:highlight w:val="none"/>
        </w:rPr>
        <w:t>日</w:t>
      </w:r>
      <w:r>
        <w:rPr>
          <w:rFonts w:hint="eastAsia" w:ascii="宋体" w:hAnsi="宋体" w:cs="宋体"/>
          <w:color w:val="auto"/>
          <w:szCs w:val="24"/>
          <w:highlight w:val="none"/>
          <w:lang w:val="en-US" w:eastAsia="zh-CN"/>
        </w:rPr>
        <w:t>16</w:t>
      </w:r>
      <w:r>
        <w:rPr>
          <w:rFonts w:hint="eastAsia" w:ascii="宋体" w:hAnsi="宋体" w:cs="宋体"/>
          <w:color w:val="auto"/>
          <w:szCs w:val="24"/>
          <w:highlight w:val="none"/>
        </w:rPr>
        <w:t>:</w:t>
      </w:r>
      <w:r>
        <w:rPr>
          <w:rFonts w:hint="eastAsia" w:ascii="宋体" w:hAnsi="宋体" w:cs="宋体"/>
          <w:color w:val="auto"/>
          <w:szCs w:val="24"/>
          <w:highlight w:val="none"/>
          <w:lang w:val="en-US" w:eastAsia="zh-CN"/>
        </w:rPr>
        <w:t>30</w:t>
      </w:r>
      <w:r>
        <w:rPr>
          <w:rFonts w:hint="eastAsia" w:ascii="宋体" w:hAnsi="宋体" w:cs="宋体"/>
          <w:color w:val="auto"/>
          <w:szCs w:val="24"/>
          <w:highlight w:val="none"/>
        </w:rPr>
        <w:t>。招标人将在衢州市市县一体公共资源交易平台上发布补充（答疑、澄清）文件。潜在投标人应自行关注网站公告，招标人不再书面通知。投标人因自身贻误行为导致投标失败的，责任自负。</w:t>
      </w:r>
    </w:p>
    <w:p w14:paraId="019DF821">
      <w:pPr>
        <w:tabs>
          <w:tab w:val="left" w:pos="4110"/>
          <w:tab w:val="right" w:leader="dot" w:pos="8295"/>
        </w:tabs>
        <w:ind w:firstLine="422" w:firstLineChars="200"/>
        <w:rPr>
          <w:rFonts w:ascii="宋体" w:hAnsi="宋体" w:cs="宋体"/>
          <w:b/>
          <w:bCs/>
          <w:color w:val="auto"/>
          <w:szCs w:val="24"/>
          <w:highlight w:val="none"/>
        </w:rPr>
      </w:pPr>
      <w:bookmarkStart w:id="14" w:name="_Hlk530727283"/>
      <w:r>
        <w:rPr>
          <w:rFonts w:hint="eastAsia" w:ascii="宋体" w:hAnsi="宋体" w:cs="宋体"/>
          <w:b/>
          <w:bCs/>
          <w:color w:val="auto"/>
          <w:szCs w:val="24"/>
          <w:highlight w:val="none"/>
        </w:rPr>
        <w:t>六、投标文件递交（不见面开标）</w:t>
      </w:r>
    </w:p>
    <w:p w14:paraId="7245C3D3">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1.投标文件递交截止时间2025年</w:t>
      </w:r>
      <w:r>
        <w:rPr>
          <w:rFonts w:hint="eastAsia" w:ascii="宋体" w:hAnsi="宋体" w:cs="宋体"/>
          <w:color w:val="auto"/>
          <w:szCs w:val="24"/>
          <w:highlight w:val="none"/>
          <w:lang w:val="en-US" w:eastAsia="zh-CN"/>
        </w:rPr>
        <w:t>11</w:t>
      </w:r>
      <w:r>
        <w:rPr>
          <w:rFonts w:hint="eastAsia" w:ascii="宋体" w:hAnsi="宋体" w:cs="宋体"/>
          <w:color w:val="auto"/>
          <w:szCs w:val="24"/>
          <w:highlight w:val="none"/>
        </w:rPr>
        <w:t>月</w:t>
      </w:r>
      <w:r>
        <w:rPr>
          <w:rFonts w:hint="eastAsia" w:ascii="宋体" w:hAnsi="宋体" w:cs="宋体"/>
          <w:color w:val="auto"/>
          <w:szCs w:val="24"/>
          <w:highlight w:val="none"/>
          <w:lang w:val="en-US" w:eastAsia="zh-CN"/>
        </w:rPr>
        <w:t>20</w:t>
      </w:r>
      <w:r>
        <w:rPr>
          <w:rFonts w:hint="eastAsia" w:ascii="宋体" w:hAnsi="宋体" w:cs="宋体"/>
          <w:color w:val="auto"/>
          <w:szCs w:val="24"/>
          <w:highlight w:val="none"/>
        </w:rPr>
        <w:t xml:space="preserve">日 </w:t>
      </w: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时</w:t>
      </w:r>
      <w:r>
        <w:rPr>
          <w:rFonts w:hint="eastAsia" w:ascii="宋体" w:hAnsi="宋体" w:cs="宋体"/>
          <w:color w:val="auto"/>
          <w:szCs w:val="24"/>
          <w:highlight w:val="none"/>
          <w:lang w:val="en-US" w:eastAsia="zh-CN"/>
        </w:rPr>
        <w:t>30</w:t>
      </w:r>
      <w:r>
        <w:rPr>
          <w:rFonts w:hint="eastAsia" w:ascii="宋体" w:hAnsi="宋体" w:cs="宋体"/>
          <w:color w:val="auto"/>
          <w:szCs w:val="24"/>
          <w:highlight w:val="none"/>
        </w:rPr>
        <w:t>分</w:t>
      </w:r>
      <w:r>
        <w:rPr>
          <w:rFonts w:hint="eastAsia" w:ascii="宋体" w:hAnsi="宋体" w:cs="宋体"/>
          <w:color w:val="auto"/>
          <w:szCs w:val="24"/>
          <w:highlight w:val="none"/>
          <w:lang w:val="en-US" w:eastAsia="zh-CN"/>
        </w:rPr>
        <w:t>0</w:t>
      </w:r>
      <w:r>
        <w:rPr>
          <w:rFonts w:hint="eastAsia" w:ascii="宋体" w:hAnsi="宋体" w:cs="宋体"/>
          <w:color w:val="auto"/>
          <w:szCs w:val="24"/>
          <w:highlight w:val="none"/>
        </w:rPr>
        <w:t>0秒。</w:t>
      </w:r>
    </w:p>
    <w:p w14:paraId="40F25AFC">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2.投标文件递交方式：电子投标文件采用网上递交的方式，上传至衢州市公共资源电子交易系统（https://ggzy.qz.gov.cn/）。</w:t>
      </w:r>
    </w:p>
    <w:p w14:paraId="5B84A43C">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3.不见面开标大厅网址：</w:t>
      </w:r>
    </w:p>
    <w:p w14:paraId="3F47A321">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https://jyzx.ggzy.qz.gov.cn/BidOpening/bidopeninghallaction/hall/login</w:t>
      </w:r>
    </w:p>
    <w:p w14:paraId="4381CEAA">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七、特别提醒</w:t>
      </w:r>
    </w:p>
    <w:p w14:paraId="1AAB9CBC">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1.投标人需在投标日期截止前进入主体库更新主体信息，经营资质、职业人员、投标业绩、企业获奖、各类证书、奖惩记录等将作为推荐环节的重要推荐依据。</w:t>
      </w:r>
    </w:p>
    <w:p w14:paraId="4B8B8964">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（投标人登录衢州市市县一体公共资源交易平台会员端，点击右上角头像中的单位信息后对单位信息进行更新，更新资料后需公示3天，请提前预留时间）</w:t>
      </w:r>
    </w:p>
    <w:p w14:paraId="6B4D0E1E">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2.投标人未对主体信息更新的，造成的未被推荐为正式投标人或未被确定为中标人的风险由投标人自行承担，视为投标人自动放弃相应权利，不作为废标处理，不影响最终投标和开标、评标结果，且事后投标人对开标不得提出异议。</w:t>
      </w:r>
    </w:p>
    <w:p w14:paraId="2D6E83B1">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3.本条款评定分离适用，不采用评定分离不适用。</w:t>
      </w:r>
    </w:p>
    <w:p w14:paraId="55D1E19B">
      <w:pPr>
        <w:tabs>
          <w:tab w:val="left" w:pos="4110"/>
          <w:tab w:val="right" w:leader="dot" w:pos="8295"/>
        </w:tabs>
        <w:ind w:firstLine="422" w:firstLineChars="200"/>
        <w:rPr>
          <w:rFonts w:ascii="宋体" w:hAnsi="宋体" w:cs="宋体"/>
          <w:b/>
          <w:bCs/>
          <w:color w:val="auto"/>
          <w:szCs w:val="24"/>
          <w:highlight w:val="none"/>
        </w:rPr>
      </w:pPr>
      <w:r>
        <w:rPr>
          <w:rFonts w:hint="eastAsia" w:ascii="宋体" w:hAnsi="宋体" w:cs="宋体"/>
          <w:b/>
          <w:bCs/>
          <w:color w:val="auto"/>
          <w:szCs w:val="24"/>
          <w:highlight w:val="none"/>
        </w:rPr>
        <w:t>八、发布公告媒介</w:t>
      </w:r>
    </w:p>
    <w:p w14:paraId="1E91E11A">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浙江省公共资源交易服务平台、衢州市市县一体公共资源交易平台、巨化数字化招采平台。</w:t>
      </w:r>
      <w:bookmarkEnd w:id="14"/>
    </w:p>
    <w:p w14:paraId="345C96DB">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招标人：浙江衢州巨塑化工有限公司</w:t>
      </w:r>
    </w:p>
    <w:p w14:paraId="6DADF55E">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地 址：浙江省衢州市智造新城高新片区（巨化公司内）</w:t>
      </w:r>
    </w:p>
    <w:p w14:paraId="303CC87C">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联系人：宋工</w:t>
      </w:r>
    </w:p>
    <w:p w14:paraId="56B793E8">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电话： 0570-3615716</w:t>
      </w:r>
    </w:p>
    <w:p w14:paraId="4EB0DC5F">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招标代理：浙江南方工程咨询管理有限公司</w:t>
      </w:r>
    </w:p>
    <w:p w14:paraId="0248DD3E">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地址：浙江衢州市柯城区衢化街道文昌路99号九州大厦四楼</w:t>
      </w:r>
    </w:p>
    <w:p w14:paraId="736DC474">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联系人：颜先生、王女士</w:t>
      </w:r>
    </w:p>
    <w:p w14:paraId="0EB569CB">
      <w:pPr>
        <w:tabs>
          <w:tab w:val="left" w:pos="4110"/>
          <w:tab w:val="right" w:leader="dot" w:pos="8295"/>
        </w:tabs>
        <w:ind w:firstLine="420" w:firstLineChars="200"/>
        <w:rPr>
          <w:rFonts w:ascii="宋体" w:hAnsi="宋体" w:cs="宋体"/>
          <w:color w:val="auto"/>
          <w:szCs w:val="24"/>
          <w:highlight w:val="none"/>
        </w:rPr>
      </w:pPr>
      <w:r>
        <w:rPr>
          <w:rFonts w:hint="eastAsia" w:ascii="宋体" w:hAnsi="宋体" w:cs="宋体"/>
          <w:color w:val="auto"/>
          <w:szCs w:val="24"/>
          <w:highlight w:val="none"/>
        </w:rPr>
        <w:t>联系电话：18905707159、13059721359</w:t>
      </w:r>
    </w:p>
    <w:p w14:paraId="404C13FA">
      <w:pPr>
        <w:shd w:val="clear" w:color="000000" w:fill="auto"/>
        <w:tabs>
          <w:tab w:val="right" w:leader="dot" w:pos="8295"/>
        </w:tabs>
        <w:wordWrap w:val="0"/>
        <w:ind w:firstLine="4850"/>
        <w:jc w:val="right"/>
        <w:rPr>
          <w:rFonts w:ascii="宋体"/>
          <w:color w:val="auto"/>
          <w:szCs w:val="24"/>
          <w:highlight w:val="none"/>
        </w:rPr>
      </w:pPr>
      <w:r>
        <w:rPr>
          <w:rFonts w:hint="eastAsia" w:ascii="宋体"/>
          <w:color w:val="auto"/>
          <w:szCs w:val="24"/>
          <w:highlight w:val="none"/>
          <w:u w:val="single"/>
        </w:rPr>
        <w:t>2025</w:t>
      </w:r>
      <w:r>
        <w:rPr>
          <w:rFonts w:hint="eastAsia" w:ascii="宋体"/>
          <w:color w:val="auto"/>
          <w:szCs w:val="24"/>
          <w:highlight w:val="none"/>
        </w:rPr>
        <w:t>年</w:t>
      </w:r>
      <w:r>
        <w:rPr>
          <w:rFonts w:hint="eastAsia" w:ascii="宋体"/>
          <w:color w:val="auto"/>
          <w:szCs w:val="24"/>
          <w:highlight w:val="none"/>
          <w:u w:val="single"/>
        </w:rPr>
        <w:t>10</w:t>
      </w:r>
      <w:r>
        <w:rPr>
          <w:rFonts w:hint="eastAsia" w:ascii="宋体"/>
          <w:color w:val="auto"/>
          <w:szCs w:val="24"/>
          <w:highlight w:val="none"/>
        </w:rPr>
        <w:t>月</w:t>
      </w:r>
      <w:r>
        <w:rPr>
          <w:rFonts w:hint="eastAsia" w:ascii="宋体"/>
          <w:color w:val="auto"/>
          <w:szCs w:val="24"/>
          <w:highlight w:val="none"/>
          <w:u w:val="single"/>
          <w:lang w:val="en-US" w:eastAsia="zh-CN"/>
        </w:rPr>
        <w:t>28</w:t>
      </w:r>
      <w:r>
        <w:rPr>
          <w:rFonts w:hint="eastAsia" w:ascii="宋体"/>
          <w:color w:val="auto"/>
          <w:szCs w:val="24"/>
          <w:highlight w:val="none"/>
        </w:rPr>
        <w:t>日</w:t>
      </w:r>
    </w:p>
    <w:p w14:paraId="7896DF06">
      <w:pPr>
        <w:shd w:val="clear" w:color="000000" w:fill="auto"/>
        <w:tabs>
          <w:tab w:val="right" w:leader="dot" w:pos="8295"/>
        </w:tabs>
        <w:ind w:firstLine="4850"/>
        <w:jc w:val="right"/>
        <w:rPr>
          <w:rFonts w:ascii="宋体"/>
          <w:color w:val="auto"/>
          <w:szCs w:val="24"/>
          <w:highlight w:val="none"/>
        </w:rPr>
      </w:pPr>
    </w:p>
    <w:p w14:paraId="262718DF">
      <w:pPr>
        <w:shd w:val="clear" w:color="000000" w:fill="auto"/>
        <w:tabs>
          <w:tab w:val="right" w:leader="dot" w:pos="8295"/>
        </w:tabs>
        <w:ind w:firstLine="4850"/>
        <w:jc w:val="right"/>
        <w:rPr>
          <w:rFonts w:ascii="宋体"/>
          <w:color w:val="auto"/>
          <w:szCs w:val="24"/>
          <w:highlight w:val="none"/>
        </w:rPr>
      </w:pPr>
    </w:p>
    <w:bookmarkEnd w:id="5"/>
    <w:p w14:paraId="15E8E7BA">
      <w:pPr>
        <w:rPr>
          <w:color w:val="auto"/>
          <w:highlight w:val="none"/>
        </w:rPr>
        <w:sectPr>
          <w:footerReference r:id="rId6" w:type="default"/>
          <w:pgSz w:w="11906" w:h="16838"/>
          <w:pgMar w:top="1418" w:right="1418" w:bottom="1418" w:left="1418" w:header="851" w:footer="992" w:gutter="0"/>
          <w:pgNumType w:start="1"/>
          <w:cols w:space="720" w:num="1"/>
          <w:docGrid w:linePitch="312" w:charSpace="0"/>
        </w:sectPr>
      </w:pPr>
    </w:p>
    <w:bookmarkEnd w:id="6"/>
    <w:p w14:paraId="359B43F1">
      <w:pPr>
        <w:pStyle w:val="2"/>
        <w:tabs>
          <w:tab w:val="right" w:leader="dot" w:pos="8295"/>
        </w:tabs>
        <w:jc w:val="center"/>
        <w:rPr>
          <w:rFonts w:ascii="宋体" w:eastAsia="宋体"/>
          <w:b w:val="0"/>
          <w:color w:val="auto"/>
          <w:highlight w:val="none"/>
        </w:rPr>
      </w:pPr>
      <w:bookmarkStart w:id="15" w:name="_Toc353400020"/>
      <w:bookmarkStart w:id="16" w:name="_Toc29293"/>
      <w:bookmarkStart w:id="17" w:name="_Toc494121475"/>
      <w:bookmarkStart w:id="18" w:name="_Toc530660797"/>
      <w:r>
        <w:rPr>
          <w:rFonts w:hint="eastAsia" w:ascii="宋体" w:eastAsia="宋体"/>
          <w:b w:val="0"/>
          <w:color w:val="auto"/>
          <w:highlight w:val="none"/>
        </w:rPr>
        <w:t>第二章 投标人须知</w:t>
      </w:r>
      <w:bookmarkEnd w:id="7"/>
      <w:bookmarkEnd w:id="8"/>
      <w:bookmarkEnd w:id="9"/>
      <w:bookmarkEnd w:id="10"/>
      <w:bookmarkEnd w:id="15"/>
      <w:bookmarkEnd w:id="16"/>
      <w:bookmarkEnd w:id="17"/>
      <w:bookmarkEnd w:id="18"/>
    </w:p>
    <w:p w14:paraId="6C62BFA2">
      <w:pPr>
        <w:pStyle w:val="3"/>
        <w:tabs>
          <w:tab w:val="right" w:leader="dot" w:pos="8295"/>
        </w:tabs>
        <w:jc w:val="center"/>
        <w:rPr>
          <w:rFonts w:ascii="宋体" w:eastAsia="宋体"/>
          <w:b w:val="0"/>
          <w:color w:val="auto"/>
          <w:sz w:val="28"/>
          <w:szCs w:val="28"/>
          <w:highlight w:val="none"/>
        </w:rPr>
      </w:pPr>
      <w:bookmarkStart w:id="19" w:name="_Toc353400021"/>
      <w:bookmarkStart w:id="20" w:name="_Toc229646710"/>
      <w:bookmarkStart w:id="21" w:name="_Toc530660798"/>
      <w:bookmarkStart w:id="22" w:name="_Toc152042304"/>
      <w:bookmarkStart w:id="23" w:name="_Toc152045528"/>
      <w:bookmarkStart w:id="24" w:name="_Toc144974496"/>
      <w:bookmarkStart w:id="25" w:name="_Toc494121476"/>
      <w:r>
        <w:rPr>
          <w:rFonts w:hint="eastAsia" w:ascii="宋体" w:eastAsia="宋体"/>
          <w:b w:val="0"/>
          <w:color w:val="auto"/>
          <w:sz w:val="28"/>
          <w:szCs w:val="28"/>
          <w:highlight w:val="none"/>
        </w:rPr>
        <w:t>第一节 投标人须知前附表</w:t>
      </w:r>
      <w:bookmarkEnd w:id="19"/>
      <w:bookmarkEnd w:id="20"/>
      <w:bookmarkEnd w:id="21"/>
      <w:bookmarkEnd w:id="22"/>
      <w:bookmarkEnd w:id="23"/>
      <w:bookmarkEnd w:id="24"/>
      <w:bookmarkEnd w:id="25"/>
    </w:p>
    <w:tbl>
      <w:tblPr>
        <w:tblStyle w:val="19"/>
        <w:tblW w:w="1009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9"/>
        <w:gridCol w:w="1701"/>
        <w:gridCol w:w="7430"/>
      </w:tblGrid>
      <w:tr w14:paraId="2C25B3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39963B1">
            <w:pPr>
              <w:tabs>
                <w:tab w:val="right" w:leader="dot" w:pos="8295"/>
              </w:tabs>
              <w:jc w:val="center"/>
              <w:rPr>
                <w:rFonts w:ascii="宋体"/>
                <w:color w:val="auto"/>
                <w:szCs w:val="24"/>
                <w:highlight w:val="none"/>
              </w:rPr>
            </w:pPr>
            <w:r>
              <w:rPr>
                <w:rFonts w:hint="eastAsia" w:ascii="宋体"/>
                <w:color w:val="auto"/>
                <w:szCs w:val="24"/>
                <w:highlight w:val="none"/>
              </w:rPr>
              <w:t>条款号</w:t>
            </w:r>
          </w:p>
        </w:tc>
        <w:tc>
          <w:tcPr>
            <w:tcW w:w="1701" w:type="dxa"/>
            <w:vAlign w:val="center"/>
          </w:tcPr>
          <w:p w14:paraId="1A5B7343">
            <w:pPr>
              <w:tabs>
                <w:tab w:val="right" w:leader="dot" w:pos="8295"/>
              </w:tabs>
              <w:jc w:val="center"/>
              <w:rPr>
                <w:rFonts w:ascii="宋体"/>
                <w:color w:val="auto"/>
                <w:szCs w:val="24"/>
                <w:highlight w:val="none"/>
              </w:rPr>
            </w:pPr>
            <w:r>
              <w:rPr>
                <w:rFonts w:hint="eastAsia" w:ascii="宋体"/>
                <w:color w:val="auto"/>
                <w:szCs w:val="24"/>
                <w:highlight w:val="none"/>
              </w:rPr>
              <w:t>条款名称</w:t>
            </w:r>
          </w:p>
        </w:tc>
        <w:tc>
          <w:tcPr>
            <w:tcW w:w="7430" w:type="dxa"/>
            <w:vAlign w:val="center"/>
          </w:tcPr>
          <w:p w14:paraId="38B37021">
            <w:pPr>
              <w:tabs>
                <w:tab w:val="right" w:leader="dot" w:pos="8295"/>
              </w:tabs>
              <w:jc w:val="center"/>
              <w:rPr>
                <w:rFonts w:ascii="宋体"/>
                <w:color w:val="auto"/>
                <w:szCs w:val="24"/>
                <w:highlight w:val="none"/>
              </w:rPr>
            </w:pPr>
            <w:r>
              <w:rPr>
                <w:rFonts w:hint="eastAsia" w:ascii="宋体"/>
                <w:color w:val="auto"/>
                <w:szCs w:val="24"/>
                <w:highlight w:val="none"/>
              </w:rPr>
              <w:t>编  列  内  容</w:t>
            </w:r>
          </w:p>
        </w:tc>
      </w:tr>
      <w:tr w14:paraId="0A47F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AADBF3C">
            <w:pPr>
              <w:tabs>
                <w:tab w:val="right" w:leader="dot" w:pos="8295"/>
              </w:tabs>
              <w:jc w:val="center"/>
              <w:rPr>
                <w:rFonts w:ascii="宋体"/>
                <w:color w:val="auto"/>
                <w:szCs w:val="24"/>
                <w:highlight w:val="none"/>
              </w:rPr>
            </w:pPr>
            <w:r>
              <w:rPr>
                <w:rFonts w:hint="eastAsia" w:ascii="宋体"/>
                <w:color w:val="auto"/>
                <w:szCs w:val="24"/>
                <w:highlight w:val="none"/>
              </w:rPr>
              <w:t>1.1.2</w:t>
            </w:r>
          </w:p>
        </w:tc>
        <w:tc>
          <w:tcPr>
            <w:tcW w:w="1701" w:type="dxa"/>
            <w:vAlign w:val="center"/>
          </w:tcPr>
          <w:p w14:paraId="04A9E1D5">
            <w:pPr>
              <w:tabs>
                <w:tab w:val="right" w:leader="dot" w:pos="8295"/>
              </w:tabs>
              <w:jc w:val="center"/>
              <w:rPr>
                <w:rFonts w:ascii="宋体"/>
                <w:color w:val="auto"/>
                <w:szCs w:val="24"/>
                <w:highlight w:val="none"/>
              </w:rPr>
            </w:pPr>
            <w:r>
              <w:rPr>
                <w:rFonts w:hint="eastAsia" w:ascii="宋体"/>
                <w:color w:val="auto"/>
                <w:szCs w:val="24"/>
                <w:highlight w:val="none"/>
              </w:rPr>
              <w:t>招标人</w:t>
            </w:r>
          </w:p>
        </w:tc>
        <w:tc>
          <w:tcPr>
            <w:tcW w:w="7430" w:type="dxa"/>
            <w:vAlign w:val="center"/>
          </w:tcPr>
          <w:p w14:paraId="18275FE2">
            <w:pPr>
              <w:jc w:val="left"/>
              <w:rPr>
                <w:rFonts w:ascii="宋体"/>
                <w:color w:val="auto"/>
                <w:szCs w:val="24"/>
                <w:highlight w:val="none"/>
              </w:rPr>
            </w:pPr>
            <w:r>
              <w:rPr>
                <w:rFonts w:hint="eastAsia" w:ascii="宋体"/>
                <w:color w:val="auto"/>
                <w:szCs w:val="24"/>
                <w:highlight w:val="none"/>
              </w:rPr>
              <w:t>招标人：浙江衢州巨塑化工有限公司</w:t>
            </w:r>
          </w:p>
          <w:p w14:paraId="51391A05">
            <w:pPr>
              <w:jc w:val="left"/>
              <w:rPr>
                <w:rFonts w:ascii="宋体"/>
                <w:color w:val="auto"/>
                <w:szCs w:val="24"/>
                <w:highlight w:val="none"/>
              </w:rPr>
            </w:pPr>
            <w:r>
              <w:rPr>
                <w:rFonts w:hint="eastAsia" w:ascii="宋体"/>
                <w:color w:val="auto"/>
                <w:szCs w:val="24"/>
                <w:highlight w:val="none"/>
              </w:rPr>
              <w:t>地 址：浙江省衢州市智造新城高新片区（巨化公司内）</w:t>
            </w:r>
          </w:p>
          <w:p w14:paraId="06697241">
            <w:pPr>
              <w:jc w:val="left"/>
              <w:rPr>
                <w:rFonts w:ascii="宋体"/>
                <w:color w:val="auto"/>
                <w:szCs w:val="24"/>
                <w:highlight w:val="none"/>
              </w:rPr>
            </w:pPr>
            <w:r>
              <w:rPr>
                <w:rFonts w:hint="eastAsia" w:ascii="宋体"/>
                <w:color w:val="auto"/>
                <w:szCs w:val="24"/>
                <w:highlight w:val="none"/>
              </w:rPr>
              <w:t>联系人：宋工</w:t>
            </w:r>
          </w:p>
          <w:p w14:paraId="68CBFD79">
            <w:pPr>
              <w:jc w:val="left"/>
              <w:rPr>
                <w:rFonts w:ascii="宋体"/>
                <w:color w:val="auto"/>
                <w:szCs w:val="24"/>
                <w:highlight w:val="none"/>
              </w:rPr>
            </w:pPr>
            <w:r>
              <w:rPr>
                <w:rFonts w:hint="eastAsia" w:ascii="宋体"/>
                <w:color w:val="auto"/>
                <w:szCs w:val="24"/>
                <w:highlight w:val="none"/>
              </w:rPr>
              <w:t>电话： 0570-3615716</w:t>
            </w:r>
          </w:p>
        </w:tc>
      </w:tr>
      <w:tr w14:paraId="6AD16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59" w:type="dxa"/>
            <w:vAlign w:val="center"/>
          </w:tcPr>
          <w:p w14:paraId="1547B68E">
            <w:pPr>
              <w:tabs>
                <w:tab w:val="right" w:leader="dot" w:pos="8295"/>
              </w:tabs>
              <w:jc w:val="center"/>
              <w:rPr>
                <w:rFonts w:ascii="宋体"/>
                <w:color w:val="auto"/>
                <w:szCs w:val="24"/>
                <w:highlight w:val="none"/>
              </w:rPr>
            </w:pPr>
            <w:r>
              <w:rPr>
                <w:rFonts w:hint="eastAsia" w:ascii="宋体"/>
                <w:color w:val="auto"/>
                <w:szCs w:val="24"/>
                <w:highlight w:val="none"/>
              </w:rPr>
              <w:t>1.1.3</w:t>
            </w:r>
          </w:p>
        </w:tc>
        <w:tc>
          <w:tcPr>
            <w:tcW w:w="1701" w:type="dxa"/>
            <w:vAlign w:val="center"/>
          </w:tcPr>
          <w:p w14:paraId="6BD6CDBB">
            <w:pPr>
              <w:tabs>
                <w:tab w:val="right" w:leader="dot" w:pos="8295"/>
              </w:tabs>
              <w:jc w:val="center"/>
              <w:rPr>
                <w:rFonts w:ascii="宋体"/>
                <w:color w:val="auto"/>
                <w:szCs w:val="24"/>
                <w:highlight w:val="none"/>
              </w:rPr>
            </w:pPr>
            <w:r>
              <w:rPr>
                <w:rFonts w:hint="eastAsia" w:ascii="宋体"/>
                <w:color w:val="auto"/>
                <w:szCs w:val="24"/>
                <w:highlight w:val="none"/>
              </w:rPr>
              <w:t>招标代理</w:t>
            </w:r>
          </w:p>
          <w:p w14:paraId="03710027">
            <w:pPr>
              <w:tabs>
                <w:tab w:val="right" w:leader="dot" w:pos="8295"/>
              </w:tabs>
              <w:jc w:val="center"/>
              <w:rPr>
                <w:rFonts w:ascii="宋体"/>
                <w:color w:val="auto"/>
                <w:szCs w:val="24"/>
                <w:highlight w:val="none"/>
              </w:rPr>
            </w:pPr>
            <w:r>
              <w:rPr>
                <w:rFonts w:hint="eastAsia" w:ascii="宋体"/>
                <w:color w:val="auto"/>
                <w:szCs w:val="24"/>
                <w:highlight w:val="none"/>
              </w:rPr>
              <w:t>机构</w:t>
            </w:r>
          </w:p>
        </w:tc>
        <w:tc>
          <w:tcPr>
            <w:tcW w:w="7430" w:type="dxa"/>
            <w:vAlign w:val="center"/>
          </w:tcPr>
          <w:p w14:paraId="7391527D">
            <w:pPr>
              <w:tabs>
                <w:tab w:val="right" w:leader="dot" w:pos="8295"/>
              </w:tabs>
              <w:jc w:val="left"/>
              <w:rPr>
                <w:rFonts w:ascii="宋体"/>
                <w:color w:val="auto"/>
                <w:szCs w:val="24"/>
                <w:highlight w:val="none"/>
              </w:rPr>
            </w:pPr>
            <w:r>
              <w:rPr>
                <w:rFonts w:hint="eastAsia" w:ascii="宋体"/>
                <w:color w:val="auto"/>
                <w:szCs w:val="24"/>
                <w:highlight w:val="none"/>
              </w:rPr>
              <w:t>名称：浙江南方工程咨询管理有限公司</w:t>
            </w:r>
          </w:p>
          <w:p w14:paraId="7E81ABFA">
            <w:pPr>
              <w:tabs>
                <w:tab w:val="right" w:leader="dot" w:pos="8295"/>
              </w:tabs>
              <w:jc w:val="left"/>
              <w:rPr>
                <w:rFonts w:ascii="宋体"/>
                <w:color w:val="auto"/>
                <w:szCs w:val="24"/>
                <w:highlight w:val="none"/>
              </w:rPr>
            </w:pPr>
            <w:r>
              <w:rPr>
                <w:rFonts w:hint="eastAsia" w:ascii="宋体"/>
                <w:color w:val="auto"/>
                <w:szCs w:val="24"/>
                <w:highlight w:val="none"/>
              </w:rPr>
              <w:t>地址：浙江衢州市柯城区衢化街道文昌路99号九州大厦四楼</w:t>
            </w:r>
          </w:p>
          <w:p w14:paraId="2BEA0639">
            <w:pPr>
              <w:tabs>
                <w:tab w:val="right" w:leader="dot" w:pos="8295"/>
              </w:tabs>
              <w:jc w:val="left"/>
              <w:rPr>
                <w:rFonts w:ascii="宋体"/>
                <w:color w:val="auto"/>
                <w:szCs w:val="24"/>
                <w:highlight w:val="none"/>
              </w:rPr>
            </w:pPr>
            <w:r>
              <w:rPr>
                <w:rFonts w:hint="eastAsia" w:ascii="宋体"/>
                <w:color w:val="auto"/>
                <w:szCs w:val="24"/>
                <w:highlight w:val="none"/>
              </w:rPr>
              <w:t>联系人：颜先生、王女士</w:t>
            </w:r>
          </w:p>
          <w:p w14:paraId="6D48C0F2">
            <w:pPr>
              <w:tabs>
                <w:tab w:val="right" w:leader="dot" w:pos="8295"/>
              </w:tabs>
              <w:jc w:val="left"/>
              <w:rPr>
                <w:rFonts w:ascii="宋体"/>
                <w:color w:val="auto"/>
                <w:szCs w:val="24"/>
                <w:highlight w:val="none"/>
              </w:rPr>
            </w:pPr>
            <w:r>
              <w:rPr>
                <w:rFonts w:hint="eastAsia" w:ascii="宋体"/>
                <w:color w:val="auto"/>
                <w:szCs w:val="24"/>
                <w:highlight w:val="none"/>
              </w:rPr>
              <w:t>联系电话：18905707159、13059721359</w:t>
            </w:r>
          </w:p>
        </w:tc>
      </w:tr>
      <w:tr w14:paraId="7DBA4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021DCE1">
            <w:pPr>
              <w:tabs>
                <w:tab w:val="right" w:leader="dot" w:pos="8295"/>
              </w:tabs>
              <w:jc w:val="center"/>
              <w:rPr>
                <w:rFonts w:ascii="宋体"/>
                <w:color w:val="auto"/>
                <w:szCs w:val="24"/>
                <w:highlight w:val="none"/>
              </w:rPr>
            </w:pPr>
            <w:r>
              <w:rPr>
                <w:rFonts w:hint="eastAsia" w:ascii="宋体"/>
                <w:color w:val="auto"/>
                <w:szCs w:val="24"/>
                <w:highlight w:val="none"/>
              </w:rPr>
              <w:t>1.1.4</w:t>
            </w:r>
          </w:p>
        </w:tc>
        <w:tc>
          <w:tcPr>
            <w:tcW w:w="1701" w:type="dxa"/>
            <w:vAlign w:val="center"/>
          </w:tcPr>
          <w:p w14:paraId="10238234">
            <w:pPr>
              <w:tabs>
                <w:tab w:val="right" w:leader="dot" w:pos="8295"/>
              </w:tabs>
              <w:jc w:val="center"/>
              <w:rPr>
                <w:rFonts w:ascii="宋体"/>
                <w:color w:val="auto"/>
                <w:szCs w:val="24"/>
                <w:highlight w:val="none"/>
              </w:rPr>
            </w:pPr>
            <w:r>
              <w:rPr>
                <w:rFonts w:hint="eastAsia" w:ascii="宋体"/>
                <w:color w:val="auto"/>
                <w:szCs w:val="24"/>
                <w:highlight w:val="none"/>
              </w:rPr>
              <w:t>项目名称</w:t>
            </w:r>
          </w:p>
        </w:tc>
        <w:tc>
          <w:tcPr>
            <w:tcW w:w="7430" w:type="dxa"/>
            <w:vAlign w:val="center"/>
          </w:tcPr>
          <w:p w14:paraId="67AD9AFB">
            <w:pPr>
              <w:tabs>
                <w:tab w:val="right" w:leader="dot" w:pos="8295"/>
              </w:tabs>
              <w:jc w:val="left"/>
              <w:rPr>
                <w:rFonts w:ascii="宋体"/>
                <w:color w:val="auto"/>
                <w:szCs w:val="24"/>
                <w:highlight w:val="none"/>
              </w:rPr>
            </w:pPr>
            <w:r>
              <w:rPr>
                <w:rFonts w:hint="eastAsia" w:ascii="宋体"/>
                <w:color w:val="auto"/>
                <w:szCs w:val="24"/>
                <w:highlight w:val="none"/>
              </w:rPr>
              <w:t>浙江衢州巨塑化工有限公司皂化清液浓缩装置三效蒸发乏汽回收余热利用节能改造项目合作实施方招标</w:t>
            </w:r>
          </w:p>
        </w:tc>
      </w:tr>
      <w:tr w14:paraId="22F3B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5A84316">
            <w:pPr>
              <w:tabs>
                <w:tab w:val="right" w:leader="dot" w:pos="8295"/>
              </w:tabs>
              <w:jc w:val="center"/>
              <w:rPr>
                <w:rFonts w:ascii="宋体"/>
                <w:color w:val="auto"/>
                <w:szCs w:val="24"/>
                <w:highlight w:val="none"/>
              </w:rPr>
            </w:pPr>
            <w:r>
              <w:rPr>
                <w:rFonts w:hint="eastAsia" w:ascii="宋体"/>
                <w:color w:val="auto"/>
                <w:szCs w:val="24"/>
                <w:highlight w:val="none"/>
              </w:rPr>
              <w:t>1.1.5</w:t>
            </w:r>
          </w:p>
        </w:tc>
        <w:tc>
          <w:tcPr>
            <w:tcW w:w="1701" w:type="dxa"/>
            <w:vAlign w:val="center"/>
          </w:tcPr>
          <w:p w14:paraId="3C832810">
            <w:pPr>
              <w:tabs>
                <w:tab w:val="right" w:leader="dot" w:pos="8295"/>
              </w:tabs>
              <w:jc w:val="center"/>
              <w:rPr>
                <w:rFonts w:ascii="宋体"/>
                <w:color w:val="auto"/>
                <w:szCs w:val="24"/>
                <w:highlight w:val="none"/>
              </w:rPr>
            </w:pPr>
            <w:r>
              <w:rPr>
                <w:rFonts w:hint="eastAsia" w:ascii="宋体"/>
                <w:color w:val="auto"/>
                <w:szCs w:val="24"/>
                <w:highlight w:val="none"/>
              </w:rPr>
              <w:t>建设地点</w:t>
            </w:r>
          </w:p>
        </w:tc>
        <w:tc>
          <w:tcPr>
            <w:tcW w:w="7430" w:type="dxa"/>
            <w:shd w:val="clear" w:color="auto" w:fill="auto"/>
            <w:vAlign w:val="center"/>
          </w:tcPr>
          <w:p w14:paraId="4E7EBCA6">
            <w:pPr>
              <w:tabs>
                <w:tab w:val="right" w:leader="dot" w:pos="8295"/>
              </w:tabs>
              <w:jc w:val="left"/>
              <w:rPr>
                <w:rFonts w:ascii="宋体"/>
                <w:color w:val="auto"/>
                <w:szCs w:val="24"/>
                <w:highlight w:val="none"/>
              </w:rPr>
            </w:pPr>
            <w:r>
              <w:rPr>
                <w:rFonts w:hint="eastAsia" w:ascii="宋体"/>
                <w:color w:val="auto"/>
                <w:szCs w:val="24"/>
                <w:highlight w:val="none"/>
              </w:rPr>
              <w:t>衢州智造新城高新片区浙江衢州巨塑化工有限公司内</w:t>
            </w:r>
          </w:p>
        </w:tc>
      </w:tr>
      <w:tr w14:paraId="78CBB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9BA67CA">
            <w:pPr>
              <w:tabs>
                <w:tab w:val="right" w:leader="dot" w:pos="8295"/>
              </w:tabs>
              <w:jc w:val="center"/>
              <w:rPr>
                <w:rFonts w:ascii="宋体"/>
                <w:color w:val="auto"/>
                <w:szCs w:val="24"/>
                <w:highlight w:val="none"/>
              </w:rPr>
            </w:pPr>
            <w:r>
              <w:rPr>
                <w:rFonts w:hint="eastAsia" w:ascii="宋体"/>
                <w:color w:val="auto"/>
                <w:szCs w:val="24"/>
                <w:highlight w:val="none"/>
              </w:rPr>
              <w:t>1.2.1</w:t>
            </w:r>
          </w:p>
        </w:tc>
        <w:tc>
          <w:tcPr>
            <w:tcW w:w="1701" w:type="dxa"/>
            <w:vAlign w:val="center"/>
          </w:tcPr>
          <w:p w14:paraId="59009741">
            <w:pPr>
              <w:tabs>
                <w:tab w:val="right" w:leader="dot" w:pos="8295"/>
              </w:tabs>
              <w:jc w:val="center"/>
              <w:rPr>
                <w:rFonts w:ascii="宋体"/>
                <w:color w:val="auto"/>
                <w:szCs w:val="24"/>
                <w:highlight w:val="none"/>
              </w:rPr>
            </w:pPr>
            <w:r>
              <w:rPr>
                <w:rFonts w:hint="eastAsia" w:ascii="宋体"/>
                <w:color w:val="auto"/>
                <w:szCs w:val="24"/>
                <w:highlight w:val="none"/>
              </w:rPr>
              <w:t>资金来源</w:t>
            </w:r>
          </w:p>
        </w:tc>
        <w:tc>
          <w:tcPr>
            <w:tcW w:w="7430" w:type="dxa"/>
            <w:shd w:val="clear" w:color="auto" w:fill="auto"/>
            <w:vAlign w:val="center"/>
          </w:tcPr>
          <w:p w14:paraId="4B28285F">
            <w:pPr>
              <w:tabs>
                <w:tab w:val="right" w:leader="dot" w:pos="8295"/>
              </w:tabs>
              <w:jc w:val="left"/>
              <w:rPr>
                <w:rFonts w:ascii="宋体"/>
                <w:color w:val="auto"/>
                <w:szCs w:val="24"/>
                <w:highlight w:val="none"/>
              </w:rPr>
            </w:pPr>
            <w:r>
              <w:rPr>
                <w:rFonts w:hint="eastAsia" w:ascii="宋体"/>
                <w:color w:val="auto"/>
                <w:szCs w:val="24"/>
                <w:highlight w:val="none"/>
              </w:rPr>
              <w:t>自筹</w:t>
            </w:r>
          </w:p>
        </w:tc>
      </w:tr>
      <w:tr w14:paraId="36092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05C48716">
            <w:pPr>
              <w:tabs>
                <w:tab w:val="right" w:leader="dot" w:pos="8295"/>
              </w:tabs>
              <w:jc w:val="center"/>
              <w:rPr>
                <w:rFonts w:ascii="宋体"/>
                <w:color w:val="auto"/>
                <w:szCs w:val="24"/>
                <w:highlight w:val="none"/>
              </w:rPr>
            </w:pPr>
            <w:r>
              <w:rPr>
                <w:rFonts w:hint="eastAsia" w:ascii="宋体"/>
                <w:color w:val="auto"/>
                <w:szCs w:val="24"/>
                <w:highlight w:val="none"/>
              </w:rPr>
              <w:t>1.2.2</w:t>
            </w:r>
          </w:p>
        </w:tc>
        <w:tc>
          <w:tcPr>
            <w:tcW w:w="1701" w:type="dxa"/>
            <w:vAlign w:val="center"/>
          </w:tcPr>
          <w:p w14:paraId="7C3E867F">
            <w:pPr>
              <w:tabs>
                <w:tab w:val="right" w:leader="dot" w:pos="8295"/>
              </w:tabs>
              <w:jc w:val="center"/>
              <w:rPr>
                <w:rFonts w:ascii="宋体"/>
                <w:color w:val="auto"/>
                <w:szCs w:val="24"/>
                <w:highlight w:val="none"/>
              </w:rPr>
            </w:pPr>
            <w:r>
              <w:rPr>
                <w:rFonts w:hint="eastAsia" w:ascii="宋体"/>
                <w:color w:val="auto"/>
                <w:szCs w:val="24"/>
                <w:highlight w:val="none"/>
              </w:rPr>
              <w:t>出资比例</w:t>
            </w:r>
          </w:p>
        </w:tc>
        <w:tc>
          <w:tcPr>
            <w:tcW w:w="7430" w:type="dxa"/>
            <w:shd w:val="clear" w:color="auto" w:fill="auto"/>
            <w:vAlign w:val="center"/>
          </w:tcPr>
          <w:p w14:paraId="09B2542A">
            <w:pPr>
              <w:tabs>
                <w:tab w:val="right" w:leader="dot" w:pos="8295"/>
              </w:tabs>
              <w:jc w:val="left"/>
              <w:rPr>
                <w:rFonts w:ascii="宋体"/>
                <w:color w:val="auto"/>
                <w:szCs w:val="24"/>
                <w:highlight w:val="none"/>
              </w:rPr>
            </w:pPr>
            <w:r>
              <w:rPr>
                <w:rFonts w:hint="eastAsia" w:ascii="宋体"/>
                <w:color w:val="auto"/>
                <w:szCs w:val="24"/>
                <w:highlight w:val="none"/>
              </w:rPr>
              <w:t>巨塑与中标人联合投资，其中：</w:t>
            </w:r>
          </w:p>
          <w:p w14:paraId="514E007B">
            <w:pPr>
              <w:tabs>
                <w:tab w:val="right" w:leader="dot" w:pos="8295"/>
              </w:tabs>
              <w:jc w:val="left"/>
              <w:rPr>
                <w:rFonts w:ascii="宋体"/>
                <w:color w:val="auto"/>
                <w:szCs w:val="24"/>
                <w:highlight w:val="none"/>
              </w:rPr>
            </w:pPr>
            <w:r>
              <w:rPr>
                <w:rFonts w:hint="eastAsia" w:ascii="宋体"/>
                <w:color w:val="auto"/>
                <w:szCs w:val="24"/>
                <w:highlight w:val="none"/>
              </w:rPr>
              <w:t>巨塑投资项目土建及三同时相关其他费用；</w:t>
            </w:r>
          </w:p>
          <w:p w14:paraId="72A9C06E">
            <w:pPr>
              <w:tabs>
                <w:tab w:val="right" w:leader="dot" w:pos="8295"/>
              </w:tabs>
              <w:jc w:val="left"/>
              <w:rPr>
                <w:rFonts w:ascii="宋体"/>
                <w:color w:val="auto"/>
                <w:szCs w:val="24"/>
                <w:highlight w:val="none"/>
              </w:rPr>
            </w:pPr>
            <w:r>
              <w:rPr>
                <w:rFonts w:hint="eastAsia" w:ascii="宋体"/>
                <w:color w:val="auto"/>
                <w:szCs w:val="24"/>
                <w:highlight w:val="none"/>
              </w:rPr>
              <w:t>中标人投资本项目成套蒸汽压缩机及相关改造设备、安装工程、材料、除土建及三同时相关外其他费用（提供设备清单）</w:t>
            </w:r>
          </w:p>
        </w:tc>
      </w:tr>
      <w:tr w14:paraId="675263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53011D0">
            <w:pPr>
              <w:tabs>
                <w:tab w:val="right" w:leader="dot" w:pos="8295"/>
              </w:tabs>
              <w:jc w:val="center"/>
              <w:rPr>
                <w:rFonts w:ascii="宋体"/>
                <w:color w:val="auto"/>
                <w:szCs w:val="24"/>
                <w:highlight w:val="none"/>
              </w:rPr>
            </w:pPr>
            <w:r>
              <w:rPr>
                <w:rFonts w:hint="eastAsia" w:ascii="宋体"/>
                <w:color w:val="auto"/>
                <w:szCs w:val="24"/>
                <w:highlight w:val="none"/>
              </w:rPr>
              <w:t>1.2.3</w:t>
            </w:r>
          </w:p>
        </w:tc>
        <w:tc>
          <w:tcPr>
            <w:tcW w:w="1701" w:type="dxa"/>
            <w:vAlign w:val="center"/>
          </w:tcPr>
          <w:p w14:paraId="56914642">
            <w:pPr>
              <w:tabs>
                <w:tab w:val="right" w:leader="dot" w:pos="8295"/>
              </w:tabs>
              <w:jc w:val="center"/>
              <w:rPr>
                <w:rFonts w:ascii="宋体"/>
                <w:color w:val="auto"/>
                <w:szCs w:val="24"/>
                <w:highlight w:val="none"/>
              </w:rPr>
            </w:pPr>
            <w:r>
              <w:rPr>
                <w:rFonts w:hint="eastAsia" w:ascii="宋体"/>
                <w:color w:val="auto"/>
                <w:szCs w:val="24"/>
                <w:highlight w:val="none"/>
              </w:rPr>
              <w:t>资金落实情况</w:t>
            </w:r>
          </w:p>
        </w:tc>
        <w:tc>
          <w:tcPr>
            <w:tcW w:w="7430" w:type="dxa"/>
            <w:vAlign w:val="center"/>
          </w:tcPr>
          <w:p w14:paraId="257A8C4A">
            <w:pPr>
              <w:tabs>
                <w:tab w:val="right" w:leader="dot" w:pos="8295"/>
              </w:tabs>
              <w:jc w:val="left"/>
              <w:rPr>
                <w:rFonts w:ascii="宋体"/>
                <w:color w:val="auto"/>
                <w:szCs w:val="24"/>
                <w:highlight w:val="none"/>
              </w:rPr>
            </w:pPr>
            <w:r>
              <w:rPr>
                <w:rFonts w:hint="eastAsia" w:ascii="宋体"/>
                <w:color w:val="auto"/>
                <w:szCs w:val="24"/>
                <w:highlight w:val="none"/>
              </w:rPr>
              <w:t>已落实</w:t>
            </w:r>
          </w:p>
        </w:tc>
      </w:tr>
      <w:tr w14:paraId="410AE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E1E4370">
            <w:pPr>
              <w:tabs>
                <w:tab w:val="right" w:leader="dot" w:pos="8295"/>
              </w:tabs>
              <w:jc w:val="center"/>
              <w:rPr>
                <w:rFonts w:ascii="宋体"/>
                <w:color w:val="auto"/>
                <w:szCs w:val="24"/>
                <w:highlight w:val="none"/>
              </w:rPr>
            </w:pPr>
            <w:r>
              <w:rPr>
                <w:rFonts w:hint="eastAsia" w:ascii="宋体"/>
                <w:color w:val="auto"/>
                <w:szCs w:val="24"/>
                <w:highlight w:val="none"/>
              </w:rPr>
              <w:t>1.3.1</w:t>
            </w:r>
          </w:p>
        </w:tc>
        <w:tc>
          <w:tcPr>
            <w:tcW w:w="1701" w:type="dxa"/>
            <w:vAlign w:val="center"/>
          </w:tcPr>
          <w:p w14:paraId="7ADA2BDB">
            <w:pPr>
              <w:tabs>
                <w:tab w:val="right" w:leader="dot" w:pos="8295"/>
              </w:tabs>
              <w:jc w:val="center"/>
              <w:rPr>
                <w:rFonts w:ascii="宋体"/>
                <w:color w:val="auto"/>
                <w:szCs w:val="24"/>
                <w:highlight w:val="none"/>
              </w:rPr>
            </w:pPr>
            <w:r>
              <w:rPr>
                <w:rFonts w:hint="eastAsia" w:ascii="宋体"/>
                <w:color w:val="auto"/>
                <w:szCs w:val="24"/>
                <w:highlight w:val="none"/>
              </w:rPr>
              <w:t>招标范围</w:t>
            </w:r>
          </w:p>
        </w:tc>
        <w:tc>
          <w:tcPr>
            <w:tcW w:w="7430" w:type="dxa"/>
            <w:vAlign w:val="center"/>
          </w:tcPr>
          <w:p w14:paraId="0643941C">
            <w:pPr>
              <w:tabs>
                <w:tab w:val="right" w:leader="dot" w:pos="8295"/>
              </w:tabs>
              <w:jc w:val="left"/>
              <w:rPr>
                <w:rFonts w:ascii="宋体"/>
                <w:color w:val="auto"/>
                <w:szCs w:val="24"/>
                <w:highlight w:val="none"/>
              </w:rPr>
            </w:pPr>
            <w:r>
              <w:rPr>
                <w:rFonts w:hint="eastAsia" w:ascii="宋体"/>
                <w:color w:val="auto"/>
                <w:szCs w:val="24"/>
                <w:highlight w:val="none"/>
              </w:rPr>
              <w:t>浙江衢州巨塑化工有限公司皂化清液浓缩装置三效蒸发乏汽回收余热利用节能改造项目合作实施方招标</w:t>
            </w:r>
          </w:p>
        </w:tc>
      </w:tr>
      <w:tr w14:paraId="1DC625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02A945D">
            <w:pPr>
              <w:tabs>
                <w:tab w:val="right" w:leader="dot" w:pos="8295"/>
              </w:tabs>
              <w:jc w:val="center"/>
              <w:rPr>
                <w:rFonts w:ascii="宋体"/>
                <w:color w:val="auto"/>
                <w:szCs w:val="24"/>
                <w:highlight w:val="none"/>
              </w:rPr>
            </w:pPr>
            <w:r>
              <w:rPr>
                <w:rFonts w:hint="eastAsia" w:ascii="宋体"/>
                <w:color w:val="auto"/>
                <w:szCs w:val="24"/>
                <w:highlight w:val="none"/>
              </w:rPr>
              <w:t>1.3.2</w:t>
            </w:r>
          </w:p>
        </w:tc>
        <w:tc>
          <w:tcPr>
            <w:tcW w:w="1701" w:type="dxa"/>
            <w:vAlign w:val="center"/>
          </w:tcPr>
          <w:p w14:paraId="1931A51A">
            <w:pPr>
              <w:tabs>
                <w:tab w:val="right" w:leader="dot" w:pos="8295"/>
              </w:tabs>
              <w:jc w:val="center"/>
              <w:rPr>
                <w:rFonts w:ascii="宋体"/>
                <w:color w:val="auto"/>
                <w:szCs w:val="24"/>
                <w:highlight w:val="none"/>
              </w:rPr>
            </w:pPr>
            <w:r>
              <w:rPr>
                <w:rFonts w:hint="eastAsia" w:ascii="宋体"/>
                <w:color w:val="auto"/>
                <w:szCs w:val="24"/>
                <w:highlight w:val="none"/>
              </w:rPr>
              <w:t>工期要求</w:t>
            </w:r>
          </w:p>
        </w:tc>
        <w:tc>
          <w:tcPr>
            <w:tcW w:w="7430" w:type="dxa"/>
            <w:vAlign w:val="center"/>
          </w:tcPr>
          <w:p w14:paraId="5B678A80">
            <w:pPr>
              <w:tabs>
                <w:tab w:val="right" w:leader="dot" w:pos="8295"/>
              </w:tabs>
              <w:jc w:val="left"/>
              <w:rPr>
                <w:rFonts w:ascii="宋体"/>
                <w:color w:val="auto"/>
                <w:szCs w:val="24"/>
                <w:highlight w:val="none"/>
              </w:rPr>
            </w:pPr>
            <w:bookmarkStart w:id="26" w:name="_Hlk90302554"/>
            <w:r>
              <w:rPr>
                <w:rFonts w:hint="eastAsia" w:ascii="宋体"/>
                <w:color w:val="auto"/>
                <w:szCs w:val="24"/>
                <w:highlight w:val="none"/>
              </w:rPr>
              <w:t>计划工期：</w:t>
            </w:r>
            <w:bookmarkEnd w:id="26"/>
            <w:r>
              <w:rPr>
                <w:rFonts w:hint="eastAsia" w:ascii="宋体"/>
                <w:color w:val="auto"/>
                <w:szCs w:val="24"/>
                <w:highlight w:val="none"/>
              </w:rPr>
              <w:t>合同签订后300个日历天内项目具备试车条件。</w:t>
            </w:r>
          </w:p>
        </w:tc>
      </w:tr>
      <w:tr w14:paraId="415AE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88EB3FB">
            <w:pPr>
              <w:tabs>
                <w:tab w:val="right" w:leader="dot" w:pos="8295"/>
              </w:tabs>
              <w:jc w:val="center"/>
              <w:rPr>
                <w:rFonts w:ascii="宋体"/>
                <w:color w:val="auto"/>
                <w:szCs w:val="24"/>
                <w:highlight w:val="none"/>
              </w:rPr>
            </w:pPr>
            <w:r>
              <w:rPr>
                <w:rFonts w:hint="eastAsia" w:ascii="宋体"/>
                <w:color w:val="auto"/>
                <w:szCs w:val="24"/>
                <w:highlight w:val="none"/>
              </w:rPr>
              <w:t>1.3.3</w:t>
            </w:r>
          </w:p>
        </w:tc>
        <w:tc>
          <w:tcPr>
            <w:tcW w:w="1701" w:type="dxa"/>
            <w:vAlign w:val="center"/>
          </w:tcPr>
          <w:p w14:paraId="5D27A2FF">
            <w:pPr>
              <w:tabs>
                <w:tab w:val="right" w:leader="dot" w:pos="8295"/>
              </w:tabs>
              <w:jc w:val="center"/>
              <w:rPr>
                <w:rFonts w:ascii="宋体"/>
                <w:color w:val="auto"/>
                <w:szCs w:val="24"/>
                <w:highlight w:val="none"/>
              </w:rPr>
            </w:pPr>
            <w:r>
              <w:rPr>
                <w:rFonts w:hint="eastAsia" w:ascii="宋体"/>
                <w:color w:val="auto"/>
                <w:szCs w:val="24"/>
                <w:highlight w:val="none"/>
              </w:rPr>
              <w:t>质量要求</w:t>
            </w:r>
          </w:p>
        </w:tc>
        <w:tc>
          <w:tcPr>
            <w:tcW w:w="7430" w:type="dxa"/>
            <w:vAlign w:val="center"/>
          </w:tcPr>
          <w:p w14:paraId="187E568E">
            <w:pPr>
              <w:tabs>
                <w:tab w:val="right" w:leader="dot" w:pos="8295"/>
              </w:tabs>
              <w:jc w:val="left"/>
              <w:rPr>
                <w:rFonts w:ascii="宋体"/>
                <w:color w:val="auto"/>
                <w:szCs w:val="24"/>
                <w:highlight w:val="none"/>
              </w:rPr>
            </w:pPr>
            <w:r>
              <w:rPr>
                <w:rFonts w:hint="eastAsia" w:ascii="宋体"/>
                <w:color w:val="auto"/>
                <w:szCs w:val="24"/>
                <w:highlight w:val="none"/>
              </w:rPr>
              <w:t>按国家标准一次性验收合格</w:t>
            </w:r>
          </w:p>
        </w:tc>
      </w:tr>
      <w:tr w14:paraId="77425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Merge w:val="restart"/>
            <w:vAlign w:val="center"/>
          </w:tcPr>
          <w:p w14:paraId="7FEEFBFE">
            <w:pPr>
              <w:tabs>
                <w:tab w:val="right" w:leader="dot" w:pos="8295"/>
              </w:tabs>
              <w:jc w:val="center"/>
              <w:rPr>
                <w:rFonts w:ascii="宋体"/>
                <w:color w:val="auto"/>
                <w:szCs w:val="24"/>
                <w:highlight w:val="none"/>
              </w:rPr>
            </w:pPr>
            <w:r>
              <w:rPr>
                <w:rFonts w:hint="eastAsia" w:ascii="宋体"/>
                <w:color w:val="auto"/>
                <w:szCs w:val="24"/>
                <w:highlight w:val="none"/>
              </w:rPr>
              <w:t>1.4.1</w:t>
            </w:r>
          </w:p>
        </w:tc>
        <w:tc>
          <w:tcPr>
            <w:tcW w:w="1701" w:type="dxa"/>
            <w:vAlign w:val="center"/>
          </w:tcPr>
          <w:p w14:paraId="6A2D65E8">
            <w:pPr>
              <w:tabs>
                <w:tab w:val="right" w:leader="dot" w:pos="8295"/>
              </w:tabs>
              <w:jc w:val="center"/>
              <w:rPr>
                <w:rFonts w:ascii="宋体"/>
                <w:color w:val="auto"/>
                <w:szCs w:val="24"/>
                <w:highlight w:val="none"/>
              </w:rPr>
            </w:pPr>
            <w:r>
              <w:rPr>
                <w:rFonts w:hint="eastAsia" w:ascii="宋体"/>
                <w:color w:val="auto"/>
                <w:szCs w:val="24"/>
                <w:highlight w:val="none"/>
              </w:rPr>
              <w:t>投标资格</w:t>
            </w:r>
          </w:p>
          <w:p w14:paraId="2ACEAACD">
            <w:pPr>
              <w:tabs>
                <w:tab w:val="right" w:leader="dot" w:pos="8295"/>
              </w:tabs>
              <w:jc w:val="center"/>
              <w:rPr>
                <w:rFonts w:ascii="宋体"/>
                <w:color w:val="auto"/>
                <w:szCs w:val="24"/>
                <w:highlight w:val="none"/>
              </w:rPr>
            </w:pPr>
            <w:r>
              <w:rPr>
                <w:rFonts w:hint="eastAsia" w:ascii="宋体"/>
                <w:color w:val="auto"/>
                <w:szCs w:val="24"/>
                <w:highlight w:val="none"/>
              </w:rPr>
              <w:t>条件、要求</w:t>
            </w:r>
          </w:p>
        </w:tc>
        <w:tc>
          <w:tcPr>
            <w:tcW w:w="7430" w:type="dxa"/>
            <w:vAlign w:val="center"/>
          </w:tcPr>
          <w:p w14:paraId="5F64FC0E">
            <w:pPr>
              <w:pStyle w:val="25"/>
              <w:tabs>
                <w:tab w:val="right" w:leader="dot" w:pos="8295"/>
              </w:tabs>
              <w:ind w:firstLine="0"/>
              <w:jc w:val="left"/>
              <w:rPr>
                <w:color w:val="auto"/>
                <w:highlight w:val="none"/>
              </w:rPr>
            </w:pPr>
            <w:r>
              <w:rPr>
                <w:rFonts w:hint="eastAsia"/>
                <w:color w:val="auto"/>
                <w:sz w:val="21"/>
                <w:highlight w:val="none"/>
              </w:rPr>
              <w:t>见招标公告内容。</w:t>
            </w:r>
          </w:p>
        </w:tc>
      </w:tr>
      <w:tr w14:paraId="022EB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Merge w:val="continue"/>
            <w:vAlign w:val="center"/>
          </w:tcPr>
          <w:p w14:paraId="63FD0591">
            <w:pPr>
              <w:rPr>
                <w:color w:val="auto"/>
                <w:highlight w:val="none"/>
              </w:rPr>
            </w:pPr>
          </w:p>
        </w:tc>
        <w:tc>
          <w:tcPr>
            <w:tcW w:w="1701" w:type="dxa"/>
            <w:vAlign w:val="center"/>
          </w:tcPr>
          <w:p w14:paraId="2310CB34">
            <w:pPr>
              <w:tabs>
                <w:tab w:val="right" w:leader="dot" w:pos="8295"/>
              </w:tabs>
              <w:jc w:val="center"/>
              <w:rPr>
                <w:rFonts w:ascii="宋体"/>
                <w:color w:val="auto"/>
                <w:szCs w:val="24"/>
                <w:highlight w:val="none"/>
              </w:rPr>
            </w:pPr>
            <w:r>
              <w:rPr>
                <w:rFonts w:hint="eastAsia" w:ascii="宋体"/>
                <w:color w:val="auto"/>
                <w:szCs w:val="24"/>
                <w:highlight w:val="none"/>
              </w:rPr>
              <w:t>业绩要求</w:t>
            </w:r>
          </w:p>
        </w:tc>
        <w:tc>
          <w:tcPr>
            <w:tcW w:w="7430" w:type="dxa"/>
            <w:vAlign w:val="center"/>
          </w:tcPr>
          <w:p w14:paraId="7690CA6F">
            <w:pPr>
              <w:pStyle w:val="25"/>
              <w:tabs>
                <w:tab w:val="right" w:leader="dot" w:pos="8295"/>
              </w:tabs>
              <w:ind w:firstLine="0"/>
              <w:jc w:val="left"/>
              <w:rPr>
                <w:color w:val="auto"/>
                <w:highlight w:val="none"/>
                <w:shd w:val="clear" w:color="000000" w:fill="FFFFFF"/>
              </w:rPr>
            </w:pPr>
            <w:r>
              <w:rPr>
                <w:rFonts w:hint="eastAsia"/>
                <w:color w:val="auto"/>
                <w:sz w:val="21"/>
                <w:highlight w:val="none"/>
              </w:rPr>
              <w:t>按招标公告要求</w:t>
            </w:r>
          </w:p>
        </w:tc>
      </w:tr>
      <w:tr w14:paraId="40F6C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CFFD4BB">
            <w:pPr>
              <w:tabs>
                <w:tab w:val="right" w:leader="dot" w:pos="8295"/>
              </w:tabs>
              <w:jc w:val="center"/>
              <w:rPr>
                <w:rFonts w:ascii="宋体"/>
                <w:color w:val="auto"/>
                <w:szCs w:val="24"/>
                <w:highlight w:val="none"/>
              </w:rPr>
            </w:pPr>
            <w:r>
              <w:rPr>
                <w:rFonts w:hint="eastAsia" w:ascii="宋体"/>
                <w:color w:val="auto"/>
                <w:szCs w:val="24"/>
                <w:highlight w:val="none"/>
              </w:rPr>
              <w:t>1.4.3</w:t>
            </w:r>
          </w:p>
        </w:tc>
        <w:tc>
          <w:tcPr>
            <w:tcW w:w="1701" w:type="dxa"/>
            <w:vAlign w:val="center"/>
          </w:tcPr>
          <w:p w14:paraId="1F981CDB">
            <w:pPr>
              <w:tabs>
                <w:tab w:val="right" w:leader="dot" w:pos="8295"/>
              </w:tabs>
              <w:jc w:val="center"/>
              <w:rPr>
                <w:rFonts w:ascii="宋体"/>
                <w:color w:val="auto"/>
                <w:szCs w:val="24"/>
                <w:highlight w:val="none"/>
              </w:rPr>
            </w:pPr>
            <w:r>
              <w:rPr>
                <w:rFonts w:hint="eastAsia" w:ascii="宋体"/>
                <w:color w:val="auto"/>
                <w:szCs w:val="24"/>
                <w:highlight w:val="none"/>
              </w:rPr>
              <w:t>是否接受</w:t>
            </w:r>
          </w:p>
          <w:p w14:paraId="03BE733F">
            <w:pPr>
              <w:tabs>
                <w:tab w:val="right" w:leader="dot" w:pos="8295"/>
              </w:tabs>
              <w:jc w:val="center"/>
              <w:rPr>
                <w:rFonts w:ascii="宋体"/>
                <w:color w:val="auto"/>
                <w:szCs w:val="24"/>
                <w:highlight w:val="none"/>
              </w:rPr>
            </w:pPr>
            <w:r>
              <w:rPr>
                <w:rFonts w:hint="eastAsia" w:ascii="宋体"/>
                <w:color w:val="auto"/>
                <w:szCs w:val="24"/>
                <w:highlight w:val="none"/>
              </w:rPr>
              <w:t>联合体投标</w:t>
            </w:r>
          </w:p>
        </w:tc>
        <w:tc>
          <w:tcPr>
            <w:tcW w:w="7430" w:type="dxa"/>
            <w:vAlign w:val="center"/>
          </w:tcPr>
          <w:p w14:paraId="60138859">
            <w:pPr>
              <w:tabs>
                <w:tab w:val="right" w:leader="dot" w:pos="8295"/>
              </w:tabs>
              <w:jc w:val="left"/>
              <w:rPr>
                <w:rFonts w:ascii="宋体"/>
                <w:color w:val="auto"/>
                <w:szCs w:val="24"/>
                <w:highlight w:val="none"/>
              </w:rPr>
            </w:pPr>
            <w:r>
              <w:rPr>
                <w:rFonts w:hint="eastAsia" w:ascii="宋体" w:cs="MS Mincho"/>
                <w:color w:val="auto"/>
                <w:szCs w:val="24"/>
                <w:highlight w:val="none"/>
              </w:rPr>
              <w:t>□</w:t>
            </w:r>
            <w:r>
              <w:rPr>
                <w:rFonts w:hint="eastAsia" w:ascii="宋体"/>
                <w:color w:val="auto"/>
                <w:szCs w:val="24"/>
                <w:highlight w:val="none"/>
              </w:rPr>
              <w:t>不接受。</w:t>
            </w:r>
          </w:p>
          <w:p w14:paraId="66C6741A">
            <w:pPr>
              <w:tabs>
                <w:tab w:val="right" w:leader="dot" w:pos="8295"/>
              </w:tabs>
              <w:jc w:val="left"/>
              <w:rPr>
                <w:rFonts w:ascii="宋体"/>
                <w:color w:val="auto"/>
                <w:szCs w:val="24"/>
                <w:highlight w:val="none"/>
              </w:rPr>
            </w:pPr>
            <w:r>
              <w:rPr>
                <w:rFonts w:hint="eastAsia" w:ascii="宋体"/>
                <w:color w:val="auto"/>
                <w:szCs w:val="24"/>
                <w:highlight w:val="none"/>
              </w:rPr>
              <w:t>☑接受（不超过2家）。应满足下列要求：按招标公告要求</w:t>
            </w:r>
          </w:p>
        </w:tc>
      </w:tr>
      <w:tr w14:paraId="33889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596D90B">
            <w:pPr>
              <w:tabs>
                <w:tab w:val="right" w:leader="dot" w:pos="8295"/>
              </w:tabs>
              <w:jc w:val="center"/>
              <w:rPr>
                <w:rFonts w:ascii="宋体"/>
                <w:color w:val="auto"/>
                <w:szCs w:val="24"/>
                <w:highlight w:val="none"/>
              </w:rPr>
            </w:pPr>
            <w:r>
              <w:rPr>
                <w:rFonts w:hint="eastAsia" w:ascii="宋体"/>
                <w:color w:val="auto"/>
                <w:szCs w:val="24"/>
                <w:highlight w:val="none"/>
              </w:rPr>
              <w:t>1.4.4</w:t>
            </w:r>
          </w:p>
        </w:tc>
        <w:tc>
          <w:tcPr>
            <w:tcW w:w="1701" w:type="dxa"/>
            <w:vAlign w:val="center"/>
          </w:tcPr>
          <w:p w14:paraId="76BAAB6A">
            <w:pPr>
              <w:tabs>
                <w:tab w:val="right" w:leader="dot" w:pos="8295"/>
              </w:tabs>
              <w:jc w:val="center"/>
              <w:rPr>
                <w:rFonts w:ascii="宋体"/>
                <w:color w:val="auto"/>
                <w:szCs w:val="24"/>
                <w:highlight w:val="none"/>
              </w:rPr>
            </w:pPr>
            <w:r>
              <w:rPr>
                <w:rFonts w:hint="eastAsia" w:ascii="宋体"/>
                <w:color w:val="auto"/>
                <w:szCs w:val="24"/>
                <w:highlight w:val="none"/>
              </w:rPr>
              <w:t>资格审查方式</w:t>
            </w:r>
          </w:p>
        </w:tc>
        <w:tc>
          <w:tcPr>
            <w:tcW w:w="7430" w:type="dxa"/>
            <w:vAlign w:val="center"/>
          </w:tcPr>
          <w:p w14:paraId="294DFD71">
            <w:pPr>
              <w:tabs>
                <w:tab w:val="right" w:leader="dot" w:pos="8295"/>
              </w:tabs>
              <w:jc w:val="left"/>
              <w:rPr>
                <w:rFonts w:ascii="宋体"/>
                <w:color w:val="auto"/>
                <w:szCs w:val="24"/>
                <w:highlight w:val="none"/>
              </w:rPr>
            </w:pPr>
            <w:r>
              <w:rPr>
                <w:rFonts w:hint="eastAsia" w:ascii="宋体"/>
                <w:color w:val="auto"/>
                <w:szCs w:val="24"/>
                <w:highlight w:val="none"/>
              </w:rPr>
              <w:t>采用资格后审</w:t>
            </w:r>
          </w:p>
        </w:tc>
      </w:tr>
      <w:tr w14:paraId="419B8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311DC3E">
            <w:pPr>
              <w:tabs>
                <w:tab w:val="right" w:leader="dot" w:pos="8295"/>
              </w:tabs>
              <w:jc w:val="center"/>
              <w:rPr>
                <w:rFonts w:ascii="宋体"/>
                <w:color w:val="auto"/>
                <w:szCs w:val="24"/>
                <w:highlight w:val="none"/>
              </w:rPr>
            </w:pPr>
            <w:r>
              <w:rPr>
                <w:rFonts w:hint="eastAsia" w:ascii="宋体"/>
                <w:color w:val="auto"/>
                <w:szCs w:val="24"/>
                <w:highlight w:val="none"/>
              </w:rPr>
              <w:t>1.9.1</w:t>
            </w:r>
          </w:p>
        </w:tc>
        <w:tc>
          <w:tcPr>
            <w:tcW w:w="1701" w:type="dxa"/>
            <w:vAlign w:val="center"/>
          </w:tcPr>
          <w:p w14:paraId="560D1B75">
            <w:pPr>
              <w:tabs>
                <w:tab w:val="right" w:leader="dot" w:pos="8295"/>
              </w:tabs>
              <w:jc w:val="center"/>
              <w:rPr>
                <w:rFonts w:ascii="宋体"/>
                <w:color w:val="auto"/>
                <w:szCs w:val="24"/>
                <w:highlight w:val="none"/>
              </w:rPr>
            </w:pPr>
            <w:r>
              <w:rPr>
                <w:rFonts w:hint="eastAsia" w:ascii="宋体"/>
                <w:color w:val="auto"/>
                <w:szCs w:val="24"/>
                <w:highlight w:val="none"/>
              </w:rPr>
              <w:t>踏勘现场</w:t>
            </w:r>
          </w:p>
        </w:tc>
        <w:tc>
          <w:tcPr>
            <w:tcW w:w="7430" w:type="dxa"/>
            <w:vAlign w:val="center"/>
          </w:tcPr>
          <w:p w14:paraId="7038087C">
            <w:pPr>
              <w:tabs>
                <w:tab w:val="right" w:leader="dot" w:pos="8295"/>
              </w:tabs>
              <w:jc w:val="left"/>
              <w:rPr>
                <w:rFonts w:ascii="宋体"/>
                <w:color w:val="auto"/>
                <w:szCs w:val="24"/>
                <w:highlight w:val="none"/>
              </w:rPr>
            </w:pPr>
            <w:r>
              <w:rPr>
                <w:rFonts w:hint="eastAsia" w:ascii="宋体" w:hAnsi="宋体" w:eastAsia="MS Mincho" w:cs="MS Mincho"/>
                <w:color w:val="auto"/>
                <w:szCs w:val="24"/>
                <w:highlight w:val="none"/>
              </w:rPr>
              <w:t>☑</w:t>
            </w:r>
            <w:r>
              <w:rPr>
                <w:rFonts w:hint="eastAsia" w:ascii="宋体"/>
                <w:color w:val="auto"/>
                <w:szCs w:val="24"/>
                <w:highlight w:val="none"/>
              </w:rPr>
              <w:t>不组织。</w:t>
            </w:r>
          </w:p>
          <w:p w14:paraId="069096EB">
            <w:pPr>
              <w:tabs>
                <w:tab w:val="right" w:leader="dot" w:pos="8295"/>
              </w:tabs>
              <w:jc w:val="left"/>
              <w:rPr>
                <w:rFonts w:ascii="宋体"/>
                <w:color w:val="auto"/>
                <w:szCs w:val="24"/>
                <w:highlight w:val="none"/>
              </w:rPr>
            </w:pPr>
            <w:r>
              <w:rPr>
                <w:rFonts w:hint="eastAsia" w:ascii="宋体"/>
                <w:color w:val="auto"/>
                <w:szCs w:val="24"/>
                <w:highlight w:val="none"/>
              </w:rPr>
              <w:t>□组织。</w:t>
            </w:r>
          </w:p>
          <w:p w14:paraId="33AFD665">
            <w:pPr>
              <w:tabs>
                <w:tab w:val="right" w:leader="dot" w:pos="8295"/>
              </w:tabs>
              <w:ind w:firstLine="240"/>
              <w:jc w:val="left"/>
              <w:rPr>
                <w:rFonts w:ascii="宋体"/>
                <w:color w:val="auto"/>
                <w:szCs w:val="24"/>
                <w:highlight w:val="none"/>
                <w:u w:val="single"/>
              </w:rPr>
            </w:pPr>
            <w:r>
              <w:rPr>
                <w:rFonts w:hint="eastAsia" w:ascii="宋体"/>
                <w:color w:val="auto"/>
                <w:szCs w:val="24"/>
                <w:highlight w:val="none"/>
              </w:rPr>
              <w:t xml:space="preserve">联系人：    电话：    踏勘时间：    踏勘集中地点： </w:t>
            </w:r>
          </w:p>
        </w:tc>
      </w:tr>
      <w:tr w14:paraId="3B7CC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AFF59D7">
            <w:pPr>
              <w:tabs>
                <w:tab w:val="right" w:leader="dot" w:pos="8295"/>
              </w:tabs>
              <w:jc w:val="center"/>
              <w:rPr>
                <w:rFonts w:ascii="宋体"/>
                <w:color w:val="auto"/>
                <w:szCs w:val="24"/>
                <w:highlight w:val="none"/>
              </w:rPr>
            </w:pPr>
            <w:r>
              <w:rPr>
                <w:rFonts w:hint="eastAsia" w:ascii="宋体"/>
                <w:color w:val="auto"/>
                <w:szCs w:val="24"/>
                <w:highlight w:val="none"/>
              </w:rPr>
              <w:t>1.10.1</w:t>
            </w:r>
          </w:p>
        </w:tc>
        <w:tc>
          <w:tcPr>
            <w:tcW w:w="1701" w:type="dxa"/>
            <w:vAlign w:val="center"/>
          </w:tcPr>
          <w:p w14:paraId="2CAFB4B6">
            <w:pPr>
              <w:tabs>
                <w:tab w:val="right" w:leader="dot" w:pos="8295"/>
              </w:tabs>
              <w:jc w:val="center"/>
              <w:rPr>
                <w:rFonts w:ascii="宋体"/>
                <w:color w:val="auto"/>
                <w:szCs w:val="24"/>
                <w:highlight w:val="none"/>
              </w:rPr>
            </w:pPr>
            <w:r>
              <w:rPr>
                <w:rFonts w:hint="eastAsia" w:ascii="宋体"/>
                <w:color w:val="auto"/>
                <w:szCs w:val="24"/>
                <w:highlight w:val="none"/>
              </w:rPr>
              <w:t>投标预备会</w:t>
            </w:r>
          </w:p>
        </w:tc>
        <w:tc>
          <w:tcPr>
            <w:tcW w:w="7430" w:type="dxa"/>
            <w:vAlign w:val="center"/>
          </w:tcPr>
          <w:p w14:paraId="4658DB4C">
            <w:pPr>
              <w:tabs>
                <w:tab w:val="right" w:leader="dot" w:pos="8295"/>
              </w:tabs>
              <w:jc w:val="left"/>
              <w:rPr>
                <w:rFonts w:ascii="宋体"/>
                <w:color w:val="auto"/>
                <w:szCs w:val="24"/>
                <w:highlight w:val="none"/>
              </w:rPr>
            </w:pPr>
            <w:r>
              <w:rPr>
                <w:rFonts w:hint="eastAsia" w:ascii="宋体" w:hAnsi="宋体" w:eastAsia="MS Mincho" w:cs="MS Mincho"/>
                <w:color w:val="auto"/>
                <w:szCs w:val="24"/>
                <w:highlight w:val="none"/>
              </w:rPr>
              <w:t>☑</w:t>
            </w:r>
            <w:r>
              <w:rPr>
                <w:rFonts w:hint="eastAsia" w:ascii="宋体"/>
                <w:color w:val="auto"/>
                <w:szCs w:val="24"/>
                <w:highlight w:val="none"/>
              </w:rPr>
              <w:t>不召开。</w:t>
            </w:r>
          </w:p>
          <w:p w14:paraId="5244A3C6">
            <w:pPr>
              <w:tabs>
                <w:tab w:val="right" w:leader="dot" w:pos="8295"/>
              </w:tabs>
              <w:jc w:val="left"/>
              <w:rPr>
                <w:rFonts w:ascii="宋体"/>
                <w:color w:val="auto"/>
                <w:szCs w:val="24"/>
                <w:highlight w:val="none"/>
                <w:u w:val="single"/>
              </w:rPr>
            </w:pPr>
            <w:r>
              <w:rPr>
                <w:rFonts w:hint="eastAsia" w:ascii="宋体"/>
                <w:color w:val="auto"/>
                <w:szCs w:val="24"/>
                <w:highlight w:val="none"/>
              </w:rPr>
              <w:t>□召开。召开时间：</w:t>
            </w:r>
          </w:p>
          <w:p w14:paraId="65F40548">
            <w:pPr>
              <w:tabs>
                <w:tab w:val="right" w:leader="dot" w:pos="8295"/>
              </w:tabs>
              <w:ind w:firstLine="960"/>
              <w:jc w:val="left"/>
              <w:rPr>
                <w:rFonts w:ascii="宋体"/>
                <w:color w:val="auto"/>
                <w:szCs w:val="24"/>
                <w:highlight w:val="none"/>
                <w:u w:val="single"/>
              </w:rPr>
            </w:pPr>
            <w:r>
              <w:rPr>
                <w:rFonts w:hint="eastAsia" w:ascii="宋体"/>
                <w:color w:val="auto"/>
                <w:szCs w:val="24"/>
                <w:highlight w:val="none"/>
              </w:rPr>
              <w:t>召开地点：</w:t>
            </w:r>
          </w:p>
        </w:tc>
      </w:tr>
      <w:tr w14:paraId="0F93A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BE5FB16">
            <w:pPr>
              <w:tabs>
                <w:tab w:val="right" w:leader="dot" w:pos="8295"/>
              </w:tabs>
              <w:jc w:val="center"/>
              <w:rPr>
                <w:rFonts w:ascii="宋体"/>
                <w:color w:val="auto"/>
                <w:szCs w:val="24"/>
                <w:highlight w:val="none"/>
              </w:rPr>
            </w:pPr>
            <w:r>
              <w:rPr>
                <w:rFonts w:hint="eastAsia" w:ascii="宋体"/>
                <w:color w:val="auto"/>
                <w:szCs w:val="24"/>
                <w:highlight w:val="none"/>
              </w:rPr>
              <w:t>1.10.2</w:t>
            </w:r>
          </w:p>
        </w:tc>
        <w:tc>
          <w:tcPr>
            <w:tcW w:w="1701" w:type="dxa"/>
            <w:vAlign w:val="center"/>
          </w:tcPr>
          <w:p w14:paraId="31E5F837">
            <w:pPr>
              <w:tabs>
                <w:tab w:val="right" w:leader="dot" w:pos="8295"/>
              </w:tabs>
              <w:jc w:val="center"/>
              <w:rPr>
                <w:rFonts w:ascii="宋体"/>
                <w:color w:val="auto"/>
                <w:szCs w:val="24"/>
                <w:highlight w:val="none"/>
              </w:rPr>
            </w:pPr>
            <w:r>
              <w:rPr>
                <w:rFonts w:hint="eastAsia" w:ascii="宋体"/>
                <w:color w:val="auto"/>
                <w:szCs w:val="24"/>
                <w:highlight w:val="none"/>
              </w:rPr>
              <w:t>投标人提出问题的截止时间、上传疑问方式</w:t>
            </w:r>
          </w:p>
        </w:tc>
        <w:tc>
          <w:tcPr>
            <w:tcW w:w="7430" w:type="dxa"/>
            <w:vAlign w:val="center"/>
          </w:tcPr>
          <w:p w14:paraId="3C58106A">
            <w:pPr>
              <w:tabs>
                <w:tab w:val="right" w:leader="dot" w:pos="8295"/>
              </w:tabs>
              <w:jc w:val="left"/>
              <w:rPr>
                <w:rFonts w:ascii="宋体"/>
                <w:color w:val="auto"/>
                <w:szCs w:val="24"/>
                <w:highlight w:val="none"/>
                <w:shd w:val="clear" w:color="000000" w:fill="FFFFFF"/>
              </w:rPr>
            </w:pPr>
            <w:r>
              <w:rPr>
                <w:rFonts w:hint="eastAsia" w:ascii="宋体"/>
                <w:color w:val="auto"/>
                <w:szCs w:val="24"/>
                <w:highlight w:val="none"/>
              </w:rPr>
              <w:t>投标人提出问题的截止时间：同招标公告。</w:t>
            </w:r>
          </w:p>
          <w:p w14:paraId="648DF4EB">
            <w:pPr>
              <w:tabs>
                <w:tab w:val="right" w:leader="dot" w:pos="8295"/>
              </w:tabs>
              <w:jc w:val="left"/>
              <w:rPr>
                <w:rFonts w:ascii="宋体"/>
                <w:color w:val="auto"/>
                <w:szCs w:val="24"/>
                <w:highlight w:val="none"/>
                <w:bdr w:val="single" w:color="000000" w:sz="4" w:space="0"/>
              </w:rPr>
            </w:pPr>
            <w:r>
              <w:rPr>
                <w:rFonts w:hint="eastAsia" w:ascii="宋体"/>
                <w:color w:val="auto"/>
                <w:szCs w:val="24"/>
                <w:highlight w:val="none"/>
              </w:rPr>
              <w:t>上传疑问方式：登录衢州市公共资源电子交易系统（https://ggzy.qz.gov.cn/）--“业务办理”--我要投标--提出质疑。</w:t>
            </w:r>
          </w:p>
        </w:tc>
      </w:tr>
      <w:tr w14:paraId="13AC4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6917A43">
            <w:pPr>
              <w:tabs>
                <w:tab w:val="right" w:leader="dot" w:pos="8295"/>
              </w:tabs>
              <w:jc w:val="center"/>
              <w:rPr>
                <w:rFonts w:ascii="宋体"/>
                <w:color w:val="auto"/>
                <w:szCs w:val="24"/>
                <w:highlight w:val="none"/>
              </w:rPr>
            </w:pPr>
            <w:r>
              <w:rPr>
                <w:rFonts w:hint="eastAsia" w:ascii="宋体"/>
                <w:color w:val="auto"/>
                <w:szCs w:val="24"/>
                <w:highlight w:val="none"/>
              </w:rPr>
              <w:t>1.10.3</w:t>
            </w:r>
          </w:p>
        </w:tc>
        <w:tc>
          <w:tcPr>
            <w:tcW w:w="1701" w:type="dxa"/>
            <w:vAlign w:val="center"/>
          </w:tcPr>
          <w:p w14:paraId="153FDE03">
            <w:pPr>
              <w:tabs>
                <w:tab w:val="right" w:leader="dot" w:pos="8295"/>
              </w:tabs>
              <w:jc w:val="center"/>
              <w:rPr>
                <w:rFonts w:ascii="宋体"/>
                <w:color w:val="auto"/>
                <w:szCs w:val="24"/>
                <w:highlight w:val="none"/>
              </w:rPr>
            </w:pPr>
            <w:r>
              <w:rPr>
                <w:rFonts w:hint="eastAsia" w:ascii="宋体"/>
                <w:color w:val="auto"/>
                <w:szCs w:val="24"/>
                <w:highlight w:val="none"/>
              </w:rPr>
              <w:t>招标文件的</w:t>
            </w:r>
          </w:p>
          <w:p w14:paraId="48B446B0">
            <w:pPr>
              <w:tabs>
                <w:tab w:val="right" w:leader="dot" w:pos="8295"/>
              </w:tabs>
              <w:jc w:val="center"/>
              <w:rPr>
                <w:rFonts w:ascii="宋体"/>
                <w:color w:val="auto"/>
                <w:szCs w:val="24"/>
                <w:highlight w:val="none"/>
              </w:rPr>
            </w:pPr>
            <w:r>
              <w:rPr>
                <w:rFonts w:hint="eastAsia" w:ascii="宋体"/>
                <w:color w:val="auto"/>
                <w:szCs w:val="24"/>
                <w:highlight w:val="none"/>
              </w:rPr>
              <w:t>澄清、补充、修改的时间及下载网址</w:t>
            </w:r>
          </w:p>
        </w:tc>
        <w:tc>
          <w:tcPr>
            <w:tcW w:w="7430" w:type="dxa"/>
            <w:vAlign w:val="center"/>
          </w:tcPr>
          <w:p w14:paraId="1E1F4750">
            <w:pPr>
              <w:tabs>
                <w:tab w:val="right" w:leader="dot" w:pos="8295"/>
              </w:tabs>
              <w:ind w:right="241" w:firstLine="514"/>
              <w:jc w:val="left"/>
              <w:rPr>
                <w:rFonts w:ascii="宋体"/>
                <w:color w:val="auto"/>
                <w:szCs w:val="24"/>
                <w:highlight w:val="none"/>
              </w:rPr>
            </w:pPr>
            <w:r>
              <w:rPr>
                <w:rFonts w:hint="eastAsia" w:ascii="宋体"/>
                <w:color w:val="auto"/>
                <w:szCs w:val="24"/>
                <w:highlight w:val="none"/>
              </w:rPr>
              <w:t>澄清、补充、修改的内容影响投标文件编制的，招标人将在投标截止时间15日前，以电子文件形式上传至电子招投标交易平台供投标人下载，不足15天的，招标人将顺延递交投标文件的截止时间。</w:t>
            </w:r>
          </w:p>
          <w:p w14:paraId="5AD7D2E6">
            <w:pPr>
              <w:tabs>
                <w:tab w:val="right" w:leader="dot" w:pos="8295"/>
              </w:tabs>
              <w:ind w:right="241" w:firstLine="514"/>
              <w:jc w:val="left"/>
              <w:rPr>
                <w:rFonts w:ascii="宋体"/>
                <w:color w:val="auto"/>
                <w:szCs w:val="24"/>
                <w:highlight w:val="none"/>
              </w:rPr>
            </w:pPr>
            <w:r>
              <w:rPr>
                <w:rFonts w:hint="eastAsia" w:ascii="宋体"/>
                <w:color w:val="auto"/>
                <w:szCs w:val="24"/>
                <w:highlight w:val="none"/>
              </w:rPr>
              <w:t>澄清、补充、修改的内容不影响投标文件编制的，将在投标文件递交截止时间3天前，以上款相同的形式发布。</w:t>
            </w:r>
          </w:p>
          <w:p w14:paraId="2BF4FD1B">
            <w:pPr>
              <w:tabs>
                <w:tab w:val="right" w:leader="dot" w:pos="8295"/>
              </w:tabs>
              <w:ind w:right="241" w:firstLine="514"/>
              <w:jc w:val="left"/>
              <w:rPr>
                <w:rFonts w:ascii="宋体"/>
                <w:color w:val="auto"/>
                <w:szCs w:val="24"/>
                <w:highlight w:val="none"/>
              </w:rPr>
            </w:pPr>
            <w:r>
              <w:rPr>
                <w:rFonts w:hint="eastAsia" w:ascii="宋体"/>
                <w:color w:val="auto"/>
                <w:szCs w:val="24"/>
                <w:highlight w:val="none"/>
              </w:rPr>
              <w:t>下载地址：衢州市公共资源电子交易系统（https://ggzy.qz.gov.cn/）</w:t>
            </w:r>
          </w:p>
          <w:p w14:paraId="4963109F">
            <w:pPr>
              <w:tabs>
                <w:tab w:val="right" w:leader="dot" w:pos="8295"/>
              </w:tabs>
              <w:ind w:right="241" w:firstLine="514"/>
              <w:jc w:val="left"/>
              <w:rPr>
                <w:rFonts w:ascii="宋体"/>
                <w:color w:val="auto"/>
                <w:szCs w:val="24"/>
                <w:highlight w:val="none"/>
              </w:rPr>
            </w:pPr>
            <w:r>
              <w:rPr>
                <w:rFonts w:hint="eastAsia" w:ascii="宋体"/>
                <w:color w:val="auto"/>
                <w:szCs w:val="24"/>
                <w:highlight w:val="none"/>
              </w:rPr>
              <w:t>注：潜在投标人应密切关注衢州市公共资源电子交易系统或衢州市市县一体公共资源交易平台，如有补充文件，投标人必须下载最新补充文件并导入投标文件制作工具，否则制作的电子投标文件将无法开标。</w:t>
            </w:r>
          </w:p>
        </w:tc>
      </w:tr>
      <w:tr w14:paraId="68B12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C138A1B">
            <w:pPr>
              <w:tabs>
                <w:tab w:val="right" w:leader="dot" w:pos="8295"/>
              </w:tabs>
              <w:jc w:val="center"/>
              <w:rPr>
                <w:rFonts w:ascii="宋体"/>
                <w:color w:val="auto"/>
                <w:szCs w:val="24"/>
                <w:highlight w:val="none"/>
              </w:rPr>
            </w:pPr>
            <w:r>
              <w:rPr>
                <w:rFonts w:hint="eastAsia" w:ascii="宋体"/>
                <w:color w:val="auto"/>
                <w:szCs w:val="24"/>
                <w:highlight w:val="none"/>
              </w:rPr>
              <w:t>1.11</w:t>
            </w:r>
          </w:p>
        </w:tc>
        <w:tc>
          <w:tcPr>
            <w:tcW w:w="1701" w:type="dxa"/>
            <w:vAlign w:val="center"/>
          </w:tcPr>
          <w:p w14:paraId="1FA39BEF">
            <w:pPr>
              <w:tabs>
                <w:tab w:val="right" w:leader="dot" w:pos="8295"/>
              </w:tabs>
              <w:jc w:val="center"/>
              <w:rPr>
                <w:rFonts w:ascii="宋体"/>
                <w:color w:val="auto"/>
                <w:szCs w:val="24"/>
                <w:highlight w:val="none"/>
              </w:rPr>
            </w:pPr>
            <w:r>
              <w:rPr>
                <w:rFonts w:hint="eastAsia" w:ascii="宋体"/>
                <w:color w:val="auto"/>
                <w:szCs w:val="24"/>
                <w:highlight w:val="none"/>
              </w:rPr>
              <w:t>招标工程是否允许分包</w:t>
            </w:r>
          </w:p>
        </w:tc>
        <w:tc>
          <w:tcPr>
            <w:tcW w:w="7430" w:type="dxa"/>
            <w:vAlign w:val="center"/>
          </w:tcPr>
          <w:p w14:paraId="4B3B1017">
            <w:pPr>
              <w:tabs>
                <w:tab w:val="right" w:leader="dot" w:pos="8295"/>
              </w:tabs>
              <w:jc w:val="left"/>
              <w:rPr>
                <w:rFonts w:ascii="宋体"/>
                <w:color w:val="auto"/>
                <w:szCs w:val="24"/>
                <w:highlight w:val="none"/>
              </w:rPr>
            </w:pPr>
            <w:r>
              <w:rPr>
                <w:rFonts w:hint="eastAsia" w:ascii="宋体"/>
                <w:color w:val="auto"/>
                <w:szCs w:val="24"/>
                <w:highlight w:val="none"/>
              </w:rPr>
              <w:t>□不允许。</w:t>
            </w:r>
          </w:p>
          <w:p w14:paraId="586F27BC">
            <w:pPr>
              <w:tabs>
                <w:tab w:val="right" w:leader="dot" w:pos="8295"/>
              </w:tabs>
              <w:jc w:val="left"/>
              <w:rPr>
                <w:rFonts w:ascii="宋体"/>
                <w:color w:val="auto"/>
                <w:szCs w:val="24"/>
                <w:highlight w:val="none"/>
              </w:rPr>
            </w:pPr>
            <w:r>
              <w:rPr>
                <w:rFonts w:hint="eastAsia" w:ascii="宋体"/>
                <w:color w:val="auto"/>
                <w:szCs w:val="24"/>
                <w:highlight w:val="none"/>
              </w:rPr>
              <w:t>☑允许。分包的工程内容：非主体工程分包符合相关法律法规规定且需征得发包人同意。</w:t>
            </w:r>
          </w:p>
          <w:p w14:paraId="6AA8BAB2">
            <w:pPr>
              <w:tabs>
                <w:tab w:val="right" w:leader="dot" w:pos="8295"/>
              </w:tabs>
              <w:jc w:val="left"/>
              <w:rPr>
                <w:rFonts w:ascii="宋体"/>
                <w:color w:val="auto"/>
                <w:szCs w:val="24"/>
                <w:highlight w:val="none"/>
              </w:rPr>
            </w:pPr>
            <w:r>
              <w:rPr>
                <w:rFonts w:hint="eastAsia" w:ascii="宋体"/>
                <w:color w:val="auto"/>
                <w:szCs w:val="24"/>
                <w:highlight w:val="none"/>
              </w:rPr>
              <w:t>分包金额要求：无</w:t>
            </w:r>
          </w:p>
          <w:p w14:paraId="05B44FAE">
            <w:pPr>
              <w:tabs>
                <w:tab w:val="right" w:leader="dot" w:pos="8295"/>
              </w:tabs>
              <w:jc w:val="left"/>
              <w:rPr>
                <w:rFonts w:ascii="宋体"/>
                <w:color w:val="auto"/>
                <w:szCs w:val="24"/>
                <w:highlight w:val="none"/>
              </w:rPr>
            </w:pPr>
            <w:r>
              <w:rPr>
                <w:rFonts w:hint="eastAsia" w:ascii="宋体"/>
                <w:color w:val="auto"/>
                <w:szCs w:val="24"/>
                <w:highlight w:val="none"/>
              </w:rPr>
              <w:t>分包企业的资格要求：分包人应符合国家法律法规规定的企业资质等级，且资格能力应与其分包工作的标准和规模相适应。因违法分包引起的责任由中标人负责。</w:t>
            </w:r>
          </w:p>
          <w:p w14:paraId="47760AD2">
            <w:pPr>
              <w:tabs>
                <w:tab w:val="right" w:leader="dot" w:pos="8295"/>
              </w:tabs>
              <w:jc w:val="left"/>
              <w:rPr>
                <w:rFonts w:hint="eastAsia" w:ascii="宋体" w:eastAsia="宋体"/>
                <w:color w:val="auto"/>
                <w:szCs w:val="24"/>
                <w:highlight w:val="none"/>
                <w:lang w:val="en-US" w:eastAsia="zh-CN"/>
              </w:rPr>
            </w:pPr>
            <w:r>
              <w:rPr>
                <w:rFonts w:hint="eastAsia" w:ascii="宋体"/>
                <w:color w:val="auto"/>
                <w:szCs w:val="24"/>
                <w:highlight w:val="none"/>
              </w:rPr>
              <w:t>项目实施方要求：</w:t>
            </w:r>
            <w:r>
              <w:rPr>
                <w:rFonts w:hint="eastAsia" w:ascii="宋体"/>
                <w:color w:val="auto"/>
                <w:szCs w:val="24"/>
                <w:highlight w:val="none"/>
                <w:lang w:eastAsia="zh-CN"/>
              </w:rPr>
              <w:t>（</w:t>
            </w:r>
            <w:r>
              <w:rPr>
                <w:rFonts w:hint="eastAsia" w:ascii="宋体"/>
                <w:color w:val="auto"/>
                <w:szCs w:val="24"/>
                <w:highlight w:val="none"/>
                <w:lang w:val="en-US" w:eastAsia="zh-CN"/>
              </w:rPr>
              <w:t>提供相应承诺</w:t>
            </w:r>
            <w:r>
              <w:rPr>
                <w:rFonts w:hint="eastAsia" w:ascii="宋体"/>
                <w:color w:val="auto"/>
                <w:szCs w:val="24"/>
                <w:highlight w:val="none"/>
                <w:lang w:eastAsia="zh-CN"/>
              </w:rPr>
              <w:t>）</w:t>
            </w:r>
          </w:p>
          <w:p w14:paraId="4B12668A">
            <w:pPr>
              <w:tabs>
                <w:tab w:val="right" w:leader="dot" w:pos="8295"/>
              </w:tabs>
              <w:jc w:val="left"/>
              <w:rPr>
                <w:rFonts w:ascii="宋体"/>
                <w:color w:val="auto"/>
                <w:szCs w:val="24"/>
                <w:highlight w:val="none"/>
              </w:rPr>
            </w:pPr>
            <w:r>
              <w:rPr>
                <w:rFonts w:hint="eastAsia" w:ascii="宋体"/>
                <w:color w:val="auto"/>
                <w:szCs w:val="24"/>
                <w:highlight w:val="none"/>
                <w:lang w:val="en-US" w:eastAsia="zh-CN"/>
              </w:rPr>
              <w:t>1</w:t>
            </w:r>
            <w:r>
              <w:rPr>
                <w:rFonts w:hint="eastAsia" w:ascii="宋体"/>
                <w:color w:val="auto"/>
                <w:szCs w:val="24"/>
                <w:highlight w:val="none"/>
              </w:rPr>
              <w:t>、其他设备（见清单）：投标人自行委托或通过招标</w:t>
            </w:r>
            <w:r>
              <w:rPr>
                <w:rFonts w:hint="eastAsia" w:ascii="宋体"/>
                <w:color w:val="auto"/>
                <w:szCs w:val="24"/>
                <w:highlight w:val="none"/>
                <w:lang w:val="en-US" w:eastAsia="zh-CN"/>
              </w:rPr>
              <w:t>方</w:t>
            </w:r>
            <w:r>
              <w:rPr>
                <w:rFonts w:hint="eastAsia" w:ascii="宋体"/>
                <w:color w:val="auto"/>
                <w:szCs w:val="24"/>
                <w:highlight w:val="none"/>
              </w:rPr>
              <w:t>式确定，须满足相应的制造资质要求。</w:t>
            </w:r>
          </w:p>
          <w:p w14:paraId="19D92377">
            <w:pPr>
              <w:tabs>
                <w:tab w:val="right" w:leader="dot" w:pos="8295"/>
              </w:tabs>
              <w:jc w:val="left"/>
              <w:rPr>
                <w:rFonts w:ascii="宋体"/>
                <w:color w:val="auto"/>
                <w:szCs w:val="24"/>
                <w:highlight w:val="none"/>
              </w:rPr>
            </w:pPr>
            <w:r>
              <w:rPr>
                <w:rFonts w:hint="eastAsia" w:ascii="宋体"/>
                <w:color w:val="auto"/>
                <w:szCs w:val="24"/>
                <w:highlight w:val="none"/>
                <w:lang w:val="en-US" w:eastAsia="zh-CN"/>
              </w:rPr>
              <w:t>2</w:t>
            </w:r>
            <w:r>
              <w:rPr>
                <w:rFonts w:hint="eastAsia" w:ascii="宋体"/>
                <w:color w:val="auto"/>
                <w:szCs w:val="24"/>
                <w:highlight w:val="none"/>
              </w:rPr>
              <w:t>、安装工程：</w:t>
            </w:r>
          </w:p>
          <w:p w14:paraId="7F54C45D">
            <w:pPr>
              <w:tabs>
                <w:tab w:val="right" w:leader="dot" w:pos="8295"/>
              </w:tabs>
              <w:jc w:val="left"/>
              <w:rPr>
                <w:rFonts w:ascii="宋体"/>
                <w:color w:val="auto"/>
                <w:szCs w:val="24"/>
                <w:highlight w:val="none"/>
              </w:rPr>
            </w:pPr>
            <w:r>
              <w:rPr>
                <w:rFonts w:hint="eastAsia" w:ascii="宋体"/>
                <w:color w:val="auto"/>
                <w:szCs w:val="24"/>
                <w:highlight w:val="none"/>
              </w:rPr>
              <w:t>（一）施工单位</w:t>
            </w:r>
          </w:p>
          <w:p w14:paraId="7211510B">
            <w:pPr>
              <w:tabs>
                <w:tab w:val="right" w:leader="dot" w:pos="8295"/>
              </w:tabs>
              <w:jc w:val="left"/>
              <w:rPr>
                <w:rFonts w:ascii="宋体"/>
                <w:color w:val="auto"/>
                <w:szCs w:val="24"/>
                <w:highlight w:val="none"/>
              </w:rPr>
            </w:pPr>
            <w:r>
              <w:rPr>
                <w:rFonts w:hint="eastAsia" w:ascii="宋体"/>
                <w:color w:val="auto"/>
                <w:szCs w:val="24"/>
                <w:highlight w:val="none"/>
              </w:rPr>
              <w:t>①具备石油化工工程施工总承包三级及以上资质和具有中华人民共和国特种设备安装改造修理许可证（压力管道）GC2级工业管道安装资质。资质证书在有效期内。</w:t>
            </w:r>
          </w:p>
          <w:p w14:paraId="2947E319">
            <w:pPr>
              <w:tabs>
                <w:tab w:val="right" w:leader="dot" w:pos="8295"/>
              </w:tabs>
              <w:jc w:val="left"/>
              <w:rPr>
                <w:rFonts w:ascii="宋体"/>
                <w:color w:val="auto"/>
                <w:szCs w:val="24"/>
                <w:highlight w:val="none"/>
              </w:rPr>
            </w:pPr>
            <w:r>
              <w:rPr>
                <w:rFonts w:hint="eastAsia" w:ascii="宋体"/>
                <w:color w:val="auto"/>
                <w:szCs w:val="24"/>
                <w:highlight w:val="none"/>
              </w:rPr>
              <w:t>②具备企业安全生产许可证，企业主要负责人（法定代表人、企业经理、企业分管安全生产的副经理、企业技术负责人）具有“建筑施工企业主要负责人安全生产考核合格证”A类证书。</w:t>
            </w:r>
          </w:p>
          <w:p w14:paraId="085AE616">
            <w:pPr>
              <w:tabs>
                <w:tab w:val="right" w:leader="dot" w:pos="8295"/>
              </w:tabs>
              <w:jc w:val="left"/>
              <w:rPr>
                <w:rFonts w:ascii="宋体"/>
                <w:color w:val="auto"/>
                <w:szCs w:val="24"/>
                <w:highlight w:val="none"/>
              </w:rPr>
            </w:pPr>
            <w:r>
              <w:rPr>
                <w:rFonts w:hint="eastAsia" w:ascii="宋体"/>
                <w:color w:val="auto"/>
                <w:szCs w:val="24"/>
                <w:highlight w:val="none"/>
              </w:rPr>
              <w:t>（二）拟派项目负责人（项目经理，下同）：</w:t>
            </w:r>
          </w:p>
          <w:p w14:paraId="0D9D849B">
            <w:pPr>
              <w:tabs>
                <w:tab w:val="right" w:leader="dot" w:pos="8295"/>
              </w:tabs>
              <w:jc w:val="left"/>
              <w:rPr>
                <w:rFonts w:ascii="宋体"/>
                <w:color w:val="auto"/>
                <w:szCs w:val="24"/>
                <w:highlight w:val="none"/>
              </w:rPr>
            </w:pPr>
            <w:r>
              <w:rPr>
                <w:rFonts w:hint="eastAsia" w:ascii="宋体"/>
                <w:color w:val="auto"/>
                <w:szCs w:val="24"/>
                <w:highlight w:val="none"/>
              </w:rPr>
              <w:t>①具有注册在投标人单位的机电工程专业二级及以上建造师执业资格，具有“建筑施工企业项目负责人安全生产考核合格证”B类证书。</w:t>
            </w:r>
          </w:p>
          <w:p w14:paraId="12AED8B1">
            <w:pPr>
              <w:tabs>
                <w:tab w:val="right" w:leader="dot" w:pos="8295"/>
              </w:tabs>
              <w:jc w:val="left"/>
              <w:rPr>
                <w:rFonts w:ascii="宋体"/>
                <w:color w:val="auto"/>
                <w:szCs w:val="24"/>
                <w:highlight w:val="none"/>
              </w:rPr>
            </w:pPr>
            <w:r>
              <w:rPr>
                <w:rFonts w:hint="eastAsia" w:ascii="宋体"/>
                <w:color w:val="auto"/>
                <w:szCs w:val="24"/>
                <w:highlight w:val="none"/>
              </w:rPr>
              <w:t>②项目负责人在投标人单位自2022年1月1日至今以项目负责人（项目经理）身份承接过合同金额在400万元及以上的石油化工工程业绩。</w:t>
            </w:r>
          </w:p>
          <w:p w14:paraId="3E2374A8">
            <w:pPr>
              <w:tabs>
                <w:tab w:val="right" w:leader="dot" w:pos="8295"/>
              </w:tabs>
              <w:jc w:val="left"/>
              <w:rPr>
                <w:rFonts w:ascii="宋体"/>
                <w:color w:val="auto"/>
                <w:szCs w:val="24"/>
                <w:highlight w:val="none"/>
              </w:rPr>
            </w:pPr>
            <w:r>
              <w:rPr>
                <w:rFonts w:hint="eastAsia" w:ascii="宋体"/>
                <w:color w:val="auto"/>
                <w:szCs w:val="24"/>
                <w:highlight w:val="none"/>
              </w:rPr>
              <w:t>（三）其他：</w:t>
            </w:r>
          </w:p>
          <w:p w14:paraId="52945B69">
            <w:pPr>
              <w:tabs>
                <w:tab w:val="right" w:leader="dot" w:pos="8295"/>
              </w:tabs>
              <w:jc w:val="left"/>
              <w:rPr>
                <w:rFonts w:ascii="宋体"/>
                <w:color w:val="auto"/>
                <w:szCs w:val="24"/>
                <w:highlight w:val="none"/>
              </w:rPr>
            </w:pPr>
            <w:r>
              <w:rPr>
                <w:rFonts w:hint="eastAsia" w:ascii="宋体"/>
                <w:color w:val="auto"/>
                <w:szCs w:val="24"/>
                <w:highlight w:val="none"/>
              </w:rPr>
              <w:t>①拟派施工现场专职安全生产管理人员具有“建筑施工企业专职安全生产管理人员安全生产考核合格证”C类证书，人数按建质﹝2008﹞91号《建筑施工企业安全生产管理机构设置及专职安全生产管理人员配备办法》的规定配置。</w:t>
            </w:r>
          </w:p>
          <w:p w14:paraId="58D7E3D2">
            <w:pPr>
              <w:tabs>
                <w:tab w:val="right" w:leader="dot" w:pos="8295"/>
              </w:tabs>
              <w:jc w:val="left"/>
              <w:rPr>
                <w:rFonts w:ascii="宋体"/>
                <w:color w:val="auto"/>
                <w:szCs w:val="24"/>
                <w:highlight w:val="none"/>
              </w:rPr>
            </w:pPr>
            <w:r>
              <w:rPr>
                <w:rFonts w:hint="eastAsia" w:ascii="宋体"/>
                <w:color w:val="auto"/>
                <w:szCs w:val="24"/>
                <w:highlight w:val="none"/>
              </w:rPr>
              <w:t>②投标人或其拟派项目负责人在投标截止时间未被“信用中国”网站（www.creditchina.gov.cn)列为失信被执行人。</w:t>
            </w:r>
          </w:p>
          <w:p w14:paraId="4F385E21">
            <w:pPr>
              <w:tabs>
                <w:tab w:val="right" w:leader="dot" w:pos="8295"/>
              </w:tabs>
              <w:jc w:val="left"/>
              <w:rPr>
                <w:rFonts w:ascii="宋体"/>
                <w:color w:val="auto"/>
                <w:szCs w:val="24"/>
                <w:highlight w:val="none"/>
              </w:rPr>
            </w:pPr>
            <w:r>
              <w:rPr>
                <w:rFonts w:hint="eastAsia" w:ascii="宋体"/>
                <w:color w:val="auto"/>
                <w:szCs w:val="24"/>
                <w:highlight w:val="none"/>
              </w:rPr>
              <w:t>4、设计：具备建设行政主管部门核发的化工石化医药行业（化工工程）甲级或化工石化医药行业甲级或综合甲级施工图设计资质。</w:t>
            </w:r>
          </w:p>
          <w:p w14:paraId="31D9F4C6">
            <w:pPr>
              <w:tabs>
                <w:tab w:val="right" w:leader="dot" w:pos="8295"/>
              </w:tabs>
              <w:jc w:val="left"/>
              <w:rPr>
                <w:rFonts w:ascii="宋体"/>
                <w:color w:val="auto"/>
                <w:szCs w:val="24"/>
                <w:highlight w:val="none"/>
              </w:rPr>
            </w:pPr>
            <w:r>
              <w:rPr>
                <w:rFonts w:hint="eastAsia" w:ascii="宋体"/>
                <w:color w:val="auto"/>
                <w:szCs w:val="24"/>
                <w:highlight w:val="none"/>
              </w:rPr>
              <w:t>5、除上述实施内容外，其他参与实施方均需满足相关法定资质要求。</w:t>
            </w:r>
          </w:p>
        </w:tc>
      </w:tr>
      <w:tr w14:paraId="50C9D5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0256F5C8">
            <w:pPr>
              <w:tabs>
                <w:tab w:val="right" w:leader="dot" w:pos="8295"/>
              </w:tabs>
              <w:jc w:val="center"/>
              <w:rPr>
                <w:rFonts w:ascii="宋体"/>
                <w:color w:val="auto"/>
                <w:szCs w:val="24"/>
                <w:highlight w:val="none"/>
              </w:rPr>
            </w:pPr>
            <w:r>
              <w:rPr>
                <w:rFonts w:hint="eastAsia" w:ascii="宋体"/>
                <w:color w:val="auto"/>
                <w:szCs w:val="24"/>
                <w:highlight w:val="none"/>
              </w:rPr>
              <w:t>1.12</w:t>
            </w:r>
          </w:p>
        </w:tc>
        <w:tc>
          <w:tcPr>
            <w:tcW w:w="1701" w:type="dxa"/>
            <w:vAlign w:val="center"/>
          </w:tcPr>
          <w:p w14:paraId="2D3E13CB">
            <w:pPr>
              <w:tabs>
                <w:tab w:val="right" w:leader="dot" w:pos="8295"/>
              </w:tabs>
              <w:jc w:val="center"/>
              <w:rPr>
                <w:rFonts w:ascii="宋体"/>
                <w:color w:val="auto"/>
                <w:szCs w:val="24"/>
                <w:highlight w:val="none"/>
              </w:rPr>
            </w:pPr>
            <w:r>
              <w:rPr>
                <w:rFonts w:hint="eastAsia" w:ascii="宋体"/>
                <w:color w:val="auto"/>
                <w:szCs w:val="24"/>
                <w:highlight w:val="none"/>
              </w:rPr>
              <w:t>偏离</w:t>
            </w:r>
          </w:p>
        </w:tc>
        <w:tc>
          <w:tcPr>
            <w:tcW w:w="7430" w:type="dxa"/>
            <w:vAlign w:val="center"/>
          </w:tcPr>
          <w:p w14:paraId="64E03E9F">
            <w:pPr>
              <w:tabs>
                <w:tab w:val="right" w:leader="dot" w:pos="8295"/>
              </w:tabs>
              <w:jc w:val="left"/>
              <w:rPr>
                <w:rFonts w:ascii="宋体"/>
                <w:color w:val="auto"/>
                <w:szCs w:val="24"/>
                <w:highlight w:val="none"/>
              </w:rPr>
            </w:pPr>
            <w:r>
              <w:rPr>
                <w:rFonts w:hint="eastAsia" w:ascii="宋体"/>
                <w:color w:val="auto"/>
                <w:szCs w:val="24"/>
                <w:highlight w:val="none"/>
              </w:rPr>
              <w:t>不允许。</w:t>
            </w:r>
          </w:p>
          <w:p w14:paraId="3315BD11">
            <w:pPr>
              <w:tabs>
                <w:tab w:val="right" w:leader="dot" w:pos="8295"/>
              </w:tabs>
              <w:jc w:val="left"/>
              <w:rPr>
                <w:rFonts w:ascii="宋体"/>
                <w:color w:val="auto"/>
                <w:szCs w:val="24"/>
                <w:highlight w:val="none"/>
              </w:rPr>
            </w:pPr>
            <w:r>
              <w:rPr>
                <w:rFonts w:hint="eastAsia" w:ascii="宋体"/>
                <w:color w:val="auto"/>
                <w:szCs w:val="24"/>
                <w:highlight w:val="none"/>
              </w:rPr>
              <w:t>允许。允许偏离的内容、偏离范围和幅度：</w:t>
            </w:r>
          </w:p>
          <w:p w14:paraId="234720EE">
            <w:pPr>
              <w:tabs>
                <w:tab w:val="right" w:leader="dot" w:pos="8295"/>
              </w:tabs>
              <w:jc w:val="left"/>
              <w:rPr>
                <w:rFonts w:ascii="宋体"/>
                <w:color w:val="auto"/>
                <w:szCs w:val="24"/>
                <w:highlight w:val="none"/>
              </w:rPr>
            </w:pPr>
            <w:r>
              <w:rPr>
                <w:rFonts w:hint="eastAsia" w:ascii="宋体"/>
                <w:color w:val="auto"/>
                <w:szCs w:val="24"/>
                <w:highlight w:val="none"/>
              </w:rPr>
              <w:t>不允许偏离的部分：施工要求、商务要求、第六章 技术标准和要求中标记</w:t>
            </w:r>
            <w:r>
              <w:rPr>
                <w:rFonts w:hint="eastAsia" w:ascii="宋体" w:cs="宋体"/>
                <w:color w:val="auto"/>
                <w:highlight w:val="none"/>
              </w:rPr>
              <w:t>*的</w:t>
            </w:r>
            <w:r>
              <w:rPr>
                <w:rFonts w:hint="eastAsia" w:ascii="宋体"/>
                <w:color w:val="auto"/>
                <w:szCs w:val="24"/>
                <w:highlight w:val="none"/>
              </w:rPr>
              <w:t>技术要求</w:t>
            </w:r>
          </w:p>
          <w:p w14:paraId="627DCE34">
            <w:pPr>
              <w:tabs>
                <w:tab w:val="right" w:leader="dot" w:pos="8295"/>
              </w:tabs>
              <w:jc w:val="left"/>
              <w:rPr>
                <w:rFonts w:ascii="宋体"/>
                <w:color w:val="auto"/>
                <w:szCs w:val="24"/>
                <w:highlight w:val="none"/>
              </w:rPr>
            </w:pPr>
            <w:r>
              <w:rPr>
                <w:rFonts w:hint="eastAsia" w:ascii="宋体"/>
                <w:color w:val="auto"/>
                <w:szCs w:val="24"/>
                <w:highlight w:val="none"/>
              </w:rPr>
              <w:t>允许偏离的部分：第六章 技术标准和要求中未标记</w:t>
            </w:r>
            <w:r>
              <w:rPr>
                <w:rFonts w:hint="eastAsia" w:ascii="宋体" w:cs="宋体"/>
                <w:color w:val="auto"/>
                <w:highlight w:val="none"/>
              </w:rPr>
              <w:t>*的</w:t>
            </w:r>
            <w:r>
              <w:rPr>
                <w:rFonts w:hint="eastAsia" w:ascii="宋体"/>
                <w:color w:val="auto"/>
                <w:szCs w:val="24"/>
                <w:highlight w:val="none"/>
              </w:rPr>
              <w:t>技术要求，但偏离不允许超过5条。</w:t>
            </w:r>
          </w:p>
        </w:tc>
      </w:tr>
      <w:tr w14:paraId="356052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4AB2940">
            <w:pPr>
              <w:tabs>
                <w:tab w:val="right" w:leader="dot" w:pos="8295"/>
              </w:tabs>
              <w:jc w:val="center"/>
              <w:rPr>
                <w:rFonts w:ascii="宋体"/>
                <w:color w:val="auto"/>
                <w:szCs w:val="24"/>
                <w:highlight w:val="none"/>
              </w:rPr>
            </w:pPr>
            <w:r>
              <w:rPr>
                <w:rFonts w:hint="eastAsia" w:ascii="宋体"/>
                <w:color w:val="auto"/>
                <w:szCs w:val="24"/>
                <w:highlight w:val="none"/>
              </w:rPr>
              <w:t>2.1</w:t>
            </w:r>
          </w:p>
        </w:tc>
        <w:tc>
          <w:tcPr>
            <w:tcW w:w="1701" w:type="dxa"/>
            <w:vAlign w:val="center"/>
          </w:tcPr>
          <w:p w14:paraId="1A05827B">
            <w:pPr>
              <w:tabs>
                <w:tab w:val="right" w:leader="dot" w:pos="8295"/>
              </w:tabs>
              <w:ind w:left="15" w:hanging="122"/>
              <w:jc w:val="center"/>
              <w:rPr>
                <w:rFonts w:ascii="宋体"/>
                <w:color w:val="auto"/>
                <w:szCs w:val="24"/>
                <w:highlight w:val="none"/>
              </w:rPr>
            </w:pPr>
            <w:r>
              <w:rPr>
                <w:rFonts w:hint="eastAsia" w:ascii="宋体"/>
                <w:color w:val="auto"/>
                <w:szCs w:val="24"/>
                <w:highlight w:val="none"/>
              </w:rPr>
              <w:t>构成招标文件的其他资料</w:t>
            </w:r>
          </w:p>
        </w:tc>
        <w:tc>
          <w:tcPr>
            <w:tcW w:w="7430" w:type="dxa"/>
            <w:vAlign w:val="center"/>
          </w:tcPr>
          <w:p w14:paraId="5C6402F8">
            <w:pPr>
              <w:tabs>
                <w:tab w:val="right" w:leader="dot" w:pos="8295"/>
              </w:tabs>
              <w:jc w:val="left"/>
              <w:rPr>
                <w:rFonts w:ascii="宋体"/>
                <w:color w:val="auto"/>
                <w:szCs w:val="24"/>
                <w:highlight w:val="none"/>
              </w:rPr>
            </w:pPr>
            <w:r>
              <w:rPr>
                <w:rFonts w:hint="eastAsia" w:ascii="宋体"/>
                <w:color w:val="auto"/>
                <w:szCs w:val="24"/>
                <w:highlight w:val="none"/>
              </w:rPr>
              <w:t>/</w:t>
            </w:r>
          </w:p>
        </w:tc>
      </w:tr>
      <w:tr w14:paraId="428BE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8EA19A4">
            <w:pPr>
              <w:tabs>
                <w:tab w:val="right" w:leader="dot" w:pos="8295"/>
              </w:tabs>
              <w:jc w:val="center"/>
              <w:rPr>
                <w:rFonts w:ascii="宋体"/>
                <w:color w:val="auto"/>
                <w:szCs w:val="24"/>
                <w:highlight w:val="none"/>
              </w:rPr>
            </w:pPr>
            <w:r>
              <w:rPr>
                <w:rFonts w:hint="eastAsia" w:ascii="宋体"/>
                <w:color w:val="auto"/>
                <w:szCs w:val="24"/>
                <w:highlight w:val="none"/>
              </w:rPr>
              <w:t>2.2.1</w:t>
            </w:r>
          </w:p>
        </w:tc>
        <w:tc>
          <w:tcPr>
            <w:tcW w:w="1701" w:type="dxa"/>
            <w:vAlign w:val="center"/>
          </w:tcPr>
          <w:p w14:paraId="31AD2D6E">
            <w:pPr>
              <w:tabs>
                <w:tab w:val="right" w:leader="dot" w:pos="8295"/>
              </w:tabs>
              <w:jc w:val="center"/>
              <w:rPr>
                <w:rFonts w:ascii="宋体"/>
                <w:color w:val="auto"/>
                <w:szCs w:val="24"/>
                <w:highlight w:val="none"/>
              </w:rPr>
            </w:pPr>
            <w:r>
              <w:rPr>
                <w:rFonts w:hint="eastAsia" w:ascii="宋体"/>
                <w:color w:val="auto"/>
                <w:szCs w:val="24"/>
                <w:highlight w:val="none"/>
              </w:rPr>
              <w:t>投标人要求澄清招标文件的截止时间</w:t>
            </w:r>
          </w:p>
        </w:tc>
        <w:tc>
          <w:tcPr>
            <w:tcW w:w="7430" w:type="dxa"/>
            <w:vAlign w:val="center"/>
          </w:tcPr>
          <w:p w14:paraId="58EE55C6">
            <w:pPr>
              <w:tabs>
                <w:tab w:val="right" w:leader="dot" w:pos="8295"/>
              </w:tabs>
              <w:jc w:val="left"/>
              <w:rPr>
                <w:rFonts w:ascii="宋体"/>
                <w:color w:val="auto"/>
                <w:szCs w:val="24"/>
                <w:highlight w:val="none"/>
              </w:rPr>
            </w:pPr>
            <w:r>
              <w:rPr>
                <w:rFonts w:hint="eastAsia" w:ascii="宋体"/>
                <w:color w:val="auto"/>
                <w:szCs w:val="24"/>
                <w:highlight w:val="none"/>
              </w:rPr>
              <w:t>详见第一章 招标公告</w:t>
            </w:r>
          </w:p>
        </w:tc>
      </w:tr>
      <w:tr w14:paraId="47AF2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12D9CD0">
            <w:pPr>
              <w:tabs>
                <w:tab w:val="right" w:leader="dot" w:pos="8295"/>
              </w:tabs>
              <w:jc w:val="center"/>
              <w:rPr>
                <w:rFonts w:ascii="宋体"/>
                <w:color w:val="auto"/>
                <w:szCs w:val="24"/>
                <w:highlight w:val="none"/>
              </w:rPr>
            </w:pPr>
            <w:r>
              <w:rPr>
                <w:rFonts w:hint="eastAsia" w:ascii="宋体"/>
                <w:color w:val="auto"/>
                <w:szCs w:val="24"/>
                <w:highlight w:val="none"/>
              </w:rPr>
              <w:t>2.2.2</w:t>
            </w:r>
          </w:p>
        </w:tc>
        <w:tc>
          <w:tcPr>
            <w:tcW w:w="1701" w:type="dxa"/>
            <w:vAlign w:val="center"/>
          </w:tcPr>
          <w:p w14:paraId="7CF04D61">
            <w:pPr>
              <w:tabs>
                <w:tab w:val="right" w:leader="dot" w:pos="8295"/>
              </w:tabs>
              <w:jc w:val="center"/>
              <w:rPr>
                <w:rFonts w:ascii="宋体"/>
                <w:color w:val="auto"/>
                <w:szCs w:val="24"/>
                <w:highlight w:val="none"/>
              </w:rPr>
            </w:pPr>
            <w:r>
              <w:rPr>
                <w:rFonts w:hint="eastAsia" w:ascii="宋体"/>
                <w:color w:val="auto"/>
                <w:szCs w:val="24"/>
                <w:highlight w:val="none"/>
              </w:rPr>
              <w:t>投标截止时间</w:t>
            </w:r>
          </w:p>
        </w:tc>
        <w:tc>
          <w:tcPr>
            <w:tcW w:w="7430" w:type="dxa"/>
            <w:vAlign w:val="center"/>
          </w:tcPr>
          <w:p w14:paraId="3B0A3E2A">
            <w:pPr>
              <w:tabs>
                <w:tab w:val="right" w:leader="dot" w:pos="8295"/>
              </w:tabs>
              <w:jc w:val="left"/>
              <w:rPr>
                <w:rFonts w:ascii="宋体"/>
                <w:color w:val="auto"/>
                <w:szCs w:val="24"/>
                <w:highlight w:val="none"/>
                <w:u w:val="single"/>
              </w:rPr>
            </w:pPr>
            <w:r>
              <w:rPr>
                <w:rFonts w:hint="eastAsia" w:ascii="宋体"/>
                <w:color w:val="auto"/>
                <w:szCs w:val="24"/>
                <w:highlight w:val="none"/>
              </w:rPr>
              <w:t>详见第一章 招标公告</w:t>
            </w:r>
          </w:p>
        </w:tc>
      </w:tr>
      <w:tr w14:paraId="3FB51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14C1FB66">
            <w:pPr>
              <w:tabs>
                <w:tab w:val="right" w:leader="dot" w:pos="8295"/>
              </w:tabs>
              <w:jc w:val="center"/>
              <w:rPr>
                <w:rFonts w:ascii="宋体"/>
                <w:color w:val="auto"/>
                <w:szCs w:val="24"/>
                <w:highlight w:val="none"/>
              </w:rPr>
            </w:pPr>
            <w:r>
              <w:rPr>
                <w:rFonts w:hint="eastAsia" w:ascii="宋体"/>
                <w:color w:val="auto"/>
                <w:szCs w:val="24"/>
                <w:highlight w:val="none"/>
              </w:rPr>
              <w:t>2.2.3</w:t>
            </w:r>
          </w:p>
        </w:tc>
        <w:tc>
          <w:tcPr>
            <w:tcW w:w="1701" w:type="dxa"/>
            <w:vAlign w:val="center"/>
          </w:tcPr>
          <w:p w14:paraId="29891A11">
            <w:pPr>
              <w:tabs>
                <w:tab w:val="right" w:leader="dot" w:pos="8295"/>
              </w:tabs>
              <w:jc w:val="center"/>
              <w:rPr>
                <w:rFonts w:ascii="宋体"/>
                <w:color w:val="auto"/>
                <w:szCs w:val="24"/>
                <w:highlight w:val="none"/>
              </w:rPr>
            </w:pPr>
            <w:r>
              <w:rPr>
                <w:rFonts w:hint="eastAsia" w:ascii="宋体"/>
                <w:color w:val="auto"/>
                <w:szCs w:val="24"/>
                <w:highlight w:val="none"/>
              </w:rPr>
              <w:t>投标人确认收到招标文件澄清的时间</w:t>
            </w:r>
          </w:p>
        </w:tc>
        <w:tc>
          <w:tcPr>
            <w:tcW w:w="7430" w:type="dxa"/>
            <w:vAlign w:val="center"/>
          </w:tcPr>
          <w:p w14:paraId="7954A966">
            <w:pPr>
              <w:tabs>
                <w:tab w:val="right" w:leader="dot" w:pos="8295"/>
              </w:tabs>
              <w:ind w:right="105"/>
              <w:jc w:val="left"/>
              <w:rPr>
                <w:rFonts w:ascii="宋体"/>
                <w:color w:val="auto"/>
                <w:szCs w:val="24"/>
                <w:highlight w:val="none"/>
              </w:rPr>
            </w:pPr>
            <w:r>
              <w:rPr>
                <w:rFonts w:hint="eastAsia" w:ascii="宋体"/>
                <w:color w:val="auto"/>
                <w:szCs w:val="24"/>
                <w:highlight w:val="none"/>
              </w:rPr>
              <w:t>潜在投标人应自行关注衢州市公共资源电子交易系统（https://ggzy.qz.gov.cn/）公告，招标人不再一一通知。投标人因自身贻误行为导致投标失败的，责任自负。</w:t>
            </w:r>
          </w:p>
        </w:tc>
      </w:tr>
      <w:tr w14:paraId="5CE739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E7ED6A8">
            <w:pPr>
              <w:tabs>
                <w:tab w:val="right" w:leader="dot" w:pos="8295"/>
              </w:tabs>
              <w:jc w:val="center"/>
              <w:rPr>
                <w:rFonts w:ascii="宋体"/>
                <w:color w:val="auto"/>
                <w:szCs w:val="24"/>
                <w:highlight w:val="none"/>
              </w:rPr>
            </w:pPr>
            <w:r>
              <w:rPr>
                <w:rFonts w:hint="eastAsia" w:ascii="宋体"/>
                <w:color w:val="auto"/>
                <w:szCs w:val="24"/>
                <w:highlight w:val="none"/>
              </w:rPr>
              <w:t>3.1.1</w:t>
            </w:r>
          </w:p>
        </w:tc>
        <w:tc>
          <w:tcPr>
            <w:tcW w:w="1701" w:type="dxa"/>
            <w:vAlign w:val="center"/>
          </w:tcPr>
          <w:p w14:paraId="7B5C506D">
            <w:pPr>
              <w:tabs>
                <w:tab w:val="right" w:leader="dot" w:pos="8295"/>
              </w:tabs>
              <w:ind w:left="15" w:hanging="122"/>
              <w:jc w:val="center"/>
              <w:rPr>
                <w:rFonts w:ascii="宋体"/>
                <w:color w:val="auto"/>
                <w:szCs w:val="24"/>
                <w:highlight w:val="none"/>
              </w:rPr>
            </w:pPr>
            <w:r>
              <w:rPr>
                <w:rFonts w:hint="eastAsia" w:ascii="宋体"/>
                <w:color w:val="auto"/>
                <w:szCs w:val="24"/>
                <w:highlight w:val="none"/>
              </w:rPr>
              <w:t>构成投标文件的其他资料</w:t>
            </w:r>
          </w:p>
        </w:tc>
        <w:tc>
          <w:tcPr>
            <w:tcW w:w="7430" w:type="dxa"/>
            <w:vAlign w:val="center"/>
          </w:tcPr>
          <w:p w14:paraId="237D3F6E">
            <w:pPr>
              <w:tabs>
                <w:tab w:val="right" w:leader="dot" w:pos="8295"/>
              </w:tabs>
              <w:jc w:val="left"/>
              <w:rPr>
                <w:rFonts w:ascii="宋体"/>
                <w:color w:val="auto"/>
                <w:szCs w:val="24"/>
                <w:highlight w:val="none"/>
              </w:rPr>
            </w:pPr>
            <w:r>
              <w:rPr>
                <w:rFonts w:hint="eastAsia" w:ascii="宋体"/>
                <w:color w:val="auto"/>
                <w:szCs w:val="24"/>
                <w:highlight w:val="none"/>
              </w:rPr>
              <w:t>/</w:t>
            </w:r>
          </w:p>
        </w:tc>
      </w:tr>
      <w:tr w14:paraId="31546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06A5BF8A">
            <w:pPr>
              <w:tabs>
                <w:tab w:val="right" w:leader="dot" w:pos="8295"/>
              </w:tabs>
              <w:jc w:val="center"/>
              <w:rPr>
                <w:rFonts w:ascii="宋体"/>
                <w:color w:val="auto"/>
                <w:szCs w:val="24"/>
                <w:highlight w:val="none"/>
              </w:rPr>
            </w:pPr>
            <w:r>
              <w:rPr>
                <w:rFonts w:hint="eastAsia" w:ascii="宋体"/>
                <w:color w:val="auto"/>
                <w:szCs w:val="24"/>
                <w:highlight w:val="none"/>
              </w:rPr>
              <w:t>3.2.3</w:t>
            </w:r>
          </w:p>
        </w:tc>
        <w:tc>
          <w:tcPr>
            <w:tcW w:w="1701" w:type="dxa"/>
            <w:vAlign w:val="center"/>
          </w:tcPr>
          <w:p w14:paraId="236A73C7">
            <w:pPr>
              <w:tabs>
                <w:tab w:val="right" w:leader="dot" w:pos="8295"/>
              </w:tabs>
              <w:jc w:val="center"/>
              <w:rPr>
                <w:rFonts w:ascii="宋体"/>
                <w:color w:val="auto"/>
                <w:szCs w:val="24"/>
                <w:highlight w:val="none"/>
              </w:rPr>
            </w:pPr>
            <w:r>
              <w:rPr>
                <w:rFonts w:hint="eastAsia" w:ascii="宋体"/>
                <w:color w:val="auto"/>
                <w:szCs w:val="24"/>
                <w:highlight w:val="none"/>
              </w:rPr>
              <w:t>最高投标限价</w:t>
            </w:r>
          </w:p>
        </w:tc>
        <w:tc>
          <w:tcPr>
            <w:tcW w:w="7430" w:type="dxa"/>
            <w:vAlign w:val="center"/>
          </w:tcPr>
          <w:p w14:paraId="0B81DAE2">
            <w:pPr>
              <w:tabs>
                <w:tab w:val="right" w:leader="dot" w:pos="8295"/>
              </w:tabs>
              <w:jc w:val="left"/>
              <w:rPr>
                <w:rFonts w:ascii="宋体"/>
                <w:color w:val="auto"/>
                <w:szCs w:val="24"/>
                <w:highlight w:val="none"/>
              </w:rPr>
            </w:pPr>
            <w:r>
              <w:rPr>
                <w:rFonts w:hint="eastAsia" w:ascii="宋体"/>
                <w:color w:val="auto"/>
                <w:szCs w:val="24"/>
                <w:highlight w:val="none"/>
              </w:rPr>
              <w:t>最高投标限价：投标人总投资额人民币</w:t>
            </w:r>
            <w:r>
              <w:rPr>
                <w:rFonts w:hint="eastAsia" w:ascii="宋体" w:cs="宋体"/>
                <w:color w:val="auto"/>
                <w:highlight w:val="none"/>
                <w:u w:val="single"/>
              </w:rPr>
              <w:t xml:space="preserve"> 3200 </w:t>
            </w:r>
            <w:r>
              <w:rPr>
                <w:rFonts w:hint="eastAsia" w:ascii="宋体"/>
                <w:color w:val="auto"/>
                <w:szCs w:val="24"/>
                <w:highlight w:val="none"/>
              </w:rPr>
              <w:t>万元（含税），超过最高限价的投标将被否决。</w:t>
            </w:r>
          </w:p>
        </w:tc>
      </w:tr>
      <w:tr w14:paraId="5F0E40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1B177181">
            <w:pPr>
              <w:tabs>
                <w:tab w:val="right" w:leader="dot" w:pos="8295"/>
              </w:tabs>
              <w:jc w:val="center"/>
              <w:rPr>
                <w:rFonts w:ascii="宋体"/>
                <w:color w:val="auto"/>
                <w:szCs w:val="24"/>
                <w:highlight w:val="none"/>
              </w:rPr>
            </w:pPr>
            <w:r>
              <w:rPr>
                <w:rFonts w:hint="eastAsia" w:ascii="宋体"/>
                <w:color w:val="auto"/>
                <w:szCs w:val="24"/>
                <w:highlight w:val="none"/>
              </w:rPr>
              <w:t>3.2.4</w:t>
            </w:r>
          </w:p>
        </w:tc>
        <w:tc>
          <w:tcPr>
            <w:tcW w:w="1701" w:type="dxa"/>
            <w:vAlign w:val="center"/>
          </w:tcPr>
          <w:p w14:paraId="237DBC32">
            <w:pPr>
              <w:tabs>
                <w:tab w:val="right" w:leader="dot" w:pos="8295"/>
              </w:tabs>
              <w:jc w:val="center"/>
              <w:rPr>
                <w:rFonts w:ascii="宋体"/>
                <w:color w:val="auto"/>
                <w:szCs w:val="24"/>
                <w:highlight w:val="none"/>
              </w:rPr>
            </w:pPr>
            <w:r>
              <w:rPr>
                <w:rFonts w:hint="eastAsia" w:ascii="宋体"/>
                <w:color w:val="auto"/>
                <w:szCs w:val="24"/>
                <w:highlight w:val="none"/>
              </w:rPr>
              <w:t>投标报价的</w:t>
            </w:r>
          </w:p>
          <w:p w14:paraId="14B55691">
            <w:pPr>
              <w:tabs>
                <w:tab w:val="right" w:leader="dot" w:pos="8295"/>
              </w:tabs>
              <w:jc w:val="center"/>
              <w:rPr>
                <w:rFonts w:ascii="宋体"/>
                <w:color w:val="auto"/>
                <w:szCs w:val="24"/>
                <w:highlight w:val="none"/>
              </w:rPr>
            </w:pPr>
            <w:r>
              <w:rPr>
                <w:rFonts w:hint="eastAsia" w:ascii="宋体"/>
                <w:color w:val="auto"/>
                <w:szCs w:val="24"/>
                <w:highlight w:val="none"/>
              </w:rPr>
              <w:t>其他要求</w:t>
            </w:r>
          </w:p>
        </w:tc>
        <w:tc>
          <w:tcPr>
            <w:tcW w:w="7430" w:type="dxa"/>
            <w:vAlign w:val="center"/>
          </w:tcPr>
          <w:p w14:paraId="10EB01C0">
            <w:pPr>
              <w:tabs>
                <w:tab w:val="right" w:leader="dot" w:pos="8295"/>
              </w:tabs>
              <w:jc w:val="left"/>
              <w:rPr>
                <w:rFonts w:ascii="宋体"/>
                <w:color w:val="auto"/>
                <w:szCs w:val="24"/>
                <w:highlight w:val="none"/>
              </w:rPr>
            </w:pPr>
            <w:r>
              <w:rPr>
                <w:rFonts w:hint="eastAsia" w:ascii="宋体"/>
                <w:color w:val="auto"/>
                <w:szCs w:val="24"/>
                <w:highlight w:val="none"/>
              </w:rPr>
              <w:t>/</w:t>
            </w:r>
          </w:p>
        </w:tc>
      </w:tr>
      <w:tr w14:paraId="4864AD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D53C4F2">
            <w:pPr>
              <w:tabs>
                <w:tab w:val="right" w:leader="dot" w:pos="8295"/>
              </w:tabs>
              <w:jc w:val="center"/>
              <w:rPr>
                <w:rFonts w:ascii="宋体"/>
                <w:color w:val="auto"/>
                <w:szCs w:val="24"/>
                <w:highlight w:val="none"/>
              </w:rPr>
            </w:pPr>
            <w:r>
              <w:rPr>
                <w:rFonts w:hint="eastAsia" w:ascii="宋体"/>
                <w:color w:val="auto"/>
                <w:szCs w:val="24"/>
                <w:highlight w:val="none"/>
              </w:rPr>
              <w:t>3.3.1</w:t>
            </w:r>
          </w:p>
        </w:tc>
        <w:tc>
          <w:tcPr>
            <w:tcW w:w="1701" w:type="dxa"/>
            <w:vAlign w:val="center"/>
          </w:tcPr>
          <w:p w14:paraId="089EBDE7">
            <w:pPr>
              <w:tabs>
                <w:tab w:val="right" w:leader="dot" w:pos="8295"/>
              </w:tabs>
              <w:jc w:val="center"/>
              <w:rPr>
                <w:rFonts w:ascii="宋体"/>
                <w:color w:val="auto"/>
                <w:szCs w:val="24"/>
                <w:highlight w:val="none"/>
              </w:rPr>
            </w:pPr>
            <w:r>
              <w:rPr>
                <w:rFonts w:hint="eastAsia" w:ascii="宋体"/>
                <w:color w:val="auto"/>
                <w:szCs w:val="24"/>
                <w:highlight w:val="none"/>
              </w:rPr>
              <w:t>投标有效期</w:t>
            </w:r>
          </w:p>
        </w:tc>
        <w:tc>
          <w:tcPr>
            <w:tcW w:w="7430" w:type="dxa"/>
            <w:vAlign w:val="center"/>
          </w:tcPr>
          <w:p w14:paraId="174AF51D">
            <w:pPr>
              <w:tabs>
                <w:tab w:val="right" w:leader="dot" w:pos="8295"/>
              </w:tabs>
              <w:jc w:val="left"/>
              <w:rPr>
                <w:rFonts w:ascii="宋体"/>
                <w:color w:val="auto"/>
                <w:szCs w:val="24"/>
                <w:highlight w:val="none"/>
              </w:rPr>
            </w:pPr>
            <w:r>
              <w:rPr>
                <w:rFonts w:hint="eastAsia" w:ascii="宋体"/>
                <w:color w:val="auto"/>
                <w:szCs w:val="24"/>
                <w:highlight w:val="none"/>
              </w:rPr>
              <w:t>不少于90个日历天（从投标截止之日起算）。</w:t>
            </w:r>
          </w:p>
        </w:tc>
      </w:tr>
      <w:tr w14:paraId="39640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094CFF4">
            <w:pPr>
              <w:tabs>
                <w:tab w:val="right" w:leader="dot" w:pos="8295"/>
              </w:tabs>
              <w:jc w:val="center"/>
              <w:rPr>
                <w:rFonts w:ascii="宋体"/>
                <w:color w:val="auto"/>
                <w:szCs w:val="24"/>
                <w:highlight w:val="none"/>
              </w:rPr>
            </w:pPr>
            <w:r>
              <w:rPr>
                <w:rFonts w:hint="eastAsia" w:ascii="宋体"/>
                <w:color w:val="auto"/>
                <w:szCs w:val="24"/>
                <w:highlight w:val="none"/>
              </w:rPr>
              <w:t>3.4.1</w:t>
            </w:r>
          </w:p>
        </w:tc>
        <w:tc>
          <w:tcPr>
            <w:tcW w:w="1701" w:type="dxa"/>
            <w:vAlign w:val="center"/>
          </w:tcPr>
          <w:p w14:paraId="47FC6547">
            <w:pPr>
              <w:tabs>
                <w:tab w:val="right" w:leader="dot" w:pos="8295"/>
              </w:tabs>
              <w:jc w:val="center"/>
              <w:rPr>
                <w:rFonts w:ascii="宋体"/>
                <w:color w:val="auto"/>
                <w:szCs w:val="24"/>
                <w:highlight w:val="none"/>
              </w:rPr>
            </w:pPr>
            <w:r>
              <w:rPr>
                <w:rFonts w:hint="eastAsia" w:ascii="宋体"/>
                <w:color w:val="auto"/>
                <w:szCs w:val="24"/>
                <w:highlight w:val="none"/>
              </w:rPr>
              <w:t>投标保证金</w:t>
            </w:r>
          </w:p>
        </w:tc>
        <w:tc>
          <w:tcPr>
            <w:tcW w:w="7430" w:type="dxa"/>
            <w:vAlign w:val="center"/>
          </w:tcPr>
          <w:p w14:paraId="067471EF">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一、本项目交纳投标保证金</w:t>
            </w:r>
            <w:r>
              <w:rPr>
                <w:rFonts w:hint="eastAsia" w:ascii="宋体" w:cs="宋体"/>
                <w:color w:val="auto"/>
                <w:szCs w:val="24"/>
                <w:highlight w:val="none"/>
                <w:u w:val="single"/>
              </w:rPr>
              <w:t xml:space="preserve"> 10 </w:t>
            </w:r>
            <w:r>
              <w:rPr>
                <w:rFonts w:hint="eastAsia" w:ascii="宋体" w:cs="宋体"/>
                <w:color w:val="auto"/>
                <w:szCs w:val="24"/>
                <w:highlight w:val="none"/>
              </w:rPr>
              <w:t>万元整。</w:t>
            </w:r>
          </w:p>
          <w:p w14:paraId="6C234F6A">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投标保证金专户信息如下：</w:t>
            </w:r>
          </w:p>
          <w:p w14:paraId="41F8E86B">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账</w:t>
            </w:r>
            <w:r>
              <w:rPr>
                <w:rFonts w:hint="eastAsia" w:ascii="宋体"/>
                <w:color w:val="auto"/>
                <w:szCs w:val="24"/>
                <w:highlight w:val="none"/>
              </w:rPr>
              <w:t>  </w:t>
            </w:r>
            <w:r>
              <w:rPr>
                <w:rFonts w:hint="eastAsia" w:ascii="宋体" w:cs="宋体"/>
                <w:color w:val="auto"/>
                <w:szCs w:val="24"/>
                <w:highlight w:val="none"/>
              </w:rPr>
              <w:t>号：按系统随机分配账号。</w:t>
            </w:r>
          </w:p>
          <w:p w14:paraId="0DDE65F4">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缴纳时间：投标截止时间前，以衢州市公共资源电子交易系统确认到账为准（因各银行系统到账时间不同，请提前交纳，否则后果自负）。</w:t>
            </w:r>
          </w:p>
          <w:p w14:paraId="259DE8BD">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二、缴纳方式</w:t>
            </w:r>
          </w:p>
          <w:p w14:paraId="6D46671B">
            <w:pPr>
              <w:shd w:val="clear" w:color="000000" w:fill="auto"/>
              <w:tabs>
                <w:tab w:val="right" w:leader="dot" w:pos="8295"/>
              </w:tabs>
              <w:ind w:firstLine="420" w:firstLineChars="200"/>
              <w:jc w:val="left"/>
              <w:rPr>
                <w:rFonts w:ascii="宋体" w:cs="宋体"/>
                <w:color w:val="auto"/>
                <w:szCs w:val="24"/>
                <w:highlight w:val="none"/>
              </w:rPr>
            </w:pPr>
            <w:r>
              <w:rPr>
                <w:rFonts w:hint="eastAsia" w:ascii="宋体" w:cs="宋体"/>
                <w:color w:val="auto"/>
                <w:szCs w:val="24"/>
                <w:highlight w:val="none"/>
              </w:rPr>
              <w:t>投标人登录衢州市公共资源电子交易系统</w:t>
            </w:r>
            <w:r>
              <w:rPr>
                <w:rFonts w:ascii="宋体" w:hAnsi="宋体" w:eastAsia="Times New Roman"/>
                <w:color w:val="auto"/>
                <w:szCs w:val="24"/>
                <w:highlight w:val="none"/>
              </w:rPr>
              <w:t>-</w:t>
            </w:r>
            <w:r>
              <w:rPr>
                <w:rFonts w:hint="eastAsia" w:ascii="宋体"/>
                <w:color w:val="auto"/>
                <w:szCs w:val="24"/>
                <w:highlight w:val="none"/>
              </w:rPr>
              <w:t>-</w:t>
            </w:r>
            <w:r>
              <w:rPr>
                <w:rFonts w:ascii="宋体" w:hAnsi="宋体" w:eastAsia="Times New Roman"/>
                <w:color w:val="auto"/>
                <w:szCs w:val="24"/>
                <w:highlight w:val="none"/>
              </w:rPr>
              <w:t>“</w:t>
            </w:r>
            <w:r>
              <w:rPr>
                <w:rFonts w:hint="eastAsia" w:ascii="宋体" w:cs="宋体"/>
                <w:color w:val="auto"/>
                <w:szCs w:val="24"/>
                <w:highlight w:val="none"/>
              </w:rPr>
              <w:t>业务办理</w:t>
            </w:r>
            <w:r>
              <w:rPr>
                <w:rFonts w:ascii="宋体" w:hAnsi="宋体" w:eastAsia="Times New Roman"/>
                <w:color w:val="auto"/>
                <w:szCs w:val="24"/>
                <w:highlight w:val="none"/>
              </w:rPr>
              <w:t>”-</w:t>
            </w:r>
            <w:r>
              <w:rPr>
                <w:rFonts w:hint="eastAsia" w:ascii="宋体"/>
                <w:color w:val="auto"/>
                <w:szCs w:val="24"/>
                <w:highlight w:val="none"/>
              </w:rPr>
              <w:t>-</w:t>
            </w:r>
            <w:r>
              <w:rPr>
                <w:rFonts w:ascii="宋体" w:hAnsi="宋体" w:eastAsia="Times New Roman"/>
                <w:color w:val="auto"/>
                <w:szCs w:val="24"/>
                <w:highlight w:val="none"/>
              </w:rPr>
              <w:t>“</w:t>
            </w:r>
            <w:r>
              <w:rPr>
                <w:rFonts w:hint="eastAsia" w:ascii="宋体" w:cs="宋体"/>
                <w:color w:val="auto"/>
                <w:szCs w:val="24"/>
                <w:highlight w:val="none"/>
              </w:rPr>
              <w:t>缴纳保证金</w:t>
            </w:r>
            <w:r>
              <w:rPr>
                <w:rFonts w:ascii="宋体" w:hAnsi="宋体" w:eastAsia="Times New Roman"/>
                <w:color w:val="auto"/>
                <w:szCs w:val="24"/>
                <w:highlight w:val="none"/>
              </w:rPr>
              <w:t>”</w:t>
            </w:r>
            <w:r>
              <w:rPr>
                <w:rFonts w:hint="eastAsia" w:ascii="宋体" w:cs="宋体"/>
                <w:color w:val="auto"/>
                <w:szCs w:val="24"/>
                <w:highlight w:val="none"/>
              </w:rPr>
              <w:t>模块：</w:t>
            </w:r>
          </w:p>
          <w:p w14:paraId="0AD34906">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缴纳方式之一（按项目在线支付）：投标人通过网银（电汇）方式，从经系统备案的银行基本账户汇出。</w:t>
            </w:r>
          </w:p>
          <w:p w14:paraId="478C2530">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缴纳方式之二（联保资金支付）：联保资金小于项目投标保证金时，按系统提示，从经系统备案的银行基本账户汇出，一次性足额补交差额。</w:t>
            </w:r>
          </w:p>
          <w:p w14:paraId="41F0C7AA">
            <w:pPr>
              <w:shd w:val="clear" w:color="000000" w:fill="auto"/>
              <w:tabs>
                <w:tab w:val="right" w:leader="dot" w:pos="8295"/>
              </w:tabs>
              <w:ind w:firstLine="420" w:firstLineChars="200"/>
              <w:jc w:val="left"/>
              <w:rPr>
                <w:rFonts w:ascii="宋体"/>
                <w:color w:val="auto"/>
                <w:szCs w:val="24"/>
                <w:highlight w:val="none"/>
              </w:rPr>
            </w:pPr>
            <w:r>
              <w:rPr>
                <w:rFonts w:hint="eastAsia" w:ascii="宋体" w:cs="宋体"/>
                <w:color w:val="auto"/>
                <w:szCs w:val="24"/>
                <w:highlight w:val="none"/>
              </w:rPr>
              <w:t>申请联保资金请咨询市招投标协会秘书处，联系电话</w:t>
            </w:r>
            <w:r>
              <w:rPr>
                <w:rFonts w:ascii="宋体" w:hAnsi="宋体" w:eastAsia="Times New Roman"/>
                <w:color w:val="auto"/>
                <w:szCs w:val="24"/>
                <w:highlight w:val="none"/>
              </w:rPr>
              <w:t>0</w:t>
            </w:r>
            <w:r>
              <w:rPr>
                <w:rFonts w:hint="eastAsia" w:ascii="宋体"/>
                <w:color w:val="auto"/>
                <w:szCs w:val="24"/>
                <w:highlight w:val="none"/>
              </w:rPr>
              <w:t>570-</w:t>
            </w:r>
            <w:r>
              <w:rPr>
                <w:rFonts w:ascii="宋体" w:hAnsi="宋体" w:eastAsia="Times New Roman"/>
                <w:color w:val="auto"/>
                <w:szCs w:val="24"/>
                <w:highlight w:val="none"/>
              </w:rPr>
              <w:t>8757610</w:t>
            </w:r>
            <w:r>
              <w:rPr>
                <w:rFonts w:hint="eastAsia" w:ascii="宋体" w:cs="宋体"/>
                <w:color w:val="auto"/>
                <w:szCs w:val="24"/>
                <w:highlight w:val="none"/>
              </w:rPr>
              <w:t>。</w:t>
            </w:r>
          </w:p>
          <w:p w14:paraId="3770C401">
            <w:pPr>
              <w:shd w:val="clear" w:color="000000" w:fill="auto"/>
              <w:tabs>
                <w:tab w:val="right" w:leader="dot" w:pos="8295"/>
              </w:tabs>
              <w:ind w:firstLine="420" w:firstLineChars="200"/>
              <w:jc w:val="left"/>
              <w:rPr>
                <w:rFonts w:ascii="宋体" w:cs="宋体"/>
                <w:color w:val="auto"/>
                <w:szCs w:val="24"/>
                <w:highlight w:val="none"/>
              </w:rPr>
            </w:pPr>
            <w:r>
              <w:rPr>
                <w:rFonts w:hint="eastAsia" w:ascii="宋体" w:cs="宋体"/>
                <w:color w:val="auto"/>
                <w:szCs w:val="24"/>
                <w:highlight w:val="none"/>
              </w:rPr>
              <w:t>缴纳方式之三（电子保函）：使用电子保函方式缴纳的，具体操作流程详见《衢州市公共资源交易平台投标电子保函操作规则（试行）》。投标人须在投标截止时间前，一次性提供不低于招标要求的投标保证金金额的担保，否则视为未缴纳投标保证金。投标保证金缴纳时间以电子保函实际获得时间为准。投标人使用电子保函所遇一切相关问题及相关纠纷，均由投标人与保函出具机构之间自行解决，监管办及交易中心不承担任何责任。</w:t>
            </w:r>
          </w:p>
          <w:p w14:paraId="59B0D2AF">
            <w:pPr>
              <w:tabs>
                <w:tab w:val="right" w:leader="dot" w:pos="8295"/>
              </w:tabs>
              <w:ind w:firstLine="420" w:firstLineChars="200"/>
              <w:jc w:val="left"/>
              <w:rPr>
                <w:rFonts w:ascii="宋体" w:cs="宋体"/>
                <w:color w:val="auto"/>
                <w:szCs w:val="24"/>
                <w:highlight w:val="none"/>
              </w:rPr>
            </w:pPr>
            <w:r>
              <w:rPr>
                <w:rFonts w:hint="eastAsia" w:ascii="宋体" w:cs="宋体"/>
                <w:color w:val="auto"/>
                <w:szCs w:val="24"/>
                <w:highlight w:val="none"/>
              </w:rPr>
              <w:t>软件公司联系电话：4009980000。</w:t>
            </w:r>
          </w:p>
          <w:p w14:paraId="2D6B4B47">
            <w:pPr>
              <w:tabs>
                <w:tab w:val="right" w:leader="dot" w:pos="8295"/>
              </w:tabs>
              <w:ind w:firstLine="420" w:firstLineChars="200"/>
              <w:jc w:val="left"/>
              <w:rPr>
                <w:rFonts w:ascii="宋体" w:cs="宋体"/>
                <w:color w:val="auto"/>
                <w:szCs w:val="24"/>
                <w:highlight w:val="none"/>
                <w:u w:val="single"/>
              </w:rPr>
            </w:pPr>
            <w:r>
              <w:rPr>
                <w:rFonts w:hint="eastAsia" w:ascii="宋体" w:cs="宋体"/>
                <w:color w:val="auto"/>
                <w:szCs w:val="24"/>
                <w:highlight w:val="none"/>
              </w:rPr>
              <w:t>保证金室，咨询联系电话：0570-8757613</w:t>
            </w:r>
          </w:p>
          <w:p w14:paraId="3646A978">
            <w:pPr>
              <w:tabs>
                <w:tab w:val="right" w:leader="dot" w:pos="8295"/>
              </w:tabs>
              <w:ind w:firstLine="420" w:firstLineChars="200"/>
              <w:jc w:val="left"/>
              <w:rPr>
                <w:rFonts w:ascii="宋体"/>
                <w:strike/>
                <w:color w:val="auto"/>
                <w:szCs w:val="24"/>
                <w:highlight w:val="none"/>
              </w:rPr>
            </w:pPr>
            <w:r>
              <w:rPr>
                <w:rFonts w:hint="eastAsia" w:ascii="宋体" w:cs="宋体"/>
                <w:color w:val="auto"/>
                <w:szCs w:val="24"/>
                <w:highlight w:val="none"/>
              </w:rPr>
              <w:t>投标人如有违反法律法规、招标文件和其他相关规定，作不予退还投标保证金处理的，保函出具机构收到《不予退还投标保证金通知单》后</w:t>
            </w:r>
            <w:r>
              <w:rPr>
                <w:rFonts w:hint="eastAsia" w:ascii="宋体" w:hAnsi="宋体" w:eastAsia="Times New Roman"/>
                <w:color w:val="auto"/>
                <w:szCs w:val="24"/>
                <w:highlight w:val="none"/>
              </w:rPr>
              <w:t>5</w:t>
            </w:r>
            <w:r>
              <w:rPr>
                <w:rFonts w:hint="eastAsia" w:ascii="宋体" w:cs="宋体"/>
                <w:color w:val="auto"/>
                <w:szCs w:val="24"/>
                <w:highlight w:val="none"/>
              </w:rPr>
              <w:t>个工作日内将投标保证金担保赔偿款汇入监管办投标保证金专户。</w:t>
            </w:r>
          </w:p>
        </w:tc>
      </w:tr>
      <w:tr w14:paraId="5CBD2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B7CB554">
            <w:pPr>
              <w:tabs>
                <w:tab w:val="right" w:leader="dot" w:pos="8295"/>
              </w:tabs>
              <w:jc w:val="center"/>
              <w:rPr>
                <w:rFonts w:ascii="宋体"/>
                <w:color w:val="auto"/>
                <w:szCs w:val="24"/>
                <w:highlight w:val="none"/>
              </w:rPr>
            </w:pPr>
            <w:r>
              <w:rPr>
                <w:rFonts w:hint="eastAsia" w:ascii="宋体"/>
                <w:color w:val="auto"/>
                <w:szCs w:val="24"/>
                <w:highlight w:val="none"/>
              </w:rPr>
              <w:t>3.5.1</w:t>
            </w:r>
          </w:p>
        </w:tc>
        <w:tc>
          <w:tcPr>
            <w:tcW w:w="1701" w:type="dxa"/>
            <w:vAlign w:val="center"/>
          </w:tcPr>
          <w:p w14:paraId="19290131">
            <w:pPr>
              <w:tabs>
                <w:tab w:val="right" w:leader="dot" w:pos="8295"/>
              </w:tabs>
              <w:jc w:val="center"/>
              <w:rPr>
                <w:rFonts w:ascii="宋体"/>
                <w:color w:val="auto"/>
                <w:szCs w:val="24"/>
                <w:highlight w:val="none"/>
              </w:rPr>
            </w:pPr>
            <w:r>
              <w:rPr>
                <w:rFonts w:hint="eastAsia" w:ascii="宋体"/>
                <w:color w:val="auto"/>
                <w:szCs w:val="24"/>
                <w:highlight w:val="none"/>
              </w:rPr>
              <w:t>实质性响应招标文件及评审打分资料</w:t>
            </w:r>
          </w:p>
        </w:tc>
        <w:tc>
          <w:tcPr>
            <w:tcW w:w="7430" w:type="dxa"/>
            <w:vAlign w:val="center"/>
          </w:tcPr>
          <w:p w14:paraId="3396247F">
            <w:pPr>
              <w:tabs>
                <w:tab w:val="right" w:leader="dot" w:pos="8295"/>
              </w:tabs>
              <w:jc w:val="left"/>
              <w:rPr>
                <w:rFonts w:ascii="宋体"/>
                <w:color w:val="auto"/>
                <w:szCs w:val="24"/>
                <w:highlight w:val="none"/>
              </w:rPr>
            </w:pPr>
            <w:r>
              <w:rPr>
                <w:rFonts w:hint="eastAsia" w:ascii="宋体"/>
                <w:color w:val="auto"/>
                <w:szCs w:val="24"/>
                <w:highlight w:val="none"/>
              </w:rPr>
              <w:t>一、实质性响应招标文件资料</w:t>
            </w:r>
          </w:p>
          <w:p w14:paraId="37C50D31">
            <w:pPr>
              <w:tabs>
                <w:tab w:val="right" w:leader="dot" w:pos="8295"/>
              </w:tabs>
              <w:jc w:val="left"/>
              <w:rPr>
                <w:rFonts w:ascii="宋体"/>
                <w:color w:val="auto"/>
                <w:szCs w:val="24"/>
                <w:highlight w:val="none"/>
              </w:rPr>
            </w:pPr>
            <w:r>
              <w:rPr>
                <w:rFonts w:hint="eastAsia" w:ascii="宋体"/>
                <w:color w:val="auto"/>
                <w:szCs w:val="24"/>
                <w:highlight w:val="none"/>
              </w:rPr>
              <w:t>1.基本资格要求：</w:t>
            </w:r>
          </w:p>
          <w:p w14:paraId="4E06B7F6">
            <w:pPr>
              <w:tabs>
                <w:tab w:val="right" w:leader="dot" w:pos="8295"/>
              </w:tabs>
              <w:jc w:val="left"/>
              <w:rPr>
                <w:rFonts w:ascii="宋体"/>
                <w:color w:val="auto"/>
                <w:szCs w:val="24"/>
                <w:highlight w:val="none"/>
              </w:rPr>
            </w:pPr>
            <w:r>
              <w:rPr>
                <w:rFonts w:hint="eastAsia" w:ascii="宋体"/>
                <w:color w:val="auto"/>
                <w:szCs w:val="24"/>
                <w:highlight w:val="none"/>
              </w:rPr>
              <w:t>1.1投标人未被“信用中国”（www.creditchina.gov.cn)列入失信被执行人、重大税收违法案件当事人名单。</w:t>
            </w:r>
          </w:p>
          <w:p w14:paraId="052B26A9">
            <w:pPr>
              <w:tabs>
                <w:tab w:val="right" w:leader="dot" w:pos="8295"/>
              </w:tabs>
              <w:jc w:val="left"/>
              <w:rPr>
                <w:rFonts w:ascii="宋体"/>
                <w:color w:val="auto"/>
                <w:szCs w:val="24"/>
                <w:highlight w:val="none"/>
              </w:rPr>
            </w:pPr>
            <w:r>
              <w:rPr>
                <w:rFonts w:hint="eastAsia" w:ascii="宋体"/>
                <w:color w:val="auto"/>
                <w:szCs w:val="24"/>
                <w:highlight w:val="none"/>
              </w:rPr>
              <w:t>1.2投标人具备独立承担民事责任的能力，未被巨化集团禁止参加采购活动，近三年在招标人单位无不良业绩。</w:t>
            </w:r>
          </w:p>
          <w:p w14:paraId="67A4EF54">
            <w:pPr>
              <w:tabs>
                <w:tab w:val="right" w:leader="dot" w:pos="8295"/>
              </w:tabs>
              <w:jc w:val="left"/>
              <w:rPr>
                <w:rFonts w:ascii="宋体"/>
                <w:color w:val="auto"/>
                <w:szCs w:val="24"/>
                <w:highlight w:val="none"/>
              </w:rPr>
            </w:pPr>
            <w:r>
              <w:rPr>
                <w:rFonts w:hint="eastAsia" w:ascii="宋体"/>
                <w:color w:val="auto"/>
                <w:szCs w:val="24"/>
                <w:highlight w:val="none"/>
              </w:rPr>
              <w:t>1.3单位负责人为同一人或者存在控股、管理关系的不同单位，存在关联关系的不同单位，不得参加同一标项投标。</w:t>
            </w:r>
          </w:p>
          <w:p w14:paraId="72A2663E">
            <w:pPr>
              <w:tabs>
                <w:tab w:val="right" w:leader="dot" w:pos="8295"/>
              </w:tabs>
              <w:jc w:val="left"/>
              <w:rPr>
                <w:rFonts w:ascii="宋体"/>
                <w:color w:val="auto"/>
                <w:szCs w:val="24"/>
                <w:highlight w:val="none"/>
              </w:rPr>
            </w:pPr>
            <w:r>
              <w:rPr>
                <w:rFonts w:hint="eastAsia" w:ascii="宋体"/>
                <w:color w:val="auto"/>
                <w:szCs w:val="24"/>
                <w:highlight w:val="none"/>
              </w:rPr>
              <w:t>2. 特定资格要求：</w:t>
            </w:r>
          </w:p>
          <w:p w14:paraId="7A6AA4AE">
            <w:pPr>
              <w:tabs>
                <w:tab w:val="right" w:leader="dot" w:pos="8295"/>
              </w:tabs>
              <w:jc w:val="left"/>
              <w:rPr>
                <w:rFonts w:ascii="宋体"/>
                <w:color w:val="auto"/>
                <w:szCs w:val="24"/>
                <w:highlight w:val="none"/>
              </w:rPr>
            </w:pPr>
            <w:r>
              <w:rPr>
                <w:rFonts w:hint="eastAsia" w:ascii="宋体"/>
                <w:color w:val="auto"/>
                <w:szCs w:val="24"/>
                <w:highlight w:val="none"/>
              </w:rPr>
              <w:t xml:space="preserve">2.1投标人须为依法注册的独立法人或其他组织，须提供有效的证明文件。 </w:t>
            </w:r>
          </w:p>
          <w:p w14:paraId="719282F3">
            <w:pPr>
              <w:tabs>
                <w:tab w:val="right" w:leader="dot" w:pos="8295"/>
              </w:tabs>
              <w:jc w:val="left"/>
              <w:rPr>
                <w:rFonts w:ascii="宋体"/>
                <w:color w:val="auto"/>
                <w:szCs w:val="24"/>
                <w:highlight w:val="none"/>
              </w:rPr>
            </w:pPr>
            <w:r>
              <w:rPr>
                <w:rFonts w:hint="eastAsia" w:ascii="宋体"/>
                <w:color w:val="auto"/>
                <w:szCs w:val="24"/>
                <w:highlight w:val="none"/>
              </w:rPr>
              <w:t>2.2业绩要求：</w:t>
            </w:r>
          </w:p>
          <w:p w14:paraId="52942234">
            <w:pPr>
              <w:tabs>
                <w:tab w:val="right" w:leader="dot" w:pos="8295"/>
              </w:tabs>
              <w:jc w:val="left"/>
              <w:rPr>
                <w:rFonts w:ascii="宋体"/>
                <w:color w:val="auto"/>
                <w:szCs w:val="24"/>
                <w:highlight w:val="none"/>
              </w:rPr>
            </w:pPr>
            <w:r>
              <w:rPr>
                <w:rFonts w:hint="eastAsia" w:ascii="宋体"/>
                <w:color w:val="auto"/>
                <w:szCs w:val="24"/>
                <w:highlight w:val="none"/>
              </w:rPr>
              <w:t>2.2.1投标人自2020年8月至今，应至少具有 1 套蒸汽压缩机组应用业绩（以合同签订时间为准）。</w:t>
            </w:r>
          </w:p>
          <w:p w14:paraId="02D1E5AC">
            <w:pPr>
              <w:tabs>
                <w:tab w:val="right" w:leader="dot" w:pos="8295"/>
              </w:tabs>
              <w:jc w:val="left"/>
              <w:rPr>
                <w:rFonts w:ascii="宋体"/>
                <w:color w:val="auto"/>
                <w:szCs w:val="24"/>
                <w:highlight w:val="none"/>
              </w:rPr>
            </w:pPr>
            <w:r>
              <w:rPr>
                <w:rFonts w:hint="eastAsia" w:ascii="宋体"/>
                <w:color w:val="auto"/>
                <w:szCs w:val="24"/>
                <w:highlight w:val="none"/>
              </w:rPr>
              <w:t>2.2.2投标人须提供能证明业绩的合同复印件，内容至少包括项目名称、合同签订时间、压缩机参数、供货范围以及签章页。若不能体现上述要求，须同时提供合同配套的技术协议或数据表复印件。若投标文件提供的业绩证明材料不满足上述要求，则视为无效业绩。</w:t>
            </w:r>
          </w:p>
          <w:p w14:paraId="57AE9AA0">
            <w:pPr>
              <w:tabs>
                <w:tab w:val="right" w:leader="dot" w:pos="8295"/>
              </w:tabs>
              <w:jc w:val="left"/>
              <w:rPr>
                <w:rFonts w:ascii="宋体"/>
                <w:color w:val="auto"/>
                <w:szCs w:val="24"/>
                <w:highlight w:val="none"/>
              </w:rPr>
            </w:pPr>
            <w:r>
              <w:rPr>
                <w:rFonts w:hint="eastAsia" w:ascii="宋体"/>
                <w:color w:val="auto"/>
                <w:szCs w:val="24"/>
                <w:highlight w:val="none"/>
              </w:rPr>
              <w:t>二、评审打分资料：</w:t>
            </w:r>
          </w:p>
          <w:p w14:paraId="301AAD3E">
            <w:pPr>
              <w:tabs>
                <w:tab w:val="right" w:leader="dot" w:pos="8295"/>
              </w:tabs>
              <w:jc w:val="left"/>
              <w:rPr>
                <w:rFonts w:ascii="宋体"/>
                <w:color w:val="auto"/>
                <w:szCs w:val="24"/>
                <w:highlight w:val="none"/>
              </w:rPr>
            </w:pPr>
            <w:r>
              <w:rPr>
                <w:rFonts w:hint="eastAsia" w:ascii="宋体"/>
                <w:color w:val="auto"/>
                <w:szCs w:val="24"/>
                <w:highlight w:val="none"/>
              </w:rPr>
              <w:t>详见技术资信评审内容。</w:t>
            </w:r>
          </w:p>
          <w:p w14:paraId="722BC0F7">
            <w:pPr>
              <w:tabs>
                <w:tab w:val="right" w:leader="dot" w:pos="8295"/>
              </w:tabs>
              <w:jc w:val="left"/>
              <w:rPr>
                <w:color w:val="auto"/>
                <w:highlight w:val="none"/>
              </w:rPr>
            </w:pPr>
            <w:r>
              <w:rPr>
                <w:rFonts w:hint="eastAsia" w:ascii="宋体"/>
                <w:color w:val="auto"/>
                <w:szCs w:val="24"/>
                <w:highlight w:val="none"/>
              </w:rPr>
              <w:t>以上一、二条涉及的证书、资料应在投标文件中附扫描件。若投标文件中未附上述资料，属招标文件实质性要求响应资料的，评标委员会将按相关证明资料缺少或无效处理；属打分评审资料的，按相应评分内容不得分处理。（相关证书均应在有效期内，已在有效期外尚在办理延期过程中的视为无效；注册建造师证书按特殊条款处理）</w:t>
            </w:r>
          </w:p>
        </w:tc>
      </w:tr>
      <w:tr w14:paraId="6323D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7E49F49">
            <w:pPr>
              <w:tabs>
                <w:tab w:val="right" w:leader="dot" w:pos="8295"/>
              </w:tabs>
              <w:jc w:val="center"/>
              <w:rPr>
                <w:rFonts w:ascii="宋体"/>
                <w:color w:val="auto"/>
                <w:szCs w:val="24"/>
                <w:highlight w:val="none"/>
              </w:rPr>
            </w:pPr>
            <w:r>
              <w:rPr>
                <w:rFonts w:hint="eastAsia" w:ascii="宋体"/>
                <w:color w:val="auto"/>
                <w:szCs w:val="24"/>
                <w:highlight w:val="none"/>
              </w:rPr>
              <w:t>3.5.2</w:t>
            </w:r>
          </w:p>
        </w:tc>
        <w:tc>
          <w:tcPr>
            <w:tcW w:w="1701" w:type="dxa"/>
            <w:vAlign w:val="center"/>
          </w:tcPr>
          <w:p w14:paraId="3DFD9A40">
            <w:pPr>
              <w:tabs>
                <w:tab w:val="right" w:leader="dot" w:pos="8295"/>
              </w:tabs>
              <w:ind w:left="15" w:hanging="122"/>
              <w:jc w:val="center"/>
              <w:rPr>
                <w:rFonts w:ascii="宋体"/>
                <w:color w:val="auto"/>
                <w:szCs w:val="24"/>
                <w:highlight w:val="none"/>
              </w:rPr>
            </w:pPr>
            <w:r>
              <w:rPr>
                <w:rFonts w:hint="eastAsia" w:ascii="宋体"/>
                <w:color w:val="auto"/>
                <w:szCs w:val="24"/>
                <w:highlight w:val="none"/>
              </w:rPr>
              <w:t>近年财务状况的年份要求</w:t>
            </w:r>
          </w:p>
        </w:tc>
        <w:tc>
          <w:tcPr>
            <w:tcW w:w="7430" w:type="dxa"/>
            <w:vAlign w:val="center"/>
          </w:tcPr>
          <w:p w14:paraId="04874FCE">
            <w:pPr>
              <w:tabs>
                <w:tab w:val="right" w:leader="dot" w:pos="8295"/>
              </w:tabs>
              <w:jc w:val="left"/>
              <w:rPr>
                <w:rFonts w:ascii="宋体"/>
                <w:color w:val="auto"/>
                <w:szCs w:val="24"/>
                <w:highlight w:val="none"/>
              </w:rPr>
            </w:pPr>
            <w:r>
              <w:rPr>
                <w:rFonts w:hint="eastAsia" w:ascii="宋体"/>
                <w:color w:val="auto"/>
                <w:szCs w:val="24"/>
                <w:highlight w:val="none"/>
              </w:rPr>
              <w:t>2022、2023、2024年度经审计的财务报表，如未满三年则提供成立以来的经审计的财务报表</w:t>
            </w:r>
          </w:p>
        </w:tc>
      </w:tr>
      <w:tr w14:paraId="72E1FE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0E073EA1">
            <w:pPr>
              <w:tabs>
                <w:tab w:val="right" w:leader="dot" w:pos="8295"/>
              </w:tabs>
              <w:jc w:val="center"/>
              <w:rPr>
                <w:rFonts w:ascii="宋体"/>
                <w:color w:val="auto"/>
                <w:szCs w:val="24"/>
                <w:highlight w:val="none"/>
              </w:rPr>
            </w:pPr>
            <w:r>
              <w:rPr>
                <w:rFonts w:hint="eastAsia" w:ascii="宋体"/>
                <w:color w:val="auto"/>
                <w:szCs w:val="24"/>
                <w:highlight w:val="none"/>
              </w:rPr>
              <w:t>3.5.3</w:t>
            </w:r>
          </w:p>
        </w:tc>
        <w:tc>
          <w:tcPr>
            <w:tcW w:w="1701" w:type="dxa"/>
            <w:vAlign w:val="center"/>
          </w:tcPr>
          <w:p w14:paraId="59447818">
            <w:pPr>
              <w:tabs>
                <w:tab w:val="right" w:leader="dot" w:pos="8295"/>
              </w:tabs>
              <w:ind w:left="15" w:hanging="122"/>
              <w:jc w:val="center"/>
              <w:rPr>
                <w:rFonts w:ascii="宋体"/>
                <w:color w:val="auto"/>
                <w:szCs w:val="24"/>
                <w:highlight w:val="none"/>
              </w:rPr>
            </w:pPr>
            <w:r>
              <w:rPr>
                <w:rFonts w:hint="eastAsia" w:ascii="宋体"/>
                <w:color w:val="auto"/>
                <w:szCs w:val="24"/>
                <w:highlight w:val="none"/>
              </w:rPr>
              <w:t>近年完成的类似项目的年份要求</w:t>
            </w:r>
          </w:p>
        </w:tc>
        <w:tc>
          <w:tcPr>
            <w:tcW w:w="7430" w:type="dxa"/>
            <w:vAlign w:val="center"/>
          </w:tcPr>
          <w:p w14:paraId="688AEB3A">
            <w:pPr>
              <w:tabs>
                <w:tab w:val="right" w:leader="dot" w:pos="8295"/>
              </w:tabs>
              <w:ind w:firstLine="120"/>
              <w:jc w:val="left"/>
              <w:rPr>
                <w:rFonts w:ascii="宋体"/>
                <w:color w:val="auto"/>
                <w:szCs w:val="24"/>
                <w:highlight w:val="none"/>
              </w:rPr>
            </w:pPr>
            <w:r>
              <w:rPr>
                <w:rFonts w:hint="eastAsia" w:ascii="宋体"/>
                <w:color w:val="auto"/>
                <w:szCs w:val="24"/>
                <w:highlight w:val="none"/>
              </w:rPr>
              <w:t>2020年8月1日（以合同签订时间为准）至今</w:t>
            </w:r>
          </w:p>
        </w:tc>
      </w:tr>
      <w:tr w14:paraId="5AB0CA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BD88940">
            <w:pPr>
              <w:tabs>
                <w:tab w:val="right" w:leader="dot" w:pos="8295"/>
              </w:tabs>
              <w:jc w:val="center"/>
              <w:rPr>
                <w:rFonts w:ascii="宋体"/>
                <w:color w:val="auto"/>
                <w:szCs w:val="24"/>
                <w:highlight w:val="none"/>
              </w:rPr>
            </w:pPr>
            <w:r>
              <w:rPr>
                <w:rFonts w:hint="eastAsia" w:ascii="宋体"/>
                <w:color w:val="auto"/>
                <w:szCs w:val="24"/>
                <w:highlight w:val="none"/>
              </w:rPr>
              <w:t>3.5.5</w:t>
            </w:r>
          </w:p>
        </w:tc>
        <w:tc>
          <w:tcPr>
            <w:tcW w:w="1701" w:type="dxa"/>
            <w:vAlign w:val="center"/>
          </w:tcPr>
          <w:p w14:paraId="5855A5B5">
            <w:pPr>
              <w:tabs>
                <w:tab w:val="right" w:leader="dot" w:pos="8295"/>
              </w:tabs>
              <w:jc w:val="center"/>
              <w:rPr>
                <w:rFonts w:ascii="宋体"/>
                <w:color w:val="auto"/>
                <w:szCs w:val="24"/>
                <w:highlight w:val="none"/>
              </w:rPr>
            </w:pPr>
            <w:r>
              <w:rPr>
                <w:rFonts w:hint="eastAsia" w:ascii="宋体"/>
                <w:color w:val="auto"/>
                <w:szCs w:val="24"/>
                <w:highlight w:val="none"/>
              </w:rPr>
              <w:t>近年发生的重大诉讼及仲裁情况的年份要求</w:t>
            </w:r>
          </w:p>
        </w:tc>
        <w:tc>
          <w:tcPr>
            <w:tcW w:w="7430" w:type="dxa"/>
            <w:vAlign w:val="center"/>
          </w:tcPr>
          <w:p w14:paraId="70F945D4">
            <w:pPr>
              <w:tabs>
                <w:tab w:val="right" w:leader="dot" w:pos="8295"/>
              </w:tabs>
              <w:ind w:firstLine="120"/>
              <w:jc w:val="left"/>
              <w:rPr>
                <w:rFonts w:ascii="宋体"/>
                <w:color w:val="auto"/>
                <w:szCs w:val="24"/>
                <w:highlight w:val="none"/>
              </w:rPr>
            </w:pPr>
            <w:r>
              <w:rPr>
                <w:rFonts w:hint="eastAsia" w:ascii="宋体"/>
                <w:color w:val="auto"/>
                <w:szCs w:val="24"/>
                <w:highlight w:val="none"/>
              </w:rPr>
              <w:t>无</w:t>
            </w:r>
          </w:p>
        </w:tc>
      </w:tr>
      <w:tr w14:paraId="326BF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060B680">
            <w:pPr>
              <w:tabs>
                <w:tab w:val="right" w:leader="dot" w:pos="8295"/>
              </w:tabs>
              <w:jc w:val="center"/>
              <w:rPr>
                <w:rFonts w:ascii="宋体"/>
                <w:color w:val="auto"/>
                <w:szCs w:val="24"/>
                <w:highlight w:val="none"/>
              </w:rPr>
            </w:pPr>
            <w:r>
              <w:rPr>
                <w:rFonts w:hint="eastAsia" w:ascii="宋体"/>
                <w:color w:val="auto"/>
                <w:szCs w:val="24"/>
                <w:highlight w:val="none"/>
              </w:rPr>
              <w:t>3.6</w:t>
            </w:r>
          </w:p>
        </w:tc>
        <w:tc>
          <w:tcPr>
            <w:tcW w:w="1701" w:type="dxa"/>
            <w:vAlign w:val="center"/>
          </w:tcPr>
          <w:p w14:paraId="248187E7">
            <w:pPr>
              <w:tabs>
                <w:tab w:val="right" w:leader="dot" w:pos="8295"/>
              </w:tabs>
              <w:jc w:val="center"/>
              <w:rPr>
                <w:rFonts w:ascii="宋体"/>
                <w:color w:val="auto"/>
                <w:szCs w:val="24"/>
                <w:highlight w:val="none"/>
              </w:rPr>
            </w:pPr>
            <w:r>
              <w:rPr>
                <w:rFonts w:hint="eastAsia" w:ascii="宋体"/>
                <w:color w:val="auto"/>
                <w:szCs w:val="24"/>
                <w:highlight w:val="none"/>
              </w:rPr>
              <w:t>是否允许递交备选投标方案</w:t>
            </w:r>
          </w:p>
        </w:tc>
        <w:tc>
          <w:tcPr>
            <w:tcW w:w="7430" w:type="dxa"/>
            <w:vAlign w:val="center"/>
          </w:tcPr>
          <w:p w14:paraId="4FABCEDA">
            <w:pPr>
              <w:tabs>
                <w:tab w:val="right" w:leader="dot" w:pos="8295"/>
              </w:tabs>
              <w:jc w:val="left"/>
              <w:rPr>
                <w:rFonts w:ascii="宋体"/>
                <w:color w:val="auto"/>
                <w:szCs w:val="24"/>
                <w:highlight w:val="none"/>
              </w:rPr>
            </w:pPr>
            <w:r>
              <w:rPr>
                <w:rFonts w:hint="eastAsia" w:ascii="宋体" w:hAnsi="宋体" w:eastAsia="MS Mincho" w:cs="MS Mincho"/>
                <w:color w:val="auto"/>
                <w:szCs w:val="24"/>
                <w:highlight w:val="none"/>
              </w:rPr>
              <w:t>☑</w:t>
            </w:r>
            <w:r>
              <w:rPr>
                <w:rFonts w:hint="eastAsia" w:ascii="宋体"/>
                <w:color w:val="auto"/>
                <w:szCs w:val="24"/>
                <w:highlight w:val="none"/>
              </w:rPr>
              <w:t>不允许。</w:t>
            </w:r>
          </w:p>
          <w:p w14:paraId="7EFCD2EA">
            <w:pPr>
              <w:tabs>
                <w:tab w:val="right" w:leader="dot" w:pos="8295"/>
              </w:tabs>
              <w:jc w:val="left"/>
              <w:rPr>
                <w:rFonts w:ascii="宋体"/>
                <w:color w:val="auto"/>
                <w:szCs w:val="24"/>
                <w:highlight w:val="none"/>
              </w:rPr>
            </w:pPr>
            <w:r>
              <w:rPr>
                <w:rFonts w:hint="eastAsia" w:ascii="宋体"/>
                <w:color w:val="auto"/>
                <w:szCs w:val="24"/>
                <w:highlight w:val="none"/>
              </w:rPr>
              <w:t>□允许。</w:t>
            </w:r>
          </w:p>
        </w:tc>
      </w:tr>
      <w:tr w14:paraId="297353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0104DDB">
            <w:pPr>
              <w:tabs>
                <w:tab w:val="right" w:leader="dot" w:pos="8295"/>
              </w:tabs>
              <w:jc w:val="center"/>
              <w:rPr>
                <w:rFonts w:ascii="宋体"/>
                <w:color w:val="auto"/>
                <w:szCs w:val="24"/>
                <w:highlight w:val="none"/>
              </w:rPr>
            </w:pPr>
            <w:r>
              <w:rPr>
                <w:rFonts w:hint="eastAsia" w:ascii="宋体"/>
                <w:color w:val="auto"/>
                <w:szCs w:val="24"/>
                <w:highlight w:val="none"/>
              </w:rPr>
              <w:t>3.7.1</w:t>
            </w:r>
          </w:p>
        </w:tc>
        <w:tc>
          <w:tcPr>
            <w:tcW w:w="1701" w:type="dxa"/>
            <w:vAlign w:val="center"/>
          </w:tcPr>
          <w:p w14:paraId="118019FE">
            <w:pPr>
              <w:tabs>
                <w:tab w:val="right" w:leader="dot" w:pos="8295"/>
              </w:tabs>
              <w:jc w:val="center"/>
              <w:rPr>
                <w:rFonts w:ascii="宋体"/>
                <w:color w:val="auto"/>
                <w:szCs w:val="24"/>
                <w:highlight w:val="none"/>
              </w:rPr>
            </w:pPr>
            <w:r>
              <w:rPr>
                <w:rFonts w:hint="eastAsia" w:ascii="宋体"/>
                <w:color w:val="auto"/>
                <w:szCs w:val="24"/>
                <w:highlight w:val="none"/>
              </w:rPr>
              <w:t>签字或盖章要求</w:t>
            </w:r>
          </w:p>
        </w:tc>
        <w:tc>
          <w:tcPr>
            <w:tcW w:w="7430" w:type="dxa"/>
            <w:vAlign w:val="center"/>
          </w:tcPr>
          <w:p w14:paraId="560A572A">
            <w:pPr>
              <w:tabs>
                <w:tab w:val="right" w:leader="dot" w:pos="8295"/>
              </w:tabs>
              <w:jc w:val="left"/>
              <w:rPr>
                <w:rFonts w:ascii="宋体"/>
                <w:color w:val="auto"/>
                <w:szCs w:val="24"/>
                <w:highlight w:val="none"/>
              </w:rPr>
            </w:pPr>
            <w:r>
              <w:rPr>
                <w:rFonts w:hint="eastAsia" w:ascii="宋体"/>
                <w:color w:val="auto"/>
                <w:szCs w:val="24"/>
                <w:highlight w:val="none"/>
              </w:rPr>
              <w:t>一、电子投标文件签字或盖章要求：在招标文件格式规定的签字和盖章处，投标人必须加盖法定代表人电子章和单位电子公章。</w:t>
            </w:r>
          </w:p>
          <w:p w14:paraId="627E5DD8">
            <w:pPr>
              <w:tabs>
                <w:tab w:val="right" w:leader="dot" w:pos="8295"/>
              </w:tabs>
              <w:jc w:val="left"/>
              <w:rPr>
                <w:rFonts w:ascii="宋体"/>
                <w:color w:val="auto"/>
                <w:szCs w:val="24"/>
                <w:highlight w:val="none"/>
              </w:rPr>
            </w:pPr>
            <w:r>
              <w:rPr>
                <w:rFonts w:hint="eastAsia" w:ascii="宋体"/>
                <w:color w:val="auto"/>
                <w:szCs w:val="24"/>
                <w:highlight w:val="none"/>
              </w:rPr>
              <w:t>二、联合体投标（如招标文件允许联合体投标）的，电子投标文件只需联合体牵头人按要求盖章(联合体协议书在成员盖章后由牵头人扫描上传并按要求盖章）</w:t>
            </w:r>
          </w:p>
        </w:tc>
      </w:tr>
      <w:tr w14:paraId="1BA09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2B7210F">
            <w:pPr>
              <w:tabs>
                <w:tab w:val="right" w:leader="dot" w:pos="8295"/>
              </w:tabs>
              <w:jc w:val="center"/>
              <w:rPr>
                <w:rFonts w:ascii="宋体"/>
                <w:color w:val="auto"/>
                <w:szCs w:val="24"/>
                <w:highlight w:val="none"/>
              </w:rPr>
            </w:pPr>
            <w:r>
              <w:rPr>
                <w:rFonts w:hint="eastAsia" w:ascii="宋体"/>
                <w:color w:val="auto"/>
                <w:szCs w:val="24"/>
                <w:highlight w:val="none"/>
              </w:rPr>
              <w:t>3.7.2</w:t>
            </w:r>
          </w:p>
        </w:tc>
        <w:tc>
          <w:tcPr>
            <w:tcW w:w="1701" w:type="dxa"/>
            <w:vAlign w:val="center"/>
          </w:tcPr>
          <w:p w14:paraId="3F0502CF">
            <w:pPr>
              <w:tabs>
                <w:tab w:val="right" w:leader="dot" w:pos="8295"/>
              </w:tabs>
              <w:jc w:val="center"/>
              <w:rPr>
                <w:rFonts w:ascii="宋体"/>
                <w:color w:val="auto"/>
                <w:szCs w:val="24"/>
                <w:highlight w:val="none"/>
              </w:rPr>
            </w:pPr>
            <w:r>
              <w:rPr>
                <w:rFonts w:hint="eastAsia" w:ascii="宋体"/>
                <w:color w:val="auto"/>
                <w:szCs w:val="24"/>
                <w:highlight w:val="none"/>
              </w:rPr>
              <w:t>投标文件份数</w:t>
            </w:r>
          </w:p>
        </w:tc>
        <w:tc>
          <w:tcPr>
            <w:tcW w:w="7430" w:type="dxa"/>
            <w:vAlign w:val="center"/>
          </w:tcPr>
          <w:p w14:paraId="14622C7C">
            <w:pPr>
              <w:tabs>
                <w:tab w:val="right" w:leader="dot" w:pos="8295"/>
              </w:tabs>
              <w:jc w:val="left"/>
              <w:rPr>
                <w:rFonts w:ascii="宋体"/>
                <w:color w:val="auto"/>
                <w:szCs w:val="24"/>
                <w:highlight w:val="none"/>
              </w:rPr>
            </w:pPr>
            <w:r>
              <w:rPr>
                <w:rFonts w:hint="eastAsia" w:ascii="宋体"/>
                <w:color w:val="auto"/>
                <w:szCs w:val="24"/>
                <w:highlight w:val="none"/>
              </w:rPr>
              <w:t>一、加密电子投标文件一份，上传至衢州市公共资源电子交易系统，作为投标文件正本。</w:t>
            </w:r>
          </w:p>
          <w:p w14:paraId="37353D8B">
            <w:pPr>
              <w:tabs>
                <w:tab w:val="right" w:leader="dot" w:pos="8295"/>
              </w:tabs>
              <w:jc w:val="left"/>
              <w:rPr>
                <w:rFonts w:ascii="宋体"/>
                <w:color w:val="auto"/>
                <w:szCs w:val="24"/>
                <w:highlight w:val="none"/>
              </w:rPr>
            </w:pPr>
            <w:r>
              <w:rPr>
                <w:rFonts w:hint="eastAsia" w:ascii="宋体"/>
                <w:color w:val="auto"/>
                <w:szCs w:val="24"/>
                <w:highlight w:val="none"/>
              </w:rPr>
              <w:t>二、中标公示结束后，中标人应免费提供纸质投标文件2套。</w:t>
            </w:r>
          </w:p>
          <w:p w14:paraId="6EF9902F">
            <w:pPr>
              <w:tabs>
                <w:tab w:val="right" w:leader="dot" w:pos="8295"/>
              </w:tabs>
              <w:ind w:firstLine="480"/>
              <w:jc w:val="left"/>
              <w:rPr>
                <w:rFonts w:ascii="宋体"/>
                <w:color w:val="auto"/>
                <w:szCs w:val="24"/>
                <w:highlight w:val="none"/>
              </w:rPr>
            </w:pPr>
            <w:r>
              <w:rPr>
                <w:rFonts w:hint="eastAsia" w:ascii="宋体"/>
                <w:color w:val="auto"/>
                <w:szCs w:val="24"/>
                <w:highlight w:val="none"/>
              </w:rPr>
              <w:t>纸质投标文件打印装订后邮寄至：</w:t>
            </w:r>
          </w:p>
          <w:p w14:paraId="41DFA4B4">
            <w:pPr>
              <w:tabs>
                <w:tab w:val="right" w:leader="dot" w:pos="8295"/>
              </w:tabs>
              <w:ind w:firstLine="480"/>
              <w:jc w:val="left"/>
              <w:rPr>
                <w:rFonts w:ascii="宋体"/>
                <w:color w:val="auto"/>
                <w:szCs w:val="24"/>
                <w:highlight w:val="none"/>
              </w:rPr>
            </w:pPr>
            <w:r>
              <w:rPr>
                <w:rFonts w:hint="eastAsia" w:ascii="宋体"/>
                <w:color w:val="auto"/>
                <w:szCs w:val="24"/>
                <w:highlight w:val="none"/>
              </w:rPr>
              <w:t>收件公司：浙江南方工程咨询管理有限公司</w:t>
            </w:r>
          </w:p>
          <w:p w14:paraId="61CA4EED">
            <w:pPr>
              <w:tabs>
                <w:tab w:val="right" w:leader="dot" w:pos="8295"/>
              </w:tabs>
              <w:ind w:firstLine="480"/>
              <w:jc w:val="left"/>
              <w:rPr>
                <w:rFonts w:ascii="宋体"/>
                <w:color w:val="auto"/>
                <w:szCs w:val="24"/>
                <w:highlight w:val="none"/>
              </w:rPr>
            </w:pPr>
            <w:r>
              <w:rPr>
                <w:rFonts w:hint="eastAsia" w:ascii="宋体"/>
                <w:color w:val="auto"/>
                <w:szCs w:val="24"/>
                <w:highlight w:val="none"/>
              </w:rPr>
              <w:t>收件地址：浙江衢州市柯城区衢化街道文昌路99号九州大厦四楼</w:t>
            </w:r>
          </w:p>
          <w:p w14:paraId="0DE38595">
            <w:pPr>
              <w:tabs>
                <w:tab w:val="right" w:leader="dot" w:pos="8295"/>
              </w:tabs>
              <w:ind w:firstLine="480"/>
              <w:jc w:val="left"/>
              <w:rPr>
                <w:rFonts w:ascii="宋体"/>
                <w:color w:val="auto"/>
                <w:szCs w:val="24"/>
                <w:highlight w:val="none"/>
              </w:rPr>
            </w:pPr>
            <w:r>
              <w:rPr>
                <w:rFonts w:hint="eastAsia" w:ascii="宋体"/>
                <w:color w:val="auto"/>
                <w:szCs w:val="24"/>
                <w:highlight w:val="none"/>
              </w:rPr>
              <w:t>收 件 人：颜先生</w:t>
            </w:r>
          </w:p>
          <w:p w14:paraId="42214171">
            <w:pPr>
              <w:tabs>
                <w:tab w:val="right" w:leader="dot" w:pos="8295"/>
              </w:tabs>
              <w:ind w:firstLine="480"/>
              <w:jc w:val="left"/>
              <w:rPr>
                <w:rFonts w:ascii="宋体"/>
                <w:color w:val="auto"/>
                <w:szCs w:val="24"/>
                <w:highlight w:val="none"/>
              </w:rPr>
            </w:pPr>
            <w:r>
              <w:rPr>
                <w:rFonts w:hint="eastAsia" w:ascii="宋体"/>
                <w:color w:val="auto"/>
                <w:szCs w:val="24"/>
                <w:highlight w:val="none"/>
              </w:rPr>
              <w:t>联系电话：18905707159</w:t>
            </w:r>
          </w:p>
        </w:tc>
      </w:tr>
      <w:tr w14:paraId="5A295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1C62A00D">
            <w:pPr>
              <w:tabs>
                <w:tab w:val="right" w:leader="dot" w:pos="8295"/>
              </w:tabs>
              <w:jc w:val="center"/>
              <w:rPr>
                <w:rFonts w:ascii="宋体"/>
                <w:color w:val="auto"/>
                <w:szCs w:val="24"/>
                <w:highlight w:val="none"/>
              </w:rPr>
            </w:pPr>
            <w:r>
              <w:rPr>
                <w:rFonts w:hint="eastAsia" w:ascii="宋体"/>
                <w:color w:val="auto"/>
                <w:szCs w:val="24"/>
                <w:highlight w:val="none"/>
              </w:rPr>
              <w:t>4.2.2</w:t>
            </w:r>
          </w:p>
        </w:tc>
        <w:tc>
          <w:tcPr>
            <w:tcW w:w="1701" w:type="dxa"/>
            <w:vAlign w:val="center"/>
          </w:tcPr>
          <w:p w14:paraId="54B5C054">
            <w:pPr>
              <w:tabs>
                <w:tab w:val="right" w:leader="dot" w:pos="8295"/>
              </w:tabs>
              <w:jc w:val="center"/>
              <w:rPr>
                <w:rFonts w:ascii="宋体"/>
                <w:color w:val="auto"/>
                <w:szCs w:val="24"/>
                <w:highlight w:val="none"/>
              </w:rPr>
            </w:pPr>
            <w:r>
              <w:rPr>
                <w:rFonts w:hint="eastAsia" w:ascii="宋体"/>
                <w:color w:val="auto"/>
                <w:szCs w:val="24"/>
                <w:highlight w:val="none"/>
              </w:rPr>
              <w:t>递交投标文件方式和地点</w:t>
            </w:r>
          </w:p>
        </w:tc>
        <w:tc>
          <w:tcPr>
            <w:tcW w:w="7430" w:type="dxa"/>
            <w:vAlign w:val="center"/>
          </w:tcPr>
          <w:p w14:paraId="50B55265">
            <w:pPr>
              <w:tabs>
                <w:tab w:val="right" w:leader="dot" w:pos="8295"/>
              </w:tabs>
              <w:ind w:firstLine="480"/>
              <w:jc w:val="left"/>
              <w:rPr>
                <w:rFonts w:ascii="宋体"/>
                <w:color w:val="auto"/>
                <w:szCs w:val="24"/>
                <w:highlight w:val="none"/>
              </w:rPr>
            </w:pPr>
            <w:r>
              <w:rPr>
                <w:rFonts w:hint="eastAsia" w:ascii="宋体"/>
                <w:color w:val="auto"/>
                <w:szCs w:val="24"/>
                <w:highlight w:val="none"/>
              </w:rPr>
              <w:t>将由投标文件制作工具制作生成的加密投标文件（.加密标书）在投标截止时间前（以上传完成时间为准）上传至衢州市公共资源电子交易系统（https://ggzy.qz.gov.cn/）。</w:t>
            </w:r>
          </w:p>
        </w:tc>
      </w:tr>
      <w:tr w14:paraId="692C54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DE0B66F">
            <w:pPr>
              <w:tabs>
                <w:tab w:val="right" w:leader="dot" w:pos="8295"/>
              </w:tabs>
              <w:jc w:val="center"/>
              <w:rPr>
                <w:rFonts w:ascii="宋体"/>
                <w:color w:val="auto"/>
                <w:szCs w:val="24"/>
                <w:highlight w:val="none"/>
              </w:rPr>
            </w:pPr>
            <w:r>
              <w:rPr>
                <w:rFonts w:hint="eastAsia" w:ascii="宋体"/>
                <w:color w:val="auto"/>
                <w:szCs w:val="24"/>
                <w:highlight w:val="none"/>
              </w:rPr>
              <w:t>4.2.3</w:t>
            </w:r>
          </w:p>
        </w:tc>
        <w:tc>
          <w:tcPr>
            <w:tcW w:w="1701" w:type="dxa"/>
            <w:vAlign w:val="center"/>
          </w:tcPr>
          <w:p w14:paraId="73473923">
            <w:pPr>
              <w:tabs>
                <w:tab w:val="right" w:leader="dot" w:pos="8295"/>
              </w:tabs>
              <w:jc w:val="center"/>
              <w:rPr>
                <w:rFonts w:ascii="宋体"/>
                <w:color w:val="auto"/>
                <w:szCs w:val="24"/>
                <w:highlight w:val="none"/>
              </w:rPr>
            </w:pPr>
            <w:r>
              <w:rPr>
                <w:rFonts w:hint="eastAsia" w:ascii="宋体"/>
                <w:color w:val="auto"/>
                <w:szCs w:val="24"/>
                <w:highlight w:val="none"/>
              </w:rPr>
              <w:t>是否退还投标文件</w:t>
            </w:r>
          </w:p>
        </w:tc>
        <w:tc>
          <w:tcPr>
            <w:tcW w:w="7430" w:type="dxa"/>
            <w:vAlign w:val="center"/>
          </w:tcPr>
          <w:p w14:paraId="7F2F8D1E">
            <w:pPr>
              <w:jc w:val="left"/>
              <w:rPr>
                <w:rFonts w:ascii="宋体"/>
                <w:color w:val="auto"/>
                <w:szCs w:val="24"/>
                <w:highlight w:val="none"/>
              </w:rPr>
            </w:pPr>
            <w:r>
              <w:rPr>
                <w:rFonts w:hint="eastAsia" w:ascii="宋体"/>
                <w:color w:val="auto"/>
                <w:szCs w:val="24"/>
                <w:highlight w:val="none"/>
              </w:rPr>
              <w:t>否</w:t>
            </w:r>
          </w:p>
        </w:tc>
      </w:tr>
      <w:tr w14:paraId="25EBEE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71DFFDE">
            <w:pPr>
              <w:tabs>
                <w:tab w:val="right" w:leader="dot" w:pos="8295"/>
              </w:tabs>
              <w:jc w:val="center"/>
              <w:rPr>
                <w:rFonts w:ascii="宋体"/>
                <w:color w:val="auto"/>
                <w:szCs w:val="24"/>
                <w:highlight w:val="none"/>
              </w:rPr>
            </w:pPr>
            <w:r>
              <w:rPr>
                <w:rFonts w:hint="eastAsia" w:ascii="宋体"/>
                <w:color w:val="auto"/>
                <w:szCs w:val="24"/>
                <w:highlight w:val="none"/>
              </w:rPr>
              <w:t>4.2.5</w:t>
            </w:r>
          </w:p>
        </w:tc>
        <w:tc>
          <w:tcPr>
            <w:tcW w:w="1701" w:type="dxa"/>
            <w:vAlign w:val="center"/>
          </w:tcPr>
          <w:p w14:paraId="35155F23">
            <w:pPr>
              <w:tabs>
                <w:tab w:val="right" w:leader="dot" w:pos="8295"/>
              </w:tabs>
              <w:jc w:val="center"/>
              <w:rPr>
                <w:rFonts w:ascii="宋体"/>
                <w:color w:val="auto"/>
                <w:szCs w:val="24"/>
                <w:highlight w:val="none"/>
              </w:rPr>
            </w:pPr>
            <w:r>
              <w:rPr>
                <w:rFonts w:hint="eastAsia" w:ascii="宋体"/>
                <w:color w:val="auto"/>
                <w:szCs w:val="24"/>
                <w:highlight w:val="none"/>
              </w:rPr>
              <w:t>投标文件的</w:t>
            </w:r>
          </w:p>
          <w:p w14:paraId="16170F86">
            <w:pPr>
              <w:tabs>
                <w:tab w:val="right" w:leader="dot" w:pos="8295"/>
              </w:tabs>
              <w:jc w:val="center"/>
              <w:rPr>
                <w:rFonts w:ascii="宋体"/>
                <w:color w:val="auto"/>
                <w:szCs w:val="24"/>
                <w:highlight w:val="none"/>
              </w:rPr>
            </w:pPr>
            <w:r>
              <w:rPr>
                <w:rFonts w:hint="eastAsia" w:ascii="宋体"/>
                <w:color w:val="auto"/>
                <w:szCs w:val="24"/>
                <w:highlight w:val="none"/>
              </w:rPr>
              <w:t>拒收情形</w:t>
            </w:r>
          </w:p>
        </w:tc>
        <w:tc>
          <w:tcPr>
            <w:tcW w:w="7430" w:type="dxa"/>
            <w:vAlign w:val="center"/>
          </w:tcPr>
          <w:p w14:paraId="3E84C347">
            <w:pPr>
              <w:tabs>
                <w:tab w:val="right" w:leader="dot" w:pos="8295"/>
              </w:tabs>
              <w:jc w:val="left"/>
              <w:rPr>
                <w:rFonts w:ascii="宋体"/>
                <w:b/>
                <w:color w:val="auto"/>
                <w:szCs w:val="24"/>
                <w:highlight w:val="none"/>
              </w:rPr>
            </w:pPr>
            <w:r>
              <w:rPr>
                <w:rFonts w:hint="eastAsia" w:ascii="宋体"/>
                <w:color w:val="auto"/>
                <w:szCs w:val="24"/>
                <w:highlight w:val="none"/>
              </w:rPr>
              <w:t>加密电子投标文件（正本投标文件）未加密的；未在投标截止时间前完成上传的。</w:t>
            </w:r>
          </w:p>
        </w:tc>
      </w:tr>
      <w:tr w14:paraId="52322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2A62E27">
            <w:pPr>
              <w:tabs>
                <w:tab w:val="right" w:leader="dot" w:pos="8295"/>
              </w:tabs>
              <w:jc w:val="center"/>
              <w:rPr>
                <w:rFonts w:ascii="宋体"/>
                <w:color w:val="auto"/>
                <w:szCs w:val="24"/>
                <w:highlight w:val="none"/>
              </w:rPr>
            </w:pPr>
            <w:r>
              <w:rPr>
                <w:rFonts w:hint="eastAsia" w:ascii="宋体"/>
                <w:color w:val="auto"/>
                <w:szCs w:val="24"/>
                <w:highlight w:val="none"/>
              </w:rPr>
              <w:t>5.1</w:t>
            </w:r>
          </w:p>
        </w:tc>
        <w:tc>
          <w:tcPr>
            <w:tcW w:w="1701" w:type="dxa"/>
            <w:vAlign w:val="center"/>
          </w:tcPr>
          <w:p w14:paraId="1EF2983B">
            <w:pPr>
              <w:tabs>
                <w:tab w:val="right" w:leader="dot" w:pos="8295"/>
              </w:tabs>
              <w:jc w:val="center"/>
              <w:rPr>
                <w:rFonts w:ascii="宋体"/>
                <w:color w:val="auto"/>
                <w:szCs w:val="24"/>
                <w:highlight w:val="none"/>
              </w:rPr>
            </w:pPr>
            <w:r>
              <w:rPr>
                <w:rFonts w:hint="eastAsia" w:ascii="宋体"/>
                <w:color w:val="auto"/>
                <w:szCs w:val="24"/>
                <w:highlight w:val="none"/>
              </w:rPr>
              <w:t>开标时间、开标地点、参加开标会议的要求</w:t>
            </w:r>
          </w:p>
        </w:tc>
        <w:tc>
          <w:tcPr>
            <w:tcW w:w="7430" w:type="dxa"/>
            <w:vAlign w:val="center"/>
          </w:tcPr>
          <w:p w14:paraId="01D6A1C3">
            <w:pPr>
              <w:tabs>
                <w:tab w:val="right" w:leader="dot" w:pos="8295"/>
              </w:tabs>
              <w:jc w:val="left"/>
              <w:rPr>
                <w:rFonts w:ascii="宋体"/>
                <w:color w:val="auto"/>
                <w:szCs w:val="24"/>
                <w:highlight w:val="none"/>
              </w:rPr>
            </w:pPr>
            <w:r>
              <w:rPr>
                <w:rFonts w:hint="eastAsia" w:ascii="宋体"/>
                <w:color w:val="auto"/>
                <w:szCs w:val="24"/>
                <w:highlight w:val="none"/>
              </w:rPr>
              <w:t>一、开标时间：同投标截止时间。</w:t>
            </w:r>
          </w:p>
          <w:p w14:paraId="35BA66D1">
            <w:pPr>
              <w:tabs>
                <w:tab w:val="right" w:leader="dot" w:pos="8295"/>
              </w:tabs>
              <w:jc w:val="left"/>
              <w:rPr>
                <w:rFonts w:ascii="宋体"/>
                <w:color w:val="auto"/>
                <w:szCs w:val="24"/>
                <w:highlight w:val="none"/>
              </w:rPr>
            </w:pPr>
            <w:r>
              <w:rPr>
                <w:rFonts w:hint="eastAsia" w:ascii="宋体"/>
                <w:color w:val="auto"/>
                <w:szCs w:val="24"/>
                <w:highlight w:val="none"/>
              </w:rPr>
              <w:t>二、开标大厅：（http</w:t>
            </w:r>
            <w:r>
              <w:rPr>
                <w:rFonts w:hint="eastAsia" w:ascii="宋体"/>
                <w:color w:val="auto"/>
                <w:szCs w:val="24"/>
                <w:highlight w:val="none"/>
                <w:lang w:val="en" w:eastAsia="en"/>
              </w:rPr>
              <w:t>s</w:t>
            </w:r>
            <w:r>
              <w:rPr>
                <w:rFonts w:hint="eastAsia" w:ascii="宋体"/>
                <w:color w:val="auto"/>
                <w:szCs w:val="24"/>
                <w:highlight w:val="none"/>
              </w:rPr>
              <w:t>://jyzx.ggzy.qz.gov.cn/BidOpening/bidopeninghallaction/hall/login）</w:t>
            </w:r>
          </w:p>
          <w:p w14:paraId="60550CAC">
            <w:pPr>
              <w:tabs>
                <w:tab w:val="right" w:leader="dot" w:pos="8295"/>
              </w:tabs>
              <w:jc w:val="left"/>
              <w:rPr>
                <w:rFonts w:ascii="宋体"/>
                <w:color w:val="auto"/>
                <w:szCs w:val="24"/>
                <w:highlight w:val="none"/>
              </w:rPr>
            </w:pPr>
            <w:r>
              <w:rPr>
                <w:rFonts w:hint="eastAsia" w:ascii="宋体"/>
                <w:color w:val="auto"/>
                <w:szCs w:val="24"/>
                <w:highlight w:val="none"/>
              </w:rPr>
              <w:t>三、参加开标会议的要求</w:t>
            </w:r>
          </w:p>
          <w:p w14:paraId="1611BB16">
            <w:pPr>
              <w:tabs>
                <w:tab w:val="right" w:leader="dot" w:pos="8295"/>
              </w:tabs>
              <w:jc w:val="left"/>
              <w:rPr>
                <w:rFonts w:ascii="宋体"/>
                <w:color w:val="auto"/>
                <w:szCs w:val="24"/>
                <w:highlight w:val="none"/>
              </w:rPr>
            </w:pPr>
            <w:r>
              <w:rPr>
                <w:rFonts w:hint="eastAsia" w:ascii="宋体"/>
                <w:color w:val="auto"/>
                <w:szCs w:val="24"/>
                <w:highlight w:val="none"/>
              </w:rPr>
              <w:t>开标过程中，投标人参与远程音视频交互的法人代表或授权委托人应始终为同一人，中途不得更换，并能及时响应开标要求。投标人终端操作人员均被视为投标人法人代表或授权委托人，投标人自行承担随意更换人员所导致的一切后果。</w:t>
            </w:r>
          </w:p>
        </w:tc>
      </w:tr>
      <w:tr w14:paraId="56395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662073A">
            <w:pPr>
              <w:tabs>
                <w:tab w:val="right" w:leader="dot" w:pos="8295"/>
              </w:tabs>
              <w:jc w:val="center"/>
              <w:rPr>
                <w:rFonts w:ascii="宋体"/>
                <w:color w:val="auto"/>
                <w:szCs w:val="24"/>
                <w:highlight w:val="none"/>
              </w:rPr>
            </w:pPr>
            <w:r>
              <w:rPr>
                <w:rFonts w:hint="eastAsia" w:ascii="宋体"/>
                <w:color w:val="auto"/>
                <w:szCs w:val="24"/>
                <w:highlight w:val="none"/>
              </w:rPr>
              <w:t>5.2</w:t>
            </w:r>
          </w:p>
        </w:tc>
        <w:tc>
          <w:tcPr>
            <w:tcW w:w="1701" w:type="dxa"/>
            <w:vAlign w:val="center"/>
          </w:tcPr>
          <w:p w14:paraId="2BA3F18A">
            <w:pPr>
              <w:tabs>
                <w:tab w:val="right" w:leader="dot" w:pos="8295"/>
              </w:tabs>
              <w:jc w:val="center"/>
              <w:rPr>
                <w:rFonts w:ascii="宋体"/>
                <w:color w:val="auto"/>
                <w:szCs w:val="24"/>
                <w:highlight w:val="none"/>
              </w:rPr>
            </w:pPr>
            <w:r>
              <w:rPr>
                <w:rFonts w:hint="eastAsia" w:ascii="宋体"/>
                <w:color w:val="auto"/>
                <w:szCs w:val="24"/>
                <w:highlight w:val="none"/>
              </w:rPr>
              <w:t>开标程序</w:t>
            </w:r>
          </w:p>
        </w:tc>
        <w:tc>
          <w:tcPr>
            <w:tcW w:w="7430" w:type="dxa"/>
            <w:vAlign w:val="center"/>
          </w:tcPr>
          <w:p w14:paraId="4AEBFA52">
            <w:pPr>
              <w:tabs>
                <w:tab w:val="right" w:leader="dot" w:pos="8295"/>
              </w:tabs>
              <w:jc w:val="left"/>
              <w:rPr>
                <w:rFonts w:ascii="宋体"/>
                <w:color w:val="auto"/>
                <w:szCs w:val="24"/>
                <w:highlight w:val="none"/>
              </w:rPr>
            </w:pPr>
            <w:r>
              <w:rPr>
                <w:rFonts w:hint="eastAsia" w:ascii="宋体"/>
                <w:color w:val="auto"/>
                <w:szCs w:val="24"/>
                <w:highlight w:val="none"/>
              </w:rPr>
              <w:t>1.投标人参加开标须携带加密投标文件的CA证书锁以供解密投标文件。</w:t>
            </w:r>
          </w:p>
          <w:p w14:paraId="686A6DCD">
            <w:pPr>
              <w:tabs>
                <w:tab w:val="right" w:leader="dot" w:pos="8295"/>
              </w:tabs>
              <w:jc w:val="left"/>
              <w:rPr>
                <w:rFonts w:ascii="宋体"/>
                <w:color w:val="auto"/>
                <w:szCs w:val="24"/>
                <w:highlight w:val="none"/>
              </w:rPr>
            </w:pPr>
            <w:r>
              <w:rPr>
                <w:rFonts w:hint="eastAsia" w:ascii="宋体"/>
                <w:color w:val="auto"/>
                <w:szCs w:val="24"/>
                <w:highlight w:val="none"/>
              </w:rPr>
              <w:t>2.开标时，如发现以下情况之一的，招标人将拒收其投标文件：</w:t>
            </w:r>
          </w:p>
          <w:p w14:paraId="450FD883">
            <w:pPr>
              <w:tabs>
                <w:tab w:val="right" w:leader="dot" w:pos="8295"/>
              </w:tabs>
              <w:jc w:val="left"/>
              <w:rPr>
                <w:rFonts w:ascii="宋体"/>
                <w:color w:val="auto"/>
                <w:szCs w:val="24"/>
                <w:highlight w:val="none"/>
              </w:rPr>
            </w:pPr>
            <w:r>
              <w:rPr>
                <w:rFonts w:hint="eastAsia" w:ascii="宋体"/>
                <w:color w:val="auto"/>
                <w:szCs w:val="24"/>
                <w:highlight w:val="none"/>
              </w:rPr>
              <w:t>（一）投标文件不符合招标文件规定的受理要求的（本章4.2.5条）。</w:t>
            </w:r>
          </w:p>
          <w:p w14:paraId="51472138">
            <w:pPr>
              <w:tabs>
                <w:tab w:val="right" w:leader="dot" w:pos="8295"/>
              </w:tabs>
              <w:jc w:val="left"/>
              <w:rPr>
                <w:rFonts w:ascii="宋体"/>
                <w:color w:val="auto"/>
                <w:szCs w:val="24"/>
                <w:highlight w:val="none"/>
              </w:rPr>
            </w:pPr>
            <w:r>
              <w:rPr>
                <w:rFonts w:hint="eastAsia" w:ascii="宋体"/>
                <w:color w:val="auto"/>
                <w:szCs w:val="24"/>
                <w:highlight w:val="none"/>
              </w:rPr>
              <w:t>3.开标程序</w:t>
            </w:r>
          </w:p>
          <w:p w14:paraId="7A858D77">
            <w:pPr>
              <w:tabs>
                <w:tab w:val="right" w:leader="dot" w:pos="8295"/>
              </w:tabs>
              <w:jc w:val="left"/>
              <w:rPr>
                <w:rFonts w:ascii="宋体"/>
                <w:color w:val="auto"/>
                <w:szCs w:val="24"/>
                <w:highlight w:val="none"/>
              </w:rPr>
            </w:pPr>
            <w:r>
              <w:rPr>
                <w:rFonts w:hint="eastAsia" w:ascii="宋体"/>
                <w:color w:val="auto"/>
                <w:szCs w:val="24"/>
                <w:highlight w:val="none"/>
              </w:rPr>
              <w:t>（一）招标人宣布投标人参加开标会议情况，并介绍本次招标工程相关情况。</w:t>
            </w:r>
          </w:p>
          <w:p w14:paraId="0D290216">
            <w:pPr>
              <w:tabs>
                <w:tab w:val="right" w:leader="dot" w:pos="8295"/>
              </w:tabs>
              <w:jc w:val="left"/>
              <w:rPr>
                <w:rFonts w:ascii="宋体"/>
                <w:color w:val="auto"/>
                <w:szCs w:val="24"/>
                <w:highlight w:val="none"/>
              </w:rPr>
            </w:pPr>
            <w:r>
              <w:rPr>
                <w:rFonts w:hint="eastAsia" w:ascii="宋体"/>
                <w:color w:val="auto"/>
                <w:szCs w:val="24"/>
                <w:highlight w:val="none"/>
              </w:rPr>
              <w:t>（二）公布投标人名称及标段名称。</w:t>
            </w:r>
          </w:p>
          <w:p w14:paraId="0FB00B30">
            <w:pPr>
              <w:tabs>
                <w:tab w:val="right" w:leader="dot" w:pos="8295"/>
              </w:tabs>
              <w:jc w:val="left"/>
              <w:rPr>
                <w:rFonts w:ascii="宋体"/>
                <w:color w:val="auto"/>
                <w:szCs w:val="24"/>
                <w:highlight w:val="none"/>
              </w:rPr>
            </w:pPr>
            <w:r>
              <w:rPr>
                <w:rFonts w:hint="eastAsia" w:ascii="宋体"/>
                <w:color w:val="auto"/>
                <w:szCs w:val="24"/>
                <w:highlight w:val="none"/>
              </w:rPr>
              <w:t xml:space="preserve">（三）投标人解密 </w:t>
            </w:r>
          </w:p>
          <w:p w14:paraId="3CD170EA">
            <w:pPr>
              <w:tabs>
                <w:tab w:val="right" w:leader="dot" w:pos="8295"/>
              </w:tabs>
              <w:jc w:val="left"/>
              <w:rPr>
                <w:rFonts w:ascii="宋体"/>
                <w:color w:val="auto"/>
                <w:szCs w:val="24"/>
                <w:highlight w:val="none"/>
              </w:rPr>
            </w:pPr>
            <w:r>
              <w:rPr>
                <w:rFonts w:hint="eastAsia" w:ascii="宋体"/>
                <w:color w:val="auto"/>
                <w:szCs w:val="24"/>
                <w:highlight w:val="none"/>
              </w:rPr>
              <w:t>投标人解密时间：招标人或招标代理开启解密后30分钟以内。</w:t>
            </w:r>
          </w:p>
          <w:p w14:paraId="572A65FF">
            <w:pPr>
              <w:tabs>
                <w:tab w:val="right" w:leader="dot" w:pos="8295"/>
              </w:tabs>
              <w:jc w:val="left"/>
              <w:rPr>
                <w:rFonts w:ascii="宋体"/>
                <w:color w:val="auto"/>
                <w:szCs w:val="24"/>
                <w:highlight w:val="none"/>
              </w:rPr>
            </w:pPr>
            <w:r>
              <w:rPr>
                <w:rFonts w:hint="eastAsia" w:ascii="宋体"/>
                <w:color w:val="auto"/>
                <w:szCs w:val="24"/>
                <w:highlight w:val="none"/>
              </w:rPr>
              <w:t>投标人解密方式：投标人使用CA数字证书进行解密，未在规定时间内完成投标文件解密，视为其撤销投标文件，须退回投标文件。</w:t>
            </w:r>
          </w:p>
          <w:p w14:paraId="68898EB5">
            <w:pPr>
              <w:tabs>
                <w:tab w:val="right" w:leader="dot" w:pos="8295"/>
              </w:tabs>
              <w:jc w:val="left"/>
              <w:rPr>
                <w:rFonts w:ascii="宋体"/>
                <w:color w:val="auto"/>
                <w:szCs w:val="24"/>
                <w:highlight w:val="none"/>
              </w:rPr>
            </w:pPr>
            <w:r>
              <w:rPr>
                <w:rFonts w:hint="eastAsia" w:ascii="宋体"/>
                <w:color w:val="auto"/>
                <w:szCs w:val="24"/>
                <w:highlight w:val="none"/>
              </w:rPr>
              <w:t>（四）唱标。</w:t>
            </w:r>
          </w:p>
          <w:p w14:paraId="39F33206">
            <w:pPr>
              <w:tabs>
                <w:tab w:val="right" w:leader="dot" w:pos="8295"/>
              </w:tabs>
              <w:jc w:val="left"/>
              <w:rPr>
                <w:rFonts w:ascii="宋体"/>
                <w:color w:val="auto"/>
                <w:szCs w:val="24"/>
                <w:highlight w:val="none"/>
              </w:rPr>
            </w:pPr>
            <w:r>
              <w:rPr>
                <w:rFonts w:hint="eastAsia" w:ascii="宋体"/>
                <w:color w:val="auto"/>
                <w:szCs w:val="24"/>
                <w:highlight w:val="none"/>
              </w:rPr>
              <w:t>（五）评标委员会对（正式投标人/投标人）提交的投标文件进行评审。</w:t>
            </w:r>
          </w:p>
          <w:p w14:paraId="6756B166">
            <w:pPr>
              <w:tabs>
                <w:tab w:val="right" w:leader="dot" w:pos="8295"/>
              </w:tabs>
              <w:jc w:val="left"/>
              <w:rPr>
                <w:rFonts w:ascii="宋体"/>
                <w:color w:val="auto"/>
                <w:szCs w:val="24"/>
                <w:highlight w:val="none"/>
              </w:rPr>
            </w:pPr>
            <w:r>
              <w:rPr>
                <w:rFonts w:hint="eastAsia" w:ascii="宋体"/>
                <w:color w:val="auto"/>
                <w:szCs w:val="24"/>
                <w:highlight w:val="none"/>
              </w:rPr>
              <w:t>（六）公布评审结果，投标人确认。</w:t>
            </w:r>
          </w:p>
          <w:p w14:paraId="10D0671C">
            <w:pPr>
              <w:tabs>
                <w:tab w:val="right" w:leader="dot" w:pos="8295"/>
              </w:tabs>
              <w:jc w:val="left"/>
              <w:rPr>
                <w:rFonts w:ascii="宋体"/>
                <w:color w:val="auto"/>
                <w:szCs w:val="24"/>
                <w:highlight w:val="none"/>
              </w:rPr>
            </w:pPr>
            <w:r>
              <w:rPr>
                <w:rFonts w:hint="eastAsia" w:ascii="宋体"/>
                <w:color w:val="auto"/>
                <w:szCs w:val="24"/>
                <w:highlight w:val="none"/>
              </w:rPr>
              <w:t>（七）开标会议结束。</w:t>
            </w:r>
          </w:p>
        </w:tc>
      </w:tr>
      <w:tr w14:paraId="2F602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29AF28F">
            <w:pPr>
              <w:tabs>
                <w:tab w:val="right" w:leader="dot" w:pos="8295"/>
              </w:tabs>
              <w:jc w:val="center"/>
              <w:rPr>
                <w:rFonts w:ascii="宋体"/>
                <w:color w:val="auto"/>
                <w:szCs w:val="24"/>
                <w:highlight w:val="none"/>
              </w:rPr>
            </w:pPr>
            <w:r>
              <w:rPr>
                <w:rFonts w:hint="eastAsia" w:ascii="宋体"/>
                <w:color w:val="auto"/>
                <w:szCs w:val="24"/>
                <w:highlight w:val="none"/>
              </w:rPr>
              <w:t>5.4</w:t>
            </w:r>
          </w:p>
        </w:tc>
        <w:tc>
          <w:tcPr>
            <w:tcW w:w="1701" w:type="dxa"/>
            <w:vAlign w:val="center"/>
          </w:tcPr>
          <w:p w14:paraId="150B412C">
            <w:pPr>
              <w:tabs>
                <w:tab w:val="right" w:leader="dot" w:pos="8295"/>
              </w:tabs>
              <w:jc w:val="center"/>
              <w:rPr>
                <w:rFonts w:ascii="宋体"/>
                <w:color w:val="auto"/>
                <w:szCs w:val="24"/>
                <w:highlight w:val="none"/>
              </w:rPr>
            </w:pPr>
            <w:r>
              <w:rPr>
                <w:rFonts w:hint="eastAsia" w:ascii="宋体"/>
                <w:color w:val="auto"/>
                <w:szCs w:val="24"/>
                <w:highlight w:val="none"/>
              </w:rPr>
              <w:t>特殊情况处置</w:t>
            </w:r>
          </w:p>
        </w:tc>
        <w:tc>
          <w:tcPr>
            <w:tcW w:w="7430" w:type="dxa"/>
            <w:vAlign w:val="center"/>
          </w:tcPr>
          <w:p w14:paraId="266114BE">
            <w:pPr>
              <w:tabs>
                <w:tab w:val="right" w:leader="dot" w:pos="8295"/>
              </w:tabs>
              <w:jc w:val="left"/>
              <w:rPr>
                <w:rFonts w:ascii="宋体"/>
                <w:color w:val="auto"/>
                <w:szCs w:val="24"/>
                <w:highlight w:val="none"/>
              </w:rPr>
            </w:pPr>
            <w:r>
              <w:rPr>
                <w:rFonts w:hint="eastAsia" w:ascii="宋体"/>
                <w:color w:val="auto"/>
                <w:szCs w:val="24"/>
                <w:highlight w:val="none"/>
              </w:rPr>
              <w:t>1.因网络、系统、电力等不可抗力因素投标截止时间延期的，需更新制作投标文件并按招标文件要求重新递交。</w:t>
            </w:r>
          </w:p>
          <w:p w14:paraId="2EB2DC2E">
            <w:pPr>
              <w:tabs>
                <w:tab w:val="right" w:leader="dot" w:pos="8295"/>
              </w:tabs>
              <w:jc w:val="left"/>
              <w:rPr>
                <w:rFonts w:ascii="宋体"/>
                <w:color w:val="auto"/>
                <w:szCs w:val="24"/>
                <w:highlight w:val="none"/>
              </w:rPr>
            </w:pPr>
            <w:r>
              <w:rPr>
                <w:rFonts w:hint="eastAsia" w:ascii="宋体"/>
                <w:color w:val="auto"/>
                <w:szCs w:val="24"/>
                <w:highlight w:val="none"/>
              </w:rPr>
              <w:t>☑2.开标特别说明</w:t>
            </w:r>
          </w:p>
          <w:p w14:paraId="2A10783E">
            <w:pPr>
              <w:tabs>
                <w:tab w:val="right" w:leader="dot" w:pos="8295"/>
              </w:tabs>
              <w:jc w:val="left"/>
              <w:rPr>
                <w:rFonts w:ascii="宋体"/>
                <w:color w:val="auto"/>
                <w:szCs w:val="24"/>
                <w:highlight w:val="none"/>
              </w:rPr>
            </w:pPr>
            <w:r>
              <w:rPr>
                <w:rFonts w:hint="eastAsia" w:ascii="宋体"/>
                <w:color w:val="auto"/>
                <w:szCs w:val="24"/>
                <w:highlight w:val="none"/>
              </w:rPr>
              <w:t>（1）因投标人原因造成其电子投标文件未解密的，视为撤销其投标文件；招标人或招标代理在开启解密后30分钟内投标人未解密的，视为撤销其投标文件；投标截止时间前未完成投标文件传输的，视为撤回投标文件；因投标人之外的原因造成电子投标文件未解密的，视为撤回其投标文件。</w:t>
            </w:r>
          </w:p>
          <w:p w14:paraId="1444B03E">
            <w:pPr>
              <w:tabs>
                <w:tab w:val="right" w:leader="dot" w:pos="8295"/>
              </w:tabs>
              <w:jc w:val="left"/>
              <w:rPr>
                <w:rFonts w:ascii="宋体"/>
                <w:color w:val="auto"/>
                <w:szCs w:val="24"/>
                <w:highlight w:val="none"/>
              </w:rPr>
            </w:pPr>
            <w:r>
              <w:rPr>
                <w:rFonts w:hint="eastAsia" w:ascii="宋体"/>
                <w:color w:val="auto"/>
                <w:szCs w:val="24"/>
                <w:highlight w:val="none"/>
              </w:rPr>
              <w:t>（2）投标人必须使用生成电子投标文件的CA数字证书解密电子投标文件。</w:t>
            </w:r>
          </w:p>
          <w:p w14:paraId="6A88F581">
            <w:pPr>
              <w:tabs>
                <w:tab w:val="right" w:leader="dot" w:pos="8295"/>
              </w:tabs>
              <w:jc w:val="left"/>
              <w:rPr>
                <w:rFonts w:ascii="宋体"/>
                <w:color w:val="auto"/>
                <w:szCs w:val="24"/>
                <w:highlight w:val="none"/>
              </w:rPr>
            </w:pPr>
            <w:r>
              <w:rPr>
                <w:rFonts w:hint="eastAsia" w:ascii="宋体"/>
                <w:color w:val="auto"/>
                <w:szCs w:val="24"/>
                <w:highlight w:val="none"/>
              </w:rPr>
              <w:t>3.其他</w:t>
            </w:r>
            <w:r>
              <w:rPr>
                <w:rFonts w:hint="eastAsia" w:ascii="宋体"/>
                <w:color w:val="auto"/>
                <w:szCs w:val="24"/>
                <w:highlight w:val="none"/>
                <w:u w:val="single"/>
              </w:rPr>
              <w:t xml:space="preserve">：                             </w:t>
            </w:r>
            <w:r>
              <w:rPr>
                <w:rFonts w:hint="eastAsia" w:ascii="宋体"/>
                <w:color w:val="auto"/>
                <w:szCs w:val="24"/>
                <w:highlight w:val="none"/>
              </w:rPr>
              <w:t>。</w:t>
            </w:r>
          </w:p>
        </w:tc>
      </w:tr>
      <w:tr w14:paraId="184AF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59" w:type="dxa"/>
            <w:vAlign w:val="center"/>
          </w:tcPr>
          <w:p w14:paraId="5D0FF2EF">
            <w:pPr>
              <w:tabs>
                <w:tab w:val="right" w:leader="dot" w:pos="8295"/>
              </w:tabs>
              <w:jc w:val="center"/>
              <w:rPr>
                <w:rFonts w:ascii="宋体"/>
                <w:color w:val="auto"/>
                <w:szCs w:val="24"/>
                <w:highlight w:val="none"/>
              </w:rPr>
            </w:pPr>
            <w:r>
              <w:rPr>
                <w:rFonts w:hint="eastAsia" w:ascii="宋体"/>
                <w:color w:val="auto"/>
                <w:szCs w:val="24"/>
                <w:highlight w:val="none"/>
              </w:rPr>
              <w:t>6.1.1</w:t>
            </w:r>
          </w:p>
        </w:tc>
        <w:tc>
          <w:tcPr>
            <w:tcW w:w="1701" w:type="dxa"/>
            <w:vAlign w:val="center"/>
          </w:tcPr>
          <w:p w14:paraId="14FAE873">
            <w:pPr>
              <w:tabs>
                <w:tab w:val="right" w:leader="dot" w:pos="8295"/>
              </w:tabs>
              <w:jc w:val="center"/>
              <w:rPr>
                <w:rFonts w:ascii="宋体"/>
                <w:color w:val="auto"/>
                <w:szCs w:val="24"/>
                <w:highlight w:val="none"/>
              </w:rPr>
            </w:pPr>
            <w:r>
              <w:rPr>
                <w:rFonts w:hint="eastAsia" w:ascii="宋体"/>
                <w:color w:val="auto"/>
                <w:szCs w:val="24"/>
                <w:highlight w:val="none"/>
              </w:rPr>
              <w:t>评标委员会</w:t>
            </w:r>
          </w:p>
          <w:p w14:paraId="33248800">
            <w:pPr>
              <w:tabs>
                <w:tab w:val="right" w:leader="dot" w:pos="8295"/>
              </w:tabs>
              <w:jc w:val="center"/>
              <w:rPr>
                <w:rFonts w:ascii="宋体"/>
                <w:color w:val="auto"/>
                <w:szCs w:val="24"/>
                <w:highlight w:val="none"/>
              </w:rPr>
            </w:pPr>
            <w:r>
              <w:rPr>
                <w:rFonts w:hint="eastAsia" w:ascii="宋体"/>
                <w:color w:val="auto"/>
                <w:szCs w:val="24"/>
                <w:highlight w:val="none"/>
              </w:rPr>
              <w:t>的组建</w:t>
            </w:r>
          </w:p>
        </w:tc>
        <w:tc>
          <w:tcPr>
            <w:tcW w:w="7430" w:type="dxa"/>
            <w:vAlign w:val="center"/>
          </w:tcPr>
          <w:p w14:paraId="638E37F0">
            <w:pPr>
              <w:tabs>
                <w:tab w:val="right" w:leader="dot" w:pos="8295"/>
              </w:tabs>
              <w:jc w:val="left"/>
              <w:rPr>
                <w:rFonts w:ascii="宋体"/>
                <w:color w:val="auto"/>
                <w:szCs w:val="24"/>
                <w:highlight w:val="none"/>
              </w:rPr>
            </w:pPr>
            <w:r>
              <w:rPr>
                <w:rFonts w:hint="eastAsia" w:ascii="宋体"/>
                <w:color w:val="auto"/>
                <w:szCs w:val="24"/>
                <w:highlight w:val="none"/>
              </w:rPr>
              <w:t>评标委员会成员构成：共5人，其中招标人代表1人，评标专家4人；</w:t>
            </w:r>
          </w:p>
          <w:p w14:paraId="78537F17">
            <w:pPr>
              <w:tabs>
                <w:tab w:val="right" w:leader="dot" w:pos="8295"/>
              </w:tabs>
              <w:jc w:val="left"/>
              <w:rPr>
                <w:rFonts w:ascii="宋体"/>
                <w:strike/>
                <w:color w:val="auto"/>
                <w:szCs w:val="24"/>
                <w:highlight w:val="none"/>
              </w:rPr>
            </w:pPr>
            <w:r>
              <w:rPr>
                <w:rFonts w:hint="eastAsia" w:ascii="宋体"/>
                <w:color w:val="auto"/>
                <w:szCs w:val="24"/>
                <w:highlight w:val="none"/>
              </w:rPr>
              <w:t>评标专家确定方式：依法随机抽取。</w:t>
            </w:r>
          </w:p>
        </w:tc>
      </w:tr>
      <w:tr w14:paraId="03711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0FC9A5A7">
            <w:pPr>
              <w:tabs>
                <w:tab w:val="right" w:leader="dot" w:pos="8295"/>
              </w:tabs>
              <w:jc w:val="center"/>
              <w:rPr>
                <w:rFonts w:ascii="宋体"/>
                <w:color w:val="auto"/>
                <w:szCs w:val="24"/>
                <w:highlight w:val="none"/>
              </w:rPr>
            </w:pPr>
            <w:r>
              <w:rPr>
                <w:rFonts w:hint="eastAsia" w:ascii="宋体"/>
                <w:color w:val="auto"/>
                <w:szCs w:val="24"/>
                <w:highlight w:val="none"/>
              </w:rPr>
              <w:t>6．3</w:t>
            </w:r>
          </w:p>
        </w:tc>
        <w:tc>
          <w:tcPr>
            <w:tcW w:w="1701" w:type="dxa"/>
            <w:vAlign w:val="center"/>
          </w:tcPr>
          <w:p w14:paraId="7413E3EB">
            <w:pPr>
              <w:tabs>
                <w:tab w:val="right" w:leader="dot" w:pos="8295"/>
              </w:tabs>
              <w:jc w:val="center"/>
              <w:rPr>
                <w:rFonts w:ascii="宋体"/>
                <w:color w:val="auto"/>
                <w:szCs w:val="24"/>
                <w:highlight w:val="none"/>
              </w:rPr>
            </w:pPr>
            <w:r>
              <w:rPr>
                <w:rFonts w:hint="eastAsia" w:ascii="宋体"/>
                <w:color w:val="auto"/>
                <w:szCs w:val="24"/>
                <w:highlight w:val="none"/>
              </w:rPr>
              <w:t>评标方法</w:t>
            </w:r>
          </w:p>
        </w:tc>
        <w:tc>
          <w:tcPr>
            <w:tcW w:w="7430" w:type="dxa"/>
            <w:vAlign w:val="center"/>
          </w:tcPr>
          <w:p w14:paraId="1899D09F">
            <w:pPr>
              <w:tabs>
                <w:tab w:val="right" w:leader="dot" w:pos="8295"/>
              </w:tabs>
              <w:jc w:val="left"/>
              <w:rPr>
                <w:rFonts w:ascii="宋体"/>
                <w:color w:val="auto"/>
                <w:szCs w:val="24"/>
                <w:highlight w:val="none"/>
              </w:rPr>
            </w:pPr>
            <w:r>
              <w:rPr>
                <w:rFonts w:hint="eastAsia" w:ascii="宋体"/>
                <w:color w:val="auto"/>
                <w:szCs w:val="24"/>
                <w:highlight w:val="none"/>
              </w:rPr>
              <w:t>□经评审的最低投标价法。</w:t>
            </w:r>
          </w:p>
          <w:p w14:paraId="43CB4529">
            <w:pPr>
              <w:tabs>
                <w:tab w:val="right" w:leader="dot" w:pos="8295"/>
              </w:tabs>
              <w:jc w:val="left"/>
              <w:rPr>
                <w:rFonts w:ascii="宋体"/>
                <w:color w:val="auto"/>
                <w:szCs w:val="24"/>
                <w:highlight w:val="none"/>
              </w:rPr>
            </w:pPr>
            <w:r>
              <w:rPr>
                <w:rFonts w:hint="eastAsia" w:ascii="宋体"/>
                <w:color w:val="auto"/>
                <w:szCs w:val="24"/>
                <w:highlight w:val="none"/>
              </w:rPr>
              <w:t>□技术标通过制的综合评估法。</w:t>
            </w:r>
          </w:p>
          <w:p w14:paraId="32BDD9EA">
            <w:pPr>
              <w:tabs>
                <w:tab w:val="right" w:leader="dot" w:pos="8295"/>
              </w:tabs>
              <w:jc w:val="left"/>
              <w:rPr>
                <w:rFonts w:ascii="宋体"/>
                <w:color w:val="auto"/>
                <w:szCs w:val="24"/>
                <w:highlight w:val="none"/>
              </w:rPr>
            </w:pPr>
            <w:r>
              <w:rPr>
                <w:rFonts w:hint="eastAsia" w:ascii="宋体" w:hAnsi="宋体" w:eastAsia="MS Mincho" w:cs="MS Mincho"/>
                <w:color w:val="auto"/>
                <w:szCs w:val="24"/>
                <w:highlight w:val="none"/>
              </w:rPr>
              <w:t>☑</w:t>
            </w:r>
            <w:r>
              <w:rPr>
                <w:rFonts w:hint="eastAsia" w:ascii="宋体"/>
                <w:color w:val="auto"/>
                <w:szCs w:val="24"/>
                <w:highlight w:val="none"/>
              </w:rPr>
              <w:t>技术标打分制的综合评估法。</w:t>
            </w:r>
          </w:p>
        </w:tc>
      </w:tr>
      <w:tr w14:paraId="0B489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6B72D90">
            <w:pPr>
              <w:pStyle w:val="7"/>
              <w:jc w:val="center"/>
              <w:rPr>
                <w:rFonts w:ascii="宋体" w:eastAsia="宋体"/>
                <w:color w:val="auto"/>
                <w:sz w:val="24"/>
                <w:szCs w:val="24"/>
                <w:highlight w:val="none"/>
              </w:rPr>
            </w:pPr>
            <w:r>
              <w:rPr>
                <w:rFonts w:hint="eastAsia" w:ascii="宋体" w:eastAsia="宋体" w:cs="宋体"/>
                <w:color w:val="auto"/>
                <w:sz w:val="24"/>
                <w:szCs w:val="24"/>
                <w:highlight w:val="none"/>
              </w:rPr>
              <w:t>6.3.1</w:t>
            </w:r>
          </w:p>
        </w:tc>
        <w:tc>
          <w:tcPr>
            <w:tcW w:w="1701" w:type="dxa"/>
            <w:vAlign w:val="center"/>
          </w:tcPr>
          <w:p w14:paraId="78DD6637">
            <w:pPr>
              <w:pStyle w:val="7"/>
              <w:jc w:val="center"/>
              <w:rPr>
                <w:rFonts w:ascii="宋体" w:hAnsi="宋体"/>
                <w:color w:val="auto"/>
                <w:sz w:val="24"/>
                <w:szCs w:val="24"/>
                <w:highlight w:val="none"/>
              </w:rPr>
            </w:pPr>
            <w:r>
              <w:rPr>
                <w:rFonts w:hint="eastAsia" w:ascii="宋体" w:eastAsia="宋体"/>
                <w:color w:val="auto"/>
                <w:sz w:val="21"/>
                <w:szCs w:val="21"/>
                <w:highlight w:val="none"/>
              </w:rPr>
              <w:t>评标委员会推荐中标候选人的人数</w:t>
            </w:r>
          </w:p>
        </w:tc>
        <w:tc>
          <w:tcPr>
            <w:tcW w:w="7430" w:type="dxa"/>
            <w:vAlign w:val="center"/>
          </w:tcPr>
          <w:p w14:paraId="20AD16D7">
            <w:pPr>
              <w:tabs>
                <w:tab w:val="right" w:leader="dot" w:pos="8295"/>
              </w:tabs>
              <w:jc w:val="left"/>
              <w:rPr>
                <w:rFonts w:ascii="宋体"/>
                <w:color w:val="auto"/>
                <w:szCs w:val="24"/>
                <w:highlight w:val="none"/>
              </w:rPr>
            </w:pPr>
            <w:r>
              <w:rPr>
                <w:rFonts w:hint="eastAsia" w:ascii="宋体"/>
                <w:color w:val="auto"/>
                <w:szCs w:val="24"/>
                <w:highlight w:val="none"/>
              </w:rPr>
              <w:t>☑1.推荐1名中标候选人。</w:t>
            </w:r>
          </w:p>
          <w:p w14:paraId="79907C72">
            <w:pPr>
              <w:tabs>
                <w:tab w:val="right" w:leader="dot" w:pos="8295"/>
              </w:tabs>
              <w:jc w:val="left"/>
              <w:rPr>
                <w:rFonts w:ascii="宋体"/>
                <w:color w:val="auto"/>
                <w:szCs w:val="24"/>
                <w:highlight w:val="none"/>
              </w:rPr>
            </w:pPr>
            <w:r>
              <w:rPr>
                <w:rFonts w:hint="eastAsia" w:ascii="宋体"/>
                <w:color w:val="auto"/>
                <w:szCs w:val="24"/>
                <w:highlight w:val="none"/>
              </w:rPr>
              <w:t>2.评定分离：推荐中标候选人数量：</w:t>
            </w:r>
          </w:p>
          <w:p w14:paraId="5BE2EC2B">
            <w:pPr>
              <w:tabs>
                <w:tab w:val="right" w:leader="dot" w:pos="8295"/>
              </w:tabs>
              <w:jc w:val="left"/>
              <w:rPr>
                <w:rFonts w:ascii="宋体"/>
                <w:color w:val="auto"/>
                <w:szCs w:val="24"/>
                <w:highlight w:val="none"/>
              </w:rPr>
            </w:pPr>
            <w:r>
              <w:rPr>
                <w:rFonts w:hint="eastAsia" w:ascii="宋体"/>
                <w:color w:val="auto"/>
                <w:szCs w:val="24"/>
                <w:highlight w:val="none"/>
              </w:rPr>
              <w:t xml:space="preserve">当有效投标人为3-7名时，推荐3名中标候选人； </w:t>
            </w:r>
          </w:p>
          <w:p w14:paraId="1BDF25A3">
            <w:pPr>
              <w:tabs>
                <w:tab w:val="right" w:leader="dot" w:pos="8295"/>
              </w:tabs>
              <w:jc w:val="left"/>
              <w:rPr>
                <w:rFonts w:ascii="宋体"/>
                <w:color w:val="auto"/>
                <w:szCs w:val="24"/>
                <w:highlight w:val="none"/>
              </w:rPr>
            </w:pPr>
            <w:r>
              <w:rPr>
                <w:rFonts w:hint="eastAsia" w:ascii="宋体"/>
                <w:color w:val="auto"/>
                <w:szCs w:val="24"/>
                <w:highlight w:val="none"/>
              </w:rPr>
              <w:t>当有效投标人为8-15名时，推荐7名中标候选人；</w:t>
            </w:r>
          </w:p>
          <w:p w14:paraId="4051D80D">
            <w:pPr>
              <w:tabs>
                <w:tab w:val="right" w:leader="dot" w:pos="8295"/>
              </w:tabs>
              <w:jc w:val="left"/>
              <w:rPr>
                <w:rFonts w:ascii="宋体"/>
                <w:color w:val="auto"/>
                <w:szCs w:val="24"/>
                <w:highlight w:val="none"/>
              </w:rPr>
            </w:pPr>
            <w:r>
              <w:rPr>
                <w:rFonts w:hint="eastAsia" w:ascii="宋体"/>
                <w:color w:val="auto"/>
                <w:szCs w:val="24"/>
                <w:highlight w:val="none"/>
              </w:rPr>
              <w:t xml:space="preserve">当有效投标人为16名及以上时，推荐9名中标候选人； </w:t>
            </w:r>
          </w:p>
          <w:p w14:paraId="526BEF44">
            <w:pPr>
              <w:tabs>
                <w:tab w:val="right" w:leader="dot" w:pos="8295"/>
              </w:tabs>
              <w:jc w:val="left"/>
              <w:rPr>
                <w:rFonts w:ascii="宋体"/>
                <w:color w:val="auto"/>
                <w:szCs w:val="24"/>
                <w:highlight w:val="none"/>
              </w:rPr>
            </w:pPr>
            <w:r>
              <w:rPr>
                <w:rFonts w:hint="eastAsia" w:ascii="宋体"/>
                <w:color w:val="auto"/>
                <w:szCs w:val="24"/>
                <w:highlight w:val="none"/>
              </w:rPr>
              <w:t>注：①以上推荐的中标候选人均不排序。</w:t>
            </w:r>
          </w:p>
          <w:p w14:paraId="6655D133">
            <w:pPr>
              <w:tabs>
                <w:tab w:val="right" w:leader="dot" w:pos="8295"/>
              </w:tabs>
              <w:jc w:val="left"/>
              <w:rPr>
                <w:rFonts w:ascii="宋体"/>
                <w:color w:val="auto"/>
                <w:szCs w:val="24"/>
                <w:highlight w:val="none"/>
              </w:rPr>
            </w:pPr>
            <w:r>
              <w:rPr>
                <w:rFonts w:hint="eastAsia" w:ascii="宋体"/>
                <w:color w:val="auto"/>
                <w:szCs w:val="24"/>
                <w:highlight w:val="none"/>
              </w:rPr>
              <w:t>②本条中的有效投标人指正式投标人中剔除无效标后的投标人。</w:t>
            </w:r>
          </w:p>
        </w:tc>
      </w:tr>
      <w:tr w14:paraId="5A7CB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1FC3CE75">
            <w:pPr>
              <w:tabs>
                <w:tab w:val="right" w:leader="dot" w:pos="8295"/>
              </w:tabs>
              <w:jc w:val="center"/>
              <w:rPr>
                <w:rFonts w:ascii="宋体"/>
                <w:color w:val="auto"/>
                <w:szCs w:val="24"/>
                <w:highlight w:val="none"/>
              </w:rPr>
            </w:pPr>
            <w:r>
              <w:rPr>
                <w:rFonts w:hint="eastAsia" w:ascii="宋体"/>
                <w:color w:val="auto"/>
                <w:szCs w:val="24"/>
                <w:highlight w:val="none"/>
              </w:rPr>
              <w:t>7.1</w:t>
            </w:r>
          </w:p>
        </w:tc>
        <w:tc>
          <w:tcPr>
            <w:tcW w:w="1701" w:type="dxa"/>
            <w:vAlign w:val="center"/>
          </w:tcPr>
          <w:p w14:paraId="5FD8F5AF">
            <w:pPr>
              <w:tabs>
                <w:tab w:val="right" w:leader="dot" w:pos="8295"/>
              </w:tabs>
              <w:jc w:val="center"/>
              <w:rPr>
                <w:rFonts w:ascii="宋体"/>
                <w:color w:val="auto"/>
                <w:szCs w:val="24"/>
                <w:highlight w:val="none"/>
              </w:rPr>
            </w:pPr>
            <w:r>
              <w:rPr>
                <w:rFonts w:hint="eastAsia" w:ascii="宋体"/>
                <w:color w:val="auto"/>
                <w:szCs w:val="24"/>
                <w:highlight w:val="none"/>
              </w:rPr>
              <w:t>中标候选人</w:t>
            </w:r>
          </w:p>
          <w:p w14:paraId="00D14949">
            <w:pPr>
              <w:tabs>
                <w:tab w:val="right" w:leader="dot" w:pos="8295"/>
              </w:tabs>
              <w:jc w:val="center"/>
              <w:rPr>
                <w:rFonts w:ascii="宋体"/>
                <w:color w:val="auto"/>
                <w:szCs w:val="24"/>
                <w:highlight w:val="none"/>
              </w:rPr>
            </w:pPr>
            <w:r>
              <w:rPr>
                <w:rFonts w:hint="eastAsia" w:ascii="宋体"/>
                <w:color w:val="auto"/>
                <w:szCs w:val="24"/>
                <w:highlight w:val="none"/>
              </w:rPr>
              <w:t>公示媒介及期限</w:t>
            </w:r>
          </w:p>
        </w:tc>
        <w:tc>
          <w:tcPr>
            <w:tcW w:w="7430" w:type="dxa"/>
            <w:vAlign w:val="center"/>
          </w:tcPr>
          <w:p w14:paraId="1043C10B">
            <w:pPr>
              <w:tabs>
                <w:tab w:val="right" w:leader="dot" w:pos="8295"/>
              </w:tabs>
              <w:jc w:val="left"/>
              <w:rPr>
                <w:rFonts w:ascii="宋体"/>
                <w:color w:val="auto"/>
                <w:szCs w:val="24"/>
                <w:highlight w:val="none"/>
              </w:rPr>
            </w:pPr>
            <w:r>
              <w:rPr>
                <w:rFonts w:hint="eastAsia" w:ascii="宋体"/>
                <w:color w:val="auto"/>
                <w:szCs w:val="24"/>
                <w:highlight w:val="none"/>
              </w:rPr>
              <w:t>公示媒介：</w:t>
            </w:r>
          </w:p>
          <w:p w14:paraId="545CA258">
            <w:pPr>
              <w:tabs>
                <w:tab w:val="right" w:leader="dot" w:pos="8295"/>
              </w:tabs>
              <w:jc w:val="left"/>
              <w:rPr>
                <w:rFonts w:ascii="宋体"/>
                <w:color w:val="auto"/>
                <w:szCs w:val="24"/>
                <w:highlight w:val="none"/>
              </w:rPr>
            </w:pPr>
            <w:r>
              <w:rPr>
                <w:rFonts w:hint="eastAsia" w:ascii="宋体"/>
                <w:color w:val="auto"/>
                <w:szCs w:val="24"/>
                <w:highlight w:val="none"/>
              </w:rPr>
              <w:t>浙江省公共资源交易服务平台（zjpubservice.zjzwfw.gov.cn）</w:t>
            </w:r>
          </w:p>
          <w:p w14:paraId="11ED37B6">
            <w:pPr>
              <w:tabs>
                <w:tab w:val="right" w:leader="dot" w:pos="8295"/>
              </w:tabs>
              <w:jc w:val="left"/>
              <w:rPr>
                <w:rFonts w:ascii="宋体"/>
                <w:color w:val="auto"/>
                <w:szCs w:val="24"/>
                <w:highlight w:val="none"/>
              </w:rPr>
            </w:pPr>
            <w:r>
              <w:rPr>
                <w:rFonts w:hint="eastAsia" w:ascii="宋体"/>
                <w:color w:val="auto"/>
                <w:szCs w:val="24"/>
                <w:highlight w:val="none"/>
              </w:rPr>
              <w:t>衢州市市县一体公共资源交易平台（https://ggzy.qz.gov.cn/）</w:t>
            </w:r>
          </w:p>
          <w:p w14:paraId="0B8BF230">
            <w:pPr>
              <w:tabs>
                <w:tab w:val="right" w:leader="dot" w:pos="8295"/>
              </w:tabs>
              <w:jc w:val="left"/>
              <w:rPr>
                <w:color w:val="auto"/>
                <w:szCs w:val="24"/>
                <w:highlight w:val="none"/>
              </w:rPr>
            </w:pPr>
            <w:r>
              <w:rPr>
                <w:rFonts w:hint="eastAsia" w:ascii="宋体"/>
                <w:color w:val="auto"/>
                <w:szCs w:val="24"/>
                <w:highlight w:val="none"/>
              </w:rPr>
              <w:t>公示期限：不少于3日。如遇国家法定休假日，应顺延至法定休假日后第一个工作日。</w:t>
            </w:r>
          </w:p>
        </w:tc>
      </w:tr>
      <w:tr w14:paraId="5D5C7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B142FC5">
            <w:pPr>
              <w:tabs>
                <w:tab w:val="right" w:leader="dot" w:pos="8295"/>
              </w:tabs>
              <w:jc w:val="center"/>
              <w:rPr>
                <w:rFonts w:ascii="宋体"/>
                <w:color w:val="auto"/>
                <w:szCs w:val="24"/>
                <w:highlight w:val="none"/>
              </w:rPr>
            </w:pPr>
            <w:r>
              <w:rPr>
                <w:rFonts w:hint="eastAsia" w:ascii="宋体"/>
                <w:color w:val="auto"/>
                <w:szCs w:val="24"/>
                <w:highlight w:val="none"/>
              </w:rPr>
              <w:t>7.2.1</w:t>
            </w:r>
          </w:p>
        </w:tc>
        <w:tc>
          <w:tcPr>
            <w:tcW w:w="1701" w:type="dxa"/>
            <w:vAlign w:val="center"/>
          </w:tcPr>
          <w:p w14:paraId="5EF4164E">
            <w:pPr>
              <w:tabs>
                <w:tab w:val="right" w:leader="dot" w:pos="8295"/>
              </w:tabs>
              <w:jc w:val="center"/>
              <w:rPr>
                <w:rFonts w:ascii="宋体"/>
                <w:color w:val="auto"/>
                <w:szCs w:val="24"/>
                <w:highlight w:val="none"/>
              </w:rPr>
            </w:pPr>
            <w:r>
              <w:rPr>
                <w:rFonts w:hint="eastAsia" w:ascii="宋体"/>
                <w:color w:val="auto"/>
                <w:szCs w:val="24"/>
                <w:highlight w:val="none"/>
              </w:rPr>
              <w:t>确定中标人</w:t>
            </w:r>
          </w:p>
        </w:tc>
        <w:tc>
          <w:tcPr>
            <w:tcW w:w="7430" w:type="dxa"/>
            <w:vAlign w:val="center"/>
          </w:tcPr>
          <w:p w14:paraId="693AC0CF">
            <w:pPr>
              <w:tabs>
                <w:tab w:val="right" w:leader="dot" w:pos="8295"/>
              </w:tabs>
              <w:jc w:val="left"/>
              <w:rPr>
                <w:rFonts w:ascii="宋体"/>
                <w:color w:val="auto"/>
                <w:szCs w:val="24"/>
                <w:highlight w:val="none"/>
              </w:rPr>
            </w:pPr>
            <w:r>
              <w:rPr>
                <w:rFonts w:hint="eastAsia" w:ascii="宋体"/>
                <w:color w:val="auto"/>
                <w:szCs w:val="24"/>
                <w:highlight w:val="none"/>
              </w:rPr>
              <w:t>□授权评标委员会确定中标人。</w:t>
            </w:r>
          </w:p>
          <w:p w14:paraId="73340F3E">
            <w:pPr>
              <w:tabs>
                <w:tab w:val="right" w:leader="dot" w:pos="8295"/>
              </w:tabs>
              <w:jc w:val="left"/>
              <w:rPr>
                <w:rFonts w:ascii="宋体"/>
                <w:color w:val="auto"/>
                <w:szCs w:val="24"/>
                <w:highlight w:val="none"/>
              </w:rPr>
            </w:pPr>
            <w:r>
              <w:rPr>
                <w:rFonts w:hint="eastAsia" w:ascii="宋体"/>
                <w:color w:val="auto"/>
                <w:szCs w:val="24"/>
                <w:highlight w:val="none"/>
              </w:rPr>
              <w:t>☑根据评标委员会推荐，由招标人确定中标人。</w:t>
            </w:r>
          </w:p>
          <w:p w14:paraId="0BAB79BE">
            <w:pPr>
              <w:tabs>
                <w:tab w:val="right" w:leader="dot" w:pos="8295"/>
              </w:tabs>
              <w:jc w:val="left"/>
              <w:rPr>
                <w:rFonts w:ascii="宋体"/>
                <w:color w:val="auto"/>
                <w:szCs w:val="24"/>
                <w:highlight w:val="none"/>
              </w:rPr>
            </w:pPr>
            <w:r>
              <w:rPr>
                <w:rFonts w:hint="eastAsia" w:ascii="宋体"/>
                <w:color w:val="auto"/>
                <w:szCs w:val="24"/>
                <w:highlight w:val="none"/>
              </w:rPr>
              <w:t>□评定分离，根据评标委员会推荐，另行组织定标会议，由定标委员会确定中标人。</w:t>
            </w:r>
          </w:p>
          <w:p w14:paraId="6CA7D78D">
            <w:pPr>
              <w:tabs>
                <w:tab w:val="right" w:leader="dot" w:pos="8295"/>
              </w:tabs>
              <w:jc w:val="left"/>
              <w:rPr>
                <w:rFonts w:ascii="宋体"/>
                <w:color w:val="auto"/>
                <w:szCs w:val="24"/>
                <w:highlight w:val="none"/>
              </w:rPr>
            </w:pPr>
            <w:r>
              <w:rPr>
                <w:rFonts w:hint="eastAsia" w:ascii="宋体"/>
                <w:color w:val="auto"/>
                <w:szCs w:val="24"/>
                <w:highlight w:val="none"/>
              </w:rPr>
              <w:t>□其他：</w:t>
            </w:r>
            <w:r>
              <w:rPr>
                <w:rFonts w:hint="eastAsia" w:ascii="宋体"/>
                <w:color w:val="auto"/>
                <w:szCs w:val="24"/>
                <w:highlight w:val="none"/>
                <w:u w:val="single"/>
              </w:rPr>
              <w:t xml:space="preserve">              </w:t>
            </w:r>
            <w:r>
              <w:rPr>
                <w:rFonts w:hint="eastAsia" w:ascii="宋体"/>
                <w:color w:val="auto"/>
                <w:szCs w:val="24"/>
                <w:highlight w:val="none"/>
              </w:rPr>
              <w:t>。</w:t>
            </w:r>
          </w:p>
        </w:tc>
      </w:tr>
      <w:tr w14:paraId="7E33E5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888B3D2">
            <w:pPr>
              <w:tabs>
                <w:tab w:val="right" w:leader="dot" w:pos="8295"/>
              </w:tabs>
              <w:jc w:val="center"/>
              <w:rPr>
                <w:rFonts w:ascii="宋体"/>
                <w:color w:val="auto"/>
                <w:szCs w:val="24"/>
                <w:highlight w:val="none"/>
              </w:rPr>
            </w:pPr>
            <w:r>
              <w:rPr>
                <w:rFonts w:hint="eastAsia" w:ascii="宋体"/>
                <w:color w:val="auto"/>
                <w:szCs w:val="24"/>
                <w:highlight w:val="none"/>
              </w:rPr>
              <w:t>7.2.3</w:t>
            </w:r>
          </w:p>
        </w:tc>
        <w:tc>
          <w:tcPr>
            <w:tcW w:w="1701" w:type="dxa"/>
            <w:vAlign w:val="center"/>
          </w:tcPr>
          <w:p w14:paraId="640F9C76">
            <w:pPr>
              <w:tabs>
                <w:tab w:val="right" w:leader="dot" w:pos="8295"/>
              </w:tabs>
              <w:jc w:val="center"/>
              <w:rPr>
                <w:rFonts w:ascii="宋体"/>
                <w:color w:val="auto"/>
                <w:szCs w:val="24"/>
                <w:highlight w:val="none"/>
              </w:rPr>
            </w:pPr>
            <w:r>
              <w:rPr>
                <w:rFonts w:hint="eastAsia" w:ascii="宋体"/>
                <w:color w:val="auto"/>
                <w:szCs w:val="24"/>
                <w:highlight w:val="none"/>
              </w:rPr>
              <w:t>□定标会议地点和时间</w:t>
            </w:r>
          </w:p>
        </w:tc>
        <w:tc>
          <w:tcPr>
            <w:tcW w:w="7430" w:type="dxa"/>
            <w:vAlign w:val="center"/>
          </w:tcPr>
          <w:p w14:paraId="0B219181">
            <w:pPr>
              <w:tabs>
                <w:tab w:val="right" w:leader="dot" w:pos="8295"/>
              </w:tabs>
              <w:jc w:val="left"/>
              <w:rPr>
                <w:rFonts w:ascii="宋体"/>
                <w:color w:val="auto"/>
                <w:szCs w:val="24"/>
                <w:highlight w:val="none"/>
              </w:rPr>
            </w:pPr>
            <w:r>
              <w:rPr>
                <w:rFonts w:hint="eastAsia" w:ascii="宋体"/>
                <w:color w:val="auto"/>
                <w:szCs w:val="24"/>
                <w:highlight w:val="none"/>
              </w:rPr>
              <w:t>□1.定标时间：</w:t>
            </w:r>
            <w:r>
              <w:rPr>
                <w:rFonts w:hint="eastAsia" w:ascii="宋体"/>
                <w:color w:val="auto"/>
                <w:szCs w:val="24"/>
                <w:highlight w:val="none"/>
                <w:u w:val="single"/>
              </w:rPr>
              <w:t xml:space="preserve">                 </w:t>
            </w:r>
            <w:r>
              <w:rPr>
                <w:rFonts w:hint="eastAsia" w:ascii="宋体"/>
                <w:color w:val="auto"/>
                <w:szCs w:val="24"/>
                <w:highlight w:val="none"/>
              </w:rPr>
              <w:t>。</w:t>
            </w:r>
          </w:p>
          <w:p w14:paraId="30E4ED32">
            <w:pPr>
              <w:tabs>
                <w:tab w:val="right" w:leader="dot" w:pos="8295"/>
              </w:tabs>
              <w:jc w:val="left"/>
              <w:rPr>
                <w:rFonts w:ascii="宋体"/>
                <w:color w:val="auto"/>
                <w:szCs w:val="24"/>
                <w:highlight w:val="none"/>
              </w:rPr>
            </w:pPr>
            <w:r>
              <w:rPr>
                <w:rFonts w:hint="eastAsia" w:ascii="宋体"/>
                <w:color w:val="auto"/>
                <w:szCs w:val="24"/>
                <w:highlight w:val="none"/>
              </w:rPr>
              <w:t>□2.定标地点：</w:t>
            </w:r>
            <w:r>
              <w:rPr>
                <w:rFonts w:hint="eastAsia" w:ascii="宋体"/>
                <w:color w:val="auto"/>
                <w:szCs w:val="24"/>
                <w:highlight w:val="none"/>
                <w:u w:val="single"/>
              </w:rPr>
              <w:t>衢州市公共资源交易中心</w:t>
            </w:r>
            <w:r>
              <w:rPr>
                <w:rFonts w:hint="eastAsia" w:ascii="宋体"/>
                <w:color w:val="auto"/>
                <w:szCs w:val="24"/>
                <w:highlight w:val="none"/>
              </w:rPr>
              <w:t>。</w:t>
            </w:r>
          </w:p>
          <w:p w14:paraId="0A1154BB">
            <w:pPr>
              <w:tabs>
                <w:tab w:val="right" w:leader="dot" w:pos="8295"/>
              </w:tabs>
              <w:jc w:val="left"/>
              <w:rPr>
                <w:rFonts w:ascii="宋体"/>
                <w:color w:val="auto"/>
                <w:szCs w:val="24"/>
                <w:highlight w:val="none"/>
              </w:rPr>
            </w:pPr>
            <w:r>
              <w:rPr>
                <w:rFonts w:hint="eastAsia" w:ascii="宋体"/>
                <w:color w:val="auto"/>
                <w:szCs w:val="24"/>
                <w:highlight w:val="none"/>
              </w:rPr>
              <w:t>□①招标人根据相关规定在评标结果公示结束后10日内召开定标会议；</w:t>
            </w:r>
          </w:p>
          <w:p w14:paraId="35251072">
            <w:pPr>
              <w:tabs>
                <w:tab w:val="right" w:leader="dot" w:pos="8295"/>
              </w:tabs>
              <w:jc w:val="left"/>
              <w:rPr>
                <w:rFonts w:ascii="宋体"/>
                <w:color w:val="auto"/>
                <w:szCs w:val="24"/>
                <w:highlight w:val="none"/>
              </w:rPr>
            </w:pPr>
            <w:r>
              <w:rPr>
                <w:rFonts w:hint="eastAsia" w:ascii="宋体"/>
                <w:color w:val="auto"/>
                <w:szCs w:val="24"/>
                <w:highlight w:val="none"/>
              </w:rPr>
              <w:t>□②招标人根据相关规定在评标结果公示结束10日后召开定标会议。</w:t>
            </w:r>
          </w:p>
          <w:p w14:paraId="0DC685A3">
            <w:pPr>
              <w:tabs>
                <w:tab w:val="right" w:leader="dot" w:pos="8295"/>
              </w:tabs>
              <w:jc w:val="left"/>
              <w:rPr>
                <w:rFonts w:ascii="宋体"/>
                <w:color w:val="auto"/>
                <w:szCs w:val="24"/>
                <w:highlight w:val="none"/>
              </w:rPr>
            </w:pPr>
            <w:r>
              <w:rPr>
                <w:rFonts w:hint="eastAsia" w:ascii="宋体"/>
                <w:color w:val="auto"/>
                <w:szCs w:val="24"/>
                <w:highlight w:val="none"/>
              </w:rPr>
              <w:t>如有异议，在异议答复10日后召开定标会议。</w:t>
            </w:r>
          </w:p>
        </w:tc>
      </w:tr>
      <w:tr w14:paraId="51BCB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0503F47">
            <w:pPr>
              <w:tabs>
                <w:tab w:val="right" w:leader="dot" w:pos="8295"/>
              </w:tabs>
              <w:jc w:val="center"/>
              <w:rPr>
                <w:rFonts w:ascii="宋体"/>
                <w:color w:val="auto"/>
                <w:szCs w:val="24"/>
                <w:highlight w:val="none"/>
              </w:rPr>
            </w:pPr>
            <w:r>
              <w:rPr>
                <w:rFonts w:hint="eastAsia" w:ascii="宋体"/>
                <w:color w:val="auto"/>
                <w:szCs w:val="24"/>
                <w:highlight w:val="none"/>
              </w:rPr>
              <w:t>7.2.4</w:t>
            </w:r>
          </w:p>
        </w:tc>
        <w:tc>
          <w:tcPr>
            <w:tcW w:w="1701" w:type="dxa"/>
            <w:vAlign w:val="center"/>
          </w:tcPr>
          <w:p w14:paraId="5F1F442E">
            <w:pPr>
              <w:tabs>
                <w:tab w:val="right" w:leader="dot" w:pos="8295"/>
              </w:tabs>
              <w:jc w:val="center"/>
              <w:rPr>
                <w:rFonts w:ascii="宋体"/>
                <w:color w:val="auto"/>
                <w:szCs w:val="24"/>
                <w:highlight w:val="none"/>
              </w:rPr>
            </w:pPr>
            <w:r>
              <w:rPr>
                <w:rFonts w:hint="eastAsia" w:ascii="宋体"/>
                <w:color w:val="auto"/>
                <w:szCs w:val="24"/>
                <w:highlight w:val="none"/>
              </w:rPr>
              <w:t>□考察、质询</w:t>
            </w:r>
          </w:p>
        </w:tc>
        <w:tc>
          <w:tcPr>
            <w:tcW w:w="7430" w:type="dxa"/>
            <w:vAlign w:val="center"/>
          </w:tcPr>
          <w:p w14:paraId="14F65AFF">
            <w:pPr>
              <w:tabs>
                <w:tab w:val="right" w:leader="dot" w:pos="8295"/>
              </w:tabs>
              <w:jc w:val="left"/>
              <w:rPr>
                <w:rFonts w:ascii="宋体"/>
                <w:color w:val="auto"/>
                <w:szCs w:val="24"/>
                <w:highlight w:val="none"/>
              </w:rPr>
            </w:pPr>
            <w:r>
              <w:rPr>
                <w:rFonts w:hint="eastAsia" w:ascii="宋体"/>
                <w:color w:val="auto"/>
                <w:szCs w:val="24"/>
                <w:highlight w:val="none"/>
              </w:rPr>
              <w:t>□1.在定标会议前（考察、质询应给予中标候选人合理的准备时间。）对所有中标候选人进行考察、质询。</w:t>
            </w:r>
          </w:p>
          <w:p w14:paraId="16F19BC6">
            <w:pPr>
              <w:tabs>
                <w:tab w:val="right" w:leader="dot" w:pos="8295"/>
              </w:tabs>
              <w:jc w:val="left"/>
              <w:rPr>
                <w:rFonts w:ascii="宋体"/>
                <w:color w:val="auto"/>
                <w:szCs w:val="24"/>
                <w:highlight w:val="none"/>
              </w:rPr>
            </w:pPr>
            <w:r>
              <w:rPr>
                <w:rFonts w:hint="eastAsia" w:ascii="宋体"/>
                <w:color w:val="auto"/>
                <w:szCs w:val="24"/>
                <w:highlight w:val="none"/>
              </w:rPr>
              <w:t>□2.考察、质询小组由</w:t>
            </w:r>
            <w:r>
              <w:rPr>
                <w:rFonts w:hint="eastAsia" w:ascii="宋体"/>
                <w:color w:val="auto"/>
                <w:szCs w:val="24"/>
                <w:highlight w:val="none"/>
                <w:u w:val="single"/>
              </w:rPr>
              <w:t>（3人及以上单数）</w:t>
            </w:r>
            <w:r>
              <w:rPr>
                <w:rFonts w:hint="eastAsia" w:ascii="宋体"/>
                <w:color w:val="auto"/>
                <w:szCs w:val="24"/>
                <w:highlight w:val="none"/>
              </w:rPr>
              <w:t>组成。</w:t>
            </w:r>
          </w:p>
        </w:tc>
      </w:tr>
      <w:tr w14:paraId="29C0EF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D21F46A">
            <w:pPr>
              <w:tabs>
                <w:tab w:val="right" w:leader="dot" w:pos="8295"/>
              </w:tabs>
              <w:jc w:val="center"/>
              <w:rPr>
                <w:rFonts w:ascii="宋体"/>
                <w:color w:val="auto"/>
                <w:szCs w:val="24"/>
                <w:highlight w:val="none"/>
              </w:rPr>
            </w:pPr>
            <w:r>
              <w:rPr>
                <w:rFonts w:hint="eastAsia" w:ascii="宋体"/>
                <w:color w:val="auto"/>
                <w:szCs w:val="24"/>
                <w:highlight w:val="none"/>
              </w:rPr>
              <w:t>7.2.5</w:t>
            </w:r>
          </w:p>
        </w:tc>
        <w:tc>
          <w:tcPr>
            <w:tcW w:w="1701" w:type="dxa"/>
            <w:vAlign w:val="center"/>
          </w:tcPr>
          <w:p w14:paraId="73C7F865">
            <w:pPr>
              <w:tabs>
                <w:tab w:val="right" w:leader="dot" w:pos="8295"/>
              </w:tabs>
              <w:jc w:val="center"/>
              <w:rPr>
                <w:rFonts w:ascii="宋体"/>
                <w:color w:val="auto"/>
                <w:szCs w:val="24"/>
                <w:highlight w:val="none"/>
              </w:rPr>
            </w:pPr>
            <w:r>
              <w:rPr>
                <w:rFonts w:hint="eastAsia" w:ascii="宋体"/>
                <w:color w:val="auto"/>
                <w:szCs w:val="24"/>
                <w:highlight w:val="none"/>
              </w:rPr>
              <w:t>□定标委员会的组建</w:t>
            </w:r>
          </w:p>
        </w:tc>
        <w:tc>
          <w:tcPr>
            <w:tcW w:w="7430" w:type="dxa"/>
            <w:vAlign w:val="center"/>
          </w:tcPr>
          <w:p w14:paraId="143E61B5">
            <w:pPr>
              <w:tabs>
                <w:tab w:val="right" w:leader="dot" w:pos="8295"/>
              </w:tabs>
              <w:jc w:val="left"/>
              <w:rPr>
                <w:rFonts w:ascii="宋体"/>
                <w:color w:val="auto"/>
                <w:szCs w:val="24"/>
                <w:highlight w:val="none"/>
              </w:rPr>
            </w:pPr>
            <w:r>
              <w:rPr>
                <w:rFonts w:hint="eastAsia" w:ascii="宋体"/>
                <w:color w:val="auto"/>
                <w:szCs w:val="24"/>
                <w:highlight w:val="none"/>
              </w:rPr>
              <w:t>定标委员会由招标人负责组建，成员数量为5人及以上单数，组长由招标人的法定代表人或主要负责人或项目分管领导担任，其他成员从定标人员库中按不少于1：2的比例随机产生。</w:t>
            </w:r>
          </w:p>
        </w:tc>
      </w:tr>
      <w:tr w14:paraId="413F0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1B693D5">
            <w:pPr>
              <w:pStyle w:val="7"/>
              <w:jc w:val="center"/>
              <w:rPr>
                <w:rFonts w:ascii="宋体" w:eastAsia="宋体"/>
                <w:color w:val="auto"/>
                <w:sz w:val="24"/>
                <w:szCs w:val="24"/>
                <w:highlight w:val="none"/>
              </w:rPr>
            </w:pPr>
            <w:r>
              <w:rPr>
                <w:rFonts w:hint="eastAsia" w:ascii="宋体" w:eastAsia="宋体" w:cs="宋体"/>
                <w:color w:val="auto"/>
                <w:sz w:val="24"/>
                <w:szCs w:val="24"/>
                <w:highlight w:val="none"/>
              </w:rPr>
              <w:t>7.2.6</w:t>
            </w:r>
          </w:p>
        </w:tc>
        <w:tc>
          <w:tcPr>
            <w:tcW w:w="1701" w:type="dxa"/>
            <w:vAlign w:val="center"/>
          </w:tcPr>
          <w:p w14:paraId="596D6D8F">
            <w:pPr>
              <w:tabs>
                <w:tab w:val="right" w:leader="dot" w:pos="8295"/>
              </w:tabs>
              <w:jc w:val="center"/>
              <w:rPr>
                <w:rFonts w:ascii="宋体"/>
                <w:color w:val="auto"/>
                <w:szCs w:val="24"/>
                <w:highlight w:val="none"/>
              </w:rPr>
            </w:pPr>
            <w:r>
              <w:rPr>
                <w:rFonts w:hint="eastAsia" w:ascii="宋体"/>
                <w:color w:val="auto"/>
                <w:szCs w:val="24"/>
                <w:highlight w:val="none"/>
              </w:rPr>
              <w:t>□现场面试</w:t>
            </w:r>
          </w:p>
        </w:tc>
        <w:tc>
          <w:tcPr>
            <w:tcW w:w="7430" w:type="dxa"/>
            <w:vAlign w:val="center"/>
          </w:tcPr>
          <w:p w14:paraId="1867FCAC">
            <w:pPr>
              <w:tabs>
                <w:tab w:val="right" w:leader="dot" w:pos="8295"/>
              </w:tabs>
              <w:jc w:val="left"/>
              <w:rPr>
                <w:rFonts w:ascii="宋体"/>
                <w:color w:val="auto"/>
                <w:szCs w:val="24"/>
                <w:highlight w:val="none"/>
              </w:rPr>
            </w:pPr>
            <w:r>
              <w:rPr>
                <w:rFonts w:hint="eastAsia" w:ascii="宋体"/>
                <w:color w:val="auto"/>
                <w:szCs w:val="24"/>
                <w:highlight w:val="none"/>
              </w:rPr>
              <w:t>招标人在定标会议中可对中标候选人开展现场面试，中标候选人拟派项目负责人，以及投标人（联合体投标的，为联合体牵头人）持有安全生产考核合格证书的企业主要负责人（法定代表人、企业经理、企业分管安全生产的副经理、企业技术负责人中任意一人）参加现场面试。</w:t>
            </w:r>
          </w:p>
        </w:tc>
      </w:tr>
      <w:tr w14:paraId="696FD3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4A88813">
            <w:pPr>
              <w:pStyle w:val="7"/>
              <w:jc w:val="center"/>
              <w:rPr>
                <w:rFonts w:ascii="宋体" w:eastAsia="宋体"/>
                <w:color w:val="auto"/>
                <w:sz w:val="24"/>
                <w:szCs w:val="24"/>
                <w:highlight w:val="none"/>
              </w:rPr>
            </w:pPr>
            <w:r>
              <w:rPr>
                <w:rFonts w:hint="eastAsia" w:ascii="宋体" w:eastAsia="宋体" w:cs="宋体"/>
                <w:color w:val="auto"/>
                <w:sz w:val="24"/>
                <w:szCs w:val="24"/>
                <w:highlight w:val="none"/>
              </w:rPr>
              <w:t>7.2.7</w:t>
            </w:r>
          </w:p>
        </w:tc>
        <w:tc>
          <w:tcPr>
            <w:tcW w:w="1701" w:type="dxa"/>
            <w:vAlign w:val="center"/>
          </w:tcPr>
          <w:p w14:paraId="1DDA13E9">
            <w:pPr>
              <w:pStyle w:val="7"/>
              <w:jc w:val="center"/>
              <w:rPr>
                <w:rFonts w:ascii="宋体" w:eastAsia="宋体"/>
                <w:color w:val="auto"/>
                <w:sz w:val="21"/>
                <w:szCs w:val="21"/>
                <w:highlight w:val="none"/>
              </w:rPr>
            </w:pPr>
            <w:r>
              <w:rPr>
                <w:rFonts w:hint="eastAsia" w:ascii="宋体" w:eastAsia="宋体" w:cs="宋体"/>
                <w:color w:val="auto"/>
                <w:sz w:val="21"/>
                <w:szCs w:val="21"/>
                <w:highlight w:val="none"/>
              </w:rPr>
              <w:t>□定标要素及具体内容</w:t>
            </w:r>
          </w:p>
        </w:tc>
        <w:tc>
          <w:tcPr>
            <w:tcW w:w="7430" w:type="dxa"/>
            <w:vAlign w:val="center"/>
          </w:tcPr>
          <w:p w14:paraId="6197EAF8">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□1.履约能力：主要包括企业规模、资质等级、专业技术人员规模、近几年的账务状况、过往业绩（含业绩影响力，难易程度）、团队主要负责人类似工程业绩、拟派项目团队人员的资信实力等；</w:t>
            </w:r>
          </w:p>
          <w:p w14:paraId="774D8542">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□2.企业信誉： 主要包括企业信用评分、过往业绩履约情况、建设单位履约评价等；</w:t>
            </w:r>
          </w:p>
          <w:p w14:paraId="21141374">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□3.投标方案：主要包括技术标情况、工程建设时重难点问题的解决方案、主要材料品牌等 ；</w:t>
            </w:r>
          </w:p>
          <w:p w14:paraId="18A2901D">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□4.价格因素：主要包括商务报价高低、主要材料报价的合理性、不平衡报价情况等；</w:t>
            </w:r>
          </w:p>
          <w:p w14:paraId="4C566568">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□5.高质量发展所要求的创新、绿色、社会责任等因素</w:t>
            </w:r>
            <w:r>
              <w:rPr>
                <w:rFonts w:hint="eastAsia" w:cs="宋体"/>
                <w:color w:val="auto"/>
                <w:sz w:val="21"/>
                <w:szCs w:val="21"/>
                <w:highlight w:val="none"/>
              </w:rPr>
              <w:t>；</w:t>
            </w:r>
          </w:p>
          <w:p w14:paraId="4A836AFC">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□6.评标报告；</w:t>
            </w:r>
          </w:p>
          <w:p w14:paraId="5B11F59D">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□7.质询或（和）考察报告；</w:t>
            </w:r>
          </w:p>
          <w:p w14:paraId="194D7C53">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□8.现场面试情况；</w:t>
            </w:r>
          </w:p>
          <w:p w14:paraId="282448D1">
            <w:pPr>
              <w:pStyle w:val="35"/>
              <w:adjustRightInd/>
              <w:rPr>
                <w:rFonts w:ascii="宋体" w:eastAsia="宋体" w:cs="Times New Roman"/>
                <w:color w:val="auto"/>
                <w:sz w:val="21"/>
                <w:szCs w:val="21"/>
                <w:highlight w:val="none"/>
              </w:rPr>
            </w:pPr>
            <w:r>
              <w:rPr>
                <w:rFonts w:hint="eastAsia" w:ascii="宋体" w:eastAsia="宋体" w:cs="宋体"/>
                <w:color w:val="auto"/>
                <w:sz w:val="21"/>
                <w:szCs w:val="21"/>
                <w:highlight w:val="none"/>
              </w:rPr>
              <w:t>9.招标人认为需要考量的其他因素：</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w:t>
            </w:r>
          </w:p>
        </w:tc>
      </w:tr>
      <w:tr w14:paraId="5F04F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385DD8B">
            <w:pPr>
              <w:pStyle w:val="7"/>
              <w:jc w:val="center"/>
              <w:rPr>
                <w:rFonts w:ascii="宋体" w:eastAsia="宋体"/>
                <w:color w:val="auto"/>
                <w:sz w:val="24"/>
                <w:szCs w:val="24"/>
                <w:highlight w:val="none"/>
              </w:rPr>
            </w:pPr>
            <w:r>
              <w:rPr>
                <w:rFonts w:hint="eastAsia" w:ascii="宋体" w:eastAsia="宋体" w:cs="宋体"/>
                <w:color w:val="auto"/>
                <w:sz w:val="24"/>
                <w:szCs w:val="24"/>
                <w:highlight w:val="none"/>
              </w:rPr>
              <w:t>7.2.8</w:t>
            </w:r>
          </w:p>
        </w:tc>
        <w:tc>
          <w:tcPr>
            <w:tcW w:w="1701" w:type="dxa"/>
            <w:vAlign w:val="center"/>
          </w:tcPr>
          <w:p w14:paraId="5CC07B98">
            <w:pPr>
              <w:pStyle w:val="7"/>
              <w:jc w:val="center"/>
              <w:rPr>
                <w:rFonts w:ascii="宋体" w:eastAsia="宋体"/>
                <w:color w:val="auto"/>
                <w:sz w:val="21"/>
                <w:szCs w:val="21"/>
                <w:highlight w:val="none"/>
              </w:rPr>
            </w:pPr>
            <w:r>
              <w:rPr>
                <w:rFonts w:hint="eastAsia" w:ascii="宋体" w:eastAsia="宋体" w:cs="宋体"/>
                <w:color w:val="auto"/>
                <w:sz w:val="21"/>
                <w:szCs w:val="21"/>
                <w:highlight w:val="none"/>
              </w:rPr>
              <w:t>□定标方法</w:t>
            </w:r>
          </w:p>
        </w:tc>
        <w:tc>
          <w:tcPr>
            <w:tcW w:w="7430" w:type="dxa"/>
            <w:vAlign w:val="center"/>
          </w:tcPr>
          <w:p w14:paraId="581AB31C">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1.票决拟中标人和确定中标人两阶段</w:t>
            </w:r>
            <w:r>
              <w:rPr>
                <w:rFonts w:hint="eastAsia" w:cs="宋体"/>
                <w:color w:val="auto"/>
                <w:sz w:val="21"/>
                <w:szCs w:val="21"/>
                <w:highlight w:val="none"/>
              </w:rPr>
              <w:t>法</w:t>
            </w:r>
            <w:r>
              <w:rPr>
                <w:rFonts w:hint="eastAsia" w:ascii="宋体" w:eastAsia="宋体" w:cs="宋体"/>
                <w:color w:val="auto"/>
                <w:sz w:val="21"/>
                <w:szCs w:val="21"/>
                <w:highlight w:val="none"/>
              </w:rPr>
              <w:t>。</w:t>
            </w:r>
          </w:p>
          <w:p w14:paraId="7692DCB8">
            <w:pPr>
              <w:widowControl w:val="0"/>
              <w:ind w:firstLine="367" w:firstLineChars="175"/>
              <w:jc w:val="left"/>
              <w:rPr>
                <w:rFonts w:ascii="宋体" w:cs="宋体"/>
                <w:color w:val="auto"/>
                <w:highlight w:val="none"/>
              </w:rPr>
            </w:pPr>
            <w:r>
              <w:rPr>
                <w:rFonts w:hint="eastAsia" w:ascii="宋体" w:cs="宋体"/>
                <w:color w:val="auto"/>
                <w:highlight w:val="none"/>
              </w:rPr>
              <w:t>第一阶段采用票决方式决出</w:t>
            </w:r>
            <w:r>
              <w:rPr>
                <w:rFonts w:hint="eastAsia" w:ascii="宋体" w:cs="宋体"/>
                <w:color w:val="auto"/>
                <w:highlight w:val="none"/>
                <w:u w:val="single"/>
                <w:lang w:bidi="ar"/>
              </w:rPr>
              <w:t xml:space="preserve">       </w:t>
            </w:r>
            <w:r>
              <w:rPr>
                <w:rFonts w:hint="eastAsia" w:ascii="宋体" w:cs="宋体"/>
                <w:color w:val="auto"/>
                <w:highlight w:val="none"/>
                <w:lang w:bidi="ar"/>
              </w:rPr>
              <w:t>（2或3）名</w:t>
            </w:r>
            <w:r>
              <w:rPr>
                <w:rFonts w:hint="eastAsia" w:ascii="宋体" w:cs="宋体"/>
                <w:color w:val="auto"/>
                <w:highlight w:val="none"/>
              </w:rPr>
              <w:t>“拟中标人”。定标委员会采用以下方式之一确定“拟中标人”：</w:t>
            </w:r>
          </w:p>
          <w:p w14:paraId="2FDD065A">
            <w:pPr>
              <w:widowControl w:val="0"/>
              <w:ind w:firstLine="367" w:firstLineChars="175"/>
              <w:jc w:val="left"/>
              <w:rPr>
                <w:rFonts w:ascii="宋体" w:cs="宋体"/>
                <w:color w:val="auto"/>
                <w:highlight w:val="none"/>
              </w:rPr>
            </w:pPr>
            <w:r>
              <w:rPr>
                <w:rFonts w:hint="eastAsia" w:ascii="宋体" w:cs="宋体"/>
                <w:color w:val="auto"/>
                <w:highlight w:val="none"/>
              </w:rPr>
              <w:t>直接票决法，即通过投票，取票数最多且超过半数的为“拟中标人”。</w:t>
            </w:r>
            <w:r>
              <w:rPr>
                <w:rFonts w:hint="eastAsia" w:ascii="宋体" w:cs="宋体"/>
                <w:color w:val="auto"/>
                <w:highlight w:val="none"/>
                <w:lang w:bidi="ar"/>
              </w:rPr>
              <w:t>若超过半数中标候选人数不够拟中标人数，取票数前2名再次票决，直至达到确定“拟中标人”数量</w:t>
            </w:r>
            <w:r>
              <w:rPr>
                <w:rFonts w:hint="eastAsia" w:ascii="宋体" w:cs="宋体"/>
                <w:color w:val="auto"/>
                <w:highlight w:val="none"/>
              </w:rPr>
              <w:t>；</w:t>
            </w:r>
          </w:p>
          <w:p w14:paraId="3BC05C57">
            <w:pPr>
              <w:pStyle w:val="35"/>
              <w:adjustRightInd/>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逐轮票决法，即通过投票，每轮淘汰1名票数最少的中标候选人，最终确定“拟中标人”。</w:t>
            </w:r>
          </w:p>
          <w:p w14:paraId="7A3468FD">
            <w:pPr>
              <w:pStyle w:val="35"/>
              <w:adjustRightInd/>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第二阶段分情形确定中标人。</w:t>
            </w:r>
          </w:p>
          <w:p w14:paraId="556CA999">
            <w:pPr>
              <w:pStyle w:val="35"/>
              <w:adjustRightInd/>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发挥招标人党委（党</w:t>
            </w:r>
            <w:r>
              <w:rPr>
                <w:rFonts w:hint="eastAsia" w:cs="宋体"/>
                <w:color w:val="auto"/>
                <w:sz w:val="21"/>
                <w:szCs w:val="21"/>
                <w:highlight w:val="none"/>
              </w:rPr>
              <w:t>组织</w:t>
            </w:r>
            <w:r>
              <w:rPr>
                <w:rFonts w:hint="eastAsia" w:ascii="宋体" w:eastAsia="宋体" w:cs="宋体"/>
                <w:color w:val="auto"/>
                <w:sz w:val="21"/>
                <w:szCs w:val="21"/>
                <w:highlight w:val="none"/>
              </w:rPr>
              <w:t>）对招标投标活动的领导作用，由主要领导担任定标委员会组长，由定标委员会集体议定后确定中标人。</w:t>
            </w:r>
          </w:p>
          <w:p w14:paraId="726466E9">
            <w:pPr>
              <w:pStyle w:val="35"/>
              <w:adjustRightInd/>
              <w:ind w:firstLine="420" w:firstLineChars="200"/>
              <w:rPr>
                <w:rFonts w:ascii="宋体" w:eastAsia="宋体" w:cs="宋体"/>
                <w:color w:val="auto"/>
                <w:sz w:val="21"/>
                <w:szCs w:val="21"/>
                <w:highlight w:val="none"/>
              </w:rPr>
            </w:pPr>
            <w:r>
              <w:rPr>
                <w:rFonts w:hint="eastAsia" w:ascii="宋体" w:eastAsia="宋体" w:cs="宋体"/>
                <w:color w:val="auto"/>
                <w:sz w:val="21"/>
                <w:szCs w:val="21"/>
                <w:highlight w:val="none"/>
              </w:rPr>
              <w:t>招标人从“拟中标人”名单中随机抽签确定中标人。</w:t>
            </w:r>
          </w:p>
          <w:p w14:paraId="38773EE1">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□2.票决法；</w:t>
            </w:r>
          </w:p>
          <w:p w14:paraId="7E193366">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3.集体议事法；</w:t>
            </w:r>
          </w:p>
          <w:p w14:paraId="5BF80355">
            <w:pPr>
              <w:pStyle w:val="35"/>
              <w:adjustRightInd/>
              <w:rPr>
                <w:rFonts w:ascii="宋体" w:eastAsia="宋体" w:cs="Times New Roman"/>
                <w:color w:val="auto"/>
                <w:sz w:val="21"/>
                <w:szCs w:val="21"/>
                <w:highlight w:val="none"/>
              </w:rPr>
            </w:pPr>
            <w:r>
              <w:rPr>
                <w:rFonts w:hint="eastAsia" w:ascii="宋体" w:eastAsia="宋体" w:cs="宋体"/>
                <w:color w:val="auto"/>
                <w:sz w:val="21"/>
                <w:szCs w:val="21"/>
                <w:highlight w:val="none"/>
              </w:rPr>
              <w:t xml:space="preserve">□4.其他定标办法： </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 xml:space="preserve">  。</w:t>
            </w:r>
          </w:p>
        </w:tc>
      </w:tr>
      <w:tr w14:paraId="04F0D6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7F91AFE2">
            <w:pPr>
              <w:pStyle w:val="7"/>
              <w:jc w:val="center"/>
              <w:rPr>
                <w:rFonts w:ascii="宋体" w:eastAsia="宋体" w:cs="宋体"/>
                <w:color w:val="auto"/>
                <w:sz w:val="24"/>
                <w:szCs w:val="24"/>
                <w:highlight w:val="none"/>
              </w:rPr>
            </w:pPr>
            <w:r>
              <w:rPr>
                <w:rFonts w:hint="eastAsia" w:ascii="宋体" w:eastAsia="宋体" w:cs="宋体"/>
                <w:color w:val="auto"/>
                <w:sz w:val="24"/>
                <w:szCs w:val="24"/>
                <w:highlight w:val="none"/>
              </w:rPr>
              <w:t>7.2.9</w:t>
            </w:r>
          </w:p>
        </w:tc>
        <w:tc>
          <w:tcPr>
            <w:tcW w:w="1701" w:type="dxa"/>
            <w:vAlign w:val="center"/>
          </w:tcPr>
          <w:p w14:paraId="6755C01A">
            <w:pPr>
              <w:pStyle w:val="7"/>
              <w:jc w:val="center"/>
              <w:rPr>
                <w:rFonts w:ascii="宋体" w:eastAsia="宋体" w:cs="宋体"/>
                <w:color w:val="auto"/>
                <w:sz w:val="21"/>
                <w:szCs w:val="21"/>
                <w:highlight w:val="none"/>
              </w:rPr>
            </w:pPr>
            <w:r>
              <w:rPr>
                <w:rFonts w:hint="eastAsia" w:ascii="宋体" w:eastAsia="宋体" w:cs="宋体"/>
                <w:color w:val="auto"/>
                <w:sz w:val="21"/>
                <w:szCs w:val="21"/>
                <w:highlight w:val="none"/>
              </w:rPr>
              <w:t>☑中标公告媒介及期限</w:t>
            </w:r>
          </w:p>
        </w:tc>
        <w:tc>
          <w:tcPr>
            <w:tcW w:w="7430" w:type="dxa"/>
            <w:vAlign w:val="center"/>
          </w:tcPr>
          <w:p w14:paraId="4D0A0165">
            <w:pPr>
              <w:jc w:val="left"/>
              <w:rPr>
                <w:rFonts w:ascii="宋体" w:cs="宋体"/>
                <w:color w:val="auto"/>
                <w:highlight w:val="none"/>
              </w:rPr>
            </w:pPr>
            <w:r>
              <w:rPr>
                <w:rFonts w:hint="eastAsia" w:ascii="宋体" w:cs="宋体"/>
                <w:color w:val="auto"/>
                <w:highlight w:val="none"/>
              </w:rPr>
              <w:t>公</w:t>
            </w:r>
            <w:r>
              <w:rPr>
                <w:rFonts w:hint="eastAsia" w:ascii="宋体" w:cs="宋体"/>
                <w:color w:val="auto"/>
                <w:spacing w:val="-2"/>
                <w:highlight w:val="none"/>
              </w:rPr>
              <w:t>告</w:t>
            </w:r>
            <w:r>
              <w:rPr>
                <w:rFonts w:hint="eastAsia" w:ascii="宋体" w:cs="宋体"/>
                <w:color w:val="auto"/>
                <w:highlight w:val="none"/>
              </w:rPr>
              <w:t>媒介：</w:t>
            </w:r>
            <w:r>
              <w:rPr>
                <w:rFonts w:hint="eastAsia" w:ascii="宋体" w:cs="宋体"/>
                <w:color w:val="auto"/>
                <w:highlight w:val="none"/>
                <w:u w:val="single"/>
              </w:rPr>
              <w:t>浙江省公共资源交易服务平台、衢州市市县一体公共资源交易平台</w:t>
            </w:r>
          </w:p>
          <w:p w14:paraId="554C169F">
            <w:pPr>
              <w:pStyle w:val="35"/>
              <w:adjustRightInd/>
              <w:rPr>
                <w:rFonts w:ascii="宋体" w:eastAsia="宋体" w:cs="宋体"/>
                <w:color w:val="auto"/>
                <w:sz w:val="21"/>
                <w:szCs w:val="21"/>
                <w:highlight w:val="none"/>
              </w:rPr>
            </w:pPr>
            <w:r>
              <w:rPr>
                <w:rFonts w:hint="eastAsia" w:ascii="宋体" w:eastAsia="宋体" w:cs="宋体"/>
                <w:color w:val="auto"/>
                <w:spacing w:val="-2"/>
                <w:sz w:val="21"/>
                <w:szCs w:val="21"/>
                <w:highlight w:val="none"/>
              </w:rPr>
              <w:t>公告期限：不少于1日。</w:t>
            </w:r>
          </w:p>
        </w:tc>
      </w:tr>
      <w:tr w14:paraId="69583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2F59F1E">
            <w:pPr>
              <w:pStyle w:val="7"/>
              <w:jc w:val="center"/>
              <w:rPr>
                <w:rFonts w:ascii="宋体" w:eastAsia="宋体" w:cs="宋体"/>
                <w:color w:val="auto"/>
                <w:sz w:val="24"/>
                <w:szCs w:val="24"/>
                <w:highlight w:val="none"/>
              </w:rPr>
            </w:pPr>
            <w:r>
              <w:rPr>
                <w:rFonts w:hint="eastAsia" w:ascii="宋体" w:eastAsia="宋体" w:cs="宋体"/>
                <w:color w:val="auto"/>
                <w:sz w:val="24"/>
                <w:szCs w:val="24"/>
                <w:highlight w:val="none"/>
              </w:rPr>
              <w:t>7.2.10</w:t>
            </w:r>
          </w:p>
        </w:tc>
        <w:tc>
          <w:tcPr>
            <w:tcW w:w="1701" w:type="dxa"/>
            <w:vAlign w:val="center"/>
          </w:tcPr>
          <w:p w14:paraId="414713B0">
            <w:pPr>
              <w:pStyle w:val="7"/>
              <w:jc w:val="center"/>
              <w:rPr>
                <w:rFonts w:ascii="宋体" w:eastAsia="宋体" w:cs="宋体"/>
                <w:color w:val="auto"/>
                <w:sz w:val="21"/>
                <w:szCs w:val="21"/>
                <w:highlight w:val="none"/>
              </w:rPr>
            </w:pPr>
            <w:r>
              <w:rPr>
                <w:rFonts w:hint="eastAsia" w:ascii="宋体" w:eastAsia="宋体" w:cs="宋体"/>
                <w:color w:val="auto"/>
                <w:sz w:val="21"/>
                <w:szCs w:val="21"/>
                <w:highlight w:val="none"/>
              </w:rPr>
              <w:t>□按原定标方法确定中标人</w:t>
            </w:r>
          </w:p>
        </w:tc>
        <w:tc>
          <w:tcPr>
            <w:tcW w:w="7430" w:type="dxa"/>
            <w:vAlign w:val="center"/>
          </w:tcPr>
          <w:p w14:paraId="75CA93E1">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其他情形：</w:t>
            </w:r>
            <w:r>
              <w:rPr>
                <w:rFonts w:hint="eastAsia" w:ascii="宋体" w:eastAsia="宋体" w:cs="宋体"/>
                <w:color w:val="auto"/>
                <w:sz w:val="21"/>
                <w:szCs w:val="21"/>
                <w:highlight w:val="none"/>
                <w:u w:val="single"/>
              </w:rPr>
              <w:t xml:space="preserve">           /                   </w:t>
            </w:r>
            <w:r>
              <w:rPr>
                <w:rFonts w:hint="eastAsia" w:ascii="宋体" w:eastAsia="宋体" w:cs="宋体"/>
                <w:color w:val="auto"/>
                <w:sz w:val="21"/>
                <w:szCs w:val="21"/>
                <w:highlight w:val="none"/>
              </w:rPr>
              <w:t>。</w:t>
            </w:r>
          </w:p>
        </w:tc>
      </w:tr>
      <w:tr w14:paraId="1EA79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93CD505">
            <w:pPr>
              <w:pStyle w:val="7"/>
              <w:jc w:val="center"/>
              <w:rPr>
                <w:rFonts w:ascii="宋体" w:eastAsia="宋体" w:cs="宋体"/>
                <w:color w:val="auto"/>
                <w:sz w:val="24"/>
                <w:szCs w:val="24"/>
                <w:highlight w:val="none"/>
              </w:rPr>
            </w:pPr>
            <w:r>
              <w:rPr>
                <w:rFonts w:hint="eastAsia" w:ascii="宋体" w:eastAsia="宋体" w:cs="宋体"/>
                <w:color w:val="auto"/>
                <w:sz w:val="24"/>
                <w:szCs w:val="24"/>
                <w:highlight w:val="none"/>
              </w:rPr>
              <w:t>7.2.11</w:t>
            </w:r>
          </w:p>
        </w:tc>
        <w:tc>
          <w:tcPr>
            <w:tcW w:w="1701" w:type="dxa"/>
            <w:vAlign w:val="center"/>
          </w:tcPr>
          <w:p w14:paraId="4FAD1CB4">
            <w:pPr>
              <w:pStyle w:val="7"/>
              <w:jc w:val="center"/>
              <w:rPr>
                <w:rFonts w:ascii="宋体" w:eastAsia="宋体" w:cs="宋体"/>
                <w:color w:val="auto"/>
                <w:sz w:val="21"/>
                <w:szCs w:val="21"/>
                <w:highlight w:val="none"/>
              </w:rPr>
            </w:pPr>
            <w:r>
              <w:rPr>
                <w:rFonts w:hint="eastAsia" w:ascii="宋体" w:eastAsia="宋体" w:cs="宋体"/>
                <w:color w:val="auto"/>
                <w:sz w:val="21"/>
                <w:szCs w:val="21"/>
                <w:highlight w:val="none"/>
              </w:rPr>
              <w:t>□重新定标</w:t>
            </w:r>
          </w:p>
        </w:tc>
        <w:tc>
          <w:tcPr>
            <w:tcW w:w="7430" w:type="dxa"/>
            <w:vAlign w:val="center"/>
          </w:tcPr>
          <w:p w14:paraId="6DF6E93B">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其他情形：</w:t>
            </w:r>
            <w:r>
              <w:rPr>
                <w:rFonts w:hint="eastAsia" w:ascii="宋体" w:eastAsia="宋体" w:cs="宋体"/>
                <w:color w:val="auto"/>
                <w:sz w:val="21"/>
                <w:szCs w:val="21"/>
                <w:highlight w:val="none"/>
                <w:u w:val="single"/>
              </w:rPr>
              <w:t xml:space="preserve">           /                   </w:t>
            </w:r>
            <w:r>
              <w:rPr>
                <w:rFonts w:hint="eastAsia" w:ascii="宋体" w:eastAsia="宋体" w:cs="宋体"/>
                <w:color w:val="auto"/>
                <w:sz w:val="21"/>
                <w:szCs w:val="21"/>
                <w:highlight w:val="none"/>
              </w:rPr>
              <w:t>。</w:t>
            </w:r>
          </w:p>
        </w:tc>
      </w:tr>
      <w:tr w14:paraId="0E7484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69C8B7DF">
            <w:pPr>
              <w:tabs>
                <w:tab w:val="right" w:leader="dot" w:pos="8295"/>
              </w:tabs>
              <w:jc w:val="center"/>
              <w:rPr>
                <w:rFonts w:ascii="宋体"/>
                <w:color w:val="auto"/>
                <w:szCs w:val="24"/>
                <w:highlight w:val="none"/>
              </w:rPr>
            </w:pPr>
            <w:r>
              <w:rPr>
                <w:rFonts w:hint="eastAsia" w:ascii="宋体"/>
                <w:color w:val="auto"/>
                <w:szCs w:val="24"/>
                <w:highlight w:val="none"/>
              </w:rPr>
              <w:t>7.4</w:t>
            </w:r>
          </w:p>
        </w:tc>
        <w:tc>
          <w:tcPr>
            <w:tcW w:w="1701" w:type="dxa"/>
            <w:vAlign w:val="center"/>
          </w:tcPr>
          <w:p w14:paraId="141C1B0B">
            <w:pPr>
              <w:pStyle w:val="7"/>
              <w:jc w:val="center"/>
              <w:rPr>
                <w:rFonts w:ascii="宋体" w:hAnsi="宋体"/>
                <w:color w:val="auto"/>
                <w:sz w:val="21"/>
                <w:szCs w:val="21"/>
                <w:highlight w:val="none"/>
              </w:rPr>
            </w:pPr>
            <w:r>
              <w:rPr>
                <w:rFonts w:hint="eastAsia" w:ascii="宋体" w:hAnsi="宋体"/>
                <w:color w:val="auto"/>
                <w:sz w:val="21"/>
                <w:szCs w:val="21"/>
                <w:highlight w:val="none"/>
              </w:rPr>
              <w:t>履约保证金</w:t>
            </w:r>
          </w:p>
        </w:tc>
        <w:tc>
          <w:tcPr>
            <w:tcW w:w="7430" w:type="dxa"/>
            <w:vAlign w:val="center"/>
          </w:tcPr>
          <w:p w14:paraId="3A1047CB">
            <w:pPr>
              <w:jc w:val="left"/>
              <w:rPr>
                <w:rFonts w:ascii="宋体"/>
                <w:color w:val="auto"/>
                <w:highlight w:val="none"/>
              </w:rPr>
            </w:pPr>
            <w:r>
              <w:rPr>
                <w:rFonts w:hint="eastAsia" w:ascii="宋体"/>
                <w:color w:val="auto"/>
                <w:highlight w:val="none"/>
              </w:rPr>
              <w:t>1、履约保证的金额：200万元</w:t>
            </w:r>
          </w:p>
          <w:p w14:paraId="79DA39A7">
            <w:pPr>
              <w:jc w:val="left"/>
              <w:rPr>
                <w:rFonts w:ascii="宋体"/>
                <w:color w:val="auto"/>
                <w:highlight w:val="none"/>
              </w:rPr>
            </w:pPr>
            <w:r>
              <w:rPr>
                <w:rFonts w:hint="eastAsia" w:ascii="宋体"/>
                <w:color w:val="auto"/>
                <w:highlight w:val="none"/>
              </w:rPr>
              <w:t>2、履约保证金的形式：现金或者银行保函</w:t>
            </w:r>
          </w:p>
          <w:p w14:paraId="2020A2C9">
            <w:pPr>
              <w:jc w:val="left"/>
              <w:rPr>
                <w:rFonts w:ascii="宋体"/>
                <w:color w:val="auto"/>
                <w:highlight w:val="none"/>
              </w:rPr>
            </w:pPr>
            <w:r>
              <w:rPr>
                <w:rFonts w:hint="eastAsia" w:ascii="宋体"/>
                <w:color w:val="auto"/>
                <w:highlight w:val="none"/>
              </w:rPr>
              <w:t>3、提交时间：在签订合同的同时。</w:t>
            </w:r>
          </w:p>
          <w:p w14:paraId="0C2A75D2">
            <w:pPr>
              <w:jc w:val="left"/>
              <w:rPr>
                <w:rFonts w:ascii="宋体"/>
                <w:color w:val="auto"/>
                <w:highlight w:val="none"/>
              </w:rPr>
            </w:pPr>
            <w:r>
              <w:rPr>
                <w:rFonts w:hint="eastAsia" w:ascii="宋体"/>
                <w:color w:val="auto"/>
                <w:highlight w:val="none"/>
              </w:rPr>
              <w:t>4、本项目建成，装置通过72h满负荷性能测试，稳定运行半年后退回</w:t>
            </w:r>
          </w:p>
          <w:p w14:paraId="3A7CDE87">
            <w:pPr>
              <w:jc w:val="left"/>
              <w:rPr>
                <w:rFonts w:ascii="宋体"/>
                <w:color w:val="auto"/>
                <w:highlight w:val="none"/>
              </w:rPr>
            </w:pPr>
            <w:r>
              <w:rPr>
                <w:rFonts w:hint="eastAsia" w:ascii="宋体"/>
                <w:color w:val="auto"/>
                <w:highlight w:val="none"/>
              </w:rPr>
              <w:t>5、履约保证金扣除情况如下：</w:t>
            </w:r>
          </w:p>
          <w:p w14:paraId="65B63D6E">
            <w:pPr>
              <w:jc w:val="left"/>
              <w:rPr>
                <w:rFonts w:ascii="宋体"/>
                <w:color w:val="auto"/>
                <w:highlight w:val="none"/>
              </w:rPr>
            </w:pPr>
            <w:r>
              <w:rPr>
                <w:rFonts w:hint="eastAsia" w:ascii="宋体"/>
                <w:color w:val="auto"/>
                <w:highlight w:val="none"/>
              </w:rPr>
              <w:t>（1）项目建成后装置72h满负荷测试及未达预期目标；</w:t>
            </w:r>
          </w:p>
          <w:p w14:paraId="7D5854BB">
            <w:pPr>
              <w:jc w:val="left"/>
              <w:rPr>
                <w:rFonts w:ascii="宋体"/>
                <w:color w:val="auto"/>
                <w:highlight w:val="none"/>
              </w:rPr>
            </w:pPr>
            <w:r>
              <w:rPr>
                <w:rFonts w:hint="eastAsia" w:ascii="宋体"/>
                <w:color w:val="auto"/>
                <w:highlight w:val="none"/>
              </w:rPr>
              <w:t>（2）项目建设期间，中标人所确认施工单位如发生违反招标人安全管理规定按考核金额扣除履约保证金。</w:t>
            </w:r>
          </w:p>
        </w:tc>
      </w:tr>
      <w:tr w14:paraId="2F3B2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907429B">
            <w:pPr>
              <w:pStyle w:val="7"/>
              <w:jc w:val="center"/>
              <w:rPr>
                <w:rFonts w:ascii="宋体" w:hAnsi="宋体"/>
                <w:color w:val="auto"/>
                <w:sz w:val="24"/>
                <w:szCs w:val="24"/>
                <w:highlight w:val="none"/>
              </w:rPr>
            </w:pPr>
            <w:r>
              <w:rPr>
                <w:rFonts w:hint="eastAsia" w:ascii="宋体" w:eastAsia="宋体" w:cs="宋体"/>
                <w:color w:val="auto"/>
                <w:sz w:val="24"/>
                <w:szCs w:val="24"/>
                <w:highlight w:val="none"/>
              </w:rPr>
              <w:t>8.1</w:t>
            </w:r>
          </w:p>
        </w:tc>
        <w:tc>
          <w:tcPr>
            <w:tcW w:w="1701" w:type="dxa"/>
            <w:vAlign w:val="center"/>
          </w:tcPr>
          <w:p w14:paraId="7EB71CA2">
            <w:pPr>
              <w:pStyle w:val="7"/>
              <w:jc w:val="center"/>
              <w:rPr>
                <w:rFonts w:ascii="宋体" w:eastAsia="宋体" w:cs="宋体"/>
                <w:color w:val="auto"/>
                <w:sz w:val="21"/>
                <w:szCs w:val="21"/>
                <w:highlight w:val="none"/>
              </w:rPr>
            </w:pPr>
            <w:r>
              <w:rPr>
                <w:rFonts w:hint="eastAsia" w:ascii="宋体" w:eastAsia="宋体" w:cs="宋体"/>
                <w:color w:val="auto"/>
                <w:sz w:val="21"/>
                <w:szCs w:val="21"/>
                <w:highlight w:val="none"/>
              </w:rPr>
              <w:t>重新招标其他情形</w:t>
            </w:r>
          </w:p>
        </w:tc>
        <w:tc>
          <w:tcPr>
            <w:tcW w:w="7430" w:type="dxa"/>
            <w:vAlign w:val="center"/>
          </w:tcPr>
          <w:p w14:paraId="69F8E609">
            <w:pPr>
              <w:jc w:val="left"/>
              <w:rPr>
                <w:rFonts w:ascii="宋体" w:cs="宋体"/>
                <w:color w:val="auto"/>
                <w:highlight w:val="none"/>
              </w:rPr>
            </w:pPr>
            <w:r>
              <w:rPr>
                <w:rFonts w:hint="eastAsia" w:ascii="宋体" w:cs="宋体"/>
                <w:color w:val="auto"/>
                <w:highlight w:val="none"/>
              </w:rPr>
              <w:t>1.招标投标过程中，因项目发生变更，现有招标资格条件与项目工程规模不符的；</w:t>
            </w:r>
          </w:p>
          <w:p w14:paraId="1D6C0814">
            <w:pPr>
              <w:jc w:val="left"/>
              <w:rPr>
                <w:rFonts w:ascii="宋体" w:cs="宋体"/>
                <w:color w:val="auto"/>
                <w:highlight w:val="none"/>
              </w:rPr>
            </w:pPr>
            <w:r>
              <w:rPr>
                <w:rFonts w:hint="eastAsia" w:ascii="宋体" w:cs="宋体"/>
                <w:color w:val="auto"/>
                <w:highlight w:val="none"/>
              </w:rPr>
              <w:t>☑2.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w:t>
            </w:r>
          </w:p>
          <w:p w14:paraId="10AB5EC2">
            <w:pPr>
              <w:tabs>
                <w:tab w:val="left" w:pos="9360"/>
              </w:tabs>
              <w:jc w:val="left"/>
              <w:rPr>
                <w:rFonts w:ascii="宋体" w:cs="宋体"/>
                <w:color w:val="auto"/>
                <w:highlight w:val="none"/>
              </w:rPr>
            </w:pPr>
            <w:r>
              <w:rPr>
                <w:rFonts w:hint="eastAsia" w:ascii="宋体" w:cs="宋体"/>
                <w:color w:val="auto"/>
                <w:highlight w:val="none"/>
              </w:rPr>
              <w:t>3.法律法规规定的其他情形。</w:t>
            </w:r>
          </w:p>
          <w:p w14:paraId="67C57C94">
            <w:pPr>
              <w:tabs>
                <w:tab w:val="left" w:pos="9360"/>
              </w:tabs>
              <w:jc w:val="left"/>
              <w:rPr>
                <w:rFonts w:ascii="宋体" w:cs="宋体"/>
                <w:color w:val="auto"/>
                <w:highlight w:val="none"/>
              </w:rPr>
            </w:pPr>
            <w:r>
              <w:rPr>
                <w:rFonts w:hint="eastAsia" w:ascii="宋体" w:cs="宋体"/>
                <w:color w:val="auto"/>
                <w:highlight w:val="none"/>
              </w:rPr>
              <w:t>□4.（招标人认为需添加的其他情形）</w:t>
            </w:r>
          </w:p>
        </w:tc>
      </w:tr>
      <w:tr w14:paraId="29BA9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16C9F9D4">
            <w:pPr>
              <w:tabs>
                <w:tab w:val="right" w:leader="dot" w:pos="8295"/>
              </w:tabs>
              <w:jc w:val="center"/>
              <w:rPr>
                <w:rFonts w:ascii="宋体"/>
                <w:color w:val="auto"/>
                <w:szCs w:val="24"/>
                <w:highlight w:val="none"/>
              </w:rPr>
            </w:pPr>
            <w:r>
              <w:rPr>
                <w:rFonts w:hint="eastAsia" w:ascii="宋体"/>
                <w:color w:val="auto"/>
                <w:szCs w:val="24"/>
                <w:highlight w:val="none"/>
              </w:rPr>
              <w:t>8．2</w:t>
            </w:r>
          </w:p>
        </w:tc>
        <w:tc>
          <w:tcPr>
            <w:tcW w:w="1701" w:type="dxa"/>
            <w:vAlign w:val="center"/>
          </w:tcPr>
          <w:p w14:paraId="3F7CB406">
            <w:pPr>
              <w:tabs>
                <w:tab w:val="right" w:leader="dot" w:pos="8295"/>
              </w:tabs>
              <w:jc w:val="center"/>
              <w:rPr>
                <w:rFonts w:ascii="宋体"/>
                <w:color w:val="auto"/>
                <w:szCs w:val="24"/>
                <w:highlight w:val="none"/>
              </w:rPr>
            </w:pPr>
            <w:r>
              <w:rPr>
                <w:rFonts w:hint="eastAsia" w:ascii="宋体"/>
                <w:color w:val="auto"/>
                <w:szCs w:val="24"/>
                <w:highlight w:val="none"/>
              </w:rPr>
              <w:t>不再招标</w:t>
            </w:r>
          </w:p>
          <w:p w14:paraId="7FB73645">
            <w:pPr>
              <w:tabs>
                <w:tab w:val="right" w:leader="dot" w:pos="8295"/>
              </w:tabs>
              <w:jc w:val="center"/>
              <w:rPr>
                <w:rFonts w:ascii="宋体"/>
                <w:color w:val="auto"/>
                <w:szCs w:val="24"/>
                <w:highlight w:val="none"/>
              </w:rPr>
            </w:pPr>
            <w:r>
              <w:rPr>
                <w:rFonts w:hint="eastAsia" w:ascii="宋体"/>
                <w:color w:val="auto"/>
                <w:szCs w:val="24"/>
                <w:highlight w:val="none"/>
              </w:rPr>
              <w:t>的情形</w:t>
            </w:r>
          </w:p>
        </w:tc>
        <w:tc>
          <w:tcPr>
            <w:tcW w:w="7430" w:type="dxa"/>
            <w:vAlign w:val="center"/>
          </w:tcPr>
          <w:p w14:paraId="47482F13">
            <w:pPr>
              <w:tabs>
                <w:tab w:val="right" w:leader="dot" w:pos="8295"/>
              </w:tabs>
              <w:jc w:val="left"/>
              <w:rPr>
                <w:rFonts w:ascii="宋体"/>
                <w:color w:val="auto"/>
                <w:szCs w:val="24"/>
                <w:highlight w:val="none"/>
              </w:rPr>
            </w:pPr>
            <w:r>
              <w:rPr>
                <w:rFonts w:hint="eastAsia" w:ascii="宋体"/>
                <w:color w:val="auto"/>
                <w:szCs w:val="24"/>
                <w:highlight w:val="none"/>
              </w:rPr>
              <w:t>重新招标后投标人仍少于3个的，经原审批或核准部门批准后不再进行招标。</w:t>
            </w:r>
          </w:p>
        </w:tc>
      </w:tr>
      <w:tr w14:paraId="290E5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DB97A4B">
            <w:pPr>
              <w:tabs>
                <w:tab w:val="right" w:leader="dot" w:pos="8295"/>
              </w:tabs>
              <w:jc w:val="center"/>
              <w:rPr>
                <w:rFonts w:ascii="宋体"/>
                <w:color w:val="auto"/>
                <w:szCs w:val="24"/>
                <w:highlight w:val="none"/>
              </w:rPr>
            </w:pPr>
            <w:r>
              <w:rPr>
                <w:rFonts w:hint="eastAsia" w:ascii="宋体"/>
                <w:color w:val="auto"/>
                <w:szCs w:val="24"/>
                <w:highlight w:val="none"/>
              </w:rPr>
              <w:t>10.1</w:t>
            </w:r>
          </w:p>
        </w:tc>
        <w:tc>
          <w:tcPr>
            <w:tcW w:w="1701" w:type="dxa"/>
            <w:vAlign w:val="center"/>
          </w:tcPr>
          <w:p w14:paraId="390B72D2">
            <w:pPr>
              <w:tabs>
                <w:tab w:val="right" w:leader="dot" w:pos="8295"/>
              </w:tabs>
              <w:jc w:val="center"/>
              <w:rPr>
                <w:rFonts w:ascii="宋体"/>
                <w:color w:val="auto"/>
                <w:szCs w:val="24"/>
                <w:highlight w:val="none"/>
              </w:rPr>
            </w:pPr>
            <w:r>
              <w:rPr>
                <w:rFonts w:hint="eastAsia" w:ascii="宋体"/>
                <w:color w:val="auto"/>
                <w:szCs w:val="24"/>
                <w:highlight w:val="none"/>
              </w:rPr>
              <w:t>否决投标的情形</w:t>
            </w:r>
          </w:p>
        </w:tc>
        <w:tc>
          <w:tcPr>
            <w:tcW w:w="7430" w:type="dxa"/>
            <w:vAlign w:val="center"/>
          </w:tcPr>
          <w:p w14:paraId="4CBD5835">
            <w:pPr>
              <w:tabs>
                <w:tab w:val="right" w:leader="dot" w:pos="8295"/>
              </w:tabs>
              <w:ind w:firstLine="480"/>
              <w:jc w:val="left"/>
              <w:rPr>
                <w:rFonts w:ascii="宋体"/>
                <w:color w:val="auto"/>
                <w:szCs w:val="24"/>
                <w:highlight w:val="none"/>
              </w:rPr>
            </w:pPr>
            <w:r>
              <w:rPr>
                <w:rFonts w:hint="eastAsia" w:ascii="宋体"/>
                <w:color w:val="auto"/>
                <w:szCs w:val="24"/>
                <w:highlight w:val="none"/>
              </w:rPr>
              <w:t>一、凡评标委员会拟作出否决投标决定的，应先向投标人进行电子询问核实。未进行询问核实程序的，不得做出否决投标决定，投标人放弃接受询问核实机会的除外（投标人所留联系方式无法联系上、在规定的时限内投标人不参加询问核实或不予答复的）。</w:t>
            </w:r>
          </w:p>
          <w:p w14:paraId="7DD48DF8">
            <w:pPr>
              <w:tabs>
                <w:tab w:val="right" w:leader="dot" w:pos="8295"/>
              </w:tabs>
              <w:ind w:firstLine="480"/>
              <w:jc w:val="left"/>
              <w:rPr>
                <w:rFonts w:ascii="宋体"/>
                <w:color w:val="auto"/>
                <w:szCs w:val="24"/>
                <w:highlight w:val="none"/>
              </w:rPr>
            </w:pPr>
            <w:r>
              <w:rPr>
                <w:rFonts w:hint="eastAsia" w:ascii="宋体"/>
                <w:color w:val="auto"/>
                <w:szCs w:val="24"/>
                <w:highlight w:val="none"/>
              </w:rPr>
              <w:t>二、投标文件存在以下情形之一的，由评标委员会审核并经过询标程序，其投标文件将被否决：</w:t>
            </w:r>
          </w:p>
          <w:p w14:paraId="1A03B3D2">
            <w:pPr>
              <w:tabs>
                <w:tab w:val="right" w:leader="dot" w:pos="8295"/>
              </w:tabs>
              <w:ind w:firstLine="480"/>
              <w:jc w:val="left"/>
              <w:rPr>
                <w:rFonts w:ascii="宋体"/>
                <w:color w:val="auto"/>
                <w:szCs w:val="24"/>
                <w:highlight w:val="none"/>
              </w:rPr>
            </w:pPr>
            <w:r>
              <w:rPr>
                <w:rFonts w:hint="eastAsia" w:ascii="宋体"/>
                <w:color w:val="auto"/>
                <w:szCs w:val="24"/>
                <w:highlight w:val="none"/>
              </w:rPr>
              <w:t xml:space="preserve"> （一）符合性内容</w:t>
            </w:r>
          </w:p>
          <w:p w14:paraId="16B81C42">
            <w:pPr>
              <w:tabs>
                <w:tab w:val="right" w:leader="dot" w:pos="8295"/>
              </w:tabs>
              <w:ind w:firstLine="480"/>
              <w:jc w:val="left"/>
              <w:rPr>
                <w:rFonts w:ascii="宋体"/>
                <w:color w:val="auto"/>
                <w:szCs w:val="24"/>
                <w:highlight w:val="none"/>
              </w:rPr>
            </w:pPr>
            <w:r>
              <w:rPr>
                <w:rFonts w:hint="eastAsia" w:ascii="宋体"/>
                <w:color w:val="auto"/>
                <w:szCs w:val="24"/>
                <w:highlight w:val="none"/>
              </w:rPr>
              <w:t>1、投标人的资质、业绩、人员、设备等条件未满足招标文件实质性响应要求的（以投标人须知前附表3.5中“一、实质性响应招标文件资料”内容为准）；</w:t>
            </w:r>
          </w:p>
          <w:p w14:paraId="2B1516BD">
            <w:pPr>
              <w:tabs>
                <w:tab w:val="right" w:leader="dot" w:pos="8295"/>
              </w:tabs>
              <w:ind w:firstLine="480"/>
              <w:jc w:val="left"/>
              <w:rPr>
                <w:rFonts w:ascii="宋体"/>
                <w:color w:val="auto"/>
                <w:szCs w:val="24"/>
                <w:highlight w:val="none"/>
              </w:rPr>
            </w:pPr>
            <w:r>
              <w:rPr>
                <w:rFonts w:hint="eastAsia" w:ascii="宋体"/>
                <w:color w:val="auto"/>
                <w:szCs w:val="24"/>
                <w:highlight w:val="none"/>
              </w:rPr>
              <w:t>2、未按招标文件的要求加盖单位印章，或投标人的法定代表人（或其委托代理人）未按招标文件要求签字或盖章的，或委托代理人无有效的委托授权书的；</w:t>
            </w:r>
          </w:p>
          <w:p w14:paraId="22B8C332">
            <w:pPr>
              <w:tabs>
                <w:tab w:val="right" w:leader="dot" w:pos="8295"/>
              </w:tabs>
              <w:ind w:firstLine="480"/>
              <w:jc w:val="left"/>
              <w:rPr>
                <w:rFonts w:ascii="宋体"/>
                <w:color w:val="auto"/>
                <w:szCs w:val="24"/>
                <w:highlight w:val="none"/>
              </w:rPr>
            </w:pPr>
            <w:r>
              <w:rPr>
                <w:rFonts w:hint="eastAsia" w:ascii="宋体"/>
                <w:color w:val="auto"/>
                <w:szCs w:val="24"/>
                <w:highlight w:val="none"/>
              </w:rPr>
              <w:t>3、投标函载明的招标项目完成期限超过招标文件规定的期限的，或载明的质量目标达不到招标文件要求的质量目标的；</w:t>
            </w:r>
          </w:p>
          <w:p w14:paraId="2A2C995B">
            <w:pPr>
              <w:tabs>
                <w:tab w:val="right" w:leader="dot" w:pos="8295"/>
              </w:tabs>
              <w:ind w:firstLine="480"/>
              <w:jc w:val="left"/>
              <w:rPr>
                <w:rFonts w:ascii="宋体"/>
                <w:color w:val="auto"/>
                <w:szCs w:val="24"/>
                <w:highlight w:val="none"/>
              </w:rPr>
            </w:pPr>
            <w:r>
              <w:rPr>
                <w:rFonts w:hint="eastAsia" w:ascii="宋体"/>
                <w:color w:val="auto"/>
                <w:szCs w:val="24"/>
                <w:highlight w:val="none"/>
              </w:rPr>
              <w:t>4、投标人不以自己的名义或未按招标文件要求提供投标保证金，或提供的投标保证金有缺陷而不能接受的；</w:t>
            </w:r>
          </w:p>
          <w:p w14:paraId="3F7BD903">
            <w:pPr>
              <w:tabs>
                <w:tab w:val="right" w:leader="dot" w:pos="8295"/>
              </w:tabs>
              <w:ind w:firstLine="480"/>
              <w:jc w:val="left"/>
              <w:rPr>
                <w:rFonts w:ascii="宋体"/>
                <w:color w:val="auto"/>
                <w:szCs w:val="24"/>
                <w:highlight w:val="none"/>
              </w:rPr>
            </w:pPr>
            <w:r>
              <w:rPr>
                <w:rFonts w:hint="eastAsia" w:ascii="宋体"/>
                <w:color w:val="auto"/>
                <w:szCs w:val="24"/>
                <w:highlight w:val="none"/>
              </w:rPr>
              <w:t>5、改变招标人提供的招标范围的；</w:t>
            </w:r>
          </w:p>
          <w:p w14:paraId="060059FB">
            <w:pPr>
              <w:tabs>
                <w:tab w:val="right" w:leader="dot" w:pos="8295"/>
              </w:tabs>
              <w:ind w:firstLine="480"/>
              <w:jc w:val="left"/>
              <w:rPr>
                <w:rFonts w:ascii="宋体"/>
                <w:color w:val="auto"/>
                <w:szCs w:val="24"/>
                <w:highlight w:val="none"/>
              </w:rPr>
            </w:pPr>
            <w:r>
              <w:rPr>
                <w:rFonts w:hint="eastAsia" w:ascii="宋体"/>
                <w:color w:val="auto"/>
                <w:szCs w:val="24"/>
                <w:highlight w:val="none"/>
              </w:rPr>
              <w:t>6、投标文件的组成不符合招标文件要求的；</w:t>
            </w:r>
          </w:p>
          <w:p w14:paraId="1DF0031D">
            <w:pPr>
              <w:tabs>
                <w:tab w:val="right" w:leader="dot" w:pos="8295"/>
              </w:tabs>
              <w:ind w:firstLine="480"/>
              <w:jc w:val="left"/>
              <w:rPr>
                <w:rFonts w:ascii="宋体"/>
                <w:color w:val="auto"/>
                <w:szCs w:val="24"/>
                <w:highlight w:val="none"/>
              </w:rPr>
            </w:pPr>
            <w:r>
              <w:rPr>
                <w:rFonts w:hint="eastAsia" w:ascii="宋体"/>
                <w:color w:val="auto"/>
                <w:szCs w:val="24"/>
                <w:highlight w:val="none"/>
              </w:rPr>
              <w:t>7、不同投标人的电子投标文件清标过程中检测出制作机器码相同的；</w:t>
            </w:r>
          </w:p>
          <w:p w14:paraId="0F939C6A">
            <w:pPr>
              <w:tabs>
                <w:tab w:val="right" w:leader="dot" w:pos="8295"/>
              </w:tabs>
              <w:ind w:firstLine="480"/>
              <w:jc w:val="left"/>
              <w:rPr>
                <w:rFonts w:ascii="宋体"/>
                <w:color w:val="auto"/>
                <w:szCs w:val="24"/>
                <w:highlight w:val="none"/>
              </w:rPr>
            </w:pPr>
            <w:r>
              <w:rPr>
                <w:rFonts w:hint="eastAsia" w:ascii="宋体"/>
                <w:color w:val="auto"/>
                <w:szCs w:val="24"/>
                <w:highlight w:val="none"/>
              </w:rPr>
              <w:t>（二）技术标内容</w:t>
            </w:r>
          </w:p>
          <w:p w14:paraId="557CCB88">
            <w:pPr>
              <w:tabs>
                <w:tab w:val="right" w:leader="dot" w:pos="8295"/>
              </w:tabs>
              <w:ind w:firstLine="480"/>
              <w:jc w:val="left"/>
              <w:rPr>
                <w:rFonts w:ascii="宋体"/>
                <w:color w:val="auto"/>
                <w:szCs w:val="24"/>
                <w:highlight w:val="none"/>
              </w:rPr>
            </w:pPr>
            <w:r>
              <w:rPr>
                <w:rFonts w:hint="eastAsia" w:ascii="宋体"/>
                <w:color w:val="auto"/>
                <w:szCs w:val="24"/>
                <w:highlight w:val="none"/>
              </w:rPr>
              <w:t>按投标人须知1.12的要求；</w:t>
            </w:r>
          </w:p>
          <w:p w14:paraId="6135E8BA">
            <w:pPr>
              <w:tabs>
                <w:tab w:val="right" w:leader="dot" w:pos="8295"/>
              </w:tabs>
              <w:ind w:firstLine="480"/>
              <w:jc w:val="left"/>
              <w:rPr>
                <w:rFonts w:ascii="宋体"/>
                <w:color w:val="auto"/>
                <w:szCs w:val="24"/>
                <w:highlight w:val="none"/>
              </w:rPr>
            </w:pPr>
            <w:r>
              <w:rPr>
                <w:rFonts w:hint="eastAsia" w:ascii="宋体"/>
                <w:color w:val="auto"/>
                <w:szCs w:val="24"/>
                <w:highlight w:val="none"/>
              </w:rPr>
              <w:t>（三）商务标内容</w:t>
            </w:r>
          </w:p>
          <w:p w14:paraId="22DF543E">
            <w:pPr>
              <w:tabs>
                <w:tab w:val="right" w:leader="dot" w:pos="8295"/>
              </w:tabs>
              <w:ind w:firstLine="480"/>
              <w:jc w:val="left"/>
              <w:rPr>
                <w:rFonts w:ascii="宋体"/>
                <w:color w:val="auto"/>
                <w:szCs w:val="24"/>
                <w:highlight w:val="none"/>
              </w:rPr>
            </w:pPr>
            <w:r>
              <w:rPr>
                <w:rFonts w:hint="eastAsia" w:ascii="宋体"/>
                <w:color w:val="auto"/>
                <w:szCs w:val="24"/>
                <w:highlight w:val="none"/>
              </w:rPr>
              <w:t>1、投标报价高于招标文件设定的最高投标限价的；</w:t>
            </w:r>
          </w:p>
          <w:p w14:paraId="08040B52">
            <w:pPr>
              <w:tabs>
                <w:tab w:val="right" w:leader="dot" w:pos="8295"/>
              </w:tabs>
              <w:ind w:firstLine="480"/>
              <w:jc w:val="left"/>
              <w:rPr>
                <w:rFonts w:ascii="宋体"/>
                <w:color w:val="auto"/>
                <w:szCs w:val="24"/>
                <w:highlight w:val="none"/>
              </w:rPr>
            </w:pPr>
            <w:r>
              <w:rPr>
                <w:rFonts w:hint="eastAsia" w:ascii="宋体"/>
                <w:color w:val="auto"/>
                <w:szCs w:val="24"/>
                <w:highlight w:val="none"/>
              </w:rPr>
              <w:t>2、同一投标人提交两个以上不同的投标文件或者投标报价的（招标文件要求提交备选投标的除外）；</w:t>
            </w:r>
          </w:p>
          <w:p w14:paraId="44E261E7">
            <w:pPr>
              <w:tabs>
                <w:tab w:val="right" w:leader="dot" w:pos="8295"/>
              </w:tabs>
              <w:ind w:firstLine="480"/>
              <w:jc w:val="left"/>
              <w:rPr>
                <w:rFonts w:ascii="宋体"/>
                <w:color w:val="auto"/>
                <w:szCs w:val="24"/>
                <w:highlight w:val="none"/>
              </w:rPr>
            </w:pPr>
            <w:r>
              <w:rPr>
                <w:rFonts w:hint="eastAsia" w:ascii="宋体"/>
                <w:color w:val="auto"/>
                <w:szCs w:val="24"/>
                <w:highlight w:val="none"/>
              </w:rPr>
              <w:t>3、投标人拒绝修正不平衡报价，或拒绝提供报价分析说明和证明资料的；</w:t>
            </w:r>
          </w:p>
          <w:p w14:paraId="4E78F7BF">
            <w:pPr>
              <w:tabs>
                <w:tab w:val="right" w:leader="dot" w:pos="8295"/>
              </w:tabs>
              <w:ind w:firstLine="480"/>
              <w:jc w:val="left"/>
              <w:rPr>
                <w:rFonts w:ascii="宋体"/>
                <w:color w:val="auto"/>
                <w:szCs w:val="24"/>
                <w:highlight w:val="none"/>
              </w:rPr>
            </w:pPr>
            <w:r>
              <w:rPr>
                <w:rFonts w:hint="eastAsia" w:ascii="宋体"/>
                <w:color w:val="auto"/>
                <w:szCs w:val="24"/>
                <w:highlight w:val="none"/>
              </w:rPr>
              <w:t>4、投标函载明的投标报价或其它关键内容字迹模糊或无法辨认的；</w:t>
            </w:r>
          </w:p>
          <w:p w14:paraId="31666722">
            <w:pPr>
              <w:tabs>
                <w:tab w:val="right" w:leader="dot" w:pos="8295"/>
              </w:tabs>
              <w:ind w:firstLine="480"/>
              <w:jc w:val="left"/>
              <w:rPr>
                <w:rFonts w:ascii="宋体"/>
                <w:color w:val="auto"/>
                <w:szCs w:val="24"/>
                <w:highlight w:val="none"/>
              </w:rPr>
            </w:pPr>
            <w:r>
              <w:rPr>
                <w:rFonts w:hint="eastAsia" w:ascii="宋体"/>
                <w:color w:val="auto"/>
                <w:szCs w:val="24"/>
                <w:highlight w:val="none"/>
              </w:rPr>
              <w:t>5、修改暂列金或暂估价或不竞争价的；</w:t>
            </w:r>
          </w:p>
          <w:p w14:paraId="121DC8B0">
            <w:pPr>
              <w:tabs>
                <w:tab w:val="right" w:leader="dot" w:pos="8295"/>
              </w:tabs>
              <w:ind w:firstLine="480"/>
              <w:jc w:val="left"/>
              <w:rPr>
                <w:rFonts w:ascii="宋体"/>
                <w:color w:val="auto"/>
                <w:szCs w:val="24"/>
                <w:highlight w:val="none"/>
              </w:rPr>
            </w:pPr>
            <w:r>
              <w:rPr>
                <w:rFonts w:hint="eastAsia" w:ascii="宋体"/>
                <w:color w:val="auto"/>
                <w:szCs w:val="24"/>
                <w:highlight w:val="none"/>
              </w:rPr>
              <w:t>（四）投标人存在投标人须知第 1.4.3项或投标人须知前附表第 10.5 款第二点规定情形的。</w:t>
            </w:r>
          </w:p>
          <w:p w14:paraId="05BC44D7">
            <w:pPr>
              <w:tabs>
                <w:tab w:val="right" w:leader="dot" w:pos="8295"/>
              </w:tabs>
              <w:ind w:firstLine="480"/>
              <w:jc w:val="left"/>
              <w:rPr>
                <w:rFonts w:ascii="宋体"/>
                <w:color w:val="auto"/>
                <w:szCs w:val="24"/>
                <w:highlight w:val="none"/>
              </w:rPr>
            </w:pPr>
            <w:r>
              <w:rPr>
                <w:rFonts w:hint="eastAsia" w:ascii="宋体"/>
                <w:color w:val="auto"/>
                <w:szCs w:val="24"/>
                <w:highlight w:val="none"/>
              </w:rPr>
              <w:t>（五）法律、法规、规章规定其他应否决投标的情形。</w:t>
            </w:r>
          </w:p>
          <w:p w14:paraId="6FCD4E88">
            <w:pPr>
              <w:tabs>
                <w:tab w:val="right" w:leader="dot" w:pos="8295"/>
              </w:tabs>
              <w:ind w:firstLine="480"/>
              <w:jc w:val="left"/>
              <w:rPr>
                <w:rFonts w:ascii="宋体"/>
                <w:color w:val="auto"/>
                <w:szCs w:val="24"/>
                <w:highlight w:val="none"/>
              </w:rPr>
            </w:pPr>
            <w:r>
              <w:rPr>
                <w:rFonts w:hint="eastAsia" w:ascii="宋体"/>
                <w:color w:val="auto"/>
                <w:szCs w:val="24"/>
                <w:highlight w:val="none"/>
              </w:rPr>
              <w:t>除本条规定以外，招标文件中其他条款均不得作为否决投标文件的依据。</w:t>
            </w:r>
          </w:p>
        </w:tc>
      </w:tr>
      <w:tr w14:paraId="35945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85745AC">
            <w:pPr>
              <w:tabs>
                <w:tab w:val="right" w:leader="dot" w:pos="8295"/>
              </w:tabs>
              <w:jc w:val="center"/>
              <w:rPr>
                <w:rFonts w:ascii="宋体"/>
                <w:color w:val="auto"/>
                <w:szCs w:val="24"/>
                <w:highlight w:val="none"/>
              </w:rPr>
            </w:pPr>
            <w:r>
              <w:rPr>
                <w:rFonts w:hint="eastAsia" w:ascii="宋体"/>
                <w:color w:val="auto"/>
                <w:szCs w:val="24"/>
                <w:highlight w:val="none"/>
              </w:rPr>
              <w:t>10.2</w:t>
            </w:r>
          </w:p>
        </w:tc>
        <w:tc>
          <w:tcPr>
            <w:tcW w:w="1701" w:type="dxa"/>
            <w:vAlign w:val="center"/>
          </w:tcPr>
          <w:p w14:paraId="5E15EF57">
            <w:pPr>
              <w:tabs>
                <w:tab w:val="right" w:leader="dot" w:pos="8295"/>
              </w:tabs>
              <w:jc w:val="center"/>
              <w:rPr>
                <w:rFonts w:ascii="宋体"/>
                <w:color w:val="auto"/>
                <w:szCs w:val="24"/>
                <w:highlight w:val="none"/>
              </w:rPr>
            </w:pPr>
            <w:r>
              <w:rPr>
                <w:rFonts w:hint="eastAsia" w:ascii="宋体"/>
                <w:color w:val="auto"/>
                <w:szCs w:val="24"/>
                <w:highlight w:val="none"/>
              </w:rPr>
              <w:t>异议与投诉</w:t>
            </w:r>
          </w:p>
        </w:tc>
        <w:tc>
          <w:tcPr>
            <w:tcW w:w="7430" w:type="dxa"/>
            <w:vAlign w:val="center"/>
          </w:tcPr>
          <w:p w14:paraId="75464A55">
            <w:pPr>
              <w:tabs>
                <w:tab w:val="right" w:leader="dot" w:pos="8295"/>
              </w:tabs>
              <w:ind w:firstLine="480"/>
              <w:jc w:val="left"/>
              <w:rPr>
                <w:rFonts w:ascii="宋体"/>
                <w:color w:val="auto"/>
                <w:szCs w:val="24"/>
                <w:highlight w:val="none"/>
              </w:rPr>
            </w:pPr>
            <w:r>
              <w:rPr>
                <w:rFonts w:hint="eastAsia" w:ascii="宋体"/>
                <w:color w:val="auto"/>
                <w:szCs w:val="24"/>
                <w:highlight w:val="none"/>
              </w:rPr>
              <w:t>一、异议</w:t>
            </w:r>
          </w:p>
          <w:p w14:paraId="5458AEF8">
            <w:pPr>
              <w:tabs>
                <w:tab w:val="right" w:leader="dot" w:pos="8295"/>
              </w:tabs>
              <w:ind w:firstLine="480"/>
              <w:jc w:val="left"/>
              <w:rPr>
                <w:rFonts w:ascii="宋体"/>
                <w:color w:val="auto"/>
                <w:szCs w:val="24"/>
                <w:highlight w:val="none"/>
              </w:rPr>
            </w:pPr>
            <w:r>
              <w:rPr>
                <w:rFonts w:hint="eastAsia" w:ascii="宋体"/>
                <w:color w:val="auto"/>
                <w:szCs w:val="24"/>
                <w:highlight w:val="none"/>
              </w:rPr>
              <w:t>（一）潜在投标人或者其他利害关系人对招标文件有异议的，应当在投标截止时间10日前以书面形式向招标人或招标代理公司提出。招标人将在收到异议之日起3日内作出书面答复；作出答复前，暂停招标投标活动。</w:t>
            </w:r>
          </w:p>
          <w:p w14:paraId="2EA08343">
            <w:pPr>
              <w:tabs>
                <w:tab w:val="right" w:leader="dot" w:pos="8295"/>
              </w:tabs>
              <w:ind w:firstLine="480"/>
              <w:jc w:val="left"/>
              <w:rPr>
                <w:rFonts w:ascii="宋体"/>
                <w:color w:val="auto"/>
                <w:szCs w:val="24"/>
                <w:highlight w:val="none"/>
              </w:rPr>
            </w:pPr>
            <w:r>
              <w:rPr>
                <w:rFonts w:hint="eastAsia" w:ascii="宋体"/>
                <w:color w:val="auto"/>
                <w:szCs w:val="24"/>
                <w:highlight w:val="none"/>
              </w:rPr>
              <w:t>（二）投标人认为开标不符合有关规定的，应当在开标现场提出异议。招标人将当场对异议给予处理或者告知处理的办法。异议和答复应记入开标记录或者制作专门记录以存档备查。</w:t>
            </w:r>
          </w:p>
          <w:p w14:paraId="23E6CE60">
            <w:pPr>
              <w:tabs>
                <w:tab w:val="right" w:leader="dot" w:pos="8295"/>
              </w:tabs>
              <w:ind w:firstLine="480"/>
              <w:jc w:val="left"/>
              <w:rPr>
                <w:rFonts w:ascii="宋体"/>
                <w:color w:val="auto"/>
                <w:szCs w:val="24"/>
                <w:highlight w:val="none"/>
              </w:rPr>
            </w:pPr>
            <w:r>
              <w:rPr>
                <w:rFonts w:hint="eastAsia" w:ascii="宋体"/>
                <w:color w:val="auto"/>
                <w:szCs w:val="24"/>
                <w:highlight w:val="none"/>
              </w:rPr>
              <w:t>（三）投标人及其他利害关系人对评标结果有异议的，应当在中标候选人公示期内以书面形式向招标人或招标代理公司提出。招标人将在收到异议之日起3日内作出书面答复；作出答复前，暂停招标投标活动。</w:t>
            </w:r>
          </w:p>
          <w:p w14:paraId="7B01C53D">
            <w:pPr>
              <w:tabs>
                <w:tab w:val="right" w:leader="dot" w:pos="8295"/>
              </w:tabs>
              <w:ind w:firstLine="480"/>
              <w:jc w:val="left"/>
              <w:rPr>
                <w:rFonts w:ascii="宋体"/>
                <w:color w:val="auto"/>
                <w:szCs w:val="24"/>
                <w:highlight w:val="none"/>
              </w:rPr>
            </w:pPr>
            <w:r>
              <w:rPr>
                <w:rFonts w:hint="eastAsia" w:ascii="宋体"/>
                <w:color w:val="auto"/>
                <w:szCs w:val="24"/>
                <w:highlight w:val="none"/>
              </w:rPr>
              <w:t>（四）对招标文件、评标结果的异议，提出和答复的形式可通过衢州市公共资源电子交易系统或书面形式。</w:t>
            </w:r>
          </w:p>
          <w:p w14:paraId="18181B45">
            <w:pPr>
              <w:tabs>
                <w:tab w:val="right" w:leader="dot" w:pos="8295"/>
              </w:tabs>
              <w:ind w:firstLine="480"/>
              <w:jc w:val="left"/>
              <w:rPr>
                <w:rFonts w:ascii="宋体"/>
                <w:color w:val="auto"/>
                <w:szCs w:val="24"/>
                <w:highlight w:val="none"/>
              </w:rPr>
            </w:pPr>
            <w:r>
              <w:rPr>
                <w:rFonts w:hint="eastAsia" w:ascii="宋体"/>
                <w:color w:val="auto"/>
                <w:szCs w:val="24"/>
                <w:highlight w:val="none"/>
              </w:rPr>
              <w:t>二、投诉</w:t>
            </w:r>
          </w:p>
          <w:p w14:paraId="1C81B359">
            <w:pPr>
              <w:tabs>
                <w:tab w:val="right" w:leader="dot" w:pos="8295"/>
              </w:tabs>
              <w:ind w:firstLine="509"/>
              <w:jc w:val="left"/>
              <w:rPr>
                <w:rFonts w:ascii="宋体"/>
                <w:color w:val="auto"/>
                <w:szCs w:val="24"/>
                <w:highlight w:val="none"/>
              </w:rPr>
            </w:pPr>
            <w:r>
              <w:rPr>
                <w:rFonts w:hint="eastAsia" w:ascii="宋体"/>
                <w:color w:val="auto"/>
                <w:szCs w:val="24"/>
                <w:highlight w:val="none"/>
              </w:rPr>
              <w:t>投标人或者其他利害关系人认为招标投标活动不符合法律、行政法规和招标文件规定的，可以自知道或者应当知道之日起10日内向有关行政监督部门投诉。投诉应当有明确的请求和必要的证明资料，具体要求按国家发改委等11号令《工程建设项目招标投标活动投诉处理办法》规定。就招标文件、开标和评标结果投诉的，应当先向招标人提出异议，异议答复期不计算在前款规定的期限内。</w:t>
            </w:r>
          </w:p>
          <w:p w14:paraId="697E2045">
            <w:pPr>
              <w:pStyle w:val="25"/>
              <w:tabs>
                <w:tab w:val="right" w:leader="dot" w:pos="8295"/>
              </w:tabs>
              <w:ind w:right="241" w:firstLine="420" w:firstLineChars="200"/>
              <w:jc w:val="left"/>
              <w:rPr>
                <w:color w:val="auto"/>
                <w:highlight w:val="none"/>
              </w:rPr>
            </w:pPr>
            <w:r>
              <w:rPr>
                <w:rFonts w:hint="eastAsia"/>
                <w:color w:val="auto"/>
                <w:sz w:val="21"/>
                <w:highlight w:val="none"/>
              </w:rPr>
              <w:t>三、上述时限最后一日如遇国家法定节假日的，顺延至法定节假日后的第一个工作日。</w:t>
            </w:r>
          </w:p>
        </w:tc>
      </w:tr>
      <w:tr w14:paraId="60489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5AA7D678">
            <w:pPr>
              <w:tabs>
                <w:tab w:val="right" w:leader="dot" w:pos="8295"/>
              </w:tabs>
              <w:jc w:val="center"/>
              <w:rPr>
                <w:rFonts w:ascii="宋体"/>
                <w:color w:val="auto"/>
                <w:szCs w:val="24"/>
                <w:highlight w:val="none"/>
              </w:rPr>
            </w:pPr>
            <w:r>
              <w:rPr>
                <w:rFonts w:hint="eastAsia" w:ascii="宋体"/>
                <w:color w:val="auto"/>
                <w:szCs w:val="24"/>
                <w:highlight w:val="none"/>
              </w:rPr>
              <w:t>10.3</w:t>
            </w:r>
          </w:p>
        </w:tc>
        <w:tc>
          <w:tcPr>
            <w:tcW w:w="1701" w:type="dxa"/>
            <w:vAlign w:val="center"/>
          </w:tcPr>
          <w:p w14:paraId="7BAD4CA6">
            <w:pPr>
              <w:tabs>
                <w:tab w:val="right" w:leader="dot" w:pos="8295"/>
              </w:tabs>
              <w:jc w:val="center"/>
              <w:rPr>
                <w:rFonts w:ascii="宋体"/>
                <w:color w:val="auto"/>
                <w:szCs w:val="24"/>
                <w:highlight w:val="none"/>
              </w:rPr>
            </w:pPr>
            <w:r>
              <w:rPr>
                <w:rFonts w:hint="eastAsia" w:ascii="宋体"/>
                <w:color w:val="auto"/>
                <w:szCs w:val="24"/>
                <w:highlight w:val="none"/>
              </w:rPr>
              <w:t>在建合同工程的认定及变更证明（本项目不适用）</w:t>
            </w:r>
          </w:p>
        </w:tc>
        <w:tc>
          <w:tcPr>
            <w:tcW w:w="7430" w:type="dxa"/>
            <w:vAlign w:val="center"/>
          </w:tcPr>
          <w:p w14:paraId="20C1BF17">
            <w:pPr>
              <w:tabs>
                <w:tab w:val="right" w:leader="dot" w:pos="8295"/>
              </w:tabs>
              <w:ind w:firstLine="530"/>
              <w:jc w:val="left"/>
              <w:rPr>
                <w:rFonts w:ascii="宋体"/>
                <w:color w:val="auto"/>
                <w:szCs w:val="24"/>
                <w:highlight w:val="none"/>
              </w:rPr>
            </w:pPr>
            <w:r>
              <w:rPr>
                <w:rFonts w:hint="eastAsia" w:ascii="宋体"/>
                <w:color w:val="auto"/>
                <w:szCs w:val="24"/>
                <w:highlight w:val="none"/>
              </w:rPr>
              <w:t>一、对项目负责人“有在建合同工程”的认定标准</w:t>
            </w:r>
          </w:p>
          <w:p w14:paraId="63CB349C">
            <w:pPr>
              <w:tabs>
                <w:tab w:val="right" w:leader="dot" w:pos="8295"/>
              </w:tabs>
              <w:ind w:firstLine="480"/>
              <w:jc w:val="left"/>
              <w:rPr>
                <w:rFonts w:ascii="宋体"/>
                <w:color w:val="auto"/>
                <w:szCs w:val="24"/>
                <w:highlight w:val="none"/>
              </w:rPr>
            </w:pPr>
            <w:r>
              <w:rPr>
                <w:rFonts w:hint="eastAsia" w:ascii="宋体"/>
                <w:color w:val="auto"/>
                <w:szCs w:val="24"/>
                <w:highlight w:val="none"/>
              </w:rPr>
              <w:t>拟派项目负责人在投标截止时间尚有在其他在建合同工程中担任项目负责人的情形为“有在建合同工程”。</w:t>
            </w:r>
          </w:p>
          <w:p w14:paraId="3C8BD1AA">
            <w:pPr>
              <w:tabs>
                <w:tab w:val="right" w:leader="dot" w:pos="8295"/>
              </w:tabs>
              <w:ind w:firstLine="480"/>
              <w:jc w:val="left"/>
              <w:rPr>
                <w:rFonts w:ascii="宋体"/>
                <w:color w:val="auto"/>
                <w:szCs w:val="24"/>
                <w:highlight w:val="none"/>
              </w:rPr>
            </w:pPr>
            <w:r>
              <w:rPr>
                <w:rFonts w:hint="eastAsia" w:ascii="宋体"/>
                <w:color w:val="auto"/>
                <w:szCs w:val="24"/>
                <w:highlight w:val="none"/>
              </w:rPr>
              <w:t>其他工程项目，包括在中华人民共和国境内所有建设工程，不受地域、行业和投资性质的限制。</w:t>
            </w:r>
          </w:p>
          <w:p w14:paraId="39893B55">
            <w:pPr>
              <w:tabs>
                <w:tab w:val="right" w:leader="dot" w:pos="8295"/>
              </w:tabs>
              <w:ind w:firstLine="480"/>
              <w:jc w:val="left"/>
              <w:rPr>
                <w:rFonts w:ascii="宋体"/>
                <w:color w:val="auto"/>
                <w:szCs w:val="24"/>
                <w:highlight w:val="none"/>
              </w:rPr>
            </w:pPr>
            <w:r>
              <w:rPr>
                <w:rFonts w:hint="eastAsia" w:ascii="宋体"/>
                <w:color w:val="auto"/>
                <w:szCs w:val="24"/>
                <w:highlight w:val="none"/>
              </w:rPr>
              <w:t>在建合同工程的时间界定：中标通知书发出之日（非招标方式承接工程的，为合同签订之日）起，至该合同工程通过竣（交）工验收或合同解除之日止。</w:t>
            </w:r>
          </w:p>
          <w:p w14:paraId="32B36C8C">
            <w:pPr>
              <w:tabs>
                <w:tab w:val="right" w:leader="dot" w:pos="8295"/>
              </w:tabs>
              <w:ind w:firstLine="480"/>
              <w:jc w:val="left"/>
              <w:rPr>
                <w:rFonts w:ascii="宋体"/>
                <w:color w:val="auto"/>
                <w:szCs w:val="24"/>
                <w:highlight w:val="none"/>
              </w:rPr>
            </w:pPr>
            <w:r>
              <w:rPr>
                <w:rFonts w:hint="eastAsia" w:ascii="宋体"/>
                <w:color w:val="auto"/>
                <w:szCs w:val="24"/>
                <w:highlight w:val="none"/>
              </w:rPr>
              <w:t>以下情形视为“有在建合同工程”：</w:t>
            </w:r>
          </w:p>
          <w:p w14:paraId="2B8894AD">
            <w:pPr>
              <w:tabs>
                <w:tab w:val="right" w:leader="dot" w:pos="8295"/>
              </w:tabs>
              <w:ind w:firstLine="480"/>
              <w:jc w:val="left"/>
              <w:rPr>
                <w:rFonts w:ascii="宋体"/>
                <w:color w:val="auto"/>
                <w:szCs w:val="24"/>
                <w:highlight w:val="none"/>
              </w:rPr>
            </w:pPr>
            <w:r>
              <w:rPr>
                <w:rFonts w:hint="eastAsia" w:ascii="宋体"/>
                <w:color w:val="auto"/>
                <w:szCs w:val="24"/>
                <w:highlight w:val="none"/>
              </w:rPr>
              <w:t>1、合同协议书尚未签订的，中标通知书中载明的项目负责人；</w:t>
            </w:r>
          </w:p>
          <w:p w14:paraId="138004C1">
            <w:pPr>
              <w:tabs>
                <w:tab w:val="right" w:leader="dot" w:pos="8295"/>
              </w:tabs>
              <w:ind w:firstLine="480"/>
              <w:jc w:val="left"/>
              <w:rPr>
                <w:rFonts w:ascii="宋体"/>
                <w:color w:val="auto"/>
                <w:szCs w:val="24"/>
                <w:highlight w:val="none"/>
              </w:rPr>
            </w:pPr>
            <w:r>
              <w:rPr>
                <w:rFonts w:hint="eastAsia" w:ascii="宋体"/>
                <w:color w:val="auto"/>
                <w:szCs w:val="24"/>
                <w:highlight w:val="none"/>
              </w:rPr>
              <w:t>2、合同协议书已经签订，合同协议书中明确的项目负责人；</w:t>
            </w:r>
          </w:p>
          <w:p w14:paraId="38720CF6">
            <w:pPr>
              <w:tabs>
                <w:tab w:val="right" w:leader="dot" w:pos="8295"/>
              </w:tabs>
              <w:ind w:firstLine="480"/>
              <w:jc w:val="left"/>
              <w:rPr>
                <w:rFonts w:ascii="宋体"/>
                <w:color w:val="auto"/>
                <w:szCs w:val="24"/>
                <w:highlight w:val="none"/>
              </w:rPr>
            </w:pPr>
            <w:r>
              <w:rPr>
                <w:rFonts w:hint="eastAsia" w:ascii="宋体"/>
                <w:color w:val="auto"/>
                <w:szCs w:val="24"/>
                <w:highlight w:val="none"/>
              </w:rPr>
              <w:t>3、项目负责人发生更换的，投标人在投标文件中附有本条第二款证明材料的，以现任项目负责人视为有“在建合同工程”；未附证明材料的，则仍然以更换前的项目负责人视为有“在建合同工程”。</w:t>
            </w:r>
          </w:p>
          <w:p w14:paraId="64B78CEB">
            <w:pPr>
              <w:tabs>
                <w:tab w:val="right" w:leader="dot" w:pos="8295"/>
              </w:tabs>
              <w:ind w:firstLine="480"/>
              <w:jc w:val="left"/>
              <w:rPr>
                <w:rFonts w:ascii="宋体"/>
                <w:color w:val="auto"/>
                <w:szCs w:val="24"/>
                <w:highlight w:val="none"/>
              </w:rPr>
            </w:pPr>
            <w:r>
              <w:rPr>
                <w:rFonts w:hint="eastAsia" w:ascii="宋体"/>
                <w:color w:val="auto"/>
                <w:szCs w:val="24"/>
                <w:highlight w:val="none"/>
              </w:rPr>
              <w:t>二、在建项目的项目负责人办理更换后，投标时需提供的资料：</w:t>
            </w:r>
          </w:p>
          <w:p w14:paraId="448E8225">
            <w:pPr>
              <w:tabs>
                <w:tab w:val="right" w:leader="dot" w:pos="8295"/>
              </w:tabs>
              <w:ind w:firstLine="480"/>
              <w:jc w:val="left"/>
              <w:rPr>
                <w:rFonts w:ascii="宋体"/>
                <w:color w:val="auto"/>
                <w:szCs w:val="24"/>
                <w:highlight w:val="none"/>
              </w:rPr>
            </w:pPr>
            <w:r>
              <w:rPr>
                <w:rFonts w:hint="eastAsia" w:ascii="宋体"/>
                <w:color w:val="auto"/>
                <w:szCs w:val="24"/>
                <w:highlight w:val="none"/>
              </w:rPr>
              <w:t>1、项目业主同意更换的证明；</w:t>
            </w:r>
          </w:p>
          <w:p w14:paraId="0EBE7DB6">
            <w:pPr>
              <w:tabs>
                <w:tab w:val="right" w:leader="dot" w:pos="8295"/>
              </w:tabs>
              <w:ind w:firstLine="480"/>
              <w:jc w:val="left"/>
              <w:rPr>
                <w:rFonts w:ascii="宋体"/>
                <w:color w:val="auto"/>
                <w:szCs w:val="24"/>
                <w:highlight w:val="none"/>
              </w:rPr>
            </w:pPr>
            <w:r>
              <w:rPr>
                <w:rFonts w:hint="eastAsia" w:ascii="宋体"/>
                <w:color w:val="auto"/>
                <w:szCs w:val="24"/>
                <w:highlight w:val="none"/>
              </w:rPr>
              <w:t>2、提供行业主管部门同意更换的证明或网上变更信息扫描件。</w:t>
            </w:r>
          </w:p>
        </w:tc>
      </w:tr>
      <w:tr w14:paraId="3DE9B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35C2797A">
            <w:pPr>
              <w:tabs>
                <w:tab w:val="right" w:leader="dot" w:pos="8295"/>
              </w:tabs>
              <w:jc w:val="center"/>
              <w:rPr>
                <w:rFonts w:ascii="宋体"/>
                <w:color w:val="auto"/>
                <w:szCs w:val="24"/>
                <w:highlight w:val="none"/>
              </w:rPr>
            </w:pPr>
            <w:r>
              <w:rPr>
                <w:rFonts w:hint="eastAsia" w:ascii="宋体"/>
                <w:color w:val="auto"/>
                <w:szCs w:val="24"/>
                <w:highlight w:val="none"/>
              </w:rPr>
              <w:t>10.4</w:t>
            </w:r>
          </w:p>
        </w:tc>
        <w:tc>
          <w:tcPr>
            <w:tcW w:w="1701" w:type="dxa"/>
            <w:vAlign w:val="center"/>
          </w:tcPr>
          <w:p w14:paraId="7E775537">
            <w:pPr>
              <w:tabs>
                <w:tab w:val="right" w:leader="dot" w:pos="8295"/>
              </w:tabs>
              <w:jc w:val="center"/>
              <w:rPr>
                <w:rFonts w:ascii="宋体"/>
                <w:color w:val="auto"/>
                <w:szCs w:val="24"/>
                <w:highlight w:val="none"/>
              </w:rPr>
            </w:pPr>
            <w:r>
              <w:rPr>
                <w:rFonts w:hint="eastAsia" w:ascii="宋体"/>
                <w:color w:val="auto"/>
                <w:szCs w:val="24"/>
                <w:highlight w:val="none"/>
              </w:rPr>
              <w:t>特别说明</w:t>
            </w:r>
          </w:p>
        </w:tc>
        <w:tc>
          <w:tcPr>
            <w:tcW w:w="7430" w:type="dxa"/>
            <w:vAlign w:val="center"/>
          </w:tcPr>
          <w:p w14:paraId="6703DF62">
            <w:pPr>
              <w:tabs>
                <w:tab w:val="right" w:leader="dot" w:pos="8295"/>
              </w:tabs>
              <w:ind w:firstLine="480"/>
              <w:jc w:val="left"/>
              <w:rPr>
                <w:rFonts w:ascii="宋体"/>
                <w:color w:val="auto"/>
                <w:szCs w:val="24"/>
                <w:highlight w:val="none"/>
              </w:rPr>
            </w:pPr>
            <w:r>
              <w:rPr>
                <w:rFonts w:hint="eastAsia" w:ascii="宋体"/>
                <w:color w:val="auto"/>
                <w:szCs w:val="24"/>
                <w:highlight w:val="none"/>
              </w:rPr>
              <w:t>一、投标人须知具体内容如与本前附表不一致的，以本前附表为准。</w:t>
            </w:r>
          </w:p>
          <w:p w14:paraId="308DCAE1">
            <w:pPr>
              <w:tabs>
                <w:tab w:val="right" w:leader="dot" w:pos="8295"/>
              </w:tabs>
              <w:ind w:firstLine="495"/>
              <w:jc w:val="left"/>
              <w:rPr>
                <w:rFonts w:ascii="宋体"/>
                <w:color w:val="auto"/>
                <w:szCs w:val="24"/>
                <w:highlight w:val="none"/>
              </w:rPr>
            </w:pPr>
            <w:r>
              <w:rPr>
                <w:rFonts w:hint="eastAsia" w:ascii="宋体"/>
                <w:color w:val="auto"/>
                <w:szCs w:val="24"/>
                <w:highlight w:val="none"/>
              </w:rPr>
              <w:t>二、根据《中华人民共和国招标投标法实施条例》的规定，评标中，发现在建设工程招标投标活动中有下列情形之一的，且经询标澄清投标人无令人信服的理由和可靠证据证明其合理性的，经评标委员会半数以上成员确认，其投标文件按否决投标处理，不再对其进行评审，也不影响招标工程继续评标。评标结束后，评标专家应将有串通投标嫌疑的投标文件以及相关评标分析材料及时移交招标投标管理机构作进一步的调查处理，即使最终无法认定串通投标行为成立，也不影响对其按否决投标处理的结果。</w:t>
            </w:r>
          </w:p>
          <w:p w14:paraId="033D843B">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1、不同投标人的投标文件由同一单位或者个人编制；</w:t>
            </w:r>
          </w:p>
          <w:p w14:paraId="435D4BF8">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2、不同投标人委托同一单位或者个人办理投标事宜；</w:t>
            </w:r>
          </w:p>
          <w:p w14:paraId="02380B30">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3、不同投标人的投标文件载明的项目管理成员为同一人；</w:t>
            </w:r>
          </w:p>
          <w:p w14:paraId="108CB6F5">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4、不同投标人的投标文件异常一致；</w:t>
            </w:r>
          </w:p>
          <w:p w14:paraId="524261D3">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5、不同投标人的投标文件相互混装；</w:t>
            </w:r>
          </w:p>
          <w:p w14:paraId="60646B75">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6、不同投标人的投标保证金从同一单位或者个人的账户转出；</w:t>
            </w:r>
          </w:p>
          <w:p w14:paraId="7261DE4C">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7、不同投标人的投标报价呈规律性差异；</w:t>
            </w:r>
          </w:p>
          <w:p w14:paraId="3D1C81B6">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8、投标人之间协商投标报价等投标文件的实质性内容；</w:t>
            </w:r>
          </w:p>
          <w:p w14:paraId="0458C72C">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9、投标人之间约定中标人；</w:t>
            </w:r>
          </w:p>
          <w:p w14:paraId="37BE56D5">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10、投标人之间约定部分投标人放弃投标或者中标；</w:t>
            </w:r>
          </w:p>
          <w:p w14:paraId="114FD0A6">
            <w:pPr>
              <w:tabs>
                <w:tab w:val="right" w:leader="dot" w:pos="8295"/>
              </w:tabs>
              <w:topLinePunct/>
              <w:ind w:left="105" w:leftChars="50" w:right="105" w:rightChars="50" w:firstLine="420" w:firstLineChars="200"/>
              <w:jc w:val="left"/>
              <w:rPr>
                <w:rFonts w:ascii="宋体"/>
                <w:color w:val="auto"/>
                <w:szCs w:val="24"/>
                <w:highlight w:val="none"/>
              </w:rPr>
            </w:pPr>
            <w:r>
              <w:rPr>
                <w:rFonts w:hint="eastAsia" w:ascii="宋体"/>
                <w:color w:val="auto"/>
                <w:szCs w:val="24"/>
                <w:highlight w:val="none"/>
              </w:rPr>
              <w:t>11、属于同一集团、协会、商会等组织成员的投标人按照该组织要求协同投标；</w:t>
            </w:r>
          </w:p>
          <w:p w14:paraId="04931FA6">
            <w:pPr>
              <w:tabs>
                <w:tab w:val="right" w:leader="dot" w:pos="8295"/>
              </w:tabs>
              <w:ind w:firstLine="495"/>
              <w:jc w:val="left"/>
              <w:rPr>
                <w:rFonts w:ascii="宋体"/>
                <w:color w:val="auto"/>
                <w:szCs w:val="24"/>
                <w:highlight w:val="none"/>
              </w:rPr>
            </w:pPr>
            <w:r>
              <w:rPr>
                <w:rFonts w:hint="eastAsia" w:ascii="宋体"/>
                <w:color w:val="auto"/>
                <w:szCs w:val="24"/>
                <w:highlight w:val="none"/>
              </w:rPr>
              <w:t>12、投标人之间为谋取中标或者排斥特定投标人而采取的其他联合行动。</w:t>
            </w:r>
          </w:p>
        </w:tc>
      </w:tr>
      <w:tr w14:paraId="703B33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DA700CC">
            <w:pPr>
              <w:pStyle w:val="7"/>
              <w:jc w:val="center"/>
              <w:rPr>
                <w:rFonts w:ascii="宋体" w:hAnsi="宋体"/>
                <w:color w:val="auto"/>
                <w:sz w:val="24"/>
                <w:szCs w:val="24"/>
                <w:highlight w:val="none"/>
              </w:rPr>
            </w:pPr>
            <w:r>
              <w:rPr>
                <w:rFonts w:hint="eastAsia" w:ascii="宋体" w:eastAsia="宋体" w:cs="宋体"/>
                <w:color w:val="auto"/>
                <w:sz w:val="24"/>
                <w:szCs w:val="24"/>
                <w:highlight w:val="none"/>
              </w:rPr>
              <w:t>□10.5</w:t>
            </w:r>
          </w:p>
        </w:tc>
        <w:tc>
          <w:tcPr>
            <w:tcW w:w="1701" w:type="dxa"/>
            <w:vAlign w:val="center"/>
          </w:tcPr>
          <w:p w14:paraId="7C003323">
            <w:pPr>
              <w:pStyle w:val="7"/>
              <w:jc w:val="center"/>
              <w:rPr>
                <w:rFonts w:ascii="宋体" w:hAnsi="宋体"/>
                <w:color w:val="auto"/>
                <w:sz w:val="21"/>
                <w:szCs w:val="21"/>
                <w:highlight w:val="none"/>
              </w:rPr>
            </w:pPr>
            <w:r>
              <w:rPr>
                <w:rFonts w:hint="eastAsia" w:ascii="宋体" w:eastAsia="宋体" w:cs="宋体"/>
                <w:color w:val="auto"/>
                <w:sz w:val="21"/>
                <w:szCs w:val="21"/>
                <w:highlight w:val="none"/>
              </w:rPr>
              <w:t>陈述和答辩</w:t>
            </w:r>
          </w:p>
        </w:tc>
        <w:tc>
          <w:tcPr>
            <w:tcW w:w="7430" w:type="dxa"/>
            <w:vAlign w:val="center"/>
          </w:tcPr>
          <w:p w14:paraId="5F31036E">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1.陈述和答辩人：通过资格审查和技术评审的有效投标人的拟派项目负责人。</w:t>
            </w:r>
          </w:p>
          <w:p w14:paraId="4AB43B55">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2.答辩方式：□现场语音答复□书面答复□电子平台在线答复</w:t>
            </w:r>
          </w:p>
          <w:p w14:paraId="1B0B9C29">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3.陈述和答辩通知方式及相关规定：</w:t>
            </w:r>
          </w:p>
          <w:p w14:paraId="372A8115">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（1）入围后进行预通知（通过电话或短信等方式发送给开标委托人，提醒项目负责人做好陈述和答辩准备）；</w:t>
            </w:r>
          </w:p>
          <w:p w14:paraId="3B847057">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2）技术标评审评分过程中正式通知（通过电话或短信等方式发送给开标委托人，通知项目负责人进行陈述和答辩）。项目负责人未按通知要求的时间到达指定地点的，视为自动放弃陈述和答辩，该项按0分处理。</w:t>
            </w:r>
          </w:p>
          <w:p w14:paraId="43070B0C">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（3）陈述和答辩人应在陈述和答辩问题的范围内进行陈述和答辩。</w:t>
            </w:r>
          </w:p>
          <w:p w14:paraId="18A038C5">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4.陈述和答辩地点：</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w:t>
            </w:r>
          </w:p>
          <w:p w14:paraId="3A2E8E92">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5.陈述和答辩问题：可在招标文件中公布，或者由评标委员会根据招标文件及评审因素内容统一拟定，原则上由评标委员会负责人执笔。</w:t>
            </w:r>
          </w:p>
          <w:p w14:paraId="7DBB8665">
            <w:pPr>
              <w:pStyle w:val="35"/>
              <w:adjustRightInd/>
              <w:rPr>
                <w:rFonts w:ascii="宋体" w:eastAsia="宋体" w:cs="宋体"/>
                <w:color w:val="auto"/>
                <w:sz w:val="21"/>
                <w:szCs w:val="21"/>
                <w:highlight w:val="none"/>
              </w:rPr>
            </w:pPr>
            <w:r>
              <w:rPr>
                <w:rFonts w:hint="eastAsia" w:ascii="宋体" w:eastAsia="宋体" w:cs="宋体"/>
                <w:color w:val="auto"/>
                <w:sz w:val="21"/>
                <w:szCs w:val="21"/>
                <w:highlight w:val="none"/>
              </w:rPr>
              <w:t>6.参加答辩人员在进入答辩区域后须缴存通讯工具，进场不允许携带资料。</w:t>
            </w:r>
          </w:p>
          <w:p w14:paraId="725BBF09">
            <w:pPr>
              <w:pStyle w:val="35"/>
              <w:adjustRightInd/>
              <w:rPr>
                <w:rFonts w:ascii="宋体" w:hAnsi="宋体"/>
                <w:color w:val="auto"/>
                <w:sz w:val="21"/>
                <w:szCs w:val="21"/>
                <w:highlight w:val="none"/>
              </w:rPr>
            </w:pPr>
            <w:r>
              <w:rPr>
                <w:rFonts w:hint="eastAsia" w:ascii="宋体" w:eastAsia="宋体" w:cs="宋体"/>
                <w:color w:val="auto"/>
                <w:sz w:val="21"/>
                <w:szCs w:val="21"/>
                <w:highlight w:val="none"/>
              </w:rPr>
              <w:t>□7.电子平台在线答复：</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 xml:space="preserve"> 。</w:t>
            </w:r>
          </w:p>
        </w:tc>
      </w:tr>
      <w:tr w14:paraId="3091FE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4B91ABF8">
            <w:pPr>
              <w:tabs>
                <w:tab w:val="right" w:leader="dot" w:pos="8295"/>
              </w:tabs>
              <w:jc w:val="center"/>
              <w:rPr>
                <w:rFonts w:ascii="宋体"/>
                <w:color w:val="auto"/>
                <w:szCs w:val="24"/>
                <w:highlight w:val="none"/>
              </w:rPr>
            </w:pPr>
            <w:r>
              <w:rPr>
                <w:rFonts w:hint="eastAsia" w:ascii="宋体"/>
                <w:color w:val="auto"/>
                <w:szCs w:val="24"/>
                <w:highlight w:val="none"/>
              </w:rPr>
              <w:t>10.6</w:t>
            </w:r>
          </w:p>
        </w:tc>
        <w:tc>
          <w:tcPr>
            <w:tcW w:w="1701" w:type="dxa"/>
            <w:vAlign w:val="center"/>
          </w:tcPr>
          <w:p w14:paraId="0AC5E8D6">
            <w:pPr>
              <w:tabs>
                <w:tab w:val="right" w:leader="dot" w:pos="8295"/>
              </w:tabs>
              <w:jc w:val="center"/>
              <w:rPr>
                <w:rFonts w:ascii="宋体"/>
                <w:color w:val="auto"/>
                <w:szCs w:val="24"/>
                <w:highlight w:val="none"/>
              </w:rPr>
            </w:pPr>
            <w:r>
              <w:rPr>
                <w:rFonts w:hint="eastAsia" w:ascii="宋体"/>
                <w:color w:val="auto"/>
                <w:szCs w:val="24"/>
                <w:highlight w:val="none"/>
              </w:rPr>
              <w:t>不见面开标特别说明</w:t>
            </w:r>
          </w:p>
        </w:tc>
        <w:tc>
          <w:tcPr>
            <w:tcW w:w="7430" w:type="dxa"/>
            <w:vAlign w:val="center"/>
          </w:tcPr>
          <w:p w14:paraId="45B22A35">
            <w:pPr>
              <w:widowControl w:val="0"/>
              <w:ind w:firstLine="480"/>
              <w:jc w:val="left"/>
              <w:rPr>
                <w:rFonts w:ascii="宋体"/>
                <w:color w:val="auto"/>
                <w:szCs w:val="24"/>
                <w:highlight w:val="none"/>
              </w:rPr>
            </w:pPr>
            <w:r>
              <w:rPr>
                <w:rFonts w:hint="eastAsia" w:ascii="宋体"/>
                <w:color w:val="auto"/>
                <w:szCs w:val="24"/>
                <w:highlight w:val="none"/>
              </w:rPr>
              <w:t>因本工程采用不见面交易模式，故招标人特别说明如下：</w:t>
            </w:r>
          </w:p>
          <w:p w14:paraId="1AABB910">
            <w:pPr>
              <w:widowControl w:val="0"/>
              <w:ind w:firstLine="480"/>
              <w:jc w:val="left"/>
              <w:rPr>
                <w:rFonts w:ascii="宋体"/>
                <w:color w:val="auto"/>
                <w:szCs w:val="24"/>
                <w:highlight w:val="none"/>
              </w:rPr>
            </w:pPr>
            <w:r>
              <w:rPr>
                <w:rFonts w:hint="eastAsia" w:ascii="宋体"/>
                <w:color w:val="auto"/>
                <w:szCs w:val="24"/>
                <w:highlight w:val="none"/>
              </w:rPr>
              <w:t>1、不见面开标项目的时间以衢州市公共资源不见面开标系统显示的时间为准。</w:t>
            </w:r>
          </w:p>
          <w:p w14:paraId="102A83AB">
            <w:pPr>
              <w:ind w:firstLine="420" w:firstLineChars="200"/>
              <w:jc w:val="left"/>
              <w:rPr>
                <w:rFonts w:ascii="宋体"/>
                <w:color w:val="auto"/>
                <w:szCs w:val="24"/>
                <w:highlight w:val="none"/>
              </w:rPr>
            </w:pPr>
            <w:r>
              <w:rPr>
                <w:rFonts w:hint="eastAsia" w:ascii="宋体"/>
                <w:color w:val="auto"/>
                <w:szCs w:val="24"/>
                <w:highlight w:val="none"/>
              </w:rPr>
              <w:t>2、递交投标文件时，</w:t>
            </w:r>
            <w:r>
              <w:rPr>
                <w:rFonts w:hint="eastAsia" w:ascii="宋体"/>
                <w:b/>
                <w:color w:val="auto"/>
                <w:szCs w:val="24"/>
                <w:highlight w:val="none"/>
                <w:u w:val="single"/>
              </w:rPr>
              <w:t>请使用衢州市公共资源交易平台投标文件上传模块中的模拟解密功能，如能正常解密，说明本机满足远程自助解密要求</w:t>
            </w:r>
            <w:r>
              <w:rPr>
                <w:rFonts w:hint="eastAsia" w:ascii="宋体"/>
                <w:color w:val="auto"/>
                <w:szCs w:val="24"/>
                <w:highlight w:val="none"/>
              </w:rPr>
              <w:t>。</w:t>
            </w:r>
          </w:p>
          <w:p w14:paraId="0AAF07A1">
            <w:pPr>
              <w:widowControl w:val="0"/>
              <w:ind w:firstLine="480"/>
              <w:jc w:val="left"/>
              <w:rPr>
                <w:rFonts w:ascii="宋体"/>
                <w:color w:val="auto"/>
                <w:szCs w:val="24"/>
                <w:highlight w:val="none"/>
              </w:rPr>
            </w:pPr>
            <w:r>
              <w:rPr>
                <w:rFonts w:hint="eastAsia" w:ascii="宋体"/>
                <w:color w:val="auto"/>
                <w:szCs w:val="24"/>
                <w:highlight w:val="none"/>
              </w:rPr>
              <w:t>3、投标人通过衢州市公共资源交易平台系统递交的电子投标文件为评标依据。开标当日，投标人不必抵达开标现场，仅需登录衢州市公共资源不见面开标系统参加开标会议，并根据需要通过衢州市公共资源不见面开标系统与现场招标人进行互动交流、澄清、提异议等活动。</w:t>
            </w:r>
          </w:p>
          <w:p w14:paraId="5561B8B2">
            <w:pPr>
              <w:widowControl w:val="0"/>
              <w:ind w:firstLine="480"/>
              <w:jc w:val="left"/>
              <w:rPr>
                <w:rFonts w:ascii="宋体"/>
                <w:color w:val="auto"/>
                <w:szCs w:val="24"/>
                <w:highlight w:val="none"/>
              </w:rPr>
            </w:pPr>
            <w:r>
              <w:rPr>
                <w:rFonts w:hint="eastAsia" w:ascii="宋体"/>
                <w:color w:val="auto"/>
                <w:szCs w:val="24"/>
                <w:highlight w:val="none"/>
              </w:rPr>
              <w:t>4、投标文件递交截止时间前，各投标人的授权委托人或法人代表应提前登录衢州市公共资源不见面开标系统（http</w:t>
            </w:r>
            <w:r>
              <w:rPr>
                <w:rFonts w:hint="eastAsia" w:ascii="宋体"/>
                <w:color w:val="auto"/>
                <w:szCs w:val="24"/>
                <w:highlight w:val="none"/>
                <w:lang w:val="en" w:eastAsia="en"/>
              </w:rPr>
              <w:t>s</w:t>
            </w:r>
            <w:r>
              <w:rPr>
                <w:rFonts w:hint="eastAsia" w:ascii="宋体"/>
                <w:color w:val="auto"/>
                <w:szCs w:val="24"/>
                <w:highlight w:val="none"/>
              </w:rPr>
              <w:t>://jyzx.ggzy.qz.gov.cn/BidOpening/bidopeninghallaction/hall/login）。</w:t>
            </w:r>
          </w:p>
          <w:p w14:paraId="5DD7A178">
            <w:pPr>
              <w:widowControl w:val="0"/>
              <w:ind w:firstLine="480"/>
              <w:jc w:val="left"/>
              <w:rPr>
                <w:rFonts w:ascii="宋体"/>
                <w:color w:val="auto"/>
                <w:szCs w:val="24"/>
                <w:highlight w:val="none"/>
              </w:rPr>
            </w:pPr>
            <w:r>
              <w:rPr>
                <w:rFonts w:hint="eastAsia" w:ascii="宋体"/>
                <w:color w:val="auto"/>
                <w:szCs w:val="24"/>
                <w:highlight w:val="none"/>
              </w:rPr>
              <w:t>5、投标文件递交截止时间后，招标人将在系统内公布投标人名单并核验投标保证金递交情况，然后通过开标会议区发出投标文件解密的指令，投标人在各自地点自行实施远程解密，投标人解密限定在开标截止时间后</w:t>
            </w:r>
            <w:r>
              <w:rPr>
                <w:rFonts w:hint="eastAsia" w:ascii="宋体"/>
                <w:color w:val="auto"/>
                <w:szCs w:val="24"/>
                <w:highlight w:val="none"/>
                <w:u w:val="single"/>
              </w:rPr>
              <w:t>30分钟</w:t>
            </w:r>
            <w:r>
              <w:rPr>
                <w:rFonts w:hint="eastAsia" w:ascii="宋体"/>
                <w:color w:val="auto"/>
                <w:szCs w:val="24"/>
                <w:highlight w:val="none"/>
              </w:rPr>
              <w:t>内完成。 因投标人网络与电源不稳定、未按操作手册要求配置软硬件、解密锁发生故障或用错、故意不在要求时限内完成解密等自身原因，导致投标文件在规定时间内未能解密、解密失败或解密超时，视为投标人撤销其投标文件；因招标人原因或衢州市公共资源不见面开标系统发生故障，导致无法按时完成投标文件解密或开、评标工作无法进行的，经行政监督部门同意，可根据实际情况相应延迟解密时间或调整开、评标时间。</w:t>
            </w:r>
          </w:p>
          <w:p w14:paraId="35C01C00">
            <w:pPr>
              <w:widowControl w:val="0"/>
              <w:ind w:firstLine="480"/>
              <w:jc w:val="left"/>
              <w:rPr>
                <w:rFonts w:ascii="宋体"/>
                <w:color w:val="auto"/>
                <w:szCs w:val="24"/>
                <w:highlight w:val="none"/>
              </w:rPr>
            </w:pPr>
            <w:r>
              <w:rPr>
                <w:rFonts w:hint="eastAsia" w:ascii="宋体"/>
                <w:color w:val="auto"/>
                <w:szCs w:val="24"/>
                <w:highlight w:val="none"/>
              </w:rPr>
              <w:t>6、开评标全过程中，各投标人参与远程交互的授权委托人或法人代表应始终为同一个人，中途不得更换，在询标、澄清、提疑、传送文件等特殊情况下需要交互时，投标人一端参与交互的人员均被视为是投标人的授权委托人或法人代表，投标人不得以不承认交互人员的资格或身份等为借口抵赖推脱，投标人自行承担随意更换人员所导致的一切后果。</w:t>
            </w:r>
          </w:p>
          <w:p w14:paraId="51DCB40A">
            <w:pPr>
              <w:widowControl w:val="0"/>
              <w:ind w:firstLine="480"/>
              <w:jc w:val="left"/>
              <w:rPr>
                <w:rFonts w:ascii="宋体"/>
                <w:color w:val="auto"/>
                <w:szCs w:val="24"/>
                <w:highlight w:val="none"/>
              </w:rPr>
            </w:pPr>
            <w:r>
              <w:rPr>
                <w:rFonts w:hint="eastAsia" w:ascii="宋体"/>
                <w:color w:val="auto"/>
                <w:szCs w:val="24"/>
                <w:highlight w:val="none"/>
              </w:rPr>
              <w:t>7、为顺利实现本项目开评标的远程交互，建议投标人配备的硬件设施有：电脑、高速稳定的网络、电源（不间断）、CA 锁、音视频设备（话筒、耳麦、高清摄像头、音响）等；建议投标人具备的软件设施有：操作系统：windows7、windows8、windows8.1、windows10完整版、浏览器：IE9~IE11、文字处理软件：office2007以上完整版。软硬件具体配置要求见操作手册。</w:t>
            </w:r>
          </w:p>
          <w:p w14:paraId="12E825C7">
            <w:pPr>
              <w:widowControl w:val="0"/>
              <w:ind w:firstLine="480"/>
              <w:jc w:val="left"/>
              <w:rPr>
                <w:rFonts w:ascii="宋体"/>
                <w:color w:val="auto"/>
                <w:szCs w:val="24"/>
                <w:highlight w:val="none"/>
              </w:rPr>
            </w:pPr>
            <w:r>
              <w:rPr>
                <w:rFonts w:hint="eastAsia" w:ascii="宋体"/>
                <w:color w:val="auto"/>
                <w:szCs w:val="24"/>
                <w:highlight w:val="none"/>
              </w:rPr>
              <w:t>为保证交互效果，建议投标人选择封闭安静的地点参与远程交互。因投标人自身软硬件配备不齐全或发生故障等问题而导致在交互过程中出现不稳定或中断等情况的，由投标人自行承担后果。</w:t>
            </w:r>
          </w:p>
          <w:p w14:paraId="5709F0E4">
            <w:pPr>
              <w:widowControl w:val="0"/>
              <w:ind w:firstLine="480"/>
              <w:jc w:val="left"/>
              <w:rPr>
                <w:rFonts w:ascii="宋体"/>
                <w:color w:val="auto"/>
                <w:szCs w:val="24"/>
                <w:highlight w:val="none"/>
              </w:rPr>
            </w:pPr>
            <w:r>
              <w:rPr>
                <w:rFonts w:hint="eastAsia" w:ascii="宋体"/>
                <w:color w:val="auto"/>
                <w:szCs w:val="24"/>
                <w:highlight w:val="none"/>
              </w:rPr>
              <w:t>8、特别提醒：本项目招投标全流程均使用衢州市公共资源不见面开标系统操作和发布，操作和发布平台为衢州市公共资源交易平台，网址为 https://ggzy.qz.gov.cn/ ，投标文件制作工具软件请在衢州市公共资源交易平台首页“投标文件制作工具”中下载，投标人使用操作遇到问题时，请及时向软件公司咨询，咨询联系方式为： 0570-3899008。</w:t>
            </w:r>
          </w:p>
          <w:p w14:paraId="6BFD1D89">
            <w:pPr>
              <w:widowControl w:val="0"/>
              <w:ind w:firstLine="480"/>
              <w:jc w:val="left"/>
              <w:rPr>
                <w:rFonts w:ascii="宋体"/>
                <w:color w:val="auto"/>
                <w:szCs w:val="24"/>
                <w:highlight w:val="none"/>
              </w:rPr>
            </w:pPr>
            <w:r>
              <w:rPr>
                <w:rFonts w:hint="eastAsia" w:ascii="宋体"/>
                <w:color w:val="auto"/>
                <w:szCs w:val="24"/>
                <w:highlight w:val="none"/>
              </w:rPr>
              <w:t>9、 出现下列情形导致系统无法正常运行，或者无法保证交易过程的公平、公正和信息安全时，各方招投标活动当事人免责：（一）所涉开标项目电子交易服务系统，因服务器、网络等问题无法正常运行的；（二）系统安全漏洞，计算机病毒，黑客攻击等安全威胁，存在数据泄密、损坏，系统无法运行等严重风险的；（三）电力系统发生故障导致交易系统无法运行的；（四）其他非投标人原因导致开标活动无法正常进行的。</w:t>
            </w:r>
          </w:p>
          <w:p w14:paraId="2F58BE04">
            <w:pPr>
              <w:widowControl w:val="0"/>
              <w:ind w:firstLine="480"/>
              <w:jc w:val="left"/>
              <w:rPr>
                <w:rFonts w:ascii="宋体"/>
                <w:color w:val="auto"/>
                <w:szCs w:val="24"/>
                <w:highlight w:val="none"/>
              </w:rPr>
            </w:pPr>
            <w:r>
              <w:rPr>
                <w:rFonts w:hint="eastAsia" w:ascii="宋体"/>
                <w:color w:val="auto"/>
                <w:szCs w:val="24"/>
                <w:highlight w:val="none"/>
              </w:rPr>
              <w:t>10、出现第9条所列情形，不能及时解决的，应由招标人、监管部门和交易中心及时进行协商。可以采取以下办法处理：（一）项目暂停，系统或网络故障在三个小时内排除并通过可靠测试的，恢复系统运行，继续完成项目开标活动；（二）系统或网络故障在三个小时内未能排除的，已在线解密的，通知投标人代表按照约定时间到开标现场，继续进行开标；未解密的，另行通知不见面开标时间。</w:t>
            </w:r>
          </w:p>
          <w:p w14:paraId="38F1FB05">
            <w:pPr>
              <w:widowControl w:val="0"/>
              <w:ind w:firstLine="480"/>
              <w:jc w:val="left"/>
              <w:rPr>
                <w:rFonts w:ascii="宋体"/>
                <w:color w:val="auto"/>
                <w:szCs w:val="24"/>
                <w:highlight w:val="none"/>
              </w:rPr>
            </w:pPr>
            <w:r>
              <w:rPr>
                <w:rFonts w:hint="eastAsia" w:ascii="宋体"/>
                <w:color w:val="auto"/>
                <w:szCs w:val="24"/>
                <w:highlight w:val="none"/>
              </w:rPr>
              <w:t>11、投标人应妥善保管CA数字证书，确保在有效期内，并保证加密和解密时使用同样的CA。出现下列情况的，投标人须重新用数字证书签章加密投标文件，并在投标截止时间之前上传完成到交易系统：（一）数字证书到期后重新续期；（二）数字证书因遗失、损坏、企业信息变更等情况更换新证书。由于数字证书遗失、损坏、更换、续期等情况导致投标文件无法解密，由投标人自行承担责任。</w:t>
            </w:r>
          </w:p>
        </w:tc>
      </w:tr>
      <w:tr w14:paraId="79262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959" w:type="dxa"/>
            <w:vAlign w:val="center"/>
          </w:tcPr>
          <w:p w14:paraId="21298274">
            <w:pPr>
              <w:tabs>
                <w:tab w:val="right" w:leader="dot" w:pos="8295"/>
              </w:tabs>
              <w:jc w:val="center"/>
              <w:rPr>
                <w:rFonts w:ascii="宋体"/>
                <w:color w:val="auto"/>
                <w:szCs w:val="24"/>
                <w:highlight w:val="none"/>
              </w:rPr>
            </w:pPr>
            <w:r>
              <w:rPr>
                <w:rFonts w:hint="eastAsia" w:ascii="宋体"/>
                <w:color w:val="auto"/>
                <w:szCs w:val="24"/>
                <w:highlight w:val="none"/>
              </w:rPr>
              <w:t>10.7</w:t>
            </w:r>
          </w:p>
        </w:tc>
        <w:tc>
          <w:tcPr>
            <w:tcW w:w="1701" w:type="dxa"/>
            <w:vAlign w:val="center"/>
          </w:tcPr>
          <w:p w14:paraId="2559F153">
            <w:pPr>
              <w:tabs>
                <w:tab w:val="right" w:leader="dot" w:pos="8295"/>
              </w:tabs>
              <w:jc w:val="center"/>
              <w:rPr>
                <w:rFonts w:ascii="宋体"/>
                <w:color w:val="auto"/>
                <w:szCs w:val="24"/>
                <w:highlight w:val="none"/>
              </w:rPr>
            </w:pPr>
            <w:r>
              <w:rPr>
                <w:rFonts w:hint="eastAsia" w:ascii="宋体"/>
                <w:color w:val="auto"/>
                <w:szCs w:val="24"/>
                <w:highlight w:val="none"/>
              </w:rPr>
              <w:t>进浙备案</w:t>
            </w:r>
          </w:p>
        </w:tc>
        <w:tc>
          <w:tcPr>
            <w:tcW w:w="7430" w:type="dxa"/>
            <w:vAlign w:val="center"/>
          </w:tcPr>
          <w:p w14:paraId="24FB1A49">
            <w:pPr>
              <w:widowControl w:val="0"/>
              <w:jc w:val="left"/>
              <w:rPr>
                <w:rFonts w:ascii="宋体"/>
                <w:color w:val="auto"/>
                <w:szCs w:val="24"/>
                <w:highlight w:val="none"/>
              </w:rPr>
            </w:pPr>
            <w:r>
              <w:rPr>
                <w:rFonts w:hint="eastAsia" w:ascii="宋体"/>
                <w:color w:val="auto"/>
                <w:szCs w:val="24"/>
                <w:highlight w:val="none"/>
              </w:rPr>
              <w:t>如中标人为浙江省外企业，须在合同签订前办妥《省外企业进浙承接业务备案证明》或浙江省建筑市场监管公共服务系统发布的备案信息截图。</w:t>
            </w:r>
          </w:p>
        </w:tc>
      </w:tr>
      <w:tr w14:paraId="7CE5A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959" w:type="dxa"/>
            <w:vAlign w:val="center"/>
          </w:tcPr>
          <w:p w14:paraId="2E06EA49">
            <w:pPr>
              <w:tabs>
                <w:tab w:val="right" w:leader="dot" w:pos="8295"/>
              </w:tabs>
              <w:jc w:val="center"/>
              <w:rPr>
                <w:rFonts w:ascii="宋体"/>
                <w:color w:val="auto"/>
                <w:szCs w:val="24"/>
                <w:highlight w:val="none"/>
              </w:rPr>
            </w:pPr>
            <w:r>
              <w:rPr>
                <w:rFonts w:hint="eastAsia" w:ascii="宋体"/>
                <w:color w:val="auto"/>
                <w:szCs w:val="24"/>
                <w:highlight w:val="none"/>
              </w:rPr>
              <w:t>10.8</w:t>
            </w:r>
          </w:p>
        </w:tc>
        <w:tc>
          <w:tcPr>
            <w:tcW w:w="1701" w:type="dxa"/>
            <w:vAlign w:val="center"/>
          </w:tcPr>
          <w:p w14:paraId="74066AAC">
            <w:pPr>
              <w:tabs>
                <w:tab w:val="right" w:leader="dot" w:pos="8295"/>
              </w:tabs>
              <w:jc w:val="center"/>
              <w:rPr>
                <w:rFonts w:ascii="宋体"/>
                <w:color w:val="auto"/>
                <w:szCs w:val="24"/>
                <w:highlight w:val="none"/>
              </w:rPr>
            </w:pPr>
            <w:r>
              <w:rPr>
                <w:rFonts w:hint="eastAsia" w:ascii="宋体"/>
                <w:color w:val="auto"/>
                <w:szCs w:val="24"/>
                <w:highlight w:val="none"/>
              </w:rPr>
              <w:t>中标服务费及交易服务费</w:t>
            </w:r>
          </w:p>
        </w:tc>
        <w:tc>
          <w:tcPr>
            <w:tcW w:w="7430" w:type="dxa"/>
            <w:vAlign w:val="center"/>
          </w:tcPr>
          <w:p w14:paraId="32DD2D3D">
            <w:pPr>
              <w:numPr>
                <w:ilvl w:val="0"/>
                <w:numId w:val="1"/>
              </w:numPr>
              <w:jc w:val="left"/>
              <w:rPr>
                <w:rFonts w:ascii="宋体"/>
                <w:color w:val="auto"/>
                <w:szCs w:val="24"/>
                <w:highlight w:val="none"/>
              </w:rPr>
            </w:pPr>
            <w:r>
              <w:rPr>
                <w:rFonts w:hint="eastAsia" w:ascii="宋体"/>
                <w:color w:val="auto"/>
                <w:szCs w:val="24"/>
                <w:highlight w:val="none"/>
              </w:rPr>
              <w:t>中标服务费：中标人在领取中标通知书后5个工作日内，向招标代理单位缴纳中标服务费。中标服务费按国家计委《招标代理服务收费管理暂行办法》[2002]1980号文件中的收费标准的50%执行，按项目总估算金额计费收取7万元中标服务费。</w:t>
            </w:r>
          </w:p>
          <w:p w14:paraId="16B9D9B9">
            <w:pPr>
              <w:jc w:val="left"/>
              <w:rPr>
                <w:rFonts w:ascii="宋体"/>
                <w:color w:val="auto"/>
                <w:szCs w:val="24"/>
                <w:highlight w:val="none"/>
              </w:rPr>
            </w:pPr>
          </w:p>
          <w:p w14:paraId="61E5C9AF">
            <w:pPr>
              <w:jc w:val="left"/>
              <w:rPr>
                <w:rFonts w:ascii="宋体"/>
                <w:color w:val="auto"/>
                <w:szCs w:val="24"/>
                <w:highlight w:val="none"/>
              </w:rPr>
            </w:pPr>
            <w:r>
              <w:rPr>
                <w:rFonts w:hint="eastAsia" w:ascii="宋体"/>
                <w:color w:val="auto"/>
                <w:szCs w:val="24"/>
                <w:highlight w:val="none"/>
              </w:rPr>
              <w:t>2、本项目“公共资源交易中心工程建设项目交易服务费”由中标单位根据“衢发改价[2018]14号”向衢州市公共资源交易中心缴纳，收费标准如下：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4090"/>
            </w:tblGrid>
            <w:tr w14:paraId="31FB1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114" w:type="dxa"/>
                  <w:tcBorders>
                    <w:top w:val="single" w:color="auto" w:sz="4" w:space="0"/>
                    <w:left w:val="single" w:color="auto" w:sz="4" w:space="0"/>
                    <w:bottom w:val="single" w:color="auto" w:sz="4" w:space="0"/>
                    <w:right w:val="single" w:color="auto" w:sz="4" w:space="0"/>
                  </w:tcBorders>
                  <w:vAlign w:val="center"/>
                </w:tcPr>
                <w:p w14:paraId="2526D737">
                  <w:pPr>
                    <w:ind w:firstLine="18" w:firstLineChars="9"/>
                    <w:jc w:val="left"/>
                    <w:rPr>
                      <w:rFonts w:ascii="宋体"/>
                      <w:color w:val="auto"/>
                      <w:szCs w:val="24"/>
                      <w:highlight w:val="none"/>
                    </w:rPr>
                  </w:pPr>
                  <w:r>
                    <w:rPr>
                      <w:rFonts w:hint="eastAsia" w:ascii="宋体"/>
                      <w:color w:val="auto"/>
                      <w:szCs w:val="24"/>
                      <w:highlight w:val="none"/>
                    </w:rPr>
                    <w:t>中标价（元）</w:t>
                  </w:r>
                </w:p>
              </w:tc>
              <w:tc>
                <w:tcPr>
                  <w:tcW w:w="4090" w:type="dxa"/>
                  <w:tcBorders>
                    <w:top w:val="single" w:color="auto" w:sz="4" w:space="0"/>
                    <w:left w:val="single" w:color="auto" w:sz="4" w:space="0"/>
                    <w:bottom w:val="single" w:color="auto" w:sz="4" w:space="0"/>
                    <w:right w:val="single" w:color="auto" w:sz="4" w:space="0"/>
                  </w:tcBorders>
                  <w:vAlign w:val="center"/>
                </w:tcPr>
                <w:p w14:paraId="63953E56">
                  <w:pPr>
                    <w:ind w:firstLine="2"/>
                    <w:jc w:val="left"/>
                    <w:rPr>
                      <w:rFonts w:ascii="宋体"/>
                      <w:color w:val="auto"/>
                      <w:szCs w:val="24"/>
                      <w:highlight w:val="none"/>
                    </w:rPr>
                  </w:pPr>
                  <w:r>
                    <w:rPr>
                      <w:rFonts w:hint="eastAsia" w:ascii="宋体"/>
                      <w:color w:val="auto"/>
                      <w:szCs w:val="24"/>
                      <w:highlight w:val="none"/>
                    </w:rPr>
                    <w:t>分档收费标准（元）</w:t>
                  </w:r>
                </w:p>
              </w:tc>
            </w:tr>
            <w:tr w14:paraId="052D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114" w:type="dxa"/>
                  <w:tcBorders>
                    <w:top w:val="single" w:color="auto" w:sz="4" w:space="0"/>
                    <w:left w:val="single" w:color="auto" w:sz="4" w:space="0"/>
                    <w:bottom w:val="single" w:color="auto" w:sz="4" w:space="0"/>
                    <w:right w:val="single" w:color="auto" w:sz="4" w:space="0"/>
                  </w:tcBorders>
                  <w:vAlign w:val="center"/>
                </w:tcPr>
                <w:p w14:paraId="116760AE">
                  <w:pPr>
                    <w:ind w:firstLine="18" w:firstLineChars="9"/>
                    <w:jc w:val="left"/>
                    <w:rPr>
                      <w:rFonts w:ascii="宋体"/>
                      <w:color w:val="auto"/>
                      <w:szCs w:val="24"/>
                      <w:highlight w:val="none"/>
                    </w:rPr>
                  </w:pPr>
                  <w:r>
                    <w:rPr>
                      <w:rFonts w:hint="eastAsia" w:ascii="宋体"/>
                      <w:color w:val="auto"/>
                      <w:szCs w:val="24"/>
                      <w:highlight w:val="none"/>
                    </w:rPr>
                    <w:t>500万-1000万（含）</w:t>
                  </w:r>
                </w:p>
              </w:tc>
              <w:tc>
                <w:tcPr>
                  <w:tcW w:w="4090" w:type="dxa"/>
                  <w:tcBorders>
                    <w:top w:val="single" w:color="auto" w:sz="4" w:space="0"/>
                    <w:left w:val="single" w:color="auto" w:sz="4" w:space="0"/>
                    <w:bottom w:val="single" w:color="auto" w:sz="4" w:space="0"/>
                    <w:right w:val="single" w:color="auto" w:sz="4" w:space="0"/>
                  </w:tcBorders>
                  <w:vAlign w:val="center"/>
                </w:tcPr>
                <w:p w14:paraId="32933690">
                  <w:pPr>
                    <w:ind w:firstLine="18" w:firstLineChars="9"/>
                    <w:jc w:val="left"/>
                    <w:rPr>
                      <w:rFonts w:ascii="宋体"/>
                      <w:color w:val="auto"/>
                      <w:szCs w:val="24"/>
                      <w:highlight w:val="none"/>
                    </w:rPr>
                  </w:pPr>
                  <w:r>
                    <w:rPr>
                      <w:rFonts w:hint="eastAsia" w:ascii="宋体"/>
                      <w:color w:val="auto"/>
                      <w:szCs w:val="24"/>
                      <w:highlight w:val="none"/>
                    </w:rPr>
                    <w:t>12000</w:t>
                  </w:r>
                </w:p>
              </w:tc>
            </w:tr>
            <w:tr w14:paraId="2439B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114" w:type="dxa"/>
                  <w:tcBorders>
                    <w:top w:val="single" w:color="auto" w:sz="4" w:space="0"/>
                    <w:left w:val="single" w:color="auto" w:sz="4" w:space="0"/>
                    <w:bottom w:val="single" w:color="auto" w:sz="4" w:space="0"/>
                    <w:right w:val="single" w:color="auto" w:sz="4" w:space="0"/>
                  </w:tcBorders>
                  <w:vAlign w:val="center"/>
                </w:tcPr>
                <w:p w14:paraId="0A5209BF">
                  <w:pPr>
                    <w:ind w:firstLine="18" w:firstLineChars="9"/>
                    <w:jc w:val="left"/>
                    <w:rPr>
                      <w:rFonts w:ascii="宋体"/>
                      <w:color w:val="auto"/>
                      <w:szCs w:val="24"/>
                      <w:highlight w:val="none"/>
                    </w:rPr>
                  </w:pPr>
                  <w:r>
                    <w:rPr>
                      <w:rFonts w:hint="eastAsia" w:ascii="宋体"/>
                      <w:color w:val="auto"/>
                      <w:szCs w:val="24"/>
                      <w:highlight w:val="none"/>
                    </w:rPr>
                    <w:t>1000万-2000万（含）</w:t>
                  </w:r>
                </w:p>
              </w:tc>
              <w:tc>
                <w:tcPr>
                  <w:tcW w:w="4090" w:type="dxa"/>
                  <w:tcBorders>
                    <w:top w:val="single" w:color="auto" w:sz="4" w:space="0"/>
                    <w:left w:val="single" w:color="auto" w:sz="4" w:space="0"/>
                    <w:bottom w:val="single" w:color="auto" w:sz="4" w:space="0"/>
                    <w:right w:val="single" w:color="auto" w:sz="4" w:space="0"/>
                  </w:tcBorders>
                  <w:vAlign w:val="center"/>
                </w:tcPr>
                <w:p w14:paraId="68E3202A">
                  <w:pPr>
                    <w:ind w:firstLine="18" w:firstLineChars="9"/>
                    <w:jc w:val="left"/>
                    <w:rPr>
                      <w:rFonts w:ascii="宋体"/>
                      <w:color w:val="auto"/>
                      <w:szCs w:val="24"/>
                      <w:highlight w:val="none"/>
                    </w:rPr>
                  </w:pPr>
                  <w:r>
                    <w:rPr>
                      <w:rFonts w:hint="eastAsia" w:ascii="宋体"/>
                      <w:color w:val="auto"/>
                      <w:szCs w:val="24"/>
                      <w:highlight w:val="none"/>
                    </w:rPr>
                    <w:t>20000</w:t>
                  </w:r>
                </w:p>
              </w:tc>
            </w:tr>
            <w:tr w14:paraId="665F1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114" w:type="dxa"/>
                  <w:tcBorders>
                    <w:top w:val="single" w:color="auto" w:sz="4" w:space="0"/>
                    <w:left w:val="single" w:color="auto" w:sz="4" w:space="0"/>
                    <w:bottom w:val="single" w:color="auto" w:sz="4" w:space="0"/>
                    <w:right w:val="single" w:color="auto" w:sz="4" w:space="0"/>
                  </w:tcBorders>
                  <w:vAlign w:val="center"/>
                </w:tcPr>
                <w:p w14:paraId="01490965">
                  <w:pPr>
                    <w:ind w:firstLine="18" w:firstLineChars="9"/>
                    <w:jc w:val="left"/>
                    <w:rPr>
                      <w:rFonts w:ascii="宋体"/>
                      <w:color w:val="auto"/>
                      <w:szCs w:val="24"/>
                      <w:highlight w:val="none"/>
                    </w:rPr>
                  </w:pPr>
                  <w:r>
                    <w:rPr>
                      <w:rFonts w:hint="eastAsia" w:ascii="宋体"/>
                      <w:color w:val="auto"/>
                      <w:szCs w:val="24"/>
                      <w:highlight w:val="none"/>
                    </w:rPr>
                    <w:t>2000万-5000万（含）</w:t>
                  </w:r>
                </w:p>
              </w:tc>
              <w:tc>
                <w:tcPr>
                  <w:tcW w:w="4090" w:type="dxa"/>
                  <w:tcBorders>
                    <w:top w:val="single" w:color="auto" w:sz="4" w:space="0"/>
                    <w:left w:val="single" w:color="auto" w:sz="4" w:space="0"/>
                    <w:bottom w:val="single" w:color="auto" w:sz="4" w:space="0"/>
                    <w:right w:val="single" w:color="auto" w:sz="4" w:space="0"/>
                  </w:tcBorders>
                  <w:vAlign w:val="center"/>
                </w:tcPr>
                <w:p w14:paraId="665348A6">
                  <w:pPr>
                    <w:ind w:firstLine="18" w:firstLineChars="9"/>
                    <w:jc w:val="left"/>
                    <w:rPr>
                      <w:rFonts w:ascii="宋体"/>
                      <w:color w:val="auto"/>
                      <w:szCs w:val="24"/>
                      <w:highlight w:val="none"/>
                    </w:rPr>
                  </w:pPr>
                  <w:r>
                    <w:rPr>
                      <w:rFonts w:hint="eastAsia" w:ascii="宋体"/>
                      <w:color w:val="auto"/>
                      <w:szCs w:val="24"/>
                      <w:highlight w:val="none"/>
                    </w:rPr>
                    <w:t>30000</w:t>
                  </w:r>
                </w:p>
              </w:tc>
            </w:tr>
          </w:tbl>
          <w:p w14:paraId="5A193DBC">
            <w:pPr>
              <w:pStyle w:val="6"/>
              <w:jc w:val="left"/>
              <w:rPr>
                <w:rFonts w:ascii="宋体"/>
                <w:color w:val="auto"/>
                <w:sz w:val="24"/>
                <w:szCs w:val="24"/>
                <w:highlight w:val="none"/>
              </w:rPr>
            </w:pPr>
            <w:r>
              <w:rPr>
                <w:rFonts w:hint="eastAsia" w:ascii="宋体"/>
                <w:b/>
                <w:color w:val="auto"/>
                <w:sz w:val="21"/>
                <w:szCs w:val="21"/>
                <w:highlight w:val="none"/>
              </w:rPr>
              <w:t>以上两项费用在报价表中无需单列报价子项，由投标人自行在企业运营成本等或各投标单价中列支。</w:t>
            </w:r>
          </w:p>
        </w:tc>
      </w:tr>
    </w:tbl>
    <w:p w14:paraId="63CD0AFF">
      <w:pPr>
        <w:pStyle w:val="3"/>
        <w:tabs>
          <w:tab w:val="right" w:leader="dot" w:pos="8295"/>
        </w:tabs>
        <w:jc w:val="center"/>
        <w:rPr>
          <w:rFonts w:ascii="宋体" w:eastAsia="宋体"/>
          <w:b w:val="0"/>
          <w:color w:val="auto"/>
          <w:sz w:val="28"/>
          <w:szCs w:val="28"/>
          <w:highlight w:val="none"/>
        </w:rPr>
      </w:pPr>
      <w:bookmarkStart w:id="27" w:name="_Toc144974497"/>
      <w:bookmarkStart w:id="28" w:name="_Toc353400022"/>
      <w:bookmarkStart w:id="29" w:name="_Toc229646711"/>
      <w:bookmarkStart w:id="30" w:name="_Toc152042305"/>
      <w:bookmarkStart w:id="31" w:name="_Toc152045529"/>
      <w:r>
        <w:rPr>
          <w:rFonts w:hint="eastAsia" w:ascii="宋体" w:eastAsia="宋体"/>
          <w:b w:val="0"/>
          <w:color w:val="auto"/>
          <w:highlight w:val="none"/>
        </w:rPr>
        <w:br w:type="page"/>
      </w:r>
      <w:bookmarkEnd w:id="3"/>
      <w:bookmarkEnd w:id="27"/>
      <w:bookmarkEnd w:id="28"/>
      <w:bookmarkEnd w:id="29"/>
      <w:bookmarkEnd w:id="30"/>
      <w:bookmarkEnd w:id="31"/>
      <w:bookmarkStart w:id="32" w:name="_Toc530660799"/>
      <w:bookmarkStart w:id="33" w:name="_Toc494121477"/>
      <w:r>
        <w:rPr>
          <w:rFonts w:hint="eastAsia" w:ascii="宋体" w:eastAsia="宋体"/>
          <w:b w:val="0"/>
          <w:color w:val="auto"/>
          <w:sz w:val="28"/>
          <w:szCs w:val="28"/>
          <w:highlight w:val="none"/>
        </w:rPr>
        <w:t>第二节 投标人须知</w:t>
      </w:r>
      <w:bookmarkEnd w:id="32"/>
      <w:bookmarkEnd w:id="33"/>
    </w:p>
    <w:p w14:paraId="20EA0417">
      <w:pPr>
        <w:pStyle w:val="4"/>
        <w:tabs>
          <w:tab w:val="right" w:leader="dot" w:pos="8295"/>
        </w:tabs>
        <w:ind w:firstLine="482" w:firstLineChars="200"/>
        <w:rPr>
          <w:rFonts w:ascii="宋体" w:eastAsia="宋体"/>
          <w:color w:val="auto"/>
          <w:sz w:val="24"/>
          <w:szCs w:val="24"/>
          <w:highlight w:val="none"/>
        </w:rPr>
      </w:pPr>
      <w:bookmarkStart w:id="34" w:name="_Toc184635071"/>
      <w:bookmarkStart w:id="35" w:name="_Toc494121478"/>
      <w:bookmarkStart w:id="36" w:name="_Toc530660800"/>
      <w:r>
        <w:rPr>
          <w:rFonts w:hint="eastAsia" w:ascii="宋体" w:eastAsia="宋体"/>
          <w:color w:val="auto"/>
          <w:sz w:val="24"/>
          <w:szCs w:val="24"/>
          <w:highlight w:val="none"/>
        </w:rPr>
        <w:t>1．总则</w:t>
      </w:r>
      <w:bookmarkEnd w:id="34"/>
      <w:bookmarkEnd w:id="35"/>
      <w:bookmarkEnd w:id="36"/>
    </w:p>
    <w:p w14:paraId="45B32444">
      <w:pPr>
        <w:pStyle w:val="5"/>
        <w:tabs>
          <w:tab w:val="right" w:leader="dot" w:pos="8295"/>
        </w:tabs>
        <w:rPr>
          <w:rFonts w:ascii="宋体" w:eastAsia="宋体"/>
          <w:b w:val="0"/>
          <w:color w:val="auto"/>
          <w:sz w:val="24"/>
          <w:szCs w:val="24"/>
          <w:highlight w:val="none"/>
        </w:rPr>
      </w:pPr>
      <w:bookmarkStart w:id="37" w:name="_Toc530660801"/>
      <w:r>
        <w:rPr>
          <w:rFonts w:hint="eastAsia" w:ascii="宋体" w:eastAsia="宋体"/>
          <w:b w:val="0"/>
          <w:color w:val="auto"/>
          <w:sz w:val="24"/>
          <w:szCs w:val="24"/>
          <w:highlight w:val="none"/>
        </w:rPr>
        <w:t>1.1项目概况</w:t>
      </w:r>
      <w:bookmarkEnd w:id="37"/>
    </w:p>
    <w:p w14:paraId="0B1F6672">
      <w:pPr>
        <w:tabs>
          <w:tab w:val="right" w:leader="dot" w:pos="8295"/>
        </w:tabs>
        <w:ind w:firstLine="480"/>
        <w:rPr>
          <w:rFonts w:ascii="宋体"/>
          <w:color w:val="auto"/>
          <w:szCs w:val="24"/>
          <w:highlight w:val="none"/>
        </w:rPr>
      </w:pPr>
      <w:r>
        <w:rPr>
          <w:rFonts w:hint="eastAsia" w:ascii="宋体"/>
          <w:color w:val="auto"/>
          <w:szCs w:val="24"/>
          <w:highlight w:val="none"/>
        </w:rPr>
        <w:t>1.1.1 根据《中华人民共和国招标投标法》等有关法律、法规和规章的规定，本招标项目己具备招标条件，现对本标段进行招标。</w:t>
      </w:r>
    </w:p>
    <w:p w14:paraId="56A6460B">
      <w:pPr>
        <w:tabs>
          <w:tab w:val="right" w:leader="dot" w:pos="8295"/>
        </w:tabs>
        <w:ind w:firstLine="480"/>
        <w:rPr>
          <w:rFonts w:ascii="宋体"/>
          <w:color w:val="auto"/>
          <w:szCs w:val="24"/>
          <w:highlight w:val="none"/>
        </w:rPr>
      </w:pPr>
      <w:r>
        <w:rPr>
          <w:rFonts w:hint="eastAsia" w:ascii="宋体"/>
          <w:color w:val="auto"/>
          <w:szCs w:val="24"/>
          <w:highlight w:val="none"/>
        </w:rPr>
        <w:t>1.1.2 本招标项目招标人：见投标人须知前附表。</w:t>
      </w:r>
    </w:p>
    <w:p w14:paraId="2A90D07F">
      <w:pPr>
        <w:tabs>
          <w:tab w:val="right" w:leader="dot" w:pos="8295"/>
        </w:tabs>
        <w:ind w:firstLine="480"/>
        <w:rPr>
          <w:rFonts w:ascii="宋体"/>
          <w:color w:val="auto"/>
          <w:szCs w:val="24"/>
          <w:highlight w:val="none"/>
        </w:rPr>
      </w:pPr>
      <w:r>
        <w:rPr>
          <w:rFonts w:hint="eastAsia" w:ascii="宋体"/>
          <w:color w:val="auto"/>
          <w:szCs w:val="24"/>
          <w:highlight w:val="none"/>
        </w:rPr>
        <w:t>1.1.3 本标段招标代理机构：见投标人须知前附表。</w:t>
      </w:r>
    </w:p>
    <w:p w14:paraId="764F922E">
      <w:pPr>
        <w:tabs>
          <w:tab w:val="right" w:leader="dot" w:pos="8295"/>
        </w:tabs>
        <w:ind w:firstLine="480"/>
        <w:rPr>
          <w:rFonts w:ascii="宋体"/>
          <w:color w:val="auto"/>
          <w:szCs w:val="24"/>
          <w:highlight w:val="none"/>
        </w:rPr>
      </w:pPr>
      <w:r>
        <w:rPr>
          <w:rFonts w:hint="eastAsia" w:ascii="宋体"/>
          <w:color w:val="auto"/>
          <w:szCs w:val="24"/>
          <w:highlight w:val="none"/>
        </w:rPr>
        <w:t>1.1.4 本招标项目名称：见投标人须知前附表。</w:t>
      </w:r>
    </w:p>
    <w:p w14:paraId="3BE9DAF0">
      <w:pPr>
        <w:tabs>
          <w:tab w:val="right" w:leader="dot" w:pos="8295"/>
        </w:tabs>
        <w:ind w:firstLine="480"/>
        <w:rPr>
          <w:rFonts w:ascii="宋体"/>
          <w:color w:val="auto"/>
          <w:szCs w:val="24"/>
          <w:highlight w:val="none"/>
        </w:rPr>
      </w:pPr>
      <w:r>
        <w:rPr>
          <w:rFonts w:hint="eastAsia" w:ascii="宋体"/>
          <w:color w:val="auto"/>
          <w:szCs w:val="24"/>
          <w:highlight w:val="none"/>
        </w:rPr>
        <w:t>1.1.5 本标段建设地点：见投标人须知前附表。</w:t>
      </w:r>
    </w:p>
    <w:p w14:paraId="715B7578">
      <w:pPr>
        <w:pStyle w:val="5"/>
        <w:tabs>
          <w:tab w:val="right" w:leader="dot" w:pos="8295"/>
        </w:tabs>
        <w:rPr>
          <w:rFonts w:ascii="宋体" w:eastAsia="宋体"/>
          <w:b w:val="0"/>
          <w:color w:val="auto"/>
          <w:sz w:val="24"/>
          <w:szCs w:val="24"/>
          <w:highlight w:val="none"/>
        </w:rPr>
      </w:pPr>
      <w:bookmarkStart w:id="38" w:name="_Toc530660802"/>
      <w:r>
        <w:rPr>
          <w:rFonts w:hint="eastAsia" w:ascii="宋体" w:eastAsia="宋体"/>
          <w:b w:val="0"/>
          <w:color w:val="auto"/>
          <w:sz w:val="24"/>
          <w:szCs w:val="24"/>
          <w:highlight w:val="none"/>
        </w:rPr>
        <w:t>1.2资金来源和落实情况</w:t>
      </w:r>
      <w:bookmarkEnd w:id="38"/>
    </w:p>
    <w:p w14:paraId="4A42424B">
      <w:pPr>
        <w:tabs>
          <w:tab w:val="right" w:leader="dot" w:pos="8295"/>
        </w:tabs>
        <w:ind w:firstLine="480"/>
        <w:rPr>
          <w:rFonts w:ascii="宋体"/>
          <w:color w:val="auto"/>
          <w:szCs w:val="24"/>
          <w:highlight w:val="none"/>
        </w:rPr>
      </w:pPr>
      <w:r>
        <w:rPr>
          <w:rFonts w:hint="eastAsia" w:ascii="宋体"/>
          <w:color w:val="auto"/>
          <w:szCs w:val="24"/>
          <w:highlight w:val="none"/>
        </w:rPr>
        <w:t>1.2.1 本招标项目的资金来源：见投标人须知前附表。</w:t>
      </w:r>
    </w:p>
    <w:p w14:paraId="789E2ACD">
      <w:pPr>
        <w:tabs>
          <w:tab w:val="right" w:leader="dot" w:pos="8295"/>
        </w:tabs>
        <w:ind w:firstLine="480"/>
        <w:rPr>
          <w:rFonts w:ascii="宋体"/>
          <w:color w:val="auto"/>
          <w:szCs w:val="24"/>
          <w:highlight w:val="none"/>
        </w:rPr>
      </w:pPr>
      <w:r>
        <w:rPr>
          <w:rFonts w:hint="eastAsia" w:ascii="宋体"/>
          <w:color w:val="auto"/>
          <w:szCs w:val="24"/>
          <w:highlight w:val="none"/>
        </w:rPr>
        <w:t>1.2.2 本招标项目的出资比例：见投标人须知前附表。</w:t>
      </w:r>
    </w:p>
    <w:p w14:paraId="5D7CCC38">
      <w:pPr>
        <w:tabs>
          <w:tab w:val="right" w:leader="dot" w:pos="8295"/>
        </w:tabs>
        <w:ind w:firstLine="480"/>
        <w:rPr>
          <w:rFonts w:ascii="宋体"/>
          <w:color w:val="auto"/>
          <w:szCs w:val="24"/>
          <w:highlight w:val="none"/>
        </w:rPr>
      </w:pPr>
      <w:r>
        <w:rPr>
          <w:rFonts w:hint="eastAsia" w:ascii="宋体"/>
          <w:color w:val="auto"/>
          <w:szCs w:val="24"/>
          <w:highlight w:val="none"/>
        </w:rPr>
        <w:t>1.2.3 本招标项目的资金落实情况：见投标人须知前附表。</w:t>
      </w:r>
    </w:p>
    <w:p w14:paraId="3152062C">
      <w:pPr>
        <w:pStyle w:val="5"/>
        <w:tabs>
          <w:tab w:val="right" w:leader="dot" w:pos="8295"/>
        </w:tabs>
        <w:rPr>
          <w:rFonts w:ascii="宋体" w:eastAsia="宋体"/>
          <w:b w:val="0"/>
          <w:color w:val="auto"/>
          <w:sz w:val="24"/>
          <w:szCs w:val="24"/>
          <w:highlight w:val="none"/>
        </w:rPr>
      </w:pPr>
      <w:bookmarkStart w:id="39" w:name="_Toc530660803"/>
      <w:r>
        <w:rPr>
          <w:rFonts w:hint="eastAsia" w:ascii="宋体" w:eastAsia="宋体"/>
          <w:b w:val="0"/>
          <w:color w:val="auto"/>
          <w:sz w:val="24"/>
          <w:szCs w:val="24"/>
          <w:highlight w:val="none"/>
        </w:rPr>
        <w:t>1.3 招标范围、计划工期和质量要求</w:t>
      </w:r>
      <w:bookmarkEnd w:id="39"/>
    </w:p>
    <w:p w14:paraId="3D4BDE06">
      <w:pPr>
        <w:tabs>
          <w:tab w:val="right" w:leader="dot" w:pos="8295"/>
        </w:tabs>
        <w:ind w:firstLine="480"/>
        <w:rPr>
          <w:rFonts w:ascii="宋体"/>
          <w:color w:val="auto"/>
          <w:szCs w:val="24"/>
          <w:highlight w:val="none"/>
        </w:rPr>
      </w:pPr>
      <w:r>
        <w:rPr>
          <w:rFonts w:hint="eastAsia" w:ascii="宋体"/>
          <w:color w:val="auto"/>
          <w:szCs w:val="24"/>
          <w:highlight w:val="none"/>
        </w:rPr>
        <w:t>1.3.1 本次招标范围：见投标人须知前附表。</w:t>
      </w:r>
    </w:p>
    <w:p w14:paraId="2AC4B5E3">
      <w:pPr>
        <w:tabs>
          <w:tab w:val="right" w:leader="dot" w:pos="8295"/>
        </w:tabs>
        <w:ind w:firstLine="480"/>
        <w:rPr>
          <w:rFonts w:ascii="宋体"/>
          <w:color w:val="auto"/>
          <w:szCs w:val="24"/>
          <w:highlight w:val="none"/>
        </w:rPr>
      </w:pPr>
      <w:r>
        <w:rPr>
          <w:rFonts w:hint="eastAsia" w:ascii="宋体"/>
          <w:color w:val="auto"/>
          <w:szCs w:val="24"/>
          <w:highlight w:val="none"/>
        </w:rPr>
        <w:t>1.3.2 本标段的计划工期：见投标人须知前附表。</w:t>
      </w:r>
    </w:p>
    <w:p w14:paraId="2CFE12BD">
      <w:pPr>
        <w:tabs>
          <w:tab w:val="right" w:leader="dot" w:pos="8295"/>
        </w:tabs>
        <w:ind w:firstLine="480"/>
        <w:rPr>
          <w:rFonts w:ascii="宋体"/>
          <w:color w:val="auto"/>
          <w:szCs w:val="24"/>
          <w:highlight w:val="none"/>
        </w:rPr>
      </w:pPr>
      <w:r>
        <w:rPr>
          <w:rFonts w:hint="eastAsia" w:ascii="宋体"/>
          <w:color w:val="auto"/>
          <w:szCs w:val="24"/>
          <w:highlight w:val="none"/>
        </w:rPr>
        <w:t>1.3.3 本标段的质量要求：见投标人须知前附表。</w:t>
      </w:r>
    </w:p>
    <w:p w14:paraId="3F0EBF0B">
      <w:pPr>
        <w:pStyle w:val="5"/>
        <w:tabs>
          <w:tab w:val="right" w:leader="dot" w:pos="8295"/>
        </w:tabs>
        <w:rPr>
          <w:rFonts w:ascii="宋体" w:eastAsia="宋体"/>
          <w:b w:val="0"/>
          <w:color w:val="auto"/>
          <w:sz w:val="24"/>
          <w:szCs w:val="24"/>
          <w:highlight w:val="none"/>
        </w:rPr>
      </w:pPr>
      <w:bookmarkStart w:id="40" w:name="_Toc530660805"/>
      <w:r>
        <w:rPr>
          <w:rFonts w:hint="eastAsia" w:ascii="宋体" w:eastAsia="宋体"/>
          <w:b w:val="0"/>
          <w:color w:val="auto"/>
          <w:sz w:val="24"/>
          <w:szCs w:val="24"/>
          <w:highlight w:val="none"/>
        </w:rPr>
        <w:t>1.4 投标人资格要求（适用于未进行资格预审的）</w:t>
      </w:r>
      <w:bookmarkEnd w:id="40"/>
    </w:p>
    <w:p w14:paraId="3E26A9AA">
      <w:pPr>
        <w:tabs>
          <w:tab w:val="right" w:leader="dot" w:pos="8295"/>
        </w:tabs>
        <w:ind w:firstLine="480"/>
        <w:rPr>
          <w:rFonts w:ascii="宋体"/>
          <w:color w:val="auto"/>
          <w:szCs w:val="24"/>
          <w:highlight w:val="none"/>
        </w:rPr>
      </w:pPr>
      <w:r>
        <w:rPr>
          <w:rFonts w:hint="eastAsia" w:ascii="宋体"/>
          <w:color w:val="auto"/>
          <w:szCs w:val="24"/>
          <w:highlight w:val="none"/>
        </w:rPr>
        <w:t>1.4.1 投标人应具备承担本标段施工的资质条件、能力和信誉。</w:t>
      </w:r>
    </w:p>
    <w:p w14:paraId="2F227348">
      <w:pPr>
        <w:tabs>
          <w:tab w:val="right" w:leader="dot" w:pos="8295"/>
        </w:tabs>
        <w:ind w:firstLine="480"/>
        <w:rPr>
          <w:rFonts w:ascii="宋体"/>
          <w:color w:val="auto"/>
          <w:szCs w:val="24"/>
          <w:highlight w:val="none"/>
        </w:rPr>
      </w:pPr>
      <w:r>
        <w:rPr>
          <w:rFonts w:hint="eastAsia" w:ascii="宋体"/>
          <w:color w:val="auto"/>
          <w:szCs w:val="24"/>
          <w:highlight w:val="none"/>
        </w:rPr>
        <w:t>（l）资质条件：见投标人须知前附表；</w:t>
      </w:r>
    </w:p>
    <w:p w14:paraId="14402B8E">
      <w:pPr>
        <w:tabs>
          <w:tab w:val="right" w:leader="dot" w:pos="8295"/>
        </w:tabs>
        <w:ind w:firstLine="480"/>
        <w:rPr>
          <w:rFonts w:ascii="宋体"/>
          <w:color w:val="auto"/>
          <w:szCs w:val="24"/>
          <w:highlight w:val="none"/>
        </w:rPr>
      </w:pPr>
      <w:r>
        <w:rPr>
          <w:rFonts w:hint="eastAsia" w:ascii="宋体"/>
          <w:color w:val="auto"/>
          <w:szCs w:val="24"/>
          <w:highlight w:val="none"/>
        </w:rPr>
        <w:t>（2）财务要求：见投标人须知前附表；</w:t>
      </w:r>
    </w:p>
    <w:p w14:paraId="2E41F285">
      <w:pPr>
        <w:tabs>
          <w:tab w:val="right" w:leader="dot" w:pos="8295"/>
        </w:tabs>
        <w:ind w:firstLine="480"/>
        <w:rPr>
          <w:rFonts w:ascii="宋体"/>
          <w:color w:val="auto"/>
          <w:szCs w:val="24"/>
          <w:highlight w:val="none"/>
        </w:rPr>
      </w:pPr>
      <w:r>
        <w:rPr>
          <w:rFonts w:hint="eastAsia" w:ascii="宋体"/>
          <w:color w:val="auto"/>
          <w:szCs w:val="24"/>
          <w:highlight w:val="none"/>
        </w:rPr>
        <w:t>（3）业绩要求：见投标人须知前附表；</w:t>
      </w:r>
    </w:p>
    <w:p w14:paraId="10F641A6">
      <w:pPr>
        <w:tabs>
          <w:tab w:val="right" w:leader="dot" w:pos="8295"/>
        </w:tabs>
        <w:ind w:firstLine="480"/>
        <w:rPr>
          <w:rFonts w:ascii="宋体"/>
          <w:color w:val="auto"/>
          <w:szCs w:val="24"/>
          <w:highlight w:val="none"/>
        </w:rPr>
      </w:pPr>
      <w:r>
        <w:rPr>
          <w:rFonts w:hint="eastAsia" w:ascii="宋体"/>
          <w:color w:val="auto"/>
          <w:szCs w:val="24"/>
          <w:highlight w:val="none"/>
        </w:rPr>
        <w:t>（4）信誉要求：见投标人须知前附表；</w:t>
      </w:r>
    </w:p>
    <w:p w14:paraId="432EB3DC">
      <w:pPr>
        <w:tabs>
          <w:tab w:val="right" w:leader="dot" w:pos="8295"/>
        </w:tabs>
        <w:ind w:firstLine="480"/>
        <w:rPr>
          <w:rFonts w:ascii="宋体"/>
          <w:color w:val="auto"/>
          <w:szCs w:val="24"/>
          <w:highlight w:val="none"/>
        </w:rPr>
      </w:pPr>
      <w:r>
        <w:rPr>
          <w:rFonts w:hint="eastAsia" w:ascii="宋体"/>
          <w:color w:val="auto"/>
          <w:szCs w:val="24"/>
          <w:highlight w:val="none"/>
        </w:rPr>
        <w:t>（5）项目经理资格：见投标人须知前附表；</w:t>
      </w:r>
    </w:p>
    <w:p w14:paraId="75304DF4">
      <w:pPr>
        <w:tabs>
          <w:tab w:val="right" w:leader="dot" w:pos="8295"/>
        </w:tabs>
        <w:ind w:firstLine="480"/>
        <w:rPr>
          <w:rFonts w:ascii="宋体"/>
          <w:color w:val="auto"/>
          <w:szCs w:val="24"/>
          <w:highlight w:val="none"/>
        </w:rPr>
      </w:pPr>
      <w:r>
        <w:rPr>
          <w:rFonts w:hint="eastAsia" w:ascii="宋体"/>
          <w:color w:val="auto"/>
          <w:szCs w:val="24"/>
          <w:highlight w:val="none"/>
        </w:rPr>
        <w:t>（6）其他要求：见投标人须知前附表。</w:t>
      </w:r>
    </w:p>
    <w:p w14:paraId="79227C06">
      <w:pPr>
        <w:tabs>
          <w:tab w:val="right" w:leader="dot" w:pos="8295"/>
        </w:tabs>
        <w:ind w:firstLine="480"/>
        <w:rPr>
          <w:rFonts w:ascii="宋体"/>
          <w:color w:val="auto"/>
          <w:szCs w:val="24"/>
          <w:highlight w:val="none"/>
        </w:rPr>
      </w:pPr>
      <w:r>
        <w:rPr>
          <w:rFonts w:hint="eastAsia" w:ascii="宋体"/>
          <w:color w:val="auto"/>
          <w:szCs w:val="24"/>
          <w:highlight w:val="none"/>
        </w:rPr>
        <w:t>1.4.2 投标人须知前附表规定接受联合体投标的，除应符合本章第1.4.1项和投标人须知前附表的要求外，还应遵守以下规定：</w:t>
      </w:r>
    </w:p>
    <w:p w14:paraId="62EDE317">
      <w:pPr>
        <w:tabs>
          <w:tab w:val="right" w:leader="dot" w:pos="8295"/>
        </w:tabs>
        <w:ind w:firstLine="480"/>
        <w:rPr>
          <w:rFonts w:ascii="宋体"/>
          <w:color w:val="auto"/>
          <w:szCs w:val="24"/>
          <w:highlight w:val="none"/>
        </w:rPr>
      </w:pPr>
      <w:r>
        <w:rPr>
          <w:rFonts w:hint="eastAsia" w:ascii="宋体"/>
          <w:color w:val="auto"/>
          <w:szCs w:val="24"/>
          <w:highlight w:val="none"/>
        </w:rPr>
        <w:t>（1）联合体各方应按招标文件提供的格式签订联合体协议书，明确联合体牵头人和各方权利义务；</w:t>
      </w:r>
    </w:p>
    <w:p w14:paraId="2C6D7175">
      <w:pPr>
        <w:tabs>
          <w:tab w:val="right" w:leader="dot" w:pos="8295"/>
        </w:tabs>
        <w:ind w:firstLine="480"/>
        <w:rPr>
          <w:rFonts w:ascii="宋体"/>
          <w:color w:val="auto"/>
          <w:szCs w:val="24"/>
          <w:highlight w:val="none"/>
        </w:rPr>
      </w:pPr>
      <w:r>
        <w:rPr>
          <w:rFonts w:hint="eastAsia" w:ascii="宋体"/>
          <w:color w:val="auto"/>
          <w:szCs w:val="24"/>
          <w:highlight w:val="none"/>
        </w:rPr>
        <w:t>（2）由同一专业的单位组成的联合体，按照资质等级较低的单位确定资质等级；</w:t>
      </w:r>
    </w:p>
    <w:p w14:paraId="544BEB21">
      <w:pPr>
        <w:tabs>
          <w:tab w:val="right" w:leader="dot" w:pos="8295"/>
        </w:tabs>
        <w:ind w:firstLine="480"/>
        <w:rPr>
          <w:rFonts w:ascii="宋体"/>
          <w:color w:val="auto"/>
          <w:szCs w:val="24"/>
          <w:highlight w:val="none"/>
        </w:rPr>
      </w:pPr>
      <w:r>
        <w:rPr>
          <w:rFonts w:hint="eastAsia" w:ascii="宋体"/>
          <w:color w:val="auto"/>
          <w:szCs w:val="24"/>
          <w:highlight w:val="none"/>
        </w:rPr>
        <w:t>（3）联合体各方不得再以自己名义单独或参加其他联合体在同一标段中投标。</w:t>
      </w:r>
    </w:p>
    <w:p w14:paraId="0EF8B35F">
      <w:pPr>
        <w:tabs>
          <w:tab w:val="right" w:leader="dot" w:pos="8295"/>
        </w:tabs>
        <w:ind w:firstLine="480"/>
        <w:rPr>
          <w:rFonts w:ascii="宋体"/>
          <w:color w:val="auto"/>
          <w:szCs w:val="24"/>
          <w:highlight w:val="none"/>
        </w:rPr>
      </w:pPr>
      <w:r>
        <w:rPr>
          <w:rFonts w:hint="eastAsia" w:ascii="宋体"/>
          <w:color w:val="auto"/>
          <w:szCs w:val="24"/>
          <w:highlight w:val="none"/>
        </w:rPr>
        <w:t>1.4.3 投标人的资格审查方式：见投标人须知前附表。</w:t>
      </w:r>
    </w:p>
    <w:p w14:paraId="0A8F8698">
      <w:pPr>
        <w:tabs>
          <w:tab w:val="right" w:leader="dot" w:pos="8295"/>
        </w:tabs>
        <w:ind w:firstLine="480"/>
        <w:rPr>
          <w:rFonts w:ascii="宋体"/>
          <w:color w:val="auto"/>
          <w:szCs w:val="24"/>
          <w:highlight w:val="none"/>
        </w:rPr>
      </w:pPr>
      <w:r>
        <w:rPr>
          <w:rFonts w:hint="eastAsia" w:ascii="宋体"/>
          <w:color w:val="auto"/>
          <w:szCs w:val="24"/>
          <w:highlight w:val="none"/>
        </w:rPr>
        <w:t>1.4.4投标人不得存在下列情形之一：</w:t>
      </w:r>
    </w:p>
    <w:p w14:paraId="3650D04E">
      <w:pPr>
        <w:tabs>
          <w:tab w:val="right" w:leader="dot" w:pos="8295"/>
        </w:tabs>
        <w:ind w:firstLine="480"/>
        <w:rPr>
          <w:rFonts w:ascii="宋体"/>
          <w:color w:val="auto"/>
          <w:szCs w:val="24"/>
          <w:highlight w:val="none"/>
        </w:rPr>
      </w:pPr>
      <w:r>
        <w:rPr>
          <w:rFonts w:hint="eastAsia" w:ascii="宋体"/>
          <w:color w:val="auto"/>
          <w:szCs w:val="24"/>
          <w:highlight w:val="none"/>
        </w:rPr>
        <w:t xml:space="preserve">（l）为招标人不具有独立法人资格的附属机构（单位）； </w:t>
      </w:r>
    </w:p>
    <w:p w14:paraId="698A1BEE">
      <w:pPr>
        <w:tabs>
          <w:tab w:val="right" w:leader="dot" w:pos="8295"/>
        </w:tabs>
        <w:ind w:firstLine="480"/>
        <w:rPr>
          <w:rFonts w:ascii="宋体"/>
          <w:color w:val="auto"/>
          <w:szCs w:val="24"/>
          <w:highlight w:val="none"/>
        </w:rPr>
      </w:pPr>
      <w:r>
        <w:rPr>
          <w:rFonts w:hint="eastAsia" w:ascii="宋体"/>
          <w:color w:val="auto"/>
          <w:szCs w:val="24"/>
          <w:highlight w:val="none"/>
        </w:rPr>
        <w:t>（2）为本标段前期准备提供设计或咨询服务的，但设计施工总承包的除外；</w:t>
      </w:r>
    </w:p>
    <w:p w14:paraId="5A0F6F0F">
      <w:pPr>
        <w:tabs>
          <w:tab w:val="right" w:leader="dot" w:pos="8295"/>
        </w:tabs>
        <w:ind w:firstLine="480"/>
        <w:rPr>
          <w:rFonts w:ascii="宋体"/>
          <w:color w:val="auto"/>
          <w:szCs w:val="24"/>
          <w:highlight w:val="none"/>
        </w:rPr>
      </w:pPr>
      <w:r>
        <w:rPr>
          <w:rFonts w:hint="eastAsia" w:ascii="宋体"/>
          <w:color w:val="auto"/>
          <w:szCs w:val="24"/>
          <w:highlight w:val="none"/>
        </w:rPr>
        <w:t>（3）为本标段的监理人；</w:t>
      </w:r>
    </w:p>
    <w:p w14:paraId="1D8999BD">
      <w:pPr>
        <w:tabs>
          <w:tab w:val="right" w:leader="dot" w:pos="8295"/>
        </w:tabs>
        <w:ind w:firstLine="480"/>
        <w:rPr>
          <w:rFonts w:ascii="宋体"/>
          <w:color w:val="auto"/>
          <w:szCs w:val="24"/>
          <w:highlight w:val="none"/>
        </w:rPr>
      </w:pPr>
      <w:r>
        <w:rPr>
          <w:rFonts w:hint="eastAsia" w:ascii="宋体"/>
          <w:color w:val="auto"/>
          <w:szCs w:val="24"/>
          <w:highlight w:val="none"/>
        </w:rPr>
        <w:t>（4）为本标段的代建人；</w:t>
      </w:r>
    </w:p>
    <w:p w14:paraId="4F751C6C">
      <w:pPr>
        <w:tabs>
          <w:tab w:val="right" w:leader="dot" w:pos="8295"/>
        </w:tabs>
        <w:ind w:firstLine="480"/>
        <w:rPr>
          <w:rFonts w:ascii="宋体"/>
          <w:color w:val="auto"/>
          <w:szCs w:val="24"/>
          <w:highlight w:val="none"/>
        </w:rPr>
      </w:pPr>
      <w:r>
        <w:rPr>
          <w:rFonts w:hint="eastAsia" w:ascii="宋体"/>
          <w:color w:val="auto"/>
          <w:szCs w:val="24"/>
          <w:highlight w:val="none"/>
        </w:rPr>
        <w:t>（5）为本标段提供招标代理服务的；</w:t>
      </w:r>
    </w:p>
    <w:p w14:paraId="4E7FFAE1">
      <w:pPr>
        <w:tabs>
          <w:tab w:val="right" w:leader="dot" w:pos="8295"/>
        </w:tabs>
        <w:ind w:firstLine="480"/>
        <w:rPr>
          <w:rFonts w:ascii="宋体"/>
          <w:color w:val="auto"/>
          <w:szCs w:val="24"/>
          <w:highlight w:val="none"/>
        </w:rPr>
      </w:pPr>
      <w:r>
        <w:rPr>
          <w:rFonts w:hint="eastAsia" w:ascii="宋体"/>
          <w:color w:val="auto"/>
          <w:szCs w:val="24"/>
          <w:highlight w:val="none"/>
        </w:rPr>
        <w:t>（6）与本标段的监理人或代建人或招标代理机构同为一个法定代表人的；</w:t>
      </w:r>
    </w:p>
    <w:p w14:paraId="7BCC0409">
      <w:pPr>
        <w:tabs>
          <w:tab w:val="right" w:leader="dot" w:pos="8295"/>
        </w:tabs>
        <w:ind w:firstLine="480"/>
        <w:rPr>
          <w:rFonts w:ascii="宋体"/>
          <w:color w:val="auto"/>
          <w:szCs w:val="24"/>
          <w:highlight w:val="none"/>
        </w:rPr>
      </w:pPr>
      <w:r>
        <w:rPr>
          <w:rFonts w:hint="eastAsia" w:ascii="宋体"/>
          <w:color w:val="auto"/>
          <w:szCs w:val="24"/>
          <w:highlight w:val="none"/>
        </w:rPr>
        <w:t>（7）与本标段的监理人或代建人或招标代理机构相互控股或参股的；</w:t>
      </w:r>
    </w:p>
    <w:p w14:paraId="3E8112E7">
      <w:pPr>
        <w:tabs>
          <w:tab w:val="right" w:leader="dot" w:pos="8295"/>
        </w:tabs>
        <w:ind w:firstLine="480"/>
        <w:rPr>
          <w:rFonts w:ascii="宋体"/>
          <w:color w:val="auto"/>
          <w:szCs w:val="24"/>
          <w:highlight w:val="none"/>
        </w:rPr>
      </w:pPr>
      <w:r>
        <w:rPr>
          <w:rFonts w:hint="eastAsia" w:ascii="宋体"/>
          <w:color w:val="auto"/>
          <w:szCs w:val="24"/>
          <w:highlight w:val="none"/>
        </w:rPr>
        <w:t>（8）与本标段的监理人或代建人或招标代理机构相互任职或工作的；</w:t>
      </w:r>
    </w:p>
    <w:p w14:paraId="7EEFB214">
      <w:pPr>
        <w:tabs>
          <w:tab w:val="right" w:leader="dot" w:pos="8295"/>
        </w:tabs>
        <w:ind w:firstLine="480"/>
        <w:rPr>
          <w:rFonts w:ascii="宋体"/>
          <w:color w:val="auto"/>
          <w:szCs w:val="24"/>
          <w:highlight w:val="none"/>
        </w:rPr>
      </w:pPr>
      <w:r>
        <w:rPr>
          <w:rFonts w:hint="eastAsia" w:ascii="宋体"/>
          <w:color w:val="auto"/>
          <w:szCs w:val="24"/>
          <w:highlight w:val="none"/>
        </w:rPr>
        <w:t>（9）被责令停业的；</w:t>
      </w:r>
    </w:p>
    <w:p w14:paraId="18F96D2F">
      <w:pPr>
        <w:tabs>
          <w:tab w:val="right" w:leader="dot" w:pos="8295"/>
        </w:tabs>
        <w:ind w:firstLine="480"/>
        <w:rPr>
          <w:rFonts w:ascii="宋体"/>
          <w:color w:val="auto"/>
          <w:szCs w:val="24"/>
          <w:highlight w:val="none"/>
        </w:rPr>
      </w:pPr>
      <w:r>
        <w:rPr>
          <w:rFonts w:hint="eastAsia" w:ascii="宋体"/>
          <w:color w:val="auto"/>
          <w:szCs w:val="24"/>
          <w:highlight w:val="none"/>
        </w:rPr>
        <w:t>（10）被暂停或取消投标资格的；</w:t>
      </w:r>
    </w:p>
    <w:p w14:paraId="6A3020EF">
      <w:pPr>
        <w:tabs>
          <w:tab w:val="right" w:leader="dot" w:pos="8295"/>
        </w:tabs>
        <w:ind w:firstLine="480"/>
        <w:rPr>
          <w:rFonts w:ascii="宋体"/>
          <w:color w:val="auto"/>
          <w:szCs w:val="24"/>
          <w:highlight w:val="none"/>
        </w:rPr>
      </w:pPr>
      <w:r>
        <w:rPr>
          <w:rFonts w:hint="eastAsia" w:ascii="宋体"/>
          <w:color w:val="auto"/>
          <w:szCs w:val="24"/>
          <w:highlight w:val="none"/>
        </w:rPr>
        <w:t>（11）财产被接管或冻结的；</w:t>
      </w:r>
    </w:p>
    <w:p w14:paraId="7057DFBE">
      <w:pPr>
        <w:tabs>
          <w:tab w:val="right" w:leader="dot" w:pos="8295"/>
        </w:tabs>
        <w:ind w:firstLine="480"/>
        <w:rPr>
          <w:rFonts w:ascii="宋体"/>
          <w:color w:val="auto"/>
          <w:szCs w:val="24"/>
          <w:highlight w:val="none"/>
        </w:rPr>
      </w:pPr>
      <w:r>
        <w:rPr>
          <w:rFonts w:hint="eastAsia" w:ascii="宋体"/>
          <w:color w:val="auto"/>
          <w:szCs w:val="24"/>
          <w:highlight w:val="none"/>
        </w:rPr>
        <w:t>（12）项目负责人在投标截止时间在两个或两个以上单位注册或从业登记或有两个或两个以上单位为其缴纳社会保险的；</w:t>
      </w:r>
    </w:p>
    <w:p w14:paraId="6A47A77B">
      <w:pPr>
        <w:tabs>
          <w:tab w:val="right" w:leader="dot" w:pos="8295"/>
        </w:tabs>
        <w:ind w:firstLine="480"/>
        <w:rPr>
          <w:rFonts w:ascii="宋体"/>
          <w:color w:val="auto"/>
          <w:szCs w:val="24"/>
          <w:highlight w:val="none"/>
        </w:rPr>
      </w:pPr>
      <w:r>
        <w:rPr>
          <w:rFonts w:hint="eastAsia" w:ascii="宋体"/>
          <w:color w:val="auto"/>
          <w:szCs w:val="24"/>
          <w:highlight w:val="none"/>
        </w:rPr>
        <w:t>（13）投标人或其拟派项目负责人在投标截止时间有衢州市及所属县(市、区）的建设行政主管部门或招投标监管部门、浙江省住建厅或招投标监管部门、住建部正在公示的（以网络可查证文件为准）在招投标领域违法违规被行政处罚的（有期限的按期限，无期限的按发文之日起六个月计）；</w:t>
      </w:r>
    </w:p>
    <w:p w14:paraId="15A48D30">
      <w:pPr>
        <w:tabs>
          <w:tab w:val="right" w:leader="dot" w:pos="8295"/>
        </w:tabs>
        <w:ind w:firstLine="480"/>
        <w:rPr>
          <w:rFonts w:ascii="宋体"/>
          <w:color w:val="auto"/>
          <w:szCs w:val="24"/>
          <w:highlight w:val="none"/>
        </w:rPr>
      </w:pPr>
      <w:r>
        <w:rPr>
          <w:rFonts w:hint="eastAsia" w:ascii="宋体"/>
          <w:color w:val="auto"/>
          <w:szCs w:val="24"/>
          <w:highlight w:val="none"/>
        </w:rPr>
        <w:t>（14）与招标人存在利害关系可能影响招标公正性的法人、其他组织或者个人参加投标的。</w:t>
      </w:r>
    </w:p>
    <w:p w14:paraId="5813B8D4">
      <w:pPr>
        <w:pStyle w:val="5"/>
        <w:tabs>
          <w:tab w:val="right" w:leader="dot" w:pos="8295"/>
        </w:tabs>
        <w:rPr>
          <w:rFonts w:ascii="宋体" w:eastAsia="宋体"/>
          <w:b w:val="0"/>
          <w:color w:val="auto"/>
          <w:sz w:val="24"/>
          <w:szCs w:val="24"/>
          <w:highlight w:val="none"/>
        </w:rPr>
      </w:pPr>
      <w:bookmarkStart w:id="41" w:name="_Toc530660806"/>
      <w:r>
        <w:rPr>
          <w:rFonts w:hint="eastAsia" w:ascii="宋体" w:eastAsia="宋体"/>
          <w:b w:val="0"/>
          <w:color w:val="auto"/>
          <w:sz w:val="24"/>
          <w:szCs w:val="24"/>
          <w:highlight w:val="none"/>
        </w:rPr>
        <w:t>1.5 费用承担</w:t>
      </w:r>
      <w:bookmarkEnd w:id="41"/>
    </w:p>
    <w:p w14:paraId="4929FB90">
      <w:pPr>
        <w:tabs>
          <w:tab w:val="right" w:leader="dot" w:pos="8295"/>
        </w:tabs>
        <w:ind w:firstLine="480"/>
        <w:rPr>
          <w:rFonts w:ascii="宋体"/>
          <w:color w:val="auto"/>
          <w:szCs w:val="24"/>
          <w:highlight w:val="none"/>
        </w:rPr>
      </w:pPr>
      <w:r>
        <w:rPr>
          <w:rFonts w:hint="eastAsia" w:ascii="宋体"/>
          <w:color w:val="auto"/>
          <w:szCs w:val="24"/>
          <w:highlight w:val="none"/>
        </w:rPr>
        <w:t>投标人准备和参加投标活动发生的费用自理。</w:t>
      </w:r>
    </w:p>
    <w:p w14:paraId="15CA35D5">
      <w:pPr>
        <w:pStyle w:val="5"/>
        <w:tabs>
          <w:tab w:val="right" w:leader="dot" w:pos="8295"/>
        </w:tabs>
        <w:rPr>
          <w:rFonts w:ascii="宋体" w:eastAsia="宋体"/>
          <w:b w:val="0"/>
          <w:color w:val="auto"/>
          <w:sz w:val="24"/>
          <w:szCs w:val="24"/>
          <w:highlight w:val="none"/>
        </w:rPr>
      </w:pPr>
      <w:bookmarkStart w:id="42" w:name="_Toc530660807"/>
      <w:r>
        <w:rPr>
          <w:rFonts w:hint="eastAsia" w:ascii="宋体" w:eastAsia="宋体"/>
          <w:b w:val="0"/>
          <w:color w:val="auto"/>
          <w:sz w:val="24"/>
          <w:szCs w:val="24"/>
          <w:highlight w:val="none"/>
        </w:rPr>
        <w:t>1.6 保密</w:t>
      </w:r>
      <w:bookmarkEnd w:id="42"/>
    </w:p>
    <w:p w14:paraId="3CA894FD">
      <w:pPr>
        <w:tabs>
          <w:tab w:val="right" w:leader="dot" w:pos="8295"/>
        </w:tabs>
        <w:ind w:firstLine="480"/>
        <w:rPr>
          <w:rFonts w:ascii="宋体"/>
          <w:color w:val="auto"/>
          <w:szCs w:val="24"/>
          <w:highlight w:val="none"/>
        </w:rPr>
      </w:pPr>
      <w:r>
        <w:rPr>
          <w:rFonts w:hint="eastAsia" w:ascii="宋体"/>
          <w:color w:val="auto"/>
          <w:szCs w:val="24"/>
          <w:highlight w:val="none"/>
        </w:rPr>
        <w:t>参与招标投标活动的各方应对招标文件和投标文件中的商业和技术等秘密保密，违者应对由此造成的后果承担法律责任。</w:t>
      </w:r>
    </w:p>
    <w:p w14:paraId="10E9045C">
      <w:pPr>
        <w:pStyle w:val="5"/>
        <w:tabs>
          <w:tab w:val="right" w:leader="dot" w:pos="8295"/>
        </w:tabs>
        <w:rPr>
          <w:rFonts w:ascii="宋体" w:eastAsia="宋体"/>
          <w:b w:val="0"/>
          <w:color w:val="auto"/>
          <w:sz w:val="24"/>
          <w:szCs w:val="24"/>
          <w:highlight w:val="none"/>
        </w:rPr>
      </w:pPr>
      <w:bookmarkStart w:id="43" w:name="_Toc530660808"/>
      <w:r>
        <w:rPr>
          <w:rFonts w:hint="eastAsia" w:ascii="宋体" w:eastAsia="宋体"/>
          <w:b w:val="0"/>
          <w:color w:val="auto"/>
          <w:sz w:val="24"/>
          <w:szCs w:val="24"/>
          <w:highlight w:val="none"/>
        </w:rPr>
        <w:t>1.7 语言文字</w:t>
      </w:r>
      <w:bookmarkEnd w:id="43"/>
    </w:p>
    <w:p w14:paraId="07B28FED">
      <w:pPr>
        <w:tabs>
          <w:tab w:val="right" w:leader="dot" w:pos="8295"/>
        </w:tabs>
        <w:ind w:firstLine="480"/>
        <w:rPr>
          <w:rFonts w:ascii="宋体"/>
          <w:color w:val="auto"/>
          <w:szCs w:val="24"/>
          <w:highlight w:val="none"/>
        </w:rPr>
      </w:pPr>
      <w:r>
        <w:rPr>
          <w:rFonts w:hint="eastAsia" w:ascii="宋体"/>
          <w:color w:val="auto"/>
          <w:szCs w:val="24"/>
          <w:highlight w:val="none"/>
        </w:rPr>
        <w:t>除专用术语外，与招标投标有关的语言均使用中文。必要时专用术语应附有中文注释。</w:t>
      </w:r>
    </w:p>
    <w:p w14:paraId="078A414A">
      <w:pPr>
        <w:pStyle w:val="5"/>
        <w:tabs>
          <w:tab w:val="right" w:leader="dot" w:pos="8295"/>
        </w:tabs>
        <w:rPr>
          <w:rFonts w:ascii="宋体" w:eastAsia="宋体"/>
          <w:b w:val="0"/>
          <w:color w:val="auto"/>
          <w:sz w:val="24"/>
          <w:szCs w:val="24"/>
          <w:highlight w:val="none"/>
        </w:rPr>
      </w:pPr>
      <w:bookmarkStart w:id="44" w:name="_Toc530660809"/>
      <w:r>
        <w:rPr>
          <w:rFonts w:hint="eastAsia" w:ascii="宋体" w:eastAsia="宋体"/>
          <w:b w:val="0"/>
          <w:color w:val="auto"/>
          <w:sz w:val="24"/>
          <w:szCs w:val="24"/>
          <w:highlight w:val="none"/>
        </w:rPr>
        <w:t>1.8 计量单位</w:t>
      </w:r>
      <w:bookmarkEnd w:id="44"/>
    </w:p>
    <w:p w14:paraId="08FF9479">
      <w:pPr>
        <w:tabs>
          <w:tab w:val="right" w:leader="dot" w:pos="8295"/>
        </w:tabs>
        <w:ind w:firstLine="480"/>
        <w:rPr>
          <w:rFonts w:ascii="宋体"/>
          <w:color w:val="auto"/>
          <w:szCs w:val="24"/>
          <w:highlight w:val="none"/>
        </w:rPr>
      </w:pPr>
      <w:r>
        <w:rPr>
          <w:rFonts w:hint="eastAsia" w:ascii="宋体"/>
          <w:color w:val="auto"/>
          <w:szCs w:val="24"/>
          <w:highlight w:val="none"/>
        </w:rPr>
        <w:t>所有计量均采用中华人民共和国法定计量单位。</w:t>
      </w:r>
    </w:p>
    <w:p w14:paraId="3D0F73B2">
      <w:pPr>
        <w:pStyle w:val="5"/>
        <w:tabs>
          <w:tab w:val="right" w:leader="dot" w:pos="8295"/>
        </w:tabs>
        <w:rPr>
          <w:rFonts w:ascii="宋体" w:eastAsia="宋体"/>
          <w:b w:val="0"/>
          <w:color w:val="auto"/>
          <w:sz w:val="24"/>
          <w:szCs w:val="24"/>
          <w:highlight w:val="none"/>
        </w:rPr>
      </w:pPr>
      <w:bookmarkStart w:id="45" w:name="_Toc530660810"/>
      <w:r>
        <w:rPr>
          <w:rFonts w:hint="eastAsia" w:ascii="宋体" w:eastAsia="宋体"/>
          <w:b w:val="0"/>
          <w:color w:val="auto"/>
          <w:sz w:val="24"/>
          <w:szCs w:val="24"/>
          <w:highlight w:val="none"/>
        </w:rPr>
        <w:t>1.9 踏勘现场</w:t>
      </w:r>
      <w:bookmarkEnd w:id="45"/>
    </w:p>
    <w:p w14:paraId="39016299">
      <w:pPr>
        <w:tabs>
          <w:tab w:val="right" w:leader="dot" w:pos="8295"/>
        </w:tabs>
        <w:ind w:firstLine="480"/>
        <w:rPr>
          <w:rFonts w:ascii="宋体"/>
          <w:color w:val="auto"/>
          <w:szCs w:val="24"/>
          <w:highlight w:val="none"/>
        </w:rPr>
      </w:pPr>
      <w:r>
        <w:rPr>
          <w:rFonts w:hint="eastAsia" w:ascii="宋体"/>
          <w:color w:val="auto"/>
          <w:szCs w:val="24"/>
          <w:highlight w:val="none"/>
        </w:rPr>
        <w:t>1.9.1 投标人须知前附表规定组织踏勘现场的，招标人按投标人须知前附表规定的时间、地点组织投标人踏勘项目现场。</w:t>
      </w:r>
    </w:p>
    <w:p w14:paraId="3AF687BB">
      <w:pPr>
        <w:tabs>
          <w:tab w:val="right" w:leader="dot" w:pos="8295"/>
        </w:tabs>
        <w:ind w:firstLine="480"/>
        <w:rPr>
          <w:rFonts w:ascii="宋体"/>
          <w:color w:val="auto"/>
          <w:szCs w:val="24"/>
          <w:highlight w:val="none"/>
        </w:rPr>
      </w:pPr>
      <w:r>
        <w:rPr>
          <w:rFonts w:hint="eastAsia" w:ascii="宋体"/>
          <w:color w:val="auto"/>
          <w:szCs w:val="24"/>
          <w:highlight w:val="none"/>
        </w:rPr>
        <w:t>1.9.2 投标人踏勘现场发生的费用自理。</w:t>
      </w:r>
    </w:p>
    <w:p w14:paraId="3BB3542F">
      <w:pPr>
        <w:tabs>
          <w:tab w:val="right" w:leader="dot" w:pos="8295"/>
        </w:tabs>
        <w:ind w:firstLine="480"/>
        <w:rPr>
          <w:rFonts w:ascii="宋体"/>
          <w:color w:val="auto"/>
          <w:szCs w:val="24"/>
          <w:highlight w:val="none"/>
        </w:rPr>
      </w:pPr>
      <w:r>
        <w:rPr>
          <w:rFonts w:hint="eastAsia" w:ascii="宋体"/>
          <w:color w:val="auto"/>
          <w:szCs w:val="24"/>
          <w:highlight w:val="none"/>
        </w:rPr>
        <w:t>1.9.3 除招标人的原因外，投标人自行负责在踏勘现场中所发生的人员伤亡和财产损失。</w:t>
      </w:r>
    </w:p>
    <w:p w14:paraId="4A345E16">
      <w:pPr>
        <w:tabs>
          <w:tab w:val="right" w:leader="dot" w:pos="8295"/>
        </w:tabs>
        <w:ind w:firstLine="480"/>
        <w:rPr>
          <w:rFonts w:ascii="宋体"/>
          <w:color w:val="auto"/>
          <w:szCs w:val="24"/>
          <w:highlight w:val="none"/>
        </w:rPr>
      </w:pPr>
      <w:r>
        <w:rPr>
          <w:rFonts w:hint="eastAsia" w:ascii="宋体"/>
          <w:color w:val="auto"/>
          <w:szCs w:val="24"/>
          <w:highlight w:val="none"/>
        </w:rPr>
        <w:t>1.9.4 招标人在踏勘现场中介绍的工程场地和相关的周边环境情况，供投标人在编制投标文件时参考，招标人不对投标人据此作出的判断和决策负责。</w:t>
      </w:r>
    </w:p>
    <w:p w14:paraId="601A91B6">
      <w:pPr>
        <w:pStyle w:val="5"/>
        <w:tabs>
          <w:tab w:val="right" w:leader="dot" w:pos="8295"/>
        </w:tabs>
        <w:rPr>
          <w:rFonts w:ascii="宋体" w:eastAsia="宋体"/>
          <w:b w:val="0"/>
          <w:color w:val="auto"/>
          <w:sz w:val="24"/>
          <w:szCs w:val="24"/>
          <w:highlight w:val="none"/>
        </w:rPr>
      </w:pPr>
      <w:bookmarkStart w:id="46" w:name="_Toc530660811"/>
      <w:r>
        <w:rPr>
          <w:rFonts w:hint="eastAsia" w:ascii="宋体" w:eastAsia="宋体"/>
          <w:b w:val="0"/>
          <w:color w:val="auto"/>
          <w:sz w:val="24"/>
          <w:szCs w:val="24"/>
          <w:highlight w:val="none"/>
        </w:rPr>
        <w:t>1.10 投标预备会</w:t>
      </w:r>
      <w:bookmarkEnd w:id="46"/>
    </w:p>
    <w:p w14:paraId="50657A62">
      <w:pPr>
        <w:tabs>
          <w:tab w:val="right" w:leader="dot" w:pos="8295"/>
        </w:tabs>
        <w:ind w:firstLine="480"/>
        <w:rPr>
          <w:rFonts w:ascii="宋体"/>
          <w:color w:val="auto"/>
          <w:szCs w:val="24"/>
          <w:highlight w:val="none"/>
        </w:rPr>
      </w:pPr>
      <w:r>
        <w:rPr>
          <w:rFonts w:hint="eastAsia" w:ascii="宋体"/>
          <w:color w:val="auto"/>
          <w:szCs w:val="24"/>
          <w:highlight w:val="none"/>
        </w:rPr>
        <w:t>1.10.1 投标人须知前附表规定召开投标预备会的，招标人按投标人须知前附表规定的时间和地点召开投标预备会，澄清投标人提出的问题。</w:t>
      </w:r>
    </w:p>
    <w:p w14:paraId="36CC0DBA">
      <w:pPr>
        <w:tabs>
          <w:tab w:val="right" w:leader="dot" w:pos="8295"/>
        </w:tabs>
        <w:ind w:firstLine="480"/>
        <w:rPr>
          <w:rFonts w:ascii="宋体"/>
          <w:color w:val="auto"/>
          <w:szCs w:val="24"/>
          <w:highlight w:val="none"/>
        </w:rPr>
      </w:pPr>
      <w:r>
        <w:rPr>
          <w:rFonts w:hint="eastAsia" w:ascii="宋体"/>
          <w:color w:val="auto"/>
          <w:szCs w:val="24"/>
          <w:highlight w:val="none"/>
        </w:rPr>
        <w:t>1.10.2投标人提出问题的截止时间、上传疑问方式详见投标人须知前附表。</w:t>
      </w:r>
    </w:p>
    <w:p w14:paraId="5D3A14DF">
      <w:pPr>
        <w:tabs>
          <w:tab w:val="right" w:leader="dot" w:pos="8295"/>
        </w:tabs>
        <w:ind w:firstLine="480"/>
        <w:rPr>
          <w:rFonts w:ascii="宋体"/>
          <w:color w:val="auto"/>
          <w:szCs w:val="24"/>
          <w:highlight w:val="none"/>
        </w:rPr>
      </w:pPr>
      <w:r>
        <w:rPr>
          <w:rFonts w:hint="eastAsia" w:ascii="宋体"/>
          <w:color w:val="auto"/>
          <w:szCs w:val="24"/>
          <w:highlight w:val="none"/>
        </w:rPr>
        <w:t>1.10.3招标文件的澄清、补充、修改的时间及下载网址详见投标人须知前附表。</w:t>
      </w:r>
    </w:p>
    <w:p w14:paraId="74AB00BE">
      <w:pPr>
        <w:pStyle w:val="5"/>
        <w:tabs>
          <w:tab w:val="right" w:leader="dot" w:pos="8295"/>
        </w:tabs>
        <w:rPr>
          <w:rFonts w:ascii="宋体" w:eastAsia="宋体"/>
          <w:b w:val="0"/>
          <w:color w:val="auto"/>
          <w:sz w:val="24"/>
          <w:szCs w:val="24"/>
          <w:highlight w:val="none"/>
        </w:rPr>
      </w:pPr>
      <w:bookmarkStart w:id="47" w:name="_Toc530660812"/>
      <w:r>
        <w:rPr>
          <w:rFonts w:hint="eastAsia" w:ascii="宋体" w:eastAsia="宋体"/>
          <w:b w:val="0"/>
          <w:color w:val="auto"/>
          <w:sz w:val="24"/>
          <w:szCs w:val="24"/>
          <w:highlight w:val="none"/>
        </w:rPr>
        <w:t>1.11 分包</w:t>
      </w:r>
      <w:bookmarkEnd w:id="47"/>
    </w:p>
    <w:p w14:paraId="2D9FEE71">
      <w:pPr>
        <w:tabs>
          <w:tab w:val="right" w:leader="dot" w:pos="8295"/>
        </w:tabs>
        <w:ind w:firstLine="480"/>
        <w:rPr>
          <w:rFonts w:ascii="宋体"/>
          <w:color w:val="auto"/>
          <w:szCs w:val="24"/>
          <w:highlight w:val="none"/>
        </w:rPr>
      </w:pPr>
      <w:r>
        <w:rPr>
          <w:rFonts w:hint="eastAsia" w:ascii="宋体"/>
          <w:color w:val="auto"/>
          <w:szCs w:val="24"/>
          <w:highlight w:val="none"/>
        </w:rPr>
        <w:t>投标人拟在中标后将中标项目的部分非主体、非关键性工作进行分包的，应符合投标人须知前附表规定的分包内容、分包金额和接受分包的第三人资质要求等限制性条件。</w:t>
      </w:r>
    </w:p>
    <w:p w14:paraId="28E59F6D">
      <w:pPr>
        <w:pStyle w:val="5"/>
        <w:tabs>
          <w:tab w:val="right" w:leader="dot" w:pos="8295"/>
        </w:tabs>
        <w:rPr>
          <w:rFonts w:ascii="宋体" w:eastAsia="宋体"/>
          <w:b w:val="0"/>
          <w:color w:val="auto"/>
          <w:sz w:val="24"/>
          <w:szCs w:val="24"/>
          <w:highlight w:val="none"/>
        </w:rPr>
      </w:pPr>
      <w:bookmarkStart w:id="48" w:name="_Toc530660813"/>
      <w:r>
        <w:rPr>
          <w:rFonts w:hint="eastAsia" w:ascii="宋体" w:eastAsia="宋体"/>
          <w:b w:val="0"/>
          <w:color w:val="auto"/>
          <w:sz w:val="24"/>
          <w:szCs w:val="24"/>
          <w:highlight w:val="none"/>
        </w:rPr>
        <w:t>1.12 偏离</w:t>
      </w:r>
      <w:bookmarkEnd w:id="48"/>
    </w:p>
    <w:p w14:paraId="134B32BD">
      <w:pPr>
        <w:tabs>
          <w:tab w:val="right" w:leader="dot" w:pos="8295"/>
        </w:tabs>
        <w:ind w:firstLine="480"/>
        <w:rPr>
          <w:rFonts w:ascii="宋体"/>
          <w:color w:val="auto"/>
          <w:szCs w:val="24"/>
          <w:highlight w:val="none"/>
        </w:rPr>
      </w:pPr>
      <w:r>
        <w:rPr>
          <w:rFonts w:hint="eastAsia" w:ascii="宋体"/>
          <w:color w:val="auto"/>
          <w:szCs w:val="24"/>
          <w:highlight w:val="none"/>
        </w:rPr>
        <w:t>投标人须知前附表允许投标文件偏离招标文件某些要求的，偏离应当符合招标文件规定的偏离范围和幅度。</w:t>
      </w:r>
    </w:p>
    <w:p w14:paraId="0A54960B">
      <w:pPr>
        <w:tabs>
          <w:tab w:val="right" w:leader="dot" w:pos="8295"/>
        </w:tabs>
        <w:ind w:firstLine="480"/>
        <w:rPr>
          <w:rFonts w:ascii="宋体"/>
          <w:color w:val="auto"/>
          <w:szCs w:val="24"/>
          <w:highlight w:val="none"/>
        </w:rPr>
      </w:pPr>
    </w:p>
    <w:p w14:paraId="3D69B402">
      <w:pPr>
        <w:pStyle w:val="4"/>
        <w:tabs>
          <w:tab w:val="right" w:leader="dot" w:pos="8295"/>
        </w:tabs>
        <w:ind w:firstLine="482" w:firstLineChars="200"/>
        <w:rPr>
          <w:rFonts w:ascii="宋体" w:eastAsia="宋体"/>
          <w:color w:val="auto"/>
          <w:sz w:val="24"/>
          <w:szCs w:val="24"/>
          <w:highlight w:val="none"/>
        </w:rPr>
      </w:pPr>
      <w:bookmarkStart w:id="49" w:name="_Toc494121479"/>
      <w:bookmarkStart w:id="50" w:name="_Toc184635072"/>
      <w:bookmarkStart w:id="51" w:name="_Toc530660814"/>
      <w:r>
        <w:rPr>
          <w:rFonts w:hint="eastAsia" w:ascii="宋体" w:eastAsia="宋体"/>
          <w:color w:val="auto"/>
          <w:sz w:val="24"/>
          <w:szCs w:val="24"/>
          <w:highlight w:val="none"/>
        </w:rPr>
        <w:t>2．招标文件</w:t>
      </w:r>
      <w:bookmarkEnd w:id="49"/>
      <w:bookmarkEnd w:id="50"/>
      <w:bookmarkEnd w:id="51"/>
    </w:p>
    <w:p w14:paraId="66159C30">
      <w:pPr>
        <w:pStyle w:val="5"/>
        <w:tabs>
          <w:tab w:val="right" w:leader="dot" w:pos="8295"/>
        </w:tabs>
        <w:rPr>
          <w:rFonts w:ascii="宋体" w:eastAsia="宋体"/>
          <w:b w:val="0"/>
          <w:color w:val="auto"/>
          <w:sz w:val="24"/>
          <w:szCs w:val="24"/>
          <w:highlight w:val="none"/>
        </w:rPr>
      </w:pPr>
      <w:bookmarkStart w:id="52" w:name="_Toc530660815"/>
      <w:r>
        <w:rPr>
          <w:rFonts w:hint="eastAsia" w:ascii="宋体" w:eastAsia="宋体"/>
          <w:b w:val="0"/>
          <w:color w:val="auto"/>
          <w:sz w:val="24"/>
          <w:szCs w:val="24"/>
          <w:highlight w:val="none"/>
        </w:rPr>
        <w:t>2.1 招标文件的组成</w:t>
      </w:r>
      <w:bookmarkEnd w:id="52"/>
    </w:p>
    <w:p w14:paraId="398DC110">
      <w:pPr>
        <w:tabs>
          <w:tab w:val="right" w:leader="dot" w:pos="8295"/>
        </w:tabs>
        <w:ind w:firstLine="480"/>
        <w:rPr>
          <w:rFonts w:ascii="宋体"/>
          <w:color w:val="auto"/>
          <w:szCs w:val="24"/>
          <w:highlight w:val="none"/>
        </w:rPr>
      </w:pPr>
      <w:r>
        <w:rPr>
          <w:rFonts w:hint="eastAsia" w:ascii="宋体"/>
          <w:color w:val="auto"/>
          <w:szCs w:val="24"/>
          <w:highlight w:val="none"/>
        </w:rPr>
        <w:t>本招标文件包括：</w:t>
      </w:r>
    </w:p>
    <w:p w14:paraId="7B018BB8">
      <w:pPr>
        <w:tabs>
          <w:tab w:val="right" w:leader="dot" w:pos="8295"/>
        </w:tabs>
        <w:ind w:firstLine="480"/>
        <w:rPr>
          <w:rFonts w:ascii="宋体"/>
          <w:color w:val="auto"/>
          <w:szCs w:val="24"/>
          <w:highlight w:val="none"/>
        </w:rPr>
      </w:pPr>
      <w:r>
        <w:rPr>
          <w:rFonts w:hint="eastAsia" w:ascii="宋体"/>
          <w:color w:val="auto"/>
          <w:szCs w:val="24"/>
          <w:highlight w:val="none"/>
        </w:rPr>
        <w:t>（1）招标公告；</w:t>
      </w:r>
    </w:p>
    <w:p w14:paraId="063A3541">
      <w:pPr>
        <w:tabs>
          <w:tab w:val="right" w:leader="dot" w:pos="8295"/>
        </w:tabs>
        <w:ind w:firstLine="480"/>
        <w:rPr>
          <w:rFonts w:ascii="宋体"/>
          <w:color w:val="auto"/>
          <w:szCs w:val="24"/>
          <w:highlight w:val="none"/>
        </w:rPr>
      </w:pPr>
      <w:r>
        <w:rPr>
          <w:rFonts w:hint="eastAsia" w:ascii="宋体"/>
          <w:color w:val="auto"/>
          <w:szCs w:val="24"/>
          <w:highlight w:val="none"/>
        </w:rPr>
        <w:t>（2）投标人须知；</w:t>
      </w:r>
    </w:p>
    <w:p w14:paraId="1A50B08E">
      <w:pPr>
        <w:tabs>
          <w:tab w:val="right" w:leader="dot" w:pos="8295"/>
        </w:tabs>
        <w:ind w:firstLine="480"/>
        <w:rPr>
          <w:rFonts w:ascii="宋体"/>
          <w:color w:val="auto"/>
          <w:szCs w:val="24"/>
          <w:highlight w:val="none"/>
        </w:rPr>
      </w:pPr>
      <w:r>
        <w:rPr>
          <w:rFonts w:hint="eastAsia" w:ascii="宋体"/>
          <w:color w:val="auto"/>
          <w:szCs w:val="24"/>
          <w:highlight w:val="none"/>
        </w:rPr>
        <w:t>（3）评标办法；</w:t>
      </w:r>
    </w:p>
    <w:p w14:paraId="27F133DF">
      <w:pPr>
        <w:tabs>
          <w:tab w:val="right" w:leader="dot" w:pos="8295"/>
        </w:tabs>
        <w:ind w:firstLine="480"/>
        <w:rPr>
          <w:rFonts w:ascii="宋体"/>
          <w:color w:val="auto"/>
          <w:szCs w:val="24"/>
          <w:highlight w:val="none"/>
        </w:rPr>
      </w:pPr>
      <w:r>
        <w:rPr>
          <w:rFonts w:hint="eastAsia" w:ascii="宋体"/>
          <w:color w:val="auto"/>
          <w:szCs w:val="24"/>
          <w:highlight w:val="none"/>
        </w:rPr>
        <w:t>（4）合同条款及格式；</w:t>
      </w:r>
    </w:p>
    <w:p w14:paraId="3E7E70AC">
      <w:pPr>
        <w:tabs>
          <w:tab w:val="right" w:leader="dot" w:pos="8295"/>
        </w:tabs>
        <w:ind w:firstLine="480"/>
        <w:rPr>
          <w:rFonts w:ascii="宋体"/>
          <w:color w:val="auto"/>
          <w:szCs w:val="24"/>
          <w:highlight w:val="none"/>
        </w:rPr>
      </w:pPr>
      <w:r>
        <w:rPr>
          <w:rFonts w:hint="eastAsia" w:ascii="宋体"/>
          <w:color w:val="auto"/>
          <w:szCs w:val="24"/>
          <w:highlight w:val="none"/>
        </w:rPr>
        <w:t>（5）图纸；</w:t>
      </w:r>
    </w:p>
    <w:p w14:paraId="2F788083">
      <w:pPr>
        <w:tabs>
          <w:tab w:val="right" w:leader="dot" w:pos="8295"/>
        </w:tabs>
        <w:ind w:firstLine="480"/>
        <w:rPr>
          <w:rFonts w:ascii="宋体"/>
          <w:color w:val="auto"/>
          <w:szCs w:val="24"/>
          <w:highlight w:val="none"/>
        </w:rPr>
      </w:pPr>
      <w:r>
        <w:rPr>
          <w:rFonts w:hint="eastAsia" w:ascii="宋体"/>
          <w:color w:val="auto"/>
          <w:szCs w:val="24"/>
          <w:highlight w:val="none"/>
        </w:rPr>
        <w:t>（6）技术标准和要求；</w:t>
      </w:r>
    </w:p>
    <w:p w14:paraId="63C55BC8">
      <w:pPr>
        <w:tabs>
          <w:tab w:val="right" w:leader="dot" w:pos="8295"/>
        </w:tabs>
        <w:ind w:firstLine="480"/>
        <w:rPr>
          <w:rFonts w:ascii="宋体"/>
          <w:color w:val="auto"/>
          <w:szCs w:val="24"/>
          <w:highlight w:val="none"/>
        </w:rPr>
      </w:pPr>
      <w:r>
        <w:rPr>
          <w:rFonts w:hint="eastAsia" w:ascii="宋体"/>
          <w:color w:val="auto"/>
          <w:szCs w:val="24"/>
          <w:highlight w:val="none"/>
        </w:rPr>
        <w:t>（7）投标文件格式；</w:t>
      </w:r>
    </w:p>
    <w:p w14:paraId="7419F466">
      <w:pPr>
        <w:tabs>
          <w:tab w:val="right" w:leader="dot" w:pos="8295"/>
        </w:tabs>
        <w:ind w:firstLine="480"/>
        <w:rPr>
          <w:rFonts w:ascii="宋体"/>
          <w:color w:val="auto"/>
          <w:szCs w:val="24"/>
          <w:highlight w:val="none"/>
        </w:rPr>
      </w:pPr>
      <w:r>
        <w:rPr>
          <w:rFonts w:hint="eastAsia" w:ascii="宋体"/>
          <w:color w:val="auto"/>
          <w:szCs w:val="24"/>
          <w:highlight w:val="none"/>
        </w:rPr>
        <w:t>（8）投标人须知前附表规定的其他资料。</w:t>
      </w:r>
    </w:p>
    <w:p w14:paraId="04DE70A4">
      <w:pPr>
        <w:tabs>
          <w:tab w:val="right" w:leader="dot" w:pos="8295"/>
        </w:tabs>
        <w:ind w:firstLine="480"/>
        <w:rPr>
          <w:rFonts w:ascii="宋体"/>
          <w:color w:val="auto"/>
          <w:szCs w:val="24"/>
          <w:highlight w:val="none"/>
        </w:rPr>
      </w:pPr>
      <w:r>
        <w:rPr>
          <w:rFonts w:hint="eastAsia" w:ascii="宋体"/>
          <w:color w:val="auto"/>
          <w:szCs w:val="24"/>
          <w:highlight w:val="none"/>
        </w:rPr>
        <w:t>根据本章第1.10 款、第2.2 款和第2.3 款对招标文件所作的澄清、修改，构成招标文件的组成部分。</w:t>
      </w:r>
    </w:p>
    <w:p w14:paraId="25F16A0F">
      <w:pPr>
        <w:pStyle w:val="5"/>
        <w:tabs>
          <w:tab w:val="right" w:leader="dot" w:pos="8295"/>
        </w:tabs>
        <w:rPr>
          <w:rFonts w:ascii="宋体" w:eastAsia="宋体"/>
          <w:b w:val="0"/>
          <w:color w:val="auto"/>
          <w:sz w:val="24"/>
          <w:szCs w:val="24"/>
          <w:highlight w:val="none"/>
        </w:rPr>
      </w:pPr>
      <w:bookmarkStart w:id="53" w:name="_Toc530660816"/>
      <w:r>
        <w:rPr>
          <w:rFonts w:hint="eastAsia" w:ascii="宋体" w:eastAsia="宋体"/>
          <w:b w:val="0"/>
          <w:color w:val="auto"/>
          <w:sz w:val="24"/>
          <w:szCs w:val="24"/>
          <w:highlight w:val="none"/>
        </w:rPr>
        <w:t>2.2 招标文件的澄清</w:t>
      </w:r>
      <w:bookmarkEnd w:id="53"/>
    </w:p>
    <w:p w14:paraId="7DB6B5B3">
      <w:pPr>
        <w:tabs>
          <w:tab w:val="right" w:leader="dot" w:pos="8295"/>
        </w:tabs>
        <w:ind w:firstLine="480"/>
        <w:rPr>
          <w:rFonts w:ascii="宋体"/>
          <w:color w:val="auto"/>
          <w:szCs w:val="24"/>
          <w:highlight w:val="none"/>
        </w:rPr>
      </w:pPr>
      <w:r>
        <w:rPr>
          <w:rFonts w:hint="eastAsia" w:ascii="宋体"/>
          <w:color w:val="auto"/>
          <w:szCs w:val="24"/>
          <w:highlight w:val="none"/>
        </w:rPr>
        <w:t>2.2.1 投标人应仔细阅读和检查招标文件的全部内容。如发现缺页或附件不全，应及时向招标人提出，以便补齐。如有疑问，应在投标人须知前附表规定的时间前通过衢州市公共资源电子交易系统提出，要求招标人对招标文件予以澄清。</w:t>
      </w:r>
    </w:p>
    <w:p w14:paraId="4C22335E">
      <w:pPr>
        <w:tabs>
          <w:tab w:val="right" w:leader="dot" w:pos="8295"/>
        </w:tabs>
        <w:ind w:firstLine="480"/>
        <w:rPr>
          <w:rFonts w:ascii="宋体"/>
          <w:color w:val="auto"/>
          <w:szCs w:val="24"/>
          <w:highlight w:val="none"/>
        </w:rPr>
      </w:pPr>
      <w:r>
        <w:rPr>
          <w:rFonts w:hint="eastAsia" w:ascii="宋体"/>
          <w:color w:val="auto"/>
          <w:szCs w:val="24"/>
          <w:highlight w:val="none"/>
        </w:rPr>
        <w:t>2.2.2 招标文件的澄清将在投标人须知前附表1.10.3规定的时间前通过衢州市市县一体公共资源交易平台发布公告，并在衢州公共资源交易平台供潜在投标人下载，但不指明澄清问题的来源。</w:t>
      </w:r>
    </w:p>
    <w:p w14:paraId="08502B04">
      <w:pPr>
        <w:tabs>
          <w:tab w:val="right" w:leader="dot" w:pos="8295"/>
        </w:tabs>
        <w:ind w:firstLine="480"/>
        <w:rPr>
          <w:rFonts w:ascii="宋体"/>
          <w:color w:val="auto"/>
          <w:szCs w:val="24"/>
          <w:highlight w:val="none"/>
        </w:rPr>
      </w:pPr>
      <w:r>
        <w:rPr>
          <w:rFonts w:hint="eastAsia" w:ascii="宋体"/>
          <w:color w:val="auto"/>
          <w:szCs w:val="24"/>
          <w:highlight w:val="none"/>
        </w:rPr>
        <w:t>2.2.3投标人应自行关注衢州市市县一体公共资源交易平台（https://ggzy.qz.gov.cn/）公告和供下载内容，招标人不再一一通知。投标人因自身贻误行为导致投标失败的，责任自负。</w:t>
      </w:r>
    </w:p>
    <w:p w14:paraId="2A8A731C">
      <w:pPr>
        <w:pStyle w:val="5"/>
        <w:tabs>
          <w:tab w:val="right" w:leader="dot" w:pos="8295"/>
        </w:tabs>
        <w:rPr>
          <w:rFonts w:ascii="宋体" w:eastAsia="宋体"/>
          <w:b w:val="0"/>
          <w:color w:val="auto"/>
          <w:sz w:val="24"/>
          <w:szCs w:val="24"/>
          <w:highlight w:val="none"/>
        </w:rPr>
      </w:pPr>
      <w:bookmarkStart w:id="54" w:name="_Toc530660817"/>
      <w:r>
        <w:rPr>
          <w:rFonts w:hint="eastAsia" w:ascii="宋体" w:eastAsia="宋体"/>
          <w:b w:val="0"/>
          <w:color w:val="auto"/>
          <w:sz w:val="24"/>
          <w:szCs w:val="24"/>
          <w:highlight w:val="none"/>
        </w:rPr>
        <w:t>2.3 招标文件的修改</w:t>
      </w:r>
      <w:bookmarkEnd w:id="54"/>
    </w:p>
    <w:p w14:paraId="09775027">
      <w:pPr>
        <w:tabs>
          <w:tab w:val="right" w:leader="dot" w:pos="8295"/>
        </w:tabs>
        <w:ind w:firstLine="480"/>
        <w:rPr>
          <w:rFonts w:ascii="宋体"/>
          <w:color w:val="auto"/>
          <w:szCs w:val="24"/>
          <w:highlight w:val="none"/>
        </w:rPr>
      </w:pPr>
      <w:r>
        <w:rPr>
          <w:rFonts w:hint="eastAsia" w:ascii="宋体"/>
          <w:color w:val="auto"/>
          <w:szCs w:val="24"/>
          <w:highlight w:val="none"/>
        </w:rPr>
        <w:t>2.3.1 在投标人须知前附表1.10.3规定的时间前，招标人可以修改招标文件，并在衢州市市县一体公共资源交易平台（https://ggzy.qz.gov.cn/）发布公告。</w:t>
      </w:r>
    </w:p>
    <w:p w14:paraId="3C1AED4A">
      <w:pPr>
        <w:pStyle w:val="4"/>
        <w:tabs>
          <w:tab w:val="right" w:leader="dot" w:pos="8295"/>
        </w:tabs>
        <w:ind w:firstLine="482" w:firstLineChars="200"/>
        <w:rPr>
          <w:rFonts w:ascii="宋体" w:eastAsia="宋体"/>
          <w:color w:val="auto"/>
          <w:sz w:val="24"/>
          <w:szCs w:val="24"/>
          <w:highlight w:val="none"/>
        </w:rPr>
      </w:pPr>
      <w:bookmarkStart w:id="55" w:name="_Toc530660818"/>
      <w:bookmarkStart w:id="56" w:name="_Toc184635073"/>
      <w:bookmarkStart w:id="57" w:name="_Toc494121480"/>
      <w:r>
        <w:rPr>
          <w:rFonts w:hint="eastAsia" w:ascii="宋体" w:eastAsia="宋体"/>
          <w:color w:val="auto"/>
          <w:sz w:val="24"/>
          <w:szCs w:val="24"/>
          <w:highlight w:val="none"/>
        </w:rPr>
        <w:t>3．投标文件</w:t>
      </w:r>
      <w:bookmarkEnd w:id="55"/>
      <w:bookmarkEnd w:id="56"/>
      <w:bookmarkEnd w:id="57"/>
    </w:p>
    <w:p w14:paraId="3738381A">
      <w:pPr>
        <w:pStyle w:val="5"/>
        <w:tabs>
          <w:tab w:val="right" w:leader="dot" w:pos="8295"/>
        </w:tabs>
        <w:rPr>
          <w:rFonts w:ascii="宋体" w:eastAsia="宋体"/>
          <w:b w:val="0"/>
          <w:color w:val="auto"/>
          <w:sz w:val="24"/>
          <w:szCs w:val="24"/>
          <w:highlight w:val="none"/>
        </w:rPr>
      </w:pPr>
      <w:bookmarkStart w:id="58" w:name="_Toc530660819"/>
      <w:r>
        <w:rPr>
          <w:rFonts w:hint="eastAsia" w:ascii="宋体" w:eastAsia="宋体"/>
          <w:b w:val="0"/>
          <w:color w:val="auto"/>
          <w:sz w:val="24"/>
          <w:szCs w:val="24"/>
          <w:highlight w:val="none"/>
        </w:rPr>
        <w:t>3.1 投标文件的组成</w:t>
      </w:r>
      <w:bookmarkEnd w:id="58"/>
    </w:p>
    <w:p w14:paraId="0DD5B98D">
      <w:pPr>
        <w:tabs>
          <w:tab w:val="right" w:leader="dot" w:pos="8295"/>
        </w:tabs>
        <w:ind w:firstLine="480"/>
        <w:rPr>
          <w:rFonts w:ascii="宋体"/>
          <w:color w:val="auto"/>
          <w:szCs w:val="24"/>
          <w:highlight w:val="none"/>
        </w:rPr>
      </w:pPr>
      <w:r>
        <w:rPr>
          <w:rFonts w:hint="eastAsia" w:ascii="宋体"/>
          <w:color w:val="auto"/>
          <w:szCs w:val="24"/>
          <w:highlight w:val="none"/>
        </w:rPr>
        <w:t>3.1.1 投标文件应包括下列内容：</w:t>
      </w:r>
    </w:p>
    <w:p w14:paraId="75D67F7E">
      <w:pPr>
        <w:tabs>
          <w:tab w:val="right" w:leader="dot" w:pos="8295"/>
        </w:tabs>
        <w:ind w:firstLine="480"/>
        <w:rPr>
          <w:rFonts w:ascii="宋体"/>
          <w:b/>
          <w:color w:val="auto"/>
          <w:szCs w:val="24"/>
          <w:highlight w:val="none"/>
        </w:rPr>
      </w:pPr>
      <w:r>
        <w:rPr>
          <w:rFonts w:hint="eastAsia" w:ascii="宋体"/>
          <w:b/>
          <w:color w:val="auto"/>
          <w:szCs w:val="24"/>
          <w:highlight w:val="none"/>
        </w:rPr>
        <w:t>资格及资信文件（上传在投标工具中的“资格审查申请文件”模块）：</w:t>
      </w:r>
    </w:p>
    <w:p w14:paraId="0623FF90">
      <w:pPr>
        <w:tabs>
          <w:tab w:val="right" w:leader="dot" w:pos="8295"/>
        </w:tabs>
        <w:ind w:firstLine="480"/>
        <w:rPr>
          <w:rFonts w:ascii="宋体"/>
          <w:color w:val="auto"/>
          <w:szCs w:val="24"/>
          <w:highlight w:val="none"/>
        </w:rPr>
      </w:pPr>
      <w:r>
        <w:rPr>
          <w:rFonts w:hint="eastAsia" w:ascii="宋体"/>
          <w:color w:val="auto"/>
          <w:szCs w:val="24"/>
          <w:highlight w:val="none"/>
        </w:rPr>
        <w:t>（1）法定代表人（单位负责人）身份证明或授权委托书；</w:t>
      </w:r>
    </w:p>
    <w:p w14:paraId="1C40B866">
      <w:pPr>
        <w:tabs>
          <w:tab w:val="right" w:leader="dot" w:pos="8295"/>
        </w:tabs>
        <w:ind w:firstLine="480"/>
        <w:rPr>
          <w:rFonts w:ascii="宋体"/>
          <w:color w:val="auto"/>
          <w:szCs w:val="24"/>
          <w:highlight w:val="none"/>
        </w:rPr>
      </w:pPr>
      <w:r>
        <w:rPr>
          <w:rFonts w:hint="eastAsia" w:ascii="宋体"/>
          <w:color w:val="auto"/>
          <w:szCs w:val="24"/>
          <w:highlight w:val="none"/>
        </w:rPr>
        <w:t>（2）投标保证金；</w:t>
      </w:r>
    </w:p>
    <w:p w14:paraId="37DB907B">
      <w:pPr>
        <w:tabs>
          <w:tab w:val="right" w:leader="dot" w:pos="8295"/>
        </w:tabs>
        <w:ind w:firstLine="480"/>
        <w:rPr>
          <w:rFonts w:ascii="宋体"/>
          <w:color w:val="auto"/>
          <w:szCs w:val="24"/>
          <w:highlight w:val="none"/>
        </w:rPr>
      </w:pPr>
      <w:r>
        <w:rPr>
          <w:rFonts w:hint="eastAsia" w:ascii="宋体"/>
          <w:color w:val="auto"/>
          <w:szCs w:val="24"/>
          <w:highlight w:val="none"/>
        </w:rPr>
        <w:t xml:space="preserve">（3）资格审查资料：体系认证等； </w:t>
      </w:r>
    </w:p>
    <w:p w14:paraId="32F0827D">
      <w:pPr>
        <w:tabs>
          <w:tab w:val="right" w:leader="dot" w:pos="8295"/>
        </w:tabs>
        <w:ind w:firstLine="480"/>
        <w:rPr>
          <w:rFonts w:ascii="宋体"/>
          <w:color w:val="auto"/>
          <w:szCs w:val="24"/>
          <w:highlight w:val="none"/>
        </w:rPr>
      </w:pPr>
      <w:r>
        <w:rPr>
          <w:rFonts w:hint="eastAsia" w:ascii="宋体"/>
          <w:color w:val="auto"/>
          <w:szCs w:val="24"/>
          <w:highlight w:val="none"/>
        </w:rPr>
        <w:t>（4）联合体协议书（格式自拟）；</w:t>
      </w:r>
    </w:p>
    <w:p w14:paraId="787AED54">
      <w:pPr>
        <w:tabs>
          <w:tab w:val="right" w:leader="dot" w:pos="8295"/>
        </w:tabs>
        <w:ind w:firstLine="480"/>
        <w:rPr>
          <w:rFonts w:ascii="宋体"/>
          <w:color w:val="auto"/>
          <w:szCs w:val="24"/>
          <w:highlight w:val="none"/>
        </w:rPr>
      </w:pPr>
      <w:r>
        <w:rPr>
          <w:rFonts w:hint="eastAsia" w:ascii="宋体"/>
          <w:color w:val="auto"/>
          <w:szCs w:val="24"/>
          <w:highlight w:val="none"/>
        </w:rPr>
        <w:t>（5）投标人主要业绩情况及佐证材料；</w:t>
      </w:r>
    </w:p>
    <w:p w14:paraId="5261558A">
      <w:pPr>
        <w:tabs>
          <w:tab w:val="right" w:leader="dot" w:pos="8295"/>
        </w:tabs>
        <w:ind w:firstLine="480"/>
        <w:rPr>
          <w:rFonts w:ascii="宋体"/>
          <w:color w:val="auto"/>
          <w:szCs w:val="24"/>
          <w:highlight w:val="none"/>
        </w:rPr>
      </w:pPr>
      <w:r>
        <w:rPr>
          <w:rFonts w:hint="eastAsia" w:ascii="宋体"/>
          <w:color w:val="auto"/>
          <w:szCs w:val="24"/>
          <w:highlight w:val="none"/>
        </w:rPr>
        <w:t>（6）2022、2023、2024年度经审计的财务报表，如未满三年则提供成立以来的经审计的财务报表</w:t>
      </w:r>
    </w:p>
    <w:p w14:paraId="091A711C">
      <w:pPr>
        <w:tabs>
          <w:tab w:val="right" w:leader="dot" w:pos="8295"/>
        </w:tabs>
        <w:ind w:firstLine="480"/>
        <w:rPr>
          <w:rFonts w:ascii="宋体"/>
          <w:color w:val="auto"/>
          <w:szCs w:val="24"/>
          <w:highlight w:val="none"/>
        </w:rPr>
      </w:pPr>
      <w:r>
        <w:rPr>
          <w:rFonts w:hint="eastAsia" w:ascii="宋体"/>
          <w:color w:val="auto"/>
          <w:szCs w:val="24"/>
          <w:highlight w:val="none"/>
        </w:rPr>
        <w:t>（7）投标人须知前附表规定的其他材料。</w:t>
      </w:r>
    </w:p>
    <w:p w14:paraId="5BD440E4">
      <w:pPr>
        <w:tabs>
          <w:tab w:val="right" w:leader="dot" w:pos="8295"/>
        </w:tabs>
        <w:ind w:firstLine="480"/>
        <w:rPr>
          <w:rFonts w:ascii="宋体"/>
          <w:b/>
          <w:color w:val="auto"/>
          <w:szCs w:val="24"/>
          <w:highlight w:val="none"/>
        </w:rPr>
      </w:pPr>
      <w:r>
        <w:rPr>
          <w:rFonts w:hint="eastAsia" w:ascii="宋体"/>
          <w:b/>
          <w:color w:val="auto"/>
          <w:szCs w:val="24"/>
          <w:highlight w:val="none"/>
        </w:rPr>
        <w:t>技术标（上传在投标工具中的“技术标”模块）：</w:t>
      </w:r>
    </w:p>
    <w:p w14:paraId="0620474F">
      <w:pPr>
        <w:spacing w:before="64"/>
        <w:ind w:left="459"/>
        <w:rPr>
          <w:rFonts w:ascii="宋体" w:hAnsi="宋体" w:cs="宋体"/>
          <w:color w:val="auto"/>
          <w:highlight w:val="none"/>
        </w:rPr>
      </w:pPr>
      <w:r>
        <w:rPr>
          <w:rFonts w:ascii="宋体" w:hAnsi="宋体" w:cs="宋体"/>
          <w:color w:val="auto"/>
          <w:highlight w:val="none"/>
        </w:rPr>
        <w:t>（1）</w:t>
      </w:r>
      <w:r>
        <w:rPr>
          <w:rFonts w:hint="eastAsia" w:ascii="宋体" w:hAnsi="宋体" w:cs="宋体"/>
          <w:color w:val="auto"/>
          <w:highlight w:val="none"/>
        </w:rPr>
        <w:t>项目方案设计总说明、图纸、投资概算及关键问题解决方案等。提供包括但不限于以下图纸：总平面布置图、工艺流程图等。方案中应列出技术经济指标一览表。</w:t>
      </w:r>
    </w:p>
    <w:p w14:paraId="40D45937">
      <w:pPr>
        <w:spacing w:before="64"/>
        <w:ind w:left="459"/>
        <w:rPr>
          <w:rFonts w:ascii="宋体" w:hAnsi="宋体" w:cs="宋体"/>
          <w:color w:val="auto"/>
          <w:highlight w:val="none"/>
        </w:rPr>
      </w:pPr>
      <w:r>
        <w:rPr>
          <w:rFonts w:ascii="宋体" w:hAnsi="宋体" w:cs="宋体"/>
          <w:color w:val="auto"/>
          <w:highlight w:val="none"/>
        </w:rPr>
        <w:t>（2）</w:t>
      </w:r>
      <w:r>
        <w:rPr>
          <w:rFonts w:hint="eastAsia" w:ascii="宋体" w:hAnsi="宋体" w:cs="宋体"/>
          <w:color w:val="auto"/>
          <w:highlight w:val="none"/>
        </w:rPr>
        <w:t>设备技术要求偏离表，技术响应表，点对点应答；</w:t>
      </w:r>
    </w:p>
    <w:p w14:paraId="5AB3F149">
      <w:pPr>
        <w:spacing w:before="64"/>
        <w:ind w:left="459"/>
        <w:rPr>
          <w:rFonts w:ascii="宋体" w:hAnsi="宋体" w:cs="宋体"/>
          <w:color w:val="auto"/>
          <w:highlight w:val="none"/>
        </w:rPr>
      </w:pPr>
      <w:r>
        <w:rPr>
          <w:rFonts w:ascii="宋体" w:hAnsi="宋体" w:cs="宋体"/>
          <w:color w:val="auto"/>
          <w:spacing w:val="-6"/>
          <w:highlight w:val="none"/>
        </w:rPr>
        <w:t>（3）</w:t>
      </w:r>
      <w:r>
        <w:rPr>
          <w:rFonts w:hint="eastAsia" w:ascii="宋体" w:hAnsi="宋体" w:cs="宋体"/>
          <w:color w:val="auto"/>
          <w:spacing w:val="-4"/>
          <w:highlight w:val="none"/>
        </w:rPr>
        <w:t>核心</w:t>
      </w:r>
      <w:r>
        <w:rPr>
          <w:rFonts w:ascii="宋体" w:hAnsi="宋体" w:cs="宋体"/>
          <w:color w:val="auto"/>
          <w:spacing w:val="-4"/>
          <w:highlight w:val="none"/>
        </w:rPr>
        <w:t>设备技术性能指标的详细描述；</w:t>
      </w:r>
    </w:p>
    <w:p w14:paraId="3C23EA87">
      <w:pPr>
        <w:spacing w:before="65"/>
        <w:ind w:left="459"/>
        <w:rPr>
          <w:rFonts w:ascii="宋体" w:hAnsi="宋体" w:cs="宋体"/>
          <w:color w:val="auto"/>
          <w:highlight w:val="none"/>
        </w:rPr>
      </w:pPr>
      <w:r>
        <w:rPr>
          <w:rFonts w:ascii="宋体" w:hAnsi="宋体" w:cs="宋体"/>
          <w:color w:val="auto"/>
          <w:spacing w:val="-4"/>
          <w:highlight w:val="none"/>
        </w:rPr>
        <w:t>（4）</w:t>
      </w:r>
      <w:r>
        <w:rPr>
          <w:rFonts w:ascii="宋体" w:hAnsi="宋体" w:cs="宋体"/>
          <w:color w:val="auto"/>
          <w:spacing w:val="-6"/>
          <w:highlight w:val="none"/>
        </w:rPr>
        <w:t>技术支持资料</w:t>
      </w:r>
      <w:r>
        <w:rPr>
          <w:rFonts w:hint="eastAsia" w:ascii="宋体" w:hAnsi="宋体" w:cs="宋体"/>
          <w:color w:val="auto"/>
          <w:spacing w:val="-6"/>
          <w:highlight w:val="none"/>
        </w:rPr>
        <w:t>，</w:t>
      </w:r>
      <w:r>
        <w:rPr>
          <w:rFonts w:hint="eastAsia" w:ascii="宋体" w:hAnsi="宋体" w:cs="宋体"/>
          <w:color w:val="auto"/>
          <w:kern w:val="0"/>
          <w:highlight w:val="none"/>
        </w:rPr>
        <w:t>产品质量检验报告，认证证书等</w:t>
      </w:r>
      <w:r>
        <w:rPr>
          <w:rFonts w:ascii="宋体" w:hAnsi="宋体" w:cs="宋体"/>
          <w:color w:val="auto"/>
          <w:spacing w:val="-6"/>
          <w:highlight w:val="none"/>
        </w:rPr>
        <w:t>；</w:t>
      </w:r>
    </w:p>
    <w:p w14:paraId="0025E2A5">
      <w:pPr>
        <w:spacing w:before="65"/>
        <w:ind w:left="459"/>
        <w:rPr>
          <w:rFonts w:ascii="宋体" w:hAnsi="宋体" w:cs="宋体"/>
          <w:color w:val="auto"/>
          <w:highlight w:val="none"/>
        </w:rPr>
      </w:pPr>
      <w:r>
        <w:rPr>
          <w:rFonts w:ascii="宋体" w:hAnsi="宋体" w:cs="宋体"/>
          <w:color w:val="auto"/>
          <w:spacing w:val="-6"/>
          <w:highlight w:val="none"/>
        </w:rPr>
        <w:t>（5）</w:t>
      </w:r>
      <w:r>
        <w:rPr>
          <w:rFonts w:ascii="宋体" w:hAnsi="宋体" w:cs="宋体"/>
          <w:color w:val="auto"/>
          <w:spacing w:val="-4"/>
          <w:highlight w:val="none"/>
        </w:rPr>
        <w:t>技术服务和</w:t>
      </w:r>
      <w:r>
        <w:rPr>
          <w:rFonts w:hint="eastAsia" w:ascii="宋体" w:hAnsi="宋体" w:cs="宋体"/>
          <w:color w:val="auto"/>
          <w:spacing w:val="-4"/>
          <w:highlight w:val="none"/>
        </w:rPr>
        <w:t>能源管理合同期内装置检维修方案，</w:t>
      </w:r>
      <w:r>
        <w:rPr>
          <w:rFonts w:ascii="宋体" w:hAnsi="宋体" w:cs="宋体"/>
          <w:color w:val="auto"/>
          <w:spacing w:val="-4"/>
          <w:highlight w:val="none"/>
        </w:rPr>
        <w:t>服务计划；</w:t>
      </w:r>
    </w:p>
    <w:p w14:paraId="148E7262">
      <w:pPr>
        <w:spacing w:before="65"/>
        <w:ind w:left="459"/>
        <w:rPr>
          <w:rFonts w:ascii="宋体" w:hAnsi="宋体" w:cs="宋体"/>
          <w:color w:val="auto"/>
          <w:spacing w:val="-4"/>
          <w:highlight w:val="none"/>
        </w:rPr>
      </w:pPr>
      <w:r>
        <w:rPr>
          <w:rFonts w:ascii="宋体" w:hAnsi="宋体" w:cs="宋体"/>
          <w:color w:val="auto"/>
          <w:spacing w:val="-4"/>
          <w:highlight w:val="none"/>
        </w:rPr>
        <w:t>（6）</w:t>
      </w:r>
      <w:r>
        <w:rPr>
          <w:rFonts w:hint="eastAsia" w:ascii="宋体" w:hAnsi="宋体" w:cs="宋体"/>
          <w:color w:val="auto"/>
          <w:spacing w:val="-4"/>
          <w:highlight w:val="none"/>
        </w:rPr>
        <w:t>施工组织设计：应包含安装施工方案、</w:t>
      </w:r>
      <w:r>
        <w:rPr>
          <w:rFonts w:hint="eastAsia" w:ascii="宋体" w:hAnsi="宋体" w:cs="宋体"/>
          <w:color w:val="auto"/>
          <w:spacing w:val="-3"/>
          <w:highlight w:val="none"/>
        </w:rPr>
        <w:t>项目工期进度安排、施工机具人员配备、质量控制与管理、安全文明施工管理；</w:t>
      </w:r>
    </w:p>
    <w:p w14:paraId="4B32238E">
      <w:pPr>
        <w:spacing w:before="64"/>
        <w:ind w:left="459"/>
        <w:rPr>
          <w:rFonts w:ascii="宋体" w:hAnsi="宋体" w:cs="宋体"/>
          <w:color w:val="auto"/>
          <w:spacing w:val="-5"/>
          <w:highlight w:val="none"/>
        </w:rPr>
      </w:pPr>
      <w:r>
        <w:rPr>
          <w:rFonts w:hint="eastAsia" w:ascii="宋体" w:hAnsi="宋体" w:cs="宋体"/>
          <w:color w:val="auto"/>
          <w:highlight w:val="none"/>
        </w:rPr>
        <w:t>（7）根据招标文件中的技术要求，</w:t>
      </w:r>
      <w:r>
        <w:rPr>
          <w:rFonts w:hint="eastAsia" w:ascii="宋体" w:hAnsi="宋体" w:cs="宋体"/>
          <w:color w:val="auto"/>
          <w:spacing w:val="-5"/>
          <w:highlight w:val="none"/>
        </w:rPr>
        <w:t>投标人认为需要提供的其他文件和资料</w:t>
      </w:r>
      <w:r>
        <w:rPr>
          <w:rFonts w:ascii="宋体" w:hAnsi="宋体" w:cs="宋体"/>
          <w:color w:val="auto"/>
          <w:spacing w:val="-5"/>
          <w:highlight w:val="none"/>
        </w:rPr>
        <w:t>；</w:t>
      </w:r>
    </w:p>
    <w:p w14:paraId="739B5B61">
      <w:pPr>
        <w:tabs>
          <w:tab w:val="right" w:leader="dot" w:pos="8295"/>
        </w:tabs>
        <w:ind w:firstLine="480"/>
        <w:rPr>
          <w:rFonts w:ascii="宋体" w:hAnsi="宋体" w:cs="宋体"/>
          <w:color w:val="auto"/>
          <w:spacing w:val="-3"/>
          <w:highlight w:val="none"/>
        </w:rPr>
      </w:pPr>
      <w:r>
        <w:rPr>
          <w:rFonts w:ascii="宋体" w:hAnsi="宋体" w:cs="宋体"/>
          <w:color w:val="auto"/>
          <w:spacing w:val="-3"/>
          <w:highlight w:val="none"/>
        </w:rPr>
        <w:t>（</w:t>
      </w:r>
      <w:r>
        <w:rPr>
          <w:rFonts w:hint="eastAsia" w:ascii="宋体" w:hAnsi="宋体" w:cs="宋体"/>
          <w:color w:val="auto"/>
          <w:spacing w:val="-3"/>
          <w:highlight w:val="none"/>
        </w:rPr>
        <w:t>8</w:t>
      </w:r>
      <w:r>
        <w:rPr>
          <w:rFonts w:ascii="宋体" w:hAnsi="宋体" w:cs="宋体"/>
          <w:color w:val="auto"/>
          <w:spacing w:val="-3"/>
          <w:highlight w:val="none"/>
        </w:rPr>
        <w:t>）工程调试、试运行方案。</w:t>
      </w:r>
    </w:p>
    <w:p w14:paraId="34DF30E8">
      <w:pPr>
        <w:tabs>
          <w:tab w:val="right" w:leader="dot" w:pos="8295"/>
        </w:tabs>
        <w:ind w:firstLine="480"/>
        <w:rPr>
          <w:rFonts w:ascii="宋体"/>
          <w:b/>
          <w:color w:val="auto"/>
          <w:szCs w:val="24"/>
          <w:highlight w:val="none"/>
        </w:rPr>
      </w:pPr>
      <w:r>
        <w:rPr>
          <w:rFonts w:hint="eastAsia" w:ascii="宋体"/>
          <w:b/>
          <w:color w:val="auto"/>
          <w:szCs w:val="24"/>
          <w:highlight w:val="none"/>
        </w:rPr>
        <w:t>的“商务标正文”模块）</w:t>
      </w:r>
    </w:p>
    <w:p w14:paraId="0EE49F44">
      <w:pPr>
        <w:tabs>
          <w:tab w:val="right" w:leader="dot" w:pos="8295"/>
        </w:tabs>
        <w:ind w:firstLine="480"/>
        <w:rPr>
          <w:rFonts w:ascii="宋体"/>
          <w:color w:val="auto"/>
          <w:szCs w:val="24"/>
          <w:highlight w:val="none"/>
        </w:rPr>
      </w:pPr>
      <w:r>
        <w:rPr>
          <w:rFonts w:hint="eastAsia" w:ascii="宋体"/>
          <w:color w:val="auto"/>
          <w:szCs w:val="24"/>
          <w:highlight w:val="none"/>
        </w:rPr>
        <w:t>（1）投标函；</w:t>
      </w:r>
    </w:p>
    <w:p w14:paraId="31E13506">
      <w:pPr>
        <w:tabs>
          <w:tab w:val="right" w:leader="dot" w:pos="8295"/>
        </w:tabs>
        <w:ind w:firstLine="480"/>
        <w:rPr>
          <w:rFonts w:ascii="宋体" w:cs="宋体"/>
          <w:color w:val="auto"/>
          <w:highlight w:val="none"/>
        </w:rPr>
      </w:pPr>
      <w:r>
        <w:rPr>
          <w:rFonts w:hint="eastAsia" w:ascii="宋体" w:cs="宋体"/>
          <w:color w:val="auto"/>
          <w:highlight w:val="none"/>
        </w:rPr>
        <w:t>（2）项目投资金额及组成、资金来源、年运行成本、年收益测算；</w:t>
      </w:r>
    </w:p>
    <w:p w14:paraId="63D6A3B8">
      <w:pPr>
        <w:tabs>
          <w:tab w:val="right" w:leader="dot" w:pos="8295"/>
        </w:tabs>
        <w:ind w:firstLine="480"/>
        <w:rPr>
          <w:rFonts w:ascii="宋体" w:cs="宋体"/>
          <w:color w:val="auto"/>
          <w:highlight w:val="none"/>
        </w:rPr>
      </w:pPr>
      <w:r>
        <w:rPr>
          <w:rFonts w:hint="eastAsia" w:ascii="宋体" w:cs="宋体"/>
          <w:color w:val="auto"/>
          <w:highlight w:val="none"/>
        </w:rPr>
        <w:t>（3）项目年收益、投标人投资回收期、能源管理合同分享比例表；</w:t>
      </w:r>
    </w:p>
    <w:p w14:paraId="3A8234EA">
      <w:pPr>
        <w:tabs>
          <w:tab w:val="right" w:leader="dot" w:pos="8295"/>
        </w:tabs>
        <w:ind w:firstLine="480"/>
        <w:rPr>
          <w:rFonts w:ascii="宋体"/>
          <w:color w:val="auto"/>
          <w:szCs w:val="24"/>
          <w:highlight w:val="none"/>
        </w:rPr>
      </w:pPr>
      <w:r>
        <w:rPr>
          <w:rFonts w:hint="eastAsia" w:ascii="宋体"/>
          <w:color w:val="auto"/>
          <w:szCs w:val="24"/>
          <w:highlight w:val="none"/>
        </w:rPr>
        <w:t>3.1.2 投标人须知前附表规定不接受联合体投标的，或投标人没有组成联合体的，投标文件不包括本章第3.1.1 （3）目所指的联合体协议书。</w:t>
      </w:r>
    </w:p>
    <w:p w14:paraId="79691B48">
      <w:pPr>
        <w:pStyle w:val="5"/>
        <w:tabs>
          <w:tab w:val="right" w:leader="dot" w:pos="8295"/>
        </w:tabs>
        <w:rPr>
          <w:rFonts w:ascii="宋体" w:eastAsia="宋体"/>
          <w:b w:val="0"/>
          <w:color w:val="auto"/>
          <w:sz w:val="24"/>
          <w:szCs w:val="24"/>
          <w:highlight w:val="none"/>
        </w:rPr>
      </w:pPr>
      <w:bookmarkStart w:id="59" w:name="_Toc530660820"/>
      <w:r>
        <w:rPr>
          <w:rFonts w:hint="eastAsia" w:ascii="宋体" w:eastAsia="宋体"/>
          <w:b w:val="0"/>
          <w:color w:val="auto"/>
          <w:sz w:val="24"/>
          <w:szCs w:val="24"/>
          <w:highlight w:val="none"/>
        </w:rPr>
        <w:t>3.2 投标报价</w:t>
      </w:r>
      <w:bookmarkEnd w:id="59"/>
    </w:p>
    <w:p w14:paraId="79658881">
      <w:pPr>
        <w:tabs>
          <w:tab w:val="right" w:leader="dot" w:pos="8295"/>
        </w:tabs>
        <w:ind w:firstLine="480"/>
        <w:rPr>
          <w:rFonts w:ascii="宋体"/>
          <w:color w:val="auto"/>
          <w:szCs w:val="24"/>
          <w:highlight w:val="none"/>
        </w:rPr>
      </w:pPr>
      <w:r>
        <w:rPr>
          <w:rFonts w:hint="eastAsia" w:ascii="宋体"/>
          <w:color w:val="auto"/>
          <w:szCs w:val="24"/>
          <w:highlight w:val="none"/>
        </w:rPr>
        <w:t>3.2.1 投标人应按招标文件的要求填写相应表格。</w:t>
      </w:r>
    </w:p>
    <w:p w14:paraId="72C629E5">
      <w:pPr>
        <w:tabs>
          <w:tab w:val="right" w:leader="dot" w:pos="8295"/>
        </w:tabs>
        <w:ind w:firstLine="480"/>
        <w:rPr>
          <w:rFonts w:ascii="宋体"/>
          <w:color w:val="auto"/>
          <w:szCs w:val="24"/>
          <w:highlight w:val="none"/>
        </w:rPr>
      </w:pPr>
      <w:r>
        <w:rPr>
          <w:rFonts w:hint="eastAsia" w:ascii="宋体"/>
          <w:color w:val="auto"/>
          <w:szCs w:val="24"/>
          <w:highlight w:val="none"/>
        </w:rPr>
        <w:t>3.2.2 投标人在投标截止时间前修改投标函中的投标报价，应同时修改已标价工程量清单中的相应报价。</w:t>
      </w:r>
    </w:p>
    <w:p w14:paraId="0D083F07">
      <w:pPr>
        <w:tabs>
          <w:tab w:val="right" w:leader="dot" w:pos="8295"/>
        </w:tabs>
        <w:ind w:firstLine="480"/>
        <w:rPr>
          <w:rFonts w:ascii="宋体"/>
          <w:color w:val="auto"/>
          <w:szCs w:val="24"/>
          <w:highlight w:val="none"/>
        </w:rPr>
      </w:pPr>
      <w:r>
        <w:rPr>
          <w:rFonts w:hint="eastAsia" w:ascii="宋体"/>
          <w:color w:val="auto"/>
          <w:szCs w:val="24"/>
          <w:highlight w:val="none"/>
        </w:rPr>
        <w:t>3.2.3投标报价应包括国家规定的增值税税金，除投标人须知前附表另有规定外，增值税税金按一般计税方法计算。投标人应按“投标文件格式 ”要求在投标函中进行报价及填写项目年收益、能源管理合同分享比例、投标人投资回收期、招标人综合总收益。</w:t>
      </w:r>
    </w:p>
    <w:p w14:paraId="250EBF03">
      <w:pPr>
        <w:tabs>
          <w:tab w:val="right" w:leader="dot" w:pos="8295"/>
        </w:tabs>
        <w:ind w:firstLine="480"/>
        <w:rPr>
          <w:rFonts w:ascii="宋体"/>
          <w:color w:val="auto"/>
          <w:szCs w:val="24"/>
          <w:highlight w:val="none"/>
        </w:rPr>
      </w:pPr>
      <w:r>
        <w:rPr>
          <w:rFonts w:hint="eastAsia" w:ascii="宋体"/>
          <w:color w:val="auto"/>
          <w:szCs w:val="24"/>
          <w:highlight w:val="none"/>
        </w:rPr>
        <w:t>3.2.4 投标人应充分了解该项目的总体情况以及影响投标报价的其他要素。</w:t>
      </w:r>
    </w:p>
    <w:p w14:paraId="1E7A79D4">
      <w:pPr>
        <w:tabs>
          <w:tab w:val="right" w:leader="dot" w:pos="8295"/>
        </w:tabs>
        <w:ind w:firstLine="480"/>
        <w:rPr>
          <w:rFonts w:ascii="宋体"/>
          <w:color w:val="auto"/>
          <w:szCs w:val="24"/>
          <w:highlight w:val="none"/>
        </w:rPr>
      </w:pPr>
      <w:r>
        <w:rPr>
          <w:rFonts w:hint="eastAsia" w:ascii="宋体"/>
          <w:color w:val="auto"/>
          <w:szCs w:val="24"/>
          <w:highlight w:val="none"/>
        </w:rPr>
        <w:t>3.2.5投标报价为项目年收益、投标人投资回收期、能源管理合同分享比例表，本项目不接受投标文件之外的报价修改文件。</w:t>
      </w:r>
    </w:p>
    <w:p w14:paraId="112E3E28">
      <w:pPr>
        <w:tabs>
          <w:tab w:val="right" w:leader="dot" w:pos="8295"/>
        </w:tabs>
        <w:ind w:firstLine="480"/>
        <w:rPr>
          <w:rFonts w:ascii="宋体"/>
          <w:color w:val="auto"/>
          <w:szCs w:val="24"/>
          <w:highlight w:val="none"/>
        </w:rPr>
      </w:pPr>
      <w:r>
        <w:rPr>
          <w:rFonts w:hint="eastAsia" w:ascii="宋体"/>
          <w:color w:val="auto"/>
          <w:szCs w:val="24"/>
          <w:highlight w:val="none"/>
        </w:rPr>
        <w:t>3.2.6 招标人设有分享年限和分享比例限制的，投标人的投标报价不得超过该限制，能源管理合同的分享年限和分享比例最高限制在投标人须知前附表中载明。</w:t>
      </w:r>
    </w:p>
    <w:p w14:paraId="2200214F">
      <w:pPr>
        <w:tabs>
          <w:tab w:val="right" w:leader="dot" w:pos="8295"/>
        </w:tabs>
        <w:ind w:firstLine="480"/>
        <w:rPr>
          <w:rFonts w:ascii="宋体"/>
          <w:color w:val="auto"/>
          <w:szCs w:val="24"/>
          <w:highlight w:val="none"/>
        </w:rPr>
      </w:pPr>
      <w:r>
        <w:rPr>
          <w:rFonts w:hint="eastAsia" w:ascii="宋体"/>
          <w:color w:val="auto"/>
          <w:szCs w:val="24"/>
          <w:highlight w:val="none"/>
        </w:rPr>
        <w:t>3.2.7项目年收益由投标人测算，测算依据为：电费单价0.6元/kWh（含税），中压蒸汽单价为200元/吨（含税），新增污水处理费按25万元/年，年运行按7000小时满负荷（10t/h），其他装置管理、经营、维护、运行成本由投标人自行根据实际情况，综合于收益分享比例考虑。</w:t>
      </w:r>
    </w:p>
    <w:p w14:paraId="081220CB">
      <w:pPr>
        <w:tabs>
          <w:tab w:val="right" w:leader="dot" w:pos="8295"/>
        </w:tabs>
        <w:ind w:firstLine="480"/>
        <w:rPr>
          <w:rFonts w:ascii="宋体"/>
          <w:color w:val="auto"/>
          <w:szCs w:val="24"/>
          <w:highlight w:val="none"/>
        </w:rPr>
      </w:pPr>
    </w:p>
    <w:p w14:paraId="0F3C72C0">
      <w:pPr>
        <w:pStyle w:val="5"/>
        <w:tabs>
          <w:tab w:val="right" w:leader="dot" w:pos="8295"/>
        </w:tabs>
        <w:rPr>
          <w:rFonts w:ascii="宋体" w:eastAsia="宋体"/>
          <w:b w:val="0"/>
          <w:color w:val="auto"/>
          <w:sz w:val="24"/>
          <w:szCs w:val="24"/>
          <w:highlight w:val="none"/>
        </w:rPr>
      </w:pPr>
      <w:bookmarkStart w:id="60" w:name="_Toc530660821"/>
      <w:r>
        <w:rPr>
          <w:rFonts w:hint="eastAsia" w:ascii="宋体" w:eastAsia="宋体"/>
          <w:b w:val="0"/>
          <w:color w:val="auto"/>
          <w:sz w:val="24"/>
          <w:szCs w:val="24"/>
          <w:highlight w:val="none"/>
        </w:rPr>
        <w:t>3.3 投标有效期</w:t>
      </w:r>
      <w:bookmarkEnd w:id="60"/>
    </w:p>
    <w:p w14:paraId="75991A85">
      <w:pPr>
        <w:tabs>
          <w:tab w:val="right" w:leader="dot" w:pos="8295"/>
        </w:tabs>
        <w:ind w:firstLine="480"/>
        <w:rPr>
          <w:rFonts w:ascii="宋体"/>
          <w:color w:val="auto"/>
          <w:szCs w:val="24"/>
          <w:highlight w:val="none"/>
        </w:rPr>
      </w:pPr>
      <w:r>
        <w:rPr>
          <w:rFonts w:hint="eastAsia" w:ascii="宋体"/>
          <w:color w:val="auto"/>
          <w:szCs w:val="24"/>
          <w:highlight w:val="none"/>
        </w:rPr>
        <w:t>3.3.1 在投标人须知前附表规定的投标有效期内，投标人不得要求撤销或修改其投标文件。</w:t>
      </w:r>
    </w:p>
    <w:p w14:paraId="53F49F32">
      <w:pPr>
        <w:tabs>
          <w:tab w:val="right" w:leader="dot" w:pos="8295"/>
        </w:tabs>
        <w:ind w:firstLine="480"/>
        <w:rPr>
          <w:rFonts w:ascii="宋体"/>
          <w:color w:val="auto"/>
          <w:szCs w:val="24"/>
          <w:highlight w:val="none"/>
        </w:rPr>
      </w:pPr>
      <w:r>
        <w:rPr>
          <w:rFonts w:hint="eastAsia" w:ascii="宋体"/>
          <w:color w:val="auto"/>
          <w:szCs w:val="24"/>
          <w:highlight w:val="none"/>
        </w:rPr>
        <w:t>3.3.2 出现特殊情况需要延长投标有效期的，招标人通过衢州市公共资源电子交易系统通知所有投标人延长投标有效期。投标人同意延长的，应相应延长其投标保证金的有效期，但不得要求或被允许修改或撤销其投标文件；投标人拒绝延长的，其投标失效，但投标人有权收回其投标保证金。</w:t>
      </w:r>
    </w:p>
    <w:p w14:paraId="3C5B8E45">
      <w:pPr>
        <w:pStyle w:val="5"/>
        <w:tabs>
          <w:tab w:val="right" w:leader="dot" w:pos="8295"/>
        </w:tabs>
        <w:rPr>
          <w:rFonts w:ascii="宋体" w:eastAsia="宋体"/>
          <w:b w:val="0"/>
          <w:color w:val="auto"/>
          <w:sz w:val="24"/>
          <w:szCs w:val="24"/>
          <w:highlight w:val="none"/>
        </w:rPr>
      </w:pPr>
      <w:bookmarkStart w:id="61" w:name="_Toc530660822"/>
      <w:r>
        <w:rPr>
          <w:rFonts w:hint="eastAsia" w:ascii="宋体" w:eastAsia="宋体"/>
          <w:b w:val="0"/>
          <w:color w:val="auto"/>
          <w:sz w:val="24"/>
          <w:szCs w:val="24"/>
          <w:highlight w:val="none"/>
        </w:rPr>
        <w:t>3.4 投标保证金</w:t>
      </w:r>
      <w:bookmarkEnd w:id="61"/>
    </w:p>
    <w:p w14:paraId="2714B7D4">
      <w:pPr>
        <w:tabs>
          <w:tab w:val="right" w:leader="dot" w:pos="8295"/>
        </w:tabs>
        <w:ind w:firstLine="480"/>
        <w:rPr>
          <w:rFonts w:ascii="宋体"/>
          <w:color w:val="auto"/>
          <w:szCs w:val="24"/>
          <w:highlight w:val="none"/>
        </w:rPr>
      </w:pPr>
      <w:r>
        <w:rPr>
          <w:rFonts w:hint="eastAsia" w:ascii="宋体"/>
          <w:color w:val="auto"/>
          <w:szCs w:val="24"/>
          <w:highlight w:val="none"/>
        </w:rPr>
        <w:t>3.4.1 投标人在递交投标文件的同时，应按投标人须知前附表规定的金额、担保形式和第八章“投标文件格式”规定的投标保证金格式递交投标保证金，并作为其投标文件的组成部分。联合体投标的，其投标保证金由牵头人递交，并应符合投标人须知前附表的规定。</w:t>
      </w:r>
    </w:p>
    <w:p w14:paraId="68A0284D">
      <w:pPr>
        <w:tabs>
          <w:tab w:val="right" w:leader="dot" w:pos="8295"/>
        </w:tabs>
        <w:ind w:firstLine="480"/>
        <w:rPr>
          <w:rFonts w:ascii="宋体"/>
          <w:color w:val="auto"/>
          <w:szCs w:val="24"/>
          <w:highlight w:val="none"/>
        </w:rPr>
      </w:pPr>
      <w:r>
        <w:rPr>
          <w:rFonts w:hint="eastAsia" w:ascii="宋体"/>
          <w:color w:val="auto"/>
          <w:szCs w:val="24"/>
          <w:highlight w:val="none"/>
        </w:rPr>
        <w:t>3.4.2投标人不按本章第3.4.1 项要求提交投标保证金的，其投标文件作否决投标处理。</w:t>
      </w:r>
    </w:p>
    <w:p w14:paraId="1D2C9BFE">
      <w:pPr>
        <w:tabs>
          <w:tab w:val="right" w:leader="dot" w:pos="8295"/>
        </w:tabs>
        <w:ind w:firstLine="480"/>
        <w:rPr>
          <w:rFonts w:ascii="宋体"/>
          <w:color w:val="auto"/>
          <w:szCs w:val="24"/>
          <w:highlight w:val="none"/>
        </w:rPr>
      </w:pPr>
      <w:r>
        <w:rPr>
          <w:rFonts w:hint="eastAsia" w:ascii="宋体"/>
          <w:color w:val="auto"/>
          <w:szCs w:val="24"/>
          <w:highlight w:val="none"/>
        </w:rPr>
        <w:t>3.4.3 招标人与中标人签订合同后5 个工作日内，向未中标的投标人和中标人退还投标保证金。</w:t>
      </w:r>
    </w:p>
    <w:p w14:paraId="11E6A1AF">
      <w:pPr>
        <w:tabs>
          <w:tab w:val="right" w:leader="dot" w:pos="8295"/>
        </w:tabs>
        <w:ind w:firstLine="480"/>
        <w:rPr>
          <w:rFonts w:ascii="宋体"/>
          <w:color w:val="auto"/>
          <w:szCs w:val="24"/>
          <w:highlight w:val="none"/>
        </w:rPr>
      </w:pPr>
      <w:r>
        <w:rPr>
          <w:rFonts w:hint="eastAsia" w:ascii="宋体"/>
          <w:color w:val="auto"/>
          <w:szCs w:val="24"/>
          <w:highlight w:val="none"/>
        </w:rPr>
        <w:t>3.4.4 有下列情形之一的，投标保证金将不予退还：</w:t>
      </w:r>
    </w:p>
    <w:p w14:paraId="68AF427F">
      <w:pPr>
        <w:tabs>
          <w:tab w:val="right" w:leader="dot" w:pos="8295"/>
        </w:tabs>
        <w:ind w:firstLine="480"/>
        <w:rPr>
          <w:rFonts w:ascii="宋体"/>
          <w:color w:val="auto"/>
          <w:szCs w:val="24"/>
          <w:highlight w:val="none"/>
        </w:rPr>
      </w:pPr>
      <w:r>
        <w:rPr>
          <w:rFonts w:hint="eastAsia" w:ascii="宋体"/>
          <w:color w:val="auto"/>
          <w:szCs w:val="24"/>
          <w:highlight w:val="none"/>
        </w:rPr>
        <w:t>（1）投标人在规定的投标有效期内撤销或修改其投标文件；</w:t>
      </w:r>
    </w:p>
    <w:p w14:paraId="2B0F7316">
      <w:pPr>
        <w:tabs>
          <w:tab w:val="right" w:leader="dot" w:pos="8295"/>
        </w:tabs>
        <w:ind w:firstLine="480"/>
        <w:rPr>
          <w:rFonts w:ascii="宋体"/>
          <w:color w:val="auto"/>
          <w:szCs w:val="24"/>
          <w:highlight w:val="none"/>
        </w:rPr>
      </w:pPr>
      <w:r>
        <w:rPr>
          <w:rFonts w:hint="eastAsia" w:ascii="宋体"/>
          <w:color w:val="auto"/>
          <w:szCs w:val="24"/>
          <w:highlight w:val="none"/>
        </w:rPr>
        <w:t>（2）中标人无正当理由不与招标人订立合同，或在签订合同时向招标人提出附加条件，或未按招标文件要求提交履约保证金的。</w:t>
      </w:r>
    </w:p>
    <w:p w14:paraId="01DBDBD9">
      <w:pPr>
        <w:tabs>
          <w:tab w:val="right" w:leader="dot" w:pos="8295"/>
        </w:tabs>
        <w:ind w:firstLine="480"/>
        <w:rPr>
          <w:rFonts w:ascii="宋体"/>
          <w:color w:val="auto"/>
          <w:szCs w:val="24"/>
          <w:highlight w:val="none"/>
        </w:rPr>
      </w:pPr>
      <w:r>
        <w:rPr>
          <w:rFonts w:hint="eastAsia" w:ascii="宋体"/>
          <w:color w:val="auto"/>
          <w:szCs w:val="24"/>
          <w:highlight w:val="none"/>
        </w:rPr>
        <w:t>（3）经查实，投标人在投标过程中串通投标或弄虚作假的。</w:t>
      </w:r>
    </w:p>
    <w:p w14:paraId="31E8397C">
      <w:pPr>
        <w:pStyle w:val="5"/>
        <w:tabs>
          <w:tab w:val="right" w:leader="dot" w:pos="8295"/>
        </w:tabs>
        <w:rPr>
          <w:rFonts w:ascii="宋体" w:eastAsia="宋体"/>
          <w:b w:val="0"/>
          <w:color w:val="auto"/>
          <w:sz w:val="24"/>
          <w:szCs w:val="24"/>
          <w:highlight w:val="none"/>
        </w:rPr>
      </w:pPr>
      <w:bookmarkStart w:id="62" w:name="_Toc530660824"/>
      <w:r>
        <w:rPr>
          <w:rFonts w:hint="eastAsia" w:ascii="宋体" w:eastAsia="宋体"/>
          <w:b w:val="0"/>
          <w:color w:val="auto"/>
          <w:sz w:val="24"/>
          <w:szCs w:val="24"/>
          <w:highlight w:val="none"/>
        </w:rPr>
        <w:t>3.5 资格审查资料</w:t>
      </w:r>
      <w:bookmarkEnd w:id="62"/>
    </w:p>
    <w:p w14:paraId="744C97AB">
      <w:pPr>
        <w:tabs>
          <w:tab w:val="right" w:leader="dot" w:pos="8295"/>
        </w:tabs>
        <w:ind w:firstLine="480"/>
        <w:rPr>
          <w:rFonts w:ascii="宋体"/>
          <w:color w:val="auto"/>
          <w:szCs w:val="24"/>
          <w:highlight w:val="none"/>
        </w:rPr>
      </w:pPr>
      <w:r>
        <w:rPr>
          <w:rFonts w:hint="eastAsia" w:ascii="宋体"/>
          <w:color w:val="auto"/>
          <w:szCs w:val="24"/>
          <w:highlight w:val="none"/>
        </w:rPr>
        <w:t>3.5.1 “投标人基本情况表”应附投标人营业执照副本、资质证书副本和安全生产许可证等材料的扫描件。</w:t>
      </w:r>
    </w:p>
    <w:p w14:paraId="316C70CB">
      <w:pPr>
        <w:tabs>
          <w:tab w:val="right" w:leader="dot" w:pos="8295"/>
        </w:tabs>
        <w:ind w:firstLine="480"/>
        <w:rPr>
          <w:rFonts w:ascii="宋体"/>
          <w:color w:val="auto"/>
          <w:szCs w:val="24"/>
          <w:highlight w:val="none"/>
        </w:rPr>
      </w:pPr>
      <w:r>
        <w:rPr>
          <w:rFonts w:hint="eastAsia" w:ascii="宋体"/>
          <w:color w:val="auto"/>
          <w:szCs w:val="24"/>
          <w:highlight w:val="none"/>
        </w:rPr>
        <w:t>3.5.2 “近年财务状况表”应附经会计师事务所或审计机构审计的财务会计报表，包括资产负债表、现金流量表、利润表和财务情况说明书的扫描件，具体年份要求见投标人须知前附表。（本项目不适用）</w:t>
      </w:r>
    </w:p>
    <w:p w14:paraId="0E465D43">
      <w:pPr>
        <w:tabs>
          <w:tab w:val="right" w:leader="dot" w:pos="8295"/>
        </w:tabs>
        <w:ind w:firstLine="480"/>
        <w:rPr>
          <w:rFonts w:ascii="宋体"/>
          <w:color w:val="auto"/>
          <w:szCs w:val="24"/>
          <w:highlight w:val="none"/>
        </w:rPr>
      </w:pPr>
      <w:r>
        <w:rPr>
          <w:rFonts w:hint="eastAsia" w:ascii="宋体"/>
          <w:color w:val="auto"/>
          <w:szCs w:val="24"/>
          <w:highlight w:val="none"/>
        </w:rPr>
        <w:t>3.5.3 “业绩表”应附招标文件要求的扫描件。并标明序号。</w:t>
      </w:r>
    </w:p>
    <w:p w14:paraId="104D63BC">
      <w:pPr>
        <w:tabs>
          <w:tab w:val="right" w:leader="dot" w:pos="8295"/>
        </w:tabs>
        <w:ind w:firstLine="480"/>
        <w:rPr>
          <w:rFonts w:ascii="宋体"/>
          <w:color w:val="auto"/>
          <w:szCs w:val="24"/>
          <w:highlight w:val="none"/>
        </w:rPr>
      </w:pPr>
      <w:r>
        <w:rPr>
          <w:rFonts w:hint="eastAsia" w:ascii="宋体"/>
          <w:color w:val="auto"/>
          <w:szCs w:val="24"/>
          <w:highlight w:val="none"/>
        </w:rPr>
        <w:t>3.5.4 “正在施工和新承接的项目情况表”应附中标通知书和（或）合同协议书扫描件。每张表格只填写一个项目，并标明序号。</w:t>
      </w:r>
    </w:p>
    <w:p w14:paraId="27EF074A">
      <w:pPr>
        <w:tabs>
          <w:tab w:val="right" w:leader="dot" w:pos="8295"/>
        </w:tabs>
        <w:ind w:firstLine="480"/>
        <w:rPr>
          <w:rFonts w:ascii="宋体"/>
          <w:color w:val="auto"/>
          <w:szCs w:val="24"/>
          <w:highlight w:val="none"/>
        </w:rPr>
      </w:pPr>
      <w:r>
        <w:rPr>
          <w:rFonts w:hint="eastAsia" w:ascii="宋体"/>
          <w:color w:val="auto"/>
          <w:szCs w:val="24"/>
          <w:highlight w:val="none"/>
        </w:rPr>
        <w:t>3.5.5 “近年发生的诉讼及仲裁情况”应说明相关情况，并附法院或仲裁机构作出的判决、裁决等有关法律文书扫描件，具体年份要求见投标人须知前附表。（本项目不适用）</w:t>
      </w:r>
    </w:p>
    <w:p w14:paraId="15B834A6">
      <w:pPr>
        <w:tabs>
          <w:tab w:val="right" w:leader="dot" w:pos="8295"/>
        </w:tabs>
        <w:ind w:firstLine="480"/>
        <w:rPr>
          <w:rFonts w:ascii="宋体"/>
          <w:color w:val="auto"/>
          <w:szCs w:val="24"/>
          <w:highlight w:val="none"/>
        </w:rPr>
      </w:pPr>
      <w:r>
        <w:rPr>
          <w:rFonts w:hint="eastAsia" w:ascii="宋体"/>
          <w:color w:val="auto"/>
          <w:szCs w:val="24"/>
          <w:highlight w:val="none"/>
        </w:rPr>
        <w:t>3.5.6 投标人须知前附表规定接受联合体投标的，本章第3.5.1 项至第3.5.5 项规定的表格和资料应包括联合体各方相关情况。</w:t>
      </w:r>
    </w:p>
    <w:p w14:paraId="2F0B84E1">
      <w:pPr>
        <w:pStyle w:val="5"/>
        <w:tabs>
          <w:tab w:val="right" w:leader="dot" w:pos="8295"/>
        </w:tabs>
        <w:rPr>
          <w:rFonts w:ascii="宋体" w:eastAsia="宋体"/>
          <w:b w:val="0"/>
          <w:color w:val="auto"/>
          <w:sz w:val="24"/>
          <w:szCs w:val="24"/>
          <w:highlight w:val="none"/>
        </w:rPr>
      </w:pPr>
      <w:bookmarkStart w:id="63" w:name="_Toc530660825"/>
      <w:r>
        <w:rPr>
          <w:rFonts w:hint="eastAsia" w:ascii="宋体" w:eastAsia="宋体"/>
          <w:b w:val="0"/>
          <w:color w:val="auto"/>
          <w:sz w:val="24"/>
          <w:szCs w:val="24"/>
          <w:highlight w:val="none"/>
        </w:rPr>
        <w:t>3.6 备选投标方案</w:t>
      </w:r>
      <w:bookmarkEnd w:id="63"/>
    </w:p>
    <w:p w14:paraId="5860A79C">
      <w:pPr>
        <w:tabs>
          <w:tab w:val="right" w:leader="dot" w:pos="8295"/>
        </w:tabs>
        <w:ind w:firstLine="480"/>
        <w:rPr>
          <w:rFonts w:ascii="宋体"/>
          <w:color w:val="auto"/>
          <w:szCs w:val="24"/>
          <w:highlight w:val="none"/>
        </w:rPr>
      </w:pPr>
      <w:r>
        <w:rPr>
          <w:rFonts w:hint="eastAsia" w:ascii="宋体"/>
          <w:color w:val="auto"/>
          <w:szCs w:val="24"/>
          <w:highlight w:val="none"/>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7A02BFC4">
      <w:pPr>
        <w:pStyle w:val="5"/>
        <w:tabs>
          <w:tab w:val="right" w:leader="dot" w:pos="8295"/>
        </w:tabs>
        <w:rPr>
          <w:rFonts w:ascii="宋体" w:eastAsia="宋体"/>
          <w:b w:val="0"/>
          <w:color w:val="auto"/>
          <w:sz w:val="24"/>
          <w:szCs w:val="24"/>
          <w:highlight w:val="none"/>
        </w:rPr>
      </w:pPr>
      <w:bookmarkStart w:id="64" w:name="_Toc530660826"/>
      <w:r>
        <w:rPr>
          <w:rFonts w:hint="eastAsia" w:ascii="宋体" w:eastAsia="宋体"/>
          <w:b w:val="0"/>
          <w:color w:val="auto"/>
          <w:sz w:val="24"/>
          <w:szCs w:val="24"/>
          <w:highlight w:val="none"/>
        </w:rPr>
        <w:t>3.7 投标文件的编制</w:t>
      </w:r>
      <w:bookmarkEnd w:id="64"/>
    </w:p>
    <w:p w14:paraId="34D74588">
      <w:pPr>
        <w:tabs>
          <w:tab w:val="right" w:leader="dot" w:pos="8295"/>
        </w:tabs>
        <w:ind w:firstLine="480"/>
        <w:rPr>
          <w:rFonts w:ascii="宋体"/>
          <w:color w:val="auto"/>
          <w:szCs w:val="24"/>
          <w:highlight w:val="none"/>
        </w:rPr>
      </w:pPr>
      <w:r>
        <w:rPr>
          <w:rFonts w:hint="eastAsia" w:ascii="宋体"/>
          <w:color w:val="auto"/>
          <w:szCs w:val="24"/>
          <w:highlight w:val="none"/>
        </w:rPr>
        <w:t>3.7.1 投标文件应按“投标文件格式”进行编写，如有必要，可以增加附页，作为投标文件的组成部分。可以提出比招标文件要求更有利于招标人的承诺。</w:t>
      </w:r>
    </w:p>
    <w:p w14:paraId="07D201C1">
      <w:pPr>
        <w:tabs>
          <w:tab w:val="right" w:leader="dot" w:pos="8295"/>
        </w:tabs>
        <w:ind w:firstLine="480"/>
        <w:rPr>
          <w:rFonts w:ascii="宋体"/>
          <w:color w:val="auto"/>
          <w:szCs w:val="24"/>
          <w:highlight w:val="none"/>
        </w:rPr>
      </w:pPr>
      <w:r>
        <w:rPr>
          <w:rFonts w:hint="eastAsia" w:ascii="宋体"/>
          <w:color w:val="auto"/>
          <w:szCs w:val="24"/>
          <w:highlight w:val="none"/>
        </w:rPr>
        <w:t>3.7.2 投标文件应当对招标文件有关工期、投标有效期、质量要求、技术标准和要求、招标范围等实质性内容作出响应。</w:t>
      </w:r>
    </w:p>
    <w:p w14:paraId="2B1BAC47">
      <w:pPr>
        <w:tabs>
          <w:tab w:val="right" w:leader="dot" w:pos="8295"/>
        </w:tabs>
        <w:ind w:firstLine="480"/>
        <w:rPr>
          <w:rFonts w:ascii="宋体"/>
          <w:color w:val="auto"/>
          <w:szCs w:val="24"/>
          <w:highlight w:val="none"/>
        </w:rPr>
      </w:pPr>
      <w:r>
        <w:rPr>
          <w:rFonts w:hint="eastAsia" w:ascii="宋体"/>
          <w:color w:val="auto"/>
          <w:szCs w:val="24"/>
          <w:highlight w:val="none"/>
        </w:rPr>
        <w:t>3.7.3投标文件签字或盖章的具体要求见投标人须知前附表。</w:t>
      </w:r>
    </w:p>
    <w:p w14:paraId="531B78F9">
      <w:pPr>
        <w:tabs>
          <w:tab w:val="right" w:leader="dot" w:pos="8295"/>
        </w:tabs>
        <w:ind w:firstLine="480"/>
        <w:rPr>
          <w:rFonts w:ascii="宋体"/>
          <w:color w:val="auto"/>
          <w:szCs w:val="24"/>
          <w:highlight w:val="none"/>
        </w:rPr>
      </w:pPr>
      <w:r>
        <w:rPr>
          <w:rFonts w:hint="eastAsia" w:ascii="宋体"/>
          <w:color w:val="auto"/>
          <w:szCs w:val="24"/>
          <w:highlight w:val="none"/>
        </w:rPr>
        <w:t>3.7.4投标文件份数的具体要求见投标人须知前附表。</w:t>
      </w:r>
    </w:p>
    <w:p w14:paraId="635C5EA8">
      <w:pPr>
        <w:pStyle w:val="4"/>
        <w:tabs>
          <w:tab w:val="right" w:leader="dot" w:pos="8295"/>
        </w:tabs>
        <w:ind w:firstLine="482" w:firstLineChars="200"/>
        <w:rPr>
          <w:rFonts w:ascii="宋体" w:eastAsia="宋体"/>
          <w:color w:val="auto"/>
          <w:sz w:val="24"/>
          <w:szCs w:val="24"/>
          <w:highlight w:val="none"/>
        </w:rPr>
      </w:pPr>
      <w:bookmarkStart w:id="65" w:name="_Toc530660827"/>
      <w:bookmarkStart w:id="66" w:name="_Toc494121481"/>
      <w:bookmarkStart w:id="67" w:name="_Toc184635074"/>
      <w:r>
        <w:rPr>
          <w:rFonts w:hint="eastAsia" w:ascii="宋体" w:eastAsia="宋体"/>
          <w:color w:val="auto"/>
          <w:sz w:val="24"/>
          <w:szCs w:val="24"/>
          <w:highlight w:val="none"/>
        </w:rPr>
        <w:t>4．投标</w:t>
      </w:r>
      <w:bookmarkEnd w:id="65"/>
      <w:bookmarkEnd w:id="66"/>
      <w:bookmarkEnd w:id="67"/>
    </w:p>
    <w:p w14:paraId="0CC5C390">
      <w:pPr>
        <w:pStyle w:val="5"/>
        <w:tabs>
          <w:tab w:val="right" w:leader="dot" w:pos="8295"/>
        </w:tabs>
        <w:rPr>
          <w:rFonts w:ascii="宋体" w:eastAsia="宋体"/>
          <w:b w:val="0"/>
          <w:color w:val="auto"/>
          <w:sz w:val="24"/>
          <w:szCs w:val="24"/>
          <w:highlight w:val="none"/>
        </w:rPr>
      </w:pPr>
      <w:bookmarkStart w:id="68" w:name="_Toc530660828"/>
      <w:r>
        <w:rPr>
          <w:rFonts w:hint="eastAsia" w:ascii="宋体" w:eastAsia="宋体"/>
          <w:b w:val="0"/>
          <w:color w:val="auto"/>
          <w:sz w:val="24"/>
          <w:szCs w:val="24"/>
          <w:highlight w:val="none"/>
        </w:rPr>
        <w:t>4.1 投标文件的密封和标记</w:t>
      </w:r>
      <w:bookmarkEnd w:id="68"/>
      <w:r>
        <w:rPr>
          <w:rFonts w:hint="eastAsia" w:ascii="宋体" w:eastAsia="宋体"/>
          <w:b w:val="0"/>
          <w:color w:val="auto"/>
          <w:sz w:val="24"/>
          <w:szCs w:val="24"/>
          <w:highlight w:val="none"/>
        </w:rPr>
        <w:t>（不适用，本项目为不见面开标项目）</w:t>
      </w:r>
    </w:p>
    <w:p w14:paraId="2C995626">
      <w:pPr>
        <w:tabs>
          <w:tab w:val="right" w:leader="dot" w:pos="8295"/>
        </w:tabs>
        <w:ind w:firstLine="480"/>
        <w:rPr>
          <w:rFonts w:ascii="宋体"/>
          <w:color w:val="auto"/>
          <w:szCs w:val="24"/>
          <w:highlight w:val="none"/>
        </w:rPr>
      </w:pPr>
      <w:r>
        <w:rPr>
          <w:rFonts w:hint="eastAsia" w:ascii="宋体"/>
          <w:color w:val="auto"/>
          <w:szCs w:val="24"/>
          <w:highlight w:val="none"/>
        </w:rPr>
        <w:t>4.1.1投标文件的外包装和密封要求见投标人须知前附表。</w:t>
      </w:r>
    </w:p>
    <w:p w14:paraId="49126AAF">
      <w:pPr>
        <w:tabs>
          <w:tab w:val="right" w:leader="dot" w:pos="8295"/>
        </w:tabs>
        <w:ind w:firstLine="480"/>
        <w:rPr>
          <w:rFonts w:ascii="宋体"/>
          <w:color w:val="auto"/>
          <w:szCs w:val="24"/>
          <w:highlight w:val="none"/>
        </w:rPr>
      </w:pPr>
      <w:r>
        <w:rPr>
          <w:rFonts w:hint="eastAsia" w:ascii="宋体"/>
          <w:color w:val="auto"/>
          <w:szCs w:val="24"/>
          <w:highlight w:val="none"/>
        </w:rPr>
        <w:t>4.1.2 投标文件的封套上应写明的内容见投标人须知前附表。</w:t>
      </w:r>
    </w:p>
    <w:p w14:paraId="5B95D65A">
      <w:pPr>
        <w:pStyle w:val="5"/>
        <w:tabs>
          <w:tab w:val="right" w:leader="dot" w:pos="8295"/>
        </w:tabs>
        <w:rPr>
          <w:rFonts w:ascii="宋体" w:eastAsia="宋体"/>
          <w:b w:val="0"/>
          <w:color w:val="auto"/>
          <w:sz w:val="24"/>
          <w:szCs w:val="24"/>
          <w:highlight w:val="none"/>
        </w:rPr>
      </w:pPr>
      <w:bookmarkStart w:id="69" w:name="_Toc530660829"/>
      <w:r>
        <w:rPr>
          <w:rFonts w:hint="eastAsia" w:ascii="宋体" w:eastAsia="宋体"/>
          <w:b w:val="0"/>
          <w:color w:val="auto"/>
          <w:sz w:val="24"/>
          <w:szCs w:val="24"/>
          <w:highlight w:val="none"/>
        </w:rPr>
        <w:t>4.2 投标文件的递交</w:t>
      </w:r>
      <w:bookmarkEnd w:id="69"/>
    </w:p>
    <w:p w14:paraId="35B72B07">
      <w:pPr>
        <w:tabs>
          <w:tab w:val="right" w:leader="dot" w:pos="8295"/>
        </w:tabs>
        <w:ind w:firstLine="480"/>
        <w:rPr>
          <w:rFonts w:ascii="宋体"/>
          <w:color w:val="auto"/>
          <w:szCs w:val="24"/>
          <w:highlight w:val="none"/>
        </w:rPr>
      </w:pPr>
      <w:r>
        <w:rPr>
          <w:rFonts w:hint="eastAsia" w:ascii="宋体"/>
          <w:color w:val="auto"/>
          <w:szCs w:val="24"/>
          <w:highlight w:val="none"/>
        </w:rPr>
        <w:t>4.2.1 投标人应在本章第2.2.2项规定的投标截止时间前递交投标文件。</w:t>
      </w:r>
    </w:p>
    <w:p w14:paraId="095C7DCA">
      <w:pPr>
        <w:tabs>
          <w:tab w:val="right" w:leader="dot" w:pos="8295"/>
        </w:tabs>
        <w:ind w:firstLine="480"/>
        <w:rPr>
          <w:rFonts w:ascii="宋体"/>
          <w:color w:val="auto"/>
          <w:szCs w:val="24"/>
          <w:highlight w:val="none"/>
        </w:rPr>
      </w:pPr>
      <w:r>
        <w:rPr>
          <w:rFonts w:hint="eastAsia" w:ascii="宋体"/>
          <w:color w:val="auto"/>
          <w:szCs w:val="24"/>
          <w:highlight w:val="none"/>
        </w:rPr>
        <w:t>4.2.2 投标人递交投标文件的方式和地点：见投标人须知前附表。</w:t>
      </w:r>
    </w:p>
    <w:p w14:paraId="4B8F12BF">
      <w:pPr>
        <w:tabs>
          <w:tab w:val="right" w:leader="dot" w:pos="8295"/>
        </w:tabs>
        <w:ind w:firstLine="480"/>
        <w:rPr>
          <w:rFonts w:ascii="宋体"/>
          <w:color w:val="auto"/>
          <w:szCs w:val="24"/>
          <w:highlight w:val="none"/>
        </w:rPr>
      </w:pPr>
      <w:r>
        <w:rPr>
          <w:rFonts w:hint="eastAsia" w:ascii="宋体"/>
          <w:color w:val="auto"/>
          <w:szCs w:val="24"/>
          <w:highlight w:val="none"/>
        </w:rPr>
        <w:t>4.2.3 除投标人须知前附表另有规定外，投标人所递交的投标文件不予退还。</w:t>
      </w:r>
    </w:p>
    <w:p w14:paraId="5EB950CF">
      <w:pPr>
        <w:tabs>
          <w:tab w:val="right" w:leader="dot" w:pos="8295"/>
        </w:tabs>
        <w:ind w:firstLine="480"/>
        <w:rPr>
          <w:rFonts w:ascii="宋体"/>
          <w:color w:val="auto"/>
          <w:szCs w:val="24"/>
          <w:highlight w:val="none"/>
        </w:rPr>
      </w:pPr>
      <w:r>
        <w:rPr>
          <w:rFonts w:hint="eastAsia" w:ascii="宋体"/>
          <w:color w:val="auto"/>
          <w:szCs w:val="24"/>
          <w:highlight w:val="none"/>
        </w:rPr>
        <w:t>4.2.4投标人完成电子投标文件上传后，电子招标投标交易平台即时向投标人发出递交回执通知。递交时间以递交回执通知载明的传输完成时间为准。</w:t>
      </w:r>
    </w:p>
    <w:p w14:paraId="0B18C389">
      <w:pPr>
        <w:tabs>
          <w:tab w:val="right" w:leader="dot" w:pos="8295"/>
        </w:tabs>
        <w:ind w:firstLine="480"/>
        <w:rPr>
          <w:rFonts w:ascii="宋体"/>
          <w:color w:val="auto"/>
          <w:szCs w:val="24"/>
          <w:highlight w:val="none"/>
        </w:rPr>
      </w:pPr>
      <w:r>
        <w:rPr>
          <w:rFonts w:hint="eastAsia" w:ascii="宋体"/>
          <w:color w:val="auto"/>
          <w:szCs w:val="24"/>
          <w:highlight w:val="none"/>
        </w:rPr>
        <w:t>4.2.5投标文件的拒收要求见投标人须知前附表。</w:t>
      </w:r>
    </w:p>
    <w:p w14:paraId="0AD85511">
      <w:pPr>
        <w:pStyle w:val="4"/>
        <w:tabs>
          <w:tab w:val="right" w:leader="dot" w:pos="8295"/>
        </w:tabs>
        <w:ind w:firstLine="482" w:firstLineChars="200"/>
        <w:rPr>
          <w:rFonts w:ascii="宋体" w:eastAsia="宋体"/>
          <w:color w:val="auto"/>
          <w:sz w:val="24"/>
          <w:szCs w:val="24"/>
          <w:highlight w:val="none"/>
        </w:rPr>
      </w:pPr>
      <w:bookmarkStart w:id="70" w:name="_Toc184635075"/>
      <w:bookmarkStart w:id="71" w:name="_Toc530660830"/>
      <w:bookmarkStart w:id="72" w:name="_Toc494121482"/>
      <w:r>
        <w:rPr>
          <w:rFonts w:hint="eastAsia" w:ascii="宋体" w:eastAsia="宋体"/>
          <w:color w:val="auto"/>
          <w:sz w:val="24"/>
          <w:szCs w:val="24"/>
          <w:highlight w:val="none"/>
        </w:rPr>
        <w:t>5．开标</w:t>
      </w:r>
      <w:bookmarkEnd w:id="70"/>
      <w:bookmarkEnd w:id="71"/>
      <w:bookmarkEnd w:id="72"/>
    </w:p>
    <w:p w14:paraId="2CC01E28">
      <w:pPr>
        <w:pStyle w:val="5"/>
        <w:tabs>
          <w:tab w:val="right" w:leader="dot" w:pos="8295"/>
        </w:tabs>
        <w:rPr>
          <w:rFonts w:ascii="宋体" w:eastAsia="宋体"/>
          <w:b w:val="0"/>
          <w:color w:val="auto"/>
          <w:sz w:val="24"/>
          <w:szCs w:val="24"/>
          <w:highlight w:val="none"/>
        </w:rPr>
      </w:pPr>
      <w:bookmarkStart w:id="73" w:name="_Toc530660831"/>
      <w:r>
        <w:rPr>
          <w:rFonts w:hint="eastAsia" w:ascii="宋体" w:eastAsia="宋体"/>
          <w:b w:val="0"/>
          <w:color w:val="auto"/>
          <w:sz w:val="24"/>
          <w:szCs w:val="24"/>
          <w:highlight w:val="none"/>
        </w:rPr>
        <w:t>5.1 开标时间和地点</w:t>
      </w:r>
      <w:bookmarkEnd w:id="73"/>
    </w:p>
    <w:p w14:paraId="4E4E3A53">
      <w:pPr>
        <w:tabs>
          <w:tab w:val="right" w:leader="dot" w:pos="8295"/>
        </w:tabs>
        <w:ind w:firstLine="480"/>
        <w:rPr>
          <w:rFonts w:ascii="宋体"/>
          <w:color w:val="auto"/>
          <w:szCs w:val="24"/>
          <w:highlight w:val="none"/>
        </w:rPr>
      </w:pPr>
      <w:r>
        <w:rPr>
          <w:rFonts w:hint="eastAsia" w:ascii="宋体"/>
          <w:color w:val="auto"/>
          <w:szCs w:val="24"/>
          <w:highlight w:val="none"/>
        </w:rPr>
        <w:t>招标人在本章第2.2.2 项规定的投标截止时间（开标时间）和投标人须知前附表规定的地点公开开标，并邀请所有投标人的法定代表人或其委托代理人准时在线参加。</w:t>
      </w:r>
    </w:p>
    <w:p w14:paraId="7930B76F">
      <w:pPr>
        <w:pStyle w:val="5"/>
        <w:tabs>
          <w:tab w:val="right" w:leader="dot" w:pos="8295"/>
        </w:tabs>
        <w:rPr>
          <w:rFonts w:ascii="宋体" w:eastAsia="宋体"/>
          <w:b w:val="0"/>
          <w:color w:val="auto"/>
          <w:sz w:val="24"/>
          <w:szCs w:val="24"/>
          <w:highlight w:val="none"/>
        </w:rPr>
      </w:pPr>
      <w:bookmarkStart w:id="74" w:name="_Toc530660832"/>
      <w:r>
        <w:rPr>
          <w:rFonts w:hint="eastAsia" w:ascii="宋体" w:eastAsia="宋体"/>
          <w:b w:val="0"/>
          <w:color w:val="auto"/>
          <w:sz w:val="24"/>
          <w:szCs w:val="24"/>
          <w:highlight w:val="none"/>
        </w:rPr>
        <w:t>5.2 开标程序</w:t>
      </w:r>
      <w:bookmarkEnd w:id="74"/>
    </w:p>
    <w:p w14:paraId="4229F65B">
      <w:pPr>
        <w:tabs>
          <w:tab w:val="right" w:leader="dot" w:pos="8295"/>
        </w:tabs>
        <w:ind w:firstLine="480"/>
        <w:rPr>
          <w:rFonts w:ascii="宋体"/>
          <w:color w:val="auto"/>
          <w:szCs w:val="24"/>
          <w:highlight w:val="none"/>
        </w:rPr>
      </w:pPr>
      <w:r>
        <w:rPr>
          <w:rFonts w:hint="eastAsia" w:ascii="宋体"/>
          <w:color w:val="auto"/>
          <w:szCs w:val="24"/>
          <w:highlight w:val="none"/>
        </w:rPr>
        <w:t>开标程序：见投标人须知前附表。</w:t>
      </w:r>
    </w:p>
    <w:p w14:paraId="67CCC32F">
      <w:pPr>
        <w:pStyle w:val="5"/>
        <w:tabs>
          <w:tab w:val="right" w:leader="dot" w:pos="8295"/>
        </w:tabs>
        <w:rPr>
          <w:rFonts w:ascii="宋体" w:eastAsia="宋体"/>
          <w:b w:val="0"/>
          <w:bCs/>
          <w:color w:val="auto"/>
          <w:sz w:val="24"/>
          <w:szCs w:val="24"/>
          <w:highlight w:val="none"/>
        </w:rPr>
      </w:pPr>
      <w:r>
        <w:rPr>
          <w:rFonts w:hint="eastAsia" w:ascii="宋体" w:eastAsia="宋体"/>
          <w:b w:val="0"/>
          <w:bCs/>
          <w:color w:val="auto"/>
          <w:sz w:val="24"/>
          <w:szCs w:val="24"/>
          <w:highlight w:val="none"/>
        </w:rPr>
        <w:t>5.3开标异议</w:t>
      </w:r>
    </w:p>
    <w:p w14:paraId="696A8C8C">
      <w:pPr>
        <w:tabs>
          <w:tab w:val="right" w:leader="dot" w:pos="8295"/>
        </w:tabs>
        <w:ind w:firstLine="480"/>
        <w:rPr>
          <w:rFonts w:ascii="宋体"/>
          <w:bCs/>
          <w:color w:val="auto"/>
          <w:szCs w:val="24"/>
          <w:highlight w:val="none"/>
        </w:rPr>
      </w:pPr>
      <w:r>
        <w:rPr>
          <w:rFonts w:hint="eastAsia" w:ascii="宋体"/>
          <w:bCs/>
          <w:color w:val="auto"/>
          <w:szCs w:val="24"/>
          <w:highlight w:val="none"/>
        </w:rPr>
        <w:t>投标人对开标有异议的，应当在开标时提出，招标人当场作出答复，并制作记录。</w:t>
      </w:r>
    </w:p>
    <w:p w14:paraId="1EE8FE10">
      <w:pPr>
        <w:pStyle w:val="5"/>
        <w:tabs>
          <w:tab w:val="right" w:leader="dot" w:pos="8295"/>
        </w:tabs>
        <w:rPr>
          <w:rFonts w:ascii="宋体" w:eastAsia="宋体"/>
          <w:b w:val="0"/>
          <w:bCs/>
          <w:color w:val="auto"/>
          <w:sz w:val="24"/>
          <w:szCs w:val="24"/>
          <w:highlight w:val="none"/>
        </w:rPr>
      </w:pPr>
      <w:r>
        <w:rPr>
          <w:rFonts w:hint="eastAsia" w:ascii="宋体" w:eastAsia="宋体"/>
          <w:b w:val="0"/>
          <w:bCs/>
          <w:color w:val="auto"/>
          <w:sz w:val="24"/>
          <w:szCs w:val="24"/>
          <w:highlight w:val="none"/>
        </w:rPr>
        <w:t>5.4特殊情况处置</w:t>
      </w:r>
    </w:p>
    <w:p w14:paraId="099559FC">
      <w:pPr>
        <w:tabs>
          <w:tab w:val="right" w:leader="dot" w:pos="8295"/>
        </w:tabs>
        <w:ind w:firstLine="480"/>
        <w:rPr>
          <w:rFonts w:ascii="宋体"/>
          <w:color w:val="auto"/>
          <w:szCs w:val="24"/>
          <w:highlight w:val="none"/>
        </w:rPr>
      </w:pPr>
      <w:r>
        <w:rPr>
          <w:rFonts w:hint="eastAsia" w:ascii="宋体"/>
          <w:bCs/>
          <w:color w:val="auto"/>
          <w:szCs w:val="24"/>
          <w:highlight w:val="none"/>
        </w:rPr>
        <w:t>见投标人须知前附表</w:t>
      </w:r>
    </w:p>
    <w:p w14:paraId="4A7FCAA5">
      <w:pPr>
        <w:pStyle w:val="17"/>
        <w:rPr>
          <w:color w:val="auto"/>
          <w:highlight w:val="none"/>
        </w:rPr>
      </w:pPr>
    </w:p>
    <w:p w14:paraId="7F119BFD">
      <w:pPr>
        <w:pStyle w:val="4"/>
        <w:tabs>
          <w:tab w:val="right" w:leader="dot" w:pos="8295"/>
        </w:tabs>
        <w:ind w:firstLine="482" w:firstLineChars="200"/>
        <w:rPr>
          <w:rFonts w:ascii="宋体" w:eastAsia="宋体"/>
          <w:color w:val="auto"/>
          <w:sz w:val="24"/>
          <w:szCs w:val="24"/>
          <w:highlight w:val="none"/>
        </w:rPr>
      </w:pPr>
      <w:bookmarkStart w:id="75" w:name="_Toc530660833"/>
      <w:bookmarkStart w:id="76" w:name="_Toc494121483"/>
      <w:bookmarkStart w:id="77" w:name="_Toc184635076"/>
      <w:r>
        <w:rPr>
          <w:rFonts w:hint="eastAsia" w:ascii="宋体" w:eastAsia="宋体"/>
          <w:color w:val="auto"/>
          <w:sz w:val="24"/>
          <w:szCs w:val="24"/>
          <w:highlight w:val="none"/>
        </w:rPr>
        <w:t>6．评标</w:t>
      </w:r>
      <w:bookmarkEnd w:id="75"/>
      <w:bookmarkEnd w:id="76"/>
      <w:bookmarkEnd w:id="77"/>
    </w:p>
    <w:p w14:paraId="58B19120">
      <w:pPr>
        <w:pStyle w:val="5"/>
        <w:tabs>
          <w:tab w:val="right" w:leader="dot" w:pos="8295"/>
        </w:tabs>
        <w:rPr>
          <w:rFonts w:ascii="宋体" w:eastAsia="宋体"/>
          <w:b w:val="0"/>
          <w:color w:val="auto"/>
          <w:sz w:val="24"/>
          <w:szCs w:val="24"/>
          <w:highlight w:val="none"/>
        </w:rPr>
      </w:pPr>
      <w:bookmarkStart w:id="78" w:name="_Toc530660834"/>
      <w:r>
        <w:rPr>
          <w:rFonts w:hint="eastAsia" w:ascii="宋体" w:eastAsia="宋体"/>
          <w:b w:val="0"/>
          <w:color w:val="auto"/>
          <w:sz w:val="24"/>
          <w:szCs w:val="24"/>
          <w:highlight w:val="none"/>
        </w:rPr>
        <w:t>6.1 评标委员会</w:t>
      </w:r>
      <w:bookmarkEnd w:id="78"/>
    </w:p>
    <w:p w14:paraId="39BEFE49">
      <w:pPr>
        <w:tabs>
          <w:tab w:val="right" w:leader="dot" w:pos="8295"/>
        </w:tabs>
        <w:ind w:firstLine="480"/>
        <w:rPr>
          <w:rFonts w:ascii="宋体"/>
          <w:color w:val="auto"/>
          <w:szCs w:val="24"/>
          <w:highlight w:val="none"/>
        </w:rPr>
      </w:pPr>
      <w:r>
        <w:rPr>
          <w:rFonts w:hint="eastAsia" w:ascii="宋体"/>
          <w:color w:val="auto"/>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29706A24">
      <w:pPr>
        <w:tabs>
          <w:tab w:val="right" w:leader="dot" w:pos="8295"/>
        </w:tabs>
        <w:ind w:firstLine="480"/>
        <w:rPr>
          <w:rFonts w:ascii="宋体"/>
          <w:color w:val="auto"/>
          <w:szCs w:val="24"/>
          <w:highlight w:val="none"/>
        </w:rPr>
      </w:pPr>
      <w:r>
        <w:rPr>
          <w:rFonts w:hint="eastAsia" w:ascii="宋体"/>
          <w:color w:val="auto"/>
          <w:szCs w:val="24"/>
          <w:highlight w:val="none"/>
        </w:rPr>
        <w:t>6.1.2 评标委员会成员有下列情形之一的，应当回避：</w:t>
      </w:r>
    </w:p>
    <w:p w14:paraId="1D06F318">
      <w:pPr>
        <w:tabs>
          <w:tab w:val="right" w:leader="dot" w:pos="8295"/>
        </w:tabs>
        <w:ind w:firstLine="480"/>
        <w:rPr>
          <w:rFonts w:ascii="宋体"/>
          <w:color w:val="auto"/>
          <w:szCs w:val="24"/>
          <w:highlight w:val="none"/>
        </w:rPr>
      </w:pPr>
      <w:r>
        <w:rPr>
          <w:rFonts w:hint="eastAsia" w:ascii="宋体"/>
          <w:color w:val="auto"/>
          <w:szCs w:val="24"/>
          <w:highlight w:val="none"/>
        </w:rPr>
        <w:t>（1）招标人或投标人的主要负责人的近亲属；</w:t>
      </w:r>
    </w:p>
    <w:p w14:paraId="56B51D00">
      <w:pPr>
        <w:tabs>
          <w:tab w:val="right" w:leader="dot" w:pos="8295"/>
        </w:tabs>
        <w:ind w:firstLine="480"/>
        <w:rPr>
          <w:rFonts w:ascii="宋体"/>
          <w:color w:val="auto"/>
          <w:szCs w:val="24"/>
          <w:highlight w:val="none"/>
        </w:rPr>
      </w:pPr>
      <w:r>
        <w:rPr>
          <w:rFonts w:hint="eastAsia" w:ascii="宋体"/>
          <w:color w:val="auto"/>
          <w:szCs w:val="24"/>
          <w:highlight w:val="none"/>
        </w:rPr>
        <w:t>（2）项目主管部门或者行政监督部门的人员；</w:t>
      </w:r>
    </w:p>
    <w:p w14:paraId="66BAE113">
      <w:pPr>
        <w:tabs>
          <w:tab w:val="right" w:leader="dot" w:pos="8295"/>
        </w:tabs>
        <w:ind w:firstLine="480"/>
        <w:rPr>
          <w:rFonts w:ascii="宋体"/>
          <w:color w:val="auto"/>
          <w:szCs w:val="24"/>
          <w:highlight w:val="none"/>
        </w:rPr>
      </w:pPr>
      <w:r>
        <w:rPr>
          <w:rFonts w:hint="eastAsia" w:ascii="宋体"/>
          <w:color w:val="auto"/>
          <w:szCs w:val="24"/>
          <w:highlight w:val="none"/>
        </w:rPr>
        <w:t>（3）与投标人有经济利益关系，可能影响对投标公正评审的；</w:t>
      </w:r>
    </w:p>
    <w:p w14:paraId="1F5553C3">
      <w:pPr>
        <w:tabs>
          <w:tab w:val="right" w:leader="dot" w:pos="8295"/>
        </w:tabs>
        <w:ind w:firstLine="480"/>
        <w:rPr>
          <w:rFonts w:ascii="宋体"/>
          <w:color w:val="auto"/>
          <w:szCs w:val="24"/>
          <w:highlight w:val="none"/>
        </w:rPr>
      </w:pPr>
      <w:r>
        <w:rPr>
          <w:rFonts w:hint="eastAsia" w:ascii="宋体"/>
          <w:color w:val="auto"/>
          <w:szCs w:val="24"/>
          <w:highlight w:val="none"/>
        </w:rPr>
        <w:t>（4）曾因在招标、评标以及其他与招标投标有关活动中从事违法行为而受过行政处罚或刑事处罚的。</w:t>
      </w:r>
    </w:p>
    <w:p w14:paraId="4D8F45D7">
      <w:pPr>
        <w:pStyle w:val="5"/>
        <w:tabs>
          <w:tab w:val="right" w:leader="dot" w:pos="8295"/>
        </w:tabs>
        <w:rPr>
          <w:rFonts w:ascii="宋体" w:eastAsia="宋体"/>
          <w:b w:val="0"/>
          <w:color w:val="auto"/>
          <w:sz w:val="24"/>
          <w:szCs w:val="24"/>
          <w:highlight w:val="none"/>
        </w:rPr>
      </w:pPr>
      <w:bookmarkStart w:id="79" w:name="_Toc530660835"/>
      <w:r>
        <w:rPr>
          <w:rFonts w:hint="eastAsia" w:ascii="宋体" w:eastAsia="宋体"/>
          <w:b w:val="0"/>
          <w:color w:val="auto"/>
          <w:sz w:val="24"/>
          <w:szCs w:val="24"/>
          <w:highlight w:val="none"/>
        </w:rPr>
        <w:t>6.2 评标原则</w:t>
      </w:r>
      <w:bookmarkEnd w:id="79"/>
    </w:p>
    <w:p w14:paraId="55AA33D6">
      <w:pPr>
        <w:tabs>
          <w:tab w:val="right" w:leader="dot" w:pos="8295"/>
        </w:tabs>
        <w:ind w:firstLine="480"/>
        <w:rPr>
          <w:rFonts w:ascii="宋体"/>
          <w:color w:val="auto"/>
          <w:szCs w:val="24"/>
          <w:highlight w:val="none"/>
        </w:rPr>
      </w:pPr>
      <w:r>
        <w:rPr>
          <w:rFonts w:hint="eastAsia" w:ascii="宋体"/>
          <w:color w:val="auto"/>
          <w:szCs w:val="24"/>
          <w:highlight w:val="none"/>
        </w:rPr>
        <w:t>评标活动遵循公平、公正、科学和择优的原则。</w:t>
      </w:r>
    </w:p>
    <w:p w14:paraId="50F29DF8">
      <w:pPr>
        <w:pStyle w:val="5"/>
        <w:tabs>
          <w:tab w:val="right" w:leader="dot" w:pos="8295"/>
        </w:tabs>
        <w:rPr>
          <w:rFonts w:ascii="宋体" w:eastAsia="宋体"/>
          <w:b w:val="0"/>
          <w:color w:val="auto"/>
          <w:sz w:val="24"/>
          <w:szCs w:val="24"/>
          <w:highlight w:val="none"/>
        </w:rPr>
      </w:pPr>
      <w:bookmarkStart w:id="80" w:name="_Toc530660836"/>
      <w:r>
        <w:rPr>
          <w:rFonts w:hint="eastAsia" w:ascii="宋体" w:eastAsia="宋体"/>
          <w:b w:val="0"/>
          <w:color w:val="auto"/>
          <w:sz w:val="24"/>
          <w:szCs w:val="24"/>
          <w:highlight w:val="none"/>
        </w:rPr>
        <w:t>6.3 评标</w:t>
      </w:r>
      <w:bookmarkEnd w:id="80"/>
    </w:p>
    <w:p w14:paraId="48C89458">
      <w:pPr>
        <w:tabs>
          <w:tab w:val="right" w:leader="dot" w:pos="8295"/>
        </w:tabs>
        <w:ind w:firstLine="480"/>
        <w:rPr>
          <w:rFonts w:ascii="宋体"/>
          <w:color w:val="auto"/>
          <w:szCs w:val="24"/>
          <w:highlight w:val="none"/>
        </w:rPr>
      </w:pPr>
      <w:r>
        <w:rPr>
          <w:rFonts w:hint="eastAsia" w:ascii="宋体"/>
          <w:color w:val="auto"/>
          <w:szCs w:val="24"/>
          <w:highlight w:val="none"/>
        </w:rPr>
        <w:t>6.3.1评标委员会按照第三章“评标办法”规定的方法、评审因素、标准和程序对投标文件进行评审。第三章“评标办法”没有规定的方法、评审因素和标准，不作为评标依据。</w:t>
      </w:r>
    </w:p>
    <w:p w14:paraId="390D6738">
      <w:pPr>
        <w:tabs>
          <w:tab w:val="right" w:leader="dot" w:pos="8295"/>
        </w:tabs>
        <w:ind w:firstLine="480"/>
        <w:rPr>
          <w:rFonts w:ascii="宋体"/>
          <w:color w:val="auto"/>
          <w:szCs w:val="24"/>
          <w:highlight w:val="none"/>
        </w:rPr>
      </w:pPr>
      <w:r>
        <w:rPr>
          <w:rFonts w:hint="eastAsia" w:ascii="宋体"/>
          <w:color w:val="auto"/>
          <w:szCs w:val="24"/>
          <w:highlight w:val="none"/>
        </w:rPr>
        <w:t>6.3.2评标完成后，评标委员会应当向招标人提交书面评标报告和中标候选人名单。评标委员会推荐中标候选人的人数见投标人须知前附表。</w:t>
      </w:r>
    </w:p>
    <w:p w14:paraId="58DA7528">
      <w:pPr>
        <w:tabs>
          <w:tab w:val="right" w:leader="dot" w:pos="8295"/>
        </w:tabs>
        <w:ind w:firstLine="480"/>
        <w:rPr>
          <w:rFonts w:ascii="宋体"/>
          <w:color w:val="auto"/>
          <w:szCs w:val="24"/>
          <w:highlight w:val="none"/>
        </w:rPr>
      </w:pPr>
    </w:p>
    <w:p w14:paraId="41E9D55E">
      <w:pPr>
        <w:pStyle w:val="4"/>
        <w:tabs>
          <w:tab w:val="right" w:leader="dot" w:pos="8295"/>
        </w:tabs>
        <w:ind w:firstLine="482" w:firstLineChars="200"/>
        <w:rPr>
          <w:rFonts w:ascii="宋体" w:eastAsia="宋体"/>
          <w:color w:val="auto"/>
          <w:sz w:val="24"/>
          <w:szCs w:val="24"/>
          <w:highlight w:val="none"/>
        </w:rPr>
      </w:pPr>
      <w:bookmarkStart w:id="81" w:name="_Toc494121484"/>
      <w:bookmarkStart w:id="82" w:name="_Toc530660837"/>
      <w:bookmarkStart w:id="83" w:name="_Toc184635077"/>
      <w:r>
        <w:rPr>
          <w:rFonts w:hint="eastAsia" w:ascii="宋体" w:eastAsia="宋体"/>
          <w:color w:val="auto"/>
          <w:sz w:val="24"/>
          <w:szCs w:val="24"/>
          <w:highlight w:val="none"/>
        </w:rPr>
        <w:t>7．合同授予</w:t>
      </w:r>
      <w:bookmarkEnd w:id="81"/>
      <w:bookmarkEnd w:id="82"/>
      <w:bookmarkEnd w:id="83"/>
    </w:p>
    <w:p w14:paraId="36489594">
      <w:pPr>
        <w:pStyle w:val="5"/>
        <w:tabs>
          <w:tab w:val="right" w:leader="dot" w:pos="8295"/>
        </w:tabs>
        <w:rPr>
          <w:rFonts w:ascii="宋体" w:eastAsia="宋体"/>
          <w:color w:val="auto"/>
          <w:sz w:val="24"/>
          <w:szCs w:val="24"/>
          <w:highlight w:val="none"/>
        </w:rPr>
      </w:pPr>
      <w:r>
        <w:rPr>
          <w:rFonts w:hint="eastAsia" w:ascii="宋体" w:eastAsia="宋体"/>
          <w:color w:val="auto"/>
          <w:sz w:val="24"/>
          <w:szCs w:val="24"/>
          <w:highlight w:val="none"/>
        </w:rPr>
        <w:t>7.1中标候选人公示媒介及期限</w:t>
      </w:r>
    </w:p>
    <w:p w14:paraId="0B091174">
      <w:pPr>
        <w:tabs>
          <w:tab w:val="right" w:leader="dot" w:pos="8295"/>
        </w:tabs>
        <w:ind w:firstLine="480"/>
        <w:rPr>
          <w:rFonts w:ascii="宋体"/>
          <w:color w:val="auto"/>
          <w:szCs w:val="24"/>
          <w:highlight w:val="none"/>
        </w:rPr>
      </w:pPr>
      <w:r>
        <w:rPr>
          <w:rFonts w:hint="eastAsia" w:ascii="宋体"/>
          <w:color w:val="auto"/>
          <w:szCs w:val="24"/>
          <w:highlight w:val="none"/>
        </w:rPr>
        <w:t>中标候选人公示媒介及期限见投标人须知前附表。</w:t>
      </w:r>
    </w:p>
    <w:p w14:paraId="3E2A4798">
      <w:pPr>
        <w:pStyle w:val="5"/>
        <w:tabs>
          <w:tab w:val="right" w:leader="dot" w:pos="8295"/>
        </w:tabs>
        <w:rPr>
          <w:rFonts w:ascii="宋体" w:eastAsia="宋体"/>
          <w:color w:val="auto"/>
          <w:sz w:val="24"/>
          <w:szCs w:val="24"/>
          <w:highlight w:val="none"/>
        </w:rPr>
      </w:pPr>
      <w:r>
        <w:rPr>
          <w:rFonts w:hint="eastAsia" w:ascii="宋体" w:eastAsia="宋体"/>
          <w:color w:val="auto"/>
          <w:sz w:val="24"/>
          <w:szCs w:val="24"/>
          <w:highlight w:val="none"/>
        </w:rPr>
        <w:t>7.2定标方式</w:t>
      </w:r>
    </w:p>
    <w:p w14:paraId="1E57565B">
      <w:pPr>
        <w:tabs>
          <w:tab w:val="right" w:leader="dot" w:pos="8295"/>
        </w:tabs>
        <w:ind w:firstLine="480"/>
        <w:rPr>
          <w:rFonts w:ascii="宋体"/>
          <w:color w:val="auto"/>
          <w:szCs w:val="24"/>
          <w:highlight w:val="none"/>
        </w:rPr>
      </w:pPr>
      <w:r>
        <w:rPr>
          <w:rFonts w:hint="eastAsia" w:ascii="宋体"/>
          <w:color w:val="auto"/>
          <w:szCs w:val="24"/>
          <w:highlight w:val="none"/>
        </w:rPr>
        <w:t>7.2.1招标人授权评标委员会确定中标人或根据评标委员会推荐招标人确定中标人的（评定分离除外），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34C23752">
      <w:pPr>
        <w:tabs>
          <w:tab w:val="right" w:leader="dot" w:pos="8295"/>
        </w:tabs>
        <w:ind w:firstLine="480"/>
        <w:rPr>
          <w:rFonts w:ascii="宋体"/>
          <w:color w:val="auto"/>
          <w:szCs w:val="24"/>
          <w:highlight w:val="none"/>
        </w:rPr>
      </w:pPr>
      <w:r>
        <w:rPr>
          <w:rFonts w:hint="eastAsia" w:ascii="宋体"/>
          <w:color w:val="auto"/>
          <w:szCs w:val="24"/>
          <w:highlight w:val="none"/>
        </w:rPr>
        <w:t>7.2.2 定标原则：招标人负责制、公开透明、诚信守约的原则。</w:t>
      </w:r>
    </w:p>
    <w:p w14:paraId="74025FEC">
      <w:pPr>
        <w:tabs>
          <w:tab w:val="right" w:leader="dot" w:pos="8295"/>
        </w:tabs>
        <w:ind w:firstLine="480"/>
        <w:rPr>
          <w:rFonts w:ascii="宋体"/>
          <w:color w:val="auto"/>
          <w:szCs w:val="24"/>
          <w:highlight w:val="none"/>
        </w:rPr>
      </w:pPr>
      <w:r>
        <w:rPr>
          <w:rFonts w:hint="eastAsia" w:ascii="宋体"/>
          <w:color w:val="auto"/>
          <w:szCs w:val="24"/>
          <w:highlight w:val="none"/>
        </w:rPr>
        <w:t>7.2.3定标会议时间和地点：招标人在投标人须知前附表7.2.3规定的时间和地点召开定标会议，招标人的纪检监察部门应对招标投标活动的全过程进行监督。</w:t>
      </w:r>
    </w:p>
    <w:p w14:paraId="12ADE1E8">
      <w:pPr>
        <w:tabs>
          <w:tab w:val="right" w:leader="dot" w:pos="8295"/>
        </w:tabs>
        <w:ind w:firstLine="480"/>
        <w:rPr>
          <w:rFonts w:ascii="宋体"/>
          <w:color w:val="auto"/>
          <w:szCs w:val="24"/>
          <w:highlight w:val="none"/>
        </w:rPr>
      </w:pPr>
      <w:r>
        <w:rPr>
          <w:rFonts w:hint="eastAsia" w:ascii="宋体"/>
          <w:color w:val="auto"/>
          <w:szCs w:val="24"/>
          <w:highlight w:val="none"/>
        </w:rPr>
        <w:t>7.2.4 招标人可在投标人须知前附表7.2.4规定的时间前对所有中标候选人进行考察、质询。考察、质询小组应由投标人须知前附表7.2.4规定的人数组成。考察、质询小组应如实记录考察、质询情况，并出具考察、质询报告作为定标要素之一。考察、质询报告应客观公正，不得有明示或暗示中标人的内容。</w:t>
      </w:r>
    </w:p>
    <w:p w14:paraId="0FF8DDB7">
      <w:pPr>
        <w:tabs>
          <w:tab w:val="right" w:leader="dot" w:pos="8295"/>
        </w:tabs>
        <w:ind w:firstLine="480"/>
        <w:rPr>
          <w:rFonts w:ascii="宋体"/>
          <w:color w:val="auto"/>
          <w:szCs w:val="24"/>
          <w:highlight w:val="none"/>
        </w:rPr>
      </w:pPr>
      <w:r>
        <w:rPr>
          <w:rFonts w:hint="eastAsia" w:ascii="宋体"/>
          <w:color w:val="auto"/>
          <w:szCs w:val="24"/>
          <w:highlight w:val="none"/>
        </w:rPr>
        <w:t>7.2.5 定标委员会由招标人负责组建。定标委员会由投标人须知前附表7.2.5规定的人数组成。定标委员会成员与中标候选人有利害关系的应主动说明并申请回避，定标委员会名单在中标结果确定前保密。</w:t>
      </w:r>
    </w:p>
    <w:p w14:paraId="68111B70">
      <w:pPr>
        <w:tabs>
          <w:tab w:val="right" w:leader="dot" w:pos="8295"/>
        </w:tabs>
        <w:ind w:firstLine="480"/>
        <w:rPr>
          <w:rFonts w:ascii="宋体"/>
          <w:color w:val="auto"/>
          <w:szCs w:val="24"/>
          <w:highlight w:val="none"/>
        </w:rPr>
      </w:pPr>
      <w:r>
        <w:rPr>
          <w:rFonts w:hint="eastAsia" w:ascii="宋体"/>
          <w:color w:val="auto"/>
          <w:szCs w:val="24"/>
          <w:highlight w:val="none"/>
        </w:rPr>
        <w:t>7.2.6招标人在定标会议中可对中标候选人开展现场面试，中标候选人拟派项目负责人，以及投标人（联合体投标的，为联合体牵头人）持有安全生产考核合格证书的企业主要负责人（法定代表人、企业经理、企业分管安全生产的副经理、企业技术负责人中任意一人）参加现场面试。</w:t>
      </w:r>
    </w:p>
    <w:p w14:paraId="3C0DF41A">
      <w:pPr>
        <w:tabs>
          <w:tab w:val="right" w:leader="dot" w:pos="8295"/>
        </w:tabs>
        <w:ind w:firstLine="480"/>
        <w:rPr>
          <w:rFonts w:ascii="宋体"/>
          <w:color w:val="auto"/>
          <w:szCs w:val="24"/>
          <w:highlight w:val="none"/>
        </w:rPr>
      </w:pPr>
      <w:r>
        <w:rPr>
          <w:rFonts w:hint="eastAsia" w:ascii="宋体"/>
          <w:color w:val="auto"/>
          <w:szCs w:val="24"/>
          <w:highlight w:val="none"/>
        </w:rPr>
        <w:t>7.2.7 定标要素应参考评标委员会评标报告、质询或考察报告、现场面试情况，此外，根据投标人须知前附表7.27选定内容为定标要素</w:t>
      </w:r>
    </w:p>
    <w:p w14:paraId="651951DD">
      <w:pPr>
        <w:tabs>
          <w:tab w:val="right" w:leader="dot" w:pos="8295"/>
        </w:tabs>
        <w:ind w:firstLine="480"/>
        <w:rPr>
          <w:rFonts w:ascii="宋体"/>
          <w:color w:val="auto"/>
          <w:szCs w:val="24"/>
          <w:highlight w:val="none"/>
        </w:rPr>
      </w:pPr>
      <w:r>
        <w:rPr>
          <w:rFonts w:hint="eastAsia" w:ascii="宋体"/>
          <w:color w:val="auto"/>
          <w:szCs w:val="24"/>
          <w:highlight w:val="none"/>
        </w:rPr>
        <w:t>（1）价格因素：主要包括商务报价高低、主要材料报价的合理性、不平衡报价情况等；</w:t>
      </w:r>
    </w:p>
    <w:p w14:paraId="043A9873">
      <w:pPr>
        <w:tabs>
          <w:tab w:val="right" w:leader="dot" w:pos="8295"/>
        </w:tabs>
        <w:ind w:firstLine="480"/>
        <w:rPr>
          <w:rFonts w:ascii="宋体"/>
          <w:color w:val="auto"/>
          <w:szCs w:val="24"/>
          <w:highlight w:val="none"/>
        </w:rPr>
      </w:pPr>
      <w:r>
        <w:rPr>
          <w:rFonts w:hint="eastAsia" w:ascii="宋体"/>
          <w:color w:val="auto"/>
          <w:szCs w:val="24"/>
          <w:highlight w:val="none"/>
        </w:rPr>
        <w:t>（2）企业实力：主要包括企业规模、资质等级、专业技术人员规模、近年的财务状况、过往业绩（含业绩影响力、难易程度）等；</w:t>
      </w:r>
    </w:p>
    <w:p w14:paraId="27A72B66">
      <w:pPr>
        <w:tabs>
          <w:tab w:val="right" w:leader="dot" w:pos="8295"/>
        </w:tabs>
        <w:ind w:firstLine="480"/>
        <w:rPr>
          <w:rFonts w:ascii="宋体"/>
          <w:color w:val="auto"/>
          <w:szCs w:val="24"/>
          <w:highlight w:val="none"/>
        </w:rPr>
      </w:pPr>
      <w:r>
        <w:rPr>
          <w:rFonts w:hint="eastAsia" w:ascii="宋体"/>
          <w:color w:val="auto"/>
          <w:szCs w:val="24"/>
          <w:highlight w:val="none"/>
        </w:rPr>
        <w:t>（3）企业信誉：主要包括企业信用情况、过往业绩履约情况、建设单位履约评价情况等（可查询全国和浙江省建筑市场监管公共服务系统、浙江省交通运输信用综合管理服务系统、全国或浙江省水利建设市场监管服务平台等）；</w:t>
      </w:r>
    </w:p>
    <w:p w14:paraId="546267A4">
      <w:pPr>
        <w:tabs>
          <w:tab w:val="right" w:leader="dot" w:pos="8295"/>
        </w:tabs>
        <w:ind w:firstLine="480"/>
        <w:rPr>
          <w:rFonts w:ascii="宋体"/>
          <w:color w:val="auto"/>
          <w:szCs w:val="24"/>
          <w:highlight w:val="none"/>
        </w:rPr>
      </w:pPr>
      <w:r>
        <w:rPr>
          <w:rFonts w:hint="eastAsia" w:ascii="宋体"/>
          <w:color w:val="auto"/>
          <w:szCs w:val="24"/>
          <w:highlight w:val="none"/>
        </w:rPr>
        <w:t>（4）投标方案：主要包括技术标情况、工程建设重难点解决方案、主要材料品牌等；</w:t>
      </w:r>
    </w:p>
    <w:p w14:paraId="5A79A0AE">
      <w:pPr>
        <w:tabs>
          <w:tab w:val="right" w:leader="dot" w:pos="8295"/>
        </w:tabs>
        <w:ind w:firstLine="480"/>
        <w:rPr>
          <w:rFonts w:ascii="宋体"/>
          <w:color w:val="auto"/>
          <w:szCs w:val="24"/>
          <w:highlight w:val="none"/>
        </w:rPr>
      </w:pPr>
      <w:r>
        <w:rPr>
          <w:rFonts w:hint="eastAsia" w:ascii="宋体"/>
          <w:color w:val="auto"/>
          <w:szCs w:val="24"/>
          <w:highlight w:val="none"/>
        </w:rPr>
        <w:t>（5）拟派团队能力与水平：主要包括团队主要负责人类似工程业绩、拟派项目团队人员的资信实力等；</w:t>
      </w:r>
    </w:p>
    <w:p w14:paraId="760BCB55">
      <w:pPr>
        <w:tabs>
          <w:tab w:val="right" w:leader="dot" w:pos="8295"/>
        </w:tabs>
        <w:ind w:firstLine="480"/>
        <w:rPr>
          <w:rFonts w:ascii="宋体"/>
          <w:color w:val="auto"/>
          <w:szCs w:val="24"/>
          <w:highlight w:val="none"/>
        </w:rPr>
      </w:pPr>
      <w:r>
        <w:rPr>
          <w:rFonts w:hint="eastAsia" w:ascii="宋体"/>
          <w:color w:val="auto"/>
          <w:szCs w:val="24"/>
          <w:highlight w:val="none"/>
        </w:rPr>
        <w:t>（6）联合体投标的，联合体组成情况；</w:t>
      </w:r>
    </w:p>
    <w:p w14:paraId="5673A2B3">
      <w:pPr>
        <w:tabs>
          <w:tab w:val="right" w:leader="dot" w:pos="8295"/>
        </w:tabs>
        <w:ind w:firstLine="480"/>
        <w:rPr>
          <w:rFonts w:ascii="宋体"/>
          <w:color w:val="auto"/>
          <w:szCs w:val="24"/>
          <w:highlight w:val="none"/>
        </w:rPr>
      </w:pPr>
      <w:r>
        <w:rPr>
          <w:rFonts w:hint="eastAsia" w:ascii="宋体"/>
          <w:color w:val="auto"/>
          <w:szCs w:val="24"/>
          <w:highlight w:val="none"/>
        </w:rPr>
        <w:t>（7）企业质量安全、无欠薪管理情况；</w:t>
      </w:r>
    </w:p>
    <w:p w14:paraId="0B43C597">
      <w:pPr>
        <w:tabs>
          <w:tab w:val="right" w:leader="dot" w:pos="8295"/>
        </w:tabs>
        <w:ind w:firstLine="480"/>
        <w:rPr>
          <w:rFonts w:ascii="宋体"/>
          <w:color w:val="auto"/>
          <w:szCs w:val="24"/>
          <w:highlight w:val="none"/>
        </w:rPr>
      </w:pPr>
      <w:r>
        <w:rPr>
          <w:rFonts w:hint="eastAsia" w:ascii="宋体"/>
          <w:color w:val="auto"/>
          <w:szCs w:val="24"/>
          <w:highlight w:val="none"/>
        </w:rPr>
        <w:t>（8）企业项目班组人员到岗履职等管理情况；</w:t>
      </w:r>
    </w:p>
    <w:p w14:paraId="40F71F26">
      <w:pPr>
        <w:tabs>
          <w:tab w:val="right" w:leader="dot" w:pos="8295"/>
        </w:tabs>
        <w:ind w:firstLine="480"/>
        <w:rPr>
          <w:rFonts w:ascii="宋体"/>
          <w:color w:val="auto"/>
          <w:szCs w:val="24"/>
          <w:highlight w:val="none"/>
        </w:rPr>
      </w:pPr>
      <w:r>
        <w:rPr>
          <w:rFonts w:hint="eastAsia" w:ascii="宋体"/>
          <w:color w:val="auto"/>
          <w:szCs w:val="24"/>
          <w:highlight w:val="none"/>
        </w:rPr>
        <w:t>（9）工程保修维护等后续服务便利；</w:t>
      </w:r>
    </w:p>
    <w:p w14:paraId="7822FFB2">
      <w:pPr>
        <w:tabs>
          <w:tab w:val="right" w:leader="dot" w:pos="8295"/>
        </w:tabs>
        <w:ind w:firstLine="480"/>
        <w:rPr>
          <w:rFonts w:ascii="宋体"/>
          <w:color w:val="auto"/>
          <w:szCs w:val="24"/>
          <w:highlight w:val="none"/>
        </w:rPr>
      </w:pPr>
      <w:r>
        <w:rPr>
          <w:rFonts w:hint="eastAsia" w:ascii="宋体"/>
          <w:color w:val="auto"/>
          <w:szCs w:val="24"/>
          <w:highlight w:val="none"/>
        </w:rPr>
        <w:t>（10）落实建筑业高质量发展政策；</w:t>
      </w:r>
    </w:p>
    <w:p w14:paraId="74922F65">
      <w:pPr>
        <w:tabs>
          <w:tab w:val="right" w:leader="dot" w:pos="8295"/>
        </w:tabs>
        <w:ind w:firstLine="480"/>
        <w:rPr>
          <w:rFonts w:ascii="宋体"/>
          <w:color w:val="auto"/>
          <w:szCs w:val="24"/>
          <w:highlight w:val="none"/>
        </w:rPr>
      </w:pPr>
      <w:r>
        <w:rPr>
          <w:rFonts w:hint="eastAsia" w:ascii="宋体"/>
          <w:color w:val="auto"/>
          <w:szCs w:val="24"/>
          <w:highlight w:val="none"/>
        </w:rPr>
        <w:t>（11）落实政府其他政策；</w:t>
      </w:r>
    </w:p>
    <w:p w14:paraId="0CB3811C">
      <w:pPr>
        <w:tabs>
          <w:tab w:val="right" w:leader="dot" w:pos="8295"/>
        </w:tabs>
        <w:ind w:firstLine="480"/>
        <w:rPr>
          <w:rFonts w:ascii="宋体"/>
          <w:color w:val="auto"/>
          <w:szCs w:val="24"/>
          <w:highlight w:val="none"/>
        </w:rPr>
      </w:pPr>
      <w:r>
        <w:rPr>
          <w:rFonts w:hint="eastAsia" w:ascii="宋体"/>
          <w:color w:val="auto"/>
          <w:szCs w:val="24"/>
          <w:highlight w:val="none"/>
        </w:rPr>
        <w:t>（12）招标人认为需要考量的其他因素。</w:t>
      </w:r>
    </w:p>
    <w:p w14:paraId="65FBDC5C">
      <w:pPr>
        <w:tabs>
          <w:tab w:val="right" w:leader="dot" w:pos="8295"/>
        </w:tabs>
        <w:ind w:firstLine="480"/>
        <w:rPr>
          <w:rFonts w:ascii="宋体"/>
          <w:color w:val="auto"/>
          <w:szCs w:val="24"/>
          <w:highlight w:val="none"/>
        </w:rPr>
      </w:pPr>
      <w:r>
        <w:rPr>
          <w:rFonts w:hint="eastAsia" w:ascii="宋体"/>
          <w:color w:val="auto"/>
          <w:szCs w:val="24"/>
          <w:highlight w:val="none"/>
        </w:rPr>
        <w:t>7.2.8定标方法可采用下列方法或者下列方法的组合：</w:t>
      </w:r>
    </w:p>
    <w:p w14:paraId="61D8673A">
      <w:pPr>
        <w:tabs>
          <w:tab w:val="right" w:leader="dot" w:pos="8295"/>
        </w:tabs>
        <w:ind w:firstLine="480"/>
        <w:rPr>
          <w:rFonts w:ascii="宋体"/>
          <w:color w:val="auto"/>
          <w:szCs w:val="24"/>
          <w:highlight w:val="none"/>
        </w:rPr>
      </w:pPr>
      <w:r>
        <w:rPr>
          <w:rFonts w:hint="eastAsia" w:ascii="宋体"/>
          <w:color w:val="auto"/>
          <w:szCs w:val="24"/>
          <w:highlight w:val="none"/>
        </w:rPr>
        <w:t>（1）票决法。由定标委员会以直接票决或者逐轮票决的方式确定中标人。</w:t>
      </w:r>
    </w:p>
    <w:p w14:paraId="479D8E99">
      <w:pPr>
        <w:tabs>
          <w:tab w:val="right" w:leader="dot" w:pos="8295"/>
        </w:tabs>
        <w:ind w:firstLine="480"/>
        <w:rPr>
          <w:rFonts w:ascii="宋体"/>
          <w:color w:val="auto"/>
          <w:szCs w:val="24"/>
          <w:highlight w:val="none"/>
        </w:rPr>
      </w:pPr>
      <w:r>
        <w:rPr>
          <w:rFonts w:hint="eastAsia" w:ascii="宋体"/>
          <w:color w:val="auto"/>
          <w:szCs w:val="24"/>
          <w:highlight w:val="none"/>
        </w:rPr>
        <w:t>（2）集体议事法。由定标委员会进行集体商议，定标委员会成员各自发表意见，由定标委员会组长最终确定中标人。所有参加会议的定标委员会成员的意见应当作书面记录，并由定标委员会成员签字确认。</w:t>
      </w:r>
    </w:p>
    <w:p w14:paraId="26CDEABA">
      <w:pPr>
        <w:tabs>
          <w:tab w:val="right" w:leader="dot" w:pos="8295"/>
        </w:tabs>
        <w:ind w:firstLine="480"/>
        <w:rPr>
          <w:rFonts w:ascii="宋体"/>
          <w:color w:val="auto"/>
          <w:szCs w:val="24"/>
          <w:highlight w:val="none"/>
        </w:rPr>
      </w:pPr>
      <w:r>
        <w:rPr>
          <w:rFonts w:hint="eastAsia" w:ascii="宋体"/>
          <w:color w:val="auto"/>
          <w:szCs w:val="24"/>
          <w:highlight w:val="none"/>
        </w:rPr>
        <w:t>（3）投标人须知前附表7.2.8规定的其他定标办法。</w:t>
      </w:r>
    </w:p>
    <w:p w14:paraId="333ED293">
      <w:pPr>
        <w:tabs>
          <w:tab w:val="right" w:leader="dot" w:pos="8295"/>
        </w:tabs>
        <w:ind w:firstLine="480"/>
        <w:rPr>
          <w:rFonts w:ascii="宋体"/>
          <w:color w:val="auto"/>
          <w:szCs w:val="24"/>
          <w:highlight w:val="none"/>
        </w:rPr>
      </w:pPr>
      <w:r>
        <w:rPr>
          <w:rFonts w:hint="eastAsia" w:ascii="宋体"/>
          <w:color w:val="auto"/>
          <w:szCs w:val="24"/>
          <w:highlight w:val="none"/>
        </w:rPr>
        <w:t>7.2.9招标人应当将中标结果情况在投标人须知前附表7.2.9规定的媒介上公告不少于3日。</w:t>
      </w:r>
    </w:p>
    <w:p w14:paraId="21FAEC74">
      <w:pPr>
        <w:tabs>
          <w:tab w:val="right" w:leader="dot" w:pos="8295"/>
        </w:tabs>
        <w:ind w:firstLine="480"/>
        <w:rPr>
          <w:rFonts w:ascii="宋体"/>
          <w:color w:val="auto"/>
          <w:szCs w:val="24"/>
          <w:highlight w:val="none"/>
        </w:rPr>
      </w:pPr>
      <w:r>
        <w:rPr>
          <w:rFonts w:hint="eastAsia" w:ascii="宋体"/>
          <w:color w:val="auto"/>
          <w:szCs w:val="24"/>
          <w:highlight w:val="none"/>
        </w:rPr>
        <w:t>7.2.10定标后且中标通知书发出前有下列情形之一的，招标人可以组织原定标委员会从其他中标候选人中按原定标方法确定中标人：</w:t>
      </w:r>
    </w:p>
    <w:p w14:paraId="18923C87">
      <w:pPr>
        <w:tabs>
          <w:tab w:val="right" w:leader="dot" w:pos="8295"/>
        </w:tabs>
        <w:ind w:firstLine="480"/>
        <w:rPr>
          <w:rFonts w:ascii="宋体"/>
          <w:color w:val="auto"/>
          <w:szCs w:val="24"/>
          <w:highlight w:val="none"/>
        </w:rPr>
      </w:pPr>
      <w:r>
        <w:rPr>
          <w:rFonts w:hint="eastAsia" w:ascii="宋体"/>
          <w:color w:val="auto"/>
          <w:szCs w:val="24"/>
          <w:highlight w:val="none"/>
        </w:rPr>
        <w:t>（1）定标确定的中标候选人放弃中标资格或者拒不签订合同的；</w:t>
      </w:r>
    </w:p>
    <w:p w14:paraId="11BA3F00">
      <w:pPr>
        <w:tabs>
          <w:tab w:val="right" w:leader="dot" w:pos="8295"/>
        </w:tabs>
        <w:ind w:firstLine="480"/>
        <w:rPr>
          <w:rFonts w:ascii="宋体"/>
          <w:color w:val="auto"/>
          <w:szCs w:val="24"/>
          <w:highlight w:val="none"/>
        </w:rPr>
      </w:pPr>
      <w:r>
        <w:rPr>
          <w:rFonts w:hint="eastAsia" w:ascii="宋体"/>
          <w:color w:val="auto"/>
          <w:szCs w:val="24"/>
          <w:highlight w:val="none"/>
        </w:rPr>
        <w:t>（2）定标确定的中标候选人被查实存在违法行为影响中标结果的；</w:t>
      </w:r>
    </w:p>
    <w:p w14:paraId="0DA02848">
      <w:pPr>
        <w:tabs>
          <w:tab w:val="right" w:leader="dot" w:pos="8295"/>
        </w:tabs>
        <w:ind w:firstLine="480"/>
        <w:rPr>
          <w:rFonts w:ascii="宋体"/>
          <w:color w:val="auto"/>
          <w:szCs w:val="24"/>
          <w:highlight w:val="none"/>
        </w:rPr>
      </w:pPr>
      <w:r>
        <w:rPr>
          <w:rFonts w:hint="eastAsia" w:ascii="宋体"/>
          <w:color w:val="auto"/>
          <w:szCs w:val="24"/>
          <w:highlight w:val="none"/>
        </w:rPr>
        <w:t>（3）投标人须知前附表7.2.10规定的其他情形。</w:t>
      </w:r>
    </w:p>
    <w:p w14:paraId="0BDAA58B">
      <w:pPr>
        <w:tabs>
          <w:tab w:val="right" w:leader="dot" w:pos="8295"/>
        </w:tabs>
        <w:ind w:firstLine="480"/>
        <w:rPr>
          <w:rFonts w:ascii="宋体"/>
          <w:color w:val="auto"/>
          <w:szCs w:val="24"/>
          <w:highlight w:val="none"/>
        </w:rPr>
      </w:pPr>
      <w:r>
        <w:rPr>
          <w:rFonts w:hint="eastAsia" w:ascii="宋体"/>
          <w:color w:val="auto"/>
          <w:szCs w:val="24"/>
          <w:highlight w:val="none"/>
        </w:rPr>
        <w:t xml:space="preserve"> 7.2.11定标后有下列情形之一的，应重新定标：</w:t>
      </w:r>
    </w:p>
    <w:p w14:paraId="5F5AE2CD">
      <w:pPr>
        <w:tabs>
          <w:tab w:val="right" w:leader="dot" w:pos="8295"/>
        </w:tabs>
        <w:ind w:firstLine="480"/>
        <w:rPr>
          <w:rFonts w:ascii="宋体"/>
          <w:color w:val="auto"/>
          <w:szCs w:val="24"/>
          <w:highlight w:val="none"/>
        </w:rPr>
      </w:pPr>
      <w:r>
        <w:rPr>
          <w:rFonts w:hint="eastAsia" w:ascii="宋体"/>
          <w:color w:val="auto"/>
          <w:szCs w:val="24"/>
          <w:highlight w:val="none"/>
        </w:rPr>
        <w:t>（1）查实定标委员会未按定标办法公正履职的；</w:t>
      </w:r>
    </w:p>
    <w:p w14:paraId="4DF1E584">
      <w:pPr>
        <w:tabs>
          <w:tab w:val="right" w:leader="dot" w:pos="8295"/>
        </w:tabs>
        <w:ind w:firstLine="480"/>
        <w:rPr>
          <w:rFonts w:ascii="宋体"/>
          <w:color w:val="auto"/>
          <w:szCs w:val="24"/>
          <w:highlight w:val="none"/>
        </w:rPr>
      </w:pPr>
      <w:r>
        <w:rPr>
          <w:rFonts w:hint="eastAsia" w:ascii="宋体"/>
          <w:color w:val="auto"/>
          <w:szCs w:val="24"/>
          <w:highlight w:val="none"/>
        </w:rPr>
        <w:t>（2）有定标委员会成员与中标候选人有利害关系且未申请回避的；</w:t>
      </w:r>
    </w:p>
    <w:p w14:paraId="56BC7509">
      <w:pPr>
        <w:tabs>
          <w:tab w:val="right" w:leader="dot" w:pos="8295"/>
        </w:tabs>
        <w:ind w:firstLine="480"/>
        <w:rPr>
          <w:rFonts w:ascii="宋体"/>
          <w:color w:val="auto"/>
          <w:szCs w:val="24"/>
          <w:highlight w:val="none"/>
        </w:rPr>
      </w:pPr>
      <w:r>
        <w:rPr>
          <w:rFonts w:hint="eastAsia" w:ascii="宋体"/>
          <w:color w:val="auto"/>
          <w:szCs w:val="24"/>
          <w:highlight w:val="none"/>
        </w:rPr>
        <w:t>（3）投标人须知前附表7.2.11规定的其他情形。</w:t>
      </w:r>
    </w:p>
    <w:p w14:paraId="01CEDE04">
      <w:pPr>
        <w:pStyle w:val="5"/>
        <w:tabs>
          <w:tab w:val="right" w:leader="dot" w:pos="8295"/>
        </w:tabs>
        <w:rPr>
          <w:rFonts w:ascii="宋体" w:eastAsia="宋体"/>
          <w:color w:val="auto"/>
          <w:sz w:val="24"/>
          <w:szCs w:val="24"/>
          <w:highlight w:val="none"/>
        </w:rPr>
      </w:pPr>
      <w:r>
        <w:rPr>
          <w:rFonts w:hint="eastAsia" w:ascii="宋体" w:eastAsia="宋体"/>
          <w:color w:val="auto"/>
          <w:sz w:val="24"/>
          <w:szCs w:val="24"/>
          <w:highlight w:val="none"/>
        </w:rPr>
        <w:t>7.3中标通知</w:t>
      </w:r>
    </w:p>
    <w:p w14:paraId="281D2BA6">
      <w:pPr>
        <w:tabs>
          <w:tab w:val="right" w:leader="dot" w:pos="8295"/>
        </w:tabs>
        <w:ind w:firstLine="480"/>
        <w:rPr>
          <w:rFonts w:ascii="宋体"/>
          <w:color w:val="auto"/>
          <w:szCs w:val="24"/>
          <w:highlight w:val="none"/>
        </w:rPr>
      </w:pPr>
      <w:r>
        <w:rPr>
          <w:rFonts w:hint="eastAsia" w:ascii="宋体"/>
          <w:color w:val="auto"/>
          <w:szCs w:val="24"/>
          <w:highlight w:val="none"/>
        </w:rPr>
        <w:t>在本章第3.3款规定的投标有效期内，招标人以书面形式向中标人发出中标通知书，同时将中标结果通知未中标的投标人。</w:t>
      </w:r>
    </w:p>
    <w:p w14:paraId="0740A4EC">
      <w:pPr>
        <w:pStyle w:val="5"/>
        <w:tabs>
          <w:tab w:val="right" w:leader="dot" w:pos="8295"/>
        </w:tabs>
        <w:rPr>
          <w:rFonts w:ascii="宋体" w:eastAsia="宋体"/>
          <w:color w:val="auto"/>
          <w:sz w:val="24"/>
          <w:szCs w:val="24"/>
          <w:highlight w:val="none"/>
        </w:rPr>
      </w:pPr>
      <w:r>
        <w:rPr>
          <w:rFonts w:hint="eastAsia" w:ascii="宋体" w:eastAsia="宋体"/>
          <w:color w:val="auto"/>
          <w:sz w:val="24"/>
          <w:szCs w:val="24"/>
          <w:highlight w:val="none"/>
        </w:rPr>
        <w:t>7.4履约担保</w:t>
      </w:r>
    </w:p>
    <w:p w14:paraId="1900A7FD">
      <w:pPr>
        <w:tabs>
          <w:tab w:val="right" w:leader="dot" w:pos="8295"/>
        </w:tabs>
        <w:ind w:firstLine="480"/>
        <w:rPr>
          <w:rFonts w:ascii="宋体"/>
          <w:color w:val="auto"/>
          <w:szCs w:val="24"/>
          <w:highlight w:val="none"/>
        </w:rPr>
      </w:pPr>
      <w:r>
        <w:rPr>
          <w:rFonts w:hint="eastAsia" w:ascii="宋体"/>
          <w:color w:val="auto"/>
          <w:szCs w:val="24"/>
          <w:highlight w:val="none"/>
        </w:rPr>
        <w:t>7.4.1在签订合同前，中标人应按投标人须知前附表规定的金额、银行保函或保险公司保函和招标文件第四章“合同条款及格式”规定的履约担保形式向招标人提交履约担保。联合体中标的，其履约担保由牵头人递交，并应符合投标人须知前附表规定的金额、担保形式和招标文件第四章“合同条款及格式”规定的履约担保要求。</w:t>
      </w:r>
    </w:p>
    <w:p w14:paraId="3A6527F3">
      <w:pPr>
        <w:tabs>
          <w:tab w:val="right" w:leader="dot" w:pos="8295"/>
        </w:tabs>
        <w:ind w:firstLine="480"/>
        <w:rPr>
          <w:rFonts w:ascii="宋体"/>
          <w:color w:val="auto"/>
          <w:szCs w:val="24"/>
          <w:highlight w:val="none"/>
        </w:rPr>
      </w:pPr>
      <w:r>
        <w:rPr>
          <w:rFonts w:hint="eastAsia" w:ascii="宋体"/>
          <w:color w:val="auto"/>
          <w:szCs w:val="24"/>
          <w:highlight w:val="none"/>
        </w:rPr>
        <w:t>7.4.2中标人不能按本章第7.4.1项要求提交履约担保的，视为放弃中标，其投标保证金不予退还，给招标人造成的损失超过投标保证金数额的，中标人还应当对超过部分予以赔偿。</w:t>
      </w:r>
    </w:p>
    <w:p w14:paraId="3CBCEDAE">
      <w:pPr>
        <w:pStyle w:val="5"/>
        <w:tabs>
          <w:tab w:val="right" w:leader="dot" w:pos="8295"/>
        </w:tabs>
        <w:rPr>
          <w:rFonts w:ascii="宋体" w:eastAsia="宋体"/>
          <w:color w:val="auto"/>
          <w:sz w:val="24"/>
          <w:szCs w:val="24"/>
          <w:highlight w:val="none"/>
        </w:rPr>
      </w:pPr>
      <w:r>
        <w:rPr>
          <w:rFonts w:hint="eastAsia" w:ascii="宋体" w:eastAsia="宋体"/>
          <w:color w:val="auto"/>
          <w:sz w:val="24"/>
          <w:szCs w:val="24"/>
          <w:highlight w:val="none"/>
        </w:rPr>
        <w:t>7.5签订合同</w:t>
      </w:r>
    </w:p>
    <w:p w14:paraId="285B5D3B">
      <w:pPr>
        <w:tabs>
          <w:tab w:val="right" w:leader="dot" w:pos="8295"/>
        </w:tabs>
        <w:ind w:firstLine="480"/>
        <w:rPr>
          <w:rFonts w:ascii="宋体"/>
          <w:color w:val="auto"/>
          <w:szCs w:val="24"/>
          <w:highlight w:val="none"/>
        </w:rPr>
      </w:pPr>
      <w:r>
        <w:rPr>
          <w:rFonts w:hint="eastAsia" w:ascii="宋体"/>
          <w:color w:val="auto"/>
          <w:szCs w:val="24"/>
          <w:highlight w:val="none"/>
        </w:rPr>
        <w:t>7.5.1招标人和中标人应当在中标通知书发出之日起30日内，根据招标文件和中标人的投标文件订立书面合同。中标人无正当理由拒签合同，或者不按照招标文件要求提交履约担保的，招标人有权取消其中标资格，其投标保证金不予退还；给招标人造成的损失超过投标保证金数额的，中标人还应当对超过部分予以赔偿。</w:t>
      </w:r>
    </w:p>
    <w:p w14:paraId="788439FB">
      <w:pPr>
        <w:tabs>
          <w:tab w:val="right" w:leader="dot" w:pos="8295"/>
        </w:tabs>
        <w:ind w:firstLine="480"/>
        <w:rPr>
          <w:rFonts w:ascii="宋体"/>
          <w:color w:val="auto"/>
          <w:szCs w:val="24"/>
          <w:highlight w:val="none"/>
        </w:rPr>
      </w:pPr>
      <w:r>
        <w:rPr>
          <w:rFonts w:hint="eastAsia" w:ascii="宋体"/>
          <w:color w:val="auto"/>
          <w:szCs w:val="24"/>
          <w:highlight w:val="none"/>
        </w:rPr>
        <w:t>7.5.2发出中标通知书后，招标人无正当理由拒签合同，招标人向中标人退还投标保证金；给中标人造成损失的，还应当赔偿损失。</w:t>
      </w:r>
    </w:p>
    <w:p w14:paraId="511FA1D0">
      <w:pPr>
        <w:tabs>
          <w:tab w:val="right" w:leader="dot" w:pos="8295"/>
        </w:tabs>
        <w:ind w:firstLine="480"/>
        <w:rPr>
          <w:rFonts w:ascii="宋体"/>
          <w:color w:val="auto"/>
          <w:szCs w:val="24"/>
          <w:highlight w:val="none"/>
        </w:rPr>
      </w:pPr>
      <w:r>
        <w:rPr>
          <w:rFonts w:hint="eastAsia" w:ascii="宋体"/>
          <w:color w:val="auto"/>
          <w:szCs w:val="24"/>
          <w:highlight w:val="none"/>
        </w:rPr>
        <w:t>7.5.3联合体中标的，联合体各方应当共同与招标人签订合同，就中标项目向招标人承担连带责任。</w:t>
      </w:r>
    </w:p>
    <w:p w14:paraId="6AF02390">
      <w:pPr>
        <w:pStyle w:val="4"/>
        <w:tabs>
          <w:tab w:val="right" w:leader="dot" w:pos="8295"/>
        </w:tabs>
        <w:ind w:firstLine="482" w:firstLineChars="200"/>
        <w:rPr>
          <w:rFonts w:ascii="宋体" w:eastAsia="宋体"/>
          <w:color w:val="auto"/>
          <w:sz w:val="24"/>
          <w:szCs w:val="24"/>
          <w:highlight w:val="none"/>
        </w:rPr>
      </w:pPr>
      <w:bookmarkStart w:id="84" w:name="_Toc184635078"/>
      <w:bookmarkStart w:id="85" w:name="_Toc494121485"/>
      <w:bookmarkStart w:id="86" w:name="_Toc530660841"/>
      <w:r>
        <w:rPr>
          <w:rFonts w:hint="eastAsia" w:ascii="宋体" w:eastAsia="宋体"/>
          <w:color w:val="auto"/>
          <w:sz w:val="24"/>
          <w:szCs w:val="24"/>
          <w:highlight w:val="none"/>
        </w:rPr>
        <w:t>8．重新招标和不再招标</w:t>
      </w:r>
      <w:bookmarkEnd w:id="84"/>
      <w:bookmarkEnd w:id="85"/>
      <w:bookmarkEnd w:id="86"/>
    </w:p>
    <w:p w14:paraId="7671C436">
      <w:pPr>
        <w:pStyle w:val="5"/>
        <w:tabs>
          <w:tab w:val="right" w:leader="dot" w:pos="8295"/>
        </w:tabs>
        <w:rPr>
          <w:rFonts w:ascii="宋体" w:eastAsia="宋体"/>
          <w:b w:val="0"/>
          <w:color w:val="auto"/>
          <w:sz w:val="24"/>
          <w:szCs w:val="24"/>
          <w:highlight w:val="none"/>
        </w:rPr>
      </w:pPr>
      <w:bookmarkStart w:id="87" w:name="_Toc530660842"/>
      <w:r>
        <w:rPr>
          <w:rFonts w:hint="eastAsia" w:ascii="宋体" w:eastAsia="宋体"/>
          <w:b w:val="0"/>
          <w:color w:val="auto"/>
          <w:sz w:val="24"/>
          <w:szCs w:val="24"/>
          <w:highlight w:val="none"/>
        </w:rPr>
        <w:t>8.1 重新招标</w:t>
      </w:r>
      <w:bookmarkEnd w:id="87"/>
    </w:p>
    <w:p w14:paraId="7B0F3F80">
      <w:pPr>
        <w:tabs>
          <w:tab w:val="right" w:leader="dot" w:pos="8295"/>
        </w:tabs>
        <w:ind w:firstLine="480"/>
        <w:rPr>
          <w:rFonts w:ascii="宋体"/>
          <w:color w:val="auto"/>
          <w:szCs w:val="24"/>
          <w:highlight w:val="none"/>
        </w:rPr>
      </w:pPr>
      <w:r>
        <w:rPr>
          <w:rFonts w:hint="eastAsia" w:ascii="宋体"/>
          <w:color w:val="auto"/>
          <w:szCs w:val="24"/>
          <w:highlight w:val="none"/>
        </w:rPr>
        <w:t>有下列情形之一的，招标人将重新招标：</w:t>
      </w:r>
    </w:p>
    <w:p w14:paraId="0AB0500B">
      <w:pPr>
        <w:tabs>
          <w:tab w:val="right" w:leader="dot" w:pos="8295"/>
        </w:tabs>
        <w:ind w:firstLine="480"/>
        <w:rPr>
          <w:rFonts w:ascii="宋体"/>
          <w:color w:val="auto"/>
          <w:szCs w:val="24"/>
          <w:highlight w:val="none"/>
        </w:rPr>
      </w:pPr>
      <w:r>
        <w:rPr>
          <w:rFonts w:hint="eastAsia" w:ascii="宋体"/>
          <w:color w:val="auto"/>
          <w:szCs w:val="24"/>
          <w:highlight w:val="none"/>
        </w:rPr>
        <w:t>（l）投标截止时间止，投标人少于3 个的；</w:t>
      </w:r>
    </w:p>
    <w:p w14:paraId="75846E07">
      <w:pPr>
        <w:tabs>
          <w:tab w:val="right" w:leader="dot" w:pos="8295"/>
        </w:tabs>
        <w:ind w:firstLine="480"/>
        <w:rPr>
          <w:rFonts w:ascii="宋体"/>
          <w:color w:val="auto"/>
          <w:szCs w:val="24"/>
          <w:highlight w:val="none"/>
        </w:rPr>
      </w:pPr>
      <w:r>
        <w:rPr>
          <w:rFonts w:hint="eastAsia" w:ascii="宋体"/>
          <w:color w:val="auto"/>
          <w:szCs w:val="24"/>
          <w:highlight w:val="none"/>
        </w:rPr>
        <w:t>（2）经评标委员会评审后否决所有投标的。</w:t>
      </w:r>
    </w:p>
    <w:p w14:paraId="2952C555">
      <w:pPr>
        <w:tabs>
          <w:tab w:val="right" w:leader="dot" w:pos="8295"/>
        </w:tabs>
        <w:ind w:firstLine="480"/>
        <w:rPr>
          <w:rFonts w:ascii="宋体"/>
          <w:color w:val="auto"/>
          <w:szCs w:val="24"/>
          <w:highlight w:val="none"/>
        </w:rPr>
      </w:pPr>
      <w:r>
        <w:rPr>
          <w:rFonts w:hint="eastAsia" w:ascii="宋体" w:cs="宋体"/>
          <w:color w:val="auto"/>
          <w:szCs w:val="24"/>
          <w:highlight w:val="none"/>
        </w:rPr>
        <w:t>（3）其他情形见投标人须知前附表。</w:t>
      </w:r>
    </w:p>
    <w:p w14:paraId="6F37FDBF">
      <w:pPr>
        <w:pStyle w:val="5"/>
        <w:tabs>
          <w:tab w:val="right" w:leader="dot" w:pos="8295"/>
        </w:tabs>
        <w:rPr>
          <w:rFonts w:ascii="宋体" w:eastAsia="宋体"/>
          <w:b w:val="0"/>
          <w:color w:val="auto"/>
          <w:sz w:val="24"/>
          <w:szCs w:val="24"/>
          <w:highlight w:val="none"/>
        </w:rPr>
      </w:pPr>
      <w:bookmarkStart w:id="88" w:name="_Toc530660843"/>
      <w:r>
        <w:rPr>
          <w:rFonts w:hint="eastAsia" w:ascii="宋体" w:eastAsia="宋体"/>
          <w:b w:val="0"/>
          <w:color w:val="auto"/>
          <w:sz w:val="24"/>
          <w:szCs w:val="24"/>
          <w:highlight w:val="none"/>
        </w:rPr>
        <w:t>8.2 不再招标</w:t>
      </w:r>
      <w:bookmarkEnd w:id="88"/>
    </w:p>
    <w:p w14:paraId="66FB1561">
      <w:pPr>
        <w:tabs>
          <w:tab w:val="right" w:leader="dot" w:pos="8295"/>
        </w:tabs>
        <w:ind w:firstLine="480"/>
        <w:rPr>
          <w:rFonts w:ascii="宋体"/>
          <w:color w:val="auto"/>
          <w:szCs w:val="24"/>
          <w:highlight w:val="none"/>
        </w:rPr>
      </w:pPr>
      <w:r>
        <w:rPr>
          <w:rFonts w:hint="eastAsia" w:ascii="宋体"/>
          <w:color w:val="auto"/>
          <w:szCs w:val="24"/>
          <w:highlight w:val="none"/>
        </w:rPr>
        <w:t>重新招标后投标人仍少于3 个或者所有投标被否决的，属于必须审批或核准的工程建设项目，经原审批或核准部门批准后不再进行招标。</w:t>
      </w:r>
    </w:p>
    <w:p w14:paraId="42B73A4E">
      <w:pPr>
        <w:tabs>
          <w:tab w:val="right" w:leader="dot" w:pos="8295"/>
        </w:tabs>
        <w:ind w:firstLine="480"/>
        <w:rPr>
          <w:rFonts w:ascii="宋体"/>
          <w:color w:val="auto"/>
          <w:szCs w:val="24"/>
          <w:highlight w:val="none"/>
        </w:rPr>
      </w:pPr>
    </w:p>
    <w:p w14:paraId="377A6D99">
      <w:pPr>
        <w:pStyle w:val="4"/>
        <w:tabs>
          <w:tab w:val="right" w:leader="dot" w:pos="8295"/>
        </w:tabs>
        <w:ind w:firstLine="482" w:firstLineChars="200"/>
        <w:rPr>
          <w:rFonts w:ascii="宋体" w:eastAsia="宋体"/>
          <w:color w:val="auto"/>
          <w:sz w:val="24"/>
          <w:szCs w:val="24"/>
          <w:highlight w:val="none"/>
        </w:rPr>
      </w:pPr>
      <w:bookmarkStart w:id="89" w:name="_Toc530660844"/>
      <w:bookmarkStart w:id="90" w:name="_Toc494121486"/>
      <w:bookmarkStart w:id="91" w:name="_Toc184635079"/>
      <w:r>
        <w:rPr>
          <w:rFonts w:hint="eastAsia" w:ascii="宋体" w:eastAsia="宋体"/>
          <w:color w:val="auto"/>
          <w:sz w:val="24"/>
          <w:szCs w:val="24"/>
          <w:highlight w:val="none"/>
        </w:rPr>
        <w:t>9．纪律和监督</w:t>
      </w:r>
      <w:bookmarkEnd w:id="89"/>
      <w:bookmarkEnd w:id="90"/>
      <w:bookmarkEnd w:id="91"/>
    </w:p>
    <w:p w14:paraId="64C9BFA2">
      <w:pPr>
        <w:pStyle w:val="5"/>
        <w:tabs>
          <w:tab w:val="right" w:leader="dot" w:pos="8295"/>
        </w:tabs>
        <w:rPr>
          <w:rFonts w:ascii="宋体" w:eastAsia="宋体"/>
          <w:b w:val="0"/>
          <w:color w:val="auto"/>
          <w:sz w:val="24"/>
          <w:szCs w:val="24"/>
          <w:highlight w:val="none"/>
        </w:rPr>
      </w:pPr>
      <w:bookmarkStart w:id="92" w:name="_Toc530660845"/>
      <w:r>
        <w:rPr>
          <w:rFonts w:hint="eastAsia" w:ascii="宋体" w:eastAsia="宋体"/>
          <w:b w:val="0"/>
          <w:color w:val="auto"/>
          <w:sz w:val="24"/>
          <w:szCs w:val="24"/>
          <w:highlight w:val="none"/>
        </w:rPr>
        <w:t>9.1 对招标人的纪律要求</w:t>
      </w:r>
      <w:bookmarkEnd w:id="92"/>
    </w:p>
    <w:p w14:paraId="4531CCA3">
      <w:pPr>
        <w:tabs>
          <w:tab w:val="right" w:leader="dot" w:pos="8295"/>
        </w:tabs>
        <w:ind w:firstLine="480"/>
        <w:rPr>
          <w:rFonts w:ascii="宋体"/>
          <w:color w:val="auto"/>
          <w:szCs w:val="24"/>
          <w:highlight w:val="none"/>
        </w:rPr>
      </w:pPr>
      <w:r>
        <w:rPr>
          <w:rFonts w:hint="eastAsia" w:ascii="宋体"/>
          <w:color w:val="auto"/>
          <w:szCs w:val="24"/>
          <w:highlight w:val="none"/>
        </w:rPr>
        <w:t>招标人不得泄漏招标投标活动中应当保密的情况和资料，不得与投标人串通损害国家利益、社会公共利益或者他人合法权益。</w:t>
      </w:r>
    </w:p>
    <w:p w14:paraId="72FF5BFB">
      <w:pPr>
        <w:pStyle w:val="5"/>
        <w:tabs>
          <w:tab w:val="right" w:leader="dot" w:pos="8295"/>
        </w:tabs>
        <w:rPr>
          <w:rFonts w:ascii="宋体" w:eastAsia="宋体"/>
          <w:b w:val="0"/>
          <w:color w:val="auto"/>
          <w:sz w:val="24"/>
          <w:szCs w:val="24"/>
          <w:highlight w:val="none"/>
        </w:rPr>
      </w:pPr>
      <w:bookmarkStart w:id="93" w:name="_Toc530660846"/>
      <w:r>
        <w:rPr>
          <w:rFonts w:hint="eastAsia" w:ascii="宋体" w:eastAsia="宋体"/>
          <w:b w:val="0"/>
          <w:color w:val="auto"/>
          <w:sz w:val="24"/>
          <w:szCs w:val="24"/>
          <w:highlight w:val="none"/>
        </w:rPr>
        <w:t>9.2 对投标人的纪律要求</w:t>
      </w:r>
      <w:bookmarkEnd w:id="93"/>
    </w:p>
    <w:p w14:paraId="1FA77E66">
      <w:pPr>
        <w:tabs>
          <w:tab w:val="right" w:leader="dot" w:pos="8295"/>
        </w:tabs>
        <w:ind w:firstLine="480"/>
        <w:rPr>
          <w:rFonts w:ascii="宋体"/>
          <w:color w:val="auto"/>
          <w:szCs w:val="24"/>
          <w:highlight w:val="none"/>
        </w:rPr>
      </w:pPr>
      <w:r>
        <w:rPr>
          <w:rFonts w:hint="eastAsia" w:ascii="宋体"/>
          <w:color w:val="auto"/>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9CE3F0B">
      <w:pPr>
        <w:pStyle w:val="5"/>
        <w:tabs>
          <w:tab w:val="right" w:leader="dot" w:pos="8295"/>
        </w:tabs>
        <w:rPr>
          <w:rFonts w:ascii="宋体" w:eastAsia="宋体"/>
          <w:b w:val="0"/>
          <w:color w:val="auto"/>
          <w:sz w:val="24"/>
          <w:szCs w:val="24"/>
          <w:highlight w:val="none"/>
        </w:rPr>
      </w:pPr>
      <w:bookmarkStart w:id="94" w:name="_Toc530660847"/>
      <w:r>
        <w:rPr>
          <w:rFonts w:hint="eastAsia" w:ascii="宋体" w:eastAsia="宋体"/>
          <w:b w:val="0"/>
          <w:color w:val="auto"/>
          <w:sz w:val="24"/>
          <w:szCs w:val="24"/>
          <w:highlight w:val="none"/>
        </w:rPr>
        <w:t>9.3 对</w:t>
      </w:r>
      <w:bookmarkEnd w:id="94"/>
      <w:r>
        <w:rPr>
          <w:rFonts w:hint="eastAsia" w:ascii="宋体" w:eastAsia="宋体"/>
          <w:b w:val="0"/>
          <w:color w:val="auto"/>
          <w:sz w:val="24"/>
          <w:szCs w:val="24"/>
          <w:highlight w:val="none"/>
        </w:rPr>
        <w:t>评标委员会、定标委员会成员的纪律要求</w:t>
      </w:r>
    </w:p>
    <w:p w14:paraId="4E210769">
      <w:pPr>
        <w:tabs>
          <w:tab w:val="right" w:leader="dot" w:pos="8295"/>
        </w:tabs>
        <w:ind w:firstLine="480"/>
        <w:rPr>
          <w:rFonts w:ascii="宋体"/>
          <w:color w:val="auto"/>
          <w:szCs w:val="24"/>
          <w:highlight w:val="none"/>
        </w:rPr>
      </w:pPr>
      <w:r>
        <w:rPr>
          <w:rFonts w:hint="eastAsia" w:ascii="宋体"/>
          <w:color w:val="auto"/>
          <w:szCs w:val="24"/>
          <w:highlight w:val="none"/>
        </w:rPr>
        <w:t>评标委员会、定标委员会成员不得收受他人的财物或者其他好处，不得向他人透漏正式投标人的产生过程、对投标文件的评审和比较、中标候选人的推荐、中标人的确定等情况以及评标、定标有关的其他情况。在评标、定标活动中，评标委员会、定标委员会成员不得擅离职守，影响评标、定标程序正常进行，不得使用第三章“评标办法”没有规定的评审因素和标准进行评标、定标。</w:t>
      </w:r>
    </w:p>
    <w:p w14:paraId="2C2B969E">
      <w:pPr>
        <w:pStyle w:val="5"/>
        <w:tabs>
          <w:tab w:val="right" w:leader="dot" w:pos="8295"/>
        </w:tabs>
        <w:rPr>
          <w:rFonts w:ascii="宋体" w:eastAsia="宋体"/>
          <w:b w:val="0"/>
          <w:color w:val="auto"/>
          <w:sz w:val="24"/>
          <w:szCs w:val="24"/>
          <w:highlight w:val="none"/>
        </w:rPr>
      </w:pPr>
      <w:bookmarkStart w:id="95" w:name="_Toc530660848"/>
      <w:r>
        <w:rPr>
          <w:rFonts w:hint="eastAsia" w:ascii="宋体" w:eastAsia="宋体"/>
          <w:b w:val="0"/>
          <w:color w:val="auto"/>
          <w:sz w:val="24"/>
          <w:szCs w:val="24"/>
          <w:highlight w:val="none"/>
        </w:rPr>
        <w:t>9.4 对与评标活动有关的工作人员的纪律要求</w:t>
      </w:r>
      <w:bookmarkEnd w:id="95"/>
    </w:p>
    <w:p w14:paraId="3DBC106D">
      <w:pPr>
        <w:tabs>
          <w:tab w:val="right" w:leader="dot" w:pos="8295"/>
        </w:tabs>
        <w:ind w:firstLine="480"/>
        <w:rPr>
          <w:rFonts w:ascii="宋体"/>
          <w:color w:val="auto"/>
          <w:szCs w:val="24"/>
          <w:highlight w:val="none"/>
        </w:rPr>
      </w:pPr>
      <w:r>
        <w:rPr>
          <w:rFonts w:hint="eastAsia" w:ascii="宋体"/>
          <w:color w:val="auto"/>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5E51B7FA">
      <w:pPr>
        <w:tabs>
          <w:tab w:val="right" w:leader="dot" w:pos="8295"/>
        </w:tabs>
        <w:rPr>
          <w:rFonts w:ascii="宋体"/>
          <w:bCs/>
          <w:color w:val="auto"/>
          <w:szCs w:val="24"/>
          <w:highlight w:val="none"/>
        </w:rPr>
      </w:pPr>
      <w:r>
        <w:rPr>
          <w:rFonts w:hint="eastAsia" w:ascii="宋体"/>
          <w:bCs/>
          <w:color w:val="auto"/>
          <w:szCs w:val="24"/>
          <w:highlight w:val="none"/>
        </w:rPr>
        <w:t>9.5 异议和投诉</w:t>
      </w:r>
    </w:p>
    <w:p w14:paraId="3CF5F2C1">
      <w:pPr>
        <w:tabs>
          <w:tab w:val="right" w:leader="dot" w:pos="8295"/>
        </w:tabs>
        <w:ind w:firstLine="480"/>
        <w:rPr>
          <w:rFonts w:ascii="宋体"/>
          <w:bCs/>
          <w:color w:val="auto"/>
          <w:szCs w:val="24"/>
          <w:highlight w:val="none"/>
        </w:rPr>
      </w:pPr>
      <w:r>
        <w:rPr>
          <w:rFonts w:hint="eastAsia" w:ascii="宋体"/>
          <w:bCs/>
          <w:color w:val="auto"/>
          <w:szCs w:val="24"/>
          <w:highlight w:val="none"/>
        </w:rPr>
        <w:t>9.5.1异议</w:t>
      </w:r>
    </w:p>
    <w:p w14:paraId="2440B83F">
      <w:pPr>
        <w:tabs>
          <w:tab w:val="right" w:leader="dot" w:pos="8295"/>
        </w:tabs>
        <w:ind w:firstLine="480"/>
        <w:rPr>
          <w:rFonts w:ascii="宋体"/>
          <w:bCs/>
          <w:color w:val="auto"/>
          <w:szCs w:val="24"/>
          <w:highlight w:val="none"/>
        </w:rPr>
      </w:pPr>
      <w:r>
        <w:rPr>
          <w:rFonts w:hint="eastAsia" w:ascii="宋体"/>
          <w:bCs/>
          <w:color w:val="auto"/>
          <w:szCs w:val="24"/>
          <w:highlight w:val="none"/>
        </w:rPr>
        <w:t>（1）潜在投标人或者其他利害关系人对招标文件有异议的，应当在投标截止时间10日前以书面形式向招标人提出。招标人将在收到异议之日起3日内作出书面答复；作出答复前，暂停招标投标活动。</w:t>
      </w:r>
    </w:p>
    <w:p w14:paraId="16F7EBCE">
      <w:pPr>
        <w:tabs>
          <w:tab w:val="right" w:leader="dot" w:pos="8295"/>
        </w:tabs>
        <w:ind w:firstLine="480"/>
        <w:rPr>
          <w:rFonts w:ascii="宋体"/>
          <w:bCs/>
          <w:color w:val="auto"/>
          <w:szCs w:val="24"/>
          <w:highlight w:val="none"/>
        </w:rPr>
      </w:pPr>
      <w:r>
        <w:rPr>
          <w:rFonts w:hint="eastAsia" w:ascii="宋体"/>
          <w:bCs/>
          <w:color w:val="auto"/>
          <w:szCs w:val="24"/>
          <w:highlight w:val="none"/>
        </w:rPr>
        <w:t>（2）投标人认为开标不符合有关规定的，应当在开标时提出异议。招标人将当场对异议给予处理或者告知处理的办法。异议和答复应记入开标记录或者制作专门记录以存档备查。</w:t>
      </w:r>
    </w:p>
    <w:p w14:paraId="6EE1266A">
      <w:pPr>
        <w:tabs>
          <w:tab w:val="right" w:leader="dot" w:pos="8295"/>
        </w:tabs>
        <w:ind w:firstLine="480"/>
        <w:rPr>
          <w:rFonts w:ascii="宋体"/>
          <w:bCs/>
          <w:color w:val="auto"/>
          <w:szCs w:val="24"/>
          <w:highlight w:val="none"/>
        </w:rPr>
      </w:pPr>
      <w:r>
        <w:rPr>
          <w:rFonts w:hint="eastAsia" w:ascii="宋体"/>
          <w:bCs/>
          <w:color w:val="auto"/>
          <w:szCs w:val="24"/>
          <w:highlight w:val="none"/>
        </w:rPr>
        <w:t>（3）投标人及其他利害关系人对评标结果有异议的，应当在中标候选人公示期内以书面形式向招标人提出。招标人将在收到异议之日起3日内作出书面答复；作出答复前，暂停招标投标活动。</w:t>
      </w:r>
    </w:p>
    <w:p w14:paraId="0A2E78E4">
      <w:pPr>
        <w:tabs>
          <w:tab w:val="right" w:leader="dot" w:pos="8295"/>
        </w:tabs>
        <w:ind w:firstLine="480"/>
        <w:rPr>
          <w:rFonts w:ascii="宋体"/>
          <w:bCs/>
          <w:color w:val="auto"/>
          <w:szCs w:val="24"/>
          <w:highlight w:val="none"/>
        </w:rPr>
      </w:pPr>
      <w:r>
        <w:rPr>
          <w:rFonts w:hint="eastAsia" w:ascii="宋体"/>
          <w:bCs/>
          <w:color w:val="auto"/>
          <w:szCs w:val="24"/>
          <w:highlight w:val="none"/>
        </w:rPr>
        <w:t>9.5.2投诉</w:t>
      </w:r>
    </w:p>
    <w:p w14:paraId="4E87A65E">
      <w:pPr>
        <w:tabs>
          <w:tab w:val="right" w:leader="dot" w:pos="8295"/>
        </w:tabs>
        <w:ind w:firstLine="480"/>
        <w:rPr>
          <w:rFonts w:ascii="宋体"/>
          <w:bCs/>
          <w:color w:val="auto"/>
          <w:szCs w:val="24"/>
          <w:highlight w:val="none"/>
        </w:rPr>
      </w:pPr>
      <w:r>
        <w:rPr>
          <w:rFonts w:hint="eastAsia" w:ascii="宋体"/>
          <w:bCs/>
          <w:color w:val="auto"/>
          <w:szCs w:val="24"/>
          <w:highlight w:val="none"/>
        </w:rPr>
        <w:t>投标人或者其他利害关系人认为招标投标活动不符合法律、行政法规规定的，可以自知道或者应当知道之日起10日内向有关行政监督部门投诉。投诉应当有明确的请求和必要的证明材料，具体要求按国家、省及当地招投标主管部门制定的规定。就招标文件、开标和评标结果投诉的，应当先向招标人提出异议，异议答复期不计算在前款规定的期限内。</w:t>
      </w:r>
    </w:p>
    <w:p w14:paraId="06757A02">
      <w:pPr>
        <w:tabs>
          <w:tab w:val="right" w:leader="dot" w:pos="8295"/>
        </w:tabs>
        <w:ind w:firstLine="480"/>
        <w:rPr>
          <w:rFonts w:ascii="宋体"/>
          <w:bCs/>
          <w:color w:val="auto"/>
          <w:szCs w:val="24"/>
          <w:highlight w:val="none"/>
        </w:rPr>
      </w:pPr>
      <w:r>
        <w:rPr>
          <w:rFonts w:hint="eastAsia" w:ascii="宋体"/>
          <w:bCs/>
          <w:color w:val="auto"/>
          <w:szCs w:val="24"/>
          <w:highlight w:val="none"/>
        </w:rPr>
        <w:t>上述时限最后一日如遇国家法定休假日的，顺延至法定休假日后的第一个工作日。</w:t>
      </w:r>
    </w:p>
    <w:p w14:paraId="21658C51">
      <w:pPr>
        <w:tabs>
          <w:tab w:val="right" w:leader="dot" w:pos="8295"/>
        </w:tabs>
        <w:ind w:firstLine="480"/>
        <w:rPr>
          <w:rFonts w:ascii="宋体"/>
          <w:color w:val="auto"/>
          <w:szCs w:val="24"/>
          <w:highlight w:val="none"/>
        </w:rPr>
      </w:pPr>
    </w:p>
    <w:p w14:paraId="103041F7">
      <w:pPr>
        <w:pStyle w:val="4"/>
        <w:tabs>
          <w:tab w:val="right" w:leader="dot" w:pos="8295"/>
        </w:tabs>
        <w:ind w:firstLine="482" w:firstLineChars="200"/>
        <w:rPr>
          <w:rFonts w:ascii="宋体" w:eastAsia="宋体"/>
          <w:color w:val="auto"/>
          <w:sz w:val="24"/>
          <w:szCs w:val="24"/>
          <w:highlight w:val="none"/>
        </w:rPr>
      </w:pPr>
      <w:bookmarkStart w:id="96" w:name="_Toc184635080"/>
      <w:bookmarkStart w:id="97" w:name="_Toc530660850"/>
      <w:bookmarkStart w:id="98" w:name="_Toc494121487"/>
      <w:r>
        <w:rPr>
          <w:rFonts w:hint="eastAsia" w:ascii="宋体" w:eastAsia="宋体"/>
          <w:color w:val="auto"/>
          <w:sz w:val="24"/>
          <w:szCs w:val="24"/>
          <w:highlight w:val="none"/>
        </w:rPr>
        <w:t>10.需要补充的其他内容</w:t>
      </w:r>
      <w:bookmarkEnd w:id="96"/>
      <w:bookmarkEnd w:id="97"/>
      <w:bookmarkEnd w:id="98"/>
    </w:p>
    <w:p w14:paraId="3A4E866F">
      <w:pPr>
        <w:tabs>
          <w:tab w:val="right" w:leader="dot" w:pos="8295"/>
        </w:tabs>
        <w:ind w:firstLine="480"/>
        <w:rPr>
          <w:rFonts w:ascii="宋体"/>
          <w:color w:val="auto"/>
          <w:szCs w:val="24"/>
          <w:highlight w:val="none"/>
        </w:rPr>
      </w:pPr>
      <w:r>
        <w:rPr>
          <w:rFonts w:hint="eastAsia" w:ascii="宋体"/>
          <w:color w:val="auto"/>
          <w:szCs w:val="24"/>
          <w:highlight w:val="none"/>
        </w:rPr>
        <w:t>需要补充的其他内容：见投标人须知前附表。</w:t>
      </w:r>
      <w:bookmarkStart w:id="99" w:name="_Toc184635081"/>
    </w:p>
    <w:p w14:paraId="7708AE70">
      <w:pPr>
        <w:tabs>
          <w:tab w:val="right" w:leader="dot" w:pos="8295"/>
        </w:tabs>
        <w:ind w:firstLine="480"/>
        <w:rPr>
          <w:rFonts w:ascii="宋体"/>
          <w:color w:val="auto"/>
          <w:szCs w:val="24"/>
          <w:highlight w:val="none"/>
        </w:rPr>
      </w:pPr>
    </w:p>
    <w:p w14:paraId="24C7B21F">
      <w:pPr>
        <w:rPr>
          <w:color w:val="auto"/>
          <w:highlight w:val="none"/>
        </w:rPr>
        <w:sectPr>
          <w:pgSz w:w="11906" w:h="16838"/>
          <w:pgMar w:top="1418" w:right="1418" w:bottom="1418" w:left="1418" w:header="851" w:footer="992" w:gutter="0"/>
          <w:cols w:space="720" w:num="1"/>
          <w:docGrid w:linePitch="312" w:charSpace="0"/>
        </w:sectPr>
      </w:pPr>
    </w:p>
    <w:bookmarkEnd w:id="99"/>
    <w:p w14:paraId="30CB9085">
      <w:pPr>
        <w:pStyle w:val="2"/>
        <w:tabs>
          <w:tab w:val="right" w:leader="dot" w:pos="8295"/>
        </w:tabs>
        <w:jc w:val="center"/>
        <w:rPr>
          <w:rFonts w:ascii="宋体" w:eastAsia="宋体"/>
          <w:b w:val="0"/>
          <w:color w:val="auto"/>
          <w:highlight w:val="none"/>
        </w:rPr>
      </w:pPr>
      <w:bookmarkStart w:id="100" w:name="_Toc11269"/>
      <w:r>
        <w:rPr>
          <w:rFonts w:hint="eastAsia" w:ascii="宋体" w:eastAsia="宋体"/>
          <w:b w:val="0"/>
          <w:color w:val="auto"/>
          <w:highlight w:val="none"/>
        </w:rPr>
        <w:t>第三章 评标定标办法</w:t>
      </w:r>
      <w:bookmarkEnd w:id="100"/>
    </w:p>
    <w:p w14:paraId="61A5CBAF">
      <w:pPr>
        <w:tabs>
          <w:tab w:val="right" w:leader="dot" w:pos="8295"/>
        </w:tabs>
        <w:ind w:firstLine="480"/>
        <w:jc w:val="center"/>
        <w:rPr>
          <w:rFonts w:ascii="宋体"/>
          <w:color w:val="auto"/>
          <w:sz w:val="32"/>
          <w:szCs w:val="32"/>
          <w:highlight w:val="none"/>
        </w:rPr>
      </w:pPr>
      <w:r>
        <w:rPr>
          <w:rFonts w:hint="eastAsia" w:ascii="宋体"/>
          <w:color w:val="auto"/>
          <w:szCs w:val="24"/>
          <w:highlight w:val="none"/>
        </w:rPr>
        <w:t>第一节 评标办法</w:t>
      </w:r>
      <w:bookmarkStart w:id="101" w:name="_Toc229646768"/>
      <w:bookmarkStart w:id="102" w:name="_Toc152045609"/>
      <w:bookmarkStart w:id="103" w:name="_Toc144974577"/>
      <w:bookmarkStart w:id="104" w:name="_Toc353400080"/>
      <w:bookmarkStart w:id="105" w:name="_Toc152042387"/>
    </w:p>
    <w:p w14:paraId="4424BADB">
      <w:pPr>
        <w:tabs>
          <w:tab w:val="right" w:leader="dot" w:pos="8295"/>
        </w:tabs>
        <w:jc w:val="center"/>
        <w:rPr>
          <w:rFonts w:ascii="宋体"/>
          <w:color w:val="auto"/>
          <w:sz w:val="32"/>
          <w:szCs w:val="32"/>
          <w:highlight w:val="none"/>
        </w:rPr>
      </w:pPr>
      <w:r>
        <w:rPr>
          <w:rFonts w:hint="eastAsia" w:ascii="宋体"/>
          <w:color w:val="auto"/>
          <w:sz w:val="32"/>
          <w:szCs w:val="32"/>
          <w:highlight w:val="none"/>
        </w:rPr>
        <w:t>技术标打分制的综合评估法</w:t>
      </w:r>
    </w:p>
    <w:p w14:paraId="45231B77">
      <w:pPr>
        <w:tabs>
          <w:tab w:val="right" w:leader="dot" w:pos="8295"/>
        </w:tabs>
        <w:ind w:firstLine="560"/>
        <w:jc w:val="left"/>
        <w:rPr>
          <w:rFonts w:ascii="宋体"/>
          <w:color w:val="auto"/>
          <w:sz w:val="28"/>
          <w:szCs w:val="28"/>
          <w:highlight w:val="none"/>
        </w:rPr>
      </w:pPr>
    </w:p>
    <w:p w14:paraId="1C141A38">
      <w:pPr>
        <w:tabs>
          <w:tab w:val="right" w:leader="dot" w:pos="8295"/>
        </w:tabs>
        <w:ind w:firstLine="480"/>
        <w:jc w:val="left"/>
        <w:rPr>
          <w:rFonts w:ascii="宋体"/>
          <w:color w:val="auto"/>
          <w:szCs w:val="24"/>
          <w:highlight w:val="none"/>
        </w:rPr>
      </w:pPr>
      <w:r>
        <w:rPr>
          <w:rFonts w:hint="eastAsia" w:ascii="宋体"/>
          <w:color w:val="auto"/>
          <w:szCs w:val="24"/>
          <w:highlight w:val="none"/>
        </w:rPr>
        <w:t>根据《中华人民共和国招标投标法》、《中华人民共和国招标投标法实施条例》、《工程建设项目施工招标投标办法》（国家计委等七部委令第30号）、《评标委员会和评标办法暂行规定》（国家发展计划委员会第12号）、《浙江省综合性评标专家库管理办法实施细则》等有关规定，制定本办法。</w:t>
      </w:r>
    </w:p>
    <w:p w14:paraId="03916A2D">
      <w:pPr>
        <w:tabs>
          <w:tab w:val="right" w:leader="dot" w:pos="8295"/>
        </w:tabs>
        <w:ind w:firstLine="482"/>
        <w:jc w:val="left"/>
        <w:rPr>
          <w:rFonts w:ascii="宋体"/>
          <w:color w:val="auto"/>
          <w:szCs w:val="24"/>
          <w:highlight w:val="none"/>
        </w:rPr>
      </w:pPr>
      <w:r>
        <w:rPr>
          <w:rFonts w:hint="eastAsia" w:ascii="宋体"/>
          <w:color w:val="auto"/>
          <w:szCs w:val="24"/>
          <w:highlight w:val="none"/>
        </w:rPr>
        <w:t>一、评标原则</w:t>
      </w:r>
    </w:p>
    <w:p w14:paraId="0234F2DF">
      <w:pPr>
        <w:tabs>
          <w:tab w:val="right" w:leader="dot" w:pos="8295"/>
        </w:tabs>
        <w:ind w:firstLine="480"/>
        <w:jc w:val="left"/>
        <w:rPr>
          <w:rFonts w:ascii="宋体"/>
          <w:color w:val="auto"/>
          <w:szCs w:val="24"/>
          <w:highlight w:val="none"/>
        </w:rPr>
      </w:pPr>
      <w:r>
        <w:rPr>
          <w:rFonts w:hint="eastAsia" w:ascii="宋体"/>
          <w:color w:val="auto"/>
          <w:szCs w:val="24"/>
          <w:highlight w:val="none"/>
        </w:rPr>
        <w:t>评标应遵循公平、公正、科学、择优的原则。</w:t>
      </w:r>
    </w:p>
    <w:p w14:paraId="4E6A8B58">
      <w:pPr>
        <w:tabs>
          <w:tab w:val="right" w:leader="dot" w:pos="8295"/>
        </w:tabs>
        <w:ind w:firstLine="482"/>
        <w:jc w:val="left"/>
        <w:rPr>
          <w:rFonts w:ascii="宋体"/>
          <w:color w:val="auto"/>
          <w:szCs w:val="24"/>
          <w:highlight w:val="none"/>
        </w:rPr>
      </w:pPr>
      <w:r>
        <w:rPr>
          <w:rFonts w:hint="eastAsia" w:ascii="宋体"/>
          <w:color w:val="auto"/>
          <w:szCs w:val="24"/>
          <w:highlight w:val="none"/>
        </w:rPr>
        <w:t>二、评标组织</w:t>
      </w:r>
    </w:p>
    <w:p w14:paraId="0854FFEA">
      <w:pPr>
        <w:tabs>
          <w:tab w:val="right" w:leader="dot" w:pos="8295"/>
        </w:tabs>
        <w:ind w:firstLine="480"/>
        <w:jc w:val="left"/>
        <w:rPr>
          <w:rFonts w:ascii="宋体"/>
          <w:color w:val="auto"/>
          <w:szCs w:val="24"/>
          <w:highlight w:val="none"/>
        </w:rPr>
      </w:pPr>
      <w:r>
        <w:rPr>
          <w:rFonts w:hint="eastAsia" w:ascii="宋体"/>
          <w:color w:val="auto"/>
          <w:szCs w:val="24"/>
          <w:highlight w:val="none"/>
        </w:rPr>
        <w:t>评标工作由招标人依法组建的评标委员会负责，成员人数参照“投标人须知前附表 6.1.1 评标委员会的组建”。评标委员会组建后报项目交易所在地监管办备案。</w:t>
      </w:r>
    </w:p>
    <w:p w14:paraId="240902B3">
      <w:pPr>
        <w:tabs>
          <w:tab w:val="right" w:leader="dot" w:pos="8295"/>
        </w:tabs>
        <w:ind w:firstLine="480"/>
        <w:jc w:val="left"/>
        <w:rPr>
          <w:rFonts w:ascii="宋体"/>
          <w:color w:val="auto"/>
          <w:szCs w:val="24"/>
          <w:highlight w:val="none"/>
        </w:rPr>
      </w:pPr>
      <w:r>
        <w:rPr>
          <w:rFonts w:hint="eastAsia" w:ascii="宋体"/>
          <w:color w:val="auto"/>
          <w:szCs w:val="24"/>
          <w:highlight w:val="none"/>
        </w:rPr>
        <w:t>评标委员会应推举产生评标委员会负责人（招标人代表不得担任评标委员会负责人），评标委员会负责人负责组织评标、掌握评标进程、主持询标、编写评标报告等工作，评标委员会负责人与其他成员具有同等的权利。评标委员会成员对所提出的评审意见承担个人责任。</w:t>
      </w:r>
    </w:p>
    <w:p w14:paraId="7933605D">
      <w:pPr>
        <w:tabs>
          <w:tab w:val="right" w:leader="dot" w:pos="8295"/>
        </w:tabs>
        <w:ind w:firstLine="480"/>
        <w:jc w:val="left"/>
        <w:rPr>
          <w:rFonts w:ascii="宋体"/>
          <w:color w:val="auto"/>
          <w:szCs w:val="24"/>
          <w:highlight w:val="none"/>
        </w:rPr>
      </w:pPr>
      <w:r>
        <w:rPr>
          <w:rFonts w:hint="eastAsia" w:ascii="宋体"/>
          <w:color w:val="auto"/>
          <w:szCs w:val="24"/>
          <w:highlight w:val="none"/>
        </w:rPr>
        <w:t>评标委员会应当按照招标文件确定的评标标准和方法，客观、公正对投标文件进行评审和比较，招标文件没有规定的评标标准和方法不得作为评标的依据。</w:t>
      </w:r>
    </w:p>
    <w:p w14:paraId="4A50FC98">
      <w:pPr>
        <w:tabs>
          <w:tab w:val="right" w:leader="dot" w:pos="8295"/>
        </w:tabs>
        <w:ind w:firstLine="480"/>
        <w:jc w:val="left"/>
        <w:rPr>
          <w:rFonts w:ascii="宋体"/>
          <w:color w:val="auto"/>
          <w:szCs w:val="24"/>
          <w:highlight w:val="none"/>
        </w:rPr>
      </w:pPr>
      <w:r>
        <w:rPr>
          <w:rFonts w:hint="eastAsia" w:ascii="宋体"/>
          <w:color w:val="auto"/>
          <w:szCs w:val="24"/>
          <w:highlight w:val="none"/>
        </w:rPr>
        <w:t>评标委员会对投标文件作出的评审结论，应当符合有关法律、法规、规章和招标文件的规定。</w:t>
      </w:r>
    </w:p>
    <w:p w14:paraId="4389D883">
      <w:pPr>
        <w:tabs>
          <w:tab w:val="right" w:leader="dot" w:pos="8295"/>
        </w:tabs>
        <w:ind w:firstLine="482"/>
        <w:jc w:val="left"/>
        <w:rPr>
          <w:rFonts w:ascii="宋体"/>
          <w:color w:val="auto"/>
          <w:szCs w:val="24"/>
          <w:highlight w:val="none"/>
        </w:rPr>
      </w:pPr>
      <w:r>
        <w:rPr>
          <w:rFonts w:hint="eastAsia" w:ascii="宋体"/>
          <w:color w:val="auto"/>
          <w:szCs w:val="24"/>
          <w:highlight w:val="none"/>
        </w:rPr>
        <w:t>三、评标程序</w:t>
      </w:r>
    </w:p>
    <w:p w14:paraId="64CC702B">
      <w:pPr>
        <w:tabs>
          <w:tab w:val="right" w:leader="dot" w:pos="8295"/>
        </w:tabs>
        <w:ind w:firstLine="480"/>
        <w:jc w:val="left"/>
        <w:rPr>
          <w:rFonts w:ascii="宋体"/>
          <w:color w:val="auto"/>
          <w:szCs w:val="24"/>
          <w:highlight w:val="none"/>
        </w:rPr>
      </w:pPr>
      <w:r>
        <w:rPr>
          <w:rFonts w:hint="eastAsia" w:ascii="宋体"/>
          <w:color w:val="auto"/>
          <w:szCs w:val="24"/>
          <w:highlight w:val="none"/>
        </w:rPr>
        <w:t>1、熟悉招标文件和评标办法；</w:t>
      </w:r>
    </w:p>
    <w:p w14:paraId="415BB8C8">
      <w:pPr>
        <w:tabs>
          <w:tab w:val="right" w:leader="dot" w:pos="8295"/>
        </w:tabs>
        <w:ind w:firstLine="480"/>
        <w:jc w:val="left"/>
        <w:rPr>
          <w:rFonts w:ascii="宋体"/>
          <w:color w:val="auto"/>
          <w:szCs w:val="24"/>
          <w:highlight w:val="none"/>
        </w:rPr>
      </w:pPr>
      <w:r>
        <w:rPr>
          <w:rFonts w:hint="eastAsia" w:ascii="宋体"/>
          <w:color w:val="auto"/>
          <w:szCs w:val="24"/>
          <w:highlight w:val="none"/>
        </w:rPr>
        <w:t>2、投标文件的符合性评审；</w:t>
      </w:r>
    </w:p>
    <w:p w14:paraId="0A6D8E99">
      <w:pPr>
        <w:tabs>
          <w:tab w:val="right" w:leader="dot" w:pos="8295"/>
        </w:tabs>
        <w:ind w:firstLine="480"/>
        <w:jc w:val="left"/>
        <w:rPr>
          <w:rFonts w:ascii="宋体"/>
          <w:color w:val="auto"/>
          <w:szCs w:val="24"/>
          <w:highlight w:val="none"/>
        </w:rPr>
      </w:pPr>
      <w:r>
        <w:rPr>
          <w:rFonts w:hint="eastAsia" w:ascii="宋体"/>
          <w:color w:val="auto"/>
          <w:szCs w:val="24"/>
          <w:highlight w:val="none"/>
        </w:rPr>
        <w:t>3、投标文件的资信技术标评审；</w:t>
      </w:r>
    </w:p>
    <w:p w14:paraId="62A30BD1">
      <w:pPr>
        <w:tabs>
          <w:tab w:val="right" w:leader="dot" w:pos="8295"/>
        </w:tabs>
        <w:ind w:firstLine="480"/>
        <w:jc w:val="left"/>
        <w:rPr>
          <w:rFonts w:ascii="宋体"/>
          <w:color w:val="auto"/>
          <w:szCs w:val="24"/>
          <w:highlight w:val="none"/>
        </w:rPr>
      </w:pPr>
      <w:r>
        <w:rPr>
          <w:rFonts w:hint="eastAsia" w:ascii="宋体"/>
          <w:color w:val="auto"/>
          <w:szCs w:val="24"/>
          <w:highlight w:val="none"/>
        </w:rPr>
        <w:t>4、投标文件的商务标评审；</w:t>
      </w:r>
    </w:p>
    <w:p w14:paraId="393B89E6">
      <w:pPr>
        <w:tabs>
          <w:tab w:val="right" w:leader="dot" w:pos="8295"/>
        </w:tabs>
        <w:ind w:firstLine="480"/>
        <w:jc w:val="left"/>
        <w:rPr>
          <w:rFonts w:ascii="宋体"/>
          <w:color w:val="auto"/>
          <w:szCs w:val="24"/>
          <w:highlight w:val="none"/>
        </w:rPr>
      </w:pPr>
      <w:r>
        <w:rPr>
          <w:rFonts w:hint="eastAsia" w:ascii="宋体"/>
          <w:color w:val="auto"/>
          <w:szCs w:val="24"/>
          <w:highlight w:val="none"/>
        </w:rPr>
        <w:t>5、</w:t>
      </w:r>
      <w:r>
        <w:rPr>
          <w:rFonts w:hint="eastAsia" w:ascii="宋体" w:cs="宋体"/>
          <w:color w:val="auto"/>
          <w:highlight w:val="none"/>
        </w:rPr>
        <w:t>当否决投标后，剩余投标人少于3个时，评标委员会应对投标是否具有竞争性进行认定。认为明显缺乏竞争的，可以否决全部投标，否则，应继续进行评审；</w:t>
      </w:r>
    </w:p>
    <w:p w14:paraId="26E1B2EC">
      <w:pPr>
        <w:tabs>
          <w:tab w:val="right" w:leader="dot" w:pos="8295"/>
        </w:tabs>
        <w:ind w:firstLine="480"/>
        <w:jc w:val="left"/>
        <w:rPr>
          <w:rFonts w:ascii="宋体"/>
          <w:color w:val="auto"/>
          <w:szCs w:val="24"/>
          <w:highlight w:val="none"/>
        </w:rPr>
      </w:pPr>
      <w:r>
        <w:rPr>
          <w:rFonts w:hint="eastAsia" w:ascii="宋体"/>
          <w:color w:val="auto"/>
          <w:szCs w:val="24"/>
          <w:highlight w:val="none"/>
        </w:rPr>
        <w:t>6、对投标文件进行综合评分、排序，推荐中标候选人；</w:t>
      </w:r>
    </w:p>
    <w:p w14:paraId="133C446A">
      <w:pPr>
        <w:tabs>
          <w:tab w:val="right" w:leader="dot" w:pos="8295"/>
        </w:tabs>
        <w:ind w:firstLine="480"/>
        <w:jc w:val="left"/>
        <w:rPr>
          <w:rFonts w:ascii="宋体"/>
          <w:color w:val="auto"/>
          <w:szCs w:val="24"/>
          <w:highlight w:val="none"/>
        </w:rPr>
      </w:pPr>
      <w:r>
        <w:rPr>
          <w:rFonts w:hint="eastAsia" w:ascii="宋体"/>
          <w:color w:val="auto"/>
          <w:szCs w:val="24"/>
          <w:highlight w:val="none"/>
        </w:rPr>
        <w:t>7、完成评标报告。</w:t>
      </w:r>
    </w:p>
    <w:p w14:paraId="317390C4">
      <w:pPr>
        <w:tabs>
          <w:tab w:val="right" w:leader="dot" w:pos="8295"/>
        </w:tabs>
        <w:ind w:firstLine="482"/>
        <w:jc w:val="left"/>
        <w:rPr>
          <w:rFonts w:ascii="宋体"/>
          <w:color w:val="auto"/>
          <w:szCs w:val="24"/>
          <w:highlight w:val="none"/>
        </w:rPr>
      </w:pPr>
      <w:r>
        <w:rPr>
          <w:rFonts w:hint="eastAsia" w:ascii="宋体"/>
          <w:color w:val="auto"/>
          <w:szCs w:val="24"/>
          <w:highlight w:val="none"/>
        </w:rPr>
        <w:t>四、评审细则</w:t>
      </w:r>
    </w:p>
    <w:p w14:paraId="6C56E08F">
      <w:pPr>
        <w:tabs>
          <w:tab w:val="right" w:leader="dot" w:pos="8295"/>
        </w:tabs>
        <w:ind w:firstLine="482"/>
        <w:jc w:val="left"/>
        <w:rPr>
          <w:rFonts w:ascii="宋体"/>
          <w:color w:val="auto"/>
          <w:szCs w:val="24"/>
          <w:highlight w:val="none"/>
        </w:rPr>
      </w:pPr>
      <w:r>
        <w:rPr>
          <w:rFonts w:hint="eastAsia" w:ascii="宋体"/>
          <w:color w:val="auto"/>
          <w:szCs w:val="24"/>
          <w:highlight w:val="none"/>
        </w:rPr>
        <w:t>（一）投标文件的符合性评审</w:t>
      </w:r>
    </w:p>
    <w:p w14:paraId="6EF6E69D">
      <w:pPr>
        <w:tabs>
          <w:tab w:val="right" w:leader="dot" w:pos="8295"/>
        </w:tabs>
        <w:ind w:firstLine="480"/>
        <w:jc w:val="left"/>
        <w:rPr>
          <w:rFonts w:ascii="宋体"/>
          <w:color w:val="auto"/>
          <w:szCs w:val="24"/>
          <w:highlight w:val="none"/>
        </w:rPr>
      </w:pPr>
      <w:r>
        <w:rPr>
          <w:rFonts w:hint="eastAsia" w:ascii="宋体"/>
          <w:color w:val="auto"/>
          <w:szCs w:val="24"/>
          <w:highlight w:val="none"/>
        </w:rPr>
        <w:t>1、评标委员会应依照招标文件的要求和规定，首先对投标人的投标资格和投标文件进行符合性评审。</w:t>
      </w:r>
    </w:p>
    <w:p w14:paraId="2DC9C263">
      <w:pPr>
        <w:tabs>
          <w:tab w:val="right" w:leader="dot" w:pos="8295"/>
        </w:tabs>
        <w:ind w:firstLine="480"/>
        <w:jc w:val="left"/>
        <w:rPr>
          <w:rFonts w:ascii="宋体"/>
          <w:color w:val="auto"/>
          <w:szCs w:val="24"/>
          <w:highlight w:val="none"/>
        </w:rPr>
      </w:pPr>
      <w:r>
        <w:rPr>
          <w:rFonts w:hint="eastAsia" w:ascii="宋体"/>
          <w:color w:val="auto"/>
          <w:szCs w:val="24"/>
          <w:highlight w:val="none"/>
        </w:rPr>
        <w:t>如评标委员会发现投标文件存在招标文件投标人须知前附表10.1“否决投标的情形”第二款之一的，经询问核实并认定后，即可判定该投标文件符合性评审不通过予以否决，不再进入后续的综合评分程序。</w:t>
      </w:r>
    </w:p>
    <w:p w14:paraId="3B3A2136">
      <w:pPr>
        <w:tabs>
          <w:tab w:val="right" w:leader="dot" w:pos="8295"/>
        </w:tabs>
        <w:ind w:firstLine="480"/>
        <w:jc w:val="left"/>
        <w:rPr>
          <w:rFonts w:ascii="宋体"/>
          <w:color w:val="auto"/>
          <w:szCs w:val="24"/>
          <w:highlight w:val="none"/>
        </w:rPr>
      </w:pPr>
      <w:r>
        <w:rPr>
          <w:rFonts w:hint="eastAsia" w:ascii="宋体"/>
          <w:color w:val="auto"/>
          <w:szCs w:val="24"/>
          <w:highlight w:val="none"/>
        </w:rPr>
        <w:t>2、询标</w:t>
      </w:r>
    </w:p>
    <w:p w14:paraId="0A89531F">
      <w:pPr>
        <w:tabs>
          <w:tab w:val="right" w:leader="dot" w:pos="8295"/>
        </w:tabs>
        <w:ind w:firstLine="480"/>
        <w:jc w:val="left"/>
        <w:rPr>
          <w:rFonts w:ascii="宋体"/>
          <w:color w:val="auto"/>
          <w:szCs w:val="24"/>
          <w:highlight w:val="none"/>
        </w:rPr>
      </w:pPr>
      <w:r>
        <w:rPr>
          <w:rFonts w:hint="eastAsia" w:ascii="宋体"/>
          <w:color w:val="auto"/>
          <w:szCs w:val="24"/>
          <w:highlight w:val="none"/>
        </w:rPr>
        <w:t>（1）投标文件中有含义不明确的内容、明显文字或计算错误，评标委员会认为需要投标人作出必要澄清、说明的，应当组织询标。</w:t>
      </w:r>
    </w:p>
    <w:p w14:paraId="3DBB2C3C">
      <w:pPr>
        <w:tabs>
          <w:tab w:val="right" w:leader="dot" w:pos="8295"/>
        </w:tabs>
        <w:ind w:firstLine="480"/>
        <w:jc w:val="left"/>
        <w:rPr>
          <w:rFonts w:ascii="宋体"/>
          <w:color w:val="auto"/>
          <w:szCs w:val="24"/>
          <w:highlight w:val="none"/>
        </w:rPr>
      </w:pPr>
      <w:r>
        <w:rPr>
          <w:rFonts w:hint="eastAsia" w:ascii="宋体"/>
          <w:color w:val="auto"/>
          <w:szCs w:val="24"/>
          <w:highlight w:val="none"/>
        </w:rPr>
        <w:t>（2）凡是评标委员会拟做出否决投标认定的，须组织相关投标人询问核实。未进行询问核实的，不得做出否决投标的认定，投标人放弃询问核实机会的除外（投标人所留联系方式无法联系上、在规定的时限内投标人不参加询问核实活动或不予答复的）。</w:t>
      </w:r>
    </w:p>
    <w:p w14:paraId="31A67C1D">
      <w:pPr>
        <w:tabs>
          <w:tab w:val="right" w:leader="dot" w:pos="8295"/>
        </w:tabs>
        <w:ind w:firstLine="480"/>
        <w:jc w:val="left"/>
        <w:rPr>
          <w:rFonts w:ascii="宋体"/>
          <w:color w:val="auto"/>
          <w:szCs w:val="24"/>
          <w:highlight w:val="none"/>
        </w:rPr>
      </w:pPr>
      <w:r>
        <w:rPr>
          <w:rFonts w:hint="eastAsia" w:ascii="宋体"/>
          <w:color w:val="auto"/>
          <w:szCs w:val="24"/>
          <w:highlight w:val="none"/>
        </w:rPr>
        <w:t>（3）询标应通过衢州市公共资源电子交易系统通知相关投标人，招标人或招标代理可以通过专用录音电话提醒相关投标人。询标问题及投标人的澄清、说明应当采用书面形式，并不得超出投标文件的范围或者改变投标文件的实质性内容。</w:t>
      </w:r>
    </w:p>
    <w:p w14:paraId="6AF71EFB">
      <w:pPr>
        <w:tabs>
          <w:tab w:val="right" w:leader="dot" w:pos="8295"/>
        </w:tabs>
        <w:ind w:firstLine="480"/>
        <w:jc w:val="left"/>
        <w:rPr>
          <w:rFonts w:ascii="宋体"/>
          <w:color w:val="auto"/>
          <w:szCs w:val="24"/>
          <w:highlight w:val="none"/>
        </w:rPr>
      </w:pPr>
      <w:r>
        <w:rPr>
          <w:rFonts w:hint="eastAsia" w:ascii="宋体"/>
          <w:color w:val="auto"/>
          <w:szCs w:val="24"/>
          <w:highlight w:val="none"/>
        </w:rPr>
        <w:t>（4）评标委员会不得暗示或者诱导投标人作出澄清、说明，不得接受投标人主动提出的澄清、说明。</w:t>
      </w:r>
    </w:p>
    <w:p w14:paraId="20F53578">
      <w:pPr>
        <w:tabs>
          <w:tab w:val="right" w:leader="dot" w:pos="8295"/>
        </w:tabs>
        <w:ind w:firstLine="480"/>
        <w:jc w:val="left"/>
        <w:rPr>
          <w:rFonts w:ascii="宋体"/>
          <w:color w:val="auto"/>
          <w:szCs w:val="24"/>
          <w:highlight w:val="none"/>
        </w:rPr>
      </w:pPr>
      <w:r>
        <w:rPr>
          <w:rFonts w:hint="eastAsia" w:ascii="宋体"/>
          <w:color w:val="auto"/>
          <w:szCs w:val="24"/>
          <w:highlight w:val="none"/>
        </w:rPr>
        <w:t>（5）投标人不得通过补充、修改或撤消投标文件中的内容使其成为实质性响应的投标。</w:t>
      </w:r>
    </w:p>
    <w:p w14:paraId="5E46F784">
      <w:pPr>
        <w:tabs>
          <w:tab w:val="right" w:leader="dot" w:pos="8295"/>
        </w:tabs>
        <w:ind w:firstLine="480"/>
        <w:jc w:val="left"/>
        <w:rPr>
          <w:rFonts w:ascii="宋体"/>
          <w:color w:val="auto"/>
          <w:szCs w:val="24"/>
          <w:highlight w:val="none"/>
        </w:rPr>
      </w:pPr>
      <w:bookmarkStart w:id="106" w:name="OLE_LINK4"/>
      <w:bookmarkStart w:id="107" w:name="OLE_LINK3"/>
      <w:r>
        <w:rPr>
          <w:rFonts w:hint="eastAsia" w:ascii="宋体"/>
          <w:color w:val="auto"/>
          <w:szCs w:val="24"/>
          <w:highlight w:val="none"/>
        </w:rPr>
        <w:t>（二）投标文件的资信技术标评审（40分）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482"/>
        <w:gridCol w:w="4972"/>
        <w:gridCol w:w="1275"/>
      </w:tblGrid>
      <w:tr w14:paraId="4F1E7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793" w:type="dxa"/>
            <w:vAlign w:val="center"/>
          </w:tcPr>
          <w:p w14:paraId="77138205">
            <w:pPr>
              <w:tabs>
                <w:tab w:val="right" w:leader="dot" w:pos="8295"/>
              </w:tabs>
              <w:jc w:val="center"/>
              <w:rPr>
                <w:rFonts w:ascii="宋体" w:cs="宋体"/>
                <w:color w:val="auto"/>
                <w:highlight w:val="none"/>
              </w:rPr>
            </w:pPr>
            <w:r>
              <w:rPr>
                <w:rFonts w:hint="eastAsia" w:ascii="宋体" w:cs="宋体"/>
                <w:color w:val="auto"/>
                <w:highlight w:val="none"/>
              </w:rPr>
              <w:t>序号</w:t>
            </w:r>
          </w:p>
        </w:tc>
        <w:tc>
          <w:tcPr>
            <w:tcW w:w="1482" w:type="dxa"/>
            <w:vAlign w:val="center"/>
          </w:tcPr>
          <w:p w14:paraId="6E34F8B8">
            <w:pPr>
              <w:tabs>
                <w:tab w:val="right" w:leader="dot" w:pos="8295"/>
              </w:tabs>
              <w:jc w:val="center"/>
              <w:rPr>
                <w:rFonts w:ascii="宋体" w:cs="宋体"/>
                <w:color w:val="auto"/>
                <w:highlight w:val="none"/>
              </w:rPr>
            </w:pPr>
            <w:r>
              <w:rPr>
                <w:rFonts w:hint="eastAsia" w:ascii="宋体" w:cs="宋体"/>
                <w:color w:val="auto"/>
                <w:highlight w:val="none"/>
              </w:rPr>
              <w:t>评审项</w:t>
            </w:r>
          </w:p>
        </w:tc>
        <w:tc>
          <w:tcPr>
            <w:tcW w:w="4972" w:type="dxa"/>
            <w:vAlign w:val="center"/>
          </w:tcPr>
          <w:p w14:paraId="02C28206">
            <w:pPr>
              <w:tabs>
                <w:tab w:val="right" w:leader="dot" w:pos="8295"/>
              </w:tabs>
              <w:jc w:val="center"/>
              <w:rPr>
                <w:rFonts w:ascii="宋体" w:cs="宋体"/>
                <w:color w:val="auto"/>
                <w:highlight w:val="none"/>
              </w:rPr>
            </w:pPr>
            <w:r>
              <w:rPr>
                <w:rFonts w:hint="eastAsia" w:ascii="宋体" w:cs="宋体"/>
                <w:color w:val="auto"/>
                <w:highlight w:val="none"/>
              </w:rPr>
              <w:t>评审内容</w:t>
            </w:r>
          </w:p>
        </w:tc>
        <w:tc>
          <w:tcPr>
            <w:tcW w:w="1275" w:type="dxa"/>
            <w:vAlign w:val="center"/>
          </w:tcPr>
          <w:p w14:paraId="715215EE">
            <w:pPr>
              <w:tabs>
                <w:tab w:val="right" w:leader="dot" w:pos="8295"/>
              </w:tabs>
              <w:jc w:val="center"/>
              <w:rPr>
                <w:rFonts w:ascii="宋体" w:cs="宋体"/>
                <w:color w:val="auto"/>
                <w:highlight w:val="none"/>
              </w:rPr>
            </w:pPr>
            <w:r>
              <w:rPr>
                <w:rFonts w:hint="eastAsia" w:ascii="宋体" w:cs="宋体"/>
                <w:color w:val="auto"/>
                <w:highlight w:val="none"/>
              </w:rPr>
              <w:t>分值</w:t>
            </w:r>
          </w:p>
        </w:tc>
      </w:tr>
      <w:tr w14:paraId="63D21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0C6E3C26">
            <w:pPr>
              <w:tabs>
                <w:tab w:val="right" w:leader="dot" w:pos="8295"/>
              </w:tabs>
              <w:jc w:val="center"/>
              <w:rPr>
                <w:rFonts w:ascii="宋体" w:cs="宋体"/>
                <w:color w:val="auto"/>
                <w:highlight w:val="none"/>
              </w:rPr>
            </w:pPr>
            <w:r>
              <w:rPr>
                <w:rFonts w:hint="eastAsia" w:ascii="宋体" w:cs="宋体"/>
                <w:color w:val="auto"/>
                <w:highlight w:val="none"/>
              </w:rPr>
              <w:t>1</w:t>
            </w:r>
          </w:p>
        </w:tc>
        <w:tc>
          <w:tcPr>
            <w:tcW w:w="1482" w:type="dxa"/>
            <w:vAlign w:val="center"/>
          </w:tcPr>
          <w:p w14:paraId="2E0C305E">
            <w:pPr>
              <w:tabs>
                <w:tab w:val="right" w:leader="dot" w:pos="8295"/>
              </w:tabs>
              <w:jc w:val="center"/>
              <w:rPr>
                <w:rFonts w:ascii="宋体" w:cs="宋体"/>
                <w:color w:val="auto"/>
                <w:highlight w:val="none"/>
              </w:rPr>
            </w:pPr>
            <w:r>
              <w:rPr>
                <w:rFonts w:hint="eastAsia" w:ascii="宋体" w:cs="宋体"/>
                <w:color w:val="auto"/>
                <w:highlight w:val="none"/>
              </w:rPr>
              <w:t>企业资质、经营状况及财务状况</w:t>
            </w:r>
          </w:p>
        </w:tc>
        <w:tc>
          <w:tcPr>
            <w:tcW w:w="4972" w:type="dxa"/>
            <w:vAlign w:val="center"/>
          </w:tcPr>
          <w:p w14:paraId="7EEF9429">
            <w:pPr>
              <w:pStyle w:val="26"/>
              <w:numPr>
                <w:ilvl w:val="0"/>
                <w:numId w:val="2"/>
              </w:numPr>
              <w:snapToGrid w:val="0"/>
              <w:spacing w:line="360" w:lineRule="auto"/>
              <w:ind w:left="0" w:firstLine="0"/>
              <w:jc w:val="left"/>
              <w:rPr>
                <w:color w:val="auto"/>
                <w:spacing w:val="-6"/>
                <w:highlight w:val="none"/>
              </w:rPr>
            </w:pPr>
            <w:r>
              <w:rPr>
                <w:rFonts w:hint="eastAsia" w:ascii="宋体" w:hAnsi="宋体"/>
                <w:color w:val="auto"/>
                <w:highlight w:val="none"/>
              </w:rPr>
              <w:t>认证余热利用系统（需含多级水蒸汽压缩机）“</w:t>
            </w:r>
            <w:r>
              <w:rPr>
                <w:rFonts w:hint="eastAsia"/>
                <w:color w:val="auto"/>
                <w:spacing w:val="-6"/>
                <w:highlight w:val="none"/>
              </w:rPr>
              <w:t>首台（套）装备</w:t>
            </w:r>
            <w:r>
              <w:rPr>
                <w:rFonts w:hint="eastAsia" w:ascii="宋体" w:hAnsi="宋体"/>
                <w:color w:val="auto"/>
                <w:highlight w:val="none"/>
              </w:rPr>
              <w:t>”</w:t>
            </w:r>
            <w:r>
              <w:rPr>
                <w:rFonts w:hint="eastAsia"/>
                <w:color w:val="auto"/>
                <w:spacing w:val="-6"/>
                <w:highlight w:val="none"/>
              </w:rPr>
              <w:t>，根据认证级别进行打分，国家级得0.8分，省级得0.4分，没有不得分；</w:t>
            </w:r>
          </w:p>
          <w:p w14:paraId="74C35E3E">
            <w:pPr>
              <w:pStyle w:val="26"/>
              <w:numPr>
                <w:ilvl w:val="0"/>
                <w:numId w:val="2"/>
              </w:numPr>
              <w:snapToGrid w:val="0"/>
              <w:spacing w:line="360" w:lineRule="auto"/>
              <w:ind w:left="0" w:firstLine="0"/>
              <w:jc w:val="left"/>
              <w:rPr>
                <w:color w:val="auto"/>
                <w:spacing w:val="-6"/>
                <w:highlight w:val="none"/>
              </w:rPr>
            </w:pPr>
            <w:r>
              <w:rPr>
                <w:rFonts w:hint="eastAsia" w:ascii="宋体" w:hAnsi="宋体"/>
                <w:color w:val="auto"/>
                <w:highlight w:val="none"/>
              </w:rPr>
              <w:t>企业获“高新技术企业”，</w:t>
            </w:r>
            <w:r>
              <w:rPr>
                <w:rFonts w:hint="eastAsia"/>
                <w:color w:val="auto"/>
                <w:spacing w:val="-6"/>
                <w:highlight w:val="none"/>
              </w:rPr>
              <w:t>根据认证级别进行打分，国家级得0.</w:t>
            </w:r>
            <w:r>
              <w:rPr>
                <w:color w:val="auto"/>
                <w:spacing w:val="-6"/>
                <w:highlight w:val="none"/>
              </w:rPr>
              <w:t>8</w:t>
            </w:r>
            <w:r>
              <w:rPr>
                <w:rFonts w:hint="eastAsia"/>
                <w:color w:val="auto"/>
                <w:spacing w:val="-6"/>
                <w:highlight w:val="none"/>
              </w:rPr>
              <w:t>分，省级得0.</w:t>
            </w:r>
            <w:r>
              <w:rPr>
                <w:color w:val="auto"/>
                <w:spacing w:val="-6"/>
                <w:highlight w:val="none"/>
              </w:rPr>
              <w:t>4</w:t>
            </w:r>
            <w:r>
              <w:rPr>
                <w:rFonts w:hint="eastAsia"/>
                <w:color w:val="auto"/>
                <w:spacing w:val="-6"/>
                <w:highlight w:val="none"/>
              </w:rPr>
              <w:t>分，</w:t>
            </w:r>
            <w:bookmarkStart w:id="108" w:name="OLE_LINK5"/>
            <w:r>
              <w:rPr>
                <w:rFonts w:hint="eastAsia"/>
                <w:color w:val="auto"/>
                <w:spacing w:val="-6"/>
                <w:highlight w:val="none"/>
              </w:rPr>
              <w:t>没有不得分</w:t>
            </w:r>
            <w:bookmarkEnd w:id="108"/>
            <w:r>
              <w:rPr>
                <w:rFonts w:hint="eastAsia"/>
                <w:color w:val="auto"/>
                <w:spacing w:val="-6"/>
                <w:highlight w:val="none"/>
              </w:rPr>
              <w:t>；</w:t>
            </w:r>
          </w:p>
          <w:p w14:paraId="76B1FEF0">
            <w:pPr>
              <w:pStyle w:val="26"/>
              <w:numPr>
                <w:ilvl w:val="0"/>
                <w:numId w:val="2"/>
              </w:numPr>
              <w:snapToGrid w:val="0"/>
              <w:spacing w:line="360" w:lineRule="auto"/>
              <w:ind w:left="0" w:firstLine="0"/>
              <w:jc w:val="left"/>
              <w:rPr>
                <w:color w:val="auto"/>
                <w:spacing w:val="-6"/>
                <w:highlight w:val="none"/>
              </w:rPr>
            </w:pPr>
            <w:r>
              <w:rPr>
                <w:rFonts w:hint="eastAsia"/>
                <w:color w:val="auto"/>
                <w:spacing w:val="-6"/>
                <w:highlight w:val="none"/>
              </w:rPr>
              <w:t>蒸汽压缩机核心技术纳入国家生态环境部、工业信息化部等五部委发布的“</w:t>
            </w:r>
            <w:bookmarkStart w:id="109" w:name="OLE_LINK7"/>
            <w:r>
              <w:rPr>
                <w:rFonts w:hint="eastAsia"/>
                <w:color w:val="auto"/>
                <w:spacing w:val="-6"/>
                <w:highlight w:val="none"/>
              </w:rPr>
              <w:t>国家重点推广低碳技术目录</w:t>
            </w:r>
            <w:bookmarkEnd w:id="109"/>
            <w:r>
              <w:rPr>
                <w:rFonts w:hint="eastAsia"/>
                <w:color w:val="auto"/>
                <w:spacing w:val="-6"/>
                <w:highlight w:val="none"/>
              </w:rPr>
              <w:t>”，或获省级</w:t>
            </w:r>
            <w:bookmarkStart w:id="110" w:name="OLE_LINK6"/>
            <w:r>
              <w:rPr>
                <w:rFonts w:hint="eastAsia"/>
                <w:color w:val="auto"/>
                <w:spacing w:val="-6"/>
                <w:highlight w:val="none"/>
              </w:rPr>
              <w:t>科学技术奖</w:t>
            </w:r>
            <w:bookmarkEnd w:id="110"/>
            <w:r>
              <w:rPr>
                <w:rFonts w:hint="eastAsia"/>
                <w:color w:val="auto"/>
                <w:spacing w:val="-6"/>
                <w:highlight w:val="none"/>
              </w:rPr>
              <w:t>二等奖以上得0.8分，没有不得分；</w:t>
            </w:r>
          </w:p>
          <w:p w14:paraId="4244D6CB">
            <w:pPr>
              <w:pStyle w:val="26"/>
              <w:numPr>
                <w:ilvl w:val="0"/>
                <w:numId w:val="2"/>
              </w:numPr>
              <w:snapToGrid w:val="0"/>
              <w:spacing w:line="360" w:lineRule="auto"/>
              <w:ind w:left="0" w:firstLine="0"/>
              <w:jc w:val="left"/>
              <w:rPr>
                <w:color w:val="auto"/>
                <w:spacing w:val="-6"/>
                <w:highlight w:val="none"/>
              </w:rPr>
            </w:pPr>
            <w:r>
              <w:rPr>
                <w:color w:val="auto"/>
                <w:spacing w:val="-6"/>
                <w:highlight w:val="none"/>
              </w:rPr>
              <w:t>出具</w:t>
            </w:r>
            <w:r>
              <w:rPr>
                <w:rFonts w:hint="eastAsia"/>
                <w:color w:val="auto"/>
                <w:spacing w:val="-6"/>
                <w:highlight w:val="none"/>
              </w:rPr>
              <w:t>1</w:t>
            </w:r>
            <w:r>
              <w:rPr>
                <w:color w:val="auto"/>
                <w:spacing w:val="-6"/>
                <w:highlight w:val="none"/>
              </w:rPr>
              <w:t>000万元自有资金证明，得</w:t>
            </w:r>
            <w:r>
              <w:rPr>
                <w:rFonts w:hint="eastAsia"/>
                <w:color w:val="auto"/>
                <w:spacing w:val="-6"/>
                <w:highlight w:val="none"/>
              </w:rPr>
              <w:t>0.8</w:t>
            </w:r>
            <w:r>
              <w:rPr>
                <w:color w:val="auto"/>
                <w:spacing w:val="-6"/>
                <w:highlight w:val="none"/>
              </w:rPr>
              <w:t>分</w:t>
            </w:r>
            <w:r>
              <w:rPr>
                <w:rFonts w:hint="eastAsia"/>
                <w:color w:val="auto"/>
                <w:spacing w:val="-6"/>
                <w:highlight w:val="none"/>
              </w:rPr>
              <w:t>，没有不得分；</w:t>
            </w:r>
          </w:p>
          <w:p w14:paraId="5D909275">
            <w:pPr>
              <w:pStyle w:val="26"/>
              <w:numPr>
                <w:ilvl w:val="0"/>
                <w:numId w:val="2"/>
              </w:numPr>
              <w:snapToGrid w:val="0"/>
              <w:spacing w:line="360" w:lineRule="auto"/>
              <w:ind w:left="0" w:firstLine="0"/>
              <w:jc w:val="left"/>
              <w:rPr>
                <w:rFonts w:hint="eastAsia"/>
                <w:color w:val="auto"/>
                <w:spacing w:val="-6"/>
                <w:highlight w:val="none"/>
              </w:rPr>
            </w:pPr>
            <w:r>
              <w:rPr>
                <w:rFonts w:hint="eastAsia"/>
                <w:color w:val="auto"/>
                <w:spacing w:val="-6"/>
                <w:highlight w:val="none"/>
              </w:rPr>
              <w:t>根据企业其他省级、国家级相关资质，经营及财务状况（可参考净资产增长率、销售收入增长率、年平均利润率和资产负债率等财务指标），酌情打分，最高得0.8分。</w:t>
            </w:r>
          </w:p>
        </w:tc>
        <w:tc>
          <w:tcPr>
            <w:tcW w:w="1275" w:type="dxa"/>
            <w:vAlign w:val="center"/>
          </w:tcPr>
          <w:p w14:paraId="3ECA700B">
            <w:pPr>
              <w:tabs>
                <w:tab w:val="right" w:leader="dot" w:pos="8295"/>
              </w:tabs>
              <w:jc w:val="center"/>
              <w:rPr>
                <w:rFonts w:ascii="宋体" w:cs="宋体"/>
                <w:color w:val="auto"/>
                <w:highlight w:val="none"/>
              </w:rPr>
            </w:pPr>
            <w:r>
              <w:rPr>
                <w:rFonts w:hint="eastAsia" w:ascii="宋体" w:cs="宋体"/>
                <w:color w:val="auto"/>
                <w:highlight w:val="none"/>
              </w:rPr>
              <w:t>0-4分</w:t>
            </w:r>
          </w:p>
        </w:tc>
      </w:tr>
      <w:tr w14:paraId="0B1B5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E67D128">
            <w:pPr>
              <w:tabs>
                <w:tab w:val="right" w:leader="dot" w:pos="8295"/>
              </w:tabs>
              <w:jc w:val="center"/>
              <w:rPr>
                <w:rFonts w:ascii="宋体" w:cs="宋体"/>
                <w:color w:val="auto"/>
                <w:highlight w:val="none"/>
              </w:rPr>
            </w:pPr>
            <w:r>
              <w:rPr>
                <w:rFonts w:hint="eastAsia" w:ascii="宋体" w:cs="宋体"/>
                <w:color w:val="auto"/>
                <w:highlight w:val="none"/>
              </w:rPr>
              <w:t>2</w:t>
            </w:r>
          </w:p>
        </w:tc>
        <w:tc>
          <w:tcPr>
            <w:tcW w:w="1482" w:type="dxa"/>
            <w:vAlign w:val="center"/>
          </w:tcPr>
          <w:p w14:paraId="311DFD9A">
            <w:pPr>
              <w:tabs>
                <w:tab w:val="right" w:leader="dot" w:pos="8295"/>
              </w:tabs>
              <w:jc w:val="center"/>
              <w:rPr>
                <w:rFonts w:ascii="宋体" w:cs="宋体"/>
                <w:color w:val="auto"/>
                <w:highlight w:val="none"/>
              </w:rPr>
            </w:pPr>
            <w:r>
              <w:rPr>
                <w:rFonts w:hint="eastAsia" w:ascii="宋体" w:cs="宋体"/>
                <w:color w:val="auto"/>
                <w:highlight w:val="none"/>
              </w:rPr>
              <w:t>投标人业绩</w:t>
            </w:r>
          </w:p>
        </w:tc>
        <w:tc>
          <w:tcPr>
            <w:tcW w:w="4972" w:type="dxa"/>
            <w:vAlign w:val="center"/>
          </w:tcPr>
          <w:p w14:paraId="3FA32ECA">
            <w:pPr>
              <w:tabs>
                <w:tab w:val="right" w:leader="dot" w:pos="8295"/>
              </w:tabs>
              <w:jc w:val="left"/>
              <w:rPr>
                <w:rFonts w:ascii="宋体" w:hAnsi="宋体"/>
                <w:color w:val="auto"/>
                <w:highlight w:val="none"/>
              </w:rPr>
            </w:pPr>
            <w:bookmarkStart w:id="111" w:name="OLE_LINK26"/>
            <w:r>
              <w:rPr>
                <w:rFonts w:hint="eastAsia" w:ascii="宋体" w:hAnsi="宋体"/>
                <w:color w:val="auto"/>
                <w:highlight w:val="none"/>
              </w:rPr>
              <w:t>①投标人2020年8月1日至今，具有与本项目相似进口条件多级非洁净蒸汽压缩机组（含杂质，压缩比）销售业绩得</w:t>
            </w:r>
            <w:r>
              <w:rPr>
                <w:rFonts w:ascii="宋体" w:hAnsi="宋体"/>
                <w:color w:val="auto"/>
                <w:highlight w:val="none"/>
              </w:rPr>
              <w:t>1</w:t>
            </w:r>
            <w:r>
              <w:rPr>
                <w:rFonts w:hint="eastAsia" w:ascii="宋体" w:hAnsi="宋体"/>
                <w:color w:val="auto"/>
                <w:highlight w:val="none"/>
              </w:rPr>
              <w:t>分（以合同签订时间为准），最高</w:t>
            </w:r>
            <w:r>
              <w:rPr>
                <w:rFonts w:ascii="宋体" w:hAnsi="宋体"/>
                <w:color w:val="auto"/>
                <w:highlight w:val="none"/>
              </w:rPr>
              <w:t>1</w:t>
            </w:r>
            <w:r>
              <w:rPr>
                <w:rFonts w:hint="eastAsia" w:ascii="宋体" w:hAnsi="宋体"/>
                <w:color w:val="auto"/>
                <w:highlight w:val="none"/>
              </w:rPr>
              <w:t>分；其他多级蒸汽压缩机组销售业绩每提供1套得0.5分，最高1分；</w:t>
            </w:r>
          </w:p>
          <w:p w14:paraId="3516AB3D">
            <w:pPr>
              <w:tabs>
                <w:tab w:val="right" w:leader="dot" w:pos="8295"/>
              </w:tabs>
              <w:jc w:val="left"/>
              <w:rPr>
                <w:rFonts w:ascii="宋体" w:cs="宋体"/>
                <w:color w:val="auto"/>
                <w:highlight w:val="none"/>
              </w:rPr>
            </w:pPr>
            <w:r>
              <w:rPr>
                <w:rFonts w:hint="eastAsia" w:ascii="宋体" w:hAnsi="宋体"/>
                <w:color w:val="auto"/>
                <w:highlight w:val="none"/>
              </w:rPr>
              <w:t>②投标人具有运行2年以上的余热回收项目能源管理合同业绩，每提供1项得1分，最高2分。（提供合同、现场机组照片及验收报告等相关证明材料）</w:t>
            </w:r>
            <w:bookmarkEnd w:id="111"/>
          </w:p>
        </w:tc>
        <w:tc>
          <w:tcPr>
            <w:tcW w:w="1275" w:type="dxa"/>
            <w:vAlign w:val="center"/>
          </w:tcPr>
          <w:p w14:paraId="592F6921">
            <w:pPr>
              <w:tabs>
                <w:tab w:val="right" w:leader="dot" w:pos="8295"/>
              </w:tabs>
              <w:jc w:val="center"/>
              <w:rPr>
                <w:rFonts w:ascii="宋体" w:cs="宋体"/>
                <w:color w:val="auto"/>
                <w:highlight w:val="none"/>
              </w:rPr>
            </w:pPr>
            <w:r>
              <w:rPr>
                <w:rFonts w:hint="eastAsia" w:ascii="宋体" w:cs="宋体"/>
                <w:color w:val="auto"/>
                <w:highlight w:val="none"/>
              </w:rPr>
              <w:t>0-4分</w:t>
            </w:r>
          </w:p>
        </w:tc>
      </w:tr>
      <w:tr w14:paraId="7E956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3" w:type="dxa"/>
            <w:vAlign w:val="center"/>
          </w:tcPr>
          <w:p w14:paraId="32656AE8">
            <w:pPr>
              <w:tabs>
                <w:tab w:val="right" w:leader="dot" w:pos="8295"/>
              </w:tabs>
              <w:jc w:val="center"/>
              <w:rPr>
                <w:rFonts w:ascii="宋体" w:cs="宋体"/>
                <w:color w:val="auto"/>
                <w:highlight w:val="none"/>
              </w:rPr>
            </w:pPr>
            <w:r>
              <w:rPr>
                <w:rFonts w:hint="eastAsia" w:ascii="宋体" w:cs="宋体"/>
                <w:color w:val="auto"/>
                <w:highlight w:val="none"/>
              </w:rPr>
              <w:t>3</w:t>
            </w:r>
          </w:p>
        </w:tc>
        <w:tc>
          <w:tcPr>
            <w:tcW w:w="1482" w:type="dxa"/>
            <w:vAlign w:val="center"/>
          </w:tcPr>
          <w:p w14:paraId="21F28A00">
            <w:pPr>
              <w:tabs>
                <w:tab w:val="right" w:leader="dot" w:pos="8295"/>
              </w:tabs>
              <w:jc w:val="center"/>
              <w:rPr>
                <w:rFonts w:ascii="宋体" w:cs="宋体"/>
                <w:color w:val="auto"/>
                <w:highlight w:val="none"/>
                <w:u w:val="single"/>
              </w:rPr>
            </w:pPr>
            <w:r>
              <w:rPr>
                <w:rFonts w:hint="eastAsia" w:ascii="宋体" w:cs="宋体"/>
                <w:color w:val="auto"/>
                <w:highlight w:val="none"/>
              </w:rPr>
              <w:t>项目方案</w:t>
            </w:r>
          </w:p>
        </w:tc>
        <w:tc>
          <w:tcPr>
            <w:tcW w:w="4972" w:type="dxa"/>
            <w:vAlign w:val="center"/>
          </w:tcPr>
          <w:p w14:paraId="3D3BA5A9">
            <w:pPr>
              <w:tabs>
                <w:tab w:val="right" w:leader="dot" w:pos="8295"/>
              </w:tabs>
              <w:jc w:val="left"/>
              <w:rPr>
                <w:color w:val="auto"/>
                <w:highlight w:val="none"/>
              </w:rPr>
            </w:pPr>
            <w:r>
              <w:rPr>
                <w:rFonts w:hint="eastAsia" w:ascii="宋体" w:hAnsi="宋体"/>
                <w:color w:val="auto"/>
                <w:highlight w:val="none"/>
              </w:rPr>
              <w:t>根据投标人提供的技术方案进行打分，成套工艺、设备和仪表技术方案先进、合理，技术指标完全响应或优于招标文件要求，机组设计制造与API标准（中文版）契合程度。</w:t>
            </w:r>
          </w:p>
        </w:tc>
        <w:tc>
          <w:tcPr>
            <w:tcW w:w="1275" w:type="dxa"/>
            <w:vAlign w:val="center"/>
          </w:tcPr>
          <w:p w14:paraId="2C8891A6">
            <w:pPr>
              <w:tabs>
                <w:tab w:val="right" w:leader="dot" w:pos="8295"/>
              </w:tabs>
              <w:jc w:val="center"/>
              <w:rPr>
                <w:rFonts w:ascii="宋体" w:cs="宋体"/>
                <w:color w:val="auto"/>
                <w:highlight w:val="none"/>
              </w:rPr>
            </w:pPr>
            <w:r>
              <w:rPr>
                <w:rFonts w:hint="eastAsia" w:ascii="宋体" w:cs="宋体"/>
                <w:color w:val="auto"/>
                <w:highlight w:val="none"/>
              </w:rPr>
              <w:t>0-8分</w:t>
            </w:r>
          </w:p>
        </w:tc>
      </w:tr>
      <w:tr w14:paraId="220D5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3" w:type="dxa"/>
            <w:vAlign w:val="center"/>
          </w:tcPr>
          <w:p w14:paraId="533F8CFA">
            <w:pPr>
              <w:tabs>
                <w:tab w:val="right" w:leader="dot" w:pos="8295"/>
              </w:tabs>
              <w:jc w:val="center"/>
              <w:rPr>
                <w:rFonts w:ascii="宋体" w:cs="宋体"/>
                <w:color w:val="auto"/>
                <w:highlight w:val="none"/>
              </w:rPr>
            </w:pPr>
            <w:r>
              <w:rPr>
                <w:rFonts w:hint="eastAsia" w:ascii="宋体" w:cs="宋体"/>
                <w:color w:val="auto"/>
                <w:highlight w:val="none"/>
              </w:rPr>
              <w:t>4</w:t>
            </w:r>
          </w:p>
        </w:tc>
        <w:tc>
          <w:tcPr>
            <w:tcW w:w="1482" w:type="dxa"/>
            <w:vAlign w:val="center"/>
          </w:tcPr>
          <w:p w14:paraId="049557F2">
            <w:pPr>
              <w:tabs>
                <w:tab w:val="right" w:leader="dot" w:pos="8295"/>
              </w:tabs>
              <w:jc w:val="center"/>
              <w:rPr>
                <w:rFonts w:ascii="宋体" w:cs="宋体"/>
                <w:color w:val="auto"/>
                <w:highlight w:val="none"/>
              </w:rPr>
            </w:pPr>
            <w:r>
              <w:rPr>
                <w:rFonts w:hint="eastAsia"/>
                <w:color w:val="auto"/>
                <w:highlight w:val="none"/>
              </w:rPr>
              <w:t>机组轴功率</w:t>
            </w:r>
          </w:p>
        </w:tc>
        <w:tc>
          <w:tcPr>
            <w:tcW w:w="4972" w:type="dxa"/>
            <w:vAlign w:val="center"/>
          </w:tcPr>
          <w:p w14:paraId="7C9B2AD5">
            <w:pPr>
              <w:tabs>
                <w:tab w:val="right" w:leader="dot" w:pos="8295"/>
              </w:tabs>
              <w:jc w:val="left"/>
              <w:rPr>
                <w:color w:val="auto"/>
                <w:highlight w:val="none"/>
              </w:rPr>
            </w:pPr>
            <w:r>
              <w:rPr>
                <w:rFonts w:hint="eastAsia"/>
                <w:color w:val="auto"/>
                <w:highlight w:val="none"/>
              </w:rPr>
              <w:t>压缩机组轴功率（按技术条件的正常标况，即入口蒸汽：10t/h，入口压力：0.025 MPa（A），入口温度：65℃，出口减温减压后压力0.35MPa（A），温度：149℃计算）。轴功率最低值为基准。基准为4分，轴功率每上升1%，扣0.4分，直至本项分扣完为止。</w:t>
            </w:r>
          </w:p>
        </w:tc>
        <w:tc>
          <w:tcPr>
            <w:tcW w:w="1275" w:type="dxa"/>
            <w:vAlign w:val="center"/>
          </w:tcPr>
          <w:p w14:paraId="540FB0BC">
            <w:pPr>
              <w:tabs>
                <w:tab w:val="right" w:leader="dot" w:pos="8295"/>
              </w:tabs>
              <w:jc w:val="center"/>
              <w:rPr>
                <w:rFonts w:ascii="宋体" w:cs="宋体"/>
                <w:color w:val="auto"/>
                <w:highlight w:val="none"/>
              </w:rPr>
            </w:pPr>
            <w:r>
              <w:rPr>
                <w:rFonts w:hint="eastAsia" w:ascii="宋体" w:cs="宋体"/>
                <w:color w:val="auto"/>
                <w:highlight w:val="none"/>
              </w:rPr>
              <w:t>0-4分</w:t>
            </w:r>
          </w:p>
        </w:tc>
      </w:tr>
      <w:tr w14:paraId="679CD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93" w:type="dxa"/>
            <w:vAlign w:val="center"/>
          </w:tcPr>
          <w:p w14:paraId="64153ABD">
            <w:pPr>
              <w:tabs>
                <w:tab w:val="right" w:leader="dot" w:pos="8295"/>
              </w:tabs>
              <w:jc w:val="center"/>
              <w:rPr>
                <w:rFonts w:ascii="宋体" w:cs="宋体"/>
                <w:color w:val="auto"/>
                <w:highlight w:val="none"/>
              </w:rPr>
            </w:pPr>
            <w:r>
              <w:rPr>
                <w:rFonts w:hint="eastAsia" w:ascii="宋体" w:cs="宋体"/>
                <w:color w:val="auto"/>
                <w:highlight w:val="none"/>
              </w:rPr>
              <w:t>5</w:t>
            </w:r>
          </w:p>
        </w:tc>
        <w:tc>
          <w:tcPr>
            <w:tcW w:w="1482" w:type="dxa"/>
            <w:vAlign w:val="center"/>
          </w:tcPr>
          <w:p w14:paraId="76BC1A60">
            <w:pPr>
              <w:jc w:val="center"/>
              <w:rPr>
                <w:color w:val="auto"/>
                <w:highlight w:val="none"/>
                <w:u w:val="single"/>
              </w:rPr>
            </w:pPr>
            <w:r>
              <w:rPr>
                <w:rFonts w:hint="eastAsia" w:ascii="宋体" w:hAnsi="宋体"/>
                <w:color w:val="auto"/>
                <w:highlight w:val="none"/>
              </w:rPr>
              <w:t>选用品牌</w:t>
            </w:r>
          </w:p>
        </w:tc>
        <w:tc>
          <w:tcPr>
            <w:tcW w:w="4972" w:type="dxa"/>
            <w:vAlign w:val="center"/>
          </w:tcPr>
          <w:p w14:paraId="269BEF00">
            <w:pPr>
              <w:tabs>
                <w:tab w:val="right" w:leader="dot" w:pos="8295"/>
              </w:tabs>
              <w:jc w:val="left"/>
              <w:rPr>
                <w:rFonts w:ascii="宋体" w:cs="宋体"/>
                <w:color w:val="auto"/>
                <w:highlight w:val="none"/>
                <w:u w:val="single"/>
              </w:rPr>
            </w:pPr>
            <w:r>
              <w:rPr>
                <w:rFonts w:hint="eastAsia" w:ascii="宋体" w:hAnsi="宋体"/>
                <w:color w:val="auto"/>
                <w:highlight w:val="none"/>
              </w:rPr>
              <w:t>配套设备及零部件选用品牌情况</w:t>
            </w:r>
            <w:r>
              <w:rPr>
                <w:rFonts w:ascii="宋体" w:hAnsi="宋体"/>
                <w:color w:val="auto"/>
                <w:highlight w:val="none"/>
              </w:rPr>
              <w:t>。</w:t>
            </w:r>
          </w:p>
        </w:tc>
        <w:tc>
          <w:tcPr>
            <w:tcW w:w="1275" w:type="dxa"/>
            <w:vAlign w:val="center"/>
          </w:tcPr>
          <w:p w14:paraId="0E8BCD6E">
            <w:pPr>
              <w:tabs>
                <w:tab w:val="right" w:leader="dot" w:pos="8295"/>
              </w:tabs>
              <w:jc w:val="center"/>
              <w:rPr>
                <w:rFonts w:ascii="宋体" w:cs="宋体"/>
                <w:color w:val="auto"/>
                <w:highlight w:val="none"/>
              </w:rPr>
            </w:pPr>
            <w:r>
              <w:rPr>
                <w:rFonts w:hint="eastAsia" w:ascii="宋体" w:cs="宋体"/>
                <w:color w:val="auto"/>
                <w:highlight w:val="none"/>
              </w:rPr>
              <w:t>0-4分</w:t>
            </w:r>
          </w:p>
        </w:tc>
      </w:tr>
      <w:tr w14:paraId="438B8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D13415B">
            <w:pPr>
              <w:tabs>
                <w:tab w:val="right" w:leader="dot" w:pos="8295"/>
              </w:tabs>
              <w:jc w:val="center"/>
              <w:rPr>
                <w:rFonts w:ascii="宋体" w:cs="宋体"/>
                <w:color w:val="auto"/>
                <w:highlight w:val="none"/>
              </w:rPr>
            </w:pPr>
            <w:r>
              <w:rPr>
                <w:rFonts w:hint="eastAsia" w:ascii="宋体" w:cs="宋体"/>
                <w:color w:val="auto"/>
                <w:highlight w:val="none"/>
              </w:rPr>
              <w:t>6</w:t>
            </w:r>
          </w:p>
        </w:tc>
        <w:tc>
          <w:tcPr>
            <w:tcW w:w="1482" w:type="dxa"/>
            <w:vAlign w:val="center"/>
          </w:tcPr>
          <w:p w14:paraId="434EF271">
            <w:pPr>
              <w:tabs>
                <w:tab w:val="right" w:leader="dot" w:pos="8295"/>
              </w:tabs>
              <w:jc w:val="center"/>
              <w:rPr>
                <w:rFonts w:ascii="宋体" w:cs="宋体"/>
                <w:color w:val="auto"/>
                <w:highlight w:val="none"/>
              </w:rPr>
            </w:pPr>
            <w:r>
              <w:rPr>
                <w:rFonts w:hint="eastAsia" w:ascii="宋体" w:cs="宋体"/>
                <w:color w:val="auto"/>
                <w:highlight w:val="none"/>
              </w:rPr>
              <w:t>项目实施安排</w:t>
            </w:r>
          </w:p>
        </w:tc>
        <w:tc>
          <w:tcPr>
            <w:tcW w:w="4972" w:type="dxa"/>
            <w:vAlign w:val="center"/>
          </w:tcPr>
          <w:p w14:paraId="3656D637">
            <w:pPr>
              <w:tabs>
                <w:tab w:val="right" w:leader="dot" w:pos="8295"/>
              </w:tabs>
              <w:jc w:val="left"/>
              <w:rPr>
                <w:rFonts w:ascii="宋体" w:cs="宋体"/>
                <w:color w:val="auto"/>
                <w:highlight w:val="none"/>
              </w:rPr>
            </w:pPr>
            <w:r>
              <w:rPr>
                <w:rFonts w:hint="eastAsia" w:ascii="宋体" w:hAnsi="宋体"/>
                <w:color w:val="auto"/>
                <w:highlight w:val="none"/>
              </w:rPr>
              <w:t>工装设备、制造工艺说明、过程检验控制卡及加工计划。</w:t>
            </w:r>
            <w:r>
              <w:rPr>
                <w:rFonts w:hint="eastAsia" w:ascii="宋体" w:cs="宋体"/>
                <w:color w:val="auto"/>
                <w:highlight w:val="none"/>
              </w:rPr>
              <w:t xml:space="preserve"> </w:t>
            </w:r>
          </w:p>
        </w:tc>
        <w:tc>
          <w:tcPr>
            <w:tcW w:w="1275" w:type="dxa"/>
            <w:vAlign w:val="center"/>
          </w:tcPr>
          <w:p w14:paraId="40EE7ED8">
            <w:pPr>
              <w:tabs>
                <w:tab w:val="right" w:leader="dot" w:pos="8295"/>
              </w:tabs>
              <w:jc w:val="center"/>
              <w:rPr>
                <w:rFonts w:ascii="宋体" w:cs="宋体"/>
                <w:color w:val="auto"/>
                <w:highlight w:val="none"/>
              </w:rPr>
            </w:pPr>
            <w:r>
              <w:rPr>
                <w:rFonts w:hint="eastAsia" w:ascii="宋体" w:cs="宋体"/>
                <w:color w:val="auto"/>
                <w:highlight w:val="none"/>
              </w:rPr>
              <w:t>0-4分</w:t>
            </w:r>
          </w:p>
        </w:tc>
      </w:tr>
      <w:tr w14:paraId="3A4C4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62112EF">
            <w:pPr>
              <w:tabs>
                <w:tab w:val="right" w:leader="dot" w:pos="8295"/>
              </w:tabs>
              <w:jc w:val="center"/>
              <w:rPr>
                <w:rFonts w:ascii="宋体" w:cs="宋体"/>
                <w:color w:val="auto"/>
                <w:highlight w:val="none"/>
              </w:rPr>
            </w:pPr>
            <w:r>
              <w:rPr>
                <w:rFonts w:hint="eastAsia" w:ascii="宋体" w:cs="宋体"/>
                <w:color w:val="auto"/>
                <w:highlight w:val="none"/>
              </w:rPr>
              <w:t>7</w:t>
            </w:r>
          </w:p>
        </w:tc>
        <w:tc>
          <w:tcPr>
            <w:tcW w:w="1482" w:type="dxa"/>
            <w:vAlign w:val="center"/>
          </w:tcPr>
          <w:p w14:paraId="624760F6">
            <w:pPr>
              <w:jc w:val="center"/>
              <w:rPr>
                <w:color w:val="auto"/>
                <w:highlight w:val="none"/>
              </w:rPr>
            </w:pPr>
            <w:r>
              <w:rPr>
                <w:rFonts w:hint="eastAsia" w:ascii="宋体" w:hAnsi="宋体"/>
                <w:color w:val="auto"/>
                <w:highlight w:val="none"/>
              </w:rPr>
              <w:t>调试方案</w:t>
            </w:r>
          </w:p>
        </w:tc>
        <w:tc>
          <w:tcPr>
            <w:tcW w:w="4972" w:type="dxa"/>
            <w:vAlign w:val="center"/>
          </w:tcPr>
          <w:p w14:paraId="76F20229">
            <w:pPr>
              <w:tabs>
                <w:tab w:val="right" w:leader="dot" w:pos="8295"/>
              </w:tabs>
              <w:jc w:val="left"/>
              <w:rPr>
                <w:color w:val="auto"/>
                <w:highlight w:val="none"/>
              </w:rPr>
            </w:pPr>
            <w:r>
              <w:rPr>
                <w:rFonts w:hint="eastAsia" w:ascii="宋体" w:hAnsi="宋体"/>
                <w:color w:val="auto"/>
                <w:highlight w:val="none"/>
              </w:rPr>
              <w:t>工程调试及试运行方案针对性、可行性高。</w:t>
            </w:r>
          </w:p>
        </w:tc>
        <w:tc>
          <w:tcPr>
            <w:tcW w:w="1275" w:type="dxa"/>
            <w:vAlign w:val="center"/>
          </w:tcPr>
          <w:p w14:paraId="0917E7DF">
            <w:pPr>
              <w:tabs>
                <w:tab w:val="right" w:leader="dot" w:pos="8295"/>
              </w:tabs>
              <w:jc w:val="center"/>
              <w:rPr>
                <w:rFonts w:ascii="宋体" w:cs="宋体"/>
                <w:color w:val="auto"/>
                <w:highlight w:val="none"/>
              </w:rPr>
            </w:pPr>
            <w:r>
              <w:rPr>
                <w:rFonts w:hint="eastAsia" w:ascii="宋体" w:cs="宋体"/>
                <w:color w:val="auto"/>
                <w:highlight w:val="none"/>
              </w:rPr>
              <w:t>0-2分</w:t>
            </w:r>
          </w:p>
        </w:tc>
      </w:tr>
      <w:tr w14:paraId="027C2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1D5D78F">
            <w:pPr>
              <w:tabs>
                <w:tab w:val="right" w:leader="dot" w:pos="8295"/>
              </w:tabs>
              <w:jc w:val="center"/>
              <w:rPr>
                <w:rFonts w:ascii="宋体" w:cs="宋体"/>
                <w:color w:val="auto"/>
                <w:highlight w:val="none"/>
              </w:rPr>
            </w:pPr>
            <w:r>
              <w:rPr>
                <w:rFonts w:hint="eastAsia" w:ascii="宋体" w:cs="宋体"/>
                <w:color w:val="auto"/>
                <w:highlight w:val="none"/>
              </w:rPr>
              <w:t>8</w:t>
            </w:r>
          </w:p>
        </w:tc>
        <w:tc>
          <w:tcPr>
            <w:tcW w:w="1482" w:type="dxa"/>
            <w:vAlign w:val="center"/>
          </w:tcPr>
          <w:p w14:paraId="50263F08">
            <w:pPr>
              <w:jc w:val="center"/>
              <w:rPr>
                <w:rFonts w:ascii="宋体" w:cs="宋体"/>
                <w:color w:val="auto"/>
                <w:highlight w:val="none"/>
                <w:lang w:bidi="ar"/>
              </w:rPr>
            </w:pPr>
            <w:r>
              <w:rPr>
                <w:rFonts w:hint="eastAsia" w:ascii="宋体" w:cs="宋体"/>
                <w:color w:val="auto"/>
                <w:highlight w:val="none"/>
                <w:lang w:bidi="ar"/>
              </w:rPr>
              <w:t>施工组织</w:t>
            </w:r>
          </w:p>
        </w:tc>
        <w:tc>
          <w:tcPr>
            <w:tcW w:w="4972" w:type="dxa"/>
            <w:vAlign w:val="center"/>
          </w:tcPr>
          <w:p w14:paraId="1386CAF8">
            <w:pPr>
              <w:tabs>
                <w:tab w:val="right" w:leader="dot" w:pos="8295"/>
              </w:tabs>
              <w:jc w:val="left"/>
              <w:rPr>
                <w:rFonts w:ascii="宋体" w:hAnsi="宋体"/>
                <w:color w:val="auto"/>
                <w:highlight w:val="none"/>
              </w:rPr>
            </w:pPr>
            <w:r>
              <w:rPr>
                <w:rFonts w:hint="eastAsia" w:ascii="宋体" w:hAnsi="宋体"/>
                <w:color w:val="auto"/>
                <w:highlight w:val="none"/>
              </w:rPr>
              <w:t>施工方案、安全、文明、环境保护的组织和技术措施。</w:t>
            </w:r>
          </w:p>
        </w:tc>
        <w:tc>
          <w:tcPr>
            <w:tcW w:w="1275" w:type="dxa"/>
            <w:vAlign w:val="center"/>
          </w:tcPr>
          <w:p w14:paraId="2410F02E">
            <w:pPr>
              <w:tabs>
                <w:tab w:val="right" w:leader="dot" w:pos="8295"/>
              </w:tabs>
              <w:jc w:val="center"/>
              <w:rPr>
                <w:rFonts w:ascii="宋体" w:cs="宋体"/>
                <w:color w:val="auto"/>
                <w:highlight w:val="none"/>
              </w:rPr>
            </w:pPr>
            <w:r>
              <w:rPr>
                <w:rFonts w:hint="eastAsia" w:ascii="宋体" w:cs="宋体"/>
                <w:color w:val="auto"/>
                <w:highlight w:val="none"/>
              </w:rPr>
              <w:t>0-8分</w:t>
            </w:r>
          </w:p>
        </w:tc>
      </w:tr>
      <w:tr w14:paraId="4A1D3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287B1F92">
            <w:pPr>
              <w:tabs>
                <w:tab w:val="right" w:leader="dot" w:pos="8295"/>
              </w:tabs>
              <w:jc w:val="center"/>
              <w:rPr>
                <w:rFonts w:ascii="宋体" w:cs="宋体"/>
                <w:color w:val="auto"/>
                <w:highlight w:val="none"/>
              </w:rPr>
            </w:pPr>
            <w:r>
              <w:rPr>
                <w:rFonts w:hint="eastAsia" w:ascii="宋体" w:cs="宋体"/>
                <w:color w:val="auto"/>
                <w:highlight w:val="none"/>
              </w:rPr>
              <w:t>9</w:t>
            </w:r>
          </w:p>
        </w:tc>
        <w:tc>
          <w:tcPr>
            <w:tcW w:w="1482" w:type="dxa"/>
            <w:vAlign w:val="center"/>
          </w:tcPr>
          <w:p w14:paraId="444718EB">
            <w:pPr>
              <w:jc w:val="center"/>
              <w:rPr>
                <w:rFonts w:ascii="宋体" w:cs="宋体"/>
                <w:color w:val="auto"/>
                <w:highlight w:val="none"/>
                <w:lang w:bidi="ar"/>
              </w:rPr>
            </w:pPr>
            <w:r>
              <w:rPr>
                <w:rFonts w:hint="eastAsia" w:ascii="宋体" w:hAnsi="宋体"/>
                <w:color w:val="auto"/>
                <w:highlight w:val="none"/>
              </w:rPr>
              <w:t>维修计划</w:t>
            </w:r>
          </w:p>
        </w:tc>
        <w:tc>
          <w:tcPr>
            <w:tcW w:w="4972" w:type="dxa"/>
            <w:vAlign w:val="center"/>
          </w:tcPr>
          <w:p w14:paraId="217E4DB1">
            <w:pPr>
              <w:tabs>
                <w:tab w:val="right" w:leader="dot" w:pos="8295"/>
              </w:tabs>
              <w:jc w:val="left"/>
              <w:rPr>
                <w:rFonts w:ascii="宋体" w:hAnsi="宋体"/>
                <w:color w:val="auto"/>
                <w:highlight w:val="none"/>
              </w:rPr>
            </w:pPr>
            <w:r>
              <w:rPr>
                <w:rFonts w:hint="eastAsia" w:ascii="宋体" w:hAnsi="宋体"/>
                <w:color w:val="auto"/>
                <w:highlight w:val="none"/>
              </w:rPr>
              <w:t>装置建成后，日常检维修服务计划方案合理性。</w:t>
            </w:r>
          </w:p>
        </w:tc>
        <w:tc>
          <w:tcPr>
            <w:tcW w:w="1275" w:type="dxa"/>
            <w:vAlign w:val="center"/>
          </w:tcPr>
          <w:p w14:paraId="7431D290">
            <w:pPr>
              <w:tabs>
                <w:tab w:val="right" w:leader="dot" w:pos="8295"/>
              </w:tabs>
              <w:jc w:val="center"/>
              <w:rPr>
                <w:rFonts w:ascii="宋体" w:cs="宋体"/>
                <w:color w:val="auto"/>
                <w:highlight w:val="none"/>
              </w:rPr>
            </w:pPr>
            <w:r>
              <w:rPr>
                <w:rFonts w:hint="eastAsia" w:ascii="宋体" w:cs="宋体"/>
                <w:color w:val="auto"/>
                <w:highlight w:val="none"/>
              </w:rPr>
              <w:t>0-2分</w:t>
            </w:r>
          </w:p>
        </w:tc>
      </w:tr>
      <w:bookmarkEnd w:id="106"/>
      <w:bookmarkEnd w:id="107"/>
    </w:tbl>
    <w:p w14:paraId="02E075AD">
      <w:pPr>
        <w:tabs>
          <w:tab w:val="right" w:leader="dot" w:pos="8295"/>
        </w:tabs>
        <w:ind w:firstLine="482"/>
        <w:jc w:val="left"/>
        <w:rPr>
          <w:rFonts w:ascii="宋体"/>
          <w:color w:val="auto"/>
          <w:szCs w:val="24"/>
          <w:highlight w:val="none"/>
        </w:rPr>
      </w:pPr>
      <w:r>
        <w:rPr>
          <w:rFonts w:hint="eastAsia" w:ascii="宋体"/>
          <w:color w:val="auto"/>
          <w:szCs w:val="24"/>
          <w:highlight w:val="none"/>
        </w:rPr>
        <w:t>由评标委员会负责对投标文件的资信技术部分采用记名方式各自评分。此项评分为：所有有效评标专家的评分的算术平均值。</w:t>
      </w:r>
    </w:p>
    <w:p w14:paraId="378E0971">
      <w:pPr>
        <w:tabs>
          <w:tab w:val="right" w:leader="dot" w:pos="8295"/>
        </w:tabs>
        <w:ind w:firstLine="482"/>
        <w:jc w:val="left"/>
        <w:rPr>
          <w:rFonts w:ascii="宋体"/>
          <w:color w:val="auto"/>
          <w:szCs w:val="24"/>
          <w:highlight w:val="none"/>
        </w:rPr>
      </w:pPr>
      <w:r>
        <w:rPr>
          <w:rFonts w:hint="eastAsia" w:ascii="宋体"/>
          <w:color w:val="auto"/>
          <w:szCs w:val="24"/>
          <w:highlight w:val="none"/>
        </w:rPr>
        <w:t>以上评分保留小数2位。</w:t>
      </w:r>
    </w:p>
    <w:p w14:paraId="4DA8BC02">
      <w:pPr>
        <w:tabs>
          <w:tab w:val="right" w:leader="dot" w:pos="8295"/>
        </w:tabs>
        <w:ind w:firstLine="482"/>
        <w:jc w:val="left"/>
        <w:rPr>
          <w:rFonts w:ascii="宋体"/>
          <w:color w:val="auto"/>
          <w:szCs w:val="24"/>
          <w:highlight w:val="none"/>
        </w:rPr>
      </w:pPr>
      <w:r>
        <w:rPr>
          <w:rFonts w:hint="eastAsia" w:ascii="宋体"/>
          <w:color w:val="auto"/>
          <w:szCs w:val="24"/>
          <w:highlight w:val="none"/>
        </w:rPr>
        <w:t>（四）投标文件的商务标评审（60分）</w:t>
      </w:r>
    </w:p>
    <w:p w14:paraId="0BEEF224">
      <w:pPr>
        <w:tabs>
          <w:tab w:val="right" w:leader="dot" w:pos="8295"/>
        </w:tabs>
        <w:ind w:firstLine="480"/>
        <w:jc w:val="left"/>
        <w:rPr>
          <w:rFonts w:ascii="宋体"/>
          <w:color w:val="auto"/>
          <w:szCs w:val="24"/>
          <w:highlight w:val="none"/>
        </w:rPr>
      </w:pPr>
      <w:r>
        <w:rPr>
          <w:rFonts w:hint="eastAsia" w:ascii="宋体"/>
          <w:color w:val="auto"/>
          <w:szCs w:val="24"/>
          <w:highlight w:val="none"/>
        </w:rPr>
        <w:t>1、由评标委员会对投标文件的商务报价进行评审。评标委员会应对商务报价的范围、数量、单价、费用组成和总价等进行全面审阅和对比分析，找出报价差异的原因及存在的问题，投标报价中，如有以下情况之一的，按商务标评审不合格处理：</w:t>
      </w:r>
    </w:p>
    <w:p w14:paraId="382FFBBC">
      <w:pPr>
        <w:tabs>
          <w:tab w:val="right" w:leader="dot" w:pos="8295"/>
        </w:tabs>
        <w:ind w:firstLine="480"/>
        <w:jc w:val="left"/>
        <w:rPr>
          <w:rFonts w:ascii="宋体"/>
          <w:color w:val="auto"/>
          <w:szCs w:val="24"/>
          <w:highlight w:val="none"/>
        </w:rPr>
      </w:pPr>
      <w:r>
        <w:rPr>
          <w:rFonts w:hint="eastAsia" w:ascii="宋体"/>
          <w:color w:val="auto"/>
          <w:szCs w:val="24"/>
          <w:highlight w:val="none"/>
        </w:rPr>
        <w:t>⑴投标人未按招标文件实质性规定要求进行报价；</w:t>
      </w:r>
    </w:p>
    <w:p w14:paraId="5EB33210">
      <w:pPr>
        <w:tabs>
          <w:tab w:val="right" w:leader="dot" w:pos="8295"/>
        </w:tabs>
        <w:ind w:firstLine="480"/>
        <w:jc w:val="left"/>
        <w:rPr>
          <w:rFonts w:ascii="宋体"/>
          <w:color w:val="auto"/>
          <w:szCs w:val="24"/>
          <w:highlight w:val="none"/>
        </w:rPr>
      </w:pPr>
      <w:r>
        <w:rPr>
          <w:rFonts w:hint="eastAsia" w:ascii="宋体"/>
          <w:color w:val="auto"/>
          <w:szCs w:val="24"/>
          <w:highlight w:val="none"/>
        </w:rPr>
        <w:t>⑵评标委员会认定属投标人自身原因有重大漏项的；</w:t>
      </w:r>
    </w:p>
    <w:p w14:paraId="5538FB78">
      <w:pPr>
        <w:tabs>
          <w:tab w:val="right" w:leader="dot" w:pos="8295"/>
        </w:tabs>
        <w:ind w:firstLine="480"/>
        <w:jc w:val="left"/>
        <w:rPr>
          <w:rFonts w:ascii="宋体"/>
          <w:color w:val="auto"/>
          <w:szCs w:val="24"/>
          <w:highlight w:val="none"/>
        </w:rPr>
      </w:pPr>
      <w:r>
        <w:rPr>
          <w:rFonts w:hint="eastAsia" w:ascii="宋体"/>
          <w:color w:val="auto"/>
          <w:szCs w:val="24"/>
          <w:highlight w:val="none"/>
        </w:rPr>
        <w:t>2、商务报价评审应以报价口径范围一致的投标报价为依据。投标报价应在最终报价的基础上，按照招标文件约定的因素和方法进行计算。</w:t>
      </w:r>
    </w:p>
    <w:p w14:paraId="47F73786">
      <w:pPr>
        <w:tabs>
          <w:tab w:val="right" w:leader="dot" w:pos="8295"/>
        </w:tabs>
        <w:ind w:firstLine="480"/>
        <w:jc w:val="left"/>
        <w:rPr>
          <w:rFonts w:ascii="宋体"/>
          <w:color w:val="auto"/>
          <w:szCs w:val="24"/>
          <w:highlight w:val="none"/>
        </w:rPr>
      </w:pPr>
      <w:r>
        <w:rPr>
          <w:rFonts w:hint="eastAsia" w:ascii="宋体"/>
          <w:color w:val="auto"/>
          <w:szCs w:val="24"/>
          <w:highlight w:val="none"/>
        </w:rPr>
        <w:t>3、投标报价高于最高限价的，作否决投标处理。</w:t>
      </w:r>
    </w:p>
    <w:p w14:paraId="5D13A877">
      <w:pPr>
        <w:tabs>
          <w:tab w:val="right" w:leader="dot" w:pos="8295"/>
        </w:tabs>
        <w:ind w:firstLine="480"/>
        <w:jc w:val="left"/>
        <w:rPr>
          <w:rFonts w:ascii="宋体"/>
          <w:color w:val="auto"/>
          <w:szCs w:val="24"/>
          <w:highlight w:val="none"/>
        </w:rPr>
      </w:pPr>
      <w:r>
        <w:rPr>
          <w:rFonts w:hint="eastAsia" w:ascii="宋体"/>
          <w:color w:val="auto"/>
          <w:szCs w:val="24"/>
          <w:highlight w:val="none"/>
        </w:rPr>
        <w:t>4、评标基准价由评标委员会依据下述方法计算，除计算差错外，确认后的评标基准价在本次招标期间保持不变。</w:t>
      </w:r>
    </w:p>
    <w:p w14:paraId="59EEFA80">
      <w:pPr>
        <w:tabs>
          <w:tab w:val="right" w:leader="dot" w:pos="8295"/>
        </w:tabs>
        <w:ind w:firstLine="480"/>
        <w:jc w:val="left"/>
        <w:rPr>
          <w:rFonts w:ascii="宋体"/>
          <w:color w:val="auto"/>
          <w:szCs w:val="24"/>
          <w:highlight w:val="none"/>
        </w:rPr>
      </w:pPr>
      <w:r>
        <w:rPr>
          <w:rFonts w:hint="eastAsia" w:ascii="宋体"/>
          <w:color w:val="auto"/>
          <w:szCs w:val="24"/>
          <w:highlight w:val="none"/>
        </w:rPr>
        <w:t>计算差错，仅限于以下两种情况：（1）纯算术性四则运算差错；（2）未按约定的计算方法，多计或者少计投标人报价的。由于评标差错，导致否决投标错误，重新评标纠正等其他情况，不属于计算差错。</w:t>
      </w:r>
    </w:p>
    <w:p w14:paraId="1CAA5705">
      <w:pPr>
        <w:tabs>
          <w:tab w:val="right" w:leader="dot" w:pos="8295"/>
        </w:tabs>
        <w:ind w:firstLine="482"/>
        <w:jc w:val="left"/>
        <w:rPr>
          <w:rFonts w:ascii="宋体"/>
          <w:color w:val="auto"/>
          <w:szCs w:val="24"/>
          <w:highlight w:val="none"/>
        </w:rPr>
      </w:pPr>
      <w:r>
        <w:rPr>
          <w:rFonts w:hint="eastAsia" w:ascii="宋体"/>
          <w:color w:val="auto"/>
          <w:szCs w:val="24"/>
          <w:highlight w:val="none"/>
        </w:rPr>
        <w:t>5、报价评分</w:t>
      </w:r>
    </w:p>
    <w:p w14:paraId="18E404C8">
      <w:pPr>
        <w:tabs>
          <w:tab w:val="right" w:leader="dot" w:pos="8295"/>
        </w:tabs>
        <w:ind w:firstLine="528"/>
        <w:jc w:val="left"/>
        <w:rPr>
          <w:rFonts w:ascii="宋体"/>
          <w:color w:val="auto"/>
          <w:szCs w:val="24"/>
          <w:highlight w:val="none"/>
        </w:rPr>
      </w:pPr>
      <w:r>
        <w:rPr>
          <w:rFonts w:hint="eastAsia" w:ascii="宋体"/>
          <w:color w:val="auto"/>
          <w:szCs w:val="24"/>
          <w:highlight w:val="none"/>
        </w:rPr>
        <w:t>本项目运行年限为20年，收益分享年限为20年，项目年收益为改造后生产成本-改造前生产成本，</w:t>
      </w:r>
    </w:p>
    <w:p w14:paraId="527D1FF2">
      <w:pPr>
        <w:tabs>
          <w:tab w:val="right" w:leader="dot" w:pos="8295"/>
        </w:tabs>
        <w:ind w:firstLine="528"/>
        <w:jc w:val="left"/>
        <w:rPr>
          <w:rFonts w:ascii="宋体"/>
          <w:color w:val="auto"/>
          <w:szCs w:val="24"/>
          <w:highlight w:val="none"/>
        </w:rPr>
      </w:pPr>
      <w:r>
        <w:rPr>
          <w:rFonts w:hint="eastAsia" w:ascii="宋体"/>
          <w:color w:val="auto"/>
          <w:szCs w:val="24"/>
          <w:highlight w:val="none"/>
        </w:rPr>
        <w:t>改造前生产成本=中压蒸汽耗量*蒸汽单价+循环冷却系统耗电*电单价；</w:t>
      </w:r>
    </w:p>
    <w:p w14:paraId="4A1CF756">
      <w:pPr>
        <w:tabs>
          <w:tab w:val="right" w:leader="dot" w:pos="8295"/>
        </w:tabs>
        <w:ind w:firstLine="528"/>
        <w:jc w:val="left"/>
        <w:rPr>
          <w:rFonts w:ascii="宋体"/>
          <w:color w:val="auto"/>
          <w:szCs w:val="24"/>
          <w:highlight w:val="none"/>
        </w:rPr>
      </w:pPr>
      <w:r>
        <w:rPr>
          <w:rFonts w:hint="eastAsia" w:ascii="宋体"/>
          <w:color w:val="auto"/>
          <w:szCs w:val="24"/>
          <w:highlight w:val="none"/>
        </w:rPr>
        <w:t>改造后生产成本=节能改造系统总耗电*电单价+需补充的外购蒸汽*蒸汽单价+增加污水处理费。</w:t>
      </w:r>
    </w:p>
    <w:p w14:paraId="2093D2E1">
      <w:pPr>
        <w:tabs>
          <w:tab w:val="right" w:leader="dot" w:pos="8295"/>
        </w:tabs>
        <w:ind w:firstLine="528"/>
        <w:jc w:val="left"/>
        <w:rPr>
          <w:rFonts w:ascii="宋体"/>
          <w:color w:val="auto"/>
          <w:szCs w:val="24"/>
          <w:highlight w:val="none"/>
        </w:rPr>
      </w:pPr>
      <w:r>
        <w:rPr>
          <w:rFonts w:hint="eastAsia" w:ascii="宋体"/>
          <w:color w:val="auto"/>
          <w:szCs w:val="24"/>
          <w:highlight w:val="none"/>
        </w:rPr>
        <w:t>招标人综合总收益计算基本公式如下：</w:t>
      </w:r>
    </w:p>
    <w:p w14:paraId="4F2C20B5">
      <w:pPr>
        <w:tabs>
          <w:tab w:val="right" w:leader="dot" w:pos="8295"/>
        </w:tabs>
        <w:ind w:firstLine="528"/>
        <w:jc w:val="left"/>
        <w:rPr>
          <w:rFonts w:ascii="宋体"/>
          <w:color w:val="auto"/>
          <w:szCs w:val="24"/>
          <w:highlight w:val="none"/>
        </w:rPr>
      </w:pPr>
      <w:r>
        <w:rPr>
          <w:rFonts w:hint="eastAsia" w:ascii="宋体"/>
          <w:color w:val="auto"/>
          <w:szCs w:val="24"/>
          <w:highlight w:val="none"/>
        </w:rPr>
        <w:t>W招标人=Q*w1%*n+Q*w2%*（20-n）</w:t>
      </w:r>
    </w:p>
    <w:p w14:paraId="69326D3F">
      <w:pPr>
        <w:tabs>
          <w:tab w:val="right" w:leader="dot" w:pos="8295"/>
        </w:tabs>
        <w:ind w:firstLine="528"/>
        <w:jc w:val="left"/>
        <w:rPr>
          <w:rFonts w:ascii="宋体"/>
          <w:color w:val="auto"/>
          <w:szCs w:val="24"/>
          <w:highlight w:val="none"/>
        </w:rPr>
      </w:pPr>
      <w:r>
        <w:rPr>
          <w:rFonts w:hint="eastAsia" w:ascii="宋体"/>
          <w:color w:val="auto"/>
          <w:szCs w:val="24"/>
          <w:highlight w:val="none"/>
        </w:rPr>
        <w:t xml:space="preserve"> 其中：Q为项目年收益；W招标人为招标人总收益；n为投标人投资回收期；w1%为投资回收期前，招标人项目收益分享比例；w2%为投资回收期后，招标人项目收益分享比例。</w:t>
      </w:r>
    </w:p>
    <w:p w14:paraId="28738462">
      <w:pPr>
        <w:tabs>
          <w:tab w:val="right" w:leader="dot" w:pos="8295"/>
        </w:tabs>
        <w:ind w:firstLine="528"/>
        <w:jc w:val="left"/>
        <w:rPr>
          <w:rFonts w:ascii="宋体"/>
          <w:color w:val="auto"/>
          <w:szCs w:val="24"/>
          <w:highlight w:val="none"/>
        </w:rPr>
      </w:pPr>
      <w:r>
        <w:rPr>
          <w:rFonts w:hint="eastAsia" w:ascii="宋体"/>
          <w:color w:val="auto"/>
          <w:szCs w:val="24"/>
          <w:highlight w:val="none"/>
        </w:rPr>
        <w:t>（1）能源管理分享项目年收益、投标人投资回收期由投标人自行测算，需明确成本组成情况及测算依据。</w:t>
      </w:r>
    </w:p>
    <w:p w14:paraId="29EA45DD">
      <w:pPr>
        <w:tabs>
          <w:tab w:val="right" w:leader="dot" w:pos="8295"/>
        </w:tabs>
        <w:ind w:firstLine="528"/>
        <w:jc w:val="left"/>
        <w:rPr>
          <w:rFonts w:ascii="宋体"/>
          <w:color w:val="auto"/>
          <w:szCs w:val="24"/>
          <w:highlight w:val="none"/>
        </w:rPr>
      </w:pPr>
      <w:r>
        <w:rPr>
          <w:rFonts w:hint="eastAsia" w:ascii="宋体"/>
          <w:color w:val="auto"/>
          <w:szCs w:val="24"/>
          <w:highlight w:val="none"/>
        </w:rPr>
        <w:t>（2）除招标人原因外，若因投标人设备运行、成本控制等因素，项目实际运行后年收益未达投标预期年收益，则投标人仍按预期年收益*约定收益分成比例向招标人进行分成。</w:t>
      </w:r>
    </w:p>
    <w:p w14:paraId="12168D66">
      <w:pPr>
        <w:tabs>
          <w:tab w:val="right" w:leader="dot" w:pos="8295"/>
        </w:tabs>
        <w:ind w:firstLine="528"/>
        <w:jc w:val="left"/>
        <w:rPr>
          <w:rFonts w:ascii="宋体"/>
          <w:color w:val="auto"/>
          <w:szCs w:val="24"/>
          <w:highlight w:val="none"/>
        </w:rPr>
      </w:pPr>
      <w:r>
        <w:rPr>
          <w:rFonts w:hint="eastAsia" w:ascii="宋体"/>
          <w:color w:val="auto"/>
          <w:szCs w:val="24"/>
          <w:highlight w:val="none"/>
        </w:rPr>
        <w:t>*（3）投标人投资回收期前，招标人收益分享比例</w:t>
      </w:r>
      <w:r>
        <w:rPr>
          <w:rFonts w:hint="eastAsia" w:ascii="宋体"/>
          <w:b/>
          <w:bCs/>
          <w:color w:val="auto"/>
          <w:szCs w:val="24"/>
          <w:highlight w:val="none"/>
        </w:rPr>
        <w:t>不得低于20%</w:t>
      </w:r>
      <w:r>
        <w:rPr>
          <w:rFonts w:hint="eastAsia" w:ascii="宋体"/>
          <w:color w:val="auto"/>
          <w:szCs w:val="24"/>
          <w:highlight w:val="none"/>
        </w:rPr>
        <w:t>；投资回收期后，招标人收益分享比例</w:t>
      </w:r>
      <w:r>
        <w:rPr>
          <w:rFonts w:hint="eastAsia" w:ascii="宋体"/>
          <w:b/>
          <w:bCs/>
          <w:color w:val="auto"/>
          <w:szCs w:val="24"/>
          <w:highlight w:val="none"/>
        </w:rPr>
        <w:t>不得低于50%</w:t>
      </w:r>
      <w:r>
        <w:rPr>
          <w:rFonts w:hint="eastAsia" w:ascii="宋体"/>
          <w:color w:val="auto"/>
          <w:szCs w:val="24"/>
          <w:highlight w:val="none"/>
        </w:rPr>
        <w:t>；投标人投资回收期不得大于8年。</w:t>
      </w:r>
    </w:p>
    <w:p w14:paraId="6C1FD81F">
      <w:pPr>
        <w:numPr>
          <w:ilvl w:val="0"/>
          <w:numId w:val="3"/>
        </w:numPr>
        <w:tabs>
          <w:tab w:val="right" w:leader="dot" w:pos="8295"/>
        </w:tabs>
        <w:ind w:firstLine="528"/>
        <w:jc w:val="left"/>
        <w:rPr>
          <w:rFonts w:ascii="宋体"/>
          <w:color w:val="auto"/>
          <w:szCs w:val="24"/>
          <w:highlight w:val="none"/>
        </w:rPr>
      </w:pPr>
      <w:r>
        <w:rPr>
          <w:rFonts w:hint="eastAsia" w:ascii="宋体"/>
          <w:color w:val="auto"/>
          <w:szCs w:val="24"/>
          <w:highlight w:val="none"/>
        </w:rPr>
        <w:t>收益分享年限前八年内得分：所有有效投标人中收益分享年限前八年内最高的收益值为评标基准价，得60分，在此基础上收益值每下降80万扣0.6分，最低0分，占商务经济得分的60%；</w:t>
      </w:r>
    </w:p>
    <w:p w14:paraId="66D176DF">
      <w:pPr>
        <w:tabs>
          <w:tab w:val="right" w:leader="dot" w:pos="8295"/>
        </w:tabs>
        <w:ind w:firstLine="528"/>
        <w:jc w:val="left"/>
        <w:rPr>
          <w:rFonts w:ascii="宋体"/>
          <w:color w:val="auto"/>
          <w:szCs w:val="24"/>
          <w:highlight w:val="none"/>
        </w:rPr>
      </w:pPr>
      <w:r>
        <w:rPr>
          <w:rFonts w:hint="eastAsia" w:ascii="宋体"/>
          <w:color w:val="auto"/>
          <w:szCs w:val="24"/>
          <w:highlight w:val="none"/>
        </w:rPr>
        <w:t>n为投标人投资回收期，不得大于8年，投标人投资回收期由投标人综合考虑运行成本、利息等自行测算；w1%为投资回收期前，招标人项目收益分享比例；Q为项目年收益；Ti为投标人总投资额（含税）；</w:t>
      </w:r>
    </w:p>
    <w:p w14:paraId="153FA358">
      <w:pPr>
        <w:tabs>
          <w:tab w:val="right" w:leader="dot" w:pos="8295"/>
        </w:tabs>
        <w:ind w:firstLine="528"/>
        <w:jc w:val="left"/>
        <w:rPr>
          <w:rFonts w:ascii="宋体"/>
          <w:color w:val="auto"/>
          <w:szCs w:val="24"/>
          <w:highlight w:val="none"/>
        </w:rPr>
      </w:pPr>
      <w:r>
        <w:rPr>
          <w:rFonts w:hint="eastAsia" w:ascii="宋体"/>
          <w:color w:val="auto"/>
          <w:szCs w:val="24"/>
          <w:highlight w:val="none"/>
        </w:rPr>
        <w:t>前八年内招标人收益计算方式如下:</w:t>
      </w:r>
    </w:p>
    <w:p w14:paraId="30B3A4E2">
      <w:pPr>
        <w:tabs>
          <w:tab w:val="right" w:leader="dot" w:pos="8295"/>
        </w:tabs>
        <w:ind w:firstLine="528"/>
        <w:jc w:val="left"/>
        <w:rPr>
          <w:rFonts w:ascii="宋体"/>
          <w:color w:val="auto"/>
          <w:szCs w:val="24"/>
          <w:highlight w:val="none"/>
        </w:rPr>
      </w:pPr>
      <w:r>
        <w:rPr>
          <w:rFonts w:hint="eastAsia" w:ascii="宋体"/>
          <w:color w:val="auto"/>
          <w:szCs w:val="24"/>
          <w:highlight w:val="none"/>
        </w:rPr>
        <w:t>W招1=Q*w1%*n+Q* w2% *(8-n);</w:t>
      </w:r>
    </w:p>
    <w:p w14:paraId="64274950">
      <w:pPr>
        <w:tabs>
          <w:tab w:val="right" w:leader="dot" w:pos="8295"/>
        </w:tabs>
        <w:ind w:firstLine="528"/>
        <w:jc w:val="left"/>
        <w:rPr>
          <w:rFonts w:ascii="宋体"/>
          <w:color w:val="auto"/>
          <w:szCs w:val="24"/>
          <w:highlight w:val="none"/>
        </w:rPr>
      </w:pPr>
      <w:r>
        <w:rPr>
          <w:rFonts w:hint="eastAsia" w:ascii="宋体"/>
          <w:color w:val="auto"/>
          <w:szCs w:val="24"/>
          <w:highlight w:val="none"/>
        </w:rPr>
        <w:t>收益分享年限第九至第二十年内得分：所有有效投标人中收益分享年限第九至第二十年内招标人收益最高的收益值为评标基准价，得60分，在此基础上收益值每下降80万扣0.6分，最低0分，占商务经济得分的40%；</w:t>
      </w:r>
    </w:p>
    <w:p w14:paraId="59172B4F">
      <w:pPr>
        <w:tabs>
          <w:tab w:val="right" w:leader="dot" w:pos="8295"/>
        </w:tabs>
        <w:ind w:firstLine="528"/>
        <w:jc w:val="left"/>
        <w:rPr>
          <w:rFonts w:ascii="宋体"/>
          <w:color w:val="auto"/>
          <w:szCs w:val="24"/>
          <w:highlight w:val="none"/>
        </w:rPr>
      </w:pPr>
      <w:r>
        <w:rPr>
          <w:rFonts w:hint="eastAsia" w:ascii="宋体"/>
          <w:color w:val="auto"/>
          <w:szCs w:val="24"/>
          <w:highlight w:val="none"/>
        </w:rPr>
        <w:t>第九至第二十年内招标人收益计算方式如下:</w:t>
      </w:r>
    </w:p>
    <w:p w14:paraId="7603268C">
      <w:pPr>
        <w:tabs>
          <w:tab w:val="right" w:leader="dot" w:pos="8295"/>
        </w:tabs>
        <w:ind w:firstLine="528"/>
        <w:jc w:val="left"/>
        <w:rPr>
          <w:rFonts w:ascii="宋体"/>
          <w:color w:val="auto"/>
          <w:szCs w:val="24"/>
          <w:highlight w:val="none"/>
        </w:rPr>
      </w:pPr>
      <w:r>
        <w:rPr>
          <w:rFonts w:hint="eastAsia" w:ascii="宋体"/>
          <w:color w:val="auto"/>
          <w:szCs w:val="24"/>
          <w:highlight w:val="none"/>
        </w:rPr>
        <w:t>W招2= W招标人- W招1</w:t>
      </w:r>
    </w:p>
    <w:p w14:paraId="6F32C00F">
      <w:pPr>
        <w:tabs>
          <w:tab w:val="right" w:leader="dot" w:pos="8295"/>
        </w:tabs>
        <w:ind w:firstLine="528"/>
        <w:jc w:val="left"/>
        <w:rPr>
          <w:rFonts w:ascii="宋体"/>
          <w:color w:val="auto"/>
          <w:szCs w:val="24"/>
          <w:highlight w:val="none"/>
        </w:rPr>
      </w:pPr>
      <w:r>
        <w:rPr>
          <w:rFonts w:hint="eastAsia" w:ascii="宋体"/>
          <w:color w:val="auto"/>
          <w:szCs w:val="24"/>
          <w:highlight w:val="none"/>
        </w:rPr>
        <w:t>商务经济得分=收益分享年限前八年内得分*0.6+收益分享年限第九至第二十年内得分*0.4。（五）投标文件的综合评分：投标文件的资信标技术标评分、商务标评分的总和，满分为100分。</w:t>
      </w:r>
    </w:p>
    <w:p w14:paraId="6D3C1949">
      <w:pPr>
        <w:tabs>
          <w:tab w:val="right" w:leader="dot" w:pos="8295"/>
        </w:tabs>
        <w:jc w:val="left"/>
        <w:rPr>
          <w:rFonts w:ascii="宋体"/>
          <w:color w:val="auto"/>
          <w:szCs w:val="24"/>
          <w:highlight w:val="none"/>
        </w:rPr>
      </w:pPr>
      <w:r>
        <w:rPr>
          <w:rFonts w:hint="eastAsia" w:ascii="宋体"/>
          <w:color w:val="auto"/>
          <w:szCs w:val="24"/>
          <w:highlight w:val="none"/>
        </w:rPr>
        <w:t>（六）对投标人进行排序，推荐中标候选人</w:t>
      </w:r>
    </w:p>
    <w:p w14:paraId="776882A7">
      <w:pPr>
        <w:tabs>
          <w:tab w:val="right" w:leader="dot" w:pos="8295"/>
        </w:tabs>
        <w:ind w:firstLine="480"/>
        <w:jc w:val="left"/>
        <w:rPr>
          <w:rFonts w:ascii="宋体"/>
          <w:color w:val="auto"/>
          <w:szCs w:val="24"/>
          <w:highlight w:val="none"/>
        </w:rPr>
      </w:pPr>
      <w:r>
        <w:rPr>
          <w:rFonts w:hint="eastAsia" w:ascii="宋体"/>
          <w:color w:val="auto"/>
          <w:szCs w:val="24"/>
          <w:highlight w:val="none"/>
        </w:rPr>
        <w:t>1、评标委员会根据综合评分对进入评分范围的投标文件按最终得分由高到低进行排序，评分相同时，报价低者优先；评分、报价均相同时，技术得分高优先；评分、报价、技术得分均相同时，由评标委员会通过记名投票表决方式排序。</w:t>
      </w:r>
    </w:p>
    <w:p w14:paraId="7455AAC4">
      <w:pPr>
        <w:tabs>
          <w:tab w:val="right" w:leader="dot" w:pos="8295"/>
        </w:tabs>
        <w:ind w:firstLine="480"/>
        <w:jc w:val="left"/>
        <w:rPr>
          <w:rFonts w:ascii="宋体"/>
          <w:color w:val="auto"/>
          <w:szCs w:val="24"/>
          <w:highlight w:val="none"/>
        </w:rPr>
      </w:pPr>
      <w:r>
        <w:rPr>
          <w:rFonts w:hint="eastAsia" w:ascii="宋体"/>
          <w:color w:val="auto"/>
          <w:szCs w:val="24"/>
          <w:highlight w:val="none"/>
        </w:rPr>
        <w:t>2、评标委员会根据投标人须知前附表7.1规定，确定中标人或推荐中标候选人。</w:t>
      </w:r>
    </w:p>
    <w:p w14:paraId="43BD834E">
      <w:pPr>
        <w:tabs>
          <w:tab w:val="right" w:leader="dot" w:pos="8295"/>
        </w:tabs>
        <w:ind w:firstLine="482"/>
        <w:jc w:val="left"/>
        <w:rPr>
          <w:rFonts w:ascii="宋体"/>
          <w:color w:val="auto"/>
          <w:szCs w:val="24"/>
          <w:highlight w:val="none"/>
        </w:rPr>
      </w:pPr>
      <w:r>
        <w:rPr>
          <w:rFonts w:hint="eastAsia" w:ascii="宋体"/>
          <w:color w:val="auto"/>
          <w:szCs w:val="24"/>
          <w:highlight w:val="none"/>
        </w:rPr>
        <w:t>五、完成评标报告</w:t>
      </w:r>
    </w:p>
    <w:p w14:paraId="531B07FD">
      <w:pPr>
        <w:tabs>
          <w:tab w:val="right" w:leader="dot" w:pos="8295"/>
        </w:tabs>
        <w:ind w:firstLine="482"/>
        <w:jc w:val="left"/>
        <w:rPr>
          <w:rFonts w:ascii="宋体"/>
          <w:color w:val="auto"/>
          <w:szCs w:val="24"/>
          <w:highlight w:val="none"/>
        </w:rPr>
      </w:pPr>
      <w:r>
        <w:rPr>
          <w:rFonts w:hint="eastAsia" w:ascii="宋体"/>
          <w:color w:val="auto"/>
          <w:szCs w:val="24"/>
          <w:highlight w:val="none"/>
        </w:rPr>
        <w:t>（一）评标委员会应当向招标人提交书面评标报告。评标报告由评标委员会全体成员签字。对评标结果有不同意见的评标委员会成员应当以书面形式说明其不同意见和理由，评标报告应当注明该不同意见。评标委员会成员拒绝在评标报告上签字又不书面说明其不同意见和理由的，视为同意评标结果。</w:t>
      </w:r>
    </w:p>
    <w:p w14:paraId="41896205">
      <w:pPr>
        <w:tabs>
          <w:tab w:val="right" w:leader="dot" w:pos="8295"/>
        </w:tabs>
        <w:ind w:firstLine="482"/>
        <w:jc w:val="left"/>
        <w:rPr>
          <w:rFonts w:ascii="宋体"/>
          <w:color w:val="auto"/>
          <w:szCs w:val="24"/>
          <w:highlight w:val="none"/>
        </w:rPr>
      </w:pPr>
      <w:r>
        <w:rPr>
          <w:rFonts w:hint="eastAsia" w:ascii="宋体"/>
          <w:color w:val="auto"/>
          <w:szCs w:val="24"/>
          <w:highlight w:val="none"/>
        </w:rPr>
        <w:t>（二）评标报告应包括以下内容：</w:t>
      </w:r>
    </w:p>
    <w:p w14:paraId="2459ECBB">
      <w:pPr>
        <w:tabs>
          <w:tab w:val="right" w:leader="dot" w:pos="8295"/>
        </w:tabs>
        <w:ind w:firstLine="480"/>
        <w:jc w:val="left"/>
        <w:rPr>
          <w:rFonts w:ascii="宋体"/>
          <w:color w:val="auto"/>
          <w:szCs w:val="24"/>
          <w:highlight w:val="none"/>
        </w:rPr>
      </w:pPr>
      <w:r>
        <w:rPr>
          <w:rFonts w:hint="eastAsia" w:ascii="宋体"/>
          <w:color w:val="auto"/>
          <w:szCs w:val="24"/>
          <w:highlight w:val="none"/>
        </w:rPr>
        <w:t>1、开标记录；</w:t>
      </w:r>
    </w:p>
    <w:p w14:paraId="2EC382B5">
      <w:pPr>
        <w:tabs>
          <w:tab w:val="right" w:leader="dot" w:pos="8295"/>
        </w:tabs>
        <w:ind w:firstLine="480"/>
        <w:jc w:val="left"/>
        <w:rPr>
          <w:rFonts w:ascii="宋体"/>
          <w:color w:val="auto"/>
          <w:szCs w:val="24"/>
          <w:highlight w:val="none"/>
        </w:rPr>
      </w:pPr>
      <w:r>
        <w:rPr>
          <w:rFonts w:hint="eastAsia" w:ascii="宋体"/>
          <w:color w:val="auto"/>
          <w:szCs w:val="24"/>
          <w:highlight w:val="none"/>
        </w:rPr>
        <w:t>2、评标内容、过程和结果；</w:t>
      </w:r>
    </w:p>
    <w:p w14:paraId="40F44FC9">
      <w:pPr>
        <w:tabs>
          <w:tab w:val="right" w:leader="dot" w:pos="8295"/>
        </w:tabs>
        <w:ind w:firstLine="480"/>
        <w:jc w:val="left"/>
        <w:rPr>
          <w:rFonts w:ascii="宋体"/>
          <w:color w:val="auto"/>
          <w:szCs w:val="24"/>
          <w:highlight w:val="none"/>
        </w:rPr>
      </w:pPr>
      <w:r>
        <w:rPr>
          <w:rFonts w:hint="eastAsia" w:ascii="宋体"/>
          <w:color w:val="auto"/>
          <w:szCs w:val="24"/>
          <w:highlight w:val="none"/>
        </w:rPr>
        <w:t>3、询标澄清纪要；</w:t>
      </w:r>
    </w:p>
    <w:p w14:paraId="44925ED1">
      <w:pPr>
        <w:tabs>
          <w:tab w:val="right" w:leader="dot" w:pos="8295"/>
        </w:tabs>
        <w:ind w:firstLine="480"/>
        <w:jc w:val="left"/>
        <w:rPr>
          <w:rFonts w:ascii="宋体"/>
          <w:color w:val="auto"/>
          <w:szCs w:val="24"/>
          <w:highlight w:val="none"/>
        </w:rPr>
      </w:pPr>
      <w:r>
        <w:rPr>
          <w:rFonts w:hint="eastAsia" w:ascii="宋体"/>
          <w:color w:val="auto"/>
          <w:szCs w:val="24"/>
          <w:highlight w:val="none"/>
        </w:rPr>
        <w:t>4、否决投标情况说明及依据；</w:t>
      </w:r>
    </w:p>
    <w:p w14:paraId="4F2553C9">
      <w:pPr>
        <w:tabs>
          <w:tab w:val="right" w:leader="dot" w:pos="8295"/>
        </w:tabs>
        <w:ind w:firstLine="480"/>
        <w:jc w:val="left"/>
        <w:rPr>
          <w:rFonts w:ascii="宋体"/>
          <w:color w:val="auto"/>
          <w:szCs w:val="24"/>
          <w:highlight w:val="none"/>
        </w:rPr>
      </w:pPr>
      <w:r>
        <w:rPr>
          <w:rFonts w:hint="eastAsia" w:ascii="宋体"/>
          <w:color w:val="auto"/>
          <w:szCs w:val="24"/>
          <w:highlight w:val="none"/>
        </w:rPr>
        <w:t>5、推荐中标候选人；</w:t>
      </w:r>
    </w:p>
    <w:p w14:paraId="77D4D5FB">
      <w:pPr>
        <w:tabs>
          <w:tab w:val="right" w:leader="dot" w:pos="8295"/>
        </w:tabs>
        <w:ind w:firstLine="480"/>
        <w:jc w:val="left"/>
        <w:rPr>
          <w:rFonts w:ascii="宋体"/>
          <w:color w:val="auto"/>
          <w:szCs w:val="24"/>
          <w:highlight w:val="none"/>
        </w:rPr>
      </w:pPr>
      <w:r>
        <w:rPr>
          <w:rFonts w:hint="eastAsia" w:ascii="宋体"/>
          <w:color w:val="auto"/>
          <w:szCs w:val="24"/>
          <w:highlight w:val="none"/>
        </w:rPr>
        <w:t>6、其他建议。</w:t>
      </w:r>
    </w:p>
    <w:p w14:paraId="75433515">
      <w:pPr>
        <w:tabs>
          <w:tab w:val="right" w:leader="dot" w:pos="8295"/>
        </w:tabs>
        <w:jc w:val="left"/>
        <w:rPr>
          <w:rFonts w:ascii="宋体"/>
          <w:color w:val="auto"/>
          <w:szCs w:val="24"/>
          <w:highlight w:val="none"/>
        </w:rPr>
      </w:pPr>
      <w:r>
        <w:rPr>
          <w:rFonts w:hint="eastAsia" w:ascii="宋体"/>
          <w:color w:val="auto"/>
          <w:szCs w:val="24"/>
          <w:highlight w:val="none"/>
        </w:rPr>
        <w:br w:type="page"/>
      </w:r>
    </w:p>
    <w:p w14:paraId="15DACB55">
      <w:pPr>
        <w:pStyle w:val="2"/>
        <w:tabs>
          <w:tab w:val="right" w:leader="dot" w:pos="8295"/>
        </w:tabs>
        <w:jc w:val="center"/>
        <w:rPr>
          <w:rFonts w:ascii="宋体" w:eastAsia="宋体"/>
          <w:color w:val="auto"/>
          <w:sz w:val="24"/>
          <w:szCs w:val="24"/>
          <w:highlight w:val="none"/>
        </w:rPr>
      </w:pPr>
      <w:bookmarkStart w:id="112" w:name="_Toc494121489"/>
      <w:bookmarkStart w:id="113" w:name="_Toc530660852"/>
      <w:bookmarkStart w:id="114" w:name="_Toc27253"/>
      <w:bookmarkStart w:id="115" w:name="_Hlk90303370"/>
      <w:r>
        <w:rPr>
          <w:rFonts w:hint="eastAsia" w:ascii="宋体" w:eastAsia="宋体"/>
          <w:b w:val="0"/>
          <w:color w:val="auto"/>
          <w:highlight w:val="none"/>
        </w:rPr>
        <w:t>第四章 合同条款及格式</w:t>
      </w:r>
      <w:bookmarkEnd w:id="101"/>
      <w:bookmarkEnd w:id="102"/>
      <w:bookmarkEnd w:id="103"/>
      <w:bookmarkEnd w:id="104"/>
      <w:bookmarkEnd w:id="105"/>
      <w:bookmarkEnd w:id="112"/>
      <w:bookmarkEnd w:id="113"/>
      <w:bookmarkEnd w:id="114"/>
    </w:p>
    <w:bookmarkEnd w:id="115"/>
    <w:p w14:paraId="2E355DF8">
      <w:pPr>
        <w:jc w:val="center"/>
        <w:rPr>
          <w:rFonts w:ascii="宋体"/>
          <w:color w:val="auto"/>
          <w:szCs w:val="24"/>
          <w:highlight w:val="none"/>
        </w:rPr>
      </w:pPr>
      <w:r>
        <w:rPr>
          <w:rFonts w:hint="eastAsia" w:ascii="宋体"/>
          <w:color w:val="auto"/>
          <w:szCs w:val="24"/>
          <w:highlight w:val="none"/>
        </w:rPr>
        <w:t>（最终以双方签字盖章的合同文本为准）</w:t>
      </w:r>
    </w:p>
    <w:p w14:paraId="17BA07B2">
      <w:pPr>
        <w:spacing w:after="120" w:afterLines="50"/>
        <w:jc w:val="center"/>
        <w:rPr>
          <w:rFonts w:ascii="宋体" w:cs="宋体"/>
          <w:color w:val="auto"/>
          <w:szCs w:val="24"/>
          <w:highlight w:val="none"/>
        </w:rPr>
      </w:pPr>
    </w:p>
    <w:p w14:paraId="30750388">
      <w:pPr>
        <w:outlineLvl w:val="1"/>
        <w:rPr>
          <w:b/>
          <w:bCs/>
          <w:color w:val="auto"/>
          <w:sz w:val="24"/>
          <w:highlight w:val="none"/>
        </w:rPr>
      </w:pPr>
      <w:bookmarkStart w:id="116" w:name="_Toc14137"/>
      <w:bookmarkStart w:id="117" w:name="_Toc530660853"/>
      <w:bookmarkStart w:id="118" w:name="_Toc494121490"/>
      <w:bookmarkStart w:id="119" w:name="_Toc29227"/>
      <w:r>
        <w:rPr>
          <w:rFonts w:hint="eastAsia"/>
          <w:b/>
          <w:bCs/>
          <w:color w:val="auto"/>
          <w:sz w:val="24"/>
          <w:highlight w:val="none"/>
        </w:rPr>
        <w:t>附件一：能源管理合同模板</w:t>
      </w:r>
      <w:bookmarkEnd w:id="116"/>
    </w:p>
    <w:p w14:paraId="424F06F7">
      <w:pPr>
        <w:spacing w:before="104" w:line="220" w:lineRule="auto"/>
        <w:jc w:val="center"/>
        <w:rPr>
          <w:rFonts w:ascii="宋体" w:hAnsi="宋体" w:cs="宋体"/>
          <w:b/>
          <w:bCs/>
          <w:color w:val="auto"/>
          <w:spacing w:val="-4"/>
          <w:sz w:val="32"/>
          <w:szCs w:val="32"/>
          <w:highlight w:val="none"/>
          <w:u w:val="single"/>
        </w:rPr>
      </w:pPr>
    </w:p>
    <w:p w14:paraId="7C070786">
      <w:pPr>
        <w:spacing w:before="104" w:line="220" w:lineRule="auto"/>
        <w:jc w:val="center"/>
        <w:rPr>
          <w:rFonts w:ascii="宋体" w:hAnsi="宋体" w:cs="宋体"/>
          <w:b/>
          <w:bCs/>
          <w:color w:val="auto"/>
          <w:spacing w:val="-4"/>
          <w:sz w:val="32"/>
          <w:szCs w:val="32"/>
          <w:highlight w:val="none"/>
          <w:u w:val="single"/>
        </w:rPr>
      </w:pPr>
    </w:p>
    <w:p w14:paraId="6CFA86C2">
      <w:pPr>
        <w:spacing w:before="104" w:line="220" w:lineRule="auto"/>
        <w:jc w:val="center"/>
        <w:rPr>
          <w:rFonts w:ascii="宋体" w:hAnsi="宋体" w:cs="宋体"/>
          <w:b/>
          <w:bCs/>
          <w:color w:val="auto"/>
          <w:spacing w:val="-4"/>
          <w:sz w:val="32"/>
          <w:szCs w:val="32"/>
          <w:highlight w:val="none"/>
          <w:u w:val="single"/>
        </w:rPr>
      </w:pPr>
      <w:r>
        <w:rPr>
          <w:rFonts w:hint="eastAsia" w:ascii="宋体" w:hAnsi="宋体" w:cs="宋体"/>
          <w:b/>
          <w:bCs/>
          <w:color w:val="auto"/>
          <w:spacing w:val="-4"/>
          <w:sz w:val="32"/>
          <w:szCs w:val="32"/>
          <w:highlight w:val="none"/>
          <w:u w:val="single"/>
        </w:rPr>
        <w:t>浙江衢州巨塑化工有限公司</w:t>
      </w:r>
    </w:p>
    <w:p w14:paraId="05E71D7C">
      <w:pPr>
        <w:spacing w:before="104" w:line="220" w:lineRule="auto"/>
        <w:jc w:val="center"/>
        <w:rPr>
          <w:rFonts w:ascii="宋体" w:hAnsi="宋体" w:cs="宋体"/>
          <w:b/>
          <w:bCs/>
          <w:color w:val="auto"/>
          <w:spacing w:val="-4"/>
          <w:sz w:val="32"/>
          <w:szCs w:val="32"/>
          <w:highlight w:val="none"/>
          <w:u w:val="single"/>
        </w:rPr>
      </w:pPr>
      <w:r>
        <w:rPr>
          <w:rFonts w:hint="eastAsia" w:ascii="宋体" w:hAnsi="宋体" w:cs="宋体"/>
          <w:b/>
          <w:bCs/>
          <w:color w:val="auto"/>
          <w:spacing w:val="-4"/>
          <w:sz w:val="32"/>
          <w:szCs w:val="32"/>
          <w:highlight w:val="none"/>
          <w:u w:val="single"/>
        </w:rPr>
        <w:t>皂化清液浓缩装置三效蒸发乏汽回收余热利用节能改造项目</w:t>
      </w:r>
    </w:p>
    <w:p w14:paraId="7BEE9C4E">
      <w:pPr>
        <w:spacing w:before="104" w:line="220" w:lineRule="auto"/>
        <w:jc w:val="center"/>
        <w:rPr>
          <w:rFonts w:ascii="宋体" w:hAnsi="宋体" w:cs="宋体"/>
          <w:b/>
          <w:bCs/>
          <w:color w:val="auto"/>
          <w:spacing w:val="-5"/>
          <w:sz w:val="32"/>
          <w:szCs w:val="32"/>
          <w:highlight w:val="none"/>
        </w:rPr>
      </w:pPr>
    </w:p>
    <w:p w14:paraId="3E26A51B">
      <w:pPr>
        <w:spacing w:before="104" w:line="220" w:lineRule="auto"/>
        <w:jc w:val="center"/>
        <w:rPr>
          <w:rFonts w:ascii="宋体" w:hAnsi="宋体" w:cs="宋体"/>
          <w:b/>
          <w:bCs/>
          <w:color w:val="auto"/>
          <w:spacing w:val="-5"/>
          <w:sz w:val="32"/>
          <w:szCs w:val="32"/>
          <w:highlight w:val="none"/>
        </w:rPr>
      </w:pPr>
      <w:r>
        <w:rPr>
          <w:rFonts w:hint="eastAsia" w:ascii="宋体" w:hAnsi="宋体" w:cs="宋体"/>
          <w:b/>
          <w:bCs/>
          <w:color w:val="auto"/>
          <w:spacing w:val="-5"/>
          <w:sz w:val="32"/>
          <w:szCs w:val="32"/>
          <w:highlight w:val="none"/>
        </w:rPr>
        <w:t>能源管理合同</w:t>
      </w:r>
    </w:p>
    <w:p w14:paraId="67B8548D">
      <w:pPr>
        <w:spacing w:before="104" w:line="220" w:lineRule="auto"/>
        <w:ind w:left="653"/>
        <w:rPr>
          <w:rFonts w:ascii="宋体" w:hAnsi="宋体" w:cs="宋体"/>
          <w:b/>
          <w:bCs/>
          <w:color w:val="auto"/>
          <w:spacing w:val="-5"/>
          <w:sz w:val="32"/>
          <w:szCs w:val="32"/>
          <w:highlight w:val="none"/>
        </w:rPr>
      </w:pPr>
    </w:p>
    <w:p w14:paraId="404DEF2C">
      <w:pPr>
        <w:spacing w:before="104" w:line="220" w:lineRule="auto"/>
        <w:ind w:left="653"/>
        <w:rPr>
          <w:rFonts w:ascii="宋体" w:hAnsi="宋体" w:cs="宋体"/>
          <w:b/>
          <w:bCs/>
          <w:color w:val="auto"/>
          <w:spacing w:val="-5"/>
          <w:sz w:val="32"/>
          <w:szCs w:val="32"/>
          <w:highlight w:val="none"/>
        </w:rPr>
      </w:pPr>
    </w:p>
    <w:p w14:paraId="1EB98BCE">
      <w:pPr>
        <w:spacing w:before="104" w:line="220" w:lineRule="auto"/>
        <w:ind w:left="653"/>
        <w:rPr>
          <w:rFonts w:ascii="宋体" w:hAnsi="宋体" w:cs="宋体"/>
          <w:b/>
          <w:bCs/>
          <w:color w:val="auto"/>
          <w:spacing w:val="-5"/>
          <w:sz w:val="32"/>
          <w:szCs w:val="32"/>
          <w:highlight w:val="none"/>
        </w:rPr>
      </w:pPr>
    </w:p>
    <w:p w14:paraId="2A092BB2">
      <w:pPr>
        <w:spacing w:before="104" w:line="220" w:lineRule="auto"/>
        <w:ind w:left="1680" w:leftChars="800"/>
        <w:rPr>
          <w:rFonts w:ascii="宋体" w:hAnsi="宋体" w:cs="宋体"/>
          <w:b/>
          <w:bCs/>
          <w:color w:val="auto"/>
          <w:spacing w:val="-5"/>
          <w:sz w:val="32"/>
          <w:szCs w:val="32"/>
          <w:highlight w:val="none"/>
          <w:u w:val="single"/>
        </w:rPr>
      </w:pPr>
      <w:r>
        <w:rPr>
          <w:rFonts w:hint="eastAsia" w:ascii="宋体" w:hAnsi="宋体" w:cs="宋体"/>
          <w:b/>
          <w:bCs/>
          <w:color w:val="auto"/>
          <w:spacing w:val="-5"/>
          <w:sz w:val="32"/>
          <w:szCs w:val="32"/>
          <w:highlight w:val="none"/>
        </w:rPr>
        <w:t>合同</w:t>
      </w:r>
      <w:r>
        <w:rPr>
          <w:rFonts w:ascii="宋体" w:hAnsi="宋体" w:cs="宋体"/>
          <w:b/>
          <w:bCs/>
          <w:color w:val="auto"/>
          <w:spacing w:val="-5"/>
          <w:sz w:val="32"/>
          <w:szCs w:val="32"/>
          <w:highlight w:val="none"/>
        </w:rPr>
        <w:t>编号：</w:t>
      </w:r>
      <w:r>
        <w:rPr>
          <w:rFonts w:hint="eastAsia" w:ascii="宋体" w:hAnsi="宋体" w:cs="宋体"/>
          <w:b/>
          <w:bCs/>
          <w:color w:val="auto"/>
          <w:spacing w:val="-5"/>
          <w:sz w:val="32"/>
          <w:szCs w:val="32"/>
          <w:highlight w:val="none"/>
          <w:u w:val="single"/>
        </w:rPr>
        <w:t xml:space="preserve">                      </w:t>
      </w:r>
    </w:p>
    <w:p w14:paraId="6EFFE577">
      <w:pPr>
        <w:spacing w:before="99" w:line="248" w:lineRule="auto"/>
        <w:ind w:left="1680" w:leftChars="800"/>
        <w:rPr>
          <w:rFonts w:ascii="宋体" w:hAnsi="宋体" w:cs="宋体"/>
          <w:b/>
          <w:bCs/>
          <w:color w:val="auto"/>
          <w:spacing w:val="-4"/>
          <w:sz w:val="32"/>
          <w:szCs w:val="32"/>
          <w:highlight w:val="none"/>
          <w:u w:val="single"/>
        </w:rPr>
      </w:pPr>
      <w:r>
        <w:rPr>
          <w:rFonts w:hint="eastAsia" w:ascii="宋体" w:hAnsi="宋体" w:cs="宋体"/>
          <w:b/>
          <w:bCs/>
          <w:color w:val="auto"/>
          <w:spacing w:val="-4"/>
          <w:sz w:val="32"/>
          <w:szCs w:val="32"/>
          <w:highlight w:val="none"/>
        </w:rPr>
        <w:t>甲方</w:t>
      </w:r>
      <w:r>
        <w:rPr>
          <w:rFonts w:ascii="宋体" w:hAnsi="宋体" w:cs="宋体"/>
          <w:b/>
          <w:bCs/>
          <w:color w:val="auto"/>
          <w:spacing w:val="-4"/>
          <w:sz w:val="32"/>
          <w:szCs w:val="32"/>
          <w:highlight w:val="none"/>
        </w:rPr>
        <w:t>名称：</w:t>
      </w:r>
      <w:r>
        <w:rPr>
          <w:rFonts w:hint="eastAsia" w:ascii="宋体" w:hAnsi="宋体" w:cs="宋体"/>
          <w:b/>
          <w:bCs/>
          <w:color w:val="auto"/>
          <w:spacing w:val="-4"/>
          <w:sz w:val="32"/>
          <w:szCs w:val="32"/>
          <w:highlight w:val="none"/>
          <w:u w:val="single"/>
        </w:rPr>
        <w:t xml:space="preserve">                     </w:t>
      </w:r>
    </w:p>
    <w:p w14:paraId="559EA904">
      <w:pPr>
        <w:spacing w:before="99" w:line="248" w:lineRule="auto"/>
        <w:ind w:left="1680" w:leftChars="800"/>
        <w:rPr>
          <w:rFonts w:ascii="宋体" w:hAnsi="宋体" w:cs="宋体"/>
          <w:b/>
          <w:bCs/>
          <w:color w:val="auto"/>
          <w:spacing w:val="-4"/>
          <w:sz w:val="32"/>
          <w:szCs w:val="32"/>
          <w:highlight w:val="none"/>
          <w:u w:val="single"/>
        </w:rPr>
      </w:pPr>
    </w:p>
    <w:p w14:paraId="6ACA999E">
      <w:pPr>
        <w:spacing w:before="99" w:line="248" w:lineRule="auto"/>
        <w:ind w:left="1680" w:leftChars="800"/>
        <w:rPr>
          <w:rFonts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签</w:t>
      </w:r>
      <w:r>
        <w:rPr>
          <w:rFonts w:hint="eastAsia" w:ascii="宋体" w:hAnsi="宋体" w:cs="宋体"/>
          <w:b/>
          <w:bCs/>
          <w:color w:val="auto"/>
          <w:spacing w:val="-4"/>
          <w:sz w:val="32"/>
          <w:szCs w:val="32"/>
          <w:highlight w:val="none"/>
        </w:rPr>
        <w:tab/>
      </w:r>
      <w:r>
        <w:rPr>
          <w:rFonts w:hint="eastAsia" w:ascii="宋体" w:hAnsi="宋体" w:cs="宋体"/>
          <w:b/>
          <w:bCs/>
          <w:color w:val="auto"/>
          <w:spacing w:val="-4"/>
          <w:sz w:val="32"/>
          <w:szCs w:val="32"/>
          <w:highlight w:val="none"/>
        </w:rPr>
        <w:tab/>
      </w:r>
      <w:r>
        <w:rPr>
          <w:rFonts w:hint="eastAsia" w:ascii="宋体" w:hAnsi="宋体" w:cs="宋体"/>
          <w:b/>
          <w:bCs/>
          <w:color w:val="auto"/>
          <w:spacing w:val="-4"/>
          <w:sz w:val="32"/>
          <w:szCs w:val="32"/>
          <w:highlight w:val="none"/>
        </w:rPr>
        <w:t xml:space="preserve"> 章：</w:t>
      </w:r>
      <w:r>
        <w:rPr>
          <w:rFonts w:hint="eastAsia" w:ascii="宋体" w:hAnsi="宋体" w:cs="宋体"/>
          <w:b/>
          <w:bCs/>
          <w:color w:val="auto"/>
          <w:spacing w:val="-4"/>
          <w:sz w:val="32"/>
          <w:szCs w:val="32"/>
          <w:highlight w:val="none"/>
          <w:u w:val="single"/>
        </w:rPr>
        <w:t xml:space="preserve">                     </w:t>
      </w:r>
    </w:p>
    <w:p w14:paraId="28479D65">
      <w:pPr>
        <w:spacing w:before="99" w:line="248" w:lineRule="auto"/>
        <w:ind w:left="1680" w:leftChars="800"/>
        <w:rPr>
          <w:rFonts w:ascii="宋体" w:hAnsi="宋体" w:cs="宋体"/>
          <w:b/>
          <w:bCs/>
          <w:color w:val="auto"/>
          <w:spacing w:val="-4"/>
          <w:sz w:val="32"/>
          <w:szCs w:val="32"/>
          <w:highlight w:val="none"/>
        </w:rPr>
      </w:pPr>
    </w:p>
    <w:p w14:paraId="5A918411">
      <w:pPr>
        <w:spacing w:before="99" w:line="248" w:lineRule="auto"/>
        <w:ind w:left="1680" w:leftChars="800"/>
        <w:rPr>
          <w:rFonts w:ascii="宋体" w:hAnsi="宋体" w:cs="宋体"/>
          <w:b/>
          <w:bCs/>
          <w:color w:val="auto"/>
          <w:spacing w:val="-4"/>
          <w:sz w:val="32"/>
          <w:szCs w:val="32"/>
          <w:highlight w:val="none"/>
          <w:u w:val="single"/>
        </w:rPr>
      </w:pPr>
      <w:r>
        <w:rPr>
          <w:rFonts w:hint="eastAsia" w:ascii="宋体" w:hAnsi="宋体" w:cs="宋体"/>
          <w:b/>
          <w:bCs/>
          <w:color w:val="auto"/>
          <w:spacing w:val="-4"/>
          <w:sz w:val="32"/>
          <w:szCs w:val="32"/>
          <w:highlight w:val="none"/>
        </w:rPr>
        <w:t>乙方名称：</w:t>
      </w:r>
      <w:r>
        <w:rPr>
          <w:rFonts w:hint="eastAsia" w:ascii="宋体" w:hAnsi="宋体" w:cs="宋体"/>
          <w:b/>
          <w:bCs/>
          <w:color w:val="auto"/>
          <w:spacing w:val="-4"/>
          <w:sz w:val="32"/>
          <w:szCs w:val="32"/>
          <w:highlight w:val="none"/>
          <w:u w:val="single"/>
        </w:rPr>
        <w:t xml:space="preserve">                      </w:t>
      </w:r>
    </w:p>
    <w:p w14:paraId="14370CE5">
      <w:pPr>
        <w:spacing w:before="99" w:line="248" w:lineRule="auto"/>
        <w:ind w:left="1680" w:leftChars="800"/>
        <w:rPr>
          <w:rFonts w:ascii="宋体" w:hAnsi="宋体" w:cs="宋体"/>
          <w:b/>
          <w:bCs/>
          <w:color w:val="auto"/>
          <w:spacing w:val="-4"/>
          <w:sz w:val="32"/>
          <w:szCs w:val="32"/>
          <w:highlight w:val="none"/>
        </w:rPr>
      </w:pPr>
      <w:r>
        <w:rPr>
          <w:rFonts w:hint="eastAsia" w:ascii="宋体" w:hAnsi="宋体" w:cs="宋体"/>
          <w:b/>
          <w:bCs/>
          <w:color w:val="auto"/>
          <w:spacing w:val="-4"/>
          <w:sz w:val="32"/>
          <w:szCs w:val="32"/>
          <w:highlight w:val="none"/>
        </w:rPr>
        <w:t>签</w:t>
      </w:r>
      <w:r>
        <w:rPr>
          <w:rFonts w:hint="eastAsia" w:ascii="宋体" w:hAnsi="宋体" w:cs="宋体"/>
          <w:b/>
          <w:bCs/>
          <w:color w:val="auto"/>
          <w:spacing w:val="-4"/>
          <w:sz w:val="32"/>
          <w:szCs w:val="32"/>
          <w:highlight w:val="none"/>
        </w:rPr>
        <w:tab/>
      </w:r>
      <w:r>
        <w:rPr>
          <w:rFonts w:hint="eastAsia" w:ascii="宋体" w:hAnsi="宋体" w:cs="宋体"/>
          <w:b/>
          <w:bCs/>
          <w:color w:val="auto"/>
          <w:spacing w:val="-4"/>
          <w:sz w:val="32"/>
          <w:szCs w:val="32"/>
          <w:highlight w:val="none"/>
        </w:rPr>
        <w:tab/>
      </w:r>
      <w:r>
        <w:rPr>
          <w:rFonts w:hint="eastAsia" w:ascii="宋体" w:hAnsi="宋体" w:cs="宋体"/>
          <w:b/>
          <w:bCs/>
          <w:color w:val="auto"/>
          <w:spacing w:val="-4"/>
          <w:sz w:val="32"/>
          <w:szCs w:val="32"/>
          <w:highlight w:val="none"/>
        </w:rPr>
        <w:t xml:space="preserve"> 章：</w:t>
      </w:r>
      <w:r>
        <w:rPr>
          <w:rFonts w:hint="eastAsia" w:ascii="宋体" w:hAnsi="宋体" w:cs="宋体"/>
          <w:b/>
          <w:bCs/>
          <w:color w:val="auto"/>
          <w:spacing w:val="-4"/>
          <w:sz w:val="32"/>
          <w:szCs w:val="32"/>
          <w:highlight w:val="none"/>
          <w:u w:val="single"/>
        </w:rPr>
        <w:t xml:space="preserve">                     </w:t>
      </w:r>
    </w:p>
    <w:p w14:paraId="3B504EA0">
      <w:pPr>
        <w:spacing w:before="99" w:line="248" w:lineRule="auto"/>
        <w:ind w:left="1680" w:leftChars="800"/>
        <w:rPr>
          <w:rFonts w:ascii="宋体" w:hAnsi="宋体" w:cs="宋体"/>
          <w:b/>
          <w:bCs/>
          <w:color w:val="auto"/>
          <w:spacing w:val="-4"/>
          <w:sz w:val="32"/>
          <w:szCs w:val="32"/>
          <w:highlight w:val="none"/>
        </w:rPr>
      </w:pPr>
    </w:p>
    <w:p w14:paraId="114EC136">
      <w:pPr>
        <w:spacing w:before="99" w:line="248" w:lineRule="auto"/>
        <w:ind w:left="1680" w:leftChars="800"/>
        <w:rPr>
          <w:rFonts w:ascii="宋体" w:hAnsi="宋体" w:cs="宋体"/>
          <w:b/>
          <w:bCs/>
          <w:color w:val="auto"/>
          <w:spacing w:val="-4"/>
          <w:sz w:val="32"/>
          <w:szCs w:val="32"/>
          <w:highlight w:val="none"/>
          <w:u w:val="single"/>
        </w:rPr>
      </w:pPr>
      <w:r>
        <w:rPr>
          <w:rFonts w:hint="eastAsia" w:ascii="宋体" w:hAnsi="宋体" w:cs="宋体"/>
          <w:b/>
          <w:bCs/>
          <w:color w:val="auto"/>
          <w:spacing w:val="-4"/>
          <w:sz w:val="32"/>
          <w:szCs w:val="32"/>
          <w:highlight w:val="none"/>
        </w:rPr>
        <w:t>签订日期：</w:t>
      </w:r>
      <w:r>
        <w:rPr>
          <w:rFonts w:hint="eastAsia" w:ascii="宋体" w:hAnsi="宋体" w:cs="宋体"/>
          <w:b/>
          <w:bCs/>
          <w:color w:val="auto"/>
          <w:spacing w:val="-4"/>
          <w:sz w:val="32"/>
          <w:szCs w:val="32"/>
          <w:highlight w:val="none"/>
          <w:u w:val="single"/>
        </w:rPr>
        <w:t xml:space="preserve">                      </w:t>
      </w:r>
    </w:p>
    <w:p w14:paraId="0C92195F">
      <w:pPr>
        <w:pStyle w:val="7"/>
        <w:spacing w:line="267" w:lineRule="auto"/>
        <w:rPr>
          <w:color w:val="auto"/>
          <w:highlight w:val="none"/>
        </w:rPr>
      </w:pPr>
    </w:p>
    <w:p w14:paraId="5911C645">
      <w:pPr>
        <w:pStyle w:val="7"/>
        <w:spacing w:line="267" w:lineRule="auto"/>
        <w:rPr>
          <w:color w:val="auto"/>
          <w:highlight w:val="none"/>
        </w:rPr>
      </w:pPr>
    </w:p>
    <w:p w14:paraId="708DD450">
      <w:pPr>
        <w:pStyle w:val="7"/>
        <w:spacing w:line="268" w:lineRule="auto"/>
        <w:rPr>
          <w:color w:val="auto"/>
          <w:highlight w:val="none"/>
        </w:rPr>
      </w:pPr>
    </w:p>
    <w:p w14:paraId="1D792732">
      <w:pPr>
        <w:pStyle w:val="7"/>
        <w:spacing w:line="268" w:lineRule="auto"/>
        <w:rPr>
          <w:color w:val="auto"/>
          <w:highlight w:val="none"/>
        </w:rPr>
      </w:pPr>
    </w:p>
    <w:p w14:paraId="4152ED25">
      <w:pPr>
        <w:pStyle w:val="7"/>
        <w:spacing w:line="268" w:lineRule="auto"/>
        <w:rPr>
          <w:color w:val="auto"/>
          <w:highlight w:val="none"/>
        </w:rPr>
      </w:pPr>
    </w:p>
    <w:p w14:paraId="4254B0DA">
      <w:pPr>
        <w:pStyle w:val="7"/>
        <w:spacing w:line="268" w:lineRule="auto"/>
        <w:rPr>
          <w:color w:val="auto"/>
          <w:highlight w:val="none"/>
        </w:rPr>
      </w:pPr>
    </w:p>
    <w:p w14:paraId="45D6E6AF">
      <w:pPr>
        <w:pStyle w:val="7"/>
        <w:spacing w:line="268" w:lineRule="auto"/>
        <w:rPr>
          <w:color w:val="auto"/>
          <w:highlight w:val="none"/>
        </w:rPr>
      </w:pPr>
    </w:p>
    <w:p w14:paraId="63FAB240">
      <w:pPr>
        <w:pStyle w:val="7"/>
        <w:spacing w:line="268" w:lineRule="auto"/>
        <w:rPr>
          <w:color w:val="auto"/>
          <w:highlight w:val="none"/>
        </w:rPr>
      </w:pPr>
    </w:p>
    <w:p w14:paraId="72E3F71B">
      <w:pPr>
        <w:pStyle w:val="7"/>
        <w:spacing w:line="268" w:lineRule="auto"/>
        <w:rPr>
          <w:color w:val="auto"/>
          <w:highlight w:val="none"/>
        </w:rPr>
      </w:pPr>
    </w:p>
    <w:p w14:paraId="30A48556">
      <w:pPr>
        <w:pStyle w:val="7"/>
        <w:spacing w:line="268" w:lineRule="auto"/>
        <w:rPr>
          <w:color w:val="auto"/>
          <w:highlight w:val="none"/>
        </w:rPr>
      </w:pPr>
    </w:p>
    <w:p w14:paraId="3EB558B3">
      <w:pPr>
        <w:pStyle w:val="7"/>
        <w:spacing w:line="268" w:lineRule="auto"/>
        <w:rPr>
          <w:color w:val="auto"/>
          <w:highlight w:val="none"/>
        </w:rPr>
      </w:pPr>
    </w:p>
    <w:p w14:paraId="38343B50">
      <w:pPr>
        <w:pStyle w:val="7"/>
        <w:spacing w:line="268" w:lineRule="auto"/>
        <w:rPr>
          <w:color w:val="auto"/>
          <w:highlight w:val="none"/>
        </w:rPr>
      </w:pPr>
    </w:p>
    <w:p w14:paraId="4E7241DC">
      <w:pPr>
        <w:pStyle w:val="7"/>
        <w:spacing w:line="268" w:lineRule="auto"/>
        <w:rPr>
          <w:color w:val="auto"/>
          <w:highlight w:val="none"/>
        </w:rPr>
      </w:pPr>
    </w:p>
    <w:p w14:paraId="21531576">
      <w:pPr>
        <w:jc w:val="center"/>
        <w:rPr>
          <w:b/>
          <w:bCs/>
          <w:color w:val="auto"/>
          <w:sz w:val="24"/>
          <w:highlight w:val="none"/>
        </w:rPr>
      </w:pPr>
      <w:r>
        <w:rPr>
          <w:rFonts w:hint="eastAsia"/>
          <w:b/>
          <w:bCs/>
          <w:color w:val="auto"/>
          <w:sz w:val="24"/>
          <w:highlight w:val="none"/>
        </w:rPr>
        <w:t>能源管理合同内容</w:t>
      </w:r>
    </w:p>
    <w:p w14:paraId="7B962786">
      <w:pPr>
        <w:rPr>
          <w:b/>
          <w:bCs/>
          <w:color w:val="auto"/>
          <w:sz w:val="24"/>
          <w:highlight w:val="none"/>
        </w:rPr>
      </w:pPr>
    </w:p>
    <w:p w14:paraId="4B5DEA84">
      <w:pPr>
        <w:rPr>
          <w:b/>
          <w:bCs/>
          <w:color w:val="auto"/>
          <w:sz w:val="24"/>
          <w:highlight w:val="none"/>
        </w:rPr>
      </w:pPr>
    </w:p>
    <w:p w14:paraId="5026240C">
      <w:pPr>
        <w:spacing w:line="360" w:lineRule="auto"/>
        <w:ind w:firstLine="482" w:firstLineChars="200"/>
        <w:rPr>
          <w:color w:val="auto"/>
          <w:sz w:val="24"/>
          <w:highlight w:val="none"/>
        </w:rPr>
      </w:pPr>
      <w:r>
        <w:rPr>
          <w:rFonts w:hint="eastAsia"/>
          <w:b/>
          <w:bCs/>
          <w:color w:val="auto"/>
          <w:sz w:val="24"/>
          <w:highlight w:val="none"/>
        </w:rPr>
        <w:t>甲方:</w:t>
      </w:r>
      <w:r>
        <w:rPr>
          <w:rFonts w:hint="eastAsia"/>
          <w:color w:val="auto"/>
          <w:sz w:val="24"/>
          <w:highlight w:val="none"/>
          <w:u w:val="single"/>
        </w:rPr>
        <w:t xml:space="preserve">                               </w:t>
      </w:r>
    </w:p>
    <w:p w14:paraId="39313995">
      <w:pPr>
        <w:spacing w:line="360" w:lineRule="auto"/>
        <w:ind w:firstLine="482" w:firstLineChars="200"/>
        <w:rPr>
          <w:color w:val="auto"/>
          <w:sz w:val="24"/>
          <w:highlight w:val="none"/>
        </w:rPr>
      </w:pPr>
      <w:r>
        <w:rPr>
          <w:rFonts w:hint="eastAsia"/>
          <w:b/>
          <w:bCs/>
          <w:color w:val="auto"/>
          <w:sz w:val="24"/>
          <w:highlight w:val="none"/>
        </w:rPr>
        <w:t>乙方:</w:t>
      </w:r>
      <w:r>
        <w:rPr>
          <w:rFonts w:hint="eastAsia"/>
          <w:color w:val="auto"/>
          <w:sz w:val="24"/>
          <w:highlight w:val="none"/>
          <w:u w:val="single"/>
        </w:rPr>
        <w:t xml:space="preserve">                               </w:t>
      </w:r>
    </w:p>
    <w:p w14:paraId="7B2F1904">
      <w:pPr>
        <w:spacing w:line="360" w:lineRule="auto"/>
        <w:rPr>
          <w:color w:val="auto"/>
          <w:sz w:val="24"/>
          <w:highlight w:val="none"/>
        </w:rPr>
      </w:pPr>
    </w:p>
    <w:p w14:paraId="2725B5F9">
      <w:pPr>
        <w:spacing w:line="360" w:lineRule="auto"/>
        <w:ind w:firstLine="480" w:firstLineChars="200"/>
        <w:rPr>
          <w:color w:val="auto"/>
          <w:sz w:val="24"/>
          <w:highlight w:val="none"/>
        </w:rPr>
      </w:pPr>
      <w:r>
        <w:rPr>
          <w:rFonts w:hint="eastAsia"/>
          <w:color w:val="auto"/>
          <w:sz w:val="24"/>
          <w:highlight w:val="none"/>
        </w:rPr>
        <w:t>鉴于本合同双方同意按“合同能源管理”模式就</w:t>
      </w:r>
      <w:r>
        <w:rPr>
          <w:rFonts w:hint="eastAsia"/>
          <w:color w:val="auto"/>
          <w:sz w:val="24"/>
          <w:highlight w:val="none"/>
          <w:u w:val="single"/>
        </w:rPr>
        <w:t>浙江衢州巨塑化工有限公司皂化清液浓缩装置三效蒸发乏汽回收余热利用节能改造项目</w:t>
      </w:r>
      <w:r>
        <w:rPr>
          <w:rFonts w:hint="eastAsia"/>
          <w:color w:val="auto"/>
          <w:sz w:val="24"/>
          <w:highlight w:val="none"/>
        </w:rPr>
        <w:t>以下简称“项目”或“本项目”)进行专项节能服务，并支付相应的节能服务费用。双方经过平等协商，在真实、充分地表达各自意愿的基础上，根据《中华人民共和国民法典》及其他相关法律法规的规定，达成如下协议，并由双方共同恪守。</w:t>
      </w:r>
    </w:p>
    <w:p w14:paraId="29FDB3CD">
      <w:pPr>
        <w:spacing w:line="360" w:lineRule="auto"/>
        <w:rPr>
          <w:b/>
          <w:bCs/>
          <w:color w:val="auto"/>
          <w:sz w:val="24"/>
          <w:highlight w:val="none"/>
        </w:rPr>
      </w:pPr>
      <w:r>
        <w:rPr>
          <w:rFonts w:hint="eastAsia"/>
          <w:b/>
          <w:bCs/>
          <w:color w:val="auto"/>
          <w:sz w:val="24"/>
          <w:highlight w:val="none"/>
        </w:rPr>
        <w:t>第1节术语和定义</w:t>
      </w:r>
    </w:p>
    <w:p w14:paraId="5D853AAE">
      <w:pPr>
        <w:spacing w:line="360" w:lineRule="auto"/>
        <w:ind w:firstLine="480" w:firstLineChars="200"/>
        <w:rPr>
          <w:color w:val="auto"/>
          <w:sz w:val="24"/>
          <w:highlight w:val="none"/>
        </w:rPr>
      </w:pPr>
      <w:r>
        <w:rPr>
          <w:rFonts w:hint="eastAsia"/>
          <w:color w:val="auto"/>
          <w:sz w:val="24"/>
          <w:highlight w:val="none"/>
        </w:rPr>
        <w:t>本合同及相关附件中所涉及的有关名词和技术术语，其定义和解释如下:</w:t>
      </w:r>
    </w:p>
    <w:p w14:paraId="7CF06D58">
      <w:pPr>
        <w:spacing w:line="360" w:lineRule="auto"/>
        <w:ind w:firstLine="480" w:firstLineChars="200"/>
        <w:rPr>
          <w:color w:val="auto"/>
          <w:sz w:val="24"/>
          <w:highlight w:val="none"/>
        </w:rPr>
      </w:pPr>
      <w:r>
        <w:rPr>
          <w:rFonts w:hint="eastAsia"/>
          <w:color w:val="auto"/>
          <w:sz w:val="24"/>
          <w:highlight w:val="none"/>
        </w:rPr>
        <w:t>1.1 合同能源管理:乙方与甲方以契约形式约定节能项目的节能目标，乙方为实现节能目标向甲方提供必要的服务，甲方以节能效益支付乙方的投入及其合理利润的节能服务机制。</w:t>
      </w:r>
    </w:p>
    <w:p w14:paraId="1DFDC7B5">
      <w:pPr>
        <w:spacing w:line="360" w:lineRule="auto"/>
        <w:ind w:firstLine="480" w:firstLineChars="200"/>
        <w:rPr>
          <w:color w:val="auto"/>
          <w:sz w:val="24"/>
          <w:highlight w:val="none"/>
        </w:rPr>
      </w:pPr>
      <w:r>
        <w:rPr>
          <w:rFonts w:hint="eastAsia"/>
          <w:color w:val="auto"/>
          <w:sz w:val="24"/>
          <w:highlight w:val="none"/>
        </w:rPr>
        <w:t>1.2合同能源管理项目:以合同能源管理机制实施的节能项目。</w:t>
      </w:r>
    </w:p>
    <w:p w14:paraId="7FC8F013">
      <w:pPr>
        <w:spacing w:line="360" w:lineRule="auto"/>
        <w:ind w:firstLine="480" w:firstLineChars="200"/>
        <w:rPr>
          <w:color w:val="auto"/>
          <w:sz w:val="24"/>
          <w:highlight w:val="none"/>
        </w:rPr>
      </w:pPr>
      <w:r>
        <w:rPr>
          <w:rFonts w:hint="eastAsia"/>
          <w:color w:val="auto"/>
          <w:sz w:val="24"/>
          <w:highlight w:val="none"/>
        </w:rPr>
        <w:t>1.3 乙方:提供用能状况诊断、节能项目设计、融资、改造(施工、</w:t>
      </w:r>
      <w:r>
        <w:rPr>
          <w:color w:val="auto"/>
          <w:sz w:val="24"/>
          <w:highlight w:val="none"/>
        </w:rPr>
        <w:t>安装、调试）、运行管理等服务的专业化公司</w:t>
      </w:r>
      <w:r>
        <w:rPr>
          <w:rFonts w:hint="eastAsia"/>
          <w:color w:val="auto"/>
          <w:sz w:val="24"/>
          <w:highlight w:val="none"/>
        </w:rPr>
        <w:t>。</w:t>
      </w:r>
    </w:p>
    <w:p w14:paraId="7E10282F">
      <w:pPr>
        <w:spacing w:line="360" w:lineRule="auto"/>
        <w:ind w:firstLine="480" w:firstLineChars="200"/>
        <w:rPr>
          <w:color w:val="auto"/>
          <w:sz w:val="24"/>
          <w:highlight w:val="none"/>
        </w:rPr>
      </w:pPr>
      <w:r>
        <w:rPr>
          <w:color w:val="auto"/>
          <w:sz w:val="24"/>
          <w:highlight w:val="none"/>
        </w:rPr>
        <w:t>1.4能耗基准:由</w:t>
      </w:r>
      <w:r>
        <w:rPr>
          <w:rFonts w:hint="eastAsia"/>
          <w:color w:val="auto"/>
          <w:sz w:val="24"/>
          <w:highlight w:val="none"/>
        </w:rPr>
        <w:t>甲方</w:t>
      </w:r>
      <w:r>
        <w:rPr>
          <w:color w:val="auto"/>
          <w:sz w:val="24"/>
          <w:highlight w:val="none"/>
        </w:rPr>
        <w:t>和</w:t>
      </w:r>
      <w:r>
        <w:rPr>
          <w:rFonts w:hint="eastAsia"/>
          <w:color w:val="auto"/>
          <w:sz w:val="24"/>
          <w:highlight w:val="none"/>
        </w:rPr>
        <w:t>乙方</w:t>
      </w:r>
      <w:r>
        <w:rPr>
          <w:color w:val="auto"/>
          <w:sz w:val="24"/>
          <w:highlight w:val="none"/>
        </w:rPr>
        <w:t>共同确认的,</w:t>
      </w:r>
      <w:r>
        <w:rPr>
          <w:rFonts w:hint="eastAsia"/>
          <w:color w:val="auto"/>
          <w:sz w:val="24"/>
          <w:highlight w:val="none"/>
        </w:rPr>
        <w:t>甲方的</w:t>
      </w:r>
      <w:r>
        <w:rPr>
          <w:color w:val="auto"/>
          <w:sz w:val="24"/>
          <w:highlight w:val="none"/>
        </w:rPr>
        <w:t>用能设备、环节在实施合同能源管理项目前某一时间段内的能源消耗状况。</w:t>
      </w:r>
    </w:p>
    <w:p w14:paraId="55D08D4A">
      <w:pPr>
        <w:spacing w:line="360" w:lineRule="auto"/>
        <w:ind w:firstLine="480" w:firstLineChars="200"/>
        <w:rPr>
          <w:color w:val="auto"/>
          <w:sz w:val="24"/>
          <w:highlight w:val="none"/>
        </w:rPr>
      </w:pPr>
      <w:r>
        <w:rPr>
          <w:color w:val="auto"/>
          <w:sz w:val="24"/>
          <w:highlight w:val="none"/>
        </w:rPr>
        <w:t>1.5项目节能量:在满足同等需求或达到同等目标的前提下，通过合同能源管理项目实施，</w:t>
      </w:r>
      <w:r>
        <w:rPr>
          <w:rFonts w:hint="eastAsia"/>
          <w:color w:val="auto"/>
          <w:sz w:val="24"/>
          <w:highlight w:val="none"/>
        </w:rPr>
        <w:t>甲方的用能</w:t>
      </w:r>
      <w:r>
        <w:rPr>
          <w:color w:val="auto"/>
          <w:sz w:val="24"/>
          <w:highlight w:val="none"/>
        </w:rPr>
        <w:t>设备、环节的能源消耗相对于能耗基准的减少量。</w:t>
      </w:r>
    </w:p>
    <w:p w14:paraId="0612A8AB">
      <w:pPr>
        <w:spacing w:line="360" w:lineRule="auto"/>
        <w:rPr>
          <w:b/>
          <w:bCs/>
          <w:color w:val="auto"/>
          <w:sz w:val="24"/>
          <w:highlight w:val="none"/>
        </w:rPr>
      </w:pPr>
      <w:r>
        <w:rPr>
          <w:b/>
          <w:bCs/>
          <w:color w:val="auto"/>
          <w:sz w:val="24"/>
          <w:highlight w:val="none"/>
        </w:rPr>
        <w:t>第2节</w:t>
      </w:r>
      <w:r>
        <w:rPr>
          <w:rFonts w:hint="eastAsia"/>
          <w:b/>
          <w:bCs/>
          <w:color w:val="auto"/>
          <w:sz w:val="24"/>
          <w:highlight w:val="none"/>
        </w:rPr>
        <w:t xml:space="preserve"> </w:t>
      </w:r>
      <w:r>
        <w:rPr>
          <w:b/>
          <w:bCs/>
          <w:color w:val="auto"/>
          <w:sz w:val="24"/>
          <w:highlight w:val="none"/>
        </w:rPr>
        <w:t>项目期限</w:t>
      </w:r>
    </w:p>
    <w:p w14:paraId="1E022061">
      <w:pPr>
        <w:spacing w:line="360" w:lineRule="auto"/>
        <w:ind w:firstLine="480" w:firstLineChars="200"/>
        <w:rPr>
          <w:color w:val="auto"/>
          <w:sz w:val="24"/>
          <w:highlight w:val="none"/>
        </w:rPr>
      </w:pPr>
      <w:r>
        <w:rPr>
          <w:color w:val="auto"/>
          <w:sz w:val="24"/>
          <w:highlight w:val="none"/>
        </w:rPr>
        <w:t>2.1 本合同期限自</w:t>
      </w:r>
      <w:r>
        <w:rPr>
          <w:rFonts w:hint="eastAsia"/>
          <w:color w:val="auto"/>
          <w:sz w:val="24"/>
          <w:highlight w:val="none"/>
          <w:u w:val="single"/>
        </w:rPr>
        <w:t>2025年  月  日</w:t>
      </w:r>
      <w:r>
        <w:rPr>
          <w:color w:val="auto"/>
          <w:sz w:val="24"/>
          <w:highlight w:val="none"/>
        </w:rPr>
        <w:t>始，至项目分享期结束之日止。</w:t>
      </w:r>
    </w:p>
    <w:p w14:paraId="20A32FB2">
      <w:pPr>
        <w:spacing w:line="360" w:lineRule="auto"/>
        <w:ind w:firstLine="480" w:firstLineChars="200"/>
        <w:rPr>
          <w:color w:val="auto"/>
          <w:sz w:val="24"/>
          <w:highlight w:val="none"/>
        </w:rPr>
      </w:pPr>
      <w:r>
        <w:rPr>
          <w:color w:val="auto"/>
          <w:sz w:val="24"/>
          <w:highlight w:val="none"/>
        </w:rPr>
        <w:t>2.2本项目的建设期暂定为</w:t>
      </w:r>
      <w:r>
        <w:rPr>
          <w:rFonts w:hint="eastAsia"/>
          <w:color w:val="auto"/>
          <w:sz w:val="24"/>
          <w:highlight w:val="none"/>
          <w:u w:val="single"/>
        </w:rPr>
        <w:t xml:space="preserve">    </w:t>
      </w:r>
      <w:r>
        <w:rPr>
          <w:color w:val="auto"/>
          <w:sz w:val="24"/>
          <w:highlight w:val="none"/>
        </w:rPr>
        <w:t>天，自</w:t>
      </w:r>
      <w:r>
        <w:rPr>
          <w:rFonts w:hint="eastAsia"/>
          <w:color w:val="auto"/>
          <w:sz w:val="24"/>
          <w:highlight w:val="none"/>
          <w:u w:val="single"/>
        </w:rPr>
        <w:t>2025年 月  日</w:t>
      </w:r>
      <w:r>
        <w:rPr>
          <w:color w:val="auto"/>
          <w:sz w:val="24"/>
          <w:highlight w:val="none"/>
        </w:rPr>
        <w:t>始，至</w:t>
      </w:r>
      <w:r>
        <w:rPr>
          <w:rFonts w:hint="eastAsia"/>
          <w:color w:val="auto"/>
          <w:sz w:val="24"/>
          <w:highlight w:val="none"/>
          <w:u w:val="single"/>
        </w:rPr>
        <w:t>2025年 月  日</w:t>
      </w:r>
      <w:r>
        <w:rPr>
          <w:color w:val="auto"/>
          <w:sz w:val="24"/>
          <w:highlight w:val="none"/>
        </w:rPr>
        <w:t>止</w:t>
      </w:r>
      <w:r>
        <w:rPr>
          <w:rFonts w:hint="eastAsia"/>
          <w:color w:val="auto"/>
          <w:sz w:val="24"/>
          <w:highlight w:val="none"/>
        </w:rPr>
        <w:t>，建设地点为</w:t>
      </w:r>
      <w:r>
        <w:rPr>
          <w:rFonts w:hint="eastAsia"/>
          <w:color w:val="auto"/>
          <w:sz w:val="24"/>
          <w:highlight w:val="none"/>
          <w:u w:val="single"/>
        </w:rPr>
        <w:t xml:space="preserve">                                           </w:t>
      </w:r>
      <w:r>
        <w:rPr>
          <w:color w:val="auto"/>
          <w:sz w:val="24"/>
          <w:highlight w:val="none"/>
        </w:rPr>
        <w:t>。</w:t>
      </w:r>
    </w:p>
    <w:p w14:paraId="45E05D1A">
      <w:pPr>
        <w:spacing w:line="360" w:lineRule="auto"/>
        <w:ind w:firstLine="480" w:firstLineChars="200"/>
        <w:rPr>
          <w:color w:val="auto"/>
          <w:sz w:val="24"/>
          <w:highlight w:val="none"/>
        </w:rPr>
      </w:pPr>
      <w:r>
        <w:rPr>
          <w:color w:val="auto"/>
          <w:sz w:val="24"/>
          <w:highlight w:val="none"/>
        </w:rPr>
        <w:t>2.3 本项目的节能效益分享期的起始日(以下简称“分享起始日”)为</w:t>
      </w:r>
      <w:r>
        <w:rPr>
          <w:rFonts w:hint="eastAsia"/>
          <w:color w:val="auto"/>
          <w:sz w:val="24"/>
          <w:highlight w:val="none"/>
          <w:u w:val="single"/>
        </w:rPr>
        <w:t>2025年  月  日;</w:t>
      </w:r>
      <w:r>
        <w:rPr>
          <w:color w:val="auto"/>
          <w:sz w:val="24"/>
          <w:highlight w:val="none"/>
        </w:rPr>
        <w:t>效益分享期</w:t>
      </w:r>
      <w:r>
        <w:rPr>
          <w:color w:val="auto"/>
          <w:sz w:val="24"/>
          <w:highlight w:val="none"/>
          <w:u w:val="single"/>
        </w:rPr>
        <w:t xml:space="preserve"> 20</w:t>
      </w:r>
      <w:r>
        <w:rPr>
          <w:rFonts w:hint="eastAsia"/>
          <w:color w:val="auto"/>
          <w:sz w:val="24"/>
          <w:highlight w:val="none"/>
          <w:u w:val="single"/>
        </w:rPr>
        <w:t>年</w:t>
      </w:r>
      <w:r>
        <w:rPr>
          <w:rFonts w:hint="eastAsia"/>
          <w:color w:val="auto"/>
          <w:sz w:val="24"/>
          <w:highlight w:val="none"/>
        </w:rPr>
        <w:t>，年运行小时数</w:t>
      </w:r>
      <w:r>
        <w:rPr>
          <w:rFonts w:hint="eastAsia"/>
          <w:color w:val="auto"/>
          <w:sz w:val="24"/>
          <w:highlight w:val="none"/>
          <w:u w:val="single"/>
        </w:rPr>
        <w:t>按照实际运行小时数</w:t>
      </w:r>
      <w:r>
        <w:rPr>
          <w:rFonts w:hint="eastAsia"/>
          <w:color w:val="auto"/>
          <w:sz w:val="24"/>
          <w:highlight w:val="none"/>
        </w:rPr>
        <w:t>计算，每年保底运行时间不少于</w:t>
      </w:r>
      <w:r>
        <w:rPr>
          <w:color w:val="auto"/>
          <w:sz w:val="24"/>
          <w:highlight w:val="none"/>
          <w:u w:val="single"/>
        </w:rPr>
        <w:t>70</w:t>
      </w:r>
      <w:r>
        <w:rPr>
          <w:rFonts w:hint="eastAsia"/>
          <w:color w:val="auto"/>
          <w:sz w:val="24"/>
          <w:highlight w:val="none"/>
          <w:u w:val="single"/>
        </w:rPr>
        <w:t>00小时</w:t>
      </w:r>
      <w:r>
        <w:rPr>
          <w:rFonts w:hint="eastAsia"/>
          <w:color w:val="auto"/>
          <w:sz w:val="24"/>
          <w:highlight w:val="none"/>
        </w:rPr>
        <w:t>。实际每年分享收益时间</w:t>
      </w:r>
      <w:r>
        <w:rPr>
          <w:rFonts w:hint="eastAsia"/>
          <w:color w:val="auto"/>
          <w:sz w:val="24"/>
          <w:highlight w:val="none"/>
          <w:u w:val="single"/>
        </w:rPr>
        <w:t>以节能装置实际运行时间</w:t>
      </w:r>
      <w:r>
        <w:rPr>
          <w:rFonts w:hint="eastAsia"/>
          <w:color w:val="auto"/>
          <w:sz w:val="24"/>
          <w:highlight w:val="none"/>
        </w:rPr>
        <w:t>为准。</w:t>
      </w:r>
    </w:p>
    <w:p w14:paraId="587FFE73">
      <w:pPr>
        <w:spacing w:line="360" w:lineRule="auto"/>
        <w:ind w:firstLine="480" w:firstLineChars="200"/>
        <w:rPr>
          <w:color w:val="auto"/>
          <w:sz w:val="24"/>
          <w:highlight w:val="none"/>
        </w:rPr>
      </w:pPr>
      <w:r>
        <w:rPr>
          <w:rFonts w:hint="eastAsia"/>
          <w:color w:val="auto"/>
          <w:sz w:val="24"/>
          <w:highlight w:val="none"/>
        </w:rPr>
        <w:t>2.4如因非乙方原因导致节能装置年度运行时间不足</w:t>
      </w:r>
      <w:r>
        <w:rPr>
          <w:color w:val="auto"/>
          <w:sz w:val="24"/>
          <w:highlight w:val="none"/>
          <w:u w:val="single"/>
        </w:rPr>
        <w:t>70</w:t>
      </w:r>
      <w:r>
        <w:rPr>
          <w:rFonts w:hint="eastAsia"/>
          <w:color w:val="auto"/>
          <w:sz w:val="24"/>
          <w:highlight w:val="none"/>
          <w:u w:val="single"/>
        </w:rPr>
        <w:t>00小时</w:t>
      </w:r>
      <w:r>
        <w:rPr>
          <w:rFonts w:hint="eastAsia"/>
          <w:color w:val="auto"/>
          <w:sz w:val="24"/>
          <w:highlight w:val="none"/>
        </w:rPr>
        <w:t>，不足部分节能收益，经甲乙双方协商同意，_</w:t>
      </w:r>
      <w:r>
        <w:rPr>
          <w:color w:val="auto"/>
          <w:sz w:val="24"/>
          <w:highlight w:val="none"/>
        </w:rPr>
        <w:t>____</w:t>
      </w:r>
      <w:r>
        <w:rPr>
          <w:rFonts w:hint="eastAsia"/>
          <w:color w:val="auto"/>
          <w:sz w:val="24"/>
          <w:highlight w:val="none"/>
        </w:rPr>
        <w:t>_</w:t>
      </w:r>
      <w:r>
        <w:rPr>
          <w:color w:val="auto"/>
          <w:sz w:val="24"/>
          <w:highlight w:val="none"/>
        </w:rPr>
        <w:t>____</w:t>
      </w:r>
      <w:r>
        <w:rPr>
          <w:rFonts w:hint="eastAsia"/>
          <w:color w:val="auto"/>
          <w:sz w:val="24"/>
          <w:highlight w:val="none"/>
        </w:rPr>
        <w:t>_</w:t>
      </w:r>
      <w:r>
        <w:rPr>
          <w:color w:val="auto"/>
          <w:sz w:val="24"/>
          <w:highlight w:val="none"/>
        </w:rPr>
        <w:t>____</w:t>
      </w:r>
      <w:r>
        <w:rPr>
          <w:rFonts w:hint="eastAsia"/>
          <w:color w:val="auto"/>
          <w:sz w:val="24"/>
          <w:highlight w:val="none"/>
        </w:rPr>
        <w:t>_</w:t>
      </w:r>
      <w:r>
        <w:rPr>
          <w:color w:val="auto"/>
          <w:sz w:val="24"/>
          <w:highlight w:val="none"/>
        </w:rPr>
        <w:t>____</w:t>
      </w:r>
      <w:r>
        <w:rPr>
          <w:rFonts w:hint="eastAsia"/>
          <w:color w:val="auto"/>
          <w:sz w:val="24"/>
          <w:highlight w:val="none"/>
        </w:rPr>
        <w:t>_</w:t>
      </w:r>
      <w:r>
        <w:rPr>
          <w:color w:val="auto"/>
          <w:sz w:val="24"/>
          <w:highlight w:val="none"/>
        </w:rPr>
        <w:t>____</w:t>
      </w:r>
      <w:r>
        <w:rPr>
          <w:rFonts w:hint="eastAsia"/>
          <w:color w:val="auto"/>
          <w:sz w:val="24"/>
          <w:highlight w:val="none"/>
        </w:rPr>
        <w:t>_</w:t>
      </w:r>
      <w:r>
        <w:rPr>
          <w:color w:val="auto"/>
          <w:sz w:val="24"/>
          <w:highlight w:val="none"/>
        </w:rPr>
        <w:t>____</w:t>
      </w:r>
      <w:r>
        <w:rPr>
          <w:rFonts w:hint="eastAsia"/>
          <w:color w:val="auto"/>
          <w:sz w:val="24"/>
          <w:highlight w:val="none"/>
        </w:rPr>
        <w:t>，如遇政府行为或者遭遇不可抗力无法恢复生产或不归咎于甲方公司原因的情形外。</w:t>
      </w:r>
    </w:p>
    <w:p w14:paraId="1E197DE0">
      <w:pPr>
        <w:spacing w:line="360" w:lineRule="auto"/>
        <w:rPr>
          <w:b/>
          <w:bCs/>
          <w:color w:val="auto"/>
          <w:sz w:val="24"/>
          <w:highlight w:val="none"/>
        </w:rPr>
      </w:pPr>
      <w:r>
        <w:rPr>
          <w:b/>
          <w:bCs/>
          <w:color w:val="auto"/>
          <w:sz w:val="24"/>
          <w:highlight w:val="none"/>
        </w:rPr>
        <w:t>第3节</w:t>
      </w:r>
      <w:r>
        <w:rPr>
          <w:rFonts w:hint="eastAsia"/>
          <w:b/>
          <w:bCs/>
          <w:color w:val="auto"/>
          <w:sz w:val="24"/>
          <w:highlight w:val="none"/>
        </w:rPr>
        <w:t xml:space="preserve"> </w:t>
      </w:r>
      <w:r>
        <w:rPr>
          <w:b/>
          <w:bCs/>
          <w:color w:val="auto"/>
          <w:sz w:val="24"/>
          <w:highlight w:val="none"/>
        </w:rPr>
        <w:t>项目方案设计、实施和项目的验收</w:t>
      </w:r>
    </w:p>
    <w:p w14:paraId="68B99C8F">
      <w:pPr>
        <w:spacing w:line="360" w:lineRule="auto"/>
        <w:ind w:firstLine="480" w:firstLineChars="200"/>
        <w:rPr>
          <w:color w:val="auto"/>
          <w:sz w:val="24"/>
          <w:highlight w:val="none"/>
        </w:rPr>
      </w:pPr>
      <w:r>
        <w:rPr>
          <w:color w:val="auto"/>
          <w:sz w:val="24"/>
          <w:highlight w:val="none"/>
        </w:rPr>
        <w:t>3.1 甲乙双方应当按照本合同附件一所列的项目方案文件的要求以及本合同的规定进行本项目的实施。</w:t>
      </w:r>
    </w:p>
    <w:p w14:paraId="3D295F5A">
      <w:pPr>
        <w:spacing w:line="360" w:lineRule="auto"/>
        <w:ind w:firstLine="480" w:firstLineChars="200"/>
        <w:rPr>
          <w:color w:val="auto"/>
          <w:sz w:val="24"/>
          <w:highlight w:val="none"/>
        </w:rPr>
      </w:pPr>
      <w:r>
        <w:rPr>
          <w:color w:val="auto"/>
          <w:sz w:val="24"/>
          <w:highlight w:val="none"/>
        </w:rPr>
        <w:t>3.2 项目方案一经甲方批准，除非双方另行同意，或者依照本合同第7节的规定修改之外，不得修改。</w:t>
      </w:r>
    </w:p>
    <w:p w14:paraId="780701A9">
      <w:pPr>
        <w:spacing w:line="360" w:lineRule="auto"/>
        <w:ind w:firstLine="480" w:firstLineChars="200"/>
        <w:rPr>
          <w:color w:val="auto"/>
          <w:sz w:val="24"/>
          <w:highlight w:val="none"/>
        </w:rPr>
      </w:pPr>
      <w:r>
        <w:rPr>
          <w:color w:val="auto"/>
          <w:sz w:val="24"/>
          <w:highlight w:val="none"/>
        </w:rPr>
        <w:t>3.3 乙方应当依照第2.2条规定的时间依照项目方案的规定开始项目的建设、实施和运行。</w:t>
      </w:r>
    </w:p>
    <w:p w14:paraId="34EA1CFF">
      <w:pPr>
        <w:spacing w:before="65" w:line="360" w:lineRule="auto"/>
        <w:ind w:right="99" w:firstLine="480" w:firstLineChars="200"/>
        <w:rPr>
          <w:color w:val="auto"/>
          <w:sz w:val="24"/>
          <w:highlight w:val="none"/>
        </w:rPr>
      </w:pPr>
      <w:r>
        <w:rPr>
          <w:color w:val="auto"/>
          <w:sz w:val="24"/>
          <w:highlight w:val="none"/>
        </w:rPr>
        <w:t>3.4甲乙双方应当按照</w:t>
      </w:r>
      <w:r>
        <w:rPr>
          <w:rFonts w:hint="eastAsia"/>
          <w:color w:val="auto"/>
          <w:sz w:val="24"/>
          <w:highlight w:val="none"/>
          <w:u w:val="single"/>
        </w:rPr>
        <w:t>技术协议</w:t>
      </w:r>
      <w:r>
        <w:rPr>
          <w:color w:val="auto"/>
          <w:sz w:val="24"/>
          <w:highlight w:val="none"/>
        </w:rPr>
        <w:t>的规定进行项目验收。</w:t>
      </w:r>
    </w:p>
    <w:p w14:paraId="5EA350B4">
      <w:pPr>
        <w:spacing w:before="65" w:line="360" w:lineRule="auto"/>
        <w:ind w:right="99" w:firstLine="480" w:firstLineChars="200"/>
        <w:rPr>
          <w:color w:val="auto"/>
          <w:sz w:val="24"/>
          <w:highlight w:val="none"/>
        </w:rPr>
      </w:pPr>
      <w:r>
        <w:rPr>
          <w:rFonts w:hint="eastAsia"/>
          <w:color w:val="auto"/>
          <w:sz w:val="24"/>
          <w:highlight w:val="none"/>
        </w:rPr>
        <w:t>3.5根据乙方提交初步设计，本项目</w:t>
      </w:r>
      <w:bookmarkStart w:id="120" w:name="OLE_LINK11"/>
      <w:bookmarkStart w:id="121" w:name="OLE_LINK28"/>
      <w:r>
        <w:rPr>
          <w:rFonts w:hint="eastAsia"/>
          <w:color w:val="auto"/>
          <w:sz w:val="24"/>
          <w:highlight w:val="none"/>
        </w:rPr>
        <w:t>概算总投资额</w:t>
      </w:r>
      <w:bookmarkEnd w:id="120"/>
      <w:bookmarkEnd w:id="121"/>
      <w:r>
        <w:rPr>
          <w:rFonts w:hint="eastAsia"/>
          <w:color w:val="auto"/>
          <w:sz w:val="24"/>
          <w:highlight w:val="none"/>
        </w:rPr>
        <w:t>为</w:t>
      </w:r>
      <w:r>
        <w:rPr>
          <w:rFonts w:hint="eastAsia"/>
          <w:color w:val="auto"/>
          <w:sz w:val="24"/>
          <w:highlight w:val="none"/>
          <w:u w:val="single"/>
        </w:rPr>
        <w:t xml:space="preserve">   </w:t>
      </w:r>
      <w:r>
        <w:rPr>
          <w:rFonts w:hint="eastAsia"/>
          <w:color w:val="auto"/>
          <w:sz w:val="24"/>
          <w:highlight w:val="none"/>
        </w:rPr>
        <w:t>万元，实际发生投资由乙方自行控制，如超过该投资额，若甲方回购装置，价格以概算总投资额为基准协商。</w:t>
      </w:r>
    </w:p>
    <w:p w14:paraId="1ECD4AA8">
      <w:pPr>
        <w:spacing w:before="65" w:line="360" w:lineRule="auto"/>
        <w:ind w:right="99"/>
        <w:rPr>
          <w:b/>
          <w:bCs/>
          <w:color w:val="auto"/>
          <w:sz w:val="24"/>
          <w:highlight w:val="none"/>
        </w:rPr>
      </w:pPr>
      <w:r>
        <w:rPr>
          <w:b/>
          <w:bCs/>
          <w:color w:val="auto"/>
          <w:sz w:val="24"/>
          <w:highlight w:val="none"/>
        </w:rPr>
        <w:t>第4节</w:t>
      </w:r>
      <w:r>
        <w:rPr>
          <w:rFonts w:hint="eastAsia"/>
          <w:b/>
          <w:bCs/>
          <w:color w:val="auto"/>
          <w:sz w:val="24"/>
          <w:highlight w:val="none"/>
        </w:rPr>
        <w:t xml:space="preserve"> </w:t>
      </w:r>
      <w:r>
        <w:rPr>
          <w:b/>
          <w:bCs/>
          <w:color w:val="auto"/>
          <w:sz w:val="24"/>
          <w:highlight w:val="none"/>
        </w:rPr>
        <w:t>节能效益分享方式</w:t>
      </w:r>
    </w:p>
    <w:p w14:paraId="5CD4ED95">
      <w:pPr>
        <w:spacing w:line="360" w:lineRule="auto"/>
        <w:ind w:firstLine="480" w:firstLineChars="200"/>
        <w:rPr>
          <w:color w:val="auto"/>
          <w:sz w:val="24"/>
          <w:highlight w:val="none"/>
        </w:rPr>
      </w:pPr>
      <w:r>
        <w:rPr>
          <w:color w:val="auto"/>
          <w:sz w:val="24"/>
          <w:highlight w:val="none"/>
        </w:rPr>
        <w:t>4.1 效益分享期内项目节能量预计为</w:t>
      </w:r>
      <w:r>
        <w:rPr>
          <w:rFonts w:hint="eastAsia"/>
          <w:color w:val="auto"/>
          <w:sz w:val="24"/>
          <w:highlight w:val="none"/>
        </w:rPr>
        <w:t>节省的中压蒸汽量</w:t>
      </w:r>
      <w:r>
        <w:rPr>
          <w:rFonts w:hint="eastAsia"/>
          <w:color w:val="auto"/>
          <w:sz w:val="24"/>
          <w:highlight w:val="none"/>
          <w:u w:val="single"/>
        </w:rPr>
        <w:t xml:space="preserve">    </w:t>
      </w:r>
      <w:r>
        <w:rPr>
          <w:rFonts w:hint="eastAsia"/>
          <w:color w:val="auto"/>
          <w:sz w:val="24"/>
          <w:highlight w:val="none"/>
        </w:rPr>
        <w:t>吨/小时（以实际测量为主）</w:t>
      </w:r>
      <w:r>
        <w:rPr>
          <w:color w:val="auto"/>
          <w:sz w:val="24"/>
          <w:highlight w:val="none"/>
        </w:rPr>
        <w:t>，预计的节能效益为</w:t>
      </w:r>
      <w:r>
        <w:rPr>
          <w:rFonts w:hint="eastAsia"/>
          <w:color w:val="auto"/>
          <w:sz w:val="24"/>
          <w:highlight w:val="none"/>
          <w:u w:val="single"/>
        </w:rPr>
        <w:t xml:space="preserve">    </w:t>
      </w:r>
      <w:r>
        <w:rPr>
          <w:rFonts w:hint="eastAsia"/>
          <w:color w:val="auto"/>
          <w:sz w:val="24"/>
          <w:highlight w:val="none"/>
        </w:rPr>
        <w:t>万元/年（以实际测量为准），乙方投资回收期为_</w:t>
      </w:r>
      <w:r>
        <w:rPr>
          <w:color w:val="auto"/>
          <w:sz w:val="24"/>
          <w:highlight w:val="none"/>
        </w:rPr>
        <w:t>____年(以乙方投标文件投资回收期为准)。</w:t>
      </w:r>
    </w:p>
    <w:p w14:paraId="78B27E51">
      <w:pPr>
        <w:spacing w:line="360" w:lineRule="auto"/>
        <w:rPr>
          <w:color w:val="auto"/>
          <w:sz w:val="24"/>
          <w:highlight w:val="none"/>
        </w:rPr>
      </w:pPr>
      <w:r>
        <w:rPr>
          <w:rFonts w:hint="eastAsia"/>
          <w:color w:val="auto"/>
          <w:sz w:val="24"/>
          <w:highlight w:val="none"/>
        </w:rPr>
        <w:t>项目年节能收益：</w:t>
      </w:r>
    </w:p>
    <w:p w14:paraId="2513D6C2">
      <w:pPr>
        <w:spacing w:line="360" w:lineRule="auto"/>
        <w:ind w:firstLine="480" w:firstLineChars="200"/>
        <w:rPr>
          <w:color w:val="auto"/>
          <w:sz w:val="24"/>
          <w:highlight w:val="none"/>
        </w:rPr>
      </w:pPr>
      <w:r>
        <w:rPr>
          <w:rFonts w:hint="eastAsia"/>
          <w:color w:val="auto"/>
          <w:sz w:val="24"/>
          <w:highlight w:val="none"/>
        </w:rPr>
        <w:t>4.1.1全年保底运行时间</w:t>
      </w:r>
      <w:r>
        <w:rPr>
          <w:color w:val="auto"/>
          <w:sz w:val="24"/>
          <w:highlight w:val="none"/>
          <w:u w:val="single"/>
        </w:rPr>
        <w:t>70</w:t>
      </w:r>
      <w:r>
        <w:rPr>
          <w:rFonts w:hint="eastAsia"/>
          <w:color w:val="auto"/>
          <w:sz w:val="24"/>
          <w:highlight w:val="none"/>
          <w:u w:val="single"/>
        </w:rPr>
        <w:t>00</w:t>
      </w:r>
      <w:r>
        <w:rPr>
          <w:rFonts w:hint="eastAsia"/>
          <w:color w:val="auto"/>
          <w:sz w:val="24"/>
          <w:highlight w:val="none"/>
        </w:rPr>
        <w:t>小时，每小时节约中压蒸汽</w:t>
      </w:r>
      <w:r>
        <w:rPr>
          <w:rFonts w:hint="eastAsia"/>
          <w:color w:val="auto"/>
          <w:sz w:val="24"/>
          <w:highlight w:val="none"/>
          <w:u w:val="single"/>
        </w:rPr>
        <w:t xml:space="preserve">    </w:t>
      </w:r>
      <w:r>
        <w:rPr>
          <w:rFonts w:hint="eastAsia"/>
          <w:color w:val="auto"/>
          <w:sz w:val="24"/>
          <w:highlight w:val="none"/>
        </w:rPr>
        <w:t>吨(具体以实际计量数据为准)，中压蒸汽价格按</w:t>
      </w:r>
      <w:r>
        <w:rPr>
          <w:rFonts w:hint="eastAsia"/>
          <w:color w:val="auto"/>
          <w:sz w:val="24"/>
          <w:highlight w:val="none"/>
          <w:u w:val="single"/>
        </w:rPr>
        <w:t xml:space="preserve">    </w:t>
      </w:r>
      <w:r>
        <w:rPr>
          <w:rFonts w:hint="eastAsia"/>
          <w:color w:val="auto"/>
          <w:sz w:val="24"/>
          <w:highlight w:val="none"/>
        </w:rPr>
        <w:t>元/吨（具体参照热电厂衢州市蒸汽与煤联动价格，含税）</w:t>
      </w:r>
    </w:p>
    <w:p w14:paraId="1526CA9C">
      <w:pPr>
        <w:spacing w:line="360" w:lineRule="auto"/>
        <w:ind w:left="479" w:leftChars="228"/>
        <w:rPr>
          <w:color w:val="auto"/>
          <w:sz w:val="24"/>
          <w:highlight w:val="none"/>
        </w:rPr>
      </w:pPr>
      <w:r>
        <w:rPr>
          <w:rFonts w:hint="eastAsia"/>
          <w:color w:val="auto"/>
          <w:sz w:val="24"/>
          <w:highlight w:val="none"/>
        </w:rPr>
        <w:t>4.1.2节能改造系统耗电量为</w:t>
      </w:r>
      <w:r>
        <w:rPr>
          <w:rFonts w:hint="eastAsia"/>
          <w:color w:val="auto"/>
          <w:sz w:val="24"/>
          <w:highlight w:val="none"/>
          <w:u w:val="single"/>
        </w:rPr>
        <w:t xml:space="preserve">    </w:t>
      </w:r>
      <w:r>
        <w:rPr>
          <w:rFonts w:hint="eastAsia"/>
          <w:color w:val="auto"/>
          <w:sz w:val="24"/>
          <w:highlight w:val="none"/>
        </w:rPr>
        <w:t>kwh(具体以实际耗电量为准)，电费按照</w:t>
      </w:r>
      <w:r>
        <w:rPr>
          <w:rFonts w:hint="eastAsia"/>
          <w:color w:val="auto"/>
          <w:sz w:val="24"/>
          <w:highlight w:val="none"/>
          <w:u w:val="single"/>
        </w:rPr>
        <w:t xml:space="preserve"> </w:t>
      </w:r>
      <w:r>
        <w:rPr>
          <w:rFonts w:hint="eastAsia"/>
          <w:color w:val="auto"/>
          <w:sz w:val="24"/>
          <w:highlight w:val="none"/>
        </w:rPr>
        <w:t xml:space="preserve">元/度（具体参照国网浙江省电力有限公司关于代理工商业用户购电价格的公告，含税）； </w:t>
      </w:r>
    </w:p>
    <w:p w14:paraId="6AE5A7E5">
      <w:pPr>
        <w:spacing w:line="360" w:lineRule="auto"/>
        <w:ind w:left="479" w:leftChars="228"/>
        <w:rPr>
          <w:color w:val="auto"/>
          <w:sz w:val="24"/>
          <w:highlight w:val="none"/>
        </w:rPr>
      </w:pPr>
      <w:r>
        <w:rPr>
          <w:rFonts w:hint="eastAsia"/>
          <w:color w:val="auto"/>
          <w:sz w:val="24"/>
          <w:highlight w:val="none"/>
        </w:rPr>
        <w:t>4.1.3 蒸汽的出口减温采用蒸汽冷凝水，不增加成本。</w:t>
      </w:r>
    </w:p>
    <w:p w14:paraId="7D37A837">
      <w:pPr>
        <w:spacing w:line="360" w:lineRule="auto"/>
        <w:ind w:firstLine="480" w:firstLineChars="200"/>
        <w:rPr>
          <w:color w:val="auto"/>
          <w:sz w:val="24"/>
          <w:highlight w:val="none"/>
        </w:rPr>
      </w:pPr>
      <w:r>
        <w:rPr>
          <w:rFonts w:hint="eastAsia"/>
          <w:color w:val="auto"/>
          <w:sz w:val="24"/>
          <w:highlight w:val="none"/>
        </w:rPr>
        <w:t>4</w:t>
      </w:r>
      <w:r>
        <w:rPr>
          <w:color w:val="auto"/>
          <w:sz w:val="24"/>
          <w:highlight w:val="none"/>
        </w:rPr>
        <w:t>.1.4 增加污水处理费按</w:t>
      </w:r>
      <w:r>
        <w:rPr>
          <w:rFonts w:hint="eastAsia"/>
          <w:color w:val="auto"/>
          <w:sz w:val="24"/>
          <w:highlight w:val="none"/>
        </w:rPr>
        <w:t>2</w:t>
      </w:r>
      <w:r>
        <w:rPr>
          <w:color w:val="auto"/>
          <w:sz w:val="24"/>
          <w:highlight w:val="none"/>
        </w:rPr>
        <w:t>5万元</w:t>
      </w:r>
      <w:r>
        <w:rPr>
          <w:rFonts w:hint="eastAsia"/>
          <w:color w:val="auto"/>
          <w:sz w:val="24"/>
          <w:highlight w:val="none"/>
        </w:rPr>
        <w:t>/年，计入成本。</w:t>
      </w:r>
    </w:p>
    <w:p w14:paraId="3BDB908F">
      <w:pPr>
        <w:spacing w:line="360" w:lineRule="auto"/>
        <w:ind w:firstLine="480" w:firstLineChars="200"/>
        <w:rPr>
          <w:color w:val="auto"/>
          <w:sz w:val="24"/>
          <w:highlight w:val="none"/>
        </w:rPr>
      </w:pPr>
      <w:r>
        <w:rPr>
          <w:rFonts w:hint="eastAsia"/>
          <w:color w:val="auto"/>
          <w:sz w:val="24"/>
          <w:highlight w:val="none"/>
        </w:rPr>
        <w:t>4.1.</w:t>
      </w:r>
      <w:r>
        <w:rPr>
          <w:color w:val="auto"/>
          <w:sz w:val="24"/>
          <w:highlight w:val="none"/>
        </w:rPr>
        <w:t>5</w:t>
      </w:r>
      <w:r>
        <w:rPr>
          <w:rFonts w:hint="eastAsia"/>
          <w:color w:val="auto"/>
          <w:sz w:val="24"/>
          <w:highlight w:val="none"/>
        </w:rPr>
        <w:t>每年理论上节约能源费用(即节能收益)约为人民币</w:t>
      </w:r>
      <w:r>
        <w:rPr>
          <w:rFonts w:hint="eastAsia"/>
          <w:color w:val="auto"/>
          <w:sz w:val="24"/>
          <w:highlight w:val="none"/>
          <w:u w:val="single"/>
        </w:rPr>
        <w:t xml:space="preserve">    </w:t>
      </w:r>
      <w:r>
        <w:rPr>
          <w:rFonts w:hint="eastAsia"/>
          <w:color w:val="auto"/>
          <w:sz w:val="24"/>
          <w:highlight w:val="none"/>
        </w:rPr>
        <w:t>万元（以实际计算收益为准），(年节能收益=年生产小时数×（改造前生产成本-改造后生产成本）。</w:t>
      </w:r>
    </w:p>
    <w:p w14:paraId="68317E92">
      <w:pPr>
        <w:spacing w:line="360" w:lineRule="auto"/>
        <w:ind w:firstLine="480" w:firstLineChars="200"/>
        <w:rPr>
          <w:color w:val="auto"/>
          <w:sz w:val="24"/>
          <w:highlight w:val="none"/>
        </w:rPr>
      </w:pPr>
      <w:r>
        <w:rPr>
          <w:rFonts w:hint="eastAsia"/>
          <w:color w:val="auto"/>
          <w:sz w:val="24"/>
          <w:highlight w:val="none"/>
        </w:rPr>
        <w:t>改造前生产成本=中压蒸汽耗量*蒸汽单价+循环冷却系统耗电*电单价；</w:t>
      </w:r>
    </w:p>
    <w:p w14:paraId="1B4F2EDC">
      <w:pPr>
        <w:spacing w:line="360" w:lineRule="auto"/>
        <w:ind w:firstLine="480" w:firstLineChars="200"/>
        <w:rPr>
          <w:color w:val="auto"/>
          <w:sz w:val="24"/>
          <w:highlight w:val="none"/>
        </w:rPr>
      </w:pPr>
      <w:r>
        <w:rPr>
          <w:rFonts w:hint="eastAsia"/>
          <w:color w:val="auto"/>
          <w:sz w:val="24"/>
          <w:highlight w:val="none"/>
        </w:rPr>
        <w:t>改造后生产成本=节能改造系统总耗电*电单价+需补充的外购蒸汽*蒸汽单价+增加污水处理费。</w:t>
      </w:r>
    </w:p>
    <w:p w14:paraId="5CC59F8F">
      <w:pPr>
        <w:spacing w:line="360" w:lineRule="auto"/>
        <w:ind w:firstLine="480" w:firstLineChars="200"/>
        <w:rPr>
          <w:color w:val="auto"/>
          <w:sz w:val="24"/>
          <w:highlight w:val="none"/>
        </w:rPr>
      </w:pPr>
      <w:r>
        <w:rPr>
          <w:rFonts w:hint="eastAsia"/>
          <w:color w:val="auto"/>
          <w:sz w:val="24"/>
          <w:highlight w:val="none"/>
        </w:rPr>
        <w:t>双方应分享的节能收益以实际计量和实际单价计算后的数额为准。</w:t>
      </w:r>
      <w:r>
        <w:rPr>
          <w:color w:val="auto"/>
          <w:sz w:val="24"/>
          <w:highlight w:val="none"/>
        </w:rPr>
        <w:t>该前述预计的指标可按照附件一中文件2规定之公式和方法予以调整。</w:t>
      </w:r>
    </w:p>
    <w:p w14:paraId="14625678">
      <w:pPr>
        <w:spacing w:line="360" w:lineRule="auto"/>
        <w:ind w:firstLine="480" w:firstLineChars="200"/>
        <w:rPr>
          <w:color w:val="auto"/>
          <w:sz w:val="24"/>
          <w:highlight w:val="none"/>
        </w:rPr>
      </w:pPr>
      <w:r>
        <w:rPr>
          <w:color w:val="auto"/>
          <w:sz w:val="24"/>
          <w:highlight w:val="none"/>
        </w:rPr>
        <w:t>4.2 在本合同约定的节能效益分享期内</w:t>
      </w:r>
      <w:r>
        <w:rPr>
          <w:rFonts w:hint="eastAsia"/>
          <w:color w:val="auto"/>
          <w:sz w:val="24"/>
          <w:highlight w:val="none"/>
        </w:rPr>
        <w:t>，甲、乙双方的分享比例如下</w:t>
      </w:r>
      <w:r>
        <w:rPr>
          <w:color w:val="auto"/>
          <w:sz w:val="24"/>
          <w:highlight w:val="none"/>
        </w:rPr>
        <w:t>；合同结束之后，节能效益完全归甲方享有。</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4"/>
        <w:gridCol w:w="1756"/>
        <w:gridCol w:w="2742"/>
        <w:gridCol w:w="2482"/>
      </w:tblGrid>
      <w:tr w14:paraId="2AB7E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Merge w:val="restart"/>
            <w:vAlign w:val="center"/>
          </w:tcPr>
          <w:p w14:paraId="30352301">
            <w:pPr>
              <w:spacing w:line="280" w:lineRule="exact"/>
              <w:jc w:val="center"/>
              <w:rPr>
                <w:color w:val="auto"/>
                <w:highlight w:val="none"/>
              </w:rPr>
            </w:pPr>
            <w:r>
              <w:rPr>
                <w:rFonts w:hint="eastAsia"/>
                <w:color w:val="auto"/>
                <w:highlight w:val="none"/>
              </w:rPr>
              <w:t>序号</w:t>
            </w:r>
          </w:p>
        </w:tc>
        <w:tc>
          <w:tcPr>
            <w:tcW w:w="1756" w:type="dxa"/>
            <w:vMerge w:val="restart"/>
            <w:vAlign w:val="center"/>
          </w:tcPr>
          <w:p w14:paraId="2CB9E1B6">
            <w:pPr>
              <w:spacing w:line="280" w:lineRule="exact"/>
              <w:jc w:val="center"/>
              <w:rPr>
                <w:color w:val="auto"/>
                <w:highlight w:val="none"/>
              </w:rPr>
            </w:pPr>
            <w:r>
              <w:rPr>
                <w:rFonts w:hint="eastAsia"/>
                <w:color w:val="auto"/>
                <w:highlight w:val="none"/>
              </w:rPr>
              <w:t>分享年度</w:t>
            </w:r>
          </w:p>
        </w:tc>
        <w:tc>
          <w:tcPr>
            <w:tcW w:w="5224" w:type="dxa"/>
            <w:gridSpan w:val="2"/>
            <w:vAlign w:val="center"/>
          </w:tcPr>
          <w:p w14:paraId="104855CF">
            <w:pPr>
              <w:spacing w:line="280" w:lineRule="exact"/>
              <w:jc w:val="center"/>
              <w:rPr>
                <w:color w:val="auto"/>
                <w:highlight w:val="none"/>
              </w:rPr>
            </w:pPr>
            <w:r>
              <w:rPr>
                <w:rFonts w:hint="eastAsia"/>
                <w:color w:val="auto"/>
                <w:highlight w:val="none"/>
              </w:rPr>
              <w:t>节能分成比例</w:t>
            </w:r>
          </w:p>
        </w:tc>
      </w:tr>
      <w:tr w14:paraId="44555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Merge w:val="continue"/>
            <w:vAlign w:val="center"/>
          </w:tcPr>
          <w:p w14:paraId="0BC2E499">
            <w:pPr>
              <w:spacing w:line="280" w:lineRule="exact"/>
              <w:jc w:val="center"/>
              <w:rPr>
                <w:color w:val="auto"/>
                <w:highlight w:val="none"/>
              </w:rPr>
            </w:pPr>
          </w:p>
        </w:tc>
        <w:tc>
          <w:tcPr>
            <w:tcW w:w="1756" w:type="dxa"/>
            <w:vMerge w:val="continue"/>
            <w:vAlign w:val="center"/>
          </w:tcPr>
          <w:p w14:paraId="25AA07E8">
            <w:pPr>
              <w:spacing w:line="280" w:lineRule="exact"/>
              <w:jc w:val="center"/>
              <w:rPr>
                <w:color w:val="auto"/>
                <w:highlight w:val="none"/>
              </w:rPr>
            </w:pPr>
          </w:p>
        </w:tc>
        <w:tc>
          <w:tcPr>
            <w:tcW w:w="2742" w:type="dxa"/>
            <w:vAlign w:val="center"/>
          </w:tcPr>
          <w:p w14:paraId="366A3A35">
            <w:pPr>
              <w:spacing w:line="280" w:lineRule="exact"/>
              <w:jc w:val="center"/>
              <w:rPr>
                <w:color w:val="auto"/>
                <w:highlight w:val="none"/>
              </w:rPr>
            </w:pPr>
            <w:r>
              <w:rPr>
                <w:rFonts w:hint="eastAsia"/>
                <w:color w:val="auto"/>
                <w:highlight w:val="none"/>
              </w:rPr>
              <w:t>甲方</w:t>
            </w:r>
          </w:p>
        </w:tc>
        <w:tc>
          <w:tcPr>
            <w:tcW w:w="2482" w:type="dxa"/>
            <w:vAlign w:val="center"/>
          </w:tcPr>
          <w:p w14:paraId="2D6D5631">
            <w:pPr>
              <w:spacing w:line="280" w:lineRule="exact"/>
              <w:jc w:val="center"/>
              <w:rPr>
                <w:color w:val="auto"/>
                <w:highlight w:val="none"/>
              </w:rPr>
            </w:pPr>
            <w:r>
              <w:rPr>
                <w:rFonts w:hint="eastAsia"/>
                <w:color w:val="auto"/>
                <w:highlight w:val="none"/>
              </w:rPr>
              <w:t>乙方</w:t>
            </w:r>
          </w:p>
        </w:tc>
      </w:tr>
      <w:tr w14:paraId="5EC6B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14:paraId="7F39D592">
            <w:pPr>
              <w:spacing w:line="280" w:lineRule="exact"/>
              <w:jc w:val="center"/>
              <w:rPr>
                <w:color w:val="auto"/>
                <w:highlight w:val="none"/>
              </w:rPr>
            </w:pPr>
            <w:r>
              <w:rPr>
                <w:rFonts w:hint="eastAsia"/>
                <w:color w:val="auto"/>
                <w:highlight w:val="none"/>
              </w:rPr>
              <w:t>1</w:t>
            </w:r>
          </w:p>
        </w:tc>
        <w:tc>
          <w:tcPr>
            <w:tcW w:w="1756" w:type="dxa"/>
            <w:vAlign w:val="center"/>
          </w:tcPr>
          <w:p w14:paraId="5E1FCD5A">
            <w:pPr>
              <w:spacing w:line="280" w:lineRule="exact"/>
              <w:jc w:val="center"/>
              <w:rPr>
                <w:color w:val="auto"/>
                <w:highlight w:val="none"/>
              </w:rPr>
            </w:pPr>
            <w:r>
              <w:rPr>
                <w:rFonts w:hint="eastAsia"/>
                <w:color w:val="auto"/>
                <w:highlight w:val="none"/>
              </w:rPr>
              <w:t>第一阶段</w:t>
            </w:r>
          </w:p>
        </w:tc>
        <w:tc>
          <w:tcPr>
            <w:tcW w:w="2742" w:type="dxa"/>
            <w:vAlign w:val="center"/>
          </w:tcPr>
          <w:p w14:paraId="3BA43798">
            <w:pPr>
              <w:spacing w:line="280" w:lineRule="exact"/>
              <w:jc w:val="center"/>
              <w:rPr>
                <w:color w:val="auto"/>
                <w:highlight w:val="none"/>
              </w:rPr>
            </w:pPr>
            <w:r>
              <w:rPr>
                <w:color w:val="auto"/>
                <w:highlight w:val="none"/>
              </w:rPr>
              <w:t>%</w:t>
            </w:r>
          </w:p>
        </w:tc>
        <w:tc>
          <w:tcPr>
            <w:tcW w:w="2482" w:type="dxa"/>
            <w:vAlign w:val="center"/>
          </w:tcPr>
          <w:p w14:paraId="3700CA59">
            <w:pPr>
              <w:spacing w:line="280" w:lineRule="exact"/>
              <w:jc w:val="center"/>
              <w:rPr>
                <w:color w:val="auto"/>
                <w:highlight w:val="none"/>
              </w:rPr>
            </w:pPr>
            <w:r>
              <w:rPr>
                <w:color w:val="auto"/>
                <w:highlight w:val="none"/>
              </w:rPr>
              <w:t>%</w:t>
            </w:r>
          </w:p>
        </w:tc>
      </w:tr>
      <w:tr w14:paraId="7B999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14:paraId="259648C0">
            <w:pPr>
              <w:spacing w:line="280" w:lineRule="exact"/>
              <w:jc w:val="center"/>
              <w:rPr>
                <w:color w:val="auto"/>
                <w:highlight w:val="none"/>
              </w:rPr>
            </w:pPr>
            <w:r>
              <w:rPr>
                <w:rFonts w:hint="eastAsia"/>
                <w:color w:val="auto"/>
                <w:highlight w:val="none"/>
              </w:rPr>
              <w:t>2</w:t>
            </w:r>
          </w:p>
        </w:tc>
        <w:tc>
          <w:tcPr>
            <w:tcW w:w="1756" w:type="dxa"/>
            <w:vAlign w:val="center"/>
          </w:tcPr>
          <w:p w14:paraId="634B59B3">
            <w:pPr>
              <w:spacing w:line="280" w:lineRule="exact"/>
              <w:jc w:val="center"/>
              <w:rPr>
                <w:color w:val="auto"/>
                <w:highlight w:val="none"/>
              </w:rPr>
            </w:pPr>
            <w:r>
              <w:rPr>
                <w:rFonts w:hint="eastAsia"/>
                <w:color w:val="auto"/>
                <w:highlight w:val="none"/>
              </w:rPr>
              <w:t>第二阶段</w:t>
            </w:r>
          </w:p>
        </w:tc>
        <w:tc>
          <w:tcPr>
            <w:tcW w:w="2742" w:type="dxa"/>
            <w:vAlign w:val="center"/>
          </w:tcPr>
          <w:p w14:paraId="78FC5F34">
            <w:pPr>
              <w:spacing w:line="280" w:lineRule="exact"/>
              <w:jc w:val="center"/>
              <w:rPr>
                <w:color w:val="auto"/>
                <w:highlight w:val="none"/>
              </w:rPr>
            </w:pPr>
            <w:r>
              <w:rPr>
                <w:rFonts w:hint="eastAsia"/>
                <w:color w:val="auto"/>
                <w:highlight w:val="none"/>
              </w:rPr>
              <w:t>%</w:t>
            </w:r>
          </w:p>
        </w:tc>
        <w:tc>
          <w:tcPr>
            <w:tcW w:w="2482" w:type="dxa"/>
            <w:vAlign w:val="center"/>
          </w:tcPr>
          <w:p w14:paraId="1D370413">
            <w:pPr>
              <w:spacing w:line="280" w:lineRule="exact"/>
              <w:jc w:val="center"/>
              <w:rPr>
                <w:color w:val="auto"/>
                <w:highlight w:val="none"/>
              </w:rPr>
            </w:pPr>
            <w:r>
              <w:rPr>
                <w:rFonts w:hint="eastAsia"/>
                <w:color w:val="auto"/>
                <w:highlight w:val="none"/>
              </w:rPr>
              <w:t>%</w:t>
            </w:r>
          </w:p>
        </w:tc>
      </w:tr>
      <w:tr w14:paraId="77F2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4" w:type="dxa"/>
            <w:vAlign w:val="center"/>
          </w:tcPr>
          <w:p w14:paraId="36BDBA03">
            <w:pPr>
              <w:spacing w:line="280" w:lineRule="exact"/>
              <w:jc w:val="center"/>
              <w:rPr>
                <w:color w:val="auto"/>
                <w:highlight w:val="none"/>
              </w:rPr>
            </w:pPr>
            <w:r>
              <w:rPr>
                <w:rFonts w:hint="eastAsia"/>
                <w:color w:val="auto"/>
                <w:highlight w:val="none"/>
              </w:rPr>
              <w:t>3</w:t>
            </w:r>
          </w:p>
        </w:tc>
        <w:tc>
          <w:tcPr>
            <w:tcW w:w="1756" w:type="dxa"/>
            <w:vAlign w:val="center"/>
          </w:tcPr>
          <w:p w14:paraId="50C6CB14">
            <w:pPr>
              <w:spacing w:line="280" w:lineRule="exact"/>
              <w:jc w:val="center"/>
              <w:rPr>
                <w:color w:val="auto"/>
                <w:highlight w:val="none"/>
              </w:rPr>
            </w:pPr>
            <w:r>
              <w:rPr>
                <w:rFonts w:hint="eastAsia"/>
                <w:color w:val="auto"/>
                <w:highlight w:val="none"/>
              </w:rPr>
              <w:t>备注</w:t>
            </w:r>
          </w:p>
        </w:tc>
        <w:tc>
          <w:tcPr>
            <w:tcW w:w="5224" w:type="dxa"/>
            <w:gridSpan w:val="2"/>
            <w:vAlign w:val="center"/>
          </w:tcPr>
          <w:p w14:paraId="15310825">
            <w:pPr>
              <w:spacing w:line="280" w:lineRule="exact"/>
              <w:rPr>
                <w:color w:val="auto"/>
                <w:highlight w:val="none"/>
              </w:rPr>
            </w:pPr>
            <w:r>
              <w:rPr>
                <w:rFonts w:hint="eastAsia"/>
                <w:color w:val="auto"/>
                <w:highlight w:val="none"/>
              </w:rPr>
              <w:t>1.</w:t>
            </w:r>
            <w:r>
              <w:rPr>
                <w:color w:val="auto"/>
                <w:highlight w:val="none"/>
              </w:rPr>
              <w:t>装置</w:t>
            </w:r>
            <w:r>
              <w:rPr>
                <w:rFonts w:hint="eastAsia"/>
                <w:color w:val="auto"/>
                <w:highlight w:val="none"/>
              </w:rPr>
              <w:t>运行满2年后，合同能源管理期限内，甲方可向乙方回购本项目装置，回购价由双方协商确认</w:t>
            </w:r>
          </w:p>
          <w:p w14:paraId="5B2014C3">
            <w:pPr>
              <w:spacing w:line="280" w:lineRule="exact"/>
              <w:jc w:val="left"/>
              <w:rPr>
                <w:color w:val="auto"/>
                <w:highlight w:val="none"/>
              </w:rPr>
            </w:pPr>
            <w:r>
              <w:rPr>
                <w:color w:val="auto"/>
                <w:highlight w:val="none"/>
              </w:rPr>
              <w:t>2.</w:t>
            </w:r>
            <w:r>
              <w:rPr>
                <w:rFonts w:hint="eastAsia"/>
                <w:color w:val="auto"/>
                <w:highlight w:val="none"/>
              </w:rPr>
              <w:t>第一阶段为乙方投资回收期前，第二阶段为乙方投资回收期后至装置设计寿命20年。</w:t>
            </w:r>
          </w:p>
          <w:p w14:paraId="7B2D440E">
            <w:pPr>
              <w:spacing w:line="280" w:lineRule="exact"/>
              <w:jc w:val="left"/>
              <w:rPr>
                <w:color w:val="auto"/>
                <w:highlight w:val="none"/>
              </w:rPr>
            </w:pPr>
            <w:r>
              <w:rPr>
                <w:rFonts w:hint="eastAsia"/>
                <w:color w:val="auto"/>
                <w:highlight w:val="none"/>
              </w:rPr>
              <w:t>3.乙方投资回收期：投资回收期以乙方投标报价为准。</w:t>
            </w:r>
          </w:p>
          <w:p w14:paraId="72691927">
            <w:pPr>
              <w:spacing w:line="280" w:lineRule="exact"/>
              <w:jc w:val="left"/>
              <w:rPr>
                <w:color w:val="auto"/>
                <w:highlight w:val="none"/>
              </w:rPr>
            </w:pPr>
            <w:r>
              <w:rPr>
                <w:rFonts w:hint="eastAsia"/>
                <w:color w:val="auto"/>
                <w:highlight w:val="none"/>
              </w:rPr>
              <w:t>4.乙方投资回收后第二季度分成比例按第二阶段执行。</w:t>
            </w:r>
          </w:p>
          <w:p w14:paraId="4864552A">
            <w:pPr>
              <w:spacing w:line="280" w:lineRule="exact"/>
              <w:jc w:val="left"/>
              <w:rPr>
                <w:color w:val="auto"/>
                <w:highlight w:val="none"/>
              </w:rPr>
            </w:pPr>
            <w:r>
              <w:rPr>
                <w:rFonts w:hint="eastAsia"/>
                <w:color w:val="auto"/>
                <w:highlight w:val="none"/>
              </w:rPr>
              <w:t>5</w:t>
            </w:r>
            <w:r>
              <w:rPr>
                <w:color w:val="auto"/>
                <w:highlight w:val="none"/>
              </w:rPr>
              <w:t>.效益分享期结束后，本项目涉及乙方资产无偿移交甲方</w:t>
            </w:r>
          </w:p>
        </w:tc>
      </w:tr>
    </w:tbl>
    <w:p w14:paraId="0F2C85CE">
      <w:pPr>
        <w:spacing w:line="360" w:lineRule="auto"/>
        <w:rPr>
          <w:color w:val="auto"/>
          <w:sz w:val="24"/>
          <w:highlight w:val="none"/>
        </w:rPr>
      </w:pPr>
    </w:p>
    <w:p w14:paraId="103AAE0E">
      <w:pPr>
        <w:spacing w:line="360" w:lineRule="auto"/>
        <w:ind w:firstLine="480" w:firstLineChars="200"/>
        <w:rPr>
          <w:color w:val="auto"/>
          <w:sz w:val="24"/>
          <w:highlight w:val="none"/>
        </w:rPr>
      </w:pPr>
      <w:r>
        <w:rPr>
          <w:rFonts w:hint="eastAsia"/>
          <w:color w:val="auto"/>
          <w:sz w:val="24"/>
          <w:highlight w:val="none"/>
        </w:rPr>
        <w:t>4.3 双方应当按照附件一之文件3规定的程序和方式由双方确认指定的第三方检测公司对项目节能量进行测量和确认，并按照附件一之文件7的格式填制和签发节能量确认单。</w:t>
      </w:r>
    </w:p>
    <w:p w14:paraId="1C16F6FC">
      <w:pPr>
        <w:spacing w:line="360" w:lineRule="auto"/>
        <w:ind w:firstLine="480" w:firstLineChars="200"/>
        <w:rPr>
          <w:color w:val="auto"/>
          <w:sz w:val="24"/>
          <w:highlight w:val="none"/>
        </w:rPr>
      </w:pPr>
      <w:r>
        <w:rPr>
          <w:rFonts w:hint="eastAsia"/>
          <w:color w:val="auto"/>
          <w:sz w:val="24"/>
          <w:highlight w:val="none"/>
        </w:rPr>
        <w:t>4.4 节能效益由甲方按照第4.2条的规定分期支付乙方，具体支付方式如下:</w:t>
      </w:r>
    </w:p>
    <w:p w14:paraId="1D9BAFB6">
      <w:pPr>
        <w:spacing w:line="360" w:lineRule="auto"/>
        <w:ind w:firstLine="480" w:firstLineChars="200"/>
        <w:rPr>
          <w:color w:val="auto"/>
          <w:sz w:val="24"/>
          <w:highlight w:val="none"/>
        </w:rPr>
      </w:pPr>
      <w:r>
        <w:rPr>
          <w:rFonts w:hint="eastAsia"/>
          <w:color w:val="auto"/>
          <w:sz w:val="24"/>
          <w:highlight w:val="none"/>
        </w:rPr>
        <w:t>(a)节能效益自分享起始日起计算，按季度结算。双方应在结算周期届满后 1</w:t>
      </w:r>
      <w:r>
        <w:rPr>
          <w:color w:val="auto"/>
          <w:sz w:val="24"/>
          <w:highlight w:val="none"/>
        </w:rPr>
        <w:t>0</w:t>
      </w:r>
      <w:r>
        <w:rPr>
          <w:rFonts w:hint="eastAsia"/>
          <w:color w:val="auto"/>
          <w:sz w:val="24"/>
          <w:highlight w:val="none"/>
        </w:rPr>
        <w:t>个工作日内确认相应的节能量。</w:t>
      </w:r>
    </w:p>
    <w:p w14:paraId="1B9D7535">
      <w:pPr>
        <w:spacing w:line="360" w:lineRule="auto"/>
        <w:ind w:firstLine="480" w:firstLineChars="200"/>
        <w:rPr>
          <w:color w:val="auto"/>
          <w:sz w:val="24"/>
          <w:highlight w:val="none"/>
        </w:rPr>
      </w:pPr>
      <w:r>
        <w:rPr>
          <w:rFonts w:hint="eastAsia"/>
          <w:color w:val="auto"/>
          <w:sz w:val="24"/>
          <w:highlight w:val="none"/>
        </w:rPr>
        <w:t>(b)乙方根据已确认的节能量向甲方发出书面的付款请求，需明确付款的金额、方式以及对应的节能量;甲方应当在收到上述付款请求之后的</w:t>
      </w:r>
      <w:r>
        <w:rPr>
          <w:color w:val="auto"/>
          <w:sz w:val="24"/>
          <w:highlight w:val="none"/>
        </w:rPr>
        <w:t>10</w:t>
      </w:r>
      <w:r>
        <w:rPr>
          <w:rFonts w:hint="eastAsia"/>
          <w:color w:val="auto"/>
          <w:sz w:val="24"/>
          <w:highlight w:val="none"/>
        </w:rPr>
        <w:t>个工作日内进行确认并通知乙方开具相应</w:t>
      </w:r>
      <w:r>
        <w:rPr>
          <w:color w:val="auto"/>
          <w:sz w:val="24"/>
          <w:highlight w:val="none"/>
          <w:u w:val="single"/>
        </w:rPr>
        <w:t xml:space="preserve">   %</w:t>
      </w:r>
      <w:r>
        <w:rPr>
          <w:color w:val="auto"/>
          <w:sz w:val="24"/>
          <w:highlight w:val="none"/>
        </w:rPr>
        <w:t>专用增值税</w:t>
      </w:r>
      <w:r>
        <w:rPr>
          <w:rFonts w:hint="eastAsia"/>
          <w:color w:val="auto"/>
          <w:sz w:val="24"/>
          <w:highlight w:val="none"/>
        </w:rPr>
        <w:t>发票，待收到发票后1</w:t>
      </w:r>
      <w:r>
        <w:rPr>
          <w:color w:val="auto"/>
          <w:sz w:val="24"/>
          <w:highlight w:val="none"/>
        </w:rPr>
        <w:t>5</w:t>
      </w:r>
      <w:r>
        <w:rPr>
          <w:rFonts w:hint="eastAsia"/>
          <w:color w:val="auto"/>
          <w:sz w:val="24"/>
          <w:highlight w:val="none"/>
        </w:rPr>
        <w:t>个工作日内将相应的款项以银行汇款的形式支付至乙方账户。</w:t>
      </w:r>
    </w:p>
    <w:p w14:paraId="5785D024">
      <w:pPr>
        <w:spacing w:line="360" w:lineRule="auto"/>
        <w:ind w:firstLine="480" w:firstLineChars="200"/>
        <w:rPr>
          <w:color w:val="auto"/>
          <w:sz w:val="24"/>
          <w:highlight w:val="none"/>
        </w:rPr>
      </w:pPr>
      <w:r>
        <w:rPr>
          <w:rFonts w:hint="eastAsia"/>
          <w:color w:val="auto"/>
          <w:sz w:val="24"/>
          <w:highlight w:val="none"/>
        </w:rPr>
        <w:t>4.5 如双方对任何一期节能效益的部分存在争议，该部分的争议不影响对无争议部分的节能效益的分享和相应款项的支付。</w:t>
      </w:r>
    </w:p>
    <w:p w14:paraId="06FE1C1D">
      <w:pPr>
        <w:spacing w:line="360" w:lineRule="auto"/>
        <w:ind w:firstLine="480" w:firstLineChars="200"/>
        <w:rPr>
          <w:color w:val="auto"/>
          <w:sz w:val="24"/>
          <w:highlight w:val="none"/>
        </w:rPr>
      </w:pPr>
      <w:r>
        <w:rPr>
          <w:rFonts w:hint="eastAsia"/>
          <w:color w:val="auto"/>
          <w:sz w:val="24"/>
          <w:highlight w:val="none"/>
        </w:rPr>
        <w:t>4</w:t>
      </w:r>
      <w:r>
        <w:rPr>
          <w:color w:val="auto"/>
          <w:sz w:val="24"/>
          <w:highlight w:val="none"/>
        </w:rPr>
        <w:t>.6 如因中压蒸汽、电价格波动导致项目实际收益未达</w:t>
      </w:r>
      <w:r>
        <w:rPr>
          <w:rFonts w:hint="eastAsia"/>
          <w:color w:val="auto"/>
          <w:sz w:val="24"/>
          <w:highlight w:val="none"/>
        </w:rPr>
        <w:t>或超过</w:t>
      </w:r>
      <w:r>
        <w:rPr>
          <w:color w:val="auto"/>
          <w:sz w:val="24"/>
          <w:highlight w:val="none"/>
        </w:rPr>
        <w:t>预期，按实际收益及合同分配比例进行分成</w:t>
      </w:r>
      <w:r>
        <w:rPr>
          <w:rFonts w:hint="eastAsia"/>
          <w:color w:val="auto"/>
          <w:sz w:val="24"/>
          <w:highlight w:val="none"/>
        </w:rPr>
        <w:t>。</w:t>
      </w:r>
    </w:p>
    <w:p w14:paraId="0CBA90B7">
      <w:pPr>
        <w:spacing w:line="360" w:lineRule="auto"/>
        <w:rPr>
          <w:b/>
          <w:bCs/>
          <w:color w:val="auto"/>
          <w:sz w:val="24"/>
          <w:highlight w:val="none"/>
        </w:rPr>
      </w:pPr>
      <w:r>
        <w:rPr>
          <w:rFonts w:hint="eastAsia"/>
          <w:b/>
          <w:bCs/>
          <w:color w:val="auto"/>
          <w:sz w:val="24"/>
          <w:highlight w:val="none"/>
        </w:rPr>
        <w:t>第5节 甲方的义务</w:t>
      </w:r>
    </w:p>
    <w:p w14:paraId="64D8A9E0">
      <w:pPr>
        <w:spacing w:line="360" w:lineRule="auto"/>
        <w:ind w:firstLine="480" w:firstLineChars="200"/>
        <w:rPr>
          <w:color w:val="auto"/>
          <w:sz w:val="24"/>
          <w:highlight w:val="none"/>
        </w:rPr>
      </w:pPr>
      <w:r>
        <w:rPr>
          <w:rFonts w:hint="eastAsia"/>
          <w:color w:val="auto"/>
          <w:sz w:val="24"/>
          <w:highlight w:val="none"/>
        </w:rPr>
        <w:t>5.1 如根据相关的法律法规，或者是基于任何有权的第三方的要求，本项目的实施必须由甲方向相应的政府机构或者其他第三方申请许可、同意或者批准，甲方应当根据乙方的请求，及时申请该等许可、同意或者是批准，并在本合同期间保持其有效性。甲方也应当根据乙方的合理要求，协助其获得其他为实施本项目所必需的许可、同意或者批准。</w:t>
      </w:r>
    </w:p>
    <w:p w14:paraId="19CDF908">
      <w:pPr>
        <w:spacing w:line="360" w:lineRule="auto"/>
        <w:ind w:firstLine="480" w:firstLineChars="200"/>
        <w:rPr>
          <w:color w:val="auto"/>
          <w:sz w:val="24"/>
          <w:highlight w:val="none"/>
        </w:rPr>
      </w:pPr>
      <w:r>
        <w:rPr>
          <w:rFonts w:hint="eastAsia"/>
          <w:color w:val="auto"/>
          <w:sz w:val="24"/>
          <w:highlight w:val="none"/>
        </w:rPr>
        <w:t>5.2 甲方应当根据乙方的合理要求，及时提供节能项目设计和实施所必需的资料和数据，并确保其真实、准确、完整。</w:t>
      </w:r>
    </w:p>
    <w:p w14:paraId="0DBD68D7">
      <w:pPr>
        <w:spacing w:line="360" w:lineRule="auto"/>
        <w:ind w:firstLine="480" w:firstLineChars="200"/>
        <w:rPr>
          <w:color w:val="auto"/>
          <w:sz w:val="24"/>
          <w:highlight w:val="none"/>
        </w:rPr>
      </w:pPr>
      <w:r>
        <w:rPr>
          <w:rFonts w:hint="eastAsia"/>
          <w:color w:val="auto"/>
          <w:sz w:val="24"/>
          <w:highlight w:val="none"/>
        </w:rPr>
        <w:t>5.3 提供节能项目实施所需要的现场条件和必要的协助，如清理施工现场、合理调整生产、设备试运行等。</w:t>
      </w:r>
    </w:p>
    <w:p w14:paraId="67C90936">
      <w:pPr>
        <w:spacing w:line="360" w:lineRule="auto"/>
        <w:ind w:firstLine="480" w:firstLineChars="200"/>
        <w:rPr>
          <w:color w:val="auto"/>
          <w:sz w:val="24"/>
          <w:highlight w:val="none"/>
        </w:rPr>
      </w:pPr>
      <w:r>
        <w:rPr>
          <w:rFonts w:hint="eastAsia"/>
          <w:color w:val="auto"/>
          <w:sz w:val="24"/>
          <w:highlight w:val="none"/>
        </w:rPr>
        <w:t>5.4 根据附件一之文件6的相关规定，指派具有资质的操作人员参加培训。</w:t>
      </w:r>
    </w:p>
    <w:p w14:paraId="15328E98">
      <w:pPr>
        <w:spacing w:line="360" w:lineRule="auto"/>
        <w:ind w:firstLine="480" w:firstLineChars="200"/>
        <w:rPr>
          <w:color w:val="auto"/>
          <w:sz w:val="24"/>
          <w:highlight w:val="none"/>
        </w:rPr>
      </w:pPr>
      <w:r>
        <w:rPr>
          <w:rFonts w:hint="eastAsia"/>
          <w:color w:val="auto"/>
          <w:sz w:val="24"/>
          <w:highlight w:val="none"/>
        </w:rPr>
        <w:t>5.5 甲方应提供必要的资料和协助，配合双方同意的第三方机构开展节能量测量和验证。</w:t>
      </w:r>
    </w:p>
    <w:p w14:paraId="68895F78">
      <w:pPr>
        <w:spacing w:line="360" w:lineRule="auto"/>
        <w:ind w:firstLine="480" w:firstLineChars="200"/>
        <w:rPr>
          <w:color w:val="auto"/>
          <w:sz w:val="24"/>
          <w:highlight w:val="none"/>
        </w:rPr>
      </w:pPr>
      <w:r>
        <w:rPr>
          <w:rFonts w:hint="eastAsia"/>
          <w:color w:val="auto"/>
          <w:sz w:val="24"/>
          <w:highlight w:val="none"/>
        </w:rPr>
        <w:t>5.6 甲方应根据项目方案的相关规定，及时协助乙方完成项目的试运行和验收，并提供确认安装完成和试运行正常的验收文件。</w:t>
      </w:r>
    </w:p>
    <w:p w14:paraId="27F9D620">
      <w:pPr>
        <w:spacing w:line="360" w:lineRule="auto"/>
        <w:ind w:firstLine="480" w:firstLineChars="200"/>
        <w:rPr>
          <w:color w:val="auto"/>
          <w:sz w:val="24"/>
          <w:highlight w:val="none"/>
        </w:rPr>
      </w:pPr>
      <w:r>
        <w:rPr>
          <w:rFonts w:hint="eastAsia"/>
          <w:color w:val="auto"/>
          <w:sz w:val="24"/>
          <w:highlight w:val="none"/>
        </w:rPr>
        <w:t>5.7 甲方应根据附件一的规定对设备进行日常操作、日常巡检、日常抄表并做出记录、妥善保存5年。甲方应根据乙方的合理要求及时向其提供该等记录。</w:t>
      </w:r>
    </w:p>
    <w:p w14:paraId="3C0BA76D">
      <w:pPr>
        <w:spacing w:line="360" w:lineRule="auto"/>
        <w:ind w:firstLine="480" w:firstLineChars="200"/>
        <w:rPr>
          <w:color w:val="auto"/>
          <w:sz w:val="24"/>
          <w:highlight w:val="none"/>
        </w:rPr>
      </w:pPr>
      <w:r>
        <w:rPr>
          <w:rFonts w:hint="eastAsia"/>
          <w:color w:val="auto"/>
          <w:sz w:val="24"/>
          <w:highlight w:val="none"/>
        </w:rPr>
        <w:t>5.8 甲方应当根据项目方案的规定，为乙方或者乙方聘请的第三方进行项目的建设、维护、运营及检测、修理项目设施和设备提供合理的协助，保证乙方或者乙方聘请的第三方可合理地接近与本项目有关的设施和设备。</w:t>
      </w:r>
    </w:p>
    <w:p w14:paraId="72E45130">
      <w:pPr>
        <w:spacing w:line="360" w:lineRule="auto"/>
        <w:ind w:firstLine="480" w:firstLineChars="200"/>
        <w:rPr>
          <w:color w:val="auto"/>
          <w:sz w:val="24"/>
          <w:highlight w:val="none"/>
        </w:rPr>
      </w:pPr>
      <w:r>
        <w:rPr>
          <w:rFonts w:hint="eastAsia"/>
          <w:color w:val="auto"/>
          <w:sz w:val="24"/>
          <w:highlight w:val="none"/>
        </w:rPr>
        <w:t>5.9 节能效益分享期间，如设备发生故障、损坏和丢失，甲方应在得知此情况后及时书面通知乙方，配合乙方对设备进行维修和监管。</w:t>
      </w:r>
    </w:p>
    <w:p w14:paraId="0C1BDF16">
      <w:pPr>
        <w:spacing w:line="360" w:lineRule="auto"/>
        <w:ind w:firstLine="480" w:firstLineChars="200"/>
        <w:rPr>
          <w:color w:val="auto"/>
          <w:sz w:val="24"/>
          <w:highlight w:val="none"/>
        </w:rPr>
      </w:pPr>
      <w:r>
        <w:rPr>
          <w:rFonts w:hint="eastAsia"/>
          <w:color w:val="auto"/>
          <w:sz w:val="24"/>
          <w:highlight w:val="none"/>
        </w:rPr>
        <w:t>5.10 甲方应保证与项目相关的设备、设施的运行符合国家法律法规及产业政策要求。</w:t>
      </w:r>
    </w:p>
    <w:p w14:paraId="041D586E">
      <w:pPr>
        <w:spacing w:line="360" w:lineRule="auto"/>
        <w:ind w:firstLine="480" w:firstLineChars="200"/>
        <w:rPr>
          <w:color w:val="auto"/>
          <w:sz w:val="24"/>
          <w:highlight w:val="none"/>
        </w:rPr>
      </w:pPr>
      <w:r>
        <w:rPr>
          <w:rFonts w:hint="eastAsia"/>
          <w:color w:val="auto"/>
          <w:sz w:val="24"/>
          <w:highlight w:val="none"/>
        </w:rPr>
        <w:t>5.11 甲方应保证与项目相关的设备、设施连续稳定运行且运行状况良好。</w:t>
      </w:r>
    </w:p>
    <w:p w14:paraId="03CA5B75">
      <w:pPr>
        <w:spacing w:line="360" w:lineRule="auto"/>
        <w:ind w:firstLine="480" w:firstLineChars="200"/>
        <w:rPr>
          <w:color w:val="auto"/>
          <w:sz w:val="24"/>
          <w:highlight w:val="none"/>
        </w:rPr>
      </w:pPr>
      <w:r>
        <w:rPr>
          <w:rFonts w:hint="eastAsia"/>
          <w:color w:val="auto"/>
          <w:sz w:val="24"/>
          <w:highlight w:val="none"/>
        </w:rPr>
        <w:t>5.12 甲方应当按照本合同4.4条的规定，及时向乙方付款。</w:t>
      </w:r>
    </w:p>
    <w:p w14:paraId="495FA7EA">
      <w:pPr>
        <w:spacing w:line="360" w:lineRule="auto"/>
        <w:ind w:firstLine="480" w:firstLineChars="200"/>
        <w:rPr>
          <w:color w:val="auto"/>
          <w:sz w:val="24"/>
          <w:highlight w:val="none"/>
        </w:rPr>
      </w:pPr>
      <w:r>
        <w:rPr>
          <w:rFonts w:hint="eastAsia"/>
          <w:color w:val="auto"/>
          <w:sz w:val="24"/>
          <w:highlight w:val="none"/>
        </w:rPr>
        <w:t>5.13 甲方应当将与项目有关的其他内部规章制度和特殊安全规定要求及时提前告知乙方、乙方的工作人员或其聘请的第三方，并根据需要提供防护用品（原则上乙方自备）。</w:t>
      </w:r>
    </w:p>
    <w:p w14:paraId="7AB1D5A5">
      <w:pPr>
        <w:spacing w:line="360" w:lineRule="auto"/>
        <w:ind w:firstLine="480" w:firstLineChars="200"/>
        <w:rPr>
          <w:color w:val="auto"/>
          <w:sz w:val="24"/>
          <w:highlight w:val="none"/>
        </w:rPr>
      </w:pPr>
      <w:r>
        <w:rPr>
          <w:rFonts w:hint="eastAsia"/>
          <w:color w:val="auto"/>
          <w:sz w:val="24"/>
          <w:highlight w:val="none"/>
        </w:rPr>
        <w:t>5</w:t>
      </w:r>
      <w:r>
        <w:rPr>
          <w:color w:val="auto"/>
          <w:sz w:val="24"/>
          <w:highlight w:val="none"/>
        </w:rPr>
        <w:t>.14 其他：____________________________</w:t>
      </w:r>
    </w:p>
    <w:p w14:paraId="11CF5EDC">
      <w:pPr>
        <w:spacing w:line="360" w:lineRule="auto"/>
        <w:jc w:val="left"/>
        <w:rPr>
          <w:b/>
          <w:bCs/>
          <w:color w:val="auto"/>
          <w:sz w:val="24"/>
          <w:highlight w:val="none"/>
        </w:rPr>
      </w:pPr>
      <w:r>
        <w:rPr>
          <w:rFonts w:hint="eastAsia"/>
          <w:b/>
          <w:bCs/>
          <w:color w:val="auto"/>
          <w:sz w:val="24"/>
          <w:highlight w:val="none"/>
        </w:rPr>
        <w:t>第6节 乙方的义务</w:t>
      </w:r>
    </w:p>
    <w:p w14:paraId="32A61D17">
      <w:pPr>
        <w:spacing w:line="360" w:lineRule="auto"/>
        <w:ind w:firstLine="480" w:firstLineChars="200"/>
        <w:rPr>
          <w:color w:val="auto"/>
          <w:sz w:val="24"/>
          <w:highlight w:val="none"/>
        </w:rPr>
      </w:pPr>
      <w:r>
        <w:rPr>
          <w:rFonts w:hint="eastAsia"/>
          <w:color w:val="auto"/>
          <w:sz w:val="24"/>
          <w:highlight w:val="none"/>
        </w:rPr>
        <w:t>6.1 乙方应当按照附件一的项目方案文件规定的技术标准和要求以及本合同的规定，自行或者通过经甲方批准的第三方按时完成本项目的方案设计、建设、运营以及维护。</w:t>
      </w:r>
    </w:p>
    <w:p w14:paraId="5681AF53">
      <w:pPr>
        <w:spacing w:line="360" w:lineRule="auto"/>
        <w:ind w:firstLine="480" w:firstLineChars="200"/>
        <w:rPr>
          <w:color w:val="auto"/>
          <w:sz w:val="24"/>
          <w:highlight w:val="none"/>
        </w:rPr>
      </w:pPr>
      <w:r>
        <w:rPr>
          <w:rFonts w:hint="eastAsia"/>
          <w:color w:val="auto"/>
          <w:sz w:val="24"/>
          <w:highlight w:val="none"/>
        </w:rPr>
        <w:t>6.2 乙方应当确保其工作人员和其聘请的第三方严格遵守甲方有关施工场地安全和卫生等方面的规定，并听从甲方合理的现场指挥。</w:t>
      </w:r>
    </w:p>
    <w:p w14:paraId="738BF6C6">
      <w:pPr>
        <w:spacing w:line="360" w:lineRule="auto"/>
        <w:ind w:firstLine="480" w:firstLineChars="200"/>
        <w:rPr>
          <w:color w:val="auto"/>
          <w:sz w:val="24"/>
          <w:highlight w:val="none"/>
        </w:rPr>
      </w:pPr>
      <w:r>
        <w:rPr>
          <w:rFonts w:hint="eastAsia"/>
          <w:color w:val="auto"/>
          <w:sz w:val="24"/>
          <w:highlight w:val="none"/>
        </w:rPr>
        <w:t>6.3 乙方应当依照附件一之文件6的相关规定，对甲方指派的操作人员进行适当的培训，以使其能承担相应的操作和设施维护要求。</w:t>
      </w:r>
    </w:p>
    <w:p w14:paraId="30D63C30">
      <w:pPr>
        <w:spacing w:line="360" w:lineRule="auto"/>
        <w:ind w:firstLine="480" w:firstLineChars="200"/>
        <w:rPr>
          <w:color w:val="auto"/>
          <w:sz w:val="24"/>
          <w:highlight w:val="none"/>
        </w:rPr>
      </w:pPr>
      <w:r>
        <w:rPr>
          <w:rFonts w:hint="eastAsia"/>
          <w:color w:val="auto"/>
          <w:sz w:val="24"/>
          <w:highlight w:val="none"/>
        </w:rPr>
        <w:t>6.4 乙方应当根据相应的法律法规的要求，申请除必须由甲方申请之外的有关项目的许可、批准和同意。</w:t>
      </w:r>
    </w:p>
    <w:p w14:paraId="1A32C549">
      <w:pPr>
        <w:spacing w:line="360" w:lineRule="auto"/>
        <w:ind w:firstLine="480" w:firstLineChars="200"/>
        <w:rPr>
          <w:color w:val="auto"/>
          <w:sz w:val="24"/>
          <w:highlight w:val="none"/>
        </w:rPr>
      </w:pPr>
      <w:r>
        <w:rPr>
          <w:rFonts w:hint="eastAsia"/>
          <w:color w:val="auto"/>
          <w:sz w:val="24"/>
          <w:highlight w:val="none"/>
        </w:rPr>
        <w:t>6.5 乙方安装和调试相关设备、设施应符合国家、行业有关施工管理法律法规和与项目相对应的技术标准规范要求，以及甲方合理的特有的施工、管理要求</w:t>
      </w:r>
    </w:p>
    <w:p w14:paraId="796D6C2B">
      <w:pPr>
        <w:spacing w:line="360" w:lineRule="auto"/>
        <w:ind w:firstLine="480" w:firstLineChars="200"/>
        <w:rPr>
          <w:color w:val="auto"/>
          <w:sz w:val="24"/>
          <w:highlight w:val="none"/>
        </w:rPr>
      </w:pPr>
      <w:r>
        <w:rPr>
          <w:rFonts w:hint="eastAsia"/>
          <w:color w:val="auto"/>
          <w:sz w:val="24"/>
          <w:highlight w:val="none"/>
        </w:rPr>
        <w:t>6.6 在接到甲方关于项目运行故障的通知之后，乙方应根据附件一的相关规定和要求，及时完成相关维修或设备更换，所有维护费用由乙方承担。</w:t>
      </w:r>
    </w:p>
    <w:p w14:paraId="73D9CFE1">
      <w:pPr>
        <w:spacing w:line="360" w:lineRule="auto"/>
        <w:ind w:firstLine="480" w:firstLineChars="200"/>
        <w:rPr>
          <w:color w:val="auto"/>
          <w:sz w:val="24"/>
          <w:highlight w:val="none"/>
        </w:rPr>
      </w:pPr>
      <w:r>
        <w:rPr>
          <w:rFonts w:hint="eastAsia"/>
          <w:color w:val="auto"/>
          <w:sz w:val="24"/>
          <w:highlight w:val="none"/>
        </w:rPr>
        <w:t>6.7乙方应当确保其工作人员或者其聘请的第三方在项目实施、运行的整个过程中遵守相关法律法规，以及甲方的相关规章制度，如其工作人员或者其聘请的第三方违反甲方相关规则制度，甲方有权利对乙方进行考核。</w:t>
      </w:r>
    </w:p>
    <w:p w14:paraId="2667371A">
      <w:pPr>
        <w:spacing w:line="360" w:lineRule="auto"/>
        <w:ind w:firstLine="480" w:firstLineChars="200"/>
        <w:rPr>
          <w:color w:val="auto"/>
          <w:sz w:val="24"/>
          <w:highlight w:val="none"/>
        </w:rPr>
      </w:pPr>
      <w:r>
        <w:rPr>
          <w:rFonts w:hint="eastAsia"/>
          <w:color w:val="auto"/>
          <w:sz w:val="24"/>
          <w:highlight w:val="none"/>
        </w:rPr>
        <w:t>6.8 乙方应配合双方同意的第三方机构或甲方开展节能量测量和验证。</w:t>
      </w:r>
    </w:p>
    <w:p w14:paraId="561444D5">
      <w:pPr>
        <w:spacing w:line="360" w:lineRule="auto"/>
        <w:ind w:firstLine="480" w:firstLineChars="200"/>
        <w:rPr>
          <w:color w:val="auto"/>
          <w:sz w:val="24"/>
          <w:highlight w:val="none"/>
        </w:rPr>
      </w:pPr>
      <w:r>
        <w:rPr>
          <w:rFonts w:hint="eastAsia"/>
          <w:color w:val="auto"/>
          <w:sz w:val="24"/>
          <w:highlight w:val="none"/>
        </w:rPr>
        <w:t>6</w:t>
      </w:r>
      <w:r>
        <w:rPr>
          <w:color w:val="auto"/>
          <w:sz w:val="24"/>
          <w:highlight w:val="none"/>
        </w:rPr>
        <w:t>.9其他：____________________________</w:t>
      </w:r>
    </w:p>
    <w:p w14:paraId="3DC6E4D1">
      <w:pPr>
        <w:spacing w:line="360" w:lineRule="auto"/>
        <w:rPr>
          <w:b/>
          <w:bCs/>
          <w:color w:val="auto"/>
          <w:sz w:val="24"/>
          <w:highlight w:val="none"/>
        </w:rPr>
      </w:pPr>
      <w:r>
        <w:rPr>
          <w:rFonts w:hint="eastAsia"/>
          <w:b/>
          <w:bCs/>
          <w:color w:val="auto"/>
          <w:sz w:val="24"/>
          <w:highlight w:val="none"/>
        </w:rPr>
        <w:t>第7节 项目的更改</w:t>
      </w:r>
    </w:p>
    <w:p w14:paraId="241DCF89">
      <w:pPr>
        <w:spacing w:line="360" w:lineRule="auto"/>
        <w:ind w:firstLine="480" w:firstLineChars="200"/>
        <w:rPr>
          <w:color w:val="auto"/>
          <w:sz w:val="24"/>
          <w:highlight w:val="none"/>
        </w:rPr>
      </w:pPr>
      <w:r>
        <w:rPr>
          <w:rFonts w:hint="eastAsia"/>
          <w:color w:val="auto"/>
          <w:sz w:val="24"/>
          <w:highlight w:val="none"/>
        </w:rPr>
        <w:t>7.1 项目开始运行之后，甲方和乙方的项目负责人应当至少每月进行一次工作会议，讨论与项目运行和维护有关的事宜。</w:t>
      </w:r>
    </w:p>
    <w:p w14:paraId="00B9A809">
      <w:pPr>
        <w:spacing w:line="360" w:lineRule="auto"/>
        <w:ind w:firstLine="480" w:firstLineChars="200"/>
        <w:rPr>
          <w:color w:val="auto"/>
          <w:sz w:val="24"/>
          <w:highlight w:val="none"/>
        </w:rPr>
      </w:pPr>
      <w:r>
        <w:rPr>
          <w:rFonts w:hint="eastAsia"/>
          <w:color w:val="auto"/>
          <w:sz w:val="24"/>
          <w:highlight w:val="none"/>
        </w:rPr>
        <w:t>7.2如在项目的建设期间出现乙方作为专业的节能服务提供者能够合理预料之外的情况，从而导致原有项目方案需要修改，则乙方有权对原有项目方案进行修改并实施修改的方案，但前提是不会对原有项目方案设定的主要节能目标和技术指标造成重大不利影响。除非该情况的出现是由甲方的过错造成，所有由此产生的费用由乙方承担。</w:t>
      </w:r>
    </w:p>
    <w:p w14:paraId="3E839652">
      <w:pPr>
        <w:spacing w:line="360" w:lineRule="auto"/>
        <w:ind w:firstLine="480" w:firstLineChars="200"/>
        <w:rPr>
          <w:color w:val="auto"/>
          <w:sz w:val="24"/>
          <w:highlight w:val="none"/>
        </w:rPr>
      </w:pPr>
      <w:r>
        <w:rPr>
          <w:rFonts w:hint="eastAsia"/>
          <w:color w:val="auto"/>
          <w:sz w:val="24"/>
          <w:highlight w:val="none"/>
        </w:rPr>
        <w:t>7.3在本项目运行期间，乙方有权为优化项目方案、提高节能效益对项目进行改造，包括但不限于对相关设备或设施进行添加、更换、去除、改造，或者是对相关操作、维护程序和方法进行修改。乙方应当预先将项目改造方案提交甲方审核，所有的改造费用由乙方承担。</w:t>
      </w:r>
    </w:p>
    <w:p w14:paraId="05CDC205">
      <w:pPr>
        <w:spacing w:line="360" w:lineRule="auto"/>
        <w:ind w:firstLine="480" w:firstLineChars="200"/>
        <w:rPr>
          <w:color w:val="auto"/>
          <w:sz w:val="24"/>
          <w:highlight w:val="none"/>
        </w:rPr>
      </w:pPr>
      <w:r>
        <w:rPr>
          <w:rFonts w:hint="eastAsia"/>
          <w:color w:val="auto"/>
          <w:sz w:val="24"/>
          <w:highlight w:val="none"/>
        </w:rPr>
        <w:t>实施必须由甲方向相应的政府机构或者其他第三方申请许可、同意或者批准，甲方应当根据乙方的请求，及时申请该等许可、同意或者是批准，并在本合同期间保持其有效性。</w:t>
      </w:r>
    </w:p>
    <w:p w14:paraId="6A6595EE">
      <w:pPr>
        <w:spacing w:line="360" w:lineRule="auto"/>
        <w:ind w:firstLine="480" w:firstLineChars="200"/>
        <w:rPr>
          <w:color w:val="auto"/>
          <w:sz w:val="24"/>
          <w:highlight w:val="none"/>
        </w:rPr>
      </w:pPr>
      <w:r>
        <w:rPr>
          <w:rFonts w:hint="eastAsia"/>
          <w:color w:val="auto"/>
          <w:sz w:val="24"/>
          <w:highlight w:val="none"/>
        </w:rPr>
        <w:t>7.4 在本项目运行期间，甲方拆除、更换、更改、添加或移动现有设备、设施、场地，以致对本项目的节能效益产生不利影响，甲方应补偿乙方由此节能效益下降造成的相应的损失。</w:t>
      </w:r>
    </w:p>
    <w:p w14:paraId="38F9B3C0">
      <w:pPr>
        <w:spacing w:line="360" w:lineRule="auto"/>
        <w:rPr>
          <w:b/>
          <w:bCs/>
          <w:color w:val="auto"/>
          <w:sz w:val="24"/>
          <w:highlight w:val="none"/>
        </w:rPr>
      </w:pPr>
      <w:r>
        <w:rPr>
          <w:rFonts w:hint="eastAsia"/>
          <w:b/>
          <w:bCs/>
          <w:color w:val="auto"/>
          <w:sz w:val="24"/>
          <w:highlight w:val="none"/>
        </w:rPr>
        <w:t>第8节 所有权和风险分担</w:t>
      </w:r>
    </w:p>
    <w:p w14:paraId="42BD030B">
      <w:pPr>
        <w:spacing w:line="360" w:lineRule="auto"/>
        <w:ind w:firstLine="480" w:firstLineChars="200"/>
        <w:rPr>
          <w:color w:val="auto"/>
          <w:sz w:val="24"/>
          <w:highlight w:val="none"/>
        </w:rPr>
      </w:pPr>
      <w:r>
        <w:rPr>
          <w:rFonts w:hint="eastAsia"/>
          <w:color w:val="auto"/>
          <w:sz w:val="24"/>
          <w:highlight w:val="none"/>
        </w:rPr>
        <w:t>8.1 在本合同到期并且甲方付清本合同项下全部款项之前，本项目下的所有由乙方采购并安装的设备、设施和仪器等财产(简称“项目财产”)的所有权属于乙方。本合同顺利履行完毕之后，该等项目财产的所有权将无偿转让给甲方，乙方应保证该等项目财产在转让时可以正常运行。转让后，甲方可与乙方签订《成套节能装置维保协议》。项目财产清单见附件一之文件9。成套节能装置维保协议见附件一之文件16。</w:t>
      </w:r>
    </w:p>
    <w:p w14:paraId="38E9467E">
      <w:pPr>
        <w:spacing w:line="360" w:lineRule="auto"/>
        <w:ind w:firstLine="480" w:firstLineChars="200"/>
        <w:rPr>
          <w:color w:val="auto"/>
          <w:sz w:val="24"/>
          <w:highlight w:val="none"/>
        </w:rPr>
      </w:pPr>
      <w:r>
        <w:rPr>
          <w:rFonts w:hint="eastAsia"/>
          <w:color w:val="auto"/>
          <w:sz w:val="24"/>
          <w:highlight w:val="none"/>
        </w:rPr>
        <w:t>8.2 项目财产的所有权由乙方移交给甲方时，应同时移交本项目继续运行所必需的资料。如该项目财产的继续使用需要乙方的相关技术和/或相关知识产权的授权，乙方应当无偿向甲方提供该等授权。如该项目财产的继续使用涉及第三方的服务和/或相关知识产权的授权，该等服务和授权的费用由乙方承担。若有第三方就本项目相关的知识产权主张权利的，由乙方负责处理，并承担全部责任。8.3 项目财产的所有权不因违约或者本合同的提前解除而转移。在本合同提前解除时，项目财产依照第11.6条的规定处理。</w:t>
      </w:r>
    </w:p>
    <w:p w14:paraId="22965369">
      <w:pPr>
        <w:spacing w:line="360" w:lineRule="auto"/>
        <w:ind w:firstLine="480" w:firstLineChars="200"/>
        <w:rPr>
          <w:color w:val="auto"/>
          <w:sz w:val="24"/>
          <w:highlight w:val="none"/>
        </w:rPr>
      </w:pPr>
      <w:r>
        <w:rPr>
          <w:rFonts w:hint="eastAsia"/>
          <w:color w:val="auto"/>
          <w:sz w:val="24"/>
          <w:highlight w:val="none"/>
        </w:rPr>
        <w:t>8.4 在本合同建设期内，乙方负有保管责任，项目财产灭失、被窃、人为损坏的风险由乙方承担;设备竣工验收后，项目财产的保管责任转移至甲方。</w:t>
      </w:r>
    </w:p>
    <w:p w14:paraId="5B4BBDC6">
      <w:pPr>
        <w:spacing w:line="360" w:lineRule="auto"/>
        <w:ind w:firstLine="480" w:firstLineChars="200"/>
        <w:rPr>
          <w:color w:val="auto"/>
          <w:sz w:val="24"/>
          <w:highlight w:val="none"/>
        </w:rPr>
      </w:pPr>
      <w:r>
        <w:rPr>
          <w:rFonts w:hint="eastAsia"/>
          <w:color w:val="auto"/>
          <w:sz w:val="24"/>
          <w:highlight w:val="none"/>
        </w:rPr>
        <w:t>8.5 项目的设备发生故障导致甲方机炉停运的由此产生的一切损失、费用由乙方全部承担。损失、费用计算方式为上年平均时发电量和供热量乘小时数乘相应价格，减去相应的成本。</w:t>
      </w:r>
    </w:p>
    <w:p w14:paraId="4C84B8DA">
      <w:pPr>
        <w:spacing w:line="360" w:lineRule="auto"/>
        <w:ind w:firstLine="480" w:firstLineChars="200"/>
        <w:rPr>
          <w:color w:val="auto"/>
          <w:sz w:val="24"/>
          <w:highlight w:val="none"/>
        </w:rPr>
      </w:pPr>
      <w:r>
        <w:rPr>
          <w:rFonts w:hint="eastAsia"/>
          <w:color w:val="auto"/>
          <w:sz w:val="24"/>
          <w:highlight w:val="none"/>
        </w:rPr>
        <w:t>8.6 因第11.4 条情况发生致使合同解除的，相应的损失及后果由乙方全部承担。</w:t>
      </w:r>
    </w:p>
    <w:p w14:paraId="264EB859">
      <w:pPr>
        <w:spacing w:line="360" w:lineRule="auto"/>
        <w:rPr>
          <w:b/>
          <w:bCs/>
          <w:color w:val="auto"/>
          <w:sz w:val="24"/>
          <w:highlight w:val="none"/>
        </w:rPr>
      </w:pPr>
      <w:r>
        <w:rPr>
          <w:rFonts w:hint="eastAsia"/>
          <w:b/>
          <w:bCs/>
          <w:color w:val="auto"/>
          <w:sz w:val="24"/>
          <w:highlight w:val="none"/>
        </w:rPr>
        <w:t>第9节 违约责任</w:t>
      </w:r>
    </w:p>
    <w:p w14:paraId="3D027D21">
      <w:pPr>
        <w:spacing w:line="360" w:lineRule="auto"/>
        <w:ind w:firstLine="480" w:firstLineChars="200"/>
        <w:rPr>
          <w:color w:val="auto"/>
          <w:sz w:val="24"/>
          <w:highlight w:val="none"/>
        </w:rPr>
      </w:pPr>
      <w:r>
        <w:rPr>
          <w:rFonts w:hint="eastAsia"/>
          <w:color w:val="auto"/>
          <w:sz w:val="24"/>
          <w:highlight w:val="none"/>
        </w:rPr>
        <w:t>9.1 如甲方未按照本合同的规定及时向乙方支付款项，则应当按照       向乙方支付逾期付款违约金。（滞纳金为滞纳金额的万分之五/天）</w:t>
      </w:r>
    </w:p>
    <w:p w14:paraId="0D1481CF">
      <w:pPr>
        <w:spacing w:line="360" w:lineRule="auto"/>
        <w:ind w:firstLine="480" w:firstLineChars="200"/>
        <w:rPr>
          <w:color w:val="auto"/>
          <w:sz w:val="24"/>
          <w:highlight w:val="none"/>
        </w:rPr>
      </w:pPr>
      <w:r>
        <w:rPr>
          <w:rFonts w:hint="eastAsia"/>
          <w:color w:val="auto"/>
          <w:sz w:val="24"/>
          <w:highlight w:val="none"/>
        </w:rPr>
        <w:t>9.2如甲方违反除第 9.1条外的其他义务，乙方对由此而造成的损失有权选择以下任意一种方式要求甲方承担相应的违约赔偿责任:</w:t>
      </w:r>
    </w:p>
    <w:p w14:paraId="04D524A0">
      <w:pPr>
        <w:spacing w:line="360" w:lineRule="auto"/>
        <w:ind w:firstLine="480" w:firstLineChars="200"/>
        <w:rPr>
          <w:color w:val="auto"/>
          <w:sz w:val="24"/>
          <w:highlight w:val="none"/>
        </w:rPr>
      </w:pPr>
      <w:r>
        <w:rPr>
          <w:rFonts w:hint="eastAsia"/>
          <w:color w:val="auto"/>
          <w:sz w:val="24"/>
          <w:highlight w:val="none"/>
        </w:rPr>
        <w:t>(a)按照以下标准延长节能效益分享的时间:在原有节能效益分享期的基础上_</w:t>
      </w:r>
      <w:r>
        <w:rPr>
          <w:color w:val="auto"/>
          <w:sz w:val="24"/>
          <w:highlight w:val="none"/>
        </w:rPr>
        <w:t>_______</w:t>
      </w:r>
      <w:r>
        <w:rPr>
          <w:rFonts w:hint="eastAsia"/>
          <w:color w:val="auto"/>
          <w:sz w:val="24"/>
          <w:highlight w:val="none"/>
        </w:rPr>
        <w:t>的效益分享期:</w:t>
      </w:r>
    </w:p>
    <w:p w14:paraId="030B4E44">
      <w:pPr>
        <w:spacing w:line="360" w:lineRule="auto"/>
        <w:ind w:firstLine="480" w:firstLineChars="200"/>
        <w:rPr>
          <w:color w:val="auto"/>
          <w:sz w:val="24"/>
          <w:highlight w:val="none"/>
        </w:rPr>
      </w:pPr>
      <w:r>
        <w:rPr>
          <w:rFonts w:hint="eastAsia"/>
          <w:color w:val="auto"/>
          <w:sz w:val="24"/>
          <w:highlight w:val="none"/>
        </w:rPr>
        <w:t>(b)按照以下标准增加乙方节能效益分享的比例:在原有节能效益分享比例的基础_</w:t>
      </w:r>
      <w:r>
        <w:rPr>
          <w:color w:val="auto"/>
          <w:sz w:val="24"/>
          <w:highlight w:val="none"/>
        </w:rPr>
        <w:t>__________</w:t>
      </w:r>
      <w:r>
        <w:rPr>
          <w:rFonts w:hint="eastAsia"/>
          <w:color w:val="auto"/>
          <w:sz w:val="24"/>
          <w:highlight w:val="none"/>
        </w:rPr>
        <w:t>;</w:t>
      </w:r>
    </w:p>
    <w:p w14:paraId="715F402E">
      <w:pPr>
        <w:spacing w:line="360" w:lineRule="auto"/>
        <w:ind w:firstLine="480" w:firstLineChars="200"/>
        <w:rPr>
          <w:color w:val="auto"/>
          <w:sz w:val="24"/>
          <w:highlight w:val="none"/>
        </w:rPr>
      </w:pPr>
      <w:r>
        <w:rPr>
          <w:rFonts w:hint="eastAsia"/>
          <w:color w:val="auto"/>
          <w:sz w:val="24"/>
          <w:highlight w:val="none"/>
        </w:rPr>
        <w:t>(c)直接要求甲方赔偿损失:</w:t>
      </w:r>
    </w:p>
    <w:p w14:paraId="068682E6">
      <w:pPr>
        <w:spacing w:line="360" w:lineRule="auto"/>
        <w:ind w:firstLine="480" w:firstLineChars="200"/>
        <w:rPr>
          <w:color w:val="auto"/>
          <w:sz w:val="24"/>
          <w:highlight w:val="none"/>
        </w:rPr>
      </w:pPr>
      <w:r>
        <w:rPr>
          <w:rFonts w:hint="eastAsia"/>
          <w:color w:val="auto"/>
          <w:sz w:val="24"/>
          <w:highlight w:val="none"/>
        </w:rPr>
        <w:t>(d)依照第11.5条的规定解除合同，并要求甲方赔偿全部损失。</w:t>
      </w:r>
    </w:p>
    <w:p w14:paraId="19581255">
      <w:pPr>
        <w:spacing w:line="360" w:lineRule="auto"/>
        <w:ind w:firstLine="480" w:firstLineChars="200"/>
        <w:rPr>
          <w:color w:val="auto"/>
          <w:sz w:val="24"/>
          <w:highlight w:val="none"/>
        </w:rPr>
      </w:pPr>
      <w:r>
        <w:rPr>
          <w:rFonts w:hint="eastAsia"/>
          <w:color w:val="auto"/>
          <w:sz w:val="24"/>
          <w:highlight w:val="none"/>
        </w:rPr>
        <w:t>9.3 如果乙方未能按照项目方案规定的时间和要求完成项目的建设，除非该等延误是由于不可抗力或者是甲方的过错造成，则延误期计入分享期，并承担甲方因此造成的相应损失及后果。</w:t>
      </w:r>
    </w:p>
    <w:p w14:paraId="53F76DC7">
      <w:pPr>
        <w:spacing w:line="360" w:lineRule="auto"/>
        <w:ind w:firstLine="480" w:firstLineChars="200"/>
        <w:rPr>
          <w:color w:val="auto"/>
          <w:sz w:val="24"/>
          <w:highlight w:val="none"/>
        </w:rPr>
      </w:pPr>
      <w:r>
        <w:rPr>
          <w:rFonts w:hint="eastAsia"/>
          <w:color w:val="auto"/>
          <w:sz w:val="24"/>
          <w:highlight w:val="none"/>
        </w:rPr>
        <w:t>9.4 若因甲方原因（如氯化钙三效蒸发装置停运等）致使本合同解除的，甲方按双方协商价回购装置；若因乙方原因致使本合同解除的，乙方应承担甲方因此造成的相应损失及后果，包括但不限于律师费、诉讼费、仲裁费、执行费等或有诉讼仲裁的相应费用。</w:t>
      </w:r>
    </w:p>
    <w:p w14:paraId="2A97E150">
      <w:pPr>
        <w:spacing w:line="360" w:lineRule="auto"/>
        <w:ind w:firstLine="480" w:firstLineChars="200"/>
        <w:rPr>
          <w:color w:val="auto"/>
          <w:sz w:val="24"/>
          <w:highlight w:val="none"/>
        </w:rPr>
      </w:pPr>
      <w:r>
        <w:rPr>
          <w:rFonts w:hint="eastAsia"/>
          <w:color w:val="auto"/>
          <w:sz w:val="24"/>
          <w:highlight w:val="none"/>
        </w:rPr>
        <w:t>9.5 如果乙方违反除9.3条外的其他义务，甲方有权对由此造成的损失选择以下任一种方式要求乙方承担相应的违约赔偿责任。</w:t>
      </w:r>
    </w:p>
    <w:p w14:paraId="2CBF1260">
      <w:pPr>
        <w:spacing w:line="360" w:lineRule="auto"/>
        <w:ind w:firstLine="480" w:firstLineChars="200"/>
        <w:rPr>
          <w:color w:val="auto"/>
          <w:sz w:val="24"/>
          <w:highlight w:val="none"/>
        </w:rPr>
      </w:pPr>
      <w:r>
        <w:rPr>
          <w:rFonts w:hint="eastAsia"/>
          <w:color w:val="auto"/>
          <w:sz w:val="24"/>
          <w:highlight w:val="none"/>
        </w:rPr>
        <w:t>(a)按照以下标准降低乙方节能效益分享的比例:在原有节能效益分享比例的基础上</w:t>
      </w:r>
      <w:r>
        <w:rPr>
          <w:rFonts w:hint="eastAsia"/>
          <w:color w:val="auto"/>
          <w:sz w:val="24"/>
          <w:highlight w:val="none"/>
          <w:u w:val="single"/>
        </w:rPr>
        <w:t>_</w:t>
      </w:r>
      <w:r>
        <w:rPr>
          <w:color w:val="auto"/>
          <w:sz w:val="24"/>
          <w:highlight w:val="none"/>
          <w:u w:val="single"/>
        </w:rPr>
        <w:t>__________</w:t>
      </w:r>
      <w:r>
        <w:rPr>
          <w:rFonts w:hint="eastAsia"/>
          <w:color w:val="auto"/>
          <w:sz w:val="24"/>
          <w:highlight w:val="none"/>
        </w:rPr>
        <w:t>;</w:t>
      </w:r>
    </w:p>
    <w:p w14:paraId="1AE4A9FB">
      <w:pPr>
        <w:spacing w:line="360" w:lineRule="auto"/>
        <w:ind w:firstLine="480" w:firstLineChars="200"/>
        <w:rPr>
          <w:color w:val="auto"/>
          <w:sz w:val="24"/>
          <w:highlight w:val="none"/>
        </w:rPr>
      </w:pPr>
      <w:r>
        <w:rPr>
          <w:rFonts w:hint="eastAsia"/>
          <w:color w:val="auto"/>
          <w:sz w:val="24"/>
          <w:highlight w:val="none"/>
        </w:rPr>
        <w:t>(b)按照以下标准缩短乙方节能效益分享的时间:在原有节能效益分享期的基础上</w:t>
      </w:r>
      <w:r>
        <w:rPr>
          <w:rFonts w:hint="eastAsia"/>
          <w:color w:val="auto"/>
          <w:sz w:val="24"/>
          <w:highlight w:val="none"/>
          <w:u w:val="single"/>
        </w:rPr>
        <w:t>_</w:t>
      </w:r>
      <w:r>
        <w:rPr>
          <w:color w:val="auto"/>
          <w:sz w:val="24"/>
          <w:highlight w:val="none"/>
          <w:u w:val="single"/>
        </w:rPr>
        <w:t>__________</w:t>
      </w:r>
      <w:r>
        <w:rPr>
          <w:rFonts w:hint="eastAsia"/>
          <w:color w:val="auto"/>
          <w:sz w:val="24"/>
          <w:highlight w:val="none"/>
        </w:rPr>
        <w:t>的效益分享期;</w:t>
      </w:r>
    </w:p>
    <w:p w14:paraId="6AD8AA77">
      <w:pPr>
        <w:spacing w:line="360" w:lineRule="auto"/>
        <w:ind w:firstLine="480" w:firstLineChars="200"/>
        <w:rPr>
          <w:color w:val="auto"/>
          <w:sz w:val="24"/>
          <w:highlight w:val="none"/>
        </w:rPr>
      </w:pPr>
      <w:r>
        <w:rPr>
          <w:rFonts w:hint="eastAsia"/>
          <w:color w:val="auto"/>
          <w:sz w:val="24"/>
          <w:highlight w:val="none"/>
        </w:rPr>
        <w:t>(c)直接要求乙方赔偿损失;</w:t>
      </w:r>
    </w:p>
    <w:p w14:paraId="4E07F0CC">
      <w:pPr>
        <w:spacing w:line="360" w:lineRule="auto"/>
        <w:ind w:firstLine="480" w:firstLineChars="200"/>
        <w:rPr>
          <w:color w:val="auto"/>
          <w:sz w:val="24"/>
          <w:highlight w:val="none"/>
        </w:rPr>
      </w:pPr>
      <w:r>
        <w:rPr>
          <w:rFonts w:hint="eastAsia"/>
          <w:color w:val="auto"/>
          <w:sz w:val="24"/>
          <w:highlight w:val="none"/>
        </w:rPr>
        <w:t>(d)依照第11.5条的规定，解除合同，并要求乙方赔偿损失。</w:t>
      </w:r>
    </w:p>
    <w:p w14:paraId="6D31A5EE">
      <w:pPr>
        <w:spacing w:line="360" w:lineRule="auto"/>
        <w:ind w:firstLine="480" w:firstLineChars="200"/>
        <w:rPr>
          <w:color w:val="auto"/>
          <w:sz w:val="24"/>
          <w:highlight w:val="none"/>
        </w:rPr>
      </w:pPr>
      <w:r>
        <w:rPr>
          <w:rFonts w:hint="eastAsia"/>
          <w:color w:val="auto"/>
          <w:sz w:val="24"/>
          <w:highlight w:val="none"/>
        </w:rPr>
        <w:t>9.6本条规定的违约责任方式不影响甲乙双方依照法律法规可获得的其他救济手段。</w:t>
      </w:r>
    </w:p>
    <w:p w14:paraId="28C9F42D">
      <w:pPr>
        <w:spacing w:line="360" w:lineRule="auto"/>
        <w:ind w:firstLine="480" w:firstLineChars="200"/>
        <w:rPr>
          <w:color w:val="auto"/>
          <w:sz w:val="24"/>
          <w:highlight w:val="none"/>
        </w:rPr>
      </w:pPr>
      <w:r>
        <w:rPr>
          <w:rFonts w:hint="eastAsia"/>
          <w:color w:val="auto"/>
          <w:sz w:val="24"/>
          <w:highlight w:val="none"/>
        </w:rPr>
        <w:t>9.7 一方违约后，另一方应采取适当措施，防止损失的扩大，否则不能就扩大部分的损失要求赔偿。</w:t>
      </w:r>
    </w:p>
    <w:p w14:paraId="7D66CFA3">
      <w:pPr>
        <w:spacing w:line="360" w:lineRule="auto"/>
        <w:ind w:firstLine="480" w:firstLineChars="200"/>
        <w:rPr>
          <w:color w:val="auto"/>
          <w:sz w:val="24"/>
          <w:highlight w:val="none"/>
        </w:rPr>
      </w:pPr>
      <w:r>
        <w:rPr>
          <w:rFonts w:hint="eastAsia"/>
          <w:color w:val="auto"/>
          <w:sz w:val="24"/>
          <w:highlight w:val="none"/>
        </w:rPr>
        <w:t>9.8项目分享期内，无论何种原因，乙方承担的全部责任范围及赔偿上限累计不超出乙方已分享取得的节能收益总额。</w:t>
      </w:r>
    </w:p>
    <w:p w14:paraId="285273AE">
      <w:pPr>
        <w:spacing w:line="360" w:lineRule="auto"/>
        <w:ind w:firstLine="480" w:firstLineChars="200"/>
        <w:rPr>
          <w:color w:val="auto"/>
          <w:sz w:val="24"/>
          <w:highlight w:val="none"/>
        </w:rPr>
      </w:pPr>
      <w:r>
        <w:rPr>
          <w:rFonts w:hint="eastAsia"/>
          <w:color w:val="auto"/>
          <w:sz w:val="24"/>
          <w:highlight w:val="none"/>
        </w:rPr>
        <w:t>9</w:t>
      </w:r>
      <w:r>
        <w:rPr>
          <w:color w:val="auto"/>
          <w:sz w:val="24"/>
          <w:highlight w:val="none"/>
        </w:rPr>
        <w:t xml:space="preserve">.9 </w:t>
      </w:r>
      <w:r>
        <w:rPr>
          <w:rFonts w:hint="eastAsia"/>
          <w:color w:val="auto"/>
          <w:sz w:val="24"/>
          <w:highlight w:val="none"/>
        </w:rPr>
        <w:t>双方</w:t>
      </w:r>
      <w:r>
        <w:rPr>
          <w:color w:val="auto"/>
          <w:sz w:val="24"/>
          <w:highlight w:val="none"/>
        </w:rPr>
        <w:t>违约金均以</w:t>
      </w:r>
      <w:r>
        <w:rPr>
          <w:rFonts w:hint="eastAsia"/>
          <w:color w:val="auto"/>
          <w:sz w:val="24"/>
          <w:highlight w:val="none"/>
        </w:rPr>
        <w:t>现汇</w:t>
      </w:r>
      <w:r>
        <w:rPr>
          <w:color w:val="auto"/>
          <w:sz w:val="24"/>
          <w:highlight w:val="none"/>
        </w:rPr>
        <w:t>支付。</w:t>
      </w:r>
    </w:p>
    <w:p w14:paraId="59640F0E">
      <w:pPr>
        <w:spacing w:line="360" w:lineRule="auto"/>
        <w:rPr>
          <w:b/>
          <w:bCs/>
          <w:color w:val="auto"/>
          <w:sz w:val="24"/>
          <w:highlight w:val="none"/>
        </w:rPr>
      </w:pPr>
      <w:r>
        <w:rPr>
          <w:rFonts w:hint="eastAsia"/>
          <w:b/>
          <w:bCs/>
          <w:color w:val="auto"/>
          <w:sz w:val="24"/>
          <w:highlight w:val="none"/>
        </w:rPr>
        <w:t>第10节 不可抗力</w:t>
      </w:r>
    </w:p>
    <w:p w14:paraId="542F6FD2">
      <w:pPr>
        <w:spacing w:line="360" w:lineRule="auto"/>
        <w:ind w:firstLine="480" w:firstLineChars="200"/>
        <w:rPr>
          <w:color w:val="auto"/>
          <w:sz w:val="24"/>
          <w:highlight w:val="none"/>
        </w:rPr>
      </w:pPr>
      <w:r>
        <w:rPr>
          <w:rFonts w:hint="eastAsia"/>
          <w:color w:val="auto"/>
          <w:sz w:val="24"/>
          <w:highlight w:val="none"/>
        </w:rPr>
        <w:t>10.1 本合同下的不可抗力是指不能预见、不能避免、不能克服的客观情况，包括但不限于:</w:t>
      </w:r>
    </w:p>
    <w:p w14:paraId="2AAF5604">
      <w:pPr>
        <w:spacing w:line="360" w:lineRule="auto"/>
        <w:ind w:firstLine="480" w:firstLineChars="200"/>
        <w:rPr>
          <w:color w:val="auto"/>
          <w:sz w:val="24"/>
          <w:highlight w:val="none"/>
        </w:rPr>
      </w:pPr>
      <w:r>
        <w:rPr>
          <w:rFonts w:hint="eastAsia"/>
          <w:color w:val="auto"/>
          <w:sz w:val="24"/>
          <w:highlight w:val="none"/>
        </w:rPr>
        <w:t>(a)雷电、洪水、风暴、地震、滑坡、暴雨等自然灾害、海上危险、航行事故战争、骚乱、暴动、全国紧急状态(无论是实际情况或法律规定的情况)、戒严令、火灾或劳工纠纷(无论是否涉及相关方的雇员)、流行病、离、辐射或放射性污染:或</w:t>
      </w:r>
    </w:p>
    <w:p w14:paraId="55630E2F">
      <w:pPr>
        <w:spacing w:line="360" w:lineRule="auto"/>
        <w:ind w:firstLine="480" w:firstLineChars="200"/>
        <w:rPr>
          <w:color w:val="auto"/>
          <w:sz w:val="24"/>
          <w:highlight w:val="none"/>
        </w:rPr>
      </w:pPr>
      <w:r>
        <w:rPr>
          <w:rFonts w:hint="eastAsia"/>
          <w:color w:val="auto"/>
          <w:sz w:val="24"/>
          <w:highlight w:val="none"/>
        </w:rPr>
        <w:t>(b)任何政府单位或非政府单位或其他主管部门(包括任何有管辖权的法院或仲裁庭以及国际机构)的行动，包括但不限于法律、法规、规章或其他有法律强制约束力的法案所规定的没收、约束、禁止、干预、征用、要求、指示或禁运。但不得包括一方资金短缺的事实。</w:t>
      </w:r>
    </w:p>
    <w:p w14:paraId="34C0EA0C">
      <w:pPr>
        <w:spacing w:line="360" w:lineRule="auto"/>
        <w:ind w:firstLine="480" w:firstLineChars="200"/>
        <w:rPr>
          <w:color w:val="auto"/>
          <w:sz w:val="24"/>
          <w:highlight w:val="none"/>
        </w:rPr>
      </w:pPr>
      <w:r>
        <w:rPr>
          <w:rFonts w:hint="eastAsia"/>
          <w:color w:val="auto"/>
          <w:sz w:val="24"/>
          <w:highlight w:val="none"/>
        </w:rPr>
        <w:t>10.2 如果一方(“受影响方”)由于不可抗力事件的发生，无法或预计无法履行合同下的义务,受影响方就必须在知晓不可抗力的有关事件的5日内向另一方(“非影响方”)提交书面通知，提供不可抗力事件的细节。</w:t>
      </w:r>
    </w:p>
    <w:p w14:paraId="54C9361F">
      <w:pPr>
        <w:spacing w:line="360" w:lineRule="auto"/>
        <w:ind w:firstLine="480" w:firstLineChars="200"/>
        <w:rPr>
          <w:color w:val="auto"/>
          <w:sz w:val="24"/>
          <w:highlight w:val="none"/>
        </w:rPr>
      </w:pPr>
      <w:r>
        <w:rPr>
          <w:rFonts w:hint="eastAsia"/>
          <w:color w:val="auto"/>
          <w:sz w:val="24"/>
          <w:highlight w:val="none"/>
        </w:rPr>
        <w:t>10.3 受影响方必须采取一切合理的措施，以消除或减轻不可抗力事件有关的影响。</w:t>
      </w:r>
    </w:p>
    <w:p w14:paraId="5BB6F07C">
      <w:pPr>
        <w:spacing w:line="360" w:lineRule="auto"/>
        <w:ind w:firstLine="480" w:firstLineChars="200"/>
        <w:rPr>
          <w:color w:val="auto"/>
          <w:sz w:val="24"/>
          <w:highlight w:val="none"/>
        </w:rPr>
      </w:pPr>
      <w:r>
        <w:rPr>
          <w:rFonts w:hint="eastAsia"/>
          <w:color w:val="auto"/>
          <w:sz w:val="24"/>
          <w:highlight w:val="none"/>
        </w:rPr>
        <w:t>10.4 在不可抗力事件持续期间，受影响方的履行义务暂时中止，相应的义务履行期限相应顺延，并将不会对由此造成的损失或损坏对非影响方承担责任。在不可抗力事件结束后，受影响方应该尽快恢复履行本合同下的义务。</w:t>
      </w:r>
    </w:p>
    <w:p w14:paraId="7853F356">
      <w:pPr>
        <w:spacing w:line="360" w:lineRule="auto"/>
        <w:ind w:firstLine="480" w:firstLineChars="200"/>
        <w:rPr>
          <w:color w:val="auto"/>
          <w:sz w:val="24"/>
          <w:highlight w:val="none"/>
        </w:rPr>
      </w:pPr>
      <w:r>
        <w:rPr>
          <w:rFonts w:hint="eastAsia"/>
          <w:color w:val="auto"/>
          <w:sz w:val="24"/>
          <w:highlight w:val="none"/>
        </w:rPr>
        <w:t>10.5 如果因为不可抗力事件的影响，受影响方不能履行本合同项下的任何义务，而且非影响方在收到不可抗力通知后，受影响方的不能履行义务持续时间达90个连续日，且在此期间，双方没有能够谈判达成一项彼此可以接受的替代方式来执行本合同下的项目，任何一方可向另一方提供书面通知，解除本协议，而不用承担任何责任。</w:t>
      </w:r>
    </w:p>
    <w:p w14:paraId="30FA673E">
      <w:pPr>
        <w:spacing w:line="360" w:lineRule="auto"/>
        <w:rPr>
          <w:b/>
          <w:bCs/>
          <w:color w:val="auto"/>
          <w:sz w:val="24"/>
          <w:highlight w:val="none"/>
        </w:rPr>
      </w:pPr>
      <w:r>
        <w:rPr>
          <w:rFonts w:hint="eastAsia"/>
          <w:b/>
          <w:bCs/>
          <w:color w:val="auto"/>
          <w:sz w:val="24"/>
          <w:highlight w:val="none"/>
        </w:rPr>
        <w:t>第11节 合同解除</w:t>
      </w:r>
    </w:p>
    <w:p w14:paraId="6422B01B">
      <w:pPr>
        <w:spacing w:line="360" w:lineRule="auto"/>
        <w:ind w:firstLine="480" w:firstLineChars="200"/>
        <w:rPr>
          <w:color w:val="auto"/>
          <w:sz w:val="24"/>
          <w:highlight w:val="none"/>
        </w:rPr>
      </w:pPr>
      <w:r>
        <w:rPr>
          <w:rFonts w:hint="eastAsia"/>
          <w:color w:val="auto"/>
          <w:sz w:val="24"/>
          <w:highlight w:val="none"/>
        </w:rPr>
        <w:t>11.1 本合同可经由甲乙双方协商一致后书面解除。</w:t>
      </w:r>
    </w:p>
    <w:p w14:paraId="72F56358">
      <w:pPr>
        <w:spacing w:line="360" w:lineRule="auto"/>
        <w:ind w:firstLine="480" w:firstLineChars="200"/>
        <w:rPr>
          <w:color w:val="auto"/>
          <w:sz w:val="24"/>
          <w:highlight w:val="none"/>
        </w:rPr>
      </w:pPr>
      <w:r>
        <w:rPr>
          <w:rFonts w:hint="eastAsia"/>
          <w:color w:val="auto"/>
          <w:sz w:val="24"/>
          <w:highlight w:val="none"/>
        </w:rPr>
        <w:t>11.2 本合同可依照第10.5条(不可抗力)的规定解除。</w:t>
      </w:r>
    </w:p>
    <w:p w14:paraId="763CBF87">
      <w:pPr>
        <w:spacing w:line="360" w:lineRule="auto"/>
        <w:ind w:firstLine="480" w:firstLineChars="200"/>
        <w:rPr>
          <w:color w:val="auto"/>
          <w:sz w:val="24"/>
          <w:highlight w:val="none"/>
        </w:rPr>
      </w:pPr>
      <w:r>
        <w:rPr>
          <w:rFonts w:hint="eastAsia"/>
          <w:color w:val="auto"/>
          <w:sz w:val="24"/>
          <w:highlight w:val="none"/>
        </w:rPr>
        <w:t>11.3 当甲方迟延履行付款义务达15日时，乙方有权书面通知甲方后解除本合同。当乙方延误项目建设期限达 30日时，甲方有权书面通知乙方后解除本合同。</w:t>
      </w:r>
    </w:p>
    <w:p w14:paraId="360F0B5A">
      <w:pPr>
        <w:spacing w:line="360" w:lineRule="auto"/>
        <w:ind w:firstLine="480" w:firstLineChars="200"/>
        <w:rPr>
          <w:color w:val="auto"/>
          <w:sz w:val="24"/>
          <w:highlight w:val="none"/>
        </w:rPr>
      </w:pPr>
      <w:r>
        <w:rPr>
          <w:rFonts w:hint="eastAsia"/>
          <w:color w:val="auto"/>
          <w:sz w:val="24"/>
          <w:highlight w:val="none"/>
        </w:rPr>
        <w:t>11.4 由于设计、安装、设备质量等原因造成该项目不能正常运行或导致甲方停产连续超过10日的，甲方有权书面通知乙方后解除合同。</w:t>
      </w:r>
    </w:p>
    <w:p w14:paraId="5D32071D">
      <w:pPr>
        <w:spacing w:line="360" w:lineRule="auto"/>
        <w:ind w:firstLine="480" w:firstLineChars="200"/>
        <w:rPr>
          <w:color w:val="auto"/>
          <w:sz w:val="24"/>
          <w:highlight w:val="none"/>
        </w:rPr>
      </w:pPr>
      <w:r>
        <w:rPr>
          <w:rFonts w:hint="eastAsia"/>
          <w:color w:val="auto"/>
          <w:sz w:val="24"/>
          <w:highlight w:val="none"/>
        </w:rPr>
        <w:t>11.5 当本合同的一方发生以下任一情况时，另一方可书面通知对方解除本合同：</w:t>
      </w:r>
    </w:p>
    <w:p w14:paraId="028A43BF">
      <w:pPr>
        <w:spacing w:line="360" w:lineRule="auto"/>
        <w:ind w:firstLine="480" w:firstLineChars="200"/>
        <w:rPr>
          <w:color w:val="auto"/>
          <w:sz w:val="24"/>
          <w:highlight w:val="none"/>
        </w:rPr>
      </w:pPr>
      <w:r>
        <w:rPr>
          <w:rFonts w:hint="eastAsia"/>
          <w:color w:val="auto"/>
          <w:sz w:val="24"/>
          <w:highlight w:val="none"/>
        </w:rPr>
        <w:t>(a)一方进入破产程序;</w:t>
      </w:r>
    </w:p>
    <w:p w14:paraId="7026DA35">
      <w:pPr>
        <w:spacing w:line="360" w:lineRule="auto"/>
        <w:ind w:firstLine="480" w:firstLineChars="200"/>
        <w:rPr>
          <w:color w:val="auto"/>
          <w:sz w:val="24"/>
          <w:highlight w:val="none"/>
        </w:rPr>
      </w:pPr>
      <w:r>
        <w:rPr>
          <w:rFonts w:hint="eastAsia"/>
          <w:color w:val="auto"/>
          <w:sz w:val="24"/>
          <w:highlight w:val="none"/>
        </w:rPr>
        <w:t>(b)一方的控股股东或者是实际控制人发生变化，而且该变化将严重影响到该方履行本合同下主要义务的能力;</w:t>
      </w:r>
    </w:p>
    <w:p w14:paraId="5028F2DD">
      <w:pPr>
        <w:spacing w:line="360" w:lineRule="auto"/>
        <w:ind w:firstLine="480" w:firstLineChars="200"/>
        <w:rPr>
          <w:color w:val="auto"/>
          <w:sz w:val="24"/>
          <w:highlight w:val="none"/>
        </w:rPr>
      </w:pPr>
      <w:r>
        <w:rPr>
          <w:rFonts w:hint="eastAsia"/>
          <w:color w:val="auto"/>
          <w:sz w:val="24"/>
          <w:highlight w:val="none"/>
        </w:rPr>
        <w:t>(c)一方违反本合同下的主要义务，且该行为在另一方书面通知后15日内未得到纠正;</w:t>
      </w:r>
    </w:p>
    <w:p w14:paraId="52C5CCB6">
      <w:pPr>
        <w:spacing w:line="360" w:lineRule="auto"/>
        <w:ind w:firstLine="480" w:firstLineChars="200"/>
        <w:rPr>
          <w:color w:val="auto"/>
          <w:sz w:val="24"/>
          <w:highlight w:val="none"/>
        </w:rPr>
      </w:pPr>
      <w:r>
        <w:rPr>
          <w:rFonts w:hint="eastAsia"/>
          <w:color w:val="auto"/>
          <w:sz w:val="24"/>
          <w:highlight w:val="none"/>
        </w:rPr>
        <w:t>(d)一方擅自中止履行本合同项下义务，导致本合同目的无法实现或本合同无法继续正常履行的。</w:t>
      </w:r>
    </w:p>
    <w:p w14:paraId="0558E079">
      <w:pPr>
        <w:spacing w:line="360" w:lineRule="auto"/>
        <w:ind w:firstLine="480" w:firstLineChars="200"/>
        <w:rPr>
          <w:color w:val="auto"/>
          <w:sz w:val="24"/>
          <w:highlight w:val="none"/>
        </w:rPr>
      </w:pPr>
      <w:r>
        <w:rPr>
          <w:rFonts w:hint="eastAsia"/>
          <w:color w:val="auto"/>
          <w:sz w:val="24"/>
          <w:highlight w:val="none"/>
        </w:rPr>
        <w:t>11.6 本合同解除后，本项目应当终止实施。本项目资产按下列方式处置:(1)若因甲方原因致使本合同解除的，项目财产由乙方负责拆除、取回，并根据甲方的合理要求，将项目现场恢复原状，费用由甲方承担。</w:t>
      </w:r>
    </w:p>
    <w:p w14:paraId="3EACD1DD">
      <w:pPr>
        <w:spacing w:line="360" w:lineRule="auto"/>
        <w:ind w:firstLine="480" w:firstLineChars="200"/>
        <w:rPr>
          <w:color w:val="auto"/>
          <w:sz w:val="24"/>
          <w:highlight w:val="none"/>
        </w:rPr>
      </w:pPr>
      <w:r>
        <w:rPr>
          <w:rFonts w:hint="eastAsia"/>
          <w:color w:val="auto"/>
          <w:sz w:val="24"/>
          <w:highlight w:val="none"/>
        </w:rPr>
        <w:t>(2)若因乙方原因致使本合同解除的，项目财产由乙方负责拆除、取回，并根据甲方的合理要求，将项目现场恢复原状，费用由乙方承担，甲方应对乙方提供合理的协助。如乙方经甲方合理提前通知后拒绝履行前述义务，则甲方有权自行拆除相关设备，并就因此产生的费用和损失向乙方求偿。</w:t>
      </w:r>
    </w:p>
    <w:p w14:paraId="7BBF16DB">
      <w:pPr>
        <w:spacing w:line="360" w:lineRule="auto"/>
        <w:ind w:firstLine="480" w:firstLineChars="200"/>
        <w:rPr>
          <w:color w:val="auto"/>
          <w:sz w:val="24"/>
          <w:highlight w:val="none"/>
        </w:rPr>
      </w:pPr>
      <w:r>
        <w:rPr>
          <w:rFonts w:hint="eastAsia"/>
          <w:color w:val="auto"/>
          <w:sz w:val="24"/>
          <w:highlight w:val="none"/>
        </w:rPr>
        <w:t>(3)如果本合同因第10.5条(不可抗力)的规定解除的，项目财产由乙方负责拆除、取回，并根据甲方的合理要求，将项目现场恢复原状，费用由双方分摊。</w:t>
      </w:r>
    </w:p>
    <w:p w14:paraId="0B781B84">
      <w:pPr>
        <w:spacing w:line="360" w:lineRule="auto"/>
        <w:ind w:firstLine="480" w:firstLineChars="200"/>
        <w:rPr>
          <w:color w:val="auto"/>
          <w:sz w:val="24"/>
          <w:highlight w:val="none"/>
        </w:rPr>
      </w:pPr>
      <w:r>
        <w:rPr>
          <w:rFonts w:hint="eastAsia"/>
          <w:color w:val="auto"/>
          <w:sz w:val="24"/>
          <w:highlight w:val="none"/>
        </w:rPr>
        <w:t>11.7 本合同的解除不影响任意一方根据本合同或者相关的法律法规向对方寻求赔偿的权利，也不影响一方在合同解除前到期的付款义务的履行。</w:t>
      </w:r>
    </w:p>
    <w:p w14:paraId="176FF8F8">
      <w:pPr>
        <w:spacing w:line="360" w:lineRule="auto"/>
        <w:rPr>
          <w:b/>
          <w:bCs/>
          <w:color w:val="auto"/>
          <w:sz w:val="24"/>
          <w:highlight w:val="none"/>
        </w:rPr>
      </w:pPr>
      <w:r>
        <w:rPr>
          <w:rFonts w:hint="eastAsia"/>
          <w:b/>
          <w:bCs/>
          <w:color w:val="auto"/>
          <w:sz w:val="24"/>
          <w:highlight w:val="none"/>
        </w:rPr>
        <w:t>第12节 合同项下权利、义务的转让</w:t>
      </w:r>
    </w:p>
    <w:p w14:paraId="023B5DAD">
      <w:pPr>
        <w:spacing w:line="360" w:lineRule="auto"/>
        <w:ind w:firstLine="480" w:firstLineChars="200"/>
        <w:rPr>
          <w:color w:val="auto"/>
          <w:sz w:val="24"/>
          <w:highlight w:val="none"/>
        </w:rPr>
      </w:pPr>
      <w:r>
        <w:rPr>
          <w:rFonts w:hint="eastAsia"/>
          <w:color w:val="auto"/>
          <w:sz w:val="24"/>
          <w:highlight w:val="none"/>
        </w:rPr>
        <w:t>12.1 双方约定，本合同项下权利、义务的转让按照以下方式进行:由转让意愿方以书面形式向另一方提出转让请求，并叙明转让理由，经另一方书面答复同意后，由双方与受让意向方共同协商并签订书面的权利义务转让协议。</w:t>
      </w:r>
    </w:p>
    <w:p w14:paraId="4BE159FA">
      <w:pPr>
        <w:spacing w:line="360" w:lineRule="auto"/>
        <w:rPr>
          <w:b/>
          <w:bCs/>
          <w:color w:val="auto"/>
          <w:sz w:val="24"/>
          <w:highlight w:val="none"/>
        </w:rPr>
      </w:pPr>
      <w:r>
        <w:rPr>
          <w:rFonts w:hint="eastAsia"/>
          <w:b/>
          <w:bCs/>
          <w:color w:val="auto"/>
          <w:sz w:val="24"/>
          <w:highlight w:val="none"/>
        </w:rPr>
        <w:t>第13节 人身及财产损害赔偿</w:t>
      </w:r>
    </w:p>
    <w:p w14:paraId="7C4F550E">
      <w:pPr>
        <w:spacing w:line="360" w:lineRule="auto"/>
        <w:ind w:firstLine="480" w:firstLineChars="200"/>
        <w:rPr>
          <w:color w:val="auto"/>
          <w:sz w:val="24"/>
          <w:highlight w:val="none"/>
        </w:rPr>
      </w:pPr>
      <w:r>
        <w:rPr>
          <w:rFonts w:hint="eastAsia"/>
          <w:color w:val="auto"/>
          <w:sz w:val="24"/>
          <w:highlight w:val="none"/>
        </w:rPr>
        <w:t>13.1 乙方有义务保障乙方的工作人员和受其指派的第三方人员的人身安全。如本合同在履行过程中，乙方的工作人员或受其指派的第三方人员在工作中由于自身原因造成的人身伤害、财产损失由乙方承担全责。甲方的工作人员由于乙方或受其指派的第三方之原因在工作中造成的人身伤害、财产损失由乙方承担全责。反之由甲方承担全部责任。</w:t>
      </w:r>
    </w:p>
    <w:p w14:paraId="004ADDDF">
      <w:pPr>
        <w:spacing w:line="360" w:lineRule="auto"/>
        <w:ind w:firstLine="480" w:firstLineChars="200"/>
        <w:rPr>
          <w:color w:val="auto"/>
          <w:sz w:val="24"/>
          <w:highlight w:val="none"/>
        </w:rPr>
      </w:pPr>
      <w:r>
        <w:rPr>
          <w:rFonts w:hint="eastAsia"/>
          <w:color w:val="auto"/>
          <w:sz w:val="24"/>
          <w:highlight w:val="none"/>
        </w:rPr>
        <w:t>13.2 受损失或伤害的一方对损害或伤害的发生也有过错时，应当根据其过错程度承担相应的责任，并适当减轻造成损失或伤害一方的责任。</w:t>
      </w:r>
    </w:p>
    <w:p w14:paraId="04230E5C">
      <w:pPr>
        <w:spacing w:line="360" w:lineRule="auto"/>
        <w:rPr>
          <w:b/>
          <w:bCs/>
          <w:color w:val="auto"/>
          <w:sz w:val="24"/>
          <w:highlight w:val="none"/>
        </w:rPr>
      </w:pPr>
      <w:r>
        <w:rPr>
          <w:rFonts w:hint="eastAsia"/>
          <w:b/>
          <w:bCs/>
          <w:color w:val="auto"/>
          <w:sz w:val="24"/>
          <w:highlight w:val="none"/>
        </w:rPr>
        <w:t>第14节 保密条款</w:t>
      </w:r>
    </w:p>
    <w:p w14:paraId="18F5D104">
      <w:pPr>
        <w:spacing w:line="360" w:lineRule="auto"/>
        <w:ind w:firstLine="480" w:firstLineChars="200"/>
        <w:rPr>
          <w:color w:val="auto"/>
          <w:sz w:val="24"/>
          <w:highlight w:val="none"/>
        </w:rPr>
      </w:pPr>
      <w:r>
        <w:rPr>
          <w:rFonts w:hint="eastAsia"/>
          <w:color w:val="auto"/>
          <w:sz w:val="24"/>
          <w:highlight w:val="none"/>
        </w:rPr>
        <w:t>14.1双方确定因履行本合同应遵守的保密义务如下:凡与履行本合同有关的火灾或劳工纠纷(无论是否涉及相关方的雇员)、流行病、隔离、辐射或放射性污染:或合同文本(含附件)、技术资料、财务资料等均属于本合同项下甲乙双方保密的范畴,任何一方未经对方书面许可，禁止擅自对外使用，否则将视同泄密，泄密方将承担另一方面因此造成的相应的损失及后果。本保密责任不因本合同转让、中止、终止或解除而免除。</w:t>
      </w:r>
    </w:p>
    <w:p w14:paraId="5E26A420">
      <w:pPr>
        <w:spacing w:line="360" w:lineRule="auto"/>
        <w:rPr>
          <w:b/>
          <w:bCs/>
          <w:color w:val="auto"/>
          <w:sz w:val="24"/>
          <w:highlight w:val="none"/>
        </w:rPr>
      </w:pPr>
      <w:r>
        <w:rPr>
          <w:rFonts w:hint="eastAsia"/>
          <w:b/>
          <w:bCs/>
          <w:color w:val="auto"/>
          <w:sz w:val="24"/>
          <w:highlight w:val="none"/>
        </w:rPr>
        <w:t>第15节 争议的解决</w:t>
      </w:r>
    </w:p>
    <w:p w14:paraId="50555DAF">
      <w:pPr>
        <w:spacing w:line="360" w:lineRule="auto"/>
        <w:ind w:firstLine="480" w:firstLineChars="200"/>
        <w:rPr>
          <w:color w:val="auto"/>
          <w:sz w:val="24"/>
          <w:highlight w:val="none"/>
        </w:rPr>
      </w:pPr>
      <w:r>
        <w:rPr>
          <w:rFonts w:hint="eastAsia"/>
          <w:color w:val="auto"/>
          <w:sz w:val="24"/>
          <w:highlight w:val="none"/>
        </w:rPr>
        <w:t>15.1 因本合同的履行、解释、违约、终止、中止、效力等引起的任何争议、纠纷，本合同各方应友好协商解决。如在一方提出书面的协商请求后15日内双方无法达成一致的，双方同意交由诉讼方管辖权的人民法院诉讼解决。</w:t>
      </w:r>
    </w:p>
    <w:p w14:paraId="08885D76">
      <w:pPr>
        <w:spacing w:line="360" w:lineRule="auto"/>
        <w:rPr>
          <w:b/>
          <w:bCs/>
          <w:color w:val="auto"/>
          <w:sz w:val="24"/>
          <w:highlight w:val="none"/>
        </w:rPr>
      </w:pPr>
      <w:r>
        <w:rPr>
          <w:rFonts w:hint="eastAsia"/>
          <w:b/>
          <w:bCs/>
          <w:color w:val="auto"/>
          <w:sz w:val="24"/>
          <w:highlight w:val="none"/>
        </w:rPr>
        <w:t>第16节 保险</w:t>
      </w:r>
    </w:p>
    <w:p w14:paraId="419890CB">
      <w:pPr>
        <w:spacing w:line="360" w:lineRule="auto"/>
        <w:ind w:firstLine="480" w:firstLineChars="200"/>
        <w:rPr>
          <w:color w:val="auto"/>
          <w:sz w:val="24"/>
          <w:highlight w:val="none"/>
        </w:rPr>
      </w:pPr>
      <w:r>
        <w:rPr>
          <w:rFonts w:hint="eastAsia"/>
          <w:color w:val="auto"/>
          <w:sz w:val="24"/>
          <w:highlight w:val="none"/>
        </w:rPr>
        <w:t>16.1 双方约定:所有由乙方安装到甲方处的节能产品、设备、设施和仪器等财产安全的保险由乙方负责:所有由乙方委派到甲方处员工的人身安全的保险由乙方负责。</w:t>
      </w:r>
    </w:p>
    <w:p w14:paraId="46A923AC">
      <w:pPr>
        <w:spacing w:line="360" w:lineRule="auto"/>
        <w:ind w:firstLine="480" w:firstLineChars="200"/>
        <w:rPr>
          <w:color w:val="auto"/>
          <w:sz w:val="24"/>
          <w:highlight w:val="none"/>
        </w:rPr>
      </w:pPr>
      <w:r>
        <w:rPr>
          <w:rFonts w:hint="eastAsia"/>
          <w:color w:val="auto"/>
          <w:sz w:val="24"/>
          <w:highlight w:val="none"/>
        </w:rPr>
        <w:t>16.2 双方应充分协商并及时告知对方已有的或准备进行的相关项目、财产和人员投保情况。</w:t>
      </w:r>
    </w:p>
    <w:p w14:paraId="08CB6DEB">
      <w:pPr>
        <w:spacing w:line="360" w:lineRule="auto"/>
        <w:rPr>
          <w:b/>
          <w:bCs/>
          <w:color w:val="auto"/>
          <w:sz w:val="24"/>
          <w:highlight w:val="none"/>
        </w:rPr>
      </w:pPr>
      <w:r>
        <w:rPr>
          <w:rFonts w:hint="eastAsia"/>
          <w:b/>
          <w:bCs/>
          <w:color w:val="auto"/>
          <w:sz w:val="24"/>
          <w:highlight w:val="none"/>
        </w:rPr>
        <w:t>第17节 知识产权</w:t>
      </w:r>
    </w:p>
    <w:p w14:paraId="409CB365">
      <w:pPr>
        <w:spacing w:line="360" w:lineRule="auto"/>
        <w:ind w:firstLine="480" w:firstLineChars="200"/>
        <w:rPr>
          <w:color w:val="auto"/>
          <w:sz w:val="24"/>
          <w:highlight w:val="none"/>
        </w:rPr>
      </w:pPr>
      <w:r>
        <w:rPr>
          <w:rFonts w:hint="eastAsia"/>
          <w:color w:val="auto"/>
          <w:sz w:val="24"/>
          <w:highlight w:val="none"/>
        </w:rPr>
        <w:t>17.1 本合同涉及的专利实施许可和技术秘密许可，双方约定如下:凡与履行本合同有关的产品、设备、节能方式等的专利实施许可和技术秘密的知识产权均由乙方负责并所有。</w:t>
      </w:r>
    </w:p>
    <w:p w14:paraId="7AFC6C60">
      <w:pPr>
        <w:spacing w:line="360" w:lineRule="auto"/>
        <w:rPr>
          <w:b/>
          <w:bCs/>
          <w:color w:val="auto"/>
          <w:sz w:val="24"/>
          <w:highlight w:val="none"/>
        </w:rPr>
      </w:pPr>
      <w:r>
        <w:rPr>
          <w:rFonts w:hint="eastAsia"/>
          <w:b/>
          <w:bCs/>
          <w:color w:val="auto"/>
          <w:sz w:val="24"/>
          <w:highlight w:val="none"/>
        </w:rPr>
        <w:t>第18节费用的分担</w:t>
      </w:r>
    </w:p>
    <w:p w14:paraId="0535C5BD">
      <w:pPr>
        <w:spacing w:line="360" w:lineRule="auto"/>
        <w:ind w:firstLine="480" w:firstLineChars="200"/>
        <w:rPr>
          <w:color w:val="auto"/>
          <w:sz w:val="24"/>
          <w:highlight w:val="none"/>
        </w:rPr>
      </w:pPr>
      <w:r>
        <w:rPr>
          <w:rFonts w:hint="eastAsia"/>
          <w:color w:val="auto"/>
          <w:sz w:val="24"/>
          <w:highlight w:val="none"/>
        </w:rPr>
        <w:t>18.1 双方应当各自承担谈判和订立本合同的花费</w:t>
      </w:r>
    </w:p>
    <w:p w14:paraId="788DC578">
      <w:pPr>
        <w:spacing w:line="360" w:lineRule="auto"/>
        <w:ind w:firstLine="480" w:firstLineChars="200"/>
        <w:rPr>
          <w:color w:val="auto"/>
          <w:sz w:val="24"/>
          <w:highlight w:val="none"/>
        </w:rPr>
      </w:pPr>
      <w:r>
        <w:rPr>
          <w:rFonts w:hint="eastAsia"/>
          <w:color w:val="auto"/>
          <w:sz w:val="24"/>
          <w:highlight w:val="none"/>
        </w:rPr>
        <w:t>18.2除非本合同下的其他条款另有规定，双方应当各自承担履行本协议下义务的费用。</w:t>
      </w:r>
    </w:p>
    <w:p w14:paraId="5BF30469">
      <w:pPr>
        <w:spacing w:line="360" w:lineRule="auto"/>
        <w:ind w:firstLine="480" w:firstLineChars="200"/>
        <w:rPr>
          <w:color w:val="auto"/>
          <w:sz w:val="24"/>
          <w:highlight w:val="none"/>
        </w:rPr>
      </w:pPr>
      <w:r>
        <w:rPr>
          <w:rFonts w:hint="eastAsia"/>
          <w:color w:val="auto"/>
          <w:sz w:val="24"/>
          <w:highlight w:val="none"/>
        </w:rPr>
        <w:t>18.3 受限于第18.2条的规定，除非本合同下的其他条款或附件另有规定，则乙方应当负责本项目的投资，并承担本项目的方案设计、建设、运营、监测的相关费用，包括项目所需设备、设施、技术购置、更换的费用。</w:t>
      </w:r>
    </w:p>
    <w:p w14:paraId="4CA5C9EB">
      <w:pPr>
        <w:spacing w:line="360" w:lineRule="auto"/>
        <w:rPr>
          <w:b/>
          <w:bCs/>
          <w:color w:val="auto"/>
          <w:sz w:val="24"/>
          <w:highlight w:val="none"/>
        </w:rPr>
      </w:pPr>
      <w:r>
        <w:rPr>
          <w:rFonts w:hint="eastAsia"/>
          <w:b/>
          <w:bCs/>
          <w:color w:val="auto"/>
          <w:sz w:val="24"/>
          <w:highlight w:val="none"/>
        </w:rPr>
        <w:t>第19节合同的生效及其他</w:t>
      </w:r>
    </w:p>
    <w:p w14:paraId="21413D1F">
      <w:pPr>
        <w:spacing w:line="360" w:lineRule="auto"/>
        <w:ind w:firstLine="480" w:firstLineChars="200"/>
        <w:rPr>
          <w:color w:val="auto"/>
          <w:sz w:val="24"/>
          <w:highlight w:val="none"/>
        </w:rPr>
      </w:pPr>
      <w:r>
        <w:rPr>
          <w:rFonts w:hint="eastAsia"/>
          <w:color w:val="auto"/>
          <w:sz w:val="24"/>
          <w:highlight w:val="none"/>
        </w:rPr>
        <w:t>19.1 项目联系人职责如下:</w:t>
      </w:r>
    </w:p>
    <w:p w14:paraId="1CE79A11">
      <w:pPr>
        <w:spacing w:line="360" w:lineRule="auto"/>
        <w:ind w:firstLine="480" w:firstLineChars="200"/>
        <w:rPr>
          <w:color w:val="auto"/>
          <w:sz w:val="24"/>
          <w:highlight w:val="none"/>
        </w:rPr>
      </w:pPr>
      <w:r>
        <w:rPr>
          <w:rFonts w:hint="eastAsia"/>
          <w:color w:val="auto"/>
          <w:sz w:val="24"/>
          <w:highlight w:val="none"/>
        </w:rPr>
        <w:t>甲方指派     (身份证号:          ）作为甲方项目联系人，代表甲方处理本合同相关一切事宜。</w:t>
      </w:r>
    </w:p>
    <w:p w14:paraId="62DDC023">
      <w:pPr>
        <w:spacing w:line="360" w:lineRule="auto"/>
        <w:ind w:firstLine="480" w:firstLineChars="200"/>
        <w:rPr>
          <w:color w:val="auto"/>
          <w:sz w:val="24"/>
          <w:highlight w:val="none"/>
        </w:rPr>
      </w:pPr>
      <w:r>
        <w:rPr>
          <w:rFonts w:hint="eastAsia"/>
          <w:color w:val="auto"/>
          <w:sz w:val="24"/>
          <w:highlight w:val="none"/>
        </w:rPr>
        <w:t>乙方指派     (身份证号:         )作为乙方项目联系人，代表乙方处理与本合同相关一切事宜。</w:t>
      </w:r>
    </w:p>
    <w:p w14:paraId="1B32CCF9">
      <w:pPr>
        <w:spacing w:line="360" w:lineRule="auto"/>
        <w:ind w:firstLine="480" w:firstLineChars="200"/>
        <w:rPr>
          <w:color w:val="auto"/>
          <w:sz w:val="24"/>
          <w:highlight w:val="none"/>
        </w:rPr>
      </w:pPr>
      <w:r>
        <w:rPr>
          <w:rFonts w:hint="eastAsia"/>
          <w:color w:val="auto"/>
          <w:sz w:val="24"/>
          <w:highlight w:val="none"/>
        </w:rPr>
        <w:t>19.2 双方不得擅自变更项目联系人。一方变更项目联系人的，应在15日内以书面形式通知另一方，经另一方书面同意后方可予以变更。若因未及时通知或未经双方同意擅自变更联系人，并影响本合同履行或造成损失的，变更方应承担相应的责任。</w:t>
      </w:r>
    </w:p>
    <w:p w14:paraId="451D0301">
      <w:pPr>
        <w:spacing w:line="360" w:lineRule="auto"/>
        <w:ind w:firstLine="480" w:firstLineChars="200"/>
        <w:rPr>
          <w:color w:val="auto"/>
          <w:sz w:val="24"/>
          <w:highlight w:val="none"/>
        </w:rPr>
      </w:pPr>
      <w:r>
        <w:rPr>
          <w:rFonts w:hint="eastAsia"/>
          <w:color w:val="auto"/>
          <w:sz w:val="24"/>
          <w:highlight w:val="none"/>
        </w:rPr>
        <w:t>19.3 本合同下的通知应当由第19.1条所示项目联系人递交，或以挂号信、快递、电报、电传、传真、电子邮件的方式发送至本合同所列的地址。如该通知以口头发出，则应尽快地在合理的时间内以书面方式向对方补充确认。如一方联系地址改变则应当尽速书面告知对方。本合同中所列的地址即为甲、乙双方的收件地址。</w:t>
      </w:r>
    </w:p>
    <w:p w14:paraId="43CCE9AC">
      <w:pPr>
        <w:spacing w:line="360" w:lineRule="auto"/>
        <w:ind w:firstLine="480" w:firstLineChars="200"/>
        <w:rPr>
          <w:color w:val="auto"/>
          <w:sz w:val="24"/>
          <w:highlight w:val="none"/>
        </w:rPr>
      </w:pPr>
      <w:r>
        <w:rPr>
          <w:rFonts w:hint="eastAsia"/>
          <w:color w:val="auto"/>
          <w:sz w:val="24"/>
          <w:highlight w:val="none"/>
        </w:rPr>
        <w:t>19.4 乙方承诺为甲方提供能力范围内的技术支持与合作。</w:t>
      </w:r>
    </w:p>
    <w:p w14:paraId="41E0FABF">
      <w:pPr>
        <w:spacing w:line="360" w:lineRule="auto"/>
        <w:ind w:firstLine="480" w:firstLineChars="200"/>
        <w:rPr>
          <w:color w:val="auto"/>
          <w:sz w:val="24"/>
          <w:highlight w:val="none"/>
        </w:rPr>
      </w:pPr>
      <w:r>
        <w:rPr>
          <w:rFonts w:hint="eastAsia"/>
          <w:color w:val="auto"/>
          <w:sz w:val="24"/>
          <w:highlight w:val="none"/>
        </w:rPr>
        <w:t>19.5 乙方承诺与甲方一起合作，共同致力本项目的相关开发和应用。</w:t>
      </w:r>
    </w:p>
    <w:p w14:paraId="3662CD33">
      <w:pPr>
        <w:spacing w:line="360" w:lineRule="auto"/>
        <w:ind w:firstLine="480" w:firstLineChars="200"/>
        <w:rPr>
          <w:color w:val="auto"/>
          <w:sz w:val="24"/>
          <w:highlight w:val="none"/>
        </w:rPr>
      </w:pPr>
      <w:r>
        <w:rPr>
          <w:rFonts w:hint="eastAsia"/>
          <w:color w:val="auto"/>
          <w:sz w:val="24"/>
          <w:highlight w:val="none"/>
        </w:rPr>
        <w:t>19.6 本合同附件是属于本合同完整的一部分，如附件部分内容与合同正文不一致，优先适用合同附件的规定。</w:t>
      </w:r>
    </w:p>
    <w:p w14:paraId="0E6F9AAF">
      <w:pPr>
        <w:spacing w:line="360" w:lineRule="auto"/>
        <w:ind w:firstLine="480" w:firstLineChars="200"/>
        <w:rPr>
          <w:color w:val="auto"/>
          <w:sz w:val="24"/>
          <w:highlight w:val="none"/>
        </w:rPr>
      </w:pPr>
      <w:r>
        <w:rPr>
          <w:rFonts w:hint="eastAsia"/>
          <w:color w:val="auto"/>
          <w:sz w:val="24"/>
          <w:highlight w:val="none"/>
        </w:rPr>
        <w:t>19.7 本合同的修改或补充应采取书面方式。</w:t>
      </w:r>
    </w:p>
    <w:p w14:paraId="766E5521">
      <w:pPr>
        <w:spacing w:line="360" w:lineRule="auto"/>
        <w:ind w:firstLine="480" w:firstLineChars="200"/>
        <w:rPr>
          <w:color w:val="auto"/>
          <w:sz w:val="24"/>
          <w:highlight w:val="none"/>
        </w:rPr>
      </w:pPr>
      <w:r>
        <w:rPr>
          <w:rFonts w:hint="eastAsia"/>
          <w:color w:val="auto"/>
          <w:sz w:val="24"/>
          <w:highlight w:val="none"/>
        </w:rPr>
        <w:t>19.8合同签订时间：本合同由双方于2025年   月   日在（地点）签订。</w:t>
      </w:r>
    </w:p>
    <w:p w14:paraId="47E583AB">
      <w:pPr>
        <w:spacing w:line="360" w:lineRule="auto"/>
        <w:ind w:firstLine="480" w:firstLineChars="200"/>
        <w:rPr>
          <w:color w:val="auto"/>
          <w:sz w:val="24"/>
          <w:highlight w:val="none"/>
        </w:rPr>
      </w:pPr>
      <w:r>
        <w:rPr>
          <w:rFonts w:hint="eastAsia"/>
          <w:color w:val="auto"/>
          <w:sz w:val="24"/>
          <w:highlight w:val="none"/>
        </w:rPr>
        <w:t>19.9 本合同自双方授权代表签署之日起生效。合同文本一式四份，具有同等法律效力，双方各执贰份。</w:t>
      </w:r>
    </w:p>
    <w:p w14:paraId="4AA7EF0B">
      <w:pPr>
        <w:rPr>
          <w:b/>
          <w:bCs/>
          <w:color w:val="auto"/>
          <w:sz w:val="24"/>
          <w:highlight w:val="none"/>
        </w:rPr>
      </w:pPr>
    </w:p>
    <w:p w14:paraId="7D7C3E2C">
      <w:pPr>
        <w:spacing w:line="360" w:lineRule="auto"/>
        <w:rPr>
          <w:b/>
          <w:bCs/>
          <w:color w:val="auto"/>
          <w:sz w:val="24"/>
          <w:highlight w:val="none"/>
        </w:rPr>
      </w:pPr>
      <w:r>
        <w:rPr>
          <w:rFonts w:hint="eastAsia"/>
          <w:b/>
          <w:bCs/>
          <w:color w:val="auto"/>
          <w:sz w:val="24"/>
          <w:highlight w:val="none"/>
        </w:rPr>
        <w:t>第20节 合同附件</w:t>
      </w:r>
    </w:p>
    <w:p w14:paraId="3B110306">
      <w:pPr>
        <w:spacing w:line="360" w:lineRule="auto"/>
        <w:ind w:firstLine="480" w:firstLineChars="200"/>
        <w:rPr>
          <w:color w:val="auto"/>
          <w:sz w:val="24"/>
          <w:highlight w:val="none"/>
        </w:rPr>
      </w:pPr>
      <w:r>
        <w:rPr>
          <w:rFonts w:hint="eastAsia"/>
          <w:color w:val="auto"/>
          <w:sz w:val="24"/>
          <w:highlight w:val="none"/>
        </w:rPr>
        <w:t>1.项目技术协议，主要对设计内容、甲乙双方水、电、仪、气、设备、土建、控制系统边界区分条件、技术原理描述</w:t>
      </w:r>
    </w:p>
    <w:p w14:paraId="676C1B42">
      <w:pPr>
        <w:spacing w:line="360" w:lineRule="auto"/>
        <w:ind w:firstLine="480" w:firstLineChars="200"/>
        <w:rPr>
          <w:color w:val="auto"/>
          <w:sz w:val="24"/>
          <w:highlight w:val="none"/>
        </w:rPr>
      </w:pPr>
      <w:r>
        <w:rPr>
          <w:rFonts w:hint="eastAsia"/>
          <w:color w:val="auto"/>
          <w:sz w:val="24"/>
          <w:highlight w:val="none"/>
        </w:rPr>
        <w:t>2.能耗基准、项目节能目标预测及能源价格波动及调整方式(调价公式和所依据的物价指数及其发布机关)</w:t>
      </w:r>
    </w:p>
    <w:p w14:paraId="6B1CDA96">
      <w:pPr>
        <w:spacing w:line="360" w:lineRule="auto"/>
        <w:ind w:firstLine="480" w:firstLineChars="200"/>
        <w:rPr>
          <w:color w:val="auto"/>
          <w:sz w:val="24"/>
          <w:highlight w:val="none"/>
        </w:rPr>
      </w:pPr>
      <w:r>
        <w:rPr>
          <w:rFonts w:hint="eastAsia"/>
          <w:color w:val="auto"/>
          <w:sz w:val="24"/>
          <w:highlight w:val="none"/>
        </w:rPr>
        <w:t>3.节能量确认计算方案</w:t>
      </w:r>
    </w:p>
    <w:p w14:paraId="3E3B06BD">
      <w:pPr>
        <w:spacing w:line="360" w:lineRule="auto"/>
        <w:ind w:firstLine="480" w:firstLineChars="200"/>
        <w:rPr>
          <w:color w:val="auto"/>
          <w:sz w:val="24"/>
          <w:highlight w:val="none"/>
        </w:rPr>
      </w:pPr>
      <w:r>
        <w:rPr>
          <w:rFonts w:hint="eastAsia"/>
          <w:color w:val="auto"/>
          <w:sz w:val="24"/>
          <w:highlight w:val="none"/>
        </w:rPr>
        <w:t>4.项目性能指标</w:t>
      </w:r>
    </w:p>
    <w:p w14:paraId="1775D166">
      <w:pPr>
        <w:spacing w:line="360" w:lineRule="auto"/>
        <w:ind w:firstLine="480" w:firstLineChars="200"/>
        <w:rPr>
          <w:color w:val="auto"/>
          <w:sz w:val="24"/>
          <w:highlight w:val="none"/>
        </w:rPr>
      </w:pPr>
      <w:r>
        <w:rPr>
          <w:rFonts w:hint="eastAsia"/>
          <w:color w:val="auto"/>
          <w:sz w:val="24"/>
          <w:highlight w:val="none"/>
        </w:rPr>
        <w:t>5.节能目标达标认证书</w:t>
      </w:r>
    </w:p>
    <w:p w14:paraId="176F03D2">
      <w:pPr>
        <w:spacing w:line="360" w:lineRule="auto"/>
        <w:ind w:firstLine="480" w:firstLineChars="200"/>
        <w:rPr>
          <w:color w:val="auto"/>
          <w:sz w:val="24"/>
          <w:highlight w:val="none"/>
        </w:rPr>
      </w:pPr>
      <w:r>
        <w:rPr>
          <w:rFonts w:hint="eastAsia"/>
          <w:color w:val="auto"/>
          <w:sz w:val="24"/>
          <w:highlight w:val="none"/>
        </w:rPr>
        <w:t>6.培训计划(包括人员资质要求等)</w:t>
      </w:r>
    </w:p>
    <w:p w14:paraId="69BECB5D">
      <w:pPr>
        <w:spacing w:line="360" w:lineRule="auto"/>
        <w:ind w:firstLine="480" w:firstLineChars="200"/>
        <w:rPr>
          <w:color w:val="auto"/>
          <w:sz w:val="24"/>
          <w:highlight w:val="none"/>
        </w:rPr>
      </w:pPr>
      <w:r>
        <w:rPr>
          <w:rFonts w:hint="eastAsia"/>
          <w:color w:val="auto"/>
          <w:sz w:val="24"/>
          <w:highlight w:val="none"/>
        </w:rPr>
        <w:t>7.项目进度阶段表和节能量确认单</w:t>
      </w:r>
    </w:p>
    <w:p w14:paraId="4F265263">
      <w:pPr>
        <w:spacing w:line="360" w:lineRule="auto"/>
        <w:ind w:firstLine="480" w:firstLineChars="200"/>
        <w:rPr>
          <w:color w:val="auto"/>
          <w:sz w:val="24"/>
          <w:highlight w:val="none"/>
        </w:rPr>
      </w:pPr>
      <w:r>
        <w:rPr>
          <w:rFonts w:hint="eastAsia"/>
          <w:color w:val="auto"/>
          <w:sz w:val="24"/>
          <w:highlight w:val="none"/>
        </w:rPr>
        <w:t>8.技术标准和规范</w:t>
      </w:r>
    </w:p>
    <w:p w14:paraId="5AAE941A">
      <w:pPr>
        <w:spacing w:line="360" w:lineRule="auto"/>
        <w:ind w:firstLine="480" w:firstLineChars="200"/>
        <w:rPr>
          <w:color w:val="auto"/>
          <w:sz w:val="24"/>
          <w:highlight w:val="none"/>
        </w:rPr>
      </w:pPr>
      <w:r>
        <w:rPr>
          <w:rFonts w:hint="eastAsia"/>
          <w:color w:val="auto"/>
          <w:sz w:val="24"/>
          <w:highlight w:val="none"/>
        </w:rPr>
        <w:t>9.项目财产清单(设备、设施、辅助设备设施的名称、型号、购入时间、价格及质保期等)</w:t>
      </w:r>
    </w:p>
    <w:p w14:paraId="3383C948">
      <w:pPr>
        <w:spacing w:line="360" w:lineRule="auto"/>
        <w:ind w:firstLine="480" w:firstLineChars="200"/>
        <w:rPr>
          <w:color w:val="auto"/>
          <w:sz w:val="24"/>
          <w:highlight w:val="none"/>
        </w:rPr>
      </w:pPr>
      <w:r>
        <w:rPr>
          <w:rFonts w:hint="eastAsia"/>
          <w:color w:val="auto"/>
          <w:sz w:val="24"/>
          <w:highlight w:val="none"/>
        </w:rPr>
        <w:t>10.项目所需其他设备材料清单</w:t>
      </w:r>
    </w:p>
    <w:p w14:paraId="56CD5384">
      <w:pPr>
        <w:spacing w:line="360" w:lineRule="auto"/>
        <w:ind w:firstLine="480" w:firstLineChars="200"/>
        <w:rPr>
          <w:color w:val="auto"/>
          <w:sz w:val="24"/>
          <w:highlight w:val="none"/>
        </w:rPr>
      </w:pPr>
      <w:r>
        <w:rPr>
          <w:rFonts w:hint="eastAsia"/>
          <w:color w:val="auto"/>
          <w:sz w:val="24"/>
          <w:highlight w:val="none"/>
        </w:rPr>
        <w:t>11.施工条件约定</w:t>
      </w:r>
    </w:p>
    <w:p w14:paraId="23ACE8D3">
      <w:pPr>
        <w:spacing w:line="360" w:lineRule="auto"/>
        <w:ind w:firstLine="480" w:firstLineChars="200"/>
        <w:rPr>
          <w:color w:val="auto"/>
          <w:sz w:val="24"/>
          <w:highlight w:val="none"/>
        </w:rPr>
      </w:pPr>
      <w:r>
        <w:rPr>
          <w:rFonts w:hint="eastAsia"/>
          <w:color w:val="auto"/>
          <w:sz w:val="24"/>
          <w:highlight w:val="none"/>
        </w:rPr>
        <w:t>12.项目投资分担方案</w:t>
      </w:r>
    </w:p>
    <w:p w14:paraId="2571720D">
      <w:pPr>
        <w:spacing w:line="360" w:lineRule="auto"/>
        <w:ind w:firstLine="480" w:firstLineChars="200"/>
        <w:rPr>
          <w:color w:val="auto"/>
          <w:sz w:val="24"/>
          <w:highlight w:val="none"/>
        </w:rPr>
      </w:pPr>
      <w:r>
        <w:rPr>
          <w:rFonts w:hint="eastAsia"/>
          <w:color w:val="auto"/>
          <w:sz w:val="24"/>
          <w:highlight w:val="none"/>
        </w:rPr>
        <w:t>13.项目验收程序和标准</w:t>
      </w:r>
    </w:p>
    <w:p w14:paraId="400BBA85">
      <w:pPr>
        <w:spacing w:line="360" w:lineRule="auto"/>
        <w:ind w:firstLine="480" w:firstLineChars="200"/>
        <w:rPr>
          <w:color w:val="auto"/>
          <w:sz w:val="24"/>
          <w:highlight w:val="none"/>
        </w:rPr>
      </w:pPr>
      <w:r>
        <w:rPr>
          <w:rFonts w:hint="eastAsia"/>
          <w:color w:val="auto"/>
          <w:sz w:val="24"/>
          <w:highlight w:val="none"/>
        </w:rPr>
        <w:t>14.设备操作规程和保养要求</w:t>
      </w:r>
    </w:p>
    <w:p w14:paraId="142A3345">
      <w:pPr>
        <w:spacing w:line="360" w:lineRule="auto"/>
        <w:ind w:firstLine="480" w:firstLineChars="200"/>
        <w:rPr>
          <w:color w:val="auto"/>
          <w:sz w:val="24"/>
          <w:highlight w:val="none"/>
        </w:rPr>
      </w:pPr>
      <w:r>
        <w:rPr>
          <w:rFonts w:hint="eastAsia"/>
          <w:color w:val="auto"/>
          <w:sz w:val="24"/>
          <w:highlight w:val="none"/>
        </w:rPr>
        <w:t>15.设备故障处理约定</w:t>
      </w:r>
    </w:p>
    <w:p w14:paraId="7524090C">
      <w:pPr>
        <w:spacing w:line="360" w:lineRule="auto"/>
        <w:ind w:firstLine="480" w:firstLineChars="200"/>
        <w:rPr>
          <w:color w:val="auto"/>
          <w:sz w:val="24"/>
          <w:highlight w:val="none"/>
        </w:rPr>
      </w:pPr>
      <w:r>
        <w:rPr>
          <w:rFonts w:hint="eastAsia"/>
          <w:color w:val="auto"/>
          <w:sz w:val="24"/>
          <w:highlight w:val="none"/>
        </w:rPr>
        <w:t>16.成套节能装置维保协议（合同履约完毕后供甲方选择是否签订维保协议）</w:t>
      </w:r>
    </w:p>
    <w:p w14:paraId="5B27D482">
      <w:pPr>
        <w:spacing w:before="69" w:line="185" w:lineRule="auto"/>
        <w:rPr>
          <w:rFonts w:ascii="宋体" w:hAnsi="宋体" w:cs="宋体"/>
          <w:color w:val="auto"/>
          <w:spacing w:val="-1"/>
          <w:highlight w:val="none"/>
        </w:rPr>
      </w:pPr>
      <w:r>
        <w:rPr>
          <w:rFonts w:hint="eastAsia" w:ascii="宋体" w:hAnsi="宋体" w:cs="宋体"/>
          <w:color w:val="auto"/>
          <w:spacing w:val="-1"/>
          <w:highlight w:val="none"/>
        </w:rPr>
        <w:br w:type="page"/>
      </w:r>
      <w:r>
        <w:rPr>
          <w:rFonts w:hint="eastAsia" w:ascii="宋体" w:hAnsi="宋体" w:cs="宋体"/>
          <w:color w:val="auto"/>
          <w:spacing w:val="-1"/>
          <w:sz w:val="24"/>
          <w:highlight w:val="none"/>
        </w:rPr>
        <w:t>合同签章页：</w:t>
      </w:r>
    </w:p>
    <w:tbl>
      <w:tblPr>
        <w:tblStyle w:val="19"/>
        <w:tblW w:w="0" w:type="auto"/>
        <w:jc w:val="center"/>
        <w:tblLayout w:type="autofit"/>
        <w:tblCellMar>
          <w:top w:w="0" w:type="dxa"/>
          <w:left w:w="108" w:type="dxa"/>
          <w:bottom w:w="0" w:type="dxa"/>
          <w:right w:w="108" w:type="dxa"/>
        </w:tblCellMar>
      </w:tblPr>
      <w:tblGrid>
        <w:gridCol w:w="4644"/>
        <w:gridCol w:w="4644"/>
      </w:tblGrid>
      <w:tr w14:paraId="413FB75E">
        <w:tblPrEx>
          <w:tblCellMar>
            <w:top w:w="0" w:type="dxa"/>
            <w:left w:w="108" w:type="dxa"/>
            <w:bottom w:w="0" w:type="dxa"/>
            <w:right w:w="108" w:type="dxa"/>
          </w:tblCellMar>
        </w:tblPrEx>
        <w:trPr>
          <w:trHeight w:val="1495" w:hRule="atLeast"/>
          <w:jc w:val="center"/>
        </w:trPr>
        <w:tc>
          <w:tcPr>
            <w:tcW w:w="4644" w:type="dxa"/>
          </w:tcPr>
          <w:p w14:paraId="4D7B2561">
            <w:pPr>
              <w:spacing w:line="400" w:lineRule="atLeast"/>
              <w:rPr>
                <w:color w:val="auto"/>
                <w:sz w:val="24"/>
                <w:highlight w:val="none"/>
              </w:rPr>
            </w:pPr>
            <w:r>
              <w:rPr>
                <w:rFonts w:hint="eastAsia"/>
                <w:color w:val="auto"/>
                <w:sz w:val="24"/>
                <w:highlight w:val="none"/>
              </w:rPr>
              <w:t>甲方：</w:t>
            </w:r>
          </w:p>
        </w:tc>
        <w:tc>
          <w:tcPr>
            <w:tcW w:w="4644" w:type="dxa"/>
          </w:tcPr>
          <w:p w14:paraId="0FBA8F6D">
            <w:pPr>
              <w:spacing w:line="400" w:lineRule="atLeast"/>
              <w:rPr>
                <w:color w:val="auto"/>
                <w:sz w:val="24"/>
                <w:highlight w:val="none"/>
              </w:rPr>
            </w:pPr>
            <w:r>
              <w:rPr>
                <w:rFonts w:hint="eastAsia"/>
                <w:color w:val="auto"/>
                <w:sz w:val="24"/>
                <w:highlight w:val="none"/>
              </w:rPr>
              <w:t>乙方：</w:t>
            </w:r>
          </w:p>
        </w:tc>
      </w:tr>
      <w:tr w14:paraId="6487B36A">
        <w:tblPrEx>
          <w:tblCellMar>
            <w:top w:w="0" w:type="dxa"/>
            <w:left w:w="108" w:type="dxa"/>
            <w:bottom w:w="0" w:type="dxa"/>
            <w:right w:w="108" w:type="dxa"/>
          </w:tblCellMar>
        </w:tblPrEx>
        <w:trPr>
          <w:trHeight w:val="730" w:hRule="atLeast"/>
          <w:jc w:val="center"/>
        </w:trPr>
        <w:tc>
          <w:tcPr>
            <w:tcW w:w="4644" w:type="dxa"/>
          </w:tcPr>
          <w:p w14:paraId="55570205">
            <w:pPr>
              <w:spacing w:line="400" w:lineRule="atLeast"/>
              <w:jc w:val="right"/>
              <w:rPr>
                <w:color w:val="auto"/>
                <w:sz w:val="24"/>
                <w:highlight w:val="none"/>
              </w:rPr>
            </w:pPr>
            <w:r>
              <w:rPr>
                <w:rFonts w:hint="eastAsia"/>
                <w:color w:val="auto"/>
                <w:sz w:val="24"/>
                <w:highlight w:val="none"/>
              </w:rPr>
              <w:t>（印章）</w:t>
            </w:r>
          </w:p>
        </w:tc>
        <w:tc>
          <w:tcPr>
            <w:tcW w:w="4644" w:type="dxa"/>
          </w:tcPr>
          <w:p w14:paraId="7365C611">
            <w:pPr>
              <w:spacing w:line="400" w:lineRule="atLeast"/>
              <w:jc w:val="right"/>
              <w:rPr>
                <w:color w:val="auto"/>
                <w:sz w:val="24"/>
                <w:highlight w:val="none"/>
              </w:rPr>
            </w:pPr>
            <w:r>
              <w:rPr>
                <w:rFonts w:hint="eastAsia"/>
                <w:color w:val="auto"/>
                <w:sz w:val="24"/>
                <w:highlight w:val="none"/>
              </w:rPr>
              <w:t>（印章）</w:t>
            </w:r>
          </w:p>
        </w:tc>
      </w:tr>
      <w:tr w14:paraId="45C804C2">
        <w:tblPrEx>
          <w:tblCellMar>
            <w:top w:w="0" w:type="dxa"/>
            <w:left w:w="108" w:type="dxa"/>
            <w:bottom w:w="0" w:type="dxa"/>
            <w:right w:w="108" w:type="dxa"/>
          </w:tblCellMar>
        </w:tblPrEx>
        <w:trPr>
          <w:trHeight w:val="747" w:hRule="atLeast"/>
          <w:jc w:val="center"/>
        </w:trPr>
        <w:tc>
          <w:tcPr>
            <w:tcW w:w="4644" w:type="dxa"/>
          </w:tcPr>
          <w:p w14:paraId="36A56FA6">
            <w:pPr>
              <w:spacing w:line="400" w:lineRule="atLeast"/>
              <w:rPr>
                <w:color w:val="auto"/>
                <w:sz w:val="24"/>
                <w:highlight w:val="none"/>
              </w:rPr>
            </w:pPr>
            <w:r>
              <w:rPr>
                <w:rFonts w:hint="eastAsia"/>
                <w:color w:val="auto"/>
                <w:sz w:val="24"/>
                <w:highlight w:val="none"/>
              </w:rPr>
              <w:t>法人代表或委托代理人：</w:t>
            </w:r>
          </w:p>
        </w:tc>
        <w:tc>
          <w:tcPr>
            <w:tcW w:w="4644" w:type="dxa"/>
          </w:tcPr>
          <w:p w14:paraId="4C4A12D2">
            <w:pPr>
              <w:spacing w:line="400" w:lineRule="atLeast"/>
              <w:rPr>
                <w:color w:val="auto"/>
                <w:sz w:val="24"/>
                <w:highlight w:val="none"/>
              </w:rPr>
            </w:pPr>
            <w:r>
              <w:rPr>
                <w:rFonts w:hint="eastAsia"/>
                <w:color w:val="auto"/>
                <w:sz w:val="24"/>
                <w:highlight w:val="none"/>
              </w:rPr>
              <w:t>法人代表或委托代理人：</w:t>
            </w:r>
          </w:p>
        </w:tc>
      </w:tr>
      <w:tr w14:paraId="5245C7AC">
        <w:tblPrEx>
          <w:tblCellMar>
            <w:top w:w="0" w:type="dxa"/>
            <w:left w:w="108" w:type="dxa"/>
            <w:bottom w:w="0" w:type="dxa"/>
            <w:right w:w="108" w:type="dxa"/>
          </w:tblCellMar>
        </w:tblPrEx>
        <w:trPr>
          <w:trHeight w:val="967" w:hRule="atLeast"/>
          <w:jc w:val="center"/>
        </w:trPr>
        <w:tc>
          <w:tcPr>
            <w:tcW w:w="4644" w:type="dxa"/>
          </w:tcPr>
          <w:p w14:paraId="730B024B">
            <w:pPr>
              <w:spacing w:line="400" w:lineRule="atLeast"/>
              <w:rPr>
                <w:color w:val="auto"/>
                <w:sz w:val="24"/>
                <w:highlight w:val="none"/>
              </w:rPr>
            </w:pPr>
            <w:r>
              <w:rPr>
                <w:rFonts w:hint="eastAsia"/>
                <w:color w:val="auto"/>
                <w:sz w:val="24"/>
                <w:highlight w:val="none"/>
              </w:rPr>
              <w:t>地址：</w:t>
            </w:r>
          </w:p>
        </w:tc>
        <w:tc>
          <w:tcPr>
            <w:tcW w:w="4644" w:type="dxa"/>
          </w:tcPr>
          <w:p w14:paraId="1655FE5D">
            <w:pPr>
              <w:spacing w:line="400" w:lineRule="atLeast"/>
              <w:rPr>
                <w:color w:val="auto"/>
                <w:sz w:val="24"/>
                <w:highlight w:val="none"/>
              </w:rPr>
            </w:pPr>
            <w:r>
              <w:rPr>
                <w:rFonts w:hint="eastAsia"/>
                <w:color w:val="auto"/>
                <w:sz w:val="24"/>
                <w:highlight w:val="none"/>
              </w:rPr>
              <w:t>地址：</w:t>
            </w:r>
          </w:p>
        </w:tc>
      </w:tr>
      <w:tr w14:paraId="767EB6FE">
        <w:tblPrEx>
          <w:tblCellMar>
            <w:top w:w="0" w:type="dxa"/>
            <w:left w:w="108" w:type="dxa"/>
            <w:bottom w:w="0" w:type="dxa"/>
            <w:right w:w="108" w:type="dxa"/>
          </w:tblCellMar>
        </w:tblPrEx>
        <w:trPr>
          <w:trHeight w:val="747" w:hRule="atLeast"/>
          <w:jc w:val="center"/>
        </w:trPr>
        <w:tc>
          <w:tcPr>
            <w:tcW w:w="4644" w:type="dxa"/>
          </w:tcPr>
          <w:p w14:paraId="33C816FC">
            <w:pPr>
              <w:spacing w:line="400" w:lineRule="atLeast"/>
              <w:rPr>
                <w:color w:val="auto"/>
                <w:sz w:val="24"/>
                <w:highlight w:val="none"/>
              </w:rPr>
            </w:pPr>
            <w:r>
              <w:rPr>
                <w:rFonts w:hint="eastAsia"/>
                <w:color w:val="auto"/>
                <w:sz w:val="24"/>
                <w:highlight w:val="none"/>
              </w:rPr>
              <w:t>邮编：</w:t>
            </w:r>
          </w:p>
        </w:tc>
        <w:tc>
          <w:tcPr>
            <w:tcW w:w="4644" w:type="dxa"/>
          </w:tcPr>
          <w:p w14:paraId="6899B0F5">
            <w:pPr>
              <w:spacing w:line="400" w:lineRule="atLeast"/>
              <w:rPr>
                <w:color w:val="auto"/>
                <w:sz w:val="24"/>
                <w:highlight w:val="none"/>
              </w:rPr>
            </w:pPr>
            <w:r>
              <w:rPr>
                <w:rFonts w:hint="eastAsia"/>
                <w:color w:val="auto"/>
                <w:sz w:val="24"/>
                <w:highlight w:val="none"/>
              </w:rPr>
              <w:t>邮编：</w:t>
            </w:r>
          </w:p>
        </w:tc>
      </w:tr>
      <w:tr w14:paraId="3F3083B9">
        <w:tblPrEx>
          <w:tblCellMar>
            <w:top w:w="0" w:type="dxa"/>
            <w:left w:w="108" w:type="dxa"/>
            <w:bottom w:w="0" w:type="dxa"/>
            <w:right w:w="108" w:type="dxa"/>
          </w:tblCellMar>
        </w:tblPrEx>
        <w:trPr>
          <w:trHeight w:val="747" w:hRule="atLeast"/>
          <w:jc w:val="center"/>
        </w:trPr>
        <w:tc>
          <w:tcPr>
            <w:tcW w:w="4644" w:type="dxa"/>
          </w:tcPr>
          <w:p w14:paraId="746A3EB2">
            <w:pPr>
              <w:ind w:left="1800" w:hanging="1800" w:hangingChars="750"/>
              <w:rPr>
                <w:color w:val="auto"/>
                <w:sz w:val="24"/>
                <w:highlight w:val="none"/>
              </w:rPr>
            </w:pPr>
            <w:r>
              <w:rPr>
                <w:rFonts w:hint="eastAsia"/>
                <w:color w:val="auto"/>
                <w:sz w:val="24"/>
                <w:highlight w:val="none"/>
              </w:rPr>
              <w:t>邮箱：</w:t>
            </w:r>
          </w:p>
        </w:tc>
        <w:tc>
          <w:tcPr>
            <w:tcW w:w="4644" w:type="dxa"/>
          </w:tcPr>
          <w:p w14:paraId="60F2825E">
            <w:pPr>
              <w:spacing w:line="400" w:lineRule="atLeast"/>
              <w:rPr>
                <w:color w:val="auto"/>
                <w:sz w:val="24"/>
                <w:highlight w:val="none"/>
              </w:rPr>
            </w:pPr>
            <w:r>
              <w:rPr>
                <w:rFonts w:hint="eastAsia"/>
                <w:color w:val="auto"/>
                <w:sz w:val="24"/>
                <w:highlight w:val="none"/>
              </w:rPr>
              <w:t>邮箱：</w:t>
            </w:r>
          </w:p>
        </w:tc>
      </w:tr>
      <w:tr w14:paraId="764B8569">
        <w:tblPrEx>
          <w:tblCellMar>
            <w:top w:w="0" w:type="dxa"/>
            <w:left w:w="108" w:type="dxa"/>
            <w:bottom w:w="0" w:type="dxa"/>
            <w:right w:w="108" w:type="dxa"/>
          </w:tblCellMar>
        </w:tblPrEx>
        <w:trPr>
          <w:trHeight w:val="747" w:hRule="atLeast"/>
          <w:jc w:val="center"/>
        </w:trPr>
        <w:tc>
          <w:tcPr>
            <w:tcW w:w="4644" w:type="dxa"/>
          </w:tcPr>
          <w:p w14:paraId="7E5E6E5D">
            <w:pPr>
              <w:ind w:left="1800" w:hanging="1800" w:hangingChars="750"/>
              <w:rPr>
                <w:color w:val="auto"/>
                <w:sz w:val="24"/>
                <w:highlight w:val="none"/>
              </w:rPr>
            </w:pPr>
            <w:r>
              <w:rPr>
                <w:rFonts w:hint="eastAsia"/>
                <w:color w:val="auto"/>
                <w:sz w:val="24"/>
                <w:highlight w:val="none"/>
              </w:rPr>
              <w:t>手机：</w:t>
            </w:r>
          </w:p>
        </w:tc>
        <w:tc>
          <w:tcPr>
            <w:tcW w:w="4644" w:type="dxa"/>
          </w:tcPr>
          <w:p w14:paraId="17BCDEE5">
            <w:pPr>
              <w:spacing w:line="400" w:lineRule="atLeast"/>
              <w:rPr>
                <w:color w:val="auto"/>
                <w:sz w:val="24"/>
                <w:highlight w:val="none"/>
              </w:rPr>
            </w:pPr>
            <w:r>
              <w:rPr>
                <w:rFonts w:hint="eastAsia"/>
                <w:color w:val="auto"/>
                <w:sz w:val="24"/>
                <w:highlight w:val="none"/>
              </w:rPr>
              <w:t>手机：</w:t>
            </w:r>
          </w:p>
        </w:tc>
      </w:tr>
      <w:tr w14:paraId="4F3499BA">
        <w:tblPrEx>
          <w:tblCellMar>
            <w:top w:w="0" w:type="dxa"/>
            <w:left w:w="108" w:type="dxa"/>
            <w:bottom w:w="0" w:type="dxa"/>
            <w:right w:w="108" w:type="dxa"/>
          </w:tblCellMar>
        </w:tblPrEx>
        <w:trPr>
          <w:trHeight w:val="747" w:hRule="atLeast"/>
          <w:jc w:val="center"/>
        </w:trPr>
        <w:tc>
          <w:tcPr>
            <w:tcW w:w="4644" w:type="dxa"/>
          </w:tcPr>
          <w:p w14:paraId="3CB620A7">
            <w:pPr>
              <w:ind w:left="1800" w:hanging="1800" w:hangingChars="750"/>
              <w:rPr>
                <w:color w:val="auto"/>
                <w:sz w:val="24"/>
                <w:highlight w:val="none"/>
              </w:rPr>
            </w:pPr>
            <w:r>
              <w:rPr>
                <w:rFonts w:hint="eastAsia"/>
                <w:color w:val="auto"/>
                <w:sz w:val="24"/>
                <w:highlight w:val="none"/>
              </w:rPr>
              <w:t>电话：</w:t>
            </w:r>
          </w:p>
        </w:tc>
        <w:tc>
          <w:tcPr>
            <w:tcW w:w="4644" w:type="dxa"/>
          </w:tcPr>
          <w:p w14:paraId="4587D0D3">
            <w:pPr>
              <w:spacing w:line="400" w:lineRule="atLeast"/>
              <w:rPr>
                <w:color w:val="auto"/>
                <w:sz w:val="24"/>
                <w:highlight w:val="none"/>
              </w:rPr>
            </w:pPr>
            <w:r>
              <w:rPr>
                <w:rFonts w:hint="eastAsia"/>
                <w:color w:val="auto"/>
                <w:sz w:val="24"/>
                <w:highlight w:val="none"/>
              </w:rPr>
              <w:t>电话：</w:t>
            </w:r>
          </w:p>
        </w:tc>
      </w:tr>
      <w:tr w14:paraId="673F7B95">
        <w:tblPrEx>
          <w:tblCellMar>
            <w:top w:w="0" w:type="dxa"/>
            <w:left w:w="108" w:type="dxa"/>
            <w:bottom w:w="0" w:type="dxa"/>
            <w:right w:w="108" w:type="dxa"/>
          </w:tblCellMar>
        </w:tblPrEx>
        <w:trPr>
          <w:trHeight w:val="748" w:hRule="atLeast"/>
          <w:jc w:val="center"/>
        </w:trPr>
        <w:tc>
          <w:tcPr>
            <w:tcW w:w="4644" w:type="dxa"/>
          </w:tcPr>
          <w:p w14:paraId="78014812">
            <w:pPr>
              <w:spacing w:line="400" w:lineRule="atLeast"/>
              <w:rPr>
                <w:color w:val="auto"/>
                <w:sz w:val="24"/>
                <w:highlight w:val="none"/>
              </w:rPr>
            </w:pPr>
            <w:r>
              <w:rPr>
                <w:rFonts w:hint="eastAsia"/>
                <w:color w:val="auto"/>
                <w:sz w:val="24"/>
                <w:highlight w:val="none"/>
              </w:rPr>
              <w:t>开户行：</w:t>
            </w:r>
          </w:p>
        </w:tc>
        <w:tc>
          <w:tcPr>
            <w:tcW w:w="4644" w:type="dxa"/>
          </w:tcPr>
          <w:p w14:paraId="76103C29">
            <w:pPr>
              <w:spacing w:line="400" w:lineRule="atLeast"/>
              <w:rPr>
                <w:color w:val="auto"/>
                <w:sz w:val="24"/>
                <w:highlight w:val="none"/>
              </w:rPr>
            </w:pPr>
            <w:r>
              <w:rPr>
                <w:rFonts w:hint="eastAsia"/>
                <w:color w:val="auto"/>
                <w:sz w:val="24"/>
                <w:highlight w:val="none"/>
              </w:rPr>
              <w:t>开户行：</w:t>
            </w:r>
          </w:p>
        </w:tc>
      </w:tr>
      <w:tr w14:paraId="42B9CF08">
        <w:tblPrEx>
          <w:tblCellMar>
            <w:top w:w="0" w:type="dxa"/>
            <w:left w:w="108" w:type="dxa"/>
            <w:bottom w:w="0" w:type="dxa"/>
            <w:right w:w="108" w:type="dxa"/>
          </w:tblCellMar>
        </w:tblPrEx>
        <w:trPr>
          <w:trHeight w:val="747" w:hRule="atLeast"/>
          <w:jc w:val="center"/>
        </w:trPr>
        <w:tc>
          <w:tcPr>
            <w:tcW w:w="4644" w:type="dxa"/>
          </w:tcPr>
          <w:p w14:paraId="3D979E2F">
            <w:pPr>
              <w:spacing w:line="400" w:lineRule="atLeast"/>
              <w:rPr>
                <w:color w:val="auto"/>
                <w:sz w:val="24"/>
                <w:highlight w:val="none"/>
              </w:rPr>
            </w:pPr>
            <w:r>
              <w:rPr>
                <w:rFonts w:hint="eastAsia"/>
                <w:color w:val="auto"/>
                <w:sz w:val="24"/>
                <w:highlight w:val="none"/>
              </w:rPr>
              <w:t>帐号：</w:t>
            </w:r>
          </w:p>
        </w:tc>
        <w:tc>
          <w:tcPr>
            <w:tcW w:w="4644" w:type="dxa"/>
          </w:tcPr>
          <w:p w14:paraId="0CB40420">
            <w:pPr>
              <w:spacing w:line="400" w:lineRule="atLeast"/>
              <w:rPr>
                <w:color w:val="auto"/>
                <w:sz w:val="24"/>
                <w:highlight w:val="none"/>
              </w:rPr>
            </w:pPr>
            <w:r>
              <w:rPr>
                <w:rFonts w:hint="eastAsia"/>
                <w:color w:val="auto"/>
                <w:sz w:val="24"/>
                <w:highlight w:val="none"/>
              </w:rPr>
              <w:t>帐号：</w:t>
            </w:r>
          </w:p>
        </w:tc>
      </w:tr>
      <w:tr w14:paraId="45B54533">
        <w:tblPrEx>
          <w:tblCellMar>
            <w:top w:w="0" w:type="dxa"/>
            <w:left w:w="108" w:type="dxa"/>
            <w:bottom w:w="0" w:type="dxa"/>
            <w:right w:w="108" w:type="dxa"/>
          </w:tblCellMar>
        </w:tblPrEx>
        <w:trPr>
          <w:trHeight w:val="747" w:hRule="atLeast"/>
          <w:jc w:val="center"/>
        </w:trPr>
        <w:tc>
          <w:tcPr>
            <w:tcW w:w="4644" w:type="dxa"/>
          </w:tcPr>
          <w:p w14:paraId="2038B418">
            <w:pPr>
              <w:rPr>
                <w:color w:val="auto"/>
                <w:sz w:val="24"/>
                <w:highlight w:val="none"/>
              </w:rPr>
            </w:pPr>
            <w:r>
              <w:rPr>
                <w:rFonts w:hint="eastAsia"/>
                <w:color w:val="auto"/>
                <w:sz w:val="24"/>
                <w:highlight w:val="none"/>
              </w:rPr>
              <w:t>税号：</w:t>
            </w:r>
          </w:p>
        </w:tc>
        <w:tc>
          <w:tcPr>
            <w:tcW w:w="4644" w:type="dxa"/>
          </w:tcPr>
          <w:p w14:paraId="0A45D950">
            <w:pPr>
              <w:spacing w:line="400" w:lineRule="atLeast"/>
              <w:rPr>
                <w:color w:val="auto"/>
                <w:sz w:val="24"/>
                <w:highlight w:val="none"/>
              </w:rPr>
            </w:pPr>
            <w:r>
              <w:rPr>
                <w:rFonts w:hint="eastAsia"/>
                <w:color w:val="auto"/>
                <w:sz w:val="24"/>
                <w:highlight w:val="none"/>
              </w:rPr>
              <w:t>税号：</w:t>
            </w:r>
          </w:p>
        </w:tc>
      </w:tr>
    </w:tbl>
    <w:p w14:paraId="553880CE">
      <w:pPr>
        <w:spacing w:before="69" w:line="185" w:lineRule="auto"/>
        <w:rPr>
          <w:rFonts w:ascii="宋体" w:hAnsi="宋体" w:cs="宋体"/>
          <w:color w:val="auto"/>
          <w:spacing w:val="-1"/>
          <w:highlight w:val="none"/>
        </w:rPr>
      </w:pPr>
    </w:p>
    <w:p w14:paraId="4CFD67AE">
      <w:pPr>
        <w:spacing w:before="69" w:line="185" w:lineRule="auto"/>
        <w:ind w:firstLine="630" w:firstLineChars="300"/>
        <w:rPr>
          <w:rFonts w:ascii="宋体" w:hAnsi="宋体" w:cs="宋体"/>
          <w:color w:val="auto"/>
          <w:highlight w:val="none"/>
        </w:rPr>
      </w:pPr>
    </w:p>
    <w:p w14:paraId="055B8BB6">
      <w:pPr>
        <w:rPr>
          <w:rFonts w:ascii="宋体" w:hAnsi="宋体" w:cs="宋体"/>
          <w:color w:val="auto"/>
          <w:spacing w:val="-1"/>
          <w:highlight w:val="none"/>
        </w:rPr>
      </w:pPr>
    </w:p>
    <w:p w14:paraId="6A4E5F1A">
      <w:pPr>
        <w:pStyle w:val="2"/>
        <w:tabs>
          <w:tab w:val="right" w:leader="dot" w:pos="8295"/>
        </w:tabs>
        <w:jc w:val="center"/>
        <w:rPr>
          <w:rFonts w:ascii="宋体" w:eastAsia="宋体"/>
          <w:b w:val="0"/>
          <w:color w:val="auto"/>
          <w:highlight w:val="none"/>
        </w:rPr>
      </w:pPr>
      <w:bookmarkStart w:id="122" w:name="_Toc31139"/>
      <w:r>
        <w:rPr>
          <w:color w:val="auto"/>
          <w:sz w:val="2"/>
          <w:szCs w:val="2"/>
          <w:highlight w:val="none"/>
        </w:rPr>
        <w:br w:type="column"/>
      </w:r>
      <w:bookmarkEnd w:id="122"/>
      <w:r>
        <w:rPr>
          <w:rFonts w:hint="eastAsia" w:ascii="宋体" w:eastAsia="宋体"/>
          <w:color w:val="auto"/>
          <w:highlight w:val="none"/>
        </w:rPr>
        <w:t>第五章</w:t>
      </w:r>
      <w:bookmarkEnd w:id="117"/>
      <w:bookmarkEnd w:id="118"/>
      <w:bookmarkStart w:id="123" w:name="_Toc494121491"/>
      <w:bookmarkStart w:id="124" w:name="_Toc530660854"/>
      <w:r>
        <w:rPr>
          <w:rFonts w:hint="eastAsia" w:ascii="宋体" w:eastAsia="宋体"/>
          <w:color w:val="auto"/>
          <w:highlight w:val="none"/>
        </w:rPr>
        <w:t xml:space="preserve"> 图纸</w:t>
      </w:r>
      <w:bookmarkEnd w:id="119"/>
      <w:bookmarkEnd w:id="123"/>
      <w:bookmarkEnd w:id="124"/>
    </w:p>
    <w:p w14:paraId="2F147602">
      <w:pPr>
        <w:tabs>
          <w:tab w:val="right" w:leader="dot" w:pos="8295"/>
        </w:tabs>
        <w:jc w:val="center"/>
        <w:rPr>
          <w:rFonts w:ascii="宋体"/>
          <w:color w:val="auto"/>
          <w:sz w:val="36"/>
          <w:szCs w:val="36"/>
          <w:highlight w:val="none"/>
        </w:rPr>
      </w:pPr>
    </w:p>
    <w:p w14:paraId="475A86A0">
      <w:pPr>
        <w:tabs>
          <w:tab w:val="right" w:leader="dot" w:pos="8295"/>
        </w:tabs>
        <w:jc w:val="center"/>
        <w:rPr>
          <w:rFonts w:ascii="宋体"/>
          <w:color w:val="auto"/>
          <w:sz w:val="28"/>
          <w:szCs w:val="28"/>
          <w:highlight w:val="none"/>
        </w:rPr>
      </w:pPr>
      <w:r>
        <w:rPr>
          <w:rFonts w:hint="eastAsia" w:ascii="宋体"/>
          <w:color w:val="auto"/>
          <w:sz w:val="28"/>
          <w:szCs w:val="28"/>
          <w:highlight w:val="none"/>
        </w:rPr>
        <w:t>/</w:t>
      </w:r>
      <w:bookmarkStart w:id="125" w:name="_Hlk92294025"/>
    </w:p>
    <w:p w14:paraId="499392DE">
      <w:pPr>
        <w:pStyle w:val="2"/>
        <w:tabs>
          <w:tab w:val="right" w:leader="dot" w:pos="8295"/>
        </w:tabs>
        <w:jc w:val="center"/>
        <w:rPr>
          <w:rFonts w:ascii="宋体"/>
          <w:b w:val="0"/>
          <w:color w:val="auto"/>
          <w:highlight w:val="none"/>
        </w:rPr>
      </w:pPr>
      <w:r>
        <w:rPr>
          <w:rFonts w:hint="eastAsia" w:ascii="宋体"/>
          <w:color w:val="auto"/>
          <w:szCs w:val="24"/>
          <w:highlight w:val="none"/>
        </w:rPr>
        <w:br w:type="page"/>
      </w:r>
      <w:bookmarkStart w:id="126" w:name="_Toc17388"/>
      <w:r>
        <w:rPr>
          <w:rFonts w:hint="eastAsia" w:ascii="宋体" w:eastAsia="宋体"/>
          <w:color w:val="auto"/>
          <w:highlight w:val="none"/>
        </w:rPr>
        <w:t>第六章 技术标准和要求</w:t>
      </w:r>
      <w:bookmarkEnd w:id="126"/>
    </w:p>
    <w:p w14:paraId="5E497C3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次招标为浙江衢州巨塑化工有限公司皂化清液浓缩装置三效蒸发乏汽回收余热利用节能改造项目合作实施方招标，中标人承担项目投资、设计、采购、制造、检（试）验、运输、安装、调试、检维修、相关装置改造等。其中，核心设备蒸汽压缩机需由投标人自行</w:t>
      </w:r>
      <w:r>
        <w:rPr>
          <w:rFonts w:ascii="宋体" w:hAnsi="宋体"/>
          <w:color w:val="auto"/>
          <w:sz w:val="24"/>
          <w:highlight w:val="none"/>
        </w:rPr>
        <w:t>制造</w:t>
      </w:r>
      <w:r>
        <w:rPr>
          <w:rFonts w:hint="eastAsia" w:ascii="宋体" w:hAnsi="宋体"/>
          <w:color w:val="auto"/>
          <w:sz w:val="24"/>
          <w:highlight w:val="none"/>
        </w:rPr>
        <w:t>，其他设备、设计、运输、安装、检维修等可由投标人通过招标或发包等方式依法确认具有相关资质工程单位，应满足本招标文件技术要求</w:t>
      </w:r>
    </w:p>
    <w:p w14:paraId="26295382">
      <w:pPr>
        <w:spacing w:line="360" w:lineRule="auto"/>
        <w:ind w:firstLine="480" w:firstLineChars="200"/>
        <w:rPr>
          <w:rFonts w:ascii="宋体" w:hAnsi="宋体"/>
          <w:color w:val="auto"/>
          <w:sz w:val="24"/>
          <w:highlight w:val="none"/>
        </w:rPr>
      </w:pPr>
      <w:r>
        <w:rPr>
          <w:rFonts w:ascii="宋体" w:hAnsi="宋体"/>
          <w:color w:val="auto"/>
          <w:sz w:val="24"/>
          <w:highlight w:val="none"/>
        </w:rPr>
        <w:t>根据上述招标范围，项目技术要求主要分为</w:t>
      </w:r>
      <w:r>
        <w:rPr>
          <w:rFonts w:hint="eastAsia" w:ascii="宋体" w:hAnsi="宋体"/>
          <w:color w:val="auto"/>
          <w:sz w:val="24"/>
          <w:highlight w:val="none"/>
        </w:rPr>
        <w:t>蒸汽压缩机组技术要求，工程施工技术要求两部分。</w:t>
      </w:r>
    </w:p>
    <w:p w14:paraId="79C007FC">
      <w:pPr>
        <w:adjustRightInd w:val="0"/>
        <w:snapToGrid w:val="0"/>
        <w:spacing w:line="360" w:lineRule="auto"/>
        <w:jc w:val="center"/>
        <w:outlineLvl w:val="0"/>
        <w:rPr>
          <w:rFonts w:ascii="宋体" w:hAnsi="宋体"/>
          <w:bCs/>
          <w:color w:val="auto"/>
          <w:sz w:val="24"/>
          <w:highlight w:val="none"/>
        </w:rPr>
      </w:pPr>
      <w:r>
        <w:rPr>
          <w:rFonts w:ascii="宋体" w:hAnsi="宋体"/>
          <w:bCs/>
          <w:color w:val="auto"/>
          <w:sz w:val="24"/>
          <w:highlight w:val="none"/>
        </w:rPr>
        <w:t>第一部分</w:t>
      </w:r>
      <w:r>
        <w:rPr>
          <w:rFonts w:hint="eastAsia" w:ascii="宋体" w:hAnsi="宋体"/>
          <w:bCs/>
          <w:color w:val="auto"/>
          <w:sz w:val="24"/>
          <w:highlight w:val="none"/>
        </w:rPr>
        <w:t xml:space="preserve"> 蒸汽压缩机组技术要求</w:t>
      </w:r>
    </w:p>
    <w:p w14:paraId="7D194512">
      <w:pPr>
        <w:adjustRightInd w:val="0"/>
        <w:snapToGrid w:val="0"/>
        <w:spacing w:line="360" w:lineRule="auto"/>
        <w:outlineLvl w:val="0"/>
        <w:rPr>
          <w:rFonts w:ascii="宋体" w:hAnsi="宋体"/>
          <w:bCs/>
          <w:color w:val="auto"/>
          <w:sz w:val="24"/>
          <w:highlight w:val="none"/>
        </w:rPr>
      </w:pPr>
      <w:r>
        <w:rPr>
          <w:rFonts w:ascii="宋体" w:hAnsi="宋体"/>
          <w:bCs/>
          <w:color w:val="auto"/>
          <w:sz w:val="24"/>
          <w:highlight w:val="none"/>
        </w:rPr>
        <w:t>1.总则</w:t>
      </w:r>
    </w:p>
    <w:p w14:paraId="7ECB0907">
      <w:pPr>
        <w:snapToGrid w:val="0"/>
        <w:spacing w:line="360" w:lineRule="auto"/>
        <w:rPr>
          <w:rFonts w:ascii="宋体" w:hAnsi="宋体" w:cs="宋体"/>
          <w:color w:val="auto"/>
          <w:sz w:val="24"/>
          <w:highlight w:val="none"/>
        </w:rPr>
      </w:pPr>
      <w:r>
        <w:rPr>
          <w:rFonts w:ascii="宋体" w:hAnsi="宋体"/>
          <w:b/>
          <w:color w:val="auto"/>
          <w:sz w:val="24"/>
          <w:highlight w:val="none"/>
        </w:rPr>
        <w:t>*</w:t>
      </w:r>
      <w:r>
        <w:rPr>
          <w:rFonts w:hint="eastAsia" w:ascii="宋体" w:hAnsi="宋体" w:cs="宋体"/>
          <w:color w:val="auto"/>
          <w:sz w:val="24"/>
          <w:highlight w:val="none"/>
        </w:rPr>
        <w:t>1.1投标蒸汽压缩机组须为完整的、全新的未曾使用过的蒸汽压缩机组，须提供至少1条近三年内类似工况，（</w:t>
      </w:r>
      <w:r>
        <w:rPr>
          <w:rFonts w:hint="eastAsia" w:ascii="宋体" w:hAnsi="宋体"/>
          <w:color w:val="auto"/>
          <w:sz w:val="24"/>
          <w:highlight w:val="none"/>
        </w:rPr>
        <w:t>入口蒸汽流量≥</w:t>
      </w:r>
      <w:r>
        <w:rPr>
          <w:rFonts w:ascii="宋体" w:hAnsi="宋体"/>
          <w:color w:val="auto"/>
          <w:sz w:val="24"/>
          <w:highlight w:val="none"/>
        </w:rPr>
        <w:t>9</w:t>
      </w:r>
      <w:r>
        <w:rPr>
          <w:rFonts w:hint="eastAsia" w:ascii="宋体" w:hAnsi="宋体"/>
          <w:color w:val="auto"/>
          <w:sz w:val="24"/>
          <w:highlight w:val="none"/>
        </w:rPr>
        <w:t>t/h</w:t>
      </w:r>
      <w:r>
        <w:rPr>
          <w:rFonts w:ascii="宋体" w:hAnsi="宋体"/>
          <w:color w:val="auto"/>
          <w:sz w:val="24"/>
          <w:highlight w:val="none"/>
        </w:rPr>
        <w:t>或</w:t>
      </w:r>
      <w:r>
        <w:rPr>
          <w:rFonts w:hint="eastAsia" w:ascii="宋体" w:hAnsi="宋体"/>
          <w:color w:val="auto"/>
          <w:sz w:val="24"/>
          <w:highlight w:val="none"/>
        </w:rPr>
        <w:t>出口压力≥0.3MPa)</w:t>
      </w:r>
      <w:r>
        <w:rPr>
          <w:rFonts w:hint="eastAsia" w:ascii="宋体" w:hAnsi="宋体" w:cs="宋体"/>
          <w:color w:val="auto"/>
          <w:sz w:val="24"/>
          <w:highlight w:val="none"/>
        </w:rPr>
        <w:t>的应用业绩(以合同签订时间为准)，提供合同及销售发票复印件并加盖公章。</w:t>
      </w:r>
    </w:p>
    <w:p w14:paraId="63A1B326">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1.2蒸汽压缩机组的零、部件应采用全新优质材料制造，所选用的机械、气动、电气、电子元件应当是先进的、优质的、可靠的。</w:t>
      </w:r>
    </w:p>
    <w:p w14:paraId="0E0830BB">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1.3投标蒸汽压缩机组必须是投标人的制造厂自行设计、生产、装配并经严格检验、试验合格的蒸汽压缩机组。</w:t>
      </w:r>
    </w:p>
    <w:p w14:paraId="72B21661">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1.4投标人应保证所供蒸汽压缩机组的先进性、可靠性和适用性。</w:t>
      </w:r>
    </w:p>
    <w:p w14:paraId="07BCFFBD">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1.5投标人应保证所供蒸汽压缩机组完整性和成套性，能保证货物的正常运行和使用。</w:t>
      </w:r>
    </w:p>
    <w:p w14:paraId="1A3F792A">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1.6投标蒸汽压缩机组应有完善、可靠的安全保护措施，以防止误操作或意外事故使人员、蒸汽压缩机组、工件受损。安全及环保标准应符合中国国家的有关管理规定。</w:t>
      </w:r>
    </w:p>
    <w:p w14:paraId="369053D6">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1.7投标蒸汽压缩机组的零件和仪表计量单位全部采用国际单位制标准(SI)，所有零部件和仪表的设计制造应符合ISO和IEC标准。主机和所有配件、备件应说明基本参数、制造国和制造商名称。</w:t>
      </w:r>
    </w:p>
    <w:p w14:paraId="7B5F3F41">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1.8投标蒸汽压缩机组的金属构件(除装配表面和电镀表面外)都应进行油漆或防腐处理。防腐措施应能保证招标人在正常使用周期内状态良好。</w:t>
      </w:r>
    </w:p>
    <w:p w14:paraId="2F9545B0">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1.9招标人在本技术规范中提出了最低限度的技术要求，并未规定所有的技术要求和适用的标准，投标人应提供一套满足或高于本技术标书要求的高质量蒸汽压缩机组及其相应服务。对国家有关安全、技术、环保等强制性标准，必须满足其要求。</w:t>
      </w:r>
    </w:p>
    <w:p w14:paraId="72ADF546">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1.10 如未对本技术标书中提出的标准提出偏差，将认为</w:t>
      </w:r>
      <w:r>
        <w:rPr>
          <w:rFonts w:ascii="宋体" w:hAnsi="宋体" w:cs="宋体"/>
          <w:color w:val="auto"/>
          <w:sz w:val="24"/>
          <w:highlight w:val="none"/>
        </w:rPr>
        <w:t>投</w:t>
      </w:r>
      <w:r>
        <w:rPr>
          <w:rFonts w:hint="eastAsia" w:ascii="宋体" w:hAnsi="宋体" w:cs="宋体"/>
          <w:color w:val="auto"/>
          <w:sz w:val="24"/>
          <w:highlight w:val="none"/>
        </w:rPr>
        <w:t>标人提供的蒸汽压缩机组符合规范和标准的要求，偏差（无论多少）都必须清楚地表示在投标文件的差异表中。</w:t>
      </w:r>
    </w:p>
    <w:p w14:paraId="5B719463">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1.11 投标人须执行本招标文件所列标准。有矛盾时，按高标准执行。</w:t>
      </w:r>
    </w:p>
    <w:p w14:paraId="1F208BDF">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1.12投标人须在技术资信标中明确投标人对支付条款和交货期的响应和承诺。</w:t>
      </w:r>
    </w:p>
    <w:p w14:paraId="47C9E366">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1.13 加*条款为招标文件的主要条款，对主要条款（含条款所有子项）的任何负偏离，将否决其投标。不加*条款为招标文件的一般条款，对一般条款的负偏离超过五项的，将否决其投标。</w:t>
      </w:r>
    </w:p>
    <w:p w14:paraId="296D22D8">
      <w:pPr>
        <w:spacing w:line="360" w:lineRule="auto"/>
        <w:rPr>
          <w:rFonts w:ascii="宋体" w:hAnsi="宋体" w:cs="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ascii="宋体" w:hAnsi="宋体" w:cs="宋体"/>
          <w:color w:val="auto"/>
          <w:spacing w:val="1"/>
          <w:kern w:val="0"/>
          <w:position w:val="-1"/>
          <w:sz w:val="24"/>
          <w:highlight w:val="none"/>
        </w:rPr>
        <w:t>14</w:t>
      </w:r>
      <w:r>
        <w:rPr>
          <w:rFonts w:hint="eastAsia" w:ascii="宋体" w:hAnsi="宋体" w:cs="宋体"/>
          <w:color w:val="auto"/>
          <w:sz w:val="24"/>
          <w:highlight w:val="none"/>
        </w:rPr>
        <w:t>控制柜内信号电缆接入卡件前均需设置安全栅，保证控制卡件安全。压缩机要求安装在线测振，采用本特利振动变送器检测设备振动值，数据上传P</w:t>
      </w:r>
      <w:r>
        <w:rPr>
          <w:rFonts w:ascii="宋体" w:hAnsi="宋体" w:cs="宋体"/>
          <w:color w:val="auto"/>
          <w:sz w:val="24"/>
          <w:highlight w:val="none"/>
        </w:rPr>
        <w:t>LC</w:t>
      </w:r>
      <w:r>
        <w:rPr>
          <w:rFonts w:hint="eastAsia" w:ascii="宋体" w:hAnsi="宋体" w:cs="宋体"/>
          <w:color w:val="auto"/>
          <w:sz w:val="24"/>
          <w:highlight w:val="none"/>
        </w:rPr>
        <w:t>，预留可上传至本特利3500接口，4</w:t>
      </w:r>
      <w:r>
        <w:rPr>
          <w:rFonts w:ascii="宋体" w:hAnsi="宋体" w:cs="宋体"/>
          <w:color w:val="auto"/>
          <w:sz w:val="24"/>
          <w:highlight w:val="none"/>
        </w:rPr>
        <w:t>85</w:t>
      </w:r>
      <w:r>
        <w:rPr>
          <w:rFonts w:hint="eastAsia" w:ascii="宋体" w:hAnsi="宋体" w:cs="宋体"/>
          <w:color w:val="auto"/>
          <w:sz w:val="24"/>
          <w:highlight w:val="none"/>
        </w:rPr>
        <w:t>通讯到D</w:t>
      </w:r>
      <w:r>
        <w:rPr>
          <w:rFonts w:ascii="宋体" w:hAnsi="宋体" w:cs="宋体"/>
          <w:color w:val="auto"/>
          <w:sz w:val="24"/>
          <w:highlight w:val="none"/>
        </w:rPr>
        <w:t>CS</w:t>
      </w:r>
      <w:r>
        <w:rPr>
          <w:rFonts w:hint="eastAsia" w:ascii="宋体" w:hAnsi="宋体" w:cs="宋体"/>
          <w:color w:val="auto"/>
          <w:sz w:val="24"/>
          <w:highlight w:val="none"/>
        </w:rPr>
        <w:t>并可下载分析；所有通讯接口都要设置冗余；所有测振测温点的进线口要求位于机壳上部，填密封胶，防止漏油。电动机要求测振点不少于2个。机组所有联锁仪表需采用“二取二”联锁。</w:t>
      </w:r>
    </w:p>
    <w:p w14:paraId="0280E653">
      <w:pPr>
        <w:spacing w:line="360" w:lineRule="auto"/>
        <w:rPr>
          <w:rFonts w:ascii="宋体" w:hAnsi="宋体" w:cs="宋体"/>
          <w:color w:val="auto"/>
          <w:sz w:val="24"/>
          <w:highlight w:val="none"/>
        </w:rPr>
      </w:pPr>
      <w:r>
        <w:rPr>
          <w:rFonts w:ascii="宋体" w:hAnsi="宋体" w:cs="宋体"/>
          <w:color w:val="auto"/>
          <w:spacing w:val="1"/>
          <w:kern w:val="0"/>
          <w:position w:val="-1"/>
          <w:sz w:val="24"/>
          <w:highlight w:val="none"/>
        </w:rPr>
        <w:t>1.15</w:t>
      </w:r>
      <w:r>
        <w:rPr>
          <w:rFonts w:hint="eastAsia" w:ascii="宋体" w:hAnsi="宋体" w:cs="宋体"/>
          <w:color w:val="auto"/>
          <w:spacing w:val="1"/>
          <w:kern w:val="0"/>
          <w:position w:val="-1"/>
          <w:sz w:val="24"/>
          <w:highlight w:val="none"/>
        </w:rPr>
        <w:t>投标人负责管路声学脉动计算，计算范围应包括各气缸、各消音器、管线、压缩机入口上游招标人第一个大容器始，至压缩机出口下游招标人第一大容器止在内的所有主管线和旁路管线。声学脉动计算包括满负荷工况和各种部分负荷工况、各种气体以及单机运行、双机并联工况。中标后应向招标人和设计单位给出声学脉动计算结果并提供计算书。</w:t>
      </w:r>
    </w:p>
    <w:p w14:paraId="2A3E9FFF">
      <w:pPr>
        <w:spacing w:line="360" w:lineRule="auto"/>
        <w:rPr>
          <w:rFonts w:ascii="宋体" w:hAnsi="宋体" w:cs="宋体"/>
          <w:color w:val="auto"/>
          <w:spacing w:val="1"/>
          <w:kern w:val="0"/>
          <w:position w:val="-1"/>
          <w:sz w:val="24"/>
          <w:highlight w:val="none"/>
        </w:rPr>
      </w:pPr>
      <w:bookmarkStart w:id="127" w:name="OLE_LINK9"/>
      <w:bookmarkStart w:id="128" w:name="OLE_LINK23"/>
      <w:r>
        <w:rPr>
          <w:rFonts w:ascii="宋体" w:hAnsi="宋体" w:cs="宋体"/>
          <w:color w:val="auto"/>
          <w:spacing w:val="1"/>
          <w:kern w:val="0"/>
          <w:position w:val="-1"/>
          <w:sz w:val="24"/>
          <w:highlight w:val="none"/>
        </w:rPr>
        <w:t>*</w:t>
      </w:r>
      <w:bookmarkEnd w:id="127"/>
      <w:bookmarkEnd w:id="128"/>
      <w:r>
        <w:rPr>
          <w:rFonts w:ascii="宋体" w:hAnsi="宋体" w:cs="宋体"/>
          <w:color w:val="auto"/>
          <w:spacing w:val="1"/>
          <w:kern w:val="0"/>
          <w:position w:val="-1"/>
          <w:sz w:val="24"/>
          <w:highlight w:val="none"/>
        </w:rPr>
        <w:t>1.16</w:t>
      </w:r>
      <w:r>
        <w:rPr>
          <w:rFonts w:hint="eastAsia" w:ascii="宋体" w:hAnsi="宋体" w:cs="宋体"/>
          <w:color w:val="auto"/>
          <w:spacing w:val="1"/>
          <w:kern w:val="0"/>
          <w:position w:val="-1"/>
          <w:sz w:val="24"/>
          <w:highlight w:val="none"/>
        </w:rPr>
        <w:t>本项目压缩机组运行寿命至少为20年。</w:t>
      </w:r>
    </w:p>
    <w:p w14:paraId="3CF2BB02">
      <w:pPr>
        <w:adjustRightInd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1</w:t>
      </w:r>
      <w:r>
        <w:rPr>
          <w:rFonts w:ascii="宋体" w:hAnsi="宋体" w:cs="宋体"/>
          <w:color w:val="auto"/>
          <w:sz w:val="24"/>
          <w:highlight w:val="none"/>
        </w:rPr>
        <w:t>.17 所有文件、图纸及相互通信，均应使用中文。不论在合同谈判及签约后的工程建设期间，中文是主要的工作语言。</w:t>
      </w:r>
    </w:p>
    <w:p w14:paraId="3355028B">
      <w:pPr>
        <w:spacing w:line="360" w:lineRule="auto"/>
        <w:rPr>
          <w:rFonts w:ascii="宋体" w:hAnsi="宋体"/>
          <w:bCs/>
          <w:color w:val="auto"/>
          <w:sz w:val="24"/>
          <w:highlight w:val="none"/>
        </w:rPr>
      </w:pPr>
      <w:bookmarkStart w:id="129" w:name="_Toc195433157"/>
      <w:r>
        <w:rPr>
          <w:rFonts w:ascii="宋体" w:hAnsi="宋体"/>
          <w:bCs/>
          <w:color w:val="auto"/>
          <w:sz w:val="24"/>
          <w:highlight w:val="none"/>
        </w:rPr>
        <w:t>2.使用环境</w:t>
      </w:r>
      <w:bookmarkEnd w:id="129"/>
    </w:p>
    <w:p w14:paraId="36103EC7">
      <w:p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2.1 环境温度：</w:t>
      </w:r>
    </w:p>
    <w:p w14:paraId="1F8DA6EE">
      <w:pPr>
        <w:numPr>
          <w:ilvl w:val="0"/>
          <w:numId w:val="4"/>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最高气温：45℃；</w:t>
      </w:r>
    </w:p>
    <w:p w14:paraId="79818541">
      <w:pPr>
        <w:numPr>
          <w:ilvl w:val="0"/>
          <w:numId w:val="4"/>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最低气温：-10℃</w:t>
      </w:r>
    </w:p>
    <w:p w14:paraId="66088D7F">
      <w:p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2.2 气象及环境条件</w:t>
      </w:r>
    </w:p>
    <w:p w14:paraId="7B0042E4">
      <w:pPr>
        <w:numPr>
          <w:ilvl w:val="0"/>
          <w:numId w:val="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海拔高度：7</w:t>
      </w:r>
      <w:r>
        <w:rPr>
          <w:rFonts w:ascii="宋体" w:hAnsi="宋体" w:cs="宋体"/>
          <w:color w:val="auto"/>
          <w:sz w:val="24"/>
          <w:highlight w:val="none"/>
        </w:rPr>
        <w:t>8</w:t>
      </w:r>
      <w:r>
        <w:rPr>
          <w:rFonts w:hint="eastAsia" w:ascii="宋体" w:hAnsi="宋体" w:cs="宋体"/>
          <w:color w:val="auto"/>
          <w:sz w:val="24"/>
          <w:highlight w:val="none"/>
        </w:rPr>
        <w:t>m</w:t>
      </w:r>
    </w:p>
    <w:p w14:paraId="639C67BF">
      <w:pPr>
        <w:numPr>
          <w:ilvl w:val="0"/>
          <w:numId w:val="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地震裂度：6度</w:t>
      </w:r>
    </w:p>
    <w:p w14:paraId="2B4C1EB1">
      <w:pPr>
        <w:numPr>
          <w:ilvl w:val="0"/>
          <w:numId w:val="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雷暴日数：57/年</w:t>
      </w:r>
    </w:p>
    <w:p w14:paraId="2DBC5391">
      <w:pPr>
        <w:numPr>
          <w:ilvl w:val="0"/>
          <w:numId w:val="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环境污染：Ⅲ级</w:t>
      </w:r>
    </w:p>
    <w:p w14:paraId="09A3B0F8">
      <w:pPr>
        <w:snapToGrid w:val="0"/>
        <w:spacing w:line="360" w:lineRule="auto"/>
        <w:rPr>
          <w:rFonts w:ascii="宋体" w:hAnsi="宋体"/>
          <w:bCs/>
          <w:color w:val="auto"/>
          <w:sz w:val="24"/>
          <w:highlight w:val="none"/>
        </w:rPr>
      </w:pPr>
    </w:p>
    <w:p w14:paraId="69D07E2E">
      <w:pPr>
        <w:adjustRightInd w:val="0"/>
        <w:snapToGrid w:val="0"/>
        <w:spacing w:line="360" w:lineRule="auto"/>
        <w:outlineLvl w:val="0"/>
        <w:rPr>
          <w:rFonts w:ascii="宋体" w:hAnsi="宋体"/>
          <w:bCs/>
          <w:color w:val="auto"/>
          <w:sz w:val="24"/>
          <w:highlight w:val="none"/>
        </w:rPr>
      </w:pPr>
      <w:bookmarkStart w:id="130" w:name="_Toc195433158"/>
      <w:r>
        <w:rPr>
          <w:rFonts w:ascii="宋体" w:hAnsi="宋体"/>
          <w:bCs/>
          <w:color w:val="auto"/>
          <w:sz w:val="24"/>
          <w:highlight w:val="none"/>
        </w:rPr>
        <w:t>3.</w:t>
      </w:r>
      <w:r>
        <w:rPr>
          <w:rFonts w:hint="eastAsia" w:ascii="宋体" w:hAnsi="宋体"/>
          <w:bCs/>
          <w:color w:val="auto"/>
          <w:sz w:val="24"/>
          <w:highlight w:val="none"/>
        </w:rPr>
        <w:t>主要</w:t>
      </w:r>
      <w:r>
        <w:rPr>
          <w:rFonts w:ascii="宋体" w:hAnsi="宋体"/>
          <w:bCs/>
          <w:color w:val="auto"/>
          <w:sz w:val="24"/>
          <w:highlight w:val="none"/>
        </w:rPr>
        <w:t>技术规格</w:t>
      </w:r>
      <w:bookmarkEnd w:id="130"/>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2"/>
        <w:gridCol w:w="5363"/>
      </w:tblGrid>
      <w:tr w14:paraId="4AAD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1467A68A">
            <w:pPr>
              <w:spacing w:after="156" w:line="360" w:lineRule="auto"/>
              <w:rPr>
                <w:rFonts w:ascii="宋体" w:hAnsi="宋体" w:cs="宋体"/>
                <w:color w:val="auto"/>
                <w:sz w:val="24"/>
                <w:highlight w:val="none"/>
              </w:rPr>
            </w:pPr>
            <w:r>
              <w:rPr>
                <w:rFonts w:hint="eastAsia" w:ascii="宋体" w:hAnsi="宋体" w:cs="宋体"/>
                <w:color w:val="auto"/>
                <w:sz w:val="24"/>
                <w:highlight w:val="none"/>
              </w:rPr>
              <w:t>项目代号及名称</w:t>
            </w:r>
          </w:p>
        </w:tc>
        <w:tc>
          <w:tcPr>
            <w:tcW w:w="5363" w:type="dxa"/>
            <w:vAlign w:val="center"/>
          </w:tcPr>
          <w:p w14:paraId="651356D1">
            <w:pPr>
              <w:spacing w:after="156"/>
              <w:jc w:val="center"/>
              <w:rPr>
                <w:rFonts w:ascii="宋体" w:hAnsi="宋体" w:cs="宋体"/>
                <w:color w:val="auto"/>
                <w:sz w:val="24"/>
                <w:highlight w:val="none"/>
              </w:rPr>
            </w:pPr>
            <w:r>
              <w:rPr>
                <w:rFonts w:hint="eastAsia" w:ascii="宋体" w:hAnsi="宋体" w:cs="宋体"/>
                <w:color w:val="auto"/>
                <w:sz w:val="24"/>
                <w:highlight w:val="none"/>
              </w:rPr>
              <w:t>浙江衢州巨塑化工有限公司皂化清液浓缩装置三效蒸发乏汽回收余热利用节能改造项目</w:t>
            </w:r>
          </w:p>
        </w:tc>
      </w:tr>
      <w:tr w14:paraId="3346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E1066D1">
            <w:pPr>
              <w:spacing w:after="156" w:line="360" w:lineRule="auto"/>
              <w:rPr>
                <w:rFonts w:ascii="宋体" w:hAnsi="宋体" w:cs="宋体"/>
                <w:color w:val="auto"/>
                <w:sz w:val="24"/>
                <w:highlight w:val="none"/>
              </w:rPr>
            </w:pPr>
            <w:r>
              <w:rPr>
                <w:rFonts w:hint="eastAsia" w:ascii="宋体" w:hAnsi="宋体" w:cs="宋体"/>
                <w:color w:val="auto"/>
                <w:sz w:val="24"/>
                <w:highlight w:val="none"/>
              </w:rPr>
              <w:t>设备位号</w:t>
            </w:r>
          </w:p>
        </w:tc>
        <w:tc>
          <w:tcPr>
            <w:tcW w:w="5363" w:type="dxa"/>
            <w:vAlign w:val="center"/>
          </w:tcPr>
          <w:p w14:paraId="23457D34">
            <w:pPr>
              <w:spacing w:after="156" w:line="360" w:lineRule="auto"/>
              <w:rPr>
                <w:rFonts w:ascii="宋体" w:hAnsi="宋体" w:cs="宋体"/>
                <w:color w:val="auto"/>
                <w:sz w:val="24"/>
                <w:highlight w:val="none"/>
              </w:rPr>
            </w:pPr>
          </w:p>
        </w:tc>
      </w:tr>
      <w:tr w14:paraId="590DA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A8B58F1">
            <w:pPr>
              <w:spacing w:after="156" w:line="360" w:lineRule="auto"/>
              <w:rPr>
                <w:rFonts w:ascii="宋体" w:hAnsi="宋体" w:cs="宋体"/>
                <w:color w:val="auto"/>
                <w:sz w:val="24"/>
                <w:highlight w:val="none"/>
              </w:rPr>
            </w:pPr>
            <w:r>
              <w:rPr>
                <w:rFonts w:hint="eastAsia" w:ascii="宋体" w:hAnsi="宋体" w:cs="宋体"/>
                <w:color w:val="auto"/>
                <w:sz w:val="24"/>
                <w:highlight w:val="none"/>
              </w:rPr>
              <w:t>设备名称</w:t>
            </w:r>
          </w:p>
        </w:tc>
        <w:tc>
          <w:tcPr>
            <w:tcW w:w="5363" w:type="dxa"/>
            <w:vAlign w:val="center"/>
          </w:tcPr>
          <w:p w14:paraId="576E5784">
            <w:pPr>
              <w:spacing w:after="156" w:line="360" w:lineRule="auto"/>
              <w:rPr>
                <w:rFonts w:ascii="宋体" w:hAnsi="宋体" w:cs="宋体"/>
                <w:color w:val="auto"/>
                <w:sz w:val="24"/>
                <w:highlight w:val="none"/>
              </w:rPr>
            </w:pPr>
            <w:r>
              <w:rPr>
                <w:rFonts w:hint="eastAsia" w:ascii="宋体" w:hAnsi="宋体" w:cs="宋体"/>
                <w:color w:val="auto"/>
                <w:sz w:val="24"/>
                <w:highlight w:val="none"/>
              </w:rPr>
              <w:t>多级叶轮离心式蒸汽压缩机组</w:t>
            </w:r>
          </w:p>
        </w:tc>
      </w:tr>
      <w:tr w14:paraId="5B94D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CAC5E2A">
            <w:pPr>
              <w:spacing w:after="156" w:line="360" w:lineRule="auto"/>
              <w:rPr>
                <w:rFonts w:ascii="宋体" w:hAnsi="宋体" w:cs="宋体"/>
                <w:color w:val="auto"/>
                <w:sz w:val="24"/>
                <w:highlight w:val="none"/>
              </w:rPr>
            </w:pPr>
            <w:r>
              <w:rPr>
                <w:rFonts w:hint="eastAsia" w:ascii="宋体" w:hAnsi="宋体" w:cs="宋体"/>
                <w:color w:val="auto"/>
                <w:sz w:val="24"/>
                <w:highlight w:val="none"/>
              </w:rPr>
              <w:t>数量</w:t>
            </w:r>
          </w:p>
        </w:tc>
        <w:tc>
          <w:tcPr>
            <w:tcW w:w="5363" w:type="dxa"/>
            <w:vAlign w:val="center"/>
          </w:tcPr>
          <w:p w14:paraId="7E9BF622">
            <w:pPr>
              <w:spacing w:after="156" w:line="360" w:lineRule="auto"/>
              <w:rPr>
                <w:rFonts w:ascii="宋体" w:hAnsi="宋体" w:cs="宋体"/>
                <w:color w:val="auto"/>
                <w:sz w:val="24"/>
                <w:highlight w:val="none"/>
              </w:rPr>
            </w:pPr>
            <w:r>
              <w:rPr>
                <w:rFonts w:hint="eastAsia" w:ascii="宋体" w:hAnsi="宋体" w:cs="宋体"/>
                <w:color w:val="auto"/>
                <w:sz w:val="24"/>
                <w:highlight w:val="none"/>
              </w:rPr>
              <w:t>1套，1开0备</w:t>
            </w:r>
          </w:p>
        </w:tc>
      </w:tr>
      <w:tr w14:paraId="46C1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755FDCCF">
            <w:pPr>
              <w:spacing w:after="156" w:line="360" w:lineRule="auto"/>
              <w:rPr>
                <w:rFonts w:ascii="宋体" w:hAnsi="宋体" w:cs="宋体"/>
                <w:color w:val="auto"/>
                <w:sz w:val="24"/>
                <w:highlight w:val="none"/>
              </w:rPr>
            </w:pPr>
            <w:r>
              <w:rPr>
                <w:rFonts w:hint="eastAsia" w:ascii="宋体" w:hAnsi="宋体" w:cs="宋体"/>
                <w:color w:val="auto"/>
                <w:sz w:val="24"/>
                <w:highlight w:val="none"/>
              </w:rPr>
              <w:t>入口流量</w:t>
            </w:r>
          </w:p>
        </w:tc>
        <w:tc>
          <w:tcPr>
            <w:tcW w:w="5363" w:type="dxa"/>
            <w:vAlign w:val="center"/>
          </w:tcPr>
          <w:p w14:paraId="5C813895">
            <w:pPr>
              <w:spacing w:after="156" w:line="360" w:lineRule="auto"/>
              <w:rPr>
                <w:rFonts w:ascii="宋体" w:hAnsi="宋体" w:cs="宋体"/>
                <w:color w:val="auto"/>
                <w:sz w:val="24"/>
                <w:highlight w:val="none"/>
              </w:rPr>
            </w:pPr>
            <w:r>
              <w:rPr>
                <w:rFonts w:ascii="宋体" w:hAnsi="宋体" w:cs="宋体"/>
                <w:color w:val="auto"/>
                <w:sz w:val="24"/>
                <w:highlight w:val="none"/>
              </w:rPr>
              <w:t>9~11t/h</w:t>
            </w:r>
          </w:p>
        </w:tc>
      </w:tr>
      <w:tr w14:paraId="728E8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60D3C428">
            <w:pPr>
              <w:spacing w:after="156" w:line="360" w:lineRule="auto"/>
              <w:rPr>
                <w:rFonts w:ascii="宋体" w:hAnsi="宋体" w:cs="宋体"/>
                <w:color w:val="auto"/>
                <w:sz w:val="24"/>
                <w:highlight w:val="none"/>
              </w:rPr>
            </w:pPr>
            <w:r>
              <w:rPr>
                <w:rFonts w:hint="eastAsia" w:ascii="宋体" w:hAnsi="宋体" w:cs="宋体"/>
                <w:color w:val="auto"/>
                <w:sz w:val="24"/>
                <w:highlight w:val="none"/>
              </w:rPr>
              <w:t>物料组成（进口）</w:t>
            </w:r>
          </w:p>
        </w:tc>
        <w:tc>
          <w:tcPr>
            <w:tcW w:w="5363" w:type="dxa"/>
            <w:vAlign w:val="center"/>
          </w:tcPr>
          <w:p w14:paraId="38E0541B">
            <w:pPr>
              <w:spacing w:after="156" w:line="360" w:lineRule="auto"/>
              <w:rPr>
                <w:rFonts w:ascii="宋体" w:hAnsi="宋体" w:cs="宋体"/>
                <w:color w:val="auto"/>
                <w:sz w:val="24"/>
                <w:highlight w:val="none"/>
              </w:rPr>
            </w:pPr>
          </w:p>
        </w:tc>
      </w:tr>
      <w:tr w14:paraId="1ECE3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7AC5D803">
            <w:pPr>
              <w:spacing w:after="156" w:line="360" w:lineRule="auto"/>
              <w:rPr>
                <w:rFonts w:ascii="宋体" w:hAnsi="宋体" w:cs="宋体"/>
                <w:color w:val="auto"/>
                <w:sz w:val="24"/>
                <w:highlight w:val="none"/>
              </w:rPr>
            </w:pPr>
            <w:r>
              <w:rPr>
                <w:rFonts w:hint="eastAsia" w:ascii="宋体" w:hAnsi="宋体" w:cs="宋体"/>
                <w:color w:val="auto"/>
                <w:sz w:val="24"/>
                <w:highlight w:val="none"/>
              </w:rPr>
              <w:t>进口温度</w:t>
            </w:r>
          </w:p>
        </w:tc>
        <w:tc>
          <w:tcPr>
            <w:tcW w:w="5363" w:type="dxa"/>
            <w:vAlign w:val="center"/>
          </w:tcPr>
          <w:p w14:paraId="54DBE76F">
            <w:pPr>
              <w:spacing w:after="156" w:line="360" w:lineRule="auto"/>
              <w:rPr>
                <w:rFonts w:ascii="宋体" w:hAnsi="宋体" w:cs="宋体"/>
                <w:color w:val="auto"/>
                <w:sz w:val="24"/>
                <w:highlight w:val="none"/>
              </w:rPr>
            </w:pPr>
            <w:r>
              <w:rPr>
                <w:rFonts w:hint="eastAsia" w:ascii="宋体" w:hAnsi="宋体" w:cs="宋体"/>
                <w:color w:val="auto"/>
                <w:sz w:val="24"/>
                <w:highlight w:val="none"/>
              </w:rPr>
              <w:t>≈65℃</w:t>
            </w:r>
          </w:p>
        </w:tc>
      </w:tr>
      <w:tr w14:paraId="5D61C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3EDB5BB">
            <w:pPr>
              <w:spacing w:after="156" w:line="360" w:lineRule="auto"/>
              <w:rPr>
                <w:rFonts w:ascii="宋体" w:hAnsi="宋体" w:cs="宋体"/>
                <w:color w:val="auto"/>
                <w:sz w:val="24"/>
                <w:highlight w:val="none"/>
              </w:rPr>
            </w:pPr>
            <w:r>
              <w:rPr>
                <w:rFonts w:hint="eastAsia" w:ascii="宋体" w:hAnsi="宋体" w:cs="宋体"/>
                <w:color w:val="auto"/>
                <w:sz w:val="24"/>
                <w:highlight w:val="none"/>
              </w:rPr>
              <w:t>进口压力</w:t>
            </w:r>
          </w:p>
        </w:tc>
        <w:tc>
          <w:tcPr>
            <w:tcW w:w="5363" w:type="dxa"/>
            <w:vAlign w:val="center"/>
          </w:tcPr>
          <w:p w14:paraId="4E3448BD">
            <w:pPr>
              <w:spacing w:after="156" w:line="360" w:lineRule="auto"/>
              <w:rPr>
                <w:rFonts w:ascii="宋体" w:hAnsi="宋体" w:cs="宋体"/>
                <w:color w:val="auto"/>
                <w:sz w:val="24"/>
                <w:highlight w:val="none"/>
              </w:rPr>
            </w:pPr>
            <w:r>
              <w:rPr>
                <w:rFonts w:hint="eastAsia" w:ascii="宋体" w:hAnsi="宋体" w:cs="宋体"/>
                <w:color w:val="auto"/>
                <w:sz w:val="24"/>
                <w:highlight w:val="none"/>
              </w:rPr>
              <w:t>≈0.</w:t>
            </w:r>
            <w:r>
              <w:rPr>
                <w:rFonts w:ascii="宋体" w:hAnsi="宋体" w:cs="宋体"/>
                <w:color w:val="auto"/>
                <w:sz w:val="24"/>
                <w:highlight w:val="none"/>
              </w:rPr>
              <w:t>0</w:t>
            </w:r>
            <w:r>
              <w:rPr>
                <w:rFonts w:hint="eastAsia" w:ascii="宋体" w:hAnsi="宋体" w:cs="宋体"/>
                <w:color w:val="auto"/>
                <w:sz w:val="24"/>
                <w:highlight w:val="none"/>
              </w:rPr>
              <w:t>25 MPa（A）</w:t>
            </w:r>
          </w:p>
        </w:tc>
      </w:tr>
      <w:tr w14:paraId="0874C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6D1B65A7">
            <w:pPr>
              <w:spacing w:after="156" w:line="360" w:lineRule="auto"/>
              <w:rPr>
                <w:rFonts w:ascii="宋体" w:hAnsi="宋体" w:cs="宋体"/>
                <w:color w:val="auto"/>
                <w:sz w:val="24"/>
                <w:highlight w:val="none"/>
              </w:rPr>
            </w:pPr>
            <w:r>
              <w:rPr>
                <w:rFonts w:hint="eastAsia" w:ascii="宋体" w:hAnsi="宋体" w:cs="宋体"/>
                <w:color w:val="auto"/>
                <w:sz w:val="24"/>
                <w:highlight w:val="none"/>
              </w:rPr>
              <w:t>回用至一效蒸发室入口压力</w:t>
            </w:r>
          </w:p>
        </w:tc>
        <w:tc>
          <w:tcPr>
            <w:tcW w:w="5363" w:type="dxa"/>
            <w:vAlign w:val="center"/>
          </w:tcPr>
          <w:p w14:paraId="7FFDDD0D">
            <w:pPr>
              <w:spacing w:after="156" w:line="360" w:lineRule="auto"/>
              <w:rPr>
                <w:rFonts w:ascii="宋体" w:hAnsi="宋体" w:cs="宋体"/>
                <w:color w:val="auto"/>
                <w:sz w:val="24"/>
                <w:highlight w:val="none"/>
              </w:rPr>
            </w:pPr>
            <w:r>
              <w:rPr>
                <w:rFonts w:hint="eastAsia" w:ascii="宋体" w:hAnsi="宋体" w:cs="宋体"/>
                <w:color w:val="auto"/>
                <w:sz w:val="24"/>
                <w:highlight w:val="none"/>
              </w:rPr>
              <w:t>≥0.</w:t>
            </w:r>
            <w:r>
              <w:rPr>
                <w:rFonts w:ascii="宋体" w:hAnsi="宋体" w:cs="宋体"/>
                <w:color w:val="auto"/>
                <w:sz w:val="24"/>
                <w:highlight w:val="none"/>
              </w:rPr>
              <w:t>35</w:t>
            </w:r>
            <w:r>
              <w:rPr>
                <w:rFonts w:hint="eastAsia" w:ascii="宋体" w:hAnsi="宋体" w:cs="宋体"/>
                <w:color w:val="auto"/>
                <w:sz w:val="24"/>
                <w:highlight w:val="none"/>
              </w:rPr>
              <w:t xml:space="preserve"> MPa（A），考虑压损</w:t>
            </w:r>
          </w:p>
        </w:tc>
      </w:tr>
      <w:tr w14:paraId="62461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9BF3F36">
            <w:pPr>
              <w:spacing w:after="156" w:line="360" w:lineRule="auto"/>
              <w:rPr>
                <w:rFonts w:ascii="宋体" w:hAnsi="宋体" w:cs="宋体"/>
                <w:color w:val="auto"/>
                <w:sz w:val="24"/>
                <w:highlight w:val="none"/>
              </w:rPr>
            </w:pPr>
            <w:r>
              <w:rPr>
                <w:rFonts w:hint="eastAsia" w:ascii="宋体" w:hAnsi="宋体" w:cs="宋体"/>
                <w:color w:val="auto"/>
                <w:sz w:val="24"/>
                <w:highlight w:val="none"/>
              </w:rPr>
              <w:t>回用至一效蒸发室入口气体温度</w:t>
            </w:r>
          </w:p>
        </w:tc>
        <w:tc>
          <w:tcPr>
            <w:tcW w:w="5363" w:type="dxa"/>
            <w:vAlign w:val="center"/>
          </w:tcPr>
          <w:p w14:paraId="51E3316B">
            <w:pPr>
              <w:spacing w:after="156" w:line="360" w:lineRule="auto"/>
              <w:rPr>
                <w:rFonts w:ascii="宋体" w:hAnsi="宋体" w:cs="宋体"/>
                <w:color w:val="auto"/>
                <w:sz w:val="24"/>
                <w:highlight w:val="none"/>
              </w:rPr>
            </w:pPr>
            <w:r>
              <w:rPr>
                <w:rFonts w:hint="eastAsia" w:ascii="宋体" w:hAnsi="宋体" w:cs="宋体"/>
                <w:color w:val="auto"/>
                <w:sz w:val="24"/>
                <w:highlight w:val="none"/>
              </w:rPr>
              <w:t>≥1</w:t>
            </w:r>
            <w:r>
              <w:rPr>
                <w:rFonts w:ascii="宋体" w:hAnsi="宋体" w:cs="宋体"/>
                <w:color w:val="auto"/>
                <w:sz w:val="24"/>
                <w:highlight w:val="none"/>
              </w:rPr>
              <w:t>49</w:t>
            </w:r>
            <w:r>
              <w:rPr>
                <w:rFonts w:hint="eastAsia" w:ascii="宋体" w:hAnsi="宋体" w:cs="宋体"/>
                <w:color w:val="auto"/>
                <w:sz w:val="24"/>
                <w:highlight w:val="none"/>
              </w:rPr>
              <w:t>℃</w:t>
            </w:r>
          </w:p>
        </w:tc>
      </w:tr>
      <w:tr w14:paraId="3149E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0A65499">
            <w:pPr>
              <w:spacing w:after="156" w:line="360" w:lineRule="auto"/>
              <w:rPr>
                <w:rFonts w:ascii="宋体" w:hAnsi="宋体" w:cs="宋体"/>
                <w:color w:val="auto"/>
                <w:sz w:val="24"/>
                <w:highlight w:val="none"/>
              </w:rPr>
            </w:pPr>
            <w:r>
              <w:rPr>
                <w:rFonts w:hint="eastAsia" w:ascii="宋体" w:hAnsi="宋体" w:cs="宋体"/>
                <w:color w:val="auto"/>
                <w:sz w:val="24"/>
                <w:highlight w:val="none"/>
              </w:rPr>
              <w:t>冷却</w:t>
            </w:r>
            <w:r>
              <w:rPr>
                <w:rFonts w:ascii="宋体" w:hAnsi="宋体" w:cs="宋体"/>
                <w:color w:val="auto"/>
                <w:sz w:val="24"/>
                <w:highlight w:val="none"/>
              </w:rPr>
              <w:t>液</w:t>
            </w:r>
            <w:r>
              <w:rPr>
                <w:rFonts w:hint="eastAsia" w:ascii="宋体" w:hAnsi="宋体" w:cs="宋体"/>
                <w:color w:val="auto"/>
                <w:sz w:val="24"/>
                <w:highlight w:val="none"/>
              </w:rPr>
              <w:t>（工作液）</w:t>
            </w:r>
          </w:p>
        </w:tc>
        <w:tc>
          <w:tcPr>
            <w:tcW w:w="5363" w:type="dxa"/>
            <w:vAlign w:val="center"/>
          </w:tcPr>
          <w:p w14:paraId="358FB38F">
            <w:pPr>
              <w:spacing w:after="156" w:line="360" w:lineRule="auto"/>
              <w:rPr>
                <w:rFonts w:ascii="宋体" w:hAnsi="宋体" w:cs="宋体"/>
                <w:color w:val="auto"/>
                <w:sz w:val="24"/>
                <w:highlight w:val="none"/>
              </w:rPr>
            </w:pPr>
            <w:r>
              <w:rPr>
                <w:rFonts w:hint="eastAsia" w:ascii="宋体" w:hAnsi="宋体" w:cs="宋体"/>
                <w:color w:val="auto"/>
                <w:sz w:val="24"/>
                <w:highlight w:val="none"/>
              </w:rPr>
              <w:t>润滑油</w:t>
            </w:r>
          </w:p>
        </w:tc>
      </w:tr>
      <w:tr w14:paraId="61335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628722B">
            <w:pPr>
              <w:spacing w:after="156" w:line="360" w:lineRule="auto"/>
              <w:rPr>
                <w:rFonts w:ascii="宋体" w:hAnsi="宋体" w:cs="宋体"/>
                <w:color w:val="auto"/>
                <w:sz w:val="24"/>
                <w:highlight w:val="none"/>
              </w:rPr>
            </w:pPr>
            <w:r>
              <w:rPr>
                <w:rFonts w:hint="eastAsia" w:ascii="宋体" w:hAnsi="宋体" w:cs="宋体"/>
                <w:color w:val="auto"/>
                <w:sz w:val="24"/>
                <w:highlight w:val="none"/>
              </w:rPr>
              <w:t>压缩机类型</w:t>
            </w:r>
          </w:p>
        </w:tc>
        <w:tc>
          <w:tcPr>
            <w:tcW w:w="5363" w:type="dxa"/>
            <w:vAlign w:val="center"/>
          </w:tcPr>
          <w:p w14:paraId="08B21003">
            <w:pPr>
              <w:spacing w:after="156" w:line="360" w:lineRule="auto"/>
              <w:rPr>
                <w:rFonts w:ascii="宋体" w:hAnsi="宋体" w:cs="宋体"/>
                <w:color w:val="auto"/>
                <w:sz w:val="24"/>
                <w:highlight w:val="none"/>
              </w:rPr>
            </w:pPr>
            <w:r>
              <w:rPr>
                <w:rFonts w:hint="eastAsia" w:ascii="宋体" w:hAnsi="宋体" w:cs="宋体"/>
                <w:color w:val="auto"/>
                <w:sz w:val="24"/>
                <w:highlight w:val="none"/>
              </w:rPr>
              <w:t>多级叶轮离心式压缩机</w:t>
            </w:r>
          </w:p>
        </w:tc>
      </w:tr>
      <w:tr w14:paraId="0B697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77C8AEB2">
            <w:pPr>
              <w:spacing w:after="156" w:line="360" w:lineRule="auto"/>
              <w:rPr>
                <w:rFonts w:ascii="宋体" w:hAnsi="宋体" w:cs="宋体"/>
                <w:color w:val="auto"/>
                <w:sz w:val="24"/>
                <w:highlight w:val="none"/>
              </w:rPr>
            </w:pPr>
            <w:r>
              <w:rPr>
                <w:rFonts w:hint="eastAsia" w:ascii="宋体" w:hAnsi="宋体" w:cs="宋体"/>
                <w:color w:val="auto"/>
                <w:sz w:val="24"/>
                <w:highlight w:val="none"/>
              </w:rPr>
              <w:t>电气</w:t>
            </w:r>
          </w:p>
        </w:tc>
        <w:tc>
          <w:tcPr>
            <w:tcW w:w="5363" w:type="dxa"/>
            <w:vAlign w:val="center"/>
          </w:tcPr>
          <w:p w14:paraId="5A16FA95">
            <w:pPr>
              <w:spacing w:after="156" w:line="360" w:lineRule="auto"/>
              <w:rPr>
                <w:rFonts w:ascii="宋体" w:hAnsi="宋体" w:cs="宋体"/>
                <w:color w:val="auto"/>
                <w:sz w:val="24"/>
                <w:highlight w:val="none"/>
              </w:rPr>
            </w:pPr>
            <w:r>
              <w:rPr>
                <w:rFonts w:hint="eastAsia" w:ascii="宋体" w:hAnsi="宋体" w:cs="宋体"/>
                <w:color w:val="auto"/>
                <w:sz w:val="24"/>
                <w:highlight w:val="none"/>
              </w:rPr>
              <w:t>6KV-3P-50HZ，非防爆</w:t>
            </w:r>
          </w:p>
        </w:tc>
      </w:tr>
      <w:tr w14:paraId="6E83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66F45D07">
            <w:pPr>
              <w:spacing w:after="156" w:line="360" w:lineRule="auto"/>
              <w:rPr>
                <w:rFonts w:ascii="宋体" w:hAnsi="宋体" w:cs="宋体"/>
                <w:color w:val="auto"/>
                <w:sz w:val="24"/>
                <w:highlight w:val="none"/>
              </w:rPr>
            </w:pPr>
            <w:r>
              <w:rPr>
                <w:rFonts w:hint="eastAsia" w:ascii="宋体" w:hAnsi="宋体" w:cs="宋体"/>
                <w:color w:val="auto"/>
                <w:sz w:val="24"/>
                <w:highlight w:val="none"/>
              </w:rPr>
              <w:t>安装位置</w:t>
            </w:r>
          </w:p>
        </w:tc>
        <w:tc>
          <w:tcPr>
            <w:tcW w:w="5363" w:type="dxa"/>
            <w:vAlign w:val="center"/>
          </w:tcPr>
          <w:p w14:paraId="00735192">
            <w:pPr>
              <w:spacing w:after="156" w:line="360" w:lineRule="auto"/>
              <w:rPr>
                <w:rFonts w:ascii="宋体" w:hAnsi="宋体" w:cs="宋体"/>
                <w:color w:val="auto"/>
                <w:sz w:val="24"/>
                <w:highlight w:val="none"/>
              </w:rPr>
            </w:pPr>
            <w:r>
              <w:rPr>
                <w:rFonts w:hint="eastAsia" w:ascii="宋体" w:hAnsi="宋体" w:cs="宋体"/>
                <w:color w:val="auto"/>
                <w:sz w:val="24"/>
                <w:highlight w:val="none"/>
              </w:rPr>
              <w:t>厂房内</w:t>
            </w:r>
          </w:p>
        </w:tc>
      </w:tr>
      <w:tr w14:paraId="50630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2207A12">
            <w:pPr>
              <w:spacing w:after="156" w:line="360" w:lineRule="auto"/>
              <w:rPr>
                <w:rFonts w:ascii="宋体" w:hAnsi="宋体" w:cs="宋体"/>
                <w:color w:val="auto"/>
                <w:sz w:val="24"/>
                <w:highlight w:val="none"/>
              </w:rPr>
            </w:pPr>
            <w:r>
              <w:rPr>
                <w:rFonts w:hint="eastAsia" w:ascii="宋体" w:hAnsi="宋体" w:cs="宋体"/>
                <w:color w:val="auto"/>
                <w:sz w:val="24"/>
                <w:highlight w:val="none"/>
              </w:rPr>
              <w:t>法兰标准</w:t>
            </w:r>
          </w:p>
        </w:tc>
        <w:tc>
          <w:tcPr>
            <w:tcW w:w="5363" w:type="dxa"/>
            <w:vAlign w:val="center"/>
          </w:tcPr>
          <w:p w14:paraId="2A995DD6">
            <w:pPr>
              <w:spacing w:after="156" w:line="360" w:lineRule="auto"/>
              <w:rPr>
                <w:rFonts w:ascii="宋体" w:hAnsi="宋体" w:cs="宋体"/>
                <w:color w:val="auto"/>
                <w:sz w:val="24"/>
                <w:highlight w:val="none"/>
              </w:rPr>
            </w:pPr>
            <w:r>
              <w:rPr>
                <w:rFonts w:hint="eastAsia" w:ascii="宋体" w:hAnsi="宋体" w:cs="宋体"/>
                <w:color w:val="auto"/>
                <w:sz w:val="24"/>
                <w:highlight w:val="none"/>
              </w:rPr>
              <w:t>WN/FM  PN25  HG/T 20592-2009（B）</w:t>
            </w:r>
          </w:p>
        </w:tc>
      </w:tr>
      <w:tr w14:paraId="44866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6DE759E5">
            <w:pPr>
              <w:spacing w:after="156" w:line="360" w:lineRule="auto"/>
              <w:rPr>
                <w:rFonts w:ascii="宋体" w:hAnsi="宋体" w:cs="宋体"/>
                <w:color w:val="auto"/>
                <w:sz w:val="24"/>
                <w:highlight w:val="none"/>
              </w:rPr>
            </w:pPr>
            <w:r>
              <w:rPr>
                <w:rFonts w:hint="eastAsia" w:ascii="宋体" w:hAnsi="宋体" w:cs="宋体"/>
                <w:color w:val="auto"/>
                <w:sz w:val="24"/>
                <w:highlight w:val="none"/>
              </w:rPr>
              <w:t>各级冷却器</w:t>
            </w:r>
          </w:p>
        </w:tc>
        <w:tc>
          <w:tcPr>
            <w:tcW w:w="5363" w:type="dxa"/>
            <w:vAlign w:val="center"/>
          </w:tcPr>
          <w:p w14:paraId="05797CDD">
            <w:pPr>
              <w:spacing w:after="156" w:line="360" w:lineRule="auto"/>
              <w:rPr>
                <w:rFonts w:ascii="宋体" w:hAnsi="宋体" w:cs="宋体"/>
                <w:color w:val="auto"/>
                <w:sz w:val="24"/>
                <w:highlight w:val="none"/>
              </w:rPr>
            </w:pPr>
            <w:r>
              <w:rPr>
                <w:rFonts w:hint="eastAsia" w:ascii="宋体" w:hAnsi="宋体" w:cs="宋体"/>
                <w:color w:val="auto"/>
                <w:sz w:val="24"/>
                <w:highlight w:val="none"/>
              </w:rPr>
              <w:t>配套提供，卧式布置</w:t>
            </w:r>
          </w:p>
        </w:tc>
      </w:tr>
      <w:tr w14:paraId="54630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5AB4507">
            <w:pPr>
              <w:spacing w:after="156" w:line="360" w:lineRule="auto"/>
              <w:rPr>
                <w:rFonts w:ascii="宋体" w:hAnsi="宋体" w:cs="宋体"/>
                <w:color w:val="auto"/>
                <w:sz w:val="24"/>
                <w:highlight w:val="none"/>
              </w:rPr>
            </w:pPr>
            <w:r>
              <w:rPr>
                <w:rFonts w:hint="eastAsia" w:ascii="宋体" w:hAnsi="宋体" w:cs="宋体"/>
                <w:color w:val="auto"/>
                <w:sz w:val="24"/>
                <w:highlight w:val="none"/>
              </w:rPr>
              <w:t>撬块提供</w:t>
            </w:r>
          </w:p>
        </w:tc>
        <w:tc>
          <w:tcPr>
            <w:tcW w:w="5363" w:type="dxa"/>
            <w:vAlign w:val="center"/>
          </w:tcPr>
          <w:p w14:paraId="5DA94BA0">
            <w:pPr>
              <w:spacing w:after="156" w:line="360" w:lineRule="auto"/>
              <w:rPr>
                <w:rFonts w:ascii="宋体" w:hAnsi="宋体" w:cs="宋体"/>
                <w:color w:val="auto"/>
                <w:sz w:val="24"/>
                <w:highlight w:val="none"/>
              </w:rPr>
            </w:pPr>
            <w:r>
              <w:rPr>
                <w:rFonts w:hint="eastAsia" w:ascii="宋体" w:hAnsi="宋体" w:cs="宋体"/>
                <w:color w:val="auto"/>
                <w:sz w:val="24"/>
                <w:highlight w:val="none"/>
              </w:rPr>
              <w:t>是，压缩机组、油站分别成撬块提供</w:t>
            </w:r>
          </w:p>
        </w:tc>
      </w:tr>
      <w:tr w14:paraId="57F31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334D2C83">
            <w:pPr>
              <w:spacing w:after="156" w:line="360" w:lineRule="auto"/>
              <w:rPr>
                <w:rFonts w:ascii="宋体" w:hAnsi="宋体" w:cs="宋体"/>
                <w:color w:val="auto"/>
                <w:sz w:val="24"/>
                <w:highlight w:val="none"/>
              </w:rPr>
            </w:pPr>
            <w:r>
              <w:rPr>
                <w:rFonts w:hint="eastAsia" w:ascii="宋体" w:hAnsi="宋体" w:cs="宋体"/>
                <w:color w:val="auto"/>
                <w:sz w:val="24"/>
                <w:highlight w:val="none"/>
              </w:rPr>
              <w:t>控制要求</w:t>
            </w:r>
          </w:p>
        </w:tc>
        <w:tc>
          <w:tcPr>
            <w:tcW w:w="5363" w:type="dxa"/>
            <w:vAlign w:val="center"/>
          </w:tcPr>
          <w:p w14:paraId="24DD00A2">
            <w:pPr>
              <w:spacing w:after="156" w:line="360" w:lineRule="auto"/>
              <w:rPr>
                <w:rFonts w:ascii="宋体" w:hAnsi="宋体" w:cs="宋体"/>
                <w:color w:val="auto"/>
                <w:sz w:val="24"/>
                <w:highlight w:val="none"/>
              </w:rPr>
            </w:pPr>
            <w:r>
              <w:rPr>
                <w:rFonts w:hint="eastAsia" w:ascii="宋体" w:hAnsi="宋体" w:cs="宋体"/>
                <w:color w:val="auto"/>
                <w:sz w:val="24"/>
                <w:highlight w:val="none"/>
              </w:rPr>
              <w:t>防喘振调节控制系统由投标人自行采购PLC实现控制，其他控制及报警联锁由招标人DCS系统实现，投标人提供的PLC系统应符合招标人要求的通讯格式并提供通讯地址表（RS485 Modbus RTU）投标人需提供的设计包括且不限于：</w:t>
            </w:r>
          </w:p>
          <w:p w14:paraId="4572BB42">
            <w:pPr>
              <w:spacing w:after="156" w:line="360" w:lineRule="auto"/>
              <w:rPr>
                <w:rFonts w:ascii="宋体" w:hAnsi="宋体" w:cs="宋体"/>
                <w:color w:val="auto"/>
                <w:sz w:val="24"/>
                <w:highlight w:val="none"/>
              </w:rPr>
            </w:pPr>
            <w:r>
              <w:rPr>
                <w:rFonts w:hint="eastAsia" w:ascii="宋体" w:hAnsi="宋体" w:cs="宋体"/>
                <w:color w:val="auto"/>
                <w:sz w:val="24"/>
                <w:highlight w:val="none"/>
              </w:rPr>
              <w:t>（1）、现场控制柜的指示灯、手自动切换、现场操作按钮与DCS的联系方式与控制逻辑；</w:t>
            </w:r>
          </w:p>
          <w:p w14:paraId="047D74A7">
            <w:pPr>
              <w:spacing w:after="156" w:line="360" w:lineRule="auto"/>
              <w:rPr>
                <w:rFonts w:ascii="宋体" w:hAnsi="宋体" w:cs="宋体"/>
                <w:color w:val="auto"/>
                <w:sz w:val="24"/>
                <w:highlight w:val="none"/>
              </w:rPr>
            </w:pPr>
            <w:r>
              <w:rPr>
                <w:rFonts w:hint="eastAsia" w:ascii="宋体" w:hAnsi="宋体" w:cs="宋体"/>
                <w:color w:val="auto"/>
                <w:sz w:val="24"/>
                <w:highlight w:val="none"/>
              </w:rPr>
              <w:t>（2）、PLC接收DCS什么信号后开始投入防喘振控制，DCS发出信号的条件和逻辑；</w:t>
            </w:r>
          </w:p>
          <w:p w14:paraId="5CFC22EF">
            <w:pPr>
              <w:spacing w:after="156" w:line="360" w:lineRule="auto"/>
              <w:rPr>
                <w:rFonts w:ascii="宋体" w:hAnsi="宋体" w:cs="宋体"/>
                <w:color w:val="auto"/>
                <w:sz w:val="24"/>
                <w:highlight w:val="none"/>
              </w:rPr>
            </w:pPr>
            <w:r>
              <w:rPr>
                <w:rFonts w:hint="eastAsia" w:ascii="宋体" w:hAnsi="宋体" w:cs="宋体"/>
                <w:color w:val="auto"/>
                <w:sz w:val="24"/>
                <w:highlight w:val="none"/>
              </w:rPr>
              <w:t>（3）、PLC系统防喘振控制需要的测量信号采用信号分配器一分二，一路进PLC一路进DCS。信号分配器放现场控制箱由投标人设计采购，提供所有关联信号在PLC现场控制柜端的接线图；</w:t>
            </w:r>
          </w:p>
          <w:p w14:paraId="6346D173">
            <w:pPr>
              <w:spacing w:after="156" w:line="360" w:lineRule="auto"/>
              <w:rPr>
                <w:rFonts w:ascii="宋体" w:hAnsi="宋体" w:cs="宋体"/>
                <w:color w:val="auto"/>
                <w:sz w:val="24"/>
                <w:highlight w:val="none"/>
              </w:rPr>
            </w:pPr>
            <w:r>
              <w:rPr>
                <w:rFonts w:hint="eastAsia" w:ascii="宋体" w:hAnsi="宋体" w:cs="宋体"/>
                <w:color w:val="auto"/>
                <w:sz w:val="24"/>
                <w:highlight w:val="none"/>
              </w:rPr>
              <w:t>（4）、通过PLC实现PLC、DCS防喘振阀开度高选控制；</w:t>
            </w:r>
          </w:p>
          <w:p w14:paraId="13B10AE4">
            <w:pPr>
              <w:spacing w:after="156" w:line="360" w:lineRule="auto"/>
              <w:rPr>
                <w:rFonts w:ascii="宋体" w:hAnsi="宋体" w:cs="宋体"/>
                <w:color w:val="auto"/>
                <w:sz w:val="24"/>
                <w:highlight w:val="none"/>
              </w:rPr>
            </w:pPr>
            <w:r>
              <w:rPr>
                <w:rFonts w:hint="eastAsia" w:ascii="宋体" w:hAnsi="宋体" w:cs="宋体"/>
                <w:color w:val="auto"/>
                <w:sz w:val="24"/>
                <w:highlight w:val="none"/>
              </w:rPr>
              <w:t>（5）、DCS系统、SIS系统（若有）的组态由招标人负责，投标人配合组态、系统调试；</w:t>
            </w:r>
          </w:p>
        </w:tc>
      </w:tr>
      <w:tr w14:paraId="2DA89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1246E30D">
            <w:pPr>
              <w:spacing w:after="156" w:line="360" w:lineRule="auto"/>
              <w:rPr>
                <w:rFonts w:ascii="宋体" w:hAnsi="宋体" w:cs="宋体"/>
                <w:color w:val="auto"/>
                <w:sz w:val="24"/>
                <w:highlight w:val="none"/>
              </w:rPr>
            </w:pPr>
            <w:r>
              <w:rPr>
                <w:rFonts w:hint="eastAsia" w:ascii="宋体" w:hAnsi="宋体" w:cs="宋体"/>
                <w:color w:val="auto"/>
                <w:sz w:val="24"/>
                <w:highlight w:val="none"/>
              </w:rPr>
              <w:t>说明</w:t>
            </w:r>
          </w:p>
        </w:tc>
        <w:tc>
          <w:tcPr>
            <w:tcW w:w="5363" w:type="dxa"/>
            <w:vAlign w:val="center"/>
          </w:tcPr>
          <w:p w14:paraId="29B0CC9C">
            <w:pPr>
              <w:spacing w:after="156" w:line="360" w:lineRule="auto"/>
              <w:rPr>
                <w:rFonts w:ascii="宋体" w:hAnsi="宋体" w:cs="宋体"/>
                <w:color w:val="auto"/>
                <w:sz w:val="24"/>
                <w:highlight w:val="none"/>
              </w:rPr>
            </w:pPr>
          </w:p>
        </w:tc>
      </w:tr>
    </w:tbl>
    <w:p w14:paraId="4FAC3E15">
      <w:pPr>
        <w:autoSpaceDE w:val="0"/>
        <w:autoSpaceDN w:val="0"/>
        <w:adjustRightInd w:val="0"/>
        <w:snapToGrid w:val="0"/>
        <w:spacing w:line="360" w:lineRule="auto"/>
        <w:textAlignment w:val="bottom"/>
        <w:rPr>
          <w:rFonts w:ascii="宋体" w:hAnsi="宋体"/>
          <w:b/>
          <w:bCs/>
          <w:color w:val="auto"/>
          <w:sz w:val="24"/>
          <w:highlight w:val="none"/>
        </w:rPr>
      </w:pPr>
    </w:p>
    <w:p w14:paraId="36DF1BDE">
      <w:pPr>
        <w:adjustRightInd w:val="0"/>
        <w:snapToGrid w:val="0"/>
        <w:spacing w:line="360" w:lineRule="auto"/>
        <w:outlineLvl w:val="0"/>
        <w:rPr>
          <w:rFonts w:ascii="宋体" w:hAnsi="宋体"/>
          <w:bCs/>
          <w:color w:val="auto"/>
          <w:sz w:val="24"/>
          <w:highlight w:val="none"/>
        </w:rPr>
      </w:pPr>
      <w:bookmarkStart w:id="131" w:name="_Toc195433159"/>
      <w:r>
        <w:rPr>
          <w:rFonts w:ascii="宋体" w:hAnsi="宋体"/>
          <w:bCs/>
          <w:color w:val="auto"/>
          <w:sz w:val="24"/>
          <w:highlight w:val="none"/>
        </w:rPr>
        <w:t>4.</w:t>
      </w:r>
      <w:r>
        <w:rPr>
          <w:rFonts w:hint="eastAsia" w:ascii="宋体" w:hAnsi="宋体"/>
          <w:bCs/>
          <w:color w:val="auto"/>
          <w:sz w:val="24"/>
          <w:highlight w:val="none"/>
        </w:rPr>
        <w:t>设计制造检验等要求</w:t>
      </w:r>
      <w:bookmarkEnd w:id="131"/>
    </w:p>
    <w:p w14:paraId="281A4ED1">
      <w:pPr>
        <w:numPr>
          <w:ilvl w:val="0"/>
          <w:numId w:val="6"/>
        </w:numPr>
        <w:spacing w:line="360" w:lineRule="auto"/>
        <w:jc w:val="left"/>
        <w:rPr>
          <w:rFonts w:ascii="宋体" w:hAnsi="宋体" w:cs="宋体"/>
          <w:color w:val="auto"/>
          <w:sz w:val="24"/>
          <w:highlight w:val="none"/>
        </w:rPr>
      </w:pPr>
      <w:r>
        <w:rPr>
          <w:rFonts w:hint="eastAsia" w:ascii="宋体" w:hAnsi="宋体" w:cs="宋体"/>
          <w:color w:val="auto"/>
          <w:sz w:val="24"/>
          <w:highlight w:val="none"/>
        </w:rPr>
        <w:t>压缩机组</w:t>
      </w:r>
    </w:p>
    <w:p w14:paraId="739BC463">
      <w:pPr>
        <w:numPr>
          <w:ilvl w:val="0"/>
          <w:numId w:val="7"/>
        </w:numPr>
        <w:spacing w:line="360" w:lineRule="auto"/>
        <w:ind w:left="420"/>
        <w:jc w:val="left"/>
        <w:rPr>
          <w:rFonts w:ascii="宋体" w:hAnsi="宋体" w:cs="宋体"/>
          <w:color w:val="auto"/>
          <w:sz w:val="24"/>
          <w:highlight w:val="none"/>
        </w:rPr>
      </w:pPr>
      <w:r>
        <w:rPr>
          <w:rFonts w:hint="eastAsia" w:ascii="宋体" w:hAnsi="宋体" w:cs="宋体"/>
          <w:color w:val="auto"/>
          <w:sz w:val="24"/>
          <w:highlight w:val="none"/>
        </w:rPr>
        <w:t xml:space="preserve"> 机组总体要求</w:t>
      </w:r>
    </w:p>
    <w:p w14:paraId="6E51DE7E">
      <w:pPr>
        <w:numPr>
          <w:ilvl w:val="0"/>
          <w:numId w:val="8"/>
        </w:numPr>
        <w:spacing w:line="360" w:lineRule="auto"/>
        <w:jc w:val="left"/>
        <w:rPr>
          <w:rFonts w:ascii="宋体" w:hAnsi="宋体" w:cs="宋体"/>
          <w:color w:val="auto"/>
          <w:sz w:val="24"/>
          <w:highlight w:val="none"/>
        </w:rPr>
      </w:pPr>
      <w:r>
        <w:rPr>
          <w:rFonts w:hint="eastAsia" w:ascii="宋体" w:hAnsi="宋体" w:cs="宋体"/>
          <w:color w:val="auto"/>
          <w:sz w:val="24"/>
          <w:highlight w:val="none"/>
        </w:rPr>
        <w:t>户内安装，有顶棚，无采暖；</w:t>
      </w:r>
    </w:p>
    <w:p w14:paraId="282868FA">
      <w:pPr>
        <w:numPr>
          <w:ilvl w:val="0"/>
          <w:numId w:val="8"/>
        </w:numPr>
        <w:spacing w:line="360" w:lineRule="auto"/>
        <w:rPr>
          <w:rFonts w:ascii="宋体" w:hAnsi="宋体" w:cs="宋体"/>
          <w:color w:val="auto"/>
          <w:sz w:val="24"/>
          <w:highlight w:val="none"/>
        </w:rPr>
      </w:pPr>
      <w:r>
        <w:rPr>
          <w:rFonts w:hint="eastAsia" w:ascii="宋体" w:hAnsi="宋体" w:cs="宋体"/>
          <w:color w:val="auto"/>
          <w:sz w:val="24"/>
          <w:highlight w:val="none"/>
        </w:rPr>
        <w:t xml:space="preserve">*驱动机型式：电机（2极或4极电机） </w:t>
      </w:r>
    </w:p>
    <w:p w14:paraId="645805AE">
      <w:pPr>
        <w:numPr>
          <w:ilvl w:val="0"/>
          <w:numId w:val="8"/>
        </w:numPr>
        <w:spacing w:line="360" w:lineRule="auto"/>
        <w:rPr>
          <w:rFonts w:ascii="宋体" w:hAnsi="宋体" w:cs="宋体"/>
          <w:color w:val="auto"/>
          <w:sz w:val="24"/>
          <w:highlight w:val="none"/>
        </w:rPr>
      </w:pPr>
      <w:r>
        <w:rPr>
          <w:rFonts w:hint="eastAsia" w:ascii="宋体" w:hAnsi="宋体" w:cs="宋体"/>
          <w:color w:val="auto"/>
          <w:sz w:val="24"/>
          <w:highlight w:val="none"/>
        </w:rPr>
        <w:t>旋转方向：缸体结构形式从驱动机侧向压缩机看，压缩机转向为逆时针。</w:t>
      </w:r>
    </w:p>
    <w:p w14:paraId="1B448559">
      <w:pPr>
        <w:numPr>
          <w:ilvl w:val="0"/>
          <w:numId w:val="8"/>
        </w:numPr>
        <w:spacing w:line="360" w:lineRule="auto"/>
        <w:rPr>
          <w:rFonts w:ascii="宋体" w:hAnsi="宋体" w:cs="宋体"/>
          <w:color w:val="auto"/>
          <w:sz w:val="24"/>
          <w:highlight w:val="none"/>
        </w:rPr>
      </w:pPr>
      <w:r>
        <w:rPr>
          <w:rFonts w:hint="eastAsia" w:ascii="宋体" w:hAnsi="宋体" w:cs="宋体"/>
          <w:color w:val="auto"/>
          <w:sz w:val="24"/>
          <w:highlight w:val="none"/>
        </w:rPr>
        <w:t>*流量调节方式：防喘振回、增加大回流、小回流设计，实现压缩机排气量的自动气量调节（回路调节）。</w:t>
      </w:r>
    </w:p>
    <w:p w14:paraId="36CB9D99">
      <w:pPr>
        <w:numPr>
          <w:ilvl w:val="0"/>
          <w:numId w:val="8"/>
        </w:numPr>
        <w:spacing w:line="360" w:lineRule="auto"/>
        <w:ind w:firstLine="420" w:firstLineChars="175"/>
        <w:jc w:val="left"/>
        <w:rPr>
          <w:rFonts w:ascii="宋体" w:hAnsi="宋体" w:cs="宋体"/>
          <w:color w:val="auto"/>
          <w:kern w:val="0"/>
          <w:sz w:val="24"/>
          <w:highlight w:val="none"/>
        </w:rPr>
      </w:pPr>
      <w:r>
        <w:rPr>
          <w:rFonts w:hint="eastAsia" w:ascii="宋体" w:hAnsi="宋体" w:cs="宋体"/>
          <w:color w:val="auto"/>
          <w:kern w:val="0"/>
          <w:sz w:val="24"/>
          <w:highlight w:val="none"/>
        </w:rPr>
        <w:t>底座：压缩机组采用公用底座（详细描述：电机、齿轮箱和压缩机公用底座），包括防滑盖板、地脚螺栓、调平垫块和不锈钢垫片，地脚螺栓采用基础贯穿式。底座两端至少对置安装2个接地接线柱。</w:t>
      </w:r>
    </w:p>
    <w:p w14:paraId="0842B155">
      <w:pPr>
        <w:numPr>
          <w:ilvl w:val="0"/>
          <w:numId w:val="8"/>
        </w:numPr>
        <w:spacing w:line="360" w:lineRule="auto"/>
        <w:rPr>
          <w:rFonts w:ascii="宋体" w:hAnsi="宋体" w:cs="宋体"/>
          <w:color w:val="auto"/>
          <w:sz w:val="24"/>
          <w:highlight w:val="none"/>
        </w:rPr>
      </w:pPr>
      <w:r>
        <w:rPr>
          <w:rFonts w:hint="eastAsia" w:ascii="宋体" w:hAnsi="宋体" w:cs="宋体"/>
          <w:color w:val="auto"/>
          <w:sz w:val="24"/>
          <w:highlight w:val="none"/>
        </w:rPr>
        <w:t>联轴器与护罩：</w:t>
      </w:r>
    </w:p>
    <w:p w14:paraId="0E252A38">
      <w:pPr>
        <w:spacing w:line="360" w:lineRule="auto"/>
        <w:ind w:left="420" w:leftChars="200"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联轴器：带中间加长段的弹性膜片式联轴器（叠片式），服务系数至少为1.7；所有外露的转动部件须提供防火花护罩，应为符合 ISO 10441 或 API 671 的专用联轴器。</w:t>
      </w:r>
    </w:p>
    <w:p w14:paraId="4EFD2160">
      <w:pPr>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护罩：全封闭304材质，护罩的构造应当有足够的刚性，以承受任何方向 900 N（200 lbf）静点负荷，防护罩不会接触到运动零件。防护罩应能容易地拆卸，全天候的，并为无火花结构。防护罩应无开口，除了飞轮防护罩上应提供带有可拆卸盖的开口，用以盘车和靠近正时记号指示器、轮中心（如有）和其他任何需要注意的零件。</w:t>
      </w:r>
    </w:p>
    <w:p w14:paraId="667ED868">
      <w:pPr>
        <w:numPr>
          <w:ilvl w:val="0"/>
          <w:numId w:val="8"/>
        </w:num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公用底座范围内的全部管线交接到底座边缘，并带有非标配对法兰、螺栓、螺母、垫片（不带标准配对法兰、螺栓、螺母、垫片）。公用底座内的全部仪表，包括接线盒的配线以及至机旁盘的保护管，接到开架式仪表盘（独立于底座）。所有法兰连接螺栓要求采用涂覆特氟龙3</w:t>
      </w:r>
      <w:r>
        <w:rPr>
          <w:rFonts w:ascii="宋体" w:hAnsi="宋体" w:cs="宋体"/>
          <w:color w:val="auto"/>
          <w:sz w:val="24"/>
          <w:highlight w:val="none"/>
        </w:rPr>
        <w:t>5CrMoA高强螺栓。</w:t>
      </w:r>
    </w:p>
    <w:p w14:paraId="585B9A1B">
      <w:pPr>
        <w:numPr>
          <w:ilvl w:val="0"/>
          <w:numId w:val="8"/>
        </w:numPr>
        <w:spacing w:line="360" w:lineRule="auto"/>
        <w:rPr>
          <w:rFonts w:ascii="宋体" w:hAnsi="宋体" w:cs="宋体"/>
          <w:color w:val="auto"/>
          <w:sz w:val="24"/>
          <w:highlight w:val="none"/>
        </w:rPr>
      </w:pPr>
      <w:r>
        <w:rPr>
          <w:rFonts w:hint="eastAsia" w:ascii="宋体" w:hAnsi="宋体" w:cs="宋体"/>
          <w:color w:val="auto"/>
          <w:sz w:val="24"/>
          <w:highlight w:val="none"/>
        </w:rPr>
        <w:t>压缩机组排烟后汇总至底座边缘，由招标人接至润滑油站排烟风机接口。</w:t>
      </w:r>
    </w:p>
    <w:p w14:paraId="087CC572">
      <w:pPr>
        <w:numPr>
          <w:ilvl w:val="0"/>
          <w:numId w:val="8"/>
        </w:numPr>
        <w:spacing w:line="360" w:lineRule="auto"/>
        <w:rPr>
          <w:rFonts w:ascii="宋体" w:hAnsi="宋体" w:cs="宋体"/>
          <w:color w:val="auto"/>
          <w:sz w:val="24"/>
          <w:highlight w:val="none"/>
        </w:rPr>
      </w:pPr>
      <w:r>
        <w:rPr>
          <w:rFonts w:hint="eastAsia" w:ascii="宋体" w:hAnsi="宋体" w:cs="宋体"/>
          <w:color w:val="auto"/>
          <w:sz w:val="24"/>
          <w:highlight w:val="none"/>
        </w:rPr>
        <w:t>压缩机机壳底部设排凝口，并接管至底座边缘，带阀和盲板。</w:t>
      </w:r>
    </w:p>
    <w:p w14:paraId="55DC567C">
      <w:pPr>
        <w:numPr>
          <w:ilvl w:val="0"/>
          <w:numId w:val="7"/>
        </w:numPr>
        <w:spacing w:line="360" w:lineRule="auto"/>
        <w:ind w:left="420"/>
        <w:rPr>
          <w:rFonts w:ascii="宋体" w:hAnsi="宋体" w:cs="宋体"/>
          <w:color w:val="auto"/>
          <w:sz w:val="24"/>
          <w:highlight w:val="none"/>
        </w:rPr>
      </w:pPr>
      <w:r>
        <w:rPr>
          <w:rFonts w:hint="eastAsia" w:ascii="宋体" w:hAnsi="宋体" w:cs="宋体"/>
          <w:color w:val="auto"/>
          <w:sz w:val="24"/>
          <w:highlight w:val="none"/>
        </w:rPr>
        <w:t xml:space="preserve"> 机组结构要求</w:t>
      </w:r>
    </w:p>
    <w:p w14:paraId="7ADCE05F">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采用水平剖分或整体铸造机壳。</w:t>
      </w:r>
    </w:p>
    <w:p w14:paraId="41BEA25E">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轴承型式：</w:t>
      </w:r>
    </w:p>
    <w:p w14:paraId="5630F2EC">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径向轴承：可倾瓦式，水平剖分，带埋入式测温元件。</w:t>
      </w:r>
    </w:p>
    <w:p w14:paraId="18A58F78">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推力轴承：金斯博雷式，倾斜瓦块双作用自平衡型，带埋入式测温元件，推力轴承载荷不应超过允许最大载荷的50%。</w:t>
      </w:r>
    </w:p>
    <w:p w14:paraId="1EE4B269">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轴端密封型式：碳环密封。</w:t>
      </w:r>
    </w:p>
    <w:p w14:paraId="7CDF86E0">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级间密封、叶轮口圈密封和轴端前置密封为迷宫式，材质哈C276以上。</w:t>
      </w:r>
    </w:p>
    <w:p w14:paraId="094243B9">
      <w:pPr>
        <w:numPr>
          <w:ilvl w:val="0"/>
          <w:numId w:val="9"/>
        </w:num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壳体水压试验按最大工作压力的1.5倍进行，压缩机壳体进出管口最大允许承受的力和力矩执行API617标准。</w:t>
      </w:r>
    </w:p>
    <w:p w14:paraId="3C44E5F1">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平衡管设计应保证密封间隙为原设计值的两倍时仍能维持轴端密封性能。</w:t>
      </w:r>
    </w:p>
    <w:p w14:paraId="71896D52">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转子部件：</w:t>
      </w:r>
    </w:p>
    <w:p w14:paraId="13FBE8CF">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主轴：主轴或轴套材质耐腐蚀性能不低于双相不锈钢2</w:t>
      </w:r>
      <w:r>
        <w:rPr>
          <w:rFonts w:ascii="宋体" w:hAnsi="宋体" w:cs="宋体"/>
          <w:color w:val="auto"/>
          <w:sz w:val="24"/>
          <w:highlight w:val="none"/>
        </w:rPr>
        <w:t>507</w:t>
      </w:r>
      <w:r>
        <w:rPr>
          <w:rFonts w:hint="eastAsia" w:ascii="宋体" w:hAnsi="宋体" w:cs="宋体"/>
          <w:color w:val="auto"/>
          <w:sz w:val="24"/>
          <w:highlight w:val="none"/>
        </w:rPr>
        <w:t>。</w:t>
      </w:r>
    </w:p>
    <w:p w14:paraId="4AE091B4">
      <w:pPr>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叶轮：叶轮材料采用TC4钛合金或T</w:t>
      </w:r>
      <w:r>
        <w:rPr>
          <w:rFonts w:ascii="宋体" w:hAnsi="宋体" w:cs="宋体"/>
          <w:color w:val="auto"/>
          <w:sz w:val="24"/>
          <w:highlight w:val="none"/>
        </w:rPr>
        <w:t>A2</w:t>
      </w:r>
      <w:r>
        <w:rPr>
          <w:rFonts w:hint="eastAsia" w:ascii="宋体" w:hAnsi="宋体" w:cs="宋体"/>
          <w:color w:val="auto"/>
          <w:sz w:val="24"/>
          <w:highlight w:val="none"/>
        </w:rPr>
        <w:t>，为全三元流的径向或后弯叶轮，使用寿命至少为20年。</w:t>
      </w:r>
    </w:p>
    <w:p w14:paraId="14E214D4">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动平衡精度不低于G1级， 120%转速超速试验。</w:t>
      </w:r>
    </w:p>
    <w:p w14:paraId="33EAFDF5">
      <w:pPr>
        <w:spacing w:line="360" w:lineRule="auto"/>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转子进行低、高速动平衡，转子动平衡带合同联轴器的安装盘进行，不允许在联轴器上去重，动平衡按API617进行，校核转速不超过最大连续转速。</w:t>
      </w:r>
    </w:p>
    <w:p w14:paraId="5B1AD6AA">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机组</w:t>
      </w:r>
      <w:bookmarkStart w:id="132" w:name="OLE_LINK22"/>
      <w:bookmarkStart w:id="133" w:name="OLE_LINK21"/>
      <w:r>
        <w:rPr>
          <w:rFonts w:hint="eastAsia" w:ascii="宋体" w:hAnsi="宋体" w:cs="宋体"/>
          <w:color w:val="auto"/>
          <w:sz w:val="24"/>
          <w:highlight w:val="none"/>
        </w:rPr>
        <w:t>推力盘与主轴的配合形式为：锥面液压安装</w:t>
      </w:r>
      <w:bookmarkEnd w:id="132"/>
      <w:bookmarkEnd w:id="133"/>
    </w:p>
    <w:p w14:paraId="5B401AD1">
      <w:pPr>
        <w:numPr>
          <w:ilvl w:val="0"/>
          <w:numId w:val="9"/>
        </w:numPr>
        <w:spacing w:line="360" w:lineRule="auto"/>
        <w:rPr>
          <w:rFonts w:ascii="宋体" w:hAnsi="宋体" w:cs="宋体"/>
          <w:color w:val="auto"/>
          <w:sz w:val="24"/>
          <w:highlight w:val="none"/>
        </w:rPr>
      </w:pPr>
      <w:r>
        <w:rPr>
          <w:rFonts w:hint="eastAsia" w:ascii="宋体" w:hAnsi="宋体" w:cs="宋体"/>
          <w:color w:val="auto"/>
          <w:sz w:val="24"/>
          <w:highlight w:val="none"/>
        </w:rPr>
        <w:t>离心压缩机提供下列配套设备和材料：</w:t>
      </w:r>
    </w:p>
    <w:p w14:paraId="02D5C624">
      <w:pPr>
        <w:numPr>
          <w:ilvl w:val="0"/>
          <w:numId w:val="10"/>
        </w:numPr>
        <w:spacing w:line="360" w:lineRule="auto"/>
        <w:rPr>
          <w:rFonts w:ascii="宋体" w:hAnsi="宋体" w:cs="宋体"/>
          <w:color w:val="auto"/>
          <w:sz w:val="24"/>
          <w:highlight w:val="none"/>
        </w:rPr>
      </w:pPr>
      <w:r>
        <w:rPr>
          <w:rFonts w:hint="eastAsia" w:ascii="宋体" w:hAnsi="宋体" w:cs="宋体"/>
          <w:color w:val="auto"/>
          <w:sz w:val="24"/>
          <w:highlight w:val="none"/>
        </w:rPr>
        <w:t>轴振动、轴位移探头：</w:t>
      </w:r>
    </w:p>
    <w:p w14:paraId="523FD317">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压缩机每个径向轴承部位安装2个（互成90度角）振动探头。</w:t>
      </w:r>
    </w:p>
    <w:p w14:paraId="467FCDB4">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压缩机推力轴承侧安装2个轴位移探头。</w:t>
      </w:r>
    </w:p>
    <w:p w14:paraId="02A4A350">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测温元件：</w:t>
      </w:r>
    </w:p>
    <w:p w14:paraId="3C87D0E8">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压缩机径向轴承瓦块上埋（Pt100型）双支温度检测元件2个。</w:t>
      </w:r>
    </w:p>
    <w:p w14:paraId="6475B4EA">
      <w:pPr>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压缩机推力轴承主推力面瓦块上埋（Pt100型） 双支温度检测元件2个，副推力面瓦块上埋（Pt100型） 双支温度检测元件2个。</w:t>
      </w:r>
    </w:p>
    <w:p w14:paraId="67B75E3C">
      <w:pPr>
        <w:spacing w:line="360" w:lineRule="auto"/>
        <w:ind w:firstLine="960" w:firstLineChars="4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压缩机入口和出口非标配对法兰、螺栓、螺母和垫片及其它与用户相连接的非标配对法兰、螺栓、螺母、垫片（不带标准配对法兰、螺栓、螺母、垫片）。螺栓、螺母为涂覆特氟龙35CrMoA材质。</w:t>
      </w:r>
    </w:p>
    <w:p w14:paraId="7562B57E">
      <w:pPr>
        <w:numPr>
          <w:ilvl w:val="0"/>
          <w:numId w:val="6"/>
        </w:numPr>
        <w:spacing w:line="360" w:lineRule="auto"/>
        <w:rPr>
          <w:rFonts w:ascii="宋体" w:hAnsi="宋体" w:cs="宋体"/>
          <w:color w:val="auto"/>
          <w:sz w:val="24"/>
          <w:highlight w:val="none"/>
        </w:rPr>
      </w:pPr>
      <w:r>
        <w:rPr>
          <w:rFonts w:hint="eastAsia" w:ascii="宋体" w:hAnsi="宋体" w:cs="宋体"/>
          <w:color w:val="auto"/>
          <w:sz w:val="24"/>
          <w:highlight w:val="none"/>
        </w:rPr>
        <w:t>润滑油系统</w:t>
      </w:r>
    </w:p>
    <w:p w14:paraId="1A677EDD">
      <w:pPr>
        <w:numPr>
          <w:ilvl w:val="0"/>
          <w:numId w:val="11"/>
        </w:numPr>
        <w:autoSpaceDE w:val="0"/>
        <w:autoSpaceDN w:val="0"/>
        <w:adjustRightInd w:val="0"/>
        <w:spacing w:line="360" w:lineRule="auto"/>
        <w:ind w:left="420"/>
        <w:jc w:val="left"/>
        <w:textAlignment w:val="bottom"/>
        <w:rPr>
          <w:rFonts w:ascii="宋体" w:hAnsi="宋体" w:cs="宋体"/>
          <w:color w:val="auto"/>
          <w:kern w:val="0"/>
          <w:sz w:val="24"/>
          <w:highlight w:val="none"/>
        </w:rPr>
      </w:pPr>
      <w:r>
        <w:rPr>
          <w:rFonts w:ascii="宋体" w:hAnsi="宋体" w:cs="宋体"/>
          <w:color w:val="auto"/>
          <w:kern w:val="0"/>
          <w:sz w:val="24"/>
          <w:highlight w:val="none"/>
        </w:rPr>
        <w:t>润滑油系统设计和制造参照执行API－614最新版的标准。</w:t>
      </w:r>
    </w:p>
    <w:p w14:paraId="2487B07C">
      <w:pPr>
        <w:numPr>
          <w:ilvl w:val="0"/>
          <w:numId w:val="11"/>
        </w:numPr>
        <w:autoSpaceDE w:val="0"/>
        <w:autoSpaceDN w:val="0"/>
        <w:adjustRightInd w:val="0"/>
        <w:spacing w:line="360" w:lineRule="auto"/>
        <w:ind w:left="42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油系统基本描述</w:t>
      </w:r>
    </w:p>
    <w:p w14:paraId="60F4B7C5">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.2.2.1 </w:t>
      </w:r>
      <w:r>
        <w:rPr>
          <w:rFonts w:hint="eastAsia" w:ascii="宋体" w:hAnsi="宋体" w:cs="宋体"/>
          <w:color w:val="auto"/>
          <w:kern w:val="0"/>
          <w:sz w:val="24"/>
          <w:highlight w:val="none"/>
        </w:rPr>
        <w:t>润滑油站的所有设备和仪表，安装在一个底座上并带有地脚螺栓。在底座范围内的电气仪表安装好并配管。所有管线带非标配对法兰接到底座边缘，并带运输用盲板。需招标人连接的所有接口处均需编号，并注明压力等级、公称通径、介质、流量、操作压力、操作温度、材料等；出厂前在所有接管处挂标明用途的不锈钢标识牌。</w:t>
      </w:r>
    </w:p>
    <w:p w14:paraId="55A75C27">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.2.2.2 </w:t>
      </w:r>
      <w:r>
        <w:rPr>
          <w:rFonts w:hint="eastAsia" w:ascii="宋体" w:hAnsi="宋体" w:cs="宋体"/>
          <w:color w:val="auto"/>
          <w:kern w:val="0"/>
          <w:sz w:val="24"/>
          <w:highlight w:val="none"/>
        </w:rPr>
        <w:t>润滑油牌号： 32#/46#抗氧防锈汽轮机油。</w:t>
      </w:r>
    </w:p>
    <w:p w14:paraId="61F6F6FA">
      <w:pPr>
        <w:numPr>
          <w:ilvl w:val="0"/>
          <w:numId w:val="11"/>
        </w:numPr>
        <w:autoSpaceDE w:val="0"/>
        <w:autoSpaceDN w:val="0"/>
        <w:adjustRightInd w:val="0"/>
        <w:spacing w:line="360" w:lineRule="auto"/>
        <w:ind w:left="42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润滑油站</w:t>
      </w:r>
    </w:p>
    <w:p w14:paraId="78ACC11F">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.2.3.1 </w:t>
      </w:r>
      <w:r>
        <w:rPr>
          <w:rFonts w:hint="eastAsia" w:ascii="宋体" w:hAnsi="宋体" w:cs="宋体"/>
          <w:color w:val="auto"/>
          <w:kern w:val="0"/>
          <w:sz w:val="24"/>
          <w:highlight w:val="none"/>
        </w:rPr>
        <w:t>润滑油站向下列设备供油：压缩机润滑系统、齿轮箱润滑系统、电动机润滑系统（1000kW及以上电机采用强制油润滑，1000kW以下采用脂润滑）。</w:t>
      </w:r>
    </w:p>
    <w:p w14:paraId="5BD9CEE6">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.2.3.2 </w:t>
      </w:r>
      <w:r>
        <w:rPr>
          <w:rFonts w:hint="eastAsia" w:ascii="宋体" w:hAnsi="宋体" w:cs="宋体"/>
          <w:color w:val="auto"/>
          <w:kern w:val="0"/>
          <w:sz w:val="24"/>
          <w:highlight w:val="none"/>
        </w:rPr>
        <w:t>油箱滞留容量（低于正常运行最低液位之下的总容量）至少为8分钟正常油流量，工作容量（正常运行的最低液位与泵入口损失液位之间的容量）至少为5分钟正常油流量。</w:t>
      </w:r>
    </w:p>
    <w:p w14:paraId="1E4C472C">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.2.3.3 </w:t>
      </w:r>
      <w:r>
        <w:rPr>
          <w:rFonts w:hint="eastAsia" w:ascii="宋体" w:hAnsi="宋体" w:cs="宋体"/>
          <w:color w:val="auto"/>
          <w:kern w:val="0"/>
          <w:sz w:val="24"/>
          <w:highlight w:val="none"/>
        </w:rPr>
        <w:t>油箱顶部带浸没式铠装自动恒温电加热器。</w:t>
      </w:r>
    </w:p>
    <w:p w14:paraId="09C00E4B">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.2.3.4 </w:t>
      </w:r>
      <w:r>
        <w:rPr>
          <w:rFonts w:hint="eastAsia" w:ascii="宋体" w:hAnsi="宋体" w:cs="宋体"/>
          <w:color w:val="auto"/>
          <w:kern w:val="0"/>
          <w:sz w:val="24"/>
          <w:highlight w:val="none"/>
        </w:rPr>
        <w:t>油箱带有排凝及放空口且配备带排烟风机和除雾器、N2接口、低点带有排放阀。</w:t>
      </w:r>
      <w:r>
        <w:rPr>
          <w:rFonts w:ascii="宋体" w:hAnsi="宋体" w:cs="宋体"/>
          <w:color w:val="auto"/>
          <w:kern w:val="0"/>
          <w:sz w:val="24"/>
          <w:highlight w:val="none"/>
        </w:rPr>
        <w:t xml:space="preserve"> </w:t>
      </w:r>
    </w:p>
    <w:p w14:paraId="20AEF92E">
      <w:p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ascii="宋体" w:hAnsi="宋体" w:cs="宋体"/>
          <w:color w:val="auto"/>
          <w:kern w:val="0"/>
          <w:sz w:val="24"/>
          <w:highlight w:val="none"/>
        </w:rPr>
        <w:t xml:space="preserve">   </w:t>
      </w:r>
      <w:r>
        <w:rPr>
          <w:rFonts w:hint="eastAsia" w:ascii="宋体" w:hAnsi="宋体" w:cs="宋体"/>
          <w:color w:val="auto"/>
          <w:kern w:val="0"/>
          <w:sz w:val="24"/>
          <w:highlight w:val="none"/>
        </w:rPr>
        <w:t>4</w:t>
      </w:r>
      <w:r>
        <w:rPr>
          <w:rFonts w:ascii="宋体" w:hAnsi="宋体" w:cs="宋体"/>
          <w:color w:val="auto"/>
          <w:kern w:val="0"/>
          <w:sz w:val="24"/>
          <w:highlight w:val="none"/>
        </w:rPr>
        <w:t xml:space="preserve">.2.3.5 </w:t>
      </w:r>
      <w:r>
        <w:rPr>
          <w:rFonts w:hint="eastAsia" w:ascii="宋体" w:hAnsi="宋体" w:cs="宋体"/>
          <w:color w:val="auto"/>
          <w:kern w:val="0"/>
          <w:sz w:val="24"/>
          <w:highlight w:val="none"/>
        </w:rPr>
        <w:t>*配套二台120%负荷的卧式螺杆泵，两台泵互为备用，油压或转速低于设定值时辅泵自启动；主/辅用油泵均采用电机驱动，独立供电，电机选用高效节能电机，户外式。铠装电缆进线，配电缆密封接头。</w:t>
      </w:r>
    </w:p>
    <w:p w14:paraId="795E5338">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.2.3.6 </w:t>
      </w:r>
      <w:r>
        <w:rPr>
          <w:rFonts w:hint="eastAsia" w:ascii="宋体" w:hAnsi="宋体" w:cs="宋体"/>
          <w:color w:val="auto"/>
          <w:kern w:val="0"/>
          <w:sz w:val="24"/>
          <w:highlight w:val="none"/>
        </w:rPr>
        <w:t>主、备油泵采用机械密封，挠性联轴器（带中间隔套）及无火花联轴器护罩。电机的控制应设计为能自动或手动开、停机，用于油泵的开、停车。</w:t>
      </w:r>
    </w:p>
    <w:p w14:paraId="0EBCCEF6">
      <w:pPr>
        <w:numPr>
          <w:ilvl w:val="3"/>
          <w:numId w:val="12"/>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一台150%</w:t>
      </w:r>
      <w:bookmarkStart w:id="134" w:name="OLE_LINK20"/>
      <w:bookmarkStart w:id="135" w:name="OLE_LINK19"/>
      <w:r>
        <w:rPr>
          <w:rFonts w:hint="eastAsia" w:ascii="宋体" w:hAnsi="宋体" w:cs="宋体"/>
          <w:color w:val="auto"/>
          <w:kern w:val="0"/>
          <w:sz w:val="24"/>
          <w:highlight w:val="none"/>
        </w:rPr>
        <w:t>负荷双联的管壳式冷却器</w:t>
      </w:r>
      <w:bookmarkEnd w:id="134"/>
      <w:bookmarkEnd w:id="135"/>
      <w:r>
        <w:rPr>
          <w:rFonts w:hint="eastAsia" w:ascii="宋体" w:hAnsi="宋体" w:cs="宋体"/>
          <w:color w:val="auto"/>
          <w:kern w:val="0"/>
          <w:sz w:val="24"/>
          <w:highlight w:val="none"/>
        </w:rPr>
        <w:t>。</w:t>
      </w:r>
    </w:p>
    <w:p w14:paraId="36783ED6">
      <w:pPr>
        <w:numPr>
          <w:ilvl w:val="3"/>
          <w:numId w:val="12"/>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ascii="宋体" w:hAnsi="宋体" w:cs="宋体"/>
          <w:color w:val="auto"/>
          <w:kern w:val="0"/>
          <w:sz w:val="24"/>
          <w:highlight w:val="none"/>
        </w:rPr>
        <w:t>两台</w:t>
      </w:r>
      <w:r>
        <w:rPr>
          <w:rFonts w:hint="eastAsia" w:ascii="宋体" w:hAnsi="宋体" w:cs="宋体"/>
          <w:color w:val="auto"/>
          <w:kern w:val="0"/>
          <w:sz w:val="24"/>
          <w:highlight w:val="none"/>
        </w:rPr>
        <w:t>120%负荷双联的润滑油过滤器，过滤精度为10μm</w:t>
      </w:r>
      <w:r>
        <w:rPr>
          <w:rFonts w:ascii="宋体" w:hAnsi="宋体" w:cs="宋体"/>
          <w:color w:val="auto"/>
          <w:kern w:val="0"/>
          <w:sz w:val="24"/>
          <w:highlight w:val="none"/>
        </w:rPr>
        <w:t>，一用一备，在线切换。</w:t>
      </w:r>
    </w:p>
    <w:p w14:paraId="493740CA">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ascii="宋体" w:hAnsi="宋体" w:cs="宋体"/>
          <w:color w:val="auto"/>
          <w:kern w:val="0"/>
          <w:sz w:val="24"/>
          <w:highlight w:val="none"/>
        </w:rPr>
        <w:t xml:space="preserve">4.2.2.9 </w:t>
      </w:r>
      <w:r>
        <w:rPr>
          <w:rFonts w:hint="eastAsia" w:ascii="宋体" w:hAnsi="宋体" w:cs="宋体"/>
          <w:color w:val="auto"/>
          <w:kern w:val="0"/>
          <w:sz w:val="24"/>
          <w:highlight w:val="none"/>
        </w:rPr>
        <w:t>恒流转换阀：六通阀用于油过滤器的连续流量切换，三通阀用于油冷却器的连续流量切换。</w:t>
      </w:r>
    </w:p>
    <w:p w14:paraId="50F21605">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ascii="宋体" w:hAnsi="宋体" w:cs="宋体"/>
          <w:color w:val="auto"/>
          <w:kern w:val="0"/>
          <w:sz w:val="24"/>
          <w:highlight w:val="none"/>
        </w:rPr>
        <w:t xml:space="preserve">4.2.2.10 </w:t>
      </w:r>
      <w:r>
        <w:rPr>
          <w:rFonts w:hint="eastAsia" w:ascii="宋体" w:hAnsi="宋体" w:cs="宋体"/>
          <w:color w:val="auto"/>
          <w:kern w:val="0"/>
          <w:sz w:val="24"/>
          <w:highlight w:val="none"/>
        </w:rPr>
        <w:t>油站回油系统设计为能适应两个油泵全流量输出时的工况。底座内的回油管应保证回油液面不超过管径的一半。</w:t>
      </w:r>
    </w:p>
    <w:p w14:paraId="5B66E77F">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.2.2.11 </w:t>
      </w:r>
      <w:r>
        <w:rPr>
          <w:rFonts w:hint="eastAsia" w:ascii="宋体" w:hAnsi="宋体" w:cs="宋体"/>
          <w:color w:val="auto"/>
          <w:kern w:val="0"/>
          <w:sz w:val="24"/>
          <w:highlight w:val="none"/>
        </w:rPr>
        <w:t>油箱应提供油净化器接口2个（一出一回）（包括阀门），DN≥40，允许用油净化器将部分油抽出。接口位置应允许油自流至油净化器。连接件应包括虹吸破坏器以防止由于净化器作用使油箱油位降至最低。</w:t>
      </w:r>
    </w:p>
    <w:p w14:paraId="55094C6E">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ascii="宋体" w:hAnsi="宋体" w:cs="宋体"/>
          <w:color w:val="auto"/>
          <w:kern w:val="0"/>
          <w:sz w:val="24"/>
          <w:highlight w:val="none"/>
        </w:rPr>
        <w:t xml:space="preserve">4.2.2.12 </w:t>
      </w:r>
      <w:r>
        <w:rPr>
          <w:rFonts w:hint="eastAsia" w:ascii="宋体" w:hAnsi="宋体" w:cs="宋体"/>
          <w:color w:val="auto"/>
          <w:kern w:val="0"/>
          <w:sz w:val="24"/>
          <w:highlight w:val="none"/>
        </w:rPr>
        <w:t>油站仪表盘为开架式，单独另外安装，独立于油站底座。仪表架位置应便于操作人员观看。</w:t>
      </w:r>
    </w:p>
    <w:p w14:paraId="7EDA673D">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w:t>
      </w:r>
      <w:r>
        <w:rPr>
          <w:rFonts w:ascii="宋体" w:hAnsi="宋体" w:cs="宋体"/>
          <w:color w:val="auto"/>
          <w:kern w:val="0"/>
          <w:sz w:val="24"/>
          <w:highlight w:val="none"/>
        </w:rPr>
        <w:t xml:space="preserve">.2.2.13 </w:t>
      </w:r>
      <w:r>
        <w:rPr>
          <w:rFonts w:hint="eastAsia" w:ascii="宋体" w:hAnsi="宋体" w:cs="宋体"/>
          <w:color w:val="auto"/>
          <w:kern w:val="0"/>
          <w:sz w:val="24"/>
          <w:highlight w:val="none"/>
        </w:rPr>
        <w:t>油系统配置两个调节阀。泵出口的一次调节阀应满足两台泵同时开启时的通流量。当两台泵同时开启时，如果停下一台，这时调节阀应迅速关小，维持油压在报警以上保证机组连续运行。</w:t>
      </w:r>
    </w:p>
    <w:p w14:paraId="29201BAB">
      <w:pPr>
        <w:tabs>
          <w:tab w:val="left" w:pos="0"/>
        </w:tabs>
        <w:autoSpaceDE w:val="0"/>
        <w:autoSpaceDN w:val="0"/>
        <w:adjustRightInd w:val="0"/>
        <w:spacing w:line="360" w:lineRule="auto"/>
        <w:ind w:firstLine="480" w:firstLineChars="200"/>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4.2.2.1</w:t>
      </w:r>
      <w:r>
        <w:rPr>
          <w:rFonts w:ascii="宋体" w:hAnsi="宋体" w:cs="宋体"/>
          <w:color w:val="auto"/>
          <w:kern w:val="0"/>
          <w:sz w:val="24"/>
          <w:highlight w:val="none"/>
        </w:rPr>
        <w:t>4</w:t>
      </w:r>
      <w:r>
        <w:rPr>
          <w:rFonts w:hint="eastAsia" w:ascii="宋体" w:hAnsi="宋体" w:cs="宋体"/>
          <w:color w:val="auto"/>
          <w:kern w:val="0"/>
          <w:sz w:val="24"/>
          <w:highlight w:val="none"/>
        </w:rPr>
        <w:t xml:space="preserve"> 油系统连接管线和管件均为3</w:t>
      </w:r>
      <w:r>
        <w:rPr>
          <w:rFonts w:ascii="宋体" w:hAnsi="宋体" w:cs="宋体"/>
          <w:color w:val="auto"/>
          <w:kern w:val="0"/>
          <w:sz w:val="24"/>
          <w:highlight w:val="none"/>
        </w:rPr>
        <w:t>04不锈钢材质</w:t>
      </w:r>
      <w:r>
        <w:rPr>
          <w:rFonts w:hint="eastAsia" w:ascii="宋体" w:hAnsi="宋体" w:cs="宋体"/>
          <w:color w:val="auto"/>
          <w:kern w:val="0"/>
          <w:sz w:val="24"/>
          <w:highlight w:val="none"/>
        </w:rPr>
        <w:t>，出厂前管路酸洗、钝化、清理完毕，管路上所有涉及到的阀门材质为3</w:t>
      </w:r>
      <w:r>
        <w:rPr>
          <w:rFonts w:ascii="宋体" w:hAnsi="宋体" w:cs="宋体"/>
          <w:color w:val="auto"/>
          <w:kern w:val="0"/>
          <w:sz w:val="24"/>
          <w:highlight w:val="none"/>
        </w:rPr>
        <w:t>04</w:t>
      </w:r>
      <w:r>
        <w:rPr>
          <w:rFonts w:hint="eastAsia" w:ascii="宋体" w:hAnsi="宋体" w:cs="宋体"/>
          <w:color w:val="auto"/>
          <w:kern w:val="0"/>
          <w:sz w:val="24"/>
          <w:highlight w:val="none"/>
        </w:rPr>
        <w:t>不锈钢，连接螺栓采用高强度特氟龙涂覆双头全螺纹螺栓。</w:t>
      </w:r>
    </w:p>
    <w:p w14:paraId="35814496">
      <w:pPr>
        <w:numPr>
          <w:ilvl w:val="3"/>
          <w:numId w:val="13"/>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润滑油系统仪表详见 第6节仪表部分。</w:t>
      </w:r>
    </w:p>
    <w:p w14:paraId="49CD2873">
      <w:pPr>
        <w:numPr>
          <w:ilvl w:val="3"/>
          <w:numId w:val="13"/>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油系统内所有管道焊接全部要求用氩弧焊打底。</w:t>
      </w:r>
    </w:p>
    <w:p w14:paraId="0DF60337">
      <w:pPr>
        <w:numPr>
          <w:ilvl w:val="3"/>
          <w:numId w:val="13"/>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ascii="宋体" w:hAnsi="宋体" w:cs="宋体"/>
          <w:b/>
          <w:color w:val="auto"/>
          <w:kern w:val="0"/>
          <w:sz w:val="24"/>
          <w:highlight w:val="none"/>
        </w:rPr>
        <w:t>*</w:t>
      </w:r>
      <w:r>
        <w:rPr>
          <w:rFonts w:hint="eastAsia" w:ascii="宋体" w:hAnsi="宋体" w:cs="宋体"/>
          <w:color w:val="auto"/>
          <w:kern w:val="0"/>
          <w:sz w:val="24"/>
          <w:highlight w:val="none"/>
        </w:rPr>
        <w:t>在油系统中增设一套低油压油泵自动启动连锁调试系统，即在正常运行时，通过手动给一个低油压信号，验证备用泵是否能够自动启动。</w:t>
      </w:r>
    </w:p>
    <w:p w14:paraId="2134490D">
      <w:pPr>
        <w:numPr>
          <w:ilvl w:val="3"/>
          <w:numId w:val="13"/>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涉及机组撬块内中标人供货压力管道的设计和安装，应符合《TSG D7006—2020压力管道监督检验规则》的规定。随机提供压力管道监检资料。</w:t>
      </w:r>
    </w:p>
    <w:p w14:paraId="42161445">
      <w:pPr>
        <w:numPr>
          <w:ilvl w:val="3"/>
          <w:numId w:val="13"/>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ascii="宋体" w:hAnsi="宋体" w:cs="宋体"/>
          <w:color w:val="auto"/>
          <w:kern w:val="0"/>
          <w:sz w:val="24"/>
          <w:highlight w:val="none"/>
        </w:rPr>
        <w:t>*</w:t>
      </w:r>
      <w:r>
        <w:rPr>
          <w:rFonts w:hint="eastAsia" w:ascii="宋体" w:hAnsi="宋体" w:cs="宋体"/>
          <w:color w:val="auto"/>
          <w:kern w:val="0"/>
          <w:sz w:val="24"/>
          <w:highlight w:val="none"/>
        </w:rPr>
        <w:t>油路系统只能用气试，禁止用水试验。</w:t>
      </w:r>
    </w:p>
    <w:p w14:paraId="30A50CA7">
      <w:pPr>
        <w:numPr>
          <w:ilvl w:val="0"/>
          <w:numId w:val="6"/>
        </w:numPr>
        <w:spacing w:line="360" w:lineRule="auto"/>
        <w:rPr>
          <w:rFonts w:ascii="宋体" w:hAnsi="宋体" w:cs="宋体"/>
          <w:color w:val="auto"/>
          <w:sz w:val="24"/>
          <w:highlight w:val="none"/>
        </w:rPr>
      </w:pPr>
      <w:r>
        <w:rPr>
          <w:rFonts w:hint="eastAsia" w:ascii="宋体" w:hAnsi="宋体" w:cs="宋体"/>
          <w:color w:val="auto"/>
          <w:sz w:val="24"/>
          <w:highlight w:val="none"/>
        </w:rPr>
        <w:t>齿轮箱</w:t>
      </w:r>
    </w:p>
    <w:p w14:paraId="5E32A17D">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运转方式：连续、增速</w:t>
      </w:r>
    </w:p>
    <w:p w14:paraId="1D41CFA9">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齿轮型式：单斜齿/双斜齿。</w:t>
      </w:r>
    </w:p>
    <w:p w14:paraId="52F98AB1">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齿形：渐开线齿形</w:t>
      </w:r>
    </w:p>
    <w:p w14:paraId="1A14ABD2">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轴端结构形式：输入轴：双键、圆柱；输出轴：圆锥/端面齿</w:t>
      </w:r>
    </w:p>
    <w:p w14:paraId="32C34474">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轴承形式： 高速轴：径向：可倾瓦轴承；低速轴：径向：圆瓦；推力：固定推力面</w:t>
      </w:r>
    </w:p>
    <w:p w14:paraId="7085D5B1">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采用手动盘车，中标人提供手动盘车工具。</w:t>
      </w:r>
    </w:p>
    <w:p w14:paraId="0C7B0BF6">
      <w:pPr>
        <w:numPr>
          <w:ilvl w:val="0"/>
          <w:numId w:val="14"/>
        </w:numPr>
        <w:tabs>
          <w:tab w:val="left" w:pos="0"/>
        </w:tabs>
        <w:autoSpaceDE w:val="0"/>
        <w:autoSpaceDN w:val="0"/>
        <w:adjustRightInd w:val="0"/>
        <w:spacing w:line="360" w:lineRule="auto"/>
        <w:jc w:val="left"/>
        <w:textAlignment w:val="bottom"/>
        <w:rPr>
          <w:rFonts w:ascii="宋体" w:hAnsi="宋体" w:cs="宋体"/>
          <w:color w:val="auto"/>
          <w:kern w:val="0"/>
          <w:sz w:val="24"/>
          <w:highlight w:val="none"/>
        </w:rPr>
      </w:pPr>
      <w:r>
        <w:rPr>
          <w:rFonts w:hint="eastAsia" w:ascii="宋体" w:hAnsi="宋体" w:cs="宋体"/>
          <w:color w:val="auto"/>
          <w:kern w:val="0"/>
          <w:sz w:val="24"/>
          <w:highlight w:val="none"/>
        </w:rPr>
        <w:t>小齿轮和转子轴一体加工成型。转子的任何横向临界转速离开正常转速范围至少正负15%，任何扭转共振转速至少高于或低于正常工作转速10%。大齿轮和主轴热套安装。齿轮具有足够的尺寸和强度传递任何运行条件下输入的最大扭矩和功率，服务系数≥1.8。</w:t>
      </w:r>
    </w:p>
    <w:p w14:paraId="5A6CEF24">
      <w:pPr>
        <w:numPr>
          <w:ilvl w:val="0"/>
          <w:numId w:val="6"/>
        </w:numPr>
        <w:spacing w:line="360" w:lineRule="auto"/>
        <w:ind w:left="420"/>
        <w:rPr>
          <w:rFonts w:ascii="宋体" w:hAnsi="宋体" w:cs="宋体"/>
          <w:color w:val="auto"/>
          <w:sz w:val="24"/>
          <w:highlight w:val="none"/>
        </w:rPr>
      </w:pPr>
      <w:r>
        <w:rPr>
          <w:rFonts w:hint="eastAsia" w:ascii="宋体" w:hAnsi="宋体" w:cs="宋体"/>
          <w:color w:val="auto"/>
          <w:sz w:val="24"/>
          <w:highlight w:val="none"/>
        </w:rPr>
        <w:t>容器</w:t>
      </w:r>
    </w:p>
    <w:p w14:paraId="290BA16C">
      <w:pPr>
        <w:spacing w:line="360" w:lineRule="auto"/>
        <w:ind w:left="420"/>
        <w:rPr>
          <w:rFonts w:ascii="宋体" w:hAnsi="宋体" w:cs="宋体"/>
          <w:color w:val="auto"/>
          <w:sz w:val="24"/>
          <w:highlight w:val="none"/>
        </w:rPr>
      </w:pPr>
      <w:r>
        <w:rPr>
          <w:rFonts w:ascii="宋体" w:hAnsi="宋体" w:cs="宋体"/>
          <w:color w:val="auto"/>
          <w:sz w:val="24"/>
          <w:highlight w:val="none"/>
        </w:rPr>
        <w:t>4.4.1</w:t>
      </w:r>
      <w:r>
        <w:rPr>
          <w:rFonts w:hint="eastAsia" w:ascii="宋体" w:hAnsi="宋体" w:cs="宋体"/>
          <w:color w:val="auto"/>
          <w:sz w:val="24"/>
          <w:highlight w:val="none"/>
        </w:rPr>
        <w:t>所有压力容器设计寿命不少于二十年。</w:t>
      </w:r>
    </w:p>
    <w:p w14:paraId="18708E39">
      <w:pPr>
        <w:spacing w:line="360" w:lineRule="auto"/>
        <w:ind w:left="420"/>
        <w:rPr>
          <w:rFonts w:ascii="宋体" w:hAnsi="宋体" w:cs="宋体"/>
          <w:color w:val="auto"/>
          <w:sz w:val="24"/>
          <w:highlight w:val="none"/>
        </w:rPr>
      </w:pPr>
      <w:r>
        <w:rPr>
          <w:rFonts w:ascii="宋体" w:hAnsi="宋体" w:cs="宋体"/>
          <w:color w:val="auto"/>
          <w:sz w:val="24"/>
          <w:highlight w:val="none"/>
        </w:rPr>
        <w:t>4.4.2</w:t>
      </w:r>
      <w:r>
        <w:rPr>
          <w:rFonts w:hint="eastAsia" w:ascii="宋体" w:hAnsi="宋体" w:cs="宋体"/>
          <w:color w:val="auto"/>
          <w:sz w:val="24"/>
          <w:highlight w:val="none"/>
        </w:rPr>
        <w:t>各接管方位根据平面布置情况尽可能优化，焊缝要求工艺介质压力管道100%RT，油路管线20%RT，涉及压力管道的焊缝需提供压力管道监检合格证书。</w:t>
      </w:r>
    </w:p>
    <w:p w14:paraId="410E38C5">
      <w:pPr>
        <w:spacing w:line="360" w:lineRule="auto"/>
        <w:ind w:left="420"/>
        <w:rPr>
          <w:rFonts w:ascii="宋体" w:hAnsi="宋体"/>
          <w:color w:val="auto"/>
          <w:sz w:val="24"/>
          <w:highlight w:val="none"/>
        </w:rPr>
      </w:pPr>
      <w:r>
        <w:rPr>
          <w:rFonts w:ascii="宋体" w:hAnsi="宋体" w:cs="宋体"/>
          <w:color w:val="auto"/>
          <w:sz w:val="24"/>
          <w:highlight w:val="none"/>
        </w:rPr>
        <w:t>4.4.3</w:t>
      </w:r>
      <w:r>
        <w:rPr>
          <w:rFonts w:hint="eastAsia" w:ascii="宋体" w:hAnsi="宋体" w:cs="宋体"/>
          <w:color w:val="auto"/>
          <w:sz w:val="24"/>
          <w:highlight w:val="none"/>
        </w:rPr>
        <w:t>焊缝焊接全部采用氩弧焊打底，试压后进行干燥，清理，不得有焊渣等影响压缩机运行的杂物</w:t>
      </w:r>
      <w:r>
        <w:rPr>
          <w:rFonts w:hint="eastAsia" w:ascii="宋体" w:hAnsi="宋体"/>
          <w:color w:val="auto"/>
          <w:sz w:val="24"/>
          <w:highlight w:val="none"/>
        </w:rPr>
        <w:t>。</w:t>
      </w:r>
    </w:p>
    <w:p w14:paraId="35A0D982">
      <w:pPr>
        <w:spacing w:line="360" w:lineRule="auto"/>
        <w:rPr>
          <w:rFonts w:ascii="宋体" w:hAnsi="宋体" w:cs="宋体"/>
          <w:color w:val="auto"/>
          <w:sz w:val="24"/>
          <w:highlight w:val="none"/>
        </w:rPr>
      </w:pPr>
      <w:r>
        <w:rPr>
          <w:rFonts w:hint="eastAsia" w:ascii="宋体" w:hAnsi="宋体" w:cs="宋体"/>
          <w:color w:val="auto"/>
          <w:sz w:val="24"/>
          <w:highlight w:val="none"/>
        </w:rPr>
        <w:t>4</w:t>
      </w:r>
      <w:r>
        <w:rPr>
          <w:rFonts w:ascii="宋体" w:hAnsi="宋体" w:cs="宋体"/>
          <w:color w:val="auto"/>
          <w:sz w:val="24"/>
          <w:highlight w:val="none"/>
        </w:rPr>
        <w:t>.5</w:t>
      </w:r>
      <w:r>
        <w:rPr>
          <w:rFonts w:hint="eastAsia" w:ascii="宋体" w:hAnsi="宋体" w:cs="宋体"/>
          <w:color w:val="auto"/>
          <w:sz w:val="24"/>
          <w:highlight w:val="none"/>
        </w:rPr>
        <w:t>管路系统</w:t>
      </w:r>
    </w:p>
    <w:p w14:paraId="4E6FA586">
      <w:pPr>
        <w:spacing w:line="360" w:lineRule="auto"/>
        <w:ind w:left="420"/>
        <w:rPr>
          <w:rFonts w:ascii="宋体" w:hAnsi="宋体" w:cs="宋体"/>
          <w:color w:val="auto"/>
          <w:sz w:val="24"/>
          <w:highlight w:val="none"/>
        </w:rPr>
      </w:pPr>
      <w:r>
        <w:rPr>
          <w:rFonts w:ascii="宋体" w:hAnsi="宋体" w:cs="宋体"/>
          <w:color w:val="auto"/>
          <w:sz w:val="24"/>
          <w:highlight w:val="none"/>
        </w:rPr>
        <w:t>4.5.1蒸汽温度超</w:t>
      </w:r>
      <w:r>
        <w:rPr>
          <w:rFonts w:hint="eastAsia" w:ascii="宋体" w:hAnsi="宋体" w:cs="宋体"/>
          <w:color w:val="auto"/>
          <w:sz w:val="24"/>
          <w:highlight w:val="none"/>
        </w:rPr>
        <w:t>1</w:t>
      </w:r>
      <w:r>
        <w:rPr>
          <w:rFonts w:ascii="宋体" w:hAnsi="宋体" w:cs="宋体"/>
          <w:color w:val="auto"/>
          <w:sz w:val="24"/>
          <w:highlight w:val="none"/>
        </w:rPr>
        <w:t>40℃</w:t>
      </w:r>
      <w:r>
        <w:rPr>
          <w:rFonts w:hint="eastAsia" w:ascii="宋体" w:hAnsi="宋体" w:cs="宋体"/>
          <w:color w:val="auto"/>
          <w:sz w:val="24"/>
          <w:highlight w:val="none"/>
        </w:rPr>
        <w:t>工艺气路管道均要求采用</w:t>
      </w:r>
      <w:bookmarkStart w:id="136" w:name="OLE_LINK24"/>
      <w:bookmarkStart w:id="137" w:name="OLE_LINK25"/>
      <w:r>
        <w:rPr>
          <w:rFonts w:hint="eastAsia" w:ascii="宋体" w:hAnsi="宋体" w:cs="宋体"/>
          <w:color w:val="auto"/>
          <w:sz w:val="24"/>
          <w:highlight w:val="none"/>
        </w:rPr>
        <w:t>TA2（厚度≥</w:t>
      </w:r>
      <w:r>
        <w:rPr>
          <w:rFonts w:ascii="宋体" w:hAnsi="宋体" w:cs="宋体"/>
          <w:color w:val="auto"/>
          <w:sz w:val="24"/>
          <w:highlight w:val="none"/>
        </w:rPr>
        <w:t>2mm</w:t>
      </w:r>
      <w:r>
        <w:rPr>
          <w:rFonts w:hint="eastAsia" w:ascii="宋体" w:hAnsi="宋体" w:cs="宋体"/>
          <w:color w:val="auto"/>
          <w:sz w:val="24"/>
          <w:highlight w:val="none"/>
        </w:rPr>
        <w:t>）+</w:t>
      </w:r>
      <w:r>
        <w:rPr>
          <w:rFonts w:ascii="宋体" w:hAnsi="宋体" w:cs="宋体"/>
          <w:color w:val="auto"/>
          <w:sz w:val="24"/>
          <w:highlight w:val="none"/>
        </w:rPr>
        <w:t>Q235复合板</w:t>
      </w:r>
      <w:r>
        <w:rPr>
          <w:rFonts w:hint="eastAsia" w:ascii="宋体" w:hAnsi="宋体" w:cs="宋体"/>
          <w:color w:val="auto"/>
          <w:sz w:val="24"/>
          <w:highlight w:val="none"/>
        </w:rPr>
        <w:t>及</w:t>
      </w:r>
      <w:bookmarkEnd w:id="136"/>
      <w:bookmarkEnd w:id="137"/>
      <w:r>
        <w:rPr>
          <w:rFonts w:hint="eastAsia" w:ascii="宋体" w:hAnsi="宋体" w:cs="宋体"/>
          <w:color w:val="auto"/>
          <w:sz w:val="24"/>
          <w:highlight w:val="none"/>
        </w:rPr>
        <w:t>以上材质，其余</w:t>
      </w:r>
      <w:r>
        <w:rPr>
          <w:rFonts w:ascii="宋体" w:hAnsi="宋体" w:cs="宋体"/>
          <w:color w:val="auto"/>
          <w:sz w:val="24"/>
          <w:highlight w:val="none"/>
        </w:rPr>
        <w:t>管路材质采用碳钢，</w:t>
      </w:r>
      <w:r>
        <w:rPr>
          <w:rFonts w:hint="eastAsia" w:ascii="宋体" w:hAnsi="宋体" w:cs="宋体"/>
          <w:color w:val="auto"/>
          <w:sz w:val="24"/>
          <w:highlight w:val="none"/>
        </w:rPr>
        <w:t>所有管线采用法兰连接。油路、仪用气管路采用不锈钢。</w:t>
      </w:r>
      <w:r>
        <w:rPr>
          <w:rFonts w:ascii="宋体" w:hAnsi="宋体" w:cs="宋体"/>
          <w:color w:val="auto"/>
          <w:sz w:val="24"/>
          <w:highlight w:val="none"/>
        </w:rPr>
        <w:t>蒸汽温度超</w:t>
      </w:r>
      <w:r>
        <w:rPr>
          <w:rFonts w:hint="eastAsia" w:ascii="宋体" w:hAnsi="宋体" w:cs="宋体"/>
          <w:color w:val="auto"/>
          <w:sz w:val="24"/>
          <w:highlight w:val="none"/>
        </w:rPr>
        <w:t>1</w:t>
      </w:r>
      <w:r>
        <w:rPr>
          <w:rFonts w:ascii="宋体" w:hAnsi="宋体" w:cs="宋体"/>
          <w:color w:val="auto"/>
          <w:sz w:val="24"/>
          <w:highlight w:val="none"/>
        </w:rPr>
        <w:t>40℃</w:t>
      </w:r>
      <w:r>
        <w:rPr>
          <w:rFonts w:hint="eastAsia" w:ascii="宋体" w:hAnsi="宋体" w:cs="宋体"/>
          <w:color w:val="auto"/>
          <w:sz w:val="24"/>
          <w:highlight w:val="none"/>
        </w:rPr>
        <w:t>工艺气路过流部件材质耐氯离子腐蚀性能不低于双相不锈钢2</w:t>
      </w:r>
      <w:r>
        <w:rPr>
          <w:rFonts w:ascii="宋体" w:hAnsi="宋体" w:cs="宋体"/>
          <w:color w:val="auto"/>
          <w:sz w:val="24"/>
          <w:highlight w:val="none"/>
        </w:rPr>
        <w:t>507，并提供至少</w:t>
      </w:r>
      <w:r>
        <w:rPr>
          <w:rFonts w:hint="eastAsia" w:ascii="宋体" w:hAnsi="宋体" w:cs="宋体"/>
          <w:color w:val="auto"/>
          <w:sz w:val="24"/>
          <w:highlight w:val="none"/>
        </w:rPr>
        <w:t>1套备件。</w:t>
      </w:r>
    </w:p>
    <w:p w14:paraId="41F12136">
      <w:pPr>
        <w:spacing w:line="360" w:lineRule="auto"/>
        <w:ind w:left="420"/>
        <w:rPr>
          <w:rFonts w:ascii="宋体" w:hAnsi="宋体" w:cs="宋体"/>
          <w:color w:val="auto"/>
          <w:sz w:val="24"/>
          <w:highlight w:val="none"/>
        </w:rPr>
      </w:pPr>
      <w:r>
        <w:rPr>
          <w:rFonts w:ascii="宋体" w:hAnsi="宋体" w:cs="宋体"/>
          <w:color w:val="auto"/>
          <w:sz w:val="24"/>
          <w:highlight w:val="none"/>
        </w:rPr>
        <w:t>4.5.2</w:t>
      </w:r>
      <w:r>
        <w:rPr>
          <w:rFonts w:hint="eastAsia" w:ascii="宋体" w:hAnsi="宋体" w:cs="宋体"/>
          <w:color w:val="auto"/>
          <w:sz w:val="24"/>
          <w:highlight w:val="none"/>
        </w:rPr>
        <w:t>所有随机带来的阀门、管件等必须满足现行《压力管道安全技术监察规程》报检要求，阀门、管件等必须具有TS标志的出厂合格证、产品质量证明书、材质分析报告、制造厂压力原件生产制造资质证书，所有阀门、管件等必须在其本体上带有TS标志和规格型号、材质、执行标准等，要求满足衢州市特种设备检验研究院关于压力管道安装的要求。级间管道涉及压力管道配管施工由</w:t>
      </w:r>
      <w:r>
        <w:rPr>
          <w:rFonts w:hint="eastAsia" w:ascii="宋体" w:hAnsi="宋体" w:cs="宋体"/>
          <w:color w:val="auto"/>
          <w:sz w:val="24"/>
          <w:highlight w:val="none"/>
          <w:lang w:val="en-US" w:eastAsia="zh-CN"/>
        </w:rPr>
        <w:t>投标人</w:t>
      </w:r>
      <w:r>
        <w:rPr>
          <w:rFonts w:hint="eastAsia" w:ascii="宋体" w:hAnsi="宋体" w:cs="宋体"/>
          <w:color w:val="auto"/>
          <w:sz w:val="24"/>
          <w:highlight w:val="none"/>
        </w:rPr>
        <w:t>负责，并取得当地特检院颁发的压力管道监检证书。</w:t>
      </w:r>
    </w:p>
    <w:p w14:paraId="555BC6ED">
      <w:pPr>
        <w:spacing w:line="360" w:lineRule="auto"/>
        <w:ind w:left="420"/>
        <w:rPr>
          <w:rFonts w:ascii="宋体" w:hAnsi="宋体" w:cs="宋体"/>
          <w:color w:val="auto"/>
          <w:sz w:val="24"/>
          <w:highlight w:val="none"/>
        </w:rPr>
      </w:pPr>
      <w:r>
        <w:rPr>
          <w:rFonts w:ascii="宋体" w:hAnsi="宋体" w:cs="宋体"/>
          <w:color w:val="auto"/>
          <w:sz w:val="24"/>
          <w:highlight w:val="none"/>
        </w:rPr>
        <w:t>4.5.3</w:t>
      </w:r>
      <w:r>
        <w:rPr>
          <w:rFonts w:hint="eastAsia" w:ascii="宋体" w:hAnsi="宋体" w:cs="宋体"/>
          <w:color w:val="auto"/>
          <w:sz w:val="24"/>
          <w:highlight w:val="none"/>
        </w:rPr>
        <w:t>压缩机的吸入管路设置进气过滤器，进气过滤器采用法兰式，过滤器过滤零部件材质要求为碳钢，其过滤精度为60目。</w:t>
      </w:r>
    </w:p>
    <w:p w14:paraId="666AC351">
      <w:pPr>
        <w:spacing w:line="360" w:lineRule="auto"/>
        <w:ind w:left="420"/>
        <w:rPr>
          <w:rFonts w:ascii="宋体" w:hAnsi="宋体" w:cs="宋体"/>
          <w:color w:val="auto"/>
          <w:sz w:val="24"/>
          <w:highlight w:val="none"/>
        </w:rPr>
      </w:pPr>
      <w:r>
        <w:rPr>
          <w:rFonts w:hint="eastAsia" w:ascii="宋体" w:hAnsi="宋体" w:cs="宋体"/>
          <w:color w:val="auto"/>
          <w:sz w:val="24"/>
          <w:highlight w:val="none"/>
        </w:rPr>
        <w:t>4</w:t>
      </w:r>
      <w:r>
        <w:rPr>
          <w:rFonts w:ascii="宋体" w:hAnsi="宋体" w:cs="宋体"/>
          <w:color w:val="auto"/>
          <w:sz w:val="24"/>
          <w:highlight w:val="none"/>
        </w:rPr>
        <w:t>.5.4</w:t>
      </w:r>
      <w:r>
        <w:rPr>
          <w:rFonts w:hint="eastAsia" w:ascii="宋体" w:hAnsi="宋体" w:cs="宋体"/>
          <w:color w:val="auto"/>
          <w:sz w:val="24"/>
          <w:highlight w:val="none"/>
        </w:rPr>
        <w:t>气液分离器为立式结构，内设有分离效果好的除沫器，壳体材料碳钢，内件为TA2（厚度≥2mm）+Q235复合板以上材质。气液分离器上设有液位计(带远传)，压力表和温度计，自动排液阀和安全阀。</w:t>
      </w:r>
    </w:p>
    <w:p w14:paraId="72C5289B">
      <w:pPr>
        <w:spacing w:line="360" w:lineRule="auto"/>
        <w:ind w:left="420"/>
        <w:rPr>
          <w:rFonts w:ascii="宋体" w:hAnsi="宋体" w:cs="宋体"/>
          <w:color w:val="auto"/>
          <w:sz w:val="24"/>
          <w:highlight w:val="none"/>
        </w:rPr>
      </w:pPr>
      <w:r>
        <w:rPr>
          <w:rFonts w:hint="eastAsia" w:ascii="宋体" w:hAnsi="宋体" w:cs="宋体"/>
          <w:color w:val="auto"/>
          <w:sz w:val="24"/>
          <w:highlight w:val="none"/>
        </w:rPr>
        <w:t>4</w:t>
      </w:r>
      <w:r>
        <w:rPr>
          <w:rFonts w:ascii="宋体" w:hAnsi="宋体" w:cs="宋体"/>
          <w:color w:val="auto"/>
          <w:sz w:val="24"/>
          <w:highlight w:val="none"/>
        </w:rPr>
        <w:t>.5.5</w:t>
      </w:r>
      <w:r>
        <w:rPr>
          <w:rFonts w:hint="eastAsia" w:ascii="宋体" w:hAnsi="宋体" w:cs="宋体"/>
          <w:color w:val="auto"/>
          <w:sz w:val="24"/>
          <w:highlight w:val="none"/>
        </w:rPr>
        <w:t>机组布管应充分考虑检修空间和踩踏保护。</w:t>
      </w:r>
    </w:p>
    <w:p w14:paraId="35D56E8D">
      <w:pPr>
        <w:spacing w:line="360" w:lineRule="auto"/>
        <w:ind w:left="420"/>
        <w:rPr>
          <w:rFonts w:ascii="宋体" w:hAnsi="宋体" w:cs="宋体"/>
          <w:color w:val="auto"/>
          <w:sz w:val="24"/>
          <w:highlight w:val="none"/>
        </w:rPr>
      </w:pPr>
      <w:r>
        <w:rPr>
          <w:rFonts w:hint="eastAsia" w:ascii="宋体" w:hAnsi="宋体" w:cs="宋体"/>
          <w:color w:val="auto"/>
          <w:sz w:val="24"/>
          <w:highlight w:val="none"/>
        </w:rPr>
        <w:t>4</w:t>
      </w:r>
      <w:r>
        <w:rPr>
          <w:rFonts w:ascii="宋体" w:hAnsi="宋体" w:cs="宋体"/>
          <w:color w:val="auto"/>
          <w:sz w:val="24"/>
          <w:highlight w:val="none"/>
        </w:rPr>
        <w:t>.5.6</w:t>
      </w:r>
      <w:r>
        <w:rPr>
          <w:rFonts w:hint="eastAsia" w:ascii="宋体" w:hAnsi="宋体" w:cs="宋体"/>
          <w:color w:val="auto"/>
          <w:sz w:val="24"/>
          <w:highlight w:val="none"/>
        </w:rPr>
        <w:t>全部测温测压元件采用法兰连接或双方商定方式，需带有防震功能，出口管的温度计需带特殊套管，保证测量的准确性。</w:t>
      </w:r>
    </w:p>
    <w:p w14:paraId="76B14DD5">
      <w:pPr>
        <w:spacing w:line="360" w:lineRule="auto"/>
        <w:ind w:left="420"/>
        <w:rPr>
          <w:rFonts w:ascii="宋体" w:hAnsi="宋体" w:cs="宋体"/>
          <w:color w:val="auto"/>
          <w:sz w:val="24"/>
          <w:highlight w:val="none"/>
        </w:rPr>
      </w:pPr>
      <w:r>
        <w:rPr>
          <w:rFonts w:hint="eastAsia" w:ascii="宋体" w:hAnsi="宋体" w:cs="宋体"/>
          <w:color w:val="auto"/>
          <w:sz w:val="24"/>
          <w:highlight w:val="none"/>
        </w:rPr>
        <w:t>4</w:t>
      </w:r>
      <w:r>
        <w:rPr>
          <w:rFonts w:ascii="宋体" w:hAnsi="宋体" w:cs="宋体"/>
          <w:color w:val="auto"/>
          <w:sz w:val="24"/>
          <w:highlight w:val="none"/>
        </w:rPr>
        <w:t>.5.7出口设有止回阀</w:t>
      </w:r>
    </w:p>
    <w:p w14:paraId="66165F73">
      <w:pPr>
        <w:spacing w:line="360" w:lineRule="auto"/>
        <w:ind w:left="420"/>
        <w:rPr>
          <w:rFonts w:ascii="宋体" w:hAnsi="宋体" w:cs="宋体"/>
          <w:color w:val="auto"/>
          <w:kern w:val="0"/>
          <w:sz w:val="24"/>
          <w:highlight w:val="none"/>
        </w:rPr>
      </w:pPr>
      <w:r>
        <w:rPr>
          <w:rFonts w:hint="eastAsia" w:ascii="宋体" w:hAnsi="宋体" w:cs="宋体"/>
          <w:color w:val="auto"/>
          <w:sz w:val="24"/>
          <w:highlight w:val="none"/>
        </w:rPr>
        <w:t>4</w:t>
      </w:r>
      <w:r>
        <w:rPr>
          <w:rFonts w:ascii="宋体" w:hAnsi="宋体" w:cs="宋体"/>
          <w:color w:val="auto"/>
          <w:sz w:val="24"/>
          <w:highlight w:val="none"/>
        </w:rPr>
        <w:t>.5.8压缩机进出口和级间管路支架要求使用不锈钢S30408。</w:t>
      </w:r>
    </w:p>
    <w:p w14:paraId="4B205B7C">
      <w:pPr>
        <w:adjustRightInd w:val="0"/>
        <w:snapToGrid w:val="0"/>
        <w:spacing w:line="360" w:lineRule="auto"/>
        <w:outlineLvl w:val="0"/>
        <w:rPr>
          <w:rFonts w:ascii="宋体" w:hAnsi="宋体"/>
          <w:bCs/>
          <w:color w:val="auto"/>
          <w:sz w:val="24"/>
          <w:highlight w:val="none"/>
        </w:rPr>
      </w:pPr>
      <w:bookmarkStart w:id="138" w:name="_Toc195433160"/>
      <w:r>
        <w:rPr>
          <w:rFonts w:ascii="宋体" w:hAnsi="宋体"/>
          <w:bCs/>
          <w:color w:val="auto"/>
          <w:sz w:val="24"/>
          <w:highlight w:val="none"/>
        </w:rPr>
        <w:t>5.</w:t>
      </w:r>
      <w:r>
        <w:rPr>
          <w:rFonts w:hint="eastAsia" w:ascii="宋体" w:hAnsi="宋体"/>
          <w:bCs/>
          <w:color w:val="auto"/>
          <w:sz w:val="24"/>
          <w:highlight w:val="none"/>
        </w:rPr>
        <w:t>电气部分</w:t>
      </w:r>
      <w:bookmarkEnd w:id="138"/>
    </w:p>
    <w:p w14:paraId="20898E64">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电气条件：6KV-3P-50HZ，非防爆</w:t>
      </w:r>
    </w:p>
    <w:p w14:paraId="17398077">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*电机要求采用2极或4极变频电机设计，电压等级为6</w:t>
      </w:r>
      <w:r>
        <w:rPr>
          <w:rFonts w:ascii="宋体" w:hAnsi="宋体" w:cs="宋体"/>
          <w:color w:val="auto"/>
          <w:sz w:val="24"/>
          <w:highlight w:val="none"/>
        </w:rPr>
        <w:t>Kv-3P-50hz，非防爆，</w:t>
      </w:r>
      <w:r>
        <w:rPr>
          <w:rFonts w:hint="eastAsia" w:ascii="宋体" w:hAnsi="宋体" w:cs="宋体"/>
          <w:color w:val="auto"/>
          <w:sz w:val="24"/>
          <w:highlight w:val="none"/>
        </w:rPr>
        <w:t>防腐等级：WF2，温升等级：B，冷却方式：IC611/IC666，定额：S1（连续工作制），防护等级：IP55</w:t>
      </w:r>
    </w:p>
    <w:p w14:paraId="7BD75329">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电机前后轴承设置注油及排液装置。</w:t>
      </w:r>
    </w:p>
    <w:p w14:paraId="6E242EC0">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*启动及运行要求</w:t>
      </w:r>
    </w:p>
    <w:p w14:paraId="0B8599C7">
      <w:pPr>
        <w:autoSpaceDE w:val="0"/>
        <w:autoSpaceDN w:val="0"/>
        <w:adjustRightInd w:val="0"/>
        <w:snapToGrid w:val="0"/>
        <w:spacing w:line="360" w:lineRule="auto"/>
        <w:ind w:firstLine="240" w:firstLineChars="100"/>
        <w:jc w:val="left"/>
        <w:rPr>
          <w:rFonts w:ascii="宋体" w:hAns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 xml:space="preserve">.4.1 </w:t>
      </w:r>
      <w:r>
        <w:rPr>
          <w:rFonts w:hint="eastAsia" w:ascii="宋体" w:hAnsi="宋体" w:cs="宋体"/>
          <w:color w:val="auto"/>
          <w:sz w:val="24"/>
          <w:highlight w:val="none"/>
        </w:rPr>
        <w:t>启动方式：直接启动</w:t>
      </w:r>
    </w:p>
    <w:p w14:paraId="5C938F88">
      <w:pPr>
        <w:autoSpaceDE w:val="0"/>
        <w:autoSpaceDN w:val="0"/>
        <w:adjustRightInd w:val="0"/>
        <w:snapToGrid w:val="0"/>
        <w:spacing w:line="360" w:lineRule="auto"/>
        <w:ind w:firstLine="240" w:firstLineChars="100"/>
        <w:jc w:val="left"/>
        <w:rPr>
          <w:rFonts w:ascii="宋体" w:hAns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 xml:space="preserve">.4.2 </w:t>
      </w:r>
      <w:r>
        <w:rPr>
          <w:rFonts w:hint="eastAsia" w:ascii="宋体" w:hAnsi="宋体" w:cs="宋体"/>
          <w:color w:val="auto"/>
          <w:sz w:val="24"/>
          <w:highlight w:val="none"/>
        </w:rPr>
        <w:t>电动机允许在冷态下连续起动二次（二次起动之间电动机应自然停机），或在额定运行后在热态下起动一次。</w:t>
      </w:r>
    </w:p>
    <w:p w14:paraId="3B85D77A">
      <w:pPr>
        <w:autoSpaceDE w:val="0"/>
        <w:autoSpaceDN w:val="0"/>
        <w:adjustRightInd w:val="0"/>
        <w:snapToGrid w:val="0"/>
        <w:spacing w:line="360" w:lineRule="auto"/>
        <w:ind w:firstLine="240" w:firstLineChars="100"/>
        <w:jc w:val="left"/>
        <w:rPr>
          <w:rFonts w:ascii="宋体" w:hAnsi="宋体" w:cs="宋体"/>
          <w:color w:val="auto"/>
          <w:sz w:val="24"/>
          <w:highlight w:val="none"/>
        </w:rPr>
      </w:pPr>
      <w:r>
        <w:rPr>
          <w:rFonts w:ascii="宋体" w:hAnsi="宋体" w:cs="宋体"/>
          <w:color w:val="auto"/>
          <w:sz w:val="24"/>
          <w:highlight w:val="none"/>
        </w:rPr>
        <w:t xml:space="preserve">5.4.3 </w:t>
      </w:r>
      <w:r>
        <w:rPr>
          <w:rFonts w:hint="eastAsia" w:ascii="宋体" w:hAnsi="宋体" w:cs="宋体"/>
          <w:color w:val="auto"/>
          <w:sz w:val="24"/>
          <w:highlight w:val="none"/>
        </w:rPr>
        <w:t>电源频率与额定频率的偏差不超过±2%时,</w:t>
      </w:r>
      <w:r>
        <w:rPr>
          <w:rFonts w:ascii="宋体" w:hAnsi="宋体" w:cs="宋体"/>
          <w:color w:val="auto"/>
          <w:sz w:val="24"/>
          <w:highlight w:val="none"/>
        </w:rPr>
        <w:t xml:space="preserve"> </w:t>
      </w:r>
      <w:r>
        <w:rPr>
          <w:rFonts w:hint="eastAsia" w:ascii="宋体" w:hAnsi="宋体" w:cs="宋体"/>
          <w:color w:val="auto"/>
          <w:sz w:val="24"/>
          <w:highlight w:val="none"/>
        </w:rPr>
        <w:t>电源电压与额定电压的偏差不超过±5%时,或电压和频率同时出现极限偏差时,</w:t>
      </w:r>
      <w:r>
        <w:rPr>
          <w:rFonts w:ascii="宋体" w:hAnsi="宋体" w:cs="宋体"/>
          <w:color w:val="auto"/>
          <w:sz w:val="24"/>
          <w:highlight w:val="none"/>
        </w:rPr>
        <w:t xml:space="preserve"> </w:t>
      </w:r>
      <w:r>
        <w:rPr>
          <w:rFonts w:hint="eastAsia" w:ascii="宋体" w:hAnsi="宋体" w:cs="宋体"/>
          <w:color w:val="auto"/>
          <w:sz w:val="24"/>
          <w:highlight w:val="none"/>
        </w:rPr>
        <w:t>电机输出功率应连续保持为额定值，此时，温升按</w:t>
      </w:r>
      <w:r>
        <w:rPr>
          <w:rFonts w:ascii="宋体" w:hAnsi="宋体" w:cs="宋体"/>
          <w:color w:val="auto"/>
          <w:sz w:val="24"/>
          <w:highlight w:val="none"/>
        </w:rPr>
        <w:t xml:space="preserve"> B </w:t>
      </w:r>
      <w:r>
        <w:rPr>
          <w:rFonts w:hint="eastAsia" w:ascii="宋体" w:hAnsi="宋体" w:cs="宋体"/>
          <w:color w:val="auto"/>
          <w:sz w:val="24"/>
          <w:highlight w:val="none"/>
        </w:rPr>
        <w:t>级（绝缘等级为</w:t>
      </w:r>
      <w:r>
        <w:rPr>
          <w:rFonts w:ascii="宋体" w:hAnsi="宋体" w:cs="宋体"/>
          <w:color w:val="auto"/>
          <w:sz w:val="24"/>
          <w:highlight w:val="none"/>
        </w:rPr>
        <w:t xml:space="preserve"> F </w:t>
      </w:r>
      <w:r>
        <w:rPr>
          <w:rFonts w:hint="eastAsia" w:ascii="宋体" w:hAnsi="宋体" w:cs="宋体"/>
          <w:color w:val="auto"/>
          <w:sz w:val="24"/>
          <w:highlight w:val="none"/>
        </w:rPr>
        <w:t>级时）考核。</w:t>
      </w:r>
    </w:p>
    <w:p w14:paraId="709824FF">
      <w:pPr>
        <w:autoSpaceDE w:val="0"/>
        <w:autoSpaceDN w:val="0"/>
        <w:adjustRightInd w:val="0"/>
        <w:snapToGrid w:val="0"/>
        <w:spacing w:line="360" w:lineRule="auto"/>
        <w:ind w:firstLine="240" w:firstLineChars="100"/>
        <w:jc w:val="left"/>
        <w:rPr>
          <w:rFonts w:ascii="宋体" w:hAnsi="宋体" w:cs="宋体"/>
          <w:color w:val="auto"/>
          <w:sz w:val="24"/>
          <w:highlight w:val="none"/>
        </w:rPr>
      </w:pPr>
      <w:r>
        <w:rPr>
          <w:rFonts w:ascii="宋体" w:hAnsi="宋体" w:cs="宋体"/>
          <w:color w:val="auto"/>
          <w:sz w:val="24"/>
          <w:highlight w:val="none"/>
        </w:rPr>
        <w:t xml:space="preserve">5.4.4 </w:t>
      </w:r>
      <w:r>
        <w:rPr>
          <w:rFonts w:hint="eastAsia" w:ascii="宋体" w:hAnsi="宋体" w:cs="宋体"/>
          <w:color w:val="auto"/>
          <w:sz w:val="24"/>
          <w:highlight w:val="none"/>
        </w:rPr>
        <w:t xml:space="preserve">当电源电压与额定电压的偏差在-10%～-5%或+5%～+10%，或当电源频率与额定频率的偏差在-5%～-2%或+2%～+3%；或者当电源与频率同时出线偏差时，电机输出功率应连续保证为额定值，此时，温升按 </w:t>
      </w:r>
      <w:r>
        <w:rPr>
          <w:rFonts w:ascii="宋体" w:hAnsi="宋体" w:cs="宋体"/>
          <w:color w:val="auto"/>
          <w:sz w:val="24"/>
          <w:highlight w:val="none"/>
        </w:rPr>
        <w:t>B</w:t>
      </w:r>
      <w:r>
        <w:rPr>
          <w:rFonts w:hint="eastAsia" w:ascii="宋体" w:hAnsi="宋体" w:cs="宋体"/>
          <w:color w:val="auto"/>
          <w:sz w:val="24"/>
          <w:highlight w:val="none"/>
        </w:rPr>
        <w:t xml:space="preserve"> 级（绝缘等级为 F 级时）考核。且电动机最高表面温度不超过T4组别的要求。</w:t>
      </w:r>
    </w:p>
    <w:p w14:paraId="0CA21285">
      <w:pPr>
        <w:autoSpaceDE w:val="0"/>
        <w:autoSpaceDN w:val="0"/>
        <w:adjustRightInd w:val="0"/>
        <w:snapToGrid w:val="0"/>
        <w:spacing w:line="360" w:lineRule="auto"/>
        <w:ind w:firstLine="240" w:firstLineChars="100"/>
        <w:jc w:val="left"/>
        <w:rPr>
          <w:rFonts w:ascii="宋体" w:hAns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 xml:space="preserve">.4.5 </w:t>
      </w:r>
      <w:r>
        <w:rPr>
          <w:rFonts w:hint="eastAsia" w:ascii="宋体" w:hAnsi="宋体" w:cs="宋体"/>
          <w:color w:val="auto"/>
          <w:sz w:val="24"/>
          <w:highlight w:val="none"/>
        </w:rPr>
        <w:t>电源频率为额定值 50Hz，电机机端电压在 85%额定电压下(≮80%额定电压)，电机应能连续运行 2 分钟而无有害过热。</w:t>
      </w:r>
    </w:p>
    <w:p w14:paraId="37E53BD8">
      <w:pPr>
        <w:numPr>
          <w:ilvl w:val="2"/>
          <w:numId w:val="16"/>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电机在 1.2 倍同步转速下超速运行 2 分钟不产生有害变形。</w:t>
      </w:r>
    </w:p>
    <w:p w14:paraId="2FB3D6AA">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电机的结构与安装方式</w:t>
      </w:r>
    </w:p>
    <w:p w14:paraId="49F41F43">
      <w:pPr>
        <w:numPr>
          <w:ilvl w:val="2"/>
          <w:numId w:val="17"/>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电机为卧式安装，圆柱轴伸。</w:t>
      </w:r>
    </w:p>
    <w:p w14:paraId="3C5872CA">
      <w:pPr>
        <w:numPr>
          <w:ilvl w:val="2"/>
          <w:numId w:val="17"/>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电动机型式要求：</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1511"/>
        <w:gridCol w:w="1962"/>
        <w:gridCol w:w="1073"/>
        <w:gridCol w:w="2238"/>
      </w:tblGrid>
      <w:tr w14:paraId="19155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0" w:type="dxa"/>
          </w:tcPr>
          <w:p w14:paraId="028BE4E9">
            <w:pPr>
              <w:spacing w:line="360" w:lineRule="auto"/>
              <w:rPr>
                <w:rFonts w:ascii="宋体" w:hAnsi="宋体"/>
                <w:color w:val="auto"/>
                <w:sz w:val="24"/>
                <w:highlight w:val="none"/>
              </w:rPr>
            </w:pPr>
            <w:r>
              <w:rPr>
                <w:rFonts w:hint="eastAsia" w:ascii="宋体" w:hAnsi="宋体"/>
                <w:color w:val="auto"/>
                <w:sz w:val="24"/>
                <w:highlight w:val="none"/>
              </w:rPr>
              <w:t>电机功率（kW）</w:t>
            </w:r>
          </w:p>
        </w:tc>
        <w:tc>
          <w:tcPr>
            <w:tcW w:w="1511" w:type="dxa"/>
          </w:tcPr>
          <w:p w14:paraId="0B997A9A">
            <w:pPr>
              <w:spacing w:line="360" w:lineRule="auto"/>
              <w:rPr>
                <w:rFonts w:ascii="宋体" w:hAnsi="宋体"/>
                <w:color w:val="auto"/>
                <w:sz w:val="24"/>
                <w:highlight w:val="none"/>
              </w:rPr>
            </w:pPr>
            <w:r>
              <w:rPr>
                <w:rFonts w:hint="eastAsia" w:ascii="宋体" w:hAnsi="宋体"/>
                <w:color w:val="auto"/>
                <w:sz w:val="24"/>
                <w:highlight w:val="none"/>
              </w:rPr>
              <w:t>电源</w:t>
            </w:r>
          </w:p>
        </w:tc>
        <w:tc>
          <w:tcPr>
            <w:tcW w:w="1962" w:type="dxa"/>
          </w:tcPr>
          <w:p w14:paraId="660B638A">
            <w:pPr>
              <w:spacing w:line="360" w:lineRule="auto"/>
              <w:rPr>
                <w:rFonts w:ascii="宋体" w:hAnsi="宋体"/>
                <w:color w:val="auto"/>
                <w:sz w:val="24"/>
                <w:highlight w:val="none"/>
              </w:rPr>
            </w:pPr>
            <w:r>
              <w:rPr>
                <w:rFonts w:hint="eastAsia" w:ascii="宋体" w:hAnsi="宋体"/>
                <w:color w:val="auto"/>
                <w:sz w:val="24"/>
                <w:highlight w:val="none"/>
              </w:rPr>
              <w:t>轴承形式</w:t>
            </w:r>
          </w:p>
        </w:tc>
        <w:tc>
          <w:tcPr>
            <w:tcW w:w="1073" w:type="dxa"/>
          </w:tcPr>
          <w:p w14:paraId="353A041A">
            <w:pPr>
              <w:spacing w:line="360" w:lineRule="auto"/>
              <w:rPr>
                <w:rFonts w:ascii="宋体" w:hAnsi="宋体"/>
                <w:color w:val="auto"/>
                <w:sz w:val="24"/>
                <w:highlight w:val="none"/>
              </w:rPr>
            </w:pPr>
            <w:r>
              <w:rPr>
                <w:rFonts w:hint="eastAsia" w:ascii="宋体" w:hAnsi="宋体"/>
                <w:color w:val="auto"/>
                <w:sz w:val="24"/>
                <w:highlight w:val="none"/>
              </w:rPr>
              <w:t>冷却方式</w:t>
            </w:r>
          </w:p>
        </w:tc>
        <w:tc>
          <w:tcPr>
            <w:tcW w:w="2238" w:type="dxa"/>
          </w:tcPr>
          <w:p w14:paraId="2FC30CE4">
            <w:pPr>
              <w:spacing w:line="360" w:lineRule="auto"/>
              <w:rPr>
                <w:rFonts w:ascii="宋体" w:hAnsi="宋体"/>
                <w:color w:val="auto"/>
                <w:sz w:val="24"/>
                <w:highlight w:val="none"/>
              </w:rPr>
            </w:pPr>
            <w:r>
              <w:rPr>
                <w:rFonts w:hint="eastAsia" w:ascii="宋体" w:hAnsi="宋体"/>
                <w:color w:val="auto"/>
                <w:sz w:val="24"/>
                <w:highlight w:val="none"/>
              </w:rPr>
              <w:t>防爆形式</w:t>
            </w:r>
          </w:p>
        </w:tc>
      </w:tr>
      <w:tr w14:paraId="6EF4E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0" w:type="dxa"/>
          </w:tcPr>
          <w:p w14:paraId="31536F72">
            <w:pPr>
              <w:spacing w:line="360" w:lineRule="auto"/>
              <w:rPr>
                <w:rFonts w:ascii="宋体" w:hAnsi="宋体"/>
                <w:color w:val="auto"/>
                <w:sz w:val="24"/>
                <w:highlight w:val="none"/>
              </w:rPr>
            </w:pPr>
            <w:r>
              <w:rPr>
                <w:rFonts w:hint="eastAsia" w:ascii="宋体" w:hAnsi="宋体"/>
                <w:color w:val="auto"/>
                <w:sz w:val="24"/>
                <w:highlight w:val="none"/>
              </w:rPr>
              <w:t>0&lt;功率&lt;200</w:t>
            </w:r>
          </w:p>
        </w:tc>
        <w:tc>
          <w:tcPr>
            <w:tcW w:w="1511" w:type="dxa"/>
          </w:tcPr>
          <w:p w14:paraId="10CA1FB5">
            <w:pPr>
              <w:spacing w:line="360" w:lineRule="auto"/>
              <w:rPr>
                <w:rFonts w:ascii="宋体" w:hAnsi="宋体"/>
                <w:color w:val="auto"/>
                <w:sz w:val="24"/>
                <w:highlight w:val="none"/>
              </w:rPr>
            </w:pPr>
            <w:r>
              <w:rPr>
                <w:rFonts w:hint="eastAsia" w:ascii="宋体" w:hAnsi="宋体"/>
                <w:color w:val="auto"/>
                <w:sz w:val="24"/>
                <w:highlight w:val="none"/>
              </w:rPr>
              <w:t>3P/380V/50Hz</w:t>
            </w:r>
          </w:p>
        </w:tc>
        <w:tc>
          <w:tcPr>
            <w:tcW w:w="1962" w:type="dxa"/>
          </w:tcPr>
          <w:p w14:paraId="2414F851">
            <w:pPr>
              <w:spacing w:line="360" w:lineRule="auto"/>
              <w:rPr>
                <w:rFonts w:ascii="宋体" w:hAnsi="宋体"/>
                <w:color w:val="auto"/>
                <w:sz w:val="24"/>
                <w:highlight w:val="none"/>
              </w:rPr>
            </w:pPr>
            <w:r>
              <w:rPr>
                <w:rFonts w:hint="eastAsia" w:ascii="宋体" w:hAnsi="宋体"/>
                <w:color w:val="auto"/>
                <w:sz w:val="24"/>
                <w:highlight w:val="none"/>
              </w:rPr>
              <w:t>SKF滚动轴承</w:t>
            </w:r>
          </w:p>
        </w:tc>
        <w:tc>
          <w:tcPr>
            <w:tcW w:w="1073" w:type="dxa"/>
          </w:tcPr>
          <w:p w14:paraId="311F767D">
            <w:pPr>
              <w:spacing w:line="360" w:lineRule="auto"/>
              <w:rPr>
                <w:rFonts w:ascii="宋体" w:hAnsi="宋体"/>
                <w:color w:val="auto"/>
                <w:sz w:val="24"/>
                <w:highlight w:val="none"/>
              </w:rPr>
            </w:pPr>
            <w:r>
              <w:rPr>
                <w:rFonts w:hint="eastAsia" w:ascii="宋体" w:hAnsi="宋体"/>
                <w:color w:val="auto"/>
                <w:sz w:val="24"/>
                <w:highlight w:val="none"/>
              </w:rPr>
              <w:t>IC411</w:t>
            </w:r>
          </w:p>
        </w:tc>
        <w:tc>
          <w:tcPr>
            <w:tcW w:w="2238" w:type="dxa"/>
          </w:tcPr>
          <w:p w14:paraId="1646D4B4">
            <w:pPr>
              <w:spacing w:line="360" w:lineRule="auto"/>
              <w:rPr>
                <w:rFonts w:ascii="宋体" w:hAnsi="宋体"/>
                <w:color w:val="auto"/>
                <w:sz w:val="24"/>
                <w:highlight w:val="none"/>
              </w:rPr>
            </w:pPr>
          </w:p>
        </w:tc>
      </w:tr>
      <w:tr w14:paraId="0F72D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0" w:type="dxa"/>
          </w:tcPr>
          <w:p w14:paraId="0E150080">
            <w:pPr>
              <w:spacing w:line="360" w:lineRule="auto"/>
              <w:rPr>
                <w:rFonts w:ascii="宋体" w:hAnsi="宋体"/>
                <w:color w:val="auto"/>
                <w:sz w:val="24"/>
                <w:highlight w:val="none"/>
              </w:rPr>
            </w:pPr>
            <w:r>
              <w:rPr>
                <w:rFonts w:hint="eastAsia" w:ascii="宋体" w:hAnsi="宋体"/>
                <w:color w:val="auto"/>
                <w:sz w:val="24"/>
                <w:highlight w:val="none"/>
              </w:rPr>
              <w:t>200≤功率＜630</w:t>
            </w:r>
          </w:p>
        </w:tc>
        <w:tc>
          <w:tcPr>
            <w:tcW w:w="1511" w:type="dxa"/>
          </w:tcPr>
          <w:p w14:paraId="2FB21101">
            <w:pPr>
              <w:spacing w:line="360" w:lineRule="auto"/>
              <w:rPr>
                <w:rFonts w:ascii="宋体" w:hAnsi="宋体"/>
                <w:color w:val="auto"/>
                <w:sz w:val="24"/>
                <w:highlight w:val="none"/>
              </w:rPr>
            </w:pPr>
            <w:r>
              <w:rPr>
                <w:rFonts w:hint="eastAsia" w:ascii="宋体" w:hAnsi="宋体"/>
                <w:color w:val="auto"/>
                <w:sz w:val="24"/>
                <w:highlight w:val="none"/>
              </w:rPr>
              <w:t>3P/</w:t>
            </w:r>
            <w:r>
              <w:rPr>
                <w:rFonts w:ascii="宋体" w:hAnsi="宋体"/>
                <w:color w:val="auto"/>
                <w:sz w:val="24"/>
                <w:highlight w:val="none"/>
              </w:rPr>
              <w:t>6</w:t>
            </w:r>
            <w:r>
              <w:rPr>
                <w:rFonts w:hint="eastAsia" w:ascii="宋体" w:hAnsi="宋体"/>
                <w:color w:val="auto"/>
                <w:sz w:val="24"/>
                <w:highlight w:val="none"/>
              </w:rPr>
              <w:t>kV/50Hz</w:t>
            </w:r>
          </w:p>
        </w:tc>
        <w:tc>
          <w:tcPr>
            <w:tcW w:w="1962" w:type="dxa"/>
          </w:tcPr>
          <w:p w14:paraId="58D39E77">
            <w:pPr>
              <w:spacing w:line="360" w:lineRule="auto"/>
              <w:rPr>
                <w:rFonts w:ascii="宋体" w:hAnsi="宋体"/>
                <w:color w:val="auto"/>
                <w:sz w:val="24"/>
                <w:highlight w:val="none"/>
              </w:rPr>
            </w:pPr>
            <w:r>
              <w:rPr>
                <w:rFonts w:hint="eastAsia" w:ascii="宋体" w:hAnsi="宋体"/>
                <w:color w:val="auto"/>
                <w:sz w:val="24"/>
                <w:highlight w:val="none"/>
              </w:rPr>
              <w:t>SKF滚动轴承（后轴采用绝缘轴承）</w:t>
            </w:r>
          </w:p>
        </w:tc>
        <w:tc>
          <w:tcPr>
            <w:tcW w:w="1073" w:type="dxa"/>
          </w:tcPr>
          <w:p w14:paraId="01B71424">
            <w:pPr>
              <w:spacing w:line="360" w:lineRule="auto"/>
              <w:rPr>
                <w:rFonts w:ascii="宋体" w:hAnsi="宋体"/>
                <w:color w:val="auto"/>
                <w:sz w:val="24"/>
                <w:highlight w:val="none"/>
              </w:rPr>
            </w:pPr>
            <w:r>
              <w:rPr>
                <w:rFonts w:hint="eastAsia" w:ascii="宋体" w:hAnsi="宋体"/>
                <w:color w:val="auto"/>
                <w:sz w:val="24"/>
                <w:highlight w:val="none"/>
              </w:rPr>
              <w:t>IC411</w:t>
            </w:r>
          </w:p>
        </w:tc>
        <w:tc>
          <w:tcPr>
            <w:tcW w:w="2238" w:type="dxa"/>
          </w:tcPr>
          <w:p w14:paraId="0850F13D">
            <w:pPr>
              <w:spacing w:line="360" w:lineRule="auto"/>
              <w:rPr>
                <w:rFonts w:ascii="宋体" w:hAnsi="宋体"/>
                <w:color w:val="auto"/>
                <w:sz w:val="24"/>
                <w:highlight w:val="none"/>
              </w:rPr>
            </w:pPr>
          </w:p>
        </w:tc>
      </w:tr>
      <w:tr w14:paraId="3F525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0" w:type="dxa"/>
          </w:tcPr>
          <w:p w14:paraId="3304EB73">
            <w:pPr>
              <w:spacing w:line="360" w:lineRule="auto"/>
              <w:rPr>
                <w:rFonts w:ascii="宋体" w:hAnsi="宋体"/>
                <w:color w:val="auto"/>
                <w:sz w:val="24"/>
                <w:highlight w:val="none"/>
              </w:rPr>
            </w:pPr>
            <w:r>
              <w:rPr>
                <w:rFonts w:hint="eastAsia" w:ascii="宋体" w:hAnsi="宋体"/>
                <w:color w:val="auto"/>
                <w:sz w:val="24"/>
                <w:highlight w:val="none"/>
              </w:rPr>
              <w:t>630≤功率</w:t>
            </w:r>
          </w:p>
        </w:tc>
        <w:tc>
          <w:tcPr>
            <w:tcW w:w="1511" w:type="dxa"/>
          </w:tcPr>
          <w:p w14:paraId="3578A871">
            <w:pPr>
              <w:spacing w:line="360" w:lineRule="auto"/>
              <w:rPr>
                <w:rFonts w:ascii="宋体" w:hAnsi="宋体"/>
                <w:color w:val="auto"/>
                <w:sz w:val="24"/>
                <w:highlight w:val="none"/>
              </w:rPr>
            </w:pPr>
            <w:r>
              <w:rPr>
                <w:rFonts w:hint="eastAsia" w:ascii="宋体" w:hAnsi="宋体"/>
                <w:color w:val="auto"/>
                <w:sz w:val="24"/>
                <w:highlight w:val="none"/>
              </w:rPr>
              <w:t>3P/</w:t>
            </w:r>
            <w:r>
              <w:rPr>
                <w:rFonts w:ascii="宋体" w:hAnsi="宋体"/>
                <w:color w:val="auto"/>
                <w:sz w:val="24"/>
                <w:highlight w:val="none"/>
              </w:rPr>
              <w:t>6</w:t>
            </w:r>
            <w:r>
              <w:rPr>
                <w:rFonts w:hint="eastAsia" w:ascii="宋体" w:hAnsi="宋体"/>
                <w:color w:val="auto"/>
                <w:sz w:val="24"/>
                <w:highlight w:val="none"/>
              </w:rPr>
              <w:t>kV/50Hz</w:t>
            </w:r>
          </w:p>
        </w:tc>
        <w:tc>
          <w:tcPr>
            <w:tcW w:w="1962" w:type="dxa"/>
          </w:tcPr>
          <w:p w14:paraId="3E7AB06D">
            <w:pPr>
              <w:spacing w:line="360" w:lineRule="auto"/>
              <w:rPr>
                <w:rFonts w:ascii="宋体" w:hAnsi="宋体"/>
                <w:color w:val="auto"/>
                <w:sz w:val="24"/>
                <w:highlight w:val="none"/>
              </w:rPr>
            </w:pPr>
            <w:r>
              <w:rPr>
                <w:rFonts w:hint="eastAsia" w:ascii="宋体" w:hAnsi="宋体"/>
                <w:color w:val="auto"/>
                <w:sz w:val="24"/>
                <w:highlight w:val="none"/>
              </w:rPr>
              <w:t>RENK滑动轴瓦(强制润滑)</w:t>
            </w:r>
          </w:p>
        </w:tc>
        <w:tc>
          <w:tcPr>
            <w:tcW w:w="1073" w:type="dxa"/>
          </w:tcPr>
          <w:p w14:paraId="1964D529">
            <w:pPr>
              <w:spacing w:line="360" w:lineRule="auto"/>
              <w:rPr>
                <w:rFonts w:ascii="宋体" w:hAnsi="宋体"/>
                <w:color w:val="auto"/>
                <w:sz w:val="24"/>
                <w:highlight w:val="none"/>
              </w:rPr>
            </w:pPr>
            <w:r>
              <w:rPr>
                <w:rFonts w:hint="eastAsia" w:ascii="宋体" w:hAnsi="宋体"/>
                <w:color w:val="auto"/>
                <w:sz w:val="24"/>
                <w:highlight w:val="none"/>
              </w:rPr>
              <w:t>IC611</w:t>
            </w:r>
            <w:r>
              <w:rPr>
                <w:rFonts w:ascii="宋体" w:hAnsi="宋体"/>
                <w:color w:val="auto"/>
                <w:sz w:val="24"/>
                <w:highlight w:val="none"/>
              </w:rPr>
              <w:t>/IC666</w:t>
            </w:r>
          </w:p>
        </w:tc>
        <w:tc>
          <w:tcPr>
            <w:tcW w:w="2238" w:type="dxa"/>
          </w:tcPr>
          <w:p w14:paraId="19550185">
            <w:pPr>
              <w:spacing w:line="360" w:lineRule="auto"/>
              <w:rPr>
                <w:rFonts w:ascii="宋体" w:hAnsi="宋体"/>
                <w:color w:val="auto"/>
                <w:sz w:val="24"/>
                <w:highlight w:val="none"/>
              </w:rPr>
            </w:pPr>
          </w:p>
        </w:tc>
      </w:tr>
    </w:tbl>
    <w:p w14:paraId="6100E0B8">
      <w:pPr>
        <w:numPr>
          <w:ilvl w:val="2"/>
          <w:numId w:val="18"/>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轴承选用进口原产地优质产品。</w:t>
      </w:r>
    </w:p>
    <w:p w14:paraId="2F7E4CF7">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每个轴承上设置 1 个 Pt100 铂热电阻(双支三线制)，并接至独立的测温接线盒。电机轴承报警温度 85℃，停机温度 90℃。信号可远传。电机定子绕组埋置 Pt100 铂热电阻(三线制)6支，每相2支，3支工作，3支备用，并设独立的测温接线盒。定子绕组测温报警温度135℃，停机温度145℃。可远传。</w:t>
      </w:r>
    </w:p>
    <w:p w14:paraId="4B0F434D">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电机带有防冷凝空间加热器，容量按散热计算值，电压为 220VAC、单相,加热器设独立的接线盒，防护等级IP65。</w:t>
      </w:r>
    </w:p>
    <w:p w14:paraId="7798597B">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电机主接线盒位于电机右侧（从电机轴伸端视之），防护等级为 IP55。</w:t>
      </w:r>
    </w:p>
    <w:p w14:paraId="685C447A">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测温接线盒、加热器接线盒单独进线，与主接线盒同侧。测温与测位移接线可由同一接线口引出，尽量减少开孔。</w:t>
      </w:r>
    </w:p>
    <w:p w14:paraId="080F23A3">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接线盒内部及外部均有接地螺栓，并应在接地螺栓附近设有接地标志。此标志应保证在电机整个的使用期间内不易磨灭。</w:t>
      </w:r>
    </w:p>
    <w:p w14:paraId="6FAC1D86">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出厂时，电机铭牌附近有显示电机磁力中心线位置的指示牌。</w:t>
      </w:r>
    </w:p>
    <w:p w14:paraId="7DF1866E">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出厂时，电机轴伸端面带有显示电机旋转方向的指示牌。</w:t>
      </w:r>
    </w:p>
    <w:p w14:paraId="32A051AF">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出厂试验要求</w:t>
      </w:r>
    </w:p>
    <w:p w14:paraId="4810BD53">
      <w:pPr>
        <w:autoSpaceDE w:val="0"/>
        <w:autoSpaceDN w:val="0"/>
        <w:adjustRightInd w:val="0"/>
        <w:snapToGrid w:val="0"/>
        <w:spacing w:line="360" w:lineRule="auto"/>
        <w:ind w:firstLine="240" w:firstLineChars="100"/>
        <w:jc w:val="left"/>
        <w:rPr>
          <w:rFonts w:ascii="宋体" w:hAns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 xml:space="preserve">.13.1 </w:t>
      </w:r>
      <w:r>
        <w:rPr>
          <w:rFonts w:hint="eastAsia" w:ascii="宋体" w:hAnsi="宋体" w:cs="宋体"/>
          <w:color w:val="auto"/>
          <w:sz w:val="24"/>
          <w:highlight w:val="none"/>
        </w:rPr>
        <w:t>中标人对电动机进行试验，试验方法及内容严格按照有关标准的规定，且不少于下列内容：直流电阻测量；空载和短路试验；绝缘电阻测量；交流耐压试验；气隙测量；轴电压测量；振动测量；噪声测量；超速试验；相序识别；转子动平衡试验；</w:t>
      </w:r>
    </w:p>
    <w:p w14:paraId="19F4C56D">
      <w:pPr>
        <w:numPr>
          <w:ilvl w:val="2"/>
          <w:numId w:val="19"/>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结构及外观检查试验要求。</w:t>
      </w:r>
    </w:p>
    <w:p w14:paraId="53759CDC">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中标人为招标人提供以下资料：</w:t>
      </w:r>
    </w:p>
    <w:p w14:paraId="61612849">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中标人应对不同类型的设备、主要原材料，提供检验资料清单，包括质量证明文件。</w:t>
      </w:r>
    </w:p>
    <w:p w14:paraId="250982E7">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产品合格证；</w:t>
      </w:r>
    </w:p>
    <w:p w14:paraId="4049DA8C">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材料合格证（主要材料）；</w:t>
      </w:r>
    </w:p>
    <w:p w14:paraId="1045E6B7">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材料入厂检验报告；</w:t>
      </w:r>
    </w:p>
    <w:p w14:paraId="7151C233">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外观和尺寸检测报告（整机）；</w:t>
      </w:r>
    </w:p>
    <w:p w14:paraId="6996E935">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出厂提供详细的试验报告；</w:t>
      </w:r>
    </w:p>
    <w:p w14:paraId="030D329F">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启动时间曲线。</w:t>
      </w:r>
    </w:p>
    <w:p w14:paraId="5F505CED">
      <w:pPr>
        <w:numPr>
          <w:ilvl w:val="0"/>
          <w:numId w:val="15"/>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电机推荐选用品牌及要求：</w:t>
      </w:r>
    </w:p>
    <w:p w14:paraId="37C91A5A">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■卧龙电气南阳防爆集团股份有限公司（南阳集团） （原产地：河南南阳）</w:t>
      </w:r>
    </w:p>
    <w:p w14:paraId="5DE82D09">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■无锡东元电机有限公司（原产地：无锡）</w:t>
      </w:r>
    </w:p>
    <w:p w14:paraId="57681D46">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ascii="宋体" w:hAnsi="宋体" w:cs="宋体"/>
          <w:color w:val="auto"/>
          <w:sz w:val="24"/>
          <w:highlight w:val="none"/>
        </w:rPr>
        <w:t>上述推荐厂家任选其一</w:t>
      </w:r>
    </w:p>
    <w:p w14:paraId="54BA30B2">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高压电机要求不低于</w:t>
      </w:r>
      <w:r>
        <w:rPr>
          <w:rFonts w:ascii="宋体" w:hAnsi="宋体"/>
          <w:color w:val="auto"/>
          <w:sz w:val="24"/>
          <w:highlight w:val="none"/>
        </w:rPr>
        <w:t>GB 30254-2024</w:t>
      </w:r>
      <w:r>
        <w:rPr>
          <w:rFonts w:hint="eastAsia" w:ascii="宋体" w:hAnsi="宋体" w:cs="宋体"/>
          <w:color w:val="auto"/>
          <w:sz w:val="24"/>
          <w:highlight w:val="none"/>
        </w:rPr>
        <w:t>版2级能效标准。</w:t>
      </w:r>
    </w:p>
    <w:p w14:paraId="7341C609">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低压电机要求不低于</w:t>
      </w:r>
      <w:r>
        <w:rPr>
          <w:rFonts w:ascii="宋体" w:hAnsi="宋体"/>
          <w:color w:val="auto"/>
          <w:sz w:val="24"/>
          <w:highlight w:val="none"/>
        </w:rPr>
        <w:t>GB </w:t>
      </w:r>
      <w:r>
        <w:rPr>
          <w:rFonts w:hint="eastAsia" w:ascii="宋体" w:hAnsi="宋体"/>
          <w:color w:val="auto"/>
          <w:sz w:val="24"/>
          <w:highlight w:val="none"/>
        </w:rPr>
        <w:t>18613</w:t>
      </w:r>
      <w:r>
        <w:rPr>
          <w:rFonts w:ascii="宋体" w:hAnsi="宋体"/>
          <w:color w:val="auto"/>
          <w:sz w:val="24"/>
          <w:highlight w:val="none"/>
        </w:rPr>
        <w:t>-20</w:t>
      </w:r>
      <w:r>
        <w:rPr>
          <w:rFonts w:hint="eastAsia" w:ascii="宋体" w:hAnsi="宋体"/>
          <w:color w:val="auto"/>
          <w:sz w:val="24"/>
          <w:highlight w:val="none"/>
        </w:rPr>
        <w:t>20</w:t>
      </w:r>
      <w:r>
        <w:rPr>
          <w:rFonts w:hint="eastAsia" w:ascii="宋体" w:hAnsi="宋体" w:cs="宋体"/>
          <w:color w:val="auto"/>
          <w:sz w:val="24"/>
          <w:highlight w:val="none"/>
        </w:rPr>
        <w:t>版2级能效标准。</w:t>
      </w:r>
    </w:p>
    <w:p w14:paraId="331AB028">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要求品牌原产地的电机，不要后来收购、兼并、及控股来的公司。</w:t>
      </w:r>
    </w:p>
    <w:p w14:paraId="0C57F36D">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ascii="宋体" w:hAnsi="宋体" w:cs="宋体"/>
          <w:color w:val="auto"/>
          <w:sz w:val="24"/>
          <w:highlight w:val="none"/>
        </w:rPr>
        <w:t>电机前后轴设置测振装置，数据可远传至DCS显示。</w:t>
      </w:r>
    </w:p>
    <w:p w14:paraId="375080C2">
      <w:p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.16 电气连线图需与现有系统配套，确保可接入。</w:t>
      </w:r>
    </w:p>
    <w:p w14:paraId="6CB3EB06">
      <w:p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5</w:t>
      </w:r>
      <w:r>
        <w:rPr>
          <w:rFonts w:ascii="宋体" w:hAnsi="宋体" w:cs="宋体"/>
          <w:color w:val="auto"/>
          <w:sz w:val="24"/>
          <w:highlight w:val="none"/>
        </w:rPr>
        <w:t xml:space="preserve">.17 </w:t>
      </w:r>
      <w:r>
        <w:rPr>
          <w:rFonts w:hint="eastAsia" w:ascii="宋体" w:hAnsi="宋体" w:cs="宋体"/>
          <w:color w:val="auto"/>
          <w:sz w:val="24"/>
          <w:highlight w:val="none"/>
        </w:rPr>
        <w:t>为确保产品质量,投标人所供变频器应为质量可靠、性能优越的国际一流制造商原厂原技术产品。关于国际一流品牌的基本认定条件:</w:t>
      </w:r>
    </w:p>
    <w:p w14:paraId="6ECB4C5F">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)能提供 CE 认证证书;</w:t>
      </w:r>
    </w:p>
    <w:p w14:paraId="22A55B8B">
      <w:pPr>
        <w:autoSpaceDE w:val="0"/>
        <w:autoSpaceDN w:val="0"/>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2)国内外均设国际一流中高压变频制造工厂;</w:t>
      </w:r>
    </w:p>
    <w:p w14:paraId="64BA7631">
      <w:pPr>
        <w:adjustRightInd w:val="0"/>
        <w:snapToGrid w:val="0"/>
        <w:spacing w:line="360" w:lineRule="auto"/>
        <w:outlineLvl w:val="0"/>
        <w:rPr>
          <w:rFonts w:ascii="宋体" w:hAnsi="宋体"/>
          <w:bCs/>
          <w:color w:val="auto"/>
          <w:sz w:val="24"/>
          <w:highlight w:val="none"/>
        </w:rPr>
      </w:pPr>
      <w:bookmarkStart w:id="139" w:name="_Toc195433161"/>
      <w:r>
        <w:rPr>
          <w:rFonts w:ascii="宋体" w:hAnsi="宋体"/>
          <w:bCs/>
          <w:color w:val="auto"/>
          <w:sz w:val="24"/>
          <w:highlight w:val="none"/>
        </w:rPr>
        <w:t>6.</w:t>
      </w:r>
      <w:r>
        <w:rPr>
          <w:rFonts w:hint="eastAsia" w:ascii="宋体" w:hAnsi="宋体"/>
          <w:bCs/>
          <w:color w:val="auto"/>
          <w:sz w:val="24"/>
          <w:highlight w:val="none"/>
        </w:rPr>
        <w:t>仪控部分</w:t>
      </w:r>
      <w:bookmarkEnd w:id="139"/>
    </w:p>
    <w:p w14:paraId="5E6AE6BB">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ascii="宋体" w:hAnsi="宋体" w:cs="宋体"/>
          <w:color w:val="auto"/>
          <w:sz w:val="24"/>
          <w:highlight w:val="none"/>
        </w:rPr>
        <w:t xml:space="preserve"> </w:t>
      </w:r>
      <w:r>
        <w:rPr>
          <w:rFonts w:hint="eastAsia" w:ascii="宋体" w:hAnsi="宋体" w:cs="宋体"/>
          <w:color w:val="auto"/>
          <w:sz w:val="24"/>
          <w:highlight w:val="none"/>
        </w:rPr>
        <w:t>多级蒸汽离心压缩机成套机组基本控制由PLC防喘振控制系统和DCS系统实现。DCS系统、SIS系统（如需，接入三效装置ESD紧急停车）由投标人提供并组态调试，投标人负责完成压缩机组控制及安全联锁方面的设计，对整套机组仪表设计的完整性负责。并提供招标人DCS/SIS系统组态所需的全部技术资料及要求，包括但不限于仪表数据表、IO列表、PID图、报警联锁逻辑控制图等并配合招标人组态、调试。PLC防喘振控制系统由中标人设计、成套并供货，PLC与DCS两个系统的融合设计由中标人完成，实现压缩机的防喘振控制、性能调节以及调速等控制。</w:t>
      </w:r>
    </w:p>
    <w:p w14:paraId="6B21891D">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所有仪表均用SI单位，压力单位MPa，温度℃。</w:t>
      </w:r>
    </w:p>
    <w:p w14:paraId="33598C4D">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润滑油站仪表板独立安装，不在润滑油站底座上，安装的仪表有：压力表；油过滤器差压变送器、接线箱、泵出口压力变送器，配套根部阀。</w:t>
      </w:r>
    </w:p>
    <w:p w14:paraId="0097009A">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压缩机组仪表板独立安装在润滑油进油总管旁，不在压缩机底座上，安装的仪表有：润滑油总管压力表、压力变送器、接线箱。</w:t>
      </w:r>
    </w:p>
    <w:p w14:paraId="4EB2F231">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压缩机厂房内为非爆炸危险区。现场仪表、接线箱防护等级为不低于 IP65。</w:t>
      </w:r>
    </w:p>
    <w:p w14:paraId="1CC747CD">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压缩机组联锁不采用单点联锁方式，原则上不选用开关量仪表。</w:t>
      </w:r>
    </w:p>
    <w:p w14:paraId="485C6071">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所有变送器选用智能型， 4～20mADC 叠加 Hart 通讯信号，并带数字表头。就地温度指示仪表选用带外保护套管的双金属温度计，刻度盘直径选用 100mm。轴系测温元件选用 Pt100 双支热电阻。</w:t>
      </w:r>
    </w:p>
    <w:p w14:paraId="6F4A6A3D">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就地压力指示仪表，刻度盘直径选用 100mm，采用不锈钢压力表，采用耐振式压力表。</w:t>
      </w:r>
    </w:p>
    <w:p w14:paraId="656A9BAE">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所有电磁阀采用 ASCO 产品， 24VDC 供电，低功耗（≤4W），带防爆接线盒及端子， </w:t>
      </w:r>
    </w:p>
    <w:p w14:paraId="4524D0F6">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现场接线箱采用不锈钢材质。接线端子采用菲尼克斯、魏德米勒等品牌。</w:t>
      </w:r>
    </w:p>
    <w:p w14:paraId="5F462D7F">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工艺气路上的压力、差压变送器使用法兰隔膜式，隔膜采用钽材质。隔膜内充氟油。压力变送器非隔膜安装时配带两阀组。</w:t>
      </w:r>
    </w:p>
    <w:p w14:paraId="0588EDCA">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一次连接的导压管及管阀件的材质不低于 S31603，导压管的管径选用φ14x2，</w:t>
      </w:r>
    </w:p>
    <w:p w14:paraId="696B1875">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采用焊接式活接头连接。</w:t>
      </w:r>
    </w:p>
    <w:p w14:paraId="3DCA4FA5">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轴系仪表至接线箱间的穿线导管采用镀锌管连接。两端采用不锈钢丝编织防爆金属挠性管连接。</w:t>
      </w:r>
    </w:p>
    <w:p w14:paraId="1A9A6720">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考虑到具体使用，仪表接线箱进、出线口不朝上，接线箱按信号类型分类设置。进出线口螺纹为 NPT 螺纹。</w:t>
      </w:r>
    </w:p>
    <w:p w14:paraId="0ABB127D">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插入式铂热电阻都应带外保护套管，采用整体钻孔锥形套管，材质用哈氏 C-276以上，采用法兰连接，压力等级与配管材料等级规定相同。</w:t>
      </w:r>
    </w:p>
    <w:p w14:paraId="3079AD58">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蒸汽流量计采用涡街流量计或孔板流量计，流量计温压补偿，蒸汽管路气动调节阀，接液材质采用哈氏 C-276以上。</w:t>
      </w:r>
    </w:p>
    <w:p w14:paraId="4D377B71">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流量计（壳体）、阀门应符合 TSG D7006-2020《压力管道监督检验规则》的规定；国内制造商应提供《中华人民共和国特种设备生产许可证》（压力管道元件），国外制造商应提供产品的《特种设备型式试验合格证》；流量计（壳体）应提供《特种设备监督检验证书（压力管道元件制造）》。</w:t>
      </w:r>
    </w:p>
    <w:p w14:paraId="35858C09">
      <w:pPr>
        <w:autoSpaceDE w:val="0"/>
        <w:autoSpaceDN w:val="0"/>
        <w:adjustRightInd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一次仪表的根部阀材质采用波纹管截止阀，材质HastelloyC-276</w:t>
      </w:r>
      <w:r>
        <w:rPr>
          <w:rFonts w:ascii="宋体" w:hAnsi="宋体" w:cs="宋体"/>
          <w:color w:val="auto"/>
          <w:sz w:val="24"/>
          <w:highlight w:val="none"/>
        </w:rPr>
        <w:t>。</w:t>
      </w:r>
    </w:p>
    <w:p w14:paraId="1157111C">
      <w:pPr>
        <w:numPr>
          <w:ilvl w:val="0"/>
          <w:numId w:val="20"/>
        </w:numPr>
        <w:autoSpaceDE w:val="0"/>
        <w:autoSpaceDN w:val="0"/>
        <w:adjustRightInd w:val="0"/>
        <w:snapToGrid w:val="0"/>
        <w:spacing w:line="360" w:lineRule="auto"/>
        <w:jc w:val="left"/>
        <w:rPr>
          <w:rFonts w:ascii="宋体" w:hAnsi="宋体" w:cs="宋体"/>
          <w:color w:val="auto"/>
          <w:kern w:val="0"/>
          <w:sz w:val="24"/>
          <w:highlight w:val="none"/>
        </w:rPr>
      </w:pPr>
      <w:r>
        <w:rPr>
          <w:rFonts w:hint="eastAsia" w:ascii="宋体" w:hAnsi="宋体" w:cs="宋体"/>
          <w:color w:val="auto"/>
          <w:sz w:val="24"/>
          <w:highlight w:val="none"/>
        </w:rPr>
        <w:t xml:space="preserve"> 中标人在合同规定的时间内应按合同规定及时派有能力、有经验的工程技术人员配合进行PLC与DCS系统的通讯，DCS/SIS （如需）组态和调试，接入浙大中控DCS系统。</w:t>
      </w:r>
    </w:p>
    <w:p w14:paraId="0780C4F6">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防喘振控制阀要求：</w:t>
      </w:r>
      <w:r>
        <w:rPr>
          <w:rFonts w:hint="eastAsia" w:ascii="宋体" w:hAnsi="宋体" w:cs="宋体"/>
          <w:color w:val="auto"/>
          <w:kern w:val="0"/>
          <w:sz w:val="24"/>
          <w:highlight w:val="none"/>
        </w:rPr>
        <w:t>泄漏等级V级，配装附件:空气过滤减压阀、智能电气阀门定位器采用阀门同品牌或azbil品牌，定位器带HART协议带阀位反馈，电磁阀采用ASCO品牌 24V DC供电、低功耗，全开、全关限位开关，手轮，配对法兰及连接紧固件。</w:t>
      </w:r>
    </w:p>
    <w:p w14:paraId="6FA779DE">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PLC防喘振系统设计原则：</w:t>
      </w:r>
    </w:p>
    <w:p w14:paraId="12729EA7">
      <w:pPr>
        <w:numPr>
          <w:ilvl w:val="0"/>
          <w:numId w:val="21"/>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报警联锁系统逻辑设计为故障安全型。</w:t>
      </w:r>
    </w:p>
    <w:p w14:paraId="52AF91CC">
      <w:pPr>
        <w:numPr>
          <w:ilvl w:val="0"/>
          <w:numId w:val="21"/>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每个单点联锁设计软切除开关，切除时记录并报警。</w:t>
      </w:r>
    </w:p>
    <w:p w14:paraId="730E8FA6">
      <w:pPr>
        <w:numPr>
          <w:ilvl w:val="0"/>
          <w:numId w:val="21"/>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主要运行参数以通讯的方式传送到业主中控DCS，控制系统与DCS之间的通讯协议为MODBUS，接口：RS485，DCS为主站，通过通讯协议与DCS连接的信号仅用于显示。</w:t>
      </w:r>
    </w:p>
    <w:p w14:paraId="2253C21C">
      <w:pPr>
        <w:numPr>
          <w:ilvl w:val="0"/>
          <w:numId w:val="21"/>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控制系统与DCS、SIS、电控间的往来信号，具体内容可在协调会上确定。</w:t>
      </w:r>
    </w:p>
    <w:p w14:paraId="1D6BE759">
      <w:pPr>
        <w:numPr>
          <w:ilvl w:val="0"/>
          <w:numId w:val="21"/>
        </w:numPr>
        <w:autoSpaceDE w:val="0"/>
        <w:autoSpaceDN w:val="0"/>
        <w:adjustRightInd w:val="0"/>
        <w:snapToGrid w:val="0"/>
        <w:spacing w:line="360" w:lineRule="auto"/>
        <w:ind w:firstLine="420" w:firstLineChars="175"/>
        <w:jc w:val="left"/>
        <w:rPr>
          <w:rFonts w:ascii="宋体" w:hAnsi="宋体" w:cs="宋体"/>
          <w:color w:val="auto"/>
          <w:sz w:val="24"/>
          <w:highlight w:val="none"/>
        </w:rPr>
      </w:pPr>
      <w:r>
        <w:rPr>
          <w:rFonts w:hint="eastAsia" w:ascii="宋体" w:hAnsi="宋体" w:cs="宋体"/>
          <w:color w:val="auto"/>
          <w:sz w:val="24"/>
          <w:highlight w:val="none"/>
        </w:rPr>
        <w:t>控制系统I/O卡件备用点数按</w:t>
      </w:r>
      <w:r>
        <w:rPr>
          <w:rFonts w:ascii="宋体" w:hAnsi="宋体" w:cs="宋体"/>
          <w:color w:val="auto"/>
          <w:sz w:val="24"/>
          <w:highlight w:val="none"/>
        </w:rPr>
        <w:t>30</w:t>
      </w:r>
      <w:r>
        <w:rPr>
          <w:rFonts w:hint="eastAsia" w:ascii="宋体" w:hAnsi="宋体" w:cs="宋体"/>
          <w:color w:val="auto"/>
          <w:sz w:val="24"/>
          <w:highlight w:val="none"/>
        </w:rPr>
        <w:t>%考虑，控制柜内预留20%安装空间，I/O卡槽位的备用空间为15%。</w:t>
      </w:r>
    </w:p>
    <w:p w14:paraId="12D0E26A">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报警</w:t>
      </w:r>
      <w:r>
        <w:rPr>
          <w:rFonts w:hint="eastAsia" w:ascii="宋体" w:hAnsi="宋体" w:cs="宋体"/>
          <w:color w:val="auto"/>
          <w:kern w:val="0"/>
          <w:sz w:val="24"/>
          <w:highlight w:val="none"/>
          <w:lang w:bidi="ar"/>
        </w:rPr>
        <w:t>联锁系统逻辑设计为故障安全型。</w:t>
      </w:r>
    </w:p>
    <w:p w14:paraId="4D374F92">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kern w:val="0"/>
          <w:sz w:val="24"/>
          <w:highlight w:val="none"/>
          <w:lang w:bidi="ar"/>
        </w:rPr>
        <w:t xml:space="preserve"> 每个单点联锁设计软切除开关，切除时记录并报警。</w:t>
      </w:r>
    </w:p>
    <w:p w14:paraId="31962F72">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kern w:val="0"/>
          <w:sz w:val="24"/>
          <w:highlight w:val="none"/>
          <w:lang w:bidi="ar"/>
        </w:rPr>
        <w:t xml:space="preserve"> 控制系统与DCS之间的通讯协议为MODBUS，接口：RS485，DCS为主站，通过通讯协议与DCS连接的信号仅用于显示。</w:t>
      </w:r>
    </w:p>
    <w:p w14:paraId="38BB09E7">
      <w:pPr>
        <w:numPr>
          <w:ilvl w:val="0"/>
          <w:numId w:val="20"/>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kern w:val="0"/>
          <w:sz w:val="24"/>
          <w:highlight w:val="none"/>
          <w:lang w:bidi="ar"/>
        </w:rPr>
        <w:t xml:space="preserve"> 控制系统I/O卡件备用点数按</w:t>
      </w:r>
      <w:r>
        <w:rPr>
          <w:rFonts w:ascii="宋体" w:hAnsi="宋体" w:cs="宋体"/>
          <w:color w:val="auto"/>
          <w:kern w:val="0"/>
          <w:sz w:val="24"/>
          <w:highlight w:val="none"/>
          <w:lang w:bidi="ar"/>
        </w:rPr>
        <w:t>30</w:t>
      </w:r>
      <w:r>
        <w:rPr>
          <w:rFonts w:hint="eastAsia" w:ascii="宋体" w:hAnsi="宋体" w:cs="宋体"/>
          <w:color w:val="auto"/>
          <w:kern w:val="0"/>
          <w:sz w:val="24"/>
          <w:highlight w:val="none"/>
          <w:lang w:bidi="ar"/>
        </w:rPr>
        <w:t>%考虑，控制柜内预留20%安装空间，I/O卡槽位的备用空间为</w:t>
      </w:r>
      <w:r>
        <w:rPr>
          <w:rFonts w:ascii="宋体" w:hAnsi="宋体" w:cs="宋体"/>
          <w:color w:val="auto"/>
          <w:kern w:val="0"/>
          <w:sz w:val="24"/>
          <w:highlight w:val="none"/>
          <w:lang w:bidi="ar"/>
        </w:rPr>
        <w:t>30</w:t>
      </w:r>
      <w:r>
        <w:rPr>
          <w:rFonts w:hint="eastAsia" w:ascii="宋体" w:hAnsi="宋体" w:cs="宋体"/>
          <w:color w:val="auto"/>
          <w:kern w:val="0"/>
          <w:sz w:val="24"/>
          <w:highlight w:val="none"/>
          <w:lang w:bidi="ar"/>
        </w:rPr>
        <w:t>%。</w:t>
      </w:r>
    </w:p>
    <w:p w14:paraId="2D52C9FF">
      <w:pPr>
        <w:numPr>
          <w:ilvl w:val="0"/>
          <w:numId w:val="20"/>
        </w:numPr>
        <w:autoSpaceDE w:val="0"/>
        <w:autoSpaceDN w:val="0"/>
        <w:adjustRightInd w:val="0"/>
        <w:snapToGrid w:val="0"/>
        <w:spacing w:line="360" w:lineRule="auto"/>
        <w:jc w:val="left"/>
        <w:rPr>
          <w:rFonts w:ascii="宋体" w:hAnsi="宋体" w:cs="宋体"/>
          <w:color w:val="auto"/>
          <w:kern w:val="0"/>
          <w:sz w:val="24"/>
          <w:highlight w:val="none"/>
          <w:lang w:bidi="ar"/>
        </w:rPr>
      </w:pPr>
      <w:r>
        <w:rPr>
          <w:rFonts w:hint="eastAsia" w:ascii="宋体" w:hAnsi="宋体" w:cs="宋体"/>
          <w:color w:val="auto"/>
          <w:kern w:val="0"/>
          <w:sz w:val="24"/>
          <w:highlight w:val="none"/>
          <w:lang w:bidi="ar"/>
        </w:rPr>
        <w:t xml:space="preserve"> 现场控制柜采用304不锈钢材质外壳</w:t>
      </w:r>
    </w:p>
    <w:p w14:paraId="55123273">
      <w:pPr>
        <w:adjustRightInd w:val="0"/>
        <w:snapToGrid w:val="0"/>
        <w:spacing w:line="360" w:lineRule="auto"/>
        <w:outlineLvl w:val="0"/>
        <w:rPr>
          <w:rFonts w:ascii="宋体" w:hAnsi="宋体"/>
          <w:bCs/>
          <w:color w:val="auto"/>
          <w:sz w:val="24"/>
          <w:highlight w:val="none"/>
        </w:rPr>
      </w:pPr>
      <w:bookmarkStart w:id="140" w:name="_Toc195433162"/>
      <w:r>
        <w:rPr>
          <w:rFonts w:ascii="宋体" w:hAnsi="宋体"/>
          <w:bCs/>
          <w:color w:val="auto"/>
          <w:sz w:val="24"/>
          <w:highlight w:val="none"/>
        </w:rPr>
        <w:t>7.供货要求</w:t>
      </w:r>
      <w:bookmarkEnd w:id="140"/>
    </w:p>
    <w:p w14:paraId="43183965">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供货范围：多级离心式压缩机组一台套，包含离心压缩机、润滑油系统、齿轮箱、随机备品备件、随机专用工具以及防喘振控制系统控制方案，大回流、小回流等等。</w:t>
      </w:r>
    </w:p>
    <w:p w14:paraId="132E44AE">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离心压缩机安装指导、组态调试指导、培训等。</w:t>
      </w:r>
    </w:p>
    <w:p w14:paraId="720C526A">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离心压缩机</w:t>
      </w:r>
    </w:p>
    <w:tbl>
      <w:tblPr>
        <w:tblStyle w:val="1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835"/>
        <w:gridCol w:w="425"/>
        <w:gridCol w:w="425"/>
        <w:gridCol w:w="3260"/>
      </w:tblGrid>
      <w:tr w14:paraId="17E6B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BD0771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序号</w:t>
            </w:r>
          </w:p>
        </w:tc>
        <w:tc>
          <w:tcPr>
            <w:tcW w:w="2835" w:type="dxa"/>
          </w:tcPr>
          <w:p w14:paraId="644B681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850" w:type="dxa"/>
            <w:gridSpan w:val="2"/>
          </w:tcPr>
          <w:p w14:paraId="14F00D6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数量</w:t>
            </w:r>
          </w:p>
        </w:tc>
        <w:tc>
          <w:tcPr>
            <w:tcW w:w="3260" w:type="dxa"/>
          </w:tcPr>
          <w:p w14:paraId="73FF509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备注</w:t>
            </w:r>
          </w:p>
        </w:tc>
      </w:tr>
      <w:tr w14:paraId="437FB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DAF7867">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vAlign w:val="center"/>
          </w:tcPr>
          <w:p w14:paraId="3182FD6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压缩机本体</w:t>
            </w:r>
          </w:p>
        </w:tc>
        <w:tc>
          <w:tcPr>
            <w:tcW w:w="425" w:type="dxa"/>
            <w:vAlign w:val="center"/>
          </w:tcPr>
          <w:p w14:paraId="2F781F3D">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vAlign w:val="center"/>
          </w:tcPr>
          <w:p w14:paraId="6CFD868A">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B4714F4">
            <w:pPr>
              <w:autoSpaceDE w:val="0"/>
              <w:autoSpaceDN w:val="0"/>
              <w:adjustRightInd w:val="0"/>
              <w:snapToGrid w:val="0"/>
              <w:spacing w:line="360" w:lineRule="auto"/>
              <w:textAlignment w:val="bottom"/>
              <w:rPr>
                <w:rFonts w:ascii="宋体" w:hAnsi="宋体" w:cs="宋体"/>
                <w:color w:val="auto"/>
                <w:sz w:val="24"/>
                <w:highlight w:val="none"/>
              </w:rPr>
            </w:pPr>
          </w:p>
        </w:tc>
      </w:tr>
      <w:tr w14:paraId="09274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tcPr>
          <w:p w14:paraId="2ED92918">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64ECC3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定子</w:t>
            </w:r>
          </w:p>
        </w:tc>
        <w:tc>
          <w:tcPr>
            <w:tcW w:w="425" w:type="dxa"/>
          </w:tcPr>
          <w:p w14:paraId="380C8C1E">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680F492C">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50E3091B">
            <w:pPr>
              <w:autoSpaceDE w:val="0"/>
              <w:autoSpaceDN w:val="0"/>
              <w:adjustRightInd w:val="0"/>
              <w:snapToGrid w:val="0"/>
              <w:spacing w:line="360" w:lineRule="auto"/>
              <w:textAlignment w:val="bottom"/>
              <w:rPr>
                <w:rFonts w:ascii="宋体" w:hAnsi="宋体" w:cs="宋体"/>
                <w:color w:val="auto"/>
                <w:sz w:val="24"/>
                <w:highlight w:val="none"/>
              </w:rPr>
            </w:pPr>
          </w:p>
        </w:tc>
      </w:tr>
      <w:tr w14:paraId="486CD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330BEC05">
            <w:pPr>
              <w:numPr>
                <w:ilvl w:val="2"/>
                <w:numId w:val="24"/>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0943E7A2">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转子</w:t>
            </w:r>
          </w:p>
        </w:tc>
        <w:tc>
          <w:tcPr>
            <w:tcW w:w="425" w:type="dxa"/>
          </w:tcPr>
          <w:p w14:paraId="584DECA8">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1DC4A0E3">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AD6CBFA">
            <w:pPr>
              <w:autoSpaceDE w:val="0"/>
              <w:autoSpaceDN w:val="0"/>
              <w:adjustRightInd w:val="0"/>
              <w:snapToGrid w:val="0"/>
              <w:spacing w:line="360" w:lineRule="auto"/>
              <w:textAlignment w:val="bottom"/>
              <w:rPr>
                <w:rFonts w:ascii="宋体" w:hAnsi="宋体" w:cs="宋体"/>
                <w:color w:val="auto"/>
                <w:sz w:val="24"/>
                <w:highlight w:val="none"/>
              </w:rPr>
            </w:pPr>
          </w:p>
        </w:tc>
      </w:tr>
      <w:tr w14:paraId="2E55C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1FA24F63">
            <w:pPr>
              <w:numPr>
                <w:ilvl w:val="2"/>
                <w:numId w:val="24"/>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33D17B6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支撑轴承</w:t>
            </w:r>
          </w:p>
        </w:tc>
        <w:tc>
          <w:tcPr>
            <w:tcW w:w="425" w:type="dxa"/>
          </w:tcPr>
          <w:p w14:paraId="613CFD34">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2 </w:t>
            </w:r>
          </w:p>
        </w:tc>
        <w:tc>
          <w:tcPr>
            <w:tcW w:w="425" w:type="dxa"/>
          </w:tcPr>
          <w:p w14:paraId="03610F6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77AF607">
            <w:pPr>
              <w:autoSpaceDE w:val="0"/>
              <w:autoSpaceDN w:val="0"/>
              <w:adjustRightInd w:val="0"/>
              <w:snapToGrid w:val="0"/>
              <w:spacing w:line="360" w:lineRule="auto"/>
              <w:textAlignment w:val="bottom"/>
              <w:rPr>
                <w:rFonts w:ascii="宋体" w:hAnsi="宋体" w:cs="宋体"/>
                <w:color w:val="auto"/>
                <w:sz w:val="24"/>
                <w:highlight w:val="none"/>
              </w:rPr>
            </w:pPr>
          </w:p>
        </w:tc>
      </w:tr>
      <w:tr w14:paraId="594A1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1F4CB43D">
            <w:pPr>
              <w:numPr>
                <w:ilvl w:val="2"/>
                <w:numId w:val="24"/>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214E928C">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推力轴承</w:t>
            </w:r>
          </w:p>
        </w:tc>
        <w:tc>
          <w:tcPr>
            <w:tcW w:w="425" w:type="dxa"/>
          </w:tcPr>
          <w:p w14:paraId="5FBA12F5">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54E998C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5B8E311E">
            <w:pPr>
              <w:autoSpaceDE w:val="0"/>
              <w:autoSpaceDN w:val="0"/>
              <w:adjustRightInd w:val="0"/>
              <w:snapToGrid w:val="0"/>
              <w:spacing w:line="360" w:lineRule="auto"/>
              <w:textAlignment w:val="bottom"/>
              <w:rPr>
                <w:rFonts w:ascii="宋体" w:hAnsi="宋体" w:cs="宋体"/>
                <w:color w:val="auto"/>
                <w:sz w:val="24"/>
                <w:highlight w:val="none"/>
              </w:rPr>
            </w:pPr>
          </w:p>
        </w:tc>
      </w:tr>
      <w:tr w14:paraId="3E076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7E90F1E">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37C86402">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底座</w:t>
            </w:r>
          </w:p>
        </w:tc>
        <w:tc>
          <w:tcPr>
            <w:tcW w:w="425" w:type="dxa"/>
          </w:tcPr>
          <w:p w14:paraId="45B46CA3">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2C6CCDBA">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20FCA863">
            <w:pPr>
              <w:autoSpaceDE w:val="0"/>
              <w:autoSpaceDN w:val="0"/>
              <w:adjustRightInd w:val="0"/>
              <w:snapToGrid w:val="0"/>
              <w:spacing w:line="360" w:lineRule="auto"/>
              <w:textAlignment w:val="bottom"/>
              <w:rPr>
                <w:rFonts w:ascii="宋体" w:hAnsi="宋体" w:cs="宋体"/>
                <w:color w:val="auto"/>
                <w:sz w:val="24"/>
                <w:highlight w:val="none"/>
              </w:rPr>
            </w:pPr>
          </w:p>
        </w:tc>
      </w:tr>
      <w:tr w14:paraId="551E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012F2C31">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372EE7B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驱动机、变速机、压缩机联合底座</w:t>
            </w:r>
          </w:p>
        </w:tc>
        <w:tc>
          <w:tcPr>
            <w:tcW w:w="425" w:type="dxa"/>
          </w:tcPr>
          <w:p w14:paraId="52A0F29C">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376DA51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vAlign w:val="center"/>
          </w:tcPr>
          <w:p w14:paraId="29FCFB9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含地脚螺栓、调整螺钉、螺母、垫片、接地座组</w:t>
            </w:r>
          </w:p>
        </w:tc>
      </w:tr>
      <w:tr w14:paraId="40A4C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75DD9D70">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A9AC7D5">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联轴器</w:t>
            </w:r>
          </w:p>
        </w:tc>
        <w:tc>
          <w:tcPr>
            <w:tcW w:w="425" w:type="dxa"/>
          </w:tcPr>
          <w:p w14:paraId="6301C6E0">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4362AF1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3D2C9B53">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叠片/膜片</w:t>
            </w:r>
          </w:p>
        </w:tc>
      </w:tr>
      <w:tr w14:paraId="62952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3C6B09C">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128C0CE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联轴器护罩</w:t>
            </w:r>
          </w:p>
        </w:tc>
        <w:tc>
          <w:tcPr>
            <w:tcW w:w="425" w:type="dxa"/>
          </w:tcPr>
          <w:p w14:paraId="5B630CAB">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0A2A6BF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4C4E03E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304</w:t>
            </w:r>
          </w:p>
        </w:tc>
      </w:tr>
      <w:tr w14:paraId="0B8E1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D031C85">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3A200F7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润滑油管路</w:t>
            </w:r>
          </w:p>
        </w:tc>
        <w:tc>
          <w:tcPr>
            <w:tcW w:w="425" w:type="dxa"/>
          </w:tcPr>
          <w:p w14:paraId="668805AB">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5607394C">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2CCFAF18">
            <w:pPr>
              <w:autoSpaceDE w:val="0"/>
              <w:autoSpaceDN w:val="0"/>
              <w:adjustRightInd w:val="0"/>
              <w:snapToGrid w:val="0"/>
              <w:spacing w:line="360" w:lineRule="auto"/>
              <w:textAlignment w:val="bottom"/>
              <w:rPr>
                <w:rFonts w:ascii="宋体" w:hAnsi="宋体" w:cs="宋体"/>
                <w:color w:val="auto"/>
                <w:sz w:val="24"/>
                <w:highlight w:val="none"/>
              </w:rPr>
            </w:pPr>
          </w:p>
        </w:tc>
      </w:tr>
      <w:tr w14:paraId="4670F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F8AD9FA">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4BFCE52">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底座范围内油管路</w:t>
            </w:r>
          </w:p>
        </w:tc>
        <w:tc>
          <w:tcPr>
            <w:tcW w:w="425" w:type="dxa"/>
          </w:tcPr>
          <w:p w14:paraId="0BCD1B8D">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1D282405">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73090022">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即机旁油管路</w:t>
            </w:r>
          </w:p>
        </w:tc>
      </w:tr>
      <w:tr w14:paraId="6A593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39832FB6">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1A4A926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所有与用户连接的法兰、螺栓、螺母、垫片</w:t>
            </w:r>
          </w:p>
        </w:tc>
        <w:tc>
          <w:tcPr>
            <w:tcW w:w="425" w:type="dxa"/>
            <w:vAlign w:val="center"/>
          </w:tcPr>
          <w:p w14:paraId="2753B195">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0</w:t>
            </w:r>
          </w:p>
        </w:tc>
        <w:tc>
          <w:tcPr>
            <w:tcW w:w="425" w:type="dxa"/>
            <w:vAlign w:val="center"/>
          </w:tcPr>
          <w:p w14:paraId="60D3984C">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vAlign w:val="center"/>
          </w:tcPr>
          <w:p w14:paraId="7774547F">
            <w:pPr>
              <w:autoSpaceDE w:val="0"/>
              <w:autoSpaceDN w:val="0"/>
              <w:adjustRightInd w:val="0"/>
              <w:snapToGrid w:val="0"/>
              <w:spacing w:line="360" w:lineRule="auto"/>
              <w:textAlignment w:val="bottom"/>
              <w:rPr>
                <w:rFonts w:ascii="宋体" w:hAnsi="宋体" w:cs="宋体"/>
                <w:color w:val="auto"/>
                <w:sz w:val="24"/>
                <w:highlight w:val="none"/>
              </w:rPr>
            </w:pPr>
          </w:p>
        </w:tc>
      </w:tr>
      <w:tr w14:paraId="72DF4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7A31DCE6">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41A9139">
            <w:pPr>
              <w:autoSpaceDE w:val="0"/>
              <w:autoSpaceDN w:val="0"/>
              <w:adjustRightInd w:val="0"/>
              <w:snapToGrid w:val="0"/>
              <w:spacing w:line="360" w:lineRule="auto"/>
              <w:textAlignment w:val="bottom"/>
              <w:rPr>
                <w:rFonts w:ascii="宋体" w:hAnsi="宋体" w:cs="宋体"/>
                <w:color w:val="auto"/>
                <w:sz w:val="24"/>
                <w:highlight w:val="none"/>
              </w:rPr>
            </w:pPr>
            <w:r>
              <w:rPr>
                <w:rFonts w:ascii="宋体" w:hAnsi="宋体" w:cs="宋体"/>
                <w:color w:val="auto"/>
                <w:sz w:val="24"/>
                <w:highlight w:val="none"/>
              </w:rPr>
              <w:t>碳环</w:t>
            </w:r>
            <w:r>
              <w:rPr>
                <w:rFonts w:hint="eastAsia" w:ascii="宋体" w:hAnsi="宋体" w:cs="宋体"/>
                <w:color w:val="auto"/>
                <w:sz w:val="24"/>
                <w:highlight w:val="none"/>
              </w:rPr>
              <w:t>密封</w:t>
            </w:r>
          </w:p>
        </w:tc>
        <w:tc>
          <w:tcPr>
            <w:tcW w:w="425" w:type="dxa"/>
          </w:tcPr>
          <w:p w14:paraId="047E4B1A">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2EB04C7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397AE73C">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镍基合金或石墨</w:t>
            </w:r>
          </w:p>
        </w:tc>
      </w:tr>
      <w:tr w14:paraId="0BF23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vAlign w:val="center"/>
          </w:tcPr>
          <w:p w14:paraId="7C4A35B1">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253D5B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迷宫密封</w:t>
            </w:r>
          </w:p>
        </w:tc>
        <w:tc>
          <w:tcPr>
            <w:tcW w:w="425" w:type="dxa"/>
          </w:tcPr>
          <w:p w14:paraId="0A508E11">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0C825F12">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6D384D8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碳钢+C276</w:t>
            </w:r>
          </w:p>
        </w:tc>
      </w:tr>
      <w:tr w14:paraId="30DB5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30C9D862">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5CB52A3F">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轴端密封控制盘</w:t>
            </w:r>
          </w:p>
        </w:tc>
        <w:tc>
          <w:tcPr>
            <w:tcW w:w="425" w:type="dxa"/>
          </w:tcPr>
          <w:p w14:paraId="4E419435">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225DD63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2DF5B5A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密封气系统内管路、管件、阀门、垫片等 1套。</w:t>
            </w:r>
          </w:p>
        </w:tc>
      </w:tr>
      <w:tr w14:paraId="31A4E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14:paraId="27C8F5CB">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vAlign w:val="center"/>
          </w:tcPr>
          <w:p w14:paraId="224A865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控制盘至压缩机间连接管路</w:t>
            </w:r>
          </w:p>
        </w:tc>
        <w:tc>
          <w:tcPr>
            <w:tcW w:w="425" w:type="dxa"/>
            <w:vAlign w:val="center"/>
          </w:tcPr>
          <w:p w14:paraId="5960BC93">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vAlign w:val="center"/>
          </w:tcPr>
          <w:p w14:paraId="16F6303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vAlign w:val="center"/>
          </w:tcPr>
          <w:p w14:paraId="3430E2BC">
            <w:pPr>
              <w:autoSpaceDE w:val="0"/>
              <w:autoSpaceDN w:val="0"/>
              <w:adjustRightInd w:val="0"/>
              <w:snapToGrid w:val="0"/>
              <w:spacing w:line="360" w:lineRule="auto"/>
              <w:textAlignment w:val="bottom"/>
              <w:rPr>
                <w:rFonts w:ascii="宋体" w:hAnsi="宋体" w:cs="宋体"/>
                <w:color w:val="auto"/>
                <w:sz w:val="24"/>
                <w:highlight w:val="none"/>
              </w:rPr>
            </w:pPr>
          </w:p>
        </w:tc>
      </w:tr>
      <w:tr w14:paraId="1F9E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2844F65">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2F1644C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驱动机（电机）</w:t>
            </w:r>
          </w:p>
        </w:tc>
        <w:tc>
          <w:tcPr>
            <w:tcW w:w="425" w:type="dxa"/>
          </w:tcPr>
          <w:p w14:paraId="372E86DA">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77D7CB5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F377516">
            <w:pPr>
              <w:autoSpaceDE w:val="0"/>
              <w:autoSpaceDN w:val="0"/>
              <w:adjustRightInd w:val="0"/>
              <w:snapToGrid w:val="0"/>
              <w:spacing w:line="360" w:lineRule="auto"/>
              <w:textAlignment w:val="bottom"/>
              <w:rPr>
                <w:rFonts w:ascii="宋体" w:hAnsi="宋体" w:cs="宋体"/>
                <w:color w:val="auto"/>
                <w:sz w:val="24"/>
                <w:highlight w:val="none"/>
              </w:rPr>
            </w:pPr>
          </w:p>
        </w:tc>
      </w:tr>
      <w:tr w14:paraId="11177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3C8BEAE3">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0D8EA90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一次仪表</w:t>
            </w:r>
          </w:p>
        </w:tc>
        <w:tc>
          <w:tcPr>
            <w:tcW w:w="425" w:type="dxa"/>
          </w:tcPr>
          <w:p w14:paraId="404CA4D0">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7D16CD8F">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2792E6A7">
            <w:pPr>
              <w:autoSpaceDE w:val="0"/>
              <w:autoSpaceDN w:val="0"/>
              <w:adjustRightInd w:val="0"/>
              <w:snapToGrid w:val="0"/>
              <w:spacing w:line="360" w:lineRule="auto"/>
              <w:textAlignment w:val="bottom"/>
              <w:rPr>
                <w:rFonts w:ascii="宋体" w:hAnsi="宋体" w:cs="宋体"/>
                <w:color w:val="auto"/>
                <w:sz w:val="24"/>
                <w:highlight w:val="none"/>
              </w:rPr>
            </w:pPr>
          </w:p>
        </w:tc>
      </w:tr>
      <w:tr w14:paraId="4EE63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9322C28">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0BDF87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防喘振控制系统</w:t>
            </w:r>
          </w:p>
        </w:tc>
        <w:tc>
          <w:tcPr>
            <w:tcW w:w="425" w:type="dxa"/>
          </w:tcPr>
          <w:p w14:paraId="125F5D91">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46BE81A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88DEF95">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进PLC控制，其它控制进DCS</w:t>
            </w:r>
          </w:p>
        </w:tc>
      </w:tr>
      <w:tr w14:paraId="0E8C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3C9A5ABE">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4C6939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电控</w:t>
            </w:r>
          </w:p>
        </w:tc>
        <w:tc>
          <w:tcPr>
            <w:tcW w:w="425" w:type="dxa"/>
          </w:tcPr>
          <w:p w14:paraId="67358713">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0 </w:t>
            </w:r>
          </w:p>
        </w:tc>
        <w:tc>
          <w:tcPr>
            <w:tcW w:w="425" w:type="dxa"/>
          </w:tcPr>
          <w:p w14:paraId="7EBBCAC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4A096C3E">
            <w:pPr>
              <w:autoSpaceDE w:val="0"/>
              <w:autoSpaceDN w:val="0"/>
              <w:adjustRightInd w:val="0"/>
              <w:snapToGrid w:val="0"/>
              <w:spacing w:line="360" w:lineRule="auto"/>
              <w:textAlignment w:val="bottom"/>
              <w:rPr>
                <w:rFonts w:ascii="宋体" w:hAnsi="宋体" w:cs="宋体"/>
                <w:color w:val="auto"/>
                <w:sz w:val="24"/>
                <w:highlight w:val="none"/>
              </w:rPr>
            </w:pPr>
          </w:p>
        </w:tc>
      </w:tr>
      <w:tr w14:paraId="24DE8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4B64BF3">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DD84DE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备品备件</w:t>
            </w:r>
          </w:p>
        </w:tc>
        <w:tc>
          <w:tcPr>
            <w:tcW w:w="425" w:type="dxa"/>
          </w:tcPr>
          <w:p w14:paraId="235E18C7">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3EFF9D4F">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40DD53C">
            <w:pPr>
              <w:autoSpaceDE w:val="0"/>
              <w:autoSpaceDN w:val="0"/>
              <w:adjustRightInd w:val="0"/>
              <w:snapToGrid w:val="0"/>
              <w:spacing w:line="360" w:lineRule="auto"/>
              <w:textAlignment w:val="bottom"/>
              <w:rPr>
                <w:rFonts w:ascii="宋体" w:hAnsi="宋体" w:cs="宋体"/>
                <w:color w:val="auto"/>
                <w:sz w:val="24"/>
                <w:highlight w:val="none"/>
              </w:rPr>
            </w:pPr>
          </w:p>
        </w:tc>
      </w:tr>
      <w:tr w14:paraId="7B8A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E099E07">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40A08A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专用工具</w:t>
            </w:r>
          </w:p>
        </w:tc>
        <w:tc>
          <w:tcPr>
            <w:tcW w:w="425" w:type="dxa"/>
          </w:tcPr>
          <w:p w14:paraId="2E972E4C">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 xml:space="preserve">1 </w:t>
            </w:r>
          </w:p>
        </w:tc>
        <w:tc>
          <w:tcPr>
            <w:tcW w:w="425" w:type="dxa"/>
          </w:tcPr>
          <w:p w14:paraId="48D6408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796032E9">
            <w:pPr>
              <w:autoSpaceDE w:val="0"/>
              <w:autoSpaceDN w:val="0"/>
              <w:adjustRightInd w:val="0"/>
              <w:snapToGrid w:val="0"/>
              <w:spacing w:line="360" w:lineRule="auto"/>
              <w:textAlignment w:val="bottom"/>
              <w:rPr>
                <w:rFonts w:ascii="宋体" w:hAnsi="宋体" w:cs="宋体"/>
                <w:color w:val="auto"/>
                <w:sz w:val="24"/>
                <w:highlight w:val="none"/>
              </w:rPr>
            </w:pPr>
          </w:p>
        </w:tc>
      </w:tr>
      <w:tr w14:paraId="26962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2665A13E">
            <w:pPr>
              <w:numPr>
                <w:ilvl w:val="0"/>
                <w:numId w:val="23"/>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54CA4DF5">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进气总管过滤器</w:t>
            </w:r>
          </w:p>
        </w:tc>
        <w:tc>
          <w:tcPr>
            <w:tcW w:w="425" w:type="dxa"/>
          </w:tcPr>
          <w:p w14:paraId="326DC521">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Pr>
          <w:p w14:paraId="59F29E03">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个</w:t>
            </w:r>
          </w:p>
        </w:tc>
        <w:tc>
          <w:tcPr>
            <w:tcW w:w="3260" w:type="dxa"/>
          </w:tcPr>
          <w:p w14:paraId="550CE6C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T型直通（壳体无缝三通），焊接连接，过滤精度：70目，压力等级Class150。用于压缩机组一段入口，进气滤网材质HC276。带压力表。</w:t>
            </w:r>
          </w:p>
        </w:tc>
      </w:tr>
    </w:tbl>
    <w:p w14:paraId="67F9B3E5">
      <w:pPr>
        <w:autoSpaceDE w:val="0"/>
        <w:autoSpaceDN w:val="0"/>
        <w:snapToGrid w:val="0"/>
        <w:spacing w:line="360" w:lineRule="auto"/>
        <w:textAlignment w:val="bottom"/>
        <w:rPr>
          <w:rFonts w:ascii="宋体" w:hAnsi="宋体" w:cs="宋体"/>
          <w:color w:val="auto"/>
          <w:sz w:val="24"/>
          <w:highlight w:val="none"/>
        </w:rPr>
      </w:pPr>
    </w:p>
    <w:p w14:paraId="4393B6BB">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润滑油系统</w:t>
      </w:r>
    </w:p>
    <w:tbl>
      <w:tblPr>
        <w:tblStyle w:val="1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835"/>
        <w:gridCol w:w="425"/>
        <w:gridCol w:w="425"/>
        <w:gridCol w:w="3260"/>
      </w:tblGrid>
      <w:tr w14:paraId="4BAAA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EA97ED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序号</w:t>
            </w:r>
          </w:p>
        </w:tc>
        <w:tc>
          <w:tcPr>
            <w:tcW w:w="2835" w:type="dxa"/>
          </w:tcPr>
          <w:p w14:paraId="3D72C4C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850" w:type="dxa"/>
            <w:gridSpan w:val="2"/>
          </w:tcPr>
          <w:p w14:paraId="1257227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数量</w:t>
            </w:r>
          </w:p>
        </w:tc>
        <w:tc>
          <w:tcPr>
            <w:tcW w:w="3260" w:type="dxa"/>
          </w:tcPr>
          <w:p w14:paraId="5DF08E0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备注</w:t>
            </w:r>
          </w:p>
        </w:tc>
      </w:tr>
      <w:tr w14:paraId="58D4B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14:paraId="75FB3ABA">
            <w:pPr>
              <w:numPr>
                <w:ilvl w:val="0"/>
                <w:numId w:val="25"/>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vAlign w:val="center"/>
          </w:tcPr>
          <w:p w14:paraId="1EC7D8FE">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润滑油站</w:t>
            </w:r>
          </w:p>
        </w:tc>
        <w:tc>
          <w:tcPr>
            <w:tcW w:w="425" w:type="dxa"/>
            <w:tcBorders>
              <w:right w:val="nil"/>
            </w:tcBorders>
            <w:vAlign w:val="center"/>
          </w:tcPr>
          <w:p w14:paraId="77F66306">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vAlign w:val="center"/>
          </w:tcPr>
          <w:p w14:paraId="0F845E8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528C57BF">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包括地脚螺栓、螺母、垫片</w:t>
            </w:r>
          </w:p>
        </w:tc>
      </w:tr>
      <w:tr w14:paraId="3FE94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tcPr>
          <w:p w14:paraId="2493B5F3">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096B855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润滑和控制油油箱</w:t>
            </w:r>
          </w:p>
        </w:tc>
        <w:tc>
          <w:tcPr>
            <w:tcW w:w="425" w:type="dxa"/>
            <w:tcBorders>
              <w:right w:val="nil"/>
            </w:tcBorders>
          </w:tcPr>
          <w:p w14:paraId="0F9B5D3E">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1469FFF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B804F8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电加热器</w:t>
            </w:r>
          </w:p>
        </w:tc>
      </w:tr>
      <w:tr w14:paraId="5B79D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1F889709">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1F6B842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主油泵</w:t>
            </w:r>
          </w:p>
        </w:tc>
        <w:tc>
          <w:tcPr>
            <w:tcW w:w="425" w:type="dxa"/>
            <w:tcBorders>
              <w:right w:val="nil"/>
            </w:tcBorders>
          </w:tcPr>
          <w:p w14:paraId="0FF2A36B">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54DDDE2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D15D4D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螺杆泵   </w:t>
            </w:r>
          </w:p>
        </w:tc>
      </w:tr>
      <w:tr w14:paraId="73001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35399903">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9A1B81A">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主油泵用驱动机</w:t>
            </w:r>
          </w:p>
        </w:tc>
        <w:tc>
          <w:tcPr>
            <w:tcW w:w="425" w:type="dxa"/>
            <w:tcBorders>
              <w:right w:val="nil"/>
            </w:tcBorders>
          </w:tcPr>
          <w:p w14:paraId="64036E98">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64EC36F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917FA0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电机    </w:t>
            </w:r>
          </w:p>
        </w:tc>
      </w:tr>
      <w:tr w14:paraId="6CB1D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0A0C20CA">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002C906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辅助油泵</w:t>
            </w:r>
          </w:p>
        </w:tc>
        <w:tc>
          <w:tcPr>
            <w:tcW w:w="425" w:type="dxa"/>
            <w:tcBorders>
              <w:right w:val="nil"/>
            </w:tcBorders>
          </w:tcPr>
          <w:p w14:paraId="5A1FBF0D">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57E1E46E">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3BB0111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螺杆泵    </w:t>
            </w:r>
          </w:p>
        </w:tc>
      </w:tr>
      <w:tr w14:paraId="4CB54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70EC70EF">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E8B283E">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辅助油泵用驱动机</w:t>
            </w:r>
          </w:p>
        </w:tc>
        <w:tc>
          <w:tcPr>
            <w:tcW w:w="425" w:type="dxa"/>
            <w:tcBorders>
              <w:right w:val="nil"/>
            </w:tcBorders>
          </w:tcPr>
          <w:p w14:paraId="0C26237E">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33A4CA4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557DBCAE">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电机    </w:t>
            </w:r>
          </w:p>
        </w:tc>
      </w:tr>
      <w:tr w14:paraId="53504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25261B27">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241198EA">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泵前粗滤器</w:t>
            </w:r>
          </w:p>
        </w:tc>
        <w:tc>
          <w:tcPr>
            <w:tcW w:w="425" w:type="dxa"/>
            <w:tcBorders>
              <w:right w:val="nil"/>
            </w:tcBorders>
          </w:tcPr>
          <w:p w14:paraId="0D2CA599">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2</w:t>
            </w:r>
          </w:p>
        </w:tc>
        <w:tc>
          <w:tcPr>
            <w:tcW w:w="425" w:type="dxa"/>
            <w:tcBorders>
              <w:left w:val="nil"/>
            </w:tcBorders>
          </w:tcPr>
          <w:p w14:paraId="1729A9F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0A0E42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主辅油泵</w:t>
            </w:r>
          </w:p>
        </w:tc>
      </w:tr>
      <w:tr w14:paraId="50878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5D25AC80">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1C0A1B6A">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双联油冷却器（含恒流转换阀）</w:t>
            </w:r>
          </w:p>
        </w:tc>
        <w:tc>
          <w:tcPr>
            <w:tcW w:w="425" w:type="dxa"/>
            <w:tcBorders>
              <w:right w:val="nil"/>
            </w:tcBorders>
          </w:tcPr>
          <w:p w14:paraId="7ED91629">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7E72219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71E60C00">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管壳式 </w:t>
            </w:r>
          </w:p>
        </w:tc>
      </w:tr>
      <w:tr w14:paraId="62E35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tcPr>
          <w:p w14:paraId="5B4B83B5">
            <w:p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55B72B6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双联油过滤器（含恒流转换阀）</w:t>
            </w:r>
          </w:p>
        </w:tc>
        <w:tc>
          <w:tcPr>
            <w:tcW w:w="425" w:type="dxa"/>
            <w:tcBorders>
              <w:right w:val="nil"/>
            </w:tcBorders>
          </w:tcPr>
          <w:p w14:paraId="4FCA9458">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276BF088">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55528088">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合成纤维滤芯</w:t>
            </w:r>
          </w:p>
        </w:tc>
      </w:tr>
      <w:tr w14:paraId="6DE52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001D9A5">
            <w:pPr>
              <w:numPr>
                <w:ilvl w:val="0"/>
                <w:numId w:val="25"/>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7E716493">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油站内部的管路、管件、阀门</w:t>
            </w:r>
          </w:p>
        </w:tc>
        <w:tc>
          <w:tcPr>
            <w:tcW w:w="425" w:type="dxa"/>
            <w:tcBorders>
              <w:right w:val="nil"/>
            </w:tcBorders>
          </w:tcPr>
          <w:p w14:paraId="6C1D0EF6">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495725BD">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A51E224">
            <w:pPr>
              <w:autoSpaceDE w:val="0"/>
              <w:autoSpaceDN w:val="0"/>
              <w:adjustRightInd w:val="0"/>
              <w:snapToGrid w:val="0"/>
              <w:spacing w:line="360" w:lineRule="auto"/>
              <w:textAlignment w:val="bottom"/>
              <w:rPr>
                <w:rFonts w:ascii="宋体" w:hAnsi="宋体" w:cs="宋体"/>
                <w:color w:val="auto"/>
                <w:sz w:val="24"/>
                <w:highlight w:val="none"/>
              </w:rPr>
            </w:pPr>
          </w:p>
        </w:tc>
      </w:tr>
      <w:tr w14:paraId="7C3A5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006D8B8B">
            <w:pPr>
              <w:numPr>
                <w:ilvl w:val="0"/>
                <w:numId w:val="25"/>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72A15D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回油视镜</w:t>
            </w:r>
          </w:p>
        </w:tc>
        <w:tc>
          <w:tcPr>
            <w:tcW w:w="425" w:type="dxa"/>
            <w:tcBorders>
              <w:right w:val="nil"/>
            </w:tcBorders>
          </w:tcPr>
          <w:p w14:paraId="19A5F1A0">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085909A2">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925904B">
            <w:pPr>
              <w:autoSpaceDE w:val="0"/>
              <w:autoSpaceDN w:val="0"/>
              <w:adjustRightInd w:val="0"/>
              <w:snapToGrid w:val="0"/>
              <w:spacing w:line="360" w:lineRule="auto"/>
              <w:textAlignment w:val="bottom"/>
              <w:rPr>
                <w:rFonts w:ascii="宋体" w:hAnsi="宋体" w:cs="宋体"/>
                <w:color w:val="auto"/>
                <w:sz w:val="24"/>
                <w:highlight w:val="none"/>
              </w:rPr>
            </w:pPr>
          </w:p>
        </w:tc>
      </w:tr>
      <w:tr w14:paraId="0D2E9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1F0BD433">
            <w:pPr>
              <w:numPr>
                <w:ilvl w:val="0"/>
                <w:numId w:val="25"/>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47A5885">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排烟风机（带电机和油雾分离器）</w:t>
            </w:r>
          </w:p>
        </w:tc>
        <w:tc>
          <w:tcPr>
            <w:tcW w:w="425" w:type="dxa"/>
            <w:tcBorders>
              <w:right w:val="nil"/>
            </w:tcBorders>
          </w:tcPr>
          <w:p w14:paraId="3061A9CB">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1BBC886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69BBC093">
            <w:pPr>
              <w:autoSpaceDE w:val="0"/>
              <w:autoSpaceDN w:val="0"/>
              <w:adjustRightInd w:val="0"/>
              <w:snapToGrid w:val="0"/>
              <w:spacing w:line="360" w:lineRule="auto"/>
              <w:textAlignment w:val="bottom"/>
              <w:rPr>
                <w:rFonts w:ascii="宋体" w:hAnsi="宋体" w:cs="宋体"/>
                <w:color w:val="auto"/>
                <w:sz w:val="24"/>
                <w:highlight w:val="none"/>
              </w:rPr>
            </w:pPr>
          </w:p>
        </w:tc>
      </w:tr>
      <w:tr w14:paraId="2911A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4BF06852">
            <w:pPr>
              <w:numPr>
                <w:ilvl w:val="0"/>
                <w:numId w:val="25"/>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1361ADF8">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带温控阀</w:t>
            </w:r>
          </w:p>
        </w:tc>
        <w:tc>
          <w:tcPr>
            <w:tcW w:w="425" w:type="dxa"/>
            <w:tcBorders>
              <w:right w:val="nil"/>
            </w:tcBorders>
          </w:tcPr>
          <w:p w14:paraId="5F054DCC">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14F8B8AF">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1529D4D9">
            <w:pPr>
              <w:autoSpaceDE w:val="0"/>
              <w:autoSpaceDN w:val="0"/>
              <w:adjustRightInd w:val="0"/>
              <w:snapToGrid w:val="0"/>
              <w:spacing w:line="360" w:lineRule="auto"/>
              <w:textAlignment w:val="bottom"/>
              <w:rPr>
                <w:rFonts w:ascii="宋体" w:hAnsi="宋体" w:cs="宋体"/>
                <w:color w:val="auto"/>
                <w:sz w:val="24"/>
                <w:highlight w:val="none"/>
              </w:rPr>
            </w:pPr>
          </w:p>
        </w:tc>
      </w:tr>
    </w:tbl>
    <w:p w14:paraId="03EA8529">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齿轮箱</w:t>
      </w:r>
    </w:p>
    <w:tbl>
      <w:tblPr>
        <w:tblStyle w:val="1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835"/>
        <w:gridCol w:w="425"/>
        <w:gridCol w:w="425"/>
        <w:gridCol w:w="3260"/>
      </w:tblGrid>
      <w:tr w14:paraId="620DB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5E914891">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序号</w:t>
            </w:r>
          </w:p>
        </w:tc>
        <w:tc>
          <w:tcPr>
            <w:tcW w:w="2835" w:type="dxa"/>
          </w:tcPr>
          <w:p w14:paraId="775D4F9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850" w:type="dxa"/>
            <w:gridSpan w:val="2"/>
          </w:tcPr>
          <w:p w14:paraId="4B8DB7A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数量</w:t>
            </w:r>
          </w:p>
        </w:tc>
        <w:tc>
          <w:tcPr>
            <w:tcW w:w="3260" w:type="dxa"/>
          </w:tcPr>
          <w:p w14:paraId="3C7FCBE6">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备注</w:t>
            </w:r>
          </w:p>
        </w:tc>
      </w:tr>
      <w:tr w14:paraId="669C4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Pr>
          <w:p w14:paraId="6FD33A4D">
            <w:pPr>
              <w:numPr>
                <w:ilvl w:val="0"/>
                <w:numId w:val="26"/>
              </w:numPr>
              <w:autoSpaceDE w:val="0"/>
              <w:autoSpaceDN w:val="0"/>
              <w:adjustRightInd w:val="0"/>
              <w:snapToGrid w:val="0"/>
              <w:spacing w:line="360" w:lineRule="auto"/>
              <w:textAlignment w:val="bottom"/>
              <w:rPr>
                <w:rFonts w:ascii="宋体" w:hAnsi="宋体" w:cs="宋体"/>
                <w:color w:val="auto"/>
                <w:sz w:val="24"/>
                <w:highlight w:val="none"/>
              </w:rPr>
            </w:pPr>
          </w:p>
        </w:tc>
        <w:tc>
          <w:tcPr>
            <w:tcW w:w="2835" w:type="dxa"/>
          </w:tcPr>
          <w:p w14:paraId="623C0297">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齿轮箱</w:t>
            </w:r>
          </w:p>
        </w:tc>
        <w:tc>
          <w:tcPr>
            <w:tcW w:w="425" w:type="dxa"/>
            <w:tcBorders>
              <w:right w:val="nil"/>
            </w:tcBorders>
          </w:tcPr>
          <w:p w14:paraId="077D8AFA">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25" w:type="dxa"/>
            <w:tcBorders>
              <w:left w:val="nil"/>
            </w:tcBorders>
          </w:tcPr>
          <w:p w14:paraId="62B41E13">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3260" w:type="dxa"/>
          </w:tcPr>
          <w:p w14:paraId="053EE82A">
            <w:pPr>
              <w:autoSpaceDE w:val="0"/>
              <w:autoSpaceDN w:val="0"/>
              <w:adjustRightInd w:val="0"/>
              <w:snapToGrid w:val="0"/>
              <w:spacing w:line="360" w:lineRule="auto"/>
              <w:textAlignment w:val="bottom"/>
              <w:rPr>
                <w:rFonts w:ascii="宋体" w:hAnsi="宋体" w:cs="宋体"/>
                <w:color w:val="auto"/>
                <w:sz w:val="24"/>
                <w:highlight w:val="none"/>
              </w:rPr>
            </w:pPr>
          </w:p>
        </w:tc>
      </w:tr>
    </w:tbl>
    <w:p w14:paraId="680393FF">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随机提供专用工具清单</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2376"/>
        <w:gridCol w:w="336"/>
        <w:gridCol w:w="456"/>
        <w:gridCol w:w="1656"/>
      </w:tblGrid>
      <w:tr w14:paraId="0AC61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6" w:type="dxa"/>
          </w:tcPr>
          <w:p w14:paraId="5B6F914E">
            <w:pPr>
              <w:autoSpaceDE w:val="0"/>
              <w:autoSpaceDN w:val="0"/>
              <w:adjustRightInd w:val="0"/>
              <w:snapToGrid w:val="0"/>
              <w:spacing w:line="360" w:lineRule="auto"/>
              <w:jc w:val="center"/>
              <w:textAlignment w:val="bottom"/>
              <w:rPr>
                <w:rFonts w:ascii="宋体" w:hAnsi="宋体" w:cs="宋体"/>
                <w:color w:val="auto"/>
                <w:sz w:val="24"/>
                <w:highlight w:val="none"/>
              </w:rPr>
            </w:pPr>
            <w:r>
              <w:rPr>
                <w:rFonts w:hint="eastAsia" w:ascii="宋体" w:hAnsi="宋体" w:cs="宋体"/>
                <w:color w:val="auto"/>
                <w:sz w:val="24"/>
                <w:highlight w:val="none"/>
              </w:rPr>
              <w:t>序号</w:t>
            </w:r>
          </w:p>
        </w:tc>
        <w:tc>
          <w:tcPr>
            <w:tcW w:w="2376" w:type="dxa"/>
          </w:tcPr>
          <w:p w14:paraId="7D037DD9">
            <w:pPr>
              <w:autoSpaceDE w:val="0"/>
              <w:autoSpaceDN w:val="0"/>
              <w:adjustRightInd w:val="0"/>
              <w:snapToGrid w:val="0"/>
              <w:spacing w:line="360" w:lineRule="auto"/>
              <w:jc w:val="center"/>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792" w:type="dxa"/>
            <w:gridSpan w:val="2"/>
          </w:tcPr>
          <w:p w14:paraId="6BD4E821">
            <w:pPr>
              <w:autoSpaceDE w:val="0"/>
              <w:autoSpaceDN w:val="0"/>
              <w:adjustRightInd w:val="0"/>
              <w:snapToGrid w:val="0"/>
              <w:spacing w:line="360" w:lineRule="auto"/>
              <w:jc w:val="center"/>
              <w:textAlignment w:val="bottom"/>
              <w:rPr>
                <w:rFonts w:ascii="宋体" w:hAnsi="宋体" w:cs="宋体"/>
                <w:color w:val="auto"/>
                <w:sz w:val="24"/>
                <w:highlight w:val="none"/>
              </w:rPr>
            </w:pPr>
            <w:r>
              <w:rPr>
                <w:rFonts w:hint="eastAsia" w:ascii="宋体" w:hAnsi="宋体" w:cs="宋体"/>
                <w:color w:val="auto"/>
                <w:sz w:val="24"/>
                <w:highlight w:val="none"/>
              </w:rPr>
              <w:t>数量</w:t>
            </w:r>
          </w:p>
        </w:tc>
        <w:tc>
          <w:tcPr>
            <w:tcW w:w="1656" w:type="dxa"/>
          </w:tcPr>
          <w:p w14:paraId="735ADD55">
            <w:pPr>
              <w:autoSpaceDE w:val="0"/>
              <w:autoSpaceDN w:val="0"/>
              <w:adjustRightInd w:val="0"/>
              <w:snapToGrid w:val="0"/>
              <w:spacing w:line="360" w:lineRule="auto"/>
              <w:jc w:val="center"/>
              <w:textAlignment w:val="bottom"/>
              <w:rPr>
                <w:rFonts w:ascii="宋体" w:hAnsi="宋体" w:cs="宋体"/>
                <w:color w:val="auto"/>
                <w:sz w:val="24"/>
                <w:highlight w:val="none"/>
              </w:rPr>
            </w:pPr>
            <w:r>
              <w:rPr>
                <w:rFonts w:hint="eastAsia" w:ascii="宋体" w:hAnsi="宋体" w:cs="宋体"/>
                <w:color w:val="auto"/>
                <w:sz w:val="24"/>
                <w:highlight w:val="none"/>
              </w:rPr>
              <w:t>备注</w:t>
            </w:r>
          </w:p>
        </w:tc>
      </w:tr>
      <w:tr w14:paraId="3012F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96" w:type="dxa"/>
          </w:tcPr>
          <w:p w14:paraId="5F98DFC2">
            <w:pPr>
              <w:numPr>
                <w:ilvl w:val="0"/>
                <w:numId w:val="27"/>
              </w:numPr>
              <w:autoSpaceDE w:val="0"/>
              <w:autoSpaceDN w:val="0"/>
              <w:adjustRightInd w:val="0"/>
              <w:snapToGrid w:val="0"/>
              <w:spacing w:line="360" w:lineRule="auto"/>
              <w:jc w:val="center"/>
              <w:textAlignment w:val="bottom"/>
              <w:rPr>
                <w:rFonts w:ascii="宋体" w:hAnsi="宋体" w:cs="宋体"/>
                <w:color w:val="auto"/>
                <w:sz w:val="24"/>
                <w:highlight w:val="none"/>
              </w:rPr>
            </w:pPr>
          </w:p>
        </w:tc>
        <w:tc>
          <w:tcPr>
            <w:tcW w:w="2376" w:type="dxa"/>
          </w:tcPr>
          <w:p w14:paraId="712F2AAB">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联轴器螺栓拆装扳手</w:t>
            </w:r>
          </w:p>
        </w:tc>
        <w:tc>
          <w:tcPr>
            <w:tcW w:w="336" w:type="dxa"/>
            <w:tcBorders>
              <w:right w:val="single" w:color="auto" w:sz="4" w:space="0"/>
            </w:tcBorders>
          </w:tcPr>
          <w:p w14:paraId="46698B15">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56" w:type="dxa"/>
            <w:tcBorders>
              <w:left w:val="single" w:color="auto" w:sz="4" w:space="0"/>
            </w:tcBorders>
          </w:tcPr>
          <w:p w14:paraId="6F12C8EF">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1656" w:type="dxa"/>
          </w:tcPr>
          <w:p w14:paraId="23985953">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联轴器厂家带</w:t>
            </w:r>
          </w:p>
        </w:tc>
      </w:tr>
      <w:tr w14:paraId="1E05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96" w:type="dxa"/>
          </w:tcPr>
          <w:p w14:paraId="33475DD5">
            <w:pPr>
              <w:numPr>
                <w:ilvl w:val="0"/>
                <w:numId w:val="27"/>
              </w:numPr>
              <w:autoSpaceDE w:val="0"/>
              <w:autoSpaceDN w:val="0"/>
              <w:adjustRightInd w:val="0"/>
              <w:snapToGrid w:val="0"/>
              <w:spacing w:line="360" w:lineRule="auto"/>
              <w:jc w:val="center"/>
              <w:textAlignment w:val="bottom"/>
              <w:rPr>
                <w:rFonts w:ascii="宋体" w:hAnsi="宋体" w:cs="宋体"/>
                <w:color w:val="auto"/>
                <w:sz w:val="24"/>
                <w:highlight w:val="none"/>
              </w:rPr>
            </w:pPr>
          </w:p>
        </w:tc>
        <w:tc>
          <w:tcPr>
            <w:tcW w:w="2376" w:type="dxa"/>
          </w:tcPr>
          <w:p w14:paraId="11FDB074">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转子锁轴工装</w:t>
            </w:r>
          </w:p>
        </w:tc>
        <w:tc>
          <w:tcPr>
            <w:tcW w:w="336" w:type="dxa"/>
            <w:tcBorders>
              <w:right w:val="single" w:color="auto" w:sz="4" w:space="0"/>
            </w:tcBorders>
          </w:tcPr>
          <w:p w14:paraId="0159EE7E">
            <w:pPr>
              <w:autoSpaceDE w:val="0"/>
              <w:autoSpaceDN w:val="0"/>
              <w:adjustRightInd w:val="0"/>
              <w:snapToGrid w:val="0"/>
              <w:spacing w:line="360" w:lineRule="auto"/>
              <w:jc w:val="right"/>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56" w:type="dxa"/>
            <w:tcBorders>
              <w:left w:val="single" w:color="auto" w:sz="4" w:space="0"/>
            </w:tcBorders>
          </w:tcPr>
          <w:p w14:paraId="7A88B0D9">
            <w:pPr>
              <w:autoSpaceDE w:val="0"/>
              <w:autoSpaceDN w:val="0"/>
              <w:adjustRightInd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1656" w:type="dxa"/>
          </w:tcPr>
          <w:p w14:paraId="73C6389E">
            <w:pPr>
              <w:autoSpaceDE w:val="0"/>
              <w:autoSpaceDN w:val="0"/>
              <w:adjustRightInd w:val="0"/>
              <w:snapToGrid w:val="0"/>
              <w:spacing w:line="360" w:lineRule="auto"/>
              <w:textAlignment w:val="bottom"/>
              <w:rPr>
                <w:rFonts w:ascii="宋体" w:hAnsi="宋体" w:cs="宋体"/>
                <w:color w:val="auto"/>
                <w:sz w:val="24"/>
                <w:highlight w:val="none"/>
              </w:rPr>
            </w:pPr>
          </w:p>
        </w:tc>
      </w:tr>
      <w:tr w14:paraId="71952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96" w:type="dxa"/>
          </w:tcPr>
          <w:p w14:paraId="574391CE">
            <w:pPr>
              <w:numPr>
                <w:ilvl w:val="0"/>
                <w:numId w:val="27"/>
              </w:numPr>
              <w:autoSpaceDE w:val="0"/>
              <w:autoSpaceDN w:val="0"/>
              <w:adjustRightInd w:val="0"/>
              <w:snapToGrid w:val="0"/>
              <w:spacing w:line="360" w:lineRule="auto"/>
              <w:jc w:val="center"/>
              <w:textAlignment w:val="bottom"/>
              <w:rPr>
                <w:rFonts w:ascii="宋体" w:hAnsi="宋体" w:cs="宋体"/>
                <w:color w:val="auto"/>
                <w:sz w:val="24"/>
                <w:highlight w:val="none"/>
              </w:rPr>
            </w:pPr>
          </w:p>
        </w:tc>
        <w:tc>
          <w:tcPr>
            <w:tcW w:w="2376" w:type="dxa"/>
          </w:tcPr>
          <w:p w14:paraId="06AAE6DF">
            <w:pPr>
              <w:autoSpaceDE w:val="0"/>
              <w:autoSpaceDN w:val="0"/>
              <w:adjustRightInd w:val="0"/>
              <w:snapToGrid w:val="0"/>
              <w:spacing w:line="360" w:lineRule="auto"/>
              <w:jc w:val="left"/>
              <w:textAlignment w:val="bottom"/>
              <w:rPr>
                <w:rFonts w:ascii="宋体" w:hAnsi="宋体" w:cs="宋体"/>
                <w:color w:val="auto"/>
                <w:sz w:val="24"/>
                <w:highlight w:val="none"/>
              </w:rPr>
            </w:pPr>
            <w:r>
              <w:rPr>
                <w:rFonts w:hint="eastAsia" w:ascii="宋体" w:hAnsi="宋体" w:cs="宋体"/>
                <w:color w:val="auto"/>
                <w:sz w:val="24"/>
                <w:highlight w:val="none"/>
              </w:rPr>
              <w:t>手动盘车工具</w:t>
            </w:r>
          </w:p>
        </w:tc>
        <w:tc>
          <w:tcPr>
            <w:tcW w:w="336" w:type="dxa"/>
            <w:tcBorders>
              <w:right w:val="single" w:color="auto" w:sz="4" w:space="0"/>
            </w:tcBorders>
          </w:tcPr>
          <w:p w14:paraId="5A40B680">
            <w:pPr>
              <w:autoSpaceDE w:val="0"/>
              <w:autoSpaceDN w:val="0"/>
              <w:adjustRightInd w:val="0"/>
              <w:snapToGrid w:val="0"/>
              <w:spacing w:line="360" w:lineRule="auto"/>
              <w:jc w:val="center"/>
              <w:textAlignment w:val="bottom"/>
              <w:rPr>
                <w:rFonts w:ascii="宋体" w:hAnsi="宋体" w:cs="宋体"/>
                <w:color w:val="auto"/>
                <w:sz w:val="24"/>
                <w:highlight w:val="none"/>
              </w:rPr>
            </w:pPr>
            <w:r>
              <w:rPr>
                <w:rFonts w:hint="eastAsia" w:ascii="宋体" w:hAnsi="宋体" w:cs="宋体"/>
                <w:color w:val="auto"/>
                <w:sz w:val="24"/>
                <w:highlight w:val="none"/>
              </w:rPr>
              <w:t>1</w:t>
            </w:r>
          </w:p>
        </w:tc>
        <w:tc>
          <w:tcPr>
            <w:tcW w:w="456" w:type="dxa"/>
            <w:tcBorders>
              <w:left w:val="single" w:color="auto" w:sz="4" w:space="0"/>
            </w:tcBorders>
          </w:tcPr>
          <w:p w14:paraId="63A0F987">
            <w:pPr>
              <w:autoSpaceDE w:val="0"/>
              <w:autoSpaceDN w:val="0"/>
              <w:adjustRightInd w:val="0"/>
              <w:snapToGrid w:val="0"/>
              <w:spacing w:line="360" w:lineRule="auto"/>
              <w:jc w:val="center"/>
              <w:textAlignment w:val="bottom"/>
              <w:rPr>
                <w:rFonts w:ascii="宋体" w:hAnsi="宋体" w:cs="宋体"/>
                <w:color w:val="auto"/>
                <w:sz w:val="24"/>
                <w:highlight w:val="none"/>
              </w:rPr>
            </w:pPr>
            <w:r>
              <w:rPr>
                <w:rFonts w:hint="eastAsia" w:ascii="宋体" w:hAnsi="宋体" w:cs="宋体"/>
                <w:color w:val="auto"/>
                <w:sz w:val="24"/>
                <w:highlight w:val="none"/>
              </w:rPr>
              <w:t>套</w:t>
            </w:r>
          </w:p>
        </w:tc>
        <w:tc>
          <w:tcPr>
            <w:tcW w:w="1656" w:type="dxa"/>
          </w:tcPr>
          <w:p w14:paraId="460C4B28">
            <w:pPr>
              <w:autoSpaceDE w:val="0"/>
              <w:autoSpaceDN w:val="0"/>
              <w:adjustRightInd w:val="0"/>
              <w:snapToGrid w:val="0"/>
              <w:spacing w:line="360" w:lineRule="auto"/>
              <w:jc w:val="center"/>
              <w:textAlignment w:val="bottom"/>
              <w:rPr>
                <w:rFonts w:ascii="宋体" w:hAnsi="宋体" w:cs="宋体"/>
                <w:color w:val="auto"/>
                <w:sz w:val="24"/>
                <w:highlight w:val="none"/>
              </w:rPr>
            </w:pPr>
          </w:p>
        </w:tc>
      </w:tr>
    </w:tbl>
    <w:p w14:paraId="136F05C9">
      <w:pPr>
        <w:numPr>
          <w:ilvl w:val="0"/>
          <w:numId w:val="22"/>
        </w:numPr>
        <w:autoSpaceDE w:val="0"/>
        <w:autoSpaceDN w:val="0"/>
        <w:adjustRightInd w:val="0"/>
        <w:snapToGrid w:val="0"/>
        <w:spacing w:line="360" w:lineRule="auto"/>
        <w:jc w:val="left"/>
        <w:rPr>
          <w:rFonts w:ascii="宋体" w:hAnsi="宋体" w:cs="宋体"/>
          <w:color w:val="auto"/>
          <w:sz w:val="24"/>
          <w:highlight w:val="none"/>
        </w:rPr>
      </w:pPr>
      <w:r>
        <w:rPr>
          <w:rFonts w:ascii="宋体" w:hAnsi="宋体" w:cs="宋体"/>
          <w:color w:val="auto"/>
          <w:sz w:val="24"/>
          <w:highlight w:val="none"/>
        </w:rPr>
        <w:t>*</w:t>
      </w:r>
      <w:r>
        <w:rPr>
          <w:rFonts w:hint="eastAsia" w:ascii="宋体" w:hAnsi="宋体" w:cs="宋体"/>
          <w:color w:val="auto"/>
          <w:sz w:val="24"/>
          <w:highlight w:val="none"/>
        </w:rPr>
        <w:t xml:space="preserve"> 主要部件供应商推荐品牌</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3"/>
        <w:gridCol w:w="2388"/>
        <w:gridCol w:w="5077"/>
      </w:tblGrid>
      <w:tr w14:paraId="7EEA1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12FA8CA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2388" w:type="dxa"/>
            <w:vAlign w:val="center"/>
          </w:tcPr>
          <w:p w14:paraId="6492056C">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规格型号</w:t>
            </w:r>
          </w:p>
        </w:tc>
        <w:tc>
          <w:tcPr>
            <w:tcW w:w="5077" w:type="dxa"/>
            <w:vAlign w:val="center"/>
          </w:tcPr>
          <w:p w14:paraId="1DB1661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推荐名单</w:t>
            </w:r>
          </w:p>
        </w:tc>
      </w:tr>
      <w:tr w14:paraId="1119A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17CB429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联轴器</w:t>
            </w:r>
          </w:p>
        </w:tc>
        <w:tc>
          <w:tcPr>
            <w:tcW w:w="2388" w:type="dxa"/>
            <w:vAlign w:val="center"/>
          </w:tcPr>
          <w:p w14:paraId="7AAA25EA">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60A1E6E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无锡创明、沈阳申克</w:t>
            </w:r>
          </w:p>
        </w:tc>
      </w:tr>
      <w:tr w14:paraId="6AB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0A8FA16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电机</w:t>
            </w:r>
          </w:p>
        </w:tc>
        <w:tc>
          <w:tcPr>
            <w:tcW w:w="2388" w:type="dxa"/>
            <w:vAlign w:val="center"/>
          </w:tcPr>
          <w:p w14:paraId="7D60F58C">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2AE7A4A5">
            <w:pPr>
              <w:autoSpaceDE w:val="0"/>
              <w:autoSpaceDN w:val="0"/>
              <w:adjustRightInd w:val="0"/>
              <w:snapToGrid w:val="0"/>
              <w:textAlignment w:val="bottom"/>
              <w:rPr>
                <w:rFonts w:ascii="宋体" w:hAnsi="宋体" w:cs="宋体"/>
                <w:color w:val="auto"/>
                <w:sz w:val="24"/>
                <w:highlight w:val="none"/>
              </w:rPr>
            </w:pPr>
            <w:r>
              <w:rPr>
                <w:color w:val="auto"/>
                <w:highlight w:val="none"/>
              </w:rPr>
              <w:fldChar w:fldCharType="begin"/>
            </w:r>
            <w:r>
              <w:rPr>
                <w:color w:val="auto"/>
                <w:highlight w:val="none"/>
              </w:rPr>
              <w:instrText xml:space="preserve"> HYPERLINK "http://www.so.com/link?m=awb/JH4P70KiR3SfPDbPHGDr/CWvM5DLUAncwTGJwhXBxwXI8eDxQnocw3zXQk1QM+GPqIKZG+v4PDy8Orzr0N3GoOQD+QUlTtn7Ljufh0v3AwDYOv1OqOg==" \t "https://www.so.com/_blank" </w:instrText>
            </w:r>
            <w:r>
              <w:rPr>
                <w:color w:val="auto"/>
                <w:highlight w:val="none"/>
              </w:rPr>
              <w:fldChar w:fldCharType="separate"/>
            </w:r>
            <w:r>
              <w:rPr>
                <w:rFonts w:hint="eastAsia" w:ascii="宋体" w:hAnsi="宋体" w:cs="宋体"/>
                <w:color w:val="auto"/>
                <w:sz w:val="24"/>
                <w:highlight w:val="none"/>
              </w:rPr>
              <w:t>卧龙电气南阳防爆集团股份有限公司</w:t>
            </w:r>
            <w:r>
              <w:rPr>
                <w:rFonts w:hint="eastAsia" w:ascii="宋体" w:hAnsi="宋体" w:cs="宋体"/>
                <w:color w:val="auto"/>
                <w:sz w:val="24"/>
                <w:highlight w:val="none"/>
              </w:rPr>
              <w:fldChar w:fldCharType="end"/>
            </w:r>
            <w:r>
              <w:rPr>
                <w:rFonts w:hint="eastAsia" w:ascii="宋体" w:hAnsi="宋体" w:cs="宋体"/>
                <w:color w:val="auto"/>
                <w:sz w:val="24"/>
                <w:highlight w:val="none"/>
              </w:rPr>
              <w:t>（南阳集团） 、无锡东元电机有限公司</w:t>
            </w:r>
          </w:p>
        </w:tc>
      </w:tr>
      <w:tr w14:paraId="25E89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7F36AA08">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油泵</w:t>
            </w:r>
          </w:p>
        </w:tc>
        <w:tc>
          <w:tcPr>
            <w:tcW w:w="2388" w:type="dxa"/>
            <w:vAlign w:val="center"/>
          </w:tcPr>
          <w:p w14:paraId="49C89081">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4DF3716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天津泵业、天津华曼泵业集团、海林柯</w:t>
            </w:r>
          </w:p>
        </w:tc>
      </w:tr>
      <w:tr w14:paraId="30D7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724C63E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齿轮箱</w:t>
            </w:r>
          </w:p>
        </w:tc>
        <w:tc>
          <w:tcPr>
            <w:tcW w:w="2388" w:type="dxa"/>
            <w:vAlign w:val="center"/>
          </w:tcPr>
          <w:p w14:paraId="0EEDD6DC">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7A3921E7">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南高齿、郑研所、杭州齿轮、中船重庆齿轮、重庆永进</w:t>
            </w:r>
          </w:p>
        </w:tc>
      </w:tr>
      <w:tr w14:paraId="7B383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3B87EF3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不锈钢耐震压力表</w:t>
            </w:r>
          </w:p>
        </w:tc>
        <w:tc>
          <w:tcPr>
            <w:tcW w:w="2388" w:type="dxa"/>
            <w:vAlign w:val="center"/>
          </w:tcPr>
          <w:p w14:paraId="2AFBA66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YTN-100H</w:t>
            </w:r>
          </w:p>
        </w:tc>
        <w:tc>
          <w:tcPr>
            <w:tcW w:w="5077" w:type="dxa"/>
            <w:vAlign w:val="center"/>
          </w:tcPr>
          <w:p w14:paraId="7BAA914E">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布莱迪（北京、重庆工厂）/重庆川仪自动化股份有限公司/西安大华仪表有限公司</w:t>
            </w:r>
          </w:p>
        </w:tc>
      </w:tr>
      <w:tr w14:paraId="29A52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4B9EBE56">
            <w:pPr>
              <w:rPr>
                <w:color w:val="auto"/>
                <w:highlight w:val="none"/>
              </w:rPr>
            </w:pPr>
          </w:p>
        </w:tc>
        <w:tc>
          <w:tcPr>
            <w:tcW w:w="2388" w:type="dxa"/>
            <w:vAlign w:val="center"/>
          </w:tcPr>
          <w:p w14:paraId="47F961E5">
            <w:pPr>
              <w:rPr>
                <w:color w:val="auto"/>
                <w:highlight w:val="none"/>
              </w:rPr>
            </w:pPr>
          </w:p>
        </w:tc>
        <w:tc>
          <w:tcPr>
            <w:tcW w:w="5077" w:type="dxa"/>
            <w:vAlign w:val="center"/>
          </w:tcPr>
          <w:p w14:paraId="0A7A606D">
            <w:pPr>
              <w:rPr>
                <w:color w:val="auto"/>
                <w:highlight w:val="none"/>
              </w:rPr>
            </w:pPr>
          </w:p>
        </w:tc>
      </w:tr>
      <w:tr w14:paraId="2B088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711CAB3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油站液位计</w:t>
            </w:r>
          </w:p>
        </w:tc>
        <w:tc>
          <w:tcPr>
            <w:tcW w:w="2388" w:type="dxa"/>
            <w:vAlign w:val="center"/>
          </w:tcPr>
          <w:p w14:paraId="68065BCE">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ULB系列磁翻板</w:t>
            </w:r>
          </w:p>
        </w:tc>
        <w:tc>
          <w:tcPr>
            <w:tcW w:w="5077" w:type="dxa"/>
            <w:vAlign w:val="center"/>
          </w:tcPr>
          <w:p w14:paraId="7E7D89D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上海星申仪表有限公司/信东仪器仪表（苏州）股份有限公司/丹东通博电器（集团）有限公司</w:t>
            </w:r>
          </w:p>
        </w:tc>
      </w:tr>
      <w:tr w14:paraId="33B2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76CBF2D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油站液位变送器</w:t>
            </w:r>
          </w:p>
        </w:tc>
        <w:tc>
          <w:tcPr>
            <w:tcW w:w="2388" w:type="dxa"/>
            <w:vAlign w:val="center"/>
          </w:tcPr>
          <w:p w14:paraId="499D0B8B">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双法兰式 带表头 智能型HART</w:t>
            </w:r>
          </w:p>
        </w:tc>
        <w:tc>
          <w:tcPr>
            <w:tcW w:w="5077" w:type="dxa"/>
            <w:vAlign w:val="center"/>
          </w:tcPr>
          <w:p w14:paraId="1A19D79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ROSEMOUNT 3051/ EJA E</w:t>
            </w:r>
          </w:p>
        </w:tc>
      </w:tr>
      <w:tr w14:paraId="7C0D9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1C2C6B2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压力变送器(介质非工艺气)</w:t>
            </w:r>
          </w:p>
        </w:tc>
        <w:tc>
          <w:tcPr>
            <w:tcW w:w="2388" w:type="dxa"/>
            <w:vAlign w:val="center"/>
          </w:tcPr>
          <w:p w14:paraId="0A8C9BC0">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带表头 智能型HART</w:t>
            </w:r>
          </w:p>
        </w:tc>
        <w:tc>
          <w:tcPr>
            <w:tcW w:w="5077" w:type="dxa"/>
            <w:vAlign w:val="center"/>
          </w:tcPr>
          <w:p w14:paraId="73375FD7">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ROSEMOUNT3051/ EJA</w:t>
            </w:r>
          </w:p>
        </w:tc>
      </w:tr>
      <w:tr w14:paraId="7CF95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21F11F8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压力变送器(介质工艺气)</w:t>
            </w:r>
          </w:p>
        </w:tc>
        <w:tc>
          <w:tcPr>
            <w:tcW w:w="2388" w:type="dxa"/>
            <w:vAlign w:val="center"/>
          </w:tcPr>
          <w:p w14:paraId="3B3F4FF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带表头 智能型HART,法兰隔膜式</w:t>
            </w:r>
          </w:p>
        </w:tc>
        <w:tc>
          <w:tcPr>
            <w:tcW w:w="5077" w:type="dxa"/>
            <w:vAlign w:val="center"/>
          </w:tcPr>
          <w:p w14:paraId="69EBE59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ROSEMOUNT 3051/ EJA E</w:t>
            </w:r>
          </w:p>
        </w:tc>
      </w:tr>
      <w:tr w14:paraId="18A87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5B56D608">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差压变送器</w:t>
            </w:r>
          </w:p>
        </w:tc>
        <w:tc>
          <w:tcPr>
            <w:tcW w:w="2388" w:type="dxa"/>
            <w:vAlign w:val="center"/>
          </w:tcPr>
          <w:p w14:paraId="3BD568D7">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带表头 智能型HART</w:t>
            </w:r>
          </w:p>
        </w:tc>
        <w:tc>
          <w:tcPr>
            <w:tcW w:w="5077" w:type="dxa"/>
            <w:vAlign w:val="center"/>
          </w:tcPr>
          <w:p w14:paraId="67B277D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ROSEMOUNT 3051/ EJA E</w:t>
            </w:r>
          </w:p>
        </w:tc>
      </w:tr>
      <w:tr w14:paraId="5BCDE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550EFACB">
            <w:pPr>
              <w:rPr>
                <w:color w:val="auto"/>
                <w:highlight w:val="none"/>
              </w:rPr>
            </w:pPr>
          </w:p>
        </w:tc>
        <w:tc>
          <w:tcPr>
            <w:tcW w:w="2388" w:type="dxa"/>
            <w:vAlign w:val="center"/>
          </w:tcPr>
          <w:p w14:paraId="6B79CBAB">
            <w:pPr>
              <w:rPr>
                <w:color w:val="auto"/>
                <w:highlight w:val="none"/>
              </w:rPr>
            </w:pPr>
          </w:p>
        </w:tc>
        <w:tc>
          <w:tcPr>
            <w:tcW w:w="5077" w:type="dxa"/>
            <w:vAlign w:val="center"/>
          </w:tcPr>
          <w:p w14:paraId="65A932C7">
            <w:pPr>
              <w:rPr>
                <w:color w:val="auto"/>
                <w:highlight w:val="none"/>
              </w:rPr>
            </w:pPr>
          </w:p>
        </w:tc>
      </w:tr>
      <w:tr w14:paraId="6BFFB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022FC727">
            <w:pPr>
              <w:rPr>
                <w:color w:val="auto"/>
                <w:highlight w:val="none"/>
              </w:rPr>
            </w:pPr>
          </w:p>
        </w:tc>
        <w:tc>
          <w:tcPr>
            <w:tcW w:w="2388" w:type="dxa"/>
            <w:vAlign w:val="center"/>
          </w:tcPr>
          <w:p w14:paraId="35E7D079">
            <w:pPr>
              <w:rPr>
                <w:color w:val="auto"/>
                <w:highlight w:val="none"/>
              </w:rPr>
            </w:pPr>
          </w:p>
        </w:tc>
        <w:tc>
          <w:tcPr>
            <w:tcW w:w="5077" w:type="dxa"/>
            <w:vAlign w:val="center"/>
          </w:tcPr>
          <w:p w14:paraId="0A665B30">
            <w:pPr>
              <w:rPr>
                <w:color w:val="auto"/>
                <w:highlight w:val="none"/>
              </w:rPr>
            </w:pPr>
          </w:p>
        </w:tc>
      </w:tr>
      <w:tr w14:paraId="69A1E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4CF62AD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油站压力调节阀</w:t>
            </w:r>
          </w:p>
        </w:tc>
        <w:tc>
          <w:tcPr>
            <w:tcW w:w="2388" w:type="dxa"/>
            <w:vAlign w:val="center"/>
          </w:tcPr>
          <w:p w14:paraId="08F15EE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自力式</w:t>
            </w:r>
          </w:p>
        </w:tc>
        <w:tc>
          <w:tcPr>
            <w:tcW w:w="5077" w:type="dxa"/>
            <w:vAlign w:val="center"/>
          </w:tcPr>
          <w:p w14:paraId="57171124">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FISHER/MASONEILAN/SAMSON</w:t>
            </w:r>
          </w:p>
        </w:tc>
      </w:tr>
      <w:tr w14:paraId="0E041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58BD8BA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温控阀</w:t>
            </w:r>
          </w:p>
        </w:tc>
        <w:tc>
          <w:tcPr>
            <w:tcW w:w="2388" w:type="dxa"/>
            <w:vAlign w:val="center"/>
          </w:tcPr>
          <w:p w14:paraId="3343E5C0">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自力式</w:t>
            </w:r>
          </w:p>
        </w:tc>
        <w:tc>
          <w:tcPr>
            <w:tcW w:w="5077" w:type="dxa"/>
            <w:vAlign w:val="center"/>
          </w:tcPr>
          <w:p w14:paraId="6764F4D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进口品牌</w:t>
            </w:r>
          </w:p>
        </w:tc>
      </w:tr>
      <w:tr w14:paraId="4F714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0E1B63D7">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防喘振调节阀</w:t>
            </w:r>
          </w:p>
        </w:tc>
        <w:tc>
          <w:tcPr>
            <w:tcW w:w="2388" w:type="dxa"/>
            <w:vAlign w:val="center"/>
          </w:tcPr>
          <w:p w14:paraId="3621165F">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097413B5">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FISHER/MASONEILAN/SAMSON</w:t>
            </w:r>
          </w:p>
        </w:tc>
      </w:tr>
      <w:tr w14:paraId="5A81B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0DAE57D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入口导叶执行机构</w:t>
            </w:r>
          </w:p>
        </w:tc>
        <w:tc>
          <w:tcPr>
            <w:tcW w:w="2388" w:type="dxa"/>
            <w:vAlign w:val="center"/>
          </w:tcPr>
          <w:p w14:paraId="14CEE759">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11AFD32E">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ITV/FESTO/ARCA（进口）</w:t>
            </w:r>
          </w:p>
        </w:tc>
      </w:tr>
      <w:tr w14:paraId="13AC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2CC1A502">
            <w:pPr>
              <w:rPr>
                <w:color w:val="auto"/>
                <w:highlight w:val="none"/>
              </w:rPr>
            </w:pPr>
          </w:p>
        </w:tc>
        <w:tc>
          <w:tcPr>
            <w:tcW w:w="2388" w:type="dxa"/>
            <w:vAlign w:val="center"/>
          </w:tcPr>
          <w:p w14:paraId="061E5843">
            <w:pPr>
              <w:rPr>
                <w:color w:val="auto"/>
                <w:highlight w:val="none"/>
              </w:rPr>
            </w:pPr>
          </w:p>
        </w:tc>
        <w:tc>
          <w:tcPr>
            <w:tcW w:w="5077" w:type="dxa"/>
            <w:vAlign w:val="center"/>
          </w:tcPr>
          <w:p w14:paraId="4927C045">
            <w:pPr>
              <w:rPr>
                <w:color w:val="auto"/>
                <w:highlight w:val="none"/>
              </w:rPr>
            </w:pPr>
          </w:p>
        </w:tc>
      </w:tr>
      <w:tr w14:paraId="51718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5BF5EE79">
            <w:pPr>
              <w:rPr>
                <w:color w:val="auto"/>
                <w:highlight w:val="none"/>
              </w:rPr>
            </w:pPr>
          </w:p>
        </w:tc>
        <w:tc>
          <w:tcPr>
            <w:tcW w:w="2388" w:type="dxa"/>
            <w:vAlign w:val="center"/>
          </w:tcPr>
          <w:p w14:paraId="3C459CDD">
            <w:pPr>
              <w:rPr>
                <w:color w:val="auto"/>
                <w:highlight w:val="none"/>
              </w:rPr>
            </w:pPr>
          </w:p>
        </w:tc>
        <w:tc>
          <w:tcPr>
            <w:tcW w:w="5077" w:type="dxa"/>
            <w:vAlign w:val="center"/>
          </w:tcPr>
          <w:p w14:paraId="5C16D65E">
            <w:pPr>
              <w:rPr>
                <w:color w:val="auto"/>
                <w:highlight w:val="none"/>
              </w:rPr>
            </w:pPr>
          </w:p>
        </w:tc>
      </w:tr>
      <w:tr w14:paraId="637CA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17FF2C5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振动位移仪表</w:t>
            </w:r>
          </w:p>
        </w:tc>
        <w:tc>
          <w:tcPr>
            <w:tcW w:w="2388" w:type="dxa"/>
            <w:vAlign w:val="center"/>
          </w:tcPr>
          <w:p w14:paraId="6C030945">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探头+延伸电缆+振动位移变送器（输出4~20mA）</w:t>
            </w:r>
          </w:p>
        </w:tc>
        <w:tc>
          <w:tcPr>
            <w:tcW w:w="5077" w:type="dxa"/>
            <w:vAlign w:val="center"/>
          </w:tcPr>
          <w:p w14:paraId="404396F4">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进口品牌</w:t>
            </w:r>
          </w:p>
        </w:tc>
      </w:tr>
      <w:tr w14:paraId="2BC3E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412434C3">
            <w:pPr>
              <w:rPr>
                <w:color w:val="auto"/>
                <w:highlight w:val="none"/>
              </w:rPr>
            </w:pPr>
          </w:p>
        </w:tc>
        <w:tc>
          <w:tcPr>
            <w:tcW w:w="2388" w:type="dxa"/>
            <w:vAlign w:val="center"/>
          </w:tcPr>
          <w:p w14:paraId="191474B7">
            <w:pPr>
              <w:rPr>
                <w:color w:val="auto"/>
                <w:highlight w:val="none"/>
              </w:rPr>
            </w:pPr>
          </w:p>
        </w:tc>
        <w:tc>
          <w:tcPr>
            <w:tcW w:w="5077" w:type="dxa"/>
            <w:vAlign w:val="center"/>
          </w:tcPr>
          <w:p w14:paraId="4769A457">
            <w:pPr>
              <w:rPr>
                <w:color w:val="auto"/>
                <w:highlight w:val="none"/>
              </w:rPr>
            </w:pPr>
          </w:p>
        </w:tc>
      </w:tr>
      <w:tr w14:paraId="1B5F3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31BD4B6C">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PLC控制器</w:t>
            </w:r>
          </w:p>
        </w:tc>
        <w:tc>
          <w:tcPr>
            <w:tcW w:w="2388" w:type="dxa"/>
            <w:vAlign w:val="center"/>
          </w:tcPr>
          <w:p w14:paraId="3C06ABE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S7-1500系列</w:t>
            </w:r>
          </w:p>
        </w:tc>
        <w:tc>
          <w:tcPr>
            <w:tcW w:w="5077" w:type="dxa"/>
            <w:vAlign w:val="center"/>
          </w:tcPr>
          <w:p w14:paraId="6A3DD781">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西门子 触摸屏 西门子1</w:t>
            </w:r>
            <w:r>
              <w:rPr>
                <w:rFonts w:ascii="宋体" w:hAnsi="宋体" w:cs="宋体"/>
                <w:color w:val="auto"/>
                <w:sz w:val="24"/>
                <w:highlight w:val="none"/>
              </w:rPr>
              <w:t>5寸户外型</w:t>
            </w:r>
          </w:p>
        </w:tc>
      </w:tr>
      <w:tr w14:paraId="0D389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390E517D">
            <w:pPr>
              <w:rPr>
                <w:color w:val="auto"/>
                <w:highlight w:val="none"/>
              </w:rPr>
            </w:pPr>
          </w:p>
        </w:tc>
        <w:tc>
          <w:tcPr>
            <w:tcW w:w="2388" w:type="dxa"/>
            <w:vAlign w:val="center"/>
          </w:tcPr>
          <w:p w14:paraId="1A17BF47">
            <w:pPr>
              <w:rPr>
                <w:color w:val="auto"/>
                <w:highlight w:val="none"/>
              </w:rPr>
            </w:pPr>
          </w:p>
        </w:tc>
        <w:tc>
          <w:tcPr>
            <w:tcW w:w="5077" w:type="dxa"/>
            <w:vAlign w:val="center"/>
          </w:tcPr>
          <w:p w14:paraId="6BE849AC">
            <w:pPr>
              <w:rPr>
                <w:color w:val="auto"/>
                <w:highlight w:val="none"/>
              </w:rPr>
            </w:pPr>
          </w:p>
        </w:tc>
      </w:tr>
      <w:tr w14:paraId="07144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54B554FC">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断路器</w:t>
            </w:r>
          </w:p>
          <w:p w14:paraId="02210A89">
            <w:pPr>
              <w:autoSpaceDE w:val="0"/>
              <w:autoSpaceDN w:val="0"/>
              <w:adjustRightInd w:val="0"/>
              <w:snapToGrid w:val="0"/>
              <w:textAlignment w:val="bottom"/>
              <w:rPr>
                <w:rFonts w:ascii="宋体" w:hAnsi="宋体" w:cs="宋体"/>
                <w:color w:val="auto"/>
                <w:sz w:val="24"/>
                <w:highlight w:val="none"/>
              </w:rPr>
            </w:pPr>
          </w:p>
        </w:tc>
        <w:tc>
          <w:tcPr>
            <w:tcW w:w="2388" w:type="dxa"/>
            <w:vAlign w:val="center"/>
          </w:tcPr>
          <w:p w14:paraId="50575879">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5677DFF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施耐德、ABB、西门子</w:t>
            </w:r>
          </w:p>
        </w:tc>
      </w:tr>
      <w:tr w14:paraId="476D4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3" w:type="dxa"/>
            <w:vAlign w:val="center"/>
          </w:tcPr>
          <w:p w14:paraId="710DE881">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端子排</w:t>
            </w:r>
          </w:p>
          <w:p w14:paraId="3E969566">
            <w:pPr>
              <w:autoSpaceDE w:val="0"/>
              <w:autoSpaceDN w:val="0"/>
              <w:adjustRightInd w:val="0"/>
              <w:snapToGrid w:val="0"/>
              <w:textAlignment w:val="bottom"/>
              <w:rPr>
                <w:rFonts w:ascii="宋体" w:hAnsi="宋体" w:cs="宋体"/>
                <w:color w:val="auto"/>
                <w:sz w:val="24"/>
                <w:highlight w:val="none"/>
              </w:rPr>
            </w:pPr>
          </w:p>
        </w:tc>
        <w:tc>
          <w:tcPr>
            <w:tcW w:w="2388" w:type="dxa"/>
            <w:vAlign w:val="center"/>
          </w:tcPr>
          <w:p w14:paraId="0819E3C9">
            <w:pPr>
              <w:autoSpaceDE w:val="0"/>
              <w:autoSpaceDN w:val="0"/>
              <w:adjustRightInd w:val="0"/>
              <w:snapToGrid w:val="0"/>
              <w:textAlignment w:val="bottom"/>
              <w:rPr>
                <w:rFonts w:ascii="宋体" w:hAnsi="宋体" w:cs="宋体"/>
                <w:color w:val="auto"/>
                <w:sz w:val="24"/>
                <w:highlight w:val="none"/>
              </w:rPr>
            </w:pPr>
          </w:p>
        </w:tc>
        <w:tc>
          <w:tcPr>
            <w:tcW w:w="5077" w:type="dxa"/>
            <w:vAlign w:val="center"/>
          </w:tcPr>
          <w:p w14:paraId="12AE972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魏德米勒、凤凰、A</w:t>
            </w:r>
            <w:r>
              <w:rPr>
                <w:rFonts w:ascii="宋体" w:hAnsi="宋体" w:cs="宋体"/>
                <w:color w:val="auto"/>
                <w:sz w:val="24"/>
                <w:highlight w:val="none"/>
              </w:rPr>
              <w:t>BB</w:t>
            </w:r>
          </w:p>
        </w:tc>
      </w:tr>
    </w:tbl>
    <w:p w14:paraId="481E57C2">
      <w:pPr>
        <w:adjustRightInd w:val="0"/>
        <w:snapToGrid w:val="0"/>
        <w:spacing w:line="360" w:lineRule="auto"/>
        <w:outlineLvl w:val="0"/>
        <w:rPr>
          <w:rFonts w:ascii="宋体" w:hAnsi="宋体"/>
          <w:bCs/>
          <w:color w:val="auto"/>
          <w:sz w:val="24"/>
          <w:highlight w:val="none"/>
        </w:rPr>
      </w:pPr>
      <w:bookmarkStart w:id="141" w:name="_Toc195433163"/>
      <w:r>
        <w:rPr>
          <w:rFonts w:ascii="宋体" w:hAnsi="宋体"/>
          <w:bCs/>
          <w:color w:val="auto"/>
          <w:sz w:val="24"/>
          <w:highlight w:val="none"/>
        </w:rPr>
        <w:t>8.设计制造检验标准</w:t>
      </w:r>
      <w:bookmarkEnd w:id="141"/>
    </w:p>
    <w:p w14:paraId="5A931184">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离心压缩机：</w:t>
      </w:r>
    </w:p>
    <w:p w14:paraId="325275F4">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API617-20</w:t>
      </w:r>
      <w:r>
        <w:rPr>
          <w:rFonts w:ascii="宋体" w:hAnsi="宋体" w:cs="宋体"/>
          <w:color w:val="auto"/>
          <w:sz w:val="24"/>
          <w:highlight w:val="none"/>
        </w:rPr>
        <w:t>22</w:t>
      </w:r>
      <w:r>
        <w:rPr>
          <w:rFonts w:hint="eastAsia" w:ascii="宋体" w:hAnsi="宋体" w:cs="宋体"/>
          <w:color w:val="auto"/>
          <w:sz w:val="24"/>
          <w:highlight w:val="none"/>
        </w:rPr>
        <w:t>《石油、化学和气体工业用轴流、离心压缩机及膨胀机-压缩机》。</w:t>
      </w:r>
    </w:p>
    <w:p w14:paraId="35F91881">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润滑油系统：</w:t>
      </w:r>
    </w:p>
    <w:p w14:paraId="506938E3">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API614-</w:t>
      </w:r>
      <w:r>
        <w:rPr>
          <w:rFonts w:ascii="宋体" w:hAnsi="宋体" w:cs="宋体"/>
          <w:color w:val="auto"/>
          <w:sz w:val="24"/>
          <w:highlight w:val="none"/>
        </w:rPr>
        <w:t>2022</w:t>
      </w:r>
      <w:r>
        <w:rPr>
          <w:rFonts w:hint="eastAsia" w:ascii="宋体" w:hAnsi="宋体" w:cs="宋体"/>
          <w:color w:val="auto"/>
          <w:sz w:val="24"/>
          <w:highlight w:val="none"/>
        </w:rPr>
        <w:t xml:space="preserve">《润滑、轴密封和控制油系统及辅助设备》。  </w:t>
      </w:r>
    </w:p>
    <w:p w14:paraId="0DA6BAA4">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TSG 21-2016《压力容器安全技术监察规程》。</w:t>
      </w:r>
    </w:p>
    <w:p w14:paraId="76941280">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旋转泵执行API676-</w:t>
      </w:r>
      <w:r>
        <w:rPr>
          <w:rFonts w:ascii="宋体" w:hAnsi="宋体" w:cs="宋体"/>
          <w:color w:val="auto"/>
          <w:sz w:val="24"/>
          <w:highlight w:val="none"/>
        </w:rPr>
        <w:t>2022</w:t>
      </w:r>
      <w:r>
        <w:rPr>
          <w:rFonts w:hint="eastAsia" w:ascii="宋体" w:hAnsi="宋体" w:cs="宋体"/>
          <w:color w:val="auto"/>
          <w:sz w:val="24"/>
          <w:highlight w:val="none"/>
        </w:rPr>
        <w:t>《旋转式正排量泵》。</w:t>
      </w:r>
    </w:p>
    <w:p w14:paraId="58BFCA65">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压力容器：</w:t>
      </w:r>
    </w:p>
    <w:p w14:paraId="2F4086CA">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GB/T 151-2014《管壳式换热器》（含第1号修改单）。</w:t>
      </w:r>
    </w:p>
    <w:p w14:paraId="2A681ACA">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GB/T 150.1~GB150.4-20</w:t>
      </w:r>
      <w:r>
        <w:rPr>
          <w:rFonts w:ascii="宋体" w:hAnsi="宋体" w:cs="宋体"/>
          <w:color w:val="auto"/>
          <w:sz w:val="24"/>
          <w:highlight w:val="none"/>
        </w:rPr>
        <w:t>24</w:t>
      </w:r>
      <w:r>
        <w:rPr>
          <w:rFonts w:hint="eastAsia" w:ascii="宋体" w:hAnsi="宋体" w:cs="宋体"/>
          <w:color w:val="auto"/>
          <w:sz w:val="24"/>
          <w:highlight w:val="none"/>
        </w:rPr>
        <w:t>《压力容器》。</w:t>
      </w:r>
    </w:p>
    <w:p w14:paraId="56377D3C">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TSG 21-2016《压力容器安全技术监察规程》。</w:t>
      </w:r>
    </w:p>
    <w:p w14:paraId="58D5235D">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xml:space="preserve">■ </w:t>
      </w:r>
      <w:r>
        <w:rPr>
          <w:rFonts w:ascii="宋体" w:hAnsi="宋体" w:cs="宋体"/>
          <w:bCs/>
          <w:color w:val="auto"/>
          <w:sz w:val="24"/>
          <w:highlight w:val="none"/>
        </w:rPr>
        <w:t>NB/T 47042-2014《卧式容器》</w:t>
      </w:r>
      <w:r>
        <w:rPr>
          <w:rFonts w:hint="eastAsia" w:ascii="宋体" w:hAnsi="宋体" w:cs="宋体"/>
          <w:color w:val="auto"/>
          <w:sz w:val="24"/>
          <w:highlight w:val="none"/>
        </w:rPr>
        <w:t>。</w:t>
      </w:r>
    </w:p>
    <w:p w14:paraId="3EBDBCBA">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xml:space="preserve">■ </w:t>
      </w:r>
      <w:r>
        <w:rPr>
          <w:rFonts w:ascii="宋体" w:hAnsi="宋体" w:cs="宋体"/>
          <w:bCs/>
          <w:color w:val="auto"/>
          <w:sz w:val="24"/>
          <w:highlight w:val="none"/>
        </w:rPr>
        <w:t>NB/T 47007-2010（JB/T 4758）《空冷式热交换器》</w:t>
      </w:r>
      <w:r>
        <w:rPr>
          <w:rFonts w:hint="eastAsia" w:ascii="宋体" w:hAnsi="宋体" w:cs="宋体"/>
          <w:color w:val="auto"/>
          <w:sz w:val="24"/>
          <w:highlight w:val="none"/>
        </w:rPr>
        <w:t>。</w:t>
      </w:r>
    </w:p>
    <w:p w14:paraId="38FE53CA">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齿轮箱标准： </w:t>
      </w:r>
    </w:p>
    <w:p w14:paraId="277EA042">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xml:space="preserve">■ </w:t>
      </w:r>
      <w:bookmarkStart w:id="142" w:name="OLE_LINK12"/>
      <w:r>
        <w:rPr>
          <w:rFonts w:ascii="宋体" w:hAnsi="宋体" w:cs="宋体"/>
          <w:bCs/>
          <w:color w:val="auto"/>
          <w:sz w:val="24"/>
          <w:highlight w:val="none"/>
        </w:rPr>
        <w:t>API STD 613-2021</w:t>
      </w:r>
      <w:r>
        <w:rPr>
          <w:rFonts w:hint="eastAsia" w:ascii="宋体" w:hAnsi="宋体" w:cs="宋体"/>
          <w:color w:val="auto"/>
          <w:sz w:val="24"/>
          <w:highlight w:val="none"/>
        </w:rPr>
        <w:t xml:space="preserve"> 《用于石油、化工及气体工业的专用齿轮装置》</w:t>
      </w:r>
      <w:bookmarkEnd w:id="142"/>
      <w:r>
        <w:rPr>
          <w:rFonts w:hint="eastAsia" w:ascii="宋体" w:hAnsi="宋体" w:cs="宋体"/>
          <w:color w:val="auto"/>
          <w:sz w:val="24"/>
          <w:highlight w:val="none"/>
        </w:rPr>
        <w:t>。</w:t>
      </w:r>
    </w:p>
    <w:p w14:paraId="46ED8CE8">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 电动机</w:t>
      </w:r>
    </w:p>
    <w:p w14:paraId="353FF2F5">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GB/T755-2019《旋转电机 定额和性能》。</w:t>
      </w:r>
    </w:p>
    <w:p w14:paraId="010E5149">
      <w:pPr>
        <w:autoSpaceDE w:val="0"/>
        <w:autoSpaceDN w:val="0"/>
        <w:snapToGrid w:val="0"/>
        <w:spacing w:line="360" w:lineRule="auto"/>
        <w:ind w:firstLine="480" w:firstLineChars="200"/>
        <w:textAlignment w:val="bottom"/>
        <w:rPr>
          <w:rFonts w:ascii="宋体" w:hAnsi="宋体" w:cs="宋体"/>
          <w:b/>
          <w:bCs/>
          <w:color w:val="auto"/>
          <w:sz w:val="24"/>
          <w:highlight w:val="none"/>
        </w:rPr>
      </w:pPr>
      <w:r>
        <w:rPr>
          <w:rFonts w:hint="eastAsia" w:ascii="宋体" w:hAnsi="宋体" w:cs="宋体"/>
          <w:color w:val="auto"/>
          <w:sz w:val="24"/>
          <w:highlight w:val="none"/>
        </w:rPr>
        <w:t xml:space="preserve">■ </w:t>
      </w:r>
      <w:bookmarkStart w:id="143" w:name="OLE_LINK14"/>
      <w:bookmarkStart w:id="144" w:name="OLE_LINK13"/>
      <w:r>
        <w:rPr>
          <w:rFonts w:ascii="宋体" w:hAnsi="宋体" w:cs="宋体"/>
          <w:color w:val="auto"/>
          <w:sz w:val="24"/>
          <w:highlight w:val="none"/>
        </w:rPr>
        <w:t>GB 30254-2024</w:t>
      </w:r>
      <w:r>
        <w:rPr>
          <w:rFonts w:hint="eastAsia" w:ascii="宋体" w:hAnsi="宋体" w:cs="宋体"/>
          <w:color w:val="auto"/>
          <w:sz w:val="24"/>
          <w:highlight w:val="none"/>
        </w:rPr>
        <w:t>《高压三相笼型异步电动机能效定值及能效等级》</w:t>
      </w:r>
      <w:bookmarkEnd w:id="143"/>
      <w:bookmarkEnd w:id="144"/>
      <w:r>
        <w:rPr>
          <w:rFonts w:hint="eastAsia" w:ascii="宋体" w:hAnsi="宋体" w:cs="宋体"/>
          <w:color w:val="auto"/>
          <w:sz w:val="24"/>
          <w:highlight w:val="none"/>
        </w:rPr>
        <w:t>。</w:t>
      </w:r>
    </w:p>
    <w:p w14:paraId="42AFF9AA">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GB18613-2020《电动机能效限定值及能效等级》</w:t>
      </w:r>
    </w:p>
    <w:p w14:paraId="77F0CCB8">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联轴器：</w:t>
      </w:r>
    </w:p>
    <w:p w14:paraId="6EC0DF8C">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xml:space="preserve">■ </w:t>
      </w:r>
      <w:bookmarkStart w:id="145" w:name="OLE_LINK16"/>
      <w:bookmarkStart w:id="146" w:name="OLE_LINK15"/>
      <w:r>
        <w:rPr>
          <w:rFonts w:ascii="宋体" w:hAnsi="宋体" w:cs="宋体"/>
          <w:bCs/>
          <w:color w:val="auto"/>
          <w:sz w:val="24"/>
          <w:highlight w:val="none"/>
        </w:rPr>
        <w:t>API STD 671-2022</w:t>
      </w:r>
      <w:r>
        <w:rPr>
          <w:rFonts w:hint="eastAsia" w:ascii="宋体" w:hAnsi="宋体" w:cs="宋体"/>
          <w:color w:val="auto"/>
          <w:sz w:val="24"/>
          <w:highlight w:val="none"/>
        </w:rPr>
        <w:t>《石油、化学和气体工业用特殊用途联轴器》</w:t>
      </w:r>
      <w:bookmarkEnd w:id="145"/>
      <w:bookmarkEnd w:id="146"/>
      <w:r>
        <w:rPr>
          <w:rFonts w:hint="eastAsia" w:ascii="宋体" w:hAnsi="宋体" w:cs="宋体"/>
          <w:color w:val="auto"/>
          <w:sz w:val="24"/>
          <w:highlight w:val="none"/>
        </w:rPr>
        <w:t>。</w:t>
      </w:r>
    </w:p>
    <w:p w14:paraId="47470209">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非接触式轴位移、轴振动测量系统：</w:t>
      </w:r>
    </w:p>
    <w:p w14:paraId="22A8831E">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xml:space="preserve">■ </w:t>
      </w:r>
      <w:bookmarkStart w:id="147" w:name="OLE_LINK18"/>
      <w:bookmarkStart w:id="148" w:name="OLE_LINK17"/>
      <w:r>
        <w:rPr>
          <w:rFonts w:ascii="宋体" w:hAnsi="宋体" w:cs="宋体"/>
          <w:bCs/>
          <w:color w:val="auto"/>
          <w:sz w:val="24"/>
          <w:highlight w:val="none"/>
        </w:rPr>
        <w:t>API STD 670-2022</w:t>
      </w:r>
      <w:r>
        <w:rPr>
          <w:rFonts w:hint="eastAsia" w:ascii="宋体" w:hAnsi="宋体" w:cs="宋体"/>
          <w:color w:val="auto"/>
          <w:sz w:val="24"/>
          <w:highlight w:val="none"/>
        </w:rPr>
        <w:t>《机组保护系统》</w:t>
      </w:r>
      <w:bookmarkEnd w:id="147"/>
      <w:bookmarkEnd w:id="148"/>
      <w:r>
        <w:rPr>
          <w:rFonts w:hint="eastAsia" w:ascii="宋体" w:hAnsi="宋体" w:cs="宋体"/>
          <w:color w:val="auto"/>
          <w:sz w:val="24"/>
          <w:highlight w:val="none"/>
        </w:rPr>
        <w:t>。</w:t>
      </w:r>
    </w:p>
    <w:p w14:paraId="7924B92E">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噪声标准：</w:t>
      </w:r>
    </w:p>
    <w:p w14:paraId="10B8B997">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SH/T3024-2017《石油化工企业环境保护设计规范》。</w:t>
      </w:r>
    </w:p>
    <w:p w14:paraId="18F17801">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电器仪表设备：</w:t>
      </w:r>
    </w:p>
    <w:p w14:paraId="4E60305A">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API 670-2014《振动、轴位移和轴承温度监测系统》</w:t>
      </w:r>
    </w:p>
    <w:p w14:paraId="033BE5CD">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HG/T 20505-2014《过程检测和控制系统用文字代号和图形符号》</w:t>
      </w:r>
    </w:p>
    <w:p w14:paraId="64844C44">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HG/T 20511-2014《信号报警及联锁系统设计规范》</w:t>
      </w:r>
    </w:p>
    <w:p w14:paraId="6FA97BF5">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SH/T 3005-2016《石油化工自动化仪表选型设计规范》</w:t>
      </w:r>
    </w:p>
    <w:p w14:paraId="6C9D26AA">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GB/T 50770-2013《石油化工安全仪表系统设计规范》</w:t>
      </w:r>
    </w:p>
    <w:p w14:paraId="02AD87DD">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SH/T 3019-2016《石油化工仪表管道线路设计规范》</w:t>
      </w:r>
    </w:p>
    <w:p w14:paraId="7C01970E">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SH/T 3081-2019《石油化工仪表接地设计规范》 </w:t>
      </w:r>
    </w:p>
    <w:p w14:paraId="5F8A21F0">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SH/T 3082-2019《石油化工仪表供电设计规范》          </w:t>
      </w:r>
    </w:p>
    <w:p w14:paraId="2EE4170E">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SH/T 3092-2013《石油化工分散控制系统设计规范》            </w:t>
      </w:r>
    </w:p>
    <w:p w14:paraId="1C57C282">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SHB-Z03-1995《过程用二进制逻辑图》                     </w:t>
      </w:r>
    </w:p>
    <w:p w14:paraId="5683899A">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SHB-Z06-1999《石油化工紧急停车及安全联锁系统设计导则》   </w:t>
      </w:r>
    </w:p>
    <w:p w14:paraId="18B935E0">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GB 50058-2014《爆炸危害环境电力装置设计规范》           </w:t>
      </w:r>
    </w:p>
    <w:p w14:paraId="5BDB1D15">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GB/T 3836.1-2021《爆炸性环境用防爆电气设备  通用要求》  </w:t>
      </w:r>
    </w:p>
    <w:p w14:paraId="333252E7">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xml:space="preserve">■ GB/T 3836.2-2021《爆炸性环境用防爆电气设备  隔爆型电气设备“d ”》 </w:t>
      </w:r>
    </w:p>
    <w:p w14:paraId="09C0C765">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GB/T 3836.3-2021《爆炸性环境用防爆电气设备  增安型电气设备“e ”》</w:t>
      </w:r>
    </w:p>
    <w:p w14:paraId="3F6A27D0">
      <w:pPr>
        <w:autoSpaceDE w:val="0"/>
        <w:autoSpaceDN w:val="0"/>
        <w:snapToGrid w:val="0"/>
        <w:spacing w:line="360" w:lineRule="auto"/>
        <w:ind w:firstLine="480"/>
        <w:textAlignment w:val="bottom"/>
        <w:rPr>
          <w:rFonts w:ascii="宋体" w:hAnsi="宋体" w:cs="宋体"/>
          <w:color w:val="auto"/>
          <w:sz w:val="24"/>
          <w:highlight w:val="none"/>
        </w:rPr>
      </w:pPr>
      <w:r>
        <w:rPr>
          <w:rFonts w:hint="eastAsia" w:ascii="宋体" w:hAnsi="宋体" w:cs="宋体"/>
          <w:color w:val="auto"/>
          <w:sz w:val="24"/>
          <w:highlight w:val="none"/>
        </w:rPr>
        <w:t>■ GB/T 3836.4-2021《爆炸性环境用防爆电气设备  本质安全型电气设备“i ”》</w:t>
      </w:r>
    </w:p>
    <w:p w14:paraId="4B9C99D5">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性能试验标准和规范：</w:t>
      </w:r>
    </w:p>
    <w:p w14:paraId="6BFE3FB4">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■ASME-PTC-10-1997《压缩机和排气机的性能测试规范》。</w:t>
      </w:r>
    </w:p>
    <w:p w14:paraId="4E5E0ED9">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■JB/T 3165-1999《离心和轴流式鼓风机和压缩机热力性能试验》。</w:t>
      </w:r>
    </w:p>
    <w:p w14:paraId="291FF10B">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转子动平衡试验标准：</w:t>
      </w:r>
    </w:p>
    <w:p w14:paraId="2A8E2AD2">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API617-2014《石油、化学和气体工业用轴流、离心压缩机及膨胀机-压缩机》。</w:t>
      </w:r>
    </w:p>
    <w:p w14:paraId="227512C3">
      <w:pPr>
        <w:autoSpaceDE w:val="0"/>
        <w:autoSpaceDN w:val="0"/>
        <w:snapToGrid w:val="0"/>
        <w:spacing w:line="360" w:lineRule="auto"/>
        <w:ind w:firstLine="480" w:firstLineChars="200"/>
        <w:textAlignment w:val="bottom"/>
        <w:rPr>
          <w:rFonts w:ascii="宋体" w:hAnsi="宋体" w:cs="宋体"/>
          <w:color w:val="auto"/>
          <w:sz w:val="24"/>
          <w:highlight w:val="none"/>
        </w:rPr>
      </w:pPr>
      <w:r>
        <w:rPr>
          <w:rFonts w:hint="eastAsia" w:ascii="宋体" w:hAnsi="宋体" w:cs="宋体"/>
          <w:color w:val="auto"/>
          <w:sz w:val="24"/>
          <w:highlight w:val="none"/>
        </w:rPr>
        <w:t>■ ISO 21940-1-2003《机械振动-刚性转子的平衡质量要求-第一部分：平衡公差的规范和检定》</w:t>
      </w:r>
    </w:p>
    <w:p w14:paraId="0D08371A">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标准优先原则：当不同文件发生矛盾时，其优先原则是： </w:t>
      </w:r>
    </w:p>
    <w:p w14:paraId="5C1139F8">
      <w:pPr>
        <w:numPr>
          <w:ilvl w:val="0"/>
          <w:numId w:val="29"/>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合同后的会议纪要、招投标双方确认后的传真；</w:t>
      </w:r>
    </w:p>
    <w:p w14:paraId="53D8F23B">
      <w:pPr>
        <w:numPr>
          <w:ilvl w:val="0"/>
          <w:numId w:val="29"/>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商务合同及技术附件；</w:t>
      </w:r>
    </w:p>
    <w:p w14:paraId="723EF4E0">
      <w:pPr>
        <w:numPr>
          <w:ilvl w:val="0"/>
          <w:numId w:val="29"/>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询价文件；</w:t>
      </w:r>
    </w:p>
    <w:p w14:paraId="70989224">
      <w:pPr>
        <w:numPr>
          <w:ilvl w:val="0"/>
          <w:numId w:val="29"/>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API标准和其他标准及规范；</w:t>
      </w:r>
    </w:p>
    <w:p w14:paraId="03F53725">
      <w:pPr>
        <w:numPr>
          <w:ilvl w:val="0"/>
          <w:numId w:val="29"/>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有利于设备安稳长满优运行。</w:t>
      </w:r>
    </w:p>
    <w:p w14:paraId="642401D9">
      <w:pPr>
        <w:numPr>
          <w:ilvl w:val="1"/>
          <w:numId w:val="2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标准均以最新版为准。</w:t>
      </w:r>
    </w:p>
    <w:p w14:paraId="141C2B65">
      <w:pPr>
        <w:adjustRightInd w:val="0"/>
        <w:snapToGrid w:val="0"/>
        <w:spacing w:line="360" w:lineRule="auto"/>
        <w:outlineLvl w:val="0"/>
        <w:rPr>
          <w:rFonts w:ascii="宋体" w:hAnsi="宋体"/>
          <w:b/>
          <w:bCs/>
          <w:color w:val="auto"/>
          <w:sz w:val="24"/>
          <w:highlight w:val="none"/>
        </w:rPr>
      </w:pPr>
      <w:bookmarkStart w:id="149" w:name="_Toc195433164"/>
      <w:r>
        <w:rPr>
          <w:rFonts w:ascii="宋体" w:hAnsi="宋体"/>
          <w:b/>
          <w:bCs/>
          <w:color w:val="auto"/>
          <w:sz w:val="24"/>
          <w:highlight w:val="none"/>
        </w:rPr>
        <w:t>9.检测与检验要求</w:t>
      </w:r>
      <w:bookmarkEnd w:id="149"/>
      <w:r>
        <w:rPr>
          <w:rFonts w:ascii="宋体" w:hAnsi="宋体"/>
          <w:b/>
          <w:bCs/>
          <w:color w:val="auto"/>
          <w:sz w:val="24"/>
          <w:highlight w:val="none"/>
        </w:rPr>
        <w:t xml:space="preserve"> </w:t>
      </w:r>
    </w:p>
    <w:p w14:paraId="245EE54B">
      <w:pPr>
        <w:numPr>
          <w:ilvl w:val="2"/>
          <w:numId w:val="30"/>
        </w:numPr>
        <w:spacing w:line="360" w:lineRule="auto"/>
        <w:rPr>
          <w:rFonts w:ascii="宋体" w:hAnsi="宋体" w:cs="宋体"/>
          <w:color w:val="auto"/>
          <w:sz w:val="24"/>
          <w:highlight w:val="none"/>
        </w:rPr>
      </w:pPr>
      <w:r>
        <w:rPr>
          <w:rFonts w:hint="eastAsia" w:ascii="宋体" w:hAnsi="宋体" w:cs="宋体"/>
          <w:color w:val="auto"/>
          <w:sz w:val="24"/>
          <w:highlight w:val="none"/>
        </w:rPr>
        <w:t>压缩机组检验项目</w:t>
      </w:r>
    </w:p>
    <w:p w14:paraId="06901239">
      <w:pPr>
        <w:numPr>
          <w:ilvl w:val="0"/>
          <w:numId w:val="31"/>
        </w:numPr>
        <w:snapToGrid w:val="0"/>
        <w:spacing w:line="360" w:lineRule="auto"/>
        <w:ind w:left="420"/>
        <w:jc w:val="left"/>
        <w:rPr>
          <w:rFonts w:ascii="宋体" w:hAnsi="宋体" w:cs="宋体"/>
          <w:color w:val="auto"/>
          <w:sz w:val="24"/>
          <w:highlight w:val="none"/>
        </w:rPr>
      </w:pPr>
      <w:r>
        <w:rPr>
          <w:rFonts w:hint="eastAsia" w:ascii="宋体" w:hAnsi="宋体" w:cs="宋体"/>
          <w:color w:val="auto"/>
          <w:sz w:val="24"/>
          <w:highlight w:val="none"/>
        </w:rPr>
        <w:t>离心压缩机</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6499"/>
      </w:tblGrid>
      <w:tr w14:paraId="6821C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6478CBAA">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6499" w:type="dxa"/>
            <w:vAlign w:val="center"/>
          </w:tcPr>
          <w:p w14:paraId="62C0FD37">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检查项目</w:t>
            </w:r>
          </w:p>
        </w:tc>
      </w:tr>
      <w:tr w14:paraId="0514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71AA69F8">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壳体</w:t>
            </w:r>
          </w:p>
        </w:tc>
        <w:tc>
          <w:tcPr>
            <w:tcW w:w="6499" w:type="dxa"/>
            <w:vAlign w:val="center"/>
          </w:tcPr>
          <w:p w14:paraId="1AE1D86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化学成分、机械性能、焊缝进行X射线探伤（机壳及风筒对接焊缝）、焊缝进行超声波探伤、焊缝进行着色检查</w:t>
            </w:r>
          </w:p>
        </w:tc>
      </w:tr>
      <w:tr w14:paraId="4E399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2094945E">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隔板</w:t>
            </w:r>
          </w:p>
        </w:tc>
        <w:tc>
          <w:tcPr>
            <w:tcW w:w="6499" w:type="dxa"/>
            <w:vAlign w:val="center"/>
          </w:tcPr>
          <w:p w14:paraId="7180150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w:t>
            </w:r>
          </w:p>
        </w:tc>
      </w:tr>
      <w:tr w14:paraId="2B08C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56CD7DF4">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主轴</w:t>
            </w:r>
          </w:p>
        </w:tc>
        <w:tc>
          <w:tcPr>
            <w:tcW w:w="6499" w:type="dxa"/>
            <w:vAlign w:val="center"/>
          </w:tcPr>
          <w:p w14:paraId="62057A35">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化学成分、机械性能、超声波探伤、磁粉探伤</w:t>
            </w:r>
          </w:p>
        </w:tc>
      </w:tr>
      <w:tr w14:paraId="36556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08FFCEF0">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叶轮</w:t>
            </w:r>
          </w:p>
        </w:tc>
        <w:tc>
          <w:tcPr>
            <w:tcW w:w="6499" w:type="dxa"/>
            <w:vAlign w:val="center"/>
          </w:tcPr>
          <w:p w14:paraId="3B97F21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化学成分、机械性能、超声波探伤、磁粉探伤、着色检查</w:t>
            </w:r>
          </w:p>
        </w:tc>
      </w:tr>
      <w:tr w14:paraId="3D4FC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3937A540">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转子</w:t>
            </w:r>
          </w:p>
        </w:tc>
        <w:tc>
          <w:tcPr>
            <w:tcW w:w="6499" w:type="dxa"/>
            <w:vAlign w:val="center"/>
          </w:tcPr>
          <w:p w14:paraId="374A560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电跳动检查、机械跳动检查</w:t>
            </w:r>
          </w:p>
        </w:tc>
      </w:tr>
      <w:tr w14:paraId="42FD8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4" w:type="dxa"/>
            <w:vAlign w:val="center"/>
          </w:tcPr>
          <w:p w14:paraId="3B3EF362">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主机</w:t>
            </w:r>
          </w:p>
        </w:tc>
        <w:tc>
          <w:tcPr>
            <w:tcW w:w="6499" w:type="dxa"/>
            <w:vAlign w:val="center"/>
          </w:tcPr>
          <w:p w14:paraId="4EFCC70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定子和转子间隙检查、转子轴向串动检查</w:t>
            </w:r>
          </w:p>
        </w:tc>
      </w:tr>
    </w:tbl>
    <w:p w14:paraId="70457C2E">
      <w:pPr>
        <w:numPr>
          <w:ilvl w:val="0"/>
          <w:numId w:val="31"/>
        </w:numPr>
        <w:snapToGrid w:val="0"/>
        <w:spacing w:line="360" w:lineRule="auto"/>
        <w:ind w:left="420"/>
        <w:jc w:val="left"/>
        <w:rPr>
          <w:rFonts w:ascii="宋体" w:hAnsi="宋体" w:cs="宋体"/>
          <w:color w:val="auto"/>
          <w:sz w:val="24"/>
          <w:highlight w:val="none"/>
        </w:rPr>
      </w:pPr>
      <w:r>
        <w:rPr>
          <w:rFonts w:hint="eastAsia" w:ascii="宋体" w:hAnsi="宋体" w:cs="宋体"/>
          <w:color w:val="auto"/>
          <w:sz w:val="24"/>
          <w:highlight w:val="none"/>
        </w:rPr>
        <w:t>润滑油系统</w:t>
      </w:r>
    </w:p>
    <w:tbl>
      <w:tblPr>
        <w:tblStyle w:val="19"/>
        <w:tblW w:w="0" w:type="auto"/>
        <w:tblInd w:w="10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2"/>
        <w:gridCol w:w="5819"/>
      </w:tblGrid>
      <w:tr w14:paraId="44098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2" w:type="dxa"/>
            <w:vAlign w:val="center"/>
          </w:tcPr>
          <w:p w14:paraId="1F95F6D4">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5819" w:type="dxa"/>
            <w:vAlign w:val="center"/>
          </w:tcPr>
          <w:p w14:paraId="2FE8ACE7">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检查项目</w:t>
            </w:r>
          </w:p>
        </w:tc>
      </w:tr>
      <w:tr w14:paraId="76A23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2" w:type="dxa"/>
            <w:vAlign w:val="center"/>
          </w:tcPr>
          <w:p w14:paraId="6445F274">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油箱</w:t>
            </w:r>
          </w:p>
        </w:tc>
        <w:tc>
          <w:tcPr>
            <w:tcW w:w="5819" w:type="dxa"/>
            <w:vAlign w:val="center"/>
          </w:tcPr>
          <w:p w14:paraId="6F154E2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材料一致性检验、尺寸检验、清洁度检验、外观检验</w:t>
            </w:r>
          </w:p>
        </w:tc>
      </w:tr>
      <w:tr w14:paraId="61D4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2" w:type="dxa"/>
            <w:vAlign w:val="center"/>
          </w:tcPr>
          <w:p w14:paraId="322F04C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底座</w:t>
            </w:r>
          </w:p>
        </w:tc>
        <w:tc>
          <w:tcPr>
            <w:tcW w:w="5819" w:type="dxa"/>
            <w:vAlign w:val="center"/>
          </w:tcPr>
          <w:p w14:paraId="6B156228">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材料一致性检验、尺寸检验、外观检验</w:t>
            </w:r>
          </w:p>
        </w:tc>
      </w:tr>
      <w:tr w14:paraId="7B2D6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2" w:type="dxa"/>
            <w:vAlign w:val="center"/>
          </w:tcPr>
          <w:p w14:paraId="3E79FC3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油冷却器</w:t>
            </w:r>
          </w:p>
        </w:tc>
        <w:tc>
          <w:tcPr>
            <w:tcW w:w="5819" w:type="dxa"/>
            <w:vAlign w:val="center"/>
          </w:tcPr>
          <w:p w14:paraId="167834F1">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尺寸检验、外观检验、清洁度检验</w:t>
            </w:r>
          </w:p>
        </w:tc>
      </w:tr>
      <w:tr w14:paraId="1342D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2" w:type="dxa"/>
            <w:vAlign w:val="center"/>
          </w:tcPr>
          <w:p w14:paraId="2E280EB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油过滤器</w:t>
            </w:r>
          </w:p>
        </w:tc>
        <w:tc>
          <w:tcPr>
            <w:tcW w:w="5819" w:type="dxa"/>
            <w:vAlign w:val="center"/>
          </w:tcPr>
          <w:p w14:paraId="7665D5D1">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尺寸检验、外观检验、清洁度检验</w:t>
            </w:r>
          </w:p>
        </w:tc>
      </w:tr>
      <w:tr w14:paraId="5DAAA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2" w:type="dxa"/>
            <w:vAlign w:val="center"/>
          </w:tcPr>
          <w:p w14:paraId="6CC57B9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油管路</w:t>
            </w:r>
          </w:p>
        </w:tc>
        <w:tc>
          <w:tcPr>
            <w:tcW w:w="5819" w:type="dxa"/>
            <w:vAlign w:val="center"/>
          </w:tcPr>
          <w:p w14:paraId="7AC9E604">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材料一致性检验、尺寸检验、外观检验</w:t>
            </w:r>
          </w:p>
        </w:tc>
      </w:tr>
    </w:tbl>
    <w:p w14:paraId="6F84ABB2">
      <w:pPr>
        <w:numPr>
          <w:ilvl w:val="0"/>
          <w:numId w:val="31"/>
        </w:numPr>
        <w:snapToGrid w:val="0"/>
        <w:spacing w:line="360" w:lineRule="auto"/>
        <w:ind w:left="420"/>
        <w:jc w:val="left"/>
        <w:rPr>
          <w:rFonts w:ascii="宋体" w:hAnsi="宋体" w:cs="宋体"/>
          <w:color w:val="auto"/>
          <w:sz w:val="24"/>
          <w:highlight w:val="none"/>
        </w:rPr>
      </w:pPr>
      <w:r>
        <w:rPr>
          <w:rFonts w:hint="eastAsia" w:ascii="宋体" w:hAnsi="宋体" w:cs="宋体"/>
          <w:color w:val="auto"/>
          <w:sz w:val="24"/>
          <w:highlight w:val="none"/>
        </w:rPr>
        <w:t>齿轮箱</w:t>
      </w:r>
    </w:p>
    <w:tbl>
      <w:tblPr>
        <w:tblStyle w:val="19"/>
        <w:tblW w:w="0" w:type="auto"/>
        <w:tblInd w:w="10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9"/>
        <w:gridCol w:w="5554"/>
      </w:tblGrid>
      <w:tr w14:paraId="68CEF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vAlign w:val="center"/>
          </w:tcPr>
          <w:p w14:paraId="508CF663">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5554" w:type="dxa"/>
            <w:vAlign w:val="center"/>
          </w:tcPr>
          <w:p w14:paraId="299F07E6">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检查项目</w:t>
            </w:r>
          </w:p>
        </w:tc>
      </w:tr>
      <w:tr w14:paraId="3029A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vAlign w:val="center"/>
          </w:tcPr>
          <w:p w14:paraId="64E718CD">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箱体</w:t>
            </w:r>
          </w:p>
        </w:tc>
        <w:tc>
          <w:tcPr>
            <w:tcW w:w="5554" w:type="dxa"/>
            <w:vAlign w:val="center"/>
          </w:tcPr>
          <w:p w14:paraId="56235F5C">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化学成分、液体渗透、尺寸检查、组装检查、外观检查</w:t>
            </w:r>
          </w:p>
        </w:tc>
      </w:tr>
      <w:tr w14:paraId="79F4B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vAlign w:val="center"/>
          </w:tcPr>
          <w:p w14:paraId="7DD3E83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小齿轮</w:t>
            </w:r>
          </w:p>
        </w:tc>
        <w:tc>
          <w:tcPr>
            <w:tcW w:w="5554" w:type="dxa"/>
            <w:vAlign w:val="center"/>
          </w:tcPr>
          <w:p w14:paraId="164BC91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化学成分、机械性能、超声波探伤、磁粉探伤、尺寸检查、组装检查、外观检查</w:t>
            </w:r>
          </w:p>
        </w:tc>
      </w:tr>
      <w:tr w14:paraId="7CF49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vAlign w:val="center"/>
          </w:tcPr>
          <w:p w14:paraId="33848F65">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大齿轮</w:t>
            </w:r>
          </w:p>
        </w:tc>
        <w:tc>
          <w:tcPr>
            <w:tcW w:w="5554" w:type="dxa"/>
            <w:vAlign w:val="center"/>
          </w:tcPr>
          <w:p w14:paraId="29BBBAD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化学成分、机械性能、超声波探伤、磁粉探伤、尺寸检查、组装检查、外观检查</w:t>
            </w:r>
          </w:p>
        </w:tc>
      </w:tr>
      <w:tr w14:paraId="15DC8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vAlign w:val="center"/>
          </w:tcPr>
          <w:p w14:paraId="0F77D3B0">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轮轴</w:t>
            </w:r>
          </w:p>
        </w:tc>
        <w:tc>
          <w:tcPr>
            <w:tcW w:w="5554" w:type="dxa"/>
            <w:vAlign w:val="center"/>
          </w:tcPr>
          <w:p w14:paraId="2463BFA0">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化学成分、机械性能、超声波探伤、磁粉探伤、尺寸检查、组装检查、外观检查</w:t>
            </w:r>
          </w:p>
        </w:tc>
      </w:tr>
      <w:tr w14:paraId="59311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609" w:type="dxa"/>
            <w:vAlign w:val="center"/>
          </w:tcPr>
          <w:p w14:paraId="03178E91">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轴承体</w:t>
            </w:r>
          </w:p>
        </w:tc>
        <w:tc>
          <w:tcPr>
            <w:tcW w:w="5554" w:type="dxa"/>
            <w:vAlign w:val="center"/>
          </w:tcPr>
          <w:p w14:paraId="7939342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化学成分、机械性能、超声波探伤、尺寸检查、组装检查、外观检查</w:t>
            </w:r>
          </w:p>
        </w:tc>
      </w:tr>
      <w:tr w14:paraId="3C916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vAlign w:val="center"/>
          </w:tcPr>
          <w:p w14:paraId="78255CE5">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齿轮箱组装</w:t>
            </w:r>
          </w:p>
        </w:tc>
        <w:tc>
          <w:tcPr>
            <w:tcW w:w="5554" w:type="dxa"/>
            <w:vAlign w:val="center"/>
          </w:tcPr>
          <w:p w14:paraId="148CB5A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尺寸检查、组装检查、外观检查</w:t>
            </w:r>
          </w:p>
        </w:tc>
      </w:tr>
    </w:tbl>
    <w:p w14:paraId="2FB863BD">
      <w:pPr>
        <w:numPr>
          <w:ilvl w:val="0"/>
          <w:numId w:val="31"/>
        </w:numPr>
        <w:snapToGrid w:val="0"/>
        <w:spacing w:line="360" w:lineRule="auto"/>
        <w:ind w:left="420"/>
        <w:jc w:val="left"/>
        <w:rPr>
          <w:rFonts w:ascii="宋体" w:hAnsi="宋体" w:cs="宋体"/>
          <w:color w:val="auto"/>
          <w:sz w:val="24"/>
          <w:highlight w:val="none"/>
        </w:rPr>
      </w:pPr>
      <w:r>
        <w:rPr>
          <w:rFonts w:hint="eastAsia" w:ascii="宋体" w:hAnsi="宋体" w:cs="宋体"/>
          <w:color w:val="auto"/>
          <w:sz w:val="24"/>
          <w:highlight w:val="none"/>
        </w:rPr>
        <w:t>压力容器</w:t>
      </w:r>
    </w:p>
    <w:tbl>
      <w:tblPr>
        <w:tblStyle w:val="19"/>
        <w:tblW w:w="0" w:type="auto"/>
        <w:tblInd w:w="10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1"/>
        <w:gridCol w:w="5554"/>
      </w:tblGrid>
      <w:tr w14:paraId="4DBC9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vAlign w:val="center"/>
          </w:tcPr>
          <w:p w14:paraId="09F10496">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名称</w:t>
            </w:r>
          </w:p>
        </w:tc>
        <w:tc>
          <w:tcPr>
            <w:tcW w:w="5554" w:type="dxa"/>
            <w:vAlign w:val="center"/>
          </w:tcPr>
          <w:p w14:paraId="0E241826">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检查项目</w:t>
            </w:r>
          </w:p>
        </w:tc>
      </w:tr>
      <w:tr w14:paraId="6922F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vAlign w:val="center"/>
          </w:tcPr>
          <w:p w14:paraId="664EDB5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壳体</w:t>
            </w:r>
          </w:p>
        </w:tc>
        <w:tc>
          <w:tcPr>
            <w:tcW w:w="5554" w:type="dxa"/>
            <w:vAlign w:val="center"/>
          </w:tcPr>
          <w:p w14:paraId="572B9F5C">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材料检验、下料检验、组对检验、无损检测、外观及几何尺寸、清洁度检验</w:t>
            </w:r>
          </w:p>
        </w:tc>
      </w:tr>
      <w:tr w14:paraId="5B052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vAlign w:val="center"/>
          </w:tcPr>
          <w:p w14:paraId="7D7FAB34">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管束</w:t>
            </w:r>
          </w:p>
        </w:tc>
        <w:tc>
          <w:tcPr>
            <w:tcW w:w="5554" w:type="dxa"/>
            <w:vAlign w:val="center"/>
          </w:tcPr>
          <w:p w14:paraId="71A2BB6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材料检验、下料检验、装配检验、无损检测、外观及几何尺寸、清洁度检验</w:t>
            </w:r>
          </w:p>
        </w:tc>
      </w:tr>
      <w:tr w14:paraId="6A847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vAlign w:val="center"/>
          </w:tcPr>
          <w:p w14:paraId="301EDEC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水箱</w:t>
            </w:r>
          </w:p>
        </w:tc>
        <w:tc>
          <w:tcPr>
            <w:tcW w:w="5554" w:type="dxa"/>
            <w:vAlign w:val="center"/>
          </w:tcPr>
          <w:p w14:paraId="1FB95AFB">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材料检验、下料检验、组对检验、无损检测、外观及几何尺寸、清洁度检验</w:t>
            </w:r>
          </w:p>
        </w:tc>
      </w:tr>
      <w:tr w14:paraId="669D5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1" w:type="dxa"/>
            <w:vAlign w:val="center"/>
          </w:tcPr>
          <w:p w14:paraId="1B584C07">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最终产品</w:t>
            </w:r>
          </w:p>
        </w:tc>
        <w:tc>
          <w:tcPr>
            <w:tcW w:w="5554" w:type="dxa"/>
            <w:vAlign w:val="center"/>
          </w:tcPr>
          <w:p w14:paraId="11848E73">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装配检验、外观及几何尺寸、清洁度检验、防腐检验、包装检验、资料检验</w:t>
            </w:r>
          </w:p>
        </w:tc>
      </w:tr>
    </w:tbl>
    <w:p w14:paraId="12AD77B6">
      <w:pPr>
        <w:tabs>
          <w:tab w:val="left" w:pos="0"/>
        </w:tabs>
        <w:snapToGrid w:val="0"/>
        <w:spacing w:line="360" w:lineRule="auto"/>
        <w:ind w:left="420"/>
        <w:jc w:val="left"/>
        <w:rPr>
          <w:rFonts w:ascii="宋体" w:hAnsi="宋体" w:cs="宋体"/>
          <w:color w:val="auto"/>
          <w:sz w:val="24"/>
          <w:highlight w:val="none"/>
        </w:rPr>
      </w:pPr>
    </w:p>
    <w:p w14:paraId="7B28420A">
      <w:pPr>
        <w:numPr>
          <w:ilvl w:val="0"/>
          <w:numId w:val="31"/>
        </w:numPr>
        <w:snapToGrid w:val="0"/>
        <w:spacing w:line="360" w:lineRule="auto"/>
        <w:ind w:left="420"/>
        <w:jc w:val="left"/>
        <w:rPr>
          <w:rFonts w:ascii="宋体" w:hAnsi="宋体" w:cs="宋体"/>
          <w:color w:val="auto"/>
          <w:sz w:val="24"/>
          <w:highlight w:val="none"/>
        </w:rPr>
      </w:pPr>
      <w:r>
        <w:rPr>
          <w:rFonts w:hint="eastAsia" w:ascii="宋体" w:hAnsi="宋体" w:cs="宋体"/>
          <w:color w:val="auto"/>
          <w:sz w:val="24"/>
          <w:highlight w:val="none"/>
        </w:rPr>
        <w:t>冷却器</w:t>
      </w:r>
    </w:p>
    <w:tbl>
      <w:tblPr>
        <w:tblStyle w:val="19"/>
        <w:tblW w:w="0" w:type="auto"/>
        <w:tblInd w:w="1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5386"/>
      </w:tblGrid>
      <w:tr w14:paraId="33B7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3C494757">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名   称</w:t>
            </w:r>
          </w:p>
        </w:tc>
        <w:tc>
          <w:tcPr>
            <w:tcW w:w="5386" w:type="dxa"/>
          </w:tcPr>
          <w:p w14:paraId="7C968C78">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检查项目</w:t>
            </w:r>
          </w:p>
        </w:tc>
      </w:tr>
      <w:tr w14:paraId="5394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6A06C76C">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壳体</w:t>
            </w:r>
          </w:p>
        </w:tc>
        <w:tc>
          <w:tcPr>
            <w:tcW w:w="5386" w:type="dxa"/>
          </w:tcPr>
          <w:p w14:paraId="39EAC331">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材料检验、下料检验、组对检验、无损检测、外观及几何尺寸、清洁度检验</w:t>
            </w:r>
          </w:p>
        </w:tc>
      </w:tr>
      <w:tr w14:paraId="59AB7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27668732">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管束</w:t>
            </w:r>
          </w:p>
        </w:tc>
        <w:tc>
          <w:tcPr>
            <w:tcW w:w="5386" w:type="dxa"/>
          </w:tcPr>
          <w:p w14:paraId="383275DE">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材料检验、下料检验、装配检验、无损检测、外观及几何尺寸、清洁度检验</w:t>
            </w:r>
          </w:p>
        </w:tc>
      </w:tr>
      <w:tr w14:paraId="690E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7FB629DD">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水箱</w:t>
            </w:r>
          </w:p>
        </w:tc>
        <w:tc>
          <w:tcPr>
            <w:tcW w:w="5386" w:type="dxa"/>
          </w:tcPr>
          <w:p w14:paraId="5462B993">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材料检验、下料检验、组对检验、无损检测、外观及几何尺寸、清洁度检验</w:t>
            </w:r>
          </w:p>
        </w:tc>
      </w:tr>
      <w:tr w14:paraId="6A5F4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14:paraId="33A2B46A">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最终产品</w:t>
            </w:r>
          </w:p>
        </w:tc>
        <w:tc>
          <w:tcPr>
            <w:tcW w:w="5386" w:type="dxa"/>
          </w:tcPr>
          <w:p w14:paraId="7920AF72">
            <w:pPr>
              <w:autoSpaceDE w:val="0"/>
              <w:autoSpaceDN w:val="0"/>
              <w:adjustRightInd w:val="0"/>
              <w:snapToGrid w:val="0"/>
              <w:textAlignment w:val="bottom"/>
              <w:rPr>
                <w:rFonts w:ascii="宋体" w:hAnsi="宋体" w:cs="宋体"/>
                <w:color w:val="auto"/>
                <w:sz w:val="24"/>
                <w:highlight w:val="none"/>
              </w:rPr>
            </w:pPr>
            <w:r>
              <w:rPr>
                <w:rFonts w:ascii="宋体" w:hAnsi="宋体" w:cs="宋体"/>
                <w:color w:val="auto"/>
                <w:sz w:val="24"/>
                <w:highlight w:val="none"/>
              </w:rPr>
              <w:t>装配检验、外观及几何尺寸、清洁度检验、防腐检验、包装检验、资料检验</w:t>
            </w:r>
          </w:p>
        </w:tc>
      </w:tr>
    </w:tbl>
    <w:p w14:paraId="0E7ABCE6">
      <w:pPr>
        <w:tabs>
          <w:tab w:val="left" w:pos="0"/>
        </w:tabs>
        <w:snapToGrid w:val="0"/>
        <w:spacing w:line="360" w:lineRule="auto"/>
        <w:jc w:val="left"/>
        <w:rPr>
          <w:rFonts w:ascii="宋体" w:hAnsi="宋体" w:cs="宋体"/>
          <w:color w:val="auto"/>
          <w:sz w:val="24"/>
          <w:highlight w:val="none"/>
        </w:rPr>
      </w:pPr>
    </w:p>
    <w:p w14:paraId="6080F394">
      <w:pPr>
        <w:numPr>
          <w:ilvl w:val="2"/>
          <w:numId w:val="30"/>
        </w:numPr>
        <w:spacing w:line="360" w:lineRule="auto"/>
        <w:rPr>
          <w:rFonts w:ascii="宋体" w:hAnsi="宋体" w:cs="宋体"/>
          <w:color w:val="auto"/>
          <w:sz w:val="24"/>
          <w:highlight w:val="none"/>
        </w:rPr>
      </w:pPr>
      <w:r>
        <w:rPr>
          <w:rFonts w:hint="eastAsia" w:ascii="宋体" w:hAnsi="宋体" w:cs="宋体"/>
          <w:color w:val="auto"/>
          <w:sz w:val="24"/>
          <w:highlight w:val="none"/>
        </w:rPr>
        <w:t>压缩机组试验项目</w:t>
      </w:r>
    </w:p>
    <w:p w14:paraId="6D7B4ADF">
      <w:pPr>
        <w:numPr>
          <w:ilvl w:val="0"/>
          <w:numId w:val="32"/>
        </w:numPr>
        <w:spacing w:line="360" w:lineRule="auto"/>
        <w:rPr>
          <w:rFonts w:ascii="宋体" w:hAnsi="宋体" w:cs="宋体"/>
          <w:color w:val="auto"/>
          <w:sz w:val="24"/>
          <w:highlight w:val="none"/>
        </w:rPr>
      </w:pPr>
      <w:r>
        <w:rPr>
          <w:rFonts w:hint="eastAsia" w:ascii="宋体" w:hAnsi="宋体" w:cs="宋体"/>
          <w:color w:val="auto"/>
          <w:sz w:val="24"/>
          <w:highlight w:val="none"/>
        </w:rPr>
        <w:t>离心压缩机</w:t>
      </w:r>
    </w:p>
    <w:p w14:paraId="5EAABA2D">
      <w:pPr>
        <w:numPr>
          <w:ilvl w:val="0"/>
          <w:numId w:val="33"/>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试验及用户见证项目：</w:t>
      </w:r>
    </w:p>
    <w:tbl>
      <w:tblPr>
        <w:tblStyle w:val="1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3"/>
        <w:gridCol w:w="1396"/>
        <w:gridCol w:w="1579"/>
      </w:tblGrid>
      <w:tr w14:paraId="250D8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963" w:type="dxa"/>
            <w:vMerge w:val="restart"/>
            <w:vAlign w:val="center"/>
          </w:tcPr>
          <w:p w14:paraId="0A05045A">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      称</w:t>
            </w:r>
          </w:p>
        </w:tc>
        <w:tc>
          <w:tcPr>
            <w:tcW w:w="2975" w:type="dxa"/>
            <w:gridSpan w:val="2"/>
            <w:vAlign w:val="center"/>
          </w:tcPr>
          <w:p w14:paraId="34DB8BE7">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要  求</w:t>
            </w:r>
          </w:p>
        </w:tc>
      </w:tr>
      <w:tr w14:paraId="1A9D3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963" w:type="dxa"/>
            <w:vMerge w:val="continue"/>
            <w:vAlign w:val="center"/>
          </w:tcPr>
          <w:p w14:paraId="1BFE2F52">
            <w:pPr>
              <w:autoSpaceDE w:val="0"/>
              <w:autoSpaceDN w:val="0"/>
              <w:adjustRightInd w:val="0"/>
              <w:snapToGrid w:val="0"/>
              <w:textAlignment w:val="bottom"/>
              <w:rPr>
                <w:rFonts w:ascii="宋体" w:hAnsi="宋体" w:cs="宋体"/>
                <w:color w:val="auto"/>
                <w:sz w:val="24"/>
                <w:highlight w:val="none"/>
              </w:rPr>
            </w:pPr>
          </w:p>
        </w:tc>
        <w:tc>
          <w:tcPr>
            <w:tcW w:w="1396" w:type="dxa"/>
            <w:vAlign w:val="center"/>
          </w:tcPr>
          <w:p w14:paraId="23118724">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需要</w:t>
            </w:r>
          </w:p>
        </w:tc>
        <w:tc>
          <w:tcPr>
            <w:tcW w:w="1579" w:type="dxa"/>
            <w:vAlign w:val="center"/>
          </w:tcPr>
          <w:p w14:paraId="6B4973B9">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招标人见证</w:t>
            </w:r>
          </w:p>
        </w:tc>
      </w:tr>
      <w:tr w14:paraId="225D1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5264A30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压缩机壳体水压试验</w:t>
            </w:r>
          </w:p>
        </w:tc>
        <w:tc>
          <w:tcPr>
            <w:tcW w:w="1396" w:type="dxa"/>
            <w:vAlign w:val="center"/>
          </w:tcPr>
          <w:p w14:paraId="16D70920">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3134BDB1">
            <w:pPr>
              <w:autoSpaceDE w:val="0"/>
              <w:autoSpaceDN w:val="0"/>
              <w:adjustRightInd w:val="0"/>
              <w:snapToGrid w:val="0"/>
              <w:jc w:val="center"/>
              <w:textAlignment w:val="bottom"/>
              <w:rPr>
                <w:rFonts w:ascii="宋体" w:hAnsi="宋体" w:cs="宋体"/>
                <w:color w:val="auto"/>
                <w:sz w:val="24"/>
                <w:highlight w:val="none"/>
              </w:rPr>
            </w:pPr>
          </w:p>
        </w:tc>
      </w:tr>
      <w:tr w14:paraId="68C4D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50DACFC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整机气体泄漏试验</w:t>
            </w:r>
          </w:p>
        </w:tc>
        <w:tc>
          <w:tcPr>
            <w:tcW w:w="1396" w:type="dxa"/>
            <w:vAlign w:val="center"/>
          </w:tcPr>
          <w:p w14:paraId="3F878BFF">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3CDF7C0A">
            <w:pPr>
              <w:autoSpaceDE w:val="0"/>
              <w:autoSpaceDN w:val="0"/>
              <w:adjustRightInd w:val="0"/>
              <w:snapToGrid w:val="0"/>
              <w:jc w:val="center"/>
              <w:textAlignment w:val="bottom"/>
              <w:rPr>
                <w:rFonts w:ascii="宋体" w:hAnsi="宋体" w:cs="宋体"/>
                <w:color w:val="auto"/>
                <w:sz w:val="24"/>
                <w:highlight w:val="none"/>
              </w:rPr>
            </w:pPr>
          </w:p>
        </w:tc>
      </w:tr>
      <w:tr w14:paraId="7297D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1F76219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进油总管水压试验，回油总管煤油渗漏试验</w:t>
            </w:r>
          </w:p>
        </w:tc>
        <w:tc>
          <w:tcPr>
            <w:tcW w:w="1396" w:type="dxa"/>
            <w:vAlign w:val="center"/>
          </w:tcPr>
          <w:p w14:paraId="3E12E3DA">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489B5DB3">
            <w:pPr>
              <w:autoSpaceDE w:val="0"/>
              <w:autoSpaceDN w:val="0"/>
              <w:adjustRightInd w:val="0"/>
              <w:snapToGrid w:val="0"/>
              <w:jc w:val="center"/>
              <w:textAlignment w:val="bottom"/>
              <w:rPr>
                <w:rFonts w:ascii="宋体" w:hAnsi="宋体" w:cs="宋体"/>
                <w:color w:val="auto"/>
                <w:sz w:val="24"/>
                <w:highlight w:val="none"/>
              </w:rPr>
            </w:pPr>
          </w:p>
        </w:tc>
      </w:tr>
      <w:tr w14:paraId="6DBA9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06CD637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叶轮超速试验（按API617标准）</w:t>
            </w:r>
          </w:p>
        </w:tc>
        <w:tc>
          <w:tcPr>
            <w:tcW w:w="1396" w:type="dxa"/>
            <w:vAlign w:val="center"/>
          </w:tcPr>
          <w:p w14:paraId="7300CD26">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4D936AA0">
            <w:pPr>
              <w:autoSpaceDE w:val="0"/>
              <w:autoSpaceDN w:val="0"/>
              <w:adjustRightInd w:val="0"/>
              <w:snapToGrid w:val="0"/>
              <w:jc w:val="center"/>
              <w:textAlignment w:val="bottom"/>
              <w:rPr>
                <w:rFonts w:ascii="宋体" w:hAnsi="宋体" w:cs="宋体"/>
                <w:color w:val="auto"/>
                <w:sz w:val="24"/>
                <w:highlight w:val="none"/>
              </w:rPr>
            </w:pPr>
          </w:p>
        </w:tc>
      </w:tr>
      <w:tr w14:paraId="346A2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2B7A9135">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压缩机转子低速动平衡试验</w:t>
            </w:r>
          </w:p>
        </w:tc>
        <w:tc>
          <w:tcPr>
            <w:tcW w:w="1396" w:type="dxa"/>
            <w:vAlign w:val="center"/>
          </w:tcPr>
          <w:p w14:paraId="191A0610">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4130CA42">
            <w:pPr>
              <w:autoSpaceDE w:val="0"/>
              <w:autoSpaceDN w:val="0"/>
              <w:adjustRightInd w:val="0"/>
              <w:snapToGrid w:val="0"/>
              <w:jc w:val="center"/>
              <w:textAlignment w:val="bottom"/>
              <w:rPr>
                <w:rFonts w:ascii="宋体" w:hAnsi="宋体" w:cs="宋体"/>
                <w:color w:val="auto"/>
                <w:sz w:val="24"/>
                <w:highlight w:val="none"/>
              </w:rPr>
            </w:pPr>
          </w:p>
        </w:tc>
      </w:tr>
      <w:tr w14:paraId="2E20E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3C9921C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压缩机转子高速动平衡试验</w:t>
            </w:r>
          </w:p>
        </w:tc>
        <w:tc>
          <w:tcPr>
            <w:tcW w:w="1396" w:type="dxa"/>
            <w:vAlign w:val="center"/>
          </w:tcPr>
          <w:p w14:paraId="332E6EF4">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13D87B14">
            <w:pPr>
              <w:autoSpaceDE w:val="0"/>
              <w:autoSpaceDN w:val="0"/>
              <w:adjustRightInd w:val="0"/>
              <w:snapToGrid w:val="0"/>
              <w:jc w:val="center"/>
              <w:textAlignment w:val="bottom"/>
              <w:rPr>
                <w:rFonts w:ascii="宋体" w:hAnsi="宋体" w:cs="宋体"/>
                <w:color w:val="auto"/>
                <w:sz w:val="24"/>
                <w:highlight w:val="none"/>
              </w:rPr>
            </w:pPr>
          </w:p>
        </w:tc>
      </w:tr>
      <w:tr w14:paraId="08625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2278BD81">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压缩机机械运转试验</w:t>
            </w:r>
          </w:p>
        </w:tc>
        <w:tc>
          <w:tcPr>
            <w:tcW w:w="1396" w:type="dxa"/>
            <w:vAlign w:val="center"/>
          </w:tcPr>
          <w:p w14:paraId="796B5564">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274DC8E2">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r>
      <w:tr w14:paraId="0C9F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5038307B">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压缩机机械运转后拆装检验</w:t>
            </w:r>
          </w:p>
        </w:tc>
        <w:tc>
          <w:tcPr>
            <w:tcW w:w="1396" w:type="dxa"/>
            <w:vAlign w:val="center"/>
          </w:tcPr>
          <w:p w14:paraId="116BFC8D">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579" w:type="dxa"/>
            <w:vAlign w:val="center"/>
          </w:tcPr>
          <w:p w14:paraId="65AB2F5F">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r>
    </w:tbl>
    <w:p w14:paraId="73655390">
      <w:pPr>
        <w:numPr>
          <w:ilvl w:val="0"/>
          <w:numId w:val="33"/>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压缩机在中标人工厂进行机械运转试验，在跳闸转速下运行15分钟，然后在最大连续转速下运转4小时。达到如下要求（在最大连续转速下）：</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9"/>
        <w:gridCol w:w="772"/>
        <w:gridCol w:w="3407"/>
      </w:tblGrid>
      <w:tr w14:paraId="57562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2189CC1C">
            <w:pPr>
              <w:jc w:val="center"/>
              <w:rPr>
                <w:rFonts w:ascii="宋体" w:hAnsi="宋体" w:cs="宋体"/>
                <w:color w:val="auto"/>
                <w:kern w:val="0"/>
                <w:sz w:val="24"/>
                <w:highlight w:val="none"/>
              </w:rPr>
            </w:pPr>
            <w:r>
              <w:rPr>
                <w:rFonts w:hint="eastAsia" w:ascii="宋体" w:hAnsi="宋体" w:cs="宋体"/>
                <w:color w:val="auto"/>
                <w:kern w:val="0"/>
                <w:sz w:val="24"/>
                <w:highlight w:val="none"/>
              </w:rPr>
              <w:t>项目</w:t>
            </w:r>
          </w:p>
        </w:tc>
        <w:tc>
          <w:tcPr>
            <w:tcW w:w="772" w:type="dxa"/>
          </w:tcPr>
          <w:p w14:paraId="7AD8A724">
            <w:pPr>
              <w:jc w:val="center"/>
              <w:rPr>
                <w:rFonts w:ascii="宋体" w:hAnsi="宋体" w:cs="宋体"/>
                <w:color w:val="auto"/>
                <w:kern w:val="0"/>
                <w:sz w:val="24"/>
                <w:highlight w:val="none"/>
              </w:rPr>
            </w:pPr>
            <w:r>
              <w:rPr>
                <w:rFonts w:hint="eastAsia" w:ascii="宋体" w:hAnsi="宋体" w:cs="宋体"/>
                <w:color w:val="auto"/>
                <w:kern w:val="0"/>
                <w:sz w:val="24"/>
                <w:highlight w:val="none"/>
              </w:rPr>
              <w:t>单位</w:t>
            </w:r>
          </w:p>
        </w:tc>
        <w:tc>
          <w:tcPr>
            <w:tcW w:w="3407" w:type="dxa"/>
          </w:tcPr>
          <w:p w14:paraId="22512A28">
            <w:pPr>
              <w:jc w:val="center"/>
              <w:rPr>
                <w:rFonts w:ascii="宋体" w:hAnsi="宋体" w:cs="宋体"/>
                <w:color w:val="auto"/>
                <w:kern w:val="0"/>
                <w:sz w:val="24"/>
                <w:highlight w:val="none"/>
              </w:rPr>
            </w:pPr>
            <w:r>
              <w:rPr>
                <w:rFonts w:hint="eastAsia" w:ascii="宋体" w:hAnsi="宋体" w:cs="宋体"/>
                <w:color w:val="auto"/>
                <w:kern w:val="0"/>
                <w:sz w:val="24"/>
                <w:highlight w:val="none"/>
              </w:rPr>
              <w:t>压缩机</w:t>
            </w:r>
          </w:p>
        </w:tc>
      </w:tr>
      <w:tr w14:paraId="7E787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1E8278E9">
            <w:pPr>
              <w:jc w:val="left"/>
              <w:rPr>
                <w:rFonts w:ascii="宋体" w:hAnsi="宋体" w:cs="宋体"/>
                <w:color w:val="auto"/>
                <w:kern w:val="0"/>
                <w:sz w:val="24"/>
                <w:highlight w:val="none"/>
              </w:rPr>
            </w:pPr>
            <w:r>
              <w:rPr>
                <w:rFonts w:hint="eastAsia" w:ascii="宋体" w:hAnsi="宋体" w:cs="宋体"/>
                <w:color w:val="auto"/>
                <w:kern w:val="0"/>
                <w:sz w:val="24"/>
                <w:highlight w:val="none"/>
              </w:rPr>
              <w:t>轴振动</w:t>
            </w:r>
          </w:p>
        </w:tc>
        <w:tc>
          <w:tcPr>
            <w:tcW w:w="772" w:type="dxa"/>
          </w:tcPr>
          <w:p w14:paraId="1B422AD4">
            <w:pPr>
              <w:jc w:val="center"/>
              <w:rPr>
                <w:rFonts w:ascii="宋体" w:hAnsi="宋体" w:cs="宋体"/>
                <w:color w:val="auto"/>
                <w:kern w:val="0"/>
                <w:sz w:val="24"/>
                <w:highlight w:val="none"/>
              </w:rPr>
            </w:pPr>
            <w:r>
              <w:rPr>
                <w:rFonts w:hint="eastAsia" w:ascii="宋体" w:hAnsi="宋体" w:cs="宋体"/>
                <w:color w:val="auto"/>
                <w:kern w:val="0"/>
                <w:sz w:val="24"/>
                <w:highlight w:val="none"/>
              </w:rPr>
              <w:t>μm</w:t>
            </w:r>
          </w:p>
        </w:tc>
        <w:tc>
          <w:tcPr>
            <w:tcW w:w="3407" w:type="dxa"/>
          </w:tcPr>
          <w:p w14:paraId="48CE4020">
            <w:pPr>
              <w:jc w:val="left"/>
              <w:rPr>
                <w:rFonts w:ascii="宋体" w:hAnsi="宋体" w:cs="宋体"/>
                <w:color w:val="auto"/>
                <w:kern w:val="0"/>
                <w:sz w:val="24"/>
                <w:highlight w:val="none"/>
              </w:rPr>
            </w:pPr>
            <w:r>
              <w:rPr>
                <w:rFonts w:hint="eastAsia" w:ascii="宋体" w:hAnsi="宋体" w:cs="宋体"/>
                <w:color w:val="auto"/>
                <w:kern w:val="0"/>
                <w:sz w:val="24"/>
                <w:highlight w:val="none"/>
              </w:rPr>
              <w:t>≯25.4</w:t>
            </w:r>
          </w:p>
        </w:tc>
      </w:tr>
      <w:tr w14:paraId="513B3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73BD1AB9">
            <w:pPr>
              <w:jc w:val="left"/>
              <w:rPr>
                <w:rFonts w:ascii="宋体" w:hAnsi="宋体" w:cs="宋体"/>
                <w:color w:val="auto"/>
                <w:kern w:val="0"/>
                <w:sz w:val="24"/>
                <w:highlight w:val="none"/>
              </w:rPr>
            </w:pPr>
            <w:r>
              <w:rPr>
                <w:rFonts w:hint="eastAsia" w:ascii="宋体" w:hAnsi="宋体" w:cs="宋体"/>
                <w:color w:val="auto"/>
                <w:kern w:val="0"/>
                <w:sz w:val="24"/>
                <w:highlight w:val="none"/>
              </w:rPr>
              <w:t>轴位移</w:t>
            </w:r>
          </w:p>
        </w:tc>
        <w:tc>
          <w:tcPr>
            <w:tcW w:w="772" w:type="dxa"/>
          </w:tcPr>
          <w:p w14:paraId="715610F6">
            <w:pPr>
              <w:jc w:val="center"/>
              <w:rPr>
                <w:rFonts w:ascii="宋体" w:hAnsi="宋体" w:cs="宋体"/>
                <w:color w:val="auto"/>
                <w:kern w:val="0"/>
                <w:sz w:val="24"/>
                <w:highlight w:val="none"/>
              </w:rPr>
            </w:pPr>
            <w:r>
              <w:rPr>
                <w:rFonts w:hint="eastAsia" w:ascii="宋体" w:hAnsi="宋体" w:cs="宋体"/>
                <w:color w:val="auto"/>
                <w:kern w:val="0"/>
                <w:sz w:val="24"/>
                <w:highlight w:val="none"/>
              </w:rPr>
              <w:t>mm</w:t>
            </w:r>
          </w:p>
        </w:tc>
        <w:tc>
          <w:tcPr>
            <w:tcW w:w="3407" w:type="dxa"/>
          </w:tcPr>
          <w:p w14:paraId="49AD4E2A">
            <w:pPr>
              <w:jc w:val="left"/>
              <w:rPr>
                <w:rFonts w:ascii="宋体" w:hAnsi="宋体" w:cs="宋体"/>
                <w:color w:val="auto"/>
                <w:kern w:val="0"/>
                <w:sz w:val="24"/>
                <w:highlight w:val="none"/>
              </w:rPr>
            </w:pPr>
            <w:r>
              <w:rPr>
                <w:rFonts w:hint="eastAsia" w:ascii="宋体" w:hAnsi="宋体" w:cs="宋体"/>
                <w:color w:val="auto"/>
                <w:kern w:val="0"/>
                <w:sz w:val="24"/>
                <w:highlight w:val="none"/>
              </w:rPr>
              <w:t>≯±0.5</w:t>
            </w:r>
          </w:p>
        </w:tc>
      </w:tr>
      <w:tr w14:paraId="0D975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63EB899C">
            <w:pPr>
              <w:jc w:val="left"/>
              <w:rPr>
                <w:rFonts w:ascii="宋体" w:hAnsi="宋体" w:cs="宋体"/>
                <w:color w:val="auto"/>
                <w:kern w:val="0"/>
                <w:sz w:val="24"/>
                <w:highlight w:val="none"/>
              </w:rPr>
            </w:pPr>
            <w:r>
              <w:rPr>
                <w:rFonts w:hint="eastAsia" w:ascii="宋体" w:hAnsi="宋体" w:cs="宋体"/>
                <w:color w:val="auto"/>
                <w:kern w:val="0"/>
                <w:sz w:val="24"/>
                <w:highlight w:val="none"/>
              </w:rPr>
              <w:t>径向轴承</w:t>
            </w:r>
          </w:p>
        </w:tc>
        <w:tc>
          <w:tcPr>
            <w:tcW w:w="772" w:type="dxa"/>
          </w:tcPr>
          <w:p w14:paraId="34AEA2CD">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407" w:type="dxa"/>
          </w:tcPr>
          <w:p w14:paraId="1D975961">
            <w:pPr>
              <w:jc w:val="left"/>
              <w:rPr>
                <w:rFonts w:ascii="宋体" w:hAnsi="宋体" w:cs="宋体"/>
                <w:color w:val="auto"/>
                <w:kern w:val="0"/>
                <w:sz w:val="24"/>
                <w:highlight w:val="none"/>
              </w:rPr>
            </w:pPr>
            <w:r>
              <w:rPr>
                <w:rFonts w:hint="eastAsia" w:ascii="宋体" w:hAnsi="宋体" w:cs="宋体"/>
                <w:color w:val="auto"/>
                <w:kern w:val="0"/>
                <w:sz w:val="24"/>
                <w:highlight w:val="none"/>
              </w:rPr>
              <w:t>≯95（</w:t>
            </w:r>
            <w:r>
              <w:rPr>
                <w:rFonts w:hint="eastAsia" w:ascii="宋体" w:hAnsi="宋体" w:cs="宋体"/>
                <w:color w:val="auto"/>
                <w:sz w:val="24"/>
                <w:highlight w:val="none"/>
              </w:rPr>
              <w:t>进口油温45±5℃</w:t>
            </w:r>
            <w:r>
              <w:rPr>
                <w:rFonts w:hint="eastAsia" w:ascii="宋体" w:hAnsi="宋体" w:cs="宋体"/>
                <w:color w:val="auto"/>
                <w:kern w:val="0"/>
                <w:sz w:val="24"/>
                <w:highlight w:val="none"/>
              </w:rPr>
              <w:t>）</w:t>
            </w:r>
          </w:p>
        </w:tc>
      </w:tr>
      <w:tr w14:paraId="4B24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0E47E331">
            <w:pPr>
              <w:jc w:val="left"/>
              <w:rPr>
                <w:rFonts w:ascii="宋体" w:hAnsi="宋体" w:cs="宋体"/>
                <w:color w:val="auto"/>
                <w:kern w:val="0"/>
                <w:sz w:val="24"/>
                <w:highlight w:val="none"/>
              </w:rPr>
            </w:pPr>
            <w:r>
              <w:rPr>
                <w:rFonts w:hint="eastAsia" w:ascii="宋体" w:hAnsi="宋体" w:cs="宋体"/>
                <w:color w:val="auto"/>
                <w:kern w:val="0"/>
                <w:sz w:val="24"/>
                <w:highlight w:val="none"/>
              </w:rPr>
              <w:t>止推轴承</w:t>
            </w:r>
          </w:p>
        </w:tc>
        <w:tc>
          <w:tcPr>
            <w:tcW w:w="772" w:type="dxa"/>
          </w:tcPr>
          <w:p w14:paraId="21DA0E9A">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407" w:type="dxa"/>
          </w:tcPr>
          <w:p w14:paraId="47C20A99">
            <w:pPr>
              <w:jc w:val="left"/>
              <w:rPr>
                <w:rFonts w:ascii="宋体" w:hAnsi="宋体" w:cs="宋体"/>
                <w:color w:val="auto"/>
                <w:kern w:val="0"/>
                <w:sz w:val="24"/>
                <w:highlight w:val="none"/>
              </w:rPr>
            </w:pPr>
            <w:r>
              <w:rPr>
                <w:rFonts w:hint="eastAsia" w:ascii="宋体" w:hAnsi="宋体" w:cs="宋体"/>
                <w:color w:val="auto"/>
                <w:kern w:val="0"/>
                <w:sz w:val="24"/>
                <w:highlight w:val="none"/>
              </w:rPr>
              <w:t>≯95（</w:t>
            </w:r>
            <w:r>
              <w:rPr>
                <w:rFonts w:hint="eastAsia" w:ascii="宋体" w:hAnsi="宋体" w:cs="宋体"/>
                <w:color w:val="auto"/>
                <w:sz w:val="24"/>
                <w:highlight w:val="none"/>
              </w:rPr>
              <w:t>进口油温45±5℃</w:t>
            </w:r>
            <w:r>
              <w:rPr>
                <w:rFonts w:hint="eastAsia" w:ascii="宋体" w:hAnsi="宋体" w:cs="宋体"/>
                <w:color w:val="auto"/>
                <w:kern w:val="0"/>
                <w:sz w:val="24"/>
                <w:highlight w:val="none"/>
              </w:rPr>
              <w:t>）</w:t>
            </w:r>
          </w:p>
        </w:tc>
      </w:tr>
      <w:tr w14:paraId="7B469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73FD6898">
            <w:pPr>
              <w:jc w:val="left"/>
              <w:rPr>
                <w:rFonts w:ascii="宋体" w:hAnsi="宋体" w:cs="宋体"/>
                <w:color w:val="auto"/>
                <w:kern w:val="0"/>
                <w:sz w:val="24"/>
                <w:highlight w:val="none"/>
              </w:rPr>
            </w:pPr>
            <w:r>
              <w:rPr>
                <w:rFonts w:hint="eastAsia" w:ascii="宋体" w:hAnsi="宋体" w:cs="宋体"/>
                <w:color w:val="auto"/>
                <w:kern w:val="0"/>
                <w:sz w:val="24"/>
                <w:highlight w:val="none"/>
              </w:rPr>
              <w:t>径向轴承润滑油温升</w:t>
            </w:r>
          </w:p>
        </w:tc>
        <w:tc>
          <w:tcPr>
            <w:tcW w:w="772" w:type="dxa"/>
          </w:tcPr>
          <w:p w14:paraId="3D47A922">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407" w:type="dxa"/>
          </w:tcPr>
          <w:p w14:paraId="4B5C8B93">
            <w:pPr>
              <w:jc w:val="left"/>
              <w:rPr>
                <w:rFonts w:ascii="宋体" w:hAnsi="宋体" w:cs="宋体"/>
                <w:color w:val="auto"/>
                <w:kern w:val="0"/>
                <w:sz w:val="24"/>
                <w:highlight w:val="none"/>
              </w:rPr>
            </w:pPr>
            <w:r>
              <w:rPr>
                <w:rFonts w:hint="eastAsia" w:ascii="宋体" w:hAnsi="宋体" w:cs="宋体"/>
                <w:color w:val="auto"/>
                <w:kern w:val="0"/>
                <w:sz w:val="24"/>
                <w:highlight w:val="none"/>
              </w:rPr>
              <w:t>≯28</w:t>
            </w:r>
          </w:p>
        </w:tc>
      </w:tr>
      <w:tr w14:paraId="3B0D3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52DF4252">
            <w:pPr>
              <w:jc w:val="left"/>
              <w:rPr>
                <w:rFonts w:ascii="宋体" w:hAnsi="宋体" w:cs="宋体"/>
                <w:color w:val="auto"/>
                <w:kern w:val="0"/>
                <w:sz w:val="24"/>
                <w:highlight w:val="none"/>
              </w:rPr>
            </w:pPr>
            <w:r>
              <w:rPr>
                <w:rFonts w:hint="eastAsia" w:ascii="宋体" w:hAnsi="宋体" w:cs="宋体"/>
                <w:color w:val="auto"/>
                <w:kern w:val="0"/>
                <w:sz w:val="24"/>
                <w:highlight w:val="none"/>
              </w:rPr>
              <w:t>止推轴承润滑油温升</w:t>
            </w:r>
          </w:p>
        </w:tc>
        <w:tc>
          <w:tcPr>
            <w:tcW w:w="772" w:type="dxa"/>
          </w:tcPr>
          <w:p w14:paraId="24B14B1E">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407" w:type="dxa"/>
          </w:tcPr>
          <w:p w14:paraId="0B0711FA">
            <w:pPr>
              <w:jc w:val="left"/>
              <w:rPr>
                <w:rFonts w:ascii="宋体" w:hAnsi="宋体" w:cs="宋体"/>
                <w:color w:val="auto"/>
                <w:kern w:val="0"/>
                <w:sz w:val="24"/>
                <w:highlight w:val="none"/>
              </w:rPr>
            </w:pPr>
            <w:r>
              <w:rPr>
                <w:rFonts w:hint="eastAsia" w:ascii="宋体" w:hAnsi="宋体" w:cs="宋体"/>
                <w:color w:val="auto"/>
                <w:kern w:val="0"/>
                <w:sz w:val="24"/>
                <w:highlight w:val="none"/>
              </w:rPr>
              <w:t>≯28</w:t>
            </w:r>
          </w:p>
        </w:tc>
      </w:tr>
    </w:tbl>
    <w:p w14:paraId="19FDAEE0">
      <w:pPr>
        <w:numPr>
          <w:ilvl w:val="0"/>
          <w:numId w:val="33"/>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整个机组在招标人现场进行机械运转试验，并提供试车方案，在不超过最大允许排出温度和不发生喘振条件下，吸入大气进行试验并检查油温、振动等情况。</w:t>
      </w:r>
    </w:p>
    <w:p w14:paraId="0E8AD6F5">
      <w:pPr>
        <w:numPr>
          <w:ilvl w:val="0"/>
          <w:numId w:val="33"/>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现场负荷试车时，投标人、主要配套件分包商（如需要）派人参加，并负责处理因设计制造、配套原因所出现的有关问题，并参加机械运转及试车方案的审定。</w:t>
      </w:r>
    </w:p>
    <w:p w14:paraId="3F2E3FE2">
      <w:pPr>
        <w:numPr>
          <w:ilvl w:val="0"/>
          <w:numId w:val="32"/>
        </w:numPr>
        <w:spacing w:line="360" w:lineRule="auto"/>
        <w:rPr>
          <w:rFonts w:ascii="宋体" w:hAnsi="宋体" w:cs="宋体"/>
          <w:color w:val="auto"/>
          <w:sz w:val="24"/>
          <w:highlight w:val="none"/>
        </w:rPr>
      </w:pPr>
      <w:r>
        <w:rPr>
          <w:rFonts w:hint="eastAsia" w:ascii="宋体" w:hAnsi="宋体" w:cs="宋体"/>
          <w:color w:val="auto"/>
          <w:sz w:val="24"/>
          <w:highlight w:val="none"/>
        </w:rPr>
        <w:t>润滑油系统</w:t>
      </w:r>
    </w:p>
    <w:tbl>
      <w:tblPr>
        <w:tblStyle w:val="1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5"/>
        <w:gridCol w:w="980"/>
        <w:gridCol w:w="1487"/>
      </w:tblGrid>
      <w:tr w14:paraId="40B8C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85" w:type="dxa"/>
            <w:vMerge w:val="restart"/>
            <w:vAlign w:val="center"/>
          </w:tcPr>
          <w:p w14:paraId="47A0DFBB">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    称</w:t>
            </w:r>
          </w:p>
        </w:tc>
        <w:tc>
          <w:tcPr>
            <w:tcW w:w="2467" w:type="dxa"/>
            <w:gridSpan w:val="2"/>
            <w:vAlign w:val="center"/>
          </w:tcPr>
          <w:p w14:paraId="68E866DD">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要  求</w:t>
            </w:r>
          </w:p>
        </w:tc>
      </w:tr>
      <w:tr w14:paraId="13F72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85" w:type="dxa"/>
            <w:vMerge w:val="continue"/>
            <w:vAlign w:val="center"/>
          </w:tcPr>
          <w:p w14:paraId="014DE4A5">
            <w:pPr>
              <w:autoSpaceDE w:val="0"/>
              <w:autoSpaceDN w:val="0"/>
              <w:adjustRightInd w:val="0"/>
              <w:snapToGrid w:val="0"/>
              <w:textAlignment w:val="bottom"/>
              <w:rPr>
                <w:rFonts w:ascii="宋体" w:hAnsi="宋体" w:cs="宋体"/>
                <w:color w:val="auto"/>
                <w:sz w:val="24"/>
                <w:highlight w:val="none"/>
              </w:rPr>
            </w:pPr>
          </w:p>
        </w:tc>
        <w:tc>
          <w:tcPr>
            <w:tcW w:w="980" w:type="dxa"/>
            <w:vAlign w:val="center"/>
          </w:tcPr>
          <w:p w14:paraId="5697C9CD">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需要</w:t>
            </w:r>
          </w:p>
        </w:tc>
        <w:tc>
          <w:tcPr>
            <w:tcW w:w="1487" w:type="dxa"/>
            <w:vAlign w:val="center"/>
          </w:tcPr>
          <w:p w14:paraId="7A084427">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招标人见证</w:t>
            </w:r>
          </w:p>
        </w:tc>
      </w:tr>
      <w:tr w14:paraId="397EF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04F708A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油箱盛水试验</w:t>
            </w:r>
          </w:p>
        </w:tc>
        <w:tc>
          <w:tcPr>
            <w:tcW w:w="980" w:type="dxa"/>
            <w:vAlign w:val="center"/>
          </w:tcPr>
          <w:p w14:paraId="7CCC3912">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487" w:type="dxa"/>
            <w:vAlign w:val="center"/>
          </w:tcPr>
          <w:p w14:paraId="6A2BF57A">
            <w:pPr>
              <w:autoSpaceDE w:val="0"/>
              <w:autoSpaceDN w:val="0"/>
              <w:adjustRightInd w:val="0"/>
              <w:snapToGrid w:val="0"/>
              <w:jc w:val="center"/>
              <w:textAlignment w:val="bottom"/>
              <w:rPr>
                <w:rFonts w:ascii="宋体" w:hAnsi="宋体" w:cs="宋体"/>
                <w:color w:val="auto"/>
                <w:sz w:val="24"/>
                <w:highlight w:val="none"/>
              </w:rPr>
            </w:pPr>
          </w:p>
        </w:tc>
      </w:tr>
      <w:tr w14:paraId="3F7F9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6428C012">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油冷却器、油过滤器、油管路水压试验</w:t>
            </w:r>
          </w:p>
        </w:tc>
        <w:tc>
          <w:tcPr>
            <w:tcW w:w="980" w:type="dxa"/>
            <w:vAlign w:val="center"/>
          </w:tcPr>
          <w:p w14:paraId="4DF1FC81">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487" w:type="dxa"/>
            <w:vAlign w:val="center"/>
          </w:tcPr>
          <w:p w14:paraId="517797CD">
            <w:pPr>
              <w:autoSpaceDE w:val="0"/>
              <w:autoSpaceDN w:val="0"/>
              <w:adjustRightInd w:val="0"/>
              <w:snapToGrid w:val="0"/>
              <w:jc w:val="center"/>
              <w:textAlignment w:val="bottom"/>
              <w:rPr>
                <w:rFonts w:ascii="宋体" w:hAnsi="宋体" w:cs="宋体"/>
                <w:color w:val="auto"/>
                <w:sz w:val="24"/>
                <w:highlight w:val="none"/>
              </w:rPr>
            </w:pPr>
          </w:p>
        </w:tc>
      </w:tr>
      <w:tr w14:paraId="2825E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5F4A6F8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油站功能运转试验</w:t>
            </w:r>
          </w:p>
        </w:tc>
        <w:tc>
          <w:tcPr>
            <w:tcW w:w="980" w:type="dxa"/>
            <w:vAlign w:val="center"/>
          </w:tcPr>
          <w:p w14:paraId="106AE9B6">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487" w:type="dxa"/>
            <w:vAlign w:val="center"/>
          </w:tcPr>
          <w:p w14:paraId="3D6769C8">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w:t>
            </w:r>
          </w:p>
        </w:tc>
      </w:tr>
    </w:tbl>
    <w:p w14:paraId="189916D7">
      <w:pPr>
        <w:numPr>
          <w:ilvl w:val="0"/>
          <w:numId w:val="32"/>
        </w:numPr>
        <w:spacing w:line="360" w:lineRule="auto"/>
        <w:rPr>
          <w:rFonts w:ascii="宋体" w:hAnsi="宋体" w:cs="宋体"/>
          <w:color w:val="auto"/>
          <w:sz w:val="24"/>
          <w:highlight w:val="none"/>
        </w:rPr>
      </w:pPr>
      <w:r>
        <w:rPr>
          <w:rFonts w:hint="eastAsia" w:ascii="宋体" w:hAnsi="宋体" w:cs="宋体"/>
          <w:color w:val="auto"/>
          <w:sz w:val="24"/>
          <w:highlight w:val="none"/>
        </w:rPr>
        <w:t>齿轮箱</w:t>
      </w:r>
    </w:p>
    <w:p w14:paraId="3129F393">
      <w:pPr>
        <w:numPr>
          <w:ilvl w:val="0"/>
          <w:numId w:val="34"/>
        </w:numPr>
        <w:tabs>
          <w:tab w:val="left" w:pos="0"/>
        </w:tabs>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试验及招标人见证项目：</w:t>
      </w:r>
    </w:p>
    <w:tbl>
      <w:tblPr>
        <w:tblStyle w:val="19"/>
        <w:tblW w:w="0" w:type="auto"/>
        <w:tblInd w:w="8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6"/>
        <w:gridCol w:w="1028"/>
        <w:gridCol w:w="2002"/>
      </w:tblGrid>
      <w:tr w14:paraId="0C16A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66" w:type="dxa"/>
            <w:vMerge w:val="restart"/>
            <w:vAlign w:val="center"/>
          </w:tcPr>
          <w:p w14:paraId="022C9662">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      称</w:t>
            </w:r>
          </w:p>
        </w:tc>
        <w:tc>
          <w:tcPr>
            <w:tcW w:w="3030" w:type="dxa"/>
            <w:gridSpan w:val="2"/>
            <w:vAlign w:val="center"/>
          </w:tcPr>
          <w:p w14:paraId="6C770304">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要  求</w:t>
            </w:r>
          </w:p>
        </w:tc>
      </w:tr>
      <w:tr w14:paraId="0AFAA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66" w:type="dxa"/>
            <w:vMerge w:val="continue"/>
            <w:vAlign w:val="center"/>
          </w:tcPr>
          <w:p w14:paraId="58EDBABC">
            <w:pPr>
              <w:autoSpaceDE w:val="0"/>
              <w:autoSpaceDN w:val="0"/>
              <w:adjustRightInd w:val="0"/>
              <w:snapToGrid w:val="0"/>
              <w:textAlignment w:val="bottom"/>
              <w:rPr>
                <w:rFonts w:ascii="宋体" w:hAnsi="宋体" w:cs="宋体"/>
                <w:color w:val="auto"/>
                <w:sz w:val="24"/>
                <w:highlight w:val="none"/>
              </w:rPr>
            </w:pPr>
          </w:p>
        </w:tc>
        <w:tc>
          <w:tcPr>
            <w:tcW w:w="1028" w:type="dxa"/>
            <w:vAlign w:val="center"/>
          </w:tcPr>
          <w:p w14:paraId="651E8038">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需要</w:t>
            </w:r>
          </w:p>
        </w:tc>
        <w:tc>
          <w:tcPr>
            <w:tcW w:w="2002" w:type="dxa"/>
            <w:vAlign w:val="center"/>
          </w:tcPr>
          <w:p w14:paraId="734D26AF">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招标人见证</w:t>
            </w:r>
          </w:p>
        </w:tc>
      </w:tr>
      <w:tr w14:paraId="2853C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6" w:type="dxa"/>
            <w:vAlign w:val="center"/>
          </w:tcPr>
          <w:p w14:paraId="1D33F50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齿轮箱转子低速动平衡试验</w:t>
            </w:r>
          </w:p>
        </w:tc>
        <w:tc>
          <w:tcPr>
            <w:tcW w:w="1028" w:type="dxa"/>
            <w:vAlign w:val="center"/>
          </w:tcPr>
          <w:p w14:paraId="64EF2E2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2002" w:type="dxa"/>
            <w:vAlign w:val="center"/>
          </w:tcPr>
          <w:p w14:paraId="4FF2812F">
            <w:pPr>
              <w:autoSpaceDE w:val="0"/>
              <w:autoSpaceDN w:val="0"/>
              <w:adjustRightInd w:val="0"/>
              <w:snapToGrid w:val="0"/>
              <w:textAlignment w:val="bottom"/>
              <w:rPr>
                <w:rFonts w:ascii="宋体" w:hAnsi="宋体" w:cs="宋体"/>
                <w:color w:val="auto"/>
                <w:sz w:val="24"/>
                <w:highlight w:val="none"/>
              </w:rPr>
            </w:pPr>
          </w:p>
        </w:tc>
      </w:tr>
    </w:tbl>
    <w:p w14:paraId="2360866F">
      <w:pPr>
        <w:numPr>
          <w:ilvl w:val="0"/>
          <w:numId w:val="34"/>
        </w:numPr>
        <w:tabs>
          <w:tab w:val="left" w:pos="0"/>
        </w:tabs>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机械运转试车</w:t>
      </w:r>
    </w:p>
    <w:p w14:paraId="0CBD6E3B">
      <w:pPr>
        <w:numPr>
          <w:ilvl w:val="0"/>
          <w:numId w:val="35"/>
        </w:numPr>
        <w:tabs>
          <w:tab w:val="left" w:pos="0"/>
        </w:tabs>
        <w:autoSpaceDE w:val="0"/>
        <w:autoSpaceDN w:val="0"/>
        <w:snapToGrid w:val="0"/>
        <w:spacing w:line="360" w:lineRule="auto"/>
        <w:ind w:left="840"/>
        <w:textAlignment w:val="bottom"/>
        <w:rPr>
          <w:rFonts w:ascii="宋体" w:hAnsi="宋体" w:cs="宋体"/>
          <w:color w:val="auto"/>
          <w:sz w:val="24"/>
          <w:highlight w:val="none"/>
        </w:rPr>
      </w:pPr>
      <w:r>
        <w:rPr>
          <w:rFonts w:hint="eastAsia" w:ascii="宋体" w:hAnsi="宋体" w:cs="宋体"/>
          <w:color w:val="auto"/>
          <w:sz w:val="24"/>
          <w:highlight w:val="none"/>
        </w:rPr>
        <w:t>中标人在试车前，须向招标人提供试车大纲，招标人确认后，方可试</w:t>
      </w:r>
      <w:r>
        <w:rPr>
          <w:rFonts w:ascii="宋体" w:hAnsi="宋体" w:cs="宋体"/>
          <w:color w:val="auto"/>
          <w:sz w:val="24"/>
          <w:highlight w:val="none"/>
        </w:rPr>
        <w:t>车。</w:t>
      </w:r>
    </w:p>
    <w:p w14:paraId="528074E6">
      <w:pPr>
        <w:numPr>
          <w:ilvl w:val="0"/>
          <w:numId w:val="35"/>
        </w:numPr>
        <w:tabs>
          <w:tab w:val="left" w:pos="0"/>
        </w:tabs>
        <w:autoSpaceDE w:val="0"/>
        <w:autoSpaceDN w:val="0"/>
        <w:snapToGrid w:val="0"/>
        <w:spacing w:line="360" w:lineRule="auto"/>
        <w:ind w:left="840"/>
        <w:textAlignment w:val="bottom"/>
        <w:rPr>
          <w:rFonts w:ascii="宋体" w:hAnsi="宋体" w:cs="宋体"/>
          <w:color w:val="auto"/>
          <w:sz w:val="24"/>
          <w:highlight w:val="none"/>
        </w:rPr>
      </w:pPr>
      <w:r>
        <w:rPr>
          <w:rFonts w:hint="eastAsia" w:ascii="宋体" w:hAnsi="宋体" w:cs="宋体"/>
          <w:color w:val="auto"/>
          <w:sz w:val="24"/>
          <w:highlight w:val="none"/>
        </w:rPr>
        <w:t>中标人在齿轮箱试车前1个月以传真方式通知招标人到中标人工厂内参与、见证机械运转试车。轴头带当量载荷（联轴器），在最大连续转速空负荷状态下至少运行4小时。超速试验要求：1</w:t>
      </w:r>
      <w:r>
        <w:rPr>
          <w:rFonts w:ascii="宋体" w:hAnsi="宋体" w:cs="宋体"/>
          <w:color w:val="auto"/>
          <w:sz w:val="24"/>
          <w:highlight w:val="none"/>
        </w:rPr>
        <w:t>2</w:t>
      </w:r>
      <w:r>
        <w:rPr>
          <w:rFonts w:hint="eastAsia" w:ascii="宋体" w:hAnsi="宋体" w:cs="宋体"/>
          <w:color w:val="auto"/>
          <w:sz w:val="24"/>
          <w:highlight w:val="none"/>
        </w:rPr>
        <w:t>0 % ，最大连续转速（至少15分钟）。振动值不得超过额定转速下振动值的1.5倍。</w:t>
      </w:r>
    </w:p>
    <w:p w14:paraId="776C8795">
      <w:pPr>
        <w:numPr>
          <w:ilvl w:val="0"/>
          <w:numId w:val="35"/>
        </w:numPr>
        <w:tabs>
          <w:tab w:val="left" w:pos="0"/>
        </w:tabs>
        <w:autoSpaceDE w:val="0"/>
        <w:autoSpaceDN w:val="0"/>
        <w:snapToGrid w:val="0"/>
        <w:spacing w:line="360" w:lineRule="auto"/>
        <w:ind w:left="840"/>
        <w:jc w:val="left"/>
        <w:textAlignment w:val="bottom"/>
        <w:rPr>
          <w:rFonts w:ascii="宋体" w:hAnsi="宋体" w:cs="宋体"/>
          <w:color w:val="auto"/>
          <w:sz w:val="24"/>
          <w:highlight w:val="none"/>
        </w:rPr>
      </w:pPr>
      <w:r>
        <w:rPr>
          <w:rFonts w:hint="eastAsia" w:ascii="宋体" w:hAnsi="宋体" w:cs="宋体"/>
          <w:color w:val="auto"/>
          <w:sz w:val="24"/>
          <w:highlight w:val="none"/>
        </w:rPr>
        <w:t>现场试车：齿轮箱在现场与主机一起试车，在额定转速下连续运行4小时。</w:t>
      </w:r>
    </w:p>
    <w:p w14:paraId="29374E1F">
      <w:pPr>
        <w:numPr>
          <w:ilvl w:val="0"/>
          <w:numId w:val="32"/>
        </w:numPr>
        <w:spacing w:line="360" w:lineRule="auto"/>
        <w:rPr>
          <w:rFonts w:ascii="宋体" w:hAnsi="宋体" w:cs="宋体"/>
          <w:color w:val="auto"/>
          <w:sz w:val="24"/>
          <w:highlight w:val="none"/>
        </w:rPr>
      </w:pPr>
      <w:r>
        <w:rPr>
          <w:rFonts w:hint="eastAsia" w:ascii="宋体" w:hAnsi="宋体" w:cs="宋体"/>
          <w:color w:val="auto"/>
          <w:sz w:val="24"/>
          <w:highlight w:val="none"/>
        </w:rPr>
        <w:t>压力容器</w:t>
      </w:r>
    </w:p>
    <w:tbl>
      <w:tblPr>
        <w:tblStyle w:val="19"/>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6"/>
        <w:gridCol w:w="1512"/>
        <w:gridCol w:w="1714"/>
      </w:tblGrid>
      <w:tr w14:paraId="143F4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626" w:type="dxa"/>
            <w:vMerge w:val="restart"/>
            <w:vAlign w:val="center"/>
          </w:tcPr>
          <w:p w14:paraId="787733BB">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名      称</w:t>
            </w:r>
          </w:p>
        </w:tc>
        <w:tc>
          <w:tcPr>
            <w:tcW w:w="3226" w:type="dxa"/>
            <w:gridSpan w:val="2"/>
            <w:vAlign w:val="center"/>
          </w:tcPr>
          <w:p w14:paraId="717496AE">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要  求</w:t>
            </w:r>
          </w:p>
        </w:tc>
      </w:tr>
      <w:tr w14:paraId="655F5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26" w:type="dxa"/>
            <w:vMerge w:val="continue"/>
            <w:vAlign w:val="center"/>
          </w:tcPr>
          <w:p w14:paraId="189BD777">
            <w:pPr>
              <w:autoSpaceDE w:val="0"/>
              <w:autoSpaceDN w:val="0"/>
              <w:adjustRightInd w:val="0"/>
              <w:snapToGrid w:val="0"/>
              <w:jc w:val="center"/>
              <w:textAlignment w:val="bottom"/>
              <w:rPr>
                <w:rFonts w:ascii="宋体" w:hAnsi="宋体" w:cs="宋体"/>
                <w:color w:val="auto"/>
                <w:sz w:val="24"/>
                <w:highlight w:val="none"/>
              </w:rPr>
            </w:pPr>
          </w:p>
        </w:tc>
        <w:tc>
          <w:tcPr>
            <w:tcW w:w="1512" w:type="dxa"/>
            <w:vAlign w:val="center"/>
          </w:tcPr>
          <w:p w14:paraId="31236F1B">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需要</w:t>
            </w:r>
          </w:p>
        </w:tc>
        <w:tc>
          <w:tcPr>
            <w:tcW w:w="1714" w:type="dxa"/>
            <w:vAlign w:val="center"/>
          </w:tcPr>
          <w:p w14:paraId="1E1B4F85">
            <w:pPr>
              <w:autoSpaceDE w:val="0"/>
              <w:autoSpaceDN w:val="0"/>
              <w:adjustRightInd w:val="0"/>
              <w:snapToGrid w:val="0"/>
              <w:jc w:val="center"/>
              <w:textAlignment w:val="bottom"/>
              <w:rPr>
                <w:rFonts w:ascii="宋体" w:hAnsi="宋体" w:cs="宋体"/>
                <w:color w:val="auto"/>
                <w:sz w:val="24"/>
                <w:highlight w:val="none"/>
              </w:rPr>
            </w:pPr>
            <w:r>
              <w:rPr>
                <w:rFonts w:hint="eastAsia" w:ascii="宋体" w:hAnsi="宋体" w:cs="宋体"/>
                <w:color w:val="auto"/>
                <w:sz w:val="24"/>
                <w:highlight w:val="none"/>
              </w:rPr>
              <w:t>招标人见证</w:t>
            </w:r>
          </w:p>
        </w:tc>
      </w:tr>
      <w:tr w14:paraId="545EF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vAlign w:val="center"/>
          </w:tcPr>
          <w:p w14:paraId="1988E6DA">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水压试验(油路系统用气试，禁止用水）</w:t>
            </w:r>
          </w:p>
        </w:tc>
        <w:tc>
          <w:tcPr>
            <w:tcW w:w="1512" w:type="dxa"/>
            <w:vAlign w:val="center"/>
          </w:tcPr>
          <w:p w14:paraId="5A1B0EB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w:t>
            </w:r>
          </w:p>
        </w:tc>
        <w:tc>
          <w:tcPr>
            <w:tcW w:w="1714" w:type="dxa"/>
            <w:vAlign w:val="center"/>
          </w:tcPr>
          <w:p w14:paraId="3FA3E805">
            <w:pPr>
              <w:autoSpaceDE w:val="0"/>
              <w:autoSpaceDN w:val="0"/>
              <w:adjustRightInd w:val="0"/>
              <w:snapToGrid w:val="0"/>
              <w:textAlignment w:val="bottom"/>
              <w:rPr>
                <w:rFonts w:ascii="宋体" w:hAnsi="宋体" w:cs="宋体"/>
                <w:color w:val="auto"/>
                <w:sz w:val="24"/>
                <w:highlight w:val="none"/>
              </w:rPr>
            </w:pPr>
          </w:p>
        </w:tc>
      </w:tr>
      <w:tr w14:paraId="43817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vAlign w:val="center"/>
          </w:tcPr>
          <w:p w14:paraId="5D39AF86">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泄露试验</w:t>
            </w:r>
          </w:p>
        </w:tc>
        <w:tc>
          <w:tcPr>
            <w:tcW w:w="1512" w:type="dxa"/>
            <w:vAlign w:val="center"/>
          </w:tcPr>
          <w:p w14:paraId="3C82DBC9">
            <w:pPr>
              <w:autoSpaceDE w:val="0"/>
              <w:autoSpaceDN w:val="0"/>
              <w:adjustRightInd w:val="0"/>
              <w:snapToGrid w:val="0"/>
              <w:textAlignment w:val="bottom"/>
              <w:rPr>
                <w:rFonts w:ascii="宋体" w:hAnsi="宋体" w:cs="宋体"/>
                <w:color w:val="auto"/>
                <w:sz w:val="24"/>
                <w:highlight w:val="none"/>
              </w:rPr>
            </w:pPr>
            <w:r>
              <w:rPr>
                <w:rFonts w:hint="eastAsia" w:ascii="宋体" w:hAnsi="宋体" w:cs="宋体"/>
                <w:color w:val="auto"/>
                <w:sz w:val="24"/>
                <w:highlight w:val="none"/>
              </w:rPr>
              <w:t>见图样要求</w:t>
            </w:r>
          </w:p>
        </w:tc>
        <w:tc>
          <w:tcPr>
            <w:tcW w:w="1714" w:type="dxa"/>
            <w:vAlign w:val="center"/>
          </w:tcPr>
          <w:p w14:paraId="28951E48">
            <w:pPr>
              <w:autoSpaceDE w:val="0"/>
              <w:autoSpaceDN w:val="0"/>
              <w:adjustRightInd w:val="0"/>
              <w:snapToGrid w:val="0"/>
              <w:textAlignment w:val="bottom"/>
              <w:rPr>
                <w:rFonts w:ascii="宋体" w:hAnsi="宋体" w:cs="宋体"/>
                <w:color w:val="auto"/>
                <w:sz w:val="24"/>
                <w:highlight w:val="none"/>
              </w:rPr>
            </w:pPr>
          </w:p>
        </w:tc>
      </w:tr>
    </w:tbl>
    <w:p w14:paraId="4EB9F8F0">
      <w:pPr>
        <w:adjustRightInd w:val="0"/>
        <w:snapToGrid w:val="0"/>
        <w:spacing w:line="360" w:lineRule="auto"/>
        <w:outlineLvl w:val="0"/>
        <w:rPr>
          <w:rFonts w:ascii="宋体" w:hAnsi="宋体"/>
          <w:b/>
          <w:bCs/>
          <w:color w:val="auto"/>
          <w:sz w:val="24"/>
          <w:highlight w:val="none"/>
        </w:rPr>
      </w:pPr>
      <w:bookmarkStart w:id="150" w:name="_Toc195433165"/>
      <w:r>
        <w:rPr>
          <w:rFonts w:ascii="宋体" w:hAnsi="宋体"/>
          <w:b/>
          <w:bCs/>
          <w:color w:val="auto"/>
          <w:sz w:val="24"/>
          <w:highlight w:val="none"/>
        </w:rPr>
        <w:t>10.性能保证</w:t>
      </w:r>
      <w:bookmarkEnd w:id="150"/>
    </w:p>
    <w:p w14:paraId="20C144F5">
      <w:pPr>
        <w:numPr>
          <w:ilvl w:val="1"/>
          <w:numId w:val="36"/>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中标人保证提供的设备是全新的、未使用过的，采用的是最佳材料和一流的设计和制造工艺，并经检测、试验是完全合格，并在各个方面符合合同规定的质量、规格和性能要求。在能源合同管理服务期内，由中标人免费修理或免费更换零部件。</w:t>
      </w:r>
    </w:p>
    <w:p w14:paraId="1AB6DB70">
      <w:pPr>
        <w:numPr>
          <w:ilvl w:val="1"/>
          <w:numId w:val="36"/>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 压缩机机组，其设计和构成应确保其使用寿命至少为二十年。</w:t>
      </w:r>
    </w:p>
    <w:p w14:paraId="5F0517D7">
      <w:pPr>
        <w:numPr>
          <w:ilvl w:val="1"/>
          <w:numId w:val="36"/>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 机组性能保证：</w:t>
      </w:r>
    </w:p>
    <w:p w14:paraId="5690093C">
      <w:pPr>
        <w:numPr>
          <w:ilvl w:val="0"/>
          <w:numId w:val="37"/>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压缩机的保证点在正常运行点。</w:t>
      </w:r>
    </w:p>
    <w:p w14:paraId="0F333AA6">
      <w:pPr>
        <w:numPr>
          <w:ilvl w:val="0"/>
          <w:numId w:val="37"/>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压缩机正常工况运行点能量头和流量设计不得有负偏差，在上述条件下，其功率不应大于正常运行点设计值的10</w:t>
      </w:r>
      <w:r>
        <w:rPr>
          <w:rFonts w:ascii="宋体" w:hAnsi="宋体" w:cs="宋体"/>
          <w:color w:val="auto"/>
          <w:sz w:val="24"/>
          <w:highlight w:val="none"/>
        </w:rPr>
        <w:t>5</w:t>
      </w:r>
      <w:r>
        <w:rPr>
          <w:rFonts w:hint="eastAsia" w:ascii="宋体" w:hAnsi="宋体" w:cs="宋体"/>
          <w:color w:val="auto"/>
          <w:sz w:val="24"/>
          <w:highlight w:val="none"/>
        </w:rPr>
        <w:t>%。</w:t>
      </w:r>
    </w:p>
    <w:p w14:paraId="4F7753C4">
      <w:pPr>
        <w:numPr>
          <w:ilvl w:val="0"/>
          <w:numId w:val="37"/>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能量头—流量特性曲线应连续上升，当流量大于数据表中预定喘振流量10%以上的任何流量下，在不开启旁通路时，压缩机应能连续工作。</w:t>
      </w:r>
    </w:p>
    <w:p w14:paraId="0B3CF452">
      <w:pPr>
        <w:numPr>
          <w:ilvl w:val="0"/>
          <w:numId w:val="37"/>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压缩机组运行能力应能满足数据表中规定最大工况参数要求。</w:t>
      </w:r>
    </w:p>
    <w:p w14:paraId="028A71CE">
      <w:pPr>
        <w:numPr>
          <w:ilvl w:val="1"/>
          <w:numId w:val="36"/>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 投标人承担合同范围内所包括的所有分包设备的责任。</w:t>
      </w:r>
    </w:p>
    <w:p w14:paraId="3A18A4C3">
      <w:pPr>
        <w:numPr>
          <w:ilvl w:val="1"/>
          <w:numId w:val="36"/>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 xml:space="preserve"> 机械保证期：设备性能考核验收合格后十二个月或全部设备交货后二十二个月，两者以先到为准。</w:t>
      </w:r>
    </w:p>
    <w:p w14:paraId="44AADCFC">
      <w:pPr>
        <w:adjustRightInd w:val="0"/>
        <w:snapToGrid w:val="0"/>
        <w:spacing w:line="360" w:lineRule="auto"/>
        <w:outlineLvl w:val="0"/>
        <w:rPr>
          <w:rFonts w:ascii="宋体" w:hAnsi="宋体"/>
          <w:bCs/>
          <w:color w:val="auto"/>
          <w:sz w:val="24"/>
          <w:highlight w:val="none"/>
        </w:rPr>
      </w:pPr>
      <w:bookmarkStart w:id="151" w:name="_Toc195433168"/>
      <w:r>
        <w:rPr>
          <w:rFonts w:ascii="宋体" w:hAnsi="宋体"/>
          <w:bCs/>
          <w:color w:val="auto"/>
          <w:sz w:val="24"/>
          <w:highlight w:val="none"/>
        </w:rPr>
        <w:t>1</w:t>
      </w:r>
      <w:r>
        <w:rPr>
          <w:rFonts w:hint="eastAsia" w:ascii="宋体" w:hAnsi="宋体"/>
          <w:bCs/>
          <w:color w:val="auto"/>
          <w:sz w:val="24"/>
          <w:highlight w:val="none"/>
        </w:rPr>
        <w:t>1</w:t>
      </w:r>
      <w:r>
        <w:rPr>
          <w:rFonts w:ascii="宋体" w:hAnsi="宋体"/>
          <w:bCs/>
          <w:color w:val="auto"/>
          <w:sz w:val="24"/>
          <w:highlight w:val="none"/>
        </w:rPr>
        <w:t>.压缩机包装与运输要求</w:t>
      </w:r>
      <w:bookmarkEnd w:id="151"/>
    </w:p>
    <w:p w14:paraId="3302FD8D">
      <w:p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11</w:t>
      </w:r>
      <w:r>
        <w:rPr>
          <w:rFonts w:ascii="宋体" w:hAnsi="宋体" w:cs="宋体"/>
          <w:color w:val="auto"/>
          <w:sz w:val="24"/>
          <w:highlight w:val="none"/>
        </w:rPr>
        <w:t>.1</w:t>
      </w:r>
      <w:r>
        <w:rPr>
          <w:rFonts w:hint="eastAsia" w:ascii="宋体" w:hAnsi="宋体" w:cs="宋体"/>
          <w:color w:val="auto"/>
          <w:sz w:val="24"/>
          <w:highlight w:val="none"/>
        </w:rPr>
        <w:t>压缩机包装</w:t>
      </w:r>
    </w:p>
    <w:p w14:paraId="6F0CD700">
      <w:pPr>
        <w:numPr>
          <w:ilvl w:val="1"/>
          <w:numId w:val="38"/>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压缩机本体采用单缸整体包装运输。机组的接口法兰需配置橡胶板或胶合板保护。</w:t>
      </w:r>
    </w:p>
    <w:p w14:paraId="133F4BA6">
      <w:pPr>
        <w:numPr>
          <w:ilvl w:val="1"/>
          <w:numId w:val="38"/>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压缩机机组底座单独包装。</w:t>
      </w:r>
    </w:p>
    <w:p w14:paraId="6DA58025">
      <w:pPr>
        <w:numPr>
          <w:ilvl w:val="0"/>
          <w:numId w:val="39"/>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单个底座底部固定木方支撑，支座及固定架用箱套保护。</w:t>
      </w:r>
    </w:p>
    <w:p w14:paraId="2A3054DD">
      <w:pPr>
        <w:numPr>
          <w:ilvl w:val="0"/>
          <w:numId w:val="39"/>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底座的散件单独包装，包括地脚螺栓、调整垫片、顶起螺钉等。</w:t>
      </w:r>
    </w:p>
    <w:p w14:paraId="05EA78C1">
      <w:pPr>
        <w:numPr>
          <w:ilvl w:val="1"/>
          <w:numId w:val="38"/>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润滑油系统包装。</w:t>
      </w:r>
    </w:p>
    <w:p w14:paraId="1F6259A5">
      <w:pPr>
        <w:numPr>
          <w:ilvl w:val="0"/>
          <w:numId w:val="40"/>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油站上的油冷却器与油站主体分开底座的，分别包装，油站与油冷却器的连接管路拆下或放入油站箱内或放入油冷却器箱内包装。</w:t>
      </w:r>
    </w:p>
    <w:p w14:paraId="551CA724">
      <w:pPr>
        <w:numPr>
          <w:ilvl w:val="0"/>
          <w:numId w:val="40"/>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高位油箱单独包装。</w:t>
      </w:r>
    </w:p>
    <w:p w14:paraId="335D9410">
      <w:pPr>
        <w:numPr>
          <w:ilvl w:val="0"/>
          <w:numId w:val="40"/>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机旁管路单独包装（高位油箱阀组件、视镜也包装在该箱内）。碳钢管路和不锈钢管路要分开包装，以避免造成污染锈蚀。</w:t>
      </w:r>
    </w:p>
    <w:p w14:paraId="2BEAEBAC">
      <w:pPr>
        <w:numPr>
          <w:ilvl w:val="1"/>
          <w:numId w:val="38"/>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专用工具单独包装。</w:t>
      </w:r>
    </w:p>
    <w:p w14:paraId="4FEF2A26">
      <w:pPr>
        <w:numPr>
          <w:ilvl w:val="1"/>
          <w:numId w:val="38"/>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开车备件和两年备品备件分开单独包装。</w:t>
      </w:r>
    </w:p>
    <w:p w14:paraId="27C16EAB">
      <w:pPr>
        <w:numPr>
          <w:ilvl w:val="1"/>
          <w:numId w:val="38"/>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控制系统、仪表件分若干箱包装。</w:t>
      </w:r>
    </w:p>
    <w:p w14:paraId="1BDB8D2D">
      <w:pPr>
        <w:autoSpaceDE w:val="0"/>
        <w:autoSpaceDN w:val="0"/>
        <w:snapToGrid w:val="0"/>
        <w:spacing w:line="360" w:lineRule="auto"/>
        <w:ind w:firstLine="1200" w:firstLineChars="500"/>
        <w:textAlignment w:val="bottom"/>
        <w:rPr>
          <w:rFonts w:ascii="宋体" w:hAnsi="宋体" w:cs="宋体"/>
          <w:color w:val="auto"/>
          <w:sz w:val="24"/>
          <w:highlight w:val="none"/>
        </w:rPr>
      </w:pPr>
      <w:r>
        <w:rPr>
          <w:rFonts w:hint="eastAsia" w:ascii="宋体" w:hAnsi="宋体" w:cs="宋体"/>
          <w:color w:val="auto"/>
          <w:sz w:val="24"/>
          <w:highlight w:val="none"/>
        </w:rPr>
        <w:t>提供详细的包装箱（件）汇总表及装箱单。</w:t>
      </w:r>
    </w:p>
    <w:p w14:paraId="78A5110A">
      <w:pPr>
        <w:numPr>
          <w:ilvl w:val="1"/>
          <w:numId w:val="38"/>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工程管路（气管路）包装</w:t>
      </w:r>
    </w:p>
    <w:p w14:paraId="00E68D54">
      <w:pPr>
        <w:numPr>
          <w:ilvl w:val="0"/>
          <w:numId w:val="41"/>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工程管路直管部分可用包装托架简包，但碳钢管、不锈钢管、钛管要分开包装，以避免造成污染锈蚀。</w:t>
      </w:r>
    </w:p>
    <w:p w14:paraId="3623B4D6">
      <w:pPr>
        <w:numPr>
          <w:ilvl w:val="0"/>
          <w:numId w:val="41"/>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工程管路材料表里的所有件全部按材质分类包装，碳钢管、不锈钢管、钛管分箱包装。自制件与外购件分箱包装。</w:t>
      </w:r>
    </w:p>
    <w:p w14:paraId="16CA2F6C">
      <w:pPr>
        <w:numPr>
          <w:ilvl w:val="0"/>
          <w:numId w:val="41"/>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工程管路里的管子外径≥Φ800裸包，＜Φ800时放在管路包装托架上。如果管子数量很少（外径很小），就裸包（在装箱单上注明“捆扎在一起包装”）。90°（L）弯头≥DN450，45°弯头≥DN800，90°（S）弯头≥DN600，等径三通≥DN700，异径接头≥DN800，异径三通≥DN700的裸包。小于以上规格的采用箱装。</w:t>
      </w:r>
    </w:p>
    <w:p w14:paraId="3E63D60F">
      <w:pPr>
        <w:numPr>
          <w:ilvl w:val="0"/>
          <w:numId w:val="41"/>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气体冷却器、分离器、管道过滤器等采用简包方式，地脚螺栓、垫片等附件单独包装。</w:t>
      </w:r>
    </w:p>
    <w:p w14:paraId="05BE8391">
      <w:pPr>
        <w:numPr>
          <w:ilvl w:val="1"/>
          <w:numId w:val="38"/>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产品应清洁并按要求涂刷防锈油，对密闭的箱装的，要放置气相缓蚀剂，对易碎件要有防震缓冲包装。</w:t>
      </w:r>
    </w:p>
    <w:p w14:paraId="1EE63F44">
      <w:pPr>
        <w:numPr>
          <w:ilvl w:val="1"/>
          <w:numId w:val="38"/>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包装箱材料要满足多次倒运及长途运输要求，包装箱内框架牢固，包装箱整体不得倾斜变形。</w:t>
      </w:r>
    </w:p>
    <w:p w14:paraId="7EA57E40">
      <w:pPr>
        <w:numPr>
          <w:ilvl w:val="1"/>
          <w:numId w:val="38"/>
        </w:numPr>
        <w:autoSpaceDE w:val="0"/>
        <w:autoSpaceDN w:val="0"/>
        <w:snapToGrid w:val="0"/>
        <w:spacing w:line="360" w:lineRule="auto"/>
        <w:ind w:firstLine="420" w:firstLineChars="175"/>
        <w:textAlignment w:val="bottom"/>
        <w:rPr>
          <w:rFonts w:ascii="宋体" w:hAnsi="宋体" w:cs="宋体"/>
          <w:color w:val="auto"/>
          <w:sz w:val="24"/>
          <w:highlight w:val="none"/>
        </w:rPr>
      </w:pPr>
      <w:r>
        <w:rPr>
          <w:rFonts w:hint="eastAsia" w:ascii="宋体" w:hAnsi="宋体" w:cs="宋体"/>
          <w:color w:val="auto"/>
          <w:sz w:val="24"/>
          <w:highlight w:val="none"/>
        </w:rPr>
        <w:t>包装箱外的储运标志要齐全，如“向上”、“怕湿”、“小心轻放”、“室内保管”、 “重心点”、“起吊位置”等。收发货主唛头要用塑料罩密闭热封钉在箱外。随机资料要齐全，并用铝箔热封密闭后放入随机资料包装箱内。箱、内外箱单各一份，塑料罩密闭热封后钉在箱、内外。</w:t>
      </w:r>
    </w:p>
    <w:p w14:paraId="54EFA3C6">
      <w:pPr>
        <w:numPr>
          <w:ilvl w:val="2"/>
          <w:numId w:val="42"/>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压缩机机组运输与验收</w:t>
      </w:r>
    </w:p>
    <w:p w14:paraId="071E554B">
      <w:pPr>
        <w:numPr>
          <w:ilvl w:val="1"/>
          <w:numId w:val="43"/>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压缩机机组采用汽车等运输工具运输到招标人现场</w:t>
      </w:r>
    </w:p>
    <w:p w14:paraId="602C46A2">
      <w:pPr>
        <w:numPr>
          <w:ilvl w:val="0"/>
          <w:numId w:val="44"/>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中标人提供产品包装、运输和储存保护的文件，应有详细的包装清单。</w:t>
      </w:r>
    </w:p>
    <w:p w14:paraId="1BF988E7">
      <w:pPr>
        <w:numPr>
          <w:ilvl w:val="0"/>
          <w:numId w:val="44"/>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机组到达招标人现场后，由招标人负责卸货，在卸货时应由中标人的检验人员在场监督并指导卸车，要按照中标人的装载文件规定进行。</w:t>
      </w:r>
    </w:p>
    <w:p w14:paraId="3E0F7131">
      <w:pPr>
        <w:numPr>
          <w:ilvl w:val="1"/>
          <w:numId w:val="43"/>
        </w:numPr>
        <w:autoSpaceDE w:val="0"/>
        <w:autoSpaceDN w:val="0"/>
        <w:snapToGrid w:val="0"/>
        <w:spacing w:line="360" w:lineRule="auto"/>
        <w:ind w:left="420"/>
        <w:textAlignment w:val="bottom"/>
        <w:rPr>
          <w:rFonts w:ascii="宋体" w:hAnsi="宋体" w:cs="宋体"/>
          <w:color w:val="auto"/>
          <w:sz w:val="24"/>
          <w:highlight w:val="none"/>
        </w:rPr>
      </w:pPr>
      <w:r>
        <w:rPr>
          <w:rFonts w:hint="eastAsia" w:ascii="宋体" w:hAnsi="宋体" w:cs="宋体"/>
          <w:color w:val="auto"/>
          <w:sz w:val="24"/>
          <w:highlight w:val="none"/>
        </w:rPr>
        <w:t>压缩机机组到达招标人现场后的验收</w:t>
      </w:r>
    </w:p>
    <w:p w14:paraId="0B6E8863">
      <w:pPr>
        <w:numPr>
          <w:ilvl w:val="0"/>
          <w:numId w:val="45"/>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招投标双方在招标人现场共同完成验收工作。</w:t>
      </w:r>
    </w:p>
    <w:p w14:paraId="428F6AAC">
      <w:pPr>
        <w:numPr>
          <w:ilvl w:val="0"/>
          <w:numId w:val="45"/>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招标人提供吊车及其它工具或现场必需的帮助。</w:t>
      </w:r>
    </w:p>
    <w:p w14:paraId="29DC41F4">
      <w:pPr>
        <w:numPr>
          <w:ilvl w:val="0"/>
          <w:numId w:val="45"/>
        </w:numPr>
        <w:autoSpaceDE w:val="0"/>
        <w:autoSpaceDN w:val="0"/>
        <w:snapToGrid w:val="0"/>
        <w:spacing w:line="360" w:lineRule="auto"/>
        <w:textAlignment w:val="bottom"/>
        <w:rPr>
          <w:rFonts w:ascii="宋体" w:hAnsi="宋体" w:cs="宋体"/>
          <w:color w:val="auto"/>
          <w:sz w:val="24"/>
          <w:highlight w:val="none"/>
        </w:rPr>
      </w:pPr>
      <w:r>
        <w:rPr>
          <w:rFonts w:hint="eastAsia" w:ascii="宋体" w:hAnsi="宋体" w:cs="宋体"/>
          <w:color w:val="auto"/>
          <w:sz w:val="24"/>
          <w:highlight w:val="none"/>
        </w:rPr>
        <w:t>招投标双方在招标人现场共同完成验收工作后即完成产品交货。</w:t>
      </w:r>
    </w:p>
    <w:p w14:paraId="3B1CD31A">
      <w:pPr>
        <w:autoSpaceDE w:val="0"/>
        <w:autoSpaceDN w:val="0"/>
        <w:snapToGrid w:val="0"/>
        <w:spacing w:line="360" w:lineRule="auto"/>
        <w:ind w:left="420"/>
        <w:textAlignment w:val="bottom"/>
        <w:rPr>
          <w:rFonts w:ascii="宋体" w:hAnsi="宋体" w:cs="宋体"/>
          <w:color w:val="auto"/>
          <w:sz w:val="24"/>
          <w:highlight w:val="none"/>
        </w:rPr>
      </w:pPr>
    </w:p>
    <w:p w14:paraId="4A06EF71">
      <w:pPr>
        <w:adjustRightInd w:val="0"/>
        <w:snapToGrid w:val="0"/>
        <w:spacing w:line="360" w:lineRule="auto"/>
        <w:outlineLvl w:val="0"/>
        <w:rPr>
          <w:rFonts w:ascii="宋体" w:hAnsi="宋体"/>
          <w:bCs/>
          <w:color w:val="auto"/>
          <w:sz w:val="24"/>
          <w:highlight w:val="none"/>
        </w:rPr>
      </w:pPr>
      <w:bookmarkStart w:id="152" w:name="_Toc195433169"/>
      <w:r>
        <w:rPr>
          <w:rFonts w:ascii="宋体" w:hAnsi="宋体"/>
          <w:bCs/>
          <w:color w:val="auto"/>
          <w:sz w:val="24"/>
          <w:highlight w:val="none"/>
        </w:rPr>
        <w:t>1</w:t>
      </w:r>
      <w:r>
        <w:rPr>
          <w:rFonts w:hint="eastAsia" w:ascii="宋体" w:hAnsi="宋体"/>
          <w:bCs/>
          <w:color w:val="auto"/>
          <w:sz w:val="24"/>
          <w:highlight w:val="none"/>
        </w:rPr>
        <w:t>2</w:t>
      </w:r>
      <w:r>
        <w:rPr>
          <w:rFonts w:ascii="宋体" w:hAnsi="宋体"/>
          <w:bCs/>
          <w:color w:val="auto"/>
          <w:sz w:val="24"/>
          <w:highlight w:val="none"/>
        </w:rPr>
        <w:t>.产品涂漆</w:t>
      </w:r>
      <w:bookmarkEnd w:id="152"/>
    </w:p>
    <w:p w14:paraId="6D468F60">
      <w:pPr>
        <w:numPr>
          <w:ilvl w:val="2"/>
          <w:numId w:val="46"/>
        </w:numPr>
        <w:spacing w:line="360" w:lineRule="auto"/>
        <w:rPr>
          <w:rFonts w:ascii="宋体" w:hAnsi="宋体" w:cs="宋体"/>
          <w:color w:val="auto"/>
          <w:sz w:val="24"/>
          <w:highlight w:val="none"/>
        </w:rPr>
      </w:pPr>
      <w:r>
        <w:rPr>
          <w:rFonts w:hint="eastAsia" w:ascii="宋体" w:hAnsi="宋体" w:cs="宋体"/>
          <w:color w:val="auto"/>
          <w:sz w:val="24"/>
          <w:highlight w:val="none"/>
        </w:rPr>
        <w:t>产品涂漆按《23138-PEM0103-MC-08 涂漆与防腐设计统一规定-1版》</w:t>
      </w:r>
    </w:p>
    <w:p w14:paraId="5C8FF914">
      <w:pPr>
        <w:numPr>
          <w:ilvl w:val="2"/>
          <w:numId w:val="46"/>
        </w:numPr>
        <w:spacing w:line="360" w:lineRule="auto"/>
        <w:rPr>
          <w:rFonts w:ascii="宋体" w:hAnsi="宋体" w:cs="宋体"/>
          <w:color w:val="auto"/>
          <w:sz w:val="24"/>
          <w:highlight w:val="none"/>
        </w:rPr>
      </w:pPr>
      <w:r>
        <w:rPr>
          <w:rFonts w:hint="eastAsia" w:ascii="宋体" w:hAnsi="宋体" w:cs="宋体"/>
          <w:color w:val="auto"/>
          <w:sz w:val="24"/>
          <w:highlight w:val="none"/>
        </w:rPr>
        <w:t>技术要求：</w:t>
      </w:r>
    </w:p>
    <w:p w14:paraId="202763EB">
      <w:pPr>
        <w:numPr>
          <w:ilvl w:val="0"/>
          <w:numId w:val="47"/>
        </w:num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外观油漆应涂的牢固、光亮、平整、色泽均匀，不得有粗糙不平，更不得有漏漆、错色或颜色不符等现象。</w:t>
      </w:r>
    </w:p>
    <w:p w14:paraId="73964A3E">
      <w:pPr>
        <w:numPr>
          <w:ilvl w:val="0"/>
          <w:numId w:val="47"/>
        </w:numPr>
        <w:spacing w:line="360" w:lineRule="auto"/>
        <w:rPr>
          <w:rFonts w:ascii="宋体" w:hAnsi="宋体" w:cs="宋体"/>
          <w:color w:val="auto"/>
          <w:sz w:val="24"/>
          <w:highlight w:val="none"/>
        </w:rPr>
      </w:pPr>
      <w:r>
        <w:rPr>
          <w:rFonts w:hint="eastAsia" w:ascii="宋体" w:hAnsi="宋体" w:cs="宋体"/>
          <w:color w:val="auto"/>
          <w:sz w:val="24"/>
          <w:highlight w:val="none"/>
        </w:rPr>
        <w:t>面漆不允许有流挂、起泡、发白、失光及明显的伤痕等现象。</w:t>
      </w:r>
    </w:p>
    <w:p w14:paraId="4DCD0EEC">
      <w:pPr>
        <w:numPr>
          <w:ilvl w:val="0"/>
          <w:numId w:val="47"/>
        </w:numPr>
        <w:spacing w:line="360" w:lineRule="auto"/>
        <w:rPr>
          <w:rFonts w:ascii="宋体" w:hAnsi="宋体" w:cs="宋体"/>
          <w:color w:val="auto"/>
          <w:sz w:val="24"/>
          <w:highlight w:val="none"/>
        </w:rPr>
      </w:pPr>
      <w:r>
        <w:rPr>
          <w:rFonts w:hint="eastAsia" w:ascii="宋体" w:hAnsi="宋体" w:cs="宋体"/>
          <w:color w:val="auto"/>
          <w:sz w:val="24"/>
          <w:highlight w:val="none"/>
        </w:rPr>
        <w:t>底漆必须涂刷均匀，无流挂和明显的桔皮现象。</w:t>
      </w:r>
    </w:p>
    <w:p w14:paraId="6FA1E6E4">
      <w:pPr>
        <w:numPr>
          <w:ilvl w:val="0"/>
          <w:numId w:val="47"/>
        </w:numPr>
        <w:spacing w:line="360" w:lineRule="auto"/>
        <w:rPr>
          <w:rFonts w:ascii="宋体" w:hAnsi="宋体" w:cs="宋体"/>
          <w:color w:val="auto"/>
          <w:sz w:val="24"/>
          <w:highlight w:val="none"/>
        </w:rPr>
      </w:pPr>
      <w:r>
        <w:rPr>
          <w:rFonts w:hint="eastAsia" w:ascii="宋体" w:hAnsi="宋体" w:cs="宋体"/>
          <w:color w:val="auto"/>
          <w:sz w:val="24"/>
          <w:highlight w:val="none"/>
        </w:rPr>
        <w:t>装配结合面的漆层必须平整，缝线明显，不得有崩脱，界限不分等现象。</w:t>
      </w:r>
    </w:p>
    <w:p w14:paraId="44798425">
      <w:pPr>
        <w:numPr>
          <w:ilvl w:val="0"/>
          <w:numId w:val="47"/>
        </w:numPr>
        <w:spacing w:line="360" w:lineRule="auto"/>
        <w:rPr>
          <w:rFonts w:ascii="宋体" w:hAnsi="宋体" w:cs="宋体"/>
          <w:color w:val="auto"/>
          <w:sz w:val="24"/>
          <w:highlight w:val="none"/>
        </w:rPr>
      </w:pPr>
      <w:r>
        <w:rPr>
          <w:rFonts w:hint="eastAsia" w:ascii="宋体" w:hAnsi="宋体" w:cs="宋体"/>
          <w:color w:val="auto"/>
          <w:sz w:val="24"/>
          <w:highlight w:val="none"/>
        </w:rPr>
        <w:t>最后一层面漆应在试车合格后进行。</w:t>
      </w:r>
    </w:p>
    <w:p w14:paraId="63AAE127">
      <w:pPr>
        <w:numPr>
          <w:ilvl w:val="0"/>
          <w:numId w:val="47"/>
        </w:numPr>
        <w:spacing w:line="360" w:lineRule="auto"/>
        <w:rPr>
          <w:rFonts w:ascii="宋体" w:hAnsi="宋体" w:cs="宋体"/>
          <w:color w:val="auto"/>
          <w:sz w:val="24"/>
          <w:highlight w:val="none"/>
        </w:rPr>
      </w:pPr>
      <w:r>
        <w:rPr>
          <w:rFonts w:hint="eastAsia" w:ascii="宋体" w:hAnsi="宋体" w:cs="宋体"/>
          <w:color w:val="auto"/>
          <w:sz w:val="24"/>
          <w:highlight w:val="none"/>
        </w:rPr>
        <w:t>装配后不易或不能涂漆的表面，应在装配前涂漆。</w:t>
      </w:r>
    </w:p>
    <w:p w14:paraId="3B660138">
      <w:pPr>
        <w:numPr>
          <w:ilvl w:val="0"/>
          <w:numId w:val="47"/>
        </w:numPr>
        <w:spacing w:line="360" w:lineRule="auto"/>
        <w:ind w:firstLine="420" w:firstLineChars="175"/>
        <w:rPr>
          <w:rFonts w:ascii="宋体" w:hAnsi="宋体" w:cs="宋体"/>
          <w:color w:val="auto"/>
          <w:sz w:val="24"/>
          <w:highlight w:val="none"/>
        </w:rPr>
      </w:pPr>
      <w:r>
        <w:rPr>
          <w:rFonts w:hint="eastAsia" w:ascii="宋体" w:hAnsi="宋体" w:cs="宋体"/>
          <w:color w:val="auto"/>
          <w:sz w:val="24"/>
          <w:highlight w:val="none"/>
        </w:rPr>
        <w:t>对容器表面凹凸不平及划痕，应采用磨削方法去除并使之圆滑过渡，不允许打腻子。</w:t>
      </w:r>
    </w:p>
    <w:p w14:paraId="0F620DF4">
      <w:pPr>
        <w:numPr>
          <w:ilvl w:val="0"/>
          <w:numId w:val="47"/>
        </w:numPr>
        <w:spacing w:line="360" w:lineRule="auto"/>
        <w:rPr>
          <w:rFonts w:ascii="宋体" w:hAnsi="宋体" w:cs="宋体"/>
          <w:color w:val="auto"/>
          <w:sz w:val="24"/>
          <w:highlight w:val="none"/>
        </w:rPr>
      </w:pPr>
      <w:r>
        <w:rPr>
          <w:rFonts w:hint="eastAsia" w:ascii="宋体" w:hAnsi="宋体" w:cs="宋体"/>
          <w:color w:val="auto"/>
          <w:sz w:val="24"/>
          <w:highlight w:val="none"/>
        </w:rPr>
        <w:t>容器的涂敷应按JB/T 4711《压力容器涂敷与运输包装》进行。</w:t>
      </w:r>
    </w:p>
    <w:p w14:paraId="56FEFAC9">
      <w:pPr>
        <w:numPr>
          <w:ilvl w:val="2"/>
          <w:numId w:val="46"/>
        </w:numPr>
        <w:spacing w:line="360" w:lineRule="auto"/>
        <w:rPr>
          <w:rFonts w:ascii="宋体" w:hAnsi="宋体" w:cs="宋体"/>
          <w:color w:val="auto"/>
          <w:sz w:val="24"/>
          <w:highlight w:val="none"/>
        </w:rPr>
      </w:pPr>
      <w:r>
        <w:rPr>
          <w:rFonts w:hint="eastAsia" w:ascii="宋体" w:hAnsi="宋体" w:cs="宋体"/>
          <w:color w:val="auto"/>
          <w:sz w:val="24"/>
          <w:highlight w:val="none"/>
        </w:rPr>
        <w:t>底漆喷涂：</w:t>
      </w:r>
    </w:p>
    <w:p w14:paraId="2C262C2A">
      <w:pPr>
        <w:numPr>
          <w:ilvl w:val="0"/>
          <w:numId w:val="48"/>
        </w:numPr>
        <w:spacing w:line="360" w:lineRule="auto"/>
        <w:rPr>
          <w:rFonts w:ascii="宋体" w:hAnsi="宋体" w:cs="宋体"/>
          <w:color w:val="auto"/>
          <w:sz w:val="24"/>
          <w:highlight w:val="none"/>
        </w:rPr>
      </w:pPr>
      <w:r>
        <w:rPr>
          <w:rFonts w:hint="eastAsia" w:ascii="宋体" w:hAnsi="宋体" w:cs="宋体"/>
          <w:color w:val="auto"/>
          <w:sz w:val="24"/>
          <w:highlight w:val="none"/>
        </w:rPr>
        <w:t>产品部分零部件的内外不加工表面涂装环保型水溶性丙稀酸漆。</w:t>
      </w:r>
    </w:p>
    <w:p w14:paraId="4339FF7F">
      <w:pPr>
        <w:numPr>
          <w:ilvl w:val="0"/>
          <w:numId w:val="48"/>
        </w:numPr>
        <w:spacing w:line="360" w:lineRule="auto"/>
        <w:rPr>
          <w:rFonts w:ascii="宋体" w:hAnsi="宋体" w:cs="宋体"/>
          <w:color w:val="auto"/>
          <w:sz w:val="24"/>
          <w:highlight w:val="none"/>
        </w:rPr>
      </w:pPr>
      <w:r>
        <w:rPr>
          <w:rFonts w:hint="eastAsia" w:ascii="宋体" w:hAnsi="宋体" w:cs="宋体"/>
          <w:color w:val="auto"/>
          <w:sz w:val="24"/>
          <w:highlight w:val="none"/>
        </w:rPr>
        <w:t>底漆涂4~5层，总厚度为外表面涂漆130~140μm，内表面涂30~50μm。</w:t>
      </w:r>
    </w:p>
    <w:p w14:paraId="1124CB98">
      <w:pPr>
        <w:numPr>
          <w:ilvl w:val="0"/>
          <w:numId w:val="48"/>
        </w:numPr>
        <w:spacing w:line="360" w:lineRule="auto"/>
        <w:rPr>
          <w:rFonts w:ascii="宋体" w:hAnsi="宋体" w:cs="宋体"/>
          <w:color w:val="auto"/>
          <w:sz w:val="24"/>
          <w:highlight w:val="none"/>
        </w:rPr>
      </w:pPr>
      <w:r>
        <w:rPr>
          <w:rFonts w:hint="eastAsia" w:ascii="宋体" w:hAnsi="宋体" w:cs="宋体"/>
          <w:color w:val="auto"/>
          <w:sz w:val="24"/>
          <w:highlight w:val="none"/>
        </w:rPr>
        <w:t>叶盘扩压器非加工表面涂底漆10~20μm。</w:t>
      </w:r>
    </w:p>
    <w:p w14:paraId="489AAC2B">
      <w:pPr>
        <w:numPr>
          <w:ilvl w:val="2"/>
          <w:numId w:val="46"/>
        </w:numPr>
        <w:spacing w:line="360" w:lineRule="auto"/>
        <w:rPr>
          <w:rFonts w:ascii="宋体" w:hAnsi="宋体" w:cs="宋体"/>
          <w:color w:val="auto"/>
          <w:sz w:val="24"/>
          <w:highlight w:val="none"/>
        </w:rPr>
      </w:pPr>
      <w:r>
        <w:rPr>
          <w:rFonts w:hint="eastAsia" w:ascii="宋体" w:hAnsi="宋体" w:cs="宋体"/>
          <w:color w:val="auto"/>
          <w:sz w:val="24"/>
          <w:highlight w:val="none"/>
        </w:rPr>
        <w:t>面涂喷涂：</w:t>
      </w:r>
    </w:p>
    <w:p w14:paraId="5C03215C">
      <w:pPr>
        <w:numPr>
          <w:ilvl w:val="0"/>
          <w:numId w:val="49"/>
        </w:numPr>
        <w:spacing w:line="360" w:lineRule="auto"/>
        <w:rPr>
          <w:rFonts w:ascii="宋体" w:hAnsi="宋体" w:cs="宋体"/>
          <w:color w:val="auto"/>
          <w:sz w:val="24"/>
          <w:highlight w:val="none"/>
        </w:rPr>
      </w:pPr>
      <w:r>
        <w:rPr>
          <w:rFonts w:hint="eastAsia" w:ascii="宋体" w:hAnsi="宋体" w:cs="宋体"/>
          <w:color w:val="auto"/>
          <w:sz w:val="24"/>
          <w:highlight w:val="none"/>
        </w:rPr>
        <w:t>面漆均应涂装环保型水溶性丙稀酸锤纹漆。</w:t>
      </w:r>
    </w:p>
    <w:p w14:paraId="657A0D42">
      <w:pPr>
        <w:numPr>
          <w:ilvl w:val="0"/>
          <w:numId w:val="49"/>
        </w:numPr>
        <w:spacing w:line="360" w:lineRule="auto"/>
        <w:rPr>
          <w:rFonts w:ascii="宋体" w:hAnsi="宋体" w:cs="宋体"/>
          <w:color w:val="auto"/>
          <w:sz w:val="24"/>
          <w:highlight w:val="none"/>
        </w:rPr>
      </w:pPr>
      <w:r>
        <w:rPr>
          <w:rFonts w:hint="eastAsia" w:ascii="宋体" w:hAnsi="宋体" w:cs="宋体"/>
          <w:color w:val="auto"/>
          <w:sz w:val="24"/>
          <w:highlight w:val="none"/>
        </w:rPr>
        <w:t>面漆颜色：依据招标人厂标。</w:t>
      </w:r>
    </w:p>
    <w:p w14:paraId="7B0F091F">
      <w:pPr>
        <w:numPr>
          <w:ilvl w:val="0"/>
          <w:numId w:val="49"/>
        </w:numPr>
        <w:spacing w:line="360" w:lineRule="auto"/>
        <w:rPr>
          <w:rFonts w:ascii="宋体" w:hAnsi="宋体" w:cs="宋体"/>
          <w:color w:val="auto"/>
          <w:sz w:val="24"/>
          <w:highlight w:val="none"/>
        </w:rPr>
      </w:pPr>
      <w:r>
        <w:rPr>
          <w:rFonts w:hint="eastAsia" w:ascii="宋体" w:hAnsi="宋体" w:cs="宋体"/>
          <w:color w:val="auto"/>
          <w:sz w:val="24"/>
          <w:highlight w:val="none"/>
        </w:rPr>
        <w:t>面漆喷涂厚度：70~80μm。</w:t>
      </w:r>
    </w:p>
    <w:p w14:paraId="5BEA2556">
      <w:pPr>
        <w:numPr>
          <w:ilvl w:val="0"/>
          <w:numId w:val="49"/>
        </w:numPr>
        <w:spacing w:line="360" w:lineRule="auto"/>
        <w:rPr>
          <w:rFonts w:ascii="宋体" w:hAnsi="宋体" w:cs="宋体"/>
          <w:color w:val="auto"/>
          <w:sz w:val="24"/>
          <w:highlight w:val="none"/>
        </w:rPr>
      </w:pPr>
      <w:r>
        <w:rPr>
          <w:rFonts w:hint="eastAsia" w:ascii="宋体" w:hAnsi="宋体" w:cs="宋体"/>
          <w:color w:val="auto"/>
          <w:sz w:val="24"/>
          <w:highlight w:val="none"/>
        </w:rPr>
        <w:t>面漆喷涂2~3层。</w:t>
      </w:r>
    </w:p>
    <w:p w14:paraId="50D16143">
      <w:pPr>
        <w:numPr>
          <w:ilvl w:val="2"/>
          <w:numId w:val="46"/>
        </w:numPr>
        <w:spacing w:line="360" w:lineRule="auto"/>
        <w:rPr>
          <w:rFonts w:ascii="宋体" w:hAnsi="宋体" w:cs="宋体"/>
          <w:color w:val="auto"/>
          <w:sz w:val="24"/>
          <w:highlight w:val="none"/>
        </w:rPr>
      </w:pPr>
      <w:r>
        <w:rPr>
          <w:rFonts w:hint="eastAsia" w:ascii="宋体" w:hAnsi="宋体" w:cs="宋体"/>
          <w:color w:val="auto"/>
          <w:sz w:val="24"/>
          <w:highlight w:val="none"/>
        </w:rPr>
        <w:t>不需涂漆的部件</w:t>
      </w:r>
    </w:p>
    <w:p w14:paraId="63E6E48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除非有特殊要求需在图纸中注明外，下述材料及部件表面不需涂漆，技术要求按照厂规执行。</w:t>
      </w:r>
    </w:p>
    <w:p w14:paraId="564DD9B6">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铜、铝等有色金属件。</w:t>
      </w:r>
    </w:p>
    <w:p w14:paraId="727AED48">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玻璃钢、橡胶、合成树脂、石墨、石棉等非金属件。</w:t>
      </w:r>
    </w:p>
    <w:p w14:paraId="4F1A627C">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巴氏合金面、电镀面、刷镀面、镀件等。</w:t>
      </w:r>
    </w:p>
    <w:p w14:paraId="3A1B9F25">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加工表面、法兰及组装件的中分面。</w:t>
      </w:r>
    </w:p>
    <w:p w14:paraId="6F46AFB4">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不锈钢件（机壳除外）。</w:t>
      </w:r>
    </w:p>
    <w:p w14:paraId="673B6446">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仪表、阀门、旋塞、油位计、外购油泵、电动机。</w:t>
      </w:r>
    </w:p>
    <w:p w14:paraId="692A60C6">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标牌、视镜、看窗、标志板、标签等。</w:t>
      </w:r>
    </w:p>
    <w:p w14:paraId="60E77D2F">
      <w:pPr>
        <w:numPr>
          <w:ilvl w:val="0"/>
          <w:numId w:val="50"/>
        </w:numPr>
        <w:spacing w:line="360" w:lineRule="auto"/>
        <w:rPr>
          <w:rFonts w:ascii="宋体" w:hAnsi="宋体" w:cs="宋体"/>
          <w:color w:val="auto"/>
          <w:sz w:val="24"/>
          <w:highlight w:val="none"/>
        </w:rPr>
      </w:pPr>
      <w:r>
        <w:rPr>
          <w:rFonts w:hint="eastAsia" w:ascii="宋体" w:hAnsi="宋体" w:cs="宋体"/>
          <w:color w:val="auto"/>
          <w:sz w:val="24"/>
          <w:highlight w:val="none"/>
        </w:rPr>
        <w:t>压力容器涂敷：除图样另有规定外，下列情况可不涂敷防腐涂料。</w:t>
      </w:r>
    </w:p>
    <w:p w14:paraId="071AA688">
      <w:pPr>
        <w:numPr>
          <w:ilvl w:val="0"/>
          <w:numId w:val="51"/>
        </w:numPr>
        <w:spacing w:line="360" w:lineRule="auto"/>
        <w:rPr>
          <w:rFonts w:ascii="宋体" w:hAnsi="宋体" w:cs="宋体"/>
          <w:color w:val="auto"/>
          <w:sz w:val="24"/>
          <w:highlight w:val="none"/>
        </w:rPr>
      </w:pPr>
      <w:r>
        <w:rPr>
          <w:rFonts w:hint="eastAsia" w:ascii="宋体" w:hAnsi="宋体" w:cs="宋体"/>
          <w:color w:val="auto"/>
          <w:sz w:val="24"/>
          <w:highlight w:val="none"/>
        </w:rPr>
        <w:t>容器的内表面</w:t>
      </w:r>
    </w:p>
    <w:p w14:paraId="5E7B5657">
      <w:pPr>
        <w:numPr>
          <w:ilvl w:val="0"/>
          <w:numId w:val="51"/>
        </w:numPr>
        <w:spacing w:line="360" w:lineRule="auto"/>
        <w:rPr>
          <w:rFonts w:ascii="宋体" w:hAnsi="宋体" w:cs="宋体"/>
          <w:color w:val="auto"/>
          <w:sz w:val="24"/>
          <w:highlight w:val="none"/>
        </w:rPr>
      </w:pPr>
      <w:r>
        <w:rPr>
          <w:rFonts w:hint="eastAsia" w:ascii="宋体" w:hAnsi="宋体" w:cs="宋体"/>
          <w:color w:val="auto"/>
          <w:sz w:val="24"/>
          <w:highlight w:val="none"/>
        </w:rPr>
        <w:t>随容器整体出厂的内件</w:t>
      </w:r>
    </w:p>
    <w:p w14:paraId="4BDB5F6E">
      <w:pPr>
        <w:numPr>
          <w:ilvl w:val="0"/>
          <w:numId w:val="51"/>
        </w:numPr>
        <w:spacing w:line="360" w:lineRule="auto"/>
        <w:rPr>
          <w:rFonts w:ascii="宋体" w:hAnsi="宋体" w:cs="宋体"/>
          <w:color w:val="auto"/>
          <w:sz w:val="24"/>
          <w:highlight w:val="none"/>
        </w:rPr>
      </w:pPr>
      <w:r>
        <w:rPr>
          <w:rFonts w:hint="eastAsia" w:ascii="宋体" w:hAnsi="宋体" w:cs="宋体"/>
          <w:color w:val="auto"/>
          <w:sz w:val="24"/>
          <w:highlight w:val="none"/>
        </w:rPr>
        <w:t>不锈钢制压力容器</w:t>
      </w:r>
    </w:p>
    <w:p w14:paraId="600167D3">
      <w:pPr>
        <w:numPr>
          <w:ilvl w:val="0"/>
          <w:numId w:val="51"/>
        </w:numPr>
        <w:spacing w:line="360" w:lineRule="auto"/>
        <w:rPr>
          <w:rFonts w:ascii="宋体" w:hAnsi="宋体" w:cs="宋体"/>
          <w:color w:val="auto"/>
          <w:sz w:val="24"/>
          <w:highlight w:val="none"/>
        </w:rPr>
      </w:pPr>
      <w:r>
        <w:rPr>
          <w:rFonts w:hint="eastAsia" w:ascii="宋体" w:hAnsi="宋体" w:cs="宋体"/>
          <w:color w:val="auto"/>
          <w:sz w:val="24"/>
          <w:highlight w:val="none"/>
        </w:rPr>
        <w:t>有色金属及其合金制压力容器</w:t>
      </w:r>
    </w:p>
    <w:p w14:paraId="53BE7DC0">
      <w:pPr>
        <w:adjustRightInd w:val="0"/>
        <w:snapToGrid w:val="0"/>
        <w:spacing w:line="360" w:lineRule="auto"/>
        <w:outlineLvl w:val="0"/>
        <w:rPr>
          <w:rFonts w:ascii="宋体" w:hAnsi="宋体"/>
          <w:bCs/>
          <w:color w:val="auto"/>
          <w:sz w:val="24"/>
          <w:highlight w:val="none"/>
        </w:rPr>
      </w:pPr>
      <w:bookmarkStart w:id="153" w:name="_Toc195433170"/>
      <w:r>
        <w:rPr>
          <w:rFonts w:ascii="宋体" w:hAnsi="宋体"/>
          <w:bCs/>
          <w:color w:val="auto"/>
          <w:sz w:val="24"/>
          <w:highlight w:val="none"/>
        </w:rPr>
        <w:t>1</w:t>
      </w:r>
      <w:r>
        <w:rPr>
          <w:rFonts w:hint="eastAsia" w:ascii="宋体" w:hAnsi="宋体"/>
          <w:bCs/>
          <w:color w:val="auto"/>
          <w:sz w:val="24"/>
          <w:highlight w:val="none"/>
        </w:rPr>
        <w:t>3</w:t>
      </w:r>
      <w:r>
        <w:rPr>
          <w:rFonts w:ascii="宋体" w:hAnsi="宋体"/>
          <w:bCs/>
          <w:color w:val="auto"/>
          <w:sz w:val="24"/>
          <w:highlight w:val="none"/>
        </w:rPr>
        <w:t>.投标人投标时需提供</w:t>
      </w:r>
      <w:bookmarkEnd w:id="153"/>
    </w:p>
    <w:p w14:paraId="597FF601">
      <w:pPr>
        <w:numPr>
          <w:ilvl w:val="0"/>
          <w:numId w:val="5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制造蒸汽离心压缩机的详细技术方案(结构、系统及管路简介、气路系统、润滑系统、设计制造检验、包装运输、图纸和货物交货期等等)。</w:t>
      </w:r>
    </w:p>
    <w:p w14:paraId="73CAEB94">
      <w:pPr>
        <w:numPr>
          <w:ilvl w:val="0"/>
          <w:numId w:val="5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PID流程图。</w:t>
      </w:r>
    </w:p>
    <w:p w14:paraId="547507C3">
      <w:pPr>
        <w:numPr>
          <w:ilvl w:val="0"/>
          <w:numId w:val="5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外形图(含平面布置和土建基础图)和详细重量表。</w:t>
      </w:r>
    </w:p>
    <w:p w14:paraId="120B48BE">
      <w:pPr>
        <w:numPr>
          <w:ilvl w:val="0"/>
          <w:numId w:val="5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电气接线图及原理图。</w:t>
      </w:r>
    </w:p>
    <w:p w14:paraId="47E0D68D">
      <w:pPr>
        <w:numPr>
          <w:ilvl w:val="0"/>
          <w:numId w:val="5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主要性能和技术数据。</w:t>
      </w:r>
    </w:p>
    <w:p w14:paraId="113372A2">
      <w:pPr>
        <w:numPr>
          <w:ilvl w:val="0"/>
          <w:numId w:val="52"/>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控制和测量回路接线原理图。</w:t>
      </w:r>
    </w:p>
    <w:p w14:paraId="58C365EA">
      <w:pPr>
        <w:autoSpaceDE w:val="0"/>
        <w:autoSpaceDN w:val="0"/>
        <w:adjustRightInd w:val="0"/>
        <w:snapToGrid w:val="0"/>
        <w:spacing w:line="360" w:lineRule="auto"/>
        <w:jc w:val="left"/>
        <w:rPr>
          <w:rFonts w:ascii="宋体" w:hAnsi="宋体" w:cs="宋体"/>
          <w:color w:val="auto"/>
          <w:sz w:val="24"/>
          <w:highlight w:val="none"/>
        </w:rPr>
      </w:pPr>
      <w:bookmarkStart w:id="154" w:name="_Toc195433171"/>
      <w:r>
        <w:rPr>
          <w:rFonts w:ascii="宋体" w:hAnsi="宋体"/>
          <w:bCs/>
          <w:color w:val="auto"/>
          <w:sz w:val="24"/>
          <w:highlight w:val="none"/>
        </w:rPr>
        <w:t>1</w:t>
      </w:r>
      <w:r>
        <w:rPr>
          <w:rFonts w:hint="eastAsia" w:ascii="宋体" w:hAnsi="宋体"/>
          <w:bCs/>
          <w:color w:val="auto"/>
          <w:sz w:val="24"/>
          <w:highlight w:val="none"/>
        </w:rPr>
        <w:t>4</w:t>
      </w:r>
      <w:r>
        <w:rPr>
          <w:rFonts w:ascii="宋体" w:hAnsi="宋体"/>
          <w:bCs/>
          <w:color w:val="auto"/>
          <w:sz w:val="24"/>
          <w:highlight w:val="none"/>
        </w:rPr>
        <w:t>.其他</w:t>
      </w:r>
      <w:bookmarkEnd w:id="154"/>
    </w:p>
    <w:p w14:paraId="7271FECF">
      <w:pPr>
        <w:numPr>
          <w:ilvl w:val="0"/>
          <w:numId w:val="53"/>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中标人在收到中标通知书之日起30天内完成初步设计，并与招标人技术人员进行设计确认。</w:t>
      </w:r>
    </w:p>
    <w:p w14:paraId="58849681">
      <w:pPr>
        <w:numPr>
          <w:ilvl w:val="0"/>
          <w:numId w:val="53"/>
        </w:numPr>
        <w:autoSpaceDE w:val="0"/>
        <w:autoSpaceDN w:val="0"/>
        <w:adjustRightInd w:val="0"/>
        <w:snapToGrid w:val="0"/>
        <w:spacing w:line="360" w:lineRule="auto"/>
        <w:jc w:val="left"/>
        <w:rPr>
          <w:rFonts w:ascii="宋体" w:hAnsi="宋体" w:cs="宋体"/>
          <w:color w:val="auto"/>
          <w:sz w:val="24"/>
          <w:highlight w:val="none"/>
        </w:rPr>
      </w:pPr>
      <w:r>
        <w:rPr>
          <w:rFonts w:hint="eastAsia" w:ascii="宋体" w:hAnsi="宋体" w:cs="宋体"/>
          <w:color w:val="auto"/>
          <w:sz w:val="24"/>
          <w:highlight w:val="none"/>
        </w:rPr>
        <w:t xml:space="preserve"> 在投标书中承诺本技术标书中未尽事宜在订货及设计过程中，招标人、中标人双方以书面协议的方式友好协商解决。尽最大努力响应招标人在技术方面提出的合理要求。</w:t>
      </w:r>
    </w:p>
    <w:p w14:paraId="3ABF1CF5">
      <w:pPr>
        <w:autoSpaceDE w:val="0"/>
        <w:autoSpaceDN w:val="0"/>
        <w:adjustRightInd w:val="0"/>
        <w:snapToGrid w:val="0"/>
        <w:spacing w:line="360" w:lineRule="auto"/>
        <w:ind w:left="425"/>
        <w:jc w:val="center"/>
        <w:rPr>
          <w:rFonts w:ascii="宋体" w:hAnsi="宋体" w:cs="宋体"/>
          <w:color w:val="auto"/>
          <w:sz w:val="24"/>
          <w:highlight w:val="none"/>
        </w:rPr>
      </w:pPr>
      <w:r>
        <w:rPr>
          <w:rFonts w:hint="eastAsia" w:ascii="宋体" w:hAnsi="宋体" w:cs="宋体"/>
          <w:color w:val="auto"/>
          <w:sz w:val="24"/>
          <w:highlight w:val="none"/>
        </w:rPr>
        <w:t>第二部分 工程施工技术要求</w:t>
      </w:r>
    </w:p>
    <w:p w14:paraId="280D6E93">
      <w:pPr>
        <w:adjustRightInd w:val="0"/>
        <w:snapToGrid w:val="0"/>
        <w:spacing w:line="360" w:lineRule="auto"/>
        <w:rPr>
          <w:rFonts w:ascii="宋体" w:hAnsi="宋体"/>
          <w:b/>
          <w:color w:val="auto"/>
          <w:sz w:val="24"/>
          <w:highlight w:val="none"/>
        </w:rPr>
      </w:pPr>
      <w:r>
        <w:rPr>
          <w:rFonts w:ascii="宋体" w:hAnsi="宋体"/>
          <w:b/>
          <w:color w:val="auto"/>
          <w:sz w:val="24"/>
          <w:highlight w:val="none"/>
        </w:rPr>
        <w:t>1、总 论</w:t>
      </w:r>
    </w:p>
    <w:p w14:paraId="2BEB46D5">
      <w:pPr>
        <w:adjustRightInd w:val="0"/>
        <w:snapToGrid w:val="0"/>
        <w:spacing w:line="360" w:lineRule="auto"/>
        <w:rPr>
          <w:rFonts w:ascii="宋体" w:hAnsi="宋体"/>
          <w:b/>
          <w:color w:val="auto"/>
          <w:sz w:val="24"/>
          <w:highlight w:val="none"/>
        </w:rPr>
      </w:pPr>
      <w:bookmarkStart w:id="155" w:name="_Toc496014820"/>
      <w:bookmarkStart w:id="156" w:name="_Toc496015112"/>
      <w:bookmarkStart w:id="157" w:name="_Toc388520281"/>
      <w:r>
        <w:rPr>
          <w:rFonts w:ascii="宋体" w:hAnsi="宋体"/>
          <w:b/>
          <w:color w:val="auto"/>
          <w:sz w:val="24"/>
          <w:highlight w:val="none"/>
        </w:rPr>
        <w:t>1.1 概况</w:t>
      </w:r>
      <w:bookmarkEnd w:id="155"/>
      <w:bookmarkEnd w:id="156"/>
      <w:bookmarkEnd w:id="157"/>
    </w:p>
    <w:p w14:paraId="2B3FB06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w:t>
      </w:r>
      <w:r>
        <w:rPr>
          <w:rFonts w:ascii="宋体" w:hAnsi="宋体"/>
          <w:color w:val="auto"/>
          <w:sz w:val="24"/>
          <w:highlight w:val="none"/>
        </w:rPr>
        <w:t>项目名称：</w:t>
      </w:r>
      <w:r>
        <w:rPr>
          <w:rFonts w:hint="eastAsia" w:ascii="宋体" w:hAnsi="宋体"/>
          <w:color w:val="auto"/>
          <w:sz w:val="24"/>
          <w:highlight w:val="none"/>
        </w:rPr>
        <w:t>浙江衢州巨塑化工有限公司皂化清液浓缩装置三效蒸发乏汽回收余热利用节能改造项目</w:t>
      </w:r>
    </w:p>
    <w:p w14:paraId="32EAC271">
      <w:pPr>
        <w:adjustRightInd w:val="0"/>
        <w:snapToGrid w:val="0"/>
        <w:spacing w:line="360" w:lineRule="auto"/>
        <w:ind w:firstLine="484" w:firstLineChars="202"/>
        <w:rPr>
          <w:rFonts w:ascii="宋体" w:hAnsi="宋体"/>
          <w:color w:val="auto"/>
          <w:sz w:val="24"/>
          <w:highlight w:val="none"/>
        </w:rPr>
      </w:pPr>
      <w:r>
        <w:rPr>
          <w:rFonts w:hint="eastAsia" w:ascii="宋体" w:hAnsi="宋体"/>
          <w:color w:val="auto"/>
          <w:sz w:val="24"/>
          <w:highlight w:val="none"/>
        </w:rPr>
        <w:t>招标文件中指出的推荐、参照的品牌或型号起说明作用，并没有任何限制性，供应商在投标文件中可以选用实质上满足或超过招标文件要求的同档次及以上品牌、型号的产品。</w:t>
      </w:r>
    </w:p>
    <w:p w14:paraId="3CB16F40">
      <w:pPr>
        <w:adjustRightInd w:val="0"/>
        <w:snapToGrid w:val="0"/>
        <w:spacing w:line="360" w:lineRule="auto"/>
        <w:rPr>
          <w:rFonts w:ascii="宋体" w:hAnsi="宋体"/>
          <w:b/>
          <w:color w:val="auto"/>
          <w:sz w:val="24"/>
          <w:highlight w:val="none"/>
        </w:rPr>
      </w:pPr>
      <w:bookmarkStart w:id="158" w:name="_Toc496014821"/>
      <w:bookmarkStart w:id="159" w:name="_Toc496015113"/>
      <w:bookmarkStart w:id="160" w:name="_Toc388520282"/>
      <w:r>
        <w:rPr>
          <w:rFonts w:ascii="宋体" w:hAnsi="宋体"/>
          <w:b/>
          <w:color w:val="auto"/>
          <w:sz w:val="24"/>
          <w:highlight w:val="none"/>
        </w:rPr>
        <w:t>1.</w:t>
      </w:r>
      <w:bookmarkEnd w:id="158"/>
      <w:bookmarkEnd w:id="159"/>
      <w:bookmarkEnd w:id="160"/>
      <w:r>
        <w:rPr>
          <w:rFonts w:hint="eastAsia" w:ascii="宋体" w:hAnsi="宋体"/>
          <w:b/>
          <w:color w:val="auto"/>
          <w:sz w:val="24"/>
          <w:highlight w:val="none"/>
        </w:rPr>
        <w:t>2</w:t>
      </w:r>
      <w:r>
        <w:rPr>
          <w:rFonts w:ascii="宋体" w:hAnsi="宋体"/>
          <w:b/>
          <w:color w:val="auto"/>
          <w:sz w:val="24"/>
          <w:highlight w:val="none"/>
        </w:rPr>
        <w:t>招标范围</w:t>
      </w:r>
    </w:p>
    <w:p w14:paraId="49E94EB1">
      <w:pPr>
        <w:adjustRightInd w:val="0"/>
        <w:snapToGrid w:val="0"/>
        <w:spacing w:line="360" w:lineRule="auto"/>
        <w:ind w:firstLine="480" w:firstLineChars="200"/>
        <w:rPr>
          <w:rFonts w:ascii="宋体" w:hAnsi="宋体"/>
          <w:color w:val="auto"/>
          <w:kern w:val="0"/>
          <w:sz w:val="24"/>
          <w:highlight w:val="none"/>
          <w:shd w:val="clear" w:color="000000" w:fill="FFFFFF"/>
        </w:rPr>
      </w:pPr>
      <w:r>
        <w:rPr>
          <w:rFonts w:ascii="宋体" w:hAnsi="宋体"/>
          <w:color w:val="auto"/>
          <w:sz w:val="24"/>
          <w:highlight w:val="none"/>
        </w:rPr>
        <w:t>本</w:t>
      </w:r>
      <w:r>
        <w:rPr>
          <w:rFonts w:hint="eastAsia" w:ascii="宋体" w:hAnsi="宋体"/>
          <w:color w:val="auto"/>
          <w:sz w:val="24"/>
          <w:highlight w:val="none"/>
        </w:rPr>
        <w:t>次</w:t>
      </w:r>
      <w:r>
        <w:rPr>
          <w:rFonts w:hAnsi="宋体"/>
          <w:color w:val="auto"/>
          <w:sz w:val="24"/>
          <w:highlight w:val="none"/>
        </w:rPr>
        <w:t>招标工程施工范围</w:t>
      </w:r>
      <w:r>
        <w:rPr>
          <w:rFonts w:hint="eastAsia" w:hAnsi="宋体"/>
          <w:color w:val="auto"/>
          <w:sz w:val="24"/>
          <w:highlight w:val="none"/>
        </w:rPr>
        <w:t>包括</w:t>
      </w:r>
      <w:r>
        <w:rPr>
          <w:rFonts w:hAnsi="宋体"/>
          <w:color w:val="auto"/>
          <w:sz w:val="24"/>
          <w:highlight w:val="none"/>
        </w:rPr>
        <w:t>但不仅限于以下</w:t>
      </w:r>
      <w:r>
        <w:rPr>
          <w:rFonts w:hint="eastAsia" w:hAnsi="宋体"/>
          <w:color w:val="auto"/>
          <w:sz w:val="24"/>
          <w:highlight w:val="none"/>
        </w:rPr>
        <w:t>子项及内容</w:t>
      </w:r>
      <w:r>
        <w:rPr>
          <w:rFonts w:hAnsi="宋体"/>
          <w:color w:val="auto"/>
          <w:sz w:val="24"/>
          <w:highlight w:val="none"/>
        </w:rPr>
        <w:t>：氯化钙三效蒸发装置改造、配电室改造、蒸汽压缩装置、室外工程等</w:t>
      </w:r>
      <w:r>
        <w:rPr>
          <w:rFonts w:hint="eastAsia" w:ascii="宋体" w:hAnsi="宋体"/>
          <w:color w:val="auto"/>
          <w:kern w:val="0"/>
          <w:sz w:val="24"/>
          <w:highlight w:val="none"/>
        </w:rPr>
        <w:t>。包括负责工艺技术方案优化、初步设计、施工图设计、设备材料采购、安装工程施工，负责单机试车，系统调试，并配合人员培训、工程调试、72小时生产性能考核、竣工验收、能源管理合同期运维服务等。本次招标不含装置土建工程施工，厂区绿化设计、采购和施工。上述招标范围内工程建设涉及费用均由中标人投资。本项目不涉及重大危险源。</w:t>
      </w:r>
    </w:p>
    <w:p w14:paraId="6BA26B6A">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招标范围</w:t>
      </w:r>
      <w:r>
        <w:rPr>
          <w:rFonts w:ascii="宋体" w:hAnsi="宋体"/>
          <w:color w:val="auto"/>
          <w:sz w:val="24"/>
          <w:highlight w:val="none"/>
        </w:rPr>
        <w:t xml:space="preserve">为： </w:t>
      </w:r>
    </w:p>
    <w:p w14:paraId="1E1E4E81">
      <w:pPr>
        <w:adjustRightInd w:val="0"/>
        <w:snapToGrid w:val="0"/>
        <w:spacing w:line="360" w:lineRule="auto"/>
        <w:ind w:firstLine="480" w:firstLineChars="200"/>
        <w:rPr>
          <w:rFonts w:ascii="宋体" w:hAnsi="宋体"/>
          <w:snapToGrid w:val="0"/>
          <w:color w:val="auto"/>
          <w:kern w:val="0"/>
          <w:sz w:val="24"/>
          <w:highlight w:val="none"/>
        </w:rPr>
      </w:pPr>
      <w:bookmarkStart w:id="161" w:name="_Toc388520283"/>
      <w:r>
        <w:rPr>
          <w:rFonts w:hint="eastAsia" w:ascii="宋体" w:hAnsi="宋体"/>
          <w:snapToGrid w:val="0"/>
          <w:color w:val="auto"/>
          <w:kern w:val="0"/>
          <w:sz w:val="24"/>
          <w:highlight w:val="none"/>
        </w:rPr>
        <w:t>（一）工程设计范围：技术标准和要求明确的项目界面内的所有内容（包括初步设计、施工图设计、非标设备（专用设备）设计、安全设施设计专篇、消防设计专篇、节能设计、职业卫生设计专篇、HAZOP分析、LOPA分析、SIL验证等）</w:t>
      </w:r>
    </w:p>
    <w:p w14:paraId="289DBEA9">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（二）工程采购范围：工程设计范围内所有材料、设备的采购和保管等；</w:t>
      </w:r>
    </w:p>
    <w:p w14:paraId="229A1180">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三）工程施工范围：包括招标范围内的所有安装工程内容，包括但不限于：室外工程、工艺、设备、管道、电气、自控仪表、暖通、防腐、保温、工业电视监控系统等除土建、给排水外其他专业的施工，并负责完成系统设备的单机调试、配合联动调试（含厂区内的管网）；</w:t>
      </w:r>
    </w:p>
    <w:p w14:paraId="182A0F69">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（四）工艺调试、工程交工验收、联动试车、投料试车、试运行、72小时生产性能考核，包括培训及技术指导等，并整体移交招标人；</w:t>
      </w:r>
    </w:p>
    <w:p w14:paraId="2F96F5BE">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（五）合同能源管理期装置缺陷修复、保修工作和技术服务全过程，配合能源管理合同技术经济指标考核及效益分配；</w:t>
      </w:r>
    </w:p>
    <w:p w14:paraId="39591176">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（六）向招标人移交竣工验收所需的各类资料，配合招标人完成各类项验收及竣工验收工作；</w:t>
      </w:r>
    </w:p>
    <w:p w14:paraId="613A62D2">
      <w:pPr>
        <w:adjustRightInd w:val="0"/>
        <w:snapToGrid w:val="0"/>
        <w:spacing w:line="360" w:lineRule="auto"/>
        <w:ind w:firstLine="480" w:firstLineChars="200"/>
        <w:rPr>
          <w:rFonts w:ascii="宋体" w:hAnsi="宋体"/>
          <w:snapToGrid w:val="0"/>
          <w:color w:val="auto"/>
          <w:kern w:val="0"/>
          <w:sz w:val="24"/>
          <w:highlight w:val="none"/>
        </w:rPr>
      </w:pPr>
      <w:r>
        <w:rPr>
          <w:rFonts w:hint="eastAsia" w:ascii="宋体" w:hAnsi="宋体"/>
          <w:snapToGrid w:val="0"/>
          <w:color w:val="auto"/>
          <w:kern w:val="0"/>
          <w:sz w:val="24"/>
          <w:highlight w:val="none"/>
        </w:rPr>
        <w:t>（七）本项目涉及所有文件、图纸及相互通信，均应使用中文。不论在合同谈判及签约后的工程建设期间，中文是主要的工作语言。</w:t>
      </w:r>
    </w:p>
    <w:p w14:paraId="2E0767C3">
      <w:pPr>
        <w:adjustRightInd w:val="0"/>
        <w:snapToGrid w:val="0"/>
        <w:spacing w:line="360" w:lineRule="auto"/>
        <w:jc w:val="left"/>
        <w:rPr>
          <w:rFonts w:ascii="宋体" w:hAnsi="宋体"/>
          <w:b/>
          <w:color w:val="auto"/>
          <w:sz w:val="24"/>
          <w:highlight w:val="none"/>
        </w:rPr>
      </w:pPr>
      <w:r>
        <w:rPr>
          <w:rFonts w:ascii="宋体" w:hAnsi="宋体"/>
          <w:b/>
          <w:color w:val="auto"/>
          <w:sz w:val="24"/>
          <w:highlight w:val="none"/>
        </w:rPr>
        <w:t>1.3</w:t>
      </w:r>
      <w:bookmarkEnd w:id="161"/>
      <w:bookmarkStart w:id="162" w:name="_Toc388520284"/>
      <w:r>
        <w:rPr>
          <w:rFonts w:hint="eastAsia" w:ascii="宋体" w:hAnsi="宋体"/>
          <w:b/>
          <w:color w:val="auto"/>
          <w:sz w:val="24"/>
          <w:highlight w:val="none"/>
        </w:rPr>
        <w:t>工艺</w:t>
      </w:r>
      <w:bookmarkEnd w:id="162"/>
      <w:r>
        <w:rPr>
          <w:rFonts w:ascii="宋体" w:hAnsi="宋体"/>
          <w:b/>
          <w:color w:val="auto"/>
          <w:sz w:val="24"/>
          <w:highlight w:val="none"/>
        </w:rPr>
        <w:t>方案</w:t>
      </w:r>
    </w:p>
    <w:p w14:paraId="3E3A0425">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目前，巨塑氯化钙装置通过三效蒸发将氯化钙浓度15%的皂化清液浓缩至35%，其采用中压蒸汽（15.6t/h,1.1Mpa，230℃）减温减压至低压蒸汽（16.3t/h,0.35MPa，165℃）为热源，换热后于三效蒸发室产生含盐乏汽（10t/h，0.25bar，65℃）。乏汽通过水环真空泵抽吸至表冷器和原料预热器（副冷器）进行冷凝处理，大部分乏汽（约1200t/h循环水冷却，Δt=3~5℃）在表冷器内通过冷却直接变成含TOC、氨氮的废水，最终进入废水收集池；剩余少量乏汽进入副冷器，用于预热15%CaCl</w:t>
      </w:r>
      <w:r>
        <w:rPr>
          <w:rFonts w:hint="eastAsia" w:ascii="宋体" w:hAnsi="宋体"/>
          <w:color w:val="auto"/>
          <w:sz w:val="24"/>
          <w:highlight w:val="none"/>
          <w:vertAlign w:val="subscript"/>
        </w:rPr>
        <w:t>2</w:t>
      </w:r>
      <w:r>
        <w:rPr>
          <w:rFonts w:hint="eastAsia" w:ascii="宋体" w:hAnsi="宋体"/>
          <w:color w:val="auto"/>
          <w:sz w:val="24"/>
          <w:highlight w:val="none"/>
        </w:rPr>
        <w:t>原料液，冷凝后同样进入废水收集池。</w:t>
      </w:r>
    </w:p>
    <w:p w14:paraId="4CB57837">
      <w:pPr>
        <w:adjustRightInd w:val="0"/>
        <w:snapToGrid w:val="0"/>
        <w:spacing w:line="360" w:lineRule="auto"/>
        <w:ind w:firstLine="480" w:firstLineChars="200"/>
        <w:rPr>
          <w:rFonts w:ascii="宋体" w:hAnsi="宋体"/>
          <w:color w:val="auto"/>
          <w:sz w:val="24"/>
          <w:highlight w:val="none"/>
        </w:rPr>
      </w:pPr>
      <w:r>
        <w:rPr>
          <w:rFonts w:hint="eastAsia" w:hAnsi="宋体"/>
          <w:color w:val="auto"/>
          <w:kern w:val="0"/>
          <w:sz w:val="24"/>
          <w:highlight w:val="none"/>
          <w:shd w:val="clear" w:color="000000" w:fill="FFFFFF"/>
        </w:rPr>
        <w:t>本项目于巨塑1#皂化清液浓缩厂房东南面现备件库处新建压缩机厂房，通过多级蒸汽压缩机组，将</w:t>
      </w:r>
      <w:r>
        <w:rPr>
          <w:rFonts w:hint="eastAsia" w:ascii="宋体" w:hAnsi="宋体"/>
          <w:color w:val="auto"/>
          <w:sz w:val="24"/>
          <w:highlight w:val="none"/>
        </w:rPr>
        <w:t>氯化钙三效蒸发装置产生的10t/h含盐乏汽（0.25bar，65℃）直接压缩为约1</w:t>
      </w:r>
      <w:r>
        <w:rPr>
          <w:rFonts w:ascii="宋体" w:hAnsi="宋体"/>
          <w:color w:val="auto"/>
          <w:sz w:val="24"/>
          <w:highlight w:val="none"/>
        </w:rPr>
        <w:t>1.5</w:t>
      </w:r>
      <w:r>
        <w:rPr>
          <w:rFonts w:hint="eastAsia" w:ascii="宋体" w:hAnsi="宋体"/>
          <w:color w:val="auto"/>
          <w:sz w:val="24"/>
          <w:highlight w:val="none"/>
        </w:rPr>
        <w:t>t/h低压蒸汽（</w:t>
      </w:r>
      <w:r>
        <w:rPr>
          <w:rFonts w:ascii="宋体" w:hAnsi="宋体"/>
          <w:color w:val="auto"/>
          <w:sz w:val="24"/>
          <w:highlight w:val="none"/>
        </w:rPr>
        <w:t>3.</w:t>
      </w:r>
      <w:r>
        <w:rPr>
          <w:rFonts w:hint="eastAsia" w:ascii="宋体" w:hAnsi="宋体"/>
          <w:color w:val="auto"/>
          <w:sz w:val="24"/>
          <w:highlight w:val="none"/>
        </w:rPr>
        <w:t>5bar，</w:t>
      </w:r>
      <w:r>
        <w:rPr>
          <w:rFonts w:ascii="宋体" w:hAnsi="宋体"/>
          <w:color w:val="auto"/>
          <w:sz w:val="24"/>
          <w:highlight w:val="none"/>
        </w:rPr>
        <w:t>149</w:t>
      </w:r>
      <w:r>
        <w:rPr>
          <w:rFonts w:hint="eastAsia" w:ascii="宋体" w:hAnsi="宋体"/>
          <w:color w:val="auto"/>
          <w:sz w:val="24"/>
          <w:highlight w:val="none"/>
        </w:rPr>
        <w:t>℃），回用至一效蒸发器作驱动蒸汽。</w:t>
      </w:r>
      <w:r>
        <w:rPr>
          <w:rFonts w:ascii="宋体" w:hAnsi="宋体"/>
          <w:color w:val="auto"/>
          <w:sz w:val="24"/>
          <w:highlight w:val="none"/>
        </w:rPr>
        <w:t>项目需对氯化钙一效蒸发装置及其配套管道进行更新改造，接触介质为</w:t>
      </w:r>
      <w:r>
        <w:rPr>
          <w:rFonts w:hint="eastAsia" w:ascii="宋体" w:hAnsi="宋体"/>
          <w:color w:val="auto"/>
          <w:sz w:val="24"/>
          <w:highlight w:val="none"/>
        </w:rPr>
        <w:t>1</w:t>
      </w:r>
      <w:r>
        <w:rPr>
          <w:rFonts w:ascii="宋体" w:hAnsi="宋体"/>
          <w:color w:val="auto"/>
          <w:sz w:val="24"/>
          <w:highlight w:val="none"/>
        </w:rPr>
        <w:t>40℃以上含盐蒸汽设备及管道材质不低于</w:t>
      </w:r>
      <w:r>
        <w:rPr>
          <w:rFonts w:hint="eastAsia" w:ascii="宋体" w:hAnsi="宋体"/>
          <w:color w:val="auto"/>
          <w:sz w:val="24"/>
          <w:highlight w:val="none"/>
        </w:rPr>
        <w:t>T</w:t>
      </w:r>
      <w:r>
        <w:rPr>
          <w:rFonts w:ascii="宋体" w:hAnsi="宋体"/>
          <w:color w:val="auto"/>
          <w:sz w:val="24"/>
          <w:highlight w:val="none"/>
        </w:rPr>
        <w:t>A2（厚度≥2mm）</w:t>
      </w:r>
      <w:r>
        <w:rPr>
          <w:rFonts w:hint="eastAsia" w:ascii="宋体" w:hAnsi="宋体"/>
          <w:color w:val="auto"/>
          <w:sz w:val="24"/>
          <w:highlight w:val="none"/>
        </w:rPr>
        <w:t>+</w:t>
      </w:r>
      <w:r>
        <w:rPr>
          <w:rFonts w:ascii="宋体" w:hAnsi="宋体"/>
          <w:color w:val="auto"/>
          <w:sz w:val="24"/>
          <w:highlight w:val="none"/>
        </w:rPr>
        <w:t>Q235复合板，仪表材质不低于哈</w:t>
      </w:r>
      <w:r>
        <w:rPr>
          <w:rFonts w:hint="eastAsia" w:ascii="宋体" w:hAnsi="宋体"/>
          <w:color w:val="auto"/>
          <w:sz w:val="24"/>
          <w:highlight w:val="none"/>
        </w:rPr>
        <w:t>C</w:t>
      </w:r>
      <w:r>
        <w:rPr>
          <w:rFonts w:ascii="宋体" w:hAnsi="宋体"/>
          <w:color w:val="auto"/>
          <w:sz w:val="24"/>
          <w:highlight w:val="none"/>
        </w:rPr>
        <w:t>。</w:t>
      </w:r>
    </w:p>
    <w:p w14:paraId="7651FD8C">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本项目实施后，原循环水冷却装置暂停使用，该装置电机功率约</w:t>
      </w:r>
      <w:r>
        <w:rPr>
          <w:rFonts w:hint="eastAsia" w:ascii="宋体" w:hAnsi="宋体"/>
          <w:color w:val="auto"/>
          <w:sz w:val="24"/>
          <w:highlight w:val="none"/>
        </w:rPr>
        <w:t>2</w:t>
      </w:r>
      <w:r>
        <w:rPr>
          <w:rFonts w:ascii="宋体" w:hAnsi="宋体"/>
          <w:color w:val="auto"/>
          <w:sz w:val="24"/>
          <w:highlight w:val="none"/>
        </w:rPr>
        <w:t>32kW。</w:t>
      </w:r>
    </w:p>
    <w:p w14:paraId="213647FD">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本项目需进行改造更新工艺设备清单如下：</w:t>
      </w:r>
    </w:p>
    <w:tbl>
      <w:tblPr>
        <w:tblStyle w:val="19"/>
        <w:tblW w:w="0" w:type="auto"/>
        <w:tblInd w:w="22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8"/>
        <w:gridCol w:w="3088"/>
      </w:tblGrid>
      <w:tr w14:paraId="737C5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8" w:type="dxa"/>
            <w:vAlign w:val="center"/>
          </w:tcPr>
          <w:p w14:paraId="13E19F2D">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设备</w:t>
            </w:r>
          </w:p>
        </w:tc>
        <w:tc>
          <w:tcPr>
            <w:tcW w:w="3088" w:type="dxa"/>
            <w:vAlign w:val="center"/>
          </w:tcPr>
          <w:p w14:paraId="44DE364F">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数量</w:t>
            </w:r>
          </w:p>
        </w:tc>
      </w:tr>
      <w:tr w14:paraId="4CB84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8" w:type="dxa"/>
            <w:vAlign w:val="center"/>
          </w:tcPr>
          <w:p w14:paraId="76A2E430">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一效加热室</w:t>
            </w:r>
          </w:p>
        </w:tc>
        <w:tc>
          <w:tcPr>
            <w:tcW w:w="3088" w:type="dxa"/>
            <w:vAlign w:val="center"/>
          </w:tcPr>
          <w:p w14:paraId="01B2CD02">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1台</w:t>
            </w:r>
          </w:p>
        </w:tc>
      </w:tr>
      <w:tr w14:paraId="37E33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8" w:type="dxa"/>
            <w:vAlign w:val="center"/>
          </w:tcPr>
          <w:p w14:paraId="0892C1AD">
            <w:pPr>
              <w:rPr>
                <w:color w:val="auto"/>
                <w:highlight w:val="none"/>
              </w:rPr>
            </w:pPr>
          </w:p>
        </w:tc>
        <w:tc>
          <w:tcPr>
            <w:tcW w:w="3088" w:type="dxa"/>
            <w:vAlign w:val="center"/>
          </w:tcPr>
          <w:p w14:paraId="28EF6043">
            <w:pPr>
              <w:rPr>
                <w:color w:val="auto"/>
                <w:highlight w:val="none"/>
              </w:rPr>
            </w:pPr>
          </w:p>
        </w:tc>
      </w:tr>
      <w:tr w14:paraId="1A840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78" w:type="dxa"/>
            <w:vAlign w:val="center"/>
          </w:tcPr>
          <w:p w14:paraId="2BBBB6B7">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一效冷凝水平衡罐</w:t>
            </w:r>
          </w:p>
        </w:tc>
        <w:tc>
          <w:tcPr>
            <w:tcW w:w="3088" w:type="dxa"/>
            <w:vAlign w:val="center"/>
          </w:tcPr>
          <w:p w14:paraId="36B9262F">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1台</w:t>
            </w:r>
          </w:p>
        </w:tc>
      </w:tr>
    </w:tbl>
    <w:p w14:paraId="179F6C1D">
      <w:pPr>
        <w:adjustRightInd w:val="0"/>
        <w:snapToGrid w:val="0"/>
        <w:spacing w:line="360" w:lineRule="auto"/>
        <w:jc w:val="left"/>
        <w:rPr>
          <w:rFonts w:ascii="宋体" w:hAnsi="宋体"/>
          <w:b/>
          <w:color w:val="auto"/>
          <w:sz w:val="24"/>
          <w:highlight w:val="none"/>
        </w:rPr>
      </w:pPr>
      <w:bookmarkStart w:id="163" w:name="_Toc3365"/>
      <w:bookmarkStart w:id="164" w:name="_Toc11763"/>
      <w:r>
        <w:rPr>
          <w:rFonts w:hint="eastAsia" w:ascii="宋体" w:hAnsi="宋体"/>
          <w:b/>
          <w:color w:val="auto"/>
          <w:sz w:val="24"/>
          <w:highlight w:val="none"/>
        </w:rPr>
        <w:t>1.</w:t>
      </w:r>
      <w:r>
        <w:rPr>
          <w:rFonts w:ascii="宋体" w:hAnsi="宋体"/>
          <w:b/>
          <w:color w:val="auto"/>
          <w:sz w:val="24"/>
          <w:highlight w:val="none"/>
        </w:rPr>
        <w:t>4公用工程消耗</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1988"/>
        <w:gridCol w:w="1558"/>
        <w:gridCol w:w="1135"/>
        <w:gridCol w:w="707"/>
        <w:gridCol w:w="1135"/>
        <w:gridCol w:w="814"/>
      </w:tblGrid>
      <w:tr w14:paraId="4E1D1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blHeader/>
          <w:jc w:val="center"/>
        </w:trPr>
        <w:tc>
          <w:tcPr>
            <w:tcW w:w="532" w:type="dxa"/>
            <w:vAlign w:val="center"/>
          </w:tcPr>
          <w:p w14:paraId="74C6A0E9">
            <w:pPr>
              <w:snapToGrid w:val="0"/>
              <w:rPr>
                <w:color w:val="auto"/>
                <w:sz w:val="24"/>
                <w:highlight w:val="none"/>
              </w:rPr>
            </w:pPr>
            <w:r>
              <w:rPr>
                <w:rFonts w:hint="eastAsia"/>
                <w:color w:val="auto"/>
                <w:sz w:val="24"/>
                <w:highlight w:val="none"/>
              </w:rPr>
              <w:t>序号</w:t>
            </w:r>
          </w:p>
        </w:tc>
        <w:tc>
          <w:tcPr>
            <w:tcW w:w="1988" w:type="dxa"/>
            <w:vAlign w:val="center"/>
          </w:tcPr>
          <w:p w14:paraId="1AFF1F0F">
            <w:pPr>
              <w:snapToGrid w:val="0"/>
              <w:rPr>
                <w:color w:val="auto"/>
                <w:sz w:val="24"/>
                <w:highlight w:val="none"/>
              </w:rPr>
            </w:pPr>
            <w:r>
              <w:rPr>
                <w:rFonts w:hint="eastAsia"/>
                <w:color w:val="auto"/>
                <w:sz w:val="24"/>
                <w:highlight w:val="none"/>
              </w:rPr>
              <w:t>名称</w:t>
            </w:r>
          </w:p>
        </w:tc>
        <w:tc>
          <w:tcPr>
            <w:tcW w:w="1558" w:type="dxa"/>
            <w:vAlign w:val="center"/>
          </w:tcPr>
          <w:p w14:paraId="6BE974F4">
            <w:pPr>
              <w:snapToGrid w:val="0"/>
              <w:rPr>
                <w:color w:val="auto"/>
                <w:sz w:val="24"/>
                <w:highlight w:val="none"/>
              </w:rPr>
            </w:pPr>
            <w:r>
              <w:rPr>
                <w:rFonts w:hint="eastAsia"/>
                <w:color w:val="auto"/>
                <w:sz w:val="24"/>
                <w:highlight w:val="none"/>
              </w:rPr>
              <w:t>规格</w:t>
            </w:r>
          </w:p>
        </w:tc>
        <w:tc>
          <w:tcPr>
            <w:tcW w:w="1135" w:type="dxa"/>
            <w:vAlign w:val="center"/>
          </w:tcPr>
          <w:p w14:paraId="217F0717">
            <w:pPr>
              <w:snapToGrid w:val="0"/>
              <w:rPr>
                <w:color w:val="auto"/>
                <w:sz w:val="24"/>
                <w:highlight w:val="none"/>
              </w:rPr>
            </w:pPr>
            <w:r>
              <w:rPr>
                <w:rFonts w:hint="eastAsia"/>
                <w:color w:val="auto"/>
                <w:sz w:val="24"/>
                <w:highlight w:val="none"/>
              </w:rPr>
              <w:t>使用</w:t>
            </w:r>
          </w:p>
          <w:p w14:paraId="0E19C30C">
            <w:pPr>
              <w:snapToGrid w:val="0"/>
              <w:rPr>
                <w:color w:val="auto"/>
                <w:sz w:val="24"/>
                <w:highlight w:val="none"/>
              </w:rPr>
            </w:pPr>
            <w:r>
              <w:rPr>
                <w:rFonts w:hint="eastAsia"/>
                <w:color w:val="auto"/>
                <w:sz w:val="24"/>
                <w:highlight w:val="none"/>
              </w:rPr>
              <w:t>情况</w:t>
            </w:r>
          </w:p>
        </w:tc>
        <w:tc>
          <w:tcPr>
            <w:tcW w:w="707" w:type="dxa"/>
            <w:vAlign w:val="center"/>
          </w:tcPr>
          <w:p w14:paraId="1AB27E41">
            <w:pPr>
              <w:snapToGrid w:val="0"/>
              <w:rPr>
                <w:color w:val="auto"/>
                <w:sz w:val="24"/>
                <w:highlight w:val="none"/>
              </w:rPr>
            </w:pPr>
            <w:r>
              <w:rPr>
                <w:rFonts w:hint="eastAsia"/>
                <w:color w:val="auto"/>
                <w:sz w:val="24"/>
                <w:highlight w:val="none"/>
              </w:rPr>
              <w:t>单位</w:t>
            </w:r>
          </w:p>
        </w:tc>
        <w:tc>
          <w:tcPr>
            <w:tcW w:w="1135" w:type="dxa"/>
            <w:vAlign w:val="center"/>
          </w:tcPr>
          <w:p w14:paraId="6F6CA9A1">
            <w:pPr>
              <w:snapToGrid w:val="0"/>
              <w:rPr>
                <w:color w:val="auto"/>
                <w:sz w:val="24"/>
                <w:highlight w:val="none"/>
              </w:rPr>
            </w:pPr>
            <w:r>
              <w:rPr>
                <w:rFonts w:hint="eastAsia"/>
                <w:color w:val="auto"/>
                <w:sz w:val="24"/>
                <w:highlight w:val="none"/>
              </w:rPr>
              <w:t>小时</w:t>
            </w:r>
          </w:p>
          <w:p w14:paraId="394C1172">
            <w:pPr>
              <w:snapToGrid w:val="0"/>
              <w:rPr>
                <w:color w:val="auto"/>
                <w:sz w:val="24"/>
                <w:highlight w:val="none"/>
              </w:rPr>
            </w:pPr>
            <w:r>
              <w:rPr>
                <w:rFonts w:hint="eastAsia"/>
                <w:color w:val="auto"/>
                <w:sz w:val="24"/>
                <w:highlight w:val="none"/>
              </w:rPr>
              <w:t>用量</w:t>
            </w:r>
          </w:p>
        </w:tc>
        <w:tc>
          <w:tcPr>
            <w:tcW w:w="814" w:type="dxa"/>
            <w:vAlign w:val="center"/>
          </w:tcPr>
          <w:p w14:paraId="67C1F55E">
            <w:pPr>
              <w:snapToGrid w:val="0"/>
              <w:rPr>
                <w:color w:val="auto"/>
                <w:sz w:val="24"/>
                <w:highlight w:val="none"/>
              </w:rPr>
            </w:pPr>
            <w:r>
              <w:rPr>
                <w:rFonts w:hint="eastAsia"/>
                <w:color w:val="auto"/>
                <w:sz w:val="24"/>
                <w:highlight w:val="none"/>
              </w:rPr>
              <w:t>备注</w:t>
            </w:r>
          </w:p>
        </w:tc>
      </w:tr>
      <w:tr w14:paraId="0033E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2" w:type="dxa"/>
            <w:vAlign w:val="center"/>
          </w:tcPr>
          <w:p w14:paraId="58946DDD">
            <w:pPr>
              <w:snapToGrid w:val="0"/>
              <w:rPr>
                <w:color w:val="auto"/>
                <w:sz w:val="24"/>
                <w:highlight w:val="none"/>
              </w:rPr>
            </w:pPr>
            <w:r>
              <w:rPr>
                <w:color w:val="auto"/>
                <w:sz w:val="24"/>
                <w:highlight w:val="none"/>
              </w:rPr>
              <w:t>1</w:t>
            </w:r>
          </w:p>
        </w:tc>
        <w:tc>
          <w:tcPr>
            <w:tcW w:w="1988" w:type="dxa"/>
            <w:vAlign w:val="center"/>
          </w:tcPr>
          <w:p w14:paraId="3473C7D8">
            <w:pPr>
              <w:snapToGrid w:val="0"/>
              <w:rPr>
                <w:color w:val="auto"/>
                <w:sz w:val="24"/>
                <w:highlight w:val="none"/>
              </w:rPr>
            </w:pPr>
            <w:r>
              <w:rPr>
                <w:rFonts w:hint="eastAsia"/>
                <w:color w:val="auto"/>
                <w:sz w:val="24"/>
                <w:highlight w:val="none"/>
              </w:rPr>
              <w:t>综合电</w:t>
            </w:r>
          </w:p>
        </w:tc>
        <w:tc>
          <w:tcPr>
            <w:tcW w:w="1558" w:type="dxa"/>
            <w:vAlign w:val="center"/>
          </w:tcPr>
          <w:p w14:paraId="145D6C86">
            <w:pPr>
              <w:snapToGrid w:val="0"/>
              <w:rPr>
                <w:color w:val="auto"/>
                <w:sz w:val="24"/>
                <w:highlight w:val="none"/>
              </w:rPr>
            </w:pPr>
            <w:r>
              <w:rPr>
                <w:color w:val="auto"/>
                <w:sz w:val="24"/>
                <w:highlight w:val="none"/>
              </w:rPr>
              <w:t>6000</w:t>
            </w:r>
            <w:r>
              <w:rPr>
                <w:rFonts w:hint="eastAsia"/>
                <w:color w:val="auto"/>
                <w:sz w:val="24"/>
                <w:highlight w:val="none"/>
              </w:rPr>
              <w:t>V</w:t>
            </w:r>
          </w:p>
        </w:tc>
        <w:tc>
          <w:tcPr>
            <w:tcW w:w="1135" w:type="dxa"/>
          </w:tcPr>
          <w:p w14:paraId="608AB0E8">
            <w:pPr>
              <w:snapToGrid w:val="0"/>
              <w:rPr>
                <w:color w:val="auto"/>
                <w:sz w:val="24"/>
                <w:highlight w:val="none"/>
              </w:rPr>
            </w:pPr>
            <w:r>
              <w:rPr>
                <w:rFonts w:hint="eastAsia"/>
                <w:color w:val="auto"/>
                <w:sz w:val="24"/>
                <w:highlight w:val="none"/>
              </w:rPr>
              <w:t>连续</w:t>
            </w:r>
          </w:p>
        </w:tc>
        <w:tc>
          <w:tcPr>
            <w:tcW w:w="707" w:type="dxa"/>
            <w:vAlign w:val="center"/>
          </w:tcPr>
          <w:p w14:paraId="3D3CA427">
            <w:pPr>
              <w:snapToGrid w:val="0"/>
              <w:rPr>
                <w:color w:val="auto"/>
                <w:sz w:val="24"/>
                <w:highlight w:val="none"/>
              </w:rPr>
            </w:pPr>
            <w:r>
              <w:rPr>
                <w:rFonts w:hint="eastAsia"/>
                <w:color w:val="auto"/>
                <w:sz w:val="24"/>
                <w:highlight w:val="none"/>
              </w:rPr>
              <w:t>kwh</w:t>
            </w:r>
          </w:p>
        </w:tc>
        <w:tc>
          <w:tcPr>
            <w:tcW w:w="1135" w:type="dxa"/>
            <w:vAlign w:val="bottom"/>
          </w:tcPr>
          <w:p w14:paraId="34459C0C">
            <w:pPr>
              <w:jc w:val="left"/>
              <w:rPr>
                <w:rFonts w:ascii="宋体" w:hAnsi="宋体" w:cs="宋体"/>
                <w:color w:val="auto"/>
                <w:sz w:val="24"/>
                <w:highlight w:val="none"/>
              </w:rPr>
            </w:pPr>
            <w:r>
              <w:rPr>
                <w:rFonts w:ascii="宋体" w:hAnsi="宋体" w:cs="宋体"/>
                <w:color w:val="auto"/>
                <w:sz w:val="24"/>
                <w:highlight w:val="none"/>
              </w:rPr>
              <w:t>2200</w:t>
            </w:r>
          </w:p>
        </w:tc>
        <w:tc>
          <w:tcPr>
            <w:tcW w:w="814" w:type="dxa"/>
          </w:tcPr>
          <w:p w14:paraId="655F9211">
            <w:pPr>
              <w:snapToGrid w:val="0"/>
              <w:rPr>
                <w:color w:val="auto"/>
                <w:sz w:val="24"/>
                <w:highlight w:val="none"/>
              </w:rPr>
            </w:pPr>
            <w:r>
              <w:rPr>
                <w:rFonts w:hint="eastAsia"/>
                <w:color w:val="auto"/>
                <w:sz w:val="24"/>
                <w:highlight w:val="none"/>
              </w:rPr>
              <w:t>外供</w:t>
            </w:r>
          </w:p>
        </w:tc>
      </w:tr>
    </w:tbl>
    <w:p w14:paraId="035094DA">
      <w:pPr>
        <w:adjustRightInd w:val="0"/>
        <w:snapToGrid w:val="0"/>
        <w:spacing w:line="360" w:lineRule="auto"/>
        <w:outlineLvl w:val="1"/>
        <w:rPr>
          <w:rFonts w:ascii="宋体" w:hAnsi="宋体"/>
          <w:b/>
          <w:bCs/>
          <w:color w:val="auto"/>
          <w:kern w:val="0"/>
          <w:sz w:val="24"/>
          <w:highlight w:val="none"/>
        </w:rPr>
      </w:pPr>
      <w:r>
        <w:rPr>
          <w:rFonts w:ascii="宋体" w:hAnsi="宋体"/>
          <w:b/>
          <w:bCs/>
          <w:color w:val="auto"/>
          <w:kern w:val="0"/>
          <w:sz w:val="24"/>
          <w:highlight w:val="none"/>
        </w:rPr>
        <w:t>1.5移交</w:t>
      </w:r>
      <w:bookmarkEnd w:id="163"/>
      <w:bookmarkEnd w:id="164"/>
    </w:p>
    <w:p w14:paraId="7629ED87">
      <w:pPr>
        <w:adjustRightInd w:val="0"/>
        <w:snapToGrid w:val="0"/>
        <w:spacing w:line="360" w:lineRule="auto"/>
        <w:outlineLvl w:val="2"/>
        <w:rPr>
          <w:rFonts w:ascii="宋体" w:hAnsi="宋体"/>
          <w:b/>
          <w:bCs/>
          <w:color w:val="auto"/>
          <w:kern w:val="0"/>
          <w:sz w:val="24"/>
          <w:highlight w:val="none"/>
        </w:rPr>
      </w:pPr>
      <w:bookmarkStart w:id="165" w:name="_Toc221550576"/>
      <w:bookmarkEnd w:id="165"/>
      <w:bookmarkStart w:id="166" w:name="_Toc10179"/>
      <w:bookmarkStart w:id="167" w:name="_Toc3728"/>
      <w:r>
        <w:rPr>
          <w:rFonts w:ascii="宋体" w:hAnsi="宋体"/>
          <w:b/>
          <w:bCs/>
          <w:color w:val="auto"/>
          <w:kern w:val="0"/>
          <w:sz w:val="24"/>
          <w:highlight w:val="none"/>
        </w:rPr>
        <w:t>1.5.1移交记录</w:t>
      </w:r>
      <w:bookmarkEnd w:id="166"/>
      <w:bookmarkEnd w:id="167"/>
    </w:p>
    <w:p w14:paraId="75CBB66E">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中标</w:t>
      </w:r>
      <w:r>
        <w:rPr>
          <w:rFonts w:ascii="宋体" w:hAnsi="宋体"/>
          <w:color w:val="auto"/>
          <w:kern w:val="0"/>
          <w:sz w:val="24"/>
          <w:highlight w:val="none"/>
        </w:rPr>
        <w:t>人应以书面形式递交详细设备调试移交测试记录。</w:t>
      </w:r>
      <w:r>
        <w:rPr>
          <w:rFonts w:hint="eastAsia" w:ascii="宋体" w:hAnsi="宋体"/>
          <w:color w:val="auto"/>
          <w:kern w:val="0"/>
          <w:sz w:val="24"/>
          <w:highlight w:val="none"/>
        </w:rPr>
        <w:t>中标</w:t>
      </w:r>
      <w:r>
        <w:rPr>
          <w:rFonts w:ascii="宋体" w:hAnsi="宋体"/>
          <w:color w:val="auto"/>
          <w:kern w:val="0"/>
          <w:sz w:val="24"/>
          <w:highlight w:val="none"/>
        </w:rPr>
        <w:t>人应有责任收集和对照每次记录的所有的数据。</w:t>
      </w:r>
    </w:p>
    <w:p w14:paraId="32E7E55E">
      <w:pPr>
        <w:adjustRightInd w:val="0"/>
        <w:snapToGrid w:val="0"/>
        <w:spacing w:line="360" w:lineRule="auto"/>
        <w:outlineLvl w:val="2"/>
        <w:rPr>
          <w:rFonts w:ascii="宋体" w:hAnsi="宋体"/>
          <w:b/>
          <w:bCs/>
          <w:color w:val="auto"/>
          <w:kern w:val="0"/>
          <w:sz w:val="24"/>
          <w:highlight w:val="none"/>
        </w:rPr>
      </w:pPr>
      <w:bookmarkStart w:id="168" w:name="_Toc221550577"/>
      <w:bookmarkEnd w:id="168"/>
      <w:bookmarkStart w:id="169" w:name="_Toc8460"/>
      <w:bookmarkStart w:id="170" w:name="_Toc10218"/>
      <w:r>
        <w:rPr>
          <w:rFonts w:ascii="宋体" w:hAnsi="宋体"/>
          <w:b/>
          <w:bCs/>
          <w:color w:val="auto"/>
          <w:kern w:val="0"/>
          <w:sz w:val="24"/>
          <w:highlight w:val="none"/>
        </w:rPr>
        <w:t>1.5.2移交</w:t>
      </w:r>
      <w:bookmarkEnd w:id="169"/>
      <w:bookmarkEnd w:id="170"/>
    </w:p>
    <w:p w14:paraId="33302848">
      <w:pPr>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根据所有测试、</w:t>
      </w:r>
      <w:r>
        <w:rPr>
          <w:rFonts w:ascii="宋体" w:hAnsi="宋体"/>
          <w:color w:val="auto"/>
          <w:sz w:val="24"/>
          <w:highlight w:val="none"/>
        </w:rPr>
        <w:t>培训O&amp;M（运行及维修）手册的满意地完成，双方将签发移交证书。该证书将作为测试完成和培训完成的日期</w:t>
      </w:r>
      <w:r>
        <w:rPr>
          <w:rFonts w:ascii="宋体" w:hAnsi="宋体"/>
          <w:color w:val="auto"/>
          <w:kern w:val="0"/>
          <w:sz w:val="24"/>
          <w:highlight w:val="none"/>
        </w:rPr>
        <w:t>。</w:t>
      </w:r>
    </w:p>
    <w:p w14:paraId="01A9118F">
      <w:pPr>
        <w:adjustRightInd w:val="0"/>
        <w:snapToGrid w:val="0"/>
        <w:spacing w:line="360" w:lineRule="auto"/>
        <w:outlineLvl w:val="1"/>
        <w:rPr>
          <w:rFonts w:ascii="宋体" w:hAnsi="宋体"/>
          <w:b/>
          <w:bCs/>
          <w:color w:val="auto"/>
          <w:kern w:val="0"/>
          <w:sz w:val="24"/>
          <w:highlight w:val="none"/>
        </w:rPr>
      </w:pPr>
      <w:bookmarkStart w:id="171" w:name="_Toc221550578"/>
      <w:bookmarkEnd w:id="171"/>
      <w:bookmarkStart w:id="172" w:name="_Toc23868"/>
      <w:bookmarkStart w:id="173" w:name="_Toc10357"/>
      <w:r>
        <w:rPr>
          <w:rFonts w:ascii="宋体" w:hAnsi="宋体"/>
          <w:b/>
          <w:bCs/>
          <w:color w:val="auto"/>
          <w:kern w:val="0"/>
          <w:sz w:val="24"/>
          <w:highlight w:val="none"/>
        </w:rPr>
        <w:t>1.6试运行及验收</w:t>
      </w:r>
      <w:bookmarkEnd w:id="172"/>
      <w:bookmarkEnd w:id="173"/>
    </w:p>
    <w:p w14:paraId="2C34CFF9">
      <w:pPr>
        <w:adjustRightInd w:val="0"/>
        <w:snapToGrid w:val="0"/>
        <w:spacing w:line="360" w:lineRule="auto"/>
        <w:ind w:firstLine="480" w:firstLineChars="200"/>
        <w:rPr>
          <w:rFonts w:ascii="宋体" w:hAnsi="宋体"/>
          <w:color w:val="auto"/>
          <w:kern w:val="0"/>
          <w:sz w:val="24"/>
          <w:highlight w:val="none"/>
        </w:rPr>
      </w:pPr>
      <w:bookmarkStart w:id="174" w:name="_Toc221550579"/>
      <w:bookmarkEnd w:id="174"/>
      <w:bookmarkStart w:id="175" w:name="_Toc3166"/>
      <w:r>
        <w:rPr>
          <w:rFonts w:ascii="宋体" w:hAnsi="宋体"/>
          <w:color w:val="auto"/>
          <w:kern w:val="0"/>
          <w:sz w:val="24"/>
          <w:highlight w:val="none"/>
        </w:rPr>
        <w:t>（1）调试成功后，试运行及72小时性能考核由中标人负责进行，以确定工程和相应部分是否达到技术规范规定的保证功能，调试、试运行、72小时性能考核所需的水、电、药剂等费用由</w:t>
      </w:r>
      <w:r>
        <w:rPr>
          <w:rFonts w:hint="eastAsia" w:ascii="宋体" w:hAnsi="宋体"/>
          <w:color w:val="auto"/>
          <w:kern w:val="0"/>
          <w:sz w:val="24"/>
          <w:highlight w:val="none"/>
        </w:rPr>
        <w:t>中标人</w:t>
      </w:r>
      <w:r>
        <w:rPr>
          <w:rFonts w:ascii="宋体" w:hAnsi="宋体"/>
          <w:color w:val="auto"/>
          <w:kern w:val="0"/>
          <w:sz w:val="24"/>
          <w:highlight w:val="none"/>
        </w:rPr>
        <w:t>承担。</w:t>
      </w:r>
    </w:p>
    <w:p w14:paraId="54CFE69D">
      <w:pPr>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（2）在调试结束之后，由发包人的管理人员实施全厂的操作和管理。</w:t>
      </w:r>
      <w:r>
        <w:rPr>
          <w:rFonts w:hint="eastAsia" w:ascii="宋体" w:hAnsi="宋体"/>
          <w:color w:val="auto"/>
          <w:kern w:val="0"/>
          <w:sz w:val="24"/>
          <w:highlight w:val="none"/>
        </w:rPr>
        <w:t>中标人</w:t>
      </w:r>
      <w:r>
        <w:rPr>
          <w:rFonts w:ascii="宋体" w:hAnsi="宋体"/>
          <w:color w:val="auto"/>
          <w:kern w:val="0"/>
          <w:sz w:val="24"/>
          <w:highlight w:val="none"/>
        </w:rPr>
        <w:t>应指导试运行，并充当发包人的顾问且提供所需的指导人员，包括提供有经验的工艺、电气、自控工程师各1名。</w:t>
      </w:r>
    </w:p>
    <w:p w14:paraId="79BE2A65">
      <w:pPr>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（3）除已进行的交接外，所有没有进行的交接工作均在72小时性能考核结束后完成。</w:t>
      </w:r>
    </w:p>
    <w:p w14:paraId="27CA937F">
      <w:pPr>
        <w:adjustRightInd w:val="0"/>
        <w:snapToGrid w:val="0"/>
        <w:spacing w:line="360" w:lineRule="auto"/>
        <w:outlineLvl w:val="1"/>
        <w:rPr>
          <w:rFonts w:ascii="宋体" w:hAnsi="宋体"/>
          <w:b/>
          <w:bCs/>
          <w:color w:val="auto"/>
          <w:kern w:val="0"/>
          <w:sz w:val="24"/>
          <w:highlight w:val="none"/>
        </w:rPr>
      </w:pPr>
      <w:bookmarkStart w:id="176" w:name="_Toc24661"/>
      <w:r>
        <w:rPr>
          <w:rFonts w:ascii="宋体" w:hAnsi="宋体"/>
          <w:b/>
          <w:bCs/>
          <w:color w:val="auto"/>
          <w:kern w:val="0"/>
          <w:sz w:val="24"/>
          <w:highlight w:val="none"/>
        </w:rPr>
        <w:t>1.7 运维服务</w:t>
      </w:r>
      <w:bookmarkEnd w:id="175"/>
      <w:bookmarkEnd w:id="176"/>
    </w:p>
    <w:p w14:paraId="41AA336D">
      <w:pPr>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在合同能源管理服务期间，</w:t>
      </w:r>
      <w:r>
        <w:rPr>
          <w:rFonts w:hint="eastAsia" w:ascii="宋体" w:hAnsi="宋体"/>
          <w:color w:val="auto"/>
          <w:kern w:val="0"/>
          <w:sz w:val="24"/>
          <w:highlight w:val="none"/>
        </w:rPr>
        <w:t>本项目</w:t>
      </w:r>
      <w:r>
        <w:rPr>
          <w:rFonts w:ascii="宋体" w:hAnsi="宋体"/>
          <w:color w:val="auto"/>
          <w:kern w:val="0"/>
          <w:sz w:val="24"/>
          <w:highlight w:val="none"/>
        </w:rPr>
        <w:t>新增或改造装置由中标人负责系统维护、检修等，且检修人员及单位需具有相关法定资质，</w:t>
      </w:r>
      <w:r>
        <w:rPr>
          <w:rFonts w:hint="eastAsia" w:ascii="宋体" w:hAnsi="宋体"/>
          <w:color w:val="auto"/>
          <w:kern w:val="0"/>
          <w:sz w:val="24"/>
          <w:highlight w:val="none"/>
        </w:rPr>
        <w:t>所发生费用由中标人承担</w:t>
      </w:r>
      <w:r>
        <w:rPr>
          <w:rFonts w:ascii="宋体" w:hAnsi="宋体"/>
          <w:color w:val="auto"/>
          <w:kern w:val="0"/>
          <w:sz w:val="24"/>
          <w:highlight w:val="none"/>
        </w:rPr>
        <w:t>。</w:t>
      </w:r>
    </w:p>
    <w:p w14:paraId="54655FB2">
      <w:pPr>
        <w:adjustRightInd w:val="0"/>
        <w:snapToGrid w:val="0"/>
        <w:spacing w:line="360" w:lineRule="auto"/>
        <w:ind w:firstLine="480" w:firstLineChars="200"/>
        <w:rPr>
          <w:rFonts w:ascii="宋体" w:hAnsi="宋体"/>
          <w:color w:val="auto"/>
          <w:sz w:val="24"/>
          <w:highlight w:val="none"/>
        </w:rPr>
      </w:pPr>
      <w:r>
        <w:rPr>
          <w:rFonts w:ascii="宋体" w:hAnsi="宋体"/>
          <w:color w:val="auto"/>
          <w:kern w:val="0"/>
          <w:sz w:val="24"/>
          <w:highlight w:val="none"/>
        </w:rPr>
        <w:t>国外进口设备的制造商在中国国内应有技术服务中心（包括维修中心），由经验丰富的技术人员组成，能提供售后服务，包括备用零件及消耗品购买、更换，零件及消耗品以人民币结算。须直接得到制造厂技术支持，以确保维修的质量。</w:t>
      </w:r>
    </w:p>
    <w:p w14:paraId="400DE22C">
      <w:pPr>
        <w:adjustRightInd w:val="0"/>
        <w:snapToGrid w:val="0"/>
        <w:spacing w:line="360" w:lineRule="auto"/>
        <w:rPr>
          <w:rFonts w:ascii="宋体" w:hAnsi="宋体"/>
          <w:color w:val="auto"/>
          <w:sz w:val="24"/>
          <w:highlight w:val="none"/>
        </w:rPr>
      </w:pPr>
      <w:r>
        <w:rPr>
          <w:rFonts w:ascii="宋体" w:hAnsi="宋体"/>
          <w:b/>
          <w:color w:val="auto"/>
          <w:kern w:val="0"/>
          <w:sz w:val="24"/>
          <w:highlight w:val="none"/>
        </w:rPr>
        <w:t>1.7分界面</w:t>
      </w:r>
      <w:r>
        <w:rPr>
          <w:rFonts w:hint="eastAsia" w:ascii="宋体" w:hAnsi="宋体"/>
          <w:b/>
          <w:color w:val="auto"/>
          <w:kern w:val="0"/>
          <w:sz w:val="24"/>
          <w:highlight w:val="none"/>
        </w:rPr>
        <w:t xml:space="preserve">  </w:t>
      </w:r>
      <w:bookmarkStart w:id="177" w:name="_Toc29306"/>
    </w:p>
    <w:p w14:paraId="38CC53E6">
      <w:pPr>
        <w:adjustRightInd w:val="0"/>
        <w:snapToGrid w:val="0"/>
        <w:spacing w:line="360" w:lineRule="auto"/>
        <w:rPr>
          <w:rFonts w:ascii="宋体" w:hAnsi="宋体"/>
          <w:color w:val="auto"/>
          <w:sz w:val="24"/>
          <w:highlight w:val="none"/>
        </w:rPr>
      </w:pPr>
      <w:r>
        <w:rPr>
          <w:rFonts w:ascii="宋体" w:hAnsi="宋体"/>
          <w:b/>
          <w:color w:val="auto"/>
          <w:kern w:val="0"/>
          <w:sz w:val="24"/>
          <w:highlight w:val="none"/>
        </w:rPr>
        <w:t>1.7</w:t>
      </w:r>
      <w:r>
        <w:rPr>
          <w:rFonts w:hint="eastAsia" w:ascii="宋体" w:hAnsi="宋体"/>
          <w:b/>
          <w:color w:val="auto"/>
          <w:kern w:val="0"/>
          <w:sz w:val="24"/>
          <w:highlight w:val="none"/>
        </w:rPr>
        <w:t>.</w:t>
      </w:r>
      <w:r>
        <w:rPr>
          <w:rFonts w:ascii="宋体" w:hAnsi="宋体"/>
          <w:b/>
          <w:color w:val="auto"/>
          <w:kern w:val="0"/>
          <w:sz w:val="24"/>
          <w:highlight w:val="none"/>
        </w:rPr>
        <w:t>1</w:t>
      </w:r>
      <w:bookmarkEnd w:id="177"/>
      <w:r>
        <w:rPr>
          <w:rFonts w:hint="eastAsia" w:ascii="宋体" w:hAnsi="宋体"/>
          <w:color w:val="auto"/>
          <w:kern w:val="0"/>
          <w:sz w:val="24"/>
          <w:highlight w:val="none"/>
        </w:rPr>
        <w:t>中标人</w:t>
      </w:r>
      <w:r>
        <w:rPr>
          <w:rFonts w:ascii="宋体" w:hAnsi="宋体"/>
          <w:color w:val="auto"/>
          <w:kern w:val="0"/>
          <w:sz w:val="24"/>
          <w:highlight w:val="none"/>
        </w:rPr>
        <w:t>应主动完成所有与</w:t>
      </w:r>
      <w:r>
        <w:rPr>
          <w:rFonts w:hint="eastAsia" w:ascii="宋体" w:hAnsi="宋体"/>
          <w:color w:val="auto"/>
          <w:kern w:val="0"/>
          <w:sz w:val="24"/>
          <w:highlight w:val="none"/>
        </w:rPr>
        <w:t>现有</w:t>
      </w:r>
      <w:r>
        <w:rPr>
          <w:rFonts w:ascii="宋体" w:hAnsi="宋体"/>
          <w:color w:val="auto"/>
          <w:kern w:val="0"/>
          <w:sz w:val="24"/>
          <w:highlight w:val="none"/>
        </w:rPr>
        <w:t>装置、设施、系统的接口工作。</w:t>
      </w:r>
    </w:p>
    <w:p w14:paraId="21179298">
      <w:pPr>
        <w:adjustRightInd w:val="0"/>
        <w:snapToGrid w:val="0"/>
        <w:spacing w:line="360" w:lineRule="auto"/>
        <w:ind w:firstLine="480" w:firstLineChars="200"/>
        <w:outlineLvl w:val="2"/>
        <w:rPr>
          <w:rFonts w:ascii="宋体" w:hAnsi="宋体"/>
          <w:color w:val="auto"/>
          <w:kern w:val="0"/>
          <w:sz w:val="24"/>
          <w:highlight w:val="none"/>
        </w:rPr>
      </w:pPr>
      <w:bookmarkStart w:id="178" w:name="_Toc167859000"/>
      <w:bookmarkEnd w:id="178"/>
      <w:bookmarkStart w:id="179" w:name="_Toc201396931"/>
      <w:bookmarkEnd w:id="179"/>
      <w:bookmarkStart w:id="180" w:name="_Toc123029438"/>
      <w:bookmarkEnd w:id="180"/>
      <w:bookmarkStart w:id="181" w:name="_Toc201650988"/>
      <w:bookmarkEnd w:id="181"/>
      <w:bookmarkStart w:id="182" w:name="_Toc25302"/>
      <w:bookmarkStart w:id="183" w:name="_Toc221550675"/>
      <w:r>
        <w:rPr>
          <w:rFonts w:hint="eastAsia" w:ascii="宋体" w:hAnsi="宋体"/>
          <w:color w:val="auto"/>
          <w:kern w:val="0"/>
          <w:sz w:val="24"/>
          <w:highlight w:val="none"/>
        </w:rPr>
        <w:t>本</w:t>
      </w:r>
      <w:r>
        <w:rPr>
          <w:rFonts w:ascii="宋体" w:hAnsi="宋体"/>
          <w:color w:val="auto"/>
          <w:kern w:val="0"/>
          <w:sz w:val="24"/>
          <w:highlight w:val="none"/>
        </w:rPr>
        <w:t>项目</w:t>
      </w:r>
      <w:r>
        <w:rPr>
          <w:rFonts w:hint="eastAsia" w:ascii="宋体" w:hAnsi="宋体"/>
          <w:color w:val="auto"/>
          <w:kern w:val="0"/>
          <w:sz w:val="24"/>
          <w:highlight w:val="none"/>
        </w:rPr>
        <w:t>新建</w:t>
      </w:r>
      <w:r>
        <w:rPr>
          <w:rFonts w:ascii="宋体" w:hAnsi="宋体"/>
          <w:color w:val="auto"/>
          <w:kern w:val="0"/>
          <w:sz w:val="24"/>
          <w:highlight w:val="none"/>
        </w:rPr>
        <w:t>的</w:t>
      </w:r>
      <w:r>
        <w:rPr>
          <w:rFonts w:hint="eastAsia" w:ascii="宋体" w:hAnsi="宋体"/>
          <w:color w:val="auto"/>
          <w:kern w:val="0"/>
          <w:sz w:val="24"/>
          <w:highlight w:val="none"/>
        </w:rPr>
        <w:t>装置</w:t>
      </w:r>
      <w:r>
        <w:rPr>
          <w:rFonts w:ascii="宋体" w:hAnsi="宋体"/>
          <w:color w:val="auto"/>
          <w:kern w:val="0"/>
          <w:sz w:val="24"/>
          <w:highlight w:val="none"/>
        </w:rPr>
        <w:t>及外界条件存在如下界面：</w:t>
      </w:r>
      <w:r>
        <w:rPr>
          <w:rFonts w:hint="eastAsia" w:ascii="宋体" w:hAnsi="宋体"/>
          <w:color w:val="auto"/>
          <w:kern w:val="0"/>
          <w:sz w:val="24"/>
          <w:highlight w:val="none"/>
        </w:rPr>
        <w:t xml:space="preserve"> </w:t>
      </w:r>
    </w:p>
    <w:p w14:paraId="1F6ABB90">
      <w:pPr>
        <w:adjustRightInd w:val="0"/>
        <w:snapToGrid w:val="0"/>
        <w:spacing w:line="360" w:lineRule="auto"/>
        <w:outlineLvl w:val="2"/>
        <w:rPr>
          <w:rFonts w:ascii="宋体" w:hAnsi="宋体"/>
          <w:b/>
          <w:color w:val="auto"/>
          <w:kern w:val="0"/>
          <w:sz w:val="24"/>
          <w:highlight w:val="none"/>
        </w:rPr>
      </w:pPr>
      <w:bookmarkStart w:id="184" w:name="_Toc2963"/>
      <w:r>
        <w:rPr>
          <w:rFonts w:ascii="宋体" w:hAnsi="宋体"/>
          <w:b/>
          <w:color w:val="auto"/>
          <w:kern w:val="0"/>
          <w:sz w:val="24"/>
          <w:highlight w:val="none"/>
        </w:rPr>
        <w:t>1.7.2工艺分界面</w:t>
      </w:r>
      <w:bookmarkEnd w:id="184"/>
    </w:p>
    <w:p w14:paraId="081157EF">
      <w:pPr>
        <w:adjustRightInd w:val="0"/>
        <w:snapToGrid w:val="0"/>
        <w:spacing w:line="360" w:lineRule="auto"/>
        <w:ind w:firstLine="482" w:firstLineChars="200"/>
        <w:outlineLvl w:val="2"/>
        <w:rPr>
          <w:rFonts w:ascii="宋体" w:hAnsi="宋体"/>
          <w:b/>
          <w:color w:val="auto"/>
          <w:kern w:val="0"/>
          <w:sz w:val="24"/>
          <w:highlight w:val="none"/>
        </w:rPr>
      </w:pPr>
      <w:r>
        <w:rPr>
          <w:rFonts w:hint="eastAsia" w:ascii="宋体" w:hAnsi="宋体"/>
          <w:b/>
          <w:color w:val="auto"/>
          <w:sz w:val="24"/>
          <w:highlight w:val="none"/>
        </w:rPr>
        <w:t>工艺分界面</w:t>
      </w:r>
      <w:r>
        <w:rPr>
          <w:rFonts w:ascii="宋体" w:hAnsi="宋体"/>
          <w:b/>
          <w:color w:val="auto"/>
          <w:sz w:val="24"/>
          <w:highlight w:val="none"/>
        </w:rPr>
        <w:t>为改造及新建装置外</w:t>
      </w:r>
      <w:r>
        <w:rPr>
          <w:rFonts w:hint="eastAsia" w:ascii="宋体" w:hAnsi="宋体"/>
          <w:b/>
          <w:color w:val="auto"/>
          <w:sz w:val="24"/>
          <w:highlight w:val="none"/>
        </w:rPr>
        <w:t>1</w:t>
      </w:r>
      <w:r>
        <w:rPr>
          <w:rFonts w:ascii="宋体" w:hAnsi="宋体"/>
          <w:b/>
          <w:color w:val="auto"/>
          <w:sz w:val="24"/>
          <w:highlight w:val="none"/>
        </w:rPr>
        <w:t>m</w:t>
      </w:r>
      <w:r>
        <w:rPr>
          <w:rFonts w:hint="eastAsia" w:ascii="宋体" w:hAnsi="宋体"/>
          <w:b/>
          <w:color w:val="auto"/>
          <w:sz w:val="24"/>
          <w:highlight w:val="none"/>
        </w:rPr>
        <w:t>。</w:t>
      </w:r>
    </w:p>
    <w:bookmarkEnd w:id="182"/>
    <w:bookmarkEnd w:id="183"/>
    <w:p w14:paraId="143E8DF3">
      <w:pPr>
        <w:adjustRightInd w:val="0"/>
        <w:snapToGrid w:val="0"/>
        <w:spacing w:line="360" w:lineRule="auto"/>
        <w:outlineLvl w:val="2"/>
        <w:rPr>
          <w:rFonts w:ascii="宋体" w:hAnsi="宋体"/>
          <w:color w:val="auto"/>
          <w:kern w:val="0"/>
          <w:sz w:val="24"/>
          <w:highlight w:val="none"/>
        </w:rPr>
      </w:pPr>
      <w:bookmarkStart w:id="185" w:name="_Toc201396841"/>
      <w:bookmarkEnd w:id="185"/>
      <w:bookmarkStart w:id="186" w:name="_Toc27612"/>
      <w:bookmarkStart w:id="187" w:name="_Toc221550501"/>
      <w:r>
        <w:rPr>
          <w:rFonts w:ascii="宋体" w:hAnsi="宋体"/>
          <w:color w:val="auto"/>
          <w:kern w:val="0"/>
          <w:sz w:val="24"/>
          <w:highlight w:val="none"/>
        </w:rPr>
        <w:t>1.7.3电气设备的分界面</w:t>
      </w:r>
    </w:p>
    <w:p w14:paraId="5BB2EC5F">
      <w:pPr>
        <w:adjustRightInd w:val="0"/>
        <w:snapToGrid w:val="0"/>
        <w:spacing w:line="360" w:lineRule="auto"/>
        <w:ind w:firstLine="480" w:firstLineChars="200"/>
        <w:outlineLvl w:val="2"/>
        <w:rPr>
          <w:rFonts w:ascii="宋体" w:hAnsi="宋体"/>
          <w:color w:val="auto"/>
          <w:kern w:val="0"/>
          <w:sz w:val="24"/>
          <w:highlight w:val="none"/>
        </w:rPr>
      </w:pPr>
      <w:r>
        <w:rPr>
          <w:rFonts w:ascii="宋体" w:hAnsi="宋体"/>
          <w:color w:val="auto"/>
          <w:kern w:val="0"/>
          <w:sz w:val="24"/>
          <w:highlight w:val="none"/>
        </w:rPr>
        <w:t>本</w:t>
      </w:r>
      <w:r>
        <w:rPr>
          <w:rFonts w:hint="eastAsia" w:ascii="宋体" w:hAnsi="宋体"/>
          <w:color w:val="auto"/>
          <w:kern w:val="0"/>
          <w:sz w:val="24"/>
          <w:highlight w:val="none"/>
        </w:rPr>
        <w:t>项目</w:t>
      </w:r>
      <w:r>
        <w:rPr>
          <w:rFonts w:ascii="宋体" w:hAnsi="宋体"/>
          <w:color w:val="auto"/>
          <w:kern w:val="0"/>
          <w:sz w:val="24"/>
          <w:highlight w:val="none"/>
        </w:rPr>
        <w:t>范围包括</w:t>
      </w:r>
      <w:r>
        <w:rPr>
          <w:rFonts w:hint="eastAsia" w:ascii="宋体" w:hAnsi="宋体"/>
          <w:color w:val="auto"/>
          <w:kern w:val="0"/>
          <w:sz w:val="24"/>
          <w:highlight w:val="none"/>
        </w:rPr>
        <w:t>：项目所需的高、</w:t>
      </w:r>
      <w:r>
        <w:rPr>
          <w:rFonts w:ascii="宋体" w:hAnsi="宋体"/>
          <w:color w:val="auto"/>
          <w:kern w:val="0"/>
          <w:sz w:val="24"/>
          <w:highlight w:val="none"/>
        </w:rPr>
        <w:t>低压供配电系统</w:t>
      </w:r>
      <w:r>
        <w:rPr>
          <w:rFonts w:hint="eastAsia" w:ascii="宋体" w:hAnsi="宋体"/>
          <w:color w:val="auto"/>
          <w:kern w:val="0"/>
          <w:sz w:val="24"/>
          <w:highlight w:val="none"/>
        </w:rPr>
        <w:t>及电源接入系统</w:t>
      </w:r>
      <w:r>
        <w:rPr>
          <w:rFonts w:ascii="宋体" w:hAnsi="宋体"/>
          <w:color w:val="auto"/>
          <w:kern w:val="0"/>
          <w:sz w:val="24"/>
          <w:highlight w:val="none"/>
        </w:rPr>
        <w:t>建设；动力配线和控制系统及有关电缆敷设设计与施工。</w:t>
      </w:r>
    </w:p>
    <w:bookmarkEnd w:id="186"/>
    <w:bookmarkEnd w:id="187"/>
    <w:p w14:paraId="6944035A">
      <w:pPr>
        <w:adjustRightInd w:val="0"/>
        <w:snapToGrid w:val="0"/>
        <w:spacing w:line="360" w:lineRule="auto"/>
        <w:outlineLvl w:val="2"/>
        <w:rPr>
          <w:rFonts w:ascii="宋体" w:hAnsi="宋体"/>
          <w:color w:val="auto"/>
          <w:kern w:val="0"/>
          <w:sz w:val="24"/>
          <w:highlight w:val="none"/>
        </w:rPr>
      </w:pPr>
      <w:r>
        <w:rPr>
          <w:rFonts w:ascii="宋体" w:hAnsi="宋体"/>
          <w:color w:val="auto"/>
          <w:kern w:val="0"/>
          <w:sz w:val="24"/>
          <w:highlight w:val="none"/>
        </w:rPr>
        <w:t>1.7.4仪表自控设备的分界面</w:t>
      </w:r>
    </w:p>
    <w:p w14:paraId="34FE2ACB">
      <w:pPr>
        <w:adjustRightInd w:val="0"/>
        <w:snapToGrid w:val="0"/>
        <w:spacing w:line="360" w:lineRule="auto"/>
        <w:ind w:firstLine="480" w:firstLineChars="200"/>
        <w:outlineLvl w:val="2"/>
        <w:rPr>
          <w:rFonts w:ascii="宋体" w:hAnsi="宋体"/>
          <w:color w:val="auto"/>
          <w:kern w:val="0"/>
          <w:sz w:val="24"/>
          <w:highlight w:val="none"/>
        </w:rPr>
      </w:pPr>
      <w:r>
        <w:rPr>
          <w:rFonts w:ascii="宋体" w:hAnsi="宋体"/>
          <w:color w:val="auto"/>
          <w:kern w:val="0"/>
          <w:sz w:val="24"/>
          <w:highlight w:val="none"/>
        </w:rPr>
        <w:t>本标仪用空气接点</w:t>
      </w:r>
      <w:r>
        <w:rPr>
          <w:rFonts w:hint="eastAsia" w:ascii="宋体" w:hAnsi="宋体"/>
          <w:color w:val="auto"/>
          <w:kern w:val="0"/>
          <w:sz w:val="24"/>
          <w:highlight w:val="none"/>
        </w:rPr>
        <w:t>就近接入，DCS控制系统及SIS控制系统（如需）需和现有装置控制系统完成项目并网</w:t>
      </w:r>
      <w:r>
        <w:rPr>
          <w:rFonts w:ascii="宋体" w:hAnsi="宋体"/>
          <w:color w:val="auto"/>
          <w:kern w:val="0"/>
          <w:sz w:val="24"/>
          <w:highlight w:val="none"/>
        </w:rPr>
        <w:t>。</w:t>
      </w:r>
    </w:p>
    <w:p w14:paraId="0B4C48E4">
      <w:pPr>
        <w:adjustRightInd w:val="0"/>
        <w:snapToGrid w:val="0"/>
        <w:spacing w:line="360" w:lineRule="auto"/>
        <w:ind w:firstLine="480" w:firstLineChars="200"/>
        <w:outlineLvl w:val="2"/>
        <w:rPr>
          <w:rFonts w:ascii="宋体" w:hAnsi="宋体"/>
          <w:color w:val="auto"/>
          <w:kern w:val="0"/>
          <w:sz w:val="24"/>
          <w:highlight w:val="none"/>
        </w:rPr>
      </w:pPr>
      <w:r>
        <w:rPr>
          <w:rFonts w:ascii="宋体" w:hAnsi="宋体"/>
          <w:color w:val="auto"/>
          <w:kern w:val="0"/>
          <w:sz w:val="24"/>
          <w:highlight w:val="none"/>
        </w:rPr>
        <w:t>本</w:t>
      </w:r>
      <w:r>
        <w:rPr>
          <w:rFonts w:hint="eastAsia" w:ascii="宋体" w:hAnsi="宋体"/>
          <w:color w:val="auto"/>
          <w:kern w:val="0"/>
          <w:sz w:val="24"/>
          <w:highlight w:val="none"/>
        </w:rPr>
        <w:t>项目</w:t>
      </w:r>
      <w:r>
        <w:rPr>
          <w:rFonts w:ascii="宋体" w:hAnsi="宋体"/>
          <w:color w:val="auto"/>
          <w:kern w:val="0"/>
          <w:sz w:val="24"/>
          <w:highlight w:val="none"/>
        </w:rPr>
        <w:t>范围包括</w:t>
      </w:r>
      <w:r>
        <w:rPr>
          <w:rFonts w:hint="eastAsia" w:ascii="宋体" w:hAnsi="宋体"/>
          <w:color w:val="auto"/>
          <w:kern w:val="0"/>
          <w:sz w:val="24"/>
          <w:highlight w:val="none"/>
        </w:rPr>
        <w:t>：仪表自控设备、自控回路、自控程序、仪表联锁系统、DCS系统、SIS系统、工业电视监控系统、及辅助操作台、防雷、接地、电缆铺设的</w:t>
      </w:r>
      <w:r>
        <w:rPr>
          <w:rFonts w:ascii="宋体" w:hAnsi="宋体"/>
          <w:color w:val="auto"/>
          <w:kern w:val="0"/>
          <w:sz w:val="24"/>
          <w:highlight w:val="none"/>
        </w:rPr>
        <w:t>设计与施工</w:t>
      </w:r>
      <w:r>
        <w:rPr>
          <w:rFonts w:hint="eastAsia" w:ascii="宋体" w:hAnsi="宋体"/>
          <w:color w:val="auto"/>
          <w:kern w:val="0"/>
          <w:sz w:val="24"/>
          <w:highlight w:val="none"/>
        </w:rPr>
        <w:t>；DCS系统、SIS系统（如需）的组态、联锁调试、程序调试及仪表回路调试</w:t>
      </w:r>
      <w:r>
        <w:rPr>
          <w:rFonts w:ascii="宋体" w:hAnsi="宋体"/>
          <w:color w:val="auto"/>
          <w:kern w:val="0"/>
          <w:sz w:val="24"/>
          <w:highlight w:val="none"/>
        </w:rPr>
        <w:t>。</w:t>
      </w:r>
    </w:p>
    <w:p w14:paraId="748D99B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7</w:t>
      </w:r>
      <w:r>
        <w:rPr>
          <w:rFonts w:hint="eastAsia" w:ascii="宋体" w:hAnsi="宋体"/>
          <w:color w:val="auto"/>
          <w:sz w:val="24"/>
          <w:highlight w:val="none"/>
        </w:rPr>
        <w:t>.5各类外管分界点</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FFFFFF"/>
        <w:tblLayout w:type="autofit"/>
        <w:tblCellMar>
          <w:top w:w="0" w:type="dxa"/>
          <w:left w:w="108" w:type="dxa"/>
          <w:bottom w:w="0" w:type="dxa"/>
          <w:right w:w="108" w:type="dxa"/>
        </w:tblCellMar>
      </w:tblPr>
      <w:tblGrid>
        <w:gridCol w:w="564"/>
        <w:gridCol w:w="1554"/>
        <w:gridCol w:w="1325"/>
        <w:gridCol w:w="1010"/>
        <w:gridCol w:w="2407"/>
        <w:gridCol w:w="2428"/>
      </w:tblGrid>
      <w:tr w14:paraId="56CF23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FFFFFF"/>
          <w:tblCellMar>
            <w:top w:w="0" w:type="dxa"/>
            <w:left w:w="108" w:type="dxa"/>
            <w:bottom w:w="0" w:type="dxa"/>
            <w:right w:w="108" w:type="dxa"/>
          </w:tblCellMar>
        </w:tblPrEx>
        <w:trPr>
          <w:trHeight w:val="312" w:hRule="atLeast"/>
          <w:tblHeader/>
          <w:jc w:val="center"/>
        </w:trPr>
        <w:tc>
          <w:tcPr>
            <w:tcW w:w="564" w:type="dxa"/>
            <w:vMerge w:val="restart"/>
            <w:shd w:val="clear" w:color="auto" w:fill="auto"/>
            <w:vAlign w:val="center"/>
          </w:tcPr>
          <w:p w14:paraId="3D5EC35E">
            <w:pPr>
              <w:rPr>
                <w:color w:val="auto"/>
                <w:sz w:val="24"/>
                <w:highlight w:val="none"/>
              </w:rPr>
            </w:pPr>
            <w:r>
              <w:rPr>
                <w:rFonts w:hint="eastAsia"/>
                <w:color w:val="auto"/>
                <w:sz w:val="24"/>
                <w:highlight w:val="none"/>
              </w:rPr>
              <w:t>序号</w:t>
            </w:r>
          </w:p>
        </w:tc>
        <w:tc>
          <w:tcPr>
            <w:tcW w:w="1554" w:type="dxa"/>
            <w:vMerge w:val="restart"/>
            <w:shd w:val="clear" w:color="auto" w:fill="auto"/>
            <w:vAlign w:val="center"/>
          </w:tcPr>
          <w:p w14:paraId="0F52FD88">
            <w:pPr>
              <w:rPr>
                <w:color w:val="auto"/>
                <w:sz w:val="24"/>
                <w:highlight w:val="none"/>
              </w:rPr>
            </w:pPr>
            <w:r>
              <w:rPr>
                <w:rFonts w:hint="eastAsia"/>
                <w:color w:val="auto"/>
                <w:sz w:val="24"/>
                <w:highlight w:val="none"/>
              </w:rPr>
              <w:t>物料名称</w:t>
            </w:r>
          </w:p>
        </w:tc>
        <w:tc>
          <w:tcPr>
            <w:tcW w:w="1325" w:type="dxa"/>
            <w:vMerge w:val="restart"/>
            <w:shd w:val="clear" w:color="auto" w:fill="auto"/>
            <w:vAlign w:val="center"/>
          </w:tcPr>
          <w:p w14:paraId="64D49726">
            <w:pPr>
              <w:rPr>
                <w:color w:val="auto"/>
                <w:sz w:val="24"/>
                <w:highlight w:val="none"/>
              </w:rPr>
            </w:pPr>
            <w:r>
              <w:rPr>
                <w:rFonts w:hint="eastAsia"/>
                <w:color w:val="auto"/>
                <w:sz w:val="24"/>
                <w:highlight w:val="none"/>
              </w:rPr>
              <w:t>管道材质</w:t>
            </w:r>
          </w:p>
        </w:tc>
        <w:tc>
          <w:tcPr>
            <w:tcW w:w="1010" w:type="dxa"/>
            <w:vMerge w:val="restart"/>
            <w:shd w:val="clear" w:color="auto" w:fill="auto"/>
            <w:vAlign w:val="center"/>
          </w:tcPr>
          <w:p w14:paraId="713776C5">
            <w:pPr>
              <w:rPr>
                <w:color w:val="auto"/>
                <w:sz w:val="24"/>
                <w:highlight w:val="none"/>
              </w:rPr>
            </w:pPr>
            <w:r>
              <w:rPr>
                <w:rFonts w:hint="eastAsia"/>
                <w:color w:val="auto"/>
                <w:sz w:val="24"/>
                <w:highlight w:val="none"/>
              </w:rPr>
              <w:t>装置界区</w:t>
            </w:r>
          </w:p>
        </w:tc>
        <w:tc>
          <w:tcPr>
            <w:tcW w:w="2407" w:type="dxa"/>
            <w:vMerge w:val="restart"/>
            <w:shd w:val="clear" w:color="auto" w:fill="auto"/>
            <w:vAlign w:val="center"/>
          </w:tcPr>
          <w:p w14:paraId="7534EEF7">
            <w:pPr>
              <w:rPr>
                <w:color w:val="auto"/>
                <w:sz w:val="24"/>
                <w:highlight w:val="none"/>
              </w:rPr>
            </w:pPr>
            <w:r>
              <w:rPr>
                <w:rFonts w:hint="eastAsia"/>
                <w:color w:val="auto"/>
                <w:sz w:val="24"/>
                <w:highlight w:val="none"/>
              </w:rPr>
              <w:t>接入点</w:t>
            </w:r>
          </w:p>
        </w:tc>
        <w:tc>
          <w:tcPr>
            <w:tcW w:w="2428" w:type="dxa"/>
            <w:vMerge w:val="restart"/>
            <w:shd w:val="clear" w:color="auto" w:fill="auto"/>
            <w:vAlign w:val="center"/>
          </w:tcPr>
          <w:p w14:paraId="05E1BB66">
            <w:pPr>
              <w:rPr>
                <w:color w:val="auto"/>
                <w:sz w:val="24"/>
                <w:highlight w:val="none"/>
              </w:rPr>
            </w:pPr>
            <w:r>
              <w:rPr>
                <w:rFonts w:hint="eastAsia"/>
                <w:color w:val="auto"/>
                <w:sz w:val="24"/>
                <w:highlight w:val="none"/>
              </w:rPr>
              <w:t>至何处</w:t>
            </w:r>
          </w:p>
        </w:tc>
      </w:tr>
      <w:tr w14:paraId="3E318E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FFFFFF"/>
          <w:tblCellMar>
            <w:top w:w="0" w:type="dxa"/>
            <w:left w:w="108" w:type="dxa"/>
            <w:bottom w:w="0" w:type="dxa"/>
            <w:right w:w="108" w:type="dxa"/>
          </w:tblCellMar>
        </w:tblPrEx>
        <w:trPr>
          <w:trHeight w:val="385" w:hRule="atLeast"/>
          <w:tblHeader/>
          <w:jc w:val="center"/>
        </w:trPr>
        <w:tc>
          <w:tcPr>
            <w:tcW w:w="564" w:type="dxa"/>
            <w:vMerge w:val="continue"/>
            <w:shd w:val="clear" w:color="auto" w:fill="auto"/>
            <w:vAlign w:val="center"/>
          </w:tcPr>
          <w:p w14:paraId="12172EB0">
            <w:pPr>
              <w:rPr>
                <w:color w:val="auto"/>
                <w:sz w:val="24"/>
                <w:highlight w:val="none"/>
              </w:rPr>
            </w:pPr>
          </w:p>
        </w:tc>
        <w:tc>
          <w:tcPr>
            <w:tcW w:w="1554" w:type="dxa"/>
            <w:vMerge w:val="continue"/>
            <w:shd w:val="clear" w:color="auto" w:fill="auto"/>
            <w:vAlign w:val="center"/>
          </w:tcPr>
          <w:p w14:paraId="6EF6FB25">
            <w:pPr>
              <w:rPr>
                <w:color w:val="auto"/>
                <w:sz w:val="24"/>
                <w:highlight w:val="none"/>
              </w:rPr>
            </w:pPr>
          </w:p>
        </w:tc>
        <w:tc>
          <w:tcPr>
            <w:tcW w:w="1325" w:type="dxa"/>
            <w:vMerge w:val="continue"/>
            <w:shd w:val="clear" w:color="auto" w:fill="auto"/>
            <w:vAlign w:val="center"/>
          </w:tcPr>
          <w:p w14:paraId="5C8F2963">
            <w:pPr>
              <w:rPr>
                <w:color w:val="auto"/>
                <w:sz w:val="24"/>
                <w:highlight w:val="none"/>
              </w:rPr>
            </w:pPr>
          </w:p>
        </w:tc>
        <w:tc>
          <w:tcPr>
            <w:tcW w:w="1010" w:type="dxa"/>
            <w:vMerge w:val="continue"/>
            <w:shd w:val="clear" w:color="auto" w:fill="auto"/>
            <w:vAlign w:val="center"/>
          </w:tcPr>
          <w:p w14:paraId="539118A2">
            <w:pPr>
              <w:rPr>
                <w:color w:val="auto"/>
                <w:sz w:val="24"/>
                <w:highlight w:val="none"/>
              </w:rPr>
            </w:pPr>
          </w:p>
        </w:tc>
        <w:tc>
          <w:tcPr>
            <w:tcW w:w="2407" w:type="dxa"/>
            <w:vMerge w:val="continue"/>
            <w:shd w:val="clear" w:color="auto" w:fill="auto"/>
            <w:vAlign w:val="center"/>
          </w:tcPr>
          <w:p w14:paraId="0B0B5530">
            <w:pPr>
              <w:rPr>
                <w:color w:val="auto"/>
                <w:sz w:val="24"/>
                <w:highlight w:val="none"/>
              </w:rPr>
            </w:pPr>
          </w:p>
        </w:tc>
        <w:tc>
          <w:tcPr>
            <w:tcW w:w="2428" w:type="dxa"/>
            <w:vMerge w:val="continue"/>
            <w:shd w:val="clear" w:color="auto" w:fill="auto"/>
            <w:vAlign w:val="center"/>
          </w:tcPr>
          <w:p w14:paraId="72EC74DB">
            <w:pPr>
              <w:rPr>
                <w:color w:val="auto"/>
                <w:sz w:val="24"/>
                <w:highlight w:val="none"/>
              </w:rPr>
            </w:pPr>
          </w:p>
        </w:tc>
      </w:tr>
      <w:tr w14:paraId="548CA9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FFFFFF"/>
          <w:tblCellMar>
            <w:top w:w="0" w:type="dxa"/>
            <w:left w:w="108" w:type="dxa"/>
            <w:bottom w:w="0" w:type="dxa"/>
            <w:right w:w="108" w:type="dxa"/>
          </w:tblCellMar>
        </w:tblPrEx>
        <w:trPr>
          <w:trHeight w:val="454" w:hRule="atLeast"/>
          <w:jc w:val="center"/>
        </w:trPr>
        <w:tc>
          <w:tcPr>
            <w:tcW w:w="564" w:type="dxa"/>
            <w:shd w:val="clear" w:color="auto" w:fill="auto"/>
            <w:vAlign w:val="center"/>
          </w:tcPr>
          <w:p w14:paraId="03FFF496">
            <w:pPr>
              <w:rPr>
                <w:color w:val="auto"/>
                <w:sz w:val="24"/>
                <w:highlight w:val="none"/>
              </w:rPr>
            </w:pPr>
            <w:r>
              <w:rPr>
                <w:rFonts w:hint="eastAsia"/>
                <w:color w:val="auto"/>
                <w:sz w:val="24"/>
                <w:highlight w:val="none"/>
              </w:rPr>
              <w:t>1</w:t>
            </w:r>
          </w:p>
        </w:tc>
        <w:tc>
          <w:tcPr>
            <w:tcW w:w="1554" w:type="dxa"/>
            <w:shd w:val="clear" w:color="auto" w:fill="auto"/>
            <w:vAlign w:val="center"/>
          </w:tcPr>
          <w:p w14:paraId="396BC541">
            <w:pPr>
              <w:rPr>
                <w:color w:val="auto"/>
                <w:sz w:val="24"/>
                <w:highlight w:val="none"/>
              </w:rPr>
            </w:pPr>
            <w:r>
              <w:rPr>
                <w:rFonts w:hint="eastAsia"/>
                <w:color w:val="auto"/>
                <w:sz w:val="24"/>
                <w:highlight w:val="none"/>
              </w:rPr>
              <w:t>含盐乏汽</w:t>
            </w:r>
          </w:p>
        </w:tc>
        <w:tc>
          <w:tcPr>
            <w:tcW w:w="1325" w:type="dxa"/>
            <w:shd w:val="clear" w:color="auto" w:fill="auto"/>
            <w:vAlign w:val="center"/>
          </w:tcPr>
          <w:p w14:paraId="47C03BA0">
            <w:pPr>
              <w:rPr>
                <w:color w:val="auto"/>
                <w:sz w:val="24"/>
                <w:highlight w:val="none"/>
              </w:rPr>
            </w:pPr>
            <w:r>
              <w:rPr>
                <w:rFonts w:hint="eastAsia"/>
                <w:bCs/>
                <w:color w:val="auto"/>
                <w:sz w:val="24"/>
                <w:highlight w:val="none"/>
              </w:rPr>
              <w:t>碳钢</w:t>
            </w:r>
          </w:p>
        </w:tc>
        <w:tc>
          <w:tcPr>
            <w:tcW w:w="1010" w:type="dxa"/>
            <w:shd w:val="clear" w:color="auto" w:fill="auto"/>
            <w:vAlign w:val="center"/>
          </w:tcPr>
          <w:p w14:paraId="3DA8F5E2">
            <w:pPr>
              <w:rPr>
                <w:color w:val="auto"/>
                <w:sz w:val="24"/>
                <w:highlight w:val="none"/>
              </w:rPr>
            </w:pPr>
          </w:p>
        </w:tc>
        <w:tc>
          <w:tcPr>
            <w:tcW w:w="2407" w:type="dxa"/>
            <w:shd w:val="clear" w:color="auto" w:fill="auto"/>
            <w:vAlign w:val="center"/>
          </w:tcPr>
          <w:p w14:paraId="7CD93EC2">
            <w:pPr>
              <w:rPr>
                <w:color w:val="auto"/>
                <w:sz w:val="24"/>
                <w:highlight w:val="none"/>
              </w:rPr>
            </w:pPr>
            <w:r>
              <w:rPr>
                <w:rFonts w:hint="eastAsia"/>
                <w:color w:val="auto"/>
                <w:sz w:val="24"/>
                <w:highlight w:val="none"/>
              </w:rPr>
              <w:t>氯化钙三效蒸发装置</w:t>
            </w:r>
          </w:p>
        </w:tc>
        <w:tc>
          <w:tcPr>
            <w:tcW w:w="2428" w:type="dxa"/>
            <w:shd w:val="clear" w:color="auto" w:fill="auto"/>
            <w:vAlign w:val="center"/>
          </w:tcPr>
          <w:p w14:paraId="3D5CAE9B">
            <w:pPr>
              <w:rPr>
                <w:color w:val="auto"/>
                <w:sz w:val="24"/>
                <w:highlight w:val="none"/>
              </w:rPr>
            </w:pPr>
            <w:r>
              <w:rPr>
                <w:rFonts w:hint="eastAsia"/>
                <w:bCs/>
                <w:color w:val="auto"/>
                <w:sz w:val="24"/>
                <w:highlight w:val="none"/>
              </w:rPr>
              <w:t>压缩机组</w:t>
            </w:r>
          </w:p>
        </w:tc>
      </w:tr>
      <w:tr w14:paraId="4EF518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FFFFFF"/>
          <w:tblCellMar>
            <w:top w:w="0" w:type="dxa"/>
            <w:left w:w="108" w:type="dxa"/>
            <w:bottom w:w="0" w:type="dxa"/>
            <w:right w:w="108" w:type="dxa"/>
          </w:tblCellMar>
        </w:tblPrEx>
        <w:trPr>
          <w:trHeight w:val="454" w:hRule="atLeast"/>
          <w:jc w:val="center"/>
        </w:trPr>
        <w:tc>
          <w:tcPr>
            <w:tcW w:w="564" w:type="dxa"/>
            <w:shd w:val="clear" w:color="auto" w:fill="auto"/>
            <w:vAlign w:val="center"/>
          </w:tcPr>
          <w:p w14:paraId="1CDEB4EB">
            <w:pPr>
              <w:rPr>
                <w:color w:val="auto"/>
                <w:sz w:val="24"/>
                <w:highlight w:val="none"/>
              </w:rPr>
            </w:pPr>
            <w:r>
              <w:rPr>
                <w:rFonts w:hint="eastAsia"/>
                <w:color w:val="auto"/>
                <w:sz w:val="24"/>
                <w:highlight w:val="none"/>
              </w:rPr>
              <w:t>2</w:t>
            </w:r>
          </w:p>
        </w:tc>
        <w:tc>
          <w:tcPr>
            <w:tcW w:w="1554" w:type="dxa"/>
            <w:shd w:val="clear" w:color="auto" w:fill="auto"/>
            <w:vAlign w:val="center"/>
          </w:tcPr>
          <w:p w14:paraId="46B3596D">
            <w:pPr>
              <w:rPr>
                <w:color w:val="auto"/>
                <w:sz w:val="24"/>
                <w:highlight w:val="none"/>
              </w:rPr>
            </w:pPr>
            <w:r>
              <w:rPr>
                <w:rFonts w:hint="eastAsia"/>
                <w:color w:val="auto"/>
                <w:sz w:val="24"/>
                <w:highlight w:val="none"/>
              </w:rPr>
              <w:t>低压蒸汽</w:t>
            </w:r>
          </w:p>
        </w:tc>
        <w:tc>
          <w:tcPr>
            <w:tcW w:w="1325" w:type="dxa"/>
            <w:shd w:val="clear" w:color="auto" w:fill="auto"/>
            <w:vAlign w:val="center"/>
          </w:tcPr>
          <w:p w14:paraId="59E32036">
            <w:pPr>
              <w:rPr>
                <w:color w:val="auto"/>
                <w:sz w:val="24"/>
                <w:highlight w:val="none"/>
              </w:rPr>
            </w:pPr>
            <w:r>
              <w:rPr>
                <w:color w:val="auto"/>
                <w:sz w:val="24"/>
                <w:highlight w:val="none"/>
              </w:rPr>
              <w:t>TA2+Q235复合板以上</w:t>
            </w:r>
          </w:p>
        </w:tc>
        <w:tc>
          <w:tcPr>
            <w:tcW w:w="1010" w:type="dxa"/>
            <w:shd w:val="clear" w:color="auto" w:fill="auto"/>
            <w:vAlign w:val="center"/>
          </w:tcPr>
          <w:p w14:paraId="30F17555">
            <w:pPr>
              <w:rPr>
                <w:color w:val="auto"/>
                <w:sz w:val="24"/>
                <w:highlight w:val="none"/>
              </w:rPr>
            </w:pPr>
          </w:p>
        </w:tc>
        <w:tc>
          <w:tcPr>
            <w:tcW w:w="2407" w:type="dxa"/>
            <w:shd w:val="clear" w:color="auto" w:fill="auto"/>
            <w:vAlign w:val="center"/>
          </w:tcPr>
          <w:p w14:paraId="2E0C1444">
            <w:pPr>
              <w:rPr>
                <w:color w:val="auto"/>
                <w:sz w:val="24"/>
                <w:highlight w:val="none"/>
              </w:rPr>
            </w:pPr>
            <w:r>
              <w:rPr>
                <w:rFonts w:hint="eastAsia"/>
                <w:bCs/>
                <w:color w:val="auto"/>
                <w:sz w:val="24"/>
                <w:highlight w:val="none"/>
              </w:rPr>
              <w:t>压缩机组</w:t>
            </w:r>
          </w:p>
        </w:tc>
        <w:tc>
          <w:tcPr>
            <w:tcW w:w="2428" w:type="dxa"/>
            <w:shd w:val="clear" w:color="auto" w:fill="auto"/>
            <w:vAlign w:val="center"/>
          </w:tcPr>
          <w:p w14:paraId="7A6A64EB">
            <w:pPr>
              <w:rPr>
                <w:color w:val="auto"/>
                <w:sz w:val="24"/>
                <w:highlight w:val="none"/>
              </w:rPr>
            </w:pPr>
            <w:r>
              <w:rPr>
                <w:rFonts w:hint="eastAsia"/>
                <w:color w:val="auto"/>
                <w:sz w:val="24"/>
                <w:highlight w:val="none"/>
              </w:rPr>
              <w:t>氯化钙三效蒸发装置</w:t>
            </w:r>
          </w:p>
        </w:tc>
      </w:tr>
      <w:tr w14:paraId="669D19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FFFFFF"/>
          <w:tblCellMar>
            <w:top w:w="0" w:type="dxa"/>
            <w:left w:w="108" w:type="dxa"/>
            <w:bottom w:w="0" w:type="dxa"/>
            <w:right w:w="108" w:type="dxa"/>
          </w:tblCellMar>
        </w:tblPrEx>
        <w:trPr>
          <w:trHeight w:val="454" w:hRule="atLeast"/>
          <w:jc w:val="center"/>
        </w:trPr>
        <w:tc>
          <w:tcPr>
            <w:tcW w:w="564" w:type="dxa"/>
            <w:shd w:val="clear" w:color="auto" w:fill="auto"/>
            <w:vAlign w:val="center"/>
          </w:tcPr>
          <w:p w14:paraId="17529893">
            <w:pPr>
              <w:rPr>
                <w:color w:val="auto"/>
                <w:sz w:val="24"/>
                <w:highlight w:val="none"/>
              </w:rPr>
            </w:pPr>
            <w:r>
              <w:rPr>
                <w:rFonts w:hint="eastAsia"/>
                <w:color w:val="auto"/>
                <w:sz w:val="24"/>
                <w:highlight w:val="none"/>
              </w:rPr>
              <w:t>3</w:t>
            </w:r>
          </w:p>
        </w:tc>
        <w:tc>
          <w:tcPr>
            <w:tcW w:w="1554" w:type="dxa"/>
            <w:shd w:val="clear" w:color="auto" w:fill="auto"/>
            <w:vAlign w:val="center"/>
          </w:tcPr>
          <w:p w14:paraId="70A624AB">
            <w:pPr>
              <w:rPr>
                <w:bCs/>
                <w:color w:val="auto"/>
                <w:sz w:val="24"/>
                <w:highlight w:val="none"/>
              </w:rPr>
            </w:pPr>
            <w:r>
              <w:rPr>
                <w:rFonts w:hint="eastAsia"/>
                <w:bCs/>
                <w:color w:val="auto"/>
                <w:sz w:val="24"/>
                <w:highlight w:val="none"/>
              </w:rPr>
              <w:t>废水</w:t>
            </w:r>
          </w:p>
        </w:tc>
        <w:tc>
          <w:tcPr>
            <w:tcW w:w="1325" w:type="dxa"/>
            <w:shd w:val="clear" w:color="auto" w:fill="auto"/>
            <w:vAlign w:val="center"/>
          </w:tcPr>
          <w:p w14:paraId="23916D45">
            <w:pPr>
              <w:rPr>
                <w:bCs/>
                <w:color w:val="auto"/>
                <w:sz w:val="24"/>
                <w:highlight w:val="none"/>
              </w:rPr>
            </w:pPr>
            <w:r>
              <w:rPr>
                <w:rFonts w:hint="eastAsia"/>
                <w:bCs/>
                <w:color w:val="auto"/>
                <w:sz w:val="24"/>
                <w:highlight w:val="none"/>
              </w:rPr>
              <w:t>钢网PE</w:t>
            </w:r>
          </w:p>
        </w:tc>
        <w:tc>
          <w:tcPr>
            <w:tcW w:w="1010" w:type="dxa"/>
            <w:shd w:val="clear" w:color="auto" w:fill="auto"/>
            <w:vAlign w:val="center"/>
          </w:tcPr>
          <w:p w14:paraId="2BE4A302">
            <w:pPr>
              <w:rPr>
                <w:bCs/>
                <w:color w:val="auto"/>
                <w:sz w:val="24"/>
                <w:highlight w:val="none"/>
              </w:rPr>
            </w:pPr>
          </w:p>
        </w:tc>
        <w:tc>
          <w:tcPr>
            <w:tcW w:w="2407" w:type="dxa"/>
            <w:shd w:val="clear" w:color="auto" w:fill="auto"/>
            <w:vAlign w:val="center"/>
          </w:tcPr>
          <w:p w14:paraId="23B828E1">
            <w:pPr>
              <w:rPr>
                <w:bCs/>
                <w:color w:val="auto"/>
                <w:sz w:val="24"/>
                <w:highlight w:val="none"/>
              </w:rPr>
            </w:pPr>
            <w:r>
              <w:rPr>
                <w:rFonts w:hint="eastAsia"/>
                <w:color w:val="auto"/>
                <w:sz w:val="24"/>
                <w:highlight w:val="none"/>
              </w:rPr>
              <w:t>氯化钙三效蒸发装置</w:t>
            </w:r>
          </w:p>
        </w:tc>
        <w:tc>
          <w:tcPr>
            <w:tcW w:w="2428" w:type="dxa"/>
            <w:shd w:val="clear" w:color="auto" w:fill="auto"/>
            <w:vAlign w:val="center"/>
          </w:tcPr>
          <w:p w14:paraId="23D4300D">
            <w:pPr>
              <w:rPr>
                <w:bCs/>
                <w:color w:val="auto"/>
                <w:sz w:val="24"/>
                <w:highlight w:val="none"/>
              </w:rPr>
            </w:pPr>
            <w:r>
              <w:rPr>
                <w:rFonts w:hint="eastAsia"/>
                <w:bCs/>
                <w:color w:val="auto"/>
                <w:sz w:val="24"/>
                <w:highlight w:val="none"/>
              </w:rPr>
              <w:t>污水池</w:t>
            </w:r>
          </w:p>
        </w:tc>
      </w:tr>
    </w:tbl>
    <w:p w14:paraId="446CEA9E">
      <w:pPr>
        <w:adjustRightInd w:val="0"/>
        <w:snapToGrid w:val="0"/>
        <w:spacing w:line="360" w:lineRule="auto"/>
        <w:rPr>
          <w:rFonts w:ascii="宋体" w:hAnsi="宋体"/>
          <w:color w:val="auto"/>
          <w:sz w:val="24"/>
          <w:highlight w:val="none"/>
        </w:rPr>
      </w:pPr>
    </w:p>
    <w:p w14:paraId="6F60A99C">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1</w:t>
      </w:r>
      <w:r>
        <w:rPr>
          <w:rFonts w:ascii="宋体" w:hAnsi="宋体"/>
          <w:b/>
          <w:color w:val="auto"/>
          <w:sz w:val="24"/>
          <w:highlight w:val="none"/>
        </w:rPr>
        <w:t>.8生产制度</w:t>
      </w:r>
    </w:p>
    <w:p w14:paraId="5B62961A">
      <w:pPr>
        <w:spacing w:line="360" w:lineRule="auto"/>
        <w:ind w:firstLine="480"/>
        <w:rPr>
          <w:rFonts w:ascii="宋体" w:hAnsi="宋体"/>
          <w:color w:val="auto"/>
          <w:sz w:val="24"/>
          <w:highlight w:val="none"/>
        </w:rPr>
      </w:pPr>
      <w:r>
        <w:rPr>
          <w:rFonts w:hint="eastAsia" w:ascii="宋体" w:hAnsi="宋体"/>
          <w:color w:val="auto"/>
          <w:sz w:val="24"/>
          <w:highlight w:val="none"/>
        </w:rPr>
        <w:t>年工作日：主要生产装置年工作时间为</w:t>
      </w:r>
      <w:r>
        <w:rPr>
          <w:rFonts w:ascii="宋体" w:hAnsi="宋体"/>
          <w:color w:val="auto"/>
          <w:sz w:val="24"/>
          <w:highlight w:val="none"/>
        </w:rPr>
        <w:t>70</w:t>
      </w:r>
      <w:r>
        <w:rPr>
          <w:rFonts w:hint="eastAsia" w:ascii="宋体" w:hAnsi="宋体"/>
          <w:color w:val="auto"/>
          <w:sz w:val="24"/>
          <w:highlight w:val="none"/>
        </w:rPr>
        <w:t>00小时。</w:t>
      </w:r>
    </w:p>
    <w:p w14:paraId="6B167569">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b/>
          <w:color w:val="auto"/>
          <w:sz w:val="24"/>
          <w:highlight w:val="none"/>
        </w:rPr>
        <w:t>1</w:t>
      </w:r>
      <w:r>
        <w:rPr>
          <w:rFonts w:ascii="宋体" w:hAnsi="宋体"/>
          <w:b/>
          <w:color w:val="auto"/>
          <w:sz w:val="24"/>
          <w:highlight w:val="none"/>
        </w:rPr>
        <w:t>.9验收指标</w:t>
      </w:r>
    </w:p>
    <w:p w14:paraId="5D42972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1.13.1建设完成生产后达到“系统性能考核表表的要求。</w:t>
      </w:r>
    </w:p>
    <w:p w14:paraId="196B9C8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1.13.2</w:t>
      </w:r>
      <w:r>
        <w:rPr>
          <w:rFonts w:ascii="宋体" w:hAnsi="宋体"/>
          <w:color w:val="auto"/>
          <w:sz w:val="24"/>
          <w:highlight w:val="none"/>
        </w:rPr>
        <w:t>设计规定要考核的其它项目</w:t>
      </w:r>
      <w:r>
        <w:rPr>
          <w:rFonts w:hint="eastAsia" w:ascii="宋体" w:hAnsi="宋体"/>
          <w:color w:val="auto"/>
          <w:sz w:val="24"/>
          <w:highlight w:val="none"/>
        </w:rPr>
        <w:t>。</w:t>
      </w:r>
    </w:p>
    <w:p w14:paraId="52EE0D62">
      <w:pPr>
        <w:adjustRightInd w:val="0"/>
        <w:snapToGrid w:val="0"/>
        <w:spacing w:line="360" w:lineRule="auto"/>
        <w:rPr>
          <w:rFonts w:ascii="宋体" w:hAnsi="宋体"/>
          <w:b/>
          <w:color w:val="auto"/>
          <w:sz w:val="24"/>
          <w:highlight w:val="none"/>
        </w:rPr>
      </w:pPr>
      <w:bookmarkStart w:id="188" w:name="_Hlt321125677"/>
      <w:bookmarkEnd w:id="188"/>
      <w:bookmarkStart w:id="189" w:name="_Ref167004924"/>
      <w:bookmarkStart w:id="190" w:name="_Toc275700321"/>
      <w:bookmarkStart w:id="191" w:name="_Toc388520289"/>
    </w:p>
    <w:p w14:paraId="46194C0E">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 设计</w:t>
      </w:r>
    </w:p>
    <w:p w14:paraId="788E5C46">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2.1 本项目设计内容：</w:t>
      </w:r>
      <w:r>
        <w:rPr>
          <w:rFonts w:hint="eastAsia" w:ascii="宋体" w:hAnsi="宋体"/>
          <w:color w:val="auto"/>
          <w:sz w:val="24"/>
          <w:highlight w:val="none"/>
        </w:rPr>
        <w:t>本项目设计包括项目初步设计、施工图设计</w:t>
      </w:r>
      <w:r>
        <w:rPr>
          <w:rFonts w:hint="eastAsia" w:ascii="宋体" w:hAnsi="宋体"/>
          <w:color w:val="auto"/>
          <w:kern w:val="0"/>
          <w:sz w:val="24"/>
          <w:highlight w:val="none"/>
          <w:shd w:val="clear" w:color="000000" w:fill="FFFFFF"/>
        </w:rPr>
        <w:t>、安全设施设计、消防设计、节能设计、职业卫生设计、</w:t>
      </w:r>
      <w:r>
        <w:rPr>
          <w:rFonts w:hint="eastAsia" w:ascii="宋体" w:hAnsi="宋体"/>
          <w:snapToGrid w:val="0"/>
          <w:color w:val="auto"/>
          <w:kern w:val="0"/>
          <w:sz w:val="24"/>
          <w:highlight w:val="none"/>
        </w:rPr>
        <w:t>HAZOP分析、LOPA分析、SIL验证等</w:t>
      </w:r>
      <w:r>
        <w:rPr>
          <w:rFonts w:hint="eastAsia" w:ascii="宋体" w:hAnsi="宋体"/>
          <w:color w:val="auto"/>
          <w:kern w:val="0"/>
          <w:sz w:val="24"/>
          <w:highlight w:val="none"/>
          <w:shd w:val="clear" w:color="000000" w:fill="FFFFFF"/>
        </w:rPr>
        <w:t>）</w:t>
      </w:r>
    </w:p>
    <w:p w14:paraId="0EDF1E50">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2.2施工图设计</w:t>
      </w:r>
    </w:p>
    <w:p w14:paraId="1B7C8FED">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2.2.1 施工图设计专业、设计深度要求及设计标准</w:t>
      </w:r>
    </w:p>
    <w:p w14:paraId="3ADAAA7B">
      <w:pPr>
        <w:adjustRightInd w:val="0"/>
        <w:snapToGrid w:val="0"/>
        <w:spacing w:line="360" w:lineRule="auto"/>
        <w:rPr>
          <w:rFonts w:ascii="宋体" w:hAnsi="宋体"/>
          <w:color w:val="auto"/>
          <w:kern w:val="0"/>
          <w:sz w:val="24"/>
          <w:highlight w:val="none"/>
          <w:shd w:val="clear" w:color="000000" w:fill="FFFFFF"/>
        </w:rPr>
      </w:pPr>
      <w:r>
        <w:rPr>
          <w:rFonts w:hint="eastAsia" w:ascii="宋体" w:hAnsi="宋体"/>
          <w:b/>
          <w:color w:val="auto"/>
          <w:sz w:val="24"/>
          <w:highlight w:val="none"/>
        </w:rPr>
        <w:t xml:space="preserve">2.2.1.1  </w:t>
      </w:r>
      <w:r>
        <w:rPr>
          <w:rFonts w:hint="eastAsia" w:ascii="宋体" w:hAnsi="宋体"/>
          <w:color w:val="auto"/>
          <w:sz w:val="24"/>
          <w:highlight w:val="none"/>
        </w:rPr>
        <w:t>施工图设计含总图、工艺系统、工艺管道、非标（专用）设备、电气、自控（</w:t>
      </w:r>
      <w:r>
        <w:rPr>
          <w:rFonts w:hint="eastAsia" w:hAnsi="宋体"/>
          <w:color w:val="auto"/>
          <w:kern w:val="0"/>
          <w:sz w:val="24"/>
          <w:highlight w:val="none"/>
          <w:shd w:val="clear" w:color="000000" w:fill="FFFFFF"/>
        </w:rPr>
        <w:t>含DCS控制、S</w:t>
      </w:r>
      <w:r>
        <w:rPr>
          <w:rFonts w:hAnsi="宋体"/>
          <w:color w:val="auto"/>
          <w:kern w:val="0"/>
          <w:sz w:val="24"/>
          <w:highlight w:val="none"/>
          <w:shd w:val="clear" w:color="000000" w:fill="FFFFFF"/>
        </w:rPr>
        <w:t>IS</w:t>
      </w:r>
      <w:r>
        <w:rPr>
          <w:rFonts w:hint="eastAsia" w:hAnsi="宋体"/>
          <w:color w:val="auto"/>
          <w:kern w:val="0"/>
          <w:sz w:val="24"/>
          <w:highlight w:val="none"/>
          <w:shd w:val="clear" w:color="000000" w:fill="FFFFFF"/>
        </w:rPr>
        <w:t>系统、工业电视监控系统</w:t>
      </w:r>
      <w:r>
        <w:rPr>
          <w:rFonts w:hint="eastAsia" w:ascii="宋体" w:hAnsi="宋体"/>
          <w:color w:val="auto"/>
          <w:sz w:val="24"/>
          <w:highlight w:val="none"/>
        </w:rPr>
        <w:t>）</w:t>
      </w:r>
      <w:r>
        <w:rPr>
          <w:rFonts w:hint="eastAsia" w:ascii="宋体" w:hAnsi="宋体"/>
          <w:color w:val="auto"/>
          <w:kern w:val="0"/>
          <w:sz w:val="24"/>
          <w:highlight w:val="none"/>
          <w:shd w:val="clear" w:color="000000" w:fill="FFFFFF"/>
        </w:rPr>
        <w:t>、建筑、结构、暖通、给排水、室外工程等。</w:t>
      </w:r>
    </w:p>
    <w:p w14:paraId="0F00834A">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 xml:space="preserve">2.2.1.2  </w:t>
      </w:r>
      <w:r>
        <w:rPr>
          <w:rFonts w:hint="eastAsia" w:ascii="宋体" w:hAnsi="宋体"/>
          <w:color w:val="auto"/>
          <w:sz w:val="24"/>
          <w:highlight w:val="none"/>
        </w:rPr>
        <w:t>施工图设计需满足《建筑工程设计文件编制深度规定》（2</w:t>
      </w:r>
      <w:r>
        <w:rPr>
          <w:rFonts w:ascii="宋体" w:hAnsi="宋体"/>
          <w:color w:val="auto"/>
          <w:sz w:val="24"/>
          <w:highlight w:val="none"/>
        </w:rPr>
        <w:t>016版</w:t>
      </w:r>
      <w:r>
        <w:rPr>
          <w:rFonts w:hint="eastAsia" w:ascii="宋体" w:hAnsi="宋体"/>
          <w:color w:val="auto"/>
          <w:sz w:val="24"/>
          <w:highlight w:val="none"/>
        </w:rPr>
        <w:t>）、《化工工艺设计施工图内容和深度统一规定》（HG20519.1-2009）和电气设计施工图设计深度的规定，必须满足施工的需要。施工图文件提供：需提供经审查且盖有审查章的纸质版施工图12套，同时提供电子版施工图文件一套，各类图纸必须提供CAD版本图纸。</w:t>
      </w:r>
    </w:p>
    <w:p w14:paraId="34237D84">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2.2.1.3 设计标准、规范</w:t>
      </w:r>
    </w:p>
    <w:p w14:paraId="61EE4148">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施工图设计严</w:t>
      </w:r>
      <w:r>
        <w:rPr>
          <w:rFonts w:ascii="宋体" w:hAnsi="宋体"/>
          <w:color w:val="auto"/>
          <w:sz w:val="24"/>
          <w:highlight w:val="none"/>
        </w:rPr>
        <w:t>格</w:t>
      </w:r>
      <w:r>
        <w:rPr>
          <w:rFonts w:hint="eastAsia" w:ascii="宋体" w:hAnsi="宋体"/>
          <w:color w:val="auto"/>
          <w:sz w:val="24"/>
          <w:highlight w:val="none"/>
        </w:rPr>
        <w:t>遵</w:t>
      </w:r>
      <w:r>
        <w:rPr>
          <w:rFonts w:ascii="宋体" w:hAnsi="宋体"/>
          <w:color w:val="auto"/>
          <w:sz w:val="24"/>
          <w:highlight w:val="none"/>
        </w:rPr>
        <w:t>守</w:t>
      </w:r>
      <w:r>
        <w:rPr>
          <w:rFonts w:hint="eastAsia" w:ascii="宋体" w:hAnsi="宋体"/>
          <w:color w:val="auto"/>
          <w:sz w:val="24"/>
          <w:highlight w:val="none"/>
        </w:rPr>
        <w:t>现</w:t>
      </w:r>
      <w:r>
        <w:rPr>
          <w:rFonts w:ascii="宋体" w:hAnsi="宋体"/>
          <w:color w:val="auto"/>
          <w:sz w:val="24"/>
          <w:highlight w:val="none"/>
        </w:rPr>
        <w:t>行</w:t>
      </w:r>
      <w:r>
        <w:rPr>
          <w:rFonts w:hint="eastAsia" w:ascii="宋体" w:hAnsi="宋体"/>
          <w:color w:val="auto"/>
          <w:sz w:val="24"/>
          <w:highlight w:val="none"/>
        </w:rPr>
        <w:t>、最</w:t>
      </w:r>
      <w:r>
        <w:rPr>
          <w:rFonts w:ascii="宋体" w:hAnsi="宋体"/>
          <w:color w:val="auto"/>
          <w:sz w:val="24"/>
          <w:highlight w:val="none"/>
        </w:rPr>
        <w:t>新的国家</w:t>
      </w:r>
      <w:r>
        <w:rPr>
          <w:rFonts w:hint="eastAsia" w:ascii="宋体" w:hAnsi="宋体"/>
          <w:color w:val="auto"/>
          <w:sz w:val="24"/>
          <w:highlight w:val="none"/>
        </w:rPr>
        <w:t>法律、法</w:t>
      </w:r>
      <w:r>
        <w:rPr>
          <w:rFonts w:ascii="宋体" w:hAnsi="宋体"/>
          <w:color w:val="auto"/>
          <w:sz w:val="24"/>
          <w:highlight w:val="none"/>
        </w:rPr>
        <w:t>规</w:t>
      </w:r>
      <w:r>
        <w:rPr>
          <w:rFonts w:hint="eastAsia" w:ascii="宋体" w:hAnsi="宋体"/>
          <w:color w:val="auto"/>
          <w:sz w:val="24"/>
          <w:highlight w:val="none"/>
        </w:rPr>
        <w:t>、</w:t>
      </w:r>
      <w:r>
        <w:rPr>
          <w:rFonts w:ascii="宋体" w:hAnsi="宋体"/>
          <w:color w:val="auto"/>
          <w:sz w:val="24"/>
          <w:highlight w:val="none"/>
        </w:rPr>
        <w:t>标准及行业标准</w:t>
      </w:r>
      <w:r>
        <w:rPr>
          <w:rFonts w:hint="eastAsia" w:ascii="宋体" w:hAnsi="宋体"/>
          <w:color w:val="auto"/>
          <w:sz w:val="24"/>
          <w:highlight w:val="none"/>
        </w:rPr>
        <w:t>，其</w:t>
      </w:r>
      <w:r>
        <w:rPr>
          <w:rFonts w:ascii="宋体" w:hAnsi="宋体"/>
          <w:color w:val="auto"/>
          <w:sz w:val="24"/>
          <w:highlight w:val="none"/>
        </w:rPr>
        <w:t>中</w:t>
      </w:r>
      <w:r>
        <w:rPr>
          <w:rFonts w:hint="eastAsia" w:ascii="宋体" w:hAnsi="宋体"/>
          <w:color w:val="auto"/>
          <w:sz w:val="24"/>
          <w:highlight w:val="none"/>
        </w:rPr>
        <w:t>应</w:t>
      </w:r>
      <w:r>
        <w:rPr>
          <w:rFonts w:ascii="宋体" w:hAnsi="宋体"/>
          <w:color w:val="auto"/>
          <w:sz w:val="24"/>
          <w:highlight w:val="none"/>
        </w:rPr>
        <w:t>包含</w:t>
      </w:r>
      <w:r>
        <w:rPr>
          <w:rFonts w:hint="eastAsia" w:ascii="宋体" w:hAnsi="宋体"/>
          <w:color w:val="auto"/>
          <w:sz w:val="24"/>
          <w:highlight w:val="none"/>
        </w:rPr>
        <w:t>且不仅限于</w:t>
      </w:r>
      <w:r>
        <w:rPr>
          <w:rFonts w:ascii="宋体" w:hAnsi="宋体"/>
          <w:color w:val="auto"/>
          <w:sz w:val="24"/>
          <w:highlight w:val="none"/>
        </w:rPr>
        <w:t>下列</w:t>
      </w:r>
      <w:r>
        <w:rPr>
          <w:rFonts w:hint="eastAsia" w:ascii="宋体" w:hAnsi="宋体"/>
          <w:color w:val="auto"/>
          <w:sz w:val="24"/>
          <w:highlight w:val="none"/>
        </w:rPr>
        <w:t>规</w:t>
      </w:r>
      <w:r>
        <w:rPr>
          <w:rFonts w:ascii="宋体" w:hAnsi="宋体"/>
          <w:color w:val="auto"/>
          <w:sz w:val="24"/>
          <w:highlight w:val="none"/>
        </w:rPr>
        <w:t>范和标准</w:t>
      </w:r>
      <w:r>
        <w:rPr>
          <w:rFonts w:hint="eastAsia" w:ascii="宋体" w:hAnsi="宋体"/>
          <w:color w:val="auto"/>
          <w:sz w:val="24"/>
          <w:highlight w:val="none"/>
        </w:rPr>
        <w:t>，如</w:t>
      </w:r>
      <w:r>
        <w:rPr>
          <w:rFonts w:ascii="宋体" w:hAnsi="宋体"/>
          <w:color w:val="auto"/>
          <w:sz w:val="24"/>
          <w:highlight w:val="none"/>
        </w:rPr>
        <w:t>有冲突按较高标准执行；如有更新，按新版标准执行</w:t>
      </w:r>
      <w:r>
        <w:rPr>
          <w:rFonts w:hint="eastAsia" w:ascii="宋体" w:hAnsi="宋体"/>
          <w:color w:val="auto"/>
          <w:sz w:val="24"/>
          <w:highlight w:val="none"/>
        </w:rPr>
        <w:t>。</w:t>
      </w:r>
    </w:p>
    <w:p w14:paraId="79BFBB6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《建筑物防雷设计规范》(GB50057-2010)</w:t>
      </w:r>
    </w:p>
    <w:p w14:paraId="4FAE310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《建筑设计防火规范》（GB50016-2014）</w:t>
      </w:r>
    </w:p>
    <w:p w14:paraId="5836AE0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《工业金属管道设计规范》（GB 50316-2000（2008版）)</w:t>
      </w:r>
    </w:p>
    <w:p w14:paraId="1C0ED2E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《供配电系统设计规范》(GB 50052-2009)</w:t>
      </w:r>
    </w:p>
    <w:p w14:paraId="4D2D5762">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《低压配电设计规范》(GB 50054-2011)</w:t>
      </w:r>
    </w:p>
    <w:p w14:paraId="61C171F9">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《电力装置的继电保护和自动装置设计规范》(GB 50062-2008)</w:t>
      </w:r>
    </w:p>
    <w:p w14:paraId="0EF95C4F">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《电力工程电缆设计规范》(GB 50217-2018）</w:t>
      </w:r>
    </w:p>
    <w:p w14:paraId="0B54A7E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《仪表系统接地设计规范》（HG/T 20513-2014）</w:t>
      </w:r>
    </w:p>
    <w:p w14:paraId="1EB00514">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《涂装前钢材表面处理第一部分》（GB/T8923.1-2011）</w:t>
      </w:r>
    </w:p>
    <w:p w14:paraId="1F8D120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《中华人民共和国环境保护法》(2016年)</w:t>
      </w:r>
    </w:p>
    <w:p w14:paraId="39ECE5BF">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《中华人民共和国固体废物污染环境防治法》(1996年)</w:t>
      </w:r>
    </w:p>
    <w:p w14:paraId="75AA059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《危险废物集中焚烧处置工程建设技术规范》(HJ/T176-2005)</w:t>
      </w:r>
    </w:p>
    <w:p w14:paraId="6641FE7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《环境空气质量标准》(GB3096-1996)</w:t>
      </w:r>
    </w:p>
    <w:p w14:paraId="1F97EFE9">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《危险废物贮存污染控制标准》(GB18597-2001)</w:t>
      </w:r>
    </w:p>
    <w:p w14:paraId="60292395">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《大气污染物综合排放标准》(GB16297-1996)</w:t>
      </w:r>
    </w:p>
    <w:p w14:paraId="6FB72EA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《恶臭污染物排放标准》(GB14554-1993)</w:t>
      </w:r>
    </w:p>
    <w:p w14:paraId="4A6CA399">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《中华人民共和国环境噪声污染防治条例》(GB12348-2008)</w:t>
      </w:r>
    </w:p>
    <w:p w14:paraId="153AAE36">
      <w:pPr>
        <w:adjustRightInd w:val="0"/>
        <w:snapToGrid w:val="0"/>
        <w:spacing w:line="360" w:lineRule="auto"/>
        <w:ind w:left="328" w:leftChars="99" w:hanging="120" w:hangingChars="50"/>
        <w:outlineLvl w:val="0"/>
        <w:rPr>
          <w:rFonts w:ascii="宋体" w:hAnsi="宋体"/>
          <w:color w:val="auto"/>
          <w:sz w:val="24"/>
          <w:highlight w:val="none"/>
        </w:rPr>
      </w:pPr>
      <w:r>
        <w:rPr>
          <w:rFonts w:hint="eastAsia" w:ascii="宋体" w:hAnsi="宋体"/>
          <w:color w:val="auto"/>
          <w:sz w:val="24"/>
          <w:highlight w:val="none"/>
        </w:rPr>
        <w:t>《建设项目环境保护管理条例》（</w:t>
      </w:r>
      <w:r>
        <w:rPr>
          <w:rFonts w:ascii="宋体" w:hAnsi="宋体"/>
          <w:color w:val="auto"/>
          <w:sz w:val="24"/>
          <w:highlight w:val="none"/>
        </w:rPr>
        <w:t>2017年7月16日《国务院关于修改〈建设项目环境保护管理条例〉的决定》修订）</w:t>
      </w:r>
      <w:r>
        <w:rPr>
          <w:rFonts w:hint="eastAsia" w:ascii="宋体" w:hAnsi="宋体"/>
          <w:color w:val="auto"/>
          <w:sz w:val="24"/>
          <w:highlight w:val="none"/>
        </w:rPr>
        <w:t>）</w:t>
      </w:r>
    </w:p>
    <w:p w14:paraId="16845B69">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《工业企业设计卫生标准》(TJ36-1993)</w:t>
      </w:r>
    </w:p>
    <w:p w14:paraId="536718E3">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中华人民共和国环境保护行业标准《小型焚烧炉》(HJ/T18-1996)</w:t>
      </w:r>
    </w:p>
    <w:p w14:paraId="537EBF2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《一般工业固体废物贮存处置场污染控制标准》(GB18599-2001)</w:t>
      </w:r>
    </w:p>
    <w:p w14:paraId="726D1D73">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《国家危险废物污染防治技术政策》（</w:t>
      </w:r>
      <w:r>
        <w:rPr>
          <w:rFonts w:ascii="宋体" w:hAnsi="宋体"/>
          <w:color w:val="auto"/>
          <w:sz w:val="24"/>
          <w:highlight w:val="none"/>
        </w:rPr>
        <w:t>环发[2001]199号</w:t>
      </w:r>
      <w:r>
        <w:rPr>
          <w:rFonts w:hint="eastAsia" w:ascii="宋体" w:hAnsi="宋体"/>
          <w:color w:val="auto"/>
          <w:sz w:val="24"/>
          <w:highlight w:val="none"/>
        </w:rPr>
        <w:t>）</w:t>
      </w:r>
    </w:p>
    <w:p w14:paraId="16DFFC9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《现场设备、工业管道焊接工程施工及验收规范》(GB/T50236-2011)</w:t>
      </w:r>
    </w:p>
    <w:p w14:paraId="31052673">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《机械设备安装工程施工及验收通用规范》(GB50231-2009)</w:t>
      </w:r>
    </w:p>
    <w:p w14:paraId="2BD421E9">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《粘土质和高铝质致密耐火浇注料》(YB/T5083-2014)</w:t>
      </w:r>
    </w:p>
    <w:p w14:paraId="1B38E2E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《袋式除尘器安装技术要求与验收规范》(JB/T 8471-2010)</w:t>
      </w:r>
    </w:p>
    <w:p w14:paraId="4AB470F9">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《压缩机、风机、泵安装工程施工及验收规范》(GB50275-2010)</w:t>
      </w:r>
    </w:p>
    <w:p w14:paraId="7D5F314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《工业自动化仪表工程施工及验收规范》(GBT50093-2013)</w:t>
      </w:r>
    </w:p>
    <w:p w14:paraId="7BDE368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《供配电系统设计规范》(GB50052-2009)</w:t>
      </w:r>
    </w:p>
    <w:p w14:paraId="49497546">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《建筑地基基础设计规范》(GB50007-2011)</w:t>
      </w:r>
    </w:p>
    <w:p w14:paraId="2F13A4E4">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《自动化仪表选型设计规范》(HG/T20507-2014)</w:t>
      </w:r>
    </w:p>
    <w:p w14:paraId="12C08FC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《仪表供电设计规范》(HG/T20509-2014)</w:t>
      </w:r>
    </w:p>
    <w:p w14:paraId="5751F783">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《仪表系统接地设计规范》(HG/T20513-2014)</w:t>
      </w:r>
    </w:p>
    <w:p w14:paraId="5524F55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《控制室设计规范》(HG/T20508-2014)</w:t>
      </w:r>
    </w:p>
    <w:p w14:paraId="70471BC7">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《信号报警及联锁系统设计规范》(HG/T20511-2014)</w:t>
      </w:r>
    </w:p>
    <w:p w14:paraId="02BB779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《建筑照明设计标准》(GB50034-2013)</w:t>
      </w:r>
    </w:p>
    <w:p w14:paraId="15DBE636">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《固定式压力容器安全技术监察规程》（</w:t>
      </w:r>
      <w:r>
        <w:rPr>
          <w:rFonts w:ascii="宋体" w:hAnsi="宋体"/>
          <w:color w:val="auto"/>
          <w:sz w:val="24"/>
          <w:highlight w:val="none"/>
        </w:rPr>
        <w:t>TSG 21-2016</w:t>
      </w:r>
      <w:r>
        <w:rPr>
          <w:rFonts w:hint="eastAsia" w:ascii="宋体" w:hAnsi="宋体"/>
          <w:color w:val="auto"/>
          <w:sz w:val="24"/>
          <w:highlight w:val="none"/>
        </w:rPr>
        <w:t>）</w:t>
      </w:r>
    </w:p>
    <w:p w14:paraId="507E9DF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《压力容器》（</w:t>
      </w:r>
      <w:r>
        <w:rPr>
          <w:rFonts w:ascii="宋体" w:hAnsi="宋体"/>
          <w:color w:val="auto"/>
          <w:sz w:val="24"/>
          <w:highlight w:val="none"/>
        </w:rPr>
        <w:t>GB</w:t>
      </w:r>
      <w:r>
        <w:rPr>
          <w:rFonts w:hint="eastAsia" w:ascii="宋体" w:hAnsi="宋体"/>
          <w:color w:val="auto"/>
          <w:sz w:val="24"/>
          <w:highlight w:val="none"/>
        </w:rPr>
        <w:t>/T</w:t>
      </w:r>
      <w:r>
        <w:rPr>
          <w:rFonts w:ascii="宋体" w:hAnsi="宋体"/>
          <w:color w:val="auto"/>
          <w:sz w:val="24"/>
          <w:highlight w:val="none"/>
        </w:rPr>
        <w:t>150.1</w:t>
      </w:r>
      <w:r>
        <w:rPr>
          <w:rFonts w:hint="eastAsia" w:ascii="宋体" w:hAnsi="宋体"/>
          <w:color w:val="auto"/>
          <w:sz w:val="24"/>
          <w:highlight w:val="none"/>
        </w:rPr>
        <w:t>～</w:t>
      </w:r>
      <w:r>
        <w:rPr>
          <w:rFonts w:ascii="宋体" w:hAnsi="宋体"/>
          <w:color w:val="auto"/>
          <w:sz w:val="24"/>
          <w:highlight w:val="none"/>
        </w:rPr>
        <w:t>4-2011</w:t>
      </w:r>
      <w:r>
        <w:rPr>
          <w:rFonts w:hint="eastAsia" w:ascii="宋体" w:hAnsi="宋体"/>
          <w:color w:val="auto"/>
          <w:sz w:val="24"/>
          <w:highlight w:val="none"/>
        </w:rPr>
        <w:t>）</w:t>
      </w:r>
    </w:p>
    <w:p w14:paraId="6ABC2FB5">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《热交换器》（</w:t>
      </w:r>
      <w:r>
        <w:rPr>
          <w:rFonts w:ascii="宋体" w:hAnsi="宋体"/>
          <w:color w:val="auto"/>
          <w:sz w:val="24"/>
          <w:highlight w:val="none"/>
        </w:rPr>
        <w:t>GB/T 151-2014</w:t>
      </w:r>
      <w:r>
        <w:rPr>
          <w:rFonts w:hint="eastAsia" w:ascii="宋体" w:hAnsi="宋体"/>
          <w:color w:val="auto"/>
          <w:sz w:val="24"/>
          <w:highlight w:val="none"/>
        </w:rPr>
        <w:t>）</w:t>
      </w:r>
    </w:p>
    <w:p w14:paraId="1C8D8F2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《压力容器法兰、垫片、紧固件》（</w:t>
      </w:r>
      <w:r>
        <w:rPr>
          <w:rFonts w:ascii="宋体" w:hAnsi="宋体"/>
          <w:color w:val="auto"/>
          <w:sz w:val="24"/>
          <w:highlight w:val="none"/>
        </w:rPr>
        <w:t>NB/T 47020</w:t>
      </w:r>
      <w:r>
        <w:rPr>
          <w:rFonts w:hint="eastAsia" w:ascii="宋体" w:hAnsi="宋体"/>
          <w:color w:val="auto"/>
          <w:sz w:val="24"/>
          <w:highlight w:val="none"/>
        </w:rPr>
        <w:t>～</w:t>
      </w:r>
      <w:r>
        <w:rPr>
          <w:rFonts w:ascii="宋体" w:hAnsi="宋体"/>
          <w:color w:val="auto"/>
          <w:sz w:val="24"/>
          <w:highlight w:val="none"/>
        </w:rPr>
        <w:t xml:space="preserve">47027-2012 </w:t>
      </w:r>
      <w:r>
        <w:rPr>
          <w:rFonts w:hint="eastAsia" w:ascii="宋体" w:hAnsi="宋体"/>
          <w:color w:val="auto"/>
          <w:sz w:val="24"/>
          <w:highlight w:val="none"/>
        </w:rPr>
        <w:t>）</w:t>
      </w:r>
    </w:p>
    <w:p w14:paraId="157E7204">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《钢制管法兰、垫片和紧固件》（</w:t>
      </w:r>
      <w:r>
        <w:rPr>
          <w:rFonts w:ascii="宋体" w:hAnsi="宋体"/>
          <w:color w:val="auto"/>
          <w:sz w:val="24"/>
          <w:highlight w:val="none"/>
        </w:rPr>
        <w:t xml:space="preserve">HG/T 20592~20635-2009 </w:t>
      </w:r>
      <w:r>
        <w:rPr>
          <w:rFonts w:hint="eastAsia" w:ascii="宋体" w:hAnsi="宋体"/>
          <w:color w:val="auto"/>
          <w:sz w:val="24"/>
          <w:highlight w:val="none"/>
        </w:rPr>
        <w:t>）</w:t>
      </w:r>
    </w:p>
    <w:p w14:paraId="77975AF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《压力容器用封头》（</w:t>
      </w:r>
      <w:r>
        <w:rPr>
          <w:rFonts w:ascii="宋体" w:hAnsi="宋体"/>
          <w:color w:val="auto"/>
          <w:sz w:val="24"/>
          <w:highlight w:val="none"/>
        </w:rPr>
        <w:t xml:space="preserve">GB/T 25198-2010 </w:t>
      </w:r>
      <w:r>
        <w:rPr>
          <w:rFonts w:hint="eastAsia" w:ascii="宋体" w:hAnsi="宋体"/>
          <w:color w:val="auto"/>
          <w:sz w:val="24"/>
          <w:highlight w:val="none"/>
        </w:rPr>
        <w:t>）</w:t>
      </w:r>
    </w:p>
    <w:p w14:paraId="225231A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《化工企业安全卫生设计规范》（</w:t>
      </w:r>
      <w:r>
        <w:rPr>
          <w:rFonts w:ascii="宋体" w:hAnsi="宋体"/>
          <w:color w:val="auto"/>
          <w:sz w:val="24"/>
          <w:highlight w:val="none"/>
        </w:rPr>
        <w:t>HG20571-2014)</w:t>
      </w:r>
    </w:p>
    <w:p w14:paraId="6738ED8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《化工装置管道布置设计规定》（</w:t>
      </w:r>
      <w:r>
        <w:rPr>
          <w:rFonts w:ascii="宋体" w:hAnsi="宋体"/>
          <w:color w:val="auto"/>
          <w:sz w:val="24"/>
          <w:highlight w:val="none"/>
        </w:rPr>
        <w:t>HG/T20549-1998</w:t>
      </w:r>
      <w:r>
        <w:rPr>
          <w:rFonts w:hint="eastAsia" w:ascii="宋体" w:hAnsi="宋体"/>
          <w:color w:val="auto"/>
          <w:sz w:val="24"/>
          <w:highlight w:val="none"/>
        </w:rPr>
        <w:t>）</w:t>
      </w:r>
    </w:p>
    <w:p w14:paraId="031E7B4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《化工设备布置设计规定》（</w:t>
      </w:r>
      <w:r>
        <w:rPr>
          <w:rFonts w:ascii="宋体" w:hAnsi="宋体"/>
          <w:color w:val="auto"/>
          <w:sz w:val="24"/>
          <w:highlight w:val="none"/>
        </w:rPr>
        <w:t>HGT 20546-2009</w:t>
      </w:r>
      <w:r>
        <w:rPr>
          <w:rFonts w:hint="eastAsia" w:ascii="宋体" w:hAnsi="宋体"/>
          <w:color w:val="auto"/>
          <w:sz w:val="24"/>
          <w:highlight w:val="none"/>
        </w:rPr>
        <w:t>）</w:t>
      </w:r>
    </w:p>
    <w:p w14:paraId="2722E28F">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《过程检测和控制系统用文字代号和图形符号》（</w:t>
      </w:r>
      <w:r>
        <w:rPr>
          <w:rFonts w:ascii="宋体" w:hAnsi="宋体"/>
          <w:color w:val="auto"/>
          <w:sz w:val="24"/>
          <w:highlight w:val="none"/>
        </w:rPr>
        <w:t>HG20505-2000</w:t>
      </w:r>
      <w:r>
        <w:rPr>
          <w:rFonts w:hint="eastAsia" w:ascii="宋体" w:hAnsi="宋体"/>
          <w:color w:val="auto"/>
          <w:sz w:val="24"/>
          <w:highlight w:val="none"/>
        </w:rPr>
        <w:t>）</w:t>
      </w:r>
    </w:p>
    <w:p w14:paraId="15B96D62">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《职业性接触毒物危害程度分级》</w:t>
      </w:r>
      <w:r>
        <w:rPr>
          <w:rFonts w:ascii="宋体" w:hAnsi="宋体"/>
          <w:color w:val="auto"/>
          <w:sz w:val="24"/>
          <w:highlight w:val="none"/>
        </w:rPr>
        <w:t>(GBZ 230-2010)</w:t>
      </w:r>
    </w:p>
    <w:p w14:paraId="41E8D02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《化工建设项目环境保护设计规定》（</w:t>
      </w:r>
      <w:r>
        <w:rPr>
          <w:rFonts w:ascii="宋体" w:hAnsi="宋体"/>
          <w:color w:val="auto"/>
          <w:sz w:val="24"/>
          <w:highlight w:val="none"/>
        </w:rPr>
        <w:t>HG20667-2005</w:t>
      </w:r>
      <w:r>
        <w:rPr>
          <w:rFonts w:hint="eastAsia" w:ascii="宋体" w:hAnsi="宋体"/>
          <w:color w:val="auto"/>
          <w:sz w:val="24"/>
          <w:highlight w:val="none"/>
        </w:rPr>
        <w:t>）</w:t>
      </w:r>
    </w:p>
    <w:p w14:paraId="35123A4D">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《工业金属管道设计规范》（</w:t>
      </w:r>
      <w:r>
        <w:rPr>
          <w:rFonts w:ascii="宋体" w:hAnsi="宋体"/>
          <w:color w:val="auto"/>
          <w:sz w:val="24"/>
          <w:highlight w:val="none"/>
        </w:rPr>
        <w:t>GB50316-</w:t>
      </w:r>
      <w:r>
        <w:rPr>
          <w:rFonts w:hint="eastAsia" w:ascii="宋体" w:hAnsi="宋体"/>
          <w:color w:val="auto"/>
          <w:sz w:val="24"/>
          <w:highlight w:val="none"/>
        </w:rPr>
        <w:t>2000（</w:t>
      </w:r>
      <w:r>
        <w:rPr>
          <w:rFonts w:ascii="宋体" w:hAnsi="宋体"/>
          <w:color w:val="auto"/>
          <w:sz w:val="24"/>
          <w:highlight w:val="none"/>
        </w:rPr>
        <w:t>2008</w:t>
      </w:r>
      <w:r>
        <w:rPr>
          <w:rFonts w:hint="eastAsia" w:ascii="宋体" w:hAnsi="宋体"/>
          <w:color w:val="auto"/>
          <w:sz w:val="24"/>
          <w:highlight w:val="none"/>
        </w:rPr>
        <w:t>版））</w:t>
      </w:r>
    </w:p>
    <w:p w14:paraId="18F32F1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《设备及管道保温设计导则》（</w:t>
      </w:r>
      <w:r>
        <w:rPr>
          <w:rFonts w:ascii="宋体" w:hAnsi="宋体"/>
          <w:color w:val="auto"/>
          <w:sz w:val="24"/>
          <w:highlight w:val="none"/>
        </w:rPr>
        <w:t>GB/T8175-2008</w:t>
      </w:r>
      <w:r>
        <w:rPr>
          <w:rFonts w:hint="eastAsia" w:ascii="宋体" w:hAnsi="宋体"/>
          <w:color w:val="auto"/>
          <w:sz w:val="24"/>
          <w:highlight w:val="none"/>
        </w:rPr>
        <w:t>）</w:t>
      </w:r>
    </w:p>
    <w:p w14:paraId="60797CD5">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《工业设备及管道绝热工程设计规范》（</w:t>
      </w:r>
      <w:r>
        <w:rPr>
          <w:rFonts w:ascii="宋体" w:hAnsi="宋体"/>
          <w:color w:val="auto"/>
          <w:sz w:val="24"/>
          <w:highlight w:val="none"/>
        </w:rPr>
        <w:t>GB50264-2013</w:t>
      </w:r>
      <w:r>
        <w:rPr>
          <w:rFonts w:hint="eastAsia" w:ascii="宋体" w:hAnsi="宋体"/>
          <w:color w:val="auto"/>
          <w:sz w:val="24"/>
          <w:highlight w:val="none"/>
        </w:rPr>
        <w:t>）</w:t>
      </w:r>
    </w:p>
    <w:p w14:paraId="4A86A772">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《化工设备管道外防腐设计规定》（</w:t>
      </w:r>
      <w:r>
        <w:rPr>
          <w:rFonts w:ascii="宋体" w:hAnsi="宋体"/>
          <w:color w:val="auto"/>
          <w:sz w:val="24"/>
          <w:highlight w:val="none"/>
        </w:rPr>
        <w:t>HG/T20679-2014</w:t>
      </w:r>
      <w:r>
        <w:rPr>
          <w:rFonts w:hint="eastAsia" w:ascii="宋体" w:hAnsi="宋体"/>
          <w:color w:val="auto"/>
          <w:sz w:val="24"/>
          <w:highlight w:val="none"/>
        </w:rPr>
        <w:t>）</w:t>
      </w:r>
    </w:p>
    <w:p w14:paraId="4E5B2F07">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《化工工艺设计施工图内容和深度统一规定》（</w:t>
      </w:r>
      <w:r>
        <w:rPr>
          <w:rFonts w:ascii="宋体" w:hAnsi="宋体"/>
          <w:color w:val="auto"/>
          <w:sz w:val="24"/>
          <w:highlight w:val="none"/>
        </w:rPr>
        <w:t>HG/T20519-2009</w:t>
      </w:r>
      <w:r>
        <w:rPr>
          <w:rFonts w:hint="eastAsia" w:ascii="宋体" w:hAnsi="宋体"/>
          <w:color w:val="auto"/>
          <w:sz w:val="24"/>
          <w:highlight w:val="none"/>
        </w:rPr>
        <w:t>）</w:t>
      </w:r>
    </w:p>
    <w:p w14:paraId="4FEB3616">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《化工蒸汽凝水系统设计技术规定》（</w:t>
      </w:r>
      <w:r>
        <w:rPr>
          <w:rFonts w:ascii="宋体" w:hAnsi="宋体"/>
          <w:color w:val="auto"/>
          <w:sz w:val="24"/>
          <w:highlight w:val="none"/>
        </w:rPr>
        <w:t>GB/T 50812-2013</w:t>
      </w:r>
      <w:r>
        <w:rPr>
          <w:rFonts w:hint="eastAsia" w:ascii="宋体" w:hAnsi="宋体"/>
          <w:color w:val="auto"/>
          <w:sz w:val="24"/>
          <w:highlight w:val="none"/>
        </w:rPr>
        <w:t>）</w:t>
      </w:r>
    </w:p>
    <w:p w14:paraId="3B1C0146">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《化工装置管道材料设计规定》（</w:t>
      </w:r>
      <w:r>
        <w:rPr>
          <w:rFonts w:ascii="宋体" w:hAnsi="宋体"/>
          <w:color w:val="auto"/>
          <w:sz w:val="24"/>
          <w:highlight w:val="none"/>
        </w:rPr>
        <w:t>HG/T20646-1999</w:t>
      </w:r>
      <w:r>
        <w:rPr>
          <w:rFonts w:hint="eastAsia" w:ascii="宋体" w:hAnsi="宋体"/>
          <w:color w:val="auto"/>
          <w:sz w:val="24"/>
          <w:highlight w:val="none"/>
        </w:rPr>
        <w:t>）</w:t>
      </w:r>
    </w:p>
    <w:p w14:paraId="276A558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《衬里钢壳设计技术规定》（</w:t>
      </w:r>
      <w:r>
        <w:rPr>
          <w:rFonts w:ascii="宋体" w:hAnsi="宋体"/>
          <w:color w:val="auto"/>
          <w:sz w:val="24"/>
          <w:highlight w:val="none"/>
        </w:rPr>
        <w:t>HG/T20678</w:t>
      </w:r>
      <w:r>
        <w:rPr>
          <w:rFonts w:hint="eastAsia" w:ascii="宋体" w:hAnsi="宋体"/>
          <w:color w:val="auto"/>
          <w:sz w:val="24"/>
          <w:highlight w:val="none"/>
        </w:rPr>
        <w:t>-2000）</w:t>
      </w:r>
    </w:p>
    <w:p w14:paraId="4566273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《压力容器焊接规程》（N</w:t>
      </w:r>
      <w:r>
        <w:rPr>
          <w:rFonts w:ascii="宋体" w:hAnsi="宋体"/>
          <w:color w:val="auto"/>
          <w:sz w:val="24"/>
          <w:highlight w:val="none"/>
        </w:rPr>
        <w:t>B/T</w:t>
      </w:r>
      <w:r>
        <w:rPr>
          <w:rFonts w:hint="eastAsia" w:ascii="宋体" w:hAnsi="宋体"/>
          <w:color w:val="auto"/>
          <w:sz w:val="24"/>
          <w:highlight w:val="none"/>
        </w:rPr>
        <w:t xml:space="preserve"> </w:t>
      </w:r>
      <w:r>
        <w:rPr>
          <w:rFonts w:ascii="宋体" w:hAnsi="宋体"/>
          <w:color w:val="auto"/>
          <w:sz w:val="24"/>
          <w:highlight w:val="none"/>
        </w:rPr>
        <w:t>470</w:t>
      </w:r>
      <w:r>
        <w:rPr>
          <w:rFonts w:hint="eastAsia" w:ascii="宋体" w:hAnsi="宋体"/>
          <w:color w:val="auto"/>
          <w:sz w:val="24"/>
          <w:highlight w:val="none"/>
        </w:rPr>
        <w:t>15-2011</w:t>
      </w:r>
      <w:r>
        <w:rPr>
          <w:rFonts w:ascii="宋体" w:hAnsi="宋体"/>
          <w:color w:val="auto"/>
          <w:sz w:val="24"/>
          <w:highlight w:val="none"/>
        </w:rPr>
        <w:t>）</w:t>
      </w:r>
    </w:p>
    <w:p w14:paraId="012CF380">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《钢制压力容器</w:t>
      </w:r>
      <w:r>
        <w:rPr>
          <w:rFonts w:ascii="宋体" w:hAnsi="宋体"/>
          <w:color w:val="auto"/>
          <w:sz w:val="24"/>
          <w:highlight w:val="none"/>
        </w:rPr>
        <w:t>-</w:t>
      </w:r>
      <w:r>
        <w:rPr>
          <w:rFonts w:hint="eastAsia" w:ascii="宋体" w:hAnsi="宋体"/>
          <w:color w:val="auto"/>
          <w:sz w:val="24"/>
          <w:highlight w:val="none"/>
        </w:rPr>
        <w:t>分析设计标准》(</w:t>
      </w:r>
      <w:r>
        <w:rPr>
          <w:rFonts w:ascii="宋体" w:hAnsi="宋体"/>
          <w:color w:val="auto"/>
          <w:sz w:val="24"/>
          <w:highlight w:val="none"/>
        </w:rPr>
        <w:t>JB4732</w:t>
      </w:r>
      <w:r>
        <w:rPr>
          <w:rFonts w:hint="eastAsia" w:ascii="宋体" w:hAnsi="宋体"/>
          <w:color w:val="auto"/>
          <w:sz w:val="24"/>
          <w:highlight w:val="none"/>
        </w:rPr>
        <w:t>-1995)</w:t>
      </w:r>
    </w:p>
    <w:p w14:paraId="5571E0DD">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《承压设备无损检测》(NB/T</w:t>
      </w:r>
      <w:r>
        <w:rPr>
          <w:rFonts w:ascii="宋体" w:hAnsi="宋体"/>
          <w:color w:val="auto"/>
          <w:sz w:val="24"/>
          <w:highlight w:val="none"/>
        </w:rPr>
        <w:t>47</w:t>
      </w:r>
      <w:r>
        <w:rPr>
          <w:rFonts w:hint="eastAsia" w:ascii="宋体" w:hAnsi="宋体"/>
          <w:color w:val="auto"/>
          <w:sz w:val="24"/>
          <w:highlight w:val="none"/>
        </w:rPr>
        <w:t>013-2015)</w:t>
      </w:r>
    </w:p>
    <w:p w14:paraId="3875DF83">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《承压设备用碳素钢和合金钢锻件》(N</w:t>
      </w:r>
      <w:r>
        <w:rPr>
          <w:rFonts w:ascii="宋体" w:hAnsi="宋体"/>
          <w:color w:val="auto"/>
          <w:sz w:val="24"/>
          <w:highlight w:val="none"/>
        </w:rPr>
        <w:t>B</w:t>
      </w:r>
      <w:r>
        <w:rPr>
          <w:rFonts w:hint="eastAsia" w:ascii="宋体" w:hAnsi="宋体"/>
          <w:color w:val="auto"/>
          <w:sz w:val="24"/>
          <w:highlight w:val="none"/>
        </w:rPr>
        <w:t>/T</w:t>
      </w:r>
      <w:r>
        <w:rPr>
          <w:rFonts w:ascii="宋体" w:hAnsi="宋体"/>
          <w:color w:val="auto"/>
          <w:sz w:val="24"/>
          <w:highlight w:val="none"/>
        </w:rPr>
        <w:t>47</w:t>
      </w:r>
      <w:r>
        <w:rPr>
          <w:rFonts w:hint="eastAsia" w:ascii="宋体" w:hAnsi="宋体"/>
          <w:color w:val="auto"/>
          <w:sz w:val="24"/>
          <w:highlight w:val="none"/>
        </w:rPr>
        <w:t>008～2017)</w:t>
      </w:r>
    </w:p>
    <w:p w14:paraId="395147C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《承压设备用不锈钢钢和耐热钢锻件》(N</w:t>
      </w:r>
      <w:r>
        <w:rPr>
          <w:rFonts w:ascii="宋体" w:hAnsi="宋体"/>
          <w:color w:val="auto"/>
          <w:sz w:val="24"/>
          <w:highlight w:val="none"/>
        </w:rPr>
        <w:t>B</w:t>
      </w:r>
      <w:r>
        <w:rPr>
          <w:rFonts w:hint="eastAsia" w:ascii="宋体" w:hAnsi="宋体"/>
          <w:color w:val="auto"/>
          <w:sz w:val="24"/>
          <w:highlight w:val="none"/>
        </w:rPr>
        <w:t>/T</w:t>
      </w:r>
      <w:r>
        <w:rPr>
          <w:rFonts w:ascii="宋体" w:hAnsi="宋体"/>
          <w:color w:val="auto"/>
          <w:sz w:val="24"/>
          <w:highlight w:val="none"/>
        </w:rPr>
        <w:t>47</w:t>
      </w:r>
      <w:r>
        <w:rPr>
          <w:rFonts w:hint="eastAsia" w:ascii="宋体" w:hAnsi="宋体"/>
          <w:color w:val="auto"/>
          <w:sz w:val="24"/>
          <w:highlight w:val="none"/>
        </w:rPr>
        <w:t>010～2017)</w:t>
      </w:r>
    </w:p>
    <w:p w14:paraId="23EF45E1">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《压力容器涂敷与运输包装》（</w:t>
      </w:r>
      <w:r>
        <w:rPr>
          <w:rFonts w:ascii="宋体" w:hAnsi="宋体"/>
          <w:color w:val="auto"/>
          <w:sz w:val="24"/>
          <w:highlight w:val="none"/>
        </w:rPr>
        <w:t>JB/T4711</w:t>
      </w:r>
      <w:r>
        <w:rPr>
          <w:rFonts w:hint="eastAsia" w:ascii="宋体" w:hAnsi="宋体"/>
          <w:color w:val="auto"/>
          <w:sz w:val="24"/>
          <w:highlight w:val="none"/>
        </w:rPr>
        <w:t>-2003）</w:t>
      </w:r>
    </w:p>
    <w:p w14:paraId="3E691A2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《钢制化工容器设计基础规定》（</w:t>
      </w:r>
      <w:r>
        <w:rPr>
          <w:rFonts w:ascii="宋体" w:hAnsi="宋体"/>
          <w:color w:val="auto"/>
          <w:sz w:val="24"/>
          <w:highlight w:val="none"/>
        </w:rPr>
        <w:t>HG20580</w:t>
      </w:r>
      <w:r>
        <w:rPr>
          <w:rFonts w:hint="eastAsia" w:ascii="宋体" w:hAnsi="宋体"/>
          <w:color w:val="auto"/>
          <w:sz w:val="24"/>
          <w:highlight w:val="none"/>
        </w:rPr>
        <w:t>-2011）</w:t>
      </w:r>
    </w:p>
    <w:p w14:paraId="73FFB3C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《钢制化工容器材料选用规定》（</w:t>
      </w:r>
      <w:r>
        <w:rPr>
          <w:rFonts w:ascii="宋体" w:hAnsi="宋体"/>
          <w:color w:val="auto"/>
          <w:sz w:val="24"/>
          <w:highlight w:val="none"/>
        </w:rPr>
        <w:t>HG20581</w:t>
      </w:r>
      <w:r>
        <w:rPr>
          <w:rFonts w:hint="eastAsia" w:ascii="宋体" w:hAnsi="宋体"/>
          <w:color w:val="auto"/>
          <w:sz w:val="24"/>
          <w:highlight w:val="none"/>
        </w:rPr>
        <w:t>-2011）</w:t>
      </w:r>
    </w:p>
    <w:p w14:paraId="4B5711FF">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《钢制化工容器强度计算规定》（</w:t>
      </w:r>
      <w:r>
        <w:rPr>
          <w:rFonts w:ascii="宋体" w:hAnsi="宋体"/>
          <w:color w:val="auto"/>
          <w:sz w:val="24"/>
          <w:highlight w:val="none"/>
        </w:rPr>
        <w:t>HG20582</w:t>
      </w:r>
      <w:r>
        <w:rPr>
          <w:rFonts w:hint="eastAsia" w:ascii="宋体" w:hAnsi="宋体"/>
          <w:color w:val="auto"/>
          <w:sz w:val="24"/>
          <w:highlight w:val="none"/>
        </w:rPr>
        <w:t>-2011）</w:t>
      </w:r>
    </w:p>
    <w:p w14:paraId="62C4D390">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《钢制化工容器机构设计规定》（</w:t>
      </w:r>
      <w:r>
        <w:rPr>
          <w:rFonts w:ascii="宋体" w:hAnsi="宋体"/>
          <w:color w:val="auto"/>
          <w:sz w:val="24"/>
          <w:highlight w:val="none"/>
        </w:rPr>
        <w:t>HG20583</w:t>
      </w:r>
      <w:r>
        <w:rPr>
          <w:rFonts w:hint="eastAsia" w:ascii="宋体" w:hAnsi="宋体"/>
          <w:color w:val="auto"/>
          <w:sz w:val="24"/>
          <w:highlight w:val="none"/>
        </w:rPr>
        <w:t>-2011）</w:t>
      </w:r>
    </w:p>
    <w:p w14:paraId="2E6FDA6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《钢制化工容器制造技术要求》（</w:t>
      </w:r>
      <w:r>
        <w:rPr>
          <w:rFonts w:ascii="宋体" w:hAnsi="宋体"/>
          <w:color w:val="auto"/>
          <w:sz w:val="24"/>
          <w:highlight w:val="none"/>
        </w:rPr>
        <w:t>HG20584</w:t>
      </w:r>
      <w:r>
        <w:rPr>
          <w:rFonts w:hint="eastAsia" w:ascii="宋体" w:hAnsi="宋体"/>
          <w:color w:val="auto"/>
          <w:sz w:val="24"/>
          <w:highlight w:val="none"/>
        </w:rPr>
        <w:t>-2011）</w:t>
      </w:r>
    </w:p>
    <w:p w14:paraId="089A454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《交流电气装置的接地设计规范》（GB/T 50065-2011）</w:t>
      </w:r>
    </w:p>
    <w:p w14:paraId="533F036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《化工企业安全卫生设计规范》（HG 20571-2014）</w:t>
      </w:r>
    </w:p>
    <w:p w14:paraId="73FA012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《通用用电设备设计规范》（GB50055-2011）</w:t>
      </w:r>
    </w:p>
    <w:p w14:paraId="38E2CFE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《20kV及以下变电所设计规范 》（GB 50053-2013）</w:t>
      </w:r>
    </w:p>
    <w:p w14:paraId="0889987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《建筑物电子信息系统防雷设计规范 》（GB 50343-2012）</w:t>
      </w:r>
    </w:p>
    <w:p w14:paraId="6238687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《电力工程电缆设计规范 》（GB50217-2018）</w:t>
      </w:r>
    </w:p>
    <w:p w14:paraId="4C86440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《电气装置安装工程施工及验收规范 》（GB 50254～257-2014）</w:t>
      </w:r>
    </w:p>
    <w:p w14:paraId="21EC0E0C">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《现场设备、工业管道焊接工程施工质量验收规范》（GB50683-2011）</w:t>
      </w:r>
    </w:p>
    <w:p w14:paraId="65A03E65">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《化学工业炉耐火、隔热材料设计选用规定》（HG20683-2005）</w:t>
      </w:r>
    </w:p>
    <w:p w14:paraId="15BB7F5C">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《化工建设项目废物焚烧处置工程设计规范》（HG20706-2013）</w:t>
      </w:r>
    </w:p>
    <w:p w14:paraId="48E5E837">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《化学工业炉结构设计规定》（HG/T20541-2006）</w:t>
      </w:r>
    </w:p>
    <w:p w14:paraId="19518094">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《化学工业炉金属材料设计选用规定》(HG/T20684-2012)</w:t>
      </w:r>
    </w:p>
    <w:p w14:paraId="00563454">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《石油化工企业可燃气体和有毒气体检测报警设计规范》（GB50493-2009）</w:t>
      </w:r>
    </w:p>
    <w:p w14:paraId="645540EB">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《危险废物焚烧污染控制标准》（2014征求意见稿）</w:t>
      </w:r>
    </w:p>
    <w:p w14:paraId="7B0DDD9C">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《危险废物处置工程技术导则》（HJ 2042-2014）</w:t>
      </w:r>
    </w:p>
    <w:p w14:paraId="286F9CA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《危险废物集中焚烧处置工程建设技术要求》（HJ/T 176-2005）</w:t>
      </w:r>
    </w:p>
    <w:p w14:paraId="5B1B1933">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《危险废物污染防治技术政策》（环发[2003]199号）</w:t>
      </w:r>
    </w:p>
    <w:p w14:paraId="2C382A75">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《危险废物鉴别标准》（GB5085.1-3-1996）</w:t>
      </w:r>
    </w:p>
    <w:p w14:paraId="656B534E">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《固体废物浸出毒性鉴定方法》（GB5086.1-2-1996）</w:t>
      </w:r>
    </w:p>
    <w:p w14:paraId="0CA8F8B7">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《危险废物填埋污染控制标准》（GB18598-2001）</w:t>
      </w:r>
    </w:p>
    <w:p w14:paraId="44490658">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《危险废物贮存污染控制标准》（GB18597-2001）</w:t>
      </w:r>
    </w:p>
    <w:p w14:paraId="7F5BBE1D">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《污水综合排放标准》（GB8978-1996）</w:t>
      </w:r>
    </w:p>
    <w:p w14:paraId="12B2EFB4">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《恶臭污染物排放标准》（GB14554-1993）</w:t>
      </w:r>
    </w:p>
    <w:p w14:paraId="5BFD2D5F">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 xml:space="preserve">《锅炉大气污染物排放标准》（GB13271-2001）   </w:t>
      </w:r>
    </w:p>
    <w:p w14:paraId="3579FC2A">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《大气污染物综合排放标准》（GB16297-1996）</w:t>
      </w:r>
    </w:p>
    <w:p w14:paraId="621569AF">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《工业企业厂界噪声标准》(GB12348-2008）</w:t>
      </w:r>
    </w:p>
    <w:p w14:paraId="5412D5E7">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《工业企业设计卫生标准》(GBZ1-2010)</w:t>
      </w:r>
    </w:p>
    <w:p w14:paraId="7A9C6645">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《工业企业噪声控制设计规范》(GBJ87-85)</w:t>
      </w:r>
    </w:p>
    <w:p w14:paraId="66F72E57">
      <w:pPr>
        <w:adjustRightInd w:val="0"/>
        <w:snapToGrid w:val="0"/>
        <w:spacing w:line="360" w:lineRule="auto"/>
        <w:ind w:firstLine="360" w:firstLineChars="150"/>
        <w:outlineLvl w:val="0"/>
        <w:rPr>
          <w:rFonts w:ascii="宋体" w:hAnsi="宋体"/>
          <w:color w:val="auto"/>
          <w:sz w:val="24"/>
          <w:highlight w:val="none"/>
        </w:rPr>
      </w:pPr>
      <w:r>
        <w:rPr>
          <w:rFonts w:hint="eastAsia" w:ascii="宋体" w:hAnsi="宋体"/>
          <w:color w:val="auto"/>
          <w:sz w:val="24"/>
          <w:highlight w:val="none"/>
        </w:rPr>
        <w:t>《爆炸和火灾危险环境电力装置设计规范》(GB50058-2014</w:t>
      </w:r>
    </w:p>
    <w:p w14:paraId="308D1F56">
      <w:pPr>
        <w:adjustRightInd w:val="0"/>
        <w:spacing w:after="120" w:line="360" w:lineRule="auto"/>
        <w:ind w:left="420" w:leftChars="200" w:right="50"/>
        <w:textAlignment w:val="baseline"/>
        <w:rPr>
          <w:color w:val="auto"/>
          <w:kern w:val="0"/>
          <w:sz w:val="24"/>
          <w:highlight w:val="none"/>
        </w:rPr>
      </w:pPr>
      <w:r>
        <w:rPr>
          <w:color w:val="auto"/>
          <w:kern w:val="0"/>
          <w:sz w:val="24"/>
          <w:highlight w:val="none"/>
        </w:rPr>
        <w:t>标准优先原则</w:t>
      </w:r>
    </w:p>
    <w:p w14:paraId="40B04FF9">
      <w:pPr>
        <w:adjustRightInd w:val="0"/>
        <w:snapToGrid w:val="0"/>
        <w:spacing w:line="360" w:lineRule="auto"/>
        <w:ind w:firstLine="360" w:firstLineChars="150"/>
        <w:outlineLvl w:val="0"/>
        <w:rPr>
          <w:rFonts w:ascii="宋体" w:hAnsi="宋体"/>
          <w:color w:val="auto"/>
          <w:sz w:val="24"/>
          <w:highlight w:val="none"/>
        </w:rPr>
      </w:pPr>
      <w:r>
        <w:rPr>
          <w:rFonts w:ascii="宋体" w:hAnsi="宋体"/>
          <w:color w:val="auto"/>
          <w:sz w:val="24"/>
          <w:highlight w:val="none"/>
        </w:rPr>
        <w:t>执行上述标准过程中，不同的标准有不同的要求时，采用高要求的标准。未尽事项按国内有关标准执行，而且应优先按高或严的标准</w:t>
      </w:r>
      <w:r>
        <w:rPr>
          <w:rFonts w:hint="eastAsia" w:ascii="宋体" w:hAnsi="宋体"/>
          <w:color w:val="auto"/>
          <w:sz w:val="24"/>
          <w:highlight w:val="none"/>
        </w:rPr>
        <w:t>。涉及标准版本有所更新，按照最新标准执行。</w:t>
      </w:r>
    </w:p>
    <w:p w14:paraId="4A9619E1">
      <w:pPr>
        <w:adjustRightInd w:val="0"/>
        <w:snapToGrid w:val="0"/>
        <w:spacing w:line="360" w:lineRule="auto"/>
        <w:rPr>
          <w:rFonts w:ascii="宋体" w:hAnsi="宋体"/>
          <w:b/>
          <w:color w:val="auto"/>
          <w:sz w:val="24"/>
          <w:highlight w:val="none"/>
        </w:rPr>
      </w:pPr>
      <w:r>
        <w:rPr>
          <w:rFonts w:ascii="宋体" w:hAnsi="宋体"/>
          <w:b/>
          <w:color w:val="auto"/>
          <w:sz w:val="24"/>
          <w:highlight w:val="none"/>
        </w:rPr>
        <w:t>2</w:t>
      </w:r>
      <w:r>
        <w:rPr>
          <w:rFonts w:hint="eastAsia" w:ascii="宋体" w:hAnsi="宋体"/>
          <w:b/>
          <w:color w:val="auto"/>
          <w:sz w:val="24"/>
          <w:highlight w:val="none"/>
        </w:rPr>
        <w:t>.2.2</w:t>
      </w:r>
      <w:r>
        <w:rPr>
          <w:rFonts w:ascii="宋体" w:hAnsi="宋体"/>
          <w:b/>
          <w:color w:val="auto"/>
          <w:sz w:val="24"/>
          <w:highlight w:val="none"/>
        </w:rPr>
        <w:t>总图运输</w:t>
      </w:r>
      <w:r>
        <w:rPr>
          <w:rFonts w:hint="eastAsia" w:ascii="宋体" w:hAnsi="宋体"/>
          <w:b/>
          <w:color w:val="auto"/>
          <w:sz w:val="24"/>
          <w:highlight w:val="none"/>
        </w:rPr>
        <w:t>、储运、内外管网</w:t>
      </w:r>
    </w:p>
    <w:p w14:paraId="4687A379">
      <w:pPr>
        <w:adjustRightInd w:val="0"/>
        <w:snapToGrid w:val="0"/>
        <w:spacing w:line="360" w:lineRule="auto"/>
        <w:rPr>
          <w:rFonts w:ascii="宋体" w:hAnsi="宋体"/>
          <w:b/>
          <w:color w:val="auto"/>
          <w:sz w:val="24"/>
          <w:highlight w:val="none"/>
        </w:rPr>
      </w:pPr>
      <w:bookmarkStart w:id="192" w:name="_Toc388520290"/>
      <w:bookmarkStart w:id="193" w:name="_Toc41118167"/>
      <w:bookmarkStart w:id="194" w:name="_Toc94415529"/>
      <w:bookmarkStart w:id="195" w:name="_Toc94415916"/>
      <w:r>
        <w:rPr>
          <w:rFonts w:hint="eastAsia" w:ascii="宋体" w:hAnsi="宋体"/>
          <w:b/>
          <w:color w:val="auto"/>
          <w:sz w:val="24"/>
          <w:highlight w:val="none"/>
        </w:rPr>
        <w:t>2.2.2.1</w:t>
      </w:r>
      <w:r>
        <w:rPr>
          <w:rFonts w:ascii="宋体" w:hAnsi="宋体"/>
          <w:b/>
          <w:color w:val="auto"/>
          <w:sz w:val="24"/>
          <w:highlight w:val="none"/>
        </w:rPr>
        <w:t xml:space="preserve"> 设计依据</w:t>
      </w:r>
      <w:bookmarkEnd w:id="192"/>
      <w:bookmarkEnd w:id="193"/>
      <w:bookmarkEnd w:id="194"/>
      <w:bookmarkEnd w:id="195"/>
    </w:p>
    <w:p w14:paraId="363B296F">
      <w:pPr>
        <w:adjustRightInd w:val="0"/>
        <w:snapToGrid w:val="0"/>
        <w:spacing w:line="360" w:lineRule="auto"/>
        <w:rPr>
          <w:rFonts w:ascii="宋体" w:hAnsi="宋体"/>
          <w:color w:val="auto"/>
          <w:sz w:val="24"/>
          <w:highlight w:val="none"/>
        </w:rPr>
      </w:pPr>
      <w:bookmarkStart w:id="196" w:name="_Toc94415531"/>
      <w:bookmarkStart w:id="197" w:name="_Toc94415918"/>
      <w:r>
        <w:rPr>
          <w:rFonts w:hint="eastAsia" w:ascii="宋体" w:hAnsi="宋体"/>
          <w:color w:val="auto"/>
          <w:sz w:val="24"/>
          <w:highlight w:val="none"/>
        </w:rPr>
        <w:t>2.3.</w:t>
      </w:r>
      <w:r>
        <w:rPr>
          <w:rFonts w:ascii="宋体" w:hAnsi="宋体"/>
          <w:color w:val="auto"/>
          <w:sz w:val="24"/>
          <w:highlight w:val="none"/>
        </w:rPr>
        <w:t>2.1.1 采用的法规和标准、规范</w:t>
      </w:r>
      <w:bookmarkEnd w:id="196"/>
      <w:bookmarkEnd w:id="197"/>
    </w:p>
    <w:p w14:paraId="3578D1D1">
      <w:pPr>
        <w:adjustRightInd w:val="0"/>
        <w:snapToGrid w:val="0"/>
        <w:spacing w:line="360" w:lineRule="auto"/>
        <w:rPr>
          <w:rFonts w:ascii="宋体" w:hAnsi="宋体"/>
          <w:color w:val="auto"/>
          <w:sz w:val="24"/>
          <w:highlight w:val="none"/>
        </w:rPr>
      </w:pPr>
      <w:r>
        <w:rPr>
          <w:rFonts w:ascii="宋体" w:hAnsi="宋体"/>
          <w:color w:val="auto"/>
          <w:sz w:val="24"/>
          <w:highlight w:val="none"/>
        </w:rPr>
        <w:t>《石油化工企业设施防火规范》GB50160-2008</w:t>
      </w:r>
    </w:p>
    <w:p w14:paraId="74D13095">
      <w:pPr>
        <w:adjustRightInd w:val="0"/>
        <w:snapToGrid w:val="0"/>
        <w:spacing w:line="360" w:lineRule="auto"/>
        <w:rPr>
          <w:rFonts w:ascii="宋体" w:hAnsi="宋体"/>
          <w:color w:val="auto"/>
          <w:sz w:val="24"/>
          <w:highlight w:val="none"/>
        </w:rPr>
      </w:pPr>
      <w:r>
        <w:rPr>
          <w:rFonts w:ascii="宋体" w:hAnsi="宋体"/>
          <w:color w:val="auto"/>
          <w:sz w:val="24"/>
          <w:highlight w:val="none"/>
        </w:rPr>
        <w:t>《工业企业总平面设计规范》GB50187-2012</w:t>
      </w:r>
    </w:p>
    <w:p w14:paraId="638204FD">
      <w:pPr>
        <w:adjustRightInd w:val="0"/>
        <w:snapToGrid w:val="0"/>
        <w:spacing w:line="360" w:lineRule="auto"/>
        <w:rPr>
          <w:rFonts w:ascii="宋体" w:hAnsi="宋体"/>
          <w:color w:val="auto"/>
          <w:sz w:val="24"/>
          <w:highlight w:val="none"/>
        </w:rPr>
      </w:pPr>
      <w:r>
        <w:rPr>
          <w:rFonts w:ascii="宋体" w:hAnsi="宋体"/>
          <w:color w:val="auto"/>
          <w:sz w:val="24"/>
          <w:highlight w:val="none"/>
        </w:rPr>
        <w:t>《化工企业总图运输设计规范》GB50489-2009</w:t>
      </w:r>
    </w:p>
    <w:p w14:paraId="614BFE6E">
      <w:pPr>
        <w:adjustRightInd w:val="0"/>
        <w:snapToGrid w:val="0"/>
        <w:spacing w:line="360" w:lineRule="auto"/>
        <w:rPr>
          <w:rFonts w:ascii="宋体" w:hAnsi="宋体"/>
          <w:color w:val="auto"/>
          <w:sz w:val="24"/>
          <w:highlight w:val="none"/>
        </w:rPr>
      </w:pPr>
      <w:bookmarkStart w:id="198" w:name="_Toc94415919"/>
      <w:bookmarkStart w:id="199" w:name="_Toc94415532"/>
      <w:r>
        <w:rPr>
          <w:rFonts w:hint="eastAsia" w:ascii="宋体" w:hAnsi="宋体"/>
          <w:color w:val="auto"/>
          <w:sz w:val="24"/>
          <w:highlight w:val="none"/>
        </w:rPr>
        <w:t>2.2.2</w:t>
      </w:r>
      <w:r>
        <w:rPr>
          <w:rFonts w:ascii="宋体" w:hAnsi="宋体"/>
          <w:color w:val="auto"/>
          <w:sz w:val="24"/>
          <w:highlight w:val="none"/>
        </w:rPr>
        <w:t>.1.2 设计基础资料</w:t>
      </w:r>
      <w:bookmarkEnd w:id="198"/>
      <w:bookmarkEnd w:id="199"/>
    </w:p>
    <w:p w14:paraId="26BFE000">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招标人</w:t>
      </w:r>
      <w:r>
        <w:rPr>
          <w:rFonts w:ascii="宋体" w:hAnsi="宋体"/>
          <w:color w:val="auto"/>
          <w:sz w:val="24"/>
          <w:highlight w:val="none"/>
        </w:rPr>
        <w:t>提供的规划图及地形图</w:t>
      </w:r>
    </w:p>
    <w:p w14:paraId="71579F0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2.2.2.1.3</w:t>
      </w:r>
      <w:r>
        <w:rPr>
          <w:rFonts w:ascii="宋体" w:hAnsi="宋体"/>
          <w:color w:val="auto"/>
          <w:sz w:val="24"/>
          <w:highlight w:val="none"/>
        </w:rPr>
        <w:t xml:space="preserve"> 工程地质和水文等</w:t>
      </w:r>
    </w:p>
    <w:p w14:paraId="0E93BFE4">
      <w:pPr>
        <w:adjustRightInd w:val="0"/>
        <w:snapToGrid w:val="0"/>
        <w:spacing w:line="360" w:lineRule="auto"/>
        <w:rPr>
          <w:rFonts w:ascii="宋体" w:hAnsi="宋体"/>
          <w:color w:val="auto"/>
          <w:sz w:val="24"/>
          <w:highlight w:val="none"/>
        </w:rPr>
      </w:pPr>
      <w:r>
        <w:rPr>
          <w:rFonts w:ascii="宋体" w:hAnsi="宋体"/>
          <w:color w:val="auto"/>
          <w:sz w:val="24"/>
          <w:highlight w:val="none"/>
        </w:rPr>
        <w:t xml:space="preserve">   （1）工程地质</w:t>
      </w:r>
    </w:p>
    <w:p w14:paraId="15C2CA6F">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巨化公司厂区范围地层上部为第四纪河流冲积层，总厚度约8m，自上而下为：耕土层0.2m左右；砂质粘土层1～3m，容许承载力约1.77x105Pa；卵石层容许承载力为5.88x105Pa，卵石层上部有透镜体分布；下部为第三纪红色砂岩，容许承载力很高。</w:t>
      </w:r>
    </w:p>
    <w:p w14:paraId="33F168E4">
      <w:pPr>
        <w:adjustRightInd w:val="0"/>
        <w:snapToGrid w:val="0"/>
        <w:spacing w:line="360" w:lineRule="auto"/>
        <w:ind w:firstLine="360" w:firstLineChars="150"/>
        <w:rPr>
          <w:rFonts w:ascii="宋体" w:hAnsi="宋体"/>
          <w:color w:val="auto"/>
          <w:sz w:val="24"/>
          <w:highlight w:val="none"/>
        </w:rPr>
      </w:pPr>
      <w:r>
        <w:rPr>
          <w:rFonts w:ascii="宋体" w:hAnsi="宋体"/>
          <w:color w:val="auto"/>
          <w:sz w:val="24"/>
          <w:highlight w:val="none"/>
        </w:rPr>
        <w:t>（2）水文特征</w:t>
      </w:r>
    </w:p>
    <w:p w14:paraId="3C93B24E">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巨化厂区范围内地下水，因卵石层有较强的渗透性，基岩为不透水性砂岩，故地下水水位高（属地表水），一般0.2～0.75m以下见液面，地下水的流向由南东流向北西。由于巨化厂区地势较高，且距乌溪江和江山港有一定距离，因此基本不受洪水威胁。</w:t>
      </w:r>
    </w:p>
    <w:p w14:paraId="031A5E41">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（3）场地地震效应</w:t>
      </w:r>
    </w:p>
    <w:p w14:paraId="4961A407">
      <w:pPr>
        <w:spacing w:line="360" w:lineRule="auto"/>
        <w:ind w:firstLine="480"/>
        <w:rPr>
          <w:rFonts w:ascii="宋体" w:hAnsi="宋体"/>
          <w:b/>
          <w:color w:val="auto"/>
          <w:sz w:val="24"/>
          <w:highlight w:val="none"/>
        </w:rPr>
      </w:pPr>
      <w:r>
        <w:rPr>
          <w:rFonts w:hint="eastAsia" w:ascii="宋体" w:hAnsi="宋体"/>
          <w:color w:val="auto"/>
          <w:sz w:val="24"/>
          <w:highlight w:val="none"/>
        </w:rPr>
        <w:t>按《建筑抗震设计规范》（GB50011-2010）（2016年版）、《建筑抗震设防分类标准》（GB50223-2008），本工程所在衢州市抗震设防烈度6度，设计基本地震加速度值0.05g，所涉及的建构筑物按抗震设计。</w:t>
      </w:r>
    </w:p>
    <w:p w14:paraId="0C29E125">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（4）场地的稳定性与适宜性</w:t>
      </w:r>
    </w:p>
    <w:p w14:paraId="4FC097B8">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本场地区域稳定性良好，无不良地质条件存在，地基土分布基本稳定，适宜建筑。</w:t>
      </w:r>
    </w:p>
    <w:p w14:paraId="30BB673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2.2.2.1.4</w:t>
      </w:r>
      <w:r>
        <w:rPr>
          <w:rFonts w:ascii="宋体" w:hAnsi="宋体"/>
          <w:color w:val="auto"/>
          <w:sz w:val="24"/>
          <w:highlight w:val="none"/>
        </w:rPr>
        <w:t>气象资料</w:t>
      </w:r>
    </w:p>
    <w:p w14:paraId="5FD8FBE8">
      <w:pPr>
        <w:adjustRightInd w:val="0"/>
        <w:snapToGrid w:val="0"/>
        <w:spacing w:line="360" w:lineRule="auto"/>
        <w:ind w:firstLine="480" w:firstLineChars="200"/>
        <w:rPr>
          <w:rFonts w:ascii="宋体" w:hAnsi="宋体"/>
          <w:color w:val="auto"/>
          <w:sz w:val="24"/>
          <w:highlight w:val="none"/>
        </w:rPr>
      </w:pPr>
      <w:bookmarkStart w:id="200" w:name="_Toc94415920"/>
      <w:bookmarkStart w:id="201" w:name="_Toc94415533"/>
      <w:bookmarkStart w:id="202" w:name="_Toc41118168"/>
      <w:r>
        <w:rPr>
          <w:rFonts w:ascii="宋体" w:hAnsi="宋体"/>
          <w:color w:val="auto"/>
          <w:sz w:val="24"/>
          <w:highlight w:val="none"/>
        </w:rPr>
        <w:t>根据市气象台30年的气象资料统计：</w:t>
      </w:r>
    </w:p>
    <w:p w14:paraId="60C3A6AA">
      <w:pPr>
        <w:adjustRightInd w:val="0"/>
        <w:snapToGrid w:val="0"/>
        <w:spacing w:line="360" w:lineRule="auto"/>
        <w:rPr>
          <w:rFonts w:ascii="宋体" w:hAnsi="宋体"/>
          <w:color w:val="auto"/>
          <w:sz w:val="24"/>
          <w:highlight w:val="none"/>
        </w:rPr>
      </w:pPr>
      <w:r>
        <w:rPr>
          <w:rFonts w:ascii="宋体" w:hAnsi="宋体"/>
          <w:b/>
          <w:color w:val="auto"/>
          <w:sz w:val="24"/>
          <w:highlight w:val="none"/>
        </w:rPr>
        <w:t>温度：</w:t>
      </w:r>
      <w:r>
        <w:rPr>
          <w:rFonts w:ascii="宋体" w:hAnsi="宋体"/>
          <w:color w:val="auto"/>
          <w:sz w:val="24"/>
          <w:highlight w:val="none"/>
        </w:rPr>
        <w:t>年平均17.3℃，最热月平均29.2℃，最冷月平均5.2℃，绝对最高40.5℃，绝对最低－10.4℃。</w:t>
      </w:r>
    </w:p>
    <w:p w14:paraId="5742AFCB">
      <w:pPr>
        <w:adjustRightInd w:val="0"/>
        <w:snapToGrid w:val="0"/>
        <w:spacing w:line="360" w:lineRule="auto"/>
        <w:rPr>
          <w:rFonts w:ascii="宋体" w:hAnsi="宋体"/>
          <w:color w:val="auto"/>
          <w:sz w:val="24"/>
          <w:highlight w:val="none"/>
        </w:rPr>
      </w:pPr>
      <w:r>
        <w:rPr>
          <w:rFonts w:ascii="宋体" w:hAnsi="宋体"/>
          <w:b/>
          <w:color w:val="auto"/>
          <w:sz w:val="24"/>
          <w:highlight w:val="none"/>
        </w:rPr>
        <w:t>相对湿度：</w:t>
      </w:r>
      <w:r>
        <w:rPr>
          <w:rFonts w:ascii="宋体" w:hAnsi="宋体"/>
          <w:color w:val="auto"/>
          <w:sz w:val="24"/>
          <w:highlight w:val="none"/>
        </w:rPr>
        <w:t>夏季月平均76%，冬季月平均78%，夏季最大月平均82%。</w:t>
      </w:r>
    </w:p>
    <w:p w14:paraId="75183B70">
      <w:pPr>
        <w:adjustRightInd w:val="0"/>
        <w:snapToGrid w:val="0"/>
        <w:spacing w:line="360" w:lineRule="auto"/>
        <w:rPr>
          <w:rFonts w:ascii="宋体" w:hAnsi="宋体"/>
          <w:color w:val="auto"/>
          <w:sz w:val="24"/>
          <w:highlight w:val="none"/>
        </w:rPr>
      </w:pPr>
      <w:r>
        <w:rPr>
          <w:rFonts w:ascii="宋体" w:hAnsi="宋体"/>
          <w:b/>
          <w:color w:val="auto"/>
          <w:sz w:val="24"/>
          <w:highlight w:val="none"/>
        </w:rPr>
        <w:t>大气压：</w:t>
      </w:r>
      <w:r>
        <w:rPr>
          <w:rFonts w:ascii="宋体" w:hAnsi="宋体"/>
          <w:color w:val="auto"/>
          <w:sz w:val="24"/>
          <w:highlight w:val="none"/>
        </w:rPr>
        <w:t>夏季月平均最大绝对值99.kpa，冬季月平均最大绝对值101.86kpa。</w:t>
      </w:r>
    </w:p>
    <w:p w14:paraId="33C0707F">
      <w:pPr>
        <w:adjustRightInd w:val="0"/>
        <w:snapToGrid w:val="0"/>
        <w:spacing w:line="360" w:lineRule="auto"/>
        <w:rPr>
          <w:rFonts w:ascii="宋体" w:hAnsi="宋体"/>
          <w:color w:val="auto"/>
          <w:sz w:val="24"/>
          <w:highlight w:val="none"/>
        </w:rPr>
      </w:pPr>
      <w:r>
        <w:rPr>
          <w:rFonts w:ascii="宋体" w:hAnsi="宋体"/>
          <w:b/>
          <w:color w:val="auto"/>
          <w:sz w:val="24"/>
          <w:highlight w:val="none"/>
        </w:rPr>
        <w:t>降雨量：</w:t>
      </w:r>
      <w:r>
        <w:rPr>
          <w:rFonts w:ascii="宋体" w:hAnsi="宋体"/>
          <w:color w:val="auto"/>
          <w:sz w:val="24"/>
          <w:highlight w:val="none"/>
        </w:rPr>
        <w:t>年平均降雨量1664.4mm，年最大降雨量2464.5mm，一日最大降雨量148.1mm，一次最大降雨量285.8mm（持续时间91小时45分）。</w:t>
      </w:r>
    </w:p>
    <w:p w14:paraId="34E17727">
      <w:pPr>
        <w:adjustRightInd w:val="0"/>
        <w:snapToGrid w:val="0"/>
        <w:spacing w:line="360" w:lineRule="auto"/>
        <w:rPr>
          <w:rFonts w:ascii="宋体" w:hAnsi="宋体"/>
          <w:color w:val="auto"/>
          <w:sz w:val="24"/>
          <w:highlight w:val="none"/>
        </w:rPr>
      </w:pPr>
      <w:r>
        <w:rPr>
          <w:rFonts w:ascii="宋体" w:hAnsi="宋体"/>
          <w:b/>
          <w:color w:val="auto"/>
          <w:sz w:val="24"/>
          <w:highlight w:val="none"/>
        </w:rPr>
        <w:t>降雪量：</w:t>
      </w:r>
      <w:r>
        <w:rPr>
          <w:rFonts w:ascii="宋体" w:hAnsi="宋体"/>
          <w:color w:val="auto"/>
          <w:sz w:val="24"/>
          <w:highlight w:val="none"/>
        </w:rPr>
        <w:t>最大积雪厚度35cm，平均积雪厚度10cm，雪荷载392.3N/m2。</w:t>
      </w:r>
    </w:p>
    <w:p w14:paraId="7DDBA57D">
      <w:pPr>
        <w:adjustRightInd w:val="0"/>
        <w:snapToGrid w:val="0"/>
        <w:spacing w:line="360" w:lineRule="auto"/>
        <w:rPr>
          <w:rFonts w:ascii="宋体" w:hAnsi="宋体"/>
          <w:color w:val="auto"/>
          <w:sz w:val="24"/>
          <w:highlight w:val="none"/>
        </w:rPr>
      </w:pPr>
      <w:r>
        <w:rPr>
          <w:rFonts w:ascii="宋体" w:hAnsi="宋体"/>
          <w:b/>
          <w:color w:val="auto"/>
          <w:sz w:val="24"/>
          <w:highlight w:val="none"/>
        </w:rPr>
        <w:t>风：</w:t>
      </w:r>
      <w:r>
        <w:rPr>
          <w:rFonts w:ascii="宋体" w:hAnsi="宋体"/>
          <w:color w:val="auto"/>
          <w:sz w:val="24"/>
          <w:highlight w:val="none"/>
        </w:rPr>
        <w:t>常年主导风向东北，夏季主导风向西南，冬季主导风向东北，全年地面平均风速3m/s，最大风速（10分钟最大持续风速）28m/s，风压值392.2N/m2。</w:t>
      </w:r>
    </w:p>
    <w:p w14:paraId="46DB8075">
      <w:pPr>
        <w:adjustRightInd w:val="0"/>
        <w:snapToGrid w:val="0"/>
        <w:spacing w:line="360" w:lineRule="auto"/>
        <w:rPr>
          <w:rFonts w:ascii="宋体" w:hAnsi="宋体"/>
          <w:color w:val="auto"/>
          <w:sz w:val="24"/>
          <w:highlight w:val="none"/>
        </w:rPr>
      </w:pPr>
      <w:r>
        <w:rPr>
          <w:rFonts w:ascii="宋体" w:hAnsi="宋体"/>
          <w:b/>
          <w:color w:val="auto"/>
          <w:sz w:val="24"/>
          <w:highlight w:val="none"/>
        </w:rPr>
        <w:t>霜冻：</w:t>
      </w:r>
      <w:r>
        <w:rPr>
          <w:rFonts w:ascii="宋体" w:hAnsi="宋体"/>
          <w:color w:val="auto"/>
          <w:sz w:val="24"/>
          <w:highlight w:val="none"/>
        </w:rPr>
        <w:t>初霜10月26日，终霜3月31日，最冷年地面冻结厚度1cm。</w:t>
      </w:r>
    </w:p>
    <w:p w14:paraId="7F6185A0">
      <w:pPr>
        <w:adjustRightInd w:val="0"/>
        <w:snapToGrid w:val="0"/>
        <w:spacing w:line="360" w:lineRule="auto"/>
        <w:rPr>
          <w:rFonts w:ascii="宋体" w:hAnsi="宋体"/>
          <w:color w:val="auto"/>
          <w:sz w:val="24"/>
          <w:highlight w:val="none"/>
        </w:rPr>
      </w:pPr>
      <w:r>
        <w:rPr>
          <w:rFonts w:ascii="宋体" w:hAnsi="宋体"/>
          <w:b/>
          <w:color w:val="auto"/>
          <w:sz w:val="24"/>
          <w:highlight w:val="none"/>
        </w:rPr>
        <w:t>蒸发量：</w:t>
      </w:r>
      <w:r>
        <w:rPr>
          <w:rFonts w:ascii="宋体" w:hAnsi="宋体"/>
          <w:color w:val="auto"/>
          <w:sz w:val="24"/>
          <w:highlight w:val="none"/>
        </w:rPr>
        <w:t>历年最大蒸发量1741.1mm，历年最小蒸发量1354.1mm。</w:t>
      </w:r>
    </w:p>
    <w:p w14:paraId="0BEA8DB4">
      <w:pPr>
        <w:adjustRightInd w:val="0"/>
        <w:snapToGrid w:val="0"/>
        <w:spacing w:line="360" w:lineRule="auto"/>
        <w:rPr>
          <w:rFonts w:ascii="宋体" w:hAnsi="宋体"/>
          <w:color w:val="auto"/>
          <w:sz w:val="24"/>
          <w:highlight w:val="none"/>
        </w:rPr>
      </w:pPr>
      <w:r>
        <w:rPr>
          <w:rFonts w:ascii="宋体" w:hAnsi="宋体"/>
          <w:b/>
          <w:color w:val="auto"/>
          <w:sz w:val="24"/>
          <w:highlight w:val="none"/>
        </w:rPr>
        <w:t>雷电：</w:t>
      </w:r>
      <w:r>
        <w:rPr>
          <w:rFonts w:ascii="宋体" w:hAnsi="宋体"/>
          <w:color w:val="auto"/>
          <w:sz w:val="24"/>
          <w:highlight w:val="none"/>
        </w:rPr>
        <w:t>全年雷电日数68日，全年雷暴日数51日。</w:t>
      </w:r>
    </w:p>
    <w:bookmarkEnd w:id="200"/>
    <w:bookmarkEnd w:id="201"/>
    <w:bookmarkEnd w:id="202"/>
    <w:p w14:paraId="3DEF127F">
      <w:pPr>
        <w:adjustRightInd w:val="0"/>
        <w:snapToGrid w:val="0"/>
        <w:spacing w:line="360" w:lineRule="auto"/>
        <w:rPr>
          <w:rFonts w:ascii="宋体" w:hAnsi="宋体"/>
          <w:b/>
          <w:color w:val="auto"/>
          <w:sz w:val="24"/>
          <w:highlight w:val="none"/>
        </w:rPr>
      </w:pPr>
      <w:bookmarkStart w:id="203" w:name="_Toc41118169"/>
      <w:bookmarkStart w:id="204" w:name="_Toc94415921"/>
      <w:bookmarkStart w:id="205" w:name="_Toc94415534"/>
      <w:bookmarkStart w:id="206" w:name="_Toc388520291"/>
      <w:r>
        <w:rPr>
          <w:rFonts w:hint="eastAsia" w:ascii="宋体" w:hAnsi="宋体"/>
          <w:b/>
          <w:color w:val="auto"/>
          <w:sz w:val="24"/>
          <w:highlight w:val="none"/>
        </w:rPr>
        <w:t>2.2.</w:t>
      </w:r>
      <w:r>
        <w:rPr>
          <w:rFonts w:ascii="宋体" w:hAnsi="宋体"/>
          <w:b/>
          <w:color w:val="auto"/>
          <w:sz w:val="24"/>
          <w:highlight w:val="none"/>
        </w:rPr>
        <w:t>2.2 厂址概况</w:t>
      </w:r>
      <w:bookmarkEnd w:id="203"/>
      <w:bookmarkEnd w:id="204"/>
      <w:bookmarkEnd w:id="205"/>
      <w:bookmarkEnd w:id="206"/>
    </w:p>
    <w:p w14:paraId="34897380">
      <w:pPr>
        <w:adjustRightInd w:val="0"/>
        <w:snapToGrid w:val="0"/>
        <w:spacing w:line="360" w:lineRule="auto"/>
        <w:rPr>
          <w:rFonts w:ascii="宋体" w:hAnsi="宋体"/>
          <w:color w:val="auto"/>
          <w:sz w:val="24"/>
          <w:highlight w:val="none"/>
        </w:rPr>
      </w:pPr>
      <w:bookmarkStart w:id="207" w:name="_Toc94415535"/>
      <w:bookmarkStart w:id="208" w:name="_Toc94415922"/>
      <w:r>
        <w:rPr>
          <w:rFonts w:hint="eastAsia" w:ascii="宋体" w:hAnsi="宋体"/>
          <w:color w:val="auto"/>
          <w:sz w:val="24"/>
          <w:highlight w:val="none"/>
        </w:rPr>
        <w:t>2.2.</w:t>
      </w:r>
      <w:r>
        <w:rPr>
          <w:rFonts w:ascii="宋体" w:hAnsi="宋体"/>
          <w:color w:val="auto"/>
          <w:sz w:val="24"/>
          <w:highlight w:val="none"/>
        </w:rPr>
        <w:t>2.2.1地理位置和区域概括</w:t>
      </w:r>
      <w:bookmarkEnd w:id="207"/>
      <w:bookmarkEnd w:id="208"/>
    </w:p>
    <w:p w14:paraId="082EEC13">
      <w:pPr>
        <w:adjustRightInd w:val="0"/>
        <w:snapToGrid w:val="0"/>
        <w:spacing w:line="360" w:lineRule="auto"/>
        <w:ind w:firstLine="480" w:firstLineChars="200"/>
        <w:rPr>
          <w:rFonts w:ascii="宋体" w:hAnsi="宋体"/>
          <w:color w:val="auto"/>
          <w:sz w:val="24"/>
          <w:highlight w:val="none"/>
        </w:rPr>
      </w:pPr>
      <w:bookmarkStart w:id="209" w:name="_Toc94415536"/>
      <w:bookmarkStart w:id="210" w:name="_Toc94415923"/>
      <w:r>
        <w:rPr>
          <w:rFonts w:ascii="宋体" w:hAnsi="宋体"/>
          <w:color w:val="auto"/>
          <w:sz w:val="24"/>
          <w:highlight w:val="none"/>
        </w:rPr>
        <w:t>衢州市地处闽、浙、赣、皖四省交界处。东与兰溪、金华相邻，南与遂昌交界，西与江山、常山相连，北与建德、淳安接壤。</w:t>
      </w:r>
    </w:p>
    <w:p w14:paraId="0D089B44">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本项目</w:t>
      </w:r>
      <w:r>
        <w:rPr>
          <w:rFonts w:hint="eastAsia" w:ascii="宋体" w:hAnsi="宋体"/>
          <w:color w:val="auto"/>
          <w:sz w:val="24"/>
          <w:highlight w:val="none"/>
        </w:rPr>
        <w:t>拟改造原有巨塑氯化钙三效蒸发装置，在其东南角改建或新建压缩机厂房</w:t>
      </w:r>
      <w:r>
        <w:rPr>
          <w:rFonts w:ascii="宋体" w:hAnsi="宋体"/>
          <w:color w:val="auto"/>
          <w:sz w:val="24"/>
          <w:highlight w:val="none"/>
        </w:rPr>
        <w:t>。巨化集团有限公司厂区位于浙江省西部衢州市南，距城6.5公里。东邻乌溪江，西近江山港，南枕衢南黄土丘陵，北临浙赣铁路线。拟建场地地势平坦，地貌简单，标高在7</w:t>
      </w:r>
      <w:r>
        <w:rPr>
          <w:rFonts w:hint="eastAsia" w:ascii="宋体" w:hAnsi="宋体"/>
          <w:color w:val="auto"/>
          <w:sz w:val="24"/>
          <w:highlight w:val="none"/>
        </w:rPr>
        <w:t>6.0</w:t>
      </w:r>
      <w:r>
        <w:rPr>
          <w:rFonts w:ascii="宋体" w:hAnsi="宋体"/>
          <w:color w:val="auto"/>
          <w:sz w:val="24"/>
          <w:highlight w:val="none"/>
        </w:rPr>
        <w:t>0（巨化独立系统，下同）左右。</w:t>
      </w:r>
    </w:p>
    <w:p w14:paraId="779069D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w:t>
      </w:r>
      <w:r>
        <w:rPr>
          <w:rFonts w:ascii="宋体" w:hAnsi="宋体"/>
          <w:color w:val="auto"/>
          <w:sz w:val="24"/>
          <w:highlight w:val="none"/>
        </w:rPr>
        <w:t>2.2.2 交通运输</w:t>
      </w:r>
      <w:bookmarkEnd w:id="209"/>
      <w:bookmarkEnd w:id="210"/>
      <w:r>
        <w:rPr>
          <w:rFonts w:ascii="宋体" w:hAnsi="宋体"/>
          <w:color w:val="auto"/>
          <w:sz w:val="24"/>
          <w:highlight w:val="none"/>
        </w:rPr>
        <w:t>情况</w:t>
      </w:r>
      <w:bookmarkStart w:id="211" w:name="_Toc94415537"/>
      <w:bookmarkStart w:id="212" w:name="_Toc94415924"/>
    </w:p>
    <w:p w14:paraId="76444B76">
      <w:pPr>
        <w:adjustRightInd w:val="0"/>
        <w:snapToGrid w:val="0"/>
        <w:spacing w:line="360" w:lineRule="auto"/>
        <w:rPr>
          <w:rFonts w:ascii="宋体" w:hAnsi="宋体"/>
          <w:color w:val="auto"/>
          <w:sz w:val="24"/>
          <w:highlight w:val="none"/>
        </w:rPr>
      </w:pPr>
      <w:r>
        <w:rPr>
          <w:rFonts w:ascii="宋体" w:hAnsi="宋体"/>
          <w:b/>
          <w:color w:val="auto"/>
          <w:sz w:val="24"/>
          <w:highlight w:val="none"/>
        </w:rPr>
        <w:t>铁路：</w:t>
      </w:r>
      <w:r>
        <w:rPr>
          <w:rFonts w:ascii="宋体" w:hAnsi="宋体"/>
          <w:color w:val="auto"/>
          <w:sz w:val="24"/>
          <w:highlight w:val="none"/>
        </w:rPr>
        <w:t>浙赣铁从城区南相切转向西南（距巨化西境2公里）而过。巨化专用线接轨于衢州新客站西，转南行1.5公里到巨化，巨化自设编组站，并设有运输处负责大宗原材料和产品的铁路运输，铁路运输是巨化大宗原材料和产品的主要运输方式</w:t>
      </w:r>
      <w:r>
        <w:rPr>
          <w:rFonts w:hint="eastAsia" w:ascii="宋体" w:hAnsi="宋体"/>
          <w:color w:val="auto"/>
          <w:sz w:val="24"/>
          <w:highlight w:val="none"/>
        </w:rPr>
        <w:t>，</w:t>
      </w:r>
      <w:r>
        <w:rPr>
          <w:rFonts w:ascii="宋体" w:hAnsi="宋体"/>
          <w:color w:val="auto"/>
          <w:sz w:val="24"/>
          <w:highlight w:val="none"/>
        </w:rPr>
        <w:t>氟化公司厂</w:t>
      </w:r>
      <w:r>
        <w:rPr>
          <w:rFonts w:hint="eastAsia" w:ascii="宋体" w:hAnsi="宋体"/>
          <w:color w:val="auto"/>
          <w:sz w:val="24"/>
          <w:highlight w:val="none"/>
        </w:rPr>
        <w:t>区南部</w:t>
      </w:r>
      <w:r>
        <w:rPr>
          <w:rFonts w:ascii="宋体" w:hAnsi="宋体"/>
          <w:color w:val="auto"/>
          <w:sz w:val="24"/>
          <w:highlight w:val="none"/>
        </w:rPr>
        <w:t>有铁路</w:t>
      </w:r>
      <w:r>
        <w:rPr>
          <w:rFonts w:hint="eastAsia" w:ascii="宋体" w:hAnsi="宋体"/>
          <w:color w:val="auto"/>
          <w:sz w:val="24"/>
          <w:highlight w:val="none"/>
        </w:rPr>
        <w:t>专用</w:t>
      </w:r>
      <w:r>
        <w:rPr>
          <w:rFonts w:ascii="宋体" w:hAnsi="宋体"/>
          <w:color w:val="auto"/>
          <w:sz w:val="24"/>
          <w:highlight w:val="none"/>
        </w:rPr>
        <w:t>装卸线。</w:t>
      </w:r>
    </w:p>
    <w:p w14:paraId="4D7384DC">
      <w:pPr>
        <w:adjustRightInd w:val="0"/>
        <w:snapToGrid w:val="0"/>
        <w:spacing w:line="360" w:lineRule="auto"/>
        <w:rPr>
          <w:rFonts w:ascii="宋体" w:hAnsi="宋体"/>
          <w:color w:val="auto"/>
          <w:sz w:val="24"/>
          <w:highlight w:val="none"/>
        </w:rPr>
      </w:pPr>
      <w:r>
        <w:rPr>
          <w:rFonts w:ascii="宋体" w:hAnsi="宋体"/>
          <w:b/>
          <w:color w:val="auto"/>
          <w:sz w:val="24"/>
          <w:highlight w:val="none"/>
        </w:rPr>
        <w:t>公路：</w:t>
      </w:r>
      <w:r>
        <w:rPr>
          <w:rFonts w:ascii="宋体" w:hAnsi="宋体"/>
          <w:color w:val="auto"/>
          <w:sz w:val="24"/>
          <w:highlight w:val="none"/>
        </w:rPr>
        <w:t>杭金衢高速公路、杭新景高速公路、320国道在市区北缘穿越，46省道与西侧相切。巨化集团有限公司道路网与市区道路、国省道、高速公路相接。</w:t>
      </w:r>
      <w:r>
        <w:rPr>
          <w:rFonts w:hint="eastAsia" w:ascii="宋体" w:hAnsi="宋体"/>
          <w:color w:val="auto"/>
          <w:sz w:val="24"/>
          <w:highlight w:val="none"/>
        </w:rPr>
        <w:t>项目拟建地的南侧紧靠场内主干道</w:t>
      </w:r>
      <w:r>
        <w:rPr>
          <w:rFonts w:ascii="宋体" w:hAnsi="宋体"/>
          <w:color w:val="auto"/>
          <w:sz w:val="24"/>
          <w:highlight w:val="none"/>
        </w:rPr>
        <w:t>北二道，</w:t>
      </w:r>
      <w:r>
        <w:rPr>
          <w:rFonts w:hint="eastAsia" w:ascii="宋体" w:hAnsi="宋体"/>
          <w:color w:val="auto"/>
          <w:sz w:val="24"/>
          <w:highlight w:val="none"/>
        </w:rPr>
        <w:t>厂区内道路成网。</w:t>
      </w:r>
      <w:r>
        <w:rPr>
          <w:rFonts w:ascii="宋体" w:hAnsi="宋体"/>
          <w:color w:val="auto"/>
          <w:sz w:val="24"/>
          <w:highlight w:val="none"/>
        </w:rPr>
        <w:t>道路运输十分畅通。</w:t>
      </w:r>
    </w:p>
    <w:p w14:paraId="2C465F9C">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w:t>
      </w:r>
      <w:r>
        <w:rPr>
          <w:rFonts w:ascii="宋体" w:hAnsi="宋体"/>
          <w:color w:val="auto"/>
          <w:sz w:val="24"/>
          <w:highlight w:val="none"/>
        </w:rPr>
        <w:t>2.2.3 征地及拆迁情况</w:t>
      </w:r>
      <w:bookmarkEnd w:id="211"/>
      <w:bookmarkEnd w:id="212"/>
    </w:p>
    <w:p w14:paraId="3B208603">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本项目设在原车间内，无需征地</w:t>
      </w:r>
    </w:p>
    <w:p w14:paraId="7A7593D6">
      <w:pPr>
        <w:keepNext/>
        <w:suppressAutoHyphens/>
        <w:adjustRightInd w:val="0"/>
        <w:snapToGrid w:val="0"/>
        <w:spacing w:line="360" w:lineRule="auto"/>
        <w:jc w:val="left"/>
        <w:outlineLvl w:val="1"/>
        <w:rPr>
          <w:rFonts w:ascii="宋体" w:hAnsi="宋体"/>
          <w:color w:val="auto"/>
          <w:sz w:val="24"/>
          <w:highlight w:val="none"/>
        </w:rPr>
      </w:pPr>
      <w:bookmarkStart w:id="213" w:name="_Toc501638244"/>
      <w:r>
        <w:rPr>
          <w:rFonts w:hint="eastAsia" w:ascii="宋体" w:hAnsi="宋体"/>
          <w:color w:val="auto"/>
          <w:sz w:val="24"/>
          <w:highlight w:val="none"/>
        </w:rPr>
        <w:t>2.2.2.3</w:t>
      </w:r>
      <w:r>
        <w:rPr>
          <w:rFonts w:ascii="宋体" w:hAnsi="宋体"/>
          <w:color w:val="auto"/>
          <w:sz w:val="24"/>
          <w:highlight w:val="none"/>
        </w:rPr>
        <w:t xml:space="preserve"> </w:t>
      </w:r>
      <w:r>
        <w:rPr>
          <w:rFonts w:hint="eastAsia" w:ascii="宋体" w:hAnsi="宋体"/>
          <w:color w:val="auto"/>
          <w:sz w:val="24"/>
          <w:highlight w:val="none"/>
        </w:rPr>
        <w:t>总图运输</w:t>
      </w:r>
      <w:bookmarkEnd w:id="213"/>
      <w:r>
        <w:rPr>
          <w:rFonts w:hint="eastAsia" w:ascii="宋体" w:hAnsi="宋体"/>
          <w:color w:val="auto"/>
          <w:sz w:val="24"/>
          <w:highlight w:val="none"/>
        </w:rPr>
        <w:t>、储运、界区内外管网</w:t>
      </w:r>
    </w:p>
    <w:p w14:paraId="38EB8092">
      <w:pPr>
        <w:spacing w:after="120" w:line="360" w:lineRule="auto"/>
        <w:ind w:left="420" w:leftChars="200"/>
        <w:rPr>
          <w:rFonts w:ascii="宋体" w:hAnsi="宋体"/>
          <w:color w:val="auto"/>
          <w:sz w:val="24"/>
          <w:highlight w:val="none"/>
        </w:rPr>
      </w:pPr>
      <w:bookmarkStart w:id="214" w:name="_Toc3827"/>
      <w:bookmarkStart w:id="215" w:name="_Toc26938"/>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3.1</w:t>
      </w:r>
      <w:r>
        <w:rPr>
          <w:rFonts w:ascii="宋体" w:hAnsi="宋体"/>
          <w:color w:val="auto"/>
          <w:sz w:val="24"/>
          <w:highlight w:val="none"/>
        </w:rPr>
        <w:t xml:space="preserve"> 总平面布置</w:t>
      </w:r>
    </w:p>
    <w:p w14:paraId="17AC16EA">
      <w:pPr>
        <w:spacing w:line="360" w:lineRule="auto"/>
        <w:ind w:firstLine="480"/>
        <w:rPr>
          <w:rFonts w:ascii="宋体" w:hAnsi="宋体"/>
          <w:color w:val="auto"/>
          <w:sz w:val="24"/>
          <w:highlight w:val="none"/>
        </w:rPr>
      </w:pPr>
      <w:r>
        <w:rPr>
          <w:rFonts w:hint="eastAsia" w:ascii="宋体" w:hAnsi="宋体"/>
          <w:color w:val="auto"/>
          <w:sz w:val="24"/>
          <w:highlight w:val="none"/>
        </w:rPr>
        <w:t>在满足生产工艺、交通运输、消防安全的前提下，严格执行现行的有关规定、规范，按照规划的要求，结合场地的实际情况，考虑上下游物料的互供，合理布置，节约用地。</w:t>
      </w:r>
    </w:p>
    <w:p w14:paraId="478A2F49">
      <w:pPr>
        <w:spacing w:after="120" w:line="360" w:lineRule="auto"/>
        <w:ind w:firstLine="480" w:firstLineChars="200"/>
        <w:rPr>
          <w:rFonts w:ascii="宋体" w:hAnsi="宋体"/>
          <w:color w:val="auto"/>
          <w:sz w:val="24"/>
          <w:highlight w:val="none"/>
        </w:rPr>
      </w:pPr>
      <w:r>
        <w:rPr>
          <w:rFonts w:hint="eastAsia" w:ascii="宋体" w:hAnsi="宋体"/>
          <w:color w:val="auto"/>
          <w:sz w:val="24"/>
          <w:highlight w:val="none"/>
        </w:rPr>
        <w:t>布置原则：在满足生产工艺、交通运输、消防安全的前提下，严格执行现行的有关规定、规范，合理布置，统筹考虑，尽可能使物料流向顺畅，运输方便，有利消防。</w:t>
      </w:r>
    </w:p>
    <w:p w14:paraId="53EFE1BC">
      <w:pPr>
        <w:spacing w:after="120" w:line="360" w:lineRule="auto"/>
        <w:ind w:firstLine="480" w:firstLineChars="200"/>
        <w:rPr>
          <w:rFonts w:ascii="宋体" w:hAnsi="宋体"/>
          <w:color w:val="auto"/>
          <w:sz w:val="24"/>
          <w:highlight w:val="none"/>
        </w:rPr>
      </w:pPr>
      <w:r>
        <w:rPr>
          <w:rFonts w:hint="eastAsia" w:ascii="宋体" w:hAnsi="宋体"/>
          <w:color w:val="auto"/>
          <w:sz w:val="24"/>
          <w:highlight w:val="none"/>
        </w:rPr>
        <w:t>本项目</w:t>
      </w:r>
      <w:r>
        <w:rPr>
          <w:rFonts w:ascii="宋体" w:hAnsi="宋体"/>
          <w:color w:val="auto"/>
          <w:sz w:val="24"/>
          <w:highlight w:val="none"/>
        </w:rPr>
        <w:t>主要为压缩机厂房</w:t>
      </w:r>
      <w:r>
        <w:rPr>
          <w:rFonts w:hint="eastAsia" w:ascii="宋体" w:hAnsi="宋体"/>
          <w:color w:val="auto"/>
          <w:sz w:val="24"/>
          <w:highlight w:val="none"/>
        </w:rPr>
        <w:t>，根据与发包人的沟通和协商，结合总图现状，考虑项目建设和生产安全的实际情况，总图布置方案如下：</w:t>
      </w:r>
    </w:p>
    <w:p w14:paraId="757129C1">
      <w:pPr>
        <w:spacing w:after="120" w:line="360" w:lineRule="auto"/>
        <w:ind w:left="420" w:leftChars="200"/>
        <w:rPr>
          <w:rFonts w:ascii="宋体" w:hAnsi="宋体"/>
          <w:color w:val="auto"/>
          <w:sz w:val="24"/>
          <w:highlight w:val="none"/>
        </w:rPr>
      </w:pPr>
      <w:r>
        <w:rPr>
          <w:rFonts w:hint="eastAsia" w:ascii="宋体" w:hAnsi="宋体"/>
          <w:color w:val="auto"/>
          <w:sz w:val="24"/>
          <w:highlight w:val="none"/>
        </w:rPr>
        <w:t>于巨塑1#皂化清液浓缩厂房东南面现备件库处改造或新建压缩机厂房。</w:t>
      </w:r>
    </w:p>
    <w:p w14:paraId="3D55A27D">
      <w:pPr>
        <w:spacing w:after="120" w:line="360" w:lineRule="auto"/>
        <w:ind w:left="420" w:leftChars="200"/>
        <w:rPr>
          <w:rFonts w:ascii="宋体" w:hAnsi="宋体"/>
          <w:color w:val="auto"/>
          <w:sz w:val="24"/>
          <w:highlight w:val="none"/>
        </w:rPr>
      </w:pPr>
      <w:r>
        <w:rPr>
          <w:rFonts w:ascii="宋体" w:hAnsi="宋体"/>
          <w:color w:val="auto"/>
          <w:sz w:val="24"/>
          <w:highlight w:val="none"/>
        </w:rPr>
        <w:t>竖向布置</w:t>
      </w:r>
    </w:p>
    <w:p w14:paraId="6E3B2378">
      <w:pPr>
        <w:spacing w:after="120" w:line="360" w:lineRule="auto"/>
        <w:ind w:firstLine="480" w:firstLineChars="200"/>
        <w:rPr>
          <w:rFonts w:ascii="宋体" w:hAnsi="宋体"/>
          <w:color w:val="auto"/>
          <w:sz w:val="24"/>
          <w:highlight w:val="none"/>
        </w:rPr>
      </w:pPr>
      <w:r>
        <w:rPr>
          <w:rFonts w:hint="eastAsia" w:ascii="宋体" w:hAnsi="宋体"/>
          <w:color w:val="auto"/>
          <w:sz w:val="24"/>
          <w:highlight w:val="none"/>
        </w:rPr>
        <w:t>由于厂址区域为厂区规划预留空地，场地平整，竖向设计时尽可能保持原标高，改善场地排水条件。</w:t>
      </w:r>
    </w:p>
    <w:p w14:paraId="2C6270B0">
      <w:pPr>
        <w:spacing w:after="120" w:line="360" w:lineRule="auto"/>
        <w:ind w:left="420" w:leftChars="20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2</w:t>
      </w:r>
      <w:r>
        <w:rPr>
          <w:rFonts w:hint="eastAsia" w:ascii="宋体" w:hAnsi="宋体"/>
          <w:color w:val="auto"/>
          <w:sz w:val="24"/>
          <w:highlight w:val="none"/>
        </w:rPr>
        <w:t>消防</w:t>
      </w:r>
    </w:p>
    <w:p w14:paraId="6E3CEC6A">
      <w:pPr>
        <w:spacing w:after="120" w:line="360" w:lineRule="auto"/>
        <w:ind w:firstLine="480" w:firstLineChars="200"/>
        <w:rPr>
          <w:rFonts w:ascii="宋体" w:hAnsi="宋体"/>
          <w:color w:val="auto"/>
          <w:sz w:val="24"/>
          <w:highlight w:val="none"/>
        </w:rPr>
      </w:pPr>
      <w:r>
        <w:rPr>
          <w:rFonts w:hint="eastAsia" w:ascii="宋体" w:hAnsi="宋体"/>
          <w:color w:val="auto"/>
          <w:sz w:val="24"/>
          <w:highlight w:val="none"/>
        </w:rPr>
        <w:t>本工程设计总图布置时，建构筑物、设施之间的间距严格按照国家76号文和浙应急危化（2019）96号文的要求确定，根据本项目建设特点和标准适用范围，以工艺装置为主的建设项目所以选用《石油化工企业设计防火标准》GB50160-2008（2018版）作为主要标准规范；对其未做要求的参照《建筑设计防火规范》GB50016-2014（2018版）</w:t>
      </w:r>
      <w:r>
        <w:rPr>
          <w:rFonts w:ascii="宋体" w:hAnsi="宋体"/>
          <w:color w:val="auto"/>
          <w:sz w:val="24"/>
          <w:highlight w:val="none"/>
        </w:rPr>
        <w:t>的要求。</w:t>
      </w:r>
    </w:p>
    <w:p w14:paraId="7273D33E">
      <w:pPr>
        <w:keepNext/>
        <w:suppressAutoHyphens/>
        <w:adjustRightInd w:val="0"/>
        <w:snapToGrid w:val="0"/>
        <w:spacing w:before="50" w:line="360" w:lineRule="auto"/>
        <w:jc w:val="left"/>
        <w:outlineLvl w:val="1"/>
        <w:rPr>
          <w:rFonts w:ascii="宋体" w:hAnsi="宋体"/>
          <w:color w:val="auto"/>
          <w:sz w:val="24"/>
          <w:highlight w:val="none"/>
        </w:rPr>
      </w:pPr>
      <w:bookmarkStart w:id="216" w:name="_Toc534960830"/>
      <w:r>
        <w:rPr>
          <w:rFonts w:hint="eastAsia" w:ascii="宋体" w:hAnsi="宋体"/>
          <w:color w:val="auto"/>
          <w:sz w:val="24"/>
          <w:highlight w:val="none"/>
        </w:rPr>
        <w:t>2.2.2.7</w:t>
      </w:r>
      <w:r>
        <w:rPr>
          <w:rFonts w:ascii="宋体" w:hAnsi="宋体"/>
          <w:color w:val="auto"/>
          <w:sz w:val="24"/>
          <w:highlight w:val="none"/>
        </w:rPr>
        <w:t>厂区外管网</w:t>
      </w:r>
      <w:bookmarkEnd w:id="216"/>
    </w:p>
    <w:p w14:paraId="0CC83912">
      <w:pPr>
        <w:keepNext/>
        <w:keepLines/>
        <w:snapToGrid w:val="0"/>
        <w:spacing w:line="360" w:lineRule="auto"/>
        <w:outlineLvl w:val="2"/>
        <w:rPr>
          <w:rFonts w:ascii="宋体" w:hAnsi="宋体"/>
          <w:color w:val="auto"/>
          <w:sz w:val="24"/>
          <w:highlight w:val="none"/>
        </w:rPr>
      </w:pPr>
      <w:r>
        <w:rPr>
          <w:rFonts w:hint="eastAsia" w:ascii="宋体" w:hAnsi="宋体"/>
          <w:color w:val="auto"/>
          <w:sz w:val="24"/>
          <w:highlight w:val="none"/>
        </w:rPr>
        <w:t>2.2.2.7.1概述</w:t>
      </w:r>
    </w:p>
    <w:p w14:paraId="38D11483">
      <w:pPr>
        <w:spacing w:line="360" w:lineRule="auto"/>
        <w:ind w:firstLine="480"/>
        <w:rPr>
          <w:rFonts w:ascii="宋体" w:hAnsi="宋体"/>
          <w:color w:val="auto"/>
          <w:sz w:val="24"/>
          <w:highlight w:val="none"/>
        </w:rPr>
      </w:pPr>
      <w:r>
        <w:rPr>
          <w:rFonts w:ascii="宋体" w:hAnsi="宋体"/>
          <w:color w:val="auto"/>
          <w:sz w:val="24"/>
          <w:highlight w:val="none"/>
        </w:rPr>
        <w:t>本</w:t>
      </w:r>
      <w:r>
        <w:rPr>
          <w:rFonts w:hint="eastAsia" w:ascii="宋体" w:hAnsi="宋体"/>
          <w:color w:val="auto"/>
          <w:sz w:val="24"/>
          <w:highlight w:val="none"/>
        </w:rPr>
        <w:t>项目</w:t>
      </w:r>
      <w:r>
        <w:rPr>
          <w:rFonts w:ascii="宋体" w:hAnsi="宋体"/>
          <w:color w:val="auto"/>
          <w:sz w:val="24"/>
          <w:highlight w:val="none"/>
        </w:rPr>
        <w:t>外管主要为</w:t>
      </w:r>
      <w:r>
        <w:rPr>
          <w:rFonts w:hint="eastAsia" w:ascii="宋体" w:hAnsi="宋体"/>
          <w:color w:val="auto"/>
          <w:sz w:val="24"/>
          <w:highlight w:val="none"/>
        </w:rPr>
        <w:t>含盐乏汽管、低压蒸汽管、污水管、仪用空气管等</w:t>
      </w:r>
      <w:r>
        <w:rPr>
          <w:rFonts w:ascii="宋体" w:hAnsi="宋体"/>
          <w:color w:val="auto"/>
          <w:sz w:val="24"/>
          <w:highlight w:val="none"/>
        </w:rPr>
        <w:t>。</w:t>
      </w:r>
    </w:p>
    <w:p w14:paraId="4CE9118D">
      <w:pPr>
        <w:keepNext/>
        <w:keepLines/>
        <w:snapToGrid w:val="0"/>
        <w:spacing w:line="360" w:lineRule="auto"/>
        <w:outlineLvl w:val="2"/>
        <w:rPr>
          <w:rFonts w:ascii="宋体" w:hAnsi="宋体"/>
          <w:color w:val="auto"/>
          <w:sz w:val="24"/>
          <w:highlight w:val="none"/>
        </w:rPr>
      </w:pPr>
      <w:r>
        <w:rPr>
          <w:rFonts w:hint="eastAsia" w:ascii="宋体" w:hAnsi="宋体"/>
          <w:color w:val="auto"/>
          <w:sz w:val="24"/>
          <w:highlight w:val="none"/>
        </w:rPr>
        <w:t>2.2.2.7.2外管道设计方案</w:t>
      </w:r>
    </w:p>
    <w:p w14:paraId="12A6A355">
      <w:pPr>
        <w:spacing w:line="360" w:lineRule="auto"/>
        <w:ind w:firstLine="480"/>
        <w:rPr>
          <w:rFonts w:ascii="宋体" w:hAnsi="宋体"/>
          <w:color w:val="auto"/>
          <w:sz w:val="24"/>
          <w:highlight w:val="none"/>
        </w:rPr>
      </w:pPr>
      <w:r>
        <w:rPr>
          <w:rFonts w:ascii="宋体" w:hAnsi="宋体"/>
          <w:color w:val="auto"/>
          <w:sz w:val="24"/>
          <w:highlight w:val="none"/>
        </w:rPr>
        <w:t>外管道均架空敷设</w:t>
      </w:r>
    </w:p>
    <w:p w14:paraId="054AC56E">
      <w:pPr>
        <w:spacing w:line="360" w:lineRule="auto"/>
        <w:ind w:firstLine="480"/>
        <w:rPr>
          <w:rFonts w:ascii="宋体" w:hAnsi="宋体"/>
          <w:color w:val="auto"/>
          <w:sz w:val="24"/>
          <w:highlight w:val="none"/>
        </w:rPr>
      </w:pPr>
      <w:r>
        <w:rPr>
          <w:rFonts w:ascii="宋体" w:hAnsi="宋体"/>
          <w:color w:val="auto"/>
          <w:sz w:val="24"/>
          <w:highlight w:val="none"/>
        </w:rPr>
        <w:t>根据本项目的特点，结合工厂</w:t>
      </w:r>
      <w:r>
        <w:rPr>
          <w:rFonts w:hint="eastAsia" w:ascii="宋体" w:hAnsi="宋体"/>
          <w:color w:val="auto"/>
          <w:sz w:val="24"/>
          <w:highlight w:val="none"/>
        </w:rPr>
        <w:t>现有管架</w:t>
      </w:r>
      <w:r>
        <w:rPr>
          <w:rFonts w:ascii="宋体" w:hAnsi="宋体"/>
          <w:color w:val="auto"/>
          <w:sz w:val="24"/>
          <w:highlight w:val="none"/>
        </w:rPr>
        <w:t>，</w:t>
      </w:r>
      <w:r>
        <w:rPr>
          <w:rFonts w:hint="eastAsia" w:ascii="宋体" w:hAnsi="宋体"/>
          <w:color w:val="auto"/>
          <w:sz w:val="24"/>
          <w:highlight w:val="none"/>
        </w:rPr>
        <w:t>合理增设管架</w:t>
      </w:r>
      <w:r>
        <w:rPr>
          <w:rFonts w:ascii="宋体" w:hAnsi="宋体"/>
          <w:color w:val="auto"/>
          <w:sz w:val="24"/>
          <w:highlight w:val="none"/>
        </w:rPr>
        <w:t>。</w:t>
      </w:r>
    </w:p>
    <w:p w14:paraId="17CD08BC">
      <w:pPr>
        <w:spacing w:line="360" w:lineRule="auto"/>
        <w:ind w:firstLine="480"/>
        <w:rPr>
          <w:rFonts w:ascii="宋体" w:hAnsi="宋体"/>
          <w:color w:val="auto"/>
          <w:sz w:val="24"/>
          <w:highlight w:val="none"/>
        </w:rPr>
      </w:pPr>
      <w:r>
        <w:rPr>
          <w:rFonts w:hint="eastAsia" w:ascii="宋体" w:hAnsi="宋体"/>
          <w:color w:val="auto"/>
          <w:sz w:val="24"/>
          <w:highlight w:val="none"/>
        </w:rPr>
        <w:t>含盐乏汽管采用20#无缝钢管</w:t>
      </w:r>
      <w:r>
        <w:rPr>
          <w:rFonts w:ascii="宋体" w:hAnsi="宋体"/>
          <w:color w:val="auto"/>
          <w:sz w:val="24"/>
          <w:highlight w:val="none"/>
        </w:rPr>
        <w:t>，含盐</w:t>
      </w:r>
      <w:r>
        <w:rPr>
          <w:rFonts w:hint="eastAsia" w:ascii="宋体" w:hAnsi="宋体"/>
          <w:color w:val="auto"/>
          <w:sz w:val="24"/>
          <w:highlight w:val="none"/>
        </w:rPr>
        <w:t>低压蒸汽管</w:t>
      </w:r>
      <w:r>
        <w:rPr>
          <w:rFonts w:ascii="宋体" w:hAnsi="宋体"/>
          <w:color w:val="auto"/>
          <w:sz w:val="24"/>
          <w:highlight w:val="none"/>
        </w:rPr>
        <w:t>为</w:t>
      </w:r>
      <w:r>
        <w:rPr>
          <w:rFonts w:hint="eastAsia" w:ascii="宋体" w:hAnsi="宋体"/>
          <w:color w:val="auto"/>
          <w:sz w:val="24"/>
          <w:highlight w:val="none"/>
        </w:rPr>
        <w:t>TA2</w:t>
      </w:r>
      <w:r>
        <w:rPr>
          <w:rFonts w:ascii="宋体" w:hAnsi="宋体"/>
          <w:color w:val="auto"/>
          <w:sz w:val="24"/>
          <w:highlight w:val="none"/>
        </w:rPr>
        <w:t>，污水管</w:t>
      </w:r>
      <w:r>
        <w:rPr>
          <w:rFonts w:hint="eastAsia" w:ascii="宋体" w:hAnsi="宋体"/>
          <w:color w:val="auto"/>
          <w:sz w:val="24"/>
          <w:highlight w:val="none"/>
        </w:rPr>
        <w:t>采用钢网P</w:t>
      </w:r>
      <w:r>
        <w:rPr>
          <w:rFonts w:ascii="宋体" w:hAnsi="宋体"/>
          <w:color w:val="auto"/>
          <w:sz w:val="24"/>
          <w:highlight w:val="none"/>
        </w:rPr>
        <w:t>E</w:t>
      </w:r>
      <w:r>
        <w:rPr>
          <w:rFonts w:hint="eastAsia" w:ascii="宋体" w:hAnsi="宋体"/>
          <w:color w:val="auto"/>
          <w:sz w:val="24"/>
          <w:highlight w:val="none"/>
        </w:rPr>
        <w:t>，仪用空气管采用20#无缝钢管。</w:t>
      </w:r>
    </w:p>
    <w:p w14:paraId="627001EF">
      <w:pPr>
        <w:spacing w:line="360" w:lineRule="auto"/>
        <w:ind w:firstLine="480"/>
        <w:rPr>
          <w:rFonts w:ascii="宋体" w:hAnsi="宋体"/>
          <w:color w:val="auto"/>
          <w:sz w:val="24"/>
          <w:highlight w:val="none"/>
        </w:rPr>
      </w:pPr>
      <w:r>
        <w:rPr>
          <w:rFonts w:hint="eastAsia" w:ascii="宋体" w:hAnsi="宋体"/>
          <w:color w:val="auto"/>
          <w:sz w:val="24"/>
          <w:highlight w:val="none"/>
        </w:rPr>
        <w:t>绝热方式与工艺设计部分统一，详见2.2.3.2.3</w:t>
      </w:r>
    </w:p>
    <w:p w14:paraId="464EFFFE">
      <w:pPr>
        <w:spacing w:line="360" w:lineRule="auto"/>
        <w:ind w:firstLine="480"/>
        <w:rPr>
          <w:rFonts w:ascii="宋体" w:hAnsi="宋体"/>
          <w:color w:val="auto"/>
          <w:sz w:val="24"/>
          <w:highlight w:val="none"/>
        </w:rPr>
      </w:pPr>
      <w:r>
        <w:rPr>
          <w:rFonts w:ascii="宋体" w:hAnsi="宋体"/>
          <w:color w:val="auto"/>
          <w:sz w:val="24"/>
          <w:highlight w:val="none"/>
        </w:rPr>
        <w:t>蒸汽管道的热膨胀除利用自然补偿外，另在需要处设置方形补偿器。</w:t>
      </w:r>
    </w:p>
    <w:p w14:paraId="46AE4DB8">
      <w:pPr>
        <w:keepNext/>
        <w:keepLines/>
        <w:snapToGrid w:val="0"/>
        <w:spacing w:line="360" w:lineRule="auto"/>
        <w:outlineLvl w:val="2"/>
        <w:rPr>
          <w:rFonts w:ascii="宋体" w:hAnsi="宋体"/>
          <w:color w:val="auto"/>
          <w:sz w:val="24"/>
          <w:highlight w:val="none"/>
        </w:rPr>
      </w:pPr>
      <w:r>
        <w:rPr>
          <w:rFonts w:hint="eastAsia" w:ascii="宋体" w:hAnsi="宋体"/>
          <w:color w:val="auto"/>
          <w:sz w:val="24"/>
          <w:highlight w:val="none"/>
        </w:rPr>
        <w:t>2.2.2.7.3管架设计方案</w:t>
      </w:r>
    </w:p>
    <w:p w14:paraId="4971045B">
      <w:pPr>
        <w:spacing w:line="360" w:lineRule="auto"/>
        <w:ind w:firstLine="480"/>
        <w:rPr>
          <w:rFonts w:ascii="宋体" w:hAnsi="宋体"/>
          <w:color w:val="auto"/>
          <w:sz w:val="24"/>
          <w:highlight w:val="none"/>
        </w:rPr>
      </w:pPr>
      <w:r>
        <w:rPr>
          <w:rFonts w:ascii="宋体" w:hAnsi="宋体"/>
          <w:color w:val="auto"/>
          <w:sz w:val="24"/>
          <w:highlight w:val="none"/>
        </w:rPr>
        <w:t>管架按管道敷设需要有单双层门式支架，独立柱T型支架等形式。</w:t>
      </w:r>
    </w:p>
    <w:p w14:paraId="3DC3AF31">
      <w:pPr>
        <w:spacing w:line="360" w:lineRule="auto"/>
        <w:ind w:firstLine="480"/>
        <w:rPr>
          <w:rFonts w:ascii="宋体" w:hAnsi="宋体"/>
          <w:color w:val="auto"/>
          <w:sz w:val="24"/>
          <w:highlight w:val="none"/>
        </w:rPr>
      </w:pPr>
      <w:r>
        <w:rPr>
          <w:rFonts w:ascii="宋体" w:hAnsi="宋体"/>
          <w:color w:val="auto"/>
          <w:sz w:val="24"/>
          <w:highlight w:val="none"/>
        </w:rPr>
        <w:t>支架材料为</w:t>
      </w:r>
      <w:r>
        <w:rPr>
          <w:rFonts w:hint="eastAsia" w:ascii="宋体" w:hAnsi="宋体"/>
          <w:color w:val="auto"/>
          <w:sz w:val="24"/>
          <w:highlight w:val="none"/>
        </w:rPr>
        <w:t>混凝土</w:t>
      </w:r>
      <w:r>
        <w:rPr>
          <w:rFonts w:ascii="宋体" w:hAnsi="宋体"/>
          <w:color w:val="auto"/>
          <w:sz w:val="24"/>
          <w:highlight w:val="none"/>
        </w:rPr>
        <w:t>支架。</w:t>
      </w:r>
    </w:p>
    <w:p w14:paraId="022CEC33">
      <w:pPr>
        <w:spacing w:line="360" w:lineRule="auto"/>
        <w:ind w:firstLine="480"/>
        <w:rPr>
          <w:rFonts w:ascii="宋体" w:hAnsi="宋体"/>
          <w:color w:val="auto"/>
          <w:sz w:val="24"/>
          <w:highlight w:val="none"/>
        </w:rPr>
      </w:pPr>
      <w:r>
        <w:rPr>
          <w:rFonts w:ascii="宋体" w:hAnsi="宋体"/>
          <w:color w:val="auto"/>
          <w:sz w:val="24"/>
          <w:highlight w:val="none"/>
        </w:rPr>
        <w:t>本设计中，由于有小口径管道，故设计当用单层门式支架时，在架间设置钢纵架敷设小口径管道；当用双层门式支架时，在满足大口径管道的敷设需要的同时，在架间的上层设置钢纵梁敷设小口径管道，用以增大管架间距，减少支架数量。</w:t>
      </w:r>
    </w:p>
    <w:p w14:paraId="6E90975F">
      <w:pPr>
        <w:spacing w:line="360" w:lineRule="auto"/>
        <w:ind w:firstLine="480"/>
        <w:rPr>
          <w:rFonts w:ascii="宋体" w:hAnsi="宋体"/>
          <w:color w:val="auto"/>
          <w:sz w:val="24"/>
          <w:highlight w:val="none"/>
        </w:rPr>
      </w:pPr>
      <w:r>
        <w:rPr>
          <w:rFonts w:ascii="宋体" w:hAnsi="宋体"/>
          <w:color w:val="auto"/>
          <w:sz w:val="24"/>
          <w:highlight w:val="none"/>
        </w:rPr>
        <w:t>管架的高度：在一般地段，管底（或钢梁底）净空为4.0m，在跨越道路处，管底（或钢梁底）净空不小于5m。</w:t>
      </w:r>
    </w:p>
    <w:p w14:paraId="3A41BB5B">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w:t>
      </w:r>
      <w:r>
        <w:rPr>
          <w:rFonts w:ascii="宋体" w:hAnsi="宋体"/>
          <w:b/>
          <w:color w:val="auto"/>
          <w:sz w:val="24"/>
          <w:highlight w:val="none"/>
        </w:rPr>
        <w:t>.</w:t>
      </w:r>
      <w:r>
        <w:rPr>
          <w:rFonts w:hint="eastAsia" w:ascii="宋体" w:hAnsi="宋体"/>
          <w:b/>
          <w:color w:val="auto"/>
          <w:sz w:val="24"/>
          <w:highlight w:val="none"/>
        </w:rPr>
        <w:t>3</w:t>
      </w:r>
      <w:r>
        <w:rPr>
          <w:rFonts w:ascii="宋体" w:hAnsi="宋体"/>
          <w:b/>
          <w:color w:val="auto"/>
          <w:sz w:val="24"/>
          <w:highlight w:val="none"/>
        </w:rPr>
        <w:t>工艺设计</w:t>
      </w:r>
    </w:p>
    <w:p w14:paraId="679DC140">
      <w:pPr>
        <w:spacing w:line="360" w:lineRule="auto"/>
        <w:rPr>
          <w:rFonts w:ascii="宋体" w:hAnsi="宋体"/>
          <w:b/>
          <w:color w:val="auto"/>
          <w:sz w:val="24"/>
          <w:highlight w:val="none"/>
        </w:rPr>
      </w:pPr>
      <w:r>
        <w:rPr>
          <w:rFonts w:hint="eastAsia" w:ascii="宋体" w:hAnsi="宋体"/>
          <w:b/>
          <w:color w:val="auto"/>
          <w:sz w:val="24"/>
          <w:highlight w:val="none"/>
        </w:rPr>
        <w:t>2.2.3.1</w:t>
      </w:r>
      <w:r>
        <w:rPr>
          <w:rFonts w:ascii="宋体" w:hAnsi="宋体"/>
          <w:b/>
          <w:color w:val="auto"/>
          <w:sz w:val="24"/>
          <w:highlight w:val="none"/>
        </w:rPr>
        <w:t xml:space="preserve"> 技术方案</w:t>
      </w:r>
    </w:p>
    <w:p w14:paraId="6808B026">
      <w:pPr>
        <w:spacing w:line="360" w:lineRule="auto"/>
        <w:ind w:firstLine="480"/>
        <w:rPr>
          <w:rFonts w:ascii="宋体" w:hAnsi="宋体"/>
          <w:color w:val="auto"/>
          <w:sz w:val="24"/>
          <w:highlight w:val="none"/>
        </w:rPr>
      </w:pPr>
      <w:r>
        <w:rPr>
          <w:rFonts w:hint="eastAsia" w:ascii="宋体" w:hAnsi="宋体"/>
          <w:color w:val="auto"/>
          <w:sz w:val="24"/>
          <w:highlight w:val="none"/>
        </w:rPr>
        <w:t>本项目技术方案拟采用多级离心蒸汽压缩机组直接压缩低质乏汽为高品位蒸汽。</w:t>
      </w:r>
    </w:p>
    <w:p w14:paraId="78152BA1">
      <w:pPr>
        <w:spacing w:line="360" w:lineRule="auto"/>
        <w:rPr>
          <w:rFonts w:ascii="宋体" w:hAnsi="宋体"/>
          <w:b/>
          <w:color w:val="auto"/>
          <w:sz w:val="24"/>
          <w:highlight w:val="none"/>
        </w:rPr>
      </w:pPr>
      <w:r>
        <w:rPr>
          <w:rFonts w:hint="eastAsia" w:ascii="宋体" w:hAnsi="宋体"/>
          <w:b/>
          <w:color w:val="auto"/>
          <w:sz w:val="24"/>
          <w:highlight w:val="none"/>
        </w:rPr>
        <w:t>2.</w:t>
      </w:r>
      <w:r>
        <w:rPr>
          <w:rFonts w:ascii="宋体" w:hAnsi="宋体"/>
          <w:b/>
          <w:color w:val="auto"/>
          <w:sz w:val="24"/>
          <w:highlight w:val="none"/>
        </w:rPr>
        <w:t>2</w:t>
      </w:r>
      <w:r>
        <w:rPr>
          <w:rFonts w:hint="eastAsia" w:ascii="宋体" w:hAnsi="宋体"/>
          <w:b/>
          <w:color w:val="auto"/>
          <w:sz w:val="24"/>
          <w:highlight w:val="none"/>
        </w:rPr>
        <w:t>.3.2</w:t>
      </w:r>
      <w:r>
        <w:rPr>
          <w:rFonts w:ascii="宋体" w:hAnsi="宋体"/>
          <w:b/>
          <w:color w:val="auto"/>
          <w:sz w:val="24"/>
          <w:highlight w:val="none"/>
        </w:rPr>
        <w:t>布置与配管</w:t>
      </w:r>
    </w:p>
    <w:p w14:paraId="0CE1D04F">
      <w:pPr>
        <w:adjustRightInd w:val="0"/>
        <w:snapToGrid w:val="0"/>
        <w:spacing w:line="360" w:lineRule="auto"/>
        <w:jc w:val="left"/>
        <w:rPr>
          <w:rFonts w:ascii="宋体" w:hAnsi="宋体"/>
          <w:b/>
          <w:color w:val="auto"/>
          <w:sz w:val="24"/>
          <w:highlight w:val="none"/>
        </w:rPr>
      </w:pPr>
      <w:r>
        <w:rPr>
          <w:rFonts w:hint="eastAsia" w:ascii="宋体" w:hAnsi="宋体"/>
          <w:b/>
          <w:color w:val="auto"/>
          <w:sz w:val="24"/>
          <w:highlight w:val="none"/>
        </w:rPr>
        <w:t>2.</w:t>
      </w:r>
      <w:r>
        <w:rPr>
          <w:rFonts w:ascii="宋体" w:hAnsi="宋体"/>
          <w:b/>
          <w:color w:val="auto"/>
          <w:sz w:val="24"/>
          <w:highlight w:val="none"/>
        </w:rPr>
        <w:t>2</w:t>
      </w:r>
      <w:r>
        <w:rPr>
          <w:rFonts w:hint="eastAsia" w:ascii="宋体" w:hAnsi="宋体"/>
          <w:b/>
          <w:color w:val="auto"/>
          <w:sz w:val="24"/>
          <w:highlight w:val="none"/>
        </w:rPr>
        <w:t>.3.2.1</w:t>
      </w:r>
      <w:r>
        <w:rPr>
          <w:rFonts w:ascii="宋体" w:hAnsi="宋体"/>
          <w:b/>
          <w:color w:val="auto"/>
          <w:sz w:val="24"/>
          <w:highlight w:val="none"/>
        </w:rPr>
        <w:t>采用的法规和规范、标准</w:t>
      </w:r>
    </w:p>
    <w:p w14:paraId="0E67C244">
      <w:pPr>
        <w:adjustRightInd w:val="0"/>
        <w:snapToGrid w:val="0"/>
        <w:spacing w:line="360" w:lineRule="auto"/>
        <w:ind w:firstLine="120" w:firstLineChars="50"/>
        <w:jc w:val="left"/>
        <w:rPr>
          <w:rFonts w:ascii="宋体" w:hAnsi="宋体"/>
          <w:color w:val="auto"/>
          <w:sz w:val="24"/>
          <w:highlight w:val="none"/>
        </w:rPr>
      </w:pPr>
      <w:r>
        <w:rPr>
          <w:rFonts w:ascii="宋体" w:hAnsi="宋体"/>
          <w:color w:val="auto"/>
          <w:sz w:val="24"/>
          <w:highlight w:val="none"/>
        </w:rPr>
        <w:t>《化工装置设备布置设计规范》  （HG/T20546-2009）</w:t>
      </w:r>
    </w:p>
    <w:p w14:paraId="18BF5F66">
      <w:pPr>
        <w:adjustRightInd w:val="0"/>
        <w:snapToGrid w:val="0"/>
        <w:spacing w:line="360" w:lineRule="auto"/>
        <w:ind w:firstLine="120" w:firstLineChars="50"/>
        <w:jc w:val="left"/>
        <w:rPr>
          <w:rFonts w:ascii="宋体" w:hAnsi="宋体"/>
          <w:color w:val="auto"/>
          <w:sz w:val="24"/>
          <w:highlight w:val="none"/>
        </w:rPr>
      </w:pPr>
      <w:r>
        <w:rPr>
          <w:rFonts w:ascii="宋体" w:hAnsi="宋体"/>
          <w:color w:val="auto"/>
          <w:sz w:val="24"/>
          <w:highlight w:val="none"/>
        </w:rPr>
        <w:t>《化工装置管道布置设计规范》  （HG/T20549-1998）</w:t>
      </w:r>
    </w:p>
    <w:p w14:paraId="5AC9F130">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工业金属管道设计规范</w:t>
      </w:r>
      <w:r>
        <w:rPr>
          <w:rFonts w:ascii="宋体" w:hAnsi="宋体"/>
          <w:color w:val="auto"/>
          <w:sz w:val="24"/>
          <w:highlight w:val="none"/>
        </w:rPr>
        <w:t>》GB50</w:t>
      </w:r>
      <w:r>
        <w:rPr>
          <w:rFonts w:hint="eastAsia" w:ascii="宋体" w:hAnsi="宋体"/>
          <w:color w:val="auto"/>
          <w:sz w:val="24"/>
          <w:highlight w:val="none"/>
        </w:rPr>
        <w:t>316</w:t>
      </w:r>
      <w:r>
        <w:rPr>
          <w:rFonts w:ascii="宋体" w:hAnsi="宋体"/>
          <w:color w:val="auto"/>
          <w:sz w:val="24"/>
          <w:highlight w:val="none"/>
        </w:rPr>
        <w:t>-200</w:t>
      </w:r>
      <w:r>
        <w:rPr>
          <w:rFonts w:hint="eastAsia" w:ascii="宋体" w:hAnsi="宋体"/>
          <w:color w:val="auto"/>
          <w:sz w:val="24"/>
          <w:highlight w:val="none"/>
        </w:rPr>
        <w:t>0,2008年版</w:t>
      </w:r>
    </w:p>
    <w:p w14:paraId="1B2B5E6C">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危险化学品重大危险源辨识</w:t>
      </w:r>
      <w:r>
        <w:rPr>
          <w:rFonts w:ascii="宋体" w:hAnsi="宋体"/>
          <w:color w:val="auto"/>
          <w:sz w:val="24"/>
          <w:highlight w:val="none"/>
        </w:rPr>
        <w:t>》GB</w:t>
      </w:r>
      <w:r>
        <w:rPr>
          <w:rFonts w:hint="eastAsia" w:ascii="宋体" w:hAnsi="宋体"/>
          <w:color w:val="auto"/>
          <w:sz w:val="24"/>
          <w:highlight w:val="none"/>
        </w:rPr>
        <w:t>18218</w:t>
      </w:r>
      <w:r>
        <w:rPr>
          <w:rFonts w:ascii="宋体" w:hAnsi="宋体"/>
          <w:color w:val="auto"/>
          <w:sz w:val="24"/>
          <w:highlight w:val="none"/>
        </w:rPr>
        <w:t>-200</w:t>
      </w:r>
      <w:r>
        <w:rPr>
          <w:rFonts w:hint="eastAsia" w:ascii="宋体" w:hAnsi="宋体"/>
          <w:color w:val="auto"/>
          <w:sz w:val="24"/>
          <w:highlight w:val="none"/>
        </w:rPr>
        <w:t>9</w:t>
      </w:r>
    </w:p>
    <w:p w14:paraId="7E38B185">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石油化工可燃气体和有毒气体检测报警设计规范</w:t>
      </w:r>
      <w:r>
        <w:rPr>
          <w:rFonts w:ascii="宋体" w:hAnsi="宋体"/>
          <w:color w:val="auto"/>
          <w:sz w:val="24"/>
          <w:highlight w:val="none"/>
        </w:rPr>
        <w:t>》GB</w:t>
      </w:r>
      <w:r>
        <w:rPr>
          <w:rFonts w:hint="eastAsia" w:ascii="宋体" w:hAnsi="宋体"/>
          <w:color w:val="auto"/>
          <w:sz w:val="24"/>
          <w:highlight w:val="none"/>
        </w:rPr>
        <w:t>50493</w:t>
      </w:r>
      <w:r>
        <w:rPr>
          <w:rFonts w:ascii="宋体" w:hAnsi="宋体"/>
          <w:color w:val="auto"/>
          <w:sz w:val="24"/>
          <w:highlight w:val="none"/>
        </w:rPr>
        <w:t>-200</w:t>
      </w:r>
      <w:r>
        <w:rPr>
          <w:rFonts w:hint="eastAsia" w:ascii="宋体" w:hAnsi="宋体"/>
          <w:color w:val="auto"/>
          <w:sz w:val="24"/>
          <w:highlight w:val="none"/>
        </w:rPr>
        <w:t>9</w:t>
      </w:r>
    </w:p>
    <w:p w14:paraId="17A980BF">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建筑抗震设计规范</w:t>
      </w:r>
      <w:r>
        <w:rPr>
          <w:rFonts w:ascii="宋体" w:hAnsi="宋体"/>
          <w:color w:val="auto"/>
          <w:sz w:val="24"/>
          <w:highlight w:val="none"/>
        </w:rPr>
        <w:t>》GB</w:t>
      </w:r>
      <w:r>
        <w:rPr>
          <w:rFonts w:hint="eastAsia" w:ascii="宋体" w:hAnsi="宋体"/>
          <w:color w:val="auto"/>
          <w:sz w:val="24"/>
          <w:highlight w:val="none"/>
        </w:rPr>
        <w:t>50011</w:t>
      </w:r>
      <w:r>
        <w:rPr>
          <w:rFonts w:ascii="宋体" w:hAnsi="宋体"/>
          <w:color w:val="auto"/>
          <w:sz w:val="24"/>
          <w:highlight w:val="none"/>
        </w:rPr>
        <w:t>-20</w:t>
      </w:r>
      <w:r>
        <w:rPr>
          <w:rFonts w:hint="eastAsia" w:ascii="宋体" w:hAnsi="宋体"/>
          <w:color w:val="auto"/>
          <w:sz w:val="24"/>
          <w:highlight w:val="none"/>
        </w:rPr>
        <w:t>10</w:t>
      </w:r>
    </w:p>
    <w:p w14:paraId="67B2A4FB">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构筑物抗震设计规范</w:t>
      </w:r>
      <w:r>
        <w:rPr>
          <w:rFonts w:ascii="宋体" w:hAnsi="宋体"/>
          <w:color w:val="auto"/>
          <w:sz w:val="24"/>
          <w:highlight w:val="none"/>
        </w:rPr>
        <w:t>》GB</w:t>
      </w:r>
      <w:r>
        <w:rPr>
          <w:rFonts w:hint="eastAsia" w:ascii="宋体" w:hAnsi="宋体"/>
          <w:color w:val="auto"/>
          <w:sz w:val="24"/>
          <w:highlight w:val="none"/>
        </w:rPr>
        <w:t>50191</w:t>
      </w:r>
      <w:r>
        <w:rPr>
          <w:rFonts w:ascii="宋体" w:hAnsi="宋体"/>
          <w:color w:val="auto"/>
          <w:sz w:val="24"/>
          <w:highlight w:val="none"/>
        </w:rPr>
        <w:t>-20</w:t>
      </w:r>
      <w:r>
        <w:rPr>
          <w:rFonts w:hint="eastAsia" w:ascii="宋体" w:hAnsi="宋体"/>
          <w:color w:val="auto"/>
          <w:sz w:val="24"/>
          <w:highlight w:val="none"/>
        </w:rPr>
        <w:t>12</w:t>
      </w:r>
    </w:p>
    <w:p w14:paraId="2124AFBD">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建筑结构荷载规范</w:t>
      </w:r>
      <w:r>
        <w:rPr>
          <w:rFonts w:ascii="宋体" w:hAnsi="宋体"/>
          <w:color w:val="auto"/>
          <w:sz w:val="24"/>
          <w:highlight w:val="none"/>
        </w:rPr>
        <w:t>》GB</w:t>
      </w:r>
      <w:r>
        <w:rPr>
          <w:rFonts w:hint="eastAsia" w:ascii="宋体" w:hAnsi="宋体"/>
          <w:color w:val="auto"/>
          <w:sz w:val="24"/>
          <w:highlight w:val="none"/>
        </w:rPr>
        <w:t>50009</w:t>
      </w:r>
      <w:r>
        <w:rPr>
          <w:rFonts w:ascii="宋体" w:hAnsi="宋体"/>
          <w:color w:val="auto"/>
          <w:sz w:val="24"/>
          <w:highlight w:val="none"/>
        </w:rPr>
        <w:t>-20</w:t>
      </w:r>
      <w:r>
        <w:rPr>
          <w:rFonts w:hint="eastAsia" w:ascii="宋体" w:hAnsi="宋体"/>
          <w:color w:val="auto"/>
          <w:sz w:val="24"/>
          <w:highlight w:val="none"/>
        </w:rPr>
        <w:t>10</w:t>
      </w:r>
    </w:p>
    <w:p w14:paraId="13339B0A">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工业建筑防腐设计规范</w:t>
      </w:r>
      <w:r>
        <w:rPr>
          <w:rFonts w:ascii="宋体" w:hAnsi="宋体"/>
          <w:color w:val="auto"/>
          <w:sz w:val="24"/>
          <w:highlight w:val="none"/>
        </w:rPr>
        <w:t>》GB</w:t>
      </w:r>
      <w:r>
        <w:rPr>
          <w:rFonts w:hint="eastAsia" w:ascii="宋体" w:hAnsi="宋体"/>
          <w:color w:val="auto"/>
          <w:sz w:val="24"/>
          <w:highlight w:val="none"/>
        </w:rPr>
        <w:t>50046</w:t>
      </w:r>
      <w:r>
        <w:rPr>
          <w:rFonts w:ascii="宋体" w:hAnsi="宋体"/>
          <w:color w:val="auto"/>
          <w:sz w:val="24"/>
          <w:highlight w:val="none"/>
        </w:rPr>
        <w:t>-20</w:t>
      </w:r>
      <w:r>
        <w:rPr>
          <w:rFonts w:hint="eastAsia" w:ascii="宋体" w:hAnsi="宋体"/>
          <w:color w:val="auto"/>
          <w:sz w:val="24"/>
          <w:highlight w:val="none"/>
        </w:rPr>
        <w:t>08</w:t>
      </w:r>
    </w:p>
    <w:p w14:paraId="687F5B9A">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建筑抗震设计规范</w:t>
      </w:r>
      <w:r>
        <w:rPr>
          <w:rFonts w:ascii="宋体" w:hAnsi="宋体"/>
          <w:color w:val="auto"/>
          <w:sz w:val="24"/>
          <w:highlight w:val="none"/>
        </w:rPr>
        <w:t>》GB</w:t>
      </w:r>
      <w:r>
        <w:rPr>
          <w:rFonts w:hint="eastAsia" w:ascii="宋体" w:hAnsi="宋体"/>
          <w:color w:val="auto"/>
          <w:sz w:val="24"/>
          <w:highlight w:val="none"/>
        </w:rPr>
        <w:t>50011</w:t>
      </w:r>
      <w:r>
        <w:rPr>
          <w:rFonts w:ascii="宋体" w:hAnsi="宋体"/>
          <w:color w:val="auto"/>
          <w:sz w:val="24"/>
          <w:highlight w:val="none"/>
        </w:rPr>
        <w:t>-20</w:t>
      </w:r>
      <w:r>
        <w:rPr>
          <w:rFonts w:hint="eastAsia" w:ascii="宋体" w:hAnsi="宋体"/>
          <w:color w:val="auto"/>
          <w:sz w:val="24"/>
          <w:highlight w:val="none"/>
        </w:rPr>
        <w:t>10</w:t>
      </w:r>
    </w:p>
    <w:p w14:paraId="008E15B4">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建筑物防雷设计规范</w:t>
      </w:r>
      <w:r>
        <w:rPr>
          <w:rFonts w:ascii="宋体" w:hAnsi="宋体"/>
          <w:color w:val="auto"/>
          <w:sz w:val="24"/>
          <w:highlight w:val="none"/>
        </w:rPr>
        <w:t>》GB</w:t>
      </w:r>
      <w:r>
        <w:rPr>
          <w:rFonts w:hint="eastAsia" w:ascii="宋体" w:hAnsi="宋体"/>
          <w:color w:val="auto"/>
          <w:sz w:val="24"/>
          <w:highlight w:val="none"/>
        </w:rPr>
        <w:t>50057</w:t>
      </w:r>
      <w:r>
        <w:rPr>
          <w:rFonts w:ascii="宋体" w:hAnsi="宋体"/>
          <w:color w:val="auto"/>
          <w:sz w:val="24"/>
          <w:highlight w:val="none"/>
        </w:rPr>
        <w:t>-20</w:t>
      </w:r>
      <w:r>
        <w:rPr>
          <w:rFonts w:hint="eastAsia" w:ascii="宋体" w:hAnsi="宋体"/>
          <w:color w:val="auto"/>
          <w:sz w:val="24"/>
          <w:highlight w:val="none"/>
        </w:rPr>
        <w:t>10</w:t>
      </w:r>
    </w:p>
    <w:p w14:paraId="55705DA4">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固定式钢梯及平台安全要求第一部分：钢直梯</w:t>
      </w:r>
      <w:r>
        <w:rPr>
          <w:rFonts w:ascii="宋体" w:hAnsi="宋体"/>
          <w:color w:val="auto"/>
          <w:sz w:val="24"/>
          <w:highlight w:val="none"/>
        </w:rPr>
        <w:t>》GB</w:t>
      </w:r>
      <w:r>
        <w:rPr>
          <w:rFonts w:hint="eastAsia" w:ascii="宋体" w:hAnsi="宋体"/>
          <w:color w:val="auto"/>
          <w:sz w:val="24"/>
          <w:highlight w:val="none"/>
        </w:rPr>
        <w:t>4053.1</w:t>
      </w:r>
      <w:r>
        <w:rPr>
          <w:rFonts w:ascii="宋体" w:hAnsi="宋体"/>
          <w:color w:val="auto"/>
          <w:sz w:val="24"/>
          <w:highlight w:val="none"/>
        </w:rPr>
        <w:t>-20</w:t>
      </w:r>
      <w:r>
        <w:rPr>
          <w:rFonts w:hint="eastAsia" w:ascii="宋体" w:hAnsi="宋体"/>
          <w:color w:val="auto"/>
          <w:sz w:val="24"/>
          <w:highlight w:val="none"/>
        </w:rPr>
        <w:t>09</w:t>
      </w:r>
    </w:p>
    <w:p w14:paraId="73892912">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固定式钢梯及平台安全要求第二部分：钢斜梯</w:t>
      </w:r>
      <w:r>
        <w:rPr>
          <w:rFonts w:ascii="宋体" w:hAnsi="宋体"/>
          <w:color w:val="auto"/>
          <w:sz w:val="24"/>
          <w:highlight w:val="none"/>
        </w:rPr>
        <w:t>》GB</w:t>
      </w:r>
      <w:r>
        <w:rPr>
          <w:rFonts w:hint="eastAsia" w:ascii="宋体" w:hAnsi="宋体"/>
          <w:color w:val="auto"/>
          <w:sz w:val="24"/>
          <w:highlight w:val="none"/>
        </w:rPr>
        <w:t>4053.2</w:t>
      </w:r>
      <w:r>
        <w:rPr>
          <w:rFonts w:ascii="宋体" w:hAnsi="宋体"/>
          <w:color w:val="auto"/>
          <w:sz w:val="24"/>
          <w:highlight w:val="none"/>
        </w:rPr>
        <w:t>-20</w:t>
      </w:r>
      <w:r>
        <w:rPr>
          <w:rFonts w:hint="eastAsia" w:ascii="宋体" w:hAnsi="宋体"/>
          <w:color w:val="auto"/>
          <w:sz w:val="24"/>
          <w:highlight w:val="none"/>
        </w:rPr>
        <w:t>09</w:t>
      </w:r>
    </w:p>
    <w:p w14:paraId="7738B0DF">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固定式钢梯及平台安全要求第三部分：工业防护栏及钢平台</w:t>
      </w:r>
      <w:r>
        <w:rPr>
          <w:rFonts w:ascii="宋体" w:hAnsi="宋体"/>
          <w:color w:val="auto"/>
          <w:sz w:val="24"/>
          <w:highlight w:val="none"/>
        </w:rPr>
        <w:t>》GB</w:t>
      </w:r>
      <w:r>
        <w:rPr>
          <w:rFonts w:hint="eastAsia" w:ascii="宋体" w:hAnsi="宋体"/>
          <w:color w:val="auto"/>
          <w:sz w:val="24"/>
          <w:highlight w:val="none"/>
        </w:rPr>
        <w:t>4053.3</w:t>
      </w:r>
      <w:r>
        <w:rPr>
          <w:rFonts w:ascii="宋体" w:hAnsi="宋体"/>
          <w:color w:val="auto"/>
          <w:sz w:val="24"/>
          <w:highlight w:val="none"/>
        </w:rPr>
        <w:t>-20</w:t>
      </w:r>
      <w:r>
        <w:rPr>
          <w:rFonts w:hint="eastAsia" w:ascii="宋体" w:hAnsi="宋体"/>
          <w:color w:val="auto"/>
          <w:sz w:val="24"/>
          <w:highlight w:val="none"/>
        </w:rPr>
        <w:t>09</w:t>
      </w:r>
    </w:p>
    <w:p w14:paraId="5EB47865">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储罐区防火设计规范</w:t>
      </w:r>
      <w:r>
        <w:rPr>
          <w:rFonts w:ascii="宋体" w:hAnsi="宋体"/>
          <w:color w:val="auto"/>
          <w:sz w:val="24"/>
          <w:highlight w:val="none"/>
        </w:rPr>
        <w:t>》GB</w:t>
      </w:r>
      <w:r>
        <w:rPr>
          <w:rFonts w:hint="eastAsia" w:ascii="宋体" w:hAnsi="宋体"/>
          <w:color w:val="auto"/>
          <w:sz w:val="24"/>
          <w:highlight w:val="none"/>
        </w:rPr>
        <w:t>50351</w:t>
      </w:r>
      <w:r>
        <w:rPr>
          <w:rFonts w:ascii="宋体" w:hAnsi="宋体"/>
          <w:color w:val="auto"/>
          <w:sz w:val="24"/>
          <w:highlight w:val="none"/>
        </w:rPr>
        <w:t>-20</w:t>
      </w:r>
      <w:r>
        <w:rPr>
          <w:rFonts w:hint="eastAsia" w:ascii="宋体" w:hAnsi="宋体"/>
          <w:color w:val="auto"/>
          <w:sz w:val="24"/>
          <w:highlight w:val="none"/>
        </w:rPr>
        <w:t>05</w:t>
      </w:r>
    </w:p>
    <w:p w14:paraId="57B2CC6B">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自动喷水灭火系统设计规范</w:t>
      </w:r>
      <w:r>
        <w:rPr>
          <w:rFonts w:ascii="宋体" w:hAnsi="宋体"/>
          <w:color w:val="auto"/>
          <w:sz w:val="24"/>
          <w:highlight w:val="none"/>
        </w:rPr>
        <w:t>》GB</w:t>
      </w:r>
      <w:r>
        <w:rPr>
          <w:rFonts w:hint="eastAsia" w:ascii="宋体" w:hAnsi="宋体"/>
          <w:color w:val="auto"/>
          <w:sz w:val="24"/>
          <w:highlight w:val="none"/>
        </w:rPr>
        <w:t>50084</w:t>
      </w:r>
      <w:r>
        <w:rPr>
          <w:rFonts w:ascii="宋体" w:hAnsi="宋体"/>
          <w:color w:val="auto"/>
          <w:sz w:val="24"/>
          <w:highlight w:val="none"/>
        </w:rPr>
        <w:t>-20</w:t>
      </w:r>
      <w:r>
        <w:rPr>
          <w:rFonts w:hint="eastAsia" w:ascii="宋体" w:hAnsi="宋体"/>
          <w:color w:val="auto"/>
          <w:sz w:val="24"/>
          <w:highlight w:val="none"/>
        </w:rPr>
        <w:t>01,2005年版</w:t>
      </w:r>
    </w:p>
    <w:p w14:paraId="286329F4">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建筑灭火器配置设计规范</w:t>
      </w:r>
      <w:r>
        <w:rPr>
          <w:rFonts w:ascii="宋体" w:hAnsi="宋体"/>
          <w:color w:val="auto"/>
          <w:sz w:val="24"/>
          <w:highlight w:val="none"/>
        </w:rPr>
        <w:t>》GB</w:t>
      </w:r>
      <w:r>
        <w:rPr>
          <w:rFonts w:hint="eastAsia" w:ascii="宋体" w:hAnsi="宋体"/>
          <w:color w:val="auto"/>
          <w:sz w:val="24"/>
          <w:highlight w:val="none"/>
        </w:rPr>
        <w:t>50140</w:t>
      </w:r>
      <w:r>
        <w:rPr>
          <w:rFonts w:ascii="宋体" w:hAnsi="宋体"/>
          <w:color w:val="auto"/>
          <w:sz w:val="24"/>
          <w:highlight w:val="none"/>
        </w:rPr>
        <w:t>-20</w:t>
      </w:r>
      <w:r>
        <w:rPr>
          <w:rFonts w:hint="eastAsia" w:ascii="宋体" w:hAnsi="宋体"/>
          <w:color w:val="auto"/>
          <w:sz w:val="24"/>
          <w:highlight w:val="none"/>
        </w:rPr>
        <w:t>05</w:t>
      </w:r>
    </w:p>
    <w:p w14:paraId="7A3D2B09">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固定消防炮灭火系统设计规范</w:t>
      </w:r>
      <w:r>
        <w:rPr>
          <w:rFonts w:ascii="宋体" w:hAnsi="宋体"/>
          <w:color w:val="auto"/>
          <w:sz w:val="24"/>
          <w:highlight w:val="none"/>
        </w:rPr>
        <w:t>》GB</w:t>
      </w:r>
      <w:r>
        <w:rPr>
          <w:rFonts w:hint="eastAsia" w:ascii="宋体" w:hAnsi="宋体"/>
          <w:color w:val="auto"/>
          <w:sz w:val="24"/>
          <w:highlight w:val="none"/>
        </w:rPr>
        <w:t>50338</w:t>
      </w:r>
      <w:r>
        <w:rPr>
          <w:rFonts w:ascii="宋体" w:hAnsi="宋体"/>
          <w:color w:val="auto"/>
          <w:sz w:val="24"/>
          <w:highlight w:val="none"/>
        </w:rPr>
        <w:t>-20</w:t>
      </w:r>
      <w:r>
        <w:rPr>
          <w:rFonts w:hint="eastAsia" w:ascii="宋体" w:hAnsi="宋体"/>
          <w:color w:val="auto"/>
          <w:sz w:val="24"/>
          <w:highlight w:val="none"/>
        </w:rPr>
        <w:t>03</w:t>
      </w:r>
    </w:p>
    <w:p w14:paraId="15CECFE9">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防止静电事故通用导则</w:t>
      </w:r>
      <w:r>
        <w:rPr>
          <w:rFonts w:ascii="宋体" w:hAnsi="宋体"/>
          <w:color w:val="auto"/>
          <w:sz w:val="24"/>
          <w:highlight w:val="none"/>
        </w:rPr>
        <w:t>》GB</w:t>
      </w:r>
      <w:r>
        <w:rPr>
          <w:rFonts w:hint="eastAsia" w:ascii="宋体" w:hAnsi="宋体"/>
          <w:color w:val="auto"/>
          <w:sz w:val="24"/>
          <w:highlight w:val="none"/>
        </w:rPr>
        <w:t>12158</w:t>
      </w:r>
      <w:r>
        <w:rPr>
          <w:rFonts w:ascii="宋体" w:hAnsi="宋体"/>
          <w:color w:val="auto"/>
          <w:sz w:val="24"/>
          <w:highlight w:val="none"/>
        </w:rPr>
        <w:t>-20</w:t>
      </w:r>
      <w:r>
        <w:rPr>
          <w:rFonts w:hint="eastAsia" w:ascii="宋体" w:hAnsi="宋体"/>
          <w:color w:val="auto"/>
          <w:sz w:val="24"/>
          <w:highlight w:val="none"/>
        </w:rPr>
        <w:t>06</w:t>
      </w:r>
    </w:p>
    <w:p w14:paraId="4A296F85">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建筑采光设计标准</w:t>
      </w:r>
      <w:r>
        <w:rPr>
          <w:rFonts w:ascii="宋体" w:hAnsi="宋体"/>
          <w:color w:val="auto"/>
          <w:sz w:val="24"/>
          <w:highlight w:val="none"/>
        </w:rPr>
        <w:t>》GB</w:t>
      </w:r>
      <w:r>
        <w:rPr>
          <w:rFonts w:hint="eastAsia" w:ascii="宋体" w:hAnsi="宋体"/>
          <w:color w:val="auto"/>
          <w:sz w:val="24"/>
          <w:highlight w:val="none"/>
        </w:rPr>
        <w:t>50033</w:t>
      </w:r>
      <w:r>
        <w:rPr>
          <w:rFonts w:ascii="宋体" w:hAnsi="宋体"/>
          <w:color w:val="auto"/>
          <w:sz w:val="24"/>
          <w:highlight w:val="none"/>
        </w:rPr>
        <w:t>-20</w:t>
      </w:r>
      <w:r>
        <w:rPr>
          <w:rFonts w:hint="eastAsia" w:ascii="宋体" w:hAnsi="宋体"/>
          <w:color w:val="auto"/>
          <w:sz w:val="24"/>
          <w:highlight w:val="none"/>
        </w:rPr>
        <w:t>13</w:t>
      </w:r>
    </w:p>
    <w:p w14:paraId="0BF09841">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建筑照明设计标准</w:t>
      </w:r>
      <w:r>
        <w:rPr>
          <w:rFonts w:ascii="宋体" w:hAnsi="宋体"/>
          <w:color w:val="auto"/>
          <w:sz w:val="24"/>
          <w:highlight w:val="none"/>
        </w:rPr>
        <w:t>》GB</w:t>
      </w:r>
      <w:r>
        <w:rPr>
          <w:rFonts w:hint="eastAsia" w:ascii="宋体" w:hAnsi="宋体"/>
          <w:color w:val="auto"/>
          <w:sz w:val="24"/>
          <w:highlight w:val="none"/>
        </w:rPr>
        <w:t>50034</w:t>
      </w:r>
      <w:r>
        <w:rPr>
          <w:rFonts w:ascii="宋体" w:hAnsi="宋体"/>
          <w:color w:val="auto"/>
          <w:sz w:val="24"/>
          <w:highlight w:val="none"/>
        </w:rPr>
        <w:t>-20</w:t>
      </w:r>
      <w:r>
        <w:rPr>
          <w:rFonts w:hint="eastAsia" w:ascii="宋体" w:hAnsi="宋体"/>
          <w:color w:val="auto"/>
          <w:sz w:val="24"/>
          <w:highlight w:val="none"/>
        </w:rPr>
        <w:t>14</w:t>
      </w:r>
    </w:p>
    <w:p w14:paraId="7549BCAB">
      <w:pPr>
        <w:adjustRightInd w:val="0"/>
        <w:snapToGrid w:val="0"/>
        <w:spacing w:line="360" w:lineRule="auto"/>
        <w:jc w:val="left"/>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供配电系统设计规范</w:t>
      </w:r>
      <w:r>
        <w:rPr>
          <w:rFonts w:ascii="宋体" w:hAnsi="宋体"/>
          <w:color w:val="auto"/>
          <w:sz w:val="24"/>
          <w:highlight w:val="none"/>
        </w:rPr>
        <w:t>》GB</w:t>
      </w:r>
      <w:r>
        <w:rPr>
          <w:rFonts w:hint="eastAsia" w:ascii="宋体" w:hAnsi="宋体"/>
          <w:color w:val="auto"/>
          <w:sz w:val="24"/>
          <w:highlight w:val="none"/>
        </w:rPr>
        <w:t>50052</w:t>
      </w:r>
      <w:r>
        <w:rPr>
          <w:rFonts w:ascii="宋体" w:hAnsi="宋体"/>
          <w:color w:val="auto"/>
          <w:sz w:val="24"/>
          <w:highlight w:val="none"/>
        </w:rPr>
        <w:t>-20</w:t>
      </w:r>
      <w:r>
        <w:rPr>
          <w:rFonts w:hint="eastAsia" w:ascii="宋体" w:hAnsi="宋体"/>
          <w:color w:val="auto"/>
          <w:sz w:val="24"/>
          <w:highlight w:val="none"/>
        </w:rPr>
        <w:t>09</w:t>
      </w:r>
    </w:p>
    <w:p w14:paraId="683D5FF7">
      <w:pPr>
        <w:adjustRightInd w:val="0"/>
        <w:snapToGrid w:val="0"/>
        <w:spacing w:line="360" w:lineRule="auto"/>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通用用电设备配电设计标准</w:t>
      </w:r>
      <w:r>
        <w:rPr>
          <w:rFonts w:ascii="宋体" w:hAnsi="宋体"/>
          <w:color w:val="auto"/>
          <w:sz w:val="24"/>
          <w:highlight w:val="none"/>
        </w:rPr>
        <w:t>》GB</w:t>
      </w:r>
      <w:r>
        <w:rPr>
          <w:rFonts w:hint="eastAsia" w:ascii="宋体" w:hAnsi="宋体"/>
          <w:color w:val="auto"/>
          <w:sz w:val="24"/>
          <w:highlight w:val="none"/>
        </w:rPr>
        <w:t>50055</w:t>
      </w:r>
      <w:r>
        <w:rPr>
          <w:rFonts w:ascii="宋体" w:hAnsi="宋体"/>
          <w:color w:val="auto"/>
          <w:sz w:val="24"/>
          <w:highlight w:val="none"/>
        </w:rPr>
        <w:t>-20</w:t>
      </w:r>
      <w:r>
        <w:rPr>
          <w:rFonts w:hint="eastAsia" w:ascii="宋体" w:hAnsi="宋体"/>
          <w:color w:val="auto"/>
          <w:sz w:val="24"/>
          <w:highlight w:val="none"/>
        </w:rPr>
        <w:t>11</w:t>
      </w:r>
    </w:p>
    <w:p w14:paraId="06BEECDE">
      <w:pPr>
        <w:adjustRightInd w:val="0"/>
        <w:snapToGrid w:val="0"/>
        <w:spacing w:line="360" w:lineRule="auto"/>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爆炸危险环境电力装置设计标准</w:t>
      </w:r>
      <w:r>
        <w:rPr>
          <w:rFonts w:ascii="宋体" w:hAnsi="宋体"/>
          <w:color w:val="auto"/>
          <w:sz w:val="24"/>
          <w:highlight w:val="none"/>
        </w:rPr>
        <w:t>》GB</w:t>
      </w:r>
      <w:r>
        <w:rPr>
          <w:rFonts w:hint="eastAsia" w:ascii="宋体" w:hAnsi="宋体"/>
          <w:color w:val="auto"/>
          <w:sz w:val="24"/>
          <w:highlight w:val="none"/>
        </w:rPr>
        <w:t>50058</w:t>
      </w:r>
      <w:r>
        <w:rPr>
          <w:rFonts w:ascii="宋体" w:hAnsi="宋体"/>
          <w:color w:val="auto"/>
          <w:sz w:val="24"/>
          <w:highlight w:val="none"/>
        </w:rPr>
        <w:t>-20</w:t>
      </w:r>
      <w:r>
        <w:rPr>
          <w:rFonts w:hint="eastAsia" w:ascii="宋体" w:hAnsi="宋体"/>
          <w:color w:val="auto"/>
          <w:sz w:val="24"/>
          <w:highlight w:val="none"/>
        </w:rPr>
        <w:t>14</w:t>
      </w:r>
    </w:p>
    <w:p w14:paraId="06D17FA6">
      <w:pPr>
        <w:adjustRightInd w:val="0"/>
        <w:snapToGrid w:val="0"/>
        <w:spacing w:line="360" w:lineRule="auto"/>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火灾自动报警系统设计标准</w:t>
      </w:r>
      <w:r>
        <w:rPr>
          <w:rFonts w:ascii="宋体" w:hAnsi="宋体"/>
          <w:color w:val="auto"/>
          <w:sz w:val="24"/>
          <w:highlight w:val="none"/>
        </w:rPr>
        <w:t>》GB</w:t>
      </w:r>
      <w:r>
        <w:rPr>
          <w:rFonts w:hint="eastAsia" w:ascii="宋体" w:hAnsi="宋体"/>
          <w:color w:val="auto"/>
          <w:sz w:val="24"/>
          <w:highlight w:val="none"/>
        </w:rPr>
        <w:t>50116</w:t>
      </w:r>
      <w:r>
        <w:rPr>
          <w:rFonts w:ascii="宋体" w:hAnsi="宋体"/>
          <w:color w:val="auto"/>
          <w:sz w:val="24"/>
          <w:highlight w:val="none"/>
        </w:rPr>
        <w:t>-20</w:t>
      </w:r>
      <w:r>
        <w:rPr>
          <w:rFonts w:hint="eastAsia" w:ascii="宋体" w:hAnsi="宋体"/>
          <w:color w:val="auto"/>
          <w:sz w:val="24"/>
          <w:highlight w:val="none"/>
        </w:rPr>
        <w:t>08</w:t>
      </w:r>
    </w:p>
    <w:p w14:paraId="6D8BC97A">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常用危险化学品储存通则</w:t>
      </w:r>
      <w:r>
        <w:rPr>
          <w:rFonts w:ascii="宋体" w:hAnsi="宋体"/>
          <w:color w:val="auto"/>
          <w:sz w:val="24"/>
          <w:highlight w:val="none"/>
        </w:rPr>
        <w:t>》GB</w:t>
      </w:r>
      <w:r>
        <w:rPr>
          <w:rFonts w:hint="eastAsia" w:ascii="宋体" w:hAnsi="宋体"/>
          <w:color w:val="auto"/>
          <w:sz w:val="24"/>
          <w:highlight w:val="none"/>
        </w:rPr>
        <w:t>15603</w:t>
      </w:r>
      <w:r>
        <w:rPr>
          <w:rFonts w:ascii="宋体" w:hAnsi="宋体"/>
          <w:color w:val="auto"/>
          <w:sz w:val="24"/>
          <w:highlight w:val="none"/>
        </w:rPr>
        <w:t>-</w:t>
      </w:r>
      <w:r>
        <w:rPr>
          <w:rFonts w:hint="eastAsia" w:ascii="宋体" w:hAnsi="宋体"/>
          <w:color w:val="auto"/>
          <w:sz w:val="24"/>
          <w:highlight w:val="none"/>
        </w:rPr>
        <w:t>1995</w:t>
      </w:r>
    </w:p>
    <w:p w14:paraId="45255255">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易燃易爆性商品储藏养护技术条件</w:t>
      </w:r>
      <w:r>
        <w:rPr>
          <w:rFonts w:ascii="宋体" w:hAnsi="宋体"/>
          <w:color w:val="auto"/>
          <w:sz w:val="24"/>
          <w:highlight w:val="none"/>
        </w:rPr>
        <w:t>》GB</w:t>
      </w:r>
      <w:r>
        <w:rPr>
          <w:rFonts w:hint="eastAsia" w:ascii="宋体" w:hAnsi="宋体"/>
          <w:color w:val="auto"/>
          <w:sz w:val="24"/>
          <w:highlight w:val="none"/>
        </w:rPr>
        <w:t>17914</w:t>
      </w:r>
      <w:r>
        <w:rPr>
          <w:rFonts w:ascii="宋体" w:hAnsi="宋体"/>
          <w:color w:val="auto"/>
          <w:sz w:val="24"/>
          <w:highlight w:val="none"/>
        </w:rPr>
        <w:t>-</w:t>
      </w:r>
      <w:r>
        <w:rPr>
          <w:rFonts w:hint="eastAsia" w:ascii="宋体" w:hAnsi="宋体"/>
          <w:color w:val="auto"/>
          <w:sz w:val="24"/>
          <w:highlight w:val="none"/>
        </w:rPr>
        <w:t>2013</w:t>
      </w:r>
    </w:p>
    <w:p w14:paraId="4D717764">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化工企业静电接地设计规程</w:t>
      </w:r>
      <w:r>
        <w:rPr>
          <w:rFonts w:ascii="宋体" w:hAnsi="宋体"/>
          <w:color w:val="auto"/>
          <w:sz w:val="24"/>
          <w:highlight w:val="none"/>
        </w:rPr>
        <w:t>》</w:t>
      </w:r>
      <w:r>
        <w:rPr>
          <w:rFonts w:hint="eastAsia" w:ascii="宋体" w:hAnsi="宋体"/>
          <w:color w:val="auto"/>
          <w:sz w:val="24"/>
          <w:highlight w:val="none"/>
        </w:rPr>
        <w:t>HG/T20675</w:t>
      </w:r>
      <w:r>
        <w:rPr>
          <w:rFonts w:ascii="宋体" w:hAnsi="宋体"/>
          <w:color w:val="auto"/>
          <w:sz w:val="24"/>
          <w:highlight w:val="none"/>
        </w:rPr>
        <w:t>-</w:t>
      </w:r>
      <w:r>
        <w:rPr>
          <w:rFonts w:hint="eastAsia" w:ascii="宋体" w:hAnsi="宋体"/>
          <w:color w:val="auto"/>
          <w:sz w:val="24"/>
          <w:highlight w:val="none"/>
        </w:rPr>
        <w:t>1990</w:t>
      </w:r>
    </w:p>
    <w:p w14:paraId="1DE1E823">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化工采暖通风与空气调节设计规程</w:t>
      </w:r>
      <w:r>
        <w:rPr>
          <w:rFonts w:ascii="宋体" w:hAnsi="宋体"/>
          <w:color w:val="auto"/>
          <w:sz w:val="24"/>
          <w:highlight w:val="none"/>
        </w:rPr>
        <w:t>》</w:t>
      </w:r>
      <w:r>
        <w:rPr>
          <w:rFonts w:hint="eastAsia" w:ascii="宋体" w:hAnsi="宋体"/>
          <w:color w:val="auto"/>
          <w:sz w:val="24"/>
          <w:highlight w:val="none"/>
        </w:rPr>
        <w:t>HG/T20698</w:t>
      </w:r>
      <w:r>
        <w:rPr>
          <w:rFonts w:ascii="宋体" w:hAnsi="宋体"/>
          <w:color w:val="auto"/>
          <w:sz w:val="24"/>
          <w:highlight w:val="none"/>
        </w:rPr>
        <w:t>-</w:t>
      </w:r>
      <w:r>
        <w:rPr>
          <w:rFonts w:hint="eastAsia" w:ascii="宋体" w:hAnsi="宋体"/>
          <w:color w:val="auto"/>
          <w:sz w:val="24"/>
          <w:highlight w:val="none"/>
        </w:rPr>
        <w:t>2009</w:t>
      </w:r>
    </w:p>
    <w:p w14:paraId="410DFEDE">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化工企业工艺安全管理实施导则</w:t>
      </w:r>
      <w:r>
        <w:rPr>
          <w:rFonts w:ascii="宋体" w:hAnsi="宋体"/>
          <w:color w:val="auto"/>
          <w:sz w:val="24"/>
          <w:highlight w:val="none"/>
        </w:rPr>
        <w:t>》</w:t>
      </w:r>
      <w:r>
        <w:rPr>
          <w:rFonts w:hint="eastAsia" w:ascii="宋体" w:hAnsi="宋体"/>
          <w:color w:val="auto"/>
          <w:sz w:val="24"/>
          <w:highlight w:val="none"/>
        </w:rPr>
        <w:t>AQ/T3034</w:t>
      </w:r>
      <w:r>
        <w:rPr>
          <w:rFonts w:ascii="宋体" w:hAnsi="宋体"/>
          <w:color w:val="auto"/>
          <w:sz w:val="24"/>
          <w:highlight w:val="none"/>
        </w:rPr>
        <w:t>-</w:t>
      </w:r>
      <w:r>
        <w:rPr>
          <w:rFonts w:hint="eastAsia" w:ascii="宋体" w:hAnsi="宋体"/>
          <w:color w:val="auto"/>
          <w:sz w:val="24"/>
          <w:highlight w:val="none"/>
        </w:rPr>
        <w:t>2010</w:t>
      </w:r>
    </w:p>
    <w:p w14:paraId="14274079">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化工建设项目安全设计管理导则</w:t>
      </w:r>
      <w:r>
        <w:rPr>
          <w:rFonts w:ascii="宋体" w:hAnsi="宋体"/>
          <w:color w:val="auto"/>
          <w:sz w:val="24"/>
          <w:highlight w:val="none"/>
        </w:rPr>
        <w:t>》</w:t>
      </w:r>
      <w:r>
        <w:rPr>
          <w:rFonts w:hint="eastAsia" w:ascii="宋体" w:hAnsi="宋体"/>
          <w:color w:val="auto"/>
          <w:sz w:val="24"/>
          <w:highlight w:val="none"/>
        </w:rPr>
        <w:t>AQ/T3033</w:t>
      </w:r>
      <w:r>
        <w:rPr>
          <w:rFonts w:ascii="宋体" w:hAnsi="宋体"/>
          <w:color w:val="auto"/>
          <w:sz w:val="24"/>
          <w:highlight w:val="none"/>
        </w:rPr>
        <w:t>-</w:t>
      </w:r>
      <w:r>
        <w:rPr>
          <w:rFonts w:hint="eastAsia" w:ascii="宋体" w:hAnsi="宋体"/>
          <w:color w:val="auto"/>
          <w:sz w:val="24"/>
          <w:highlight w:val="none"/>
        </w:rPr>
        <w:t>2010</w:t>
      </w:r>
    </w:p>
    <w:p w14:paraId="376F4195">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压力管道安全技术监察规程-工艺管道</w:t>
      </w:r>
      <w:r>
        <w:rPr>
          <w:rFonts w:ascii="宋体" w:hAnsi="宋体"/>
          <w:color w:val="auto"/>
          <w:sz w:val="24"/>
          <w:highlight w:val="none"/>
        </w:rPr>
        <w:t>》</w:t>
      </w:r>
      <w:r>
        <w:rPr>
          <w:rFonts w:hint="eastAsia" w:ascii="宋体" w:hAnsi="宋体"/>
          <w:color w:val="auto"/>
          <w:sz w:val="24"/>
          <w:highlight w:val="none"/>
        </w:rPr>
        <w:t>TSGD0001</w:t>
      </w:r>
      <w:r>
        <w:rPr>
          <w:rFonts w:ascii="宋体" w:hAnsi="宋体"/>
          <w:color w:val="auto"/>
          <w:sz w:val="24"/>
          <w:highlight w:val="none"/>
        </w:rPr>
        <w:t>-</w:t>
      </w:r>
      <w:r>
        <w:rPr>
          <w:rFonts w:hint="eastAsia" w:ascii="宋体" w:hAnsi="宋体"/>
          <w:color w:val="auto"/>
          <w:sz w:val="24"/>
          <w:highlight w:val="none"/>
        </w:rPr>
        <w:t>2009</w:t>
      </w:r>
    </w:p>
    <w:p w14:paraId="01AD6F37">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压力阀门安全技术监察规程</w:t>
      </w:r>
      <w:r>
        <w:rPr>
          <w:rFonts w:ascii="宋体" w:hAnsi="宋体"/>
          <w:color w:val="auto"/>
          <w:sz w:val="24"/>
          <w:highlight w:val="none"/>
        </w:rPr>
        <w:t>》</w:t>
      </w:r>
      <w:r>
        <w:rPr>
          <w:rFonts w:hint="eastAsia" w:ascii="宋体" w:hAnsi="宋体"/>
          <w:color w:val="auto"/>
          <w:sz w:val="24"/>
          <w:highlight w:val="none"/>
        </w:rPr>
        <w:t>TSGDB001</w:t>
      </w:r>
      <w:r>
        <w:rPr>
          <w:rFonts w:ascii="宋体" w:hAnsi="宋体"/>
          <w:color w:val="auto"/>
          <w:sz w:val="24"/>
          <w:highlight w:val="none"/>
        </w:rPr>
        <w:t>-</w:t>
      </w:r>
      <w:r>
        <w:rPr>
          <w:rFonts w:hint="eastAsia" w:ascii="宋体" w:hAnsi="宋体"/>
          <w:color w:val="auto"/>
          <w:sz w:val="24"/>
          <w:highlight w:val="none"/>
        </w:rPr>
        <w:t>2008</w:t>
      </w:r>
    </w:p>
    <w:p w14:paraId="06EFAE41">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压力管道使用登记管理规则</w:t>
      </w:r>
      <w:r>
        <w:rPr>
          <w:rFonts w:ascii="宋体" w:hAnsi="宋体"/>
          <w:color w:val="auto"/>
          <w:sz w:val="24"/>
          <w:highlight w:val="none"/>
        </w:rPr>
        <w:t>》</w:t>
      </w:r>
      <w:r>
        <w:rPr>
          <w:rFonts w:hint="eastAsia" w:ascii="宋体" w:hAnsi="宋体"/>
          <w:color w:val="auto"/>
          <w:sz w:val="24"/>
          <w:highlight w:val="none"/>
        </w:rPr>
        <w:t>TSGD5001</w:t>
      </w:r>
      <w:r>
        <w:rPr>
          <w:rFonts w:ascii="宋体" w:hAnsi="宋体"/>
          <w:color w:val="auto"/>
          <w:sz w:val="24"/>
          <w:highlight w:val="none"/>
        </w:rPr>
        <w:t>-</w:t>
      </w:r>
      <w:r>
        <w:rPr>
          <w:rFonts w:hint="eastAsia" w:ascii="宋体" w:hAnsi="宋体"/>
          <w:color w:val="auto"/>
          <w:sz w:val="24"/>
          <w:highlight w:val="none"/>
        </w:rPr>
        <w:t>2009</w:t>
      </w:r>
    </w:p>
    <w:p w14:paraId="38F62F5E">
      <w:pPr>
        <w:adjustRightInd w:val="0"/>
        <w:snapToGrid w:val="0"/>
        <w:spacing w:line="360" w:lineRule="auto"/>
        <w:rPr>
          <w:rFonts w:ascii="宋体" w:hAnsi="宋体"/>
          <w:b/>
          <w:color w:val="auto"/>
          <w:sz w:val="24"/>
          <w:highlight w:val="none"/>
        </w:rPr>
      </w:pPr>
      <w:r>
        <w:rPr>
          <w:rFonts w:ascii="宋体" w:hAnsi="宋体"/>
          <w:color w:val="auto"/>
          <w:sz w:val="24"/>
          <w:highlight w:val="none"/>
        </w:rPr>
        <w:t>《</w:t>
      </w:r>
      <w:r>
        <w:rPr>
          <w:rFonts w:hint="eastAsia" w:ascii="宋体" w:hAnsi="宋体"/>
          <w:color w:val="auto"/>
          <w:sz w:val="24"/>
          <w:highlight w:val="none"/>
        </w:rPr>
        <w:t>安全阀安全技术监察规程</w:t>
      </w:r>
      <w:r>
        <w:rPr>
          <w:rFonts w:ascii="宋体" w:hAnsi="宋体"/>
          <w:color w:val="auto"/>
          <w:sz w:val="24"/>
          <w:highlight w:val="none"/>
        </w:rPr>
        <w:t>》</w:t>
      </w:r>
      <w:r>
        <w:rPr>
          <w:rFonts w:hint="eastAsia" w:ascii="宋体" w:hAnsi="宋体"/>
          <w:color w:val="auto"/>
          <w:sz w:val="24"/>
          <w:highlight w:val="none"/>
        </w:rPr>
        <w:t>TSGZF001</w:t>
      </w:r>
      <w:r>
        <w:rPr>
          <w:rFonts w:ascii="宋体" w:hAnsi="宋体"/>
          <w:color w:val="auto"/>
          <w:sz w:val="24"/>
          <w:highlight w:val="none"/>
        </w:rPr>
        <w:t>-</w:t>
      </w:r>
      <w:r>
        <w:rPr>
          <w:rFonts w:hint="eastAsia" w:ascii="宋体" w:hAnsi="宋体"/>
          <w:color w:val="auto"/>
          <w:sz w:val="24"/>
          <w:highlight w:val="none"/>
        </w:rPr>
        <w:t>2006</w:t>
      </w:r>
    </w:p>
    <w:p w14:paraId="2EDF401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《设备及管道绝热设计导则》GBT 8175-2008</w:t>
      </w:r>
    </w:p>
    <w:p w14:paraId="0525F4C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《石油化工设备和管道绝热工程设计规范》SHT 3010-2013</w:t>
      </w:r>
    </w:p>
    <w:p w14:paraId="06D0FF7C">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《仪表及管线伴热和绝热保温设计规范》HGT 20514-2014</w:t>
      </w:r>
    </w:p>
    <w:p w14:paraId="5F46D7F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《工业设备及管道绝热工程设计规范》GB 50264-2013</w:t>
      </w:r>
    </w:p>
    <w:p w14:paraId="280199CF">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2.2.3.2.2</w:t>
      </w:r>
      <w:r>
        <w:rPr>
          <w:rFonts w:ascii="宋体" w:hAnsi="宋体"/>
          <w:b/>
          <w:color w:val="auto"/>
          <w:sz w:val="24"/>
          <w:highlight w:val="none"/>
        </w:rPr>
        <w:t xml:space="preserve"> 装置、设备布置原则</w:t>
      </w:r>
    </w:p>
    <w:p w14:paraId="4D123DC3">
      <w:pPr>
        <w:autoSpaceDE w:val="0"/>
        <w:autoSpaceDN w:val="0"/>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sz w:val="24"/>
          <w:highlight w:val="none"/>
        </w:rPr>
        <w:t>1）</w:t>
      </w:r>
      <w:r>
        <w:rPr>
          <w:rFonts w:ascii="宋体" w:hAnsi="宋体"/>
          <w:color w:val="auto"/>
          <w:kern w:val="0"/>
          <w:sz w:val="24"/>
          <w:highlight w:val="none"/>
        </w:rPr>
        <w:t>装置布置设计满足工艺及流程的要求，对腐蚀性、有毒、粘稠物料的设备按物料性质紧凑布置。</w:t>
      </w:r>
    </w:p>
    <w:p w14:paraId="13BF0932">
      <w:pPr>
        <w:autoSpaceDE w:val="0"/>
        <w:autoSpaceDN w:val="0"/>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sz w:val="24"/>
          <w:highlight w:val="none"/>
        </w:rPr>
        <w:t>2）</w:t>
      </w:r>
      <w:r>
        <w:rPr>
          <w:rFonts w:ascii="宋体" w:hAnsi="宋体"/>
          <w:color w:val="auto"/>
          <w:kern w:val="0"/>
          <w:sz w:val="24"/>
          <w:highlight w:val="none"/>
        </w:rPr>
        <w:t>设备、建构筑物等的防火间距符合有关防火规范要求，根据危险程度的划分来考虑布置设备。</w:t>
      </w:r>
    </w:p>
    <w:p w14:paraId="0DA8BF3C">
      <w:pPr>
        <w:autoSpaceDE w:val="0"/>
        <w:autoSpaceDN w:val="0"/>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sz w:val="24"/>
          <w:highlight w:val="none"/>
        </w:rPr>
        <w:t>3）</w:t>
      </w:r>
      <w:r>
        <w:rPr>
          <w:rFonts w:ascii="宋体" w:hAnsi="宋体"/>
          <w:color w:val="auto"/>
          <w:kern w:val="0"/>
          <w:sz w:val="24"/>
          <w:highlight w:val="none"/>
        </w:rPr>
        <w:t>装置布置考虑必要的操作通道和平台；合理安排设备间距和净空高度等。</w:t>
      </w:r>
    </w:p>
    <w:p w14:paraId="7B95197F">
      <w:pPr>
        <w:autoSpaceDE w:val="0"/>
        <w:autoSpaceDN w:val="0"/>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sz w:val="24"/>
          <w:highlight w:val="none"/>
        </w:rPr>
        <w:t>4）</w:t>
      </w:r>
      <w:r>
        <w:rPr>
          <w:rFonts w:ascii="宋体" w:hAnsi="宋体"/>
          <w:color w:val="auto"/>
          <w:kern w:val="0"/>
          <w:sz w:val="24"/>
          <w:highlight w:val="none"/>
        </w:rPr>
        <w:t>设备布置在符合工艺要求的前提下以经济合理为主，并注意整齐美观，同时考虑管道尽量直而短。</w:t>
      </w:r>
    </w:p>
    <w:p w14:paraId="78ED90EA">
      <w:pPr>
        <w:autoSpaceDE w:val="0"/>
        <w:autoSpaceDN w:val="0"/>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kern w:val="0"/>
          <w:sz w:val="24"/>
          <w:highlight w:val="none"/>
        </w:rPr>
        <w:t>5）管道布置必须合理，便于操作，法兰连接管道加设法兰护套。</w:t>
      </w:r>
    </w:p>
    <w:p w14:paraId="068EB457">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2.2.3.2.3</w:t>
      </w:r>
      <w:r>
        <w:rPr>
          <w:rFonts w:ascii="宋体" w:hAnsi="宋体"/>
          <w:b/>
          <w:color w:val="auto"/>
          <w:sz w:val="24"/>
          <w:highlight w:val="none"/>
        </w:rPr>
        <w:t xml:space="preserve"> 绝热方式确定的原则</w:t>
      </w:r>
    </w:p>
    <w:p w14:paraId="508FECA0">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2.2.3.2.3</w:t>
      </w:r>
      <w:r>
        <w:rPr>
          <w:rFonts w:ascii="宋体" w:hAnsi="宋体"/>
          <w:b/>
          <w:color w:val="auto"/>
          <w:sz w:val="24"/>
          <w:highlight w:val="none"/>
        </w:rPr>
        <w:t xml:space="preserve"> 绝热方式确定的原则</w:t>
      </w:r>
    </w:p>
    <w:p w14:paraId="0052D9B1">
      <w:pPr>
        <w:autoSpaceDE w:val="0"/>
        <w:autoSpaceDN w:val="0"/>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1）管道</w:t>
      </w:r>
      <w:r>
        <w:rPr>
          <w:rFonts w:ascii="宋体" w:hAnsi="宋体"/>
          <w:color w:val="auto"/>
          <w:kern w:val="0"/>
          <w:sz w:val="24"/>
          <w:highlight w:val="none"/>
        </w:rPr>
        <w:t>保温材料</w:t>
      </w:r>
      <w:r>
        <w:rPr>
          <w:rFonts w:hint="eastAsia" w:ascii="宋体" w:hAnsi="宋体"/>
          <w:color w:val="auto"/>
          <w:kern w:val="0"/>
          <w:sz w:val="24"/>
          <w:highlight w:val="none"/>
        </w:rPr>
        <w:t>：物料温度≤80℃，选用阻燃型聚氨酯管壳（燃烧性能等级B</w:t>
      </w:r>
      <w:r>
        <w:rPr>
          <w:rFonts w:ascii="宋体" w:hAnsi="宋体"/>
          <w:color w:val="auto"/>
          <w:kern w:val="0"/>
          <w:sz w:val="24"/>
          <w:highlight w:val="none"/>
        </w:rPr>
        <w:t>1级</w:t>
      </w:r>
      <w:r>
        <w:rPr>
          <w:rFonts w:hint="eastAsia" w:ascii="宋体" w:hAnsi="宋体"/>
          <w:color w:val="auto"/>
          <w:kern w:val="0"/>
          <w:sz w:val="24"/>
          <w:highlight w:val="none"/>
        </w:rPr>
        <w:t>）；物料温度＞80℃，采用气凝胶/硅酸铝管壳；管道</w:t>
      </w:r>
      <w:r>
        <w:rPr>
          <w:rFonts w:ascii="宋体" w:hAnsi="宋体"/>
          <w:color w:val="auto"/>
          <w:kern w:val="0"/>
          <w:sz w:val="24"/>
          <w:highlight w:val="none"/>
        </w:rPr>
        <w:t>保冷材料</w:t>
      </w:r>
      <w:r>
        <w:rPr>
          <w:rFonts w:hint="eastAsia" w:ascii="宋体" w:hAnsi="宋体"/>
          <w:color w:val="auto"/>
          <w:kern w:val="0"/>
          <w:sz w:val="24"/>
          <w:highlight w:val="none"/>
        </w:rPr>
        <w:t>：</w:t>
      </w:r>
      <w:r>
        <w:rPr>
          <w:rFonts w:ascii="宋体" w:hAnsi="宋体"/>
          <w:color w:val="auto"/>
          <w:kern w:val="0"/>
          <w:sz w:val="24"/>
          <w:highlight w:val="none"/>
        </w:rPr>
        <w:t>选用</w:t>
      </w:r>
      <w:r>
        <w:rPr>
          <w:rFonts w:hint="eastAsia" w:ascii="宋体" w:hAnsi="宋体"/>
          <w:color w:val="auto"/>
          <w:kern w:val="0"/>
          <w:sz w:val="24"/>
          <w:highlight w:val="none"/>
        </w:rPr>
        <w:t>阻燃型</w:t>
      </w:r>
      <w:r>
        <w:rPr>
          <w:rFonts w:ascii="宋体" w:hAnsi="宋体"/>
          <w:color w:val="auto"/>
          <w:kern w:val="0"/>
          <w:sz w:val="24"/>
          <w:highlight w:val="none"/>
        </w:rPr>
        <w:t>聚氨酯</w:t>
      </w:r>
      <w:r>
        <w:rPr>
          <w:rFonts w:hint="eastAsia" w:ascii="宋体" w:hAnsi="宋体"/>
          <w:color w:val="auto"/>
          <w:kern w:val="0"/>
          <w:sz w:val="24"/>
          <w:highlight w:val="none"/>
        </w:rPr>
        <w:t>管壳（燃烧性能等级B</w:t>
      </w:r>
      <w:r>
        <w:rPr>
          <w:rFonts w:ascii="宋体" w:hAnsi="宋体"/>
          <w:color w:val="auto"/>
          <w:kern w:val="0"/>
          <w:sz w:val="24"/>
          <w:highlight w:val="none"/>
        </w:rPr>
        <w:t>1级</w:t>
      </w:r>
      <w:r>
        <w:rPr>
          <w:rFonts w:hint="eastAsia" w:ascii="宋体" w:hAnsi="宋体"/>
          <w:color w:val="auto"/>
          <w:kern w:val="0"/>
          <w:sz w:val="24"/>
          <w:highlight w:val="none"/>
        </w:rPr>
        <w:t>）</w:t>
      </w:r>
      <w:r>
        <w:rPr>
          <w:rFonts w:ascii="宋体" w:hAnsi="宋体"/>
          <w:color w:val="auto"/>
          <w:kern w:val="0"/>
          <w:sz w:val="24"/>
          <w:highlight w:val="none"/>
        </w:rPr>
        <w:t>；</w:t>
      </w:r>
    </w:p>
    <w:p w14:paraId="6C991938">
      <w:pPr>
        <w:autoSpaceDE w:val="0"/>
        <w:autoSpaceDN w:val="0"/>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2）设备保温材料：物料温度≤80℃，选用阻燃型聚氨酯（燃烧性能等级B</w:t>
      </w:r>
      <w:r>
        <w:rPr>
          <w:rFonts w:ascii="宋体" w:hAnsi="宋体"/>
          <w:color w:val="auto"/>
          <w:kern w:val="0"/>
          <w:sz w:val="24"/>
          <w:highlight w:val="none"/>
        </w:rPr>
        <w:t>1级</w:t>
      </w:r>
      <w:r>
        <w:rPr>
          <w:rFonts w:hint="eastAsia" w:ascii="宋体" w:hAnsi="宋体"/>
          <w:color w:val="auto"/>
          <w:kern w:val="0"/>
          <w:sz w:val="24"/>
          <w:highlight w:val="none"/>
        </w:rPr>
        <w:t>）现场喷涂；物料温度＞80℃，采用硅酸铝毯；设备保冷材料：阻燃型聚氨酯（燃烧性能等级B</w:t>
      </w:r>
      <w:r>
        <w:rPr>
          <w:rFonts w:ascii="宋体" w:hAnsi="宋体"/>
          <w:color w:val="auto"/>
          <w:kern w:val="0"/>
          <w:sz w:val="24"/>
          <w:highlight w:val="none"/>
        </w:rPr>
        <w:t>1级</w:t>
      </w:r>
      <w:r>
        <w:rPr>
          <w:rFonts w:hint="eastAsia" w:ascii="宋体" w:hAnsi="宋体"/>
          <w:color w:val="auto"/>
          <w:kern w:val="0"/>
          <w:sz w:val="24"/>
          <w:highlight w:val="none"/>
        </w:rPr>
        <w:t>）现场喷涂。</w:t>
      </w:r>
    </w:p>
    <w:p w14:paraId="502534B6">
      <w:pPr>
        <w:autoSpaceDE w:val="0"/>
        <w:autoSpaceDN w:val="0"/>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3</w:t>
      </w:r>
      <w:r>
        <w:rPr>
          <w:rFonts w:hint="eastAsia" w:ascii="宋体" w:hAnsi="宋体"/>
          <w:color w:val="auto"/>
          <w:kern w:val="0"/>
          <w:sz w:val="24"/>
          <w:highlight w:val="none"/>
        </w:rPr>
        <w:t>）</w:t>
      </w:r>
      <w:r>
        <w:rPr>
          <w:rFonts w:ascii="宋体" w:hAnsi="宋体"/>
          <w:color w:val="auto"/>
          <w:kern w:val="0"/>
          <w:sz w:val="24"/>
          <w:highlight w:val="none"/>
        </w:rPr>
        <w:t xml:space="preserve"> </w:t>
      </w:r>
      <w:r>
        <w:rPr>
          <w:rFonts w:hint="eastAsia" w:ascii="宋体" w:hAnsi="宋体"/>
          <w:color w:val="auto"/>
          <w:kern w:val="0"/>
          <w:sz w:val="24"/>
          <w:highlight w:val="none"/>
        </w:rPr>
        <w:t>管道</w:t>
      </w:r>
      <w:r>
        <w:rPr>
          <w:rFonts w:ascii="宋体" w:hAnsi="宋体"/>
          <w:color w:val="auto"/>
          <w:kern w:val="0"/>
          <w:sz w:val="24"/>
          <w:highlight w:val="none"/>
        </w:rPr>
        <w:t>保温方案</w:t>
      </w:r>
      <w:r>
        <w:rPr>
          <w:rFonts w:hint="eastAsia" w:ascii="宋体" w:hAnsi="宋体"/>
          <w:color w:val="auto"/>
          <w:kern w:val="0"/>
          <w:sz w:val="24"/>
          <w:highlight w:val="none"/>
        </w:rPr>
        <w:t>：物料温度≤80℃，阻燃型聚氨酯管壳（燃烧性能等级B</w:t>
      </w:r>
      <w:r>
        <w:rPr>
          <w:rFonts w:ascii="宋体" w:hAnsi="宋体"/>
          <w:color w:val="auto"/>
          <w:kern w:val="0"/>
          <w:sz w:val="24"/>
          <w:highlight w:val="none"/>
        </w:rPr>
        <w:t>1级</w:t>
      </w:r>
      <w:r>
        <w:rPr>
          <w:rFonts w:hint="eastAsia" w:ascii="宋体" w:hAnsi="宋体"/>
          <w:color w:val="auto"/>
          <w:kern w:val="0"/>
          <w:sz w:val="24"/>
          <w:highlight w:val="none"/>
        </w:rPr>
        <w:t>）+PVDC缠绕膜一道+</w:t>
      </w:r>
      <w:bookmarkStart w:id="217" w:name="OLE_LINK10"/>
      <w:r>
        <w:rPr>
          <w:rFonts w:hint="eastAsia" w:ascii="宋体" w:hAnsi="宋体"/>
          <w:color w:val="auto"/>
          <w:kern w:val="0"/>
          <w:sz w:val="24"/>
          <w:highlight w:val="none"/>
        </w:rPr>
        <w:t>铝合金板</w:t>
      </w:r>
      <w:bookmarkEnd w:id="217"/>
      <w:r>
        <w:rPr>
          <w:rFonts w:hint="eastAsia" w:ascii="宋体" w:hAnsi="宋体"/>
          <w:color w:val="auto"/>
          <w:kern w:val="0"/>
          <w:sz w:val="24"/>
          <w:highlight w:val="none"/>
        </w:rPr>
        <w:t>；物料温度＞80℃，气凝胶/硅酸铝+油毛毡一层+铝合金板；</w:t>
      </w:r>
    </w:p>
    <w:p w14:paraId="2C5EBBD6">
      <w:pPr>
        <w:autoSpaceDE w:val="0"/>
        <w:autoSpaceDN w:val="0"/>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4</w:t>
      </w:r>
      <w:r>
        <w:rPr>
          <w:rFonts w:hint="eastAsia" w:ascii="宋体" w:hAnsi="宋体"/>
          <w:color w:val="auto"/>
          <w:kern w:val="0"/>
          <w:sz w:val="24"/>
          <w:highlight w:val="none"/>
        </w:rPr>
        <w:t>）设备保温方案：物料温度≤80℃，PVDC缠绕膜一道+阻燃型聚氨酯弧形板材（燃烧性能等级B</w:t>
      </w:r>
      <w:r>
        <w:rPr>
          <w:rFonts w:ascii="宋体" w:hAnsi="宋体"/>
          <w:color w:val="auto"/>
          <w:kern w:val="0"/>
          <w:sz w:val="24"/>
          <w:highlight w:val="none"/>
        </w:rPr>
        <w:t>1级</w:t>
      </w:r>
      <w:r>
        <w:rPr>
          <w:rFonts w:hint="eastAsia" w:ascii="宋体" w:hAnsi="宋体"/>
          <w:color w:val="auto"/>
          <w:kern w:val="0"/>
          <w:sz w:val="24"/>
          <w:highlight w:val="none"/>
        </w:rPr>
        <w:t>）或阻燃型聚氨酯（燃烧性能等级B</w:t>
      </w:r>
      <w:r>
        <w:rPr>
          <w:rFonts w:ascii="宋体" w:hAnsi="宋体"/>
          <w:color w:val="auto"/>
          <w:kern w:val="0"/>
          <w:sz w:val="24"/>
          <w:highlight w:val="none"/>
        </w:rPr>
        <w:t>1级</w:t>
      </w:r>
      <w:r>
        <w:rPr>
          <w:rFonts w:hint="eastAsia" w:ascii="宋体" w:hAnsi="宋体"/>
          <w:color w:val="auto"/>
          <w:kern w:val="0"/>
          <w:sz w:val="24"/>
          <w:highlight w:val="none"/>
        </w:rPr>
        <w:t>）现场喷涂（不包缠绕膜）+铝合金板；物料温度＞80℃，硅酸铝毯+油毛毡一层+铝合金板。</w:t>
      </w:r>
    </w:p>
    <w:p w14:paraId="12A0EBCB">
      <w:pPr>
        <w:autoSpaceDE w:val="0"/>
        <w:autoSpaceDN w:val="0"/>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 xml:space="preserve"> 5</w:t>
      </w:r>
      <w:r>
        <w:rPr>
          <w:rFonts w:hint="eastAsia" w:ascii="宋体" w:hAnsi="宋体"/>
          <w:color w:val="auto"/>
          <w:kern w:val="0"/>
          <w:sz w:val="24"/>
          <w:highlight w:val="none"/>
        </w:rPr>
        <w:t>）管道保冷方案： PVDC缠绕膜一道+阻燃型聚氨酯管壳（燃烧性能等级B</w:t>
      </w:r>
      <w:r>
        <w:rPr>
          <w:rFonts w:ascii="宋体" w:hAnsi="宋体"/>
          <w:color w:val="auto"/>
          <w:kern w:val="0"/>
          <w:sz w:val="24"/>
          <w:highlight w:val="none"/>
        </w:rPr>
        <w:t>1级</w:t>
      </w:r>
      <w:r>
        <w:rPr>
          <w:rFonts w:hint="eastAsia" w:ascii="宋体" w:hAnsi="宋体"/>
          <w:color w:val="auto"/>
          <w:kern w:val="0"/>
          <w:sz w:val="24"/>
          <w:highlight w:val="none"/>
        </w:rPr>
        <w:t>）+玻璃丝布两道+玛蹄脂一道+铝合金板；</w:t>
      </w:r>
    </w:p>
    <w:p w14:paraId="5BCB5AFD">
      <w:pPr>
        <w:autoSpaceDE w:val="0"/>
        <w:autoSpaceDN w:val="0"/>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6</w:t>
      </w:r>
      <w:r>
        <w:rPr>
          <w:rFonts w:hint="eastAsia" w:ascii="宋体" w:hAnsi="宋体"/>
          <w:color w:val="auto"/>
          <w:kern w:val="0"/>
          <w:sz w:val="24"/>
          <w:highlight w:val="none"/>
        </w:rPr>
        <w:t>）设备保冷方案：阻燃型聚氨酯（燃烧性能等级B</w:t>
      </w:r>
      <w:r>
        <w:rPr>
          <w:rFonts w:ascii="宋体" w:hAnsi="宋体"/>
          <w:color w:val="auto"/>
          <w:kern w:val="0"/>
          <w:sz w:val="24"/>
          <w:highlight w:val="none"/>
        </w:rPr>
        <w:t>1级</w:t>
      </w:r>
      <w:r>
        <w:rPr>
          <w:rFonts w:hint="eastAsia" w:ascii="宋体" w:hAnsi="宋体"/>
          <w:color w:val="auto"/>
          <w:kern w:val="0"/>
          <w:sz w:val="24"/>
          <w:highlight w:val="none"/>
        </w:rPr>
        <w:t>）喷涂+铝合金板。注：PVDC缠绕膜可向巨塑公司销售部采购；</w:t>
      </w:r>
    </w:p>
    <w:p w14:paraId="0205D87A">
      <w:pPr>
        <w:autoSpaceDE w:val="0"/>
        <w:autoSpaceDN w:val="0"/>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7</w:t>
      </w:r>
      <w:r>
        <w:rPr>
          <w:rFonts w:hint="eastAsia" w:ascii="宋体" w:hAnsi="宋体"/>
          <w:color w:val="auto"/>
          <w:kern w:val="0"/>
          <w:sz w:val="24"/>
          <w:highlight w:val="none"/>
        </w:rPr>
        <w:t>）绝热材料厚度上，计算厚度不足50mm,以50mm设计；计算厚度大于50mm不足100mm的以100mm设计。即最终厚度为理论设计厚度向上取整到5</w:t>
      </w:r>
      <w:r>
        <w:rPr>
          <w:rFonts w:ascii="宋体" w:hAnsi="宋体"/>
          <w:color w:val="auto"/>
          <w:kern w:val="0"/>
          <w:sz w:val="24"/>
          <w:highlight w:val="none"/>
        </w:rPr>
        <w:t>0mm</w:t>
      </w:r>
      <w:r>
        <w:rPr>
          <w:rFonts w:hint="eastAsia" w:ascii="宋体" w:hAnsi="宋体"/>
          <w:color w:val="auto"/>
          <w:kern w:val="0"/>
          <w:sz w:val="24"/>
          <w:highlight w:val="none"/>
        </w:rPr>
        <w:t>、1</w:t>
      </w:r>
      <w:r>
        <w:rPr>
          <w:rFonts w:ascii="宋体" w:hAnsi="宋体"/>
          <w:color w:val="auto"/>
          <w:kern w:val="0"/>
          <w:sz w:val="24"/>
          <w:highlight w:val="none"/>
        </w:rPr>
        <w:t>00mm</w:t>
      </w:r>
      <w:r>
        <w:rPr>
          <w:rFonts w:hint="eastAsia" w:ascii="宋体" w:hAnsi="宋体"/>
          <w:color w:val="auto"/>
          <w:kern w:val="0"/>
          <w:sz w:val="24"/>
          <w:highlight w:val="none"/>
        </w:rPr>
        <w:t>，以此类推。</w:t>
      </w:r>
    </w:p>
    <w:p w14:paraId="1BB0CD6E">
      <w:pPr>
        <w:autoSpaceDE w:val="0"/>
        <w:autoSpaceDN w:val="0"/>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8</w:t>
      </w:r>
      <w:r>
        <w:rPr>
          <w:rFonts w:hint="eastAsia" w:ascii="宋体" w:hAnsi="宋体"/>
          <w:color w:val="auto"/>
          <w:kern w:val="0"/>
          <w:sz w:val="24"/>
          <w:highlight w:val="none"/>
        </w:rPr>
        <w:t>）</w:t>
      </w:r>
      <w:r>
        <w:rPr>
          <w:rFonts w:ascii="宋体" w:hAnsi="宋体"/>
          <w:color w:val="auto"/>
          <w:kern w:val="0"/>
          <w:sz w:val="24"/>
          <w:highlight w:val="none"/>
        </w:rPr>
        <w:t>保温和保冷的施工要求必须按照</w:t>
      </w:r>
      <w:r>
        <w:rPr>
          <w:rFonts w:hint="eastAsia" w:ascii="宋体" w:hAnsi="宋体"/>
          <w:color w:val="auto"/>
          <w:kern w:val="0"/>
          <w:sz w:val="24"/>
          <w:highlight w:val="none"/>
        </w:rPr>
        <w:t>现行</w:t>
      </w:r>
      <w:r>
        <w:rPr>
          <w:rFonts w:ascii="宋体" w:hAnsi="宋体"/>
          <w:color w:val="auto"/>
          <w:kern w:val="0"/>
          <w:sz w:val="24"/>
          <w:highlight w:val="none"/>
        </w:rPr>
        <w:t>相关标准</w:t>
      </w:r>
      <w:r>
        <w:rPr>
          <w:rFonts w:hint="eastAsia" w:ascii="宋体" w:hAnsi="宋体"/>
          <w:color w:val="auto"/>
          <w:kern w:val="0"/>
          <w:sz w:val="24"/>
          <w:highlight w:val="none"/>
        </w:rPr>
        <w:t>、</w:t>
      </w:r>
      <w:r>
        <w:rPr>
          <w:rFonts w:ascii="宋体" w:hAnsi="宋体"/>
          <w:color w:val="auto"/>
          <w:kern w:val="0"/>
          <w:sz w:val="24"/>
          <w:highlight w:val="none"/>
        </w:rPr>
        <w:t>规范的要求进行。</w:t>
      </w:r>
      <w:r>
        <w:rPr>
          <w:rFonts w:hint="eastAsia" w:ascii="宋体" w:hAnsi="宋体"/>
          <w:color w:val="auto"/>
          <w:kern w:val="0"/>
          <w:sz w:val="24"/>
          <w:highlight w:val="none"/>
        </w:rPr>
        <w:t>铝板固定方式为 304 不锈钢自攻螺丝或 304 不锈钢扣带，其中设备上用 2cm宽、 0.5mm 厚的不锈钢扣带，管道上用 1.5cm 宽、 0.4mm 厚的不锈钢扣带。</w:t>
      </w:r>
    </w:p>
    <w:p w14:paraId="50A79A21">
      <w:pPr>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9</w:t>
      </w:r>
      <w:r>
        <w:rPr>
          <w:rFonts w:hint="eastAsia" w:ascii="宋体" w:hAnsi="宋体"/>
          <w:color w:val="auto"/>
          <w:kern w:val="0"/>
          <w:sz w:val="24"/>
          <w:highlight w:val="none"/>
        </w:rPr>
        <w:t>）绝热结构参考08K507-2、08R418-2管道与设备绝热-保冷、08K507-1、08R418-1管道与设备绝热-保温设计。</w:t>
      </w:r>
    </w:p>
    <w:p w14:paraId="1C837E2A">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2.2.3.2.4</w:t>
      </w:r>
      <w:r>
        <w:rPr>
          <w:rFonts w:ascii="宋体" w:hAnsi="宋体"/>
          <w:b/>
          <w:color w:val="auto"/>
          <w:sz w:val="24"/>
          <w:highlight w:val="none"/>
        </w:rPr>
        <w:t>防腐</w:t>
      </w:r>
    </w:p>
    <w:p w14:paraId="633A3EE7">
      <w:pPr>
        <w:spacing w:line="360" w:lineRule="auto"/>
        <w:rPr>
          <w:color w:val="auto"/>
          <w:sz w:val="24"/>
          <w:highlight w:val="none"/>
        </w:rPr>
      </w:pPr>
      <w:r>
        <w:rPr>
          <w:rFonts w:hint="eastAsia"/>
          <w:color w:val="auto"/>
          <w:sz w:val="24"/>
          <w:highlight w:val="none"/>
        </w:rPr>
        <w:t>2.2.3.2.4防腐</w:t>
      </w:r>
    </w:p>
    <w:p w14:paraId="56C54D03">
      <w:pPr>
        <w:spacing w:line="360" w:lineRule="auto"/>
        <w:rPr>
          <w:color w:val="auto"/>
          <w:sz w:val="24"/>
          <w:highlight w:val="none"/>
        </w:rPr>
      </w:pPr>
      <w:r>
        <w:rPr>
          <w:rFonts w:hint="eastAsia"/>
          <w:color w:val="auto"/>
          <w:sz w:val="24"/>
          <w:highlight w:val="none"/>
        </w:rPr>
        <w:t>（1）保温设备、管道防腐要求</w:t>
      </w:r>
    </w:p>
    <w:p w14:paraId="2441B462">
      <w:pPr>
        <w:spacing w:line="360" w:lineRule="auto"/>
        <w:ind w:firstLine="480" w:firstLineChars="200"/>
        <w:rPr>
          <w:color w:val="auto"/>
          <w:sz w:val="24"/>
          <w:highlight w:val="none"/>
        </w:rPr>
      </w:pPr>
      <w:r>
        <w:rPr>
          <w:rFonts w:hint="eastAsia"/>
          <w:color w:val="auto"/>
          <w:sz w:val="24"/>
          <w:highlight w:val="none"/>
        </w:rPr>
        <w:t>物料温度≤120℃，除锈St2，涂装黑酚醛烟囱漆2道;</w:t>
      </w:r>
    </w:p>
    <w:p w14:paraId="76A3C853">
      <w:pPr>
        <w:spacing w:line="360" w:lineRule="auto"/>
        <w:ind w:firstLine="480" w:firstLineChars="200"/>
        <w:rPr>
          <w:color w:val="auto"/>
          <w:sz w:val="24"/>
          <w:highlight w:val="none"/>
        </w:rPr>
      </w:pPr>
      <w:r>
        <w:rPr>
          <w:rFonts w:hint="eastAsia"/>
          <w:color w:val="auto"/>
          <w:sz w:val="24"/>
          <w:highlight w:val="none"/>
        </w:rPr>
        <w:t>物料温度＞120℃，除锈St2，涂装适用于物料工作温度的有机硅高温底漆2道+有机硅高温面漆2道。</w:t>
      </w:r>
    </w:p>
    <w:p w14:paraId="79AEC5BB">
      <w:pPr>
        <w:spacing w:line="360" w:lineRule="auto"/>
        <w:rPr>
          <w:color w:val="auto"/>
          <w:sz w:val="24"/>
          <w:highlight w:val="none"/>
        </w:rPr>
      </w:pPr>
      <w:r>
        <w:rPr>
          <w:rFonts w:hint="eastAsia"/>
          <w:color w:val="auto"/>
          <w:sz w:val="24"/>
          <w:highlight w:val="none"/>
        </w:rPr>
        <w:t>（2）保冷的碳钢设备、管道防腐要求：</w:t>
      </w:r>
    </w:p>
    <w:p w14:paraId="35949E57">
      <w:pPr>
        <w:spacing w:line="360" w:lineRule="auto"/>
        <w:ind w:firstLine="480" w:firstLineChars="200"/>
        <w:rPr>
          <w:color w:val="auto"/>
          <w:sz w:val="24"/>
          <w:highlight w:val="none"/>
        </w:rPr>
      </w:pPr>
      <w:r>
        <w:rPr>
          <w:rFonts w:hint="eastAsia"/>
          <w:color w:val="auto"/>
          <w:sz w:val="24"/>
          <w:highlight w:val="none"/>
        </w:rPr>
        <w:t>除锈St2，涂装冷底子油2道。</w:t>
      </w:r>
    </w:p>
    <w:p w14:paraId="3961CEA9">
      <w:pPr>
        <w:spacing w:line="360" w:lineRule="auto"/>
        <w:rPr>
          <w:color w:val="auto"/>
          <w:sz w:val="24"/>
          <w:highlight w:val="none"/>
        </w:rPr>
      </w:pPr>
      <w:r>
        <w:rPr>
          <w:rFonts w:hint="eastAsia"/>
          <w:color w:val="auto"/>
          <w:sz w:val="24"/>
          <w:highlight w:val="none"/>
        </w:rPr>
        <w:t>（3）不保温（冷）的碳钢设备防腐要求：</w:t>
      </w:r>
    </w:p>
    <w:p w14:paraId="0F248DD3">
      <w:pPr>
        <w:spacing w:line="360" w:lineRule="auto"/>
        <w:ind w:firstLine="480" w:firstLineChars="200"/>
        <w:rPr>
          <w:color w:val="auto"/>
          <w:sz w:val="24"/>
          <w:highlight w:val="none"/>
        </w:rPr>
      </w:pPr>
      <w:r>
        <w:rPr>
          <w:rFonts w:hint="eastAsia"/>
          <w:color w:val="auto"/>
          <w:sz w:val="24"/>
          <w:highlight w:val="none"/>
        </w:rPr>
        <w:t>除锈S</w:t>
      </w:r>
      <w:r>
        <w:rPr>
          <w:color w:val="auto"/>
          <w:sz w:val="24"/>
          <w:highlight w:val="none"/>
        </w:rPr>
        <w:t>a2.5</w:t>
      </w:r>
      <w:r>
        <w:rPr>
          <w:rFonts w:hint="eastAsia"/>
          <w:color w:val="auto"/>
          <w:sz w:val="24"/>
          <w:highlight w:val="none"/>
        </w:rPr>
        <w:t>，无机富锌底漆2道（干膜厚度不低于</w:t>
      </w:r>
      <w:r>
        <w:rPr>
          <w:color w:val="auto"/>
          <w:sz w:val="24"/>
          <w:highlight w:val="none"/>
        </w:rPr>
        <w:t>7</w:t>
      </w:r>
      <w:r>
        <w:rPr>
          <w:rFonts w:hint="eastAsia"/>
          <w:color w:val="auto"/>
          <w:sz w:val="24"/>
          <w:highlight w:val="none"/>
        </w:rPr>
        <w:t>0μm）、环氧云铁中间漆</w:t>
      </w:r>
      <w:r>
        <w:rPr>
          <w:color w:val="auto"/>
          <w:sz w:val="24"/>
          <w:highlight w:val="none"/>
        </w:rPr>
        <w:t>1</w:t>
      </w:r>
      <w:r>
        <w:rPr>
          <w:rFonts w:hint="eastAsia"/>
          <w:color w:val="auto"/>
          <w:sz w:val="24"/>
          <w:highlight w:val="none"/>
        </w:rPr>
        <w:t>道（干膜厚度不低于</w:t>
      </w:r>
      <w:r>
        <w:rPr>
          <w:color w:val="auto"/>
          <w:sz w:val="24"/>
          <w:highlight w:val="none"/>
        </w:rPr>
        <w:t>8</w:t>
      </w:r>
      <w:r>
        <w:rPr>
          <w:rFonts w:hint="eastAsia"/>
          <w:color w:val="auto"/>
          <w:sz w:val="24"/>
          <w:highlight w:val="none"/>
        </w:rPr>
        <w:t>0μm）、丙烯酸脂肪族聚氨酯面漆2道（干膜厚度不低于</w:t>
      </w:r>
      <w:r>
        <w:rPr>
          <w:color w:val="auto"/>
          <w:sz w:val="24"/>
          <w:highlight w:val="none"/>
        </w:rPr>
        <w:t>8</w:t>
      </w:r>
      <w:r>
        <w:rPr>
          <w:rFonts w:hint="eastAsia"/>
          <w:color w:val="auto"/>
          <w:sz w:val="24"/>
          <w:highlight w:val="none"/>
        </w:rPr>
        <w:t>0μm）。</w:t>
      </w:r>
    </w:p>
    <w:p w14:paraId="75858277">
      <w:pPr>
        <w:spacing w:line="360" w:lineRule="auto"/>
        <w:rPr>
          <w:color w:val="auto"/>
          <w:sz w:val="24"/>
          <w:highlight w:val="none"/>
        </w:rPr>
      </w:pPr>
      <w:r>
        <w:rPr>
          <w:rFonts w:hint="eastAsia"/>
          <w:color w:val="auto"/>
          <w:sz w:val="24"/>
          <w:highlight w:val="none"/>
        </w:rPr>
        <w:t xml:space="preserve">（4）不保温（冷）的碳钢管道、支架防腐要求： </w:t>
      </w:r>
    </w:p>
    <w:p w14:paraId="3E2391D1">
      <w:pPr>
        <w:spacing w:line="360" w:lineRule="auto"/>
        <w:ind w:firstLine="480" w:firstLineChars="200"/>
        <w:rPr>
          <w:color w:val="auto"/>
          <w:sz w:val="24"/>
          <w:highlight w:val="none"/>
        </w:rPr>
      </w:pPr>
      <w:r>
        <w:rPr>
          <w:rFonts w:hint="eastAsia"/>
          <w:color w:val="auto"/>
          <w:sz w:val="24"/>
          <w:highlight w:val="none"/>
        </w:rPr>
        <w:t>除锈</w:t>
      </w:r>
      <w:r>
        <w:rPr>
          <w:color w:val="auto"/>
          <w:sz w:val="24"/>
          <w:highlight w:val="none"/>
        </w:rPr>
        <w:t>Sa2.5</w:t>
      </w:r>
      <w:r>
        <w:rPr>
          <w:rFonts w:hint="eastAsia"/>
          <w:color w:val="auto"/>
          <w:sz w:val="24"/>
          <w:highlight w:val="none"/>
        </w:rPr>
        <w:t>，无机富锌底漆2道（干膜厚度不低于70μm）、环氧云铁中间漆1道（干膜厚度不低于80μm）、丙烯酸脂肪族聚氨酯面漆2道（干膜厚度不低于80μm）。</w:t>
      </w:r>
    </w:p>
    <w:p w14:paraId="39524656">
      <w:pPr>
        <w:spacing w:line="360" w:lineRule="auto"/>
        <w:ind w:firstLine="480" w:firstLineChars="200"/>
        <w:rPr>
          <w:color w:val="auto"/>
          <w:sz w:val="24"/>
          <w:highlight w:val="none"/>
        </w:rPr>
      </w:pPr>
      <w:r>
        <w:rPr>
          <w:rFonts w:hint="eastAsia"/>
          <w:color w:val="auto"/>
          <w:sz w:val="24"/>
          <w:highlight w:val="none"/>
        </w:rPr>
        <w:t>（5）埋地管道及设备底板（埋地侧）防腐设计选用加强级石油沥青防腐涂层，其涂层结构为：沥青底漆—沥青—玻璃布—沥青—玻璃布—沥青—玻璃布—沥青（一底三布四油，膜厚≥5.5mm）。</w:t>
      </w:r>
    </w:p>
    <w:p w14:paraId="49B886B1">
      <w:pPr>
        <w:spacing w:line="360" w:lineRule="auto"/>
        <w:ind w:firstLine="480" w:firstLineChars="200"/>
        <w:rPr>
          <w:color w:val="auto"/>
          <w:sz w:val="24"/>
          <w:highlight w:val="none"/>
        </w:rPr>
      </w:pPr>
      <w:r>
        <w:rPr>
          <w:rFonts w:hint="eastAsia"/>
          <w:color w:val="auto"/>
          <w:sz w:val="24"/>
          <w:highlight w:val="none"/>
        </w:rPr>
        <w:t>（6）其他不锈钢、有色金属、非金属管道和设备不涂装。</w:t>
      </w:r>
    </w:p>
    <w:p w14:paraId="10455BDB">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2.2.4 非标（专用）设备设计</w:t>
      </w:r>
    </w:p>
    <w:p w14:paraId="2A27D429">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2.2.4.1</w:t>
      </w:r>
      <w:r>
        <w:rPr>
          <w:rFonts w:ascii="宋体" w:hAnsi="宋体"/>
          <w:b/>
          <w:color w:val="auto"/>
          <w:sz w:val="24"/>
          <w:highlight w:val="none"/>
        </w:rPr>
        <w:t>设计依据及原则</w:t>
      </w:r>
    </w:p>
    <w:p w14:paraId="192D7EEE">
      <w:pPr>
        <w:adjustRightInd w:val="0"/>
        <w:snapToGrid w:val="0"/>
        <w:spacing w:line="360" w:lineRule="auto"/>
        <w:ind w:firstLine="360" w:firstLineChars="150"/>
        <w:rPr>
          <w:rFonts w:ascii="宋体" w:hAnsi="宋体"/>
          <w:color w:val="auto"/>
          <w:sz w:val="24"/>
          <w:highlight w:val="none"/>
        </w:rPr>
      </w:pPr>
      <w:r>
        <w:rPr>
          <w:rFonts w:ascii="宋体" w:hAnsi="宋体"/>
          <w:color w:val="auto"/>
          <w:sz w:val="24"/>
          <w:highlight w:val="none"/>
        </w:rPr>
        <w:t>设备的设计与选型以安全可靠为原则，兼顾经济合理。选型的机泵及设备以工艺专业根据装置生产能力确定的参数为依据，对市场现有产品进行综合对比分析后选取。非标设备依据工艺专业提供的设计参数，运用现行设计方法及有关标准、规范进行设计</w:t>
      </w:r>
      <w:r>
        <w:rPr>
          <w:rFonts w:hint="eastAsia" w:ascii="宋体" w:hAnsi="宋体"/>
          <w:color w:val="auto"/>
          <w:sz w:val="24"/>
          <w:highlight w:val="none"/>
        </w:rPr>
        <w:t>，如涉及压力容器，则必须提供强度计算书</w:t>
      </w:r>
      <w:r>
        <w:rPr>
          <w:rFonts w:ascii="宋体" w:hAnsi="宋体"/>
          <w:color w:val="auto"/>
          <w:sz w:val="24"/>
          <w:highlight w:val="none"/>
        </w:rPr>
        <w:t>。</w:t>
      </w:r>
    </w:p>
    <w:p w14:paraId="38F1ACE9">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2.2.4</w:t>
      </w:r>
      <w:r>
        <w:rPr>
          <w:rFonts w:ascii="宋体" w:hAnsi="宋体"/>
          <w:b/>
          <w:color w:val="auto"/>
          <w:sz w:val="24"/>
          <w:highlight w:val="none"/>
        </w:rPr>
        <w:t>.2设计标准选用</w:t>
      </w:r>
    </w:p>
    <w:p w14:paraId="5BD86D09">
      <w:pPr>
        <w:adjustRightInd w:val="0"/>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TSG R0004-2009《固定式压力容器安全技术监察规程》</w:t>
      </w:r>
    </w:p>
    <w:p w14:paraId="3787D12E">
      <w:pPr>
        <w:adjustRightInd w:val="0"/>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GB 150.1~4-2011《压力容器》</w:t>
      </w:r>
    </w:p>
    <w:p w14:paraId="4F5958A9">
      <w:pPr>
        <w:adjustRightInd w:val="0"/>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GB 151-1999《管壳式换热器》</w:t>
      </w:r>
    </w:p>
    <w:p w14:paraId="58632C6E">
      <w:pPr>
        <w:adjustRightInd w:val="0"/>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JB/T4731-2005《钢制卧式容器》</w:t>
      </w:r>
    </w:p>
    <w:p w14:paraId="1FC6EC42">
      <w:pPr>
        <w:adjustRightInd w:val="0"/>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NB/T 47003.1-2009《钢制焊接常压容器》</w:t>
      </w:r>
    </w:p>
    <w:p w14:paraId="5621962F">
      <w:pPr>
        <w:adjustRightInd w:val="0"/>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JB/T 4710-2005《钢制塔式容器》、</w:t>
      </w:r>
    </w:p>
    <w:p w14:paraId="291A4EC0">
      <w:pPr>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HG20652-1998《塔器设计技术规定》</w:t>
      </w:r>
    </w:p>
    <w:p w14:paraId="01B65D6A">
      <w:pPr>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 xml:space="preserve">HG/T 20580～20585-2011六项标准     </w:t>
      </w:r>
    </w:p>
    <w:p w14:paraId="730AE8AB">
      <w:pPr>
        <w:adjustRightInd w:val="0"/>
        <w:snapToGrid w:val="0"/>
        <w:spacing w:line="360" w:lineRule="auto"/>
        <w:ind w:firstLine="240" w:firstLineChars="100"/>
        <w:rPr>
          <w:rFonts w:ascii="宋体" w:hAnsi="宋体"/>
          <w:color w:val="auto"/>
          <w:sz w:val="24"/>
          <w:highlight w:val="none"/>
        </w:rPr>
      </w:pPr>
      <w:r>
        <w:rPr>
          <w:rFonts w:hint="eastAsia" w:ascii="宋体" w:hAnsi="宋体"/>
          <w:color w:val="auto"/>
          <w:sz w:val="24"/>
          <w:highlight w:val="none"/>
        </w:rPr>
        <w:t>J</w:t>
      </w:r>
      <w:r>
        <w:rPr>
          <w:rFonts w:ascii="宋体" w:hAnsi="宋体"/>
          <w:color w:val="auto"/>
          <w:sz w:val="24"/>
          <w:highlight w:val="none"/>
        </w:rPr>
        <w:t>B/T 4732-2005</w:t>
      </w:r>
      <w:r>
        <w:rPr>
          <w:rFonts w:hint="eastAsia" w:ascii="宋体" w:hAnsi="宋体"/>
          <w:color w:val="auto"/>
          <w:sz w:val="24"/>
          <w:highlight w:val="none"/>
        </w:rPr>
        <w:t>《钢制压力容器——分析设计标准》</w:t>
      </w:r>
    </w:p>
    <w:p w14:paraId="466CA3A7">
      <w:pPr>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设备零部件：法兰、人孔、手孔、垫片、视镜、支座、液面计等均采用最新标准。</w:t>
      </w:r>
    </w:p>
    <w:p w14:paraId="1305193F">
      <w:pPr>
        <w:snapToGrid w:val="0"/>
        <w:spacing w:line="360" w:lineRule="auto"/>
        <w:ind w:firstLine="240" w:firstLineChars="100"/>
        <w:rPr>
          <w:rFonts w:ascii="宋体" w:hAnsi="宋体"/>
          <w:color w:val="auto"/>
          <w:sz w:val="24"/>
          <w:highlight w:val="none"/>
        </w:rPr>
      </w:pPr>
      <w:r>
        <w:rPr>
          <w:rFonts w:ascii="宋体" w:hAnsi="宋体"/>
          <w:color w:val="auto"/>
          <w:sz w:val="24"/>
          <w:highlight w:val="none"/>
        </w:rPr>
        <w:t>发包人在本技术标书中提出了最低限度的技术要求，并未规定所有的技术要求和适用的标准，承包人应提供一套满足本技术标书要求的高质量产品及其相应服务。对国家有关安全、技术、环保等强制性标准，必须满足其要求。</w:t>
      </w:r>
    </w:p>
    <w:p w14:paraId="78B4D887">
      <w:pPr>
        <w:snapToGrid w:val="0"/>
        <w:spacing w:line="360" w:lineRule="auto"/>
        <w:rPr>
          <w:rFonts w:ascii="宋体" w:hAnsi="宋体"/>
          <w:b/>
          <w:color w:val="auto"/>
          <w:sz w:val="24"/>
          <w:highlight w:val="none"/>
        </w:rPr>
      </w:pPr>
      <w:r>
        <w:rPr>
          <w:rFonts w:hint="eastAsia" w:ascii="宋体" w:hAnsi="宋体"/>
          <w:b/>
          <w:color w:val="auto"/>
          <w:sz w:val="24"/>
          <w:highlight w:val="none"/>
        </w:rPr>
        <w:t>2.2.4.3 非标设备材质要求：</w:t>
      </w:r>
    </w:p>
    <w:p w14:paraId="6535C59C">
      <w:pPr>
        <w:snapToGrid w:val="0"/>
        <w:spacing w:line="360" w:lineRule="auto"/>
        <w:ind w:firstLine="480" w:firstLineChars="200"/>
        <w:rPr>
          <w:color w:val="auto"/>
          <w:sz w:val="24"/>
          <w:highlight w:val="none"/>
        </w:rPr>
      </w:pPr>
      <w:r>
        <w:rPr>
          <w:rFonts w:hint="eastAsia"/>
          <w:color w:val="auto"/>
          <w:sz w:val="24"/>
          <w:highlight w:val="none"/>
        </w:rPr>
        <w:t>与超1</w:t>
      </w:r>
      <w:r>
        <w:rPr>
          <w:color w:val="auto"/>
          <w:sz w:val="24"/>
          <w:highlight w:val="none"/>
        </w:rPr>
        <w:t>40℃</w:t>
      </w:r>
      <w:r>
        <w:rPr>
          <w:rFonts w:hint="eastAsia"/>
          <w:color w:val="auto"/>
          <w:sz w:val="24"/>
          <w:highlight w:val="none"/>
        </w:rPr>
        <w:t>含氯化钙蒸汽接触材质选用T</w:t>
      </w:r>
      <w:r>
        <w:rPr>
          <w:color w:val="auto"/>
          <w:sz w:val="24"/>
          <w:highlight w:val="none"/>
        </w:rPr>
        <w:t>A2（厚度≥2mm）</w:t>
      </w:r>
      <w:r>
        <w:rPr>
          <w:rFonts w:hint="eastAsia"/>
          <w:color w:val="auto"/>
          <w:sz w:val="24"/>
          <w:highlight w:val="none"/>
        </w:rPr>
        <w:t>+</w:t>
      </w:r>
      <w:r>
        <w:rPr>
          <w:color w:val="auto"/>
          <w:sz w:val="24"/>
          <w:highlight w:val="none"/>
        </w:rPr>
        <w:t>Q235复合板及以上，与超</w:t>
      </w:r>
      <w:r>
        <w:rPr>
          <w:rFonts w:hint="eastAsia"/>
          <w:color w:val="auto"/>
          <w:sz w:val="24"/>
          <w:highlight w:val="none"/>
        </w:rPr>
        <w:t>1</w:t>
      </w:r>
      <w:r>
        <w:rPr>
          <w:color w:val="auto"/>
          <w:sz w:val="24"/>
          <w:highlight w:val="none"/>
        </w:rPr>
        <w:t>00℃</w:t>
      </w:r>
      <w:r>
        <w:rPr>
          <w:rFonts w:hint="eastAsia"/>
          <w:color w:val="auto"/>
          <w:sz w:val="24"/>
          <w:highlight w:val="none"/>
        </w:rPr>
        <w:t>含盐溶液接触材质选用T</w:t>
      </w:r>
      <w:r>
        <w:rPr>
          <w:color w:val="auto"/>
          <w:sz w:val="24"/>
          <w:highlight w:val="none"/>
        </w:rPr>
        <w:t>A10以上</w:t>
      </w:r>
      <w:r>
        <w:rPr>
          <w:rFonts w:hint="eastAsia"/>
          <w:color w:val="auto"/>
          <w:sz w:val="24"/>
          <w:highlight w:val="none"/>
        </w:rPr>
        <w:t>；</w:t>
      </w:r>
    </w:p>
    <w:p w14:paraId="5006F34F">
      <w:pPr>
        <w:snapToGrid w:val="0"/>
        <w:spacing w:line="360" w:lineRule="auto"/>
        <w:rPr>
          <w:b/>
          <w:color w:val="auto"/>
          <w:sz w:val="24"/>
          <w:highlight w:val="none"/>
        </w:rPr>
      </w:pPr>
      <w:r>
        <w:rPr>
          <w:rFonts w:hint="eastAsia" w:ascii="宋体" w:hAnsi="宋体"/>
          <w:b/>
          <w:color w:val="auto"/>
          <w:sz w:val="24"/>
          <w:highlight w:val="none"/>
        </w:rPr>
        <w:t>2</w:t>
      </w:r>
      <w:r>
        <w:rPr>
          <w:rFonts w:ascii="宋体" w:hAnsi="宋体"/>
          <w:b/>
          <w:color w:val="auto"/>
          <w:sz w:val="24"/>
          <w:highlight w:val="none"/>
        </w:rPr>
        <w:t>.2.4.4</w:t>
      </w:r>
      <w:r>
        <w:rPr>
          <w:rFonts w:hint="eastAsia" w:ascii="宋体" w:hAnsi="宋体"/>
          <w:b/>
          <w:color w:val="auto"/>
          <w:sz w:val="24"/>
          <w:highlight w:val="none"/>
        </w:rPr>
        <w:t>非</w:t>
      </w:r>
      <w:r>
        <w:rPr>
          <w:rFonts w:hint="eastAsia"/>
          <w:b/>
          <w:color w:val="auto"/>
          <w:sz w:val="24"/>
          <w:highlight w:val="none"/>
        </w:rPr>
        <w:t>标设备防腐</w:t>
      </w:r>
    </w:p>
    <w:p w14:paraId="408815D7">
      <w:pPr>
        <w:adjustRightInd w:val="0"/>
        <w:snapToGrid w:val="0"/>
        <w:spacing w:line="360" w:lineRule="auto"/>
        <w:ind w:firstLine="435"/>
        <w:rPr>
          <w:rFonts w:ascii="宋体" w:hAnsi="宋体"/>
          <w:b/>
          <w:color w:val="auto"/>
          <w:sz w:val="24"/>
          <w:highlight w:val="none"/>
        </w:rPr>
      </w:pPr>
      <w:r>
        <w:rPr>
          <w:color w:val="auto"/>
          <w:sz w:val="24"/>
          <w:highlight w:val="none"/>
        </w:rPr>
        <w:t>参照</w:t>
      </w:r>
      <w:r>
        <w:rPr>
          <w:rFonts w:hint="eastAsia" w:ascii="宋体" w:hAnsi="宋体"/>
          <w:b/>
          <w:color w:val="auto"/>
          <w:sz w:val="24"/>
          <w:highlight w:val="none"/>
        </w:rPr>
        <w:t>2.2.3.2.4执行。</w:t>
      </w:r>
    </w:p>
    <w:p w14:paraId="71E49F87">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2.2.4.5</w:t>
      </w:r>
      <w:r>
        <w:rPr>
          <w:rFonts w:ascii="宋体" w:hAnsi="宋体"/>
          <w:b/>
          <w:color w:val="auto"/>
          <w:sz w:val="24"/>
          <w:highlight w:val="none"/>
        </w:rPr>
        <w:t xml:space="preserve"> </w:t>
      </w:r>
      <w:r>
        <w:rPr>
          <w:rFonts w:hint="eastAsia" w:ascii="宋体" w:hAnsi="宋体"/>
          <w:b/>
          <w:color w:val="auto"/>
          <w:sz w:val="24"/>
          <w:highlight w:val="none"/>
        </w:rPr>
        <w:t>非标设备设计要求</w:t>
      </w:r>
    </w:p>
    <w:p w14:paraId="1756274E">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 xml:space="preserve"> </w:t>
      </w:r>
      <w:r>
        <w:rPr>
          <w:rFonts w:ascii="宋体" w:hAnsi="宋体"/>
          <w:b/>
          <w:color w:val="auto"/>
          <w:sz w:val="24"/>
          <w:highlight w:val="none"/>
        </w:rPr>
        <w:t xml:space="preserve">  </w:t>
      </w:r>
      <w:bookmarkEnd w:id="214"/>
      <w:bookmarkEnd w:id="215"/>
      <w:bookmarkStart w:id="218" w:name="_Toc517841498"/>
      <w:bookmarkStart w:id="219" w:name="_Toc506370955"/>
      <w:bookmarkStart w:id="220" w:name="_Toc497548415"/>
      <w:bookmarkStart w:id="221" w:name="_Toc498503408"/>
      <w:bookmarkStart w:id="222" w:name="_Toc497549469"/>
      <w:bookmarkStart w:id="223" w:name="_Toc17434"/>
      <w:bookmarkStart w:id="224" w:name="_Toc18488"/>
      <w:r>
        <w:rPr>
          <w:rFonts w:ascii="宋体" w:hAnsi="宋体"/>
          <w:color w:val="auto"/>
          <w:sz w:val="24"/>
          <w:highlight w:val="none"/>
        </w:rPr>
        <w:t>非标</w:t>
      </w:r>
      <w:r>
        <w:rPr>
          <w:rFonts w:hint="eastAsia" w:ascii="宋体" w:hAnsi="宋体"/>
          <w:color w:val="auto"/>
          <w:sz w:val="24"/>
          <w:highlight w:val="none"/>
        </w:rPr>
        <w:t>（专用）</w:t>
      </w:r>
      <w:r>
        <w:rPr>
          <w:rFonts w:ascii="宋体" w:hAnsi="宋体"/>
          <w:color w:val="auto"/>
          <w:sz w:val="24"/>
          <w:highlight w:val="none"/>
        </w:rPr>
        <w:t>设备设计中应考虑设备安装和检修的需要</w:t>
      </w:r>
      <w:r>
        <w:rPr>
          <w:rFonts w:hint="eastAsia" w:ascii="宋体" w:hAnsi="宋体"/>
          <w:color w:val="auto"/>
          <w:sz w:val="24"/>
          <w:highlight w:val="none"/>
        </w:rPr>
        <w:t>，</w:t>
      </w:r>
      <w:r>
        <w:rPr>
          <w:rFonts w:ascii="宋体" w:hAnsi="宋体"/>
          <w:color w:val="auto"/>
          <w:sz w:val="24"/>
          <w:highlight w:val="none"/>
        </w:rPr>
        <w:t>按设备性质设置安装吊耳和检修吊耳</w:t>
      </w:r>
      <w:r>
        <w:rPr>
          <w:rFonts w:hint="eastAsia" w:ascii="宋体" w:hAnsi="宋体"/>
          <w:color w:val="auto"/>
          <w:sz w:val="24"/>
          <w:highlight w:val="none"/>
        </w:rPr>
        <w:t>。</w:t>
      </w:r>
    </w:p>
    <w:p w14:paraId="492E8164">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2.2.5</w:t>
      </w:r>
      <w:r>
        <w:rPr>
          <w:rFonts w:ascii="宋体" w:hAnsi="宋体"/>
          <w:b/>
          <w:color w:val="auto"/>
          <w:sz w:val="24"/>
          <w:highlight w:val="none"/>
        </w:rPr>
        <w:t>电气设计</w:t>
      </w:r>
    </w:p>
    <w:p w14:paraId="1561F295">
      <w:pPr>
        <w:spacing w:after="120" w:line="360" w:lineRule="auto"/>
        <w:ind w:left="420" w:leftChars="200"/>
        <w:rPr>
          <w:rFonts w:ascii="宋体" w:hAnsi="宋体"/>
          <w:b/>
          <w:color w:val="auto"/>
          <w:kern w:val="0"/>
          <w:sz w:val="24"/>
          <w:highlight w:val="none"/>
        </w:rPr>
      </w:pPr>
      <w:r>
        <w:rPr>
          <w:rFonts w:hint="eastAsia" w:ascii="宋体" w:hAnsi="宋体"/>
          <w:b/>
          <w:color w:val="auto"/>
          <w:kern w:val="0"/>
          <w:sz w:val="24"/>
          <w:highlight w:val="none"/>
        </w:rPr>
        <w:t>2.2.5.1</w:t>
      </w:r>
      <w:r>
        <w:rPr>
          <w:rFonts w:ascii="宋体" w:hAnsi="宋体"/>
          <w:b/>
          <w:color w:val="auto"/>
          <w:kern w:val="0"/>
          <w:sz w:val="24"/>
          <w:highlight w:val="none"/>
        </w:rPr>
        <w:t xml:space="preserve"> 电力供应和资源状况</w:t>
      </w:r>
    </w:p>
    <w:p w14:paraId="47A7D973">
      <w:pPr>
        <w:spacing w:line="360" w:lineRule="auto"/>
        <w:ind w:firstLine="480"/>
        <w:rPr>
          <w:rFonts w:ascii="宋体" w:hAnsi="宋体"/>
          <w:color w:val="auto"/>
          <w:sz w:val="24"/>
          <w:highlight w:val="none"/>
        </w:rPr>
      </w:pPr>
      <w:r>
        <w:rPr>
          <w:rFonts w:hint="eastAsia" w:ascii="宋体" w:hAnsi="宋体"/>
          <w:color w:val="auto"/>
          <w:sz w:val="24"/>
          <w:highlight w:val="none"/>
        </w:rPr>
        <w:t>本项目位于巨化巨塑公司园区内；本项目界区西侧建有35/6kV巨塑高配；内设20000kVA主变两台，6kV侧单母线分段，设快切，现有负荷14000kW，容量能满足项目用电需求，电源来自园区变。</w:t>
      </w:r>
    </w:p>
    <w:p w14:paraId="6F3B3126">
      <w:pPr>
        <w:spacing w:after="120" w:line="360" w:lineRule="auto"/>
        <w:ind w:left="420" w:leftChars="200"/>
        <w:rPr>
          <w:rFonts w:ascii="宋体" w:hAnsi="宋体"/>
          <w:b/>
          <w:color w:val="auto"/>
          <w:kern w:val="0"/>
          <w:sz w:val="24"/>
          <w:highlight w:val="none"/>
        </w:rPr>
      </w:pPr>
      <w:r>
        <w:rPr>
          <w:rFonts w:hint="eastAsia" w:ascii="宋体" w:hAnsi="宋体"/>
          <w:b/>
          <w:color w:val="auto"/>
          <w:kern w:val="0"/>
          <w:sz w:val="24"/>
          <w:highlight w:val="none"/>
        </w:rPr>
        <w:t>2.2.5.2</w:t>
      </w:r>
      <w:r>
        <w:rPr>
          <w:rFonts w:ascii="宋体" w:hAnsi="宋体"/>
          <w:b/>
          <w:color w:val="auto"/>
          <w:kern w:val="0"/>
          <w:sz w:val="24"/>
          <w:highlight w:val="none"/>
        </w:rPr>
        <w:t xml:space="preserve"> </w:t>
      </w:r>
      <w:r>
        <w:rPr>
          <w:rFonts w:hint="eastAsia" w:ascii="宋体" w:hAnsi="宋体"/>
          <w:b/>
          <w:color w:val="auto"/>
          <w:kern w:val="0"/>
          <w:sz w:val="24"/>
          <w:highlight w:val="none"/>
        </w:rPr>
        <w:t>供电电源及</w:t>
      </w:r>
      <w:r>
        <w:rPr>
          <w:rFonts w:ascii="宋体" w:hAnsi="宋体"/>
          <w:b/>
          <w:color w:val="auto"/>
          <w:kern w:val="0"/>
          <w:sz w:val="24"/>
          <w:highlight w:val="none"/>
        </w:rPr>
        <w:t>供电方案</w:t>
      </w:r>
    </w:p>
    <w:p w14:paraId="5E7ED4F1">
      <w:pPr>
        <w:spacing w:line="360" w:lineRule="auto"/>
        <w:ind w:firstLine="480"/>
        <w:rPr>
          <w:rFonts w:ascii="宋体" w:hAnsi="宋体"/>
          <w:color w:val="auto"/>
          <w:sz w:val="24"/>
          <w:highlight w:val="none"/>
        </w:rPr>
      </w:pPr>
      <w:r>
        <w:rPr>
          <w:rFonts w:hint="eastAsia" w:ascii="宋体" w:hAnsi="宋体"/>
          <w:color w:val="auto"/>
          <w:sz w:val="24"/>
          <w:highlight w:val="none"/>
        </w:rPr>
        <w:t>1、本项目高压用电由35kVPVC变电所就近供电。该35kV变电所电源来自园区变。</w:t>
      </w:r>
    </w:p>
    <w:p w14:paraId="56BE2708">
      <w:pPr>
        <w:spacing w:line="360" w:lineRule="auto"/>
        <w:ind w:firstLine="480"/>
        <w:rPr>
          <w:rFonts w:ascii="宋体" w:hAnsi="宋体"/>
          <w:color w:val="auto"/>
          <w:sz w:val="24"/>
          <w:highlight w:val="none"/>
        </w:rPr>
      </w:pPr>
      <w:r>
        <w:rPr>
          <w:rFonts w:hint="eastAsia" w:ascii="宋体" w:hAnsi="宋体"/>
          <w:color w:val="auto"/>
          <w:sz w:val="24"/>
          <w:highlight w:val="none"/>
        </w:rPr>
        <w:t>2、本项目配电方案</w:t>
      </w:r>
    </w:p>
    <w:p w14:paraId="030BF36D">
      <w:pPr>
        <w:spacing w:line="360" w:lineRule="auto"/>
        <w:ind w:firstLine="480"/>
        <w:rPr>
          <w:rFonts w:ascii="宋体" w:hAnsi="宋体"/>
          <w:color w:val="auto"/>
          <w:sz w:val="24"/>
          <w:highlight w:val="none"/>
        </w:rPr>
      </w:pPr>
      <w:r>
        <w:rPr>
          <w:rFonts w:hint="eastAsia" w:ascii="宋体" w:hAnsi="宋体"/>
          <w:color w:val="auto"/>
          <w:sz w:val="24"/>
          <w:highlight w:val="none"/>
        </w:rPr>
        <w:t>1）由35kVPVC变配电所为项目提供6kV动力电源，380V低压电源由就近低压配电室提供。</w:t>
      </w:r>
    </w:p>
    <w:p w14:paraId="53EE2511">
      <w:pPr>
        <w:spacing w:line="360" w:lineRule="auto"/>
        <w:ind w:firstLine="480"/>
        <w:rPr>
          <w:rFonts w:ascii="宋体" w:hAnsi="宋体"/>
          <w:color w:val="auto"/>
          <w:sz w:val="24"/>
          <w:highlight w:val="none"/>
        </w:rPr>
      </w:pPr>
      <w:r>
        <w:rPr>
          <w:rFonts w:hint="eastAsia" w:ascii="宋体" w:hAnsi="宋体"/>
          <w:color w:val="auto"/>
          <w:sz w:val="24"/>
          <w:highlight w:val="none"/>
        </w:rPr>
        <w:t>2）变配电室采用无人值守方式，设置数字化运维监视系统，接入原事业部系统。视频监控系统接入原原事业部智慧园区系统。</w:t>
      </w:r>
    </w:p>
    <w:p w14:paraId="7F410697">
      <w:pPr>
        <w:spacing w:line="360" w:lineRule="auto"/>
        <w:ind w:firstLine="480"/>
        <w:rPr>
          <w:rFonts w:ascii="宋体" w:hAnsi="宋体"/>
          <w:color w:val="auto"/>
          <w:sz w:val="24"/>
          <w:highlight w:val="none"/>
        </w:rPr>
      </w:pPr>
      <w:r>
        <w:rPr>
          <w:rFonts w:hint="eastAsia" w:ascii="宋体" w:hAnsi="宋体"/>
          <w:color w:val="auto"/>
          <w:sz w:val="24"/>
          <w:highlight w:val="none"/>
        </w:rPr>
        <w:t>3）大电流配电装置设置电气火灾预警系统。</w:t>
      </w:r>
    </w:p>
    <w:p w14:paraId="3F1BE121">
      <w:pPr>
        <w:spacing w:after="120" w:line="360" w:lineRule="auto"/>
        <w:ind w:left="420" w:leftChars="200"/>
        <w:rPr>
          <w:rFonts w:ascii="宋体" w:hAnsi="宋体"/>
          <w:b/>
          <w:color w:val="auto"/>
          <w:kern w:val="0"/>
          <w:sz w:val="24"/>
          <w:highlight w:val="none"/>
        </w:rPr>
      </w:pPr>
      <w:r>
        <w:rPr>
          <w:rFonts w:hint="eastAsia" w:ascii="宋体" w:hAnsi="宋体"/>
          <w:b/>
          <w:color w:val="auto"/>
          <w:kern w:val="0"/>
          <w:sz w:val="24"/>
          <w:highlight w:val="none"/>
        </w:rPr>
        <w:t>2.2.5.</w:t>
      </w:r>
      <w:r>
        <w:rPr>
          <w:rFonts w:ascii="宋体" w:hAnsi="宋体"/>
          <w:b/>
          <w:color w:val="auto"/>
          <w:kern w:val="0"/>
          <w:sz w:val="24"/>
          <w:highlight w:val="none"/>
        </w:rPr>
        <w:t>3节电措施</w:t>
      </w:r>
    </w:p>
    <w:p w14:paraId="7F1CD046">
      <w:pPr>
        <w:spacing w:line="360" w:lineRule="auto"/>
        <w:ind w:firstLine="480"/>
        <w:rPr>
          <w:rFonts w:ascii="宋体" w:hAnsi="宋体"/>
          <w:color w:val="auto"/>
          <w:sz w:val="24"/>
          <w:highlight w:val="none"/>
        </w:rPr>
      </w:pPr>
      <w:r>
        <w:rPr>
          <w:rFonts w:hint="eastAsia" w:ascii="宋体" w:hAnsi="宋体"/>
          <w:color w:val="auto"/>
          <w:sz w:val="24"/>
          <w:highlight w:val="none"/>
        </w:rPr>
        <w:t>本项目采用的节电措施有：</w:t>
      </w:r>
    </w:p>
    <w:p w14:paraId="2DED2074">
      <w:pPr>
        <w:spacing w:line="360" w:lineRule="auto"/>
        <w:ind w:firstLine="480"/>
        <w:rPr>
          <w:rFonts w:ascii="宋体" w:hAnsi="宋体"/>
          <w:color w:val="auto"/>
          <w:sz w:val="24"/>
          <w:highlight w:val="none"/>
        </w:rPr>
      </w:pPr>
      <w:r>
        <w:rPr>
          <w:rFonts w:hint="eastAsia" w:ascii="宋体" w:hAnsi="宋体"/>
          <w:color w:val="auto"/>
          <w:sz w:val="24"/>
          <w:highlight w:val="none"/>
        </w:rPr>
        <w:t>（1）配变电所靠近负荷中心设置；</w:t>
      </w:r>
    </w:p>
    <w:p w14:paraId="0FC326ED">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）照明光源选用L</w:t>
      </w:r>
      <w:r>
        <w:rPr>
          <w:rFonts w:ascii="宋体" w:hAnsi="宋体"/>
          <w:color w:val="auto"/>
          <w:sz w:val="24"/>
          <w:highlight w:val="none"/>
        </w:rPr>
        <w:t>ED</w:t>
      </w:r>
      <w:r>
        <w:rPr>
          <w:rFonts w:hint="eastAsia" w:ascii="宋体" w:hAnsi="宋体"/>
          <w:color w:val="auto"/>
          <w:sz w:val="24"/>
          <w:highlight w:val="none"/>
        </w:rPr>
        <w:t>光源。</w:t>
      </w:r>
    </w:p>
    <w:p w14:paraId="50C78477">
      <w:pPr>
        <w:spacing w:line="360" w:lineRule="auto"/>
        <w:ind w:firstLine="480"/>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）低压配电装置采用节能型抽屉柜，不低于M</w:t>
      </w:r>
      <w:r>
        <w:rPr>
          <w:rFonts w:ascii="宋体" w:hAnsi="宋体"/>
          <w:color w:val="auto"/>
          <w:sz w:val="24"/>
          <w:highlight w:val="none"/>
        </w:rPr>
        <w:t>NS2.0。</w:t>
      </w:r>
    </w:p>
    <w:p w14:paraId="274F53ED">
      <w:pPr>
        <w:spacing w:line="360" w:lineRule="auto"/>
        <w:ind w:firstLine="480"/>
        <w:rPr>
          <w:rFonts w:ascii="宋体" w:hAnsi="宋体"/>
          <w:color w:val="auto"/>
          <w:sz w:val="24"/>
          <w:highlight w:val="none"/>
        </w:rPr>
      </w:pPr>
      <w:r>
        <w:rPr>
          <w:rFonts w:ascii="宋体" w:hAnsi="宋体"/>
          <w:color w:val="auto"/>
          <w:sz w:val="24"/>
          <w:highlight w:val="none"/>
        </w:rPr>
        <w:t>（4</w:t>
      </w:r>
      <w:r>
        <w:rPr>
          <w:rFonts w:hint="eastAsia" w:ascii="宋体" w:hAnsi="宋体"/>
          <w:color w:val="auto"/>
          <w:sz w:val="24"/>
          <w:highlight w:val="none"/>
        </w:rPr>
        <w:t>）</w:t>
      </w:r>
      <w:r>
        <w:rPr>
          <w:rFonts w:ascii="宋体" w:hAnsi="宋体"/>
          <w:color w:val="auto"/>
          <w:sz w:val="24"/>
          <w:highlight w:val="none"/>
        </w:rPr>
        <w:t>设置电能在线管理系统，满足数字化要求</w:t>
      </w:r>
      <w:r>
        <w:rPr>
          <w:rFonts w:hint="eastAsia" w:ascii="宋体" w:hAnsi="宋体"/>
          <w:color w:val="auto"/>
          <w:sz w:val="24"/>
          <w:highlight w:val="none"/>
        </w:rPr>
        <w:t>。</w:t>
      </w:r>
    </w:p>
    <w:p w14:paraId="4AF41EDA">
      <w:pPr>
        <w:spacing w:after="120" w:line="360" w:lineRule="auto"/>
        <w:ind w:left="420" w:leftChars="200"/>
        <w:rPr>
          <w:rFonts w:ascii="宋体" w:hAnsi="宋体"/>
          <w:b/>
          <w:color w:val="auto"/>
          <w:kern w:val="0"/>
          <w:sz w:val="24"/>
          <w:highlight w:val="none"/>
        </w:rPr>
      </w:pPr>
      <w:r>
        <w:rPr>
          <w:rFonts w:hint="eastAsia" w:ascii="宋体" w:hAnsi="宋体"/>
          <w:b/>
          <w:color w:val="auto"/>
          <w:kern w:val="0"/>
          <w:sz w:val="24"/>
          <w:highlight w:val="none"/>
        </w:rPr>
        <w:t>2.2.5.</w:t>
      </w:r>
      <w:r>
        <w:rPr>
          <w:rFonts w:ascii="宋体" w:hAnsi="宋体"/>
          <w:b/>
          <w:color w:val="auto"/>
          <w:kern w:val="0"/>
          <w:sz w:val="24"/>
          <w:highlight w:val="none"/>
        </w:rPr>
        <w:t>4防雷及防静电措施</w:t>
      </w:r>
    </w:p>
    <w:p w14:paraId="66A57A8D">
      <w:pPr>
        <w:spacing w:line="360" w:lineRule="auto"/>
        <w:ind w:firstLine="480"/>
        <w:rPr>
          <w:rFonts w:ascii="宋体" w:hAnsi="宋体"/>
          <w:color w:val="auto"/>
          <w:sz w:val="24"/>
          <w:highlight w:val="none"/>
        </w:rPr>
      </w:pPr>
      <w:r>
        <w:rPr>
          <w:rFonts w:hint="eastAsia" w:ascii="宋体" w:hAnsi="宋体"/>
          <w:color w:val="auto"/>
          <w:sz w:val="24"/>
          <w:highlight w:val="none"/>
        </w:rPr>
        <w:t>本项目压缩机厂房为丁戊类环境，属第三类防雷建筑物,设置接闪杆和接闪网联合保护。</w:t>
      </w:r>
    </w:p>
    <w:p w14:paraId="0A8A7B07">
      <w:pPr>
        <w:spacing w:line="360" w:lineRule="auto"/>
        <w:ind w:firstLine="480"/>
        <w:rPr>
          <w:rFonts w:ascii="宋体" w:hAnsi="宋体"/>
          <w:color w:val="auto"/>
          <w:sz w:val="24"/>
          <w:highlight w:val="none"/>
        </w:rPr>
      </w:pPr>
      <w:r>
        <w:rPr>
          <w:rFonts w:hint="eastAsia" w:ascii="宋体" w:hAnsi="宋体"/>
          <w:color w:val="auto"/>
          <w:sz w:val="24"/>
          <w:highlight w:val="none"/>
        </w:rPr>
        <w:t>第三类防雷建筑物设置不大于24m</w:t>
      </w:r>
      <w:r>
        <w:rPr>
          <w:rFonts w:ascii="宋体" w:hAnsi="宋体"/>
          <w:color w:val="auto"/>
          <w:sz w:val="24"/>
          <w:highlight w:val="none"/>
        </w:rPr>
        <w:t>*</w:t>
      </w:r>
      <w:r>
        <w:rPr>
          <w:rFonts w:hint="eastAsia" w:ascii="宋体" w:hAnsi="宋体"/>
          <w:color w:val="auto"/>
          <w:sz w:val="24"/>
          <w:highlight w:val="none"/>
        </w:rPr>
        <w:t>16m的接闪网格进行保护。</w:t>
      </w:r>
    </w:p>
    <w:p w14:paraId="4CB0F6D4">
      <w:pPr>
        <w:spacing w:line="360" w:lineRule="auto"/>
        <w:ind w:firstLine="480"/>
        <w:rPr>
          <w:rFonts w:ascii="宋体" w:hAnsi="宋体"/>
          <w:color w:val="auto"/>
          <w:sz w:val="24"/>
          <w:highlight w:val="none"/>
        </w:rPr>
      </w:pPr>
      <w:r>
        <w:rPr>
          <w:rFonts w:hint="eastAsia" w:ascii="宋体" w:hAnsi="宋体"/>
          <w:color w:val="auto"/>
          <w:sz w:val="24"/>
          <w:highlight w:val="none"/>
        </w:rPr>
        <w:t>金属材质的罐区利用本体外壳（要求壁厚不小于4mm），作直击雷和防感应雷保护，在罐体周围设置相应接地干线，每只罐体接地点不少于两处。</w:t>
      </w:r>
    </w:p>
    <w:p w14:paraId="4FA54469">
      <w:pPr>
        <w:spacing w:line="360" w:lineRule="auto"/>
        <w:ind w:firstLine="480"/>
        <w:rPr>
          <w:rFonts w:ascii="宋体" w:hAnsi="宋体"/>
          <w:color w:val="auto"/>
          <w:sz w:val="24"/>
          <w:highlight w:val="none"/>
        </w:rPr>
      </w:pPr>
      <w:r>
        <w:rPr>
          <w:rFonts w:hint="eastAsia" w:ascii="宋体" w:hAnsi="宋体"/>
          <w:color w:val="auto"/>
          <w:sz w:val="24"/>
          <w:highlight w:val="none"/>
        </w:rPr>
        <w:t>厂房设有总等电位连接盒，并与室外接地干线可靠相连，作进出厂房的金属管线、建筑物金属构件、电气PE线等总等电位连接用。</w:t>
      </w:r>
    </w:p>
    <w:p w14:paraId="5CB8696C">
      <w:pPr>
        <w:spacing w:line="360" w:lineRule="auto"/>
        <w:ind w:firstLine="480"/>
        <w:rPr>
          <w:rFonts w:ascii="宋体" w:hAnsi="宋体"/>
          <w:color w:val="auto"/>
          <w:sz w:val="24"/>
          <w:highlight w:val="none"/>
        </w:rPr>
      </w:pPr>
      <w:r>
        <w:rPr>
          <w:rFonts w:hint="eastAsia" w:ascii="宋体" w:hAnsi="宋体"/>
          <w:color w:val="auto"/>
          <w:sz w:val="24"/>
          <w:highlight w:val="none"/>
        </w:rPr>
        <w:t>防雷接地以及电气接地、弱电设备接地共用接地装置,并构成全厂接地网，接地电阻不大于1欧姆。</w:t>
      </w:r>
    </w:p>
    <w:p w14:paraId="11719E8C">
      <w:pPr>
        <w:spacing w:after="120" w:line="360" w:lineRule="auto"/>
        <w:ind w:left="420" w:leftChars="200"/>
        <w:rPr>
          <w:rFonts w:ascii="宋体" w:hAnsi="宋体"/>
          <w:b/>
          <w:color w:val="auto"/>
          <w:kern w:val="0"/>
          <w:sz w:val="24"/>
          <w:highlight w:val="none"/>
        </w:rPr>
      </w:pPr>
      <w:r>
        <w:rPr>
          <w:rFonts w:hint="eastAsia" w:ascii="宋体" w:hAnsi="宋体"/>
          <w:b/>
          <w:color w:val="auto"/>
          <w:kern w:val="0"/>
          <w:sz w:val="24"/>
          <w:highlight w:val="none"/>
        </w:rPr>
        <w:t>2.2.5.</w:t>
      </w:r>
      <w:r>
        <w:rPr>
          <w:rFonts w:ascii="宋体" w:hAnsi="宋体"/>
          <w:b/>
          <w:color w:val="auto"/>
          <w:kern w:val="0"/>
          <w:sz w:val="24"/>
          <w:highlight w:val="none"/>
        </w:rPr>
        <w:t>5设计中采用的主要标准及规范</w:t>
      </w:r>
    </w:p>
    <w:p w14:paraId="27334E36">
      <w:pPr>
        <w:spacing w:line="360" w:lineRule="auto"/>
        <w:ind w:firstLine="480"/>
        <w:rPr>
          <w:rFonts w:ascii="宋体" w:hAnsi="宋体"/>
          <w:color w:val="auto"/>
          <w:sz w:val="24"/>
          <w:highlight w:val="none"/>
        </w:rPr>
      </w:pPr>
      <w:r>
        <w:rPr>
          <w:rFonts w:hint="eastAsia" w:ascii="宋体" w:hAnsi="宋体"/>
          <w:color w:val="auto"/>
          <w:sz w:val="24"/>
          <w:highlight w:val="none"/>
        </w:rPr>
        <w:t>本工程电气设计所引用的主要设计标准及规范:</w:t>
      </w:r>
    </w:p>
    <w:p w14:paraId="6950AC05">
      <w:pPr>
        <w:spacing w:line="360" w:lineRule="auto"/>
        <w:ind w:firstLine="480"/>
        <w:rPr>
          <w:rFonts w:ascii="宋体" w:hAnsi="宋体"/>
          <w:color w:val="auto"/>
          <w:sz w:val="24"/>
          <w:highlight w:val="none"/>
        </w:rPr>
      </w:pPr>
      <w:r>
        <w:rPr>
          <w:rFonts w:hint="eastAsia" w:ascii="宋体" w:hAnsi="宋体"/>
          <w:color w:val="auto"/>
          <w:sz w:val="24"/>
          <w:highlight w:val="none"/>
        </w:rPr>
        <w:t>（1）《化工投资项目可行性研究报告编制办法》中石化协产发&lt;2012&gt;115号</w:t>
      </w:r>
    </w:p>
    <w:p w14:paraId="4BE71D51">
      <w:pPr>
        <w:spacing w:line="360" w:lineRule="auto"/>
        <w:ind w:firstLine="480"/>
        <w:rPr>
          <w:rFonts w:ascii="宋体" w:hAnsi="宋体"/>
          <w:color w:val="auto"/>
          <w:sz w:val="24"/>
          <w:highlight w:val="none"/>
        </w:rPr>
      </w:pPr>
      <w:r>
        <w:rPr>
          <w:rFonts w:hint="eastAsia" w:ascii="宋体" w:hAnsi="宋体"/>
          <w:color w:val="auto"/>
          <w:sz w:val="24"/>
          <w:highlight w:val="none"/>
        </w:rPr>
        <w:t xml:space="preserve">（2）《火灾自动报警系统设计规范》GB50116-2013  </w:t>
      </w:r>
    </w:p>
    <w:p w14:paraId="52985159">
      <w:pPr>
        <w:spacing w:line="360" w:lineRule="auto"/>
        <w:ind w:firstLine="480"/>
        <w:rPr>
          <w:rFonts w:ascii="宋体" w:hAnsi="宋体"/>
          <w:color w:val="auto"/>
          <w:sz w:val="24"/>
          <w:highlight w:val="none"/>
        </w:rPr>
      </w:pPr>
      <w:r>
        <w:rPr>
          <w:rFonts w:hint="eastAsia" w:ascii="宋体" w:hAnsi="宋体"/>
          <w:color w:val="auto"/>
          <w:sz w:val="24"/>
          <w:highlight w:val="none"/>
        </w:rPr>
        <w:t>（3）《20KV及以下变电所设计规范》GB50053-2014</w:t>
      </w:r>
    </w:p>
    <w:p w14:paraId="29CF93A1">
      <w:pPr>
        <w:spacing w:line="360" w:lineRule="auto"/>
        <w:ind w:firstLine="480"/>
        <w:rPr>
          <w:rFonts w:ascii="宋体" w:hAnsi="宋体"/>
          <w:color w:val="auto"/>
          <w:sz w:val="24"/>
          <w:highlight w:val="none"/>
        </w:rPr>
      </w:pPr>
      <w:r>
        <w:rPr>
          <w:rFonts w:hint="eastAsia" w:ascii="宋体" w:hAnsi="宋体"/>
          <w:color w:val="auto"/>
          <w:sz w:val="24"/>
          <w:highlight w:val="none"/>
        </w:rPr>
        <w:t>（4）《低压配电设计规范》GB50054-2011</w:t>
      </w:r>
    </w:p>
    <w:p w14:paraId="71B80AEE">
      <w:pPr>
        <w:spacing w:line="360" w:lineRule="auto"/>
        <w:ind w:firstLine="480"/>
        <w:rPr>
          <w:rFonts w:ascii="宋体" w:hAnsi="宋体"/>
          <w:color w:val="auto"/>
          <w:sz w:val="24"/>
          <w:highlight w:val="none"/>
        </w:rPr>
      </w:pPr>
      <w:r>
        <w:rPr>
          <w:rFonts w:hint="eastAsia" w:ascii="宋体" w:hAnsi="宋体"/>
          <w:color w:val="auto"/>
          <w:sz w:val="24"/>
          <w:highlight w:val="none"/>
        </w:rPr>
        <w:t>（5）《爆炸危险环境电力装置设计规范》 GB50058-2014</w:t>
      </w:r>
    </w:p>
    <w:p w14:paraId="4268C935">
      <w:pPr>
        <w:spacing w:line="360" w:lineRule="auto"/>
        <w:ind w:firstLine="480"/>
        <w:rPr>
          <w:rFonts w:ascii="宋体" w:hAnsi="宋体"/>
          <w:color w:val="auto"/>
          <w:sz w:val="24"/>
          <w:highlight w:val="none"/>
        </w:rPr>
      </w:pPr>
      <w:r>
        <w:rPr>
          <w:rFonts w:hint="eastAsia" w:ascii="宋体" w:hAnsi="宋体"/>
          <w:color w:val="auto"/>
          <w:sz w:val="24"/>
          <w:highlight w:val="none"/>
        </w:rPr>
        <w:t>（6）《建筑物防雷设计规范》GB50057-2010</w:t>
      </w:r>
    </w:p>
    <w:p w14:paraId="1A297386">
      <w:pPr>
        <w:spacing w:line="360" w:lineRule="auto"/>
        <w:ind w:firstLine="480"/>
        <w:rPr>
          <w:rFonts w:ascii="宋体" w:hAnsi="宋体"/>
          <w:color w:val="auto"/>
          <w:sz w:val="24"/>
          <w:highlight w:val="none"/>
        </w:rPr>
      </w:pPr>
      <w:r>
        <w:rPr>
          <w:rFonts w:hint="eastAsia" w:ascii="宋体" w:hAnsi="宋体"/>
          <w:color w:val="auto"/>
          <w:sz w:val="24"/>
          <w:highlight w:val="none"/>
        </w:rPr>
        <w:t>（7）《化工企业静电接地设计规程》HGJ28-90</w:t>
      </w:r>
    </w:p>
    <w:p w14:paraId="5F3A6E42">
      <w:pPr>
        <w:spacing w:line="360" w:lineRule="auto"/>
        <w:ind w:firstLine="480"/>
        <w:rPr>
          <w:rFonts w:ascii="宋体" w:hAnsi="宋体"/>
          <w:color w:val="auto"/>
          <w:sz w:val="24"/>
          <w:highlight w:val="none"/>
        </w:rPr>
      </w:pPr>
      <w:r>
        <w:rPr>
          <w:rFonts w:hint="eastAsia" w:ascii="宋体" w:hAnsi="宋体"/>
          <w:color w:val="auto"/>
          <w:sz w:val="24"/>
          <w:highlight w:val="none"/>
        </w:rPr>
        <w:t>（8）《建筑照明设计标准》GB50034-2013</w:t>
      </w:r>
    </w:p>
    <w:p w14:paraId="2E170CD5">
      <w:pPr>
        <w:spacing w:line="360" w:lineRule="auto"/>
        <w:ind w:firstLine="480"/>
        <w:rPr>
          <w:rFonts w:ascii="宋体" w:hAnsi="宋体"/>
          <w:color w:val="auto"/>
          <w:sz w:val="24"/>
          <w:highlight w:val="none"/>
        </w:rPr>
      </w:pPr>
      <w:r>
        <w:rPr>
          <w:rFonts w:hint="eastAsia" w:ascii="宋体" w:hAnsi="宋体"/>
          <w:color w:val="auto"/>
          <w:sz w:val="24"/>
          <w:highlight w:val="none"/>
        </w:rPr>
        <w:t>（9）《建筑设计防火规范》 GB50016-2014（2018年）</w:t>
      </w:r>
    </w:p>
    <w:p w14:paraId="655CBDB9">
      <w:pPr>
        <w:adjustRightInd w:val="0"/>
        <w:snapToGrid w:val="0"/>
        <w:spacing w:line="360" w:lineRule="auto"/>
        <w:rPr>
          <w:rFonts w:ascii="宋体" w:hAnsi="宋体"/>
          <w:b/>
          <w:color w:val="auto"/>
          <w:sz w:val="24"/>
          <w:highlight w:val="none"/>
        </w:rPr>
      </w:pPr>
    </w:p>
    <w:p w14:paraId="313FCF54">
      <w:pPr>
        <w:spacing w:after="120" w:line="360" w:lineRule="auto"/>
        <w:ind w:left="420" w:leftChars="200"/>
        <w:rPr>
          <w:rFonts w:ascii="宋体" w:hAnsi="宋体"/>
          <w:b/>
          <w:color w:val="auto"/>
          <w:kern w:val="0"/>
          <w:sz w:val="24"/>
          <w:highlight w:val="none"/>
        </w:rPr>
      </w:pPr>
      <w:r>
        <w:rPr>
          <w:rFonts w:hint="eastAsia" w:ascii="宋体" w:hAnsi="宋体"/>
          <w:b/>
          <w:color w:val="auto"/>
          <w:kern w:val="0"/>
          <w:sz w:val="24"/>
          <w:highlight w:val="none"/>
        </w:rPr>
        <w:t>2.2.5.</w:t>
      </w:r>
      <w:r>
        <w:rPr>
          <w:rFonts w:ascii="宋体" w:hAnsi="宋体"/>
          <w:b/>
          <w:color w:val="auto"/>
          <w:kern w:val="0"/>
          <w:sz w:val="24"/>
          <w:highlight w:val="none"/>
        </w:rPr>
        <w:t>6动力用电的操作和保护</w:t>
      </w:r>
    </w:p>
    <w:p w14:paraId="28E9B8C0">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机泵电机均在设备现场设操作开关，</w:t>
      </w:r>
      <w:r>
        <w:rPr>
          <w:rFonts w:ascii="宋体" w:hAnsi="宋体"/>
          <w:color w:val="auto"/>
          <w:kern w:val="0"/>
          <w:sz w:val="24"/>
          <w:highlight w:val="none"/>
        </w:rPr>
        <w:t>根据工艺要求在现场加装电流表。</w:t>
      </w:r>
      <w:r>
        <w:rPr>
          <w:rFonts w:hint="eastAsia" w:ascii="宋体" w:hAnsi="宋体"/>
          <w:color w:val="auto"/>
          <w:kern w:val="0"/>
          <w:sz w:val="24"/>
          <w:highlight w:val="none"/>
        </w:rPr>
        <w:t>部分有特殊要求的设备设DCS控制，ESD紧停。</w:t>
      </w:r>
    </w:p>
    <w:p w14:paraId="34D5F113">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本项目高压用电设备的保护应采用过流、速断、工艺故障、零序等；低压用电设备的保护均应采用塑壳断路器（熔断器）、热继电器或电机智能保护器等相应组合作为短路、过负荷及断相保护</w:t>
      </w:r>
      <w:r>
        <w:rPr>
          <w:rFonts w:ascii="宋体" w:hAnsi="宋体"/>
          <w:color w:val="auto"/>
          <w:kern w:val="0"/>
          <w:sz w:val="24"/>
          <w:highlight w:val="none"/>
        </w:rPr>
        <w:t>。</w:t>
      </w:r>
    </w:p>
    <w:p w14:paraId="2E4D0FCC">
      <w:pPr>
        <w:adjustRightInd w:val="0"/>
        <w:snapToGrid w:val="0"/>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2.2.5.</w:t>
      </w:r>
      <w:r>
        <w:rPr>
          <w:rFonts w:ascii="宋体" w:hAnsi="宋体"/>
          <w:b/>
          <w:color w:val="auto"/>
          <w:sz w:val="24"/>
          <w:highlight w:val="none"/>
        </w:rPr>
        <w:t>7</w:t>
      </w:r>
      <w:r>
        <w:rPr>
          <w:rFonts w:hint="eastAsia" w:ascii="宋体" w:hAnsi="宋体"/>
          <w:b/>
          <w:color w:val="auto"/>
          <w:sz w:val="24"/>
          <w:highlight w:val="none"/>
        </w:rPr>
        <w:t>照明</w:t>
      </w:r>
    </w:p>
    <w:p w14:paraId="7178269A">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（1） 照明方式：采用一般照明方式为主；</w:t>
      </w:r>
    </w:p>
    <w:p w14:paraId="2D631BAC">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（2） 照明种类: 正常照明和应急照明；</w:t>
      </w:r>
    </w:p>
    <w:p w14:paraId="6B238E67">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（3） 照度设计值</w:t>
      </w:r>
    </w:p>
    <w:p w14:paraId="12FF7F62">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控制室      300LX（正常）；30LX(应急)；</w:t>
      </w:r>
    </w:p>
    <w:p w14:paraId="00FB81B7">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配电室      200LX（正常、应急）；</w:t>
      </w:r>
    </w:p>
    <w:p w14:paraId="4914D7CC">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装置生产区域    100LX；</w:t>
      </w:r>
    </w:p>
    <w:p w14:paraId="0B1C7793">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楼梯            30LX（正常、应急)；</w:t>
      </w:r>
    </w:p>
    <w:p w14:paraId="6FFD51E2">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疏散走道        5LX （应急)；</w:t>
      </w:r>
    </w:p>
    <w:p w14:paraId="186AAAFB">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（4）照明光源选用以高效荧光灯、LED灯等。</w:t>
      </w:r>
    </w:p>
    <w:p w14:paraId="44610C03">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（5）照明配电及控制</w:t>
      </w:r>
    </w:p>
    <w:p w14:paraId="749F3C55">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a. 正常照明系统：</w:t>
      </w:r>
    </w:p>
    <w:p w14:paraId="3F22A695">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单体建筑设照明箱若干，总电源接自临近低配内照明柜。</w:t>
      </w:r>
    </w:p>
    <w:p w14:paraId="032B1498">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大面积生产装置厂房照明采用在箱上集中控制，配电室设就地开关控制。</w:t>
      </w:r>
    </w:p>
    <w:p w14:paraId="7A29A3EB">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b. 应急照明及疏散指示系统</w:t>
      </w:r>
    </w:p>
    <w:p w14:paraId="413F41A0">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消防配电室、建筑物封闭楼梯间设疏散照明，</w:t>
      </w:r>
      <w:r>
        <w:rPr>
          <w:rFonts w:ascii="宋体" w:hAnsi="宋体"/>
          <w:color w:val="auto"/>
          <w:kern w:val="0"/>
          <w:sz w:val="24"/>
          <w:highlight w:val="none"/>
        </w:rPr>
        <w:t>甲、乙、丙类厂房</w:t>
      </w:r>
      <w:r>
        <w:rPr>
          <w:rFonts w:hint="eastAsia" w:ascii="宋体" w:hAnsi="宋体"/>
          <w:color w:val="auto"/>
          <w:kern w:val="0"/>
          <w:sz w:val="24"/>
          <w:highlight w:val="none"/>
        </w:rPr>
        <w:t>疏散走道及出口处设相应疏散指示照明；</w:t>
      </w:r>
    </w:p>
    <w:p w14:paraId="62A300B1">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应急照明系统采用36V集中电源供电，应急时间不小于90min。设应急照明控制器一台，可布置在厂房或控制室内，由火灾报警信号连锁启动。</w:t>
      </w:r>
    </w:p>
    <w:p w14:paraId="7476F166">
      <w:pPr>
        <w:adjustRightInd w:val="0"/>
        <w:spacing w:after="120" w:line="360" w:lineRule="auto"/>
        <w:ind w:left="420" w:leftChars="200" w:right="-11" w:firstLine="480" w:firstLineChars="200"/>
        <w:rPr>
          <w:rFonts w:ascii="宋体" w:hAnsi="宋体"/>
          <w:color w:val="auto"/>
          <w:kern w:val="0"/>
          <w:sz w:val="24"/>
          <w:highlight w:val="none"/>
        </w:rPr>
      </w:pPr>
      <w:r>
        <w:rPr>
          <w:rFonts w:hint="eastAsia" w:ascii="宋体" w:hAnsi="宋体"/>
          <w:color w:val="auto"/>
          <w:kern w:val="0"/>
          <w:sz w:val="24"/>
          <w:highlight w:val="none"/>
        </w:rPr>
        <w:t>（</w:t>
      </w:r>
      <w:r>
        <w:rPr>
          <w:rFonts w:ascii="宋体" w:hAnsi="宋体"/>
          <w:color w:val="auto"/>
          <w:kern w:val="0"/>
          <w:sz w:val="24"/>
          <w:highlight w:val="none"/>
        </w:rPr>
        <w:t>6</w:t>
      </w:r>
      <w:r>
        <w:rPr>
          <w:rFonts w:hint="eastAsia" w:ascii="宋体" w:hAnsi="宋体"/>
          <w:color w:val="auto"/>
          <w:kern w:val="0"/>
          <w:sz w:val="24"/>
          <w:highlight w:val="none"/>
        </w:rPr>
        <w:t>）灯具选型和线路敷设方式</w:t>
      </w:r>
    </w:p>
    <w:p w14:paraId="01912D39">
      <w:pPr>
        <w:spacing w:line="312"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防水防尘防腐环境：选用相应防水防尘防腐型。采用ZRA-YJV电缆穿镀锌钢管明敷。</w:t>
      </w:r>
    </w:p>
    <w:p w14:paraId="6166F352">
      <w:pPr>
        <w:spacing w:line="312"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疏散照明选用符合消防要求的专用型灯具,其线路均采用耐火电缆或电线（耐压≥750V）。</w:t>
      </w:r>
    </w:p>
    <w:p w14:paraId="586E66A5">
      <w:pPr>
        <w:adjustRightInd w:val="0"/>
        <w:snapToGrid w:val="0"/>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2.</w:t>
      </w:r>
      <w:r>
        <w:rPr>
          <w:rFonts w:ascii="宋体" w:hAnsi="宋体"/>
          <w:b/>
          <w:color w:val="auto"/>
          <w:sz w:val="24"/>
          <w:highlight w:val="none"/>
        </w:rPr>
        <w:t>2</w:t>
      </w:r>
      <w:r>
        <w:rPr>
          <w:rFonts w:hint="eastAsia" w:ascii="宋体" w:hAnsi="宋体"/>
          <w:b/>
          <w:color w:val="auto"/>
          <w:sz w:val="24"/>
          <w:highlight w:val="none"/>
        </w:rPr>
        <w:t>.5.</w:t>
      </w:r>
      <w:r>
        <w:rPr>
          <w:rFonts w:ascii="宋体" w:hAnsi="宋体"/>
          <w:b/>
          <w:color w:val="auto"/>
          <w:sz w:val="24"/>
          <w:highlight w:val="none"/>
        </w:rPr>
        <w:t>8  配电线路和检修电源</w:t>
      </w:r>
    </w:p>
    <w:p w14:paraId="06DFD2E9">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（1）</w:t>
      </w:r>
      <w:r>
        <w:rPr>
          <w:rFonts w:ascii="宋体" w:hAnsi="宋体"/>
          <w:color w:val="auto"/>
          <w:kern w:val="0"/>
          <w:sz w:val="24"/>
          <w:highlight w:val="none"/>
        </w:rPr>
        <w:t>配电、控制线路均应选用阻燃型铜芯交联聚乙烯电缆（</w:t>
      </w:r>
      <w:r>
        <w:rPr>
          <w:rFonts w:hint="eastAsia" w:ascii="宋体" w:hAnsi="宋体"/>
          <w:color w:val="auto"/>
          <w:kern w:val="0"/>
          <w:sz w:val="24"/>
          <w:highlight w:val="none"/>
        </w:rPr>
        <w:t>Z</w:t>
      </w:r>
      <w:r>
        <w:rPr>
          <w:rFonts w:ascii="宋体" w:hAnsi="宋体"/>
          <w:color w:val="auto"/>
          <w:kern w:val="0"/>
          <w:sz w:val="24"/>
          <w:highlight w:val="none"/>
        </w:rPr>
        <w:t>RA-YJV/KYJV），沿</w:t>
      </w:r>
      <w:r>
        <w:rPr>
          <w:rFonts w:hint="eastAsia" w:ascii="宋体" w:hAnsi="宋体"/>
          <w:color w:val="auto"/>
          <w:kern w:val="0"/>
          <w:sz w:val="24"/>
          <w:highlight w:val="none"/>
        </w:rPr>
        <w:t>防腐蚀</w:t>
      </w:r>
      <w:r>
        <w:rPr>
          <w:rFonts w:ascii="宋体" w:hAnsi="宋体"/>
          <w:color w:val="auto"/>
          <w:kern w:val="0"/>
          <w:sz w:val="24"/>
          <w:highlight w:val="none"/>
        </w:rPr>
        <w:t>电缆桥架</w:t>
      </w:r>
      <w:r>
        <w:rPr>
          <w:rFonts w:hint="eastAsia" w:ascii="宋体" w:hAnsi="宋体"/>
          <w:color w:val="auto"/>
          <w:kern w:val="0"/>
          <w:sz w:val="24"/>
          <w:highlight w:val="none"/>
        </w:rPr>
        <w:t>（电缆桥架采用不锈钢桥架）</w:t>
      </w:r>
      <w:r>
        <w:rPr>
          <w:rFonts w:ascii="宋体" w:hAnsi="宋体"/>
          <w:color w:val="auto"/>
          <w:kern w:val="0"/>
          <w:sz w:val="24"/>
          <w:highlight w:val="none"/>
        </w:rPr>
        <w:t>敷设</w:t>
      </w:r>
      <w:r>
        <w:rPr>
          <w:rFonts w:hint="eastAsia" w:ascii="宋体" w:hAnsi="宋体"/>
          <w:color w:val="auto"/>
          <w:kern w:val="0"/>
          <w:sz w:val="24"/>
          <w:highlight w:val="none"/>
        </w:rPr>
        <w:t>为主，部分沿</w:t>
      </w:r>
      <w:r>
        <w:rPr>
          <w:rFonts w:ascii="宋体" w:hAnsi="宋体"/>
          <w:color w:val="auto"/>
          <w:kern w:val="0"/>
          <w:sz w:val="24"/>
          <w:highlight w:val="none"/>
        </w:rPr>
        <w:t>电缆沟</w:t>
      </w:r>
      <w:r>
        <w:rPr>
          <w:rFonts w:hint="eastAsia" w:ascii="宋体" w:hAnsi="宋体"/>
          <w:color w:val="auto"/>
          <w:kern w:val="0"/>
          <w:sz w:val="24"/>
          <w:highlight w:val="none"/>
        </w:rPr>
        <w:t>或电缆穿钢管埋地敷设</w:t>
      </w:r>
      <w:r>
        <w:rPr>
          <w:rFonts w:ascii="宋体" w:hAnsi="宋体"/>
          <w:color w:val="auto"/>
          <w:kern w:val="0"/>
          <w:sz w:val="24"/>
          <w:highlight w:val="none"/>
        </w:rPr>
        <w:t>，至终端电缆穿钢管埋地、沿建构筑物或支架至用电设备。</w:t>
      </w:r>
    </w:p>
    <w:p w14:paraId="7FDE91DD">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（2）配电电缆截面选择原则：</w:t>
      </w:r>
    </w:p>
    <w:p w14:paraId="7FCE1765">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① 计算电流应小于按敷设条件修正后的载流量（爆炸性环境内的还应符合GB50058规定）；</w:t>
      </w:r>
    </w:p>
    <w:p w14:paraId="76299C4A">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② 1kV动力电缆截面按经济</w:t>
      </w:r>
      <w:r>
        <w:rPr>
          <w:rFonts w:ascii="宋体" w:hAnsi="宋体"/>
          <w:color w:val="auto"/>
          <w:kern w:val="0"/>
          <w:sz w:val="24"/>
          <w:highlight w:val="none"/>
        </w:rPr>
        <w:t>电流密度选择，并</w:t>
      </w:r>
      <w:r>
        <w:rPr>
          <w:rFonts w:hint="eastAsia" w:ascii="宋体" w:hAnsi="宋体"/>
          <w:color w:val="auto"/>
          <w:kern w:val="0"/>
          <w:sz w:val="24"/>
          <w:highlight w:val="none"/>
        </w:rPr>
        <w:t>满足电压损失及电气保护校验，</w:t>
      </w:r>
    </w:p>
    <w:p w14:paraId="28A8428D">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（3）</w:t>
      </w:r>
      <w:r>
        <w:rPr>
          <w:rFonts w:ascii="宋体" w:hAnsi="宋体"/>
          <w:color w:val="auto"/>
          <w:kern w:val="0"/>
          <w:sz w:val="24"/>
          <w:highlight w:val="none"/>
        </w:rPr>
        <w:t>在各生产装置区设置必要的检修电源箱。</w:t>
      </w:r>
    </w:p>
    <w:p w14:paraId="31F1F5F2">
      <w:pPr>
        <w:adjustRightInd w:val="0"/>
        <w:snapToGrid w:val="0"/>
        <w:spacing w:line="360" w:lineRule="auto"/>
        <w:ind w:firstLine="480" w:firstLineChars="200"/>
        <w:rPr>
          <w:rFonts w:ascii="宋体" w:hAnsi="宋体"/>
          <w:color w:val="auto"/>
          <w:kern w:val="0"/>
          <w:sz w:val="24"/>
          <w:highlight w:val="none"/>
        </w:rPr>
      </w:pPr>
      <w:r>
        <w:rPr>
          <w:rFonts w:hint="eastAsia" w:ascii="宋体" w:hAnsi="宋体"/>
          <w:color w:val="auto"/>
          <w:kern w:val="0"/>
          <w:sz w:val="24"/>
          <w:highlight w:val="none"/>
        </w:rPr>
        <w:t>（4）本项目采用放射式供电，接地制式采用TN-S系统。</w:t>
      </w:r>
    </w:p>
    <w:p w14:paraId="3342612F">
      <w:pPr>
        <w:adjustRightInd w:val="0"/>
        <w:snapToGrid w:val="0"/>
        <w:spacing w:line="360" w:lineRule="auto"/>
        <w:rPr>
          <w:rFonts w:ascii="宋体" w:hAnsi="宋体"/>
          <w:color w:val="auto"/>
          <w:kern w:val="0"/>
          <w:sz w:val="24"/>
          <w:highlight w:val="none"/>
        </w:rPr>
      </w:pPr>
      <w:r>
        <w:rPr>
          <w:rFonts w:hint="eastAsia" w:ascii="宋体" w:hAnsi="宋体"/>
          <w:b/>
          <w:color w:val="auto"/>
          <w:sz w:val="24"/>
          <w:highlight w:val="none"/>
        </w:rPr>
        <w:t>2.</w:t>
      </w:r>
      <w:r>
        <w:rPr>
          <w:rFonts w:ascii="宋体" w:hAnsi="宋体"/>
          <w:b/>
          <w:color w:val="auto"/>
          <w:sz w:val="24"/>
          <w:highlight w:val="none"/>
        </w:rPr>
        <w:t>2</w:t>
      </w:r>
      <w:r>
        <w:rPr>
          <w:rFonts w:hint="eastAsia" w:ascii="宋体" w:hAnsi="宋体"/>
          <w:b/>
          <w:color w:val="auto"/>
          <w:sz w:val="24"/>
          <w:highlight w:val="none"/>
        </w:rPr>
        <w:t>.5.</w:t>
      </w:r>
      <w:r>
        <w:rPr>
          <w:rFonts w:ascii="宋体" w:hAnsi="宋体"/>
          <w:b/>
          <w:color w:val="auto"/>
          <w:sz w:val="24"/>
          <w:highlight w:val="none"/>
        </w:rPr>
        <w:t>9电</w:t>
      </w:r>
      <w:r>
        <w:rPr>
          <w:rFonts w:hint="eastAsia" w:ascii="宋体" w:hAnsi="宋体"/>
          <w:b/>
          <w:color w:val="auto"/>
          <w:sz w:val="24"/>
          <w:highlight w:val="none"/>
        </w:rPr>
        <w:t>计量：本项目设置单独电能表。</w:t>
      </w:r>
    </w:p>
    <w:p w14:paraId="75DA26EE">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2.2.6</w:t>
      </w:r>
      <w:r>
        <w:rPr>
          <w:rFonts w:ascii="宋体" w:hAnsi="宋体"/>
          <w:b/>
          <w:color w:val="auto"/>
          <w:sz w:val="24"/>
          <w:highlight w:val="none"/>
        </w:rPr>
        <w:t>自动控制及仪表</w:t>
      </w:r>
    </w:p>
    <w:p w14:paraId="1A433EAE">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2.2.6.1 控制系统的选择</w:t>
      </w:r>
    </w:p>
    <w:p w14:paraId="10B4DCD4">
      <w:pPr>
        <w:adjustRightInd w:val="0"/>
        <w:snapToGrid w:val="0"/>
        <w:spacing w:line="360" w:lineRule="auto"/>
        <w:ind w:firstLine="482" w:firstLineChars="200"/>
        <w:rPr>
          <w:rFonts w:ascii="宋体" w:hAnsi="宋体"/>
          <w:color w:val="auto"/>
          <w:sz w:val="24"/>
          <w:highlight w:val="none"/>
        </w:rPr>
      </w:pPr>
      <w:r>
        <w:rPr>
          <w:rFonts w:hint="eastAsia" w:ascii="宋体" w:hAnsi="宋体"/>
          <w:b/>
          <w:color w:val="auto"/>
          <w:sz w:val="24"/>
          <w:highlight w:val="none"/>
        </w:rPr>
        <w:t>本项目自控设计主要为</w:t>
      </w:r>
      <w:r>
        <w:rPr>
          <w:rFonts w:hAnsi="宋体"/>
          <w:color w:val="auto"/>
          <w:sz w:val="24"/>
          <w:highlight w:val="none"/>
        </w:rPr>
        <w:t>：</w:t>
      </w:r>
      <w:r>
        <w:rPr>
          <w:rFonts w:hint="eastAsia" w:hAnsi="宋体"/>
          <w:color w:val="auto"/>
          <w:sz w:val="24"/>
          <w:highlight w:val="none"/>
        </w:rPr>
        <w:t>蒸汽压缩装置</w:t>
      </w:r>
      <w:r>
        <w:rPr>
          <w:rFonts w:hint="eastAsia" w:ascii="宋体" w:hAnsi="宋体"/>
          <w:color w:val="auto"/>
          <w:sz w:val="24"/>
          <w:highlight w:val="none"/>
        </w:rPr>
        <w:t>。根据巨塑现有装置的自动化水平并结合本次技改的特点，本设计采用集散系统(DCS)实现工艺过程参数的显示和控制。DCS控制系统需和现有装置控制系统完成项目并网。</w:t>
      </w:r>
    </w:p>
    <w:p w14:paraId="6623A7DC">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2.2.6.2 仪表选型</w:t>
      </w:r>
    </w:p>
    <w:p w14:paraId="75651EBE">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项目采用DCS控制系统，现场仪表根据各装置工艺介质的特点及防爆要求，在选型上均作了相应的考虑。仪表及自控设备选型应根据各装置的生产规模、流程特点、操作要求和自动控制水平，选择技术先进、性能可靠、价格合理、售后服务和技术支持良好的仪表和自控设备</w:t>
      </w:r>
    </w:p>
    <w:p w14:paraId="4E954FF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（1）控制室仪表：为与现有装置并网及操作使用方便，DCS系统采用浙大中控产品。</w:t>
      </w:r>
    </w:p>
    <w:p w14:paraId="51EE998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（2）温度测量：集中测量的温度检测元件采用铂热电阻或热电偶。就地温度指示，选用万向型双金属温度计。温度计工艺接管全部采用法兰形式。</w:t>
      </w:r>
    </w:p>
    <w:p w14:paraId="26E4157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（3）压力测量：集中压力测量采用变送器，对于易堵及强腐蚀性介质的压力测量采用远传法兰式压力变送器，其余介质的就地压力测量选用普通不锈钢压力表。</w:t>
      </w:r>
    </w:p>
    <w:p w14:paraId="4F677B3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公用系统及重要管道上的取压点全部采用法兰形式及安装法兰式球阀，螺纹式压力变送器或压力表安装带孔法兰后再进行取压。</w:t>
      </w:r>
    </w:p>
    <w:p w14:paraId="29B6539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（4）液位测量：液位测量一般采用差压变送器，易堵及强腐蚀性介质的液位测量采用法兰式差压变送器、微波物位仪、磁翻板液位计等。</w:t>
      </w:r>
    </w:p>
    <w:p w14:paraId="5F2C19C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（5）流量测量：根据介质的特点及控制精度要求，分别采用质量流量计、电磁流量计、旋涡流量计、孔板配差压变送器等。电磁流量计必须可靠接地。就地指示流量计采用金属转子流量计或玻璃转子流量计。</w:t>
      </w:r>
    </w:p>
    <w:p w14:paraId="6A4CBB7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（6）分析仪表：工艺介质的浓度通过密度或电导率测量来实现测量，pH采用抗氟玻璃电极pH计，可燃气体浓度采用隔爆型可燃气体浓度分析仪。色谱和氧含量分析仪品牌等参照现有装置品牌或同档次品牌。</w:t>
      </w:r>
    </w:p>
    <w:p w14:paraId="613B99D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7）执行器：本项目使用的各种调节阀、切断阀，主要有单座阀、波纹管密封单座调节阀、软密封球阀等；执行机构选用气动执行机构，阀体材质选用不锈钢及碳钢等，阀芯及阀座材质根据不同的介质及工况均作了相应的考虑；所有阀门根据不同的用途配备有电气阀门定位器、空气过滤减压器、电磁阀、手轮等不同种类及不同数量的附件。切断阀及高压切断阀泄露等级要求零泄漏，可选用PEEK材质密封的球阀。小流量调节阀要求进行流量特性测试并出具报告。</w:t>
      </w:r>
    </w:p>
    <w:p w14:paraId="5C1A8D1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桥架：项目采用不锈钢桥架，考虑备用空位，设计时所有桥架电缆在桥架内的填充率不得大于30%。电缆铺设完毕后若抽查发现电缆在桥架内的填充率超过35%，承包人重新修改设计、整改或重新安装并承担修改设计、拆除及重新安装的全部费用，工期不予顺延。图纸上明确厂房桥架进口位置，需注意进口位置不能有梁柱。现场尽量减少穿线管使用数量，多采用桥架走线形式，单根电缆穿线管铺设长度应在6m以下。桥架支撑应牢固可靠，金属支架的间距应小于2m。</w:t>
      </w:r>
    </w:p>
    <w:p w14:paraId="786C23DC">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仪表选型可参考本章“第一部分 蒸汽压缩机组技术要求 6.仪控部分</w:t>
      </w:r>
      <w:r>
        <w:rPr>
          <w:rFonts w:ascii="宋体" w:hAnsi="宋体"/>
          <w:color w:val="auto"/>
          <w:sz w:val="24"/>
          <w:highlight w:val="none"/>
        </w:rPr>
        <w:t>”</w:t>
      </w:r>
    </w:p>
    <w:p w14:paraId="3E0783DB">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2.2.6.3 控制室的设置</w:t>
      </w:r>
    </w:p>
    <w:p w14:paraId="5562ACF6">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DCS系统主要由过程接口、人机接口和数据通讯系统组成。</w:t>
      </w:r>
    </w:p>
    <w:p w14:paraId="0FC2C931">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过程接口包括数据采集单元和控制单元，它们以微处理器为基础进行信号的采集、转换、控制和逻辑运算，并具有多种计算功能，按照过程控制的要求进行控制算法的组态和编程。DCS组态点位描述不能只采用设备位号，要求有中文描述。</w:t>
      </w:r>
    </w:p>
    <w:p w14:paraId="30F784B5">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人机接口包括操作员站、工程师站、激光打印机以及辅助操作台。操作员站和工程师站均含有24寸双屏LCD显示器、键盘和鼠标。</w:t>
      </w:r>
    </w:p>
    <w:p w14:paraId="4418B4AC">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通讯系统以数字通讯协议（TCP/IP）为基础，在所有的人机接口、控制单元和数据采集单元之间提供全冗余的高速数据通讯系统。并提供与其他系统或设备的通讯接口。</w:t>
      </w:r>
    </w:p>
    <w:p w14:paraId="526A314D">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本项目操作站设置在智慧控制中心。</w:t>
      </w:r>
    </w:p>
    <w:p w14:paraId="648CFC4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2.2.6.4 安全技术措施</w:t>
      </w:r>
    </w:p>
    <w:p w14:paraId="36757C28">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着安全可靠、保证生产和正常操作的原则，对重要的温度、压力、液位和流量等参数设置了信号报警和联锁系统。联锁接点采用直接型和间接型，联锁为故障安全型。所有联锁均设报警显示，对于关键安全联锁，在工艺参数恢复正常时设手动复位按钮。</w:t>
      </w:r>
    </w:p>
    <w:p w14:paraId="15796620">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一般信号联锁报警在DCS中显示、声响告之，对于重要的安全联锁系统另设置硬报警，外接闪光报警器。</w:t>
      </w:r>
    </w:p>
    <w:p w14:paraId="4A9C371D">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同时</w:t>
      </w:r>
      <w:r>
        <w:rPr>
          <w:rFonts w:hint="eastAsia" w:ascii="宋体" w:hAnsi="宋体"/>
          <w:color w:val="auto"/>
          <w:sz w:val="24"/>
          <w:highlight w:val="none"/>
        </w:rPr>
        <w:t>本项目在重要装置现场设置有监控摄像头。用于在线监控危险工艺生产情况。</w:t>
      </w:r>
    </w:p>
    <w:p w14:paraId="5CC42E6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2.2.6.5动力供应</w:t>
      </w:r>
    </w:p>
    <w:p w14:paraId="5FE8791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（1）仪表用压缩空气</w:t>
      </w:r>
    </w:p>
    <w:p w14:paraId="4467247F">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本装置仪用空气总管操作压力为0.5~0.8MPa（G）,仪用空气应除油、干燥处理，在干燥器出口所获得的干燥仪用空气，其露点温度至少比最低环境温度低10℃。仪用空气含尘粒径应小于3μm。</w:t>
      </w:r>
    </w:p>
    <w:p w14:paraId="30968B5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（2）仪表用电源</w:t>
      </w:r>
    </w:p>
    <w:p w14:paraId="0BA8A1AA">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本设计中DCS电源由电气专业提供，电源需独立提供。在配电室内设置双机不间断电源（UPS）,输出电压为：220V AC/50Hz，单台荷载电量为</w:t>
      </w:r>
      <w:r>
        <w:rPr>
          <w:rFonts w:ascii="宋体" w:hAnsi="宋体"/>
          <w:color w:val="auto"/>
          <w:sz w:val="24"/>
          <w:highlight w:val="none"/>
        </w:rPr>
        <w:t>20</w:t>
      </w:r>
      <w:r>
        <w:rPr>
          <w:rFonts w:hint="eastAsia" w:ascii="宋体" w:hAnsi="宋体"/>
          <w:color w:val="auto"/>
          <w:sz w:val="24"/>
          <w:highlight w:val="none"/>
        </w:rPr>
        <w:t>kVA，电源质量要求：AC220V±5%，50±0.5Hz，波形失真率小 于 5%，蓄电池容量应保证电源故障时持续30分钟供电，由正常工作电源转换到事故状态下备用电源的切换时间为：5～10ms。现场需要外部供电的仪表设备，由设置在机柜室的辅助柜分配提供，也可根据装置具体情况，由电气专业现场配电箱提供。仪表普通电源提供非仪表用电，如盘内照明、维护插座和风扇等。</w:t>
      </w:r>
    </w:p>
    <w:p w14:paraId="2B35AE2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2.2.6.6仪表接地及防雷</w:t>
      </w:r>
    </w:p>
    <w:p w14:paraId="2791F618">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仪表接地采用等电位接地方式，仪表控制系统侧设有仪表信号接地、仪表安全接地和本安接地三个汇流条，分别与电气的接地网络相连接。</w:t>
      </w:r>
    </w:p>
    <w:p w14:paraId="3F1EADB3">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现场盘、仪表电缆桥架、仪表设备、仪表密封接头的仪表安全接地在现场通过框架直接与电气接地网连接；或桥架施工时桥架内铺设接地扁钢进行仪接地。仪表的信号接地应在仪表控制系统侧接至仪表信号接地汇流条上。</w:t>
      </w:r>
    </w:p>
    <w:p w14:paraId="45CBD5F0">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控制室内DCS设备的工作接地、保护接地均接至电气等电位接地网，所有屏蔽电缆的屏蔽层均要求在控制室侧接地，仪表穿线管及桥架托臂均应可靠接地。</w:t>
      </w:r>
    </w:p>
    <w:p w14:paraId="3589E699">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在防雷保护区外的仪表设备，根据情况考虑控制系统侧加装防雷保护器（SPD）。</w:t>
      </w:r>
    </w:p>
    <w:p w14:paraId="5F4ABE6F">
      <w:pPr>
        <w:adjustRightInd w:val="0"/>
        <w:snapToGrid w:val="0"/>
        <w:spacing w:line="360" w:lineRule="auto"/>
        <w:rPr>
          <w:rFonts w:ascii="宋体" w:hAnsi="宋体"/>
          <w:color w:val="auto"/>
          <w:sz w:val="24"/>
          <w:highlight w:val="none"/>
        </w:rPr>
      </w:pPr>
      <w:bookmarkStart w:id="225" w:name="_Toc120631186"/>
      <w:r>
        <w:rPr>
          <w:rFonts w:hint="eastAsia" w:ascii="宋体" w:hAnsi="宋体"/>
          <w:color w:val="auto"/>
          <w:sz w:val="24"/>
          <w:highlight w:val="none"/>
        </w:rPr>
        <w:t>2.2.6.7现场安装及材料要求</w:t>
      </w:r>
    </w:p>
    <w:p w14:paraId="2B98905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2.2.6.7.1现场安装</w:t>
      </w:r>
    </w:p>
    <w:p w14:paraId="6AA26CC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（1）所有现场仪表及调节阀的位置确定满足下列要求：</w:t>
      </w:r>
    </w:p>
    <w:p w14:paraId="352CC7DB">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a）在操作处或通道能读出指示数据。</w:t>
      </w:r>
    </w:p>
    <w:p w14:paraId="683DE5C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b）足够的操作空间，便于安装、操作和维护。</w:t>
      </w:r>
    </w:p>
    <w:p w14:paraId="67E8427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c）容易接近并且安全。</w:t>
      </w:r>
    </w:p>
    <w:p w14:paraId="66B7D82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除直接安装在工艺配管上的仪表外，现场仪表安装高度为：仪表中心到地面（或楼板）距离为1.2m。室内仪表不设仪表保护箱，室外仪表设仪表保护箱，特殊场合除外。当仪表需要保温伴热时采用仪表保温箱，保温（护）箱材质选用玻璃钢。</w:t>
      </w:r>
    </w:p>
    <w:p w14:paraId="2EE6F37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（3）所有管道安装的仪表设备均采用法兰连接，部分流量计及调节阀采用对夹式法兰连接，管道等级与配管相同。</w:t>
      </w:r>
    </w:p>
    <w:p w14:paraId="2C5811F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（4）节流装置前后留有足够的直管段长度（根据节流装置形式，按ISO-5167或GB2624标准确定）。</w:t>
      </w:r>
    </w:p>
    <w:p w14:paraId="24C201D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（5）面积式流量计（变送器）应安装在垂直配管上，流体自下而上流动。质量流量计根据制造厂的要求进行安装，位置的选择应便于观察和维护。</w:t>
      </w:r>
    </w:p>
    <w:p w14:paraId="6C12D51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（6）通常液位仪表应配有直接安装在设备上（或竖管上）的切断阀、放空或排污阀门，便于操作和维护。</w:t>
      </w:r>
    </w:p>
    <w:p w14:paraId="42F6B60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（7）压力仪表取压口应避免静态液柱压影响，测量有脉冲的压力应设置针型阀或阻尼器。</w:t>
      </w:r>
    </w:p>
    <w:p w14:paraId="64D3099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（8）调节阀应垂直安装在水平配管上，必要时设支撑。在高处安装的调节阀应设置维修平台。</w:t>
      </w:r>
    </w:p>
    <w:p w14:paraId="59D3588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2.2.6.7.2 导压配管</w:t>
      </w:r>
    </w:p>
    <w:p w14:paraId="3FDF2FAB">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（1）导压管一般采用Ф14x2，Ф14x3，Ф18x3等无缝钢管，连接方式为焊接。</w:t>
      </w:r>
    </w:p>
    <w:p w14:paraId="7A880FF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（2）导压配管取源根部阀由本专业负责提供。排净及工艺堵头应配置在导压管的最低点，放空阀及堵头应配置在导压管的最高点。</w:t>
      </w:r>
    </w:p>
    <w:p w14:paraId="1351202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 导压配管应与水平面1/10或更大的坡度。</w:t>
      </w:r>
    </w:p>
    <w:p w14:paraId="6FBFF12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（4）冷凝罐用于含物料蒸汽以及易凝气体的场合；腐蚀性介质、易堵介质应采用隔离罐；当导压管中液柱静压可以不考虑时，可用放空堵头代替隔离罐。</w:t>
      </w:r>
    </w:p>
    <w:p w14:paraId="5CED2CFC">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2.2.6.7.3仪表配线</w:t>
      </w:r>
    </w:p>
    <w:p w14:paraId="0560360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（1）控制室与现场仪表的信号配线原则上选用阻燃计算机控制电缆；采用铜丝编织屏蔽，截面积为1.0~2.5mm2。</w:t>
      </w:r>
    </w:p>
    <w:p w14:paraId="53CEFF8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（2）本安系统的配线与非本安系统配线分开。本安系统配线外护套颜色为天蓝色。</w:t>
      </w:r>
    </w:p>
    <w:p w14:paraId="7158D67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（3）不同电压的仪表电缆分开设置在不同的仪表槽式桥架中，或在槽式桥架中设隔板，同一根多芯电缆所传输的信号应为同类信号。</w:t>
      </w:r>
    </w:p>
    <w:p w14:paraId="4D3AAB8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（4）仪表主电缆槽式桥架架空敷设。从现场仪表到仪表电缆桥架采用穿管敷设并在进入主槽式桥架处配置电缆紧固件，主槽式桥架截面积为电缆总的实际截面积的2.5~3倍。</w:t>
      </w:r>
    </w:p>
    <w:p w14:paraId="7021C68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（5）控制系统机柜与过渡端子柜之间采用带接插件的连接电缆进行连接。</w:t>
      </w:r>
    </w:p>
    <w:p w14:paraId="791656E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（6）仪表槽式桥架材质选用不锈钢。</w:t>
      </w:r>
    </w:p>
    <w:p w14:paraId="352BB99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2.2.6.7.4伴热配管</w:t>
      </w:r>
    </w:p>
    <w:p w14:paraId="7E3F2B1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对易冷凝、结晶的介质，变送器及导压管应设伴热保温。低温深冷场合应实施保冷绝热。</w:t>
      </w:r>
    </w:p>
    <w:p w14:paraId="6F74D7E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2.2.6.7.5测量管路防护、防冻、防堵、防腐蚀措施</w:t>
      </w:r>
    </w:p>
    <w:p w14:paraId="4CECE05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（1）现场仪表一般设保护箱。需要伴热的仪表应装在内有小型散热片的保温箱内或用伴热管缠绕后用保温材料包扎。</w:t>
      </w:r>
    </w:p>
    <w:p w14:paraId="4E4B1AF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（2）仪表保温箱材质选用不锈钢。</w:t>
      </w:r>
    </w:p>
    <w:p w14:paraId="5F2ACD7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2.2.6.7.6仪表与设备的接口原则</w:t>
      </w:r>
    </w:p>
    <w:p w14:paraId="7DFBDC7C">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各类仪表与工艺管道及设备的法兰接口统一采用HG/T 20592-2009标准，压力等级不低于工艺管道及设备。</w:t>
      </w:r>
      <w:bookmarkEnd w:id="225"/>
    </w:p>
    <w:p w14:paraId="5486D86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2.2.6.8 标准，规范</w:t>
      </w:r>
    </w:p>
    <w:p w14:paraId="10099108">
      <w:pPr>
        <w:adjustRightInd w:val="0"/>
        <w:snapToGrid w:val="0"/>
        <w:spacing w:line="360" w:lineRule="auto"/>
        <w:rPr>
          <w:rFonts w:ascii="宋体" w:hAnsi="宋体"/>
          <w:color w:val="auto"/>
          <w:sz w:val="24"/>
          <w:highlight w:val="none"/>
        </w:rPr>
      </w:pPr>
      <w:bookmarkStart w:id="226" w:name="_Toc372701715"/>
      <w:r>
        <w:rPr>
          <w:rFonts w:hint="eastAsia" w:ascii="宋体" w:hAnsi="宋体"/>
          <w:color w:val="auto"/>
          <w:sz w:val="24"/>
          <w:highlight w:val="none"/>
        </w:rPr>
        <w:t>（1）《过程测量和控制仪表的功能标志及图形符号》 HG/T 20505-2014</w:t>
      </w:r>
    </w:p>
    <w:p w14:paraId="0549514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（2）《自动化仪表选型设计规定等》 HG/T 20507~20516-2014</w:t>
      </w:r>
    </w:p>
    <w:p w14:paraId="515C25C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（3）《爆炸危险环境电力装置设计规范》  GB50058-2014</w:t>
      </w:r>
    </w:p>
    <w:p w14:paraId="54A5716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（4）《分散型控制系统工程设计规范》 HG/T20573-2012</w:t>
      </w:r>
    </w:p>
    <w:p w14:paraId="7149F1A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（5）《石油化工安全仪表系统设计规范》 GB/T 50770-2013</w:t>
      </w:r>
    </w:p>
    <w:p w14:paraId="7C8513F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（6）《石油化工可燃气体和有毒气体检测报警设计标准》 GB50493-2019</w:t>
      </w:r>
    </w:p>
    <w:bookmarkEnd w:id="226"/>
    <w:p w14:paraId="6AA29C59">
      <w:pPr>
        <w:adjustRightInd w:val="0"/>
        <w:snapToGrid w:val="0"/>
        <w:spacing w:line="360" w:lineRule="auto"/>
        <w:rPr>
          <w:rFonts w:ascii="宋体" w:hAnsi="宋体"/>
          <w:color w:val="auto"/>
          <w:sz w:val="24"/>
          <w:highlight w:val="none"/>
        </w:rPr>
      </w:pPr>
      <w:r>
        <w:rPr>
          <w:rFonts w:ascii="宋体" w:hAnsi="宋体"/>
          <w:color w:val="auto"/>
          <w:sz w:val="24"/>
          <w:highlight w:val="none"/>
        </w:rPr>
        <w:t>对于有关装置内空气中的可燃及有毒气体的测量，选用带现场声光报警功能的可燃及有毒气体检测变送器。</w:t>
      </w:r>
    </w:p>
    <w:p w14:paraId="3B5AE4E4">
      <w:pPr>
        <w:adjustRightInd w:val="0"/>
        <w:snapToGrid w:val="0"/>
        <w:spacing w:line="360" w:lineRule="auto"/>
        <w:rPr>
          <w:rFonts w:ascii="宋体" w:hAnsi="宋体"/>
          <w:b/>
          <w:color w:val="auto"/>
          <w:sz w:val="24"/>
          <w:highlight w:val="none"/>
        </w:rPr>
      </w:pPr>
      <w:r>
        <w:rPr>
          <w:rFonts w:ascii="宋体" w:hAnsi="宋体"/>
          <w:b/>
          <w:color w:val="auto"/>
          <w:sz w:val="24"/>
          <w:highlight w:val="none"/>
        </w:rPr>
        <w:t xml:space="preserve"> </w:t>
      </w:r>
      <w:bookmarkEnd w:id="218"/>
      <w:bookmarkEnd w:id="219"/>
      <w:bookmarkEnd w:id="220"/>
      <w:bookmarkEnd w:id="221"/>
      <w:bookmarkEnd w:id="222"/>
      <w:r>
        <w:rPr>
          <w:rFonts w:hint="eastAsia" w:ascii="宋体" w:hAnsi="宋体"/>
          <w:b/>
          <w:color w:val="auto"/>
          <w:sz w:val="24"/>
          <w:highlight w:val="none"/>
        </w:rPr>
        <w:t>2.2.7</w:t>
      </w:r>
      <w:r>
        <w:rPr>
          <w:rFonts w:ascii="宋体" w:hAnsi="宋体"/>
          <w:b/>
          <w:color w:val="auto"/>
          <w:sz w:val="24"/>
          <w:highlight w:val="none"/>
        </w:rPr>
        <w:t>土建设计</w:t>
      </w:r>
      <w:bookmarkEnd w:id="223"/>
      <w:bookmarkEnd w:id="224"/>
    </w:p>
    <w:p w14:paraId="67894EC7">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2.2.</w:t>
      </w:r>
      <w:r>
        <w:rPr>
          <w:rFonts w:ascii="宋体" w:hAnsi="宋体"/>
          <w:color w:val="auto"/>
          <w:sz w:val="24"/>
          <w:highlight w:val="none"/>
        </w:rPr>
        <w:t xml:space="preserve">7.1 </w:t>
      </w:r>
      <w:r>
        <w:rPr>
          <w:rFonts w:hint="eastAsia" w:ascii="宋体" w:hAnsi="宋体"/>
          <w:color w:val="auto"/>
          <w:sz w:val="24"/>
          <w:highlight w:val="none"/>
        </w:rPr>
        <w:t>设计依据</w:t>
      </w:r>
    </w:p>
    <w:p w14:paraId="1EC38B4A">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根据国家及省（市）有关建设行政部门颁发的法律、法规、规范及规程。场地内</w:t>
      </w:r>
    </w:p>
    <w:p w14:paraId="623837CD">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拟建建筑结构的安全等级按二级考虑，地基基础设计等级为乙级；采用的主要设计规范如下：</w:t>
      </w:r>
    </w:p>
    <w:p w14:paraId="285166AD">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hint="eastAsia" w:ascii="宋体" w:hAnsi="宋体"/>
          <w:color w:val="auto"/>
          <w:sz w:val="24"/>
          <w:highlight w:val="none"/>
        </w:rPr>
        <w:t>）《建筑设计防火规范》（</w:t>
      </w:r>
      <w:r>
        <w:rPr>
          <w:rFonts w:ascii="宋体" w:hAnsi="宋体"/>
          <w:color w:val="auto"/>
          <w:sz w:val="24"/>
          <w:highlight w:val="none"/>
        </w:rPr>
        <w:t>GB50016-</w:t>
      </w:r>
      <w:r>
        <w:rPr>
          <w:rFonts w:hint="eastAsia" w:ascii="宋体" w:hAnsi="宋体"/>
          <w:color w:val="auto"/>
          <w:sz w:val="24"/>
          <w:highlight w:val="none"/>
        </w:rPr>
        <w:t>2018）</w:t>
      </w:r>
    </w:p>
    <w:p w14:paraId="0055BA0F">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）《石油化工设计防火规范》（</w:t>
      </w:r>
      <w:r>
        <w:rPr>
          <w:rFonts w:ascii="宋体" w:hAnsi="宋体"/>
          <w:color w:val="auto"/>
          <w:sz w:val="24"/>
          <w:highlight w:val="none"/>
        </w:rPr>
        <w:t>GB50160-20</w:t>
      </w:r>
      <w:r>
        <w:rPr>
          <w:rFonts w:hint="eastAsia" w:ascii="宋体" w:hAnsi="宋体"/>
          <w:color w:val="auto"/>
          <w:sz w:val="24"/>
          <w:highlight w:val="none"/>
        </w:rPr>
        <w:t>18）</w:t>
      </w:r>
    </w:p>
    <w:p w14:paraId="2F3701FF">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3</w:t>
      </w:r>
      <w:r>
        <w:rPr>
          <w:rFonts w:hint="eastAsia" w:ascii="宋体" w:hAnsi="宋体"/>
          <w:color w:val="auto"/>
          <w:sz w:val="24"/>
          <w:highlight w:val="none"/>
        </w:rPr>
        <w:t>）《建筑结构荷载规范》（</w:t>
      </w:r>
      <w:r>
        <w:rPr>
          <w:rFonts w:ascii="宋体" w:hAnsi="宋体"/>
          <w:color w:val="auto"/>
          <w:sz w:val="24"/>
          <w:highlight w:val="none"/>
        </w:rPr>
        <w:t>GB50009-20</w:t>
      </w:r>
      <w:r>
        <w:rPr>
          <w:rFonts w:hint="eastAsia" w:ascii="宋体" w:hAnsi="宋体"/>
          <w:color w:val="auto"/>
          <w:sz w:val="24"/>
          <w:highlight w:val="none"/>
        </w:rPr>
        <w:t>12）</w:t>
      </w:r>
    </w:p>
    <w:p w14:paraId="0AE68C4F">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4</w:t>
      </w:r>
      <w:r>
        <w:rPr>
          <w:rFonts w:hint="eastAsia" w:ascii="宋体" w:hAnsi="宋体"/>
          <w:color w:val="auto"/>
          <w:sz w:val="24"/>
          <w:highlight w:val="none"/>
        </w:rPr>
        <w:t>）《混凝土结构设计规范》（</w:t>
      </w:r>
      <w:r>
        <w:rPr>
          <w:rFonts w:ascii="宋体" w:hAnsi="宋体"/>
          <w:color w:val="auto"/>
          <w:sz w:val="24"/>
          <w:highlight w:val="none"/>
        </w:rPr>
        <w:t>GB50010-20</w:t>
      </w:r>
      <w:r>
        <w:rPr>
          <w:rFonts w:hint="eastAsia" w:ascii="宋体" w:hAnsi="宋体"/>
          <w:color w:val="auto"/>
          <w:sz w:val="24"/>
          <w:highlight w:val="none"/>
        </w:rPr>
        <w:t>10）(2015年版)</w:t>
      </w:r>
    </w:p>
    <w:p w14:paraId="48478E4D">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5</w:t>
      </w:r>
      <w:r>
        <w:rPr>
          <w:rFonts w:hint="eastAsia" w:ascii="宋体" w:hAnsi="宋体"/>
          <w:color w:val="auto"/>
          <w:sz w:val="24"/>
          <w:highlight w:val="none"/>
        </w:rPr>
        <w:t>）《建筑地基基础设计规范》（</w:t>
      </w:r>
      <w:r>
        <w:rPr>
          <w:rFonts w:ascii="宋体" w:hAnsi="宋体"/>
          <w:color w:val="auto"/>
          <w:sz w:val="24"/>
          <w:highlight w:val="none"/>
        </w:rPr>
        <w:t>GB50007-20</w:t>
      </w:r>
      <w:r>
        <w:rPr>
          <w:rFonts w:hint="eastAsia" w:ascii="宋体" w:hAnsi="宋体"/>
          <w:color w:val="auto"/>
          <w:sz w:val="24"/>
          <w:highlight w:val="none"/>
        </w:rPr>
        <w:t>11）</w:t>
      </w:r>
    </w:p>
    <w:p w14:paraId="3AEB826E">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6</w:t>
      </w:r>
      <w:r>
        <w:rPr>
          <w:rFonts w:hint="eastAsia" w:ascii="宋体" w:hAnsi="宋体"/>
          <w:color w:val="auto"/>
          <w:sz w:val="24"/>
          <w:highlight w:val="none"/>
        </w:rPr>
        <w:t>）《钢结构设计规范》（</w:t>
      </w:r>
      <w:r>
        <w:rPr>
          <w:rFonts w:ascii="宋体" w:hAnsi="宋体"/>
          <w:color w:val="auto"/>
          <w:sz w:val="24"/>
          <w:highlight w:val="none"/>
        </w:rPr>
        <w:t>GB50017-20</w:t>
      </w:r>
      <w:r>
        <w:rPr>
          <w:rFonts w:hint="eastAsia" w:ascii="宋体" w:hAnsi="宋体"/>
          <w:color w:val="auto"/>
          <w:sz w:val="24"/>
          <w:highlight w:val="none"/>
        </w:rPr>
        <w:t>17）</w:t>
      </w:r>
    </w:p>
    <w:p w14:paraId="6328D540">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7</w:t>
      </w:r>
      <w:r>
        <w:rPr>
          <w:rFonts w:hint="eastAsia" w:ascii="宋体" w:hAnsi="宋体"/>
          <w:color w:val="auto"/>
          <w:sz w:val="24"/>
          <w:highlight w:val="none"/>
        </w:rPr>
        <w:t>）《门式刚架轻型房屋钢结构技术规范》（</w:t>
      </w:r>
      <w:r>
        <w:rPr>
          <w:rFonts w:ascii="宋体" w:hAnsi="宋体"/>
          <w:color w:val="auto"/>
          <w:sz w:val="24"/>
          <w:highlight w:val="none"/>
        </w:rPr>
        <w:t>GB51022-2015</w:t>
      </w:r>
      <w:r>
        <w:rPr>
          <w:rFonts w:hint="eastAsia" w:ascii="宋体" w:hAnsi="宋体"/>
          <w:color w:val="auto"/>
          <w:sz w:val="24"/>
          <w:highlight w:val="none"/>
        </w:rPr>
        <w:t>）</w:t>
      </w:r>
    </w:p>
    <w:p w14:paraId="5D6A9B1B">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8</w:t>
      </w:r>
      <w:r>
        <w:rPr>
          <w:rFonts w:hint="eastAsia" w:ascii="宋体" w:hAnsi="宋体"/>
          <w:color w:val="auto"/>
          <w:sz w:val="24"/>
          <w:highlight w:val="none"/>
        </w:rPr>
        <w:t>）基本风压：</w:t>
      </w:r>
      <w:r>
        <w:rPr>
          <w:rFonts w:ascii="宋体" w:hAnsi="宋体"/>
          <w:color w:val="auto"/>
          <w:sz w:val="24"/>
          <w:highlight w:val="none"/>
        </w:rPr>
        <w:t>0.35 KN/m2(</w:t>
      </w:r>
      <w:r>
        <w:rPr>
          <w:rFonts w:hint="eastAsia" w:ascii="宋体" w:hAnsi="宋体"/>
          <w:color w:val="auto"/>
          <w:sz w:val="24"/>
          <w:highlight w:val="none"/>
        </w:rPr>
        <w:t>重现期</w:t>
      </w:r>
      <w:r>
        <w:rPr>
          <w:rFonts w:ascii="宋体" w:hAnsi="宋体"/>
          <w:color w:val="auto"/>
          <w:sz w:val="24"/>
          <w:highlight w:val="none"/>
        </w:rPr>
        <w:t xml:space="preserve">n=50 </w:t>
      </w:r>
      <w:r>
        <w:rPr>
          <w:rFonts w:hint="eastAsia" w:ascii="宋体" w:hAnsi="宋体"/>
          <w:color w:val="auto"/>
          <w:sz w:val="24"/>
          <w:highlight w:val="none"/>
        </w:rPr>
        <w:t>年</w:t>
      </w:r>
      <w:r>
        <w:rPr>
          <w:rFonts w:ascii="宋体" w:hAnsi="宋体"/>
          <w:color w:val="auto"/>
          <w:sz w:val="24"/>
          <w:highlight w:val="none"/>
        </w:rPr>
        <w:t>)</w:t>
      </w:r>
    </w:p>
    <w:p w14:paraId="299B5536">
      <w:pPr>
        <w:autoSpaceDE w:val="0"/>
        <w:autoSpaceDN w:val="0"/>
        <w:adjustRightInd w:val="0"/>
        <w:snapToGrid w:val="0"/>
        <w:spacing w:line="360" w:lineRule="auto"/>
        <w:jc w:val="left"/>
        <w:rPr>
          <w:rFonts w:ascii="宋体" w:hAnsi="宋体"/>
          <w:color w:val="auto"/>
          <w:sz w:val="24"/>
          <w:highlight w:val="none"/>
        </w:rPr>
      </w:pPr>
      <w:r>
        <w:rPr>
          <w:rFonts w:hint="eastAsia" w:ascii="宋体" w:hAnsi="宋体"/>
          <w:color w:val="auto"/>
          <w:sz w:val="24"/>
          <w:highlight w:val="none"/>
        </w:rPr>
        <w:t>（9）基本雪压：</w:t>
      </w:r>
      <w:r>
        <w:rPr>
          <w:rFonts w:ascii="宋体" w:hAnsi="宋体"/>
          <w:color w:val="auto"/>
          <w:sz w:val="24"/>
          <w:highlight w:val="none"/>
        </w:rPr>
        <w:t>0.50 KN/m2(</w:t>
      </w:r>
      <w:r>
        <w:rPr>
          <w:rFonts w:hint="eastAsia" w:ascii="宋体" w:hAnsi="宋体"/>
          <w:color w:val="auto"/>
          <w:sz w:val="24"/>
          <w:highlight w:val="none"/>
        </w:rPr>
        <w:t>重现期</w:t>
      </w:r>
      <w:r>
        <w:rPr>
          <w:rFonts w:ascii="宋体" w:hAnsi="宋体"/>
          <w:color w:val="auto"/>
          <w:sz w:val="24"/>
          <w:highlight w:val="none"/>
        </w:rPr>
        <w:t xml:space="preserve">n=50 </w:t>
      </w:r>
      <w:r>
        <w:rPr>
          <w:rFonts w:hint="eastAsia" w:ascii="宋体" w:hAnsi="宋体"/>
          <w:color w:val="auto"/>
          <w:sz w:val="24"/>
          <w:highlight w:val="none"/>
        </w:rPr>
        <w:t>年</w:t>
      </w:r>
      <w:r>
        <w:rPr>
          <w:rFonts w:ascii="宋体" w:hAnsi="宋体"/>
          <w:color w:val="auto"/>
          <w:sz w:val="24"/>
          <w:highlight w:val="none"/>
        </w:rPr>
        <w:t>)</w:t>
      </w:r>
    </w:p>
    <w:p w14:paraId="387F2536">
      <w:pPr>
        <w:autoSpaceDE w:val="0"/>
        <w:autoSpaceDN w:val="0"/>
        <w:adjustRightInd w:val="0"/>
        <w:snapToGrid w:val="0"/>
        <w:spacing w:line="360" w:lineRule="auto"/>
        <w:jc w:val="left"/>
        <w:rPr>
          <w:rFonts w:ascii="宋体" w:hAnsi="宋体"/>
          <w:b/>
          <w:color w:val="auto"/>
          <w:sz w:val="24"/>
          <w:highlight w:val="none"/>
        </w:rPr>
      </w:pPr>
      <w:r>
        <w:rPr>
          <w:rFonts w:hint="eastAsia" w:ascii="宋体" w:hAnsi="宋体"/>
          <w:b/>
          <w:color w:val="auto"/>
          <w:sz w:val="24"/>
          <w:highlight w:val="none"/>
        </w:rPr>
        <w:t>2.2.7.1 土建设计原则</w:t>
      </w:r>
    </w:p>
    <w:p w14:paraId="0257A4B8">
      <w:pPr>
        <w:autoSpaceDE w:val="0"/>
        <w:autoSpaceDN w:val="0"/>
        <w:adjustRightInd w:val="0"/>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根据该区域内已有的工程地质资料知道，场地土层分布均匀、稳定，场地地质构造简单，无断层等不良地质现象存在（具体地质情况以本项目地勘报告为准），本工程所有建、构筑物基础均采用天然地基的方案，在技术上是可靠的，造价上也是最经济的，为此本设计考虑一般建、构筑物选用粘土层做为持力层，重要建、构筑物可适当加大埋深，选用卵石层做为基础持力层，基础以独立基础为主，基础表面涂沥青胶泥防腐。</w:t>
      </w:r>
    </w:p>
    <w:p w14:paraId="4929546E">
      <w:pPr>
        <w:autoSpaceDE w:val="0"/>
        <w:autoSpaceDN w:val="0"/>
        <w:adjustRightInd w:val="0"/>
        <w:snapToGrid w:val="0"/>
        <w:spacing w:line="360" w:lineRule="auto"/>
        <w:ind w:firstLine="480" w:firstLineChars="200"/>
        <w:jc w:val="left"/>
        <w:rPr>
          <w:rFonts w:ascii="宋体" w:hAnsi="宋体"/>
          <w:b/>
          <w:color w:val="auto"/>
          <w:sz w:val="24"/>
          <w:highlight w:val="none"/>
        </w:rPr>
      </w:pPr>
      <w:r>
        <w:rPr>
          <w:rFonts w:hint="eastAsia" w:ascii="宋体" w:hAnsi="宋体"/>
          <w:color w:val="auto"/>
          <w:sz w:val="24"/>
          <w:highlight w:val="none"/>
        </w:rPr>
        <w:t>按照“适用、经济、美观”和“安全可靠、技术先进、经济合理”的原则，生产用房设计主要以工艺及生产使用要求及有关设计条件为依据；建筑立面力求造型简洁、大方，并与周边建筑协调、统一，结合环境绿化以体现出现代化工企业的建筑特点及环保创意，建筑装修标准除有特殊使用要求外，一般采用中级装修标准，耐火等级按二级或以上等级设计，安全疏散和防火分区均按防火规范要求；按使用性质、生产类别，采取对应的技术处理措施使建筑物满足防火、防爆、防腐等要求；结构选型上，在满足生产使用要求的条件下，保证建筑物有足够的强度、刚度，稳定性和耐久性，本项目以采用钢结构以及钢筋混凝土结构为主。</w:t>
      </w:r>
    </w:p>
    <w:p w14:paraId="4D449A7C">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2.2.7.2</w:t>
      </w:r>
      <w:r>
        <w:rPr>
          <w:rFonts w:ascii="宋体" w:hAnsi="宋体"/>
          <w:color w:val="auto"/>
          <w:sz w:val="24"/>
          <w:highlight w:val="none"/>
        </w:rPr>
        <w:t>本标的土建</w:t>
      </w:r>
      <w:r>
        <w:rPr>
          <w:rFonts w:hint="eastAsia" w:ascii="宋体" w:hAnsi="宋体"/>
          <w:color w:val="auto"/>
          <w:sz w:val="24"/>
          <w:highlight w:val="none"/>
        </w:rPr>
        <w:t>设计</w:t>
      </w:r>
      <w:r>
        <w:rPr>
          <w:rFonts w:ascii="宋体" w:hAnsi="宋体"/>
          <w:color w:val="auto"/>
          <w:sz w:val="24"/>
          <w:highlight w:val="none"/>
        </w:rPr>
        <w:t>范围，是指</w:t>
      </w:r>
      <w:r>
        <w:rPr>
          <w:rFonts w:hint="eastAsia" w:ascii="宋体" w:hAnsi="宋体"/>
          <w:color w:val="auto"/>
          <w:sz w:val="24"/>
          <w:highlight w:val="none"/>
        </w:rPr>
        <w:t>中标人</w:t>
      </w:r>
      <w:r>
        <w:rPr>
          <w:rFonts w:ascii="宋体" w:hAnsi="宋体"/>
          <w:color w:val="auto"/>
          <w:sz w:val="24"/>
          <w:highlight w:val="none"/>
        </w:rPr>
        <w:t>在本项目中，为满足</w:t>
      </w:r>
      <w:r>
        <w:rPr>
          <w:rFonts w:hint="eastAsia" w:ascii="宋体" w:hAnsi="宋体"/>
          <w:color w:val="auto"/>
          <w:sz w:val="24"/>
          <w:highlight w:val="none"/>
        </w:rPr>
        <w:t>项目</w:t>
      </w:r>
      <w:r>
        <w:rPr>
          <w:rFonts w:ascii="宋体" w:hAnsi="宋体"/>
          <w:color w:val="auto"/>
          <w:sz w:val="24"/>
          <w:highlight w:val="none"/>
        </w:rPr>
        <w:t>工艺要求的所有建</w:t>
      </w:r>
      <w:r>
        <w:rPr>
          <w:rFonts w:hint="eastAsia" w:ascii="宋体" w:hAnsi="宋体"/>
          <w:color w:val="auto"/>
          <w:sz w:val="24"/>
          <w:highlight w:val="none"/>
        </w:rPr>
        <w:t>（</w:t>
      </w:r>
      <w:r>
        <w:rPr>
          <w:rFonts w:ascii="宋体" w:hAnsi="宋体"/>
          <w:color w:val="auto"/>
          <w:sz w:val="24"/>
          <w:highlight w:val="none"/>
        </w:rPr>
        <w:t>构</w:t>
      </w:r>
      <w:r>
        <w:rPr>
          <w:rFonts w:hint="eastAsia" w:ascii="宋体" w:hAnsi="宋体"/>
          <w:color w:val="auto"/>
          <w:sz w:val="24"/>
          <w:highlight w:val="none"/>
        </w:rPr>
        <w:t>）</w:t>
      </w:r>
      <w:r>
        <w:rPr>
          <w:rFonts w:ascii="宋体" w:hAnsi="宋体"/>
          <w:color w:val="auto"/>
          <w:sz w:val="24"/>
          <w:highlight w:val="none"/>
        </w:rPr>
        <w:t>筑物、</w:t>
      </w:r>
      <w:r>
        <w:rPr>
          <w:rFonts w:hint="eastAsia" w:ascii="宋体" w:hAnsi="宋体"/>
          <w:color w:val="auto"/>
          <w:sz w:val="24"/>
          <w:highlight w:val="none"/>
        </w:rPr>
        <w:t>设备基础、室外工程场地、</w:t>
      </w:r>
      <w:r>
        <w:rPr>
          <w:rFonts w:ascii="宋体" w:hAnsi="宋体"/>
          <w:color w:val="auto"/>
          <w:sz w:val="24"/>
          <w:highlight w:val="none"/>
        </w:rPr>
        <w:t>总图等的设计</w:t>
      </w:r>
      <w:r>
        <w:rPr>
          <w:rFonts w:hint="eastAsia" w:ascii="宋体" w:hAnsi="宋体"/>
          <w:color w:val="auto"/>
          <w:sz w:val="24"/>
          <w:highlight w:val="none"/>
        </w:rPr>
        <w:t>。</w:t>
      </w:r>
    </w:p>
    <w:p w14:paraId="5E85FBC3">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2.2.7</w:t>
      </w: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承包人应单独对其所承担的项目设计的合理性、安全度和适用性全面负责。材质的选择是承包人的责任，材质应有良好的性能，以保证整个装置安全运行。土建工程设计应在保证安全的前提下做到经济合理，不得随意提高设计标准。</w:t>
      </w:r>
    </w:p>
    <w:p w14:paraId="6A626E5E">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2.3.7.4</w:t>
      </w:r>
      <w:r>
        <w:rPr>
          <w:rFonts w:ascii="宋体" w:hAnsi="宋体"/>
          <w:color w:val="auto"/>
          <w:sz w:val="24"/>
          <w:highlight w:val="none"/>
        </w:rPr>
        <w:t>土建</w:t>
      </w:r>
      <w:r>
        <w:rPr>
          <w:rFonts w:hint="eastAsia" w:ascii="宋体" w:hAnsi="宋体"/>
          <w:color w:val="auto"/>
          <w:sz w:val="24"/>
          <w:highlight w:val="none"/>
        </w:rPr>
        <w:t>设计</w:t>
      </w:r>
      <w:r>
        <w:rPr>
          <w:rFonts w:ascii="宋体" w:hAnsi="宋体"/>
          <w:color w:val="auto"/>
          <w:sz w:val="24"/>
          <w:highlight w:val="none"/>
        </w:rPr>
        <w:t>范围包括但不限于下列各项：总平面布置、竖向布置、建筑、结构、建筑照明、给排水（含消防）、设备基础</w:t>
      </w:r>
      <w:r>
        <w:rPr>
          <w:rFonts w:hint="eastAsia" w:ascii="宋体" w:hAnsi="宋体"/>
          <w:color w:val="auto"/>
          <w:sz w:val="24"/>
          <w:highlight w:val="none"/>
        </w:rPr>
        <w:t>、</w:t>
      </w:r>
      <w:r>
        <w:rPr>
          <w:rFonts w:ascii="宋体" w:hAnsi="宋体"/>
          <w:color w:val="auto"/>
          <w:sz w:val="24"/>
          <w:highlight w:val="none"/>
        </w:rPr>
        <w:t>管架、</w:t>
      </w:r>
      <w:r>
        <w:rPr>
          <w:rFonts w:hint="eastAsia" w:ascii="宋体" w:hAnsi="宋体"/>
          <w:color w:val="auto"/>
          <w:sz w:val="24"/>
          <w:highlight w:val="none"/>
        </w:rPr>
        <w:t>各类</w:t>
      </w:r>
      <w:r>
        <w:rPr>
          <w:rFonts w:ascii="宋体" w:hAnsi="宋体"/>
          <w:color w:val="auto"/>
          <w:sz w:val="24"/>
          <w:highlight w:val="none"/>
        </w:rPr>
        <w:t>沟池、厂区道路及照明、地面硬化等整个土建工程的设计。</w:t>
      </w:r>
    </w:p>
    <w:p w14:paraId="236C805E">
      <w:pPr>
        <w:adjustRightInd w:val="0"/>
        <w:snapToGrid w:val="0"/>
        <w:spacing w:line="360" w:lineRule="auto"/>
        <w:rPr>
          <w:rFonts w:ascii="宋体" w:hAnsi="宋体"/>
          <w:b/>
          <w:color w:val="auto"/>
          <w:sz w:val="24"/>
          <w:highlight w:val="none"/>
        </w:rPr>
      </w:pPr>
      <w:bookmarkStart w:id="227" w:name="_Toc22993"/>
      <w:bookmarkStart w:id="228" w:name="_Toc5615"/>
      <w:bookmarkStart w:id="229" w:name="_Toc23074"/>
      <w:bookmarkStart w:id="230" w:name="_Toc26160"/>
      <w:r>
        <w:rPr>
          <w:rFonts w:hint="eastAsia" w:ascii="宋体" w:hAnsi="宋体"/>
          <w:b/>
          <w:color w:val="auto"/>
          <w:sz w:val="24"/>
          <w:highlight w:val="none"/>
        </w:rPr>
        <w:t>2.2.7.5</w:t>
      </w:r>
      <w:r>
        <w:rPr>
          <w:rFonts w:ascii="宋体" w:hAnsi="宋体"/>
          <w:b/>
          <w:color w:val="auto"/>
          <w:sz w:val="24"/>
          <w:highlight w:val="none"/>
        </w:rPr>
        <w:t>建筑设计</w:t>
      </w:r>
      <w:bookmarkEnd w:id="227"/>
      <w:bookmarkEnd w:id="228"/>
      <w:r>
        <w:rPr>
          <w:rFonts w:ascii="宋体" w:hAnsi="宋体"/>
          <w:b/>
          <w:color w:val="auto"/>
          <w:sz w:val="24"/>
          <w:highlight w:val="none"/>
        </w:rPr>
        <w:t>原则</w:t>
      </w:r>
    </w:p>
    <w:p w14:paraId="0ED83E8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建筑设计</w:t>
      </w:r>
      <w:r>
        <w:rPr>
          <w:rFonts w:hint="eastAsia" w:ascii="宋体" w:hAnsi="宋体"/>
          <w:color w:val="auto"/>
          <w:sz w:val="24"/>
          <w:highlight w:val="none"/>
        </w:rPr>
        <w:t>8</w:t>
      </w:r>
      <w:r>
        <w:rPr>
          <w:rFonts w:ascii="宋体" w:hAnsi="宋体"/>
          <w:color w:val="auto"/>
          <w:sz w:val="24"/>
          <w:highlight w:val="none"/>
        </w:rPr>
        <w:t>.</w:t>
      </w:r>
      <w:r>
        <w:rPr>
          <w:rFonts w:hint="eastAsia" w:ascii="宋体" w:hAnsi="宋体"/>
          <w:color w:val="auto"/>
          <w:sz w:val="24"/>
          <w:highlight w:val="none"/>
        </w:rPr>
        <w:t>1</w:t>
      </w:r>
      <w:r>
        <w:rPr>
          <w:rFonts w:ascii="宋体" w:hAnsi="宋体"/>
          <w:color w:val="auto"/>
          <w:sz w:val="24"/>
          <w:highlight w:val="none"/>
        </w:rPr>
        <w:t xml:space="preserve">.1.1建筑设计贯彻“安全、适用、经济、美观”的原则。 </w:t>
      </w:r>
    </w:p>
    <w:p w14:paraId="677B961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 xml:space="preserve"> 建筑设计注重环境保护、生态平衡、充分采用绿色建材及节能构件。 </w:t>
      </w:r>
    </w:p>
    <w:p w14:paraId="0BE1726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 xml:space="preserve">建筑设计尽量做到标准化、定型化与系列化。 </w:t>
      </w:r>
    </w:p>
    <w:p w14:paraId="414D35E5">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 xml:space="preserve">建筑设计注意因地制宜，就地取材，积极慎重地采用新技术和新材料。 </w:t>
      </w:r>
    </w:p>
    <w:p w14:paraId="1CA605F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5）</w:t>
      </w:r>
      <w:r>
        <w:rPr>
          <w:rFonts w:ascii="宋体" w:hAnsi="宋体"/>
          <w:color w:val="auto"/>
          <w:sz w:val="24"/>
          <w:highlight w:val="none"/>
        </w:rPr>
        <w:t xml:space="preserve">生产厂房的平面和体型应力求简洁、整齐，建筑构配件种类、材料品种和规格力求统一，并与现有装置风格保持一致。 </w:t>
      </w:r>
    </w:p>
    <w:p w14:paraId="752F93EF">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2.2.7.6</w:t>
      </w:r>
      <w:r>
        <w:rPr>
          <w:rFonts w:ascii="宋体" w:hAnsi="宋体"/>
          <w:b/>
          <w:color w:val="auto"/>
          <w:sz w:val="24"/>
          <w:highlight w:val="none"/>
        </w:rPr>
        <w:t>建、构筑物布置</w:t>
      </w:r>
    </w:p>
    <w:p w14:paraId="066012B6">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建、构筑物的平面和空间布置，根据生产工艺流程、使用要求，自然条件、建筑材料、建筑技术等因素，结合工艺设计进行建筑物的平面布置、空间组合及建筑造型设计，并注意建筑群体与周边环境的协调。建筑设计配合工艺解决好建筑内部通道、防火、防爆、防腐蚀、防水、防噪声、保温隔热、采光、通风和生活卫生设施等方面的问题。建、构筑物本着节约用地为主的原则进行布置。建筑物外立面风格及色彩设计须与周边建筑物一致，最终的建筑外立面风格须提交发包人同意。</w:t>
      </w:r>
    </w:p>
    <w:p w14:paraId="25A2A200">
      <w:pPr>
        <w:adjustRightInd w:val="0"/>
        <w:snapToGrid w:val="0"/>
        <w:spacing w:line="360" w:lineRule="auto"/>
        <w:rPr>
          <w:rFonts w:ascii="宋体" w:hAnsi="宋体"/>
          <w:bCs/>
          <w:color w:val="auto"/>
          <w:sz w:val="24"/>
          <w:highlight w:val="none"/>
        </w:rPr>
      </w:pPr>
      <w:bookmarkStart w:id="231" w:name="_Toc4155"/>
      <w:bookmarkStart w:id="232" w:name="_Toc19239"/>
      <w:r>
        <w:rPr>
          <w:rFonts w:hint="eastAsia" w:ascii="宋体" w:hAnsi="宋体"/>
          <w:b/>
          <w:color w:val="auto"/>
          <w:sz w:val="24"/>
          <w:highlight w:val="none"/>
        </w:rPr>
        <w:t>2.2.7.7</w:t>
      </w:r>
      <w:bookmarkEnd w:id="231"/>
      <w:bookmarkEnd w:id="232"/>
      <w:r>
        <w:rPr>
          <w:rFonts w:ascii="宋体" w:hAnsi="宋体"/>
          <w:bCs/>
          <w:color w:val="auto"/>
          <w:sz w:val="24"/>
          <w:highlight w:val="none"/>
        </w:rPr>
        <w:t xml:space="preserve"> </w:t>
      </w:r>
      <w:r>
        <w:rPr>
          <w:rFonts w:hint="eastAsia" w:ascii="宋体" w:hAnsi="宋体"/>
          <w:bCs/>
          <w:color w:val="auto"/>
          <w:sz w:val="24"/>
          <w:highlight w:val="none"/>
        </w:rPr>
        <w:t>建筑设计</w:t>
      </w:r>
    </w:p>
    <w:p w14:paraId="497867D4">
      <w:pPr>
        <w:spacing w:line="360" w:lineRule="auto"/>
        <w:ind w:firstLine="480"/>
        <w:rPr>
          <w:rFonts w:ascii="宋体" w:hAnsi="宋体"/>
          <w:color w:val="auto"/>
          <w:sz w:val="24"/>
          <w:highlight w:val="none"/>
        </w:rPr>
      </w:pPr>
      <w:r>
        <w:rPr>
          <w:rFonts w:hint="eastAsia" w:ascii="宋体" w:hAnsi="宋体"/>
          <w:color w:val="auto"/>
          <w:sz w:val="24"/>
          <w:highlight w:val="none"/>
        </w:rPr>
        <w:t>（1）设计原则及建筑标准</w:t>
      </w:r>
    </w:p>
    <w:p w14:paraId="6396671F">
      <w:pPr>
        <w:spacing w:line="360" w:lineRule="auto"/>
        <w:ind w:firstLine="480"/>
        <w:rPr>
          <w:rFonts w:ascii="宋体" w:hAnsi="宋体"/>
          <w:color w:val="auto"/>
          <w:sz w:val="24"/>
          <w:highlight w:val="none"/>
        </w:rPr>
      </w:pPr>
      <w:r>
        <w:rPr>
          <w:rFonts w:hint="eastAsia" w:ascii="宋体" w:hAnsi="宋体"/>
          <w:color w:val="auto"/>
          <w:sz w:val="24"/>
          <w:highlight w:val="none"/>
        </w:rPr>
        <w:t>生产用房设计主要以工艺生产使用要求及有关设计条件为依据。</w:t>
      </w:r>
    </w:p>
    <w:p w14:paraId="2DD2EA35">
      <w:pPr>
        <w:ind w:firstLine="480" w:firstLineChars="200"/>
        <w:jc w:val="center"/>
        <w:rPr>
          <w:color w:val="auto"/>
          <w:sz w:val="24"/>
          <w:highlight w:val="none"/>
        </w:rPr>
      </w:pPr>
      <w:r>
        <w:rPr>
          <w:rFonts w:hint="eastAsia"/>
          <w:color w:val="auto"/>
          <w:sz w:val="24"/>
          <w:highlight w:val="none"/>
        </w:rPr>
        <w:t>建筑标准图和规范</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4882"/>
        <w:gridCol w:w="3050"/>
        <w:gridCol w:w="678"/>
      </w:tblGrid>
      <w:tr w14:paraId="15D4F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78" w:type="dxa"/>
            <w:vAlign w:val="center"/>
          </w:tcPr>
          <w:p w14:paraId="5D0705AB">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序号</w:t>
            </w:r>
          </w:p>
        </w:tc>
        <w:tc>
          <w:tcPr>
            <w:tcW w:w="4882" w:type="dxa"/>
            <w:vAlign w:val="center"/>
          </w:tcPr>
          <w:p w14:paraId="419F56B3">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图 集 名 称</w:t>
            </w:r>
          </w:p>
        </w:tc>
        <w:tc>
          <w:tcPr>
            <w:tcW w:w="3050" w:type="dxa"/>
            <w:vAlign w:val="center"/>
          </w:tcPr>
          <w:p w14:paraId="16E5BB76">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图号</w:t>
            </w:r>
          </w:p>
        </w:tc>
        <w:tc>
          <w:tcPr>
            <w:tcW w:w="678" w:type="dxa"/>
            <w:vAlign w:val="center"/>
          </w:tcPr>
          <w:p w14:paraId="6BC5B9B1">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备注</w:t>
            </w:r>
          </w:p>
        </w:tc>
      </w:tr>
      <w:tr w14:paraId="0F67A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8" w:type="dxa"/>
            <w:vAlign w:val="center"/>
          </w:tcPr>
          <w:p w14:paraId="371596F8">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w:t>
            </w:r>
          </w:p>
        </w:tc>
        <w:tc>
          <w:tcPr>
            <w:tcW w:w="4882" w:type="dxa"/>
            <w:vAlign w:val="center"/>
          </w:tcPr>
          <w:p w14:paraId="7092EEC9">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《防火门窗》</w:t>
            </w:r>
          </w:p>
        </w:tc>
        <w:tc>
          <w:tcPr>
            <w:tcW w:w="3050" w:type="dxa"/>
            <w:vAlign w:val="center"/>
          </w:tcPr>
          <w:p w14:paraId="2D9A8252">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12J609</w:t>
            </w:r>
          </w:p>
        </w:tc>
        <w:tc>
          <w:tcPr>
            <w:tcW w:w="678" w:type="dxa"/>
            <w:vAlign w:val="center"/>
          </w:tcPr>
          <w:p w14:paraId="72E2131C">
            <w:pPr>
              <w:adjustRightInd w:val="0"/>
              <w:jc w:val="center"/>
              <w:textAlignment w:val="baseline"/>
              <w:rPr>
                <w:rFonts w:ascii="宋体" w:hAnsi="宋体"/>
                <w:color w:val="auto"/>
                <w:kern w:val="0"/>
                <w:sz w:val="24"/>
                <w:highlight w:val="none"/>
              </w:rPr>
            </w:pPr>
          </w:p>
        </w:tc>
      </w:tr>
      <w:tr w14:paraId="134D6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8" w:type="dxa"/>
            <w:vAlign w:val="center"/>
          </w:tcPr>
          <w:p w14:paraId="250962AE">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2</w:t>
            </w:r>
          </w:p>
        </w:tc>
        <w:tc>
          <w:tcPr>
            <w:tcW w:w="4882" w:type="dxa"/>
            <w:vAlign w:val="center"/>
          </w:tcPr>
          <w:p w14:paraId="2C249180">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《建筑节能门窗》</w:t>
            </w:r>
          </w:p>
        </w:tc>
        <w:tc>
          <w:tcPr>
            <w:tcW w:w="3050" w:type="dxa"/>
            <w:vAlign w:val="center"/>
          </w:tcPr>
          <w:p w14:paraId="6C304E13">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16J607</w:t>
            </w:r>
          </w:p>
        </w:tc>
        <w:tc>
          <w:tcPr>
            <w:tcW w:w="678" w:type="dxa"/>
            <w:vAlign w:val="center"/>
          </w:tcPr>
          <w:p w14:paraId="3C105005">
            <w:pPr>
              <w:adjustRightInd w:val="0"/>
              <w:jc w:val="center"/>
              <w:textAlignment w:val="baseline"/>
              <w:rPr>
                <w:rFonts w:ascii="宋体" w:hAnsi="宋体"/>
                <w:color w:val="auto"/>
                <w:kern w:val="0"/>
                <w:sz w:val="24"/>
                <w:highlight w:val="none"/>
              </w:rPr>
            </w:pPr>
          </w:p>
        </w:tc>
      </w:tr>
      <w:tr w14:paraId="53A3E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78" w:type="dxa"/>
            <w:vAlign w:val="center"/>
          </w:tcPr>
          <w:p w14:paraId="27D1B43B">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3</w:t>
            </w:r>
          </w:p>
        </w:tc>
        <w:tc>
          <w:tcPr>
            <w:tcW w:w="4882" w:type="dxa"/>
            <w:vAlign w:val="center"/>
          </w:tcPr>
          <w:p w14:paraId="64BB7680">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《不锈钢门窗》</w:t>
            </w:r>
          </w:p>
        </w:tc>
        <w:tc>
          <w:tcPr>
            <w:tcW w:w="3050" w:type="dxa"/>
            <w:vAlign w:val="center"/>
          </w:tcPr>
          <w:p w14:paraId="6627AFFE">
            <w:pPr>
              <w:adjustRightInd w:val="0"/>
              <w:ind w:firstLine="120" w:firstLineChars="50"/>
              <w:jc w:val="center"/>
              <w:textAlignment w:val="baseline"/>
              <w:rPr>
                <w:rFonts w:ascii="宋体" w:hAnsi="宋体"/>
                <w:color w:val="auto"/>
                <w:kern w:val="0"/>
                <w:sz w:val="24"/>
                <w:highlight w:val="none"/>
              </w:rPr>
            </w:pPr>
            <w:r>
              <w:rPr>
                <w:rFonts w:hint="eastAsia" w:ascii="宋体" w:hAnsi="宋体"/>
                <w:color w:val="auto"/>
                <w:kern w:val="0"/>
                <w:sz w:val="24"/>
                <w:highlight w:val="none"/>
              </w:rPr>
              <w:t>13J602-3</w:t>
            </w:r>
          </w:p>
        </w:tc>
        <w:tc>
          <w:tcPr>
            <w:tcW w:w="678" w:type="dxa"/>
            <w:vAlign w:val="center"/>
          </w:tcPr>
          <w:p w14:paraId="1F25FE13">
            <w:pPr>
              <w:adjustRightInd w:val="0"/>
              <w:jc w:val="center"/>
              <w:textAlignment w:val="baseline"/>
              <w:rPr>
                <w:rFonts w:ascii="宋体" w:hAnsi="宋体"/>
                <w:color w:val="auto"/>
                <w:kern w:val="0"/>
                <w:sz w:val="24"/>
                <w:highlight w:val="none"/>
              </w:rPr>
            </w:pPr>
          </w:p>
        </w:tc>
      </w:tr>
      <w:tr w14:paraId="5D359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678" w:type="dxa"/>
            <w:vAlign w:val="center"/>
          </w:tcPr>
          <w:p w14:paraId="2A5B1B58">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4</w:t>
            </w:r>
          </w:p>
        </w:tc>
        <w:tc>
          <w:tcPr>
            <w:tcW w:w="4882" w:type="dxa"/>
            <w:vAlign w:val="center"/>
          </w:tcPr>
          <w:p w14:paraId="7F3B2778">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《工程做法》</w:t>
            </w:r>
          </w:p>
        </w:tc>
        <w:tc>
          <w:tcPr>
            <w:tcW w:w="3050" w:type="dxa"/>
            <w:vAlign w:val="center"/>
          </w:tcPr>
          <w:p w14:paraId="19940A55">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05J909</w:t>
            </w:r>
          </w:p>
        </w:tc>
        <w:tc>
          <w:tcPr>
            <w:tcW w:w="678" w:type="dxa"/>
            <w:vAlign w:val="center"/>
          </w:tcPr>
          <w:p w14:paraId="72518326">
            <w:pPr>
              <w:adjustRightInd w:val="0"/>
              <w:jc w:val="center"/>
              <w:textAlignment w:val="baseline"/>
              <w:rPr>
                <w:rFonts w:ascii="宋体" w:hAnsi="宋体"/>
                <w:color w:val="auto"/>
                <w:kern w:val="0"/>
                <w:sz w:val="24"/>
                <w:highlight w:val="none"/>
              </w:rPr>
            </w:pPr>
          </w:p>
        </w:tc>
      </w:tr>
      <w:tr w14:paraId="3BFA2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678" w:type="dxa"/>
            <w:vAlign w:val="center"/>
          </w:tcPr>
          <w:p w14:paraId="28A17D38">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5</w:t>
            </w:r>
          </w:p>
        </w:tc>
        <w:tc>
          <w:tcPr>
            <w:tcW w:w="4882" w:type="dxa"/>
            <w:vAlign w:val="center"/>
          </w:tcPr>
          <w:p w14:paraId="747AF961">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《平屋面建筑构造》</w:t>
            </w:r>
          </w:p>
        </w:tc>
        <w:tc>
          <w:tcPr>
            <w:tcW w:w="3050" w:type="dxa"/>
            <w:vAlign w:val="center"/>
          </w:tcPr>
          <w:p w14:paraId="15DE3BA0">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12J201</w:t>
            </w:r>
          </w:p>
        </w:tc>
        <w:tc>
          <w:tcPr>
            <w:tcW w:w="678" w:type="dxa"/>
            <w:vAlign w:val="center"/>
          </w:tcPr>
          <w:p w14:paraId="698AEF0E">
            <w:pPr>
              <w:adjustRightInd w:val="0"/>
              <w:jc w:val="center"/>
              <w:textAlignment w:val="baseline"/>
              <w:rPr>
                <w:rFonts w:ascii="宋体" w:hAnsi="宋体"/>
                <w:color w:val="auto"/>
                <w:kern w:val="0"/>
                <w:sz w:val="24"/>
                <w:highlight w:val="none"/>
              </w:rPr>
            </w:pPr>
          </w:p>
        </w:tc>
      </w:tr>
      <w:tr w14:paraId="7A643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78" w:type="dxa"/>
            <w:vAlign w:val="center"/>
          </w:tcPr>
          <w:p w14:paraId="2CD4309C">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6</w:t>
            </w:r>
          </w:p>
        </w:tc>
        <w:tc>
          <w:tcPr>
            <w:tcW w:w="4882" w:type="dxa"/>
            <w:vAlign w:val="center"/>
          </w:tcPr>
          <w:p w14:paraId="1D18D491">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《室外工程》</w:t>
            </w:r>
          </w:p>
        </w:tc>
        <w:tc>
          <w:tcPr>
            <w:tcW w:w="3050" w:type="dxa"/>
            <w:vAlign w:val="center"/>
          </w:tcPr>
          <w:p w14:paraId="6C0D987C">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12J003</w:t>
            </w:r>
          </w:p>
        </w:tc>
        <w:tc>
          <w:tcPr>
            <w:tcW w:w="678" w:type="dxa"/>
            <w:vAlign w:val="center"/>
          </w:tcPr>
          <w:p w14:paraId="03344D55">
            <w:pPr>
              <w:adjustRightInd w:val="0"/>
              <w:jc w:val="center"/>
              <w:textAlignment w:val="baseline"/>
              <w:rPr>
                <w:rFonts w:ascii="宋体" w:hAnsi="宋体"/>
                <w:color w:val="auto"/>
                <w:kern w:val="0"/>
                <w:sz w:val="24"/>
                <w:highlight w:val="none"/>
              </w:rPr>
            </w:pPr>
          </w:p>
        </w:tc>
      </w:tr>
      <w:tr w14:paraId="42776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678" w:type="dxa"/>
            <w:vAlign w:val="center"/>
          </w:tcPr>
          <w:p w14:paraId="0E6F41CB">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7</w:t>
            </w:r>
          </w:p>
        </w:tc>
        <w:tc>
          <w:tcPr>
            <w:tcW w:w="4882" w:type="dxa"/>
            <w:vAlign w:val="center"/>
          </w:tcPr>
          <w:p w14:paraId="0925AE5D">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《楼梯 栏杆 栏板（一）》</w:t>
            </w:r>
          </w:p>
        </w:tc>
        <w:tc>
          <w:tcPr>
            <w:tcW w:w="3050" w:type="dxa"/>
            <w:vAlign w:val="center"/>
          </w:tcPr>
          <w:p w14:paraId="33326A7B">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15J403-1</w:t>
            </w:r>
          </w:p>
        </w:tc>
        <w:tc>
          <w:tcPr>
            <w:tcW w:w="678" w:type="dxa"/>
            <w:vAlign w:val="center"/>
          </w:tcPr>
          <w:p w14:paraId="584CDAF0">
            <w:pPr>
              <w:adjustRightInd w:val="0"/>
              <w:jc w:val="center"/>
              <w:textAlignment w:val="baseline"/>
              <w:rPr>
                <w:rFonts w:ascii="宋体" w:hAnsi="宋体"/>
                <w:color w:val="auto"/>
                <w:kern w:val="0"/>
                <w:sz w:val="24"/>
                <w:highlight w:val="none"/>
              </w:rPr>
            </w:pPr>
          </w:p>
        </w:tc>
      </w:tr>
      <w:tr w14:paraId="5D88E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678" w:type="dxa"/>
            <w:vAlign w:val="center"/>
          </w:tcPr>
          <w:p w14:paraId="0595114B">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8</w:t>
            </w:r>
          </w:p>
        </w:tc>
        <w:tc>
          <w:tcPr>
            <w:tcW w:w="4882" w:type="dxa"/>
            <w:vAlign w:val="center"/>
          </w:tcPr>
          <w:p w14:paraId="20DD1AFA">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《钢梯》</w:t>
            </w:r>
          </w:p>
        </w:tc>
        <w:tc>
          <w:tcPr>
            <w:tcW w:w="3050" w:type="dxa"/>
            <w:vAlign w:val="center"/>
          </w:tcPr>
          <w:p w14:paraId="21230B79">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15J401</w:t>
            </w:r>
          </w:p>
        </w:tc>
        <w:tc>
          <w:tcPr>
            <w:tcW w:w="678" w:type="dxa"/>
            <w:vAlign w:val="center"/>
          </w:tcPr>
          <w:p w14:paraId="6917CF67">
            <w:pPr>
              <w:adjustRightInd w:val="0"/>
              <w:jc w:val="center"/>
              <w:textAlignment w:val="baseline"/>
              <w:rPr>
                <w:rFonts w:ascii="宋体" w:hAnsi="宋体"/>
                <w:color w:val="auto"/>
                <w:kern w:val="0"/>
                <w:sz w:val="24"/>
                <w:highlight w:val="none"/>
              </w:rPr>
            </w:pPr>
          </w:p>
        </w:tc>
      </w:tr>
      <w:tr w14:paraId="42F58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78" w:type="dxa"/>
            <w:vAlign w:val="center"/>
          </w:tcPr>
          <w:p w14:paraId="6CB065C9">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9</w:t>
            </w:r>
          </w:p>
        </w:tc>
        <w:tc>
          <w:tcPr>
            <w:tcW w:w="4882" w:type="dxa"/>
            <w:vAlign w:val="center"/>
          </w:tcPr>
          <w:p w14:paraId="532E5DDC">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《建筑防腐蚀构造》</w:t>
            </w:r>
          </w:p>
        </w:tc>
        <w:tc>
          <w:tcPr>
            <w:tcW w:w="3050" w:type="dxa"/>
            <w:vAlign w:val="center"/>
          </w:tcPr>
          <w:p w14:paraId="27796233">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08J333</w:t>
            </w:r>
          </w:p>
        </w:tc>
        <w:tc>
          <w:tcPr>
            <w:tcW w:w="678" w:type="dxa"/>
            <w:vAlign w:val="center"/>
          </w:tcPr>
          <w:p w14:paraId="08D029A5">
            <w:pPr>
              <w:adjustRightInd w:val="0"/>
              <w:jc w:val="center"/>
              <w:textAlignment w:val="baseline"/>
              <w:rPr>
                <w:rFonts w:ascii="宋体" w:hAnsi="宋体"/>
                <w:color w:val="auto"/>
                <w:kern w:val="0"/>
                <w:sz w:val="24"/>
                <w:highlight w:val="none"/>
              </w:rPr>
            </w:pPr>
          </w:p>
        </w:tc>
      </w:tr>
      <w:tr w14:paraId="6288B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78" w:type="dxa"/>
            <w:vAlign w:val="center"/>
          </w:tcPr>
          <w:p w14:paraId="63DFAC52">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10</w:t>
            </w:r>
          </w:p>
        </w:tc>
        <w:tc>
          <w:tcPr>
            <w:tcW w:w="4882" w:type="dxa"/>
            <w:vAlign w:val="center"/>
          </w:tcPr>
          <w:p w14:paraId="656B99D7">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《楼地面建筑构造》</w:t>
            </w:r>
          </w:p>
        </w:tc>
        <w:tc>
          <w:tcPr>
            <w:tcW w:w="3050" w:type="dxa"/>
            <w:vAlign w:val="center"/>
          </w:tcPr>
          <w:p w14:paraId="4FFBDE59">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12J304</w:t>
            </w:r>
          </w:p>
        </w:tc>
        <w:tc>
          <w:tcPr>
            <w:tcW w:w="678" w:type="dxa"/>
            <w:vAlign w:val="center"/>
          </w:tcPr>
          <w:p w14:paraId="23D98317">
            <w:pPr>
              <w:adjustRightInd w:val="0"/>
              <w:jc w:val="center"/>
              <w:textAlignment w:val="baseline"/>
              <w:rPr>
                <w:rFonts w:ascii="宋体" w:hAnsi="宋体"/>
                <w:color w:val="auto"/>
                <w:kern w:val="0"/>
                <w:sz w:val="24"/>
                <w:highlight w:val="none"/>
              </w:rPr>
            </w:pPr>
          </w:p>
        </w:tc>
      </w:tr>
      <w:tr w14:paraId="1BCC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678" w:type="dxa"/>
            <w:vAlign w:val="center"/>
          </w:tcPr>
          <w:p w14:paraId="17C3472C">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11</w:t>
            </w:r>
          </w:p>
        </w:tc>
        <w:tc>
          <w:tcPr>
            <w:tcW w:w="4882" w:type="dxa"/>
            <w:vAlign w:val="center"/>
          </w:tcPr>
          <w:p w14:paraId="09E467DB">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《抗爆、泄爆门窗及屋盖、墙体建筑构造》</w:t>
            </w:r>
          </w:p>
        </w:tc>
        <w:tc>
          <w:tcPr>
            <w:tcW w:w="3050" w:type="dxa"/>
            <w:vAlign w:val="center"/>
          </w:tcPr>
          <w:p w14:paraId="63001AFC">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14J938</w:t>
            </w:r>
          </w:p>
        </w:tc>
        <w:tc>
          <w:tcPr>
            <w:tcW w:w="678" w:type="dxa"/>
            <w:vAlign w:val="center"/>
          </w:tcPr>
          <w:p w14:paraId="0E93AE34">
            <w:pPr>
              <w:adjustRightInd w:val="0"/>
              <w:jc w:val="center"/>
              <w:textAlignment w:val="baseline"/>
              <w:rPr>
                <w:rFonts w:ascii="宋体" w:hAnsi="宋体"/>
                <w:color w:val="auto"/>
                <w:kern w:val="0"/>
                <w:sz w:val="24"/>
                <w:highlight w:val="none"/>
              </w:rPr>
            </w:pPr>
          </w:p>
        </w:tc>
      </w:tr>
      <w:tr w14:paraId="79FA1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78" w:type="dxa"/>
            <w:vAlign w:val="center"/>
          </w:tcPr>
          <w:p w14:paraId="64A41C9D">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12</w:t>
            </w:r>
          </w:p>
        </w:tc>
        <w:tc>
          <w:tcPr>
            <w:tcW w:w="4882" w:type="dxa"/>
            <w:vAlign w:val="center"/>
          </w:tcPr>
          <w:p w14:paraId="525523B0">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《建筑设计防火规范》</w:t>
            </w:r>
          </w:p>
        </w:tc>
        <w:tc>
          <w:tcPr>
            <w:tcW w:w="3050" w:type="dxa"/>
            <w:vAlign w:val="center"/>
          </w:tcPr>
          <w:p w14:paraId="56ADC687">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GB50016-2014（2018年版）</w:t>
            </w:r>
          </w:p>
        </w:tc>
        <w:tc>
          <w:tcPr>
            <w:tcW w:w="678" w:type="dxa"/>
            <w:vAlign w:val="center"/>
          </w:tcPr>
          <w:p w14:paraId="394DBC39">
            <w:pPr>
              <w:adjustRightInd w:val="0"/>
              <w:jc w:val="center"/>
              <w:textAlignment w:val="baseline"/>
              <w:rPr>
                <w:rFonts w:ascii="宋体" w:hAnsi="宋体"/>
                <w:color w:val="auto"/>
                <w:kern w:val="0"/>
                <w:sz w:val="24"/>
                <w:highlight w:val="none"/>
              </w:rPr>
            </w:pPr>
          </w:p>
        </w:tc>
      </w:tr>
      <w:tr w14:paraId="2620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8" w:type="dxa"/>
            <w:vAlign w:val="center"/>
          </w:tcPr>
          <w:p w14:paraId="0DD0CAF6">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13</w:t>
            </w:r>
          </w:p>
        </w:tc>
        <w:tc>
          <w:tcPr>
            <w:tcW w:w="4882" w:type="dxa"/>
            <w:vAlign w:val="center"/>
          </w:tcPr>
          <w:p w14:paraId="69681A5A">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《屋面工程技术规范》</w:t>
            </w:r>
          </w:p>
        </w:tc>
        <w:tc>
          <w:tcPr>
            <w:tcW w:w="3050" w:type="dxa"/>
            <w:vAlign w:val="center"/>
          </w:tcPr>
          <w:p w14:paraId="7A363250">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GB50345-2012</w:t>
            </w:r>
          </w:p>
        </w:tc>
        <w:tc>
          <w:tcPr>
            <w:tcW w:w="678" w:type="dxa"/>
            <w:vAlign w:val="center"/>
          </w:tcPr>
          <w:p w14:paraId="318E6FB5">
            <w:pPr>
              <w:adjustRightInd w:val="0"/>
              <w:jc w:val="center"/>
              <w:textAlignment w:val="baseline"/>
              <w:rPr>
                <w:rFonts w:ascii="宋体" w:hAnsi="宋体"/>
                <w:color w:val="auto"/>
                <w:kern w:val="0"/>
                <w:sz w:val="24"/>
                <w:highlight w:val="none"/>
              </w:rPr>
            </w:pPr>
          </w:p>
        </w:tc>
      </w:tr>
      <w:tr w14:paraId="53AEF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678" w:type="dxa"/>
            <w:vAlign w:val="center"/>
          </w:tcPr>
          <w:p w14:paraId="73F1D234">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14</w:t>
            </w:r>
          </w:p>
        </w:tc>
        <w:tc>
          <w:tcPr>
            <w:tcW w:w="4882" w:type="dxa"/>
            <w:vAlign w:val="center"/>
          </w:tcPr>
          <w:p w14:paraId="4B4642A4">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《建筑地面设计规范》</w:t>
            </w:r>
          </w:p>
        </w:tc>
        <w:tc>
          <w:tcPr>
            <w:tcW w:w="3050" w:type="dxa"/>
            <w:vAlign w:val="center"/>
          </w:tcPr>
          <w:p w14:paraId="6437C411">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GB50037-2013</w:t>
            </w:r>
          </w:p>
        </w:tc>
        <w:tc>
          <w:tcPr>
            <w:tcW w:w="678" w:type="dxa"/>
            <w:vAlign w:val="center"/>
          </w:tcPr>
          <w:p w14:paraId="568E9B6E">
            <w:pPr>
              <w:adjustRightInd w:val="0"/>
              <w:jc w:val="center"/>
              <w:textAlignment w:val="baseline"/>
              <w:rPr>
                <w:rFonts w:ascii="宋体" w:hAnsi="宋体"/>
                <w:color w:val="auto"/>
                <w:kern w:val="0"/>
                <w:sz w:val="24"/>
                <w:highlight w:val="none"/>
              </w:rPr>
            </w:pPr>
          </w:p>
        </w:tc>
      </w:tr>
      <w:tr w14:paraId="1A5B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678" w:type="dxa"/>
            <w:vAlign w:val="center"/>
          </w:tcPr>
          <w:p w14:paraId="72EF1028">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15</w:t>
            </w:r>
          </w:p>
        </w:tc>
        <w:tc>
          <w:tcPr>
            <w:tcW w:w="4882" w:type="dxa"/>
            <w:vAlign w:val="center"/>
          </w:tcPr>
          <w:p w14:paraId="0541521E">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《建筑内部装修设计防火规范》</w:t>
            </w:r>
          </w:p>
        </w:tc>
        <w:tc>
          <w:tcPr>
            <w:tcW w:w="3050" w:type="dxa"/>
            <w:vAlign w:val="center"/>
          </w:tcPr>
          <w:p w14:paraId="305B8588">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 xml:space="preserve">GB50222-2017 </w:t>
            </w:r>
          </w:p>
        </w:tc>
        <w:tc>
          <w:tcPr>
            <w:tcW w:w="678" w:type="dxa"/>
            <w:vAlign w:val="center"/>
          </w:tcPr>
          <w:p w14:paraId="79467D3A">
            <w:pPr>
              <w:adjustRightInd w:val="0"/>
              <w:jc w:val="center"/>
              <w:textAlignment w:val="baseline"/>
              <w:rPr>
                <w:rFonts w:ascii="宋体" w:hAnsi="宋体"/>
                <w:color w:val="auto"/>
                <w:kern w:val="0"/>
                <w:sz w:val="24"/>
                <w:highlight w:val="none"/>
              </w:rPr>
            </w:pPr>
          </w:p>
        </w:tc>
      </w:tr>
      <w:tr w14:paraId="29A12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678" w:type="dxa"/>
            <w:vAlign w:val="center"/>
          </w:tcPr>
          <w:p w14:paraId="27E114D7">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16</w:t>
            </w:r>
          </w:p>
        </w:tc>
        <w:tc>
          <w:tcPr>
            <w:tcW w:w="4882" w:type="dxa"/>
            <w:vAlign w:val="center"/>
          </w:tcPr>
          <w:p w14:paraId="331BDDBA">
            <w:pPr>
              <w:adjustRightInd w:val="0"/>
              <w:jc w:val="center"/>
              <w:textAlignment w:val="baseline"/>
              <w:rPr>
                <w:rFonts w:ascii="宋体" w:hAnsi="宋体"/>
                <w:color w:val="auto"/>
                <w:kern w:val="0"/>
                <w:sz w:val="24"/>
                <w:highlight w:val="none"/>
              </w:rPr>
            </w:pPr>
            <w:r>
              <w:rPr>
                <w:rFonts w:hint="eastAsia" w:ascii="宋体" w:hAnsi="宋体"/>
                <w:color w:val="auto"/>
                <w:kern w:val="0"/>
                <w:sz w:val="24"/>
                <w:highlight w:val="none"/>
              </w:rPr>
              <w:t>《工业建筑防腐蚀设计标准》</w:t>
            </w:r>
          </w:p>
        </w:tc>
        <w:tc>
          <w:tcPr>
            <w:tcW w:w="3050" w:type="dxa"/>
            <w:vAlign w:val="center"/>
          </w:tcPr>
          <w:p w14:paraId="48FFF2B7">
            <w:pPr>
              <w:adjustRightInd w:val="0"/>
              <w:jc w:val="center"/>
              <w:textAlignment w:val="baseline"/>
              <w:rPr>
                <w:rFonts w:ascii="宋体" w:hAnsi="宋体"/>
                <w:color w:val="auto"/>
                <w:kern w:val="0"/>
                <w:sz w:val="24"/>
                <w:highlight w:val="none"/>
              </w:rPr>
            </w:pPr>
            <w:r>
              <w:rPr>
                <w:rFonts w:ascii="宋体" w:hAnsi="宋体"/>
                <w:color w:val="auto"/>
                <w:kern w:val="0"/>
                <w:sz w:val="24"/>
                <w:highlight w:val="none"/>
              </w:rPr>
              <w:t>GB/T 50046-2018</w:t>
            </w:r>
          </w:p>
        </w:tc>
        <w:tc>
          <w:tcPr>
            <w:tcW w:w="678" w:type="dxa"/>
            <w:vAlign w:val="center"/>
          </w:tcPr>
          <w:p w14:paraId="2170FEE2">
            <w:pPr>
              <w:adjustRightInd w:val="0"/>
              <w:jc w:val="center"/>
              <w:textAlignment w:val="baseline"/>
              <w:rPr>
                <w:rFonts w:ascii="宋体" w:hAnsi="宋体"/>
                <w:color w:val="auto"/>
                <w:kern w:val="0"/>
                <w:sz w:val="24"/>
                <w:highlight w:val="none"/>
              </w:rPr>
            </w:pPr>
          </w:p>
        </w:tc>
      </w:tr>
    </w:tbl>
    <w:p w14:paraId="5AFB58E6">
      <w:pPr>
        <w:spacing w:line="360" w:lineRule="auto"/>
        <w:ind w:firstLine="480"/>
        <w:rPr>
          <w:rFonts w:ascii="宋体" w:hAnsi="宋体"/>
          <w:color w:val="auto"/>
          <w:sz w:val="24"/>
          <w:highlight w:val="none"/>
        </w:rPr>
      </w:pPr>
    </w:p>
    <w:p w14:paraId="0699821B">
      <w:pPr>
        <w:spacing w:line="360" w:lineRule="auto"/>
        <w:ind w:firstLine="480"/>
        <w:rPr>
          <w:rFonts w:ascii="宋体" w:hAnsi="宋体"/>
          <w:color w:val="auto"/>
          <w:sz w:val="24"/>
          <w:highlight w:val="none"/>
        </w:rPr>
      </w:pPr>
      <w:r>
        <w:rPr>
          <w:rFonts w:hint="eastAsia" w:ascii="宋体" w:hAnsi="宋体"/>
          <w:color w:val="auto"/>
          <w:sz w:val="24"/>
          <w:highlight w:val="none"/>
        </w:rPr>
        <w:t>（2）建筑立面处理原则和内外装修标准</w:t>
      </w:r>
    </w:p>
    <w:p w14:paraId="68431C88">
      <w:pPr>
        <w:adjustRightInd w:val="0"/>
        <w:snapToGrid w:val="0"/>
        <w:spacing w:line="360" w:lineRule="auto"/>
        <w:ind w:firstLine="960" w:firstLineChars="400"/>
        <w:rPr>
          <w:rFonts w:ascii="宋体" w:hAnsi="宋体"/>
          <w:color w:val="auto"/>
          <w:sz w:val="24"/>
          <w:highlight w:val="none"/>
        </w:rPr>
      </w:pPr>
      <w:r>
        <w:rPr>
          <w:rFonts w:hint="eastAsia" w:ascii="宋体" w:hAnsi="宋体"/>
          <w:color w:val="auto"/>
          <w:sz w:val="24"/>
          <w:highlight w:val="none"/>
        </w:rPr>
        <w:t>建筑总体设计美观、经济、实用、大方，能满足业主生产基本功能要求。建筑设计主要以主导工艺专业提供的生产使用要求及其他各专业提供的相关配套设计条件为依据，根据甲方提供的生产使用要求，按相关规范进行合理设计，满足生产使用要求。</w:t>
      </w:r>
    </w:p>
    <w:p w14:paraId="23E2EEB1">
      <w:pPr>
        <w:adjustRightInd w:val="0"/>
        <w:snapToGrid w:val="0"/>
        <w:spacing w:line="360" w:lineRule="auto"/>
        <w:ind w:firstLine="720" w:firstLineChars="300"/>
        <w:rPr>
          <w:rFonts w:ascii="宋体" w:hAnsi="宋体"/>
          <w:color w:val="auto"/>
          <w:sz w:val="24"/>
          <w:highlight w:val="none"/>
        </w:rPr>
      </w:pPr>
      <w:r>
        <w:rPr>
          <w:rFonts w:hint="eastAsia" w:ascii="宋体" w:hAnsi="宋体"/>
          <w:color w:val="auto"/>
          <w:sz w:val="24"/>
          <w:highlight w:val="none"/>
        </w:rPr>
        <w:t>建筑立面设计总体简洁大方，用材素雅，建筑单体风格统一，各具特色，相互协调。建筑单体根据内部不同使用功能进行合理开窗与处理，整体处理虚实对比明确，阴影效果丰富。</w:t>
      </w:r>
    </w:p>
    <w:p w14:paraId="2B9471FF">
      <w:pPr>
        <w:adjustRightInd w:val="0"/>
        <w:snapToGrid w:val="0"/>
        <w:spacing w:line="360" w:lineRule="auto"/>
        <w:rPr>
          <w:b/>
          <w:bCs/>
          <w:color w:val="auto"/>
          <w:sz w:val="24"/>
          <w:highlight w:val="none"/>
        </w:rPr>
      </w:pPr>
      <w:r>
        <w:rPr>
          <w:rFonts w:hint="eastAsia"/>
          <w:color w:val="auto"/>
          <w:sz w:val="24"/>
          <w:highlight w:val="none"/>
        </w:rPr>
        <w:t>2.2.7.8</w:t>
      </w:r>
      <w:r>
        <w:rPr>
          <w:color w:val="auto"/>
          <w:sz w:val="24"/>
          <w:highlight w:val="none"/>
        </w:rPr>
        <w:t xml:space="preserve"> </w:t>
      </w:r>
      <w:r>
        <w:rPr>
          <w:rFonts w:hint="eastAsia"/>
          <w:b/>
          <w:bCs/>
          <w:color w:val="auto"/>
          <w:sz w:val="24"/>
          <w:highlight w:val="none"/>
        </w:rPr>
        <w:t>各子项地坪、楼面等主要工程做法说明</w:t>
      </w:r>
    </w:p>
    <w:p w14:paraId="7FD9ACC8">
      <w:pPr>
        <w:adjustRightInd w:val="0"/>
        <w:snapToGrid w:val="0"/>
        <w:spacing w:line="360" w:lineRule="auto"/>
        <w:ind w:firstLine="480" w:firstLineChars="200"/>
        <w:rPr>
          <w:color w:val="auto"/>
          <w:sz w:val="24"/>
          <w:highlight w:val="none"/>
        </w:rPr>
      </w:pPr>
      <w:r>
        <w:rPr>
          <w:rFonts w:hint="eastAsia"/>
          <w:color w:val="auto"/>
          <w:sz w:val="24"/>
          <w:highlight w:val="none"/>
        </w:rPr>
        <w:t>本项目改建或新建压缩机厂房方案做法由招标人根据中标人提供相关条件，与设计单位确认。</w:t>
      </w:r>
    </w:p>
    <w:p w14:paraId="331A9BE7">
      <w:pPr>
        <w:adjustRightInd w:val="0"/>
        <w:snapToGrid w:val="0"/>
        <w:spacing w:line="360" w:lineRule="auto"/>
        <w:ind w:firstLine="480" w:firstLineChars="200"/>
        <w:rPr>
          <w:color w:val="auto"/>
          <w:sz w:val="24"/>
          <w:highlight w:val="none"/>
        </w:rPr>
      </w:pPr>
      <w:r>
        <w:rPr>
          <w:rFonts w:hint="eastAsia"/>
          <w:color w:val="auto"/>
          <w:sz w:val="24"/>
          <w:highlight w:val="none"/>
        </w:rPr>
        <w:t>防火防爆：</w:t>
      </w:r>
    </w:p>
    <w:p w14:paraId="413DA9FA">
      <w:pPr>
        <w:adjustRightInd w:val="0"/>
        <w:snapToGrid w:val="0"/>
        <w:spacing w:line="360" w:lineRule="auto"/>
        <w:ind w:left="210"/>
        <w:rPr>
          <w:color w:val="auto"/>
          <w:sz w:val="24"/>
          <w:highlight w:val="none"/>
        </w:rPr>
      </w:pPr>
      <w:r>
        <w:rPr>
          <w:rFonts w:hint="eastAsia"/>
          <w:color w:val="auto"/>
          <w:sz w:val="24"/>
          <w:highlight w:val="none"/>
        </w:rPr>
        <w:t xml:space="preserve"> （1）建筑按规范要求设置防火分区、安全出口的数量、安全距离。不同防火分区之间设置防火墙，耐火极限均不小于4.0小时。钢结构承重构件进行防火保护，增涂防火涂料。</w:t>
      </w:r>
    </w:p>
    <w:p w14:paraId="24CBA4B7">
      <w:pPr>
        <w:adjustRightInd w:val="0"/>
        <w:snapToGrid w:val="0"/>
        <w:spacing w:line="360" w:lineRule="auto"/>
        <w:ind w:firstLine="480" w:firstLineChars="200"/>
        <w:rPr>
          <w:color w:val="auto"/>
          <w:sz w:val="24"/>
          <w:highlight w:val="none"/>
        </w:rPr>
      </w:pPr>
      <w:r>
        <w:rPr>
          <w:rFonts w:hint="eastAsia"/>
          <w:color w:val="auto"/>
          <w:sz w:val="24"/>
          <w:highlight w:val="none"/>
        </w:rPr>
        <w:t>（2）防腐：</w:t>
      </w:r>
    </w:p>
    <w:p w14:paraId="5223EC7B">
      <w:pPr>
        <w:adjustRightInd w:val="0"/>
        <w:snapToGrid w:val="0"/>
        <w:spacing w:line="360" w:lineRule="auto"/>
        <w:ind w:firstLine="480" w:firstLineChars="200"/>
        <w:rPr>
          <w:color w:val="auto"/>
          <w:sz w:val="24"/>
          <w:highlight w:val="none"/>
        </w:rPr>
      </w:pPr>
      <w:r>
        <w:rPr>
          <w:rFonts w:hint="eastAsia"/>
          <w:color w:val="auto"/>
          <w:sz w:val="24"/>
          <w:highlight w:val="none"/>
        </w:rPr>
        <w:t>本项目中生产建筑属一般程度的大气腐蚀，地面为生产介质的腐蚀，外墙采用有防腐蚀性能的涂料。有腐蚀性的地面进行防腐设计。钢构件刷防腐涂料。</w:t>
      </w:r>
    </w:p>
    <w:p w14:paraId="5998EBA4">
      <w:pPr>
        <w:adjustRightInd w:val="0"/>
        <w:snapToGrid w:val="0"/>
        <w:spacing w:line="360" w:lineRule="auto"/>
        <w:ind w:firstLine="480" w:firstLineChars="200"/>
        <w:rPr>
          <w:color w:val="auto"/>
          <w:sz w:val="24"/>
          <w:highlight w:val="none"/>
        </w:rPr>
      </w:pPr>
      <w:r>
        <w:rPr>
          <w:rFonts w:hint="eastAsia"/>
          <w:color w:val="auto"/>
          <w:sz w:val="24"/>
          <w:highlight w:val="none"/>
        </w:rPr>
        <w:t>（3）通风：</w:t>
      </w:r>
    </w:p>
    <w:p w14:paraId="2AA7CA0C">
      <w:pPr>
        <w:adjustRightInd w:val="0"/>
        <w:snapToGrid w:val="0"/>
        <w:spacing w:line="360" w:lineRule="auto"/>
        <w:ind w:firstLine="480" w:firstLineChars="200"/>
        <w:rPr>
          <w:color w:val="auto"/>
          <w:sz w:val="24"/>
          <w:highlight w:val="none"/>
        </w:rPr>
      </w:pPr>
      <w:r>
        <w:rPr>
          <w:rFonts w:hint="eastAsia"/>
          <w:color w:val="auto"/>
          <w:sz w:val="24"/>
          <w:highlight w:val="none"/>
        </w:rPr>
        <w:t>建筑物为自然通风为主，机械通风为辅。</w:t>
      </w:r>
    </w:p>
    <w:p w14:paraId="6A63A8E9">
      <w:pPr>
        <w:adjustRightInd w:val="0"/>
        <w:snapToGrid w:val="0"/>
        <w:spacing w:line="360" w:lineRule="auto"/>
        <w:rPr>
          <w:color w:val="auto"/>
          <w:sz w:val="24"/>
          <w:highlight w:val="none"/>
        </w:rPr>
      </w:pPr>
      <w:r>
        <w:rPr>
          <w:color w:val="auto"/>
          <w:sz w:val="24"/>
          <w:highlight w:val="none"/>
        </w:rPr>
        <w:t>2.2.7.9</w:t>
      </w:r>
      <w:r>
        <w:rPr>
          <w:rFonts w:hAnsi="宋体"/>
          <w:color w:val="auto"/>
          <w:sz w:val="24"/>
          <w:highlight w:val="none"/>
        </w:rPr>
        <w:t>其它</w:t>
      </w:r>
    </w:p>
    <w:p w14:paraId="66A133C4">
      <w:pPr>
        <w:adjustRightInd w:val="0"/>
        <w:snapToGrid w:val="0"/>
        <w:spacing w:line="360" w:lineRule="auto"/>
        <w:ind w:firstLine="480" w:firstLineChars="200"/>
        <w:rPr>
          <w:color w:val="auto"/>
          <w:sz w:val="24"/>
          <w:highlight w:val="none"/>
        </w:rPr>
      </w:pPr>
      <w:r>
        <w:rPr>
          <w:rFonts w:hAnsi="宋体"/>
          <w:color w:val="auto"/>
          <w:sz w:val="24"/>
          <w:highlight w:val="none"/>
        </w:rPr>
        <w:t>（</w:t>
      </w:r>
      <w:r>
        <w:rPr>
          <w:color w:val="auto"/>
          <w:sz w:val="24"/>
          <w:highlight w:val="none"/>
        </w:rPr>
        <w:t>1</w:t>
      </w:r>
      <w:r>
        <w:rPr>
          <w:rFonts w:hAnsi="宋体"/>
          <w:color w:val="auto"/>
          <w:sz w:val="24"/>
          <w:highlight w:val="none"/>
        </w:rPr>
        <w:t>）散水：宽</w:t>
      </w:r>
      <w:r>
        <w:rPr>
          <w:color w:val="auto"/>
          <w:sz w:val="24"/>
          <w:highlight w:val="none"/>
        </w:rPr>
        <w:t>600mm</w:t>
      </w:r>
      <w:r>
        <w:rPr>
          <w:rFonts w:hAnsi="宋体"/>
          <w:color w:val="auto"/>
          <w:sz w:val="24"/>
          <w:highlight w:val="none"/>
        </w:rPr>
        <w:t>，</w:t>
      </w:r>
      <w:r>
        <w:rPr>
          <w:color w:val="auto"/>
          <w:sz w:val="24"/>
          <w:highlight w:val="none"/>
        </w:rPr>
        <w:t>20</w:t>
      </w:r>
      <w:r>
        <w:rPr>
          <w:rFonts w:hAnsi="宋体"/>
          <w:color w:val="auto"/>
          <w:sz w:val="24"/>
          <w:highlight w:val="none"/>
        </w:rPr>
        <w:t>厚</w:t>
      </w:r>
      <w:r>
        <w:rPr>
          <w:color w:val="auto"/>
          <w:sz w:val="24"/>
          <w:highlight w:val="none"/>
        </w:rPr>
        <w:t>1</w:t>
      </w:r>
      <w:r>
        <w:rPr>
          <w:rFonts w:hAnsi="宋体"/>
          <w:color w:val="auto"/>
          <w:sz w:val="24"/>
          <w:highlight w:val="none"/>
        </w:rPr>
        <w:t>：</w:t>
      </w:r>
      <w:r>
        <w:rPr>
          <w:color w:val="auto"/>
          <w:sz w:val="24"/>
          <w:highlight w:val="none"/>
        </w:rPr>
        <w:t>2.5</w:t>
      </w:r>
      <w:r>
        <w:rPr>
          <w:rFonts w:hAnsi="宋体"/>
          <w:color w:val="auto"/>
          <w:sz w:val="24"/>
          <w:highlight w:val="none"/>
        </w:rPr>
        <w:t>水泥砂浆面层，素水泥浆一道（内掺建筑胶），</w:t>
      </w:r>
      <w:r>
        <w:rPr>
          <w:color w:val="auto"/>
          <w:sz w:val="24"/>
          <w:highlight w:val="none"/>
        </w:rPr>
        <w:t>60</w:t>
      </w:r>
      <w:r>
        <w:rPr>
          <w:rFonts w:hAnsi="宋体"/>
          <w:color w:val="auto"/>
          <w:sz w:val="24"/>
          <w:highlight w:val="none"/>
        </w:rPr>
        <w:t>厚</w:t>
      </w:r>
      <w:r>
        <w:rPr>
          <w:color w:val="auto"/>
          <w:sz w:val="24"/>
          <w:highlight w:val="none"/>
        </w:rPr>
        <w:t>C15</w:t>
      </w:r>
      <w:r>
        <w:rPr>
          <w:rFonts w:hAnsi="宋体"/>
          <w:color w:val="auto"/>
          <w:sz w:val="24"/>
          <w:highlight w:val="none"/>
        </w:rPr>
        <w:t>砼，</w:t>
      </w:r>
      <w:r>
        <w:rPr>
          <w:color w:val="auto"/>
          <w:sz w:val="24"/>
          <w:highlight w:val="none"/>
        </w:rPr>
        <w:t>150</w:t>
      </w:r>
      <w:r>
        <w:rPr>
          <w:rFonts w:hAnsi="宋体"/>
          <w:color w:val="auto"/>
          <w:sz w:val="24"/>
          <w:highlight w:val="none"/>
        </w:rPr>
        <w:t>厚</w:t>
      </w:r>
      <w:r>
        <w:rPr>
          <w:color w:val="auto"/>
          <w:sz w:val="24"/>
          <w:highlight w:val="none"/>
        </w:rPr>
        <w:t>5-32</w:t>
      </w:r>
      <w:r>
        <w:rPr>
          <w:rFonts w:hAnsi="宋体"/>
          <w:color w:val="auto"/>
          <w:sz w:val="24"/>
          <w:highlight w:val="none"/>
        </w:rPr>
        <w:t>卵石灌</w:t>
      </w:r>
      <w:r>
        <w:rPr>
          <w:color w:val="auto"/>
          <w:sz w:val="24"/>
          <w:highlight w:val="none"/>
        </w:rPr>
        <w:t>M2.5</w:t>
      </w:r>
      <w:r>
        <w:rPr>
          <w:rFonts w:hAnsi="宋体"/>
          <w:color w:val="auto"/>
          <w:sz w:val="24"/>
          <w:highlight w:val="none"/>
        </w:rPr>
        <w:t>混合砂浆，宽出面层</w:t>
      </w:r>
      <w:r>
        <w:rPr>
          <w:color w:val="auto"/>
          <w:sz w:val="24"/>
          <w:highlight w:val="none"/>
        </w:rPr>
        <w:t>100</w:t>
      </w:r>
      <w:r>
        <w:rPr>
          <w:rFonts w:hAnsi="宋体"/>
          <w:color w:val="auto"/>
          <w:sz w:val="24"/>
          <w:highlight w:val="none"/>
        </w:rPr>
        <w:t>，素土夯实，向外坡</w:t>
      </w:r>
      <w:r>
        <w:rPr>
          <w:color w:val="auto"/>
          <w:sz w:val="24"/>
          <w:highlight w:val="none"/>
        </w:rPr>
        <w:t>3%-5%</w:t>
      </w:r>
      <w:r>
        <w:rPr>
          <w:rFonts w:hAnsi="宋体"/>
          <w:color w:val="auto"/>
          <w:sz w:val="24"/>
          <w:highlight w:val="none"/>
        </w:rPr>
        <w:t>，嵌缝膏嵌缝隙，断面</w:t>
      </w:r>
      <w:r>
        <w:rPr>
          <w:color w:val="auto"/>
          <w:sz w:val="24"/>
          <w:highlight w:val="none"/>
        </w:rPr>
        <w:t xml:space="preserve">20*80 </w:t>
      </w:r>
      <w:r>
        <w:rPr>
          <w:rFonts w:hAnsi="宋体"/>
          <w:color w:val="auto"/>
          <w:sz w:val="24"/>
          <w:highlight w:val="none"/>
        </w:rPr>
        <w:t>，参图集</w:t>
      </w:r>
      <w:r>
        <w:rPr>
          <w:color w:val="auto"/>
          <w:sz w:val="24"/>
          <w:highlight w:val="none"/>
        </w:rPr>
        <w:t xml:space="preserve">05J909  SW18/3A </w:t>
      </w:r>
    </w:p>
    <w:p w14:paraId="01AA7C3B">
      <w:pPr>
        <w:adjustRightInd w:val="0"/>
        <w:snapToGrid w:val="0"/>
        <w:spacing w:line="360" w:lineRule="auto"/>
        <w:ind w:firstLine="480" w:firstLineChars="200"/>
        <w:rPr>
          <w:color w:val="auto"/>
          <w:sz w:val="24"/>
          <w:highlight w:val="none"/>
        </w:rPr>
      </w:pPr>
      <w:r>
        <w:rPr>
          <w:rFonts w:hAnsi="宋体"/>
          <w:color w:val="auto"/>
          <w:sz w:val="24"/>
          <w:highlight w:val="none"/>
        </w:rPr>
        <w:t>（</w:t>
      </w:r>
      <w:r>
        <w:rPr>
          <w:color w:val="auto"/>
          <w:sz w:val="24"/>
          <w:highlight w:val="none"/>
        </w:rPr>
        <w:t>2</w:t>
      </w:r>
      <w:r>
        <w:rPr>
          <w:rFonts w:hAnsi="宋体"/>
          <w:color w:val="auto"/>
          <w:sz w:val="24"/>
          <w:highlight w:val="none"/>
        </w:rPr>
        <w:t>）台阶：</w:t>
      </w:r>
      <w:r>
        <w:rPr>
          <w:color w:val="auto"/>
          <w:sz w:val="24"/>
          <w:highlight w:val="none"/>
        </w:rPr>
        <w:t xml:space="preserve"> 60</w:t>
      </w:r>
      <w:r>
        <w:rPr>
          <w:rFonts w:hAnsi="宋体"/>
          <w:color w:val="auto"/>
          <w:sz w:val="24"/>
          <w:highlight w:val="none"/>
        </w:rPr>
        <w:t>厚</w:t>
      </w:r>
      <w:r>
        <w:rPr>
          <w:color w:val="auto"/>
          <w:sz w:val="24"/>
          <w:highlight w:val="none"/>
        </w:rPr>
        <w:t>C20</w:t>
      </w:r>
      <w:r>
        <w:rPr>
          <w:rFonts w:hAnsi="宋体"/>
          <w:color w:val="auto"/>
          <w:sz w:val="24"/>
          <w:highlight w:val="none"/>
        </w:rPr>
        <w:t>细石混凝土，随捣随抹；</w:t>
      </w:r>
      <w:r>
        <w:rPr>
          <w:color w:val="auto"/>
          <w:sz w:val="24"/>
          <w:highlight w:val="none"/>
        </w:rPr>
        <w:t xml:space="preserve"> </w:t>
      </w:r>
      <w:r>
        <w:rPr>
          <w:rFonts w:hAnsi="宋体"/>
          <w:color w:val="auto"/>
          <w:sz w:val="24"/>
          <w:highlight w:val="none"/>
        </w:rPr>
        <w:t>上撒</w:t>
      </w:r>
      <w:r>
        <w:rPr>
          <w:color w:val="auto"/>
          <w:sz w:val="24"/>
          <w:highlight w:val="none"/>
        </w:rPr>
        <w:t>1:1</w:t>
      </w:r>
      <w:r>
        <w:rPr>
          <w:rFonts w:hAnsi="宋体"/>
          <w:color w:val="auto"/>
          <w:sz w:val="24"/>
          <w:highlight w:val="none"/>
        </w:rPr>
        <w:t>水泥砂子压实赶光，台阶面向外坡</w:t>
      </w:r>
      <w:r>
        <w:rPr>
          <w:color w:val="auto"/>
          <w:sz w:val="24"/>
          <w:highlight w:val="none"/>
        </w:rPr>
        <w:t>1%</w:t>
      </w:r>
      <w:r>
        <w:rPr>
          <w:rFonts w:hAnsi="宋体"/>
          <w:color w:val="auto"/>
          <w:sz w:val="24"/>
          <w:highlight w:val="none"/>
        </w:rPr>
        <w:t>；</w:t>
      </w:r>
      <w:r>
        <w:rPr>
          <w:color w:val="auto"/>
          <w:sz w:val="24"/>
          <w:highlight w:val="none"/>
        </w:rPr>
        <w:t>300</w:t>
      </w:r>
      <w:r>
        <w:rPr>
          <w:rFonts w:hAnsi="宋体"/>
          <w:color w:val="auto"/>
          <w:sz w:val="24"/>
          <w:highlight w:val="none"/>
        </w:rPr>
        <w:t>厚粒径</w:t>
      </w:r>
      <w:r>
        <w:rPr>
          <w:color w:val="auto"/>
          <w:sz w:val="24"/>
          <w:highlight w:val="none"/>
        </w:rPr>
        <w:t>5-32</w:t>
      </w:r>
      <w:r>
        <w:rPr>
          <w:rFonts w:hAnsi="宋体"/>
          <w:color w:val="auto"/>
          <w:sz w:val="24"/>
          <w:highlight w:val="none"/>
        </w:rPr>
        <w:t>卵石灌</w:t>
      </w:r>
      <w:r>
        <w:rPr>
          <w:color w:val="auto"/>
          <w:sz w:val="24"/>
          <w:highlight w:val="none"/>
        </w:rPr>
        <w:t>M2.5</w:t>
      </w:r>
      <w:r>
        <w:rPr>
          <w:rFonts w:hAnsi="宋体"/>
          <w:color w:val="auto"/>
          <w:sz w:val="24"/>
          <w:highlight w:val="none"/>
        </w:rPr>
        <w:t>混合砂浆，宽出面层</w:t>
      </w:r>
      <w:r>
        <w:rPr>
          <w:color w:val="auto"/>
          <w:sz w:val="24"/>
          <w:highlight w:val="none"/>
        </w:rPr>
        <w:t>100</w:t>
      </w:r>
      <w:r>
        <w:rPr>
          <w:rFonts w:hAnsi="宋体"/>
          <w:color w:val="auto"/>
          <w:sz w:val="24"/>
          <w:highlight w:val="none"/>
        </w:rPr>
        <w:t>；</w:t>
      </w:r>
      <w:r>
        <w:rPr>
          <w:color w:val="auto"/>
          <w:sz w:val="24"/>
          <w:highlight w:val="none"/>
        </w:rPr>
        <w:t xml:space="preserve"> </w:t>
      </w:r>
      <w:r>
        <w:rPr>
          <w:rFonts w:hAnsi="宋体"/>
          <w:color w:val="auto"/>
          <w:sz w:val="24"/>
          <w:highlight w:val="none"/>
        </w:rPr>
        <w:t>素土夯实。</w:t>
      </w:r>
      <w:r>
        <w:rPr>
          <w:color w:val="auto"/>
          <w:sz w:val="24"/>
          <w:highlight w:val="none"/>
        </w:rPr>
        <w:t xml:space="preserve"> </w:t>
      </w:r>
    </w:p>
    <w:p w14:paraId="3EA55D71">
      <w:pPr>
        <w:adjustRightInd w:val="0"/>
        <w:snapToGrid w:val="0"/>
        <w:spacing w:line="360" w:lineRule="auto"/>
        <w:ind w:firstLine="480" w:firstLineChars="200"/>
        <w:rPr>
          <w:color w:val="auto"/>
          <w:sz w:val="24"/>
          <w:highlight w:val="none"/>
        </w:rPr>
      </w:pPr>
      <w:r>
        <w:rPr>
          <w:rFonts w:hAnsi="宋体"/>
          <w:color w:val="auto"/>
          <w:sz w:val="24"/>
          <w:highlight w:val="none"/>
        </w:rPr>
        <w:t>（</w:t>
      </w:r>
      <w:r>
        <w:rPr>
          <w:color w:val="auto"/>
          <w:sz w:val="24"/>
          <w:highlight w:val="none"/>
        </w:rPr>
        <w:t>3</w:t>
      </w:r>
      <w:r>
        <w:rPr>
          <w:rFonts w:hAnsi="宋体"/>
          <w:color w:val="auto"/>
          <w:sz w:val="24"/>
          <w:highlight w:val="none"/>
        </w:rPr>
        <w:t>）坡道：</w:t>
      </w:r>
      <w:r>
        <w:rPr>
          <w:color w:val="auto"/>
          <w:sz w:val="24"/>
          <w:highlight w:val="none"/>
        </w:rPr>
        <w:t>30</w:t>
      </w:r>
      <w:r>
        <w:rPr>
          <w:rFonts w:hAnsi="宋体"/>
          <w:color w:val="auto"/>
          <w:sz w:val="24"/>
          <w:highlight w:val="none"/>
        </w:rPr>
        <w:t>厚</w:t>
      </w:r>
      <w:r>
        <w:rPr>
          <w:color w:val="auto"/>
          <w:sz w:val="24"/>
          <w:highlight w:val="none"/>
        </w:rPr>
        <w:t>1</w:t>
      </w:r>
      <w:r>
        <w:rPr>
          <w:rFonts w:hAnsi="宋体"/>
          <w:color w:val="auto"/>
          <w:sz w:val="24"/>
          <w:highlight w:val="none"/>
        </w:rPr>
        <w:t>：</w:t>
      </w:r>
      <w:r>
        <w:rPr>
          <w:color w:val="auto"/>
          <w:sz w:val="24"/>
          <w:highlight w:val="none"/>
        </w:rPr>
        <w:t>2</w:t>
      </w:r>
      <w:r>
        <w:rPr>
          <w:rFonts w:hAnsi="宋体"/>
          <w:color w:val="auto"/>
          <w:sz w:val="24"/>
          <w:highlight w:val="none"/>
        </w:rPr>
        <w:t>水泥砂浆表面，抹深锯齿形礓磋，素水泥浆一道（内掺建筑胶），</w:t>
      </w:r>
      <w:r>
        <w:rPr>
          <w:color w:val="auto"/>
          <w:sz w:val="24"/>
          <w:highlight w:val="none"/>
        </w:rPr>
        <w:t>100</w:t>
      </w:r>
      <w:r>
        <w:rPr>
          <w:rFonts w:hAnsi="宋体"/>
          <w:color w:val="auto"/>
          <w:sz w:val="24"/>
          <w:highlight w:val="none"/>
        </w:rPr>
        <w:t>厚</w:t>
      </w:r>
      <w:r>
        <w:rPr>
          <w:color w:val="auto"/>
          <w:sz w:val="24"/>
          <w:highlight w:val="none"/>
        </w:rPr>
        <w:t>C20</w:t>
      </w:r>
      <w:r>
        <w:rPr>
          <w:rFonts w:hAnsi="宋体"/>
          <w:color w:val="auto"/>
          <w:sz w:val="24"/>
          <w:highlight w:val="none"/>
        </w:rPr>
        <w:t>砼，</w:t>
      </w:r>
      <w:r>
        <w:rPr>
          <w:color w:val="auto"/>
          <w:sz w:val="24"/>
          <w:highlight w:val="none"/>
        </w:rPr>
        <w:t>300</w:t>
      </w:r>
      <w:r>
        <w:rPr>
          <w:rFonts w:hAnsi="宋体"/>
          <w:color w:val="auto"/>
          <w:sz w:val="24"/>
          <w:highlight w:val="none"/>
        </w:rPr>
        <w:t>厚粒径</w:t>
      </w:r>
      <w:r>
        <w:rPr>
          <w:color w:val="auto"/>
          <w:sz w:val="24"/>
          <w:highlight w:val="none"/>
        </w:rPr>
        <w:t>5-32</w:t>
      </w:r>
      <w:r>
        <w:rPr>
          <w:rFonts w:hAnsi="宋体"/>
          <w:color w:val="auto"/>
          <w:sz w:val="24"/>
          <w:highlight w:val="none"/>
        </w:rPr>
        <w:t>卵石灌</w:t>
      </w:r>
      <w:r>
        <w:rPr>
          <w:color w:val="auto"/>
          <w:sz w:val="24"/>
          <w:highlight w:val="none"/>
        </w:rPr>
        <w:t>M2.5</w:t>
      </w:r>
      <w:r>
        <w:rPr>
          <w:rFonts w:hAnsi="宋体"/>
          <w:color w:val="auto"/>
          <w:sz w:val="24"/>
          <w:highlight w:val="none"/>
        </w:rPr>
        <w:t>混合砂浆，宽出面层</w:t>
      </w:r>
      <w:r>
        <w:rPr>
          <w:color w:val="auto"/>
          <w:sz w:val="24"/>
          <w:highlight w:val="none"/>
        </w:rPr>
        <w:t>300</w:t>
      </w:r>
      <w:r>
        <w:rPr>
          <w:rFonts w:hAnsi="宋体"/>
          <w:color w:val="auto"/>
          <w:sz w:val="24"/>
          <w:highlight w:val="none"/>
        </w:rPr>
        <w:t>，素土夯实，参图集</w:t>
      </w:r>
      <w:r>
        <w:rPr>
          <w:color w:val="auto"/>
          <w:sz w:val="24"/>
          <w:highlight w:val="none"/>
        </w:rPr>
        <w:t>05J909  SW13/</w:t>
      </w:r>
      <w:r>
        <w:rPr>
          <w:rFonts w:hAnsi="宋体"/>
          <w:color w:val="auto"/>
          <w:sz w:val="24"/>
          <w:highlight w:val="none"/>
        </w:rPr>
        <w:t>坡</w:t>
      </w:r>
      <w:r>
        <w:rPr>
          <w:color w:val="auto"/>
          <w:sz w:val="24"/>
          <w:highlight w:val="none"/>
        </w:rPr>
        <w:t>4A</w:t>
      </w:r>
      <w:r>
        <w:rPr>
          <w:rFonts w:hAnsi="宋体"/>
          <w:color w:val="auto"/>
          <w:sz w:val="24"/>
          <w:highlight w:val="none"/>
        </w:rPr>
        <w:t>。</w:t>
      </w:r>
    </w:p>
    <w:p w14:paraId="2BBBFEC8">
      <w:pPr>
        <w:adjustRightInd w:val="0"/>
        <w:snapToGrid w:val="0"/>
        <w:spacing w:line="360" w:lineRule="auto"/>
        <w:ind w:firstLine="480" w:firstLineChars="200"/>
        <w:rPr>
          <w:color w:val="auto"/>
          <w:sz w:val="24"/>
          <w:highlight w:val="none"/>
        </w:rPr>
      </w:pPr>
      <w:r>
        <w:rPr>
          <w:rFonts w:hAnsi="宋体"/>
          <w:color w:val="auto"/>
          <w:sz w:val="24"/>
          <w:highlight w:val="none"/>
        </w:rPr>
        <w:t>（</w:t>
      </w:r>
      <w:r>
        <w:rPr>
          <w:color w:val="auto"/>
          <w:sz w:val="24"/>
          <w:highlight w:val="none"/>
        </w:rPr>
        <w:t>4</w:t>
      </w:r>
      <w:r>
        <w:rPr>
          <w:rFonts w:hAnsi="宋体"/>
          <w:color w:val="auto"/>
          <w:sz w:val="24"/>
          <w:highlight w:val="none"/>
        </w:rPr>
        <w:t>）平台栏杆：</w:t>
      </w:r>
      <w:r>
        <w:rPr>
          <w:rFonts w:hint="eastAsia" w:hAnsi="宋体"/>
          <w:color w:val="auto"/>
          <w:sz w:val="24"/>
          <w:highlight w:val="none"/>
        </w:rPr>
        <w:t>采用圆钢制作</w:t>
      </w:r>
      <w:r>
        <w:rPr>
          <w:rFonts w:hAnsi="宋体"/>
          <w:color w:val="auto"/>
          <w:sz w:val="24"/>
          <w:highlight w:val="none"/>
        </w:rPr>
        <w:t>。</w:t>
      </w:r>
    </w:p>
    <w:p w14:paraId="3BF53CCA">
      <w:pPr>
        <w:spacing w:line="360" w:lineRule="auto"/>
        <w:ind w:firstLine="480"/>
        <w:rPr>
          <w:rFonts w:ascii="宋体" w:hAnsi="宋体"/>
          <w:color w:val="auto"/>
          <w:sz w:val="24"/>
          <w:highlight w:val="none"/>
        </w:rPr>
      </w:pPr>
      <w:r>
        <w:rPr>
          <w:rFonts w:hint="eastAsia" w:ascii="宋体" w:hAnsi="宋体"/>
          <w:color w:val="auto"/>
          <w:sz w:val="24"/>
          <w:highlight w:val="none"/>
        </w:rPr>
        <w:t>（5）</w:t>
      </w:r>
      <w:r>
        <w:rPr>
          <w:rFonts w:ascii="宋体" w:hAnsi="宋体"/>
          <w:color w:val="auto"/>
          <w:sz w:val="24"/>
          <w:highlight w:val="none"/>
        </w:rPr>
        <w:t xml:space="preserve"> 其  他：</w:t>
      </w:r>
    </w:p>
    <w:p w14:paraId="319752FE">
      <w:pPr>
        <w:numPr>
          <w:ilvl w:val="0"/>
          <w:numId w:val="54"/>
        </w:numPr>
        <w:spacing w:line="360" w:lineRule="auto"/>
        <w:rPr>
          <w:rFonts w:ascii="宋体" w:hAnsi="宋体"/>
          <w:color w:val="auto"/>
          <w:sz w:val="24"/>
          <w:highlight w:val="none"/>
        </w:rPr>
      </w:pPr>
      <w:r>
        <w:rPr>
          <w:rFonts w:ascii="宋体" w:hAnsi="宋体"/>
          <w:color w:val="auto"/>
          <w:sz w:val="24"/>
          <w:highlight w:val="none"/>
        </w:rPr>
        <w:t>外露铁件</w:t>
      </w:r>
      <w:r>
        <w:rPr>
          <w:rFonts w:hint="eastAsia" w:ascii="宋体" w:hAnsi="宋体"/>
          <w:color w:val="auto"/>
          <w:sz w:val="24"/>
          <w:highlight w:val="none"/>
        </w:rPr>
        <w:t>、预</w:t>
      </w:r>
      <w:r>
        <w:rPr>
          <w:rFonts w:ascii="宋体" w:hAnsi="宋体"/>
          <w:color w:val="auto"/>
          <w:sz w:val="24"/>
          <w:highlight w:val="none"/>
        </w:rPr>
        <w:t>埋构件需作防腐处理。</w:t>
      </w:r>
    </w:p>
    <w:p w14:paraId="0737BFA5">
      <w:pPr>
        <w:spacing w:line="360" w:lineRule="auto"/>
        <w:ind w:firstLine="480"/>
        <w:rPr>
          <w:rFonts w:ascii="宋体" w:hAnsi="宋体"/>
          <w:b/>
          <w:bCs/>
          <w:color w:val="auto"/>
          <w:sz w:val="24"/>
          <w:highlight w:val="none"/>
        </w:rPr>
      </w:pPr>
      <w:r>
        <w:rPr>
          <w:rFonts w:ascii="宋体" w:hAnsi="宋体"/>
          <w:color w:val="auto"/>
          <w:sz w:val="24"/>
          <w:highlight w:val="none"/>
        </w:rPr>
        <w:t>B</w:t>
      </w:r>
      <w:r>
        <w:rPr>
          <w:rFonts w:hint="eastAsia" w:ascii="宋体" w:hAnsi="宋体"/>
          <w:color w:val="auto"/>
          <w:sz w:val="24"/>
          <w:highlight w:val="none"/>
        </w:rPr>
        <w:t>建、</w:t>
      </w:r>
      <w:r>
        <w:rPr>
          <w:rFonts w:hint="eastAsia" w:ascii="宋体" w:hAnsi="宋体"/>
          <w:b/>
          <w:bCs/>
          <w:color w:val="auto"/>
          <w:sz w:val="24"/>
          <w:highlight w:val="none"/>
        </w:rPr>
        <w:t>构筑物一览表</w:t>
      </w:r>
    </w:p>
    <w:p w14:paraId="1D8056A2">
      <w:pPr>
        <w:spacing w:line="360" w:lineRule="auto"/>
        <w:ind w:firstLine="480"/>
        <w:rPr>
          <w:rFonts w:ascii="宋体" w:hAnsi="宋体"/>
          <w:color w:val="auto"/>
          <w:sz w:val="24"/>
          <w:highlight w:val="none"/>
        </w:rPr>
      </w:pPr>
      <w:r>
        <w:rPr>
          <w:rFonts w:hint="eastAsia" w:ascii="宋体" w:hAnsi="宋体"/>
          <w:color w:val="auto"/>
          <w:sz w:val="24"/>
          <w:highlight w:val="none"/>
        </w:rPr>
        <w:t>主要建、构筑物的结构特征、建筑面积和生产类别见下表。</w:t>
      </w:r>
    </w:p>
    <w:tbl>
      <w:tblPr>
        <w:tblStyle w:val="19"/>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1665"/>
        <w:gridCol w:w="1087"/>
        <w:gridCol w:w="697"/>
        <w:gridCol w:w="697"/>
        <w:gridCol w:w="1284"/>
        <w:gridCol w:w="1345"/>
        <w:gridCol w:w="653"/>
        <w:gridCol w:w="631"/>
        <w:gridCol w:w="1155"/>
      </w:tblGrid>
      <w:tr w14:paraId="7DEB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0" w:hRule="atLeast"/>
          <w:tblHeader/>
        </w:trPr>
        <w:tc>
          <w:tcPr>
            <w:tcW w:w="542" w:type="dxa"/>
            <w:tcBorders>
              <w:top w:val="single" w:color="auto" w:sz="4" w:space="0"/>
              <w:left w:val="single" w:color="auto" w:sz="4" w:space="0"/>
              <w:bottom w:val="single" w:color="auto" w:sz="4" w:space="0"/>
              <w:right w:val="single" w:color="auto" w:sz="4" w:space="0"/>
            </w:tcBorders>
            <w:vAlign w:val="center"/>
          </w:tcPr>
          <w:p w14:paraId="4F50D9CB">
            <w:pPr>
              <w:spacing w:line="360" w:lineRule="auto"/>
              <w:rPr>
                <w:rFonts w:ascii="宋体" w:hAnsi="宋体"/>
                <w:color w:val="auto"/>
                <w:sz w:val="24"/>
                <w:highlight w:val="none"/>
              </w:rPr>
            </w:pPr>
            <w:r>
              <w:rPr>
                <w:rFonts w:hint="eastAsia" w:ascii="宋体" w:hAnsi="宋体"/>
                <w:color w:val="auto"/>
                <w:sz w:val="24"/>
                <w:highlight w:val="none"/>
              </w:rPr>
              <w:t>序号</w:t>
            </w:r>
          </w:p>
        </w:tc>
        <w:tc>
          <w:tcPr>
            <w:tcW w:w="1782" w:type="dxa"/>
            <w:tcBorders>
              <w:top w:val="single" w:color="auto" w:sz="4" w:space="0"/>
              <w:left w:val="single" w:color="auto" w:sz="4" w:space="0"/>
              <w:bottom w:val="single" w:color="auto" w:sz="4" w:space="0"/>
              <w:right w:val="single" w:color="auto" w:sz="4" w:space="0"/>
            </w:tcBorders>
            <w:vAlign w:val="center"/>
          </w:tcPr>
          <w:p w14:paraId="6883E5D3">
            <w:pPr>
              <w:spacing w:line="360" w:lineRule="auto"/>
              <w:rPr>
                <w:rFonts w:ascii="宋体" w:hAnsi="宋体"/>
                <w:color w:val="auto"/>
                <w:sz w:val="24"/>
                <w:highlight w:val="none"/>
              </w:rPr>
            </w:pPr>
            <w:r>
              <w:rPr>
                <w:rFonts w:hint="eastAsia" w:ascii="宋体" w:hAnsi="宋体"/>
                <w:color w:val="auto"/>
                <w:sz w:val="24"/>
                <w:highlight w:val="none"/>
              </w:rPr>
              <w:t>建、构筑物名称</w:t>
            </w:r>
          </w:p>
        </w:tc>
        <w:tc>
          <w:tcPr>
            <w:tcW w:w="1163" w:type="dxa"/>
            <w:tcBorders>
              <w:top w:val="single" w:color="auto" w:sz="4" w:space="0"/>
              <w:left w:val="single" w:color="auto" w:sz="4" w:space="0"/>
              <w:bottom w:val="single" w:color="auto" w:sz="4" w:space="0"/>
              <w:right w:val="single" w:color="auto" w:sz="4" w:space="0"/>
            </w:tcBorders>
            <w:vAlign w:val="center"/>
          </w:tcPr>
          <w:p w14:paraId="69381DB5">
            <w:pPr>
              <w:spacing w:line="360" w:lineRule="auto"/>
              <w:rPr>
                <w:rFonts w:ascii="宋体" w:hAnsi="宋体"/>
                <w:color w:val="auto"/>
                <w:sz w:val="24"/>
                <w:highlight w:val="none"/>
              </w:rPr>
            </w:pPr>
            <w:r>
              <w:rPr>
                <w:rFonts w:hint="eastAsia" w:ascii="宋体" w:hAnsi="宋体"/>
                <w:color w:val="auto"/>
                <w:sz w:val="24"/>
                <w:highlight w:val="none"/>
              </w:rPr>
              <w:t>结构特征</w:t>
            </w:r>
          </w:p>
        </w:tc>
        <w:tc>
          <w:tcPr>
            <w:tcW w:w="726" w:type="dxa"/>
            <w:tcBorders>
              <w:top w:val="single" w:color="auto" w:sz="4" w:space="0"/>
              <w:left w:val="single" w:color="auto" w:sz="4" w:space="0"/>
              <w:bottom w:val="single" w:color="auto" w:sz="4" w:space="0"/>
              <w:right w:val="single" w:color="auto" w:sz="4" w:space="0"/>
            </w:tcBorders>
            <w:vAlign w:val="center"/>
          </w:tcPr>
          <w:p w14:paraId="5F36E83D">
            <w:pPr>
              <w:spacing w:line="360" w:lineRule="auto"/>
              <w:rPr>
                <w:rFonts w:ascii="宋体" w:hAnsi="宋体"/>
                <w:color w:val="auto"/>
                <w:sz w:val="24"/>
                <w:highlight w:val="none"/>
              </w:rPr>
            </w:pPr>
            <w:r>
              <w:rPr>
                <w:rFonts w:hint="eastAsia" w:ascii="宋体" w:hAnsi="宋体"/>
                <w:color w:val="auto"/>
                <w:sz w:val="24"/>
                <w:highlight w:val="none"/>
              </w:rPr>
              <w:t>层数</w:t>
            </w:r>
          </w:p>
        </w:tc>
        <w:tc>
          <w:tcPr>
            <w:tcW w:w="726" w:type="dxa"/>
            <w:tcBorders>
              <w:top w:val="single" w:color="auto" w:sz="4" w:space="0"/>
              <w:left w:val="single" w:color="auto" w:sz="4" w:space="0"/>
              <w:bottom w:val="single" w:color="auto" w:sz="4" w:space="0"/>
              <w:right w:val="single" w:color="auto" w:sz="4" w:space="0"/>
            </w:tcBorders>
            <w:vAlign w:val="center"/>
          </w:tcPr>
          <w:p w14:paraId="15AF648B">
            <w:pPr>
              <w:spacing w:line="360" w:lineRule="auto"/>
              <w:rPr>
                <w:rFonts w:ascii="宋体" w:hAnsi="宋体"/>
                <w:color w:val="auto"/>
                <w:sz w:val="24"/>
                <w:highlight w:val="none"/>
              </w:rPr>
            </w:pPr>
            <w:r>
              <w:rPr>
                <w:rFonts w:hint="eastAsia" w:ascii="宋体" w:hAnsi="宋体"/>
                <w:color w:val="auto"/>
                <w:sz w:val="24"/>
                <w:highlight w:val="none"/>
              </w:rPr>
              <w:t>建筑高度m</w:t>
            </w:r>
          </w:p>
        </w:tc>
        <w:tc>
          <w:tcPr>
            <w:tcW w:w="1384" w:type="dxa"/>
            <w:tcBorders>
              <w:top w:val="single" w:color="auto" w:sz="4" w:space="0"/>
              <w:left w:val="single" w:color="auto" w:sz="4" w:space="0"/>
              <w:bottom w:val="single" w:color="auto" w:sz="4" w:space="0"/>
              <w:right w:val="single" w:color="auto" w:sz="4" w:space="0"/>
            </w:tcBorders>
            <w:vAlign w:val="center"/>
          </w:tcPr>
          <w:p w14:paraId="08C4A33E">
            <w:pPr>
              <w:spacing w:line="360" w:lineRule="auto"/>
              <w:rPr>
                <w:rFonts w:ascii="宋体" w:hAnsi="宋体"/>
                <w:color w:val="auto"/>
                <w:sz w:val="24"/>
                <w:highlight w:val="none"/>
              </w:rPr>
            </w:pPr>
            <w:r>
              <w:rPr>
                <w:rFonts w:hint="eastAsia" w:ascii="宋体" w:hAnsi="宋体"/>
                <w:color w:val="auto"/>
                <w:sz w:val="24"/>
                <w:highlight w:val="none"/>
              </w:rPr>
              <w:t>占地面积㎡</w:t>
            </w:r>
          </w:p>
        </w:tc>
        <w:tc>
          <w:tcPr>
            <w:tcW w:w="1453" w:type="dxa"/>
            <w:tcBorders>
              <w:top w:val="single" w:color="auto" w:sz="4" w:space="0"/>
              <w:left w:val="single" w:color="auto" w:sz="4" w:space="0"/>
              <w:bottom w:val="single" w:color="auto" w:sz="4" w:space="0"/>
              <w:right w:val="single" w:color="auto" w:sz="4" w:space="0"/>
            </w:tcBorders>
            <w:vAlign w:val="center"/>
          </w:tcPr>
          <w:p w14:paraId="09CFD863">
            <w:pPr>
              <w:spacing w:line="360" w:lineRule="auto"/>
              <w:rPr>
                <w:rFonts w:ascii="宋体" w:hAnsi="宋体"/>
                <w:color w:val="auto"/>
                <w:sz w:val="24"/>
                <w:highlight w:val="none"/>
              </w:rPr>
            </w:pPr>
            <w:r>
              <w:rPr>
                <w:rFonts w:hint="eastAsia" w:ascii="宋体" w:hAnsi="宋体"/>
                <w:color w:val="auto"/>
                <w:sz w:val="24"/>
                <w:highlight w:val="none"/>
              </w:rPr>
              <w:t>建筑面积㎡</w:t>
            </w:r>
          </w:p>
        </w:tc>
        <w:tc>
          <w:tcPr>
            <w:tcW w:w="677" w:type="dxa"/>
            <w:tcBorders>
              <w:top w:val="single" w:color="auto" w:sz="4" w:space="0"/>
              <w:left w:val="single" w:color="auto" w:sz="4" w:space="0"/>
              <w:bottom w:val="single" w:color="auto" w:sz="4" w:space="0"/>
              <w:right w:val="single" w:color="auto" w:sz="4" w:space="0"/>
            </w:tcBorders>
            <w:vAlign w:val="center"/>
          </w:tcPr>
          <w:p w14:paraId="39139244">
            <w:pPr>
              <w:spacing w:line="360" w:lineRule="auto"/>
              <w:rPr>
                <w:rFonts w:ascii="宋体" w:hAnsi="宋体"/>
                <w:color w:val="auto"/>
                <w:sz w:val="24"/>
                <w:highlight w:val="none"/>
              </w:rPr>
            </w:pPr>
            <w:r>
              <w:rPr>
                <w:rFonts w:hint="eastAsia" w:ascii="宋体" w:hAnsi="宋体"/>
                <w:color w:val="auto"/>
                <w:sz w:val="24"/>
                <w:highlight w:val="none"/>
              </w:rPr>
              <w:t>生产类别</w:t>
            </w:r>
          </w:p>
        </w:tc>
        <w:tc>
          <w:tcPr>
            <w:tcW w:w="652" w:type="dxa"/>
            <w:tcBorders>
              <w:top w:val="single" w:color="auto" w:sz="4" w:space="0"/>
              <w:left w:val="single" w:color="auto" w:sz="4" w:space="0"/>
              <w:bottom w:val="single" w:color="auto" w:sz="4" w:space="0"/>
              <w:right w:val="single" w:color="auto" w:sz="4" w:space="0"/>
            </w:tcBorders>
            <w:vAlign w:val="center"/>
          </w:tcPr>
          <w:p w14:paraId="7F00C4E7">
            <w:pPr>
              <w:spacing w:line="360" w:lineRule="auto"/>
              <w:rPr>
                <w:rFonts w:ascii="宋体" w:hAnsi="宋体"/>
                <w:color w:val="auto"/>
                <w:sz w:val="24"/>
                <w:highlight w:val="none"/>
              </w:rPr>
            </w:pPr>
            <w:r>
              <w:rPr>
                <w:rFonts w:hint="eastAsia" w:ascii="宋体" w:hAnsi="宋体"/>
                <w:color w:val="auto"/>
                <w:sz w:val="24"/>
                <w:highlight w:val="none"/>
              </w:rPr>
              <w:t>耐火等级</w:t>
            </w:r>
          </w:p>
        </w:tc>
        <w:tc>
          <w:tcPr>
            <w:tcW w:w="1240" w:type="dxa"/>
            <w:tcBorders>
              <w:top w:val="single" w:color="auto" w:sz="4" w:space="0"/>
              <w:left w:val="single" w:color="auto" w:sz="4" w:space="0"/>
              <w:bottom w:val="single" w:color="auto" w:sz="4" w:space="0"/>
              <w:right w:val="single" w:color="auto" w:sz="4" w:space="0"/>
            </w:tcBorders>
            <w:vAlign w:val="center"/>
          </w:tcPr>
          <w:p w14:paraId="746766F9">
            <w:pPr>
              <w:spacing w:line="360" w:lineRule="auto"/>
              <w:jc w:val="center"/>
              <w:rPr>
                <w:rFonts w:ascii="宋体" w:hAnsi="宋体"/>
                <w:color w:val="auto"/>
                <w:sz w:val="24"/>
                <w:highlight w:val="none"/>
              </w:rPr>
            </w:pPr>
            <w:r>
              <w:rPr>
                <w:rFonts w:hint="eastAsia" w:ascii="宋体" w:hAnsi="宋体"/>
                <w:color w:val="auto"/>
                <w:sz w:val="24"/>
                <w:highlight w:val="none"/>
              </w:rPr>
              <w:t>备注</w:t>
            </w:r>
          </w:p>
        </w:tc>
      </w:tr>
      <w:tr w14:paraId="37171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5" w:hRule="atLeast"/>
        </w:trPr>
        <w:tc>
          <w:tcPr>
            <w:tcW w:w="542" w:type="dxa"/>
            <w:tcBorders>
              <w:top w:val="single" w:color="auto" w:sz="4" w:space="0"/>
              <w:left w:val="single" w:color="auto" w:sz="4" w:space="0"/>
              <w:bottom w:val="single" w:color="auto" w:sz="4" w:space="0"/>
              <w:right w:val="single" w:color="auto" w:sz="4" w:space="0"/>
            </w:tcBorders>
            <w:vAlign w:val="center"/>
          </w:tcPr>
          <w:p w14:paraId="69B8B44B">
            <w:pPr>
              <w:spacing w:line="360" w:lineRule="auto"/>
              <w:jc w:val="center"/>
              <w:rPr>
                <w:rFonts w:ascii="宋体" w:hAnsi="宋体"/>
                <w:color w:val="auto"/>
                <w:sz w:val="24"/>
                <w:highlight w:val="none"/>
              </w:rPr>
            </w:pPr>
            <w:r>
              <w:rPr>
                <w:rFonts w:ascii="宋体" w:hAnsi="宋体"/>
                <w:color w:val="auto"/>
                <w:sz w:val="24"/>
                <w:highlight w:val="none"/>
              </w:rPr>
              <w:t>1</w:t>
            </w:r>
          </w:p>
        </w:tc>
        <w:tc>
          <w:tcPr>
            <w:tcW w:w="1782" w:type="dxa"/>
            <w:tcBorders>
              <w:top w:val="single" w:color="auto" w:sz="4" w:space="0"/>
              <w:left w:val="single" w:color="auto" w:sz="4" w:space="0"/>
              <w:bottom w:val="single" w:color="auto" w:sz="4" w:space="0"/>
              <w:right w:val="single" w:color="auto" w:sz="4" w:space="0"/>
            </w:tcBorders>
            <w:vAlign w:val="center"/>
          </w:tcPr>
          <w:p w14:paraId="518F1D5D">
            <w:pPr>
              <w:spacing w:line="360" w:lineRule="auto"/>
              <w:rPr>
                <w:rFonts w:ascii="宋体" w:hAnsi="宋体"/>
                <w:color w:val="auto"/>
                <w:sz w:val="24"/>
                <w:highlight w:val="none"/>
              </w:rPr>
            </w:pPr>
            <w:r>
              <w:rPr>
                <w:rFonts w:hint="eastAsia" w:ascii="宋体" w:hAnsi="宋体"/>
                <w:color w:val="auto"/>
                <w:sz w:val="24"/>
                <w:highlight w:val="none"/>
              </w:rPr>
              <w:t>压缩机</w:t>
            </w:r>
            <w:r>
              <w:rPr>
                <w:rFonts w:ascii="宋体" w:hAnsi="宋体"/>
                <w:color w:val="auto"/>
                <w:sz w:val="24"/>
                <w:highlight w:val="none"/>
              </w:rPr>
              <w:t>厂房</w:t>
            </w:r>
          </w:p>
        </w:tc>
        <w:tc>
          <w:tcPr>
            <w:tcW w:w="1163" w:type="dxa"/>
            <w:tcBorders>
              <w:top w:val="single" w:color="auto" w:sz="4" w:space="0"/>
              <w:left w:val="single" w:color="auto" w:sz="4" w:space="0"/>
              <w:right w:val="single" w:color="auto" w:sz="4" w:space="0"/>
            </w:tcBorders>
            <w:vAlign w:val="center"/>
          </w:tcPr>
          <w:p w14:paraId="3476D604">
            <w:pPr>
              <w:spacing w:line="360" w:lineRule="auto"/>
              <w:rPr>
                <w:rFonts w:ascii="宋体" w:hAnsi="宋体"/>
                <w:color w:val="auto"/>
                <w:sz w:val="24"/>
                <w:highlight w:val="none"/>
              </w:rPr>
            </w:pPr>
            <w:r>
              <w:rPr>
                <w:rFonts w:hint="eastAsia" w:ascii="宋体" w:hAnsi="宋体"/>
                <w:color w:val="auto"/>
                <w:sz w:val="24"/>
                <w:highlight w:val="none"/>
              </w:rPr>
              <w:t>钢筋混凝土结构</w:t>
            </w:r>
          </w:p>
        </w:tc>
        <w:tc>
          <w:tcPr>
            <w:tcW w:w="726" w:type="dxa"/>
            <w:tcBorders>
              <w:top w:val="single" w:color="auto" w:sz="4" w:space="0"/>
              <w:left w:val="single" w:color="auto" w:sz="4" w:space="0"/>
              <w:right w:val="single" w:color="auto" w:sz="4" w:space="0"/>
            </w:tcBorders>
            <w:vAlign w:val="center"/>
          </w:tcPr>
          <w:p w14:paraId="452D2A15">
            <w:pPr>
              <w:spacing w:line="360" w:lineRule="auto"/>
              <w:jc w:val="center"/>
              <w:rPr>
                <w:rFonts w:ascii="宋体" w:hAnsi="宋体"/>
                <w:color w:val="auto"/>
                <w:sz w:val="24"/>
                <w:highlight w:val="none"/>
              </w:rPr>
            </w:pPr>
            <w:r>
              <w:rPr>
                <w:rFonts w:ascii="宋体" w:hAnsi="宋体"/>
                <w:color w:val="auto"/>
                <w:sz w:val="24"/>
                <w:highlight w:val="none"/>
              </w:rPr>
              <w:t>1</w:t>
            </w:r>
          </w:p>
        </w:tc>
        <w:tc>
          <w:tcPr>
            <w:tcW w:w="726" w:type="dxa"/>
            <w:tcBorders>
              <w:top w:val="single" w:color="auto" w:sz="4" w:space="0"/>
              <w:left w:val="single" w:color="auto" w:sz="4" w:space="0"/>
              <w:right w:val="single" w:color="auto" w:sz="4" w:space="0"/>
            </w:tcBorders>
            <w:vAlign w:val="center"/>
          </w:tcPr>
          <w:p w14:paraId="6B09CE26">
            <w:pPr>
              <w:spacing w:line="360" w:lineRule="auto"/>
              <w:rPr>
                <w:rFonts w:ascii="宋体" w:hAnsi="宋体"/>
                <w:color w:val="auto"/>
                <w:sz w:val="24"/>
                <w:highlight w:val="none"/>
              </w:rPr>
            </w:pPr>
          </w:p>
        </w:tc>
        <w:tc>
          <w:tcPr>
            <w:tcW w:w="1384" w:type="dxa"/>
            <w:tcBorders>
              <w:top w:val="single" w:color="auto" w:sz="4" w:space="0"/>
              <w:left w:val="single" w:color="auto" w:sz="4" w:space="0"/>
              <w:right w:val="single" w:color="auto" w:sz="4" w:space="0"/>
            </w:tcBorders>
            <w:vAlign w:val="center"/>
          </w:tcPr>
          <w:p w14:paraId="66DD02F7">
            <w:pPr>
              <w:spacing w:line="360" w:lineRule="auto"/>
              <w:ind w:firstLine="480"/>
              <w:rPr>
                <w:rFonts w:ascii="宋体" w:hAnsi="宋体"/>
                <w:color w:val="auto"/>
                <w:sz w:val="24"/>
                <w:highlight w:val="none"/>
              </w:rPr>
            </w:pPr>
          </w:p>
        </w:tc>
        <w:tc>
          <w:tcPr>
            <w:tcW w:w="1453" w:type="dxa"/>
            <w:tcBorders>
              <w:top w:val="single" w:color="auto" w:sz="4" w:space="0"/>
              <w:left w:val="single" w:color="auto" w:sz="4" w:space="0"/>
              <w:right w:val="single" w:color="auto" w:sz="4" w:space="0"/>
            </w:tcBorders>
            <w:vAlign w:val="center"/>
          </w:tcPr>
          <w:p w14:paraId="1EF42BF3">
            <w:pPr>
              <w:spacing w:line="360" w:lineRule="auto"/>
              <w:ind w:firstLine="480"/>
              <w:rPr>
                <w:rFonts w:ascii="宋体" w:hAnsi="宋体"/>
                <w:color w:val="auto"/>
                <w:sz w:val="24"/>
                <w:highlight w:val="none"/>
              </w:rPr>
            </w:pPr>
          </w:p>
        </w:tc>
        <w:tc>
          <w:tcPr>
            <w:tcW w:w="677" w:type="dxa"/>
            <w:tcBorders>
              <w:top w:val="single" w:color="auto" w:sz="4" w:space="0"/>
              <w:left w:val="single" w:color="auto" w:sz="4" w:space="0"/>
              <w:right w:val="single" w:color="auto" w:sz="4" w:space="0"/>
            </w:tcBorders>
            <w:vAlign w:val="center"/>
          </w:tcPr>
          <w:p w14:paraId="3CFA4F0D">
            <w:pPr>
              <w:spacing w:line="360" w:lineRule="auto"/>
              <w:rPr>
                <w:rFonts w:ascii="宋体" w:hAnsi="宋体"/>
                <w:color w:val="auto"/>
                <w:sz w:val="24"/>
                <w:highlight w:val="none"/>
              </w:rPr>
            </w:pPr>
            <w:r>
              <w:rPr>
                <w:rFonts w:hint="eastAsia" w:ascii="宋体" w:hAnsi="宋体"/>
                <w:color w:val="auto"/>
                <w:sz w:val="24"/>
                <w:highlight w:val="none"/>
              </w:rPr>
              <w:t>戊类</w:t>
            </w:r>
          </w:p>
        </w:tc>
        <w:tc>
          <w:tcPr>
            <w:tcW w:w="652" w:type="dxa"/>
            <w:tcBorders>
              <w:top w:val="single" w:color="auto" w:sz="4" w:space="0"/>
              <w:left w:val="single" w:color="auto" w:sz="4" w:space="0"/>
              <w:right w:val="single" w:color="auto" w:sz="4" w:space="0"/>
            </w:tcBorders>
            <w:vAlign w:val="center"/>
          </w:tcPr>
          <w:p w14:paraId="2C6E0EF2">
            <w:pPr>
              <w:spacing w:line="360" w:lineRule="auto"/>
              <w:rPr>
                <w:rFonts w:ascii="宋体" w:hAnsi="宋体"/>
                <w:color w:val="auto"/>
                <w:sz w:val="24"/>
                <w:highlight w:val="none"/>
              </w:rPr>
            </w:pPr>
            <w:r>
              <w:rPr>
                <w:rFonts w:hint="eastAsia" w:ascii="宋体" w:hAnsi="宋体"/>
                <w:color w:val="auto"/>
                <w:sz w:val="24"/>
                <w:highlight w:val="none"/>
              </w:rPr>
              <w:t>二级</w:t>
            </w:r>
          </w:p>
        </w:tc>
        <w:tc>
          <w:tcPr>
            <w:tcW w:w="1240" w:type="dxa"/>
            <w:tcBorders>
              <w:top w:val="single" w:color="auto" w:sz="4" w:space="0"/>
              <w:left w:val="single" w:color="auto" w:sz="4" w:space="0"/>
              <w:right w:val="single" w:color="auto" w:sz="4" w:space="0"/>
            </w:tcBorders>
            <w:vAlign w:val="center"/>
          </w:tcPr>
          <w:p w14:paraId="2F4CF496">
            <w:pPr>
              <w:spacing w:line="360" w:lineRule="auto"/>
              <w:jc w:val="center"/>
              <w:rPr>
                <w:rFonts w:ascii="宋体" w:hAnsi="宋体"/>
                <w:color w:val="auto"/>
                <w:sz w:val="24"/>
                <w:highlight w:val="none"/>
              </w:rPr>
            </w:pPr>
            <w:r>
              <w:rPr>
                <w:rFonts w:hint="eastAsia" w:ascii="宋体" w:hAnsi="宋体"/>
                <w:color w:val="auto"/>
                <w:sz w:val="24"/>
                <w:highlight w:val="none"/>
              </w:rPr>
              <w:t>改建或新建</w:t>
            </w:r>
          </w:p>
        </w:tc>
      </w:tr>
    </w:tbl>
    <w:p w14:paraId="5B8082A3">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ascii="宋体" w:hAnsi="宋体"/>
          <w:b/>
          <w:color w:val="auto"/>
          <w:sz w:val="24"/>
          <w:highlight w:val="none"/>
        </w:rPr>
        <w:t>结构设计</w:t>
      </w:r>
    </w:p>
    <w:p w14:paraId="19FAC293">
      <w:pPr>
        <w:adjustRightInd w:val="0"/>
        <w:snapToGrid w:val="0"/>
        <w:spacing w:line="360" w:lineRule="auto"/>
        <w:ind w:firstLine="480" w:firstLineChars="200"/>
        <w:rPr>
          <w:rFonts w:hAnsi="宋体"/>
          <w:color w:val="auto"/>
          <w:sz w:val="24"/>
          <w:highlight w:val="none"/>
        </w:rPr>
      </w:pPr>
      <w:r>
        <w:rPr>
          <w:rFonts w:hAnsi="宋体"/>
          <w:color w:val="auto"/>
          <w:sz w:val="24"/>
          <w:highlight w:val="none"/>
        </w:rPr>
        <w:t>承包人应负责完成其工作范围内的全部结构设计计算、材质技术规格说明、施工指导文件、设计说明和施工详图的设计，并负责组织施工。</w:t>
      </w:r>
    </w:p>
    <w:p w14:paraId="2475598F">
      <w:pPr>
        <w:adjustRightInd w:val="0"/>
        <w:snapToGrid w:val="0"/>
        <w:spacing w:line="360" w:lineRule="auto"/>
        <w:ind w:firstLine="482" w:firstLineChars="200"/>
        <w:rPr>
          <w:rFonts w:hAnsi="宋体"/>
          <w:b/>
          <w:bCs/>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hAnsi="宋体"/>
          <w:b/>
          <w:bCs/>
          <w:color w:val="auto"/>
          <w:sz w:val="24"/>
          <w:highlight w:val="none"/>
        </w:rPr>
        <w:t>.1设计依据</w:t>
      </w:r>
    </w:p>
    <w:p w14:paraId="21DBBD4F">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1．本工程采用的主要规范：</w:t>
      </w:r>
    </w:p>
    <w:p w14:paraId="3A189F46">
      <w:pPr>
        <w:autoSpaceDE w:val="0"/>
        <w:autoSpaceDN w:val="0"/>
        <w:adjustRightInd w:val="0"/>
        <w:snapToGrid w:val="0"/>
        <w:spacing w:line="360" w:lineRule="auto"/>
        <w:jc w:val="left"/>
        <w:rPr>
          <w:rFonts w:hAnsi="宋体"/>
          <w:color w:val="auto"/>
          <w:sz w:val="24"/>
          <w:highlight w:val="none"/>
        </w:rPr>
      </w:pPr>
      <w:r>
        <w:rPr>
          <w:rFonts w:hint="eastAsia" w:ascii="宋体" w:hAnsi="宋体"/>
          <w:color w:val="auto"/>
          <w:sz w:val="24"/>
          <w:highlight w:val="none"/>
        </w:rPr>
        <w:t>（</w:t>
      </w:r>
      <w:r>
        <w:rPr>
          <w:rFonts w:hAnsi="宋体"/>
          <w:color w:val="auto"/>
          <w:sz w:val="24"/>
          <w:highlight w:val="none"/>
        </w:rPr>
        <w:t>1</w:t>
      </w:r>
      <w:r>
        <w:rPr>
          <w:rFonts w:hint="eastAsia" w:hAnsi="宋体"/>
          <w:color w:val="auto"/>
          <w:sz w:val="24"/>
          <w:highlight w:val="none"/>
        </w:rPr>
        <w:t>）《建筑设计防火规范》（</w:t>
      </w:r>
      <w:r>
        <w:rPr>
          <w:rFonts w:hAnsi="宋体"/>
          <w:color w:val="auto"/>
          <w:sz w:val="24"/>
          <w:highlight w:val="none"/>
        </w:rPr>
        <w:t>GB50016-2014</w:t>
      </w:r>
      <w:r>
        <w:rPr>
          <w:rFonts w:hint="eastAsia" w:hAnsi="宋体"/>
          <w:color w:val="auto"/>
          <w:sz w:val="24"/>
          <w:highlight w:val="none"/>
        </w:rPr>
        <w:t>）(2018年版)</w:t>
      </w:r>
    </w:p>
    <w:p w14:paraId="7F4756D5">
      <w:pPr>
        <w:autoSpaceDE w:val="0"/>
        <w:autoSpaceDN w:val="0"/>
        <w:adjustRightInd w:val="0"/>
        <w:snapToGrid w:val="0"/>
        <w:spacing w:line="360" w:lineRule="auto"/>
        <w:jc w:val="left"/>
        <w:outlineLvl w:val="0"/>
        <w:rPr>
          <w:rFonts w:hAnsi="宋体"/>
          <w:color w:val="auto"/>
          <w:sz w:val="24"/>
          <w:highlight w:val="none"/>
        </w:rPr>
      </w:pPr>
      <w:r>
        <w:rPr>
          <w:rFonts w:hint="eastAsia" w:hAnsi="宋体"/>
          <w:color w:val="auto"/>
          <w:sz w:val="24"/>
          <w:highlight w:val="none"/>
        </w:rPr>
        <w:t>（</w:t>
      </w:r>
      <w:r>
        <w:rPr>
          <w:rFonts w:hAnsi="宋体"/>
          <w:color w:val="auto"/>
          <w:sz w:val="24"/>
          <w:highlight w:val="none"/>
        </w:rPr>
        <w:t>2</w:t>
      </w:r>
      <w:r>
        <w:rPr>
          <w:rFonts w:hint="eastAsia" w:hAnsi="宋体"/>
          <w:color w:val="auto"/>
          <w:sz w:val="24"/>
          <w:highlight w:val="none"/>
        </w:rPr>
        <w:t>）《石油化工企业设计防火标准》（GB50160-2008）（2018年版）</w:t>
      </w:r>
    </w:p>
    <w:p w14:paraId="5FF768C2">
      <w:pPr>
        <w:autoSpaceDE w:val="0"/>
        <w:autoSpaceDN w:val="0"/>
        <w:adjustRightInd w:val="0"/>
        <w:snapToGrid w:val="0"/>
        <w:spacing w:line="360" w:lineRule="auto"/>
        <w:jc w:val="left"/>
        <w:rPr>
          <w:rFonts w:hAnsi="宋体"/>
          <w:color w:val="auto"/>
          <w:sz w:val="24"/>
          <w:highlight w:val="none"/>
        </w:rPr>
      </w:pPr>
      <w:r>
        <w:rPr>
          <w:rFonts w:hint="eastAsia" w:hAnsi="宋体"/>
          <w:color w:val="auto"/>
          <w:sz w:val="24"/>
          <w:highlight w:val="none"/>
        </w:rPr>
        <w:t>（</w:t>
      </w:r>
      <w:r>
        <w:rPr>
          <w:rFonts w:hAnsi="宋体"/>
          <w:color w:val="auto"/>
          <w:sz w:val="24"/>
          <w:highlight w:val="none"/>
        </w:rPr>
        <w:t>3</w:t>
      </w:r>
      <w:r>
        <w:rPr>
          <w:rFonts w:hint="eastAsia" w:hAnsi="宋体"/>
          <w:color w:val="auto"/>
          <w:sz w:val="24"/>
          <w:highlight w:val="none"/>
        </w:rPr>
        <w:t>）《建筑结构荷载规范》（</w:t>
      </w:r>
      <w:r>
        <w:rPr>
          <w:rFonts w:hAnsi="宋体"/>
          <w:color w:val="auto"/>
          <w:sz w:val="24"/>
          <w:highlight w:val="none"/>
        </w:rPr>
        <w:t>GB50009-201</w:t>
      </w:r>
      <w:r>
        <w:rPr>
          <w:rFonts w:hint="eastAsia" w:hAnsi="宋体"/>
          <w:color w:val="auto"/>
          <w:sz w:val="24"/>
          <w:highlight w:val="none"/>
        </w:rPr>
        <w:t>2）</w:t>
      </w:r>
    </w:p>
    <w:p w14:paraId="089813C6">
      <w:pPr>
        <w:autoSpaceDE w:val="0"/>
        <w:autoSpaceDN w:val="0"/>
        <w:adjustRightInd w:val="0"/>
        <w:snapToGrid w:val="0"/>
        <w:spacing w:line="360" w:lineRule="auto"/>
        <w:jc w:val="left"/>
        <w:rPr>
          <w:rFonts w:hAnsi="宋体"/>
          <w:color w:val="auto"/>
          <w:sz w:val="24"/>
          <w:highlight w:val="none"/>
        </w:rPr>
      </w:pPr>
      <w:r>
        <w:rPr>
          <w:rFonts w:hint="eastAsia" w:hAnsi="宋体"/>
          <w:color w:val="auto"/>
          <w:sz w:val="24"/>
          <w:highlight w:val="none"/>
        </w:rPr>
        <w:t>（</w:t>
      </w:r>
      <w:r>
        <w:rPr>
          <w:rFonts w:hAnsi="宋体"/>
          <w:color w:val="auto"/>
          <w:sz w:val="24"/>
          <w:highlight w:val="none"/>
        </w:rPr>
        <w:t>4</w:t>
      </w:r>
      <w:r>
        <w:rPr>
          <w:rFonts w:hint="eastAsia" w:hAnsi="宋体"/>
          <w:color w:val="auto"/>
          <w:sz w:val="24"/>
          <w:highlight w:val="none"/>
        </w:rPr>
        <w:t>）《混凝土结构设计规范》（</w:t>
      </w:r>
      <w:r>
        <w:rPr>
          <w:rFonts w:hAnsi="宋体"/>
          <w:color w:val="auto"/>
          <w:sz w:val="24"/>
          <w:highlight w:val="none"/>
        </w:rPr>
        <w:t>GB50010-20</w:t>
      </w:r>
      <w:r>
        <w:rPr>
          <w:rFonts w:hint="eastAsia" w:hAnsi="宋体"/>
          <w:color w:val="auto"/>
          <w:sz w:val="24"/>
          <w:highlight w:val="none"/>
        </w:rPr>
        <w:t>10）(2015年版)</w:t>
      </w:r>
    </w:p>
    <w:p w14:paraId="6F1C29A4">
      <w:pPr>
        <w:autoSpaceDE w:val="0"/>
        <w:autoSpaceDN w:val="0"/>
        <w:adjustRightInd w:val="0"/>
        <w:snapToGrid w:val="0"/>
        <w:spacing w:line="360" w:lineRule="auto"/>
        <w:jc w:val="left"/>
        <w:rPr>
          <w:rFonts w:hAnsi="宋体"/>
          <w:color w:val="auto"/>
          <w:sz w:val="24"/>
          <w:highlight w:val="none"/>
        </w:rPr>
      </w:pPr>
      <w:r>
        <w:rPr>
          <w:rFonts w:hint="eastAsia" w:hAnsi="宋体"/>
          <w:color w:val="auto"/>
          <w:sz w:val="24"/>
          <w:highlight w:val="none"/>
        </w:rPr>
        <w:t>（</w:t>
      </w:r>
      <w:r>
        <w:rPr>
          <w:rFonts w:hAnsi="宋体"/>
          <w:color w:val="auto"/>
          <w:sz w:val="24"/>
          <w:highlight w:val="none"/>
        </w:rPr>
        <w:t>5</w:t>
      </w:r>
      <w:r>
        <w:rPr>
          <w:rFonts w:hint="eastAsia" w:hAnsi="宋体"/>
          <w:color w:val="auto"/>
          <w:sz w:val="24"/>
          <w:highlight w:val="none"/>
        </w:rPr>
        <w:t>）《建筑地基基础设计规范》（</w:t>
      </w:r>
      <w:r>
        <w:rPr>
          <w:rFonts w:hAnsi="宋体"/>
          <w:color w:val="auto"/>
          <w:sz w:val="24"/>
          <w:highlight w:val="none"/>
        </w:rPr>
        <w:t>GB50007-20</w:t>
      </w:r>
      <w:r>
        <w:rPr>
          <w:rFonts w:hint="eastAsia" w:hAnsi="宋体"/>
          <w:color w:val="auto"/>
          <w:sz w:val="24"/>
          <w:highlight w:val="none"/>
        </w:rPr>
        <w:t>11）</w:t>
      </w:r>
    </w:p>
    <w:p w14:paraId="55F845C5">
      <w:pPr>
        <w:autoSpaceDE w:val="0"/>
        <w:autoSpaceDN w:val="0"/>
        <w:adjustRightInd w:val="0"/>
        <w:snapToGrid w:val="0"/>
        <w:spacing w:line="360" w:lineRule="auto"/>
        <w:jc w:val="left"/>
        <w:rPr>
          <w:rFonts w:hAnsi="宋体"/>
          <w:color w:val="auto"/>
          <w:sz w:val="24"/>
          <w:highlight w:val="none"/>
        </w:rPr>
      </w:pPr>
      <w:r>
        <w:rPr>
          <w:rFonts w:hint="eastAsia" w:hAnsi="宋体"/>
          <w:color w:val="auto"/>
          <w:sz w:val="24"/>
          <w:highlight w:val="none"/>
        </w:rPr>
        <w:t>（</w:t>
      </w:r>
      <w:r>
        <w:rPr>
          <w:rFonts w:hAnsi="宋体"/>
          <w:color w:val="auto"/>
          <w:sz w:val="24"/>
          <w:highlight w:val="none"/>
        </w:rPr>
        <w:t>6</w:t>
      </w:r>
      <w:r>
        <w:rPr>
          <w:rFonts w:hint="eastAsia" w:hAnsi="宋体"/>
          <w:color w:val="auto"/>
          <w:sz w:val="24"/>
          <w:highlight w:val="none"/>
        </w:rPr>
        <w:t>）《钢结构设计标准》（</w:t>
      </w:r>
      <w:r>
        <w:rPr>
          <w:rFonts w:hAnsi="宋体"/>
          <w:color w:val="auto"/>
          <w:sz w:val="24"/>
          <w:highlight w:val="none"/>
        </w:rPr>
        <w:t>GB50017-20</w:t>
      </w:r>
      <w:r>
        <w:rPr>
          <w:rFonts w:hint="eastAsia" w:hAnsi="宋体"/>
          <w:color w:val="auto"/>
          <w:sz w:val="24"/>
          <w:highlight w:val="none"/>
        </w:rPr>
        <w:t>17）</w:t>
      </w:r>
    </w:p>
    <w:p w14:paraId="774F7BB2">
      <w:pPr>
        <w:autoSpaceDE w:val="0"/>
        <w:autoSpaceDN w:val="0"/>
        <w:adjustRightInd w:val="0"/>
        <w:snapToGrid w:val="0"/>
        <w:spacing w:line="360" w:lineRule="auto"/>
        <w:jc w:val="left"/>
        <w:rPr>
          <w:rFonts w:hAnsi="宋体"/>
          <w:color w:val="auto"/>
          <w:sz w:val="24"/>
          <w:highlight w:val="none"/>
        </w:rPr>
      </w:pPr>
      <w:r>
        <w:rPr>
          <w:rFonts w:hint="eastAsia" w:hAnsi="宋体"/>
          <w:color w:val="auto"/>
          <w:sz w:val="24"/>
          <w:highlight w:val="none"/>
        </w:rPr>
        <w:t>（</w:t>
      </w:r>
      <w:r>
        <w:rPr>
          <w:rFonts w:hAnsi="宋体"/>
          <w:color w:val="auto"/>
          <w:sz w:val="24"/>
          <w:highlight w:val="none"/>
        </w:rPr>
        <w:t>7</w:t>
      </w:r>
      <w:r>
        <w:rPr>
          <w:rFonts w:hint="eastAsia" w:hAnsi="宋体"/>
          <w:color w:val="auto"/>
          <w:sz w:val="24"/>
          <w:highlight w:val="none"/>
        </w:rPr>
        <w:t>）《门式刚架轻型房屋钢结构技术规范》（</w:t>
      </w:r>
      <w:r>
        <w:rPr>
          <w:rFonts w:hAnsi="宋体"/>
          <w:color w:val="auto"/>
          <w:sz w:val="24"/>
          <w:highlight w:val="none"/>
        </w:rPr>
        <w:t>GB51022-2015</w:t>
      </w:r>
      <w:r>
        <w:rPr>
          <w:rFonts w:hint="eastAsia" w:hAnsi="宋体"/>
          <w:color w:val="auto"/>
          <w:sz w:val="24"/>
          <w:highlight w:val="none"/>
        </w:rPr>
        <w:t>）</w:t>
      </w:r>
    </w:p>
    <w:p w14:paraId="44FB0413">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2．自然条件：</w:t>
      </w:r>
    </w:p>
    <w:p w14:paraId="4350B238">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1）基本风压：</w:t>
      </w:r>
      <w:r>
        <w:rPr>
          <w:rFonts w:hAnsi="宋体"/>
          <w:color w:val="auto"/>
          <w:sz w:val="24"/>
          <w:highlight w:val="none"/>
        </w:rPr>
        <w:t>0.35 KN/m2(</w:t>
      </w:r>
      <w:r>
        <w:rPr>
          <w:rFonts w:hint="eastAsia" w:hAnsi="宋体"/>
          <w:color w:val="auto"/>
          <w:sz w:val="24"/>
          <w:highlight w:val="none"/>
        </w:rPr>
        <w:t>重现期</w:t>
      </w:r>
      <w:r>
        <w:rPr>
          <w:rFonts w:hAnsi="宋体"/>
          <w:color w:val="auto"/>
          <w:sz w:val="24"/>
          <w:highlight w:val="none"/>
        </w:rPr>
        <w:t xml:space="preserve">n=50 </w:t>
      </w:r>
      <w:r>
        <w:rPr>
          <w:rFonts w:hint="eastAsia" w:hAnsi="宋体"/>
          <w:color w:val="auto"/>
          <w:sz w:val="24"/>
          <w:highlight w:val="none"/>
        </w:rPr>
        <w:t>年</w:t>
      </w:r>
      <w:r>
        <w:rPr>
          <w:rFonts w:hAnsi="宋体"/>
          <w:color w:val="auto"/>
          <w:sz w:val="24"/>
          <w:highlight w:val="none"/>
        </w:rPr>
        <w:t>)</w:t>
      </w:r>
    </w:p>
    <w:p w14:paraId="062C3F40">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2）基本雪压：</w:t>
      </w:r>
      <w:r>
        <w:rPr>
          <w:rFonts w:hAnsi="宋体"/>
          <w:color w:val="auto"/>
          <w:sz w:val="24"/>
          <w:highlight w:val="none"/>
        </w:rPr>
        <w:t>0.50 KN/m2(</w:t>
      </w:r>
      <w:r>
        <w:rPr>
          <w:rFonts w:hint="eastAsia" w:hAnsi="宋体"/>
          <w:color w:val="auto"/>
          <w:sz w:val="24"/>
          <w:highlight w:val="none"/>
        </w:rPr>
        <w:t>重现期</w:t>
      </w:r>
      <w:r>
        <w:rPr>
          <w:rFonts w:hAnsi="宋体"/>
          <w:color w:val="auto"/>
          <w:sz w:val="24"/>
          <w:highlight w:val="none"/>
        </w:rPr>
        <w:t xml:space="preserve">n=50 </w:t>
      </w:r>
      <w:r>
        <w:rPr>
          <w:rFonts w:hint="eastAsia" w:hAnsi="宋体"/>
          <w:color w:val="auto"/>
          <w:sz w:val="24"/>
          <w:highlight w:val="none"/>
        </w:rPr>
        <w:t>年</w:t>
      </w:r>
      <w:r>
        <w:rPr>
          <w:rFonts w:hAnsi="宋体"/>
          <w:color w:val="auto"/>
          <w:sz w:val="24"/>
          <w:highlight w:val="none"/>
        </w:rPr>
        <w:t>)</w:t>
      </w:r>
    </w:p>
    <w:p w14:paraId="13BFD02D">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3．项目所在地区抗震设防烈度6度，地震加速度</w:t>
      </w:r>
      <w:r>
        <w:rPr>
          <w:rFonts w:hAnsi="宋体"/>
          <w:color w:val="auto"/>
          <w:sz w:val="24"/>
          <w:highlight w:val="none"/>
        </w:rPr>
        <w:t>0.05g</w:t>
      </w:r>
      <w:r>
        <w:rPr>
          <w:rFonts w:hint="eastAsia" w:hAnsi="宋体"/>
          <w:color w:val="auto"/>
          <w:sz w:val="24"/>
          <w:highlight w:val="none"/>
        </w:rPr>
        <w:t>，设计地震分组为第一组，依据国标GB</w:t>
      </w:r>
      <w:r>
        <w:rPr>
          <w:rFonts w:hAnsi="宋体"/>
          <w:color w:val="auto"/>
          <w:sz w:val="24"/>
          <w:highlight w:val="none"/>
        </w:rPr>
        <w:t>50011—</w:t>
      </w:r>
      <w:r>
        <w:rPr>
          <w:rFonts w:hint="eastAsia" w:hAnsi="宋体"/>
          <w:color w:val="auto"/>
          <w:sz w:val="24"/>
          <w:highlight w:val="none"/>
        </w:rPr>
        <w:t>20</w:t>
      </w:r>
      <w:r>
        <w:rPr>
          <w:rFonts w:hAnsi="宋体"/>
          <w:color w:val="auto"/>
          <w:sz w:val="24"/>
          <w:highlight w:val="none"/>
        </w:rPr>
        <w:t>10</w:t>
      </w:r>
      <w:r>
        <w:rPr>
          <w:rFonts w:hint="eastAsia" w:hAnsi="宋体"/>
          <w:color w:val="auto"/>
          <w:sz w:val="24"/>
          <w:highlight w:val="none"/>
        </w:rPr>
        <w:t>《建筑抗震设计规范》，本项目应进行抗震设计。</w:t>
      </w:r>
    </w:p>
    <w:p w14:paraId="6F1DAB3E">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4．工艺、建筑、水道、电气等主要专业所提的条件。</w:t>
      </w:r>
    </w:p>
    <w:p w14:paraId="3EE36EA3">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5．工程地质概况（附近项目参考数据）：</w:t>
      </w:r>
    </w:p>
    <w:p w14:paraId="06CE86C1">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拟建项目位于浙江衢州巨塑化工有限公司内，参考一期岩土工程勘察报告，建设地地势平坦较开阔，下卧基岩为砂岩，无崩塌、滑坡、泥石流、岩溶、土洞等不良地质作用，①杂填土：结构不均匀，稳定性差，②含砾粘性土：局部场地有分布，力学强度一般，具有中高压缩性，厚度较小。③粉细砂：场地局部有分布，具有低力学强度和高压缩性，为本场地软弱层。④卵石：场地均有分布，力学强度较高，具中等压缩性，为拟建物良好的持力层。</w:t>
      </w:r>
    </w:p>
    <w:p w14:paraId="5D5FABF8">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6地下水</w:t>
      </w:r>
    </w:p>
    <w:p w14:paraId="1C14E28B">
      <w:pPr>
        <w:adjustRightInd w:val="0"/>
        <w:snapToGrid w:val="0"/>
        <w:spacing w:line="360" w:lineRule="auto"/>
        <w:ind w:firstLine="480" w:firstLineChars="200"/>
        <w:rPr>
          <w:rFonts w:hAnsi="宋体"/>
          <w:color w:val="auto"/>
          <w:sz w:val="24"/>
          <w:highlight w:val="none"/>
        </w:rPr>
      </w:pPr>
      <w:r>
        <w:rPr>
          <w:rFonts w:hint="eastAsia" w:hAnsi="宋体"/>
          <w:color w:val="auto"/>
          <w:sz w:val="24"/>
          <w:highlight w:val="none"/>
        </w:rPr>
        <w:t>场地水位埋深为0.4～1.00米，变化幅度为0.5~1.00米左右，抗浮设计水位按-0.5米设计。根据参考的地勘报告，地下水对混凝土具有微腐蚀性，对钢筋混凝土结构中的钢筋长期浸水和干湿交替时均具有微腐蚀性。场地土对建筑材料具有微腐蚀性。</w:t>
      </w:r>
    </w:p>
    <w:p w14:paraId="79BF7995">
      <w:pPr>
        <w:adjustRightInd w:val="0"/>
        <w:spacing w:line="360" w:lineRule="auto"/>
        <w:ind w:firstLine="482" w:firstLineChars="200"/>
        <w:rPr>
          <w:rFonts w:hAnsi="宋体"/>
          <w:b/>
          <w:bCs/>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hAnsi="宋体"/>
          <w:b/>
          <w:bCs/>
          <w:color w:val="auto"/>
          <w:sz w:val="24"/>
          <w:highlight w:val="none"/>
        </w:rPr>
        <w:t>.</w:t>
      </w:r>
      <w:r>
        <w:rPr>
          <w:rFonts w:hAnsi="宋体"/>
          <w:b/>
          <w:bCs/>
          <w:color w:val="auto"/>
          <w:sz w:val="24"/>
          <w:highlight w:val="none"/>
        </w:rPr>
        <w:t>.2</w:t>
      </w:r>
      <w:r>
        <w:rPr>
          <w:rFonts w:hint="eastAsia" w:hAnsi="宋体"/>
          <w:b/>
          <w:bCs/>
          <w:color w:val="auto"/>
          <w:sz w:val="24"/>
          <w:highlight w:val="none"/>
        </w:rPr>
        <w:t>设计采用的结构标准图和技术规定</w:t>
      </w:r>
    </w:p>
    <w:p w14:paraId="7BCDE73E">
      <w:pPr>
        <w:adjustRightInd w:val="0"/>
        <w:snapToGrid w:val="0"/>
        <w:spacing w:line="360" w:lineRule="auto"/>
        <w:ind w:firstLine="482" w:firstLineChars="200"/>
        <w:rPr>
          <w:rFonts w:hAnsi="宋体"/>
          <w:b/>
          <w:bCs/>
          <w:color w:val="auto"/>
          <w:sz w:val="24"/>
          <w:highlight w:val="none"/>
        </w:rPr>
      </w:pPr>
    </w:p>
    <w:p w14:paraId="05990C82">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本工程设计执行国家现行规范和标准图集、有关技术规定。</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4794"/>
        <w:gridCol w:w="2786"/>
        <w:gridCol w:w="892"/>
      </w:tblGrid>
      <w:tr w14:paraId="0BFB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993" w:type="dxa"/>
            <w:vAlign w:val="center"/>
          </w:tcPr>
          <w:p w14:paraId="34E7D71A">
            <w:pPr>
              <w:adjustRightInd w:val="0"/>
              <w:snapToGrid w:val="0"/>
              <w:spacing w:line="360" w:lineRule="auto"/>
              <w:rPr>
                <w:rFonts w:hAnsi="宋体"/>
                <w:b/>
                <w:bCs/>
                <w:color w:val="auto"/>
                <w:sz w:val="24"/>
                <w:highlight w:val="none"/>
              </w:rPr>
            </w:pPr>
            <w:r>
              <w:rPr>
                <w:rFonts w:hint="eastAsia" w:hAnsi="宋体"/>
                <w:b/>
                <w:bCs/>
                <w:color w:val="auto"/>
                <w:sz w:val="24"/>
                <w:highlight w:val="none"/>
              </w:rPr>
              <w:t>序号</w:t>
            </w:r>
          </w:p>
        </w:tc>
        <w:tc>
          <w:tcPr>
            <w:tcW w:w="4820" w:type="dxa"/>
            <w:vAlign w:val="center"/>
          </w:tcPr>
          <w:p w14:paraId="42A6B34E">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图 集 名 称</w:t>
            </w:r>
          </w:p>
        </w:tc>
        <w:tc>
          <w:tcPr>
            <w:tcW w:w="2790" w:type="dxa"/>
            <w:vAlign w:val="center"/>
          </w:tcPr>
          <w:p w14:paraId="3CD96D46">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图号</w:t>
            </w:r>
          </w:p>
        </w:tc>
        <w:tc>
          <w:tcPr>
            <w:tcW w:w="895" w:type="dxa"/>
            <w:vAlign w:val="center"/>
          </w:tcPr>
          <w:p w14:paraId="0EC8D658">
            <w:pPr>
              <w:adjustRightInd w:val="0"/>
              <w:snapToGrid w:val="0"/>
              <w:spacing w:line="360" w:lineRule="auto"/>
              <w:rPr>
                <w:rFonts w:hAnsi="宋体"/>
                <w:b/>
                <w:bCs/>
                <w:color w:val="auto"/>
                <w:sz w:val="24"/>
                <w:highlight w:val="none"/>
              </w:rPr>
            </w:pPr>
            <w:r>
              <w:rPr>
                <w:rFonts w:hint="eastAsia" w:hAnsi="宋体"/>
                <w:b/>
                <w:bCs/>
                <w:color w:val="auto"/>
                <w:sz w:val="24"/>
                <w:highlight w:val="none"/>
              </w:rPr>
              <w:t>备注</w:t>
            </w:r>
          </w:p>
        </w:tc>
      </w:tr>
      <w:tr w14:paraId="6E22B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2B785124">
            <w:pPr>
              <w:adjustRightInd w:val="0"/>
              <w:snapToGrid w:val="0"/>
              <w:spacing w:line="360" w:lineRule="auto"/>
              <w:ind w:firstLine="482" w:firstLineChars="200"/>
              <w:jc w:val="left"/>
              <w:rPr>
                <w:rFonts w:hAnsi="宋体"/>
                <w:b/>
                <w:bCs/>
                <w:color w:val="auto"/>
                <w:sz w:val="24"/>
                <w:highlight w:val="none"/>
              </w:rPr>
            </w:pPr>
            <w:r>
              <w:rPr>
                <w:rFonts w:hint="eastAsia" w:hAnsi="宋体"/>
                <w:b/>
                <w:bCs/>
                <w:color w:val="auto"/>
                <w:sz w:val="24"/>
                <w:highlight w:val="none"/>
              </w:rPr>
              <w:t>1</w:t>
            </w:r>
          </w:p>
        </w:tc>
        <w:tc>
          <w:tcPr>
            <w:tcW w:w="4820" w:type="dxa"/>
            <w:vAlign w:val="center"/>
          </w:tcPr>
          <w:p w14:paraId="0626FAA9">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《建筑结构荷载规范》</w:t>
            </w:r>
          </w:p>
        </w:tc>
        <w:tc>
          <w:tcPr>
            <w:tcW w:w="2790" w:type="dxa"/>
            <w:vAlign w:val="center"/>
          </w:tcPr>
          <w:p w14:paraId="6C176F9C">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50009-2012</w:t>
            </w:r>
          </w:p>
        </w:tc>
        <w:tc>
          <w:tcPr>
            <w:tcW w:w="895" w:type="dxa"/>
            <w:vAlign w:val="center"/>
          </w:tcPr>
          <w:p w14:paraId="71CE6A0F">
            <w:pPr>
              <w:adjustRightInd w:val="0"/>
              <w:snapToGrid w:val="0"/>
              <w:spacing w:line="360" w:lineRule="auto"/>
              <w:ind w:firstLine="482" w:firstLineChars="200"/>
              <w:rPr>
                <w:rFonts w:hAnsi="宋体"/>
                <w:b/>
                <w:bCs/>
                <w:color w:val="auto"/>
                <w:sz w:val="24"/>
                <w:highlight w:val="none"/>
              </w:rPr>
            </w:pPr>
          </w:p>
        </w:tc>
      </w:tr>
      <w:tr w14:paraId="69A7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74FC666F">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2</w:t>
            </w:r>
          </w:p>
        </w:tc>
        <w:tc>
          <w:tcPr>
            <w:tcW w:w="4820" w:type="dxa"/>
            <w:vAlign w:val="center"/>
          </w:tcPr>
          <w:p w14:paraId="5EC3C075">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《建筑地基基础设计规范》</w:t>
            </w:r>
          </w:p>
        </w:tc>
        <w:tc>
          <w:tcPr>
            <w:tcW w:w="2790" w:type="dxa"/>
            <w:vAlign w:val="center"/>
          </w:tcPr>
          <w:p w14:paraId="57ED45D6">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50007-2011</w:t>
            </w:r>
          </w:p>
        </w:tc>
        <w:tc>
          <w:tcPr>
            <w:tcW w:w="895" w:type="dxa"/>
            <w:vAlign w:val="center"/>
          </w:tcPr>
          <w:p w14:paraId="6614813D">
            <w:pPr>
              <w:adjustRightInd w:val="0"/>
              <w:snapToGrid w:val="0"/>
              <w:spacing w:line="360" w:lineRule="auto"/>
              <w:ind w:firstLine="482" w:firstLineChars="200"/>
              <w:rPr>
                <w:rFonts w:hAnsi="宋体"/>
                <w:b/>
                <w:bCs/>
                <w:color w:val="auto"/>
                <w:sz w:val="24"/>
                <w:highlight w:val="none"/>
              </w:rPr>
            </w:pPr>
          </w:p>
        </w:tc>
      </w:tr>
      <w:tr w14:paraId="7D159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57012B55">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3</w:t>
            </w:r>
          </w:p>
        </w:tc>
        <w:tc>
          <w:tcPr>
            <w:tcW w:w="4820" w:type="dxa"/>
            <w:vAlign w:val="center"/>
          </w:tcPr>
          <w:p w14:paraId="69535645">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《建筑地基处理技术规范》</w:t>
            </w:r>
          </w:p>
        </w:tc>
        <w:tc>
          <w:tcPr>
            <w:tcW w:w="2790" w:type="dxa"/>
            <w:vAlign w:val="center"/>
          </w:tcPr>
          <w:p w14:paraId="0D4F67D8">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JGJ 79-2012</w:t>
            </w:r>
          </w:p>
        </w:tc>
        <w:tc>
          <w:tcPr>
            <w:tcW w:w="895" w:type="dxa"/>
            <w:vAlign w:val="center"/>
          </w:tcPr>
          <w:p w14:paraId="31DD869D">
            <w:pPr>
              <w:adjustRightInd w:val="0"/>
              <w:snapToGrid w:val="0"/>
              <w:spacing w:line="360" w:lineRule="auto"/>
              <w:ind w:firstLine="482" w:firstLineChars="200"/>
              <w:rPr>
                <w:rFonts w:hAnsi="宋体"/>
                <w:b/>
                <w:bCs/>
                <w:color w:val="auto"/>
                <w:sz w:val="24"/>
                <w:highlight w:val="none"/>
              </w:rPr>
            </w:pPr>
          </w:p>
        </w:tc>
      </w:tr>
      <w:tr w14:paraId="267DF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6142E27B">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4</w:t>
            </w:r>
          </w:p>
        </w:tc>
        <w:tc>
          <w:tcPr>
            <w:tcW w:w="4820" w:type="dxa"/>
            <w:vAlign w:val="center"/>
          </w:tcPr>
          <w:p w14:paraId="4D9C0B9E">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《砌体结构设计规范》</w:t>
            </w:r>
          </w:p>
        </w:tc>
        <w:tc>
          <w:tcPr>
            <w:tcW w:w="2790" w:type="dxa"/>
            <w:vAlign w:val="center"/>
          </w:tcPr>
          <w:p w14:paraId="2F05A00A">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50003-2011</w:t>
            </w:r>
          </w:p>
        </w:tc>
        <w:tc>
          <w:tcPr>
            <w:tcW w:w="895" w:type="dxa"/>
            <w:vAlign w:val="center"/>
          </w:tcPr>
          <w:p w14:paraId="03873E42">
            <w:pPr>
              <w:adjustRightInd w:val="0"/>
              <w:snapToGrid w:val="0"/>
              <w:spacing w:line="360" w:lineRule="auto"/>
              <w:ind w:firstLine="482" w:firstLineChars="200"/>
              <w:rPr>
                <w:rFonts w:hAnsi="宋体"/>
                <w:b/>
                <w:bCs/>
                <w:color w:val="auto"/>
                <w:sz w:val="24"/>
                <w:highlight w:val="none"/>
              </w:rPr>
            </w:pPr>
          </w:p>
        </w:tc>
      </w:tr>
      <w:tr w14:paraId="623E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38FFBEEF">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5</w:t>
            </w:r>
          </w:p>
        </w:tc>
        <w:tc>
          <w:tcPr>
            <w:tcW w:w="4820" w:type="dxa"/>
            <w:vAlign w:val="center"/>
          </w:tcPr>
          <w:p w14:paraId="01023157">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《混凝土结构设计规范》</w:t>
            </w:r>
          </w:p>
        </w:tc>
        <w:tc>
          <w:tcPr>
            <w:tcW w:w="2790" w:type="dxa"/>
            <w:vAlign w:val="center"/>
          </w:tcPr>
          <w:p w14:paraId="03A9A633">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50010-2010</w:t>
            </w:r>
          </w:p>
        </w:tc>
        <w:tc>
          <w:tcPr>
            <w:tcW w:w="895" w:type="dxa"/>
            <w:vAlign w:val="center"/>
          </w:tcPr>
          <w:p w14:paraId="5FD8241A">
            <w:pPr>
              <w:adjustRightInd w:val="0"/>
              <w:snapToGrid w:val="0"/>
              <w:spacing w:line="360" w:lineRule="auto"/>
              <w:ind w:firstLine="482" w:firstLineChars="200"/>
              <w:rPr>
                <w:rFonts w:hAnsi="宋体"/>
                <w:b/>
                <w:bCs/>
                <w:color w:val="auto"/>
                <w:sz w:val="24"/>
                <w:highlight w:val="none"/>
              </w:rPr>
            </w:pPr>
          </w:p>
        </w:tc>
      </w:tr>
      <w:tr w14:paraId="33C39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2F7EB1D9">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6</w:t>
            </w:r>
          </w:p>
        </w:tc>
        <w:tc>
          <w:tcPr>
            <w:tcW w:w="4820" w:type="dxa"/>
            <w:vAlign w:val="center"/>
          </w:tcPr>
          <w:p w14:paraId="1432A467">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《建筑抗震设计规范》</w:t>
            </w:r>
          </w:p>
        </w:tc>
        <w:tc>
          <w:tcPr>
            <w:tcW w:w="2790" w:type="dxa"/>
            <w:vAlign w:val="center"/>
          </w:tcPr>
          <w:p w14:paraId="7543F27A">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50011-2010</w:t>
            </w:r>
          </w:p>
        </w:tc>
        <w:tc>
          <w:tcPr>
            <w:tcW w:w="895" w:type="dxa"/>
            <w:vAlign w:val="center"/>
          </w:tcPr>
          <w:p w14:paraId="23C0F911">
            <w:pPr>
              <w:adjustRightInd w:val="0"/>
              <w:snapToGrid w:val="0"/>
              <w:spacing w:line="360" w:lineRule="auto"/>
              <w:ind w:firstLine="482" w:firstLineChars="200"/>
              <w:rPr>
                <w:rFonts w:hAnsi="宋体"/>
                <w:b/>
                <w:bCs/>
                <w:color w:val="auto"/>
                <w:sz w:val="24"/>
                <w:highlight w:val="none"/>
              </w:rPr>
            </w:pPr>
          </w:p>
        </w:tc>
      </w:tr>
      <w:tr w14:paraId="53BAE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3C26004F">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7</w:t>
            </w:r>
          </w:p>
        </w:tc>
        <w:tc>
          <w:tcPr>
            <w:tcW w:w="4820" w:type="dxa"/>
            <w:vAlign w:val="center"/>
          </w:tcPr>
          <w:p w14:paraId="519D2627">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《钢结构设计规范》</w:t>
            </w:r>
          </w:p>
        </w:tc>
        <w:tc>
          <w:tcPr>
            <w:tcW w:w="2790" w:type="dxa"/>
            <w:vAlign w:val="center"/>
          </w:tcPr>
          <w:p w14:paraId="05626087">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50017-2003</w:t>
            </w:r>
          </w:p>
        </w:tc>
        <w:tc>
          <w:tcPr>
            <w:tcW w:w="895" w:type="dxa"/>
            <w:vAlign w:val="center"/>
          </w:tcPr>
          <w:p w14:paraId="1E32E361">
            <w:pPr>
              <w:adjustRightInd w:val="0"/>
              <w:snapToGrid w:val="0"/>
              <w:spacing w:line="360" w:lineRule="auto"/>
              <w:ind w:firstLine="482" w:firstLineChars="200"/>
              <w:rPr>
                <w:rFonts w:hAnsi="宋体"/>
                <w:b/>
                <w:bCs/>
                <w:color w:val="auto"/>
                <w:sz w:val="24"/>
                <w:highlight w:val="none"/>
              </w:rPr>
            </w:pPr>
          </w:p>
        </w:tc>
      </w:tr>
      <w:tr w14:paraId="456C9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6F6FBE4D">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8</w:t>
            </w:r>
          </w:p>
        </w:tc>
        <w:tc>
          <w:tcPr>
            <w:tcW w:w="4820" w:type="dxa"/>
            <w:vAlign w:val="center"/>
          </w:tcPr>
          <w:p w14:paraId="63419F7B">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《石油化工建（构）筑物结构荷载规范》</w:t>
            </w:r>
          </w:p>
        </w:tc>
        <w:tc>
          <w:tcPr>
            <w:tcW w:w="2790" w:type="dxa"/>
            <w:vAlign w:val="center"/>
          </w:tcPr>
          <w:p w14:paraId="218AD706">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51006-2014</w:t>
            </w:r>
          </w:p>
        </w:tc>
        <w:tc>
          <w:tcPr>
            <w:tcW w:w="895" w:type="dxa"/>
            <w:vAlign w:val="center"/>
          </w:tcPr>
          <w:p w14:paraId="11DB941E">
            <w:pPr>
              <w:adjustRightInd w:val="0"/>
              <w:snapToGrid w:val="0"/>
              <w:spacing w:line="360" w:lineRule="auto"/>
              <w:ind w:firstLine="482" w:firstLineChars="200"/>
              <w:rPr>
                <w:rFonts w:hAnsi="宋体"/>
                <w:b/>
                <w:bCs/>
                <w:color w:val="auto"/>
                <w:sz w:val="24"/>
                <w:highlight w:val="none"/>
              </w:rPr>
            </w:pPr>
          </w:p>
        </w:tc>
      </w:tr>
      <w:tr w14:paraId="23448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53B10919">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9</w:t>
            </w:r>
          </w:p>
        </w:tc>
        <w:tc>
          <w:tcPr>
            <w:tcW w:w="4820" w:type="dxa"/>
            <w:vAlign w:val="center"/>
          </w:tcPr>
          <w:p w14:paraId="4ABB530A">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《化工设备基础设计规定》</w:t>
            </w:r>
          </w:p>
        </w:tc>
        <w:tc>
          <w:tcPr>
            <w:tcW w:w="2790" w:type="dxa"/>
            <w:vAlign w:val="center"/>
          </w:tcPr>
          <w:p w14:paraId="12BE46E6">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HG/T 20643-2012</w:t>
            </w:r>
          </w:p>
        </w:tc>
        <w:tc>
          <w:tcPr>
            <w:tcW w:w="895" w:type="dxa"/>
            <w:vAlign w:val="center"/>
          </w:tcPr>
          <w:p w14:paraId="3EC467AF">
            <w:pPr>
              <w:adjustRightInd w:val="0"/>
              <w:snapToGrid w:val="0"/>
              <w:spacing w:line="360" w:lineRule="auto"/>
              <w:ind w:firstLine="482" w:firstLineChars="200"/>
              <w:rPr>
                <w:rFonts w:hAnsi="宋体"/>
                <w:b/>
                <w:bCs/>
                <w:color w:val="auto"/>
                <w:sz w:val="24"/>
                <w:highlight w:val="none"/>
              </w:rPr>
            </w:pPr>
          </w:p>
        </w:tc>
      </w:tr>
      <w:tr w14:paraId="58B9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7B6482AA">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10</w:t>
            </w:r>
          </w:p>
        </w:tc>
        <w:tc>
          <w:tcPr>
            <w:tcW w:w="4820" w:type="dxa"/>
            <w:vAlign w:val="center"/>
          </w:tcPr>
          <w:p w14:paraId="456269FA">
            <w:pPr>
              <w:adjustRightInd w:val="0"/>
              <w:snapToGrid w:val="0"/>
              <w:spacing w:line="360" w:lineRule="auto"/>
              <w:ind w:firstLine="482" w:firstLineChars="200"/>
              <w:rPr>
                <w:rFonts w:hAnsi="宋体"/>
                <w:b/>
                <w:bCs/>
                <w:color w:val="auto"/>
                <w:sz w:val="24"/>
                <w:highlight w:val="none"/>
              </w:rPr>
            </w:pPr>
            <w:r>
              <w:rPr>
                <w:rFonts w:hAnsi="宋体"/>
                <w:b/>
                <w:bCs/>
                <w:color w:val="auto"/>
                <w:sz w:val="24"/>
                <w:highlight w:val="none"/>
              </w:rPr>
              <w:t>《化工</w:t>
            </w:r>
            <w:r>
              <w:rPr>
                <w:rFonts w:hint="eastAsia" w:hAnsi="宋体"/>
                <w:b/>
                <w:bCs/>
                <w:color w:val="auto"/>
                <w:sz w:val="24"/>
                <w:highlight w:val="none"/>
              </w:rPr>
              <w:t>工程</w:t>
            </w:r>
            <w:r>
              <w:rPr>
                <w:rFonts w:hAnsi="宋体"/>
                <w:b/>
                <w:bCs/>
                <w:color w:val="auto"/>
                <w:sz w:val="24"/>
                <w:highlight w:val="none"/>
              </w:rPr>
              <w:t>管架、管墩设计规范》</w:t>
            </w:r>
          </w:p>
        </w:tc>
        <w:tc>
          <w:tcPr>
            <w:tcW w:w="2790" w:type="dxa"/>
            <w:vAlign w:val="center"/>
          </w:tcPr>
          <w:p w14:paraId="23878AB8">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51019-2014</w:t>
            </w:r>
          </w:p>
        </w:tc>
        <w:tc>
          <w:tcPr>
            <w:tcW w:w="895" w:type="dxa"/>
            <w:vAlign w:val="center"/>
          </w:tcPr>
          <w:p w14:paraId="5A9CB04F">
            <w:pPr>
              <w:adjustRightInd w:val="0"/>
              <w:snapToGrid w:val="0"/>
              <w:spacing w:line="360" w:lineRule="auto"/>
              <w:ind w:firstLine="482" w:firstLineChars="200"/>
              <w:rPr>
                <w:rFonts w:hAnsi="宋体"/>
                <w:b/>
                <w:bCs/>
                <w:color w:val="auto"/>
                <w:sz w:val="24"/>
                <w:highlight w:val="none"/>
              </w:rPr>
            </w:pPr>
          </w:p>
        </w:tc>
      </w:tr>
      <w:tr w14:paraId="4FC1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094C551C">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11</w:t>
            </w:r>
          </w:p>
        </w:tc>
        <w:tc>
          <w:tcPr>
            <w:tcW w:w="4820" w:type="dxa"/>
            <w:vAlign w:val="center"/>
          </w:tcPr>
          <w:p w14:paraId="0A9CC02A">
            <w:pPr>
              <w:adjustRightInd w:val="0"/>
              <w:snapToGrid w:val="0"/>
              <w:spacing w:line="360" w:lineRule="auto"/>
              <w:ind w:firstLine="482" w:firstLineChars="200"/>
              <w:rPr>
                <w:rFonts w:hAnsi="宋体"/>
                <w:b/>
                <w:bCs/>
                <w:color w:val="auto"/>
                <w:sz w:val="24"/>
                <w:highlight w:val="none"/>
              </w:rPr>
            </w:pPr>
            <w:r>
              <w:rPr>
                <w:rFonts w:hAnsi="宋体"/>
                <w:b/>
                <w:bCs/>
                <w:color w:val="auto"/>
                <w:sz w:val="24"/>
                <w:highlight w:val="none"/>
              </w:rPr>
              <w:t>《石油化工钢储罐地基与基础设计规范》</w:t>
            </w:r>
          </w:p>
        </w:tc>
        <w:tc>
          <w:tcPr>
            <w:tcW w:w="2790" w:type="dxa"/>
            <w:vAlign w:val="center"/>
          </w:tcPr>
          <w:p w14:paraId="2B92B01E">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SH/T3068-2007</w:t>
            </w:r>
          </w:p>
        </w:tc>
        <w:tc>
          <w:tcPr>
            <w:tcW w:w="895" w:type="dxa"/>
            <w:vAlign w:val="center"/>
          </w:tcPr>
          <w:p w14:paraId="7C6AA03D">
            <w:pPr>
              <w:adjustRightInd w:val="0"/>
              <w:snapToGrid w:val="0"/>
              <w:spacing w:line="360" w:lineRule="auto"/>
              <w:ind w:firstLine="482" w:firstLineChars="200"/>
              <w:rPr>
                <w:rFonts w:hAnsi="宋体"/>
                <w:b/>
                <w:bCs/>
                <w:color w:val="auto"/>
                <w:sz w:val="24"/>
                <w:highlight w:val="none"/>
              </w:rPr>
            </w:pPr>
          </w:p>
        </w:tc>
      </w:tr>
      <w:tr w14:paraId="6FB09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7D1431C7">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12</w:t>
            </w:r>
          </w:p>
        </w:tc>
        <w:tc>
          <w:tcPr>
            <w:tcW w:w="4820" w:type="dxa"/>
            <w:vAlign w:val="center"/>
          </w:tcPr>
          <w:p w14:paraId="0C77CC45">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《工业建筑防腐蚀设计规范》</w:t>
            </w:r>
          </w:p>
        </w:tc>
        <w:tc>
          <w:tcPr>
            <w:tcW w:w="2790" w:type="dxa"/>
            <w:vAlign w:val="center"/>
          </w:tcPr>
          <w:p w14:paraId="3ECF76B8">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50046-2008</w:t>
            </w:r>
          </w:p>
        </w:tc>
        <w:tc>
          <w:tcPr>
            <w:tcW w:w="895" w:type="dxa"/>
            <w:vAlign w:val="center"/>
          </w:tcPr>
          <w:p w14:paraId="5883F2D9">
            <w:pPr>
              <w:adjustRightInd w:val="0"/>
              <w:snapToGrid w:val="0"/>
              <w:spacing w:line="360" w:lineRule="auto"/>
              <w:ind w:firstLine="482" w:firstLineChars="200"/>
              <w:rPr>
                <w:rFonts w:hAnsi="宋体"/>
                <w:b/>
                <w:bCs/>
                <w:color w:val="auto"/>
                <w:sz w:val="24"/>
                <w:highlight w:val="none"/>
              </w:rPr>
            </w:pPr>
          </w:p>
        </w:tc>
      </w:tr>
      <w:tr w14:paraId="105B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76DC7956">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13</w:t>
            </w:r>
          </w:p>
        </w:tc>
        <w:tc>
          <w:tcPr>
            <w:tcW w:w="4820" w:type="dxa"/>
            <w:vAlign w:val="center"/>
          </w:tcPr>
          <w:p w14:paraId="36EA9DE5">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《石油化工钢筋混凝土水池结构设计规范》</w:t>
            </w:r>
          </w:p>
        </w:tc>
        <w:tc>
          <w:tcPr>
            <w:tcW w:w="2790" w:type="dxa"/>
            <w:vAlign w:val="center"/>
          </w:tcPr>
          <w:p w14:paraId="40080726">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SH/T 3132-2002</w:t>
            </w:r>
          </w:p>
        </w:tc>
        <w:tc>
          <w:tcPr>
            <w:tcW w:w="895" w:type="dxa"/>
            <w:vAlign w:val="center"/>
          </w:tcPr>
          <w:p w14:paraId="067C0160">
            <w:pPr>
              <w:adjustRightInd w:val="0"/>
              <w:snapToGrid w:val="0"/>
              <w:spacing w:line="360" w:lineRule="auto"/>
              <w:ind w:firstLine="482" w:firstLineChars="200"/>
              <w:rPr>
                <w:rFonts w:hAnsi="宋体"/>
                <w:b/>
                <w:bCs/>
                <w:color w:val="auto"/>
                <w:sz w:val="24"/>
                <w:highlight w:val="none"/>
              </w:rPr>
            </w:pPr>
          </w:p>
        </w:tc>
      </w:tr>
      <w:tr w14:paraId="77D3D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31292FED">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14</w:t>
            </w:r>
          </w:p>
        </w:tc>
        <w:tc>
          <w:tcPr>
            <w:tcW w:w="4820" w:type="dxa"/>
            <w:vAlign w:val="center"/>
          </w:tcPr>
          <w:p w14:paraId="3989C146">
            <w:pPr>
              <w:adjustRightInd w:val="0"/>
              <w:snapToGrid w:val="0"/>
              <w:spacing w:line="360" w:lineRule="auto"/>
              <w:rPr>
                <w:rFonts w:hAnsi="宋体"/>
                <w:b/>
                <w:bCs/>
                <w:color w:val="auto"/>
                <w:sz w:val="24"/>
                <w:highlight w:val="none"/>
              </w:rPr>
            </w:pPr>
            <w:r>
              <w:rPr>
                <w:rFonts w:hint="eastAsia" w:hAnsi="宋体"/>
                <w:b/>
                <w:bCs/>
                <w:color w:val="auto"/>
                <w:sz w:val="24"/>
                <w:highlight w:val="none"/>
              </w:rPr>
              <w:t>《给水排水工程钢筋混凝土水池结构设计规程》</w:t>
            </w:r>
          </w:p>
        </w:tc>
        <w:tc>
          <w:tcPr>
            <w:tcW w:w="2790" w:type="dxa"/>
            <w:vAlign w:val="center"/>
          </w:tcPr>
          <w:p w14:paraId="4614DCCB">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CECS 138:2002</w:t>
            </w:r>
          </w:p>
        </w:tc>
        <w:tc>
          <w:tcPr>
            <w:tcW w:w="895" w:type="dxa"/>
            <w:vAlign w:val="center"/>
          </w:tcPr>
          <w:p w14:paraId="40027C6D">
            <w:pPr>
              <w:adjustRightInd w:val="0"/>
              <w:snapToGrid w:val="0"/>
              <w:spacing w:line="360" w:lineRule="auto"/>
              <w:ind w:firstLine="482" w:firstLineChars="200"/>
              <w:rPr>
                <w:rFonts w:hAnsi="宋体"/>
                <w:b/>
                <w:bCs/>
                <w:color w:val="auto"/>
                <w:sz w:val="24"/>
                <w:highlight w:val="none"/>
              </w:rPr>
            </w:pPr>
          </w:p>
        </w:tc>
      </w:tr>
      <w:tr w14:paraId="2D29A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14021250">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15</w:t>
            </w:r>
          </w:p>
        </w:tc>
        <w:tc>
          <w:tcPr>
            <w:tcW w:w="4820" w:type="dxa"/>
            <w:vAlign w:val="center"/>
          </w:tcPr>
          <w:p w14:paraId="1AEC88A0">
            <w:pPr>
              <w:adjustRightInd w:val="0"/>
              <w:snapToGrid w:val="0"/>
              <w:spacing w:line="360" w:lineRule="auto"/>
              <w:rPr>
                <w:rFonts w:hAnsi="宋体"/>
                <w:b/>
                <w:bCs/>
                <w:color w:val="auto"/>
                <w:sz w:val="24"/>
                <w:highlight w:val="none"/>
              </w:rPr>
            </w:pPr>
            <w:r>
              <w:rPr>
                <w:rFonts w:hint="eastAsia" w:hAnsi="宋体"/>
                <w:b/>
                <w:bCs/>
                <w:color w:val="auto"/>
                <w:sz w:val="24"/>
                <w:highlight w:val="none"/>
              </w:rPr>
              <w:t>《门式刚架轻型房屋钢结构技术规程》（2012年版）</w:t>
            </w:r>
          </w:p>
        </w:tc>
        <w:tc>
          <w:tcPr>
            <w:tcW w:w="2790" w:type="dxa"/>
            <w:vAlign w:val="center"/>
          </w:tcPr>
          <w:p w14:paraId="2E4E3D4A">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CECS 102:2002</w:t>
            </w:r>
          </w:p>
        </w:tc>
        <w:tc>
          <w:tcPr>
            <w:tcW w:w="895" w:type="dxa"/>
            <w:vAlign w:val="center"/>
          </w:tcPr>
          <w:p w14:paraId="2A11E029">
            <w:pPr>
              <w:adjustRightInd w:val="0"/>
              <w:snapToGrid w:val="0"/>
              <w:spacing w:line="360" w:lineRule="auto"/>
              <w:ind w:firstLine="482" w:firstLineChars="200"/>
              <w:rPr>
                <w:rFonts w:hAnsi="宋体"/>
                <w:b/>
                <w:bCs/>
                <w:color w:val="auto"/>
                <w:sz w:val="24"/>
                <w:highlight w:val="none"/>
              </w:rPr>
            </w:pPr>
          </w:p>
        </w:tc>
      </w:tr>
      <w:tr w14:paraId="552F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07734551">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16</w:t>
            </w:r>
          </w:p>
        </w:tc>
        <w:tc>
          <w:tcPr>
            <w:tcW w:w="4820" w:type="dxa"/>
            <w:vAlign w:val="center"/>
          </w:tcPr>
          <w:p w14:paraId="669D941D">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《冷弯薄壁型钢结构设计技术规范》</w:t>
            </w:r>
          </w:p>
        </w:tc>
        <w:tc>
          <w:tcPr>
            <w:tcW w:w="2790" w:type="dxa"/>
            <w:vAlign w:val="center"/>
          </w:tcPr>
          <w:p w14:paraId="4A3714DC">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50018-2002</w:t>
            </w:r>
          </w:p>
        </w:tc>
        <w:tc>
          <w:tcPr>
            <w:tcW w:w="895" w:type="dxa"/>
            <w:vAlign w:val="center"/>
          </w:tcPr>
          <w:p w14:paraId="7EEE02D2">
            <w:pPr>
              <w:adjustRightInd w:val="0"/>
              <w:snapToGrid w:val="0"/>
              <w:spacing w:line="360" w:lineRule="auto"/>
              <w:ind w:firstLine="482" w:firstLineChars="200"/>
              <w:rPr>
                <w:rFonts w:hAnsi="宋体"/>
                <w:b/>
                <w:bCs/>
                <w:color w:val="auto"/>
                <w:sz w:val="24"/>
                <w:highlight w:val="none"/>
              </w:rPr>
            </w:pPr>
          </w:p>
        </w:tc>
      </w:tr>
      <w:tr w14:paraId="7C5E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375E0B6B">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17</w:t>
            </w:r>
          </w:p>
        </w:tc>
        <w:tc>
          <w:tcPr>
            <w:tcW w:w="4820" w:type="dxa"/>
            <w:vAlign w:val="center"/>
          </w:tcPr>
          <w:p w14:paraId="0FE740A3">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《动力机器基础设计规范》</w:t>
            </w:r>
          </w:p>
        </w:tc>
        <w:tc>
          <w:tcPr>
            <w:tcW w:w="2790" w:type="dxa"/>
            <w:vAlign w:val="center"/>
          </w:tcPr>
          <w:p w14:paraId="27EC1C18">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GB 50040-96</w:t>
            </w:r>
          </w:p>
        </w:tc>
        <w:tc>
          <w:tcPr>
            <w:tcW w:w="895" w:type="dxa"/>
            <w:vAlign w:val="center"/>
          </w:tcPr>
          <w:p w14:paraId="49C5AD2F">
            <w:pPr>
              <w:adjustRightInd w:val="0"/>
              <w:snapToGrid w:val="0"/>
              <w:spacing w:line="360" w:lineRule="auto"/>
              <w:ind w:firstLine="482" w:firstLineChars="200"/>
              <w:rPr>
                <w:rFonts w:hAnsi="宋体"/>
                <w:b/>
                <w:bCs/>
                <w:color w:val="auto"/>
                <w:sz w:val="24"/>
                <w:highlight w:val="none"/>
              </w:rPr>
            </w:pPr>
          </w:p>
        </w:tc>
      </w:tr>
      <w:tr w14:paraId="40531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93" w:type="dxa"/>
            <w:vAlign w:val="center"/>
          </w:tcPr>
          <w:p w14:paraId="6EC5AC40">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18</w:t>
            </w:r>
          </w:p>
        </w:tc>
        <w:tc>
          <w:tcPr>
            <w:tcW w:w="4820" w:type="dxa"/>
            <w:vAlign w:val="center"/>
          </w:tcPr>
          <w:p w14:paraId="0D952B71">
            <w:pPr>
              <w:adjustRightInd w:val="0"/>
              <w:snapToGrid w:val="0"/>
              <w:spacing w:line="360" w:lineRule="auto"/>
              <w:ind w:firstLine="482" w:firstLineChars="200"/>
              <w:rPr>
                <w:rFonts w:hAnsi="宋体"/>
                <w:b/>
                <w:bCs/>
                <w:color w:val="auto"/>
                <w:sz w:val="24"/>
                <w:highlight w:val="none"/>
              </w:rPr>
            </w:pPr>
            <w:r>
              <w:rPr>
                <w:rFonts w:hint="eastAsia" w:hAnsi="宋体"/>
                <w:b/>
                <w:bCs/>
                <w:color w:val="auto"/>
                <w:sz w:val="24"/>
                <w:highlight w:val="none"/>
              </w:rPr>
              <w:t>《建筑设计防火规范》</w:t>
            </w:r>
          </w:p>
        </w:tc>
        <w:tc>
          <w:tcPr>
            <w:tcW w:w="2790" w:type="dxa"/>
            <w:vAlign w:val="center"/>
          </w:tcPr>
          <w:p w14:paraId="5B0B8149">
            <w:pPr>
              <w:adjustRightInd w:val="0"/>
              <w:snapToGrid w:val="0"/>
              <w:spacing w:line="360" w:lineRule="auto"/>
              <w:rPr>
                <w:rFonts w:hAnsi="宋体"/>
                <w:b/>
                <w:bCs/>
                <w:color w:val="auto"/>
                <w:sz w:val="24"/>
                <w:highlight w:val="none"/>
              </w:rPr>
            </w:pPr>
            <w:r>
              <w:rPr>
                <w:rFonts w:hint="eastAsia" w:hAnsi="宋体"/>
                <w:b/>
                <w:bCs/>
                <w:color w:val="auto"/>
                <w:sz w:val="24"/>
                <w:highlight w:val="none"/>
              </w:rPr>
              <w:t>GB 50016-2014（2018年版）</w:t>
            </w:r>
          </w:p>
        </w:tc>
        <w:tc>
          <w:tcPr>
            <w:tcW w:w="895" w:type="dxa"/>
            <w:vAlign w:val="center"/>
          </w:tcPr>
          <w:p w14:paraId="2E3A6226">
            <w:pPr>
              <w:adjustRightInd w:val="0"/>
              <w:snapToGrid w:val="0"/>
              <w:spacing w:line="360" w:lineRule="auto"/>
              <w:ind w:firstLine="482" w:firstLineChars="200"/>
              <w:rPr>
                <w:rFonts w:hAnsi="宋体"/>
                <w:b/>
                <w:bCs/>
                <w:color w:val="auto"/>
                <w:sz w:val="24"/>
                <w:highlight w:val="none"/>
              </w:rPr>
            </w:pPr>
          </w:p>
        </w:tc>
      </w:tr>
    </w:tbl>
    <w:p w14:paraId="1CD9A44E">
      <w:pPr>
        <w:adjustRightInd w:val="0"/>
        <w:spacing w:line="360" w:lineRule="auto"/>
        <w:ind w:firstLine="482" w:firstLineChars="200"/>
        <w:rPr>
          <w:bCs/>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hAnsi="宋体"/>
          <w:b/>
          <w:bCs/>
          <w:color w:val="auto"/>
          <w:sz w:val="24"/>
          <w:highlight w:val="none"/>
        </w:rPr>
        <w:t>.</w:t>
      </w:r>
      <w:r>
        <w:rPr>
          <w:rFonts w:hAnsi="宋体"/>
          <w:b/>
          <w:bCs/>
          <w:color w:val="auto"/>
          <w:sz w:val="24"/>
          <w:highlight w:val="none"/>
        </w:rPr>
        <w:t>.3</w:t>
      </w:r>
      <w:r>
        <w:rPr>
          <w:rFonts w:hint="eastAsia"/>
          <w:bCs/>
          <w:color w:val="auto"/>
          <w:sz w:val="24"/>
          <w:highlight w:val="none"/>
        </w:rPr>
        <w:t>天然地基方案的确定</w:t>
      </w:r>
    </w:p>
    <w:p w14:paraId="6F62B542">
      <w:pPr>
        <w:spacing w:line="360" w:lineRule="auto"/>
        <w:ind w:firstLine="480"/>
        <w:rPr>
          <w:rFonts w:hAnsi="宋体"/>
          <w:bCs/>
          <w:color w:val="auto"/>
          <w:sz w:val="24"/>
          <w:highlight w:val="none"/>
        </w:rPr>
      </w:pPr>
      <w:r>
        <w:rPr>
          <w:rFonts w:hint="eastAsia" w:hAnsi="宋体"/>
          <w:bCs/>
          <w:color w:val="auto"/>
          <w:sz w:val="24"/>
          <w:highlight w:val="none"/>
        </w:rPr>
        <w:t>根据建厂场地工程地质资料，本项目有良好的工程地质条件。</w:t>
      </w:r>
    </w:p>
    <w:p w14:paraId="23B51E30">
      <w:pPr>
        <w:spacing w:line="360" w:lineRule="auto"/>
        <w:ind w:firstLine="480"/>
        <w:rPr>
          <w:rFonts w:hAnsi="宋体"/>
          <w:bCs/>
          <w:color w:val="auto"/>
          <w:sz w:val="24"/>
          <w:highlight w:val="none"/>
        </w:rPr>
      </w:pPr>
      <w:r>
        <w:rPr>
          <w:rFonts w:hAnsi="宋体"/>
          <w:bCs/>
          <w:color w:val="auto"/>
          <w:sz w:val="24"/>
          <w:highlight w:val="none"/>
        </w:rPr>
        <w:t>a</w:t>
      </w:r>
      <w:r>
        <w:rPr>
          <w:rFonts w:hint="eastAsia" w:hAnsi="宋体"/>
          <w:bCs/>
          <w:color w:val="auto"/>
          <w:sz w:val="24"/>
          <w:highlight w:val="none"/>
        </w:rPr>
        <w:t>、区域地貌简单，自然分区明显，厂地平坦，地质构造单一，无断层等不良地质现象存在。</w:t>
      </w:r>
    </w:p>
    <w:p w14:paraId="7B53896E">
      <w:pPr>
        <w:spacing w:line="360" w:lineRule="auto"/>
        <w:ind w:firstLine="480"/>
        <w:rPr>
          <w:rFonts w:hAnsi="宋体"/>
          <w:bCs/>
          <w:color w:val="auto"/>
          <w:sz w:val="24"/>
          <w:highlight w:val="none"/>
        </w:rPr>
      </w:pPr>
      <w:r>
        <w:rPr>
          <w:rFonts w:hAnsi="宋体"/>
          <w:bCs/>
          <w:color w:val="auto"/>
          <w:sz w:val="24"/>
          <w:highlight w:val="none"/>
        </w:rPr>
        <w:t>b</w:t>
      </w:r>
      <w:r>
        <w:rPr>
          <w:rFonts w:hint="eastAsia" w:hAnsi="宋体"/>
          <w:bCs/>
          <w:color w:val="auto"/>
          <w:sz w:val="24"/>
          <w:highlight w:val="none"/>
        </w:rPr>
        <w:t>、本项目区域地基承载力特征值为15~35t/m2。</w:t>
      </w:r>
    </w:p>
    <w:p w14:paraId="39C36E7E">
      <w:pPr>
        <w:spacing w:line="360" w:lineRule="auto"/>
        <w:ind w:firstLine="480"/>
        <w:rPr>
          <w:rFonts w:hAnsi="宋体"/>
          <w:bCs/>
          <w:color w:val="auto"/>
          <w:sz w:val="24"/>
          <w:highlight w:val="none"/>
        </w:rPr>
      </w:pPr>
      <w:r>
        <w:rPr>
          <w:rFonts w:hAnsi="宋体"/>
          <w:bCs/>
          <w:color w:val="auto"/>
          <w:sz w:val="24"/>
          <w:highlight w:val="none"/>
        </w:rPr>
        <w:t>c</w:t>
      </w:r>
      <w:r>
        <w:rPr>
          <w:rFonts w:hint="eastAsia" w:hAnsi="宋体"/>
          <w:bCs/>
          <w:color w:val="auto"/>
          <w:sz w:val="24"/>
          <w:highlight w:val="none"/>
        </w:rPr>
        <w:t>、卵石层下为强度很高的稳定基岩，不存在软弱下卧层问题。</w:t>
      </w:r>
    </w:p>
    <w:p w14:paraId="4EE30EF5">
      <w:pPr>
        <w:spacing w:line="360" w:lineRule="auto"/>
        <w:ind w:firstLine="480"/>
        <w:rPr>
          <w:rFonts w:hAnsi="宋体"/>
          <w:bCs/>
          <w:color w:val="auto"/>
          <w:sz w:val="24"/>
          <w:highlight w:val="none"/>
        </w:rPr>
      </w:pPr>
      <w:r>
        <w:rPr>
          <w:rFonts w:hint="eastAsia" w:hAnsi="宋体"/>
          <w:bCs/>
          <w:color w:val="auto"/>
          <w:sz w:val="24"/>
          <w:highlight w:val="none"/>
        </w:rPr>
        <w:t>综上所述，本项目所有建筑物及设备基础采用天然地基的方案。</w:t>
      </w:r>
    </w:p>
    <w:p w14:paraId="305F7CB4">
      <w:pPr>
        <w:spacing w:line="360" w:lineRule="auto"/>
        <w:ind w:firstLine="480"/>
        <w:rPr>
          <w:b/>
          <w:bCs/>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hAnsi="宋体"/>
          <w:b/>
          <w:bCs/>
          <w:color w:val="auto"/>
          <w:sz w:val="24"/>
          <w:highlight w:val="none"/>
        </w:rPr>
        <w:t>.</w:t>
      </w:r>
      <w:r>
        <w:rPr>
          <w:rFonts w:hAnsi="宋体"/>
          <w:b/>
          <w:bCs/>
          <w:color w:val="auto"/>
          <w:sz w:val="24"/>
          <w:highlight w:val="none"/>
        </w:rPr>
        <w:t>4</w:t>
      </w:r>
      <w:r>
        <w:rPr>
          <w:rFonts w:hint="eastAsia"/>
          <w:b/>
          <w:bCs/>
          <w:color w:val="auto"/>
          <w:sz w:val="24"/>
          <w:highlight w:val="none"/>
        </w:rPr>
        <w:t>建、构筑物结构选型原则</w:t>
      </w:r>
    </w:p>
    <w:p w14:paraId="3657B4F0">
      <w:pPr>
        <w:spacing w:line="360" w:lineRule="auto"/>
        <w:ind w:firstLine="480"/>
        <w:rPr>
          <w:rFonts w:ascii="宋体" w:hAnsi="宋体"/>
          <w:color w:val="auto"/>
          <w:sz w:val="24"/>
          <w:highlight w:val="none"/>
        </w:rPr>
      </w:pPr>
      <w:r>
        <w:rPr>
          <w:rFonts w:hint="eastAsia" w:ascii="宋体" w:hAnsi="宋体"/>
          <w:color w:val="auto"/>
          <w:sz w:val="24"/>
          <w:highlight w:val="none"/>
        </w:rPr>
        <w:t>在满足工艺设备的安装、生产、检修要求及建筑物的防火、防爆、防腐等条件下，新建厂房主要采用现浇钢筋砼框架结构</w:t>
      </w:r>
      <w:r>
        <w:rPr>
          <w:rFonts w:ascii="宋体" w:hAnsi="宋体"/>
          <w:color w:val="auto"/>
          <w:sz w:val="24"/>
          <w:highlight w:val="none"/>
        </w:rPr>
        <w:t>，改建厂房采用钢结构顶。</w:t>
      </w:r>
    </w:p>
    <w:p w14:paraId="2DFDD440">
      <w:pPr>
        <w:spacing w:line="360" w:lineRule="auto"/>
        <w:ind w:firstLine="480"/>
        <w:rPr>
          <w:rFonts w:ascii="宋体" w:hAnsi="宋体"/>
          <w:b/>
          <w:bCs/>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hAnsi="宋体"/>
          <w:b/>
          <w:bCs/>
          <w:color w:val="auto"/>
          <w:sz w:val="24"/>
          <w:highlight w:val="none"/>
        </w:rPr>
        <w:t>.</w:t>
      </w:r>
      <w:r>
        <w:rPr>
          <w:rFonts w:hAnsi="宋体"/>
          <w:b/>
          <w:bCs/>
          <w:color w:val="auto"/>
          <w:sz w:val="24"/>
          <w:highlight w:val="none"/>
        </w:rPr>
        <w:t>5</w:t>
      </w:r>
      <w:r>
        <w:rPr>
          <w:rFonts w:ascii="宋体" w:hAnsi="宋体"/>
          <w:b/>
          <w:bCs/>
          <w:color w:val="auto"/>
          <w:sz w:val="24"/>
          <w:highlight w:val="none"/>
        </w:rPr>
        <w:t xml:space="preserve">  </w:t>
      </w:r>
      <w:r>
        <w:rPr>
          <w:rFonts w:hint="eastAsia" w:ascii="宋体" w:hAnsi="宋体"/>
          <w:b/>
          <w:bCs/>
          <w:color w:val="auto"/>
          <w:sz w:val="24"/>
          <w:highlight w:val="none"/>
        </w:rPr>
        <w:t>结构构件选型原则</w:t>
      </w:r>
    </w:p>
    <w:p w14:paraId="03FA3F89">
      <w:pPr>
        <w:spacing w:line="360" w:lineRule="auto"/>
        <w:ind w:firstLine="480"/>
        <w:rPr>
          <w:rFonts w:ascii="宋体" w:hAnsi="宋体"/>
          <w:color w:val="auto"/>
          <w:sz w:val="24"/>
          <w:highlight w:val="none"/>
        </w:rPr>
      </w:pPr>
      <w:r>
        <w:rPr>
          <w:rFonts w:hint="eastAsia" w:ascii="宋体" w:hAnsi="宋体"/>
          <w:color w:val="auto"/>
          <w:sz w:val="24"/>
          <w:highlight w:val="none"/>
        </w:rPr>
        <w:t>为节约土地，保护耕地，根据本工程的使用要求及当地的材料供应情况，本工程的维护结构根据各装置性质选用。有防火要求的结构构件，采用钢筋混凝土构件，</w:t>
      </w:r>
      <w:r>
        <w:rPr>
          <w:rFonts w:ascii="宋体" w:hAnsi="宋体"/>
          <w:color w:val="auto"/>
          <w:sz w:val="24"/>
          <w:highlight w:val="none"/>
        </w:rPr>
        <w:t>界区内所有建、构筑物除特殊规定外，均按</w:t>
      </w:r>
      <w:r>
        <w:rPr>
          <w:rFonts w:hint="eastAsia" w:ascii="宋体" w:hAnsi="宋体"/>
          <w:color w:val="auto"/>
          <w:sz w:val="24"/>
          <w:highlight w:val="none"/>
        </w:rPr>
        <w:t>一</w:t>
      </w:r>
      <w:r>
        <w:rPr>
          <w:rFonts w:ascii="宋体" w:hAnsi="宋体"/>
          <w:color w:val="auto"/>
          <w:sz w:val="24"/>
          <w:highlight w:val="none"/>
        </w:rPr>
        <w:t>级耐火等级考虑。</w:t>
      </w:r>
    </w:p>
    <w:p w14:paraId="30B34991">
      <w:pPr>
        <w:spacing w:line="360" w:lineRule="auto"/>
        <w:ind w:firstLine="480"/>
        <w:rPr>
          <w:rFonts w:ascii="宋体" w:hAnsi="宋体"/>
          <w:b/>
          <w:bCs/>
          <w:color w:val="auto"/>
          <w:sz w:val="24"/>
          <w:highlight w:val="none"/>
        </w:rPr>
      </w:pPr>
      <w:r>
        <w:rPr>
          <w:rFonts w:hint="eastAsia" w:ascii="宋体" w:hAnsi="宋体"/>
          <w:b/>
          <w:color w:val="auto"/>
          <w:sz w:val="24"/>
          <w:highlight w:val="none"/>
        </w:rPr>
        <w:t>2.2.7.</w:t>
      </w:r>
      <w:r>
        <w:rPr>
          <w:rFonts w:ascii="宋体" w:hAnsi="宋体"/>
          <w:b/>
          <w:color w:val="auto"/>
          <w:sz w:val="24"/>
          <w:highlight w:val="none"/>
        </w:rPr>
        <w:t>9</w:t>
      </w:r>
      <w:r>
        <w:rPr>
          <w:rFonts w:hint="eastAsia" w:ascii="宋体" w:hAnsi="宋体"/>
          <w:b/>
          <w:color w:val="auto"/>
          <w:sz w:val="24"/>
          <w:highlight w:val="none"/>
        </w:rPr>
        <w:t>.6</w:t>
      </w:r>
      <w:r>
        <w:rPr>
          <w:rFonts w:ascii="宋体" w:hAnsi="宋体"/>
          <w:b/>
          <w:bCs/>
          <w:color w:val="auto"/>
          <w:sz w:val="24"/>
          <w:highlight w:val="none"/>
        </w:rPr>
        <w:t xml:space="preserve"> </w:t>
      </w:r>
      <w:r>
        <w:rPr>
          <w:rFonts w:hint="eastAsia" w:ascii="宋体" w:hAnsi="宋体"/>
          <w:b/>
          <w:bCs/>
          <w:color w:val="auto"/>
          <w:sz w:val="24"/>
          <w:highlight w:val="none"/>
        </w:rPr>
        <w:t>管架</w:t>
      </w:r>
    </w:p>
    <w:p w14:paraId="2A2F9929">
      <w:pPr>
        <w:spacing w:line="360" w:lineRule="auto"/>
        <w:ind w:firstLine="480"/>
        <w:rPr>
          <w:rFonts w:ascii="宋体" w:hAnsi="宋体"/>
          <w:color w:val="auto"/>
          <w:sz w:val="24"/>
          <w:highlight w:val="none"/>
        </w:rPr>
      </w:pPr>
      <w:r>
        <w:rPr>
          <w:rFonts w:hint="eastAsia" w:ascii="宋体" w:hAnsi="宋体"/>
          <w:color w:val="auto"/>
          <w:sz w:val="24"/>
          <w:highlight w:val="none"/>
        </w:rPr>
        <w:t>本项目全厂管架采用纵梁式管架，钢筋砼柱，钢纵梁，设置为一层、二层等，以利布置管线及电缆桥架等。这样，可避免与地下管线相碰，轻巧美观，以满足现代化工厂的要求。</w:t>
      </w:r>
    </w:p>
    <w:p w14:paraId="74CB7708">
      <w:pPr>
        <w:spacing w:line="360" w:lineRule="auto"/>
        <w:ind w:firstLine="480"/>
        <w:rPr>
          <w:rFonts w:ascii="宋体" w:hAnsi="宋体"/>
          <w:b/>
          <w:color w:val="auto"/>
          <w:sz w:val="24"/>
          <w:highlight w:val="none"/>
        </w:rPr>
      </w:pPr>
      <w:r>
        <w:rPr>
          <w:rFonts w:hint="eastAsia" w:ascii="宋体" w:hAnsi="宋体"/>
          <w:b/>
          <w:color w:val="auto"/>
          <w:sz w:val="24"/>
          <w:highlight w:val="none"/>
        </w:rPr>
        <w:t>2.2.7.</w:t>
      </w:r>
      <w:r>
        <w:rPr>
          <w:rFonts w:ascii="宋体" w:hAnsi="宋体"/>
          <w:b/>
          <w:color w:val="auto"/>
          <w:sz w:val="24"/>
          <w:highlight w:val="none"/>
        </w:rPr>
        <w:t xml:space="preserve">10建、构筑物的安全等级为二级。 </w:t>
      </w:r>
    </w:p>
    <w:p w14:paraId="3C599D3B">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按照现行建筑结构规范，</w:t>
      </w:r>
      <w:r>
        <w:rPr>
          <w:rFonts w:hint="eastAsia" w:ascii="宋体" w:hAnsi="宋体"/>
          <w:color w:val="auto"/>
          <w:sz w:val="24"/>
          <w:highlight w:val="none"/>
        </w:rPr>
        <w:t>本工程结构形式为钢结构，主体结构</w:t>
      </w:r>
      <w:r>
        <w:rPr>
          <w:rFonts w:ascii="宋体" w:hAnsi="宋体"/>
          <w:color w:val="auto"/>
          <w:sz w:val="24"/>
          <w:highlight w:val="none"/>
        </w:rPr>
        <w:t>本项目各建、构筑物的设计使用年限为50年。</w:t>
      </w:r>
      <w:r>
        <w:rPr>
          <w:rFonts w:hint="eastAsia" w:ascii="宋体" w:hAnsi="宋体"/>
          <w:color w:val="auto"/>
          <w:sz w:val="24"/>
          <w:highlight w:val="none"/>
        </w:rPr>
        <w:t>结构重要性系数1.0</w:t>
      </w:r>
      <w:r>
        <w:rPr>
          <w:rFonts w:ascii="宋体" w:hAnsi="宋体"/>
          <w:color w:val="auto"/>
          <w:sz w:val="24"/>
          <w:highlight w:val="none"/>
        </w:rPr>
        <w:t xml:space="preserve"> </w:t>
      </w:r>
    </w:p>
    <w:p w14:paraId="46576948">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2.2.7.11</w:t>
      </w:r>
      <w:r>
        <w:rPr>
          <w:rFonts w:ascii="宋体" w:hAnsi="宋体"/>
          <w:b/>
          <w:color w:val="auto"/>
          <w:sz w:val="24"/>
          <w:highlight w:val="none"/>
        </w:rPr>
        <w:t xml:space="preserve">荷载 </w:t>
      </w:r>
      <w:r>
        <w:rPr>
          <w:rFonts w:hint="eastAsia" w:ascii="宋体" w:hAnsi="宋体"/>
          <w:b/>
          <w:color w:val="auto"/>
          <w:sz w:val="24"/>
          <w:highlight w:val="none"/>
        </w:rPr>
        <w:t xml:space="preserve"> 本工程结构设计所采用的主要标准及规范参照设计要求设计</w:t>
      </w:r>
    </w:p>
    <w:p w14:paraId="787E9EA3">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《建筑结构荷载规范》（GB50009-2012）、《混凝土结构设计规范》（GB50010-2010）（2015年版</w:t>
      </w:r>
      <w:r>
        <w:rPr>
          <w:rFonts w:ascii="宋体" w:hAnsi="宋体"/>
          <w:color w:val="auto"/>
          <w:sz w:val="24"/>
          <w:highlight w:val="none"/>
        </w:rPr>
        <w:t>）</w:t>
      </w:r>
      <w:r>
        <w:rPr>
          <w:rFonts w:hint="eastAsia" w:ascii="宋体" w:hAnsi="宋体"/>
          <w:color w:val="auto"/>
          <w:sz w:val="24"/>
          <w:highlight w:val="none"/>
        </w:rPr>
        <w:t>、</w:t>
      </w:r>
    </w:p>
    <w:p w14:paraId="5CAD351E">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《建筑工程抗震设防分类标准》（GB50223-2008）、《建筑地基基础设计规范》（GB50007-2011）、</w:t>
      </w:r>
    </w:p>
    <w:p w14:paraId="6710B252">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《砌体结构设计规范》（GB50003-2011）、《建筑抗震设计规范》（GB500011-2010）、《建筑结构可靠性设计统一标准》（GB500068-2018）、《工程结构可靠性设计统一标准》（GB 50153-2008）、</w:t>
      </w:r>
    </w:p>
    <w:p w14:paraId="59DF3ADA">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《钢结构设计标准》（GB 50017-2017）《混凝土结构耐久性设计标准》（GB/T50476-2019）、</w:t>
      </w:r>
    </w:p>
    <w:p w14:paraId="5C41C1B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《建设地基处理技术规范规范》（JGJ 79-2012）、《工业建筑防腐蚀设计标准》（GB 50046-2018）</w:t>
      </w:r>
    </w:p>
    <w:p w14:paraId="604A16C4">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楼、地面活荷载按《建筑结构荷载规范》（GB50009-2012）及各专业提供的操作与检修荷载。 </w:t>
      </w:r>
    </w:p>
    <w:p w14:paraId="29E859D8">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基本风压： 0.35kN/m2  </w:t>
      </w:r>
    </w:p>
    <w:p w14:paraId="01136E5C">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基本雪压： 0.50kN/m2 </w:t>
      </w:r>
    </w:p>
    <w:p w14:paraId="428D0BC1">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2.2.7.12</w:t>
      </w:r>
      <w:r>
        <w:rPr>
          <w:rFonts w:ascii="宋体" w:hAnsi="宋体"/>
          <w:b/>
          <w:color w:val="auto"/>
          <w:sz w:val="24"/>
          <w:highlight w:val="none"/>
        </w:rPr>
        <w:t xml:space="preserve">主要材料： </w:t>
      </w:r>
    </w:p>
    <w:p w14:paraId="6ED100B1">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混凝土： 建筑物为C25或C30，构筑物为C30，垫层为C</w:t>
      </w:r>
      <w:r>
        <w:rPr>
          <w:rFonts w:hint="eastAsia" w:ascii="宋体" w:hAnsi="宋体"/>
          <w:color w:val="auto"/>
          <w:sz w:val="24"/>
          <w:highlight w:val="none"/>
        </w:rPr>
        <w:t>20</w:t>
      </w:r>
      <w:r>
        <w:rPr>
          <w:rFonts w:ascii="宋体" w:hAnsi="宋体"/>
          <w:color w:val="auto"/>
          <w:sz w:val="24"/>
          <w:highlight w:val="none"/>
        </w:rPr>
        <w:t>，均采用商品混凝土。</w:t>
      </w:r>
    </w:p>
    <w:p w14:paraId="7382A17C">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钢  筋：直径d≤10mm为HPB300， 直径d≥12mm为HRB335，HRB400。 </w:t>
      </w:r>
    </w:p>
    <w:p w14:paraId="1D33354C">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焊  条：E43型（HPB300/Q235），E50型（HRB335），E55型（HRB400）。 </w:t>
      </w:r>
    </w:p>
    <w:p w14:paraId="46CC8DDA">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填充墙：240厚采用页岩多孔砖，强度等级为MU10，M7.5混合砂浆砌筑。</w:t>
      </w:r>
    </w:p>
    <w:p w14:paraId="7CAD88C7">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栏  杆：</w:t>
      </w:r>
      <w:r>
        <w:rPr>
          <w:rFonts w:hint="eastAsia" w:ascii="宋体" w:hAnsi="宋体"/>
          <w:color w:val="auto"/>
          <w:sz w:val="24"/>
          <w:highlight w:val="none"/>
        </w:rPr>
        <w:t>采用直径</w:t>
      </w:r>
      <w:r>
        <w:rPr>
          <w:rFonts w:ascii="宋体" w:hAnsi="宋体"/>
          <w:color w:val="auto"/>
          <w:sz w:val="24"/>
          <w:highlight w:val="none"/>
        </w:rPr>
        <w:t>大于</w:t>
      </w:r>
      <w:r>
        <w:rPr>
          <w:rFonts w:hint="eastAsia" w:ascii="宋体" w:hAnsi="宋体"/>
          <w:color w:val="auto"/>
          <w:sz w:val="24"/>
          <w:highlight w:val="none"/>
        </w:rPr>
        <w:t>20</w:t>
      </w:r>
      <w:r>
        <w:rPr>
          <w:rFonts w:ascii="宋体" w:hAnsi="宋体"/>
          <w:color w:val="auto"/>
          <w:sz w:val="24"/>
          <w:highlight w:val="none"/>
        </w:rPr>
        <w:t xml:space="preserve">mm的圆钢。 </w:t>
      </w:r>
    </w:p>
    <w:p w14:paraId="6A438687">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钢盖板、钢格板：热镀锌钢格栅板。 </w:t>
      </w:r>
    </w:p>
    <w:p w14:paraId="6F1C85E8">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2.2.7.13</w:t>
      </w:r>
      <w:r>
        <w:rPr>
          <w:rFonts w:ascii="宋体" w:hAnsi="宋体"/>
          <w:b/>
          <w:color w:val="auto"/>
          <w:sz w:val="24"/>
          <w:highlight w:val="none"/>
        </w:rPr>
        <w:t xml:space="preserve">标准规范及图集 </w:t>
      </w:r>
    </w:p>
    <w:p w14:paraId="47A3CF20">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主要采用现行的国家标准规范、规程、标准图集和浙江省地方标准及图集。 </w:t>
      </w:r>
    </w:p>
    <w:p w14:paraId="10E22015">
      <w:pPr>
        <w:adjustRightInd w:val="0"/>
        <w:snapToGrid w:val="0"/>
        <w:spacing w:line="360" w:lineRule="auto"/>
        <w:rPr>
          <w:rFonts w:ascii="宋体" w:hAnsi="宋体"/>
          <w:b/>
          <w:color w:val="auto"/>
          <w:sz w:val="24"/>
          <w:highlight w:val="none"/>
        </w:rPr>
      </w:pPr>
      <w:bookmarkStart w:id="233" w:name="_Toc275700332"/>
      <w:bookmarkStart w:id="234" w:name="_Toc388520334"/>
      <w:bookmarkStart w:id="235" w:name="_Ref167005534"/>
      <w:r>
        <w:rPr>
          <w:rFonts w:hint="eastAsia" w:ascii="宋体" w:hAnsi="宋体"/>
          <w:b/>
          <w:color w:val="auto"/>
          <w:sz w:val="24"/>
          <w:highlight w:val="none"/>
        </w:rPr>
        <w:t>2.2.8</w:t>
      </w:r>
      <w:r>
        <w:rPr>
          <w:rFonts w:ascii="宋体" w:hAnsi="宋体"/>
          <w:b/>
          <w:color w:val="auto"/>
          <w:sz w:val="24"/>
          <w:highlight w:val="none"/>
        </w:rPr>
        <w:t>给排水</w:t>
      </w:r>
      <w:bookmarkEnd w:id="233"/>
      <w:bookmarkEnd w:id="234"/>
      <w:bookmarkEnd w:id="235"/>
    </w:p>
    <w:p w14:paraId="3C8B2A3D">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2.2.8.1</w:t>
      </w:r>
      <w:r>
        <w:rPr>
          <w:rFonts w:ascii="宋体" w:hAnsi="宋体"/>
          <w:b/>
          <w:color w:val="auto"/>
          <w:sz w:val="24"/>
          <w:highlight w:val="none"/>
        </w:rPr>
        <w:t>自然条件资料：</w:t>
      </w:r>
    </w:p>
    <w:p w14:paraId="22195CBD">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土壤最大冻结深度（自然地面下）：10mm。</w:t>
      </w:r>
    </w:p>
    <w:p w14:paraId="7F4509C0">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pict>
          <v:shape id="Object 3" o:spid="_x0000_s1026" o:spt="75" type="#_x0000_t75" style="position:absolute;left:0pt;margin-left:144.35pt;margin-top:14.55pt;height:33pt;width:121pt;z-index:251659264;mso-width-relative:page;mso-height-relative:page;" filled="t" o:preferrelative="t" stroked="f" coordsize="21600,21600">
            <v:path/>
            <v:fill on="t" focussize="0,0"/>
            <v:stroke on="f" joinstyle="miter"/>
            <v:imagedata r:id="rId9" o:title=""/>
            <o:lock v:ext="edit" aspectratio="t"/>
          </v:shape>
        </w:pict>
      </w:r>
      <w:r>
        <w:rPr>
          <w:rFonts w:ascii="宋体" w:hAnsi="宋体"/>
          <w:color w:val="auto"/>
          <w:sz w:val="24"/>
          <w:highlight w:val="none"/>
        </w:rPr>
        <w:t>地下水水位标高（地表下）</w:t>
      </w:r>
      <w:r>
        <w:rPr>
          <w:rFonts w:ascii="宋体" w:hAnsi="宋体"/>
          <w:color w:val="auto"/>
          <w:sz w:val="24"/>
          <w:highlight w:val="none"/>
        </w:rPr>
        <w:tab/>
      </w:r>
      <w:r>
        <w:rPr>
          <w:rFonts w:ascii="宋体" w:hAnsi="宋体"/>
          <w:color w:val="auto"/>
          <w:sz w:val="24"/>
          <w:highlight w:val="none"/>
        </w:rPr>
        <w:t>：0.2~0.4m。</w:t>
      </w:r>
    </w:p>
    <w:p w14:paraId="3617F0B0">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 xml:space="preserve">本地区降雨量计算公式： </w:t>
      </w:r>
    </w:p>
    <w:p w14:paraId="7CCD6817">
      <w:pPr>
        <w:adjustRightInd w:val="0"/>
        <w:snapToGrid w:val="0"/>
        <w:spacing w:line="360" w:lineRule="auto"/>
        <w:ind w:firstLine="482" w:firstLineChars="200"/>
        <w:rPr>
          <w:rFonts w:ascii="宋体" w:hAnsi="宋体"/>
          <w:b/>
          <w:color w:val="auto"/>
          <w:sz w:val="24"/>
          <w:highlight w:val="none"/>
        </w:rPr>
      </w:pPr>
      <w:r>
        <w:rPr>
          <w:rFonts w:hint="eastAsia" w:ascii="宋体" w:hAnsi="宋体"/>
          <w:b/>
          <w:color w:val="auto"/>
          <w:sz w:val="24"/>
          <w:highlight w:val="none"/>
        </w:rPr>
        <w:t>2.2.8.2 给水排水</w:t>
      </w:r>
    </w:p>
    <w:p w14:paraId="7D782B57">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（1）设计依据</w:t>
      </w:r>
    </w:p>
    <w:p w14:paraId="16B0ABB2">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a）发包人提出的设计要求。</w:t>
      </w:r>
    </w:p>
    <w:p w14:paraId="3908FA8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b）总图、工艺专业提供的条件。</w:t>
      </w:r>
    </w:p>
    <w:p w14:paraId="5E112316">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d）有关规范：</w:t>
      </w:r>
    </w:p>
    <w:p w14:paraId="0D0549B5">
      <w:pPr>
        <w:spacing w:line="360" w:lineRule="auto"/>
        <w:ind w:firstLine="480"/>
        <w:rPr>
          <w:rFonts w:ascii="宋体" w:hAnsi="宋体"/>
          <w:color w:val="auto"/>
          <w:sz w:val="24"/>
          <w:highlight w:val="none"/>
        </w:rPr>
      </w:pPr>
      <w:r>
        <w:rPr>
          <w:rFonts w:hint="eastAsia" w:ascii="宋体" w:hAnsi="宋体"/>
          <w:color w:val="auto"/>
          <w:sz w:val="24"/>
          <w:highlight w:val="none"/>
        </w:rPr>
        <w:t>《石油化工设计防火标准》           GB50160-2008（2018年版）</w:t>
      </w:r>
    </w:p>
    <w:p w14:paraId="4B920CC7">
      <w:pPr>
        <w:spacing w:line="360" w:lineRule="auto"/>
        <w:ind w:firstLine="480"/>
        <w:rPr>
          <w:rFonts w:ascii="宋体" w:hAnsi="宋体"/>
          <w:color w:val="auto"/>
          <w:sz w:val="24"/>
          <w:highlight w:val="none"/>
        </w:rPr>
      </w:pPr>
      <w:r>
        <w:rPr>
          <w:rFonts w:hint="eastAsia" w:ascii="宋体" w:hAnsi="宋体"/>
          <w:color w:val="auto"/>
          <w:sz w:val="24"/>
          <w:highlight w:val="none"/>
        </w:rPr>
        <w:t>《建筑</w:t>
      </w:r>
      <w:r>
        <w:rPr>
          <w:rFonts w:ascii="宋体" w:hAnsi="宋体"/>
          <w:color w:val="auto"/>
          <w:sz w:val="24"/>
          <w:highlight w:val="none"/>
        </w:rPr>
        <w:t>设计防火规范</w:t>
      </w:r>
      <w:r>
        <w:rPr>
          <w:rFonts w:hint="eastAsia" w:ascii="宋体" w:hAnsi="宋体"/>
          <w:color w:val="auto"/>
          <w:sz w:val="24"/>
          <w:highlight w:val="none"/>
        </w:rPr>
        <w:t>》               GB50016-2014（2018年版）</w:t>
      </w:r>
    </w:p>
    <w:p w14:paraId="3F6F48FA">
      <w:pPr>
        <w:spacing w:line="360" w:lineRule="auto"/>
        <w:ind w:firstLine="480"/>
        <w:rPr>
          <w:rFonts w:ascii="宋体" w:hAnsi="宋体"/>
          <w:color w:val="auto"/>
          <w:sz w:val="24"/>
          <w:highlight w:val="none"/>
        </w:rPr>
      </w:pPr>
      <w:r>
        <w:rPr>
          <w:rFonts w:hint="eastAsia" w:ascii="宋体" w:hAnsi="宋体"/>
          <w:color w:val="auto"/>
          <w:sz w:val="24"/>
          <w:highlight w:val="none"/>
        </w:rPr>
        <w:t>《消防给水及消火栓系统技术规范》   GB 50974-2014</w:t>
      </w:r>
    </w:p>
    <w:p w14:paraId="2709A629">
      <w:pPr>
        <w:spacing w:line="360" w:lineRule="auto"/>
        <w:ind w:firstLine="480"/>
        <w:rPr>
          <w:rFonts w:ascii="宋体" w:hAnsi="宋体"/>
          <w:color w:val="auto"/>
          <w:sz w:val="24"/>
          <w:highlight w:val="none"/>
        </w:rPr>
      </w:pPr>
      <w:r>
        <w:rPr>
          <w:rFonts w:hint="eastAsia" w:ascii="宋体" w:hAnsi="宋体"/>
          <w:color w:val="auto"/>
          <w:sz w:val="24"/>
          <w:highlight w:val="none"/>
        </w:rPr>
        <w:t>《建筑灭火器配置设计规范》        GB50140-2005</w:t>
      </w:r>
    </w:p>
    <w:p w14:paraId="4F3AA82B">
      <w:pPr>
        <w:spacing w:line="360" w:lineRule="auto"/>
        <w:ind w:firstLine="480"/>
        <w:rPr>
          <w:rFonts w:ascii="宋体" w:hAnsi="宋体"/>
          <w:color w:val="auto"/>
          <w:sz w:val="24"/>
          <w:highlight w:val="none"/>
        </w:rPr>
      </w:pPr>
      <w:r>
        <w:rPr>
          <w:rFonts w:hint="eastAsia" w:ascii="宋体" w:hAnsi="宋体"/>
          <w:color w:val="auto"/>
          <w:sz w:val="24"/>
          <w:highlight w:val="none"/>
        </w:rPr>
        <w:t xml:space="preserve">《建筑给水排水设计规范》           </w:t>
      </w:r>
      <w:r>
        <w:rPr>
          <w:rFonts w:ascii="宋体" w:hAnsi="宋体"/>
          <w:color w:val="auto"/>
          <w:sz w:val="24"/>
          <w:highlight w:val="none"/>
        </w:rPr>
        <w:t xml:space="preserve">GB </w:t>
      </w:r>
      <w:r>
        <w:rPr>
          <w:rFonts w:hint="eastAsia" w:ascii="宋体" w:hAnsi="宋体"/>
          <w:color w:val="auto"/>
          <w:sz w:val="24"/>
          <w:highlight w:val="none"/>
        </w:rPr>
        <w:t>50015</w:t>
      </w:r>
      <w:r>
        <w:rPr>
          <w:rFonts w:ascii="宋体" w:hAnsi="宋体"/>
          <w:color w:val="auto"/>
          <w:sz w:val="24"/>
          <w:highlight w:val="none"/>
        </w:rPr>
        <w:t>-</w:t>
      </w:r>
      <w:r>
        <w:rPr>
          <w:rFonts w:hint="eastAsia" w:ascii="宋体" w:hAnsi="宋体"/>
          <w:color w:val="auto"/>
          <w:sz w:val="24"/>
          <w:highlight w:val="none"/>
        </w:rPr>
        <w:t>2003（2009年版）</w:t>
      </w:r>
    </w:p>
    <w:p w14:paraId="37CDCE22">
      <w:pPr>
        <w:spacing w:line="360" w:lineRule="auto"/>
        <w:ind w:firstLine="480"/>
        <w:rPr>
          <w:rFonts w:ascii="宋体" w:hAnsi="宋体"/>
          <w:color w:val="auto"/>
          <w:sz w:val="24"/>
          <w:highlight w:val="none"/>
        </w:rPr>
      </w:pPr>
      <w:r>
        <w:rPr>
          <w:rFonts w:hint="eastAsia" w:ascii="宋体" w:hAnsi="宋体"/>
          <w:color w:val="auto"/>
          <w:sz w:val="24"/>
          <w:highlight w:val="none"/>
        </w:rPr>
        <w:t>《室外给水设计标准》               GB50013-2018</w:t>
      </w:r>
    </w:p>
    <w:p w14:paraId="17C90A95">
      <w:pPr>
        <w:spacing w:line="360" w:lineRule="auto"/>
        <w:ind w:firstLine="480"/>
        <w:rPr>
          <w:rFonts w:ascii="宋体" w:hAnsi="宋体"/>
          <w:color w:val="auto"/>
          <w:sz w:val="24"/>
          <w:highlight w:val="none"/>
        </w:rPr>
      </w:pPr>
      <w:r>
        <w:rPr>
          <w:rFonts w:hint="eastAsia" w:ascii="宋体" w:hAnsi="宋体"/>
          <w:color w:val="auto"/>
          <w:sz w:val="24"/>
          <w:highlight w:val="none"/>
        </w:rPr>
        <w:t>《室外排水设计规范》              GB50014-2006（2016年版）</w:t>
      </w:r>
    </w:p>
    <w:p w14:paraId="027A85F3">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《污水综合排放标准》              GB8978-1996</w:t>
      </w:r>
    </w:p>
    <w:p w14:paraId="5BF11209">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 xml:space="preserve">《水体污染防控紧急措施设计导则》  中国石化建标[2006]43号 </w:t>
      </w:r>
    </w:p>
    <w:p w14:paraId="61591216">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《化工建设项目环境保护设计规范》  GB50483-2009</w:t>
      </w:r>
    </w:p>
    <w:p w14:paraId="126EDF5C">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2.2.8.3设计范围</w:t>
      </w:r>
    </w:p>
    <w:p w14:paraId="594843A3">
      <w:pPr>
        <w:spacing w:line="360" w:lineRule="auto"/>
        <w:ind w:firstLine="480"/>
        <w:rPr>
          <w:rFonts w:ascii="宋体" w:hAnsi="宋体"/>
          <w:color w:val="auto"/>
          <w:sz w:val="24"/>
          <w:highlight w:val="none"/>
        </w:rPr>
      </w:pPr>
      <w:r>
        <w:rPr>
          <w:rFonts w:hint="eastAsia" w:ascii="宋体" w:hAnsi="宋体"/>
          <w:color w:val="auto"/>
          <w:sz w:val="24"/>
          <w:highlight w:val="none"/>
        </w:rPr>
        <w:t>为本项目配套的给排水设计、消防设计。设计内容包括生产水、消防水、雨水、低浓度生产废水管网设计。</w:t>
      </w:r>
    </w:p>
    <w:p w14:paraId="421A298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设计给水管网包括：循环冷却水管网、软化水管网等管网系统。</w:t>
      </w:r>
    </w:p>
    <w:p w14:paraId="16069001">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设计排水管网包括清洁雨水排水（兼作消防事故排水）管网、低浓度生产废水（含初期雨水）管网等两个。</w:t>
      </w:r>
    </w:p>
    <w:p w14:paraId="29F60381">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2.2.8.4项目概况及供排水现状</w:t>
      </w:r>
    </w:p>
    <w:p w14:paraId="5602A0DB">
      <w:pPr>
        <w:spacing w:line="360" w:lineRule="auto"/>
        <w:ind w:firstLine="480"/>
        <w:rPr>
          <w:rFonts w:ascii="宋体" w:hAnsi="宋体"/>
          <w:color w:val="auto"/>
          <w:sz w:val="24"/>
          <w:highlight w:val="none"/>
        </w:rPr>
      </w:pPr>
      <w:r>
        <w:rPr>
          <w:rFonts w:hint="eastAsia" w:ascii="宋体" w:hAnsi="宋体"/>
          <w:color w:val="auto"/>
          <w:sz w:val="24"/>
          <w:highlight w:val="none"/>
        </w:rPr>
        <w:t>本项目拟建在浙江衢州巨塑化工有限公司厂区。本项目新建的工艺生产装置有：</w:t>
      </w:r>
      <w:r>
        <w:rPr>
          <w:rFonts w:hint="eastAsia" w:ascii="宋体" w:hAnsi="宋体"/>
          <w:color w:val="auto"/>
          <w:kern w:val="0"/>
          <w:sz w:val="24"/>
          <w:highlight w:val="none"/>
        </w:rPr>
        <w:t>压缩机厂房</w:t>
      </w:r>
      <w:r>
        <w:rPr>
          <w:rFonts w:hint="eastAsia" w:ascii="宋体" w:hAnsi="宋体"/>
          <w:color w:val="auto"/>
          <w:sz w:val="24"/>
          <w:highlight w:val="none"/>
        </w:rPr>
        <w:t>。</w:t>
      </w:r>
    </w:p>
    <w:p w14:paraId="74925FB8">
      <w:pPr>
        <w:spacing w:line="360" w:lineRule="auto"/>
        <w:ind w:firstLine="480"/>
        <w:rPr>
          <w:rFonts w:ascii="宋体" w:hAnsi="宋体"/>
          <w:color w:val="auto"/>
          <w:sz w:val="24"/>
          <w:highlight w:val="none"/>
        </w:rPr>
      </w:pPr>
      <w:r>
        <w:rPr>
          <w:rFonts w:hint="eastAsia" w:ascii="宋体" w:hAnsi="宋体"/>
          <w:color w:val="auto"/>
          <w:sz w:val="24"/>
          <w:highlight w:val="none"/>
        </w:rPr>
        <w:t>厂区目前建有较为完善的给排水系统，厂区的给排水系统具体情况如下：</w:t>
      </w:r>
    </w:p>
    <w:p w14:paraId="095FF344">
      <w:pPr>
        <w:spacing w:line="360" w:lineRule="auto"/>
        <w:ind w:firstLine="480"/>
        <w:rPr>
          <w:rFonts w:ascii="宋体" w:hAnsi="宋体"/>
          <w:color w:val="auto"/>
          <w:sz w:val="24"/>
          <w:highlight w:val="none"/>
        </w:rPr>
      </w:pPr>
      <w:r>
        <w:rPr>
          <w:rFonts w:hint="eastAsia" w:ascii="宋体" w:hAnsi="宋体"/>
          <w:color w:val="auto"/>
          <w:sz w:val="24"/>
          <w:highlight w:val="none"/>
        </w:rPr>
        <w:t>（1）本项目建设地：</w:t>
      </w:r>
    </w:p>
    <w:p w14:paraId="1BFEF5BB">
      <w:pPr>
        <w:spacing w:line="360" w:lineRule="auto"/>
        <w:ind w:firstLine="480"/>
        <w:rPr>
          <w:rFonts w:ascii="宋体" w:hAnsi="宋体"/>
          <w:color w:val="auto"/>
          <w:sz w:val="24"/>
          <w:highlight w:val="none"/>
        </w:rPr>
      </w:pPr>
      <w:r>
        <w:rPr>
          <w:rFonts w:hint="eastAsia" w:ascii="宋体" w:hAnsi="宋体"/>
          <w:color w:val="auto"/>
          <w:sz w:val="24"/>
          <w:highlight w:val="none"/>
        </w:rPr>
        <w:t>已建有生活水、生产新鲜水合用管网系统、循环水管网系统、稳高压消防水管网系统、雨水管网系统、生产污水管网系统及消防事故水收集系统，工艺装置所需循环水就近由现有循环水装置提供；</w:t>
      </w:r>
    </w:p>
    <w:p w14:paraId="39DDF998">
      <w:pPr>
        <w:spacing w:line="360" w:lineRule="auto"/>
        <w:ind w:firstLine="480"/>
        <w:rPr>
          <w:rFonts w:ascii="宋体" w:hAnsi="宋体"/>
          <w:color w:val="auto"/>
          <w:sz w:val="24"/>
          <w:highlight w:val="none"/>
        </w:rPr>
      </w:pPr>
      <w:r>
        <w:rPr>
          <w:rFonts w:hint="eastAsia" w:ascii="宋体" w:hAnsi="宋体"/>
          <w:color w:val="auto"/>
          <w:sz w:val="24"/>
          <w:highlight w:val="none"/>
        </w:rPr>
        <w:t>排水：</w:t>
      </w:r>
    </w:p>
    <w:p w14:paraId="6F66858D">
      <w:pPr>
        <w:spacing w:line="360" w:lineRule="auto"/>
        <w:ind w:firstLine="480"/>
        <w:rPr>
          <w:rFonts w:ascii="宋体" w:hAnsi="宋体"/>
          <w:color w:val="auto"/>
          <w:sz w:val="24"/>
          <w:highlight w:val="none"/>
        </w:rPr>
      </w:pPr>
      <w:r>
        <w:rPr>
          <w:rFonts w:hint="eastAsia" w:ascii="宋体" w:hAnsi="宋体"/>
          <w:color w:val="auto"/>
          <w:sz w:val="24"/>
          <w:highlight w:val="none"/>
        </w:rPr>
        <w:t>（1）本项目建设地：</w:t>
      </w:r>
    </w:p>
    <w:p w14:paraId="10CC5AB5">
      <w:pPr>
        <w:spacing w:line="360" w:lineRule="auto"/>
        <w:ind w:firstLine="480"/>
        <w:rPr>
          <w:rFonts w:ascii="宋体" w:hAnsi="宋体"/>
          <w:color w:val="auto"/>
          <w:sz w:val="24"/>
          <w:highlight w:val="none"/>
        </w:rPr>
      </w:pPr>
      <w:r>
        <w:rPr>
          <w:rFonts w:hint="eastAsia" w:ascii="宋体" w:hAnsi="宋体"/>
          <w:color w:val="auto"/>
          <w:sz w:val="24"/>
          <w:highlight w:val="none"/>
        </w:rPr>
        <w:t>a、厂区内清净雨水通过</w:t>
      </w:r>
      <w:r>
        <w:rPr>
          <w:rFonts w:ascii="宋体" w:hAnsi="宋体"/>
          <w:color w:val="auto"/>
          <w:sz w:val="24"/>
          <w:highlight w:val="none"/>
        </w:rPr>
        <w:t>氯化钙区域排放口，收集后</w:t>
      </w:r>
      <w:r>
        <w:rPr>
          <w:rFonts w:hint="eastAsia" w:ascii="宋体" w:hAnsi="宋体"/>
          <w:color w:val="auto"/>
          <w:sz w:val="24"/>
          <w:highlight w:val="none"/>
        </w:rPr>
        <w:t>排入巨化公司西排渠 ；</w:t>
      </w:r>
    </w:p>
    <w:p w14:paraId="3E200B8C">
      <w:pPr>
        <w:spacing w:line="360" w:lineRule="auto"/>
        <w:ind w:firstLine="480"/>
        <w:rPr>
          <w:rFonts w:ascii="宋体" w:hAnsi="宋体"/>
          <w:color w:val="auto"/>
          <w:sz w:val="24"/>
          <w:highlight w:val="none"/>
        </w:rPr>
      </w:pPr>
      <w:r>
        <w:rPr>
          <w:rFonts w:hint="eastAsia" w:ascii="宋体" w:hAnsi="宋体"/>
          <w:color w:val="auto"/>
          <w:sz w:val="24"/>
          <w:highlight w:val="none"/>
        </w:rPr>
        <w:t>b、蒸发冷凝废水进入厂区冷凝水处理装置处理后依托电化厂C类排口排入衢州清越环保污水处理厂处理；</w:t>
      </w:r>
    </w:p>
    <w:p w14:paraId="24690642">
      <w:pPr>
        <w:spacing w:line="360" w:lineRule="auto"/>
        <w:ind w:firstLine="480"/>
        <w:rPr>
          <w:rFonts w:ascii="宋体" w:hAnsi="宋体"/>
          <w:color w:val="auto"/>
          <w:sz w:val="24"/>
          <w:highlight w:val="none"/>
        </w:rPr>
      </w:pPr>
      <w:r>
        <w:rPr>
          <w:rFonts w:hint="eastAsia" w:ascii="宋体" w:hAnsi="宋体"/>
          <w:color w:val="auto"/>
          <w:sz w:val="24"/>
          <w:highlight w:val="none"/>
        </w:rPr>
        <w:t>c、场地设有消防事故废水收集系统及事故水缓冲池。消防事故废水主要储存在排水沟、缓冲池。</w:t>
      </w:r>
    </w:p>
    <w:p w14:paraId="2199E903">
      <w:pPr>
        <w:spacing w:line="360" w:lineRule="auto"/>
        <w:ind w:firstLine="480"/>
        <w:rPr>
          <w:rFonts w:ascii="宋体" w:hAnsi="宋体"/>
          <w:color w:val="auto"/>
          <w:sz w:val="24"/>
          <w:highlight w:val="none"/>
        </w:rPr>
      </w:pPr>
      <w:r>
        <w:rPr>
          <w:rFonts w:hint="eastAsia" w:ascii="宋体" w:hAnsi="宋体"/>
          <w:color w:val="auto"/>
          <w:sz w:val="24"/>
          <w:highlight w:val="none"/>
        </w:rPr>
        <w:t>d、生活污水收集后，设泵提升送巨环公司污水处理厂。</w:t>
      </w:r>
    </w:p>
    <w:p w14:paraId="572EB411">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2.2.8.</w:t>
      </w:r>
      <w:r>
        <w:rPr>
          <w:rFonts w:ascii="宋体" w:hAnsi="宋体"/>
          <w:b/>
          <w:color w:val="auto"/>
          <w:sz w:val="24"/>
          <w:highlight w:val="none"/>
        </w:rPr>
        <w:t>5</w:t>
      </w:r>
      <w:r>
        <w:rPr>
          <w:rFonts w:hint="eastAsia" w:ascii="宋体" w:hAnsi="宋体"/>
          <w:b/>
          <w:color w:val="auto"/>
          <w:sz w:val="24"/>
          <w:highlight w:val="none"/>
        </w:rPr>
        <w:t xml:space="preserve"> 项目给水</w:t>
      </w:r>
    </w:p>
    <w:p w14:paraId="4A659B57">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hint="eastAsia" w:ascii="宋体" w:hAnsi="宋体"/>
          <w:color w:val="auto"/>
          <w:sz w:val="24"/>
          <w:highlight w:val="none"/>
        </w:rPr>
        <w:t>给水水源</w:t>
      </w:r>
    </w:p>
    <w:p w14:paraId="36E4064B">
      <w:pPr>
        <w:spacing w:line="360" w:lineRule="auto"/>
        <w:ind w:firstLine="480"/>
        <w:rPr>
          <w:rFonts w:ascii="宋体" w:hAnsi="宋体"/>
          <w:color w:val="auto"/>
          <w:sz w:val="24"/>
          <w:highlight w:val="none"/>
        </w:rPr>
      </w:pPr>
      <w:r>
        <w:rPr>
          <w:rFonts w:hint="eastAsia" w:ascii="宋体" w:hAnsi="宋体"/>
          <w:color w:val="auto"/>
          <w:sz w:val="24"/>
          <w:highlight w:val="none"/>
        </w:rPr>
        <w:t>巨化公司建厂时配套建设水厂一座，位于巨化集团公司厂区东南部，占地约100亩，它不仅是巨化集团公司的自备水厂，还承担巨化周边区域的供水职能。该水厂为</w:t>
      </w:r>
      <w:r>
        <w:rPr>
          <w:rFonts w:ascii="宋体" w:hAnsi="宋体"/>
          <w:color w:val="auto"/>
          <w:sz w:val="24"/>
          <w:highlight w:val="none"/>
        </w:rPr>
        <w:t>生活用水水厂和工业用水水厂合建，</w:t>
      </w:r>
      <w:r>
        <w:rPr>
          <w:rFonts w:hint="eastAsia" w:ascii="宋体" w:hAnsi="宋体"/>
          <w:color w:val="auto"/>
          <w:sz w:val="24"/>
          <w:highlight w:val="none"/>
        </w:rPr>
        <w:t>水厂内建有生活给水和生产给水两个给水系统，生活给水系统主要供巨化生活区及周边区域的生活用水，生产给水系统主要供巨化公司下属各单位的生产新鲜水及生活用水。两种给水系统水源均</w:t>
      </w:r>
      <w:r>
        <w:rPr>
          <w:rFonts w:ascii="宋体" w:hAnsi="宋体"/>
          <w:color w:val="auto"/>
          <w:sz w:val="24"/>
          <w:highlight w:val="none"/>
        </w:rPr>
        <w:t>取自</w:t>
      </w:r>
      <w:r>
        <w:rPr>
          <w:rFonts w:hint="eastAsia" w:ascii="宋体" w:hAnsi="宋体"/>
          <w:color w:val="auto"/>
          <w:sz w:val="24"/>
          <w:highlight w:val="none"/>
        </w:rPr>
        <w:t>距巨化公司约</w:t>
      </w:r>
      <w:r>
        <w:rPr>
          <w:rFonts w:ascii="宋体" w:hAnsi="宋体"/>
          <w:color w:val="auto"/>
          <w:sz w:val="24"/>
          <w:highlight w:val="none"/>
        </w:rPr>
        <w:t>8</w:t>
      </w:r>
      <w:r>
        <w:rPr>
          <w:rFonts w:hint="eastAsia" w:ascii="宋体" w:hAnsi="宋体"/>
          <w:color w:val="auto"/>
          <w:sz w:val="24"/>
          <w:highlight w:val="none"/>
        </w:rPr>
        <w:t>公里处的乌溪江黄坛口</w:t>
      </w:r>
      <w:r>
        <w:rPr>
          <w:rFonts w:ascii="宋体" w:hAnsi="宋体"/>
          <w:color w:val="auto"/>
          <w:sz w:val="24"/>
          <w:highlight w:val="none"/>
        </w:rPr>
        <w:t>水库</w:t>
      </w:r>
      <w:r>
        <w:rPr>
          <w:rFonts w:hint="eastAsia" w:ascii="宋体" w:hAnsi="宋体"/>
          <w:color w:val="auto"/>
          <w:sz w:val="24"/>
          <w:highlight w:val="none"/>
        </w:rPr>
        <w:t>发电尾水</w:t>
      </w:r>
      <w:r>
        <w:rPr>
          <w:rFonts w:ascii="宋体" w:hAnsi="宋体"/>
          <w:color w:val="auto"/>
          <w:sz w:val="24"/>
          <w:highlight w:val="none"/>
        </w:rPr>
        <w:t>，取水口设在石室堰。</w:t>
      </w:r>
      <w:r>
        <w:rPr>
          <w:rFonts w:hint="eastAsia" w:ascii="宋体" w:hAnsi="宋体"/>
          <w:color w:val="auto"/>
          <w:sz w:val="24"/>
          <w:highlight w:val="none"/>
        </w:rPr>
        <w:t>除雨季外水质为低温、低浊、低硬度水，全年水温低于</w:t>
      </w:r>
      <w:r>
        <w:rPr>
          <w:rFonts w:ascii="宋体" w:hAnsi="宋体"/>
          <w:color w:val="auto"/>
          <w:sz w:val="24"/>
          <w:highlight w:val="none"/>
        </w:rPr>
        <w:t>2</w:t>
      </w:r>
      <w:r>
        <w:rPr>
          <w:rFonts w:hint="eastAsia" w:ascii="宋体" w:hAnsi="宋体"/>
          <w:color w:val="auto"/>
          <w:sz w:val="24"/>
          <w:highlight w:val="none"/>
        </w:rPr>
        <w:t>5</w:t>
      </w:r>
      <w:r>
        <w:rPr>
          <w:rFonts w:ascii="宋体" w:hAnsi="宋体"/>
          <w:color w:val="auto"/>
          <w:sz w:val="24"/>
          <w:highlight w:val="none"/>
        </w:rPr>
        <w:t>C</w:t>
      </w:r>
      <w:r>
        <w:rPr>
          <w:rFonts w:hint="eastAsia" w:ascii="宋体" w:hAnsi="宋体"/>
          <w:color w:val="auto"/>
          <w:sz w:val="24"/>
          <w:highlight w:val="none"/>
        </w:rPr>
        <w:t>。水库来水经巨化公司引水总干渠自流进入巨化公司水厂，沉淀后由水厂供水车间生产给水泵加压送出，通过公司现有两个生产新鲜水环状供水管网供给巨化公司下属的各厂生产新鲜水及生活用水，出厂水压0.32~0.37MPa。2014年巨化公司水厂的生活水泵房、生产水泵房实施改造，目前已改造完成并投入运行，改造后的生活水系统的供水能力可达5万吨/日（其中供衢州高新园区及巨化西片区能力1.8万吨/日），改造后生产水系统供水能力可达到50万吨/日。</w:t>
      </w:r>
    </w:p>
    <w:p w14:paraId="03A052EE">
      <w:pPr>
        <w:spacing w:line="360" w:lineRule="auto"/>
        <w:ind w:firstLine="480"/>
        <w:rPr>
          <w:rFonts w:ascii="宋体" w:hAnsi="宋体"/>
          <w:color w:val="auto"/>
          <w:sz w:val="24"/>
          <w:highlight w:val="none"/>
        </w:rPr>
      </w:pPr>
      <w:r>
        <w:rPr>
          <w:rFonts w:hint="eastAsia" w:ascii="宋体" w:hAnsi="宋体"/>
          <w:color w:val="auto"/>
          <w:sz w:val="24"/>
          <w:highlight w:val="none"/>
        </w:rPr>
        <w:t>目前巨塑生产厂区的生产用水和生活用水由DN1200干管组成的环网接出的一根DN500和一根DN400管道供给，管道在生产厂区内已形成环状管网。</w:t>
      </w:r>
    </w:p>
    <w:p w14:paraId="1FFB6FCE">
      <w:pPr>
        <w:spacing w:line="360" w:lineRule="auto"/>
        <w:ind w:firstLine="48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项目给水</w:t>
      </w:r>
    </w:p>
    <w:p w14:paraId="48BAF58F">
      <w:pPr>
        <w:spacing w:line="360" w:lineRule="auto"/>
        <w:ind w:firstLine="480"/>
        <w:rPr>
          <w:rFonts w:ascii="宋体" w:hAnsi="宋体"/>
          <w:color w:val="auto"/>
          <w:sz w:val="24"/>
          <w:highlight w:val="none"/>
        </w:rPr>
      </w:pPr>
      <w:r>
        <w:rPr>
          <w:rFonts w:hint="eastAsia" w:ascii="宋体" w:hAnsi="宋体"/>
          <w:color w:val="auto"/>
          <w:sz w:val="24"/>
          <w:highlight w:val="none"/>
        </w:rPr>
        <w:t xml:space="preserve">按用水水质要求及排水水质不同，本项目用水有生产用水、消防水、循环水共计三种。 </w:t>
      </w:r>
    </w:p>
    <w:p w14:paraId="50B99356">
      <w:pPr>
        <w:spacing w:line="360" w:lineRule="auto"/>
        <w:ind w:firstLine="480"/>
        <w:rPr>
          <w:rFonts w:ascii="宋体" w:hAnsi="宋体"/>
          <w:color w:val="auto"/>
          <w:sz w:val="24"/>
          <w:highlight w:val="none"/>
        </w:rPr>
      </w:pPr>
      <w:r>
        <w:rPr>
          <w:rFonts w:hint="eastAsia" w:ascii="宋体" w:hAnsi="宋体"/>
          <w:color w:val="auto"/>
          <w:sz w:val="24"/>
          <w:highlight w:val="none"/>
        </w:rPr>
        <w:t xml:space="preserve">本项目给水分为生产用水主要为压缩机出口蒸汽喷水，采用蒸汽冷凝水回补；循环水主要为机泵冷却水，就近接入循环水站；消防水由聚荟消防水站及配套的稳高压消防水系统供给，可依托现有消防管网系统，或进行局部改造。 </w:t>
      </w:r>
    </w:p>
    <w:p w14:paraId="35C455C4">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2.2.8.</w:t>
      </w:r>
      <w:r>
        <w:rPr>
          <w:rFonts w:ascii="宋体" w:hAnsi="宋体"/>
          <w:b/>
          <w:color w:val="auto"/>
          <w:sz w:val="24"/>
          <w:highlight w:val="none"/>
        </w:rPr>
        <w:t>6</w:t>
      </w:r>
      <w:r>
        <w:rPr>
          <w:rFonts w:hint="eastAsia" w:ascii="宋体" w:hAnsi="宋体"/>
          <w:b/>
          <w:color w:val="auto"/>
          <w:sz w:val="24"/>
          <w:highlight w:val="none"/>
        </w:rPr>
        <w:t>项目排水</w:t>
      </w:r>
    </w:p>
    <w:bookmarkEnd w:id="229"/>
    <w:bookmarkEnd w:id="230"/>
    <w:p w14:paraId="2C5D1D70">
      <w:pPr>
        <w:spacing w:line="360" w:lineRule="auto"/>
        <w:ind w:firstLine="480"/>
        <w:rPr>
          <w:rFonts w:ascii="宋体" w:hAnsi="宋体"/>
          <w:color w:val="auto"/>
          <w:sz w:val="24"/>
          <w:highlight w:val="none"/>
        </w:rPr>
      </w:pPr>
      <w:r>
        <w:rPr>
          <w:rFonts w:hint="eastAsia" w:ascii="宋体" w:hAnsi="宋体"/>
          <w:color w:val="auto"/>
          <w:sz w:val="24"/>
          <w:highlight w:val="none"/>
        </w:rPr>
        <w:t>排水有生产清净下水及雨水、低浓度生产废水、消防事故废水三种。</w:t>
      </w:r>
    </w:p>
    <w:p w14:paraId="7FE4C756">
      <w:pPr>
        <w:spacing w:line="360" w:lineRule="auto"/>
        <w:ind w:firstLine="480"/>
        <w:rPr>
          <w:rFonts w:ascii="宋体" w:hAnsi="宋体"/>
          <w:color w:val="auto"/>
          <w:sz w:val="24"/>
          <w:highlight w:val="none"/>
        </w:rPr>
      </w:pPr>
      <w:r>
        <w:rPr>
          <w:rFonts w:hint="eastAsia" w:ascii="宋体" w:hAnsi="宋体"/>
          <w:color w:val="auto"/>
          <w:sz w:val="24"/>
          <w:highlight w:val="none"/>
        </w:rPr>
        <w:t>（1）生产清净下水及雨水</w:t>
      </w:r>
    </w:p>
    <w:p w14:paraId="03400C4E">
      <w:pPr>
        <w:spacing w:line="360" w:lineRule="auto"/>
        <w:ind w:firstLine="480"/>
        <w:rPr>
          <w:rFonts w:ascii="宋体" w:hAnsi="宋体"/>
          <w:color w:val="auto"/>
          <w:sz w:val="24"/>
          <w:highlight w:val="none"/>
        </w:rPr>
      </w:pPr>
      <w:r>
        <w:rPr>
          <w:rFonts w:hint="eastAsia" w:ascii="宋体" w:hAnsi="宋体"/>
          <w:color w:val="auto"/>
          <w:sz w:val="24"/>
          <w:highlight w:val="none"/>
        </w:rPr>
        <w:t>本项目在现有场地内建设，原有雨水系统的管道（渠）能力及相关排水设施已考虑本项目雨水量，项目清净场地雨水，通过新设计的排水沟，纳入厂区现有雨水排水沟，最终进入巨化公司西排渠。雨水支管，采用钢骨架聚乙烯塑料复合管，热熔连接。</w:t>
      </w:r>
    </w:p>
    <w:p w14:paraId="1F2D0CBF">
      <w:pPr>
        <w:spacing w:line="360" w:lineRule="auto"/>
        <w:ind w:firstLine="480"/>
        <w:rPr>
          <w:rFonts w:ascii="宋体" w:hAnsi="宋体"/>
          <w:color w:val="auto"/>
          <w:sz w:val="24"/>
          <w:highlight w:val="none"/>
        </w:rPr>
      </w:pPr>
      <w:r>
        <w:rPr>
          <w:rFonts w:hint="eastAsia" w:ascii="宋体" w:hAnsi="宋体"/>
          <w:color w:val="auto"/>
          <w:sz w:val="24"/>
          <w:highlight w:val="none"/>
        </w:rPr>
        <w:t>（2）低浓度生产废水</w:t>
      </w:r>
    </w:p>
    <w:p w14:paraId="30A7A988">
      <w:pPr>
        <w:spacing w:line="360" w:lineRule="auto"/>
        <w:ind w:firstLine="480"/>
        <w:rPr>
          <w:rFonts w:ascii="宋体" w:hAnsi="宋体"/>
          <w:color w:val="auto"/>
          <w:sz w:val="24"/>
          <w:highlight w:val="none"/>
        </w:rPr>
      </w:pPr>
      <w:r>
        <w:rPr>
          <w:rFonts w:hint="eastAsia" w:ascii="宋体" w:hAnsi="宋体"/>
          <w:color w:val="auto"/>
          <w:sz w:val="24"/>
          <w:highlight w:val="none"/>
        </w:rPr>
        <w:t>本项目生产单元排出的生产废水，主要为场地冲洗排水及含盐蒸汽冷凝水，排水量较少。废水经管道收集后，先重力流排入生产单元附近的地下废水收集池，然后用废水泵提升送到电化厂厂区现有的中和处理站，再集中用泵加压送巨化公司污水处理厂，处理达标后经巨化公司现有的排水暗管外排。泵出口压力流污水输送管敷设在外管架上，具体详见外管专业设计内容。</w:t>
      </w:r>
    </w:p>
    <w:p w14:paraId="15F5760C">
      <w:pPr>
        <w:spacing w:line="360" w:lineRule="auto"/>
        <w:ind w:firstLine="480"/>
        <w:rPr>
          <w:rFonts w:ascii="宋体" w:hAnsi="宋体"/>
          <w:color w:val="auto"/>
          <w:sz w:val="24"/>
          <w:highlight w:val="none"/>
        </w:rPr>
      </w:pPr>
      <w:r>
        <w:rPr>
          <w:rFonts w:hint="eastAsia" w:ascii="宋体" w:hAnsi="宋体"/>
          <w:color w:val="auto"/>
          <w:sz w:val="24"/>
          <w:highlight w:val="none"/>
        </w:rPr>
        <w:t>埋地敷设管道采用钢骨架聚乙烯塑料复合管，热熔连接；架空敷设管道采用孔网钢带聚乙烯塑料复合管，热熔连接。</w:t>
      </w:r>
    </w:p>
    <w:p w14:paraId="2670A904">
      <w:pPr>
        <w:spacing w:line="360" w:lineRule="auto"/>
        <w:ind w:firstLine="480"/>
        <w:rPr>
          <w:rFonts w:ascii="宋体" w:hAnsi="宋体"/>
          <w:color w:val="auto"/>
          <w:sz w:val="24"/>
          <w:highlight w:val="none"/>
        </w:rPr>
      </w:pPr>
      <w:r>
        <w:rPr>
          <w:rFonts w:hint="eastAsia" w:ascii="宋体" w:hAnsi="宋体"/>
          <w:color w:val="auto"/>
          <w:sz w:val="24"/>
          <w:highlight w:val="none"/>
        </w:rPr>
        <w:t>3）消防事故污水</w:t>
      </w:r>
    </w:p>
    <w:p w14:paraId="032284A1">
      <w:pPr>
        <w:spacing w:line="360" w:lineRule="auto"/>
        <w:ind w:firstLine="480"/>
        <w:rPr>
          <w:rFonts w:ascii="宋体" w:hAnsi="宋体"/>
          <w:color w:val="auto"/>
          <w:sz w:val="24"/>
          <w:highlight w:val="none"/>
        </w:rPr>
      </w:pPr>
      <w:r>
        <w:rPr>
          <w:rFonts w:hint="eastAsia" w:ascii="宋体" w:hAnsi="宋体"/>
          <w:color w:val="auto"/>
          <w:sz w:val="24"/>
          <w:highlight w:val="none"/>
        </w:rPr>
        <w:t>根据《化工建设项目环境保护工程设计标准》GB 50483-2019要求，本项目建设地已建有配套消防事故水收集系统</w:t>
      </w:r>
      <w:r>
        <w:rPr>
          <w:rFonts w:ascii="宋体" w:hAnsi="宋体"/>
          <w:color w:val="auto"/>
          <w:sz w:val="24"/>
          <w:highlight w:val="none"/>
        </w:rPr>
        <w:t>。</w:t>
      </w:r>
    </w:p>
    <w:p w14:paraId="04DF52D2">
      <w:pPr>
        <w:spacing w:line="360" w:lineRule="auto"/>
        <w:rPr>
          <w:rFonts w:ascii="宋体" w:hAnsi="宋体"/>
          <w:b/>
          <w:color w:val="auto"/>
          <w:sz w:val="24"/>
          <w:highlight w:val="none"/>
        </w:rPr>
      </w:pPr>
      <w:r>
        <w:rPr>
          <w:rFonts w:hint="eastAsia" w:ascii="宋体" w:hAnsi="宋体"/>
          <w:b/>
          <w:color w:val="auto"/>
          <w:sz w:val="24"/>
          <w:highlight w:val="none"/>
        </w:rPr>
        <w:t>2.2.</w:t>
      </w:r>
      <w:r>
        <w:rPr>
          <w:rFonts w:ascii="宋体" w:hAnsi="宋体"/>
          <w:b/>
          <w:color w:val="auto"/>
          <w:sz w:val="24"/>
          <w:highlight w:val="none"/>
        </w:rPr>
        <w:t>8.7</w:t>
      </w:r>
      <w:r>
        <w:rPr>
          <w:rFonts w:hint="eastAsia" w:ascii="宋体" w:hAnsi="宋体"/>
          <w:b/>
          <w:color w:val="auto"/>
          <w:sz w:val="24"/>
          <w:highlight w:val="none"/>
        </w:rPr>
        <w:t>公用工程</w:t>
      </w:r>
    </w:p>
    <w:p w14:paraId="0CEB1CFD">
      <w:pPr>
        <w:spacing w:after="120" w:line="360" w:lineRule="auto"/>
        <w:ind w:firstLine="480" w:firstLineChars="200"/>
        <w:rPr>
          <w:rFonts w:ascii="宋体" w:hAnsi="宋体"/>
          <w:color w:val="auto"/>
          <w:sz w:val="24"/>
          <w:highlight w:val="none"/>
        </w:rPr>
      </w:pPr>
      <w:r>
        <w:rPr>
          <w:rFonts w:hint="eastAsia" w:ascii="宋体" w:hAnsi="宋体"/>
          <w:color w:val="auto"/>
          <w:sz w:val="24"/>
          <w:highlight w:val="none"/>
        </w:rPr>
        <w:t>本项目电信、火灾报警、公用工程、辅助生产设施等均依托原有系统，新建建筑物根据工艺专业要求设置暖通排风系统。</w:t>
      </w:r>
    </w:p>
    <w:p w14:paraId="315645CB">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36" w:name="_Toc355181189"/>
      <w:bookmarkStart w:id="237" w:name="_Toc534960837"/>
      <w:bookmarkStart w:id="238" w:name="_Toc355181187"/>
      <w:r>
        <w:rPr>
          <w:rFonts w:hint="eastAsia" w:ascii="宋体" w:hAnsi="宋体"/>
          <w:b/>
          <w:bCs/>
          <w:color w:val="auto"/>
          <w:kern w:val="24"/>
          <w:sz w:val="24"/>
          <w:highlight w:val="none"/>
        </w:rPr>
        <w:t>2.</w:t>
      </w:r>
      <w:r>
        <w:rPr>
          <w:rFonts w:ascii="宋体" w:hAnsi="宋体"/>
          <w:b/>
          <w:bCs/>
          <w:color w:val="auto"/>
          <w:kern w:val="24"/>
          <w:sz w:val="24"/>
          <w:highlight w:val="none"/>
        </w:rPr>
        <w:t>3</w:t>
      </w:r>
      <w:r>
        <w:rPr>
          <w:rFonts w:hint="eastAsia" w:ascii="宋体" w:hAnsi="宋体"/>
          <w:b/>
          <w:bCs/>
          <w:color w:val="auto"/>
          <w:kern w:val="24"/>
          <w:sz w:val="24"/>
          <w:highlight w:val="none"/>
        </w:rPr>
        <w:t xml:space="preserve">.2 </w:t>
      </w:r>
      <w:bookmarkEnd w:id="236"/>
      <w:r>
        <w:rPr>
          <w:rFonts w:hint="eastAsia" w:ascii="宋体" w:hAnsi="宋体"/>
          <w:b/>
          <w:bCs/>
          <w:color w:val="auto"/>
          <w:kern w:val="24"/>
          <w:sz w:val="24"/>
          <w:highlight w:val="none"/>
        </w:rPr>
        <w:t>项目节能分析与措施</w:t>
      </w:r>
      <w:bookmarkEnd w:id="237"/>
    </w:p>
    <w:p w14:paraId="36126B23">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w:t>
      </w:r>
      <w:r>
        <w:rPr>
          <w:rFonts w:ascii="宋体" w:hAnsi="宋体"/>
          <w:b/>
          <w:bCs/>
          <w:color w:val="auto"/>
          <w:kern w:val="0"/>
          <w:sz w:val="24"/>
          <w:highlight w:val="none"/>
        </w:rPr>
        <w:t>3</w:t>
      </w:r>
      <w:r>
        <w:rPr>
          <w:rFonts w:hint="eastAsia" w:ascii="宋体" w:hAnsi="宋体"/>
          <w:b/>
          <w:bCs/>
          <w:color w:val="auto"/>
          <w:kern w:val="0"/>
          <w:sz w:val="24"/>
          <w:highlight w:val="none"/>
        </w:rPr>
        <w:t>.2.1系统的绝热设计</w:t>
      </w:r>
    </w:p>
    <w:p w14:paraId="5794A70F">
      <w:pPr>
        <w:spacing w:line="360" w:lineRule="auto"/>
        <w:ind w:firstLine="480"/>
        <w:rPr>
          <w:rFonts w:ascii="宋体" w:hAnsi="宋体"/>
          <w:color w:val="auto"/>
          <w:sz w:val="24"/>
          <w:highlight w:val="none"/>
        </w:rPr>
      </w:pPr>
      <w:r>
        <w:rPr>
          <w:rFonts w:hint="eastAsia" w:ascii="宋体" w:hAnsi="宋体"/>
          <w:color w:val="auto"/>
          <w:sz w:val="24"/>
          <w:highlight w:val="none"/>
        </w:rPr>
        <w:t>为了减少蒸汽输送过程中产生的热损，本项目总图布局上综合考虑，尽量减少冷热媒的输送距离，选用导热系数小的绝热材料，减少能耗损失，对于输送冷热媒的管路系统的绝热厚度均根据装置冷热损的要求进行详细核算。</w:t>
      </w:r>
    </w:p>
    <w:p w14:paraId="12CCFF7D">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w:t>
      </w:r>
      <w:r>
        <w:rPr>
          <w:rFonts w:ascii="宋体" w:hAnsi="宋体"/>
          <w:b/>
          <w:bCs/>
          <w:color w:val="auto"/>
          <w:kern w:val="0"/>
          <w:sz w:val="24"/>
          <w:highlight w:val="none"/>
        </w:rPr>
        <w:t>3</w:t>
      </w:r>
      <w:r>
        <w:rPr>
          <w:rFonts w:hint="eastAsia" w:ascii="宋体" w:hAnsi="宋体"/>
          <w:b/>
          <w:bCs/>
          <w:color w:val="auto"/>
          <w:kern w:val="0"/>
          <w:sz w:val="24"/>
          <w:highlight w:val="none"/>
        </w:rPr>
        <w:t>.2.2 供、变电系统的节能措施</w:t>
      </w:r>
    </w:p>
    <w:p w14:paraId="35529FCC">
      <w:pPr>
        <w:spacing w:line="360" w:lineRule="auto"/>
        <w:ind w:firstLine="480"/>
        <w:rPr>
          <w:rFonts w:ascii="宋体" w:hAnsi="宋体"/>
          <w:color w:val="auto"/>
          <w:sz w:val="24"/>
          <w:highlight w:val="none"/>
        </w:rPr>
      </w:pPr>
      <w:r>
        <w:rPr>
          <w:rFonts w:hint="eastAsia" w:ascii="宋体" w:hAnsi="宋体"/>
          <w:color w:val="auto"/>
          <w:sz w:val="24"/>
          <w:highlight w:val="none"/>
        </w:rPr>
        <w:t>选用节电型低压电器，如RT20系列熔断器、LC1系列接触器、LRD系列热继电器、AD1系列信号灯、节能灯具等。</w:t>
      </w:r>
    </w:p>
    <w:p w14:paraId="50760725">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2.4.2.3 供、变电的能效指标，泵类、风机和空气压缩机等通用机械设备的能效指标</w:t>
      </w:r>
    </w:p>
    <w:p w14:paraId="272B7371">
      <w:pPr>
        <w:spacing w:line="360" w:lineRule="auto"/>
        <w:ind w:firstLine="480"/>
        <w:rPr>
          <w:rFonts w:ascii="宋体" w:hAnsi="宋体"/>
          <w:color w:val="auto"/>
          <w:sz w:val="24"/>
          <w:highlight w:val="none"/>
        </w:rPr>
      </w:pPr>
      <w:r>
        <w:rPr>
          <w:rFonts w:hint="eastAsia" w:ascii="宋体" w:hAnsi="宋体"/>
          <w:color w:val="auto"/>
          <w:sz w:val="24"/>
          <w:highlight w:val="none"/>
        </w:rPr>
        <w:t>（1）泵类能效指标：泵类不低于</w:t>
      </w:r>
      <w:r>
        <w:rPr>
          <w:rFonts w:ascii="宋体" w:hAnsi="宋体"/>
          <w:color w:val="auto"/>
          <w:sz w:val="24"/>
          <w:highlight w:val="none"/>
        </w:rPr>
        <w:t>GB19761-2009规定的能效指标</w:t>
      </w:r>
      <w:r>
        <w:rPr>
          <w:rFonts w:hint="eastAsia" w:ascii="宋体" w:hAnsi="宋体"/>
          <w:color w:val="auto"/>
          <w:sz w:val="24"/>
          <w:highlight w:val="none"/>
        </w:rPr>
        <w:t>。通风机不低于</w:t>
      </w:r>
      <w:r>
        <w:rPr>
          <w:rFonts w:ascii="宋体" w:hAnsi="宋体"/>
          <w:color w:val="auto"/>
          <w:sz w:val="24"/>
          <w:highlight w:val="none"/>
        </w:rPr>
        <w:t>GB19762-2007规定的二级能效指标</w:t>
      </w:r>
      <w:r>
        <w:rPr>
          <w:rFonts w:hint="eastAsia" w:ascii="宋体" w:hAnsi="宋体"/>
          <w:color w:val="auto"/>
          <w:sz w:val="24"/>
          <w:highlight w:val="none"/>
        </w:rPr>
        <w:t>。</w:t>
      </w:r>
    </w:p>
    <w:p w14:paraId="6876532A">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）三相异步电动机能效指标：</w:t>
      </w:r>
    </w:p>
    <w:p w14:paraId="25E8D537">
      <w:pPr>
        <w:spacing w:line="360" w:lineRule="auto"/>
        <w:ind w:firstLine="480"/>
        <w:rPr>
          <w:rFonts w:ascii="宋体" w:hAnsi="宋体"/>
          <w:color w:val="auto"/>
          <w:sz w:val="24"/>
          <w:highlight w:val="none"/>
        </w:rPr>
      </w:pPr>
      <w:r>
        <w:rPr>
          <w:rFonts w:hint="eastAsia" w:ascii="宋体" w:hAnsi="宋体"/>
          <w:color w:val="auto"/>
          <w:sz w:val="24"/>
          <w:highlight w:val="none"/>
        </w:rPr>
        <w:t xml:space="preserve">     中小型三相异步电动机能效不低于 GB 18613-2012规定的二级能效标准</w:t>
      </w:r>
    </w:p>
    <w:p w14:paraId="4EBCE100">
      <w:pPr>
        <w:spacing w:line="360" w:lineRule="auto"/>
        <w:ind w:firstLine="480"/>
        <w:rPr>
          <w:rFonts w:ascii="宋体" w:hAnsi="宋体"/>
          <w:color w:val="auto"/>
          <w:sz w:val="24"/>
          <w:highlight w:val="none"/>
        </w:rPr>
      </w:pPr>
      <w:r>
        <w:rPr>
          <w:rFonts w:hint="eastAsia" w:ascii="宋体" w:hAnsi="宋体"/>
          <w:color w:val="auto"/>
          <w:sz w:val="24"/>
          <w:highlight w:val="none"/>
        </w:rPr>
        <w:t xml:space="preserve">     高压三相笼型异步电动机能效不低于GB 30254-2013规定的二级能效标准</w:t>
      </w:r>
    </w:p>
    <w:p w14:paraId="0977DC30">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3</w:t>
      </w:r>
      <w:r>
        <w:rPr>
          <w:rFonts w:hint="eastAsia" w:ascii="宋体" w:hAnsi="宋体"/>
          <w:color w:val="auto"/>
          <w:sz w:val="24"/>
          <w:highlight w:val="none"/>
        </w:rPr>
        <w:t>）电气专业选择节能型的LED灯，提高照明度，节约用电。</w:t>
      </w:r>
    </w:p>
    <w:p w14:paraId="4DA7C5E7">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4</w:t>
      </w:r>
      <w:r>
        <w:rPr>
          <w:rFonts w:hint="eastAsia" w:ascii="宋体" w:hAnsi="宋体"/>
          <w:color w:val="auto"/>
          <w:sz w:val="24"/>
          <w:highlight w:val="none"/>
        </w:rPr>
        <w:t>）自控专业按要求配装能源计量仪表，节约各项能源的用量。</w:t>
      </w:r>
    </w:p>
    <w:p w14:paraId="36413A6F">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5</w:t>
      </w:r>
      <w:r>
        <w:rPr>
          <w:rFonts w:hint="eastAsia" w:ascii="宋体" w:hAnsi="宋体"/>
          <w:color w:val="auto"/>
          <w:sz w:val="24"/>
          <w:highlight w:val="none"/>
        </w:rPr>
        <w:t>）电力系统尽量采用高压配电，减小回路输电电流耗损；选用节能变压器，终端配变电所按照用电负荷合理分布，靠近负荷中心，以减少线路损耗。</w:t>
      </w:r>
    </w:p>
    <w:p w14:paraId="26C4900B">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6</w:t>
      </w:r>
      <w:r>
        <w:rPr>
          <w:rFonts w:hint="eastAsia" w:ascii="宋体" w:hAnsi="宋体"/>
          <w:color w:val="auto"/>
          <w:sz w:val="24"/>
          <w:highlight w:val="none"/>
        </w:rPr>
        <w:t xml:space="preserve">）生产机组等电力设备和系统实行经济运行。采用电机增设变频控制器调速节电和电力电子节电技术；选用质优、价廉的节能器材，提高电能利用效率。 </w:t>
      </w:r>
    </w:p>
    <w:p w14:paraId="375E58FE">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7</w:t>
      </w:r>
      <w:r>
        <w:rPr>
          <w:rFonts w:hint="eastAsia" w:ascii="宋体" w:hAnsi="宋体"/>
          <w:color w:val="auto"/>
          <w:sz w:val="24"/>
          <w:highlight w:val="none"/>
        </w:rPr>
        <w:t>）选用节电型低压电器，如RT20系列熔断器、JR20系列、T系列热继电器、AD1系列信号灯、节能灯具等。</w:t>
      </w:r>
    </w:p>
    <w:p w14:paraId="0750B553">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2.4.2.4建筑节能降耗主要措施</w:t>
      </w:r>
    </w:p>
    <w:p w14:paraId="36C936F4">
      <w:pPr>
        <w:spacing w:line="360" w:lineRule="auto"/>
        <w:ind w:firstLine="480"/>
        <w:rPr>
          <w:rFonts w:ascii="宋体" w:hAnsi="宋体"/>
          <w:color w:val="auto"/>
          <w:sz w:val="24"/>
          <w:highlight w:val="none"/>
        </w:rPr>
      </w:pPr>
      <w:r>
        <w:rPr>
          <w:rFonts w:ascii="宋体" w:hAnsi="宋体"/>
          <w:color w:val="auto"/>
          <w:sz w:val="24"/>
          <w:highlight w:val="none"/>
        </w:rPr>
        <w:t>（1）建筑设计充分满足夏季防热、冬季保暖的要求。</w:t>
      </w:r>
    </w:p>
    <w:p w14:paraId="7FB926CD">
      <w:pPr>
        <w:spacing w:line="360" w:lineRule="auto"/>
        <w:ind w:firstLine="480"/>
        <w:rPr>
          <w:rFonts w:ascii="宋体" w:hAnsi="宋体"/>
          <w:color w:val="auto"/>
          <w:sz w:val="24"/>
          <w:highlight w:val="none"/>
        </w:rPr>
      </w:pPr>
      <w:r>
        <w:rPr>
          <w:rFonts w:ascii="宋体" w:hAnsi="宋体"/>
          <w:color w:val="auto"/>
          <w:sz w:val="24"/>
          <w:highlight w:val="none"/>
        </w:rPr>
        <w:t>（2）总平面设计尽量保证主要建筑物较多的日照。</w:t>
      </w:r>
    </w:p>
    <w:p w14:paraId="0DBB29B8">
      <w:pPr>
        <w:spacing w:line="360" w:lineRule="auto"/>
        <w:ind w:firstLine="480"/>
        <w:rPr>
          <w:rFonts w:ascii="宋体" w:hAnsi="宋体"/>
          <w:color w:val="auto"/>
          <w:sz w:val="24"/>
          <w:highlight w:val="none"/>
        </w:rPr>
      </w:pPr>
      <w:r>
        <w:rPr>
          <w:rFonts w:ascii="宋体" w:hAnsi="宋体"/>
          <w:color w:val="auto"/>
          <w:sz w:val="24"/>
          <w:highlight w:val="none"/>
        </w:rPr>
        <w:t>（3）建筑平、立面设计规整，凹凸面不多，以减少外表面积，减小体型系数。厂房建筑强化自然采光设计，屋顶设有条形采光带和无动力风帽，建筑外窗在满足采光要求的前提下，尽量减少开窗面积，维护墙体采用高、低双层采光窗，节约电能。</w:t>
      </w:r>
    </w:p>
    <w:p w14:paraId="489912EA">
      <w:pPr>
        <w:spacing w:line="360" w:lineRule="auto"/>
        <w:ind w:firstLine="480"/>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4</w:t>
      </w:r>
      <w:r>
        <w:rPr>
          <w:rFonts w:ascii="宋体" w:hAnsi="宋体"/>
          <w:color w:val="auto"/>
          <w:sz w:val="24"/>
          <w:highlight w:val="none"/>
        </w:rPr>
        <w:t>）建筑外墙和屋面在施工图设计阶段进行验算，以保证传热阻大于当地节能部门要求的最小传热阻，并重点处理好柱、梁嵌入处、散热器、管道嵌入的地方及伸缩缝等有可能产生热桥的部位。屋面保温材料采用质量可靠的预制保温隔热板。</w:t>
      </w:r>
    </w:p>
    <w:p w14:paraId="04A8FF19">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39" w:name="_Toc534960838"/>
      <w:r>
        <w:rPr>
          <w:rFonts w:hint="eastAsia" w:ascii="宋体" w:hAnsi="宋体"/>
          <w:b/>
          <w:bCs/>
          <w:color w:val="auto"/>
          <w:kern w:val="24"/>
          <w:sz w:val="24"/>
          <w:highlight w:val="none"/>
        </w:rPr>
        <w:t>2.4.3节水措施</w:t>
      </w:r>
      <w:bookmarkEnd w:id="239"/>
    </w:p>
    <w:p w14:paraId="492683DD">
      <w:pPr>
        <w:spacing w:line="360" w:lineRule="auto"/>
        <w:ind w:firstLine="480"/>
        <w:rPr>
          <w:rFonts w:ascii="宋体" w:hAnsi="宋体"/>
          <w:color w:val="auto"/>
          <w:sz w:val="24"/>
          <w:highlight w:val="none"/>
        </w:rPr>
      </w:pPr>
      <w:r>
        <w:rPr>
          <w:rFonts w:hint="eastAsia" w:ascii="宋体" w:hAnsi="宋体"/>
          <w:color w:val="auto"/>
          <w:sz w:val="24"/>
          <w:highlight w:val="none"/>
        </w:rPr>
        <w:t>本项目</w:t>
      </w:r>
      <w:r>
        <w:rPr>
          <w:rFonts w:ascii="宋体" w:hAnsi="宋体"/>
          <w:color w:val="auto"/>
          <w:sz w:val="24"/>
          <w:highlight w:val="none"/>
        </w:rPr>
        <w:t>在设计过程中，根据各工艺系统对水量和水质的要求，合理安排全厂用水、排水</w:t>
      </w:r>
      <w:r>
        <w:rPr>
          <w:rFonts w:hint="eastAsia" w:ascii="宋体" w:hAnsi="宋体"/>
          <w:color w:val="auto"/>
          <w:sz w:val="24"/>
          <w:highlight w:val="none"/>
        </w:rPr>
        <w:t>，</w:t>
      </w:r>
      <w:r>
        <w:rPr>
          <w:rFonts w:ascii="宋体" w:hAnsi="宋体"/>
          <w:color w:val="auto"/>
          <w:sz w:val="24"/>
          <w:highlight w:val="none"/>
        </w:rPr>
        <w:t>建立合理的水量平衡系统，做到一水多用，废水回用，减少全厂耗水量。</w:t>
      </w:r>
      <w:r>
        <w:rPr>
          <w:rFonts w:hint="eastAsia" w:ascii="宋体" w:hAnsi="宋体"/>
          <w:color w:val="auto"/>
          <w:sz w:val="24"/>
          <w:highlight w:val="none"/>
        </w:rPr>
        <w:t>主要的节水措施如下：</w:t>
      </w:r>
    </w:p>
    <w:p w14:paraId="598CAE77">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1）设计贯彻节约用水原则，尽量循环使用，减少生产直流水的用量，提高水的重复使用率。根据生产过程中产生的不同性质的污、废水，采取不同的处理方式处理后统一收集，升压后复用。</w:t>
      </w:r>
    </w:p>
    <w:p w14:paraId="6CA19D0E">
      <w:pPr>
        <w:spacing w:line="360" w:lineRule="auto"/>
        <w:ind w:firstLine="480"/>
        <w:rPr>
          <w:rFonts w:ascii="宋体" w:hAnsi="宋体"/>
          <w:color w:val="auto"/>
          <w:sz w:val="24"/>
          <w:highlight w:val="none"/>
        </w:rPr>
      </w:pPr>
      <w:r>
        <w:rPr>
          <w:rFonts w:hint="eastAsia" w:ascii="宋体" w:hAnsi="宋体"/>
          <w:color w:val="auto"/>
          <w:sz w:val="24"/>
          <w:highlight w:val="none"/>
        </w:rPr>
        <w:t>（2）蒸汽压缩机出口降温水采用蒸汽冷凝水，减少废水排放。</w:t>
      </w:r>
    </w:p>
    <w:p w14:paraId="2F5E374F">
      <w:pPr>
        <w:spacing w:line="360" w:lineRule="auto"/>
        <w:ind w:firstLine="480"/>
        <w:rPr>
          <w:rFonts w:ascii="宋体" w:hAnsi="宋体"/>
          <w:color w:val="auto"/>
          <w:sz w:val="24"/>
          <w:highlight w:val="none"/>
        </w:rPr>
      </w:pPr>
      <w:r>
        <w:rPr>
          <w:rFonts w:hint="eastAsia" w:ascii="宋体" w:hAnsi="宋体"/>
          <w:color w:val="auto"/>
          <w:sz w:val="24"/>
          <w:highlight w:val="none"/>
        </w:rPr>
        <w:t>（3）选用节能型和质量优的疏水阀、隔离阀，减少和避免漏水、冒汽，降耗节能。</w:t>
      </w:r>
    </w:p>
    <w:p w14:paraId="26999B46">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40" w:name="_Toc534960839"/>
      <w:r>
        <w:rPr>
          <w:rFonts w:hint="eastAsia" w:ascii="宋体" w:hAnsi="宋体"/>
          <w:b/>
          <w:bCs/>
          <w:color w:val="auto"/>
          <w:kern w:val="24"/>
          <w:sz w:val="24"/>
          <w:highlight w:val="none"/>
        </w:rPr>
        <w:t>2.4.4项目能耗分析</w:t>
      </w:r>
      <w:bookmarkEnd w:id="238"/>
      <w:bookmarkEnd w:id="240"/>
    </w:p>
    <w:p w14:paraId="6249A155">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2.4.4.1能耗指标</w:t>
      </w:r>
    </w:p>
    <w:p w14:paraId="2D31E76D">
      <w:pPr>
        <w:spacing w:line="360" w:lineRule="auto"/>
        <w:ind w:firstLine="480"/>
        <w:rPr>
          <w:rFonts w:ascii="宋体" w:hAnsi="宋体"/>
          <w:color w:val="auto"/>
          <w:sz w:val="24"/>
          <w:highlight w:val="none"/>
        </w:rPr>
      </w:pPr>
      <w:r>
        <w:rPr>
          <w:rFonts w:hint="eastAsia" w:ascii="宋体" w:hAnsi="宋体"/>
          <w:color w:val="auto"/>
          <w:sz w:val="24"/>
          <w:highlight w:val="none"/>
        </w:rPr>
        <w:t>（1）能耗指标折算依据</w:t>
      </w:r>
    </w:p>
    <w:p w14:paraId="4FB87C09">
      <w:pPr>
        <w:spacing w:line="360" w:lineRule="auto"/>
        <w:ind w:firstLine="480"/>
        <w:rPr>
          <w:rFonts w:ascii="宋体" w:hAnsi="宋体"/>
          <w:color w:val="auto"/>
          <w:sz w:val="24"/>
          <w:highlight w:val="none"/>
        </w:rPr>
      </w:pPr>
      <w:r>
        <w:rPr>
          <w:rFonts w:hint="eastAsia" w:ascii="宋体" w:hAnsi="宋体"/>
          <w:color w:val="auto"/>
          <w:sz w:val="24"/>
          <w:highlight w:val="none"/>
        </w:rPr>
        <w:t>《综合能耗计算通则》</w:t>
      </w:r>
      <w:r>
        <w:rPr>
          <w:rFonts w:ascii="宋体" w:hAnsi="宋体"/>
          <w:color w:val="auto"/>
          <w:sz w:val="24"/>
          <w:highlight w:val="none"/>
        </w:rPr>
        <w:t>GB/T2589-2008</w:t>
      </w:r>
    </w:p>
    <w:p w14:paraId="08E91914">
      <w:pPr>
        <w:spacing w:line="360" w:lineRule="auto"/>
        <w:ind w:firstLine="480"/>
        <w:rPr>
          <w:rFonts w:ascii="宋体" w:hAnsi="宋体"/>
          <w:color w:val="auto"/>
          <w:sz w:val="24"/>
          <w:highlight w:val="none"/>
        </w:rPr>
      </w:pPr>
      <w:r>
        <w:rPr>
          <w:rFonts w:hint="eastAsia" w:ascii="宋体" w:hAnsi="宋体"/>
          <w:color w:val="auto"/>
          <w:sz w:val="24"/>
          <w:highlight w:val="none"/>
        </w:rPr>
        <w:t>本报告提出的技术方案为基础的平均能耗进行折算。</w:t>
      </w:r>
    </w:p>
    <w:p w14:paraId="6D326D0D">
      <w:pPr>
        <w:spacing w:line="360" w:lineRule="auto"/>
        <w:ind w:firstLine="480"/>
        <w:rPr>
          <w:rFonts w:ascii="宋体" w:hAnsi="宋体"/>
          <w:color w:val="auto"/>
          <w:sz w:val="24"/>
          <w:highlight w:val="none"/>
        </w:rPr>
      </w:pPr>
      <w:r>
        <w:rPr>
          <w:rFonts w:hint="eastAsia" w:ascii="宋体" w:hAnsi="宋体"/>
          <w:color w:val="auto"/>
          <w:sz w:val="24"/>
          <w:highlight w:val="none"/>
        </w:rPr>
        <w:t>（2）单位能耗指标：标煤热值29309</w:t>
      </w:r>
      <w:r>
        <w:rPr>
          <w:rFonts w:ascii="宋体" w:hAnsi="宋体"/>
          <w:color w:val="auto"/>
          <w:sz w:val="24"/>
          <w:highlight w:val="none"/>
        </w:rPr>
        <w:t>Kj</w:t>
      </w:r>
      <w:r>
        <w:rPr>
          <w:rFonts w:hint="eastAsia" w:ascii="宋体" w:hAnsi="宋体"/>
          <w:color w:val="auto"/>
          <w:sz w:val="24"/>
          <w:highlight w:val="none"/>
        </w:rPr>
        <w:t>/kg（7000kcal/kg）</w:t>
      </w:r>
    </w:p>
    <w:p w14:paraId="0F0C4994">
      <w:pPr>
        <w:keepNext/>
        <w:keepLines/>
        <w:snapToGrid w:val="0"/>
        <w:spacing w:before="240" w:line="540" w:lineRule="atLeast"/>
        <w:outlineLvl w:val="0"/>
        <w:rPr>
          <w:rFonts w:ascii="宋体" w:hAnsi="宋体"/>
          <w:b/>
          <w:bCs/>
          <w:color w:val="auto"/>
          <w:kern w:val="44"/>
          <w:sz w:val="24"/>
          <w:highlight w:val="none"/>
        </w:rPr>
      </w:pPr>
      <w:r>
        <w:rPr>
          <w:rFonts w:hint="eastAsia" w:ascii="宋体" w:hAnsi="宋体"/>
          <w:b/>
          <w:bCs/>
          <w:color w:val="auto"/>
          <w:kern w:val="44"/>
          <w:sz w:val="24"/>
          <w:highlight w:val="none"/>
        </w:rPr>
        <w:t>2.5环境保护</w:t>
      </w:r>
    </w:p>
    <w:p w14:paraId="5D0D608E">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41" w:name="_Toc534960846"/>
      <w:bookmarkStart w:id="242" w:name="_Toc355181204"/>
      <w:r>
        <w:rPr>
          <w:rFonts w:hint="eastAsia" w:ascii="宋体" w:hAnsi="宋体"/>
          <w:b/>
          <w:bCs/>
          <w:color w:val="auto"/>
          <w:kern w:val="24"/>
          <w:sz w:val="24"/>
          <w:highlight w:val="none"/>
        </w:rPr>
        <w:t>2.5</w:t>
      </w:r>
      <w:r>
        <w:rPr>
          <w:rFonts w:ascii="宋体" w:hAnsi="宋体"/>
          <w:b/>
          <w:bCs/>
          <w:color w:val="auto"/>
          <w:kern w:val="24"/>
          <w:sz w:val="24"/>
          <w:highlight w:val="none"/>
        </w:rPr>
        <w:t xml:space="preserve">.1 </w:t>
      </w:r>
      <w:r>
        <w:rPr>
          <w:rFonts w:hint="eastAsia" w:ascii="宋体" w:hAnsi="宋体"/>
          <w:b/>
          <w:bCs/>
          <w:color w:val="auto"/>
          <w:kern w:val="24"/>
          <w:sz w:val="24"/>
          <w:highlight w:val="none"/>
        </w:rPr>
        <w:t>项目所在地区</w:t>
      </w:r>
      <w:r>
        <w:rPr>
          <w:rFonts w:ascii="宋体" w:hAnsi="宋体"/>
          <w:b/>
          <w:bCs/>
          <w:color w:val="auto"/>
          <w:kern w:val="24"/>
          <w:sz w:val="24"/>
          <w:highlight w:val="none"/>
        </w:rPr>
        <w:t>环境质量现状</w:t>
      </w:r>
      <w:bookmarkEnd w:id="241"/>
      <w:bookmarkEnd w:id="242"/>
    </w:p>
    <w:p w14:paraId="063A1064">
      <w:pPr>
        <w:spacing w:line="360" w:lineRule="auto"/>
        <w:ind w:firstLine="480"/>
        <w:rPr>
          <w:rFonts w:ascii="宋体" w:hAnsi="宋体"/>
          <w:color w:val="auto"/>
          <w:sz w:val="24"/>
          <w:highlight w:val="none"/>
        </w:rPr>
      </w:pPr>
      <w:bookmarkStart w:id="243" w:name="_Toc355181205"/>
      <w:r>
        <w:rPr>
          <w:rFonts w:hint="eastAsia" w:ascii="宋体" w:hAnsi="宋体"/>
          <w:color w:val="auto"/>
          <w:sz w:val="24"/>
          <w:highlight w:val="none"/>
        </w:rPr>
        <w:t>本项目拟建于浙江衢州巨塑化工有限公司厂区内。衢州市位于浙江西部，钱塘江上游，地处浙、闽、赣、皖四省交界，南衔福建南平，西邻江西上饶、景德镇，北连安徽黄山，东通金华、杭州、上海，融入长江三角洲经济圈，素有“四省通衢、浙西门户”之称，是浙西的政治、经济、文化中心。衢州高新园区</w:t>
      </w:r>
      <w:r>
        <w:rPr>
          <w:rFonts w:ascii="宋体" w:hAnsi="宋体"/>
          <w:color w:val="auto"/>
          <w:sz w:val="24"/>
          <w:highlight w:val="none"/>
        </w:rPr>
        <w:t>位于衢州</w:t>
      </w:r>
      <w:r>
        <w:rPr>
          <w:rFonts w:hint="eastAsia" w:ascii="宋体" w:hAnsi="宋体"/>
          <w:color w:val="auto"/>
          <w:sz w:val="24"/>
          <w:highlight w:val="none"/>
        </w:rPr>
        <w:t>南</w:t>
      </w:r>
      <w:r>
        <w:rPr>
          <w:rFonts w:ascii="宋体" w:hAnsi="宋体"/>
          <w:color w:val="auto"/>
          <w:sz w:val="24"/>
          <w:highlight w:val="none"/>
        </w:rPr>
        <w:t>部，浙赣铁路、320国道贯穿区内，距杭衢高速公路东出口、衢州民航站仅</w:t>
      </w:r>
      <w:r>
        <w:rPr>
          <w:rFonts w:hint="eastAsia" w:ascii="宋体" w:hAnsi="宋体"/>
          <w:color w:val="auto"/>
          <w:sz w:val="24"/>
          <w:highlight w:val="none"/>
        </w:rPr>
        <w:t>12</w:t>
      </w:r>
      <w:r>
        <w:rPr>
          <w:rFonts w:ascii="宋体" w:hAnsi="宋体"/>
          <w:color w:val="auto"/>
          <w:sz w:val="24"/>
          <w:highlight w:val="none"/>
        </w:rPr>
        <w:t>公里，交通非常便利。</w:t>
      </w:r>
    </w:p>
    <w:p w14:paraId="51769C6A">
      <w:pPr>
        <w:spacing w:line="360" w:lineRule="auto"/>
        <w:ind w:firstLine="480"/>
        <w:rPr>
          <w:rFonts w:ascii="宋体" w:hAnsi="宋体"/>
          <w:color w:val="auto"/>
          <w:sz w:val="24"/>
          <w:highlight w:val="none"/>
        </w:rPr>
      </w:pPr>
      <w:r>
        <w:rPr>
          <w:rFonts w:hint="eastAsia" w:ascii="宋体" w:hAnsi="宋体"/>
          <w:color w:val="auto"/>
          <w:sz w:val="24"/>
          <w:highlight w:val="none"/>
        </w:rPr>
        <w:t>项目用地由衢江河谷平原和丘陵组成，平原海拔一般在60~65米之间，最低海拔59米，丘陵海拔在70~85米之间，最高处海拔89.36米。北部以平原为主，中部有两条岗状丘陵。分别宽1000米和400米，海拔在70~80米之间，最高海拔83.97米。南部以丘陵为主，丘陵为两条冲沟分成三部分。其中东部和中部位于本次规划范围内，海拔在70~91米之间，最高处海拔98.36米，丘陵前为河谷平原，海拔在60~70米之间。</w:t>
      </w:r>
    </w:p>
    <w:p w14:paraId="78AF99CE">
      <w:pPr>
        <w:spacing w:line="360" w:lineRule="auto"/>
        <w:ind w:firstLine="480"/>
        <w:rPr>
          <w:rFonts w:ascii="宋体" w:hAnsi="宋体"/>
          <w:color w:val="auto"/>
          <w:sz w:val="24"/>
          <w:highlight w:val="none"/>
        </w:rPr>
      </w:pPr>
      <w:r>
        <w:rPr>
          <w:rFonts w:hint="eastAsia" w:ascii="宋体" w:hAnsi="宋体"/>
          <w:color w:val="auto"/>
          <w:sz w:val="24"/>
          <w:highlight w:val="none"/>
        </w:rPr>
        <w:t>丘陵一般呈台地状，顶部相对下缓，前沿往往形成陡坎，丘陵与平原的分界比较明显。</w:t>
      </w:r>
    </w:p>
    <w:p w14:paraId="3FC96569">
      <w:pPr>
        <w:spacing w:line="360" w:lineRule="auto"/>
        <w:ind w:firstLine="480"/>
        <w:rPr>
          <w:rFonts w:ascii="宋体" w:hAnsi="宋体"/>
          <w:color w:val="auto"/>
          <w:sz w:val="24"/>
          <w:highlight w:val="none"/>
        </w:rPr>
      </w:pPr>
      <w:r>
        <w:rPr>
          <w:rFonts w:hint="eastAsia" w:ascii="宋体" w:hAnsi="宋体"/>
          <w:color w:val="auto"/>
          <w:sz w:val="24"/>
          <w:highlight w:val="none"/>
        </w:rPr>
        <w:t>巨塑所在地区地貌属平原丘陵，地势平缓、地貌简单，高程在75.40左右（巨化独立高程，下同）。</w:t>
      </w:r>
    </w:p>
    <w:p w14:paraId="52358B54">
      <w:pPr>
        <w:spacing w:line="360" w:lineRule="auto"/>
        <w:ind w:firstLine="480"/>
        <w:rPr>
          <w:rFonts w:ascii="宋体" w:hAnsi="宋体"/>
          <w:color w:val="auto"/>
          <w:sz w:val="24"/>
          <w:highlight w:val="none"/>
        </w:rPr>
      </w:pPr>
      <w:r>
        <w:rPr>
          <w:rFonts w:hint="eastAsia" w:ascii="宋体" w:hAnsi="宋体"/>
          <w:color w:val="auto"/>
          <w:sz w:val="24"/>
          <w:highlight w:val="none"/>
        </w:rPr>
        <w:t>（1）大气环境现状</w:t>
      </w:r>
    </w:p>
    <w:p w14:paraId="608F85A3">
      <w:pPr>
        <w:spacing w:line="360" w:lineRule="auto"/>
        <w:ind w:firstLine="480"/>
        <w:rPr>
          <w:rFonts w:ascii="宋体" w:hAnsi="宋体"/>
          <w:color w:val="auto"/>
          <w:sz w:val="24"/>
          <w:highlight w:val="none"/>
        </w:rPr>
      </w:pPr>
      <w:r>
        <w:rPr>
          <w:rFonts w:hint="eastAsia" w:ascii="宋体" w:hAnsi="宋体"/>
          <w:color w:val="auto"/>
          <w:sz w:val="24"/>
          <w:highlight w:val="none"/>
        </w:rPr>
        <w:t>衢州市的大气环境质量较好，工业燃料为天然气、原油、汽油和柴油为主，废气排放污染程度较好，污染程度不是很严重，环境质量较好。</w:t>
      </w:r>
    </w:p>
    <w:p w14:paraId="70676C90">
      <w:pPr>
        <w:spacing w:line="360" w:lineRule="auto"/>
        <w:ind w:firstLine="480"/>
        <w:rPr>
          <w:rFonts w:ascii="宋体" w:hAnsi="宋体"/>
          <w:color w:val="auto"/>
          <w:sz w:val="24"/>
          <w:highlight w:val="none"/>
        </w:rPr>
      </w:pPr>
      <w:r>
        <w:rPr>
          <w:rFonts w:hint="eastAsia" w:ascii="宋体" w:hAnsi="宋体"/>
          <w:color w:val="auto"/>
          <w:sz w:val="24"/>
          <w:highlight w:val="none"/>
        </w:rPr>
        <w:t>（2）地面水环境现状</w:t>
      </w:r>
    </w:p>
    <w:p w14:paraId="7C1AEE72">
      <w:pPr>
        <w:spacing w:line="360" w:lineRule="auto"/>
        <w:ind w:firstLine="480"/>
        <w:rPr>
          <w:rFonts w:ascii="宋体" w:hAnsi="宋体"/>
          <w:color w:val="auto"/>
          <w:sz w:val="24"/>
          <w:highlight w:val="none"/>
        </w:rPr>
      </w:pPr>
      <w:r>
        <w:rPr>
          <w:rFonts w:hint="eastAsia" w:ascii="宋体" w:hAnsi="宋体"/>
          <w:color w:val="auto"/>
          <w:sz w:val="24"/>
          <w:highlight w:val="none"/>
        </w:rPr>
        <w:t>衢州市饮用水现为集中地表饮用水三类水质标准，城市饮用水源水质达到水质标准率为100％。</w:t>
      </w:r>
    </w:p>
    <w:p w14:paraId="1AEC2BE2">
      <w:pPr>
        <w:spacing w:line="360" w:lineRule="auto"/>
        <w:ind w:firstLine="480"/>
        <w:rPr>
          <w:rFonts w:ascii="宋体" w:hAnsi="宋体"/>
          <w:color w:val="auto"/>
          <w:sz w:val="24"/>
          <w:highlight w:val="none"/>
        </w:rPr>
      </w:pPr>
      <w:r>
        <w:rPr>
          <w:rFonts w:hint="eastAsia" w:ascii="宋体" w:hAnsi="宋体"/>
          <w:color w:val="auto"/>
          <w:sz w:val="24"/>
          <w:highlight w:val="none"/>
        </w:rPr>
        <w:t>（3）噪声现状</w:t>
      </w:r>
    </w:p>
    <w:p w14:paraId="43E1009D">
      <w:pPr>
        <w:spacing w:line="360" w:lineRule="auto"/>
        <w:ind w:firstLine="480"/>
        <w:rPr>
          <w:rFonts w:ascii="宋体" w:hAnsi="宋体"/>
          <w:color w:val="auto"/>
          <w:sz w:val="24"/>
          <w:highlight w:val="none"/>
        </w:rPr>
      </w:pPr>
      <w:r>
        <w:rPr>
          <w:rFonts w:hint="eastAsia" w:ascii="宋体" w:hAnsi="宋体"/>
          <w:color w:val="auto"/>
          <w:sz w:val="24"/>
          <w:highlight w:val="none"/>
        </w:rPr>
        <w:t>厂址周围声学环境良好，厂界区内外环境噪音昼夜均达到国家规定的噪声标准。</w:t>
      </w:r>
    </w:p>
    <w:p w14:paraId="1E9BDA7A">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44" w:name="_Toc534960847"/>
      <w:r>
        <w:rPr>
          <w:rFonts w:hint="eastAsia" w:ascii="宋体" w:hAnsi="宋体"/>
          <w:b/>
          <w:bCs/>
          <w:color w:val="auto"/>
          <w:kern w:val="24"/>
          <w:sz w:val="24"/>
          <w:highlight w:val="none"/>
        </w:rPr>
        <w:t>2.5</w:t>
      </w:r>
      <w:r>
        <w:rPr>
          <w:rFonts w:ascii="宋体" w:hAnsi="宋体"/>
          <w:b/>
          <w:bCs/>
          <w:color w:val="auto"/>
          <w:kern w:val="24"/>
          <w:sz w:val="24"/>
          <w:highlight w:val="none"/>
        </w:rPr>
        <w:t>.2 执行的</w:t>
      </w:r>
      <w:r>
        <w:rPr>
          <w:rFonts w:hint="eastAsia" w:ascii="宋体" w:hAnsi="宋体"/>
          <w:b/>
          <w:bCs/>
          <w:color w:val="auto"/>
          <w:kern w:val="24"/>
          <w:sz w:val="24"/>
          <w:highlight w:val="none"/>
        </w:rPr>
        <w:t>有关</w:t>
      </w:r>
      <w:r>
        <w:rPr>
          <w:rFonts w:ascii="宋体" w:hAnsi="宋体"/>
          <w:b/>
          <w:bCs/>
          <w:color w:val="auto"/>
          <w:kern w:val="24"/>
          <w:sz w:val="24"/>
          <w:highlight w:val="none"/>
        </w:rPr>
        <w:t>环境</w:t>
      </w:r>
      <w:r>
        <w:rPr>
          <w:rFonts w:hint="eastAsia" w:ascii="宋体" w:hAnsi="宋体"/>
          <w:b/>
          <w:bCs/>
          <w:color w:val="auto"/>
          <w:kern w:val="24"/>
          <w:sz w:val="24"/>
          <w:highlight w:val="none"/>
        </w:rPr>
        <w:t>保护法律、法规和</w:t>
      </w:r>
      <w:r>
        <w:rPr>
          <w:rFonts w:ascii="宋体" w:hAnsi="宋体"/>
          <w:b/>
          <w:bCs/>
          <w:color w:val="auto"/>
          <w:kern w:val="24"/>
          <w:sz w:val="24"/>
          <w:highlight w:val="none"/>
        </w:rPr>
        <w:t>标准</w:t>
      </w:r>
      <w:bookmarkEnd w:id="243"/>
      <w:bookmarkEnd w:id="244"/>
    </w:p>
    <w:p w14:paraId="40C4D09A">
      <w:pPr>
        <w:keepNext/>
        <w:keepLines/>
        <w:snapToGrid w:val="0"/>
        <w:spacing w:line="360" w:lineRule="auto"/>
        <w:outlineLvl w:val="2"/>
        <w:rPr>
          <w:rFonts w:ascii="宋体" w:hAnsi="宋体"/>
          <w:b/>
          <w:bCs/>
          <w:color w:val="auto"/>
          <w:kern w:val="0"/>
          <w:sz w:val="24"/>
          <w:highlight w:val="none"/>
        </w:rPr>
      </w:pPr>
      <w:bookmarkStart w:id="245" w:name="_Toc355181206"/>
      <w:r>
        <w:rPr>
          <w:rFonts w:hint="eastAsia" w:ascii="宋体" w:hAnsi="宋体"/>
          <w:b/>
          <w:bCs/>
          <w:color w:val="auto"/>
          <w:kern w:val="0"/>
          <w:sz w:val="24"/>
          <w:highlight w:val="none"/>
        </w:rPr>
        <w:t>2.5.2.1环境质量标准</w:t>
      </w:r>
    </w:p>
    <w:p w14:paraId="7D453B09">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hint="eastAsia" w:ascii="宋体" w:hAnsi="宋体"/>
          <w:color w:val="auto"/>
          <w:sz w:val="24"/>
          <w:highlight w:val="none"/>
        </w:rPr>
        <w:t>）空气环境执行《环境空气质量标准》（</w:t>
      </w:r>
      <w:r>
        <w:rPr>
          <w:rFonts w:ascii="宋体" w:hAnsi="宋体"/>
          <w:color w:val="auto"/>
          <w:sz w:val="24"/>
          <w:highlight w:val="none"/>
        </w:rPr>
        <w:t>GB3095-</w:t>
      </w:r>
      <w:r>
        <w:rPr>
          <w:rFonts w:hint="eastAsia" w:ascii="宋体" w:hAnsi="宋体"/>
          <w:color w:val="auto"/>
          <w:sz w:val="24"/>
          <w:highlight w:val="none"/>
        </w:rPr>
        <w:t>2012）中的二级大气标准，该标准中没有的执行《工业企业设计卫生标准》（</w:t>
      </w:r>
      <w:r>
        <w:rPr>
          <w:rFonts w:ascii="宋体" w:hAnsi="宋体"/>
          <w:color w:val="auto"/>
          <w:sz w:val="24"/>
          <w:highlight w:val="none"/>
        </w:rPr>
        <w:t>GBZ1-2010</w:t>
      </w:r>
      <w:r>
        <w:rPr>
          <w:rFonts w:hint="eastAsia" w:ascii="宋体" w:hAnsi="宋体"/>
          <w:color w:val="auto"/>
          <w:sz w:val="24"/>
          <w:highlight w:val="none"/>
        </w:rPr>
        <w:t>）。</w:t>
      </w:r>
    </w:p>
    <w:p w14:paraId="60D2EE47">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）地面水执行《地表水环境质量标准》（</w:t>
      </w:r>
      <w:r>
        <w:rPr>
          <w:rFonts w:ascii="宋体" w:hAnsi="宋体"/>
          <w:color w:val="auto"/>
          <w:sz w:val="24"/>
          <w:highlight w:val="none"/>
        </w:rPr>
        <w:t>GB3838-2002</w:t>
      </w:r>
      <w:r>
        <w:rPr>
          <w:rFonts w:hint="eastAsia" w:ascii="宋体" w:hAnsi="宋体"/>
          <w:color w:val="auto"/>
          <w:sz w:val="24"/>
          <w:highlight w:val="none"/>
        </w:rPr>
        <w:t>）中的Ⅲ类地面水标准。</w:t>
      </w:r>
    </w:p>
    <w:p w14:paraId="56A24A3D">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3</w:t>
      </w:r>
      <w:r>
        <w:rPr>
          <w:rFonts w:hint="eastAsia" w:ascii="宋体" w:hAnsi="宋体"/>
          <w:color w:val="auto"/>
          <w:sz w:val="24"/>
          <w:highlight w:val="none"/>
        </w:rPr>
        <w:t>）环境噪声执行《城市区域环境噪声标准》（</w:t>
      </w:r>
      <w:r>
        <w:rPr>
          <w:rFonts w:ascii="宋体" w:hAnsi="宋体"/>
          <w:color w:val="auto"/>
          <w:sz w:val="24"/>
          <w:highlight w:val="none"/>
        </w:rPr>
        <w:t>GB3096-2008</w:t>
      </w:r>
      <w:r>
        <w:rPr>
          <w:rFonts w:hint="eastAsia" w:ascii="宋体" w:hAnsi="宋体"/>
          <w:color w:val="auto"/>
          <w:sz w:val="24"/>
          <w:highlight w:val="none"/>
        </w:rPr>
        <w:t>）中的</w:t>
      </w:r>
      <w:r>
        <w:rPr>
          <w:rFonts w:ascii="宋体" w:hAnsi="宋体"/>
          <w:color w:val="auto"/>
          <w:sz w:val="24"/>
          <w:highlight w:val="none"/>
        </w:rPr>
        <w:t>3</w:t>
      </w:r>
      <w:r>
        <w:rPr>
          <w:rFonts w:hint="eastAsia" w:ascii="宋体" w:hAnsi="宋体"/>
          <w:color w:val="auto"/>
          <w:sz w:val="24"/>
          <w:highlight w:val="none"/>
        </w:rPr>
        <w:t>类标准。</w:t>
      </w:r>
    </w:p>
    <w:p w14:paraId="4DE16F42">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4</w:t>
      </w:r>
      <w:r>
        <w:rPr>
          <w:rFonts w:hint="eastAsia" w:ascii="宋体" w:hAnsi="宋体"/>
          <w:color w:val="auto"/>
          <w:sz w:val="24"/>
          <w:highlight w:val="none"/>
        </w:rPr>
        <w:t>）《工业企业噪声卫生标准》（允许噪声≤</w:t>
      </w:r>
      <w:r>
        <w:rPr>
          <w:rFonts w:ascii="宋体" w:hAnsi="宋体"/>
          <w:color w:val="auto"/>
          <w:sz w:val="24"/>
          <w:highlight w:val="none"/>
        </w:rPr>
        <w:t>85dB</w:t>
      </w:r>
      <w:r>
        <w:rPr>
          <w:rFonts w:hint="eastAsia" w:ascii="宋体" w:hAnsi="宋体"/>
          <w:color w:val="auto"/>
          <w:sz w:val="24"/>
          <w:highlight w:val="none"/>
        </w:rPr>
        <w:t>）。</w:t>
      </w:r>
    </w:p>
    <w:p w14:paraId="09FDC78F">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5</w:t>
      </w:r>
      <w:r>
        <w:rPr>
          <w:rFonts w:hint="eastAsia" w:ascii="宋体" w:hAnsi="宋体"/>
          <w:color w:val="auto"/>
          <w:sz w:val="24"/>
          <w:highlight w:val="none"/>
        </w:rPr>
        <w:t>）厂区边界噪声执行《工业企业厂界环境噪声排放标准》（</w:t>
      </w:r>
      <w:r>
        <w:rPr>
          <w:rFonts w:ascii="宋体" w:hAnsi="宋体"/>
          <w:color w:val="auto"/>
          <w:sz w:val="24"/>
          <w:highlight w:val="none"/>
        </w:rPr>
        <w:t>G812348-2008</w:t>
      </w:r>
      <w:r>
        <w:rPr>
          <w:rFonts w:hint="eastAsia" w:ascii="宋体" w:hAnsi="宋体"/>
          <w:color w:val="auto"/>
          <w:sz w:val="24"/>
          <w:highlight w:val="none"/>
        </w:rPr>
        <w:t>）Ⅲ类区标准。</w:t>
      </w:r>
    </w:p>
    <w:p w14:paraId="26F9F39F">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2.5.2.2污染物排放标准</w:t>
      </w:r>
    </w:p>
    <w:p w14:paraId="648B20E5">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hint="eastAsia" w:ascii="宋体" w:hAnsi="宋体"/>
          <w:color w:val="auto"/>
          <w:sz w:val="24"/>
          <w:highlight w:val="none"/>
        </w:rPr>
        <w:t>）废气排放执行</w:t>
      </w:r>
      <w:r>
        <w:rPr>
          <w:rFonts w:ascii="宋体" w:hAnsi="宋体"/>
          <w:color w:val="auto"/>
          <w:sz w:val="24"/>
          <w:highlight w:val="none"/>
        </w:rPr>
        <w:t>GB16297-1996</w:t>
      </w:r>
      <w:r>
        <w:rPr>
          <w:rFonts w:hint="eastAsia" w:ascii="宋体" w:hAnsi="宋体"/>
          <w:color w:val="auto"/>
          <w:sz w:val="24"/>
          <w:highlight w:val="none"/>
        </w:rPr>
        <w:t>《大气污染物综合排放标准》二级标准。</w:t>
      </w:r>
    </w:p>
    <w:p w14:paraId="2D24BA62">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）废水进污水处理厂管网标准执行《污水综合排放标准》（</w:t>
      </w:r>
      <w:r>
        <w:rPr>
          <w:rFonts w:ascii="宋体" w:hAnsi="宋体"/>
          <w:color w:val="auto"/>
          <w:sz w:val="24"/>
          <w:highlight w:val="none"/>
        </w:rPr>
        <w:t>GB8978-</w:t>
      </w:r>
      <w:r>
        <w:rPr>
          <w:rFonts w:hint="eastAsia" w:ascii="宋体" w:hAnsi="宋体"/>
          <w:color w:val="auto"/>
          <w:sz w:val="24"/>
          <w:highlight w:val="none"/>
        </w:rPr>
        <w:t>2002）中的三级标准。</w:t>
      </w:r>
    </w:p>
    <w:p w14:paraId="6DFFCDB3">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3</w:t>
      </w:r>
      <w:r>
        <w:rPr>
          <w:rFonts w:hint="eastAsia" w:ascii="宋体" w:hAnsi="宋体"/>
          <w:color w:val="auto"/>
          <w:sz w:val="24"/>
          <w:highlight w:val="none"/>
        </w:rPr>
        <w:t>）厂界噪声执行《工业企业厂界环境噪声排放标准》（</w:t>
      </w:r>
      <w:r>
        <w:rPr>
          <w:rFonts w:ascii="宋体" w:hAnsi="宋体"/>
          <w:color w:val="auto"/>
          <w:sz w:val="24"/>
          <w:highlight w:val="none"/>
        </w:rPr>
        <w:t>GB12348</w:t>
      </w:r>
      <w:r>
        <w:rPr>
          <w:rFonts w:hint="eastAsia" w:ascii="宋体" w:hAnsi="宋体"/>
          <w:color w:val="auto"/>
          <w:sz w:val="24"/>
          <w:highlight w:val="none"/>
        </w:rPr>
        <w:t>－</w:t>
      </w:r>
      <w:r>
        <w:rPr>
          <w:rFonts w:ascii="宋体" w:hAnsi="宋体"/>
          <w:color w:val="auto"/>
          <w:sz w:val="24"/>
          <w:highlight w:val="none"/>
        </w:rPr>
        <w:t>2008</w:t>
      </w:r>
      <w:r>
        <w:rPr>
          <w:rFonts w:hint="eastAsia" w:ascii="宋体" w:hAnsi="宋体"/>
          <w:color w:val="auto"/>
          <w:sz w:val="24"/>
          <w:highlight w:val="none"/>
        </w:rPr>
        <w:t>）中的Ⅲ类标准。</w:t>
      </w:r>
    </w:p>
    <w:p w14:paraId="09403259">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46" w:name="_Toc534960848"/>
      <w:r>
        <w:rPr>
          <w:rFonts w:hint="eastAsia" w:ascii="宋体" w:hAnsi="宋体"/>
          <w:b/>
          <w:bCs/>
          <w:color w:val="auto"/>
          <w:kern w:val="24"/>
          <w:sz w:val="24"/>
          <w:highlight w:val="none"/>
        </w:rPr>
        <w:t>2.5</w:t>
      </w:r>
      <w:r>
        <w:rPr>
          <w:rFonts w:ascii="宋体" w:hAnsi="宋体"/>
          <w:b/>
          <w:bCs/>
          <w:color w:val="auto"/>
          <w:kern w:val="24"/>
          <w:sz w:val="24"/>
          <w:highlight w:val="none"/>
        </w:rPr>
        <w:t xml:space="preserve">.3 </w:t>
      </w:r>
      <w:r>
        <w:rPr>
          <w:rFonts w:hint="eastAsia" w:ascii="宋体" w:hAnsi="宋体"/>
          <w:b/>
          <w:bCs/>
          <w:color w:val="auto"/>
          <w:kern w:val="24"/>
          <w:sz w:val="24"/>
          <w:highlight w:val="none"/>
        </w:rPr>
        <w:t>主要污染源及主要</w:t>
      </w:r>
      <w:r>
        <w:rPr>
          <w:rFonts w:ascii="宋体" w:hAnsi="宋体"/>
          <w:b/>
          <w:bCs/>
          <w:color w:val="auto"/>
          <w:kern w:val="24"/>
          <w:sz w:val="24"/>
          <w:highlight w:val="none"/>
        </w:rPr>
        <w:t>污染物</w:t>
      </w:r>
      <w:bookmarkEnd w:id="245"/>
      <w:bookmarkEnd w:id="246"/>
    </w:p>
    <w:p w14:paraId="31FC80D9">
      <w:pPr>
        <w:spacing w:line="360" w:lineRule="auto"/>
        <w:ind w:firstLine="480"/>
        <w:rPr>
          <w:rFonts w:ascii="宋体" w:hAnsi="宋体"/>
          <w:color w:val="auto"/>
          <w:sz w:val="24"/>
          <w:highlight w:val="none"/>
        </w:rPr>
      </w:pPr>
      <w:r>
        <w:rPr>
          <w:rFonts w:hint="eastAsia" w:ascii="宋体" w:hAnsi="宋体"/>
          <w:color w:val="auto"/>
          <w:sz w:val="24"/>
          <w:highlight w:val="none"/>
        </w:rPr>
        <w:t>本项目主装置采用密闭操作，主要污染源为新增含盐蒸汽冷凝废水、场地冲洗水等。</w:t>
      </w:r>
    </w:p>
    <w:p w14:paraId="3F9A5275">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w:t>
      </w:r>
      <w:r>
        <w:rPr>
          <w:rFonts w:ascii="宋体" w:hAnsi="宋体"/>
          <w:b/>
          <w:bCs/>
          <w:color w:val="auto"/>
          <w:kern w:val="0"/>
          <w:sz w:val="24"/>
          <w:highlight w:val="none"/>
        </w:rPr>
        <w:t>.3.1 废水</w:t>
      </w:r>
    </w:p>
    <w:p w14:paraId="6B8682AE">
      <w:pPr>
        <w:spacing w:line="360" w:lineRule="auto"/>
        <w:ind w:firstLine="480"/>
        <w:rPr>
          <w:rFonts w:ascii="宋体" w:hAnsi="宋体"/>
          <w:color w:val="auto"/>
          <w:sz w:val="24"/>
          <w:highlight w:val="none"/>
        </w:rPr>
      </w:pPr>
      <w:r>
        <w:rPr>
          <w:rFonts w:hint="eastAsia" w:ascii="宋体" w:hAnsi="宋体"/>
          <w:color w:val="auto"/>
          <w:sz w:val="24"/>
          <w:highlight w:val="none"/>
        </w:rPr>
        <w:t>本项目生产中废水主要来源于新增含盐蒸汽冷凝废水、地面冲洗水等。</w:t>
      </w:r>
    </w:p>
    <w:p w14:paraId="10420E37">
      <w:pPr>
        <w:spacing w:line="360" w:lineRule="auto"/>
        <w:ind w:firstLine="480"/>
        <w:rPr>
          <w:rFonts w:ascii="宋体" w:hAnsi="宋体"/>
          <w:color w:val="auto"/>
          <w:sz w:val="24"/>
          <w:highlight w:val="none"/>
        </w:rPr>
      </w:pPr>
      <w:r>
        <w:rPr>
          <w:rFonts w:hint="eastAsia" w:ascii="宋体" w:hAnsi="宋体"/>
          <w:color w:val="auto"/>
          <w:sz w:val="24"/>
          <w:highlight w:val="none"/>
        </w:rPr>
        <w:t>（1）生产废水</w:t>
      </w:r>
    </w:p>
    <w:p w14:paraId="49CE2738">
      <w:pPr>
        <w:spacing w:line="360" w:lineRule="auto"/>
        <w:ind w:firstLine="480"/>
        <w:rPr>
          <w:rFonts w:ascii="宋体" w:hAnsi="宋体"/>
          <w:color w:val="auto"/>
          <w:sz w:val="24"/>
          <w:highlight w:val="none"/>
        </w:rPr>
      </w:pPr>
      <w:r>
        <w:rPr>
          <w:rFonts w:hint="eastAsia" w:ascii="宋体" w:hAnsi="宋体"/>
          <w:color w:val="auto"/>
          <w:sz w:val="24"/>
          <w:highlight w:val="none"/>
        </w:rPr>
        <w:t>经巨塑现有冷凝废水处理装置处理后部分回用，其余通过电化厂C类废水排口排入衢州清越环保污水处理厂处理。</w:t>
      </w:r>
    </w:p>
    <w:p w14:paraId="281E9369">
      <w:pPr>
        <w:spacing w:line="360" w:lineRule="auto"/>
        <w:ind w:firstLine="480"/>
        <w:rPr>
          <w:rFonts w:ascii="宋体" w:hAnsi="宋体"/>
          <w:color w:val="auto"/>
          <w:sz w:val="24"/>
          <w:highlight w:val="none"/>
        </w:rPr>
      </w:pPr>
      <w:r>
        <w:rPr>
          <w:rFonts w:hint="eastAsia" w:ascii="宋体" w:hAnsi="宋体"/>
          <w:color w:val="auto"/>
          <w:sz w:val="24"/>
          <w:highlight w:val="none"/>
        </w:rPr>
        <w:t>（2）地面冲洗水</w:t>
      </w:r>
    </w:p>
    <w:p w14:paraId="3072CCB3">
      <w:pPr>
        <w:spacing w:line="360" w:lineRule="auto"/>
        <w:ind w:firstLine="480"/>
        <w:rPr>
          <w:rFonts w:ascii="宋体" w:hAnsi="宋体"/>
          <w:color w:val="auto"/>
          <w:sz w:val="24"/>
          <w:highlight w:val="none"/>
        </w:rPr>
      </w:pPr>
      <w:r>
        <w:rPr>
          <w:rFonts w:hint="eastAsia" w:ascii="宋体" w:hAnsi="宋体"/>
          <w:color w:val="auto"/>
          <w:sz w:val="24"/>
          <w:highlight w:val="none"/>
        </w:rPr>
        <w:t>本项目车间地坪需要定期冲洗，</w:t>
      </w:r>
      <w:r>
        <w:rPr>
          <w:rFonts w:ascii="宋体" w:hAnsi="宋体"/>
          <w:color w:val="auto"/>
          <w:sz w:val="24"/>
          <w:highlight w:val="none"/>
        </w:rPr>
        <w:t>废水产生量约为200t/a。</w:t>
      </w:r>
    </w:p>
    <w:p w14:paraId="2A92DD7F">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w:t>
      </w:r>
      <w:r>
        <w:rPr>
          <w:rFonts w:ascii="宋体" w:hAnsi="宋体"/>
          <w:b/>
          <w:bCs/>
          <w:color w:val="auto"/>
          <w:kern w:val="0"/>
          <w:sz w:val="24"/>
          <w:highlight w:val="none"/>
        </w:rPr>
        <w:t>3</w:t>
      </w:r>
      <w:r>
        <w:rPr>
          <w:rFonts w:hint="eastAsia" w:ascii="宋体" w:hAnsi="宋体"/>
          <w:b/>
          <w:bCs/>
          <w:color w:val="auto"/>
          <w:kern w:val="0"/>
          <w:sz w:val="24"/>
          <w:highlight w:val="none"/>
        </w:rPr>
        <w:t>.</w:t>
      </w:r>
      <w:r>
        <w:rPr>
          <w:rFonts w:ascii="宋体" w:hAnsi="宋体"/>
          <w:b/>
          <w:bCs/>
          <w:color w:val="auto"/>
          <w:kern w:val="0"/>
          <w:sz w:val="24"/>
          <w:highlight w:val="none"/>
        </w:rPr>
        <w:t>2废气</w:t>
      </w:r>
    </w:p>
    <w:p w14:paraId="25A0E31B">
      <w:pPr>
        <w:spacing w:line="360" w:lineRule="auto"/>
        <w:ind w:firstLine="480"/>
        <w:rPr>
          <w:rFonts w:ascii="宋体" w:hAnsi="宋体"/>
          <w:color w:val="auto"/>
          <w:sz w:val="24"/>
          <w:highlight w:val="none"/>
        </w:rPr>
      </w:pPr>
      <w:r>
        <w:rPr>
          <w:rFonts w:hint="eastAsia" w:ascii="宋体" w:hAnsi="宋体"/>
          <w:color w:val="auto"/>
          <w:sz w:val="24"/>
          <w:highlight w:val="none"/>
        </w:rPr>
        <w:t>（1）有组织废气</w:t>
      </w:r>
    </w:p>
    <w:p w14:paraId="5E1D186E">
      <w:pPr>
        <w:spacing w:line="360" w:lineRule="auto"/>
        <w:ind w:firstLine="480"/>
        <w:rPr>
          <w:rFonts w:ascii="宋体" w:hAnsi="宋体"/>
          <w:color w:val="auto"/>
          <w:sz w:val="24"/>
          <w:highlight w:val="none"/>
        </w:rPr>
      </w:pPr>
      <w:r>
        <w:rPr>
          <w:rFonts w:hint="eastAsia" w:ascii="宋体" w:hAnsi="宋体"/>
          <w:color w:val="auto"/>
          <w:sz w:val="24"/>
          <w:highlight w:val="none"/>
        </w:rPr>
        <w:t>本项目不涉及有组织废气排放。</w:t>
      </w:r>
    </w:p>
    <w:p w14:paraId="699D9B32">
      <w:pPr>
        <w:spacing w:line="360" w:lineRule="auto"/>
        <w:ind w:firstLine="480"/>
        <w:rPr>
          <w:rFonts w:ascii="宋体" w:hAnsi="宋体"/>
          <w:color w:val="auto"/>
          <w:sz w:val="24"/>
          <w:highlight w:val="none"/>
        </w:rPr>
      </w:pPr>
      <w:r>
        <w:rPr>
          <w:rFonts w:hint="eastAsia" w:ascii="宋体" w:hAnsi="宋体"/>
          <w:color w:val="auto"/>
          <w:sz w:val="24"/>
          <w:highlight w:val="none"/>
        </w:rPr>
        <w:t>（2）无组织废气</w:t>
      </w:r>
    </w:p>
    <w:p w14:paraId="16C03D22">
      <w:pPr>
        <w:spacing w:line="360" w:lineRule="auto"/>
        <w:ind w:firstLine="480"/>
        <w:rPr>
          <w:rFonts w:ascii="宋体" w:hAnsi="宋体"/>
          <w:color w:val="auto"/>
          <w:sz w:val="24"/>
          <w:highlight w:val="none"/>
        </w:rPr>
      </w:pPr>
      <w:r>
        <w:rPr>
          <w:rFonts w:hint="eastAsia" w:ascii="宋体" w:hAnsi="宋体"/>
          <w:color w:val="auto"/>
          <w:sz w:val="24"/>
          <w:highlight w:val="none"/>
        </w:rPr>
        <w:t>无组织废气是指大气污染物不经排气筒或排气筒高度低于15m的排放源排放，它主要由物料跑、冒、滴、漏产生，主要部位在于系统的阀门、法兰、泵和其他连接器等的不严密处，排放具有不规律性。无组织排放量的大小主要与工艺技术水平、设备、管线质量和运行状况以及生产操作管理水平等有关。</w:t>
      </w:r>
    </w:p>
    <w:p w14:paraId="29434905">
      <w:pPr>
        <w:spacing w:line="360" w:lineRule="auto"/>
        <w:ind w:firstLine="480"/>
        <w:rPr>
          <w:rFonts w:ascii="宋体" w:hAnsi="宋体"/>
          <w:color w:val="auto"/>
          <w:sz w:val="24"/>
          <w:highlight w:val="none"/>
        </w:rPr>
      </w:pPr>
      <w:r>
        <w:rPr>
          <w:rFonts w:hint="eastAsia" w:ascii="宋体" w:hAnsi="宋体"/>
          <w:color w:val="auto"/>
          <w:sz w:val="24"/>
          <w:highlight w:val="none"/>
        </w:rPr>
        <w:t>本项目设备较先进，生产装置中无组织排放的废气很少。</w:t>
      </w:r>
    </w:p>
    <w:p w14:paraId="34FA596E">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w:t>
      </w:r>
      <w:r>
        <w:rPr>
          <w:rFonts w:ascii="宋体" w:hAnsi="宋体"/>
          <w:b/>
          <w:bCs/>
          <w:color w:val="auto"/>
          <w:kern w:val="0"/>
          <w:sz w:val="24"/>
          <w:highlight w:val="none"/>
        </w:rPr>
        <w:t>.3.3 固体废物及废液</w:t>
      </w:r>
    </w:p>
    <w:p w14:paraId="2D9234AB">
      <w:pPr>
        <w:spacing w:line="360" w:lineRule="auto"/>
        <w:ind w:firstLine="480"/>
        <w:rPr>
          <w:rFonts w:ascii="宋体" w:hAnsi="宋体"/>
          <w:color w:val="auto"/>
          <w:sz w:val="24"/>
          <w:highlight w:val="none"/>
        </w:rPr>
      </w:pPr>
      <w:r>
        <w:rPr>
          <w:rFonts w:hint="eastAsia" w:ascii="宋体" w:hAnsi="宋体"/>
          <w:color w:val="auto"/>
          <w:sz w:val="24"/>
          <w:highlight w:val="none"/>
        </w:rPr>
        <w:t>（1）建设项目副产物产生情况</w:t>
      </w:r>
    </w:p>
    <w:p w14:paraId="75C67C74">
      <w:pPr>
        <w:spacing w:line="360" w:lineRule="auto"/>
        <w:ind w:firstLine="480"/>
        <w:rPr>
          <w:rFonts w:ascii="宋体" w:hAnsi="宋体"/>
          <w:color w:val="auto"/>
          <w:sz w:val="24"/>
          <w:highlight w:val="none"/>
        </w:rPr>
      </w:pPr>
      <w:r>
        <w:rPr>
          <w:rFonts w:hint="eastAsia" w:ascii="宋体" w:hAnsi="宋体"/>
          <w:color w:val="auto"/>
          <w:sz w:val="24"/>
          <w:highlight w:val="none"/>
        </w:rPr>
        <w:t>本项目不新增固体废物。</w:t>
      </w:r>
    </w:p>
    <w:p w14:paraId="0C5537A5">
      <w:pPr>
        <w:keepNext/>
        <w:keepLines/>
        <w:snapToGrid w:val="0"/>
        <w:spacing w:line="540" w:lineRule="atLeast"/>
        <w:outlineLvl w:val="2"/>
        <w:rPr>
          <w:rFonts w:ascii="宋体" w:hAnsi="宋体" w:eastAsia="黑体"/>
          <w:b/>
          <w:bCs/>
          <w:color w:val="auto"/>
          <w:kern w:val="0"/>
          <w:sz w:val="24"/>
          <w:highlight w:val="none"/>
        </w:rPr>
      </w:pPr>
      <w:r>
        <w:rPr>
          <w:rFonts w:hint="eastAsia" w:ascii="宋体" w:hAnsi="宋体" w:eastAsia="黑体"/>
          <w:b/>
          <w:bCs/>
          <w:color w:val="auto"/>
          <w:kern w:val="0"/>
          <w:sz w:val="24"/>
          <w:highlight w:val="none"/>
        </w:rPr>
        <w:t>2.5</w:t>
      </w:r>
      <w:r>
        <w:rPr>
          <w:rFonts w:ascii="宋体" w:hAnsi="宋体" w:eastAsia="黑体"/>
          <w:b/>
          <w:bCs/>
          <w:color w:val="auto"/>
          <w:kern w:val="0"/>
          <w:sz w:val="24"/>
          <w:highlight w:val="none"/>
        </w:rPr>
        <w:t>.3.4 噪声</w:t>
      </w:r>
    </w:p>
    <w:p w14:paraId="324AE4FE">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厂区主要噪声源为生产中的动力设备及机械传动设备如反应釜电机、压缩机、风机、各类泵等，主要生产设备噪声源强在75～85</w:t>
      </w:r>
      <w:r>
        <w:rPr>
          <w:rFonts w:ascii="宋体" w:hAnsi="宋体"/>
          <w:color w:val="auto"/>
          <w:sz w:val="24"/>
          <w:highlight w:val="none"/>
        </w:rPr>
        <w:t>dB(A)之间。</w:t>
      </w:r>
    </w:p>
    <w:p w14:paraId="72DD0917">
      <w:pPr>
        <w:tabs>
          <w:tab w:val="left" w:pos="3195"/>
        </w:tabs>
        <w:spacing w:line="360" w:lineRule="auto"/>
        <w:ind w:firstLine="480"/>
        <w:jc w:val="center"/>
        <w:rPr>
          <w:rFonts w:ascii="宋体" w:hAnsi="宋体"/>
          <w:color w:val="auto"/>
          <w:sz w:val="24"/>
          <w:highlight w:val="none"/>
        </w:rPr>
      </w:pPr>
      <w:r>
        <w:rPr>
          <w:rFonts w:ascii="宋体" w:hAnsi="宋体"/>
          <w:color w:val="auto"/>
          <w:sz w:val="24"/>
          <w:highlight w:val="none"/>
        </w:rPr>
        <w:t>表1</w:t>
      </w:r>
      <w:r>
        <w:rPr>
          <w:rFonts w:hint="eastAsia" w:ascii="宋体" w:hAnsi="宋体"/>
          <w:color w:val="auto"/>
          <w:sz w:val="24"/>
          <w:highlight w:val="none"/>
        </w:rPr>
        <w:t>1</w:t>
      </w:r>
      <w:r>
        <w:rPr>
          <w:rFonts w:ascii="宋体" w:hAnsi="宋体"/>
          <w:color w:val="auto"/>
          <w:sz w:val="24"/>
          <w:highlight w:val="none"/>
        </w:rPr>
        <w:t>.3-4  主要生产设备噪声源强</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054"/>
        <w:gridCol w:w="4132"/>
      </w:tblGrid>
      <w:tr w14:paraId="07752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054" w:type="dxa"/>
            <w:vAlign w:val="center"/>
          </w:tcPr>
          <w:p w14:paraId="7CD47968">
            <w:pPr>
              <w:snapToGrid w:val="0"/>
              <w:rPr>
                <w:color w:val="auto"/>
                <w:sz w:val="24"/>
                <w:highlight w:val="none"/>
              </w:rPr>
            </w:pPr>
            <w:r>
              <w:rPr>
                <w:color w:val="auto"/>
                <w:sz w:val="24"/>
                <w:highlight w:val="none"/>
              </w:rPr>
              <w:t>声  源</w:t>
            </w:r>
          </w:p>
        </w:tc>
        <w:tc>
          <w:tcPr>
            <w:tcW w:w="4132" w:type="dxa"/>
            <w:vAlign w:val="center"/>
          </w:tcPr>
          <w:p w14:paraId="6F457644">
            <w:pPr>
              <w:snapToGrid w:val="0"/>
              <w:rPr>
                <w:color w:val="auto"/>
                <w:sz w:val="24"/>
                <w:highlight w:val="none"/>
              </w:rPr>
            </w:pPr>
            <w:r>
              <w:rPr>
                <w:color w:val="auto"/>
                <w:sz w:val="24"/>
                <w:highlight w:val="none"/>
              </w:rPr>
              <w:t>源强(dB)</w:t>
            </w:r>
          </w:p>
        </w:tc>
      </w:tr>
      <w:tr w14:paraId="550D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054" w:type="dxa"/>
            <w:vAlign w:val="center"/>
          </w:tcPr>
          <w:p w14:paraId="3E7364E3">
            <w:pPr>
              <w:snapToGrid w:val="0"/>
              <w:rPr>
                <w:color w:val="auto"/>
                <w:sz w:val="24"/>
                <w:highlight w:val="none"/>
              </w:rPr>
            </w:pPr>
            <w:r>
              <w:rPr>
                <w:rFonts w:hint="eastAsia"/>
                <w:color w:val="auto"/>
                <w:sz w:val="24"/>
                <w:highlight w:val="none"/>
              </w:rPr>
              <w:t>压缩机</w:t>
            </w:r>
          </w:p>
        </w:tc>
        <w:tc>
          <w:tcPr>
            <w:tcW w:w="4132" w:type="dxa"/>
            <w:vAlign w:val="center"/>
          </w:tcPr>
          <w:p w14:paraId="1A4F1082">
            <w:pPr>
              <w:snapToGrid w:val="0"/>
              <w:rPr>
                <w:color w:val="auto"/>
                <w:sz w:val="24"/>
                <w:highlight w:val="none"/>
              </w:rPr>
            </w:pPr>
            <w:r>
              <w:rPr>
                <w:color w:val="auto"/>
                <w:sz w:val="24"/>
                <w:highlight w:val="none"/>
              </w:rPr>
              <w:t>8</w:t>
            </w:r>
            <w:r>
              <w:rPr>
                <w:rFonts w:hint="eastAsia"/>
                <w:color w:val="auto"/>
                <w:sz w:val="24"/>
                <w:highlight w:val="none"/>
              </w:rPr>
              <w:t>0</w:t>
            </w:r>
            <w:r>
              <w:rPr>
                <w:color w:val="auto"/>
                <w:sz w:val="24"/>
                <w:highlight w:val="none"/>
              </w:rPr>
              <w:t>～</w:t>
            </w:r>
            <w:r>
              <w:rPr>
                <w:rFonts w:hint="eastAsia"/>
                <w:color w:val="auto"/>
                <w:sz w:val="24"/>
                <w:highlight w:val="none"/>
              </w:rPr>
              <w:t>85</w:t>
            </w:r>
          </w:p>
        </w:tc>
      </w:tr>
      <w:tr w14:paraId="07317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054" w:type="dxa"/>
            <w:vAlign w:val="center"/>
          </w:tcPr>
          <w:p w14:paraId="10093449">
            <w:pPr>
              <w:snapToGrid w:val="0"/>
              <w:rPr>
                <w:color w:val="auto"/>
                <w:sz w:val="24"/>
                <w:highlight w:val="none"/>
              </w:rPr>
            </w:pPr>
            <w:r>
              <w:rPr>
                <w:rFonts w:hint="eastAsia"/>
                <w:color w:val="auto"/>
                <w:sz w:val="24"/>
                <w:highlight w:val="none"/>
              </w:rPr>
              <w:t>风机</w:t>
            </w:r>
          </w:p>
        </w:tc>
        <w:tc>
          <w:tcPr>
            <w:tcW w:w="4132" w:type="dxa"/>
            <w:vAlign w:val="center"/>
          </w:tcPr>
          <w:p w14:paraId="3552853E">
            <w:pPr>
              <w:snapToGrid w:val="0"/>
              <w:rPr>
                <w:color w:val="auto"/>
                <w:sz w:val="24"/>
                <w:highlight w:val="none"/>
              </w:rPr>
            </w:pPr>
            <w:r>
              <w:rPr>
                <w:rFonts w:hint="eastAsia"/>
                <w:color w:val="auto"/>
                <w:sz w:val="24"/>
                <w:highlight w:val="none"/>
              </w:rPr>
              <w:t>80～85</w:t>
            </w:r>
          </w:p>
        </w:tc>
      </w:tr>
      <w:tr w14:paraId="2A7C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5054" w:type="dxa"/>
            <w:vAlign w:val="center"/>
          </w:tcPr>
          <w:p w14:paraId="05D11625">
            <w:pPr>
              <w:snapToGrid w:val="0"/>
              <w:rPr>
                <w:color w:val="auto"/>
                <w:sz w:val="24"/>
                <w:highlight w:val="none"/>
              </w:rPr>
            </w:pPr>
            <w:r>
              <w:rPr>
                <w:color w:val="auto"/>
                <w:sz w:val="24"/>
                <w:highlight w:val="none"/>
              </w:rPr>
              <w:t>泵</w:t>
            </w:r>
          </w:p>
        </w:tc>
        <w:tc>
          <w:tcPr>
            <w:tcW w:w="4132" w:type="dxa"/>
            <w:vAlign w:val="center"/>
          </w:tcPr>
          <w:p w14:paraId="65250157">
            <w:pPr>
              <w:snapToGrid w:val="0"/>
              <w:rPr>
                <w:color w:val="auto"/>
                <w:sz w:val="24"/>
                <w:highlight w:val="none"/>
              </w:rPr>
            </w:pPr>
            <w:r>
              <w:rPr>
                <w:rFonts w:hint="eastAsia"/>
                <w:color w:val="auto"/>
                <w:sz w:val="24"/>
                <w:highlight w:val="none"/>
              </w:rPr>
              <w:t>75</w:t>
            </w:r>
            <w:r>
              <w:rPr>
                <w:color w:val="auto"/>
                <w:sz w:val="24"/>
                <w:highlight w:val="none"/>
              </w:rPr>
              <w:t>～8</w:t>
            </w:r>
            <w:r>
              <w:rPr>
                <w:rFonts w:hint="eastAsia"/>
                <w:color w:val="auto"/>
                <w:sz w:val="24"/>
                <w:highlight w:val="none"/>
              </w:rPr>
              <w:t>0</w:t>
            </w:r>
          </w:p>
        </w:tc>
      </w:tr>
    </w:tbl>
    <w:p w14:paraId="1FCA4EE0">
      <w:pPr>
        <w:rPr>
          <w:color w:val="auto"/>
          <w:sz w:val="24"/>
          <w:highlight w:val="none"/>
        </w:rPr>
      </w:pPr>
    </w:p>
    <w:p w14:paraId="6BFFA876">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47" w:name="_Toc355181207"/>
      <w:bookmarkStart w:id="248" w:name="_Toc534960849"/>
      <w:r>
        <w:rPr>
          <w:rFonts w:hint="eastAsia" w:ascii="宋体" w:hAnsi="宋体"/>
          <w:b/>
          <w:bCs/>
          <w:color w:val="auto"/>
          <w:kern w:val="24"/>
          <w:sz w:val="24"/>
          <w:highlight w:val="none"/>
        </w:rPr>
        <w:t>2.5</w:t>
      </w:r>
      <w:r>
        <w:rPr>
          <w:rFonts w:ascii="宋体" w:hAnsi="宋体"/>
          <w:b/>
          <w:bCs/>
          <w:color w:val="auto"/>
          <w:kern w:val="24"/>
          <w:sz w:val="24"/>
          <w:highlight w:val="none"/>
        </w:rPr>
        <w:t>.4 环境保护治理措施及方案</w:t>
      </w:r>
      <w:bookmarkEnd w:id="247"/>
      <w:bookmarkEnd w:id="248"/>
    </w:p>
    <w:p w14:paraId="130797EB">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本项目采用国内先进的工艺技术，是对生产过程中产生的“三废”均通过成熟可靠的环保技术尽可能加以综合利用，对不可能综合利用的，均按环境和排放标准的要求进行治理，使“三废”排放符合国家排放标准，满足清洁生产、保护环境要求。</w:t>
      </w:r>
    </w:p>
    <w:p w14:paraId="25F428CF">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（1）在工艺生产流程中直接引入“三废”处理设备，以回收有用的工艺物料，降低排放量。</w:t>
      </w:r>
    </w:p>
    <w:p w14:paraId="72D8759F">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（2）对直接冷却水和化学污水进行清污分流。</w:t>
      </w:r>
    </w:p>
    <w:p w14:paraId="76F1CB9F">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w:t>
      </w:r>
      <w:r>
        <w:rPr>
          <w:rFonts w:ascii="宋体" w:hAnsi="宋体"/>
          <w:b/>
          <w:bCs/>
          <w:color w:val="auto"/>
          <w:kern w:val="0"/>
          <w:sz w:val="24"/>
          <w:highlight w:val="none"/>
        </w:rPr>
        <w:t>.4.1 废水治理</w:t>
      </w:r>
    </w:p>
    <w:p w14:paraId="4D9DC801">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（1）区域内采用清污分流措施，各生产装置界内排放的工业废水、生活污水需先经过预处理，达到污水厂接纳指标后经污水管网送污水处理厂进行处理。</w:t>
      </w:r>
    </w:p>
    <w:p w14:paraId="0B2A1A25">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禁止在规划的区域内任意设置排污水口。</w:t>
      </w:r>
    </w:p>
    <w:p w14:paraId="0E68C9FC">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（3）为了防止突发事故造成污染物外泄对环境的污染，设置专门的事故水池及安全事故报警系统，一旦有事故发生，被污染的消防水、冲洗水等直接流入事故水池等待处理。</w:t>
      </w:r>
    </w:p>
    <w:p w14:paraId="23C2A3DD">
      <w:pPr>
        <w:tabs>
          <w:tab w:val="left" w:pos="3195"/>
        </w:tabs>
        <w:spacing w:line="360" w:lineRule="auto"/>
        <w:ind w:firstLine="480"/>
        <w:rPr>
          <w:rFonts w:ascii="宋体" w:hAnsi="宋体"/>
          <w:color w:val="auto"/>
          <w:sz w:val="24"/>
          <w:highlight w:val="none"/>
        </w:rPr>
      </w:pP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1176"/>
        <w:gridCol w:w="1176"/>
        <w:gridCol w:w="576"/>
        <w:gridCol w:w="683"/>
        <w:gridCol w:w="576"/>
        <w:gridCol w:w="576"/>
        <w:gridCol w:w="1101"/>
        <w:gridCol w:w="560"/>
        <w:gridCol w:w="1755"/>
      </w:tblGrid>
      <w:tr w14:paraId="3C1E0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76" w:type="dxa"/>
            <w:vMerge w:val="restart"/>
            <w:vAlign w:val="center"/>
          </w:tcPr>
          <w:p w14:paraId="3310D604">
            <w:pPr>
              <w:snapToGrid w:val="0"/>
              <w:rPr>
                <w:color w:val="auto"/>
                <w:sz w:val="24"/>
                <w:highlight w:val="none"/>
              </w:rPr>
            </w:pPr>
            <w:r>
              <w:rPr>
                <w:rFonts w:hint="eastAsia"/>
                <w:color w:val="auto"/>
                <w:sz w:val="24"/>
                <w:highlight w:val="none"/>
              </w:rPr>
              <w:t>序号</w:t>
            </w:r>
          </w:p>
        </w:tc>
        <w:tc>
          <w:tcPr>
            <w:tcW w:w="1176" w:type="dxa"/>
            <w:vMerge w:val="restart"/>
            <w:vAlign w:val="center"/>
          </w:tcPr>
          <w:p w14:paraId="0553134E">
            <w:pPr>
              <w:snapToGrid w:val="0"/>
              <w:rPr>
                <w:color w:val="auto"/>
                <w:sz w:val="24"/>
                <w:highlight w:val="none"/>
              </w:rPr>
            </w:pPr>
            <w:r>
              <w:rPr>
                <w:rFonts w:hint="eastAsia"/>
                <w:color w:val="auto"/>
                <w:sz w:val="24"/>
                <w:highlight w:val="none"/>
              </w:rPr>
              <w:t>废水（液）</w:t>
            </w:r>
          </w:p>
          <w:p w14:paraId="1A15FB42">
            <w:pPr>
              <w:snapToGrid w:val="0"/>
              <w:rPr>
                <w:color w:val="auto"/>
                <w:sz w:val="24"/>
                <w:highlight w:val="none"/>
              </w:rPr>
            </w:pPr>
            <w:r>
              <w:rPr>
                <w:rFonts w:hint="eastAsia"/>
                <w:color w:val="auto"/>
                <w:sz w:val="24"/>
                <w:highlight w:val="none"/>
              </w:rPr>
              <w:t>名   称</w:t>
            </w:r>
          </w:p>
        </w:tc>
        <w:tc>
          <w:tcPr>
            <w:tcW w:w="1176" w:type="dxa"/>
            <w:vMerge w:val="restart"/>
            <w:vAlign w:val="center"/>
          </w:tcPr>
          <w:p w14:paraId="734573A2">
            <w:pPr>
              <w:snapToGrid w:val="0"/>
              <w:rPr>
                <w:color w:val="auto"/>
                <w:sz w:val="24"/>
                <w:highlight w:val="none"/>
              </w:rPr>
            </w:pPr>
            <w:r>
              <w:rPr>
                <w:rFonts w:hint="eastAsia"/>
                <w:color w:val="auto"/>
                <w:sz w:val="24"/>
                <w:highlight w:val="none"/>
              </w:rPr>
              <w:t>组成及特性数据</w:t>
            </w:r>
          </w:p>
        </w:tc>
        <w:tc>
          <w:tcPr>
            <w:tcW w:w="2411" w:type="dxa"/>
            <w:gridSpan w:val="4"/>
            <w:vAlign w:val="center"/>
          </w:tcPr>
          <w:p w14:paraId="427EF6AF">
            <w:pPr>
              <w:snapToGrid w:val="0"/>
              <w:rPr>
                <w:color w:val="auto"/>
                <w:sz w:val="24"/>
                <w:highlight w:val="none"/>
              </w:rPr>
            </w:pPr>
            <w:r>
              <w:rPr>
                <w:rFonts w:hint="eastAsia"/>
                <w:color w:val="auto"/>
                <w:sz w:val="24"/>
                <w:highlight w:val="none"/>
              </w:rPr>
              <w:t>排</w:t>
            </w:r>
            <w:r>
              <w:rPr>
                <w:color w:val="auto"/>
                <w:sz w:val="24"/>
                <w:highlight w:val="none"/>
              </w:rPr>
              <w:t xml:space="preserve">  </w:t>
            </w:r>
            <w:r>
              <w:rPr>
                <w:rFonts w:hint="eastAsia"/>
                <w:color w:val="auto"/>
                <w:sz w:val="24"/>
                <w:highlight w:val="none"/>
              </w:rPr>
              <w:t>放</w:t>
            </w:r>
            <w:r>
              <w:rPr>
                <w:color w:val="auto"/>
                <w:sz w:val="24"/>
                <w:highlight w:val="none"/>
              </w:rPr>
              <w:t xml:space="preserve">  </w:t>
            </w:r>
            <w:r>
              <w:rPr>
                <w:rFonts w:hint="eastAsia"/>
                <w:color w:val="auto"/>
                <w:sz w:val="24"/>
                <w:highlight w:val="none"/>
              </w:rPr>
              <w:t>特</w:t>
            </w:r>
            <w:r>
              <w:rPr>
                <w:color w:val="auto"/>
                <w:sz w:val="24"/>
                <w:highlight w:val="none"/>
              </w:rPr>
              <w:t xml:space="preserve">  </w:t>
            </w:r>
            <w:r>
              <w:rPr>
                <w:rFonts w:hint="eastAsia"/>
                <w:color w:val="auto"/>
                <w:sz w:val="24"/>
                <w:highlight w:val="none"/>
              </w:rPr>
              <w:t>性</w:t>
            </w:r>
          </w:p>
        </w:tc>
        <w:tc>
          <w:tcPr>
            <w:tcW w:w="1101" w:type="dxa"/>
            <w:vMerge w:val="restart"/>
            <w:vAlign w:val="center"/>
          </w:tcPr>
          <w:p w14:paraId="1E8F46D9">
            <w:pPr>
              <w:snapToGrid w:val="0"/>
              <w:rPr>
                <w:color w:val="auto"/>
                <w:sz w:val="24"/>
                <w:highlight w:val="none"/>
              </w:rPr>
            </w:pPr>
            <w:r>
              <w:rPr>
                <w:rFonts w:hint="eastAsia"/>
                <w:color w:val="auto"/>
                <w:sz w:val="24"/>
                <w:highlight w:val="none"/>
              </w:rPr>
              <w:t>排放数量</w:t>
            </w:r>
          </w:p>
          <w:p w14:paraId="2FE5E10C">
            <w:pPr>
              <w:snapToGrid w:val="0"/>
              <w:rPr>
                <w:color w:val="auto"/>
                <w:sz w:val="24"/>
                <w:highlight w:val="none"/>
              </w:rPr>
            </w:pPr>
            <w:r>
              <w:rPr>
                <w:rFonts w:hint="eastAsia"/>
                <w:color w:val="auto"/>
                <w:sz w:val="24"/>
                <w:highlight w:val="none"/>
              </w:rPr>
              <w:t>（最大）t/a</w:t>
            </w:r>
          </w:p>
        </w:tc>
        <w:tc>
          <w:tcPr>
            <w:tcW w:w="560" w:type="dxa"/>
            <w:vMerge w:val="restart"/>
            <w:vAlign w:val="center"/>
          </w:tcPr>
          <w:p w14:paraId="0B8570FB">
            <w:pPr>
              <w:snapToGrid w:val="0"/>
              <w:rPr>
                <w:color w:val="auto"/>
                <w:sz w:val="24"/>
                <w:highlight w:val="none"/>
              </w:rPr>
            </w:pPr>
            <w:r>
              <w:rPr>
                <w:rFonts w:hint="eastAsia"/>
                <w:color w:val="auto"/>
                <w:sz w:val="24"/>
                <w:highlight w:val="none"/>
              </w:rPr>
              <w:t>排放地点</w:t>
            </w:r>
          </w:p>
        </w:tc>
        <w:tc>
          <w:tcPr>
            <w:tcW w:w="1755" w:type="dxa"/>
            <w:vMerge w:val="restart"/>
            <w:vAlign w:val="center"/>
          </w:tcPr>
          <w:p w14:paraId="189AB0B9">
            <w:pPr>
              <w:snapToGrid w:val="0"/>
              <w:rPr>
                <w:color w:val="auto"/>
                <w:sz w:val="24"/>
                <w:highlight w:val="none"/>
              </w:rPr>
            </w:pPr>
            <w:r>
              <w:rPr>
                <w:rFonts w:hint="eastAsia"/>
                <w:color w:val="auto"/>
                <w:sz w:val="24"/>
                <w:highlight w:val="none"/>
              </w:rPr>
              <w:t>备注</w:t>
            </w:r>
          </w:p>
        </w:tc>
      </w:tr>
      <w:tr w14:paraId="6D5EF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blHeader/>
          <w:jc w:val="center"/>
        </w:trPr>
        <w:tc>
          <w:tcPr>
            <w:tcW w:w="576" w:type="dxa"/>
            <w:vMerge w:val="continue"/>
            <w:vAlign w:val="center"/>
          </w:tcPr>
          <w:p w14:paraId="57F1884B">
            <w:pPr>
              <w:snapToGrid w:val="0"/>
              <w:rPr>
                <w:color w:val="auto"/>
                <w:sz w:val="24"/>
                <w:highlight w:val="none"/>
              </w:rPr>
            </w:pPr>
          </w:p>
        </w:tc>
        <w:tc>
          <w:tcPr>
            <w:tcW w:w="1176" w:type="dxa"/>
            <w:vMerge w:val="continue"/>
            <w:vAlign w:val="center"/>
          </w:tcPr>
          <w:p w14:paraId="4DEF5CAF">
            <w:pPr>
              <w:snapToGrid w:val="0"/>
              <w:rPr>
                <w:color w:val="auto"/>
                <w:sz w:val="24"/>
                <w:highlight w:val="none"/>
              </w:rPr>
            </w:pPr>
          </w:p>
        </w:tc>
        <w:tc>
          <w:tcPr>
            <w:tcW w:w="1176" w:type="dxa"/>
            <w:vMerge w:val="continue"/>
            <w:vAlign w:val="center"/>
          </w:tcPr>
          <w:p w14:paraId="0036944E">
            <w:pPr>
              <w:snapToGrid w:val="0"/>
              <w:rPr>
                <w:color w:val="auto"/>
                <w:sz w:val="24"/>
                <w:highlight w:val="none"/>
              </w:rPr>
            </w:pPr>
          </w:p>
        </w:tc>
        <w:tc>
          <w:tcPr>
            <w:tcW w:w="576" w:type="dxa"/>
            <w:vAlign w:val="center"/>
          </w:tcPr>
          <w:p w14:paraId="6583C1F4">
            <w:pPr>
              <w:snapToGrid w:val="0"/>
              <w:rPr>
                <w:color w:val="auto"/>
                <w:sz w:val="24"/>
                <w:highlight w:val="none"/>
              </w:rPr>
            </w:pPr>
            <w:r>
              <w:rPr>
                <w:rFonts w:hint="eastAsia"/>
                <w:color w:val="auto"/>
                <w:sz w:val="24"/>
                <w:highlight w:val="none"/>
              </w:rPr>
              <w:t>温度</w:t>
            </w:r>
          </w:p>
          <w:p w14:paraId="57866837">
            <w:pPr>
              <w:snapToGrid w:val="0"/>
              <w:rPr>
                <w:color w:val="auto"/>
                <w:sz w:val="24"/>
                <w:highlight w:val="none"/>
              </w:rPr>
            </w:pPr>
            <w:r>
              <w:rPr>
                <w:rFonts w:hint="eastAsia"/>
                <w:color w:val="auto"/>
                <w:sz w:val="24"/>
                <w:highlight w:val="none"/>
              </w:rPr>
              <w:t>℃</w:t>
            </w:r>
          </w:p>
        </w:tc>
        <w:tc>
          <w:tcPr>
            <w:tcW w:w="683" w:type="dxa"/>
            <w:vAlign w:val="center"/>
          </w:tcPr>
          <w:p w14:paraId="5B8FD731">
            <w:pPr>
              <w:snapToGrid w:val="0"/>
              <w:rPr>
                <w:color w:val="auto"/>
                <w:sz w:val="24"/>
                <w:highlight w:val="none"/>
              </w:rPr>
            </w:pPr>
            <w:r>
              <w:rPr>
                <w:rFonts w:hint="eastAsia"/>
                <w:color w:val="auto"/>
                <w:sz w:val="24"/>
                <w:highlight w:val="none"/>
              </w:rPr>
              <w:t>压力</w:t>
            </w:r>
          </w:p>
          <w:p w14:paraId="60D908AD">
            <w:pPr>
              <w:snapToGrid w:val="0"/>
              <w:rPr>
                <w:color w:val="auto"/>
                <w:sz w:val="24"/>
                <w:highlight w:val="none"/>
              </w:rPr>
            </w:pPr>
            <w:r>
              <w:rPr>
                <w:rFonts w:hint="eastAsia"/>
                <w:color w:val="auto"/>
                <w:sz w:val="24"/>
                <w:highlight w:val="none"/>
              </w:rPr>
              <w:t>MPa</w:t>
            </w:r>
          </w:p>
        </w:tc>
        <w:tc>
          <w:tcPr>
            <w:tcW w:w="576" w:type="dxa"/>
            <w:vAlign w:val="center"/>
          </w:tcPr>
          <w:p w14:paraId="325F5C6D">
            <w:pPr>
              <w:snapToGrid w:val="0"/>
              <w:rPr>
                <w:color w:val="auto"/>
                <w:sz w:val="24"/>
                <w:highlight w:val="none"/>
              </w:rPr>
            </w:pPr>
            <w:r>
              <w:rPr>
                <w:rFonts w:hint="eastAsia"/>
                <w:color w:val="auto"/>
                <w:sz w:val="24"/>
                <w:highlight w:val="none"/>
              </w:rPr>
              <w:t>连续</w:t>
            </w:r>
            <w:r>
              <w:rPr>
                <w:color w:val="auto"/>
                <w:sz w:val="24"/>
                <w:highlight w:val="none"/>
              </w:rPr>
              <w:t xml:space="preserve"> </w:t>
            </w:r>
          </w:p>
        </w:tc>
        <w:tc>
          <w:tcPr>
            <w:tcW w:w="576" w:type="dxa"/>
            <w:vAlign w:val="center"/>
          </w:tcPr>
          <w:p w14:paraId="09584474">
            <w:pPr>
              <w:snapToGrid w:val="0"/>
              <w:rPr>
                <w:color w:val="auto"/>
                <w:sz w:val="24"/>
                <w:highlight w:val="none"/>
              </w:rPr>
            </w:pPr>
            <w:r>
              <w:rPr>
                <w:rFonts w:hint="eastAsia"/>
                <w:color w:val="auto"/>
                <w:sz w:val="24"/>
                <w:highlight w:val="none"/>
              </w:rPr>
              <w:t>间断</w:t>
            </w:r>
          </w:p>
        </w:tc>
        <w:tc>
          <w:tcPr>
            <w:tcW w:w="1101" w:type="dxa"/>
            <w:vMerge w:val="continue"/>
            <w:vAlign w:val="center"/>
          </w:tcPr>
          <w:p w14:paraId="759EA91D">
            <w:pPr>
              <w:snapToGrid w:val="0"/>
              <w:rPr>
                <w:color w:val="auto"/>
                <w:sz w:val="24"/>
                <w:highlight w:val="none"/>
              </w:rPr>
            </w:pPr>
          </w:p>
        </w:tc>
        <w:tc>
          <w:tcPr>
            <w:tcW w:w="560" w:type="dxa"/>
            <w:vMerge w:val="continue"/>
            <w:vAlign w:val="center"/>
          </w:tcPr>
          <w:p w14:paraId="580918F3">
            <w:pPr>
              <w:snapToGrid w:val="0"/>
              <w:rPr>
                <w:color w:val="auto"/>
                <w:sz w:val="24"/>
                <w:highlight w:val="none"/>
              </w:rPr>
            </w:pPr>
          </w:p>
        </w:tc>
        <w:tc>
          <w:tcPr>
            <w:tcW w:w="1755" w:type="dxa"/>
            <w:vMerge w:val="continue"/>
            <w:vAlign w:val="center"/>
          </w:tcPr>
          <w:p w14:paraId="42956ADC">
            <w:pPr>
              <w:snapToGrid w:val="0"/>
              <w:rPr>
                <w:color w:val="auto"/>
                <w:sz w:val="24"/>
                <w:highlight w:val="none"/>
              </w:rPr>
            </w:pPr>
          </w:p>
        </w:tc>
      </w:tr>
      <w:tr w14:paraId="43B42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6" w:type="dxa"/>
            <w:vAlign w:val="center"/>
          </w:tcPr>
          <w:p w14:paraId="73AAC57A">
            <w:pPr>
              <w:snapToGrid w:val="0"/>
              <w:rPr>
                <w:color w:val="auto"/>
                <w:sz w:val="24"/>
                <w:highlight w:val="none"/>
              </w:rPr>
            </w:pPr>
            <w:r>
              <w:rPr>
                <w:rFonts w:hint="eastAsia"/>
                <w:color w:val="auto"/>
                <w:sz w:val="24"/>
                <w:highlight w:val="none"/>
              </w:rPr>
              <w:t>1</w:t>
            </w:r>
          </w:p>
        </w:tc>
        <w:tc>
          <w:tcPr>
            <w:tcW w:w="1176" w:type="dxa"/>
            <w:vAlign w:val="center"/>
          </w:tcPr>
          <w:p w14:paraId="42A29749">
            <w:pPr>
              <w:snapToGrid w:val="0"/>
              <w:rPr>
                <w:color w:val="auto"/>
                <w:sz w:val="24"/>
                <w:highlight w:val="none"/>
              </w:rPr>
            </w:pPr>
            <w:r>
              <w:rPr>
                <w:color w:val="auto"/>
                <w:sz w:val="24"/>
                <w:highlight w:val="none"/>
              </w:rPr>
              <w:t>蒸汽冷凝水</w:t>
            </w:r>
          </w:p>
        </w:tc>
        <w:tc>
          <w:tcPr>
            <w:tcW w:w="1176" w:type="dxa"/>
            <w:vAlign w:val="center"/>
          </w:tcPr>
          <w:p w14:paraId="3C53D67F">
            <w:pPr>
              <w:snapToGrid w:val="0"/>
              <w:rPr>
                <w:color w:val="auto"/>
                <w:sz w:val="24"/>
                <w:highlight w:val="none"/>
              </w:rPr>
            </w:pPr>
            <w:r>
              <w:rPr>
                <w:rFonts w:hint="eastAsia"/>
                <w:color w:val="auto"/>
                <w:sz w:val="24"/>
                <w:highlight w:val="none"/>
              </w:rPr>
              <w:t>少量氯化钙</w:t>
            </w:r>
          </w:p>
        </w:tc>
        <w:tc>
          <w:tcPr>
            <w:tcW w:w="576" w:type="dxa"/>
            <w:vAlign w:val="center"/>
          </w:tcPr>
          <w:p w14:paraId="61B7E8FF">
            <w:pPr>
              <w:snapToGrid w:val="0"/>
              <w:rPr>
                <w:color w:val="auto"/>
                <w:sz w:val="24"/>
                <w:highlight w:val="none"/>
              </w:rPr>
            </w:pPr>
            <w:r>
              <w:rPr>
                <w:rFonts w:hint="eastAsia"/>
                <w:color w:val="auto"/>
                <w:sz w:val="24"/>
                <w:highlight w:val="none"/>
              </w:rPr>
              <w:t>常温</w:t>
            </w:r>
          </w:p>
        </w:tc>
        <w:tc>
          <w:tcPr>
            <w:tcW w:w="683" w:type="dxa"/>
            <w:vAlign w:val="center"/>
          </w:tcPr>
          <w:p w14:paraId="3973E376">
            <w:pPr>
              <w:snapToGrid w:val="0"/>
              <w:rPr>
                <w:color w:val="auto"/>
                <w:sz w:val="24"/>
                <w:highlight w:val="none"/>
              </w:rPr>
            </w:pPr>
          </w:p>
        </w:tc>
        <w:tc>
          <w:tcPr>
            <w:tcW w:w="576" w:type="dxa"/>
            <w:vAlign w:val="center"/>
          </w:tcPr>
          <w:p w14:paraId="5A555900">
            <w:pPr>
              <w:snapToGrid w:val="0"/>
              <w:rPr>
                <w:color w:val="auto"/>
                <w:sz w:val="24"/>
                <w:highlight w:val="none"/>
              </w:rPr>
            </w:pPr>
          </w:p>
        </w:tc>
        <w:tc>
          <w:tcPr>
            <w:tcW w:w="576" w:type="dxa"/>
            <w:vAlign w:val="center"/>
          </w:tcPr>
          <w:p w14:paraId="65C2EEC3">
            <w:pPr>
              <w:snapToGrid w:val="0"/>
              <w:rPr>
                <w:color w:val="auto"/>
                <w:sz w:val="24"/>
                <w:highlight w:val="none"/>
              </w:rPr>
            </w:pPr>
            <w:r>
              <w:rPr>
                <w:rFonts w:hint="eastAsia"/>
                <w:color w:val="auto"/>
                <w:sz w:val="24"/>
                <w:highlight w:val="none"/>
              </w:rPr>
              <w:t>√</w:t>
            </w:r>
          </w:p>
        </w:tc>
        <w:tc>
          <w:tcPr>
            <w:tcW w:w="1101" w:type="dxa"/>
            <w:vAlign w:val="center"/>
          </w:tcPr>
          <w:p w14:paraId="4665ACDA">
            <w:pPr>
              <w:snapToGrid w:val="0"/>
              <w:rPr>
                <w:color w:val="auto"/>
                <w:sz w:val="24"/>
                <w:highlight w:val="none"/>
              </w:rPr>
            </w:pPr>
            <w:r>
              <w:rPr>
                <w:rFonts w:hint="eastAsia"/>
                <w:color w:val="auto"/>
                <w:sz w:val="24"/>
                <w:highlight w:val="none"/>
              </w:rPr>
              <w:t>5119.8</w:t>
            </w:r>
          </w:p>
        </w:tc>
        <w:tc>
          <w:tcPr>
            <w:tcW w:w="560" w:type="dxa"/>
            <w:vAlign w:val="center"/>
          </w:tcPr>
          <w:p w14:paraId="4066B7A0">
            <w:pPr>
              <w:snapToGrid w:val="0"/>
              <w:rPr>
                <w:color w:val="auto"/>
                <w:sz w:val="24"/>
                <w:highlight w:val="none"/>
              </w:rPr>
            </w:pPr>
          </w:p>
        </w:tc>
        <w:tc>
          <w:tcPr>
            <w:tcW w:w="1755" w:type="dxa"/>
            <w:vAlign w:val="center"/>
          </w:tcPr>
          <w:p w14:paraId="53FE4D00">
            <w:pPr>
              <w:snapToGrid w:val="0"/>
              <w:rPr>
                <w:color w:val="auto"/>
                <w:sz w:val="24"/>
                <w:highlight w:val="none"/>
              </w:rPr>
            </w:pPr>
            <w:r>
              <w:rPr>
                <w:rFonts w:hint="eastAsia"/>
                <w:color w:val="auto"/>
                <w:sz w:val="24"/>
                <w:highlight w:val="none"/>
              </w:rPr>
              <w:t>部分回用，部分送污水厂</w:t>
            </w:r>
          </w:p>
        </w:tc>
      </w:tr>
      <w:tr w14:paraId="1D066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76" w:type="dxa"/>
            <w:vAlign w:val="center"/>
          </w:tcPr>
          <w:p w14:paraId="3456A184">
            <w:pPr>
              <w:snapToGrid w:val="0"/>
              <w:rPr>
                <w:color w:val="auto"/>
                <w:sz w:val="24"/>
                <w:highlight w:val="none"/>
              </w:rPr>
            </w:pPr>
            <w:r>
              <w:rPr>
                <w:rFonts w:hint="eastAsia"/>
                <w:color w:val="auto"/>
                <w:sz w:val="24"/>
                <w:highlight w:val="none"/>
              </w:rPr>
              <w:t>4</w:t>
            </w:r>
          </w:p>
        </w:tc>
        <w:tc>
          <w:tcPr>
            <w:tcW w:w="1176" w:type="dxa"/>
            <w:vAlign w:val="center"/>
          </w:tcPr>
          <w:p w14:paraId="2DB73CB7">
            <w:pPr>
              <w:snapToGrid w:val="0"/>
              <w:rPr>
                <w:color w:val="auto"/>
                <w:sz w:val="24"/>
                <w:highlight w:val="none"/>
              </w:rPr>
            </w:pPr>
            <w:r>
              <w:rPr>
                <w:rFonts w:hint="eastAsia"/>
                <w:color w:val="auto"/>
                <w:sz w:val="24"/>
                <w:highlight w:val="none"/>
              </w:rPr>
              <w:t>场地清洗水</w:t>
            </w:r>
          </w:p>
        </w:tc>
        <w:tc>
          <w:tcPr>
            <w:tcW w:w="1176" w:type="dxa"/>
            <w:vAlign w:val="center"/>
          </w:tcPr>
          <w:p w14:paraId="65A28673">
            <w:pPr>
              <w:snapToGrid w:val="0"/>
              <w:rPr>
                <w:color w:val="auto"/>
                <w:sz w:val="24"/>
                <w:highlight w:val="none"/>
              </w:rPr>
            </w:pPr>
          </w:p>
        </w:tc>
        <w:tc>
          <w:tcPr>
            <w:tcW w:w="576" w:type="dxa"/>
            <w:vAlign w:val="center"/>
          </w:tcPr>
          <w:p w14:paraId="0ACA2D2D">
            <w:pPr>
              <w:snapToGrid w:val="0"/>
              <w:rPr>
                <w:color w:val="auto"/>
                <w:sz w:val="24"/>
                <w:highlight w:val="none"/>
              </w:rPr>
            </w:pPr>
            <w:r>
              <w:rPr>
                <w:rFonts w:hint="eastAsia"/>
                <w:color w:val="auto"/>
                <w:sz w:val="24"/>
                <w:highlight w:val="none"/>
              </w:rPr>
              <w:t>常温</w:t>
            </w:r>
          </w:p>
        </w:tc>
        <w:tc>
          <w:tcPr>
            <w:tcW w:w="683" w:type="dxa"/>
            <w:vAlign w:val="center"/>
          </w:tcPr>
          <w:p w14:paraId="0EF24DE9">
            <w:pPr>
              <w:snapToGrid w:val="0"/>
              <w:rPr>
                <w:color w:val="auto"/>
                <w:sz w:val="24"/>
                <w:highlight w:val="none"/>
              </w:rPr>
            </w:pPr>
            <w:r>
              <w:rPr>
                <w:rFonts w:hint="eastAsia"/>
                <w:color w:val="auto"/>
                <w:sz w:val="24"/>
                <w:highlight w:val="none"/>
              </w:rPr>
              <w:t>常压</w:t>
            </w:r>
          </w:p>
        </w:tc>
        <w:tc>
          <w:tcPr>
            <w:tcW w:w="576" w:type="dxa"/>
            <w:vAlign w:val="center"/>
          </w:tcPr>
          <w:p w14:paraId="2EF26502">
            <w:pPr>
              <w:snapToGrid w:val="0"/>
              <w:rPr>
                <w:color w:val="auto"/>
                <w:sz w:val="24"/>
                <w:highlight w:val="none"/>
              </w:rPr>
            </w:pPr>
          </w:p>
        </w:tc>
        <w:tc>
          <w:tcPr>
            <w:tcW w:w="576" w:type="dxa"/>
            <w:vAlign w:val="center"/>
          </w:tcPr>
          <w:p w14:paraId="242BDE13">
            <w:pPr>
              <w:snapToGrid w:val="0"/>
              <w:rPr>
                <w:color w:val="auto"/>
                <w:sz w:val="24"/>
                <w:highlight w:val="none"/>
              </w:rPr>
            </w:pPr>
            <w:r>
              <w:rPr>
                <w:rFonts w:hint="eastAsia"/>
                <w:color w:val="auto"/>
                <w:sz w:val="24"/>
                <w:highlight w:val="none"/>
              </w:rPr>
              <w:t>√</w:t>
            </w:r>
          </w:p>
        </w:tc>
        <w:tc>
          <w:tcPr>
            <w:tcW w:w="1101" w:type="dxa"/>
            <w:vAlign w:val="center"/>
          </w:tcPr>
          <w:p w14:paraId="31A17294">
            <w:pPr>
              <w:snapToGrid w:val="0"/>
              <w:rPr>
                <w:color w:val="auto"/>
                <w:sz w:val="24"/>
                <w:highlight w:val="none"/>
              </w:rPr>
            </w:pPr>
            <w:r>
              <w:rPr>
                <w:color w:val="auto"/>
                <w:sz w:val="24"/>
                <w:highlight w:val="none"/>
              </w:rPr>
              <w:t>200</w:t>
            </w:r>
          </w:p>
        </w:tc>
        <w:tc>
          <w:tcPr>
            <w:tcW w:w="560" w:type="dxa"/>
            <w:vAlign w:val="center"/>
          </w:tcPr>
          <w:p w14:paraId="30EA5628">
            <w:pPr>
              <w:snapToGrid w:val="0"/>
              <w:rPr>
                <w:color w:val="auto"/>
                <w:sz w:val="24"/>
                <w:highlight w:val="none"/>
              </w:rPr>
            </w:pPr>
          </w:p>
        </w:tc>
        <w:tc>
          <w:tcPr>
            <w:tcW w:w="1755" w:type="dxa"/>
            <w:vAlign w:val="center"/>
          </w:tcPr>
          <w:p w14:paraId="7E7F0601">
            <w:pPr>
              <w:snapToGrid w:val="0"/>
              <w:rPr>
                <w:color w:val="auto"/>
                <w:sz w:val="24"/>
                <w:highlight w:val="none"/>
              </w:rPr>
            </w:pPr>
            <w:r>
              <w:rPr>
                <w:rFonts w:hint="eastAsia"/>
                <w:color w:val="auto"/>
                <w:sz w:val="24"/>
                <w:highlight w:val="none"/>
              </w:rPr>
              <w:t>送污水厂</w:t>
            </w:r>
          </w:p>
        </w:tc>
      </w:tr>
    </w:tbl>
    <w:p w14:paraId="7DF27BBD">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w:t>
      </w:r>
      <w:r>
        <w:rPr>
          <w:rFonts w:ascii="宋体" w:hAnsi="宋体"/>
          <w:b/>
          <w:bCs/>
          <w:color w:val="auto"/>
          <w:kern w:val="0"/>
          <w:sz w:val="24"/>
          <w:highlight w:val="none"/>
        </w:rPr>
        <w:t>.4.2 废气治理</w:t>
      </w:r>
    </w:p>
    <w:p w14:paraId="3D5E7AC8">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1</w:t>
      </w:r>
      <w:r>
        <w:rPr>
          <w:rFonts w:hint="eastAsia" w:ascii="宋体" w:hAnsi="宋体"/>
          <w:color w:val="auto"/>
          <w:sz w:val="24"/>
          <w:highlight w:val="none"/>
        </w:rPr>
        <w:t>）无组织废气</w:t>
      </w:r>
    </w:p>
    <w:p w14:paraId="76C33EA6">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为控制无组织废气的排放量，必须以清洁生产为指导思想，对物料的运输、贮存、投料、生产、出料、产品的存贮及尾气吸收等全过程进行分析，调查废气无组织排放的各个主要环节，并针对各主要排放环节提出相应改进措施，以减少废气无组织排放量。主要无组织排放源如下：</w:t>
      </w:r>
    </w:p>
    <w:p w14:paraId="1112443D">
      <w:pPr>
        <w:numPr>
          <w:ilvl w:val="0"/>
          <w:numId w:val="55"/>
        </w:numPr>
        <w:tabs>
          <w:tab w:val="left" w:pos="3195"/>
        </w:tabs>
        <w:spacing w:line="360" w:lineRule="auto"/>
        <w:rPr>
          <w:rFonts w:ascii="宋体" w:hAnsi="宋体"/>
          <w:color w:val="auto"/>
          <w:sz w:val="24"/>
          <w:highlight w:val="none"/>
        </w:rPr>
      </w:pPr>
      <w:r>
        <w:rPr>
          <w:rFonts w:hint="eastAsia" w:ascii="宋体" w:hAnsi="宋体"/>
          <w:color w:val="auto"/>
          <w:sz w:val="24"/>
          <w:highlight w:val="none"/>
        </w:rPr>
        <w:t>操作过程物料转移时，打开密闭容器会有无组织挥发；</w:t>
      </w:r>
    </w:p>
    <w:p w14:paraId="0A995FF7">
      <w:pPr>
        <w:numPr>
          <w:ilvl w:val="0"/>
          <w:numId w:val="55"/>
        </w:numPr>
        <w:tabs>
          <w:tab w:val="left" w:pos="3195"/>
        </w:tabs>
        <w:spacing w:line="360" w:lineRule="auto"/>
        <w:rPr>
          <w:rFonts w:ascii="宋体" w:hAnsi="宋体"/>
          <w:color w:val="auto"/>
          <w:sz w:val="24"/>
          <w:highlight w:val="none"/>
        </w:rPr>
      </w:pPr>
      <w:r>
        <w:rPr>
          <w:rFonts w:hint="eastAsia" w:ascii="宋体" w:hAnsi="宋体"/>
          <w:color w:val="auto"/>
          <w:sz w:val="24"/>
          <w:highlight w:val="none"/>
        </w:rPr>
        <w:t>管路、设备泄漏；</w:t>
      </w:r>
    </w:p>
    <w:p w14:paraId="7405E49A">
      <w:pPr>
        <w:tabs>
          <w:tab w:val="left" w:pos="3195"/>
        </w:tabs>
        <w:spacing w:line="360" w:lineRule="auto"/>
        <w:ind w:firstLine="480"/>
        <w:rPr>
          <w:rFonts w:ascii="宋体" w:hAnsi="宋体"/>
          <w:color w:val="auto"/>
          <w:sz w:val="24"/>
          <w:highlight w:val="none"/>
        </w:rPr>
      </w:pPr>
      <w:r>
        <w:rPr>
          <w:rFonts w:hint="eastAsia" w:ascii="宋体" w:hAnsi="宋体"/>
          <w:color w:val="auto"/>
          <w:sz w:val="24"/>
          <w:highlight w:val="none"/>
        </w:rPr>
        <w:t>针对上述无组织排放源，对项目提出如下具体控制措施：</w:t>
      </w:r>
    </w:p>
    <w:p w14:paraId="44291354">
      <w:pPr>
        <w:numPr>
          <w:ilvl w:val="0"/>
          <w:numId w:val="56"/>
        </w:numPr>
        <w:tabs>
          <w:tab w:val="left" w:pos="3195"/>
        </w:tabs>
        <w:spacing w:line="360" w:lineRule="auto"/>
        <w:rPr>
          <w:rFonts w:ascii="宋体" w:hAnsi="宋体"/>
          <w:color w:val="auto"/>
          <w:sz w:val="24"/>
          <w:highlight w:val="none"/>
        </w:rPr>
      </w:pPr>
      <w:r>
        <w:rPr>
          <w:rFonts w:hint="eastAsia" w:ascii="宋体" w:hAnsi="宋体"/>
          <w:color w:val="auto"/>
          <w:sz w:val="24"/>
          <w:highlight w:val="none"/>
        </w:rPr>
        <w:t>加强对操作工的培训和管理，以减少人为造成对环境的污染；</w:t>
      </w:r>
    </w:p>
    <w:p w14:paraId="6169D9C7">
      <w:pPr>
        <w:numPr>
          <w:ilvl w:val="0"/>
          <w:numId w:val="56"/>
        </w:numPr>
        <w:tabs>
          <w:tab w:val="left" w:pos="3195"/>
        </w:tabs>
        <w:spacing w:line="360" w:lineRule="auto"/>
        <w:rPr>
          <w:rFonts w:ascii="宋体" w:hAnsi="宋体"/>
          <w:color w:val="auto"/>
          <w:sz w:val="24"/>
          <w:highlight w:val="none"/>
        </w:rPr>
      </w:pPr>
      <w:r>
        <w:rPr>
          <w:rFonts w:hint="eastAsia" w:ascii="宋体" w:hAnsi="宋体"/>
          <w:color w:val="auto"/>
          <w:sz w:val="24"/>
          <w:highlight w:val="none"/>
        </w:rPr>
        <w:t>加强管道、阀门、设备的密闭检修。</w:t>
      </w:r>
    </w:p>
    <w:p w14:paraId="0882282F">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2.5</w:t>
      </w:r>
      <w:r>
        <w:rPr>
          <w:rFonts w:ascii="宋体" w:hAnsi="宋体"/>
          <w:b/>
          <w:bCs/>
          <w:color w:val="auto"/>
          <w:kern w:val="0"/>
          <w:sz w:val="24"/>
          <w:highlight w:val="none"/>
        </w:rPr>
        <w:t>.4.3噪声治理</w:t>
      </w:r>
    </w:p>
    <w:p w14:paraId="00FF63F4">
      <w:pPr>
        <w:spacing w:line="360" w:lineRule="auto"/>
        <w:ind w:firstLine="480"/>
        <w:rPr>
          <w:rFonts w:ascii="宋体" w:hAnsi="宋体"/>
          <w:color w:val="auto"/>
          <w:sz w:val="24"/>
          <w:highlight w:val="none"/>
        </w:rPr>
      </w:pPr>
      <w:r>
        <w:rPr>
          <w:rFonts w:hint="eastAsia" w:ascii="宋体" w:hAnsi="宋体"/>
          <w:color w:val="auto"/>
          <w:sz w:val="24"/>
          <w:highlight w:val="none"/>
        </w:rPr>
        <w:t>项目设计优先选用低噪设备，动力设备功率均较小，主要噪声源为风机、泵类、压缩机等，经基础减震、消声器消声、建筑物隔离等隔音措施降噪后，噪声值要求达到《工业企业厂界环境噪声排放标准》（</w:t>
      </w:r>
      <w:r>
        <w:rPr>
          <w:rFonts w:ascii="宋体" w:hAnsi="宋体"/>
          <w:color w:val="auto"/>
          <w:sz w:val="24"/>
          <w:highlight w:val="none"/>
        </w:rPr>
        <w:t>G812348-2008</w:t>
      </w:r>
      <w:r>
        <w:rPr>
          <w:rFonts w:hint="eastAsia" w:ascii="宋体" w:hAnsi="宋体"/>
          <w:color w:val="auto"/>
          <w:sz w:val="24"/>
          <w:highlight w:val="none"/>
        </w:rPr>
        <w:t>）＜85</w:t>
      </w:r>
      <w:r>
        <w:rPr>
          <w:rFonts w:ascii="宋体" w:hAnsi="宋体"/>
          <w:color w:val="auto"/>
          <w:sz w:val="24"/>
          <w:highlight w:val="none"/>
        </w:rPr>
        <w:t>dB(A)</w:t>
      </w:r>
      <w:r>
        <w:rPr>
          <w:rFonts w:hint="eastAsia" w:ascii="宋体" w:hAnsi="宋体"/>
          <w:color w:val="auto"/>
          <w:sz w:val="24"/>
          <w:highlight w:val="none"/>
        </w:rPr>
        <w:t>要求。除此之外增加以下噪声处理措施：</w:t>
      </w:r>
    </w:p>
    <w:p w14:paraId="14CF80DB">
      <w:pPr>
        <w:spacing w:line="360" w:lineRule="auto"/>
        <w:ind w:right="40" w:firstLine="480"/>
        <w:jc w:val="left"/>
        <w:rPr>
          <w:rFonts w:ascii="宋体" w:hAnsi="宋体"/>
          <w:color w:val="auto"/>
          <w:sz w:val="24"/>
          <w:highlight w:val="none"/>
        </w:rPr>
      </w:pPr>
      <w:r>
        <w:rPr>
          <w:rFonts w:hint="eastAsia" w:ascii="宋体" w:hAnsi="宋体"/>
          <w:color w:val="auto"/>
          <w:sz w:val="24"/>
          <w:highlight w:val="none"/>
        </w:rPr>
        <w:t>①</w:t>
      </w:r>
      <w:r>
        <w:rPr>
          <w:rFonts w:ascii="宋体" w:hAnsi="宋体"/>
          <w:color w:val="auto"/>
          <w:sz w:val="24"/>
          <w:highlight w:val="none"/>
        </w:rPr>
        <w:t>把好设备选型关，注意选择噪声较小的设备。</w:t>
      </w:r>
    </w:p>
    <w:p w14:paraId="450545D2">
      <w:pPr>
        <w:spacing w:line="360" w:lineRule="auto"/>
        <w:ind w:right="40" w:firstLine="480"/>
        <w:jc w:val="left"/>
        <w:rPr>
          <w:rFonts w:ascii="宋体" w:hAnsi="宋体"/>
          <w:color w:val="auto"/>
          <w:sz w:val="24"/>
          <w:highlight w:val="none"/>
        </w:rPr>
      </w:pPr>
      <w:r>
        <w:rPr>
          <w:rFonts w:hint="eastAsia" w:ascii="宋体" w:hAnsi="宋体"/>
          <w:color w:val="auto"/>
          <w:sz w:val="24"/>
          <w:highlight w:val="none"/>
        </w:rPr>
        <w:t>②</w:t>
      </w:r>
      <w:r>
        <w:rPr>
          <w:rFonts w:ascii="宋体" w:hAnsi="宋体"/>
          <w:color w:val="auto"/>
          <w:sz w:val="24"/>
          <w:highlight w:val="none"/>
        </w:rPr>
        <w:t>采取相应的噪声控制措施，如真空泵、风机等采用消声、隔声措施。</w:t>
      </w:r>
    </w:p>
    <w:p w14:paraId="778DAB4E">
      <w:pPr>
        <w:keepNext/>
        <w:keepLines/>
        <w:snapToGrid w:val="0"/>
        <w:spacing w:before="240" w:line="540" w:lineRule="atLeast"/>
        <w:jc w:val="left"/>
        <w:outlineLvl w:val="0"/>
        <w:rPr>
          <w:rFonts w:ascii="宋体" w:hAnsi="宋体"/>
          <w:b/>
          <w:bCs/>
          <w:color w:val="auto"/>
          <w:kern w:val="44"/>
          <w:sz w:val="24"/>
          <w:highlight w:val="none"/>
        </w:rPr>
      </w:pPr>
      <w:r>
        <w:rPr>
          <w:rFonts w:hint="eastAsia" w:ascii="宋体" w:hAnsi="宋体"/>
          <w:b/>
          <w:bCs/>
          <w:color w:val="auto"/>
          <w:kern w:val="44"/>
          <w:sz w:val="24"/>
          <w:highlight w:val="none"/>
        </w:rPr>
        <w:t>2.6职业卫生与安全</w:t>
      </w:r>
    </w:p>
    <w:p w14:paraId="7A72DA27">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49" w:name="_Toc534960851"/>
      <w:bookmarkStart w:id="250" w:name="_Toc355181213"/>
      <w:bookmarkStart w:id="251" w:name="_Toc354678761"/>
      <w:r>
        <w:rPr>
          <w:rFonts w:hint="eastAsia" w:ascii="宋体" w:hAnsi="宋体"/>
          <w:b/>
          <w:bCs/>
          <w:color w:val="auto"/>
          <w:kern w:val="24"/>
          <w:sz w:val="24"/>
          <w:highlight w:val="none"/>
        </w:rPr>
        <w:t>2.6</w:t>
      </w:r>
      <w:r>
        <w:rPr>
          <w:rFonts w:ascii="宋体" w:hAnsi="宋体"/>
          <w:b/>
          <w:bCs/>
          <w:color w:val="auto"/>
          <w:kern w:val="24"/>
          <w:sz w:val="24"/>
          <w:highlight w:val="none"/>
        </w:rPr>
        <w:t>.1</w:t>
      </w:r>
      <w:r>
        <w:rPr>
          <w:rFonts w:hint="eastAsia" w:ascii="宋体" w:hAnsi="宋体"/>
          <w:b/>
          <w:bCs/>
          <w:color w:val="auto"/>
          <w:kern w:val="24"/>
          <w:sz w:val="24"/>
          <w:highlight w:val="none"/>
        </w:rPr>
        <w:t xml:space="preserve"> </w:t>
      </w:r>
      <w:r>
        <w:rPr>
          <w:rFonts w:ascii="宋体" w:hAnsi="宋体"/>
          <w:b/>
          <w:bCs/>
          <w:color w:val="auto"/>
          <w:kern w:val="24"/>
          <w:sz w:val="24"/>
          <w:highlight w:val="none"/>
        </w:rPr>
        <w:t>执行的</w:t>
      </w:r>
      <w:r>
        <w:rPr>
          <w:rFonts w:hint="eastAsia" w:ascii="宋体" w:hAnsi="宋体"/>
          <w:b/>
          <w:bCs/>
          <w:color w:val="auto"/>
          <w:kern w:val="24"/>
          <w:sz w:val="24"/>
          <w:highlight w:val="none"/>
        </w:rPr>
        <w:t>法律法规、部门规章及</w:t>
      </w:r>
      <w:r>
        <w:rPr>
          <w:rFonts w:ascii="宋体" w:hAnsi="宋体"/>
          <w:b/>
          <w:bCs/>
          <w:color w:val="auto"/>
          <w:kern w:val="24"/>
          <w:sz w:val="24"/>
          <w:highlight w:val="none"/>
        </w:rPr>
        <w:t>标准规范</w:t>
      </w:r>
      <w:bookmarkEnd w:id="249"/>
      <w:bookmarkEnd w:id="250"/>
      <w:bookmarkEnd w:id="251"/>
    </w:p>
    <w:p w14:paraId="45306E6D">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w:t>
      </w:r>
      <w:r>
        <w:rPr>
          <w:rFonts w:ascii="宋体" w:hAnsi="宋体"/>
          <w:b/>
          <w:bCs/>
          <w:color w:val="auto"/>
          <w:kern w:val="0"/>
          <w:sz w:val="24"/>
          <w:highlight w:val="none"/>
        </w:rPr>
        <w:t>.1.1</w:t>
      </w:r>
      <w:r>
        <w:rPr>
          <w:rFonts w:hint="eastAsia" w:ascii="宋体" w:hAnsi="宋体"/>
          <w:b/>
          <w:bCs/>
          <w:color w:val="auto"/>
          <w:kern w:val="0"/>
          <w:sz w:val="24"/>
          <w:highlight w:val="none"/>
        </w:rPr>
        <w:t xml:space="preserve">国家、行业及地方相关法律、法规、规章、规范性文件 </w:t>
      </w:r>
    </w:p>
    <w:p w14:paraId="2DE596A2">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《中华人民共和国安全生产法》中华人民共和国主席令第13号[2014]</w:t>
      </w:r>
    </w:p>
    <w:p w14:paraId="7ECD1E47">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《中华人民共和国消防法》（2019年修订）中华人民共和国主席令第二十九号</w:t>
      </w:r>
    </w:p>
    <w:p w14:paraId="3B3193C9">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《中华人民共和国职业病防治法》（2018年修正）中华人民共和国主席令第二十四号</w:t>
      </w:r>
    </w:p>
    <w:p w14:paraId="1B63FFCE">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《中华人民共和国劳动法》中华人民共和国主席令第65号[2007]</w:t>
      </w:r>
    </w:p>
    <w:p w14:paraId="10BCAEEC">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中华人民共和国环境保护法</w:t>
      </w:r>
      <w:r>
        <w:rPr>
          <w:rFonts w:hint="eastAsia" w:ascii="宋体" w:hAnsi="宋体"/>
          <w:color w:val="auto"/>
          <w:sz w:val="24"/>
          <w:highlight w:val="none"/>
        </w:rPr>
        <w:t>》中华人民共和国主席令第22号[2014]</w:t>
      </w:r>
    </w:p>
    <w:p w14:paraId="0C3F0274">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中华人民共和国行政许可法</w:t>
      </w:r>
      <w:r>
        <w:rPr>
          <w:rFonts w:hint="eastAsia" w:ascii="宋体" w:hAnsi="宋体"/>
          <w:color w:val="auto"/>
          <w:sz w:val="24"/>
          <w:highlight w:val="none"/>
        </w:rPr>
        <w:t>》中华人民共和国主席令第7号[2003]</w:t>
      </w:r>
    </w:p>
    <w:p w14:paraId="25ADB69C">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《中华人民共和国特种设备安全法》中华人民共和国主席令第4号[2014]</w:t>
      </w:r>
    </w:p>
    <w:p w14:paraId="7CA36E81">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《危险化学品安全管理条例》国务院令第591号[201</w:t>
      </w:r>
      <w:r>
        <w:rPr>
          <w:rFonts w:ascii="宋体" w:hAnsi="宋体"/>
          <w:color w:val="auto"/>
          <w:sz w:val="24"/>
          <w:highlight w:val="none"/>
        </w:rPr>
        <w:t>3</w:t>
      </w:r>
      <w:r>
        <w:rPr>
          <w:rFonts w:hint="eastAsia" w:ascii="宋体" w:hAnsi="宋体"/>
          <w:color w:val="auto"/>
          <w:sz w:val="24"/>
          <w:highlight w:val="none"/>
        </w:rPr>
        <w:t>年]</w:t>
      </w:r>
    </w:p>
    <w:p w14:paraId="5B7DDE79">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特种设备安全监察条例</w:t>
      </w:r>
      <w:r>
        <w:rPr>
          <w:rFonts w:hint="eastAsia" w:ascii="宋体" w:hAnsi="宋体"/>
          <w:color w:val="auto"/>
          <w:sz w:val="24"/>
          <w:highlight w:val="none"/>
        </w:rPr>
        <w:t>》国务院令第549号[2009年]</w:t>
      </w:r>
    </w:p>
    <w:p w14:paraId="1F6CE56C">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浙江省</w:t>
      </w:r>
      <w:r>
        <w:rPr>
          <w:rFonts w:hint="eastAsia" w:ascii="宋体" w:hAnsi="宋体"/>
          <w:color w:val="auto"/>
          <w:sz w:val="24"/>
          <w:highlight w:val="none"/>
        </w:rPr>
        <w:t>安全生产条例》（2016年修订）浙江省人民代表大会常务委员会公告第45号[2016年]</w:t>
      </w:r>
    </w:p>
    <w:p w14:paraId="3680C606">
      <w:pPr>
        <w:numPr>
          <w:ilvl w:val="0"/>
          <w:numId w:val="57"/>
        </w:numPr>
        <w:adjustRightInd w:val="0"/>
        <w:snapToGrid w:val="0"/>
        <w:spacing w:line="400" w:lineRule="exact"/>
        <w:ind w:left="896" w:hanging="539"/>
        <w:textAlignment w:val="baseline"/>
        <w:rPr>
          <w:rFonts w:ascii="宋体" w:hAnsi="宋体"/>
          <w:color w:val="auto"/>
          <w:spacing w:val="-14"/>
          <w:sz w:val="24"/>
          <w:highlight w:val="none"/>
        </w:rPr>
      </w:pPr>
      <w:r>
        <w:rPr>
          <w:rFonts w:hint="eastAsia" w:ascii="宋体" w:hAnsi="宋体"/>
          <w:color w:val="auto"/>
          <w:spacing w:val="-14"/>
          <w:sz w:val="24"/>
          <w:highlight w:val="none"/>
        </w:rPr>
        <w:t>《浙江省消防条例》（2016年修订）浙江省人民代表大会常务委员会公告第40号[2016年]</w:t>
      </w:r>
    </w:p>
    <w:p w14:paraId="7041A0E3">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浙江省危险化学品安全管理实施办法</w:t>
      </w:r>
      <w:r>
        <w:rPr>
          <w:rFonts w:hint="eastAsia" w:ascii="宋体" w:hAnsi="宋体"/>
          <w:color w:val="auto"/>
          <w:sz w:val="24"/>
          <w:highlight w:val="none"/>
        </w:rPr>
        <w:t>》浙江省人民政府令第184号</w:t>
      </w:r>
    </w:p>
    <w:p w14:paraId="6C692191">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《浙江省人民代表大会常务委员会关于修改&lt;浙江省松材线虫病防治条例&gt;等七件地方性法规的决定》浙江省人民代表大会常务委员会公告第17号[2014]</w:t>
      </w:r>
    </w:p>
    <w:p w14:paraId="042EE238">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ascii="宋体" w:hAnsi="宋体"/>
          <w:color w:val="auto"/>
          <w:sz w:val="24"/>
          <w:highlight w:val="none"/>
        </w:rPr>
        <w:t>《中华人民共和国大气污染防治法》</w:t>
      </w:r>
      <w:r>
        <w:rPr>
          <w:rFonts w:hint="eastAsia" w:ascii="宋体" w:hAnsi="宋体"/>
          <w:color w:val="auto"/>
          <w:sz w:val="24"/>
          <w:highlight w:val="none"/>
        </w:rPr>
        <w:t>中华人民共和国主席令第31号[2015]</w:t>
      </w:r>
    </w:p>
    <w:p w14:paraId="16229B63">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《使用有毒物品作业场所劳动保护条例》国务院令第352号[2002年]</w:t>
      </w:r>
    </w:p>
    <w:p w14:paraId="1B44935B">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《公路安全保护条例》国务院令第593号[2011年]</w:t>
      </w:r>
    </w:p>
    <w:p w14:paraId="5B8FEE2B">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《铁路安全管理条例》国务院令第639号[2013年]</w:t>
      </w:r>
    </w:p>
    <w:p w14:paraId="5175BA27">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《安全生产许可证条例》国务院令第397号[2004年]</w:t>
      </w:r>
    </w:p>
    <w:p w14:paraId="3E414220">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《建设项目安全设施“三同时”监督管理办法》国家安全生产监督管理总局令第36号，国家安全生产监督管理总局令第77号修改[2015]</w:t>
      </w:r>
    </w:p>
    <w:p w14:paraId="60C05F44">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《危险化学品生产企业安全生产许可证实施办法》国家安全生产监督管理总局令第41号，国家安全生产监督管理总局令第79号修改[2015]，国家安全生产监督管理总局令第89号修改[2017]</w:t>
      </w:r>
    </w:p>
    <w:p w14:paraId="7905497B">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《关于督促化工企业切实做好几项安全环保重点工作的紧急通知》国家安全生产监督管理总局安监总危化[2006]10号</w:t>
      </w:r>
    </w:p>
    <w:p w14:paraId="63C4FA6D">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《产业结构调整指导目录（2011年本）（修正）》国家发改委令第21号[2013]</w:t>
      </w:r>
    </w:p>
    <w:p w14:paraId="17BE6618">
      <w:pPr>
        <w:numPr>
          <w:ilvl w:val="0"/>
          <w:numId w:val="57"/>
        </w:numPr>
        <w:adjustRightInd w:val="0"/>
        <w:snapToGrid w:val="0"/>
        <w:spacing w:line="400" w:lineRule="exact"/>
        <w:ind w:left="896" w:hanging="539"/>
        <w:textAlignment w:val="baseline"/>
        <w:rPr>
          <w:rFonts w:ascii="宋体" w:hAnsi="宋体"/>
          <w:color w:val="auto"/>
          <w:spacing w:val="-4"/>
          <w:sz w:val="24"/>
          <w:highlight w:val="none"/>
        </w:rPr>
      </w:pPr>
      <w:r>
        <w:rPr>
          <w:rFonts w:hint="eastAsia" w:ascii="宋体" w:hAnsi="宋体"/>
          <w:color w:val="auto"/>
          <w:spacing w:val="-4"/>
          <w:sz w:val="24"/>
          <w:highlight w:val="none"/>
        </w:rPr>
        <w:t>《关于印发&lt;石化和化学工业“十二五”发展规划&gt;的通知》工信部规[2011]583号</w:t>
      </w:r>
    </w:p>
    <w:p w14:paraId="0DAB3DC2">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《危险化学品建设项目安全监督管理办法》国家安全生产监督管理总局令第45号，国家安全生产监督管理总局令第79号修改[2015]</w:t>
      </w:r>
    </w:p>
    <w:p w14:paraId="248F224E">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《防雷减灾管理办法》中国气象局令第3号[2000]</w:t>
      </w:r>
    </w:p>
    <w:p w14:paraId="2AB81285">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《危险化学品目录（2015版）》国家安全生产监督管理总局等十部门公告2015年第5号</w:t>
      </w:r>
    </w:p>
    <w:p w14:paraId="729ED5E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《国家安全监管总局办公厅关于印发危险化学品目录（2015版）实施指南（试行）的通知》安监总厅管三[2015]80号</w:t>
      </w:r>
    </w:p>
    <w:p w14:paraId="35B87567">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《高毒物品目录》卫生部卫法监发[2003]142号</w:t>
      </w:r>
    </w:p>
    <w:p w14:paraId="605D03E5">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《易制毒化学品管理条例》中华人民共和国国务院令第445号[2005]</w:t>
      </w:r>
    </w:p>
    <w:p w14:paraId="173F3297">
      <w:pPr>
        <w:numPr>
          <w:ilvl w:val="0"/>
          <w:numId w:val="57"/>
        </w:numPr>
        <w:adjustRightInd w:val="0"/>
        <w:snapToGrid w:val="0"/>
        <w:spacing w:line="400" w:lineRule="exact"/>
        <w:ind w:left="896" w:hanging="539"/>
        <w:textAlignment w:val="baseline"/>
        <w:rPr>
          <w:rFonts w:ascii="宋体" w:hAnsi="宋体"/>
          <w:color w:val="auto"/>
          <w:spacing w:val="-8"/>
          <w:sz w:val="24"/>
          <w:highlight w:val="none"/>
        </w:rPr>
      </w:pPr>
      <w:r>
        <w:rPr>
          <w:rFonts w:hint="eastAsia" w:ascii="宋体" w:hAnsi="宋体"/>
          <w:color w:val="auto"/>
          <w:spacing w:val="-8"/>
          <w:sz w:val="24"/>
          <w:highlight w:val="none"/>
        </w:rPr>
        <w:t>《非药品类易制毒化学品生产、经营许可办法》国家安全生产监督管理总局令第5号</w:t>
      </w:r>
    </w:p>
    <w:p w14:paraId="24D4B685">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《国家安全监管总局办公厅关于印发企业非药品类易制毒化学品规范化管理指南的通知》安监总厅管三[2014]70号</w:t>
      </w:r>
    </w:p>
    <w:p w14:paraId="54EDD932">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《中华人民共和国监控化学品管理条例》中华人民共和国国务院令第190号[1995.12.27]</w:t>
      </w:r>
    </w:p>
    <w:p w14:paraId="2A4774D7">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《&lt;中华人民共和国监控化学品管理条例&gt;实施细则》中华人民共和国化学工业部令第12号[1997]</w:t>
      </w:r>
    </w:p>
    <w:p w14:paraId="26396898">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《国家安全监管总局关于公布首批重点监管的危险化学品名录的通知》安监总管三[2011]95号</w:t>
      </w:r>
    </w:p>
    <w:p w14:paraId="14C7C7CD">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《国家安全监管总局办公厅关于印发首批重点监管的危险化学品安全措施和应急处置原则的通知》安监总厅管三[2011]142号</w:t>
      </w:r>
    </w:p>
    <w:p w14:paraId="718BFE7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《国家安全监管总局关于公布第二批重点监管危险化学品名录的通知》安监总管三[2013]12号</w:t>
      </w:r>
    </w:p>
    <w:p w14:paraId="14CDB06C">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《重点监管的危险化学品名录》（2013年完整版）国家安监总局</w:t>
      </w:r>
    </w:p>
    <w:p w14:paraId="180F6A56">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《易制爆危险化学品名录》（2017年版）公安部公告[2017]</w:t>
      </w:r>
    </w:p>
    <w:p w14:paraId="63385A18">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《爆炸危险场所安全规定》原劳动部劳部发[1995]56号</w:t>
      </w:r>
    </w:p>
    <w:p w14:paraId="40E37E7D">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《建设工程消防监督管理规定》公安部令第106号[2009]</w:t>
      </w:r>
    </w:p>
    <w:p w14:paraId="2BAE44A5">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《质检总局关于修订&lt;特种设备目录&gt;的公告》国家质量监督检验检疫总局公告2014年第114号</w:t>
      </w:r>
    </w:p>
    <w:p w14:paraId="371187B0">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《特种设备质量监督与安全监察规定》质技监局令第13号</w:t>
      </w:r>
    </w:p>
    <w:p w14:paraId="12BDA2B8">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《气瓶安全监察规定》国家质量监督检验检疫总局第46号[2003.4]</w:t>
      </w:r>
    </w:p>
    <w:p w14:paraId="1D1F98D9">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《漏电保护器安全监察规定》劳动部劳安字[1990]16号</w:t>
      </w:r>
    </w:p>
    <w:p w14:paraId="4A667A70">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《起重机械安全监察规定》国家质量监督检验检疫总局令第92号</w:t>
      </w:r>
    </w:p>
    <w:p w14:paraId="40B9D5EF">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《厂内机动车辆监督检验规程》国质检锅[2002]16号</w:t>
      </w:r>
    </w:p>
    <w:p w14:paraId="2E1918EE">
      <w:pPr>
        <w:numPr>
          <w:ilvl w:val="0"/>
          <w:numId w:val="57"/>
        </w:numPr>
        <w:adjustRightInd w:val="0"/>
        <w:snapToGrid w:val="0"/>
        <w:spacing w:line="400" w:lineRule="exact"/>
        <w:ind w:left="896" w:hanging="539"/>
        <w:textAlignment w:val="baseline"/>
        <w:rPr>
          <w:rFonts w:ascii="宋体" w:hAnsi="宋体"/>
          <w:color w:val="auto"/>
          <w:spacing w:val="-6"/>
          <w:sz w:val="24"/>
          <w:highlight w:val="none"/>
        </w:rPr>
      </w:pPr>
      <w:r>
        <w:rPr>
          <w:rFonts w:hint="eastAsia" w:ascii="宋体" w:hAnsi="宋体"/>
          <w:color w:val="auto"/>
          <w:spacing w:val="-6"/>
          <w:sz w:val="24"/>
          <w:highlight w:val="none"/>
        </w:rPr>
        <w:t>《生产经营单位安全培训规定》2006年国家安全监管总局令第3号公布，国家安全监管总局令第63号修正[2013]，国家安全生产监督管理总局令第80号修改[2015]</w:t>
      </w:r>
    </w:p>
    <w:p w14:paraId="35FE780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《特种作业人员安全技术培训考核管理规定》国家安全生产监督管理总局令第30号，国家安全生产监督管理总局令第80号修改[2015]</w:t>
      </w:r>
    </w:p>
    <w:p w14:paraId="15C2C19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《危险化学品重大危险源监督管理暂行规定》国家安全生产监督管理总局令第40号，国家安全生产监督管理总局令第79号修改[2015]</w:t>
      </w:r>
    </w:p>
    <w:p w14:paraId="2F6BA00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《危险化学品输送管道安全管理规定》国家安全生产监督管理总局令第43号，国家安全生产监督管理总局令第79号修改[2015]</w:t>
      </w:r>
    </w:p>
    <w:p w14:paraId="6350A3ED">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《危险化学品安全使用许可证实施办法》国家安全生产监督管理总局令第57号，国家安全生产监督管理总局令第79号修改[2015] ，国家安全生产监督管理总局令第89号修改[2017]</w:t>
      </w:r>
    </w:p>
    <w:p w14:paraId="3CC24004">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《危险化学品生产、储存装置个人可接受风险标准和社会可接受风险标准（试行）》国家安全生产监督管理总局公告2014年第13号</w:t>
      </w:r>
    </w:p>
    <w:p w14:paraId="42EB3954">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《危险化学品事故应急救援预案编制导则（单位版）》 国家安全生产监督管理局，安监管危化字[2004]43号</w:t>
      </w:r>
    </w:p>
    <w:p w14:paraId="2F620405">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《生产安全事故应急预案管理办法》国应急管理部令第2号[2019.7.11]</w:t>
      </w:r>
    </w:p>
    <w:p w14:paraId="4664B3A0">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《国务院安委会办公室关于进一步加强危险化学品安全生产工作的指导意见》安委办[2008]26号</w:t>
      </w:r>
    </w:p>
    <w:p w14:paraId="457EE4EC">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《危险化学品登记管理办法》国家安全生产监督管理总局令第53号[2012]</w:t>
      </w:r>
    </w:p>
    <w:p w14:paraId="5E066AE6">
      <w:pPr>
        <w:numPr>
          <w:ilvl w:val="0"/>
          <w:numId w:val="57"/>
        </w:numPr>
        <w:adjustRightInd w:val="0"/>
        <w:snapToGrid w:val="0"/>
        <w:spacing w:line="400" w:lineRule="exact"/>
        <w:ind w:left="896" w:hanging="539"/>
        <w:textAlignment w:val="baseline"/>
        <w:rPr>
          <w:rFonts w:ascii="宋体" w:hAnsi="宋体"/>
          <w:color w:val="auto"/>
          <w:spacing w:val="-6"/>
          <w:sz w:val="24"/>
          <w:highlight w:val="none"/>
        </w:rPr>
      </w:pPr>
      <w:r>
        <w:rPr>
          <w:rFonts w:hint="eastAsia" w:ascii="宋体" w:hAnsi="宋体"/>
          <w:color w:val="auto"/>
          <w:spacing w:val="-6"/>
          <w:sz w:val="24"/>
          <w:highlight w:val="none"/>
        </w:rPr>
        <w:t>《化学品物理危险性鉴定与分类管理办法》国家安全生产监督管理总局令第60号[2013]</w:t>
      </w:r>
    </w:p>
    <w:p w14:paraId="2CF40C5B">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《化工（危险化学品）企业保障生产安全十条规定》安监总政法第15号[2017]</w:t>
      </w:r>
    </w:p>
    <w:p w14:paraId="482A7FD3">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《国家安全监管总局关于修改&lt;生产安全事故报告和调查处理条例&gt;罚款处罚暂行规定等四部规章的决定》国家安全生产监督管理总局令第77号[2015]</w:t>
      </w:r>
    </w:p>
    <w:p w14:paraId="627993F0">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《国家安全监管总局关于废止和修改危险化学品等领域七部规章的决定》国家安全生产监督管理总局令第79号[2015]</w:t>
      </w:r>
    </w:p>
    <w:p w14:paraId="46ED90B6">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《国家安全监管总局关于废止和修改劳动防护用品和安全培训等领域十部规章的决定》国家安全生产监督管理总局令第80号[2015]</w:t>
      </w:r>
    </w:p>
    <w:p w14:paraId="2B7ED144">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《国家安全监管总局关于公布首批重点监管的危险化工工艺目录的通知》安监总管三[2009]116号</w:t>
      </w:r>
    </w:p>
    <w:p w14:paraId="110EE3F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《国家安全监管总局关于公布第二批重点监管危险化工工艺目录和调整首批重点监管危险化工工艺中部分典型工艺的通知》安监总管三[2013]3号</w:t>
      </w:r>
    </w:p>
    <w:p w14:paraId="24333EC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《重点监管危险化工工艺目录》（2013年完整版）国家安全监管总局</w:t>
      </w:r>
    </w:p>
    <w:p w14:paraId="0C4EB4DE">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《国家安全监管总局关于加强化工过程安全管理的指导意见》安监总管三[2013]88号</w:t>
      </w:r>
    </w:p>
    <w:p w14:paraId="5F34D28E">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《国家安全监管总局关于进一步加强化学品罐区安全管理的通知》安监总管三[2014]68号</w:t>
      </w:r>
    </w:p>
    <w:p w14:paraId="39FB7C24">
      <w:pPr>
        <w:numPr>
          <w:ilvl w:val="0"/>
          <w:numId w:val="57"/>
        </w:numPr>
        <w:adjustRightInd w:val="0"/>
        <w:snapToGrid w:val="0"/>
        <w:spacing w:line="400" w:lineRule="exact"/>
        <w:ind w:left="896" w:hanging="539"/>
        <w:textAlignment w:val="baseline"/>
        <w:rPr>
          <w:rFonts w:ascii="宋体" w:hAnsi="宋体"/>
          <w:color w:val="auto"/>
          <w:spacing w:val="-8"/>
          <w:sz w:val="24"/>
          <w:highlight w:val="none"/>
        </w:rPr>
      </w:pPr>
      <w:r>
        <w:rPr>
          <w:rFonts w:hint="eastAsia" w:ascii="宋体" w:hAnsi="宋体"/>
          <w:color w:val="auto"/>
          <w:spacing w:val="-8"/>
          <w:sz w:val="24"/>
          <w:highlight w:val="none"/>
        </w:rPr>
        <w:t>《国家安全监管总局关于加强化工企业泄漏管理的指导意见》安监总管三[2014]94号</w:t>
      </w:r>
    </w:p>
    <w:p w14:paraId="15E3C34F">
      <w:pPr>
        <w:numPr>
          <w:ilvl w:val="0"/>
          <w:numId w:val="57"/>
        </w:numPr>
        <w:adjustRightInd w:val="0"/>
        <w:snapToGrid w:val="0"/>
        <w:spacing w:line="400" w:lineRule="exact"/>
        <w:ind w:left="896" w:hanging="539"/>
        <w:textAlignment w:val="baseline"/>
        <w:rPr>
          <w:rFonts w:ascii="宋体" w:hAnsi="宋体"/>
          <w:color w:val="auto"/>
          <w:spacing w:val="-8"/>
          <w:sz w:val="24"/>
          <w:highlight w:val="none"/>
        </w:rPr>
      </w:pPr>
      <w:r>
        <w:rPr>
          <w:rFonts w:hint="eastAsia" w:ascii="宋体" w:hAnsi="宋体"/>
          <w:color w:val="auto"/>
          <w:spacing w:val="-8"/>
          <w:sz w:val="24"/>
          <w:highlight w:val="none"/>
        </w:rPr>
        <w:t>《国家安全监管总局关于加强化工安全仪表系统管理的指导意见》安监总管三[2014]116号</w:t>
      </w:r>
    </w:p>
    <w:p w14:paraId="0973FF6C">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关于印发《危险化学品建设项目安全设施设计专篇编制导则》的通知</w:t>
      </w:r>
      <w:r>
        <w:rPr>
          <w:rFonts w:hint="eastAsia" w:ascii="宋体" w:hAnsi="宋体"/>
          <w:color w:val="auto"/>
          <w:sz w:val="24"/>
          <w:highlight w:val="none"/>
        </w:rPr>
        <w:t>》安监总管三[2013]39号</w:t>
      </w:r>
    </w:p>
    <w:p w14:paraId="43D9CF36">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关于印发《用人单位劳动防护用品管理规范》的通知</w:t>
      </w:r>
      <w:r>
        <w:rPr>
          <w:rFonts w:hint="eastAsia" w:ascii="宋体" w:hAnsi="宋体"/>
          <w:color w:val="auto"/>
          <w:sz w:val="24"/>
          <w:highlight w:val="none"/>
        </w:rPr>
        <w:t>》安监总厅安健[2015]124号</w:t>
      </w:r>
    </w:p>
    <w:p w14:paraId="285A060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国家危险废物名录</w:t>
      </w:r>
      <w:r>
        <w:rPr>
          <w:rFonts w:hint="eastAsia" w:ascii="宋体" w:hAnsi="宋体"/>
          <w:color w:val="auto"/>
          <w:sz w:val="24"/>
          <w:highlight w:val="none"/>
        </w:rPr>
        <w:t>》</w:t>
      </w:r>
      <w:r>
        <w:rPr>
          <w:rFonts w:ascii="宋体" w:hAnsi="宋体"/>
          <w:color w:val="auto"/>
          <w:sz w:val="24"/>
          <w:highlight w:val="none"/>
        </w:rPr>
        <w:t>环境保护部部令</w:t>
      </w:r>
      <w:r>
        <w:rPr>
          <w:rFonts w:hint="eastAsia" w:ascii="宋体" w:hAnsi="宋体"/>
          <w:color w:val="auto"/>
          <w:sz w:val="24"/>
          <w:highlight w:val="none"/>
        </w:rPr>
        <w:t>[2016]39号</w:t>
      </w:r>
    </w:p>
    <w:p w14:paraId="0749DD52">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《国家安全监管总局关于印发遏制危险化学品和烟花爆竹重特大事故工作意见的通知》安监总管三[2016]62号</w:t>
      </w:r>
    </w:p>
    <w:p w14:paraId="5BE17AF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《浙江省建设项目安全设施监督管理办法》浙江省人民政府令第259号[2009.4.10]</w:t>
      </w:r>
    </w:p>
    <w:p w14:paraId="3920E7D8">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《浙江省安全生产监督管理局关于印发&lt;浙江省危险化学品重大危险源监督管理实施细则（试行）&gt;的通知》（浙安监管危化[2012]145号）</w:t>
      </w:r>
    </w:p>
    <w:p w14:paraId="7A3BF60F">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《浙江省安全生产监督管理局关于统一规范设置重大危险源安全警示牌的通知》浙安监管危化[2007]110号</w:t>
      </w:r>
    </w:p>
    <w:p w14:paraId="4BEDFF89">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《浙江省安全生产监督管理局关于推行化工生产过程自动化安全控制系统的指导意见》浙安监管危化[2008]200号</w:t>
      </w:r>
    </w:p>
    <w:p w14:paraId="1C06CAF4">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《浙江省人民政府批转省安全生产委员会关于切实加强危险化学品安全生产工作意见的通知》浙政发[2009]27号[2009.4.27]</w:t>
      </w:r>
    </w:p>
    <w:p w14:paraId="278D6A4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《浙江省安全生产监督管理局关于印发&lt;浙江省重大危险源登记备案管理办法（试行）&gt;和&lt;浙江省开展重大危险源登记备案工作方案&gt;的通知》浙安监管应急[2010]121号[2010.5.28]</w:t>
      </w:r>
    </w:p>
    <w:p w14:paraId="20F47F75">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《省安全监管局、省公安厅、省环保厅关于切实加强剧毒化学品安全管理工作的通知》浙安监管危化[2009]176号</w:t>
      </w:r>
    </w:p>
    <w:p w14:paraId="54F0321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《关于印发浙江省化工行业生产管理规范指导意见的通知》浙经信医化[2011]759号[2011.12.28]</w:t>
      </w:r>
    </w:p>
    <w:p w14:paraId="3D49322B">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《国家安全监管总局关于印发遏制危险化学品和烟花爆竹重特大事故工作意见的通知》安监总管三[2016]62号[2016.6.3]</w:t>
      </w:r>
    </w:p>
    <w:p w14:paraId="6736F810">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《浙江省安全生产监督管理局关于印发遏制危险化学品和烟花爆竹较大以上事故工作方案的通知》浙安监管危化[2016]68号[2016.7.29]</w:t>
      </w:r>
    </w:p>
    <w:p w14:paraId="42B5D9FA">
      <w:pPr>
        <w:numPr>
          <w:ilvl w:val="0"/>
          <w:numId w:val="57"/>
        </w:numPr>
        <w:adjustRightInd w:val="0"/>
        <w:snapToGrid w:val="0"/>
        <w:spacing w:line="400" w:lineRule="exact"/>
        <w:ind w:left="896" w:hanging="539"/>
        <w:textAlignment w:val="baseline"/>
        <w:rPr>
          <w:rFonts w:ascii="宋体" w:hAnsi="宋体"/>
          <w:color w:val="auto"/>
          <w:sz w:val="24"/>
          <w:highlight w:val="none"/>
        </w:rPr>
      </w:pPr>
      <w:r>
        <w:rPr>
          <w:rFonts w:hint="eastAsia" w:ascii="宋体" w:hAnsi="宋体"/>
          <w:color w:val="auto"/>
          <w:sz w:val="24"/>
          <w:highlight w:val="none"/>
        </w:rPr>
        <w:t>《浙江省应急管理厅关于危化品建设项目设计规范适用问题的复函》浙应急危化函[2019]8号[2019.7.8]</w:t>
      </w:r>
    </w:p>
    <w:p w14:paraId="097A8A27">
      <w:pPr>
        <w:numPr>
          <w:ilvl w:val="0"/>
          <w:numId w:val="57"/>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《浙江省应急管理厅关于执行76号文有关标准适用问题的指导意见》浙应急危化[2019]96号[2019.8.11]</w:t>
      </w:r>
    </w:p>
    <w:p w14:paraId="103DD35F">
      <w:pPr>
        <w:numPr>
          <w:ilvl w:val="0"/>
          <w:numId w:val="57"/>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《应急管理部关于印发&lt;化工园区安全风险排查治理导则（试行）&gt;和&lt;危险化学品企业安全风险隐患排查治理导则&gt;的通知》应急[2019]78号[2019.8.12]</w:t>
      </w:r>
    </w:p>
    <w:p w14:paraId="55B512C9">
      <w:pPr>
        <w:numPr>
          <w:ilvl w:val="0"/>
          <w:numId w:val="57"/>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国务院安委办 应急管理部《关于加快推进危险化学品安全生产风险监测预警系统建设的指导意见》（安委办[2019]11号）</w:t>
      </w:r>
    </w:p>
    <w:p w14:paraId="6DD8BDC2">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w:t>
      </w:r>
      <w:r>
        <w:rPr>
          <w:rFonts w:ascii="宋体" w:hAnsi="宋体"/>
          <w:b/>
          <w:bCs/>
          <w:color w:val="auto"/>
          <w:kern w:val="0"/>
          <w:sz w:val="24"/>
          <w:highlight w:val="none"/>
        </w:rPr>
        <w:t>.1</w:t>
      </w:r>
      <w:r>
        <w:rPr>
          <w:rFonts w:hint="eastAsia" w:ascii="宋体" w:hAnsi="宋体"/>
          <w:b/>
          <w:bCs/>
          <w:color w:val="auto"/>
          <w:kern w:val="0"/>
          <w:sz w:val="24"/>
          <w:highlight w:val="none"/>
        </w:rPr>
        <w:t>.2执行的主要技术标准、规范</w:t>
      </w:r>
    </w:p>
    <w:p w14:paraId="45318A81">
      <w:pPr>
        <w:numPr>
          <w:ilvl w:val="0"/>
          <w:numId w:val="58"/>
        </w:numPr>
        <w:adjustRightInd w:val="0"/>
        <w:snapToGrid w:val="0"/>
        <w:spacing w:line="400" w:lineRule="exact"/>
        <w:textAlignment w:val="baseline"/>
        <w:rPr>
          <w:rFonts w:ascii="宋体" w:hAnsi="宋体"/>
          <w:color w:val="auto"/>
          <w:sz w:val="24"/>
          <w:highlight w:val="none"/>
        </w:rPr>
      </w:pPr>
      <w:bookmarkStart w:id="252" w:name="_Toc355181214"/>
      <w:r>
        <w:rPr>
          <w:rFonts w:ascii="宋体" w:hAnsi="宋体"/>
          <w:color w:val="auto"/>
          <w:sz w:val="24"/>
          <w:highlight w:val="none"/>
        </w:rPr>
        <w:t>《</w:t>
      </w:r>
      <w:r>
        <w:rPr>
          <w:rFonts w:hint="eastAsia" w:ascii="宋体" w:hAnsi="宋体"/>
          <w:color w:val="auto"/>
          <w:sz w:val="24"/>
          <w:highlight w:val="none"/>
        </w:rPr>
        <w:t>石油化工企业</w:t>
      </w:r>
      <w:r>
        <w:rPr>
          <w:rFonts w:ascii="宋体" w:hAnsi="宋体"/>
          <w:color w:val="auto"/>
          <w:sz w:val="24"/>
          <w:highlight w:val="none"/>
        </w:rPr>
        <w:t>设计防火</w:t>
      </w:r>
      <w:r>
        <w:rPr>
          <w:rFonts w:hint="eastAsia" w:ascii="宋体" w:hAnsi="宋体"/>
          <w:color w:val="auto"/>
          <w:sz w:val="24"/>
          <w:highlight w:val="none"/>
        </w:rPr>
        <w:t>标准</w:t>
      </w:r>
      <w:r>
        <w:rPr>
          <w:rFonts w:ascii="宋体" w:hAnsi="宋体"/>
          <w:color w:val="auto"/>
          <w:sz w:val="24"/>
          <w:highlight w:val="none"/>
        </w:rPr>
        <w:t>》GB</w:t>
      </w:r>
      <w:r>
        <w:rPr>
          <w:rFonts w:hint="eastAsia" w:ascii="宋体" w:hAnsi="宋体"/>
          <w:color w:val="auto"/>
          <w:sz w:val="24"/>
          <w:highlight w:val="none"/>
        </w:rPr>
        <w:t>5016</w:t>
      </w:r>
      <w:r>
        <w:rPr>
          <w:rFonts w:ascii="宋体" w:hAnsi="宋体"/>
          <w:color w:val="auto"/>
          <w:sz w:val="24"/>
          <w:highlight w:val="none"/>
        </w:rPr>
        <w:t>0</w:t>
      </w:r>
      <w:r>
        <w:rPr>
          <w:rFonts w:hint="eastAsia" w:ascii="宋体" w:hAnsi="宋体"/>
          <w:color w:val="auto"/>
          <w:sz w:val="24"/>
          <w:highlight w:val="none"/>
        </w:rPr>
        <w:t>-20</w:t>
      </w:r>
      <w:r>
        <w:rPr>
          <w:rFonts w:ascii="宋体" w:hAnsi="宋体"/>
          <w:color w:val="auto"/>
          <w:sz w:val="24"/>
          <w:highlight w:val="none"/>
        </w:rPr>
        <w:t>08</w:t>
      </w:r>
      <w:r>
        <w:rPr>
          <w:rFonts w:hint="eastAsia" w:ascii="宋体" w:hAnsi="宋体"/>
          <w:color w:val="auto"/>
          <w:sz w:val="24"/>
          <w:highlight w:val="none"/>
        </w:rPr>
        <w:t>（2018版）</w:t>
      </w:r>
    </w:p>
    <w:p w14:paraId="3D74A7C2">
      <w:pPr>
        <w:numPr>
          <w:ilvl w:val="0"/>
          <w:numId w:val="58"/>
        </w:numPr>
        <w:adjustRightInd w:val="0"/>
        <w:snapToGrid w:val="0"/>
        <w:spacing w:line="400" w:lineRule="exact"/>
        <w:textAlignment w:val="baseline"/>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建筑</w:t>
      </w:r>
      <w:r>
        <w:rPr>
          <w:rFonts w:ascii="宋体" w:hAnsi="宋体"/>
          <w:color w:val="auto"/>
          <w:sz w:val="24"/>
          <w:highlight w:val="none"/>
        </w:rPr>
        <w:t>设计防火规范》GB</w:t>
      </w:r>
      <w:r>
        <w:rPr>
          <w:rFonts w:hint="eastAsia" w:ascii="宋体" w:hAnsi="宋体"/>
          <w:color w:val="auto"/>
          <w:sz w:val="24"/>
          <w:highlight w:val="none"/>
        </w:rPr>
        <w:t>50</w:t>
      </w:r>
      <w:r>
        <w:rPr>
          <w:rFonts w:ascii="宋体" w:hAnsi="宋体"/>
          <w:color w:val="auto"/>
          <w:sz w:val="24"/>
          <w:highlight w:val="none"/>
        </w:rPr>
        <w:t>0</w:t>
      </w:r>
      <w:r>
        <w:rPr>
          <w:rFonts w:hint="eastAsia" w:ascii="宋体" w:hAnsi="宋体"/>
          <w:color w:val="auto"/>
          <w:sz w:val="24"/>
          <w:highlight w:val="none"/>
        </w:rPr>
        <w:t>16-20</w:t>
      </w:r>
      <w:r>
        <w:rPr>
          <w:rFonts w:ascii="宋体" w:hAnsi="宋体"/>
          <w:color w:val="auto"/>
          <w:sz w:val="24"/>
          <w:highlight w:val="none"/>
        </w:rPr>
        <w:t>14</w:t>
      </w:r>
      <w:r>
        <w:rPr>
          <w:rFonts w:hint="eastAsia" w:ascii="宋体" w:hAnsi="宋体"/>
          <w:color w:val="auto"/>
          <w:sz w:val="24"/>
          <w:highlight w:val="none"/>
        </w:rPr>
        <w:t>（2018版）</w:t>
      </w:r>
    </w:p>
    <w:p w14:paraId="039AC34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《工业企业总平面设计规范》GB50187-2012</w:t>
      </w:r>
    </w:p>
    <w:p w14:paraId="0D26B81F">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《化工企业总图运输设计规范》GB50489-2009</w:t>
      </w:r>
    </w:p>
    <w:p w14:paraId="494732F7">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《化工企业安全卫生设计规定》HG20571-2014</w:t>
      </w:r>
    </w:p>
    <w:p w14:paraId="7A31076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《工业企业厂内铁路、道路运输安全规程》</w:t>
      </w:r>
      <w:r>
        <w:rPr>
          <w:rFonts w:ascii="宋体" w:hAnsi="宋体"/>
          <w:color w:val="auto"/>
          <w:sz w:val="24"/>
          <w:highlight w:val="none"/>
        </w:rPr>
        <w:t>GB</w:t>
      </w:r>
      <w:r>
        <w:rPr>
          <w:rFonts w:hint="eastAsia" w:ascii="宋体" w:hAnsi="宋体"/>
          <w:color w:val="auto"/>
          <w:sz w:val="24"/>
          <w:highlight w:val="none"/>
        </w:rPr>
        <w:t>4387-2008</w:t>
      </w:r>
    </w:p>
    <w:p w14:paraId="5A34F3A6">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《爆炸危险环境电力装置设计规范》GB50058-2014</w:t>
      </w:r>
    </w:p>
    <w:p w14:paraId="12EFF37C">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《危险场所电气防爆安全规范》AQ3009-2007</w:t>
      </w:r>
    </w:p>
    <w:p w14:paraId="00F56C9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《建筑灭火器配置设计规范》GB50140-2005</w:t>
      </w:r>
    </w:p>
    <w:p w14:paraId="6DAB21D9">
      <w:pPr>
        <w:numPr>
          <w:ilvl w:val="0"/>
          <w:numId w:val="58"/>
        </w:numPr>
        <w:adjustRightInd w:val="0"/>
        <w:snapToGrid w:val="0"/>
        <w:spacing w:line="400" w:lineRule="exact"/>
        <w:textAlignment w:val="baseline"/>
        <w:rPr>
          <w:rFonts w:ascii="宋体" w:hAnsi="宋体"/>
          <w:color w:val="auto"/>
          <w:sz w:val="24"/>
          <w:highlight w:val="none"/>
        </w:rPr>
      </w:pPr>
      <w:r>
        <w:rPr>
          <w:rFonts w:ascii="宋体" w:hAnsi="宋体"/>
          <w:color w:val="auto"/>
          <w:sz w:val="24"/>
          <w:highlight w:val="none"/>
        </w:rPr>
        <w:t>《建筑物防雷设计规范》GB50057</w:t>
      </w:r>
      <w:r>
        <w:rPr>
          <w:rFonts w:hint="eastAsia" w:ascii="宋体" w:hAnsi="宋体"/>
          <w:color w:val="auto"/>
          <w:sz w:val="24"/>
          <w:highlight w:val="none"/>
        </w:rPr>
        <w:t>-2010（2011年版）</w:t>
      </w:r>
    </w:p>
    <w:p w14:paraId="68B14BDB">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《3～110kV高压配电装置设计规范》</w:t>
      </w:r>
      <w:r>
        <w:rPr>
          <w:rFonts w:ascii="宋体" w:hAnsi="宋体"/>
          <w:color w:val="auto"/>
          <w:sz w:val="24"/>
          <w:highlight w:val="none"/>
        </w:rPr>
        <w:t>GB500</w:t>
      </w:r>
      <w:r>
        <w:rPr>
          <w:rFonts w:hint="eastAsia" w:ascii="宋体" w:hAnsi="宋体"/>
          <w:color w:val="auto"/>
          <w:sz w:val="24"/>
          <w:highlight w:val="none"/>
        </w:rPr>
        <w:t>60</w:t>
      </w:r>
      <w:r>
        <w:rPr>
          <w:rFonts w:ascii="宋体" w:hAnsi="宋体"/>
          <w:color w:val="auto"/>
          <w:sz w:val="24"/>
          <w:highlight w:val="none"/>
        </w:rPr>
        <w:t>-20</w:t>
      </w:r>
      <w:r>
        <w:rPr>
          <w:rFonts w:hint="eastAsia" w:ascii="宋体" w:hAnsi="宋体"/>
          <w:color w:val="auto"/>
          <w:sz w:val="24"/>
          <w:highlight w:val="none"/>
        </w:rPr>
        <w:t>08</w:t>
      </w:r>
    </w:p>
    <w:p w14:paraId="5C1DDAFE">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《20kV及以下变电所设计规范》GB50053-2013</w:t>
      </w:r>
    </w:p>
    <w:p w14:paraId="3F4C5BC9">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《供配电系统设计规范》GB50052-2009</w:t>
      </w:r>
    </w:p>
    <w:p w14:paraId="0F68A61A">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《低压配电设计规范》</w:t>
      </w:r>
      <w:r>
        <w:rPr>
          <w:rFonts w:ascii="宋体" w:hAnsi="宋体"/>
          <w:color w:val="auto"/>
          <w:sz w:val="24"/>
          <w:highlight w:val="none"/>
        </w:rPr>
        <w:t>GB50054-2011</w:t>
      </w:r>
    </w:p>
    <w:p w14:paraId="44AA9200">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《通用用电设备配电设计规范》GB50055-2011</w:t>
      </w:r>
    </w:p>
    <w:p w14:paraId="5C88A47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《交流电气装置的接地设计规范》GB/T50065-2011</w:t>
      </w:r>
    </w:p>
    <w:p w14:paraId="3FBDDF69">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《系统接地的型式及安全技术要求》GB14050-2008</w:t>
      </w:r>
    </w:p>
    <w:p w14:paraId="293B30CD">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《用电安全导则》GB/T13869-2008</w:t>
      </w:r>
    </w:p>
    <w:p w14:paraId="083FA48F">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《特低电压（ELV)限值》GB/T3805-2008</w:t>
      </w:r>
    </w:p>
    <w:p w14:paraId="2CDCE152">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《防止静电事故通用导则》GB12158-2006</w:t>
      </w:r>
    </w:p>
    <w:p w14:paraId="6D83FFFB">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《化工企业静电接地设计技术规程》HG/T20675-1990</w:t>
      </w:r>
    </w:p>
    <w:p w14:paraId="234EE93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《石油化工静电接地设计规范》SH3097-20</w:t>
      </w:r>
      <w:r>
        <w:rPr>
          <w:rFonts w:ascii="宋体" w:hAnsi="宋体"/>
          <w:color w:val="auto"/>
          <w:sz w:val="24"/>
          <w:highlight w:val="none"/>
        </w:rPr>
        <w:t>17</w:t>
      </w:r>
    </w:p>
    <w:p w14:paraId="7D0BD31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《化工企业腐蚀场所电力设计规程》</w:t>
      </w:r>
      <w:r>
        <w:rPr>
          <w:rFonts w:ascii="宋体" w:hAnsi="宋体"/>
          <w:color w:val="auto"/>
          <w:sz w:val="24"/>
          <w:highlight w:val="none"/>
        </w:rPr>
        <w:t>HG/T20</w:t>
      </w:r>
      <w:r>
        <w:rPr>
          <w:rFonts w:hint="eastAsia" w:ascii="宋体" w:hAnsi="宋体"/>
          <w:color w:val="auto"/>
          <w:sz w:val="24"/>
          <w:highlight w:val="none"/>
        </w:rPr>
        <w:t>66</w:t>
      </w:r>
      <w:r>
        <w:rPr>
          <w:rFonts w:ascii="宋体" w:hAnsi="宋体"/>
          <w:color w:val="auto"/>
          <w:sz w:val="24"/>
          <w:highlight w:val="none"/>
        </w:rPr>
        <w:t>6-</w:t>
      </w:r>
      <w:r>
        <w:rPr>
          <w:rFonts w:hint="eastAsia" w:ascii="宋体" w:hAnsi="宋体"/>
          <w:color w:val="auto"/>
          <w:sz w:val="24"/>
          <w:highlight w:val="none"/>
        </w:rPr>
        <w:t>199</w:t>
      </w:r>
      <w:r>
        <w:rPr>
          <w:rFonts w:ascii="宋体" w:hAnsi="宋体"/>
          <w:color w:val="auto"/>
          <w:sz w:val="24"/>
          <w:highlight w:val="none"/>
        </w:rPr>
        <w:t>9</w:t>
      </w:r>
    </w:p>
    <w:p w14:paraId="1B2EE4D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《工业建筑防腐设计规范》GB50046-20</w:t>
      </w:r>
      <w:r>
        <w:rPr>
          <w:rFonts w:ascii="宋体" w:hAnsi="宋体"/>
          <w:color w:val="auto"/>
          <w:sz w:val="24"/>
          <w:highlight w:val="none"/>
        </w:rPr>
        <w:t>1</w:t>
      </w:r>
      <w:r>
        <w:rPr>
          <w:rFonts w:hint="eastAsia" w:ascii="宋体" w:hAnsi="宋体"/>
          <w:color w:val="auto"/>
          <w:sz w:val="24"/>
          <w:highlight w:val="none"/>
        </w:rPr>
        <w:t>8</w:t>
      </w:r>
    </w:p>
    <w:p w14:paraId="1401C1D2">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建筑照明设计标准</w:t>
      </w:r>
      <w:r>
        <w:rPr>
          <w:rFonts w:hint="eastAsia" w:ascii="宋体" w:hAnsi="宋体"/>
          <w:color w:val="auto"/>
          <w:sz w:val="24"/>
          <w:highlight w:val="none"/>
        </w:rPr>
        <w:t>》GB50034-2013</w:t>
      </w:r>
    </w:p>
    <w:p w14:paraId="44665D37">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《建筑采光设计标准》GB50033-2013</w:t>
      </w:r>
    </w:p>
    <w:p w14:paraId="3246324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《生产过程安全卫生要求总则》GB12801-2008</w:t>
      </w:r>
    </w:p>
    <w:p w14:paraId="78C7268D">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《生产设备安全卫生设计总则》GB5083-1999</w:t>
      </w:r>
    </w:p>
    <w:p w14:paraId="787D283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《工业金属管道设计规定》GB50316-2000（2008年版）</w:t>
      </w:r>
    </w:p>
    <w:p w14:paraId="50A36380">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《工业金属管道工程施工规范》GB50235-2010</w:t>
      </w:r>
    </w:p>
    <w:p w14:paraId="100210E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《压力容器压力管道设计许可规则》TSG R1001-2008</w:t>
      </w:r>
    </w:p>
    <w:p w14:paraId="427D4C52">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《压力管道安全技术监察规程——工业管道》TSG D0001-2009</w:t>
      </w:r>
    </w:p>
    <w:p w14:paraId="005A1E8F">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《压力管道使用登记管理规则》TSG D5001-2009</w:t>
      </w:r>
    </w:p>
    <w:p w14:paraId="2DB387E7">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《起重机械定期检验规则》TSG Q7015-2008</w:t>
      </w:r>
    </w:p>
    <w:p w14:paraId="208861E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《起重机械使用管理规则》TSG Q5001-2009</w:t>
      </w:r>
    </w:p>
    <w:p w14:paraId="01E2ABAD">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《安全阀安全技术监察规程》TSG ZF001-2006</w:t>
      </w:r>
    </w:p>
    <w:p w14:paraId="0F476A07">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《固定式压力容器安全技术监察规程》TSG 21-2016</w:t>
      </w:r>
    </w:p>
    <w:p w14:paraId="070A711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《压力容器》GB150-2011</w:t>
      </w:r>
    </w:p>
    <w:p w14:paraId="5462980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机械安全防护装置固定式和活动式防护装置设计与制造一般要求</w:t>
      </w:r>
      <w:r>
        <w:rPr>
          <w:rFonts w:hint="eastAsia" w:ascii="宋体" w:hAnsi="宋体"/>
          <w:color w:val="auto"/>
          <w:sz w:val="24"/>
          <w:highlight w:val="none"/>
        </w:rPr>
        <w:t>》GB/T8196-2003</w:t>
      </w:r>
    </w:p>
    <w:p w14:paraId="2131686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《固定式钢梯及平台安全要求》GB4053.1～3-2009</w:t>
      </w:r>
    </w:p>
    <w:p w14:paraId="2E534A76">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《设备及管道绝热技术通则》GB/T4272-2008</w:t>
      </w:r>
    </w:p>
    <w:p w14:paraId="4B2840C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《安全标志及其使用导则》GB2894-2008</w:t>
      </w:r>
    </w:p>
    <w:p w14:paraId="073EE9D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《安全色》GB2893-2008</w:t>
      </w:r>
    </w:p>
    <w:p w14:paraId="544F4062">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《安全色光通用规则》GB/T14778-2008</w:t>
      </w:r>
    </w:p>
    <w:p w14:paraId="05F955D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工业管道的基本识别色、识别符号和安全标识</w:t>
      </w:r>
      <w:r>
        <w:rPr>
          <w:rFonts w:hint="eastAsia" w:ascii="宋体" w:hAnsi="宋体"/>
          <w:color w:val="auto"/>
          <w:sz w:val="24"/>
          <w:highlight w:val="none"/>
        </w:rPr>
        <w:t>》</w:t>
      </w:r>
      <w:r>
        <w:rPr>
          <w:rFonts w:ascii="宋体" w:hAnsi="宋体"/>
          <w:color w:val="auto"/>
          <w:sz w:val="24"/>
          <w:highlight w:val="none"/>
        </w:rPr>
        <w:t>GB7231</w:t>
      </w:r>
      <w:r>
        <w:rPr>
          <w:rFonts w:hint="eastAsia" w:ascii="宋体" w:hAnsi="宋体"/>
          <w:color w:val="auto"/>
          <w:sz w:val="24"/>
          <w:highlight w:val="none"/>
        </w:rPr>
        <w:t>-</w:t>
      </w:r>
      <w:r>
        <w:rPr>
          <w:rFonts w:ascii="宋体" w:hAnsi="宋体"/>
          <w:color w:val="auto"/>
          <w:sz w:val="24"/>
          <w:highlight w:val="none"/>
        </w:rPr>
        <w:t>2003</w:t>
      </w:r>
    </w:p>
    <w:p w14:paraId="4FF03E1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《化学品生产单位吊装作业、动火作业、动土作业、断路作业、高处作业、设备检修作业、盲板抽堵作业、受限空间作业安全规范》AQ3021～3028-2008</w:t>
      </w:r>
    </w:p>
    <w:p w14:paraId="2CDB374A">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《危险化学品储罐区作业安全通则》AQ3018-2008</w:t>
      </w:r>
    </w:p>
    <w:p w14:paraId="2E90034C">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《危险货物品名表》GB12268-2012</w:t>
      </w:r>
    </w:p>
    <w:p w14:paraId="454AB8F2">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《制冷剂编号方法和安全性分类》GB/T7778-2008</w:t>
      </w:r>
    </w:p>
    <w:p w14:paraId="13586CA7">
      <w:pPr>
        <w:numPr>
          <w:ilvl w:val="0"/>
          <w:numId w:val="58"/>
        </w:numPr>
        <w:adjustRightInd w:val="0"/>
        <w:snapToGrid w:val="0"/>
        <w:spacing w:line="400" w:lineRule="exact"/>
        <w:textAlignment w:val="baseline"/>
        <w:rPr>
          <w:rFonts w:ascii="宋体" w:hAnsi="宋体"/>
          <w:color w:val="auto"/>
          <w:sz w:val="24"/>
          <w:highlight w:val="none"/>
        </w:rPr>
      </w:pPr>
      <w:r>
        <w:rPr>
          <w:rFonts w:ascii="宋体" w:hAnsi="宋体"/>
          <w:color w:val="auto"/>
          <w:sz w:val="24"/>
          <w:highlight w:val="none"/>
        </w:rPr>
        <w:t>《压力容器中化学介质毒性危害和爆炸危险程度分类》HG20660-2000</w:t>
      </w:r>
    </w:p>
    <w:p w14:paraId="1F8817D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《常用化学危险品贮存通则》GB15603-1995</w:t>
      </w:r>
    </w:p>
    <w:p w14:paraId="085D91B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《毒害性商品储藏养护技术条件》GB17916-2013</w:t>
      </w:r>
    </w:p>
    <w:p w14:paraId="31F46ABE">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《腐蚀性商品储藏养护技术条件》 GB17915-2013</w:t>
      </w:r>
    </w:p>
    <w:p w14:paraId="2F1C9D7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《易燃易爆性商品储藏养护技术条件》GB17914-2013</w:t>
      </w:r>
    </w:p>
    <w:p w14:paraId="6AE3362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《工作场所防止职业中毒卫生工程防护措施规范》GBZ/T194-2007</w:t>
      </w:r>
    </w:p>
    <w:p w14:paraId="6FA7545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《信号报警及联锁系统设计规范》HG/T20511-2014</w:t>
      </w:r>
    </w:p>
    <w:p w14:paraId="03FA379E">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石油化工可燃气体和有毒气体检测报警设计规范</w:t>
      </w:r>
      <w:r>
        <w:rPr>
          <w:rFonts w:hint="eastAsia" w:ascii="宋体" w:hAnsi="宋体"/>
          <w:color w:val="auto"/>
          <w:sz w:val="24"/>
          <w:highlight w:val="none"/>
        </w:rPr>
        <w:t>》</w:t>
      </w:r>
      <w:r>
        <w:rPr>
          <w:rFonts w:ascii="宋体" w:hAnsi="宋体"/>
          <w:color w:val="auto"/>
          <w:sz w:val="24"/>
          <w:highlight w:val="none"/>
        </w:rPr>
        <w:t>GB50493-2009</w:t>
      </w:r>
    </w:p>
    <w:p w14:paraId="50A8120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《工作场所有毒气体检测报警装置设置规范》GBZ/T223-2009</w:t>
      </w:r>
    </w:p>
    <w:p w14:paraId="3D7EE919">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《石油化工金属管道布置设计规范》SH3012-2011</w:t>
      </w:r>
    </w:p>
    <w:p w14:paraId="788CF732">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《石油化工工艺装置设备布置设计通则》SH3011-2011</w:t>
      </w:r>
    </w:p>
    <w:p w14:paraId="28A435CA">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《石油化工储运罐区设计规范》SH/T3007-2014</w:t>
      </w:r>
    </w:p>
    <w:p w14:paraId="3DBC371C">
      <w:pPr>
        <w:numPr>
          <w:ilvl w:val="0"/>
          <w:numId w:val="58"/>
        </w:numPr>
        <w:adjustRightInd w:val="0"/>
        <w:snapToGrid w:val="0"/>
        <w:spacing w:line="400" w:lineRule="exact"/>
        <w:textAlignment w:val="baseline"/>
        <w:rPr>
          <w:rFonts w:ascii="宋体" w:hAnsi="宋体"/>
          <w:color w:val="auto"/>
          <w:sz w:val="24"/>
          <w:highlight w:val="none"/>
        </w:rPr>
      </w:pPr>
      <w:r>
        <w:rPr>
          <w:rFonts w:ascii="宋体" w:hAnsi="宋体"/>
          <w:color w:val="auto"/>
          <w:sz w:val="24"/>
          <w:highlight w:val="none"/>
        </w:rPr>
        <w:t>《工业企业设计卫生标准》</w:t>
      </w:r>
      <w:r>
        <w:rPr>
          <w:rFonts w:hint="eastAsia" w:ascii="宋体" w:hAnsi="宋体"/>
          <w:color w:val="auto"/>
          <w:sz w:val="24"/>
          <w:highlight w:val="none"/>
        </w:rPr>
        <w:t>GBZ1-2010</w:t>
      </w:r>
    </w:p>
    <w:p w14:paraId="00B260E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《工业企业厂界环境噪声排放标准》GB12348-2008</w:t>
      </w:r>
    </w:p>
    <w:p w14:paraId="37C46E47">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《缺氧危险作业安全规程》GB8958-2006</w:t>
      </w:r>
    </w:p>
    <w:p w14:paraId="0BF9C46C">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《职业性接触毒物危害程度分级》GBZ230-2010</w:t>
      </w:r>
    </w:p>
    <w:p w14:paraId="10488DBD">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《工作场所职业病危害警示标识》GBZ158-2003</w:t>
      </w:r>
    </w:p>
    <w:p w14:paraId="1C88F1E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工作场所有害因素职业接触限值</w:t>
      </w:r>
      <w:r>
        <w:rPr>
          <w:rFonts w:hint="eastAsia" w:ascii="宋体" w:hAnsi="宋体"/>
          <w:color w:val="auto"/>
          <w:sz w:val="24"/>
          <w:highlight w:val="none"/>
        </w:rPr>
        <w:t xml:space="preserve"> </w:t>
      </w:r>
      <w:r>
        <w:rPr>
          <w:rFonts w:ascii="宋体" w:hAnsi="宋体"/>
          <w:color w:val="auto"/>
          <w:sz w:val="24"/>
          <w:highlight w:val="none"/>
        </w:rPr>
        <w:t>化学有害因素</w:t>
      </w:r>
      <w:r>
        <w:rPr>
          <w:rFonts w:hint="eastAsia" w:ascii="宋体" w:hAnsi="宋体"/>
          <w:color w:val="auto"/>
          <w:sz w:val="24"/>
          <w:highlight w:val="none"/>
        </w:rPr>
        <w:t>》GBZ</w:t>
      </w:r>
      <w:r>
        <w:rPr>
          <w:rFonts w:ascii="宋体" w:hAnsi="宋体"/>
          <w:color w:val="auto"/>
          <w:sz w:val="24"/>
          <w:highlight w:val="none"/>
        </w:rPr>
        <w:t>2.1-</w:t>
      </w:r>
      <w:r>
        <w:rPr>
          <w:rFonts w:hint="eastAsia" w:ascii="宋体" w:hAnsi="宋体"/>
          <w:color w:val="auto"/>
          <w:sz w:val="24"/>
          <w:highlight w:val="none"/>
        </w:rPr>
        <w:t>2007</w:t>
      </w:r>
    </w:p>
    <w:p w14:paraId="1C2189C0">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工作场所有害因素职业接触限值</w:t>
      </w:r>
      <w:r>
        <w:rPr>
          <w:rFonts w:hint="eastAsia" w:ascii="宋体" w:hAnsi="宋体"/>
          <w:color w:val="auto"/>
          <w:sz w:val="24"/>
          <w:highlight w:val="none"/>
        </w:rPr>
        <w:t xml:space="preserve"> </w:t>
      </w:r>
      <w:r>
        <w:rPr>
          <w:rFonts w:ascii="宋体" w:hAnsi="宋体"/>
          <w:color w:val="auto"/>
          <w:sz w:val="24"/>
          <w:highlight w:val="none"/>
        </w:rPr>
        <w:t>物理因素</w:t>
      </w:r>
      <w:r>
        <w:rPr>
          <w:rFonts w:hint="eastAsia" w:ascii="宋体" w:hAnsi="宋体"/>
          <w:color w:val="auto"/>
          <w:sz w:val="24"/>
          <w:highlight w:val="none"/>
        </w:rPr>
        <w:t>》GBZ</w:t>
      </w:r>
      <w:r>
        <w:rPr>
          <w:rFonts w:ascii="宋体" w:hAnsi="宋体"/>
          <w:color w:val="auto"/>
          <w:sz w:val="24"/>
          <w:highlight w:val="none"/>
        </w:rPr>
        <w:t>2.</w:t>
      </w:r>
      <w:r>
        <w:rPr>
          <w:rFonts w:hint="eastAsia" w:ascii="宋体" w:hAnsi="宋体"/>
          <w:color w:val="auto"/>
          <w:sz w:val="24"/>
          <w:highlight w:val="none"/>
        </w:rPr>
        <w:t>2</w:t>
      </w:r>
      <w:r>
        <w:rPr>
          <w:rFonts w:ascii="宋体" w:hAnsi="宋体"/>
          <w:color w:val="auto"/>
          <w:sz w:val="24"/>
          <w:highlight w:val="none"/>
        </w:rPr>
        <w:t>-</w:t>
      </w:r>
      <w:r>
        <w:rPr>
          <w:rFonts w:hint="eastAsia" w:ascii="宋体" w:hAnsi="宋体"/>
          <w:color w:val="auto"/>
          <w:sz w:val="24"/>
          <w:highlight w:val="none"/>
        </w:rPr>
        <w:t>2007</w:t>
      </w:r>
    </w:p>
    <w:p w14:paraId="3AC3F9A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《企业职工伤亡事故分类》GB6441-86</w:t>
      </w:r>
    </w:p>
    <w:p w14:paraId="1DBC9CF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《生产过程危险和有害因素分类与代码》GB/T13861-2009</w:t>
      </w:r>
    </w:p>
    <w:p w14:paraId="306D724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《危险化学品重大危险源辨识》GB18218-20</w:t>
      </w:r>
      <w:r>
        <w:rPr>
          <w:rFonts w:ascii="宋体" w:hAnsi="宋体"/>
          <w:color w:val="auto"/>
          <w:sz w:val="24"/>
          <w:highlight w:val="none"/>
        </w:rPr>
        <w:t>18</w:t>
      </w:r>
    </w:p>
    <w:p w14:paraId="468BBF19">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《危险化学品重大危险源 安全监控通用技术规范》AQ3035-2010</w:t>
      </w:r>
    </w:p>
    <w:p w14:paraId="644898F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《危险化学品重大危险源 罐区现场安全监控装备设置规范》AQ3036-2010</w:t>
      </w:r>
    </w:p>
    <w:p w14:paraId="2DE7512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《危险化学品单位应急救援物资配备要求》GB30077-2013</w:t>
      </w:r>
    </w:p>
    <w:p w14:paraId="77F04A56">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个体防护装备选用规范</w:t>
      </w:r>
      <w:r>
        <w:rPr>
          <w:rFonts w:hint="eastAsia" w:ascii="宋体" w:hAnsi="宋体"/>
          <w:color w:val="auto"/>
          <w:sz w:val="24"/>
          <w:highlight w:val="none"/>
        </w:rPr>
        <w:t>》</w:t>
      </w:r>
      <w:r>
        <w:rPr>
          <w:rFonts w:ascii="宋体" w:hAnsi="宋体"/>
          <w:color w:val="auto"/>
          <w:sz w:val="24"/>
          <w:highlight w:val="none"/>
        </w:rPr>
        <w:t>GB/T11651-2008</w:t>
      </w:r>
    </w:p>
    <w:p w14:paraId="6E595265">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防护服装 化学防护服的选择、使用和维护</w:t>
      </w:r>
      <w:r>
        <w:rPr>
          <w:rFonts w:hint="eastAsia" w:ascii="宋体" w:hAnsi="宋体"/>
          <w:color w:val="auto"/>
          <w:sz w:val="24"/>
          <w:highlight w:val="none"/>
        </w:rPr>
        <w:t>》</w:t>
      </w:r>
      <w:r>
        <w:rPr>
          <w:rFonts w:ascii="宋体" w:hAnsi="宋体"/>
          <w:color w:val="auto"/>
          <w:sz w:val="24"/>
          <w:highlight w:val="none"/>
        </w:rPr>
        <w:t>GB/T24536-2009</w:t>
      </w:r>
    </w:p>
    <w:p w14:paraId="0FAF4B5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《化学品分类和标签规范 第18部分：急性毒性》GB30000.18-2013</w:t>
      </w:r>
    </w:p>
    <w:p w14:paraId="22E20F2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《化学品生产单位特殊作业安全规程》GB30871-2014</w:t>
      </w:r>
    </w:p>
    <w:p w14:paraId="1F545C18">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《化学品安全技术说明书 内容和项目顺序》GB/T16483-2008</w:t>
      </w:r>
    </w:p>
    <w:p w14:paraId="7290109D">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《生产经营单位生产安全事故应急预案编制导则》</w:t>
      </w:r>
      <w:r>
        <w:rPr>
          <w:rFonts w:ascii="宋体" w:hAnsi="宋体"/>
          <w:color w:val="auto"/>
          <w:sz w:val="24"/>
          <w:highlight w:val="none"/>
        </w:rPr>
        <w:t>GB</w:t>
      </w:r>
      <w:r>
        <w:rPr>
          <w:rFonts w:hint="eastAsia" w:ascii="宋体" w:hAnsi="宋体"/>
          <w:color w:val="auto"/>
          <w:sz w:val="24"/>
          <w:highlight w:val="none"/>
        </w:rPr>
        <w:t>/</w:t>
      </w:r>
      <w:r>
        <w:rPr>
          <w:rFonts w:ascii="宋体" w:hAnsi="宋体"/>
          <w:color w:val="auto"/>
          <w:sz w:val="24"/>
          <w:highlight w:val="none"/>
        </w:rPr>
        <w:t>T29639-2013</w:t>
      </w:r>
    </w:p>
    <w:p w14:paraId="4595CF4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《碱类物质泄漏的处理处置方法 第1部分：氢氧化钠》HG/T4334.1-2012</w:t>
      </w:r>
    </w:p>
    <w:p w14:paraId="161B9374">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《企业安全生产标准化基本规范》AQ/T9006-2010</w:t>
      </w:r>
    </w:p>
    <w:p w14:paraId="01056C06">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《安全阀安全技术监察规程》TSG ZF001-2006</w:t>
      </w:r>
    </w:p>
    <w:p w14:paraId="032F7350">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《火灾自动报警系统设计规范》GB50116-2013</w:t>
      </w:r>
    </w:p>
    <w:p w14:paraId="1520674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《石油化工可燃气体和有毒气体检测报警设计标准》GB50493-2019</w:t>
      </w:r>
    </w:p>
    <w:p w14:paraId="4D8E4D50">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《消防给水及消火栓系统技术规范》GB50974-2014</w:t>
      </w:r>
    </w:p>
    <w:p w14:paraId="08E7E7A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《爆炸危险场所防爆安全导则》GB/T29304-2012</w:t>
      </w:r>
    </w:p>
    <w:p w14:paraId="49F3A711">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《化工建设项目环境保护设计规范》GB50483-2009</w:t>
      </w:r>
    </w:p>
    <w:p w14:paraId="1173E959">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《石油化工安全仪表系统设计规范》GB/T50770-2013</w:t>
      </w:r>
    </w:p>
    <w:p w14:paraId="64100B0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《移动式压力容器安全技术监察规程》TSG R0005-2011</w:t>
      </w:r>
    </w:p>
    <w:p w14:paraId="52A0448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《移动式压力容器安全技术监察规程》第1号修改单TSG R0005-2011/XG1-2014</w:t>
      </w:r>
    </w:p>
    <w:p w14:paraId="00E7AC07">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《移动式压力容器安全技术监察规程》第2号修改单TSG R0005-2011/XG2-2017</w:t>
      </w:r>
    </w:p>
    <w:p w14:paraId="4E32FCF3">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《粉尘防爆安全规程》GB15577-20</w:t>
      </w:r>
      <w:r>
        <w:rPr>
          <w:rFonts w:ascii="宋体" w:hAnsi="宋体"/>
          <w:color w:val="auto"/>
          <w:sz w:val="24"/>
          <w:highlight w:val="none"/>
        </w:rPr>
        <w:t>18</w:t>
      </w:r>
    </w:p>
    <w:p w14:paraId="6655919A">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《建筑工程抗震设防分类标准》GB50223-2008</w:t>
      </w:r>
    </w:p>
    <w:p w14:paraId="0D118486">
      <w:pPr>
        <w:numPr>
          <w:ilvl w:val="0"/>
          <w:numId w:val="58"/>
        </w:numPr>
        <w:adjustRightInd w:val="0"/>
        <w:snapToGrid w:val="0"/>
        <w:spacing w:line="400" w:lineRule="exact"/>
        <w:textAlignment w:val="baseline"/>
        <w:rPr>
          <w:rFonts w:ascii="宋体" w:hAnsi="宋体"/>
          <w:color w:val="auto"/>
          <w:sz w:val="24"/>
          <w:highlight w:val="none"/>
        </w:rPr>
      </w:pPr>
      <w:r>
        <w:rPr>
          <w:rFonts w:hint="eastAsia" w:ascii="宋体" w:hAnsi="宋体"/>
          <w:color w:val="auto"/>
          <w:sz w:val="24"/>
          <w:highlight w:val="none"/>
        </w:rPr>
        <w:t>《建筑抗震设计规范》GB50011-2016</w:t>
      </w:r>
    </w:p>
    <w:p w14:paraId="4C0B26BF">
      <w:pPr>
        <w:tabs>
          <w:tab w:val="left" w:pos="840"/>
        </w:tabs>
        <w:adjustRightInd w:val="0"/>
        <w:snapToGrid w:val="0"/>
        <w:spacing w:line="400" w:lineRule="exact"/>
        <w:ind w:left="420"/>
        <w:textAlignment w:val="baseline"/>
        <w:rPr>
          <w:rFonts w:ascii="宋体" w:hAnsi="宋体"/>
          <w:color w:val="auto"/>
          <w:sz w:val="24"/>
          <w:highlight w:val="none"/>
        </w:rPr>
      </w:pPr>
      <w:r>
        <w:rPr>
          <w:rFonts w:ascii="宋体" w:hAnsi="宋体"/>
          <w:color w:val="auto"/>
          <w:sz w:val="24"/>
          <w:highlight w:val="none"/>
        </w:rPr>
        <w:t>以上标准如有更新，采用新版。</w:t>
      </w:r>
    </w:p>
    <w:p w14:paraId="178D0DB5">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53" w:name="_Toc534960852"/>
      <w:r>
        <w:rPr>
          <w:rFonts w:hint="eastAsia" w:ascii="宋体" w:hAnsi="宋体"/>
          <w:b/>
          <w:bCs/>
          <w:color w:val="auto"/>
          <w:kern w:val="24"/>
          <w:sz w:val="24"/>
          <w:highlight w:val="none"/>
        </w:rPr>
        <w:t>2.6</w:t>
      </w:r>
      <w:r>
        <w:rPr>
          <w:rFonts w:ascii="宋体" w:hAnsi="宋体"/>
          <w:b/>
          <w:bCs/>
          <w:color w:val="auto"/>
          <w:kern w:val="24"/>
          <w:sz w:val="24"/>
          <w:highlight w:val="none"/>
        </w:rPr>
        <w:t>.</w:t>
      </w:r>
      <w:r>
        <w:rPr>
          <w:rFonts w:hint="eastAsia" w:ascii="宋体" w:hAnsi="宋体"/>
          <w:b/>
          <w:bCs/>
          <w:color w:val="auto"/>
          <w:kern w:val="24"/>
          <w:sz w:val="24"/>
          <w:highlight w:val="none"/>
        </w:rPr>
        <w:t xml:space="preserve">2 </w:t>
      </w:r>
      <w:bookmarkEnd w:id="252"/>
      <w:r>
        <w:rPr>
          <w:rFonts w:hint="eastAsia" w:ascii="宋体" w:hAnsi="宋体"/>
          <w:b/>
          <w:bCs/>
          <w:color w:val="auto"/>
          <w:kern w:val="24"/>
          <w:sz w:val="24"/>
          <w:highlight w:val="none"/>
        </w:rPr>
        <w:t>编制原则</w:t>
      </w:r>
      <w:bookmarkEnd w:id="253"/>
    </w:p>
    <w:p w14:paraId="61C61ABA">
      <w:pPr>
        <w:spacing w:line="360" w:lineRule="auto"/>
        <w:ind w:firstLine="480" w:firstLineChars="200"/>
        <w:rPr>
          <w:rFonts w:ascii="宋体" w:hAnsi="宋体" w:cs="宋体"/>
          <w:color w:val="auto"/>
          <w:kern w:val="24"/>
          <w:sz w:val="24"/>
          <w:highlight w:val="none"/>
        </w:rPr>
      </w:pPr>
      <w:r>
        <w:rPr>
          <w:rFonts w:hint="eastAsia" w:ascii="宋体" w:hAnsi="宋体" w:cs="宋体"/>
          <w:color w:val="auto"/>
          <w:kern w:val="24"/>
          <w:sz w:val="24"/>
          <w:highlight w:val="none"/>
        </w:rPr>
        <w:t>认真贯彻执行“生产必须安全，安全促进生产”的原则和“安全第一、预防为主”的安全生产工作方针。</w:t>
      </w:r>
    </w:p>
    <w:p w14:paraId="7FF23426">
      <w:pPr>
        <w:spacing w:line="360" w:lineRule="auto"/>
        <w:ind w:firstLine="480" w:firstLineChars="200"/>
        <w:rPr>
          <w:rFonts w:ascii="宋体" w:hAnsi="宋体" w:cs="宋体"/>
          <w:color w:val="auto"/>
          <w:kern w:val="24"/>
          <w:sz w:val="24"/>
          <w:highlight w:val="none"/>
        </w:rPr>
      </w:pPr>
      <w:r>
        <w:rPr>
          <w:rFonts w:hint="eastAsia" w:ascii="宋体" w:hAnsi="宋体" w:cs="宋体"/>
          <w:color w:val="auto"/>
          <w:kern w:val="24"/>
          <w:sz w:val="24"/>
          <w:highlight w:val="none"/>
        </w:rPr>
        <w:t>在确定工艺方案时，尽量采用先进的生产工艺路线，提高自动化和机械化水平，以减轻操作工人的劳动强度。采用密封性能好的设备设施，以减少污染物的扩散，改善劳动环境。</w:t>
      </w:r>
    </w:p>
    <w:p w14:paraId="0EAD0E20">
      <w:pPr>
        <w:spacing w:line="360" w:lineRule="auto"/>
        <w:ind w:firstLine="480" w:firstLineChars="200"/>
        <w:rPr>
          <w:rFonts w:ascii="宋体" w:hAnsi="宋体" w:cs="宋体"/>
          <w:color w:val="auto"/>
          <w:kern w:val="24"/>
          <w:sz w:val="24"/>
          <w:highlight w:val="none"/>
        </w:rPr>
      </w:pPr>
      <w:r>
        <w:rPr>
          <w:rFonts w:hint="eastAsia" w:ascii="宋体" w:hAnsi="宋体" w:cs="宋体"/>
          <w:color w:val="auto"/>
          <w:kern w:val="24"/>
          <w:sz w:val="24"/>
          <w:highlight w:val="none"/>
        </w:rPr>
        <w:t>严格划分生产防火区域，在工艺、设备、电气、仪表、土建、给排水、暖通、外管、总图等设计中，严格按照所定的生产危险区域防爆防火等级进行设备选型、管道敷设和建、构筑物等的设计。</w:t>
      </w:r>
    </w:p>
    <w:p w14:paraId="5397EA58">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54" w:name="_Toc355181215"/>
      <w:bookmarkStart w:id="255" w:name="_Toc534960853"/>
      <w:r>
        <w:rPr>
          <w:rFonts w:hint="eastAsia" w:ascii="宋体" w:hAnsi="宋体"/>
          <w:b/>
          <w:bCs/>
          <w:color w:val="auto"/>
          <w:kern w:val="24"/>
          <w:sz w:val="24"/>
          <w:highlight w:val="none"/>
        </w:rPr>
        <w:t>2.6</w:t>
      </w:r>
      <w:r>
        <w:rPr>
          <w:rFonts w:ascii="宋体" w:hAnsi="宋体"/>
          <w:b/>
          <w:bCs/>
          <w:color w:val="auto"/>
          <w:kern w:val="24"/>
          <w:sz w:val="24"/>
          <w:highlight w:val="none"/>
        </w:rPr>
        <w:t>.</w:t>
      </w:r>
      <w:r>
        <w:rPr>
          <w:rFonts w:hint="eastAsia" w:ascii="宋体" w:hAnsi="宋体"/>
          <w:b/>
          <w:bCs/>
          <w:color w:val="auto"/>
          <w:kern w:val="24"/>
          <w:sz w:val="24"/>
          <w:highlight w:val="none"/>
        </w:rPr>
        <w:t xml:space="preserve">3 </w:t>
      </w:r>
      <w:bookmarkEnd w:id="254"/>
      <w:r>
        <w:rPr>
          <w:rFonts w:hint="eastAsia" w:ascii="宋体" w:hAnsi="宋体"/>
          <w:b/>
          <w:bCs/>
          <w:color w:val="auto"/>
          <w:kern w:val="24"/>
          <w:sz w:val="24"/>
          <w:highlight w:val="none"/>
        </w:rPr>
        <w:t>生产过程中的危害因素分析</w:t>
      </w:r>
      <w:bookmarkEnd w:id="255"/>
    </w:p>
    <w:p w14:paraId="3CAB32A4">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12.3.1项目涉及危险工艺和危险化学品的情况</w:t>
      </w:r>
    </w:p>
    <w:p w14:paraId="32AA0929">
      <w:pPr>
        <w:spacing w:line="360" w:lineRule="auto"/>
        <w:ind w:firstLine="480"/>
        <w:rPr>
          <w:rFonts w:ascii="宋体" w:hAnsi="宋体"/>
          <w:color w:val="auto"/>
          <w:sz w:val="24"/>
          <w:highlight w:val="none"/>
        </w:rPr>
      </w:pPr>
      <w:r>
        <w:rPr>
          <w:rFonts w:hint="eastAsia" w:ascii="宋体" w:hAnsi="宋体"/>
          <w:color w:val="auto"/>
          <w:sz w:val="24"/>
          <w:highlight w:val="none"/>
        </w:rPr>
        <w:t>根据</w:t>
      </w:r>
      <w:r>
        <w:rPr>
          <w:rFonts w:ascii="宋体" w:hAnsi="宋体"/>
          <w:color w:val="auto"/>
          <w:sz w:val="24"/>
          <w:highlight w:val="none"/>
        </w:rPr>
        <w:t>《国家安全监管总局关于公布重点监管的危险化工工艺目录的通知》（安监总管三[2009]116号</w:t>
      </w:r>
      <w:r>
        <w:rPr>
          <w:rFonts w:hint="eastAsia" w:ascii="宋体" w:hAnsi="宋体"/>
          <w:color w:val="auto"/>
          <w:sz w:val="24"/>
          <w:highlight w:val="none"/>
        </w:rPr>
        <w:t>、</w:t>
      </w:r>
      <w:r>
        <w:rPr>
          <w:rFonts w:ascii="宋体" w:hAnsi="宋体"/>
          <w:color w:val="auto"/>
          <w:sz w:val="24"/>
          <w:highlight w:val="none"/>
        </w:rPr>
        <w:t>安监总管三[20</w:t>
      </w:r>
      <w:r>
        <w:rPr>
          <w:rFonts w:hint="eastAsia" w:ascii="宋体" w:hAnsi="宋体"/>
          <w:color w:val="auto"/>
          <w:sz w:val="24"/>
          <w:highlight w:val="none"/>
        </w:rPr>
        <w:t>13</w:t>
      </w:r>
      <w:r>
        <w:rPr>
          <w:rFonts w:ascii="宋体" w:hAnsi="宋体"/>
          <w:color w:val="auto"/>
          <w:sz w:val="24"/>
          <w:highlight w:val="none"/>
        </w:rPr>
        <w:t>]</w:t>
      </w:r>
      <w:r>
        <w:rPr>
          <w:rFonts w:hint="eastAsia" w:ascii="宋体" w:hAnsi="宋体"/>
          <w:color w:val="auto"/>
          <w:sz w:val="24"/>
          <w:highlight w:val="none"/>
        </w:rPr>
        <w:t>3</w:t>
      </w:r>
      <w:r>
        <w:rPr>
          <w:rFonts w:ascii="宋体" w:hAnsi="宋体"/>
          <w:color w:val="auto"/>
          <w:sz w:val="24"/>
          <w:highlight w:val="none"/>
        </w:rPr>
        <w:t>号）</w:t>
      </w:r>
      <w:r>
        <w:rPr>
          <w:rFonts w:hint="eastAsia" w:ascii="宋体" w:hAnsi="宋体"/>
          <w:color w:val="auto"/>
          <w:sz w:val="24"/>
          <w:highlight w:val="none"/>
        </w:rPr>
        <w:t>的规定，本项目的工艺不属于属于首批重点监管的危险化工工艺。</w:t>
      </w:r>
      <w:r>
        <w:rPr>
          <w:rFonts w:ascii="宋体" w:hAnsi="宋体"/>
          <w:color w:val="auto"/>
          <w:sz w:val="24"/>
          <w:highlight w:val="none"/>
        </w:rPr>
        <w:t xml:space="preserve"> </w:t>
      </w:r>
    </w:p>
    <w:p w14:paraId="04C3CA33">
      <w:pPr>
        <w:spacing w:line="360" w:lineRule="auto"/>
        <w:ind w:firstLine="480"/>
        <w:rPr>
          <w:rFonts w:ascii="宋体" w:hAnsi="宋体"/>
          <w:color w:val="auto"/>
          <w:sz w:val="24"/>
          <w:highlight w:val="none"/>
        </w:rPr>
      </w:pPr>
      <w:r>
        <w:rPr>
          <w:rFonts w:hint="eastAsia" w:ascii="宋体" w:hAnsi="宋体"/>
          <w:color w:val="auto"/>
          <w:sz w:val="24"/>
          <w:highlight w:val="none"/>
        </w:rPr>
        <w:t>根据《国家安全监管总局关于公布首批重点监管的危险化学品名录的通知》（安监总管三〔2011〕95号）和安监总管三〔2013〕12号《第二批重点监管危险化学品名录》的规定，本项目不涉及重点监管的危险化学品。</w:t>
      </w:r>
    </w:p>
    <w:p w14:paraId="46F9B88A">
      <w:pPr>
        <w:spacing w:line="360" w:lineRule="auto"/>
        <w:ind w:firstLine="480"/>
        <w:rPr>
          <w:rFonts w:ascii="宋体" w:hAnsi="宋体"/>
          <w:color w:val="auto"/>
          <w:sz w:val="24"/>
          <w:highlight w:val="none"/>
        </w:rPr>
      </w:pPr>
      <w:r>
        <w:rPr>
          <w:rFonts w:ascii="宋体" w:hAnsi="宋体"/>
          <w:color w:val="auto"/>
          <w:sz w:val="24"/>
          <w:highlight w:val="none"/>
        </w:rPr>
        <w:t>根据《危险化学品重大危险源辨识》GB18218-20</w:t>
      </w:r>
      <w:r>
        <w:rPr>
          <w:rFonts w:hint="eastAsia" w:ascii="宋体" w:hAnsi="宋体"/>
          <w:color w:val="auto"/>
          <w:sz w:val="24"/>
          <w:highlight w:val="none"/>
        </w:rPr>
        <w:t>1</w:t>
      </w:r>
      <w:r>
        <w:rPr>
          <w:rFonts w:ascii="宋体" w:hAnsi="宋体"/>
          <w:color w:val="auto"/>
          <w:sz w:val="24"/>
          <w:highlight w:val="none"/>
        </w:rPr>
        <w:t>9，本项目</w:t>
      </w:r>
      <w:r>
        <w:rPr>
          <w:rFonts w:hint="eastAsia" w:ascii="宋体" w:hAnsi="宋体"/>
          <w:color w:val="auto"/>
          <w:sz w:val="24"/>
          <w:highlight w:val="none"/>
        </w:rPr>
        <w:t>不</w:t>
      </w:r>
      <w:r>
        <w:rPr>
          <w:rFonts w:ascii="宋体" w:hAnsi="宋体"/>
          <w:color w:val="auto"/>
          <w:sz w:val="24"/>
          <w:highlight w:val="none"/>
        </w:rPr>
        <w:t>构成危险化学品重大危险源</w:t>
      </w:r>
      <w:r>
        <w:rPr>
          <w:rFonts w:hint="eastAsia" w:ascii="宋体" w:hAnsi="宋体"/>
          <w:color w:val="auto"/>
          <w:sz w:val="24"/>
          <w:highlight w:val="none"/>
        </w:rPr>
        <w:t>。</w:t>
      </w:r>
    </w:p>
    <w:p w14:paraId="56A9651F">
      <w:pPr>
        <w:spacing w:line="360" w:lineRule="auto"/>
        <w:rPr>
          <w:color w:val="auto"/>
          <w:sz w:val="24"/>
          <w:highlight w:val="none"/>
        </w:rPr>
      </w:pPr>
      <w:r>
        <w:rPr>
          <w:rFonts w:hint="eastAsia"/>
          <w:color w:val="auto"/>
          <w:sz w:val="24"/>
          <w:highlight w:val="none"/>
        </w:rPr>
        <w:t>2.6</w:t>
      </w:r>
      <w:r>
        <w:rPr>
          <w:color w:val="auto"/>
          <w:sz w:val="24"/>
          <w:highlight w:val="none"/>
        </w:rPr>
        <w:t>.</w:t>
      </w:r>
      <w:r>
        <w:rPr>
          <w:rFonts w:hint="eastAsia"/>
          <w:color w:val="auto"/>
          <w:sz w:val="24"/>
          <w:highlight w:val="none"/>
        </w:rPr>
        <w:t>3.2爆炸危险物</w:t>
      </w:r>
    </w:p>
    <w:p w14:paraId="7DA9747B">
      <w:pPr>
        <w:spacing w:line="360" w:lineRule="auto"/>
        <w:ind w:firstLine="480"/>
        <w:jc w:val="left"/>
        <w:rPr>
          <w:rFonts w:ascii="宋体" w:hAnsi="宋体"/>
          <w:color w:val="auto"/>
          <w:sz w:val="24"/>
          <w:highlight w:val="none"/>
        </w:rPr>
      </w:pPr>
      <w:r>
        <w:rPr>
          <w:rFonts w:hint="eastAsia" w:ascii="宋体" w:hAnsi="宋体"/>
          <w:color w:val="auto"/>
          <w:sz w:val="24"/>
          <w:highlight w:val="none"/>
        </w:rPr>
        <w:t>本项目生产过程中</w:t>
      </w:r>
      <w:r>
        <w:rPr>
          <w:rFonts w:ascii="宋体" w:hAnsi="宋体"/>
          <w:color w:val="auto"/>
          <w:sz w:val="24"/>
          <w:highlight w:val="none"/>
        </w:rPr>
        <w:t>不涉及爆炸危险物</w:t>
      </w:r>
      <w:r>
        <w:rPr>
          <w:rFonts w:hint="eastAsia" w:ascii="宋体" w:hAnsi="宋体"/>
          <w:color w:val="auto"/>
          <w:sz w:val="24"/>
          <w:highlight w:val="none"/>
        </w:rPr>
        <w:t>。</w:t>
      </w:r>
    </w:p>
    <w:p w14:paraId="13728D19">
      <w:pPr>
        <w:spacing w:line="360" w:lineRule="auto"/>
        <w:jc w:val="left"/>
        <w:rPr>
          <w:color w:val="auto"/>
          <w:sz w:val="24"/>
          <w:highlight w:val="none"/>
        </w:rPr>
      </w:pPr>
      <w:r>
        <w:rPr>
          <w:rFonts w:hint="eastAsia"/>
          <w:color w:val="auto"/>
          <w:sz w:val="24"/>
          <w:highlight w:val="none"/>
        </w:rPr>
        <w:t>2.6.3.3静电、雷电的危害</w:t>
      </w:r>
    </w:p>
    <w:p w14:paraId="42A884C2">
      <w:pPr>
        <w:spacing w:line="360" w:lineRule="auto"/>
        <w:ind w:firstLine="480"/>
        <w:rPr>
          <w:rFonts w:ascii="宋体" w:hAnsi="宋体"/>
          <w:color w:val="auto"/>
          <w:sz w:val="24"/>
          <w:highlight w:val="none"/>
        </w:rPr>
      </w:pPr>
      <w:r>
        <w:rPr>
          <w:rFonts w:hint="eastAsia" w:ascii="宋体" w:hAnsi="宋体"/>
          <w:color w:val="auto"/>
          <w:sz w:val="24"/>
          <w:highlight w:val="none"/>
        </w:rPr>
        <w:t>生产过程中，在有易燃易爆危险品存在的场合，静电放电、雷电放电均可成为引起燃烧、爆炸的点火源，导致火灾、爆炸事故的发生。</w:t>
      </w:r>
    </w:p>
    <w:p w14:paraId="14A170E3">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 xml:space="preserve">2.6.3.4化学腐蚀的危害 </w:t>
      </w:r>
    </w:p>
    <w:p w14:paraId="30377650">
      <w:pPr>
        <w:spacing w:line="360" w:lineRule="auto"/>
        <w:ind w:firstLine="480"/>
        <w:rPr>
          <w:rFonts w:ascii="宋体" w:hAnsi="宋体"/>
          <w:color w:val="auto"/>
          <w:sz w:val="24"/>
          <w:highlight w:val="none"/>
        </w:rPr>
      </w:pPr>
      <w:r>
        <w:rPr>
          <w:rFonts w:hint="eastAsia" w:ascii="宋体" w:hAnsi="宋体"/>
          <w:color w:val="auto"/>
          <w:sz w:val="24"/>
          <w:highlight w:val="none"/>
        </w:rPr>
        <w:t>本项目不涉及腐蚀性介质。</w:t>
      </w:r>
    </w:p>
    <w:p w14:paraId="130FCE02">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 xml:space="preserve">2.6.3.5有毒有害物的危害 </w:t>
      </w:r>
    </w:p>
    <w:p w14:paraId="1B67E392">
      <w:pPr>
        <w:spacing w:line="360" w:lineRule="auto"/>
        <w:ind w:firstLine="480"/>
        <w:rPr>
          <w:rFonts w:ascii="宋体" w:hAnsi="宋体"/>
          <w:color w:val="auto"/>
          <w:sz w:val="24"/>
          <w:highlight w:val="none"/>
        </w:rPr>
      </w:pPr>
      <w:r>
        <w:rPr>
          <w:rFonts w:hint="eastAsia" w:ascii="宋体" w:hAnsi="宋体"/>
          <w:color w:val="auto"/>
          <w:sz w:val="24"/>
          <w:highlight w:val="none"/>
        </w:rPr>
        <w:t>本项目不涉及有毒有害介质。</w:t>
      </w:r>
    </w:p>
    <w:p w14:paraId="08DD5E42">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2.6.3.6用电</w:t>
      </w:r>
    </w:p>
    <w:p w14:paraId="0E0AEEDC">
      <w:pPr>
        <w:spacing w:line="360" w:lineRule="auto"/>
        <w:ind w:firstLine="480"/>
        <w:rPr>
          <w:rFonts w:ascii="宋体" w:hAnsi="宋体"/>
          <w:color w:val="auto"/>
          <w:sz w:val="24"/>
          <w:highlight w:val="none"/>
        </w:rPr>
      </w:pPr>
      <w:r>
        <w:rPr>
          <w:rFonts w:hint="eastAsia" w:ascii="宋体" w:hAnsi="宋体"/>
          <w:color w:val="auto"/>
          <w:sz w:val="24"/>
          <w:highlight w:val="none"/>
        </w:rPr>
        <w:t>本区域内各用电设备根据相应的防爆要求进行选择，设备、管道做好防静电要求。</w:t>
      </w:r>
    </w:p>
    <w:p w14:paraId="7B7D8A1C">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2.6.3.7噪声</w:t>
      </w:r>
    </w:p>
    <w:p w14:paraId="073457C7">
      <w:pPr>
        <w:spacing w:line="360" w:lineRule="auto"/>
        <w:ind w:firstLine="480"/>
        <w:rPr>
          <w:rFonts w:ascii="宋体" w:hAnsi="宋体"/>
          <w:color w:val="auto"/>
          <w:sz w:val="24"/>
          <w:highlight w:val="none"/>
        </w:rPr>
      </w:pPr>
      <w:r>
        <w:rPr>
          <w:rFonts w:hint="eastAsia" w:ascii="宋体" w:hAnsi="宋体"/>
          <w:color w:val="auto"/>
          <w:sz w:val="24"/>
          <w:highlight w:val="none"/>
        </w:rPr>
        <w:t>本区域内的噪音声源主要为生产中的动力设备、机械传动设备如压缩机、各类机泵等，主要噪声源强在75-85dB（A）之间。</w:t>
      </w:r>
    </w:p>
    <w:p w14:paraId="1AADFDF3">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2.6.3.</w:t>
      </w:r>
      <w:r>
        <w:rPr>
          <w:rFonts w:ascii="宋体" w:hAnsi="宋体"/>
          <w:b/>
          <w:bCs/>
          <w:color w:val="auto"/>
          <w:kern w:val="0"/>
          <w:sz w:val="24"/>
          <w:highlight w:val="none"/>
        </w:rPr>
        <w:t>8</w:t>
      </w:r>
      <w:r>
        <w:rPr>
          <w:rFonts w:hint="eastAsia" w:ascii="宋体" w:hAnsi="宋体"/>
          <w:b/>
          <w:bCs/>
          <w:color w:val="auto"/>
          <w:kern w:val="0"/>
          <w:sz w:val="24"/>
          <w:highlight w:val="none"/>
        </w:rPr>
        <w:t>机械伤害</w:t>
      </w:r>
    </w:p>
    <w:p w14:paraId="31019AF7">
      <w:pPr>
        <w:spacing w:line="360" w:lineRule="auto"/>
        <w:ind w:firstLine="480"/>
        <w:rPr>
          <w:rFonts w:ascii="宋体" w:hAnsi="宋体"/>
          <w:color w:val="auto"/>
          <w:sz w:val="24"/>
          <w:highlight w:val="none"/>
        </w:rPr>
      </w:pPr>
      <w:r>
        <w:rPr>
          <w:rFonts w:hint="eastAsia" w:ascii="宋体" w:hAnsi="宋体"/>
          <w:color w:val="auto"/>
          <w:sz w:val="24"/>
          <w:highlight w:val="none"/>
        </w:rPr>
        <w:t>对反应釜、机泵、风机等高速转动或旋转的机械，以及设备直爬梯、平台设有扶手和护围。</w:t>
      </w:r>
    </w:p>
    <w:p w14:paraId="301EC8AE">
      <w:pPr>
        <w:keepNext/>
        <w:suppressAutoHyphens/>
        <w:adjustRightInd w:val="0"/>
        <w:snapToGrid w:val="0"/>
        <w:spacing w:before="50" w:line="360" w:lineRule="auto"/>
        <w:jc w:val="left"/>
        <w:outlineLvl w:val="1"/>
        <w:rPr>
          <w:rFonts w:ascii="宋体" w:hAnsi="宋体"/>
          <w:b/>
          <w:bCs/>
          <w:color w:val="auto"/>
          <w:kern w:val="24"/>
          <w:sz w:val="24"/>
          <w:highlight w:val="none"/>
        </w:rPr>
      </w:pPr>
      <w:bookmarkStart w:id="256" w:name="_Toc355181216"/>
      <w:bookmarkStart w:id="257" w:name="_Toc534960854"/>
      <w:r>
        <w:rPr>
          <w:rFonts w:hint="eastAsia" w:ascii="宋体" w:hAnsi="宋体"/>
          <w:b/>
          <w:bCs/>
          <w:color w:val="auto"/>
          <w:kern w:val="24"/>
          <w:sz w:val="24"/>
          <w:highlight w:val="none"/>
        </w:rPr>
        <w:t>2.6</w:t>
      </w:r>
      <w:r>
        <w:rPr>
          <w:rFonts w:ascii="宋体" w:hAnsi="宋体"/>
          <w:b/>
          <w:bCs/>
          <w:color w:val="auto"/>
          <w:kern w:val="24"/>
          <w:sz w:val="24"/>
          <w:highlight w:val="none"/>
        </w:rPr>
        <w:t>.</w:t>
      </w:r>
      <w:r>
        <w:rPr>
          <w:rFonts w:hint="eastAsia" w:ascii="宋体" w:hAnsi="宋体"/>
          <w:b/>
          <w:bCs/>
          <w:color w:val="auto"/>
          <w:kern w:val="24"/>
          <w:sz w:val="24"/>
          <w:highlight w:val="none"/>
        </w:rPr>
        <w:t>4</w:t>
      </w:r>
      <w:bookmarkEnd w:id="256"/>
      <w:r>
        <w:rPr>
          <w:rFonts w:hint="eastAsia" w:ascii="宋体" w:hAnsi="宋体"/>
          <w:b/>
          <w:bCs/>
          <w:color w:val="auto"/>
          <w:kern w:val="24"/>
          <w:sz w:val="24"/>
          <w:highlight w:val="none"/>
        </w:rPr>
        <w:t>主要防护措施</w:t>
      </w:r>
      <w:bookmarkEnd w:id="257"/>
    </w:p>
    <w:p w14:paraId="4B7510F7">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w:t>
      </w:r>
      <w:r>
        <w:rPr>
          <w:rFonts w:ascii="宋体" w:hAnsi="宋体"/>
          <w:b/>
          <w:bCs/>
          <w:color w:val="auto"/>
          <w:kern w:val="0"/>
          <w:sz w:val="24"/>
          <w:highlight w:val="none"/>
        </w:rPr>
        <w:t>6.</w:t>
      </w:r>
      <w:r>
        <w:rPr>
          <w:rFonts w:hint="eastAsia" w:ascii="宋体" w:hAnsi="宋体"/>
          <w:b/>
          <w:bCs/>
          <w:color w:val="auto"/>
          <w:kern w:val="0"/>
          <w:sz w:val="24"/>
          <w:highlight w:val="none"/>
        </w:rPr>
        <w:t>4.1原则</w:t>
      </w:r>
    </w:p>
    <w:p w14:paraId="3178E82C">
      <w:pPr>
        <w:spacing w:line="360" w:lineRule="auto"/>
        <w:ind w:firstLine="480"/>
        <w:rPr>
          <w:rFonts w:ascii="宋体" w:hAnsi="宋体"/>
          <w:color w:val="auto"/>
          <w:sz w:val="24"/>
          <w:highlight w:val="none"/>
        </w:rPr>
      </w:pPr>
      <w:r>
        <w:rPr>
          <w:rFonts w:hint="eastAsia" w:ascii="宋体" w:hAnsi="宋体"/>
          <w:color w:val="auto"/>
          <w:sz w:val="24"/>
          <w:highlight w:val="none"/>
        </w:rPr>
        <w:t>贯彻“安全第一，预防为主”的方针，安全卫生设施必须与主体工程“三同时”，并严格执行安全卫生、劳动保护方面的有关规定、规范和标准，严防有毒、有害和易燃、易爆物质对人身的伤害，提高生产水平。</w:t>
      </w:r>
    </w:p>
    <w:p w14:paraId="070A6823">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2.6.4.2爆炸及火灾危害物的防范措施</w:t>
      </w:r>
    </w:p>
    <w:p w14:paraId="55FF63AA">
      <w:pPr>
        <w:spacing w:line="360" w:lineRule="auto"/>
        <w:ind w:firstLine="480"/>
        <w:rPr>
          <w:rFonts w:ascii="宋体" w:hAnsi="宋体"/>
          <w:color w:val="auto"/>
          <w:sz w:val="24"/>
          <w:highlight w:val="none"/>
        </w:rPr>
      </w:pPr>
      <w:r>
        <w:rPr>
          <w:rFonts w:hint="eastAsia" w:ascii="宋体" w:hAnsi="宋体"/>
          <w:color w:val="auto"/>
          <w:sz w:val="24"/>
          <w:highlight w:val="none"/>
        </w:rPr>
        <w:t>（1）在总图布置上严格遵循《工业企业总平面设计规范》（</w:t>
      </w:r>
      <w:r>
        <w:rPr>
          <w:rFonts w:ascii="宋体" w:hAnsi="宋体"/>
          <w:color w:val="auto"/>
          <w:sz w:val="24"/>
          <w:highlight w:val="none"/>
        </w:rPr>
        <w:t>GB50187-</w:t>
      </w:r>
      <w:r>
        <w:rPr>
          <w:rFonts w:hint="eastAsia" w:ascii="宋体" w:hAnsi="宋体"/>
          <w:color w:val="auto"/>
          <w:sz w:val="24"/>
          <w:highlight w:val="none"/>
        </w:rPr>
        <w:t>2012）、《建筑设计防火规范》GB50016-2014（2018年版）要求布置。</w:t>
      </w:r>
    </w:p>
    <w:p w14:paraId="110559FC">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2</w:t>
      </w:r>
      <w:r>
        <w:rPr>
          <w:rFonts w:hint="eastAsia" w:ascii="宋体" w:hAnsi="宋体"/>
          <w:color w:val="auto"/>
          <w:sz w:val="24"/>
          <w:highlight w:val="none"/>
        </w:rPr>
        <w:t>）设置安全仪表系统（</w:t>
      </w:r>
      <w:r>
        <w:rPr>
          <w:rFonts w:ascii="宋体" w:hAnsi="宋体"/>
          <w:color w:val="auto"/>
          <w:sz w:val="24"/>
          <w:highlight w:val="none"/>
        </w:rPr>
        <w:t>SIS</w:t>
      </w:r>
      <w:r>
        <w:rPr>
          <w:rFonts w:hint="eastAsia" w:ascii="宋体" w:hAnsi="宋体"/>
          <w:color w:val="auto"/>
          <w:sz w:val="24"/>
          <w:highlight w:val="none"/>
        </w:rPr>
        <w:t>系统），能在装置各项关键操作参数超过设定值时，采取紧急切断甚至紧急停车。</w:t>
      </w:r>
    </w:p>
    <w:p w14:paraId="0B2E7EFD">
      <w:pPr>
        <w:spacing w:line="360" w:lineRule="auto"/>
        <w:ind w:firstLine="480"/>
        <w:rPr>
          <w:rFonts w:ascii="宋体" w:hAnsi="宋体"/>
          <w:color w:val="auto"/>
          <w:sz w:val="24"/>
          <w:highlight w:val="none"/>
        </w:rPr>
      </w:pPr>
      <w:r>
        <w:rPr>
          <w:rFonts w:hint="eastAsia" w:ascii="宋体" w:hAnsi="宋体"/>
          <w:color w:val="auto"/>
          <w:sz w:val="24"/>
          <w:highlight w:val="none"/>
        </w:rPr>
        <w:t>（</w:t>
      </w:r>
      <w:r>
        <w:rPr>
          <w:rFonts w:ascii="宋体" w:hAnsi="宋体"/>
          <w:color w:val="auto"/>
          <w:sz w:val="24"/>
          <w:highlight w:val="none"/>
        </w:rPr>
        <w:t>3</w:t>
      </w:r>
      <w:r>
        <w:rPr>
          <w:rFonts w:hint="eastAsia" w:ascii="宋体" w:hAnsi="宋体"/>
          <w:color w:val="auto"/>
          <w:sz w:val="24"/>
          <w:highlight w:val="none"/>
        </w:rPr>
        <w:t>）根据工艺特性，考虑突然断仪表气的情况下，合理选择气动调节阀和气动切断阀的事故开闭状态。</w:t>
      </w:r>
    </w:p>
    <w:p w14:paraId="67FE1DD1">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2.6.4.</w:t>
      </w:r>
      <w:r>
        <w:rPr>
          <w:rFonts w:ascii="宋体" w:hAnsi="宋体"/>
          <w:b/>
          <w:bCs/>
          <w:color w:val="auto"/>
          <w:kern w:val="0"/>
          <w:sz w:val="24"/>
          <w:highlight w:val="none"/>
        </w:rPr>
        <w:t>3</w:t>
      </w:r>
      <w:r>
        <w:rPr>
          <w:rFonts w:hint="eastAsia" w:ascii="宋体" w:hAnsi="宋体"/>
          <w:b/>
          <w:bCs/>
          <w:color w:val="auto"/>
          <w:kern w:val="0"/>
          <w:sz w:val="24"/>
          <w:highlight w:val="none"/>
        </w:rPr>
        <w:t xml:space="preserve">静电、雷电防范措施 </w:t>
      </w:r>
    </w:p>
    <w:p w14:paraId="182A705E">
      <w:pPr>
        <w:spacing w:line="360" w:lineRule="auto"/>
        <w:ind w:firstLine="480"/>
        <w:rPr>
          <w:rFonts w:ascii="宋体" w:hAnsi="宋体"/>
          <w:b/>
          <w:color w:val="auto"/>
          <w:sz w:val="24"/>
          <w:highlight w:val="none"/>
        </w:rPr>
      </w:pPr>
      <w:r>
        <w:rPr>
          <w:rFonts w:hint="eastAsia" w:ascii="宋体" w:hAnsi="宋体"/>
          <w:color w:val="auto"/>
          <w:sz w:val="24"/>
          <w:highlight w:val="none"/>
        </w:rPr>
        <w:t xml:space="preserve">各用电设备，可燃气体、液体设备、管道均作防静电和接地保护，并与全厂接地网相联。  </w:t>
      </w:r>
      <w:r>
        <w:rPr>
          <w:rFonts w:hint="eastAsia" w:ascii="宋体" w:hAnsi="宋体"/>
          <w:b/>
          <w:color w:val="auto"/>
          <w:sz w:val="24"/>
          <w:highlight w:val="none"/>
        </w:rPr>
        <w:t xml:space="preserve"> </w:t>
      </w:r>
    </w:p>
    <w:p w14:paraId="26631274">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2.6.4.</w:t>
      </w:r>
      <w:r>
        <w:rPr>
          <w:rFonts w:ascii="宋体" w:hAnsi="宋体"/>
          <w:b/>
          <w:bCs/>
          <w:color w:val="auto"/>
          <w:kern w:val="0"/>
          <w:sz w:val="24"/>
          <w:highlight w:val="none"/>
        </w:rPr>
        <w:t>4</w:t>
      </w:r>
      <w:r>
        <w:rPr>
          <w:rFonts w:hint="eastAsia" w:ascii="宋体" w:hAnsi="宋体"/>
          <w:b/>
          <w:bCs/>
          <w:color w:val="auto"/>
          <w:kern w:val="0"/>
          <w:sz w:val="24"/>
          <w:highlight w:val="none"/>
        </w:rPr>
        <w:t>机械及附落意外伤害防范措施</w:t>
      </w:r>
    </w:p>
    <w:p w14:paraId="442AF1E5">
      <w:pPr>
        <w:spacing w:line="360" w:lineRule="auto"/>
        <w:ind w:firstLine="480"/>
        <w:rPr>
          <w:rFonts w:ascii="宋体" w:hAnsi="宋体"/>
          <w:color w:val="auto"/>
          <w:sz w:val="24"/>
          <w:highlight w:val="none"/>
        </w:rPr>
      </w:pPr>
      <w:r>
        <w:rPr>
          <w:rFonts w:hint="eastAsia" w:ascii="宋体" w:hAnsi="宋体"/>
          <w:color w:val="auto"/>
          <w:sz w:val="24"/>
          <w:highlight w:val="none"/>
        </w:rPr>
        <w:t>对高速转动或旋转的机械另部件设计可靠的防护器、挡板或安全围拦。直爬梯、平台设有扶手和护围。</w:t>
      </w:r>
    </w:p>
    <w:p w14:paraId="13ED48F5">
      <w:pPr>
        <w:keepNext/>
        <w:keepLines/>
        <w:snapToGrid w:val="0"/>
        <w:spacing w:line="360" w:lineRule="auto"/>
        <w:outlineLvl w:val="2"/>
        <w:rPr>
          <w:rFonts w:ascii="宋体" w:hAnsi="宋体"/>
          <w:b/>
          <w:bCs/>
          <w:color w:val="auto"/>
          <w:kern w:val="0"/>
          <w:sz w:val="24"/>
          <w:highlight w:val="none"/>
        </w:rPr>
      </w:pPr>
      <w:r>
        <w:rPr>
          <w:rFonts w:hint="eastAsia" w:ascii="宋体" w:hAnsi="宋体"/>
          <w:b/>
          <w:bCs/>
          <w:color w:val="auto"/>
          <w:kern w:val="0"/>
          <w:sz w:val="24"/>
          <w:highlight w:val="none"/>
        </w:rPr>
        <w:t>2.6.4.</w:t>
      </w:r>
      <w:r>
        <w:rPr>
          <w:rFonts w:ascii="宋体" w:hAnsi="宋体"/>
          <w:b/>
          <w:bCs/>
          <w:color w:val="auto"/>
          <w:kern w:val="0"/>
          <w:sz w:val="24"/>
          <w:highlight w:val="none"/>
        </w:rPr>
        <w:t>5</w:t>
      </w:r>
      <w:r>
        <w:rPr>
          <w:rFonts w:hint="eastAsia" w:ascii="宋体" w:hAnsi="宋体"/>
          <w:b/>
          <w:bCs/>
          <w:color w:val="auto"/>
          <w:kern w:val="0"/>
          <w:sz w:val="24"/>
          <w:highlight w:val="none"/>
        </w:rPr>
        <w:t>人身防护措施</w:t>
      </w:r>
    </w:p>
    <w:p w14:paraId="644B215C">
      <w:pPr>
        <w:spacing w:line="360" w:lineRule="auto"/>
        <w:ind w:firstLine="480"/>
        <w:rPr>
          <w:rFonts w:ascii="宋体" w:hAnsi="宋体"/>
          <w:color w:val="auto"/>
          <w:sz w:val="24"/>
          <w:highlight w:val="none"/>
        </w:rPr>
      </w:pPr>
      <w:r>
        <w:rPr>
          <w:rFonts w:hint="eastAsia" w:ascii="宋体" w:hAnsi="宋体"/>
          <w:color w:val="auto"/>
          <w:sz w:val="24"/>
          <w:highlight w:val="none"/>
        </w:rPr>
        <w:t>（1）各操作平台、梯子等设有护栏以保证操作人员安全。</w:t>
      </w:r>
    </w:p>
    <w:p w14:paraId="17E0DB35">
      <w:pPr>
        <w:spacing w:line="360" w:lineRule="auto"/>
        <w:ind w:firstLine="480"/>
        <w:rPr>
          <w:rFonts w:ascii="宋体" w:hAnsi="宋体"/>
          <w:color w:val="auto"/>
          <w:sz w:val="24"/>
          <w:highlight w:val="none"/>
        </w:rPr>
      </w:pPr>
      <w:r>
        <w:rPr>
          <w:rFonts w:hint="eastAsia" w:ascii="宋体" w:hAnsi="宋体"/>
          <w:color w:val="auto"/>
          <w:sz w:val="24"/>
          <w:highlight w:val="none"/>
        </w:rPr>
        <w:t>（2）在各主要生产厂房设有事故淋浴冲洗（洗眼器）装置。</w:t>
      </w:r>
    </w:p>
    <w:p w14:paraId="793E4DC4">
      <w:pPr>
        <w:spacing w:line="360" w:lineRule="auto"/>
        <w:ind w:firstLine="480"/>
        <w:rPr>
          <w:rFonts w:ascii="宋体" w:hAnsi="宋体"/>
          <w:color w:val="auto"/>
          <w:sz w:val="24"/>
          <w:highlight w:val="none"/>
        </w:rPr>
      </w:pPr>
      <w:r>
        <w:rPr>
          <w:rFonts w:hint="eastAsia" w:ascii="宋体" w:hAnsi="宋体"/>
          <w:color w:val="auto"/>
          <w:sz w:val="24"/>
          <w:highlight w:val="none"/>
        </w:rPr>
        <w:t>（3）所有压力容器严格按国家劳动部门颁发的《压力容器安全技术监察规程》设计、制造、管理。</w:t>
      </w:r>
    </w:p>
    <w:p w14:paraId="55EEE56A">
      <w:pPr>
        <w:spacing w:line="360" w:lineRule="auto"/>
        <w:rPr>
          <w:rFonts w:ascii="宋体" w:hAnsi="宋体"/>
          <w:color w:val="auto"/>
          <w:sz w:val="24"/>
          <w:highlight w:val="none"/>
        </w:rPr>
      </w:pPr>
      <w:r>
        <w:rPr>
          <w:rFonts w:hint="eastAsia" w:ascii="宋体" w:hAnsi="宋体"/>
          <w:color w:val="auto"/>
          <w:sz w:val="24"/>
          <w:highlight w:val="none"/>
        </w:rPr>
        <w:t>2.7抗震</w:t>
      </w:r>
    </w:p>
    <w:p w14:paraId="59B3F819">
      <w:pPr>
        <w:spacing w:line="360" w:lineRule="auto"/>
        <w:ind w:firstLine="480"/>
        <w:rPr>
          <w:rFonts w:ascii="宋体" w:hAnsi="宋体"/>
          <w:b/>
          <w:color w:val="auto"/>
          <w:sz w:val="24"/>
          <w:highlight w:val="none"/>
        </w:rPr>
      </w:pPr>
      <w:r>
        <w:rPr>
          <w:rFonts w:hint="eastAsia" w:ascii="宋体" w:hAnsi="宋体"/>
          <w:color w:val="auto"/>
          <w:sz w:val="24"/>
          <w:highlight w:val="none"/>
        </w:rPr>
        <w:t>按《建筑抗震设计规范》（GB50011-2010）（2016年版）、《建筑抗震设防分类标准》（GB50223-2008），本工程所在衢州市抗震设防烈度6度，设计基本地震加速度值0.05g，所涉及的建构筑物按抗震设计。</w:t>
      </w:r>
    </w:p>
    <w:bookmarkEnd w:id="189"/>
    <w:bookmarkEnd w:id="190"/>
    <w:bookmarkEnd w:id="191"/>
    <w:p w14:paraId="5502E5E8">
      <w:pPr>
        <w:adjustRightInd w:val="0"/>
        <w:snapToGrid w:val="0"/>
        <w:spacing w:line="360" w:lineRule="auto"/>
        <w:rPr>
          <w:rFonts w:ascii="宋体" w:hAnsi="宋体"/>
          <w:b/>
          <w:color w:val="auto"/>
          <w:sz w:val="24"/>
          <w:highlight w:val="none"/>
        </w:rPr>
      </w:pPr>
      <w:bookmarkStart w:id="258" w:name="_Toc221550516"/>
      <w:bookmarkEnd w:id="258"/>
      <w:bookmarkStart w:id="259" w:name="_Toc221550514"/>
      <w:bookmarkEnd w:id="259"/>
      <w:bookmarkStart w:id="260" w:name="_Toc221550512"/>
      <w:bookmarkEnd w:id="260"/>
      <w:bookmarkStart w:id="261" w:name="_Toc221550517"/>
      <w:bookmarkEnd w:id="261"/>
      <w:bookmarkStart w:id="262" w:name="1"/>
      <w:bookmarkEnd w:id="262"/>
      <w:bookmarkStart w:id="263" w:name="_Toc221550511"/>
      <w:bookmarkEnd w:id="263"/>
      <w:bookmarkStart w:id="264" w:name="_Toc221550515"/>
      <w:bookmarkEnd w:id="264"/>
      <w:bookmarkStart w:id="265" w:name="_Toc21740"/>
      <w:bookmarkStart w:id="266" w:name="_Ref167005121"/>
      <w:bookmarkStart w:id="267" w:name="_Toc2100"/>
      <w:bookmarkStart w:id="268" w:name="_Toc275700323"/>
      <w:bookmarkStart w:id="269" w:name="_Toc388520308"/>
      <w:bookmarkStart w:id="270" w:name="_Ref275617519"/>
      <w:r>
        <w:rPr>
          <w:rFonts w:hint="eastAsia" w:ascii="宋体" w:hAnsi="宋体"/>
          <w:b/>
          <w:color w:val="auto"/>
          <w:sz w:val="24"/>
          <w:highlight w:val="none"/>
        </w:rPr>
        <w:t>3 设备、材料采购</w:t>
      </w:r>
    </w:p>
    <w:p w14:paraId="238584F6">
      <w:pPr>
        <w:snapToGrid w:val="0"/>
        <w:spacing w:line="360" w:lineRule="auto"/>
        <w:rPr>
          <w:rFonts w:ascii="宋体" w:hAnsi="宋体"/>
          <w:b/>
          <w:color w:val="auto"/>
          <w:sz w:val="24"/>
          <w:highlight w:val="none"/>
        </w:rPr>
      </w:pPr>
      <w:r>
        <w:rPr>
          <w:rFonts w:hint="eastAsia" w:ascii="宋体" w:hAnsi="宋体"/>
          <w:b/>
          <w:color w:val="auto"/>
          <w:sz w:val="24"/>
          <w:highlight w:val="none"/>
        </w:rPr>
        <w:t>3.1 采购范围</w:t>
      </w:r>
    </w:p>
    <w:p w14:paraId="4F1604D5">
      <w:pPr>
        <w:snapToGrid w:val="0"/>
        <w:spacing w:line="360" w:lineRule="auto"/>
        <w:ind w:firstLine="420"/>
        <w:rPr>
          <w:rFonts w:ascii="宋体" w:hAnsi="宋体"/>
          <w:color w:val="auto"/>
          <w:sz w:val="24"/>
          <w:highlight w:val="none"/>
        </w:rPr>
      </w:pPr>
      <w:r>
        <w:rPr>
          <w:rFonts w:hint="eastAsia" w:ascii="宋体" w:hAnsi="宋体"/>
          <w:color w:val="auto"/>
          <w:sz w:val="24"/>
          <w:highlight w:val="none"/>
        </w:rPr>
        <w:t>本项目设计范围的所有设备（含工艺设备、电气设备、自控设备）、材料</w:t>
      </w:r>
    </w:p>
    <w:p w14:paraId="11FE8FEE">
      <w:pPr>
        <w:snapToGrid w:val="0"/>
        <w:spacing w:line="360" w:lineRule="auto"/>
        <w:rPr>
          <w:rFonts w:ascii="宋体" w:hAnsi="宋体"/>
          <w:b/>
          <w:color w:val="auto"/>
          <w:sz w:val="24"/>
          <w:highlight w:val="none"/>
        </w:rPr>
      </w:pPr>
      <w:r>
        <w:rPr>
          <w:rFonts w:hint="eastAsia" w:ascii="宋体" w:hAnsi="宋体"/>
          <w:b/>
          <w:color w:val="auto"/>
          <w:sz w:val="24"/>
          <w:highlight w:val="none"/>
        </w:rPr>
        <w:t>3.2 工艺设备制造及采购</w:t>
      </w:r>
    </w:p>
    <w:bookmarkEnd w:id="265"/>
    <w:bookmarkEnd w:id="266"/>
    <w:bookmarkEnd w:id="267"/>
    <w:bookmarkEnd w:id="268"/>
    <w:bookmarkEnd w:id="269"/>
    <w:bookmarkEnd w:id="270"/>
    <w:p w14:paraId="06742BBF">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3.2.</w:t>
      </w:r>
      <w:r>
        <w:rPr>
          <w:rFonts w:ascii="宋体" w:hAnsi="宋体"/>
          <w:b/>
          <w:color w:val="auto"/>
          <w:sz w:val="24"/>
          <w:highlight w:val="none"/>
        </w:rPr>
        <w:t>1</w:t>
      </w:r>
      <w:r>
        <w:rPr>
          <w:rFonts w:hint="eastAsia" w:ascii="宋体" w:hAnsi="宋体"/>
          <w:b/>
          <w:color w:val="auto"/>
          <w:sz w:val="24"/>
          <w:highlight w:val="none"/>
        </w:rPr>
        <w:t xml:space="preserve"> 工艺设备采购原则</w:t>
      </w:r>
    </w:p>
    <w:p w14:paraId="6F88B719">
      <w:pPr>
        <w:adjustRightInd w:val="0"/>
        <w:snapToGrid w:val="0"/>
        <w:spacing w:line="360" w:lineRule="auto"/>
        <w:rPr>
          <w:rFonts w:ascii="宋体" w:hAnsi="宋体"/>
          <w:b/>
          <w:color w:val="auto"/>
          <w:kern w:val="0"/>
          <w:sz w:val="24"/>
          <w:highlight w:val="none"/>
        </w:rPr>
      </w:pPr>
      <w:r>
        <w:rPr>
          <w:rFonts w:ascii="宋体" w:hAnsi="宋体"/>
          <w:b/>
          <w:color w:val="auto"/>
          <w:sz w:val="24"/>
          <w:highlight w:val="none"/>
        </w:rPr>
        <w:t>*</w:t>
      </w:r>
      <w:r>
        <w:rPr>
          <w:rFonts w:hint="eastAsia" w:ascii="宋体" w:hAnsi="宋体"/>
          <w:b/>
          <w:color w:val="auto"/>
          <w:kern w:val="0"/>
          <w:sz w:val="24"/>
          <w:highlight w:val="none"/>
        </w:rPr>
        <w:t>3.2.</w:t>
      </w:r>
      <w:r>
        <w:rPr>
          <w:rFonts w:ascii="宋体" w:hAnsi="宋体"/>
          <w:b/>
          <w:color w:val="auto"/>
          <w:kern w:val="0"/>
          <w:sz w:val="24"/>
          <w:highlight w:val="none"/>
        </w:rPr>
        <w:t>1</w:t>
      </w:r>
      <w:r>
        <w:rPr>
          <w:rFonts w:hint="eastAsia" w:ascii="宋体" w:hAnsi="宋体"/>
          <w:b/>
          <w:color w:val="auto"/>
          <w:kern w:val="0"/>
          <w:sz w:val="24"/>
          <w:highlight w:val="none"/>
        </w:rPr>
        <w:t>.1非标设备主要材料品牌及厂家</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5"/>
        <w:gridCol w:w="1862"/>
        <w:gridCol w:w="6048"/>
      </w:tblGrid>
      <w:tr w14:paraId="22CBC0D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685" w:type="dxa"/>
            <w:tcBorders>
              <w:top w:val="single" w:color="auto" w:sz="4" w:space="0"/>
              <w:left w:val="single" w:color="auto" w:sz="4" w:space="0"/>
              <w:bottom w:val="single" w:color="auto" w:sz="6" w:space="0"/>
              <w:right w:val="single" w:color="auto" w:sz="6" w:space="0"/>
            </w:tcBorders>
            <w:vAlign w:val="center"/>
          </w:tcPr>
          <w:p w14:paraId="6B745D86">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序号</w:t>
            </w:r>
          </w:p>
        </w:tc>
        <w:tc>
          <w:tcPr>
            <w:tcW w:w="1862" w:type="dxa"/>
            <w:tcBorders>
              <w:top w:val="single" w:color="auto" w:sz="4" w:space="0"/>
              <w:left w:val="single" w:color="auto" w:sz="6" w:space="0"/>
              <w:bottom w:val="single" w:color="auto" w:sz="6" w:space="0"/>
              <w:right w:val="single" w:color="auto" w:sz="6" w:space="0"/>
            </w:tcBorders>
            <w:vAlign w:val="center"/>
          </w:tcPr>
          <w:p w14:paraId="1AC75AF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设备名称</w:t>
            </w:r>
          </w:p>
        </w:tc>
        <w:tc>
          <w:tcPr>
            <w:tcW w:w="6048" w:type="dxa"/>
            <w:tcBorders>
              <w:top w:val="single" w:color="auto" w:sz="4" w:space="0"/>
              <w:left w:val="single" w:color="auto" w:sz="6" w:space="0"/>
              <w:bottom w:val="single" w:color="auto" w:sz="6" w:space="0"/>
              <w:right w:val="single" w:color="auto" w:sz="4" w:space="0"/>
            </w:tcBorders>
            <w:vAlign w:val="center"/>
          </w:tcPr>
          <w:p w14:paraId="53FAF04C">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厂家及品牌（或相同同档次以上）</w:t>
            </w:r>
          </w:p>
        </w:tc>
      </w:tr>
      <w:tr w14:paraId="72F5BA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685" w:type="dxa"/>
            <w:tcBorders>
              <w:top w:val="single" w:color="auto" w:sz="6" w:space="0"/>
              <w:left w:val="single" w:color="auto" w:sz="4" w:space="0"/>
              <w:bottom w:val="single" w:color="auto" w:sz="6" w:space="0"/>
              <w:right w:val="single" w:color="auto" w:sz="6" w:space="0"/>
            </w:tcBorders>
            <w:vAlign w:val="center"/>
          </w:tcPr>
          <w:p w14:paraId="3907AC59">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1</w:t>
            </w:r>
          </w:p>
        </w:tc>
        <w:tc>
          <w:tcPr>
            <w:tcW w:w="1862" w:type="dxa"/>
            <w:tcBorders>
              <w:top w:val="single" w:color="auto" w:sz="6" w:space="0"/>
              <w:left w:val="single" w:color="auto" w:sz="6" w:space="0"/>
              <w:bottom w:val="single" w:color="auto" w:sz="6" w:space="0"/>
              <w:right w:val="single" w:color="auto" w:sz="6" w:space="0"/>
            </w:tcBorders>
            <w:vAlign w:val="center"/>
          </w:tcPr>
          <w:p w14:paraId="7DBA25CC">
            <w:pPr>
              <w:adjustRightInd w:val="0"/>
              <w:snapToGrid w:val="0"/>
              <w:spacing w:line="360" w:lineRule="auto"/>
              <w:ind w:firstLine="720" w:firstLineChars="300"/>
              <w:rPr>
                <w:rFonts w:ascii="宋体" w:hAnsi="宋体"/>
                <w:color w:val="auto"/>
                <w:kern w:val="0"/>
                <w:sz w:val="24"/>
                <w:highlight w:val="none"/>
              </w:rPr>
            </w:pPr>
            <w:r>
              <w:rPr>
                <w:rFonts w:hint="eastAsia" w:ascii="宋体" w:hAnsi="宋体"/>
                <w:color w:val="auto"/>
                <w:kern w:val="0"/>
                <w:sz w:val="24"/>
                <w:highlight w:val="none"/>
              </w:rPr>
              <w:t>锻件</w:t>
            </w:r>
          </w:p>
        </w:tc>
        <w:tc>
          <w:tcPr>
            <w:tcW w:w="6048" w:type="dxa"/>
            <w:tcBorders>
              <w:top w:val="single" w:color="auto" w:sz="6" w:space="0"/>
              <w:left w:val="single" w:color="auto" w:sz="6" w:space="0"/>
              <w:bottom w:val="single" w:color="auto" w:sz="6" w:space="0"/>
              <w:right w:val="single" w:color="auto" w:sz="4" w:space="0"/>
            </w:tcBorders>
            <w:vAlign w:val="center"/>
          </w:tcPr>
          <w:p w14:paraId="3F9DE6E5">
            <w:pPr>
              <w:rPr>
                <w:color w:val="auto"/>
                <w:sz w:val="24"/>
                <w:highlight w:val="none"/>
              </w:rPr>
            </w:pPr>
            <w:r>
              <w:rPr>
                <w:rFonts w:hint="eastAsia"/>
                <w:color w:val="auto"/>
                <w:sz w:val="24"/>
                <w:highlight w:val="none"/>
              </w:rPr>
              <w:t>江苏圣贤锻造有限责任公司、无锡宏达重工股份有限公司、宜兴市万华法兰锻造有限公司、山西恒冠重工集团有限公司</w:t>
            </w:r>
          </w:p>
        </w:tc>
      </w:tr>
      <w:tr w14:paraId="3D27C75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685" w:type="dxa"/>
            <w:tcBorders>
              <w:top w:val="single" w:color="auto" w:sz="6" w:space="0"/>
              <w:left w:val="single" w:color="auto" w:sz="4" w:space="0"/>
              <w:bottom w:val="single" w:color="auto" w:sz="6" w:space="0"/>
              <w:right w:val="single" w:color="auto" w:sz="6" w:space="0"/>
            </w:tcBorders>
            <w:vAlign w:val="center"/>
          </w:tcPr>
          <w:p w14:paraId="228117F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2</w:t>
            </w:r>
          </w:p>
        </w:tc>
        <w:tc>
          <w:tcPr>
            <w:tcW w:w="1862" w:type="dxa"/>
            <w:tcBorders>
              <w:top w:val="single" w:color="auto" w:sz="6" w:space="0"/>
              <w:left w:val="single" w:color="auto" w:sz="6" w:space="0"/>
              <w:bottom w:val="single" w:color="auto" w:sz="6" w:space="0"/>
              <w:right w:val="single" w:color="auto" w:sz="6" w:space="0"/>
            </w:tcBorders>
            <w:vAlign w:val="center"/>
          </w:tcPr>
          <w:p w14:paraId="70628324">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不锈钢板材</w:t>
            </w:r>
          </w:p>
        </w:tc>
        <w:tc>
          <w:tcPr>
            <w:tcW w:w="6048" w:type="dxa"/>
            <w:tcBorders>
              <w:top w:val="single" w:color="auto" w:sz="6" w:space="0"/>
              <w:left w:val="single" w:color="auto" w:sz="6" w:space="0"/>
              <w:bottom w:val="single" w:color="auto" w:sz="6" w:space="0"/>
              <w:right w:val="single" w:color="auto" w:sz="4" w:space="0"/>
            </w:tcBorders>
            <w:vAlign w:val="center"/>
          </w:tcPr>
          <w:p w14:paraId="4A6556BB">
            <w:pPr>
              <w:rPr>
                <w:color w:val="auto"/>
                <w:sz w:val="24"/>
                <w:highlight w:val="none"/>
              </w:rPr>
            </w:pPr>
            <w:r>
              <w:rPr>
                <w:rFonts w:hint="eastAsia"/>
                <w:color w:val="auto"/>
                <w:sz w:val="24"/>
                <w:highlight w:val="none"/>
              </w:rPr>
              <w:t>山西太钢不锈钢股份有限公司、宝钢宝山钢铁股份有限公司、甘肃酒钢集团宏兴钢铁股份有限公司、浦项张家港不锈钢股份有限公司</w:t>
            </w:r>
          </w:p>
        </w:tc>
      </w:tr>
      <w:tr w14:paraId="32EB6E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685" w:type="dxa"/>
            <w:tcBorders>
              <w:top w:val="single" w:color="auto" w:sz="6" w:space="0"/>
              <w:left w:val="single" w:color="auto" w:sz="4" w:space="0"/>
              <w:bottom w:val="single" w:color="auto" w:sz="6" w:space="0"/>
              <w:right w:val="single" w:color="auto" w:sz="6" w:space="0"/>
            </w:tcBorders>
            <w:vAlign w:val="center"/>
          </w:tcPr>
          <w:p w14:paraId="14CC7C12">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3</w:t>
            </w:r>
          </w:p>
        </w:tc>
        <w:tc>
          <w:tcPr>
            <w:tcW w:w="1862" w:type="dxa"/>
            <w:tcBorders>
              <w:top w:val="single" w:color="auto" w:sz="6" w:space="0"/>
              <w:left w:val="single" w:color="auto" w:sz="6" w:space="0"/>
              <w:bottom w:val="single" w:color="auto" w:sz="6" w:space="0"/>
              <w:right w:val="single" w:color="auto" w:sz="6" w:space="0"/>
            </w:tcBorders>
            <w:vAlign w:val="center"/>
          </w:tcPr>
          <w:p w14:paraId="0626C765">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不锈钢换热管</w:t>
            </w:r>
          </w:p>
        </w:tc>
        <w:tc>
          <w:tcPr>
            <w:tcW w:w="6048" w:type="dxa"/>
            <w:tcBorders>
              <w:top w:val="single" w:color="auto" w:sz="6" w:space="0"/>
              <w:left w:val="single" w:color="auto" w:sz="6" w:space="0"/>
              <w:bottom w:val="single" w:color="auto" w:sz="6" w:space="0"/>
              <w:right w:val="single" w:color="auto" w:sz="4" w:space="0"/>
            </w:tcBorders>
            <w:vAlign w:val="center"/>
          </w:tcPr>
          <w:p w14:paraId="26596ED2">
            <w:pPr>
              <w:rPr>
                <w:color w:val="auto"/>
                <w:sz w:val="24"/>
                <w:highlight w:val="none"/>
              </w:rPr>
            </w:pPr>
            <w:r>
              <w:rPr>
                <w:rFonts w:hint="eastAsia"/>
                <w:color w:val="auto"/>
                <w:sz w:val="24"/>
                <w:highlight w:val="none"/>
              </w:rPr>
              <w:t>浙江久立特材科技股份有限公司、江苏银环精密钢管有限公司、</w:t>
            </w:r>
          </w:p>
          <w:p w14:paraId="0602FBD3">
            <w:pPr>
              <w:rPr>
                <w:color w:val="auto"/>
                <w:sz w:val="24"/>
                <w:highlight w:val="none"/>
              </w:rPr>
            </w:pPr>
            <w:r>
              <w:rPr>
                <w:rFonts w:hint="eastAsia"/>
                <w:color w:val="auto"/>
                <w:sz w:val="24"/>
                <w:highlight w:val="none"/>
              </w:rPr>
              <w:t>山西太钢不锈钢股份有限公司</w:t>
            </w:r>
          </w:p>
        </w:tc>
      </w:tr>
      <w:tr w14:paraId="12CBCA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685" w:type="dxa"/>
            <w:tcBorders>
              <w:top w:val="single" w:color="auto" w:sz="6" w:space="0"/>
              <w:left w:val="single" w:color="auto" w:sz="4" w:space="0"/>
              <w:bottom w:val="single" w:color="auto" w:sz="6" w:space="0"/>
              <w:right w:val="single" w:color="auto" w:sz="6" w:space="0"/>
            </w:tcBorders>
            <w:vAlign w:val="center"/>
          </w:tcPr>
          <w:p w14:paraId="4A2E32D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4</w:t>
            </w:r>
          </w:p>
        </w:tc>
        <w:tc>
          <w:tcPr>
            <w:tcW w:w="1862" w:type="dxa"/>
            <w:tcBorders>
              <w:top w:val="single" w:color="auto" w:sz="6" w:space="0"/>
              <w:left w:val="single" w:color="auto" w:sz="6" w:space="0"/>
              <w:bottom w:val="single" w:color="auto" w:sz="6" w:space="0"/>
              <w:right w:val="single" w:color="auto" w:sz="6" w:space="0"/>
            </w:tcBorders>
            <w:vAlign w:val="center"/>
          </w:tcPr>
          <w:p w14:paraId="0DE2EFB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碳钢板材</w:t>
            </w:r>
          </w:p>
        </w:tc>
        <w:tc>
          <w:tcPr>
            <w:tcW w:w="6048" w:type="dxa"/>
            <w:tcBorders>
              <w:top w:val="single" w:color="auto" w:sz="6" w:space="0"/>
              <w:left w:val="single" w:color="auto" w:sz="6" w:space="0"/>
              <w:bottom w:val="single" w:color="auto" w:sz="6" w:space="0"/>
              <w:right w:val="single" w:color="auto" w:sz="4" w:space="0"/>
            </w:tcBorders>
            <w:vAlign w:val="center"/>
          </w:tcPr>
          <w:p w14:paraId="351A6DB6">
            <w:pPr>
              <w:rPr>
                <w:color w:val="auto"/>
                <w:sz w:val="24"/>
                <w:highlight w:val="none"/>
              </w:rPr>
            </w:pPr>
            <w:r>
              <w:rPr>
                <w:rFonts w:hint="eastAsia"/>
                <w:color w:val="auto"/>
                <w:sz w:val="24"/>
                <w:highlight w:val="none"/>
              </w:rPr>
              <w:t>南京钢铁股份有限公司、</w:t>
            </w:r>
            <w:r>
              <w:rPr>
                <w:rFonts w:hint="eastAsia" w:ascii="宋体" w:hAnsi="宋体"/>
                <w:color w:val="auto"/>
                <w:sz w:val="24"/>
                <w:highlight w:val="none"/>
              </w:rPr>
              <w:t>马鞍山钢铁股份有限公司</w:t>
            </w:r>
            <w:r>
              <w:rPr>
                <w:rFonts w:hint="eastAsia" w:ascii="宋体" w:hAnsi="宋体"/>
                <w:color w:val="auto"/>
                <w:kern w:val="0"/>
                <w:sz w:val="24"/>
                <w:highlight w:val="none"/>
              </w:rPr>
              <w:t>、</w:t>
            </w:r>
            <w:r>
              <w:rPr>
                <w:rFonts w:hint="eastAsia"/>
                <w:color w:val="auto"/>
                <w:sz w:val="24"/>
                <w:highlight w:val="none"/>
              </w:rPr>
              <w:t>江西新余钢铁股份有限公司、湖南华菱湘潭钢铁有限公司</w:t>
            </w:r>
          </w:p>
        </w:tc>
      </w:tr>
      <w:tr w14:paraId="0E8F83E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865" w:hRule="atLeast"/>
          <w:jc w:val="center"/>
        </w:trPr>
        <w:tc>
          <w:tcPr>
            <w:tcW w:w="685" w:type="dxa"/>
            <w:tcBorders>
              <w:top w:val="single" w:color="auto" w:sz="6" w:space="0"/>
              <w:left w:val="single" w:color="auto" w:sz="4" w:space="0"/>
              <w:bottom w:val="single" w:color="auto" w:sz="6" w:space="0"/>
              <w:right w:val="single" w:color="auto" w:sz="6" w:space="0"/>
            </w:tcBorders>
            <w:vAlign w:val="center"/>
          </w:tcPr>
          <w:p w14:paraId="39754E6E">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5</w:t>
            </w:r>
          </w:p>
        </w:tc>
        <w:tc>
          <w:tcPr>
            <w:tcW w:w="1862" w:type="dxa"/>
            <w:tcBorders>
              <w:top w:val="single" w:color="auto" w:sz="6" w:space="0"/>
              <w:left w:val="single" w:color="auto" w:sz="6" w:space="0"/>
              <w:bottom w:val="single" w:color="auto" w:sz="6" w:space="0"/>
              <w:right w:val="single" w:color="auto" w:sz="6" w:space="0"/>
            </w:tcBorders>
            <w:vAlign w:val="center"/>
          </w:tcPr>
          <w:p w14:paraId="653CACB9">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碳钢换热管</w:t>
            </w:r>
          </w:p>
        </w:tc>
        <w:tc>
          <w:tcPr>
            <w:tcW w:w="6048" w:type="dxa"/>
            <w:tcBorders>
              <w:top w:val="single" w:color="auto" w:sz="6" w:space="0"/>
              <w:left w:val="single" w:color="auto" w:sz="6" w:space="0"/>
              <w:bottom w:val="single" w:color="auto" w:sz="6" w:space="0"/>
              <w:right w:val="single" w:color="auto" w:sz="4" w:space="0"/>
            </w:tcBorders>
            <w:vAlign w:val="center"/>
          </w:tcPr>
          <w:p w14:paraId="439A9563">
            <w:pPr>
              <w:rPr>
                <w:color w:val="auto"/>
                <w:sz w:val="24"/>
                <w:highlight w:val="none"/>
              </w:rPr>
            </w:pPr>
            <w:r>
              <w:rPr>
                <w:rFonts w:hint="eastAsia"/>
                <w:color w:val="auto"/>
                <w:sz w:val="24"/>
                <w:highlight w:val="none"/>
              </w:rPr>
              <w:t>常熟市无缝钢管有限公司、无锡东群钢管有限公司、</w:t>
            </w:r>
            <w:r>
              <w:rPr>
                <w:rFonts w:hint="eastAsia" w:ascii="宋体" w:hAnsi="宋体"/>
                <w:color w:val="auto"/>
                <w:sz w:val="24"/>
                <w:highlight w:val="none"/>
              </w:rPr>
              <w:t>大连羽田钢管有限公司</w:t>
            </w:r>
          </w:p>
        </w:tc>
      </w:tr>
      <w:tr w14:paraId="17E6E72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685" w:type="dxa"/>
            <w:tcBorders>
              <w:top w:val="single" w:color="auto" w:sz="6" w:space="0"/>
              <w:left w:val="single" w:color="auto" w:sz="4" w:space="0"/>
              <w:bottom w:val="single" w:color="auto" w:sz="4" w:space="0"/>
              <w:right w:val="single" w:color="auto" w:sz="6" w:space="0"/>
            </w:tcBorders>
            <w:vAlign w:val="center"/>
          </w:tcPr>
          <w:p w14:paraId="794FF121">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6</w:t>
            </w:r>
          </w:p>
        </w:tc>
        <w:tc>
          <w:tcPr>
            <w:tcW w:w="1862" w:type="dxa"/>
            <w:tcBorders>
              <w:top w:val="single" w:color="auto" w:sz="6" w:space="0"/>
              <w:left w:val="single" w:color="auto" w:sz="6" w:space="0"/>
              <w:bottom w:val="single" w:color="auto" w:sz="4" w:space="0"/>
              <w:right w:val="single" w:color="auto" w:sz="6" w:space="0"/>
            </w:tcBorders>
            <w:vAlign w:val="center"/>
          </w:tcPr>
          <w:p w14:paraId="05763568">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复合板</w:t>
            </w:r>
          </w:p>
        </w:tc>
        <w:tc>
          <w:tcPr>
            <w:tcW w:w="6048" w:type="dxa"/>
            <w:tcBorders>
              <w:top w:val="single" w:color="auto" w:sz="6" w:space="0"/>
              <w:left w:val="single" w:color="auto" w:sz="6" w:space="0"/>
              <w:bottom w:val="single" w:color="auto" w:sz="4" w:space="0"/>
              <w:right w:val="single" w:color="auto" w:sz="4" w:space="0"/>
            </w:tcBorders>
            <w:vAlign w:val="center"/>
          </w:tcPr>
          <w:p w14:paraId="7C49247D">
            <w:pPr>
              <w:rPr>
                <w:color w:val="auto"/>
                <w:sz w:val="24"/>
                <w:highlight w:val="none"/>
              </w:rPr>
            </w:pPr>
            <w:r>
              <w:rPr>
                <w:rFonts w:hint="eastAsia"/>
                <w:color w:val="auto"/>
                <w:sz w:val="24"/>
                <w:highlight w:val="none"/>
              </w:rPr>
              <w:t>南京宝泰特种材料股份有限公司、黄山顺钛新材料有限公司、</w:t>
            </w:r>
          </w:p>
          <w:p w14:paraId="6C54FB54">
            <w:pPr>
              <w:rPr>
                <w:color w:val="auto"/>
                <w:sz w:val="24"/>
                <w:highlight w:val="none"/>
              </w:rPr>
            </w:pPr>
            <w:r>
              <w:rPr>
                <w:rFonts w:hint="eastAsia"/>
                <w:color w:val="auto"/>
                <w:sz w:val="24"/>
                <w:highlight w:val="none"/>
              </w:rPr>
              <w:t>四川惊雷科技股份有限公司、郑州宇光复合材料有限公司</w:t>
            </w:r>
          </w:p>
          <w:p w14:paraId="3DCD79A4">
            <w:pPr>
              <w:rPr>
                <w:color w:val="auto"/>
                <w:sz w:val="24"/>
                <w:highlight w:val="none"/>
              </w:rPr>
            </w:pPr>
          </w:p>
        </w:tc>
      </w:tr>
    </w:tbl>
    <w:p w14:paraId="01FB62EE">
      <w:pPr>
        <w:adjustRightInd w:val="0"/>
        <w:snapToGrid w:val="0"/>
        <w:spacing w:line="360" w:lineRule="auto"/>
        <w:rPr>
          <w:rFonts w:ascii="宋体" w:hAnsi="宋体"/>
          <w:b/>
          <w:color w:val="auto"/>
          <w:sz w:val="24"/>
          <w:highlight w:val="none"/>
        </w:rPr>
      </w:pPr>
      <w:r>
        <w:rPr>
          <w:rFonts w:ascii="宋体" w:hAnsi="宋体"/>
          <w:b/>
          <w:color w:val="auto"/>
          <w:sz w:val="24"/>
          <w:highlight w:val="none"/>
        </w:rPr>
        <w:t>*</w:t>
      </w:r>
      <w:r>
        <w:rPr>
          <w:rFonts w:hint="eastAsia" w:ascii="宋体" w:hAnsi="宋体"/>
          <w:b/>
          <w:color w:val="auto"/>
          <w:sz w:val="24"/>
          <w:highlight w:val="none"/>
        </w:rPr>
        <w:t>3.2.</w:t>
      </w:r>
      <w:r>
        <w:rPr>
          <w:rFonts w:ascii="宋体" w:hAnsi="宋体"/>
          <w:b/>
          <w:color w:val="auto"/>
          <w:sz w:val="24"/>
          <w:highlight w:val="none"/>
        </w:rPr>
        <w:t>1</w:t>
      </w:r>
      <w:r>
        <w:rPr>
          <w:rFonts w:hint="eastAsia" w:ascii="宋体" w:hAnsi="宋体"/>
          <w:b/>
          <w:color w:val="auto"/>
          <w:sz w:val="24"/>
          <w:highlight w:val="none"/>
        </w:rPr>
        <w:t>.2 传动设备配套电机厂家推荐</w:t>
      </w:r>
    </w:p>
    <w:p w14:paraId="68FD706A">
      <w:pPr>
        <w:adjustRightInd w:val="0"/>
        <w:snapToGrid w:val="0"/>
        <w:spacing w:line="360" w:lineRule="auto"/>
        <w:ind w:firstLine="470" w:firstLineChars="196"/>
        <w:rPr>
          <w:rFonts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、卧龙电气南阳防爆集团股份有限公司</w:t>
      </w:r>
    </w:p>
    <w:p w14:paraId="3FFCB2F3">
      <w:pPr>
        <w:adjustRightInd w:val="0"/>
        <w:snapToGrid w:val="0"/>
        <w:spacing w:line="360" w:lineRule="auto"/>
        <w:ind w:firstLine="470" w:firstLineChars="196"/>
        <w:rPr>
          <w:rFonts w:ascii="宋体" w:hAnsi="宋体"/>
          <w:color w:val="auto"/>
          <w:sz w:val="24"/>
          <w:highlight w:val="none"/>
        </w:rPr>
      </w:pPr>
      <w:r>
        <w:rPr>
          <w:rFonts w:ascii="宋体" w:hAnsi="宋体"/>
          <w:color w:val="auto"/>
          <w:sz w:val="24"/>
          <w:highlight w:val="none"/>
        </w:rPr>
        <w:t>2</w:t>
      </w:r>
      <w:r>
        <w:rPr>
          <w:rFonts w:hint="eastAsia" w:ascii="宋体" w:hAnsi="宋体"/>
          <w:color w:val="auto"/>
          <w:sz w:val="24"/>
          <w:highlight w:val="none"/>
        </w:rPr>
        <w:t>、湘潭电机股份有限公司</w:t>
      </w:r>
    </w:p>
    <w:p w14:paraId="7F0AD6DD">
      <w:pPr>
        <w:adjustRightInd w:val="0"/>
        <w:snapToGrid w:val="0"/>
        <w:spacing w:line="360" w:lineRule="auto"/>
        <w:ind w:firstLine="470" w:firstLineChars="196"/>
        <w:rPr>
          <w:rFonts w:ascii="宋体" w:hAnsi="宋体"/>
          <w:color w:val="auto"/>
          <w:sz w:val="24"/>
          <w:highlight w:val="none"/>
        </w:rPr>
      </w:pPr>
      <w:r>
        <w:rPr>
          <w:rFonts w:ascii="宋体" w:hAnsi="宋体"/>
          <w:color w:val="auto"/>
          <w:sz w:val="24"/>
          <w:highlight w:val="none"/>
        </w:rPr>
        <w:t>3</w:t>
      </w:r>
      <w:r>
        <w:rPr>
          <w:rFonts w:hint="eastAsia" w:ascii="宋体" w:hAnsi="宋体"/>
          <w:color w:val="auto"/>
          <w:sz w:val="24"/>
          <w:highlight w:val="none"/>
        </w:rPr>
        <w:t>、无锡东元电机有限公司</w:t>
      </w:r>
    </w:p>
    <w:p w14:paraId="65B85CA3">
      <w:pPr>
        <w:adjustRightInd w:val="0"/>
        <w:snapToGrid w:val="0"/>
        <w:spacing w:line="360" w:lineRule="auto"/>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中小型三相异步电动机能效不低于 GB 18613-20</w:t>
      </w:r>
      <w:r>
        <w:rPr>
          <w:rFonts w:ascii="宋体" w:hAnsi="宋体"/>
          <w:color w:val="auto"/>
          <w:sz w:val="24"/>
          <w:highlight w:val="none"/>
        </w:rPr>
        <w:t>20</w:t>
      </w:r>
      <w:r>
        <w:rPr>
          <w:rFonts w:hint="eastAsia" w:ascii="宋体" w:hAnsi="宋体"/>
          <w:color w:val="auto"/>
          <w:sz w:val="24"/>
          <w:highlight w:val="none"/>
        </w:rPr>
        <w:t>规定的二级能效标准</w:t>
      </w:r>
    </w:p>
    <w:p w14:paraId="266843D6">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高压三相笼型异步电动机能效不低于GB 30254-20</w:t>
      </w:r>
      <w:r>
        <w:rPr>
          <w:rFonts w:ascii="宋体" w:hAnsi="宋体"/>
          <w:color w:val="auto"/>
          <w:sz w:val="24"/>
          <w:highlight w:val="none"/>
        </w:rPr>
        <w:t>20</w:t>
      </w:r>
      <w:r>
        <w:rPr>
          <w:rFonts w:hint="eastAsia" w:ascii="宋体" w:hAnsi="宋体"/>
          <w:color w:val="auto"/>
          <w:sz w:val="24"/>
          <w:highlight w:val="none"/>
        </w:rPr>
        <w:t>规定的二级能效标准</w:t>
      </w:r>
    </w:p>
    <w:p w14:paraId="2AC0EFA1">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要求品牌原产地的电机，不接受收购、兼并、及控股的公司</w:t>
      </w:r>
    </w:p>
    <w:p w14:paraId="0B46CC38">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.2.1.3 设备配套</w:t>
      </w:r>
      <w:r>
        <w:rPr>
          <w:rFonts w:hint="eastAsia" w:ascii="宋体" w:hAnsi="宋体"/>
          <w:color w:val="auto"/>
          <w:sz w:val="24"/>
          <w:highlight w:val="none"/>
        </w:rPr>
        <w:t>齿轮减速机、轴承、机封、气封品牌推荐</w:t>
      </w:r>
    </w:p>
    <w:p w14:paraId="674D7404">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齿轮减速机：</w:t>
      </w:r>
      <w:r>
        <w:rPr>
          <w:rFonts w:hint="eastAsia" w:ascii="宋体" w:hAnsi="宋体"/>
          <w:color w:val="auto"/>
          <w:sz w:val="24"/>
          <w:highlight w:val="none"/>
        </w:rPr>
        <w:tab/>
      </w:r>
      <w:r>
        <w:rPr>
          <w:rFonts w:hint="eastAsia" w:ascii="宋体" w:hAnsi="宋体"/>
          <w:color w:val="auto"/>
          <w:sz w:val="24"/>
          <w:highlight w:val="none"/>
        </w:rPr>
        <w:t>“SUMITOMO”、“SEW”、“NORD”、“ LIGHTNIN”、“EKATO”</w:t>
      </w:r>
    </w:p>
    <w:p w14:paraId="675B06CF">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轴承：</w:t>
      </w:r>
      <w:r>
        <w:rPr>
          <w:rFonts w:hint="eastAsia" w:ascii="宋体" w:hAnsi="宋体"/>
          <w:color w:val="auto"/>
          <w:sz w:val="24"/>
          <w:highlight w:val="none"/>
        </w:rPr>
        <w:tab/>
      </w:r>
      <w:r>
        <w:rPr>
          <w:rFonts w:hint="eastAsia" w:ascii="宋体" w:hAnsi="宋体"/>
          <w:color w:val="auto"/>
          <w:sz w:val="24"/>
          <w:highlight w:val="none"/>
        </w:rPr>
        <w:t>SKF、FAG、NSK</w:t>
      </w:r>
    </w:p>
    <w:p w14:paraId="03528CED">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机封：</w:t>
      </w:r>
      <w:r>
        <w:rPr>
          <w:rFonts w:hint="eastAsia" w:ascii="宋体" w:hAnsi="宋体"/>
          <w:color w:val="auto"/>
          <w:sz w:val="24"/>
          <w:highlight w:val="none"/>
        </w:rPr>
        <w:tab/>
      </w:r>
      <w:r>
        <w:rPr>
          <w:rFonts w:hint="eastAsia" w:ascii="宋体" w:hAnsi="宋体"/>
          <w:color w:val="auto"/>
          <w:sz w:val="24"/>
          <w:highlight w:val="none"/>
        </w:rPr>
        <w:t>“浙江中吉”、“成都化新”“Flowserve”、“John Crane”</w:t>
      </w:r>
    </w:p>
    <w:p w14:paraId="0240B51C">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气封</w:t>
      </w:r>
      <w:r>
        <w:rPr>
          <w:rFonts w:hint="eastAsia" w:ascii="宋体" w:hAnsi="宋体"/>
          <w:color w:val="auto"/>
          <w:sz w:val="24"/>
          <w:highlight w:val="none"/>
        </w:rPr>
        <w:tab/>
      </w:r>
      <w:r>
        <w:rPr>
          <w:rFonts w:hint="eastAsia" w:ascii="宋体" w:hAnsi="宋体"/>
          <w:color w:val="auto"/>
          <w:sz w:val="24"/>
          <w:highlight w:val="none"/>
        </w:rPr>
        <w:t>：“浙江中吉”、“成都一通”</w:t>
      </w:r>
    </w:p>
    <w:p w14:paraId="0D1F8B17">
      <w:pPr>
        <w:adjustRightInd w:val="0"/>
        <w:snapToGrid w:val="0"/>
        <w:spacing w:line="360" w:lineRule="auto"/>
        <w:ind w:firstLine="472" w:firstLineChars="196"/>
        <w:rPr>
          <w:rFonts w:ascii="宋体" w:hAnsi="宋体"/>
          <w:b/>
          <w:color w:val="auto"/>
          <w:sz w:val="24"/>
          <w:highlight w:val="none"/>
        </w:rPr>
      </w:pPr>
      <w:r>
        <w:rPr>
          <w:rFonts w:hint="eastAsia" w:ascii="宋体" w:hAnsi="宋体"/>
          <w:b/>
          <w:color w:val="auto"/>
          <w:sz w:val="24"/>
          <w:highlight w:val="none"/>
        </w:rPr>
        <w:t>3.2.</w:t>
      </w:r>
      <w:r>
        <w:rPr>
          <w:rFonts w:ascii="宋体" w:hAnsi="宋体"/>
          <w:b/>
          <w:color w:val="auto"/>
          <w:sz w:val="24"/>
          <w:highlight w:val="none"/>
        </w:rPr>
        <w:t>1</w:t>
      </w:r>
      <w:r>
        <w:rPr>
          <w:rFonts w:hint="eastAsia" w:ascii="宋体" w:hAnsi="宋体"/>
          <w:b/>
          <w:color w:val="auto"/>
          <w:sz w:val="24"/>
          <w:highlight w:val="none"/>
        </w:rPr>
        <w:t>.</w:t>
      </w:r>
      <w:r>
        <w:rPr>
          <w:rFonts w:ascii="宋体" w:hAnsi="宋体"/>
          <w:b/>
          <w:color w:val="auto"/>
          <w:sz w:val="24"/>
          <w:highlight w:val="none"/>
        </w:rPr>
        <w:t>4</w:t>
      </w:r>
      <w:r>
        <w:rPr>
          <w:rFonts w:hint="eastAsia" w:ascii="宋体" w:hAnsi="宋体"/>
          <w:b/>
          <w:color w:val="auto"/>
          <w:sz w:val="24"/>
          <w:highlight w:val="none"/>
        </w:rPr>
        <w:t>设备采购原则</w:t>
      </w:r>
    </w:p>
    <w:tbl>
      <w:tblPr>
        <w:tblStyle w:val="19"/>
        <w:tblW w:w="0" w:type="auto"/>
        <w:tblInd w:w="607" w:type="dxa"/>
        <w:tblLayout w:type="autofit"/>
        <w:tblCellMar>
          <w:top w:w="0" w:type="dxa"/>
          <w:left w:w="108" w:type="dxa"/>
          <w:bottom w:w="0" w:type="dxa"/>
          <w:right w:w="108" w:type="dxa"/>
        </w:tblCellMar>
      </w:tblPr>
      <w:tblGrid>
        <w:gridCol w:w="749"/>
        <w:gridCol w:w="2154"/>
        <w:gridCol w:w="5103"/>
      </w:tblGrid>
      <w:tr w14:paraId="31EE6095">
        <w:tblPrEx>
          <w:tblCellMar>
            <w:top w:w="0" w:type="dxa"/>
            <w:left w:w="108" w:type="dxa"/>
            <w:bottom w:w="0" w:type="dxa"/>
            <w:right w:w="108" w:type="dxa"/>
          </w:tblCellMar>
        </w:tblPrEx>
        <w:trPr>
          <w:trHeight w:val="359" w:hRule="atLeast"/>
        </w:trPr>
        <w:tc>
          <w:tcPr>
            <w:tcW w:w="74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63D0B5C">
            <w:pPr>
              <w:jc w:val="left"/>
              <w:rPr>
                <w:rFonts w:ascii="宋体" w:hAnsi="宋体" w:cs="宋体"/>
                <w:color w:val="auto"/>
                <w:kern w:val="0"/>
                <w:sz w:val="24"/>
                <w:highlight w:val="none"/>
              </w:rPr>
            </w:pPr>
            <w:r>
              <w:rPr>
                <w:rFonts w:hint="eastAsia" w:ascii="宋体" w:hAnsi="宋体" w:cs="宋体"/>
                <w:color w:val="auto"/>
                <w:kern w:val="0"/>
                <w:sz w:val="24"/>
                <w:highlight w:val="none"/>
              </w:rPr>
              <w:t>序号</w:t>
            </w:r>
          </w:p>
        </w:tc>
        <w:tc>
          <w:tcPr>
            <w:tcW w:w="2154" w:type="dxa"/>
            <w:tcBorders>
              <w:top w:val="single" w:color="auto" w:sz="4" w:space="0"/>
              <w:left w:val="nil"/>
              <w:bottom w:val="single" w:color="auto" w:sz="4" w:space="0"/>
              <w:right w:val="single" w:color="auto" w:sz="4" w:space="0"/>
            </w:tcBorders>
            <w:shd w:val="clear" w:color="000000" w:fill="FFFFFF"/>
            <w:noWrap/>
            <w:vAlign w:val="center"/>
          </w:tcPr>
          <w:p w14:paraId="2D1D37D8">
            <w:pPr>
              <w:jc w:val="left"/>
              <w:rPr>
                <w:rFonts w:ascii="宋体" w:hAnsi="宋体" w:cs="宋体"/>
                <w:color w:val="auto"/>
                <w:kern w:val="0"/>
                <w:sz w:val="24"/>
                <w:highlight w:val="none"/>
              </w:rPr>
            </w:pPr>
            <w:r>
              <w:rPr>
                <w:rFonts w:hint="eastAsia" w:ascii="宋体" w:hAnsi="宋体" w:cs="宋体"/>
                <w:color w:val="auto"/>
                <w:kern w:val="0"/>
                <w:sz w:val="24"/>
                <w:highlight w:val="none"/>
              </w:rPr>
              <w:t>设备名称</w:t>
            </w:r>
          </w:p>
        </w:tc>
        <w:tc>
          <w:tcPr>
            <w:tcW w:w="5103" w:type="dxa"/>
            <w:tcBorders>
              <w:top w:val="single" w:color="auto" w:sz="4" w:space="0"/>
              <w:left w:val="nil"/>
              <w:bottom w:val="single" w:color="auto" w:sz="4" w:space="0"/>
              <w:right w:val="single" w:color="auto" w:sz="4" w:space="0"/>
            </w:tcBorders>
            <w:shd w:val="clear" w:color="000000" w:fill="FFFFFF"/>
            <w:noWrap/>
            <w:vAlign w:val="center"/>
          </w:tcPr>
          <w:p w14:paraId="2E7DF406">
            <w:pPr>
              <w:jc w:val="left"/>
              <w:rPr>
                <w:rFonts w:ascii="宋体" w:hAnsi="宋体" w:cs="宋体"/>
                <w:color w:val="auto"/>
                <w:kern w:val="0"/>
                <w:sz w:val="24"/>
                <w:highlight w:val="none"/>
              </w:rPr>
            </w:pPr>
            <w:r>
              <w:rPr>
                <w:rFonts w:hint="eastAsia" w:ascii="宋体" w:hAnsi="宋体" w:cs="宋体"/>
                <w:color w:val="auto"/>
                <w:kern w:val="0"/>
                <w:sz w:val="24"/>
                <w:highlight w:val="none"/>
              </w:rPr>
              <w:t>供应商</w:t>
            </w:r>
          </w:p>
        </w:tc>
      </w:tr>
      <w:tr w14:paraId="02D223E2">
        <w:tblPrEx>
          <w:tblCellMar>
            <w:top w:w="0" w:type="dxa"/>
            <w:left w:w="108" w:type="dxa"/>
            <w:bottom w:w="0" w:type="dxa"/>
            <w:right w:w="108" w:type="dxa"/>
          </w:tblCellMar>
        </w:tblPrEx>
        <w:trPr>
          <w:trHeight w:val="359" w:hRule="atLeast"/>
        </w:trPr>
        <w:tc>
          <w:tcPr>
            <w:tcW w:w="749" w:type="dxa"/>
            <w:tcBorders>
              <w:top w:val="nil"/>
              <w:left w:val="single" w:color="auto" w:sz="4" w:space="0"/>
              <w:bottom w:val="single" w:color="auto" w:sz="4" w:space="0"/>
              <w:right w:val="single" w:color="auto" w:sz="4" w:space="0"/>
            </w:tcBorders>
            <w:shd w:val="clear" w:color="000000" w:fill="FFFFFF"/>
            <w:noWrap/>
            <w:vAlign w:val="center"/>
          </w:tcPr>
          <w:p w14:paraId="2266773A">
            <w:pPr>
              <w:rPr>
                <w:color w:val="auto"/>
                <w:highlight w:val="none"/>
              </w:rPr>
            </w:pPr>
          </w:p>
        </w:tc>
        <w:tc>
          <w:tcPr>
            <w:tcW w:w="2154" w:type="dxa"/>
            <w:tcBorders>
              <w:top w:val="nil"/>
              <w:left w:val="nil"/>
              <w:bottom w:val="single" w:color="auto" w:sz="4" w:space="0"/>
              <w:right w:val="single" w:color="auto" w:sz="4" w:space="0"/>
            </w:tcBorders>
            <w:shd w:val="clear" w:color="000000" w:fill="FFFFFF"/>
            <w:noWrap/>
            <w:vAlign w:val="center"/>
          </w:tcPr>
          <w:p w14:paraId="2BEB85DA">
            <w:pPr>
              <w:rPr>
                <w:color w:val="auto"/>
                <w:highlight w:val="none"/>
              </w:rPr>
            </w:pPr>
          </w:p>
        </w:tc>
        <w:tc>
          <w:tcPr>
            <w:tcW w:w="5103" w:type="dxa"/>
            <w:tcBorders>
              <w:top w:val="nil"/>
              <w:left w:val="nil"/>
              <w:bottom w:val="single" w:color="auto" w:sz="4" w:space="0"/>
              <w:right w:val="single" w:color="auto" w:sz="4" w:space="0"/>
            </w:tcBorders>
            <w:noWrap/>
            <w:vAlign w:val="center"/>
          </w:tcPr>
          <w:p w14:paraId="0CBD2820">
            <w:pPr>
              <w:rPr>
                <w:color w:val="auto"/>
                <w:highlight w:val="none"/>
              </w:rPr>
            </w:pPr>
          </w:p>
        </w:tc>
      </w:tr>
      <w:tr w14:paraId="0561EF40">
        <w:tblPrEx>
          <w:tblCellMar>
            <w:top w:w="0" w:type="dxa"/>
            <w:left w:w="108" w:type="dxa"/>
            <w:bottom w:w="0" w:type="dxa"/>
            <w:right w:w="108" w:type="dxa"/>
          </w:tblCellMar>
        </w:tblPrEx>
        <w:trPr>
          <w:trHeight w:val="359" w:hRule="atLeast"/>
        </w:trPr>
        <w:tc>
          <w:tcPr>
            <w:tcW w:w="749" w:type="dxa"/>
            <w:tcBorders>
              <w:top w:val="nil"/>
              <w:left w:val="single" w:color="auto" w:sz="4" w:space="0"/>
              <w:bottom w:val="single" w:color="auto" w:sz="4" w:space="0"/>
              <w:right w:val="single" w:color="auto" w:sz="4" w:space="0"/>
            </w:tcBorders>
            <w:noWrap/>
            <w:vAlign w:val="center"/>
          </w:tcPr>
          <w:p w14:paraId="5D61604F">
            <w:pPr>
              <w:numPr>
                <w:ilvl w:val="0"/>
                <w:numId w:val="59"/>
              </w:numPr>
              <w:jc w:val="center"/>
              <w:rPr>
                <w:rFonts w:ascii="宋体" w:hAnsi="宋体" w:cs="宋体"/>
                <w:color w:val="auto"/>
                <w:kern w:val="0"/>
                <w:sz w:val="24"/>
                <w:highlight w:val="none"/>
              </w:rPr>
            </w:pPr>
          </w:p>
        </w:tc>
        <w:tc>
          <w:tcPr>
            <w:tcW w:w="2154" w:type="dxa"/>
            <w:tcBorders>
              <w:top w:val="nil"/>
              <w:left w:val="nil"/>
              <w:bottom w:val="single" w:color="auto" w:sz="4" w:space="0"/>
              <w:right w:val="single" w:color="auto" w:sz="4" w:space="0"/>
            </w:tcBorders>
            <w:noWrap/>
            <w:vAlign w:val="center"/>
          </w:tcPr>
          <w:p w14:paraId="7A2D9554">
            <w:pPr>
              <w:jc w:val="left"/>
              <w:rPr>
                <w:rFonts w:ascii="宋体" w:hAnsi="宋体" w:cs="宋体"/>
                <w:color w:val="auto"/>
                <w:kern w:val="0"/>
                <w:sz w:val="24"/>
                <w:highlight w:val="none"/>
              </w:rPr>
            </w:pPr>
            <w:r>
              <w:rPr>
                <w:rFonts w:hint="eastAsia" w:ascii="宋体" w:hAnsi="宋体" w:cs="宋体"/>
                <w:color w:val="auto"/>
                <w:kern w:val="0"/>
                <w:sz w:val="24"/>
                <w:highlight w:val="none"/>
              </w:rPr>
              <w:t>化工离心泵</w:t>
            </w:r>
          </w:p>
        </w:tc>
        <w:tc>
          <w:tcPr>
            <w:tcW w:w="5103" w:type="dxa"/>
            <w:tcBorders>
              <w:top w:val="nil"/>
              <w:left w:val="nil"/>
              <w:bottom w:val="single" w:color="auto" w:sz="4" w:space="0"/>
              <w:right w:val="single" w:color="auto" w:sz="4" w:space="0"/>
            </w:tcBorders>
            <w:noWrap/>
            <w:vAlign w:val="center"/>
          </w:tcPr>
          <w:p w14:paraId="75BE631B">
            <w:pPr>
              <w:jc w:val="left"/>
              <w:rPr>
                <w:rFonts w:ascii="宋体" w:hAnsi="宋体" w:cs="宋体"/>
                <w:color w:val="auto"/>
                <w:kern w:val="0"/>
                <w:sz w:val="24"/>
                <w:highlight w:val="none"/>
              </w:rPr>
            </w:pPr>
            <w:r>
              <w:rPr>
                <w:rFonts w:hint="eastAsia" w:ascii="宋体" w:hAnsi="宋体" w:cs="宋体"/>
                <w:color w:val="auto"/>
                <w:kern w:val="0"/>
                <w:sz w:val="24"/>
                <w:highlight w:val="none"/>
              </w:rPr>
              <w:t>杭州碱泵有限公司、西安泵阀总厂有限公司、襄阳五二五泵业有限公司、杭州格瑞泵业有限公司（</w:t>
            </w:r>
            <w:r>
              <w:rPr>
                <w:rFonts w:ascii="宋体" w:hAnsi="宋体" w:cs="宋体"/>
                <w:color w:val="auto"/>
                <w:kern w:val="0"/>
                <w:sz w:val="24"/>
                <w:highlight w:val="none"/>
              </w:rPr>
              <w:t>格兰富</w:t>
            </w:r>
            <w:r>
              <w:rPr>
                <w:rFonts w:hint="eastAsia" w:ascii="宋体" w:hAnsi="宋体" w:cs="宋体"/>
                <w:color w:val="auto"/>
                <w:kern w:val="0"/>
                <w:sz w:val="24"/>
                <w:highlight w:val="none"/>
              </w:rPr>
              <w:t>）</w:t>
            </w:r>
          </w:p>
        </w:tc>
      </w:tr>
      <w:tr w14:paraId="54EA3BBC">
        <w:tblPrEx>
          <w:tblCellMar>
            <w:top w:w="0" w:type="dxa"/>
            <w:left w:w="108" w:type="dxa"/>
            <w:bottom w:w="0" w:type="dxa"/>
            <w:right w:w="108" w:type="dxa"/>
          </w:tblCellMar>
        </w:tblPrEx>
        <w:trPr>
          <w:trHeight w:val="359" w:hRule="atLeast"/>
        </w:trPr>
        <w:tc>
          <w:tcPr>
            <w:tcW w:w="749" w:type="dxa"/>
            <w:tcBorders>
              <w:top w:val="nil"/>
              <w:left w:val="single" w:color="auto" w:sz="4" w:space="0"/>
              <w:bottom w:val="single" w:color="auto" w:sz="4" w:space="0"/>
              <w:right w:val="single" w:color="auto" w:sz="4" w:space="0"/>
            </w:tcBorders>
            <w:noWrap/>
            <w:vAlign w:val="center"/>
          </w:tcPr>
          <w:p w14:paraId="0D2C134D">
            <w:pPr>
              <w:numPr>
                <w:ilvl w:val="0"/>
                <w:numId w:val="59"/>
              </w:numPr>
              <w:jc w:val="center"/>
              <w:rPr>
                <w:rFonts w:ascii="宋体" w:hAnsi="宋体" w:cs="宋体"/>
                <w:color w:val="auto"/>
                <w:kern w:val="0"/>
                <w:sz w:val="24"/>
                <w:highlight w:val="none"/>
              </w:rPr>
            </w:pPr>
          </w:p>
        </w:tc>
        <w:tc>
          <w:tcPr>
            <w:tcW w:w="2154" w:type="dxa"/>
            <w:tcBorders>
              <w:top w:val="nil"/>
              <w:left w:val="nil"/>
              <w:bottom w:val="single" w:color="auto" w:sz="4" w:space="0"/>
              <w:right w:val="single" w:color="auto" w:sz="4" w:space="0"/>
            </w:tcBorders>
            <w:noWrap/>
            <w:vAlign w:val="center"/>
          </w:tcPr>
          <w:p w14:paraId="04269556">
            <w:pPr>
              <w:jc w:val="left"/>
              <w:rPr>
                <w:rFonts w:ascii="宋体" w:hAnsi="宋体" w:cs="宋体"/>
                <w:color w:val="auto"/>
                <w:kern w:val="0"/>
                <w:sz w:val="24"/>
                <w:highlight w:val="none"/>
              </w:rPr>
            </w:pPr>
            <w:r>
              <w:rPr>
                <w:rFonts w:hint="eastAsia" w:ascii="宋体" w:hAnsi="宋体" w:cs="宋体"/>
                <w:color w:val="auto"/>
                <w:kern w:val="0"/>
                <w:sz w:val="24"/>
                <w:highlight w:val="none"/>
              </w:rPr>
              <w:t>衬塑离心泵</w:t>
            </w:r>
          </w:p>
        </w:tc>
        <w:tc>
          <w:tcPr>
            <w:tcW w:w="5103" w:type="dxa"/>
            <w:tcBorders>
              <w:top w:val="nil"/>
              <w:left w:val="nil"/>
              <w:bottom w:val="single" w:color="auto" w:sz="4" w:space="0"/>
              <w:right w:val="single" w:color="auto" w:sz="4" w:space="0"/>
            </w:tcBorders>
            <w:noWrap/>
            <w:vAlign w:val="center"/>
          </w:tcPr>
          <w:p w14:paraId="2C56526A">
            <w:pPr>
              <w:jc w:val="left"/>
              <w:rPr>
                <w:rFonts w:ascii="宋体" w:hAnsi="宋体" w:cs="宋体"/>
                <w:color w:val="auto"/>
                <w:kern w:val="0"/>
                <w:sz w:val="24"/>
                <w:highlight w:val="none"/>
              </w:rPr>
            </w:pPr>
            <w:r>
              <w:rPr>
                <w:rFonts w:hint="eastAsia" w:ascii="宋体" w:hAnsi="宋体" w:cs="宋体"/>
                <w:color w:val="auto"/>
                <w:kern w:val="0"/>
                <w:sz w:val="24"/>
                <w:highlight w:val="none"/>
              </w:rPr>
              <w:t>上海致钰流体设备有限公司（瑞希特）、安徽卧龙泵阀股份有限公司、杭州碱泵有限公司</w:t>
            </w:r>
          </w:p>
        </w:tc>
      </w:tr>
      <w:tr w14:paraId="7F1F160C">
        <w:tblPrEx>
          <w:tblCellMar>
            <w:top w:w="0" w:type="dxa"/>
            <w:left w:w="108" w:type="dxa"/>
            <w:bottom w:w="0" w:type="dxa"/>
            <w:right w:w="108" w:type="dxa"/>
          </w:tblCellMar>
        </w:tblPrEx>
        <w:trPr>
          <w:trHeight w:val="359" w:hRule="atLeast"/>
        </w:trPr>
        <w:tc>
          <w:tcPr>
            <w:tcW w:w="749" w:type="dxa"/>
            <w:tcBorders>
              <w:top w:val="nil"/>
              <w:left w:val="single" w:color="auto" w:sz="4" w:space="0"/>
              <w:bottom w:val="single" w:color="auto" w:sz="4" w:space="0"/>
              <w:right w:val="single" w:color="auto" w:sz="4" w:space="0"/>
            </w:tcBorders>
            <w:noWrap/>
            <w:vAlign w:val="center"/>
          </w:tcPr>
          <w:p w14:paraId="556B8BE0">
            <w:pPr>
              <w:numPr>
                <w:ilvl w:val="0"/>
                <w:numId w:val="59"/>
              </w:numPr>
              <w:jc w:val="center"/>
              <w:rPr>
                <w:rFonts w:ascii="宋体" w:hAnsi="宋体" w:cs="宋体"/>
                <w:color w:val="auto"/>
                <w:kern w:val="0"/>
                <w:sz w:val="24"/>
                <w:highlight w:val="none"/>
              </w:rPr>
            </w:pPr>
          </w:p>
        </w:tc>
        <w:tc>
          <w:tcPr>
            <w:tcW w:w="2154" w:type="dxa"/>
            <w:tcBorders>
              <w:top w:val="nil"/>
              <w:left w:val="nil"/>
              <w:bottom w:val="single" w:color="auto" w:sz="4" w:space="0"/>
              <w:right w:val="single" w:color="auto" w:sz="4" w:space="0"/>
            </w:tcBorders>
            <w:noWrap/>
            <w:vAlign w:val="center"/>
          </w:tcPr>
          <w:p w14:paraId="79106AB1">
            <w:pPr>
              <w:jc w:val="left"/>
              <w:rPr>
                <w:rFonts w:ascii="宋体" w:hAnsi="宋体" w:cs="宋体"/>
                <w:color w:val="auto"/>
                <w:kern w:val="0"/>
                <w:sz w:val="24"/>
                <w:highlight w:val="none"/>
              </w:rPr>
            </w:pPr>
            <w:r>
              <w:rPr>
                <w:rFonts w:hint="eastAsia" w:ascii="宋体" w:hAnsi="宋体" w:cs="宋体"/>
                <w:color w:val="auto"/>
                <w:kern w:val="0"/>
                <w:sz w:val="24"/>
                <w:highlight w:val="none"/>
              </w:rPr>
              <w:t>衬塑磁力泵</w:t>
            </w:r>
          </w:p>
        </w:tc>
        <w:tc>
          <w:tcPr>
            <w:tcW w:w="5103" w:type="dxa"/>
            <w:tcBorders>
              <w:top w:val="nil"/>
              <w:left w:val="nil"/>
              <w:bottom w:val="single" w:color="auto" w:sz="4" w:space="0"/>
              <w:right w:val="single" w:color="auto" w:sz="4" w:space="0"/>
            </w:tcBorders>
            <w:noWrap/>
            <w:vAlign w:val="center"/>
          </w:tcPr>
          <w:p w14:paraId="414F577E">
            <w:pPr>
              <w:jc w:val="left"/>
              <w:rPr>
                <w:rFonts w:ascii="宋体" w:hAnsi="宋体" w:cs="宋体"/>
                <w:color w:val="auto"/>
                <w:kern w:val="0"/>
                <w:sz w:val="24"/>
                <w:highlight w:val="none"/>
              </w:rPr>
            </w:pPr>
            <w:r>
              <w:rPr>
                <w:rFonts w:hint="eastAsia" w:ascii="宋体" w:hAnsi="宋体" w:cs="宋体"/>
                <w:color w:val="auto"/>
                <w:kern w:val="0"/>
                <w:sz w:val="24"/>
                <w:highlight w:val="none"/>
              </w:rPr>
              <w:t>易威奇泵业国际贸易（上海）有限公司、上海达辉机械有限公司（C</w:t>
            </w:r>
            <w:r>
              <w:rPr>
                <w:rFonts w:ascii="宋体" w:hAnsi="宋体" w:cs="宋体"/>
                <w:color w:val="auto"/>
                <w:kern w:val="0"/>
                <w:sz w:val="24"/>
                <w:highlight w:val="none"/>
              </w:rPr>
              <w:t>P）、</w:t>
            </w:r>
            <w:r>
              <w:rPr>
                <w:rFonts w:hint="eastAsia" w:ascii="宋体" w:hAnsi="宋体" w:cs="宋体"/>
                <w:color w:val="auto"/>
                <w:kern w:val="0"/>
                <w:sz w:val="24"/>
                <w:highlight w:val="none"/>
              </w:rPr>
              <w:t>上海致钰流体设备有限公司（瑞希特）、上海协丞化工机械有限公司、安徽卧龙泵阀股份有限公司、江苏科曼机械制造有限公司、衢州维德新材料有限公司</w:t>
            </w:r>
          </w:p>
        </w:tc>
      </w:tr>
    </w:tbl>
    <w:p w14:paraId="6908FDED">
      <w:pPr>
        <w:adjustRightInd w:val="0"/>
        <w:snapToGrid w:val="0"/>
        <w:spacing w:line="360" w:lineRule="auto"/>
        <w:ind w:firstLine="470" w:firstLineChars="196"/>
        <w:rPr>
          <w:rFonts w:ascii="宋体" w:hAnsi="宋体"/>
          <w:color w:val="auto"/>
          <w:sz w:val="24"/>
          <w:highlight w:val="none"/>
        </w:rPr>
      </w:pPr>
    </w:p>
    <w:p w14:paraId="5F2FA0C9">
      <w:pPr>
        <w:rPr>
          <w:color w:val="auto"/>
          <w:sz w:val="24"/>
          <w:highlight w:val="none"/>
        </w:rPr>
      </w:pPr>
    </w:p>
    <w:p w14:paraId="2163EE1B">
      <w:pPr>
        <w:adjustRightInd w:val="0"/>
        <w:snapToGrid w:val="0"/>
        <w:spacing w:line="360" w:lineRule="auto"/>
        <w:rPr>
          <w:rFonts w:ascii="宋体" w:hAnsi="宋体"/>
          <w:b/>
          <w:color w:val="auto"/>
          <w:sz w:val="24"/>
          <w:highlight w:val="none"/>
        </w:rPr>
      </w:pPr>
      <w:bookmarkStart w:id="271" w:name="_Toc261877430"/>
      <w:bookmarkEnd w:id="271"/>
      <w:bookmarkStart w:id="272" w:name="_Toc283917883"/>
      <w:bookmarkStart w:id="273" w:name="_Toc20723"/>
      <w:r>
        <w:rPr>
          <w:rFonts w:hint="eastAsia" w:ascii="宋体" w:hAnsi="宋体"/>
          <w:b/>
          <w:color w:val="auto"/>
          <w:sz w:val="24"/>
          <w:highlight w:val="none"/>
        </w:rPr>
        <w:t>3.3综合材料采购</w:t>
      </w:r>
    </w:p>
    <w:p w14:paraId="12BA4CE5">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3.3.1</w:t>
      </w:r>
      <w:r>
        <w:rPr>
          <w:rFonts w:ascii="宋体" w:hAnsi="宋体"/>
          <w:color w:val="auto"/>
          <w:sz w:val="24"/>
          <w:highlight w:val="none"/>
        </w:rPr>
        <w:t xml:space="preserve">  材料采购可参考</w:t>
      </w:r>
      <w:r>
        <w:rPr>
          <w:rFonts w:hint="eastAsia" w:ascii="宋体" w:hAnsi="宋体"/>
          <w:color w:val="auto"/>
          <w:sz w:val="24"/>
          <w:highlight w:val="none"/>
        </w:rPr>
        <w:t>巨化集团有限公司年度框架协议供应商，亦可由中标人另行组织招标或比价采购。</w:t>
      </w:r>
    </w:p>
    <w:p w14:paraId="40028DED">
      <w:pPr>
        <w:adjustRightInd w:val="0"/>
        <w:snapToGrid w:val="0"/>
        <w:spacing w:line="360" w:lineRule="auto"/>
        <w:ind w:firstLine="470" w:firstLineChars="196"/>
        <w:rPr>
          <w:rFonts w:ascii="宋体" w:hAnsi="宋体"/>
          <w:color w:val="auto"/>
          <w:sz w:val="24"/>
          <w:highlight w:val="none"/>
        </w:rPr>
      </w:pPr>
      <w:r>
        <w:rPr>
          <w:rFonts w:ascii="宋体" w:hAnsi="宋体"/>
          <w:color w:val="auto"/>
          <w:sz w:val="24"/>
          <w:highlight w:val="none"/>
        </w:rPr>
        <w:t xml:space="preserve">3.3.2 </w:t>
      </w:r>
      <w:r>
        <w:rPr>
          <w:rFonts w:hint="eastAsia" w:ascii="宋体" w:hAnsi="宋体"/>
          <w:color w:val="auto"/>
          <w:sz w:val="24"/>
          <w:highlight w:val="none"/>
        </w:rPr>
        <w:t>无巨化集团有限公司框架协议供应商或需另行招标、比价采购的材料，</w:t>
      </w:r>
      <w:r>
        <w:rPr>
          <w:rFonts w:ascii="宋体" w:hAnsi="宋体"/>
          <w:color w:val="auto"/>
          <w:sz w:val="24"/>
          <w:highlight w:val="none"/>
        </w:rPr>
        <w:t>推荐品牌及参考厂家</w:t>
      </w:r>
      <w:r>
        <w:rPr>
          <w:rFonts w:hint="eastAsia" w:ascii="宋体" w:hAnsi="宋体"/>
          <w:b/>
          <w:color w:val="auto"/>
          <w:sz w:val="24"/>
          <w:highlight w:val="none"/>
        </w:rPr>
        <w:t>：</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62"/>
        <w:gridCol w:w="3195"/>
        <w:gridCol w:w="5231"/>
      </w:tblGrid>
      <w:tr w14:paraId="2D639E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862" w:type="dxa"/>
            <w:vAlign w:val="center"/>
          </w:tcPr>
          <w:p w14:paraId="42C8300D">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序号</w:t>
            </w:r>
          </w:p>
        </w:tc>
        <w:tc>
          <w:tcPr>
            <w:tcW w:w="3195" w:type="dxa"/>
            <w:vAlign w:val="center"/>
          </w:tcPr>
          <w:p w14:paraId="7E8AB635">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设备名称</w:t>
            </w:r>
          </w:p>
        </w:tc>
        <w:tc>
          <w:tcPr>
            <w:tcW w:w="5231" w:type="dxa"/>
            <w:vAlign w:val="center"/>
          </w:tcPr>
          <w:p w14:paraId="10E27DDB">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推荐品牌</w:t>
            </w:r>
            <w:r>
              <w:rPr>
                <w:rFonts w:hint="eastAsia" w:ascii="宋体" w:hAnsi="宋体"/>
                <w:color w:val="auto"/>
                <w:kern w:val="0"/>
                <w:sz w:val="24"/>
                <w:highlight w:val="none"/>
              </w:rPr>
              <w:t>或</w:t>
            </w:r>
            <w:r>
              <w:rPr>
                <w:rFonts w:ascii="宋体" w:hAnsi="宋体"/>
                <w:color w:val="auto"/>
                <w:kern w:val="0"/>
                <w:sz w:val="24"/>
                <w:highlight w:val="none"/>
              </w:rPr>
              <w:t>厂家（或同等以上）</w:t>
            </w:r>
          </w:p>
        </w:tc>
      </w:tr>
      <w:tr w14:paraId="4B8312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62" w:type="dxa"/>
            <w:vAlign w:val="center"/>
          </w:tcPr>
          <w:p w14:paraId="7EAE4021">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1</w:t>
            </w:r>
          </w:p>
        </w:tc>
        <w:tc>
          <w:tcPr>
            <w:tcW w:w="3195" w:type="dxa"/>
            <w:vAlign w:val="center"/>
          </w:tcPr>
          <w:p w14:paraId="271751BB">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不锈钢管</w:t>
            </w:r>
          </w:p>
        </w:tc>
        <w:tc>
          <w:tcPr>
            <w:tcW w:w="5231" w:type="dxa"/>
            <w:vAlign w:val="center"/>
          </w:tcPr>
          <w:p w14:paraId="13D24135">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浙江久立特材科技股份有限公司</w:t>
            </w:r>
          </w:p>
          <w:p w14:paraId="3215A6DE">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江苏银环精密钢管股份有限公司</w:t>
            </w:r>
          </w:p>
          <w:p w14:paraId="7F19F17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江苏武进不锈钢管厂集团有限公司</w:t>
            </w:r>
          </w:p>
          <w:p w14:paraId="28806425">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浙江青山钢管有限公司</w:t>
            </w:r>
          </w:p>
          <w:p w14:paraId="02B79C08">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上海新行不锈钢管有限公司</w:t>
            </w:r>
          </w:p>
        </w:tc>
      </w:tr>
      <w:tr w14:paraId="5A60242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62" w:type="dxa"/>
            <w:vAlign w:val="center"/>
          </w:tcPr>
          <w:p w14:paraId="41312C12">
            <w:pPr>
              <w:rPr>
                <w:color w:val="auto"/>
                <w:highlight w:val="none"/>
              </w:rPr>
            </w:pPr>
          </w:p>
        </w:tc>
        <w:tc>
          <w:tcPr>
            <w:tcW w:w="3195" w:type="dxa"/>
            <w:vAlign w:val="center"/>
          </w:tcPr>
          <w:p w14:paraId="098D3727">
            <w:pPr>
              <w:rPr>
                <w:color w:val="auto"/>
                <w:highlight w:val="none"/>
              </w:rPr>
            </w:pPr>
          </w:p>
        </w:tc>
        <w:tc>
          <w:tcPr>
            <w:tcW w:w="5231" w:type="dxa"/>
            <w:vAlign w:val="center"/>
          </w:tcPr>
          <w:p w14:paraId="31AB220E">
            <w:pPr>
              <w:rPr>
                <w:color w:val="auto"/>
                <w:highlight w:val="none"/>
              </w:rPr>
            </w:pPr>
          </w:p>
        </w:tc>
      </w:tr>
      <w:tr w14:paraId="344F947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62" w:type="dxa"/>
            <w:vAlign w:val="center"/>
          </w:tcPr>
          <w:p w14:paraId="2B572CC9">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2</w:t>
            </w:r>
          </w:p>
        </w:tc>
        <w:tc>
          <w:tcPr>
            <w:tcW w:w="3195" w:type="dxa"/>
            <w:vAlign w:val="center"/>
          </w:tcPr>
          <w:p w14:paraId="0D348484">
            <w:pPr>
              <w:adjustRightInd w:val="0"/>
              <w:snapToGrid w:val="0"/>
              <w:spacing w:line="360" w:lineRule="auto"/>
              <w:jc w:val="center"/>
              <w:rPr>
                <w:rFonts w:ascii="宋体" w:hAnsi="宋体"/>
                <w:color w:val="auto"/>
                <w:kern w:val="0"/>
                <w:sz w:val="24"/>
                <w:highlight w:val="none"/>
              </w:rPr>
            </w:pPr>
            <w:r>
              <w:rPr>
                <w:color w:val="auto"/>
                <w:sz w:val="24"/>
                <w:highlight w:val="none"/>
              </w:rPr>
              <w:t>金属通用</w:t>
            </w:r>
            <w:r>
              <w:rPr>
                <w:rFonts w:hint="eastAsia" w:ascii="宋体" w:hAnsi="宋体"/>
                <w:color w:val="auto"/>
                <w:kern w:val="0"/>
                <w:sz w:val="24"/>
                <w:highlight w:val="none"/>
              </w:rPr>
              <w:t>高压球阀</w:t>
            </w:r>
          </w:p>
        </w:tc>
        <w:tc>
          <w:tcPr>
            <w:tcW w:w="5231" w:type="dxa"/>
            <w:vAlign w:val="center"/>
          </w:tcPr>
          <w:p w14:paraId="6E115AFC">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超达阀门集团股份有限公司</w:t>
            </w:r>
          </w:p>
          <w:p w14:paraId="07F4CBFC">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伯特利阀门集团有限公司</w:t>
            </w:r>
          </w:p>
          <w:p w14:paraId="7B49B6BC">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广东明珠流体机械有限公司</w:t>
            </w:r>
          </w:p>
          <w:p w14:paraId="473AC651">
            <w:pPr>
              <w:adjustRightInd w:val="0"/>
              <w:snapToGrid w:val="0"/>
              <w:spacing w:line="360" w:lineRule="auto"/>
              <w:jc w:val="center"/>
              <w:rPr>
                <w:color w:val="auto"/>
                <w:sz w:val="24"/>
                <w:highlight w:val="none"/>
              </w:rPr>
            </w:pPr>
            <w:r>
              <w:rPr>
                <w:color w:val="auto"/>
                <w:sz w:val="24"/>
                <w:highlight w:val="none"/>
              </w:rPr>
              <w:t>浙江石化阀门有限公司</w:t>
            </w:r>
          </w:p>
          <w:p w14:paraId="1B01A918">
            <w:pPr>
              <w:adjustRightInd w:val="0"/>
              <w:snapToGrid w:val="0"/>
              <w:spacing w:line="360" w:lineRule="auto"/>
              <w:jc w:val="center"/>
              <w:rPr>
                <w:rFonts w:ascii="宋体" w:hAnsi="宋体"/>
                <w:color w:val="auto"/>
                <w:kern w:val="0"/>
                <w:sz w:val="24"/>
                <w:highlight w:val="none"/>
              </w:rPr>
            </w:pPr>
            <w:r>
              <w:rPr>
                <w:rFonts w:hint="eastAsia"/>
                <w:color w:val="auto"/>
                <w:sz w:val="24"/>
                <w:highlight w:val="none"/>
              </w:rPr>
              <w:t>特技阀门集团有限公司</w:t>
            </w:r>
          </w:p>
        </w:tc>
      </w:tr>
      <w:tr w14:paraId="62667A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62" w:type="dxa"/>
            <w:vAlign w:val="center"/>
          </w:tcPr>
          <w:p w14:paraId="211B237C">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3</w:t>
            </w:r>
          </w:p>
        </w:tc>
        <w:tc>
          <w:tcPr>
            <w:tcW w:w="3195" w:type="dxa"/>
            <w:vAlign w:val="center"/>
          </w:tcPr>
          <w:p w14:paraId="4909FD35">
            <w:pPr>
              <w:adjustRightInd w:val="0"/>
              <w:snapToGrid w:val="0"/>
              <w:spacing w:line="360" w:lineRule="auto"/>
              <w:jc w:val="center"/>
              <w:rPr>
                <w:rFonts w:ascii="宋体" w:hAnsi="宋体"/>
                <w:color w:val="auto"/>
                <w:kern w:val="0"/>
                <w:sz w:val="24"/>
                <w:highlight w:val="none"/>
              </w:rPr>
            </w:pPr>
            <w:r>
              <w:rPr>
                <w:color w:val="auto"/>
                <w:sz w:val="24"/>
                <w:highlight w:val="none"/>
              </w:rPr>
              <w:t>安全阀 （碳钢、 不锈钢）</w:t>
            </w:r>
          </w:p>
        </w:tc>
        <w:tc>
          <w:tcPr>
            <w:tcW w:w="5231" w:type="dxa"/>
            <w:vAlign w:val="center"/>
          </w:tcPr>
          <w:p w14:paraId="5EC167A9">
            <w:pPr>
              <w:adjustRightInd w:val="0"/>
              <w:snapToGrid w:val="0"/>
              <w:spacing w:line="360" w:lineRule="auto"/>
              <w:jc w:val="center"/>
              <w:rPr>
                <w:color w:val="auto"/>
                <w:sz w:val="24"/>
                <w:highlight w:val="none"/>
              </w:rPr>
            </w:pPr>
            <w:r>
              <w:rPr>
                <w:color w:val="auto"/>
                <w:sz w:val="24"/>
                <w:highlight w:val="none"/>
              </w:rPr>
              <w:t>吴江市东吴机械有限责任公司</w:t>
            </w:r>
          </w:p>
          <w:p w14:paraId="614C163A">
            <w:pPr>
              <w:adjustRightInd w:val="0"/>
              <w:snapToGrid w:val="0"/>
              <w:spacing w:line="360" w:lineRule="auto"/>
              <w:jc w:val="center"/>
              <w:rPr>
                <w:color w:val="auto"/>
                <w:sz w:val="24"/>
                <w:highlight w:val="none"/>
              </w:rPr>
            </w:pPr>
            <w:r>
              <w:rPr>
                <w:color w:val="auto"/>
                <w:sz w:val="24"/>
                <w:highlight w:val="none"/>
              </w:rPr>
              <w:t>永一阀门集团有限公司</w:t>
            </w:r>
          </w:p>
          <w:p w14:paraId="4A8FB28B">
            <w:pPr>
              <w:adjustRightInd w:val="0"/>
              <w:snapToGrid w:val="0"/>
              <w:spacing w:line="360" w:lineRule="auto"/>
              <w:jc w:val="center"/>
              <w:rPr>
                <w:rFonts w:ascii="宋体" w:hAnsi="宋体"/>
                <w:color w:val="auto"/>
                <w:kern w:val="0"/>
                <w:sz w:val="24"/>
                <w:highlight w:val="none"/>
              </w:rPr>
            </w:pPr>
            <w:r>
              <w:rPr>
                <w:color w:val="auto"/>
                <w:sz w:val="24"/>
                <w:highlight w:val="none"/>
              </w:rPr>
              <w:t>罗浮阀门集团有限公司</w:t>
            </w:r>
          </w:p>
        </w:tc>
      </w:tr>
      <w:tr w14:paraId="4613A40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62" w:type="dxa"/>
            <w:vAlign w:val="center"/>
          </w:tcPr>
          <w:p w14:paraId="79DEA6E3">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4</w:t>
            </w:r>
          </w:p>
        </w:tc>
        <w:tc>
          <w:tcPr>
            <w:tcW w:w="3195" w:type="dxa"/>
            <w:vAlign w:val="center"/>
          </w:tcPr>
          <w:p w14:paraId="55AE815F">
            <w:pPr>
              <w:adjustRightInd w:val="0"/>
              <w:snapToGrid w:val="0"/>
              <w:spacing w:line="360" w:lineRule="auto"/>
              <w:jc w:val="center"/>
              <w:rPr>
                <w:rFonts w:ascii="宋体" w:hAnsi="宋体"/>
                <w:color w:val="auto"/>
                <w:kern w:val="0"/>
                <w:sz w:val="24"/>
                <w:highlight w:val="none"/>
              </w:rPr>
            </w:pPr>
            <w:r>
              <w:rPr>
                <w:color w:val="auto"/>
                <w:sz w:val="24"/>
                <w:highlight w:val="none"/>
              </w:rPr>
              <w:t>衬 F46 阀门</w:t>
            </w:r>
          </w:p>
        </w:tc>
        <w:tc>
          <w:tcPr>
            <w:tcW w:w="5231" w:type="dxa"/>
            <w:vAlign w:val="center"/>
          </w:tcPr>
          <w:p w14:paraId="4F3762CF">
            <w:pPr>
              <w:adjustRightInd w:val="0"/>
              <w:snapToGrid w:val="0"/>
              <w:spacing w:line="360" w:lineRule="auto"/>
              <w:jc w:val="center"/>
              <w:rPr>
                <w:color w:val="auto"/>
                <w:sz w:val="24"/>
                <w:highlight w:val="none"/>
              </w:rPr>
            </w:pPr>
            <w:r>
              <w:rPr>
                <w:color w:val="auto"/>
                <w:sz w:val="24"/>
                <w:highlight w:val="none"/>
              </w:rPr>
              <w:t>浙江大氟隆阀门有限公司</w:t>
            </w:r>
          </w:p>
          <w:p w14:paraId="685C7B83">
            <w:pPr>
              <w:adjustRightInd w:val="0"/>
              <w:snapToGrid w:val="0"/>
              <w:spacing w:line="360" w:lineRule="auto"/>
              <w:jc w:val="center"/>
              <w:rPr>
                <w:color w:val="auto"/>
                <w:sz w:val="24"/>
                <w:highlight w:val="none"/>
              </w:rPr>
            </w:pPr>
            <w:r>
              <w:rPr>
                <w:color w:val="auto"/>
                <w:sz w:val="24"/>
                <w:highlight w:val="none"/>
              </w:rPr>
              <w:t>浙江有氟密阀门有限公司</w:t>
            </w:r>
          </w:p>
          <w:p w14:paraId="3677DC21">
            <w:pPr>
              <w:adjustRightInd w:val="0"/>
              <w:snapToGrid w:val="0"/>
              <w:spacing w:line="360" w:lineRule="auto"/>
              <w:jc w:val="center"/>
              <w:rPr>
                <w:color w:val="auto"/>
                <w:sz w:val="24"/>
                <w:highlight w:val="none"/>
              </w:rPr>
            </w:pPr>
            <w:r>
              <w:rPr>
                <w:color w:val="auto"/>
                <w:sz w:val="24"/>
                <w:highlight w:val="none"/>
              </w:rPr>
              <w:t>浙江永联阀门有限公司</w:t>
            </w:r>
          </w:p>
          <w:p w14:paraId="07A64D55">
            <w:pPr>
              <w:adjustRightInd w:val="0"/>
              <w:snapToGrid w:val="0"/>
              <w:spacing w:line="360" w:lineRule="auto"/>
              <w:jc w:val="center"/>
              <w:rPr>
                <w:color w:val="auto"/>
                <w:sz w:val="24"/>
                <w:highlight w:val="none"/>
              </w:rPr>
            </w:pPr>
            <w:r>
              <w:rPr>
                <w:color w:val="auto"/>
                <w:sz w:val="24"/>
                <w:highlight w:val="none"/>
              </w:rPr>
              <w:t>江苏明江阀业有限公司</w:t>
            </w:r>
          </w:p>
          <w:p w14:paraId="757C94CC">
            <w:pPr>
              <w:adjustRightInd w:val="0"/>
              <w:snapToGrid w:val="0"/>
              <w:spacing w:line="360" w:lineRule="auto"/>
              <w:jc w:val="center"/>
              <w:rPr>
                <w:color w:val="auto"/>
                <w:sz w:val="24"/>
                <w:highlight w:val="none"/>
              </w:rPr>
            </w:pPr>
            <w:r>
              <w:rPr>
                <w:color w:val="auto"/>
                <w:sz w:val="24"/>
                <w:highlight w:val="none"/>
              </w:rPr>
              <w:t>上海耐腐阀门集团有限公司</w:t>
            </w:r>
          </w:p>
          <w:p w14:paraId="3232CDB1">
            <w:pPr>
              <w:adjustRightInd w:val="0"/>
              <w:snapToGrid w:val="0"/>
              <w:spacing w:line="360" w:lineRule="auto"/>
              <w:jc w:val="center"/>
              <w:rPr>
                <w:rFonts w:ascii="宋体" w:hAnsi="宋体"/>
                <w:color w:val="auto"/>
                <w:kern w:val="0"/>
                <w:sz w:val="24"/>
                <w:highlight w:val="none"/>
              </w:rPr>
            </w:pPr>
            <w:r>
              <w:rPr>
                <w:rFonts w:hint="eastAsia"/>
                <w:color w:val="auto"/>
                <w:sz w:val="24"/>
                <w:highlight w:val="none"/>
              </w:rPr>
              <w:t>浙江钜晶阀门有限公司</w:t>
            </w:r>
          </w:p>
        </w:tc>
      </w:tr>
      <w:tr w14:paraId="47233BB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62" w:type="dxa"/>
            <w:vAlign w:val="center"/>
          </w:tcPr>
          <w:p w14:paraId="1EAACE8C">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5</w:t>
            </w:r>
          </w:p>
        </w:tc>
        <w:tc>
          <w:tcPr>
            <w:tcW w:w="3195" w:type="dxa"/>
            <w:vAlign w:val="center"/>
          </w:tcPr>
          <w:p w14:paraId="6105BE8A">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管件（碳钢、不锈钢）</w:t>
            </w:r>
          </w:p>
        </w:tc>
        <w:tc>
          <w:tcPr>
            <w:tcW w:w="5231" w:type="dxa"/>
            <w:vAlign w:val="center"/>
          </w:tcPr>
          <w:p w14:paraId="0EB0EC78">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江苏润扬管件有限责任公司(润扬重工)</w:t>
            </w:r>
          </w:p>
          <w:p w14:paraId="734EB6C8">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江苏华阳金属管件有限公司</w:t>
            </w:r>
          </w:p>
          <w:p w14:paraId="4D855489">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江阴市南方管件制造有限公司</w:t>
            </w:r>
          </w:p>
          <w:p w14:paraId="0EF57714">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河北圣天管件集团有限公司</w:t>
            </w:r>
          </w:p>
          <w:p w14:paraId="0623B5B7">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河北沧海核装备科技股份有限公司</w:t>
            </w:r>
          </w:p>
          <w:p w14:paraId="79843106">
            <w:pPr>
              <w:adjustRightInd w:val="0"/>
              <w:snapToGrid w:val="0"/>
              <w:spacing w:line="360" w:lineRule="auto"/>
              <w:jc w:val="center"/>
              <w:rPr>
                <w:color w:val="auto"/>
                <w:sz w:val="24"/>
                <w:highlight w:val="none"/>
              </w:rPr>
            </w:pPr>
            <w:r>
              <w:rPr>
                <w:color w:val="auto"/>
                <w:sz w:val="24"/>
                <w:highlight w:val="none"/>
              </w:rPr>
              <w:t>承德高中压阀门管件集团有限公 司</w:t>
            </w:r>
          </w:p>
          <w:p w14:paraId="799B411F">
            <w:pPr>
              <w:adjustRightInd w:val="0"/>
              <w:snapToGrid w:val="0"/>
              <w:spacing w:line="360" w:lineRule="auto"/>
              <w:jc w:val="center"/>
              <w:rPr>
                <w:rFonts w:ascii="宋体" w:hAnsi="宋体"/>
                <w:color w:val="auto"/>
                <w:kern w:val="0"/>
                <w:sz w:val="24"/>
                <w:highlight w:val="none"/>
              </w:rPr>
            </w:pPr>
            <w:r>
              <w:rPr>
                <w:color w:val="auto"/>
                <w:sz w:val="24"/>
                <w:highlight w:val="none"/>
              </w:rPr>
              <w:t>亚达管道系统股份有限公司（仅限不锈钢）</w:t>
            </w:r>
          </w:p>
        </w:tc>
      </w:tr>
      <w:tr w14:paraId="3857B9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62" w:type="dxa"/>
            <w:vAlign w:val="center"/>
          </w:tcPr>
          <w:p w14:paraId="7C058C35">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6</w:t>
            </w:r>
          </w:p>
        </w:tc>
        <w:tc>
          <w:tcPr>
            <w:tcW w:w="3195" w:type="dxa"/>
            <w:vAlign w:val="center"/>
          </w:tcPr>
          <w:p w14:paraId="4E6F86D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法兰（碳钢、不锈钢）</w:t>
            </w:r>
          </w:p>
        </w:tc>
        <w:tc>
          <w:tcPr>
            <w:tcW w:w="5231" w:type="dxa"/>
            <w:vAlign w:val="center"/>
          </w:tcPr>
          <w:p w14:paraId="460EFC41">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浙江大齐机械有限公司</w:t>
            </w:r>
          </w:p>
          <w:p w14:paraId="1F7CBA2F">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浙江柯庆法兰锻造有限公司</w:t>
            </w:r>
          </w:p>
          <w:p w14:paraId="52461399">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江苏苏锦锻造有限公司</w:t>
            </w:r>
          </w:p>
          <w:p w14:paraId="7DD60150">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宜兴市万华法兰锻造有限公司</w:t>
            </w:r>
          </w:p>
          <w:p w14:paraId="30A29C37">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河北圣天管件集团有限公司</w:t>
            </w:r>
          </w:p>
          <w:p w14:paraId="3FC07451">
            <w:pPr>
              <w:adjustRightInd w:val="0"/>
              <w:snapToGrid w:val="0"/>
              <w:spacing w:line="360" w:lineRule="auto"/>
              <w:jc w:val="center"/>
              <w:rPr>
                <w:color w:val="auto"/>
                <w:sz w:val="24"/>
                <w:highlight w:val="none"/>
              </w:rPr>
            </w:pPr>
            <w:r>
              <w:rPr>
                <w:color w:val="auto"/>
                <w:sz w:val="24"/>
                <w:highlight w:val="none"/>
              </w:rPr>
              <w:t>亚达管道系统股份有限公司</w:t>
            </w:r>
          </w:p>
          <w:p w14:paraId="758FCAD5">
            <w:pPr>
              <w:adjustRightInd w:val="0"/>
              <w:snapToGrid w:val="0"/>
              <w:spacing w:line="360" w:lineRule="auto"/>
              <w:jc w:val="center"/>
              <w:rPr>
                <w:color w:val="auto"/>
                <w:sz w:val="24"/>
                <w:highlight w:val="none"/>
              </w:rPr>
            </w:pPr>
            <w:r>
              <w:rPr>
                <w:color w:val="auto"/>
                <w:sz w:val="24"/>
                <w:highlight w:val="none"/>
              </w:rPr>
              <w:t>浙江松海法兰制造有限公司（仅限不锈钢）</w:t>
            </w:r>
          </w:p>
        </w:tc>
      </w:tr>
    </w:tbl>
    <w:p w14:paraId="43E84134">
      <w:pPr>
        <w:adjustRightInd w:val="0"/>
        <w:snapToGrid w:val="0"/>
        <w:spacing w:line="360" w:lineRule="auto"/>
        <w:ind w:firstLine="470" w:firstLineChars="196"/>
        <w:rPr>
          <w:rFonts w:ascii="宋体" w:hAnsi="宋体"/>
          <w:color w:val="auto"/>
          <w:sz w:val="24"/>
          <w:highlight w:val="none"/>
        </w:rPr>
      </w:pPr>
    </w:p>
    <w:p w14:paraId="6338D30A">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3.3.</w:t>
      </w:r>
      <w:r>
        <w:rPr>
          <w:rFonts w:ascii="宋体" w:hAnsi="宋体"/>
          <w:color w:val="auto"/>
          <w:sz w:val="24"/>
          <w:highlight w:val="none"/>
        </w:rPr>
        <w:t>3</w:t>
      </w:r>
      <w:r>
        <w:rPr>
          <w:rFonts w:hint="eastAsia" w:ascii="宋体" w:hAnsi="宋体"/>
          <w:color w:val="auto"/>
          <w:sz w:val="24"/>
          <w:highlight w:val="none"/>
        </w:rPr>
        <w:t>施工图中综合材料表、电气设备材料表中的所有材料设备必须由中标人统一采购，不得由专业分包方自行采购。</w:t>
      </w:r>
    </w:p>
    <w:p w14:paraId="7309840A">
      <w:pPr>
        <w:adjustRightInd w:val="0"/>
        <w:snapToGrid w:val="0"/>
        <w:spacing w:line="360" w:lineRule="auto"/>
        <w:ind w:firstLine="470" w:firstLineChars="196"/>
        <w:rPr>
          <w:rFonts w:ascii="宋体" w:hAnsi="宋体"/>
          <w:color w:val="auto"/>
          <w:kern w:val="0"/>
          <w:sz w:val="24"/>
          <w:highlight w:val="none"/>
        </w:rPr>
      </w:pPr>
      <w:r>
        <w:rPr>
          <w:rFonts w:hint="eastAsia" w:ascii="宋体" w:hAnsi="宋体"/>
          <w:color w:val="auto"/>
          <w:sz w:val="24"/>
          <w:highlight w:val="none"/>
        </w:rPr>
        <w:t>3.3.</w:t>
      </w:r>
      <w:r>
        <w:rPr>
          <w:rFonts w:ascii="宋体" w:hAnsi="宋体"/>
          <w:color w:val="auto"/>
          <w:sz w:val="24"/>
          <w:highlight w:val="none"/>
        </w:rPr>
        <w:t>4</w:t>
      </w:r>
      <w:r>
        <w:rPr>
          <w:rFonts w:hint="eastAsia" w:ascii="宋体" w:hAnsi="宋体"/>
          <w:color w:val="auto"/>
          <w:kern w:val="0"/>
          <w:sz w:val="24"/>
          <w:highlight w:val="none"/>
        </w:rPr>
        <w:t>仪表综合材料阀门管件推荐品牌及参考厂家：盐城三禾、镇江中贯、盐城中波、扬中华宏，并要求阀体、手柄旋柄及紧固螺丝全部要求304不锈钢。</w:t>
      </w:r>
    </w:p>
    <w:p w14:paraId="26320C3E">
      <w:pPr>
        <w:adjustRightInd w:val="0"/>
        <w:snapToGrid w:val="0"/>
        <w:spacing w:line="360" w:lineRule="auto"/>
        <w:ind w:firstLine="470" w:firstLineChars="196"/>
        <w:rPr>
          <w:rFonts w:ascii="宋体" w:hAnsi="宋体"/>
          <w:color w:val="auto"/>
          <w:kern w:val="0"/>
          <w:sz w:val="24"/>
          <w:highlight w:val="none"/>
        </w:rPr>
      </w:pPr>
      <w:r>
        <w:rPr>
          <w:rFonts w:hint="eastAsia" w:ascii="宋体" w:hAnsi="宋体"/>
          <w:color w:val="auto"/>
          <w:kern w:val="0"/>
          <w:sz w:val="24"/>
          <w:highlight w:val="none"/>
        </w:rPr>
        <w:t>3.3.</w:t>
      </w:r>
      <w:r>
        <w:rPr>
          <w:rFonts w:ascii="宋体" w:hAnsi="宋体"/>
          <w:color w:val="auto"/>
          <w:kern w:val="0"/>
          <w:sz w:val="24"/>
          <w:highlight w:val="none"/>
        </w:rPr>
        <w:t>5项目所有</w:t>
      </w:r>
      <w:r>
        <w:rPr>
          <w:rFonts w:hint="eastAsia" w:ascii="宋体" w:hAnsi="宋体"/>
          <w:color w:val="auto"/>
          <w:kern w:val="0"/>
          <w:sz w:val="24"/>
          <w:highlight w:val="none"/>
        </w:rPr>
        <w:t>管道、设备连接螺栓均需采用全螺纹特氟龙螺柱，强度8.8</w:t>
      </w:r>
      <w:r>
        <w:rPr>
          <w:rFonts w:ascii="宋体" w:hAnsi="宋体"/>
          <w:color w:val="auto"/>
          <w:kern w:val="0"/>
          <w:sz w:val="24"/>
          <w:highlight w:val="none"/>
        </w:rPr>
        <w:t>级</w:t>
      </w:r>
      <w:r>
        <w:rPr>
          <w:rFonts w:hint="eastAsia" w:ascii="宋体" w:hAnsi="宋体"/>
          <w:color w:val="auto"/>
          <w:kern w:val="0"/>
          <w:sz w:val="24"/>
          <w:highlight w:val="none"/>
        </w:rPr>
        <w:t>。</w:t>
      </w:r>
    </w:p>
    <w:p w14:paraId="0C9FDDE2">
      <w:pPr>
        <w:adjustRightInd w:val="0"/>
        <w:snapToGrid w:val="0"/>
        <w:spacing w:line="360" w:lineRule="auto"/>
        <w:ind w:firstLine="470" w:firstLineChars="196"/>
        <w:rPr>
          <w:rFonts w:ascii="宋体" w:hAnsi="宋体"/>
          <w:color w:val="auto"/>
          <w:kern w:val="0"/>
          <w:sz w:val="24"/>
          <w:highlight w:val="none"/>
        </w:rPr>
      </w:pPr>
      <w:r>
        <w:rPr>
          <w:rFonts w:hint="eastAsia" w:ascii="宋体" w:hAnsi="宋体"/>
          <w:color w:val="auto"/>
          <w:kern w:val="0"/>
          <w:sz w:val="24"/>
          <w:highlight w:val="none"/>
        </w:rPr>
        <w:t>3</w:t>
      </w:r>
      <w:r>
        <w:rPr>
          <w:rFonts w:ascii="宋体" w:hAnsi="宋体"/>
          <w:color w:val="auto"/>
          <w:kern w:val="0"/>
          <w:sz w:val="24"/>
          <w:highlight w:val="none"/>
        </w:rPr>
        <w:t>.3.6项目三效出口乏汽，一效进口蒸汽应设流量表，年累计蒸汽质量流量数据传输至</w:t>
      </w:r>
      <w:r>
        <w:rPr>
          <w:rFonts w:hint="eastAsia" w:ascii="宋体" w:hAnsi="宋体"/>
          <w:color w:val="auto"/>
          <w:kern w:val="0"/>
          <w:sz w:val="24"/>
          <w:highlight w:val="none"/>
        </w:rPr>
        <w:t>D</w:t>
      </w:r>
      <w:r>
        <w:rPr>
          <w:rFonts w:ascii="宋体" w:hAnsi="宋体"/>
          <w:color w:val="auto"/>
          <w:kern w:val="0"/>
          <w:sz w:val="24"/>
          <w:highlight w:val="none"/>
        </w:rPr>
        <w:t>CS。</w:t>
      </w:r>
    </w:p>
    <w:p w14:paraId="1B6E629A">
      <w:pPr>
        <w:adjustRightInd w:val="0"/>
        <w:snapToGrid w:val="0"/>
        <w:spacing w:line="360" w:lineRule="auto"/>
        <w:rPr>
          <w:rFonts w:ascii="宋体" w:hAnsi="宋体"/>
          <w:b/>
          <w:color w:val="auto"/>
          <w:kern w:val="0"/>
          <w:sz w:val="24"/>
          <w:highlight w:val="none"/>
        </w:rPr>
      </w:pPr>
      <w:r>
        <w:rPr>
          <w:rFonts w:hint="eastAsia" w:ascii="宋体" w:hAnsi="宋体"/>
          <w:b/>
          <w:color w:val="auto"/>
          <w:kern w:val="0"/>
          <w:sz w:val="24"/>
          <w:highlight w:val="none"/>
        </w:rPr>
        <w:t>3.4 电气设备</w:t>
      </w:r>
    </w:p>
    <w:p w14:paraId="7BAE7EFD">
      <w:pPr>
        <w:adjustRightInd w:val="0"/>
        <w:snapToGrid w:val="0"/>
        <w:spacing w:line="360" w:lineRule="auto"/>
        <w:rPr>
          <w:rFonts w:ascii="宋体" w:hAnsi="宋体"/>
          <w:color w:val="auto"/>
          <w:sz w:val="24"/>
          <w:highlight w:val="none"/>
        </w:rPr>
      </w:pPr>
      <w:bookmarkStart w:id="274" w:name="_Toc16671"/>
      <w:bookmarkStart w:id="275" w:name="_Toc221550674"/>
      <w:r>
        <w:rPr>
          <w:rFonts w:hint="eastAsia" w:ascii="宋体" w:hAnsi="宋体"/>
          <w:color w:val="auto"/>
          <w:sz w:val="24"/>
          <w:highlight w:val="none"/>
        </w:rPr>
        <w:t>3.4</w:t>
      </w:r>
      <w:r>
        <w:rPr>
          <w:rFonts w:ascii="宋体" w:hAnsi="宋体"/>
          <w:color w:val="auto"/>
          <w:sz w:val="24"/>
          <w:highlight w:val="none"/>
        </w:rPr>
        <w:t>.1一般技术规范</w:t>
      </w:r>
      <w:bookmarkEnd w:id="274"/>
      <w:bookmarkEnd w:id="275"/>
    </w:p>
    <w:p w14:paraId="31B35DD3">
      <w:pPr>
        <w:adjustRightInd w:val="0"/>
        <w:snapToGrid w:val="0"/>
        <w:spacing w:line="360" w:lineRule="auto"/>
        <w:rPr>
          <w:rFonts w:ascii="宋体" w:hAnsi="宋体"/>
          <w:color w:val="auto"/>
          <w:sz w:val="24"/>
          <w:highlight w:val="none"/>
        </w:rPr>
      </w:pPr>
      <w:bookmarkStart w:id="276" w:name="_Toc29895"/>
      <w:r>
        <w:rPr>
          <w:rFonts w:hint="eastAsia" w:ascii="宋体" w:hAnsi="宋体"/>
          <w:color w:val="auto"/>
          <w:sz w:val="24"/>
          <w:highlight w:val="none"/>
        </w:rPr>
        <w:t>3.4.</w:t>
      </w:r>
      <w:r>
        <w:rPr>
          <w:rFonts w:ascii="宋体" w:hAnsi="宋体"/>
          <w:color w:val="auto"/>
          <w:sz w:val="24"/>
          <w:highlight w:val="none"/>
        </w:rPr>
        <w:t>1.1合同执行要求</w:t>
      </w:r>
      <w:bookmarkEnd w:id="276"/>
    </w:p>
    <w:p w14:paraId="47FD5714">
      <w:pPr>
        <w:adjustRightInd w:val="0"/>
        <w:snapToGrid w:val="0"/>
        <w:spacing w:line="360" w:lineRule="auto"/>
        <w:rPr>
          <w:rFonts w:ascii="宋体" w:hAnsi="宋体"/>
          <w:color w:val="auto"/>
          <w:sz w:val="24"/>
          <w:highlight w:val="none"/>
        </w:rPr>
      </w:pPr>
      <w:r>
        <w:rPr>
          <w:rFonts w:ascii="宋体" w:hAnsi="宋体"/>
          <w:color w:val="auto"/>
          <w:sz w:val="24"/>
          <w:highlight w:val="none"/>
        </w:rPr>
        <w:t xml:space="preserve">    本标的电气设备范围，应是机电设备采购、安装及调试工程内，为满足工艺要求的所有电气设备的设计（电气设计应符合巨化集团电网要求）、制造、测试、供货、运输、安装、调试、培训、检维修、交付使用、质保期内保修，以及为上述电气设备所作的一切准备工作、服务、人工、材料和包括竣工资料与操作维护手册的提供，不管它们是否在招标文件上注明。 </w:t>
      </w:r>
    </w:p>
    <w:p w14:paraId="6DB815F7">
      <w:pPr>
        <w:adjustRightInd w:val="0"/>
        <w:snapToGrid w:val="0"/>
        <w:spacing w:line="360" w:lineRule="auto"/>
        <w:rPr>
          <w:rFonts w:ascii="宋体" w:hAnsi="宋体"/>
          <w:color w:val="auto"/>
          <w:sz w:val="24"/>
          <w:highlight w:val="none"/>
        </w:rPr>
      </w:pPr>
      <w:bookmarkStart w:id="277" w:name="_Toc261877429"/>
      <w:bookmarkEnd w:id="277"/>
      <w:bookmarkStart w:id="278" w:name="_Toc261877426"/>
      <w:bookmarkEnd w:id="278"/>
      <w:bookmarkStart w:id="279" w:name="_Toc261877428"/>
      <w:bookmarkEnd w:id="279"/>
      <w:bookmarkStart w:id="280" w:name="_Toc283917878"/>
      <w:bookmarkEnd w:id="280"/>
      <w:bookmarkStart w:id="281" w:name="_Toc283917882"/>
      <w:bookmarkStart w:id="282" w:name="_Toc10188"/>
      <w:r>
        <w:rPr>
          <w:rFonts w:hint="eastAsia" w:ascii="宋体" w:hAnsi="宋体"/>
          <w:color w:val="auto"/>
          <w:sz w:val="24"/>
          <w:highlight w:val="none"/>
        </w:rPr>
        <w:t>3.4</w:t>
      </w:r>
      <w:r>
        <w:rPr>
          <w:rFonts w:ascii="宋体" w:hAnsi="宋体"/>
          <w:color w:val="auto"/>
          <w:sz w:val="24"/>
          <w:highlight w:val="none"/>
        </w:rPr>
        <w:t>.2电气设备基本要求</w:t>
      </w:r>
      <w:bookmarkEnd w:id="281"/>
      <w:r>
        <w:rPr>
          <w:rFonts w:ascii="宋体" w:hAnsi="宋体"/>
          <w:color w:val="auto"/>
          <w:sz w:val="24"/>
          <w:highlight w:val="none"/>
        </w:rPr>
        <w:t>及参照标准</w:t>
      </w:r>
      <w:bookmarkEnd w:id="282"/>
    </w:p>
    <w:p w14:paraId="66A8BDEC">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w:t>
      </w:r>
      <w:r>
        <w:rPr>
          <w:rFonts w:ascii="宋体" w:hAnsi="宋体"/>
          <w:color w:val="auto"/>
          <w:sz w:val="24"/>
          <w:highlight w:val="none"/>
        </w:rPr>
        <w:t>.2.1电气设备的供货、安装、调试、运行及验收应符合电气一般技术规范以及各设备专用技术规范的要求。</w:t>
      </w:r>
    </w:p>
    <w:p w14:paraId="2D176A8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w:t>
      </w:r>
      <w:r>
        <w:rPr>
          <w:rFonts w:ascii="宋体" w:hAnsi="宋体"/>
          <w:color w:val="auto"/>
          <w:sz w:val="24"/>
          <w:highlight w:val="none"/>
        </w:rPr>
        <w:t>.2.2所供电气设备以及所提供的电气设备的安装服务应能确保所有设备、元件形成一个完整的供配电系统。</w:t>
      </w:r>
    </w:p>
    <w:p w14:paraId="4BB79B66">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w:t>
      </w:r>
      <w:r>
        <w:rPr>
          <w:rFonts w:ascii="宋体" w:hAnsi="宋体"/>
          <w:color w:val="auto"/>
          <w:sz w:val="24"/>
          <w:highlight w:val="none"/>
        </w:rPr>
        <w:t>.2.3中标人投标时应提供所有电气设备和主要元器件的原产地、厂家、名称、规格型号等关键说明，并提供该产品型式试验报告。其中</w:t>
      </w:r>
      <w:r>
        <w:rPr>
          <w:rFonts w:hint="eastAsia" w:ascii="宋体" w:hAnsi="宋体"/>
          <w:color w:val="auto"/>
          <w:sz w:val="24"/>
          <w:highlight w:val="none"/>
        </w:rPr>
        <w:t>高</w:t>
      </w:r>
      <w:r>
        <w:rPr>
          <w:rFonts w:ascii="宋体" w:hAnsi="宋体"/>
          <w:color w:val="auto"/>
          <w:sz w:val="24"/>
          <w:highlight w:val="none"/>
        </w:rPr>
        <w:t>低压开关柜</w:t>
      </w:r>
      <w:r>
        <w:rPr>
          <w:rFonts w:hint="eastAsia" w:ascii="宋体" w:hAnsi="宋体"/>
          <w:color w:val="auto"/>
          <w:sz w:val="24"/>
          <w:highlight w:val="none"/>
        </w:rPr>
        <w:t>及电缆</w:t>
      </w:r>
      <w:r>
        <w:rPr>
          <w:rFonts w:ascii="宋体" w:hAnsi="宋体"/>
          <w:color w:val="auto"/>
          <w:sz w:val="24"/>
          <w:highlight w:val="none"/>
        </w:rPr>
        <w:t>供货厂家建议参考推荐品牌厂家，如另行选择，则应提供三家</w:t>
      </w:r>
      <w:r>
        <w:rPr>
          <w:rFonts w:hint="eastAsia" w:ascii="宋体" w:hAnsi="宋体"/>
          <w:color w:val="auto"/>
          <w:sz w:val="24"/>
          <w:highlight w:val="none"/>
        </w:rPr>
        <w:t>以上</w:t>
      </w:r>
      <w:r>
        <w:rPr>
          <w:rFonts w:ascii="宋体" w:hAnsi="宋体"/>
          <w:color w:val="auto"/>
          <w:sz w:val="24"/>
          <w:highlight w:val="none"/>
        </w:rPr>
        <w:t>企业</w:t>
      </w:r>
      <w:r>
        <w:rPr>
          <w:rFonts w:hint="eastAsia" w:ascii="宋体" w:hAnsi="宋体"/>
          <w:color w:val="auto"/>
          <w:sz w:val="24"/>
          <w:highlight w:val="none"/>
        </w:rPr>
        <w:t>在化工行业中的</w:t>
      </w:r>
      <w:r>
        <w:rPr>
          <w:rFonts w:ascii="宋体" w:hAnsi="宋体"/>
          <w:color w:val="auto"/>
          <w:sz w:val="24"/>
          <w:highlight w:val="none"/>
        </w:rPr>
        <w:t>优良业绩，提供合同复印件及相关用户单位的业绩证明。</w:t>
      </w:r>
    </w:p>
    <w:p w14:paraId="7EE86C2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3.4.2.4主要设备</w:t>
      </w:r>
    </w:p>
    <w:p w14:paraId="19FF038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（1） 继电保护及自动化系统  </w:t>
      </w:r>
      <w:r>
        <w:rPr>
          <w:rFonts w:ascii="宋体" w:hAnsi="宋体"/>
          <w:color w:val="auto"/>
          <w:sz w:val="24"/>
          <w:highlight w:val="none"/>
        </w:rPr>
        <w:t>35kV系统采用集中组屏，</w:t>
      </w:r>
      <w:r>
        <w:rPr>
          <w:rFonts w:hint="eastAsia" w:ascii="宋体" w:hAnsi="宋体"/>
          <w:color w:val="auto"/>
          <w:sz w:val="24"/>
          <w:highlight w:val="none"/>
        </w:rPr>
        <w:t>6kV开关柜二次部分采用微机保护综合自动化装置，系统采用分层分布式结构，各智能化单元均分散安装开关柜上。电气主要元器件的控制、测量、信号采集采用硬接线及总线通讯方式接入原变电所深圳中电PECSTAR扩容后综合自动化系统。保护装置选用美国SEL</w:t>
      </w:r>
      <w:r>
        <w:rPr>
          <w:rFonts w:ascii="宋体" w:hAnsi="宋体"/>
          <w:color w:val="auto"/>
          <w:sz w:val="24"/>
          <w:highlight w:val="none"/>
        </w:rPr>
        <w:t>-351A</w:t>
      </w:r>
      <w:r>
        <w:rPr>
          <w:rFonts w:hint="eastAsia" w:ascii="宋体" w:hAnsi="宋体"/>
          <w:color w:val="auto"/>
          <w:sz w:val="24"/>
          <w:highlight w:val="none"/>
        </w:rPr>
        <w:t>，测控装置选用深圳中电PMC</w:t>
      </w:r>
      <w:r>
        <w:rPr>
          <w:rFonts w:ascii="宋体" w:hAnsi="宋体"/>
          <w:color w:val="auto"/>
          <w:sz w:val="24"/>
          <w:highlight w:val="none"/>
        </w:rPr>
        <w:t>-6700</w:t>
      </w:r>
      <w:r>
        <w:rPr>
          <w:rFonts w:hint="eastAsia" w:ascii="宋体" w:hAnsi="宋体"/>
          <w:color w:val="auto"/>
          <w:sz w:val="24"/>
          <w:highlight w:val="none"/>
        </w:rPr>
        <w:t>。</w:t>
      </w:r>
    </w:p>
    <w:p w14:paraId="6775281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低压开关柜（若有）</w:t>
      </w:r>
      <w:r>
        <w:rPr>
          <w:rFonts w:hint="eastAsia" w:ascii="宋体" w:hAnsi="宋体"/>
          <w:color w:val="auto"/>
          <w:sz w:val="24"/>
          <w:highlight w:val="none"/>
        </w:rPr>
        <w:t xml:space="preserve"> </w:t>
      </w:r>
      <w:r>
        <w:rPr>
          <w:rFonts w:ascii="宋体" w:hAnsi="宋体"/>
          <w:color w:val="auto"/>
          <w:sz w:val="24"/>
          <w:highlight w:val="none"/>
        </w:rPr>
        <w:t>选用不低于低压抽出式开关柜</w:t>
      </w:r>
      <w:r>
        <w:rPr>
          <w:rFonts w:hint="eastAsia" w:ascii="宋体" w:hAnsi="宋体"/>
          <w:color w:val="auto"/>
          <w:sz w:val="24"/>
          <w:highlight w:val="none"/>
        </w:rPr>
        <w:t>高级型</w:t>
      </w:r>
      <w:r>
        <w:rPr>
          <w:rFonts w:ascii="宋体" w:hAnsi="宋体"/>
          <w:color w:val="auto"/>
          <w:sz w:val="24"/>
          <w:highlight w:val="none"/>
        </w:rPr>
        <w:t>MNS2.0系列。低压开关柜主要元器件</w:t>
      </w:r>
      <w:r>
        <w:rPr>
          <w:rFonts w:hint="eastAsia" w:ascii="宋体" w:hAnsi="宋体"/>
          <w:color w:val="auto"/>
          <w:sz w:val="24"/>
          <w:highlight w:val="none"/>
        </w:rPr>
        <w:t>按</w:t>
      </w:r>
      <w:r>
        <w:rPr>
          <w:rFonts w:ascii="宋体" w:hAnsi="宋体"/>
          <w:color w:val="auto"/>
          <w:sz w:val="24"/>
          <w:highlight w:val="none"/>
        </w:rPr>
        <w:t>以下要求配置：</w:t>
      </w:r>
    </w:p>
    <w:p w14:paraId="12997DBC">
      <w:pPr>
        <w:adjustRightInd w:val="0"/>
        <w:snapToGrid w:val="0"/>
        <w:spacing w:line="360" w:lineRule="auto"/>
        <w:rPr>
          <w:rFonts w:ascii="宋体" w:hAnsi="宋体"/>
          <w:color w:val="auto"/>
          <w:sz w:val="24"/>
          <w:highlight w:val="none"/>
        </w:rPr>
      </w:pPr>
      <w:r>
        <w:rPr>
          <w:rFonts w:ascii="宋体" w:hAnsi="宋体"/>
          <w:color w:val="auto"/>
          <w:sz w:val="24"/>
          <w:highlight w:val="none"/>
        </w:rPr>
        <w:t>（一）框架断路器</w:t>
      </w:r>
    </w:p>
    <w:p w14:paraId="57946EA5">
      <w:pPr>
        <w:adjustRightInd w:val="0"/>
        <w:snapToGrid w:val="0"/>
        <w:spacing w:line="360" w:lineRule="auto"/>
        <w:rPr>
          <w:rFonts w:ascii="宋体" w:hAnsi="宋体"/>
          <w:color w:val="auto"/>
          <w:sz w:val="24"/>
          <w:highlight w:val="none"/>
        </w:rPr>
      </w:pPr>
    </w:p>
    <w:p w14:paraId="541AC3FC">
      <w:pPr>
        <w:adjustRightInd w:val="0"/>
        <w:snapToGrid w:val="0"/>
        <w:spacing w:line="360" w:lineRule="auto"/>
        <w:rPr>
          <w:rFonts w:ascii="宋体" w:hAnsi="宋体"/>
          <w:color w:val="auto"/>
          <w:sz w:val="24"/>
          <w:highlight w:val="none"/>
        </w:rPr>
      </w:pPr>
      <w:r>
        <w:rPr>
          <w:rFonts w:ascii="宋体" w:hAnsi="宋体"/>
          <w:color w:val="auto"/>
          <w:sz w:val="24"/>
          <w:highlight w:val="none"/>
        </w:rPr>
        <w:t>  *品质选择：按图纸参数并参照下表选用，抽出式且不带机械联锁，不带失压保护，带测量模块、带通讯模块、带信号模块、带电源、间隔衬垫等。</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4"/>
        <w:gridCol w:w="4264"/>
      </w:tblGrid>
      <w:tr w14:paraId="2AA62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6254E6F6">
            <w:pPr>
              <w:adjustRightInd w:val="0"/>
              <w:snapToGrid w:val="0"/>
              <w:spacing w:line="360" w:lineRule="auto"/>
              <w:rPr>
                <w:rFonts w:ascii="宋体" w:hAnsi="宋体"/>
                <w:color w:val="auto"/>
                <w:sz w:val="24"/>
                <w:highlight w:val="none"/>
              </w:rPr>
            </w:pPr>
            <w:r>
              <w:rPr>
                <w:rFonts w:ascii="宋体" w:hAnsi="宋体"/>
                <w:color w:val="auto"/>
                <w:sz w:val="24"/>
                <w:highlight w:val="none"/>
              </w:rPr>
              <w:t>额定框架电流1600A以上</w:t>
            </w:r>
          </w:p>
        </w:tc>
        <w:tc>
          <w:tcPr>
            <w:tcW w:w="4264" w:type="dxa"/>
          </w:tcPr>
          <w:p w14:paraId="7135E24E">
            <w:pPr>
              <w:adjustRightInd w:val="0"/>
              <w:snapToGrid w:val="0"/>
              <w:spacing w:line="360" w:lineRule="auto"/>
              <w:rPr>
                <w:rFonts w:ascii="宋体" w:hAnsi="宋体"/>
                <w:color w:val="auto"/>
                <w:sz w:val="24"/>
                <w:highlight w:val="none"/>
              </w:rPr>
            </w:pPr>
            <w:r>
              <w:rPr>
                <w:rFonts w:ascii="宋体" w:hAnsi="宋体"/>
                <w:color w:val="auto"/>
                <w:sz w:val="24"/>
                <w:highlight w:val="none"/>
              </w:rPr>
              <w:t> 额定框架电流1600A以下</w:t>
            </w:r>
          </w:p>
        </w:tc>
      </w:tr>
      <w:tr w14:paraId="2B418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12E905F1">
            <w:pPr>
              <w:adjustRightInd w:val="0"/>
              <w:snapToGrid w:val="0"/>
              <w:spacing w:line="360" w:lineRule="auto"/>
              <w:rPr>
                <w:rFonts w:ascii="宋体" w:hAnsi="宋体"/>
                <w:color w:val="auto"/>
                <w:sz w:val="24"/>
                <w:highlight w:val="none"/>
              </w:rPr>
            </w:pPr>
            <w:r>
              <w:rPr>
                <w:rFonts w:ascii="宋体" w:hAnsi="宋体"/>
                <w:color w:val="auto"/>
                <w:sz w:val="24"/>
                <w:highlight w:val="none"/>
              </w:rPr>
              <w:t>ABB公司Emax2系列+T-LSI</w:t>
            </w:r>
          </w:p>
        </w:tc>
        <w:tc>
          <w:tcPr>
            <w:tcW w:w="4264" w:type="dxa"/>
          </w:tcPr>
          <w:p w14:paraId="3D1CFC50">
            <w:pPr>
              <w:adjustRightInd w:val="0"/>
              <w:snapToGrid w:val="0"/>
              <w:spacing w:line="360" w:lineRule="auto"/>
              <w:rPr>
                <w:rFonts w:ascii="宋体" w:hAnsi="宋体"/>
                <w:color w:val="auto"/>
                <w:sz w:val="24"/>
                <w:highlight w:val="none"/>
              </w:rPr>
            </w:pPr>
            <w:r>
              <w:rPr>
                <w:rFonts w:ascii="宋体" w:hAnsi="宋体"/>
                <w:color w:val="auto"/>
                <w:sz w:val="24"/>
                <w:highlight w:val="none"/>
              </w:rPr>
              <w:t> ABB公司Emax2系列+D-LSI</w:t>
            </w:r>
          </w:p>
        </w:tc>
      </w:tr>
      <w:tr w14:paraId="4A42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46F013A0">
            <w:pPr>
              <w:adjustRightInd w:val="0"/>
              <w:snapToGrid w:val="0"/>
              <w:spacing w:line="360" w:lineRule="auto"/>
              <w:rPr>
                <w:rFonts w:ascii="宋体" w:hAnsi="宋体"/>
                <w:color w:val="auto"/>
                <w:sz w:val="24"/>
                <w:highlight w:val="none"/>
              </w:rPr>
            </w:pPr>
            <w:r>
              <w:rPr>
                <w:rFonts w:ascii="宋体" w:hAnsi="宋体"/>
                <w:color w:val="auto"/>
                <w:sz w:val="24"/>
                <w:highlight w:val="none"/>
              </w:rPr>
              <w:t>施耐德公司MTZ系列+Mic5.0X</w:t>
            </w:r>
          </w:p>
        </w:tc>
        <w:tc>
          <w:tcPr>
            <w:tcW w:w="4264" w:type="dxa"/>
          </w:tcPr>
          <w:p w14:paraId="4FDCA37D">
            <w:pPr>
              <w:adjustRightInd w:val="0"/>
              <w:snapToGrid w:val="0"/>
              <w:spacing w:line="360" w:lineRule="auto"/>
              <w:rPr>
                <w:rFonts w:ascii="宋体" w:hAnsi="宋体"/>
                <w:color w:val="auto"/>
                <w:sz w:val="24"/>
                <w:highlight w:val="none"/>
              </w:rPr>
            </w:pPr>
            <w:r>
              <w:rPr>
                <w:rFonts w:ascii="宋体" w:hAnsi="宋体"/>
                <w:color w:val="auto"/>
                <w:sz w:val="24"/>
                <w:highlight w:val="none"/>
              </w:rPr>
              <w:t>施耐德公司MTZ系列+Mic5.0X</w:t>
            </w:r>
          </w:p>
        </w:tc>
      </w:tr>
      <w:tr w14:paraId="79398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6D736159">
            <w:pPr>
              <w:adjustRightInd w:val="0"/>
              <w:snapToGrid w:val="0"/>
              <w:spacing w:line="360" w:lineRule="auto"/>
              <w:rPr>
                <w:rFonts w:ascii="宋体" w:hAnsi="宋体"/>
                <w:color w:val="auto"/>
                <w:sz w:val="24"/>
                <w:highlight w:val="none"/>
              </w:rPr>
            </w:pPr>
            <w:r>
              <w:rPr>
                <w:rFonts w:ascii="宋体" w:hAnsi="宋体"/>
                <w:color w:val="auto"/>
                <w:sz w:val="24"/>
                <w:highlight w:val="none"/>
              </w:rPr>
              <w:t>西门子公司3WL系列+ETU45B</w:t>
            </w:r>
          </w:p>
        </w:tc>
        <w:tc>
          <w:tcPr>
            <w:tcW w:w="4264" w:type="dxa"/>
          </w:tcPr>
          <w:p w14:paraId="53886527">
            <w:pPr>
              <w:adjustRightInd w:val="0"/>
              <w:snapToGrid w:val="0"/>
              <w:spacing w:line="360" w:lineRule="auto"/>
              <w:rPr>
                <w:rFonts w:ascii="宋体" w:hAnsi="宋体"/>
                <w:color w:val="auto"/>
                <w:sz w:val="24"/>
                <w:highlight w:val="none"/>
              </w:rPr>
            </w:pPr>
            <w:r>
              <w:rPr>
                <w:rFonts w:ascii="宋体" w:hAnsi="宋体"/>
                <w:color w:val="auto"/>
                <w:sz w:val="24"/>
                <w:highlight w:val="none"/>
              </w:rPr>
              <w:t>西门子公司3WL系列+ETU45B</w:t>
            </w:r>
          </w:p>
        </w:tc>
      </w:tr>
      <w:tr w14:paraId="0DC51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2B595D8D">
            <w:pPr>
              <w:adjustRightInd w:val="0"/>
              <w:snapToGrid w:val="0"/>
              <w:spacing w:line="360" w:lineRule="auto"/>
              <w:rPr>
                <w:rFonts w:ascii="宋体" w:hAnsi="宋体"/>
                <w:color w:val="auto"/>
                <w:sz w:val="24"/>
                <w:highlight w:val="none"/>
              </w:rPr>
            </w:pPr>
            <w:r>
              <w:rPr>
                <w:rFonts w:ascii="宋体" w:hAnsi="宋体"/>
                <w:color w:val="auto"/>
                <w:sz w:val="24"/>
                <w:highlight w:val="none"/>
              </w:rPr>
              <w:t>三菱AE系列+WS1+DP1</w:t>
            </w:r>
          </w:p>
        </w:tc>
        <w:tc>
          <w:tcPr>
            <w:tcW w:w="4264" w:type="dxa"/>
          </w:tcPr>
          <w:p w14:paraId="0B73EB98">
            <w:pPr>
              <w:adjustRightInd w:val="0"/>
              <w:snapToGrid w:val="0"/>
              <w:spacing w:line="360" w:lineRule="auto"/>
              <w:rPr>
                <w:rFonts w:ascii="宋体" w:hAnsi="宋体"/>
                <w:color w:val="auto"/>
                <w:sz w:val="24"/>
                <w:highlight w:val="none"/>
              </w:rPr>
            </w:pPr>
          </w:p>
        </w:tc>
      </w:tr>
    </w:tbl>
    <w:p w14:paraId="19EEEAEF">
      <w:pPr>
        <w:adjustRightInd w:val="0"/>
        <w:snapToGrid w:val="0"/>
        <w:spacing w:line="360" w:lineRule="auto"/>
        <w:rPr>
          <w:rFonts w:ascii="宋体" w:hAnsi="宋体"/>
          <w:color w:val="auto"/>
          <w:sz w:val="24"/>
          <w:highlight w:val="none"/>
        </w:rPr>
      </w:pPr>
      <w:r>
        <w:rPr>
          <w:rFonts w:ascii="宋体" w:hAnsi="宋体"/>
          <w:color w:val="auto"/>
          <w:sz w:val="24"/>
          <w:highlight w:val="none"/>
        </w:rPr>
        <w:t>框架开关的基本要求：</w:t>
      </w:r>
    </w:p>
    <w:p w14:paraId="44302320">
      <w:pPr>
        <w:adjustRightInd w:val="0"/>
        <w:snapToGrid w:val="0"/>
        <w:spacing w:line="360" w:lineRule="auto"/>
        <w:rPr>
          <w:rFonts w:ascii="宋体" w:hAnsi="宋体"/>
          <w:color w:val="auto"/>
          <w:sz w:val="24"/>
          <w:highlight w:val="none"/>
        </w:rPr>
      </w:pPr>
    </w:p>
    <w:p w14:paraId="0A287D10">
      <w:pPr>
        <w:adjustRightInd w:val="0"/>
        <w:snapToGrid w:val="0"/>
        <w:spacing w:line="360" w:lineRule="auto"/>
        <w:rPr>
          <w:rFonts w:ascii="宋体" w:hAnsi="宋体"/>
          <w:color w:val="auto"/>
          <w:sz w:val="24"/>
          <w:highlight w:val="none"/>
        </w:rPr>
      </w:pPr>
      <w:r>
        <w:rPr>
          <w:rFonts w:ascii="宋体" w:hAnsi="宋体"/>
          <w:color w:val="auto"/>
          <w:sz w:val="24"/>
          <w:highlight w:val="none"/>
        </w:rPr>
        <w:t>  额定绝缘电压Ui=1000V；</w:t>
      </w:r>
    </w:p>
    <w:p w14:paraId="2A7B8E5F">
      <w:pPr>
        <w:adjustRightInd w:val="0"/>
        <w:snapToGrid w:val="0"/>
        <w:spacing w:line="360" w:lineRule="auto"/>
        <w:rPr>
          <w:rFonts w:ascii="宋体" w:hAnsi="宋体"/>
          <w:color w:val="auto"/>
          <w:sz w:val="24"/>
          <w:highlight w:val="none"/>
        </w:rPr>
      </w:pPr>
    </w:p>
    <w:p w14:paraId="714EEBBA">
      <w:pPr>
        <w:adjustRightInd w:val="0"/>
        <w:snapToGrid w:val="0"/>
        <w:spacing w:line="360" w:lineRule="auto"/>
        <w:rPr>
          <w:rFonts w:ascii="宋体" w:hAnsi="宋体"/>
          <w:color w:val="auto"/>
          <w:sz w:val="24"/>
          <w:highlight w:val="none"/>
        </w:rPr>
      </w:pPr>
      <w:r>
        <w:rPr>
          <w:rFonts w:ascii="宋体" w:hAnsi="宋体"/>
          <w:color w:val="auto"/>
          <w:sz w:val="24"/>
          <w:highlight w:val="none"/>
        </w:rPr>
        <w:t>  额定冲击耐受电压Uimp=12kV；</w:t>
      </w:r>
    </w:p>
    <w:p w14:paraId="0355B0E3">
      <w:pPr>
        <w:adjustRightInd w:val="0"/>
        <w:snapToGrid w:val="0"/>
        <w:spacing w:line="360" w:lineRule="auto"/>
        <w:rPr>
          <w:rFonts w:ascii="宋体" w:hAnsi="宋体"/>
          <w:color w:val="auto"/>
          <w:sz w:val="24"/>
          <w:highlight w:val="none"/>
        </w:rPr>
      </w:pPr>
    </w:p>
    <w:p w14:paraId="69A5E5B6">
      <w:pPr>
        <w:adjustRightInd w:val="0"/>
        <w:snapToGrid w:val="0"/>
        <w:spacing w:line="360" w:lineRule="auto"/>
        <w:rPr>
          <w:rFonts w:ascii="宋体" w:hAnsi="宋体"/>
          <w:color w:val="auto"/>
          <w:sz w:val="24"/>
          <w:highlight w:val="none"/>
        </w:rPr>
      </w:pPr>
      <w:r>
        <w:rPr>
          <w:rFonts w:ascii="宋体" w:hAnsi="宋体"/>
          <w:color w:val="auto"/>
          <w:sz w:val="24"/>
          <w:highlight w:val="none"/>
        </w:rPr>
        <w:t>  额定工作电压Ue=690V（50/60Hz）；</w:t>
      </w:r>
    </w:p>
    <w:p w14:paraId="05EDD5EF">
      <w:pPr>
        <w:adjustRightInd w:val="0"/>
        <w:snapToGrid w:val="0"/>
        <w:spacing w:line="360" w:lineRule="auto"/>
        <w:rPr>
          <w:rFonts w:ascii="宋体" w:hAnsi="宋体"/>
          <w:color w:val="auto"/>
          <w:sz w:val="24"/>
          <w:highlight w:val="none"/>
        </w:rPr>
      </w:pPr>
    </w:p>
    <w:p w14:paraId="2A49425D">
      <w:pPr>
        <w:adjustRightInd w:val="0"/>
        <w:snapToGrid w:val="0"/>
        <w:spacing w:line="360" w:lineRule="auto"/>
        <w:rPr>
          <w:rFonts w:ascii="宋体" w:hAnsi="宋体"/>
          <w:color w:val="auto"/>
          <w:sz w:val="24"/>
          <w:highlight w:val="none"/>
        </w:rPr>
      </w:pPr>
      <w:r>
        <w:rPr>
          <w:rFonts w:ascii="宋体" w:hAnsi="宋体"/>
          <w:color w:val="auto"/>
          <w:sz w:val="24"/>
          <w:highlight w:val="none"/>
        </w:rPr>
        <w:t>  污染等级3级（IEC60664-1）。</w:t>
      </w:r>
    </w:p>
    <w:p w14:paraId="1610CD97">
      <w:pPr>
        <w:adjustRightInd w:val="0"/>
        <w:snapToGrid w:val="0"/>
        <w:spacing w:line="360" w:lineRule="auto"/>
        <w:rPr>
          <w:rFonts w:ascii="宋体" w:hAnsi="宋体"/>
          <w:color w:val="auto"/>
          <w:sz w:val="24"/>
          <w:highlight w:val="none"/>
        </w:rPr>
      </w:pPr>
    </w:p>
    <w:p w14:paraId="176A9DB0">
      <w:pPr>
        <w:adjustRightInd w:val="0"/>
        <w:snapToGrid w:val="0"/>
        <w:spacing w:line="360" w:lineRule="auto"/>
        <w:rPr>
          <w:rFonts w:ascii="宋体" w:hAnsi="宋体"/>
          <w:color w:val="auto"/>
          <w:sz w:val="24"/>
          <w:highlight w:val="none"/>
        </w:rPr>
      </w:pPr>
      <w:r>
        <w:rPr>
          <w:rFonts w:ascii="宋体" w:hAnsi="宋体"/>
          <w:color w:val="auto"/>
          <w:sz w:val="24"/>
          <w:highlight w:val="none"/>
        </w:rPr>
        <w:t>    极限分断能力≥65kA（AC380/415V）；</w:t>
      </w:r>
    </w:p>
    <w:p w14:paraId="063A4D03">
      <w:pPr>
        <w:adjustRightInd w:val="0"/>
        <w:snapToGrid w:val="0"/>
        <w:spacing w:line="360" w:lineRule="auto"/>
        <w:rPr>
          <w:rFonts w:ascii="宋体" w:hAnsi="宋体"/>
          <w:color w:val="auto"/>
          <w:sz w:val="24"/>
          <w:highlight w:val="none"/>
        </w:rPr>
      </w:pPr>
    </w:p>
    <w:p w14:paraId="00A530D3">
      <w:pPr>
        <w:adjustRightInd w:val="0"/>
        <w:snapToGrid w:val="0"/>
        <w:spacing w:line="360" w:lineRule="auto"/>
        <w:rPr>
          <w:rFonts w:ascii="宋体" w:hAnsi="宋体"/>
          <w:color w:val="auto"/>
          <w:sz w:val="24"/>
          <w:highlight w:val="none"/>
        </w:rPr>
      </w:pPr>
      <w:r>
        <w:rPr>
          <w:rFonts w:ascii="宋体" w:hAnsi="宋体"/>
          <w:color w:val="auto"/>
          <w:sz w:val="24"/>
          <w:highlight w:val="none"/>
        </w:rPr>
        <w:t>    短时耐受电流Icw=100kA（0.5s）</w:t>
      </w:r>
    </w:p>
    <w:p w14:paraId="73EE91BA">
      <w:pPr>
        <w:adjustRightInd w:val="0"/>
        <w:snapToGrid w:val="0"/>
        <w:spacing w:line="360" w:lineRule="auto"/>
        <w:rPr>
          <w:rFonts w:ascii="宋体" w:hAnsi="宋体"/>
          <w:color w:val="auto"/>
          <w:sz w:val="24"/>
          <w:highlight w:val="none"/>
        </w:rPr>
      </w:pPr>
    </w:p>
    <w:p w14:paraId="728BFCC9">
      <w:pPr>
        <w:adjustRightInd w:val="0"/>
        <w:snapToGrid w:val="0"/>
        <w:spacing w:line="360" w:lineRule="auto"/>
        <w:rPr>
          <w:rFonts w:ascii="宋体" w:hAnsi="宋体"/>
          <w:color w:val="auto"/>
          <w:sz w:val="24"/>
          <w:highlight w:val="none"/>
        </w:rPr>
      </w:pPr>
      <w:r>
        <w:rPr>
          <w:rFonts w:ascii="宋体" w:hAnsi="宋体"/>
          <w:color w:val="auto"/>
          <w:sz w:val="24"/>
          <w:highlight w:val="none"/>
        </w:rPr>
        <w:t>           Icw=100kA（1s）</w:t>
      </w:r>
    </w:p>
    <w:p w14:paraId="5A800DF1">
      <w:pPr>
        <w:adjustRightInd w:val="0"/>
        <w:snapToGrid w:val="0"/>
        <w:spacing w:line="360" w:lineRule="auto"/>
        <w:rPr>
          <w:rFonts w:ascii="宋体" w:hAnsi="宋体"/>
          <w:color w:val="auto"/>
          <w:sz w:val="24"/>
          <w:highlight w:val="none"/>
        </w:rPr>
      </w:pPr>
    </w:p>
    <w:p w14:paraId="4003E519">
      <w:pPr>
        <w:adjustRightInd w:val="0"/>
        <w:snapToGrid w:val="0"/>
        <w:spacing w:line="360" w:lineRule="auto"/>
        <w:rPr>
          <w:rFonts w:ascii="宋体" w:hAnsi="宋体"/>
          <w:color w:val="auto"/>
          <w:sz w:val="24"/>
          <w:highlight w:val="none"/>
        </w:rPr>
      </w:pPr>
      <w:r>
        <w:rPr>
          <w:rFonts w:ascii="宋体" w:hAnsi="宋体"/>
          <w:color w:val="auto"/>
          <w:sz w:val="24"/>
          <w:highlight w:val="none"/>
        </w:rPr>
        <w:t>           Icw=100kA（3s）</w:t>
      </w:r>
    </w:p>
    <w:p w14:paraId="03BAB233">
      <w:pPr>
        <w:adjustRightInd w:val="0"/>
        <w:snapToGrid w:val="0"/>
        <w:spacing w:line="360" w:lineRule="auto"/>
        <w:rPr>
          <w:rFonts w:ascii="宋体" w:hAnsi="宋体"/>
          <w:color w:val="auto"/>
          <w:sz w:val="24"/>
          <w:highlight w:val="none"/>
        </w:rPr>
      </w:pPr>
    </w:p>
    <w:p w14:paraId="6692EEE1">
      <w:pPr>
        <w:adjustRightInd w:val="0"/>
        <w:snapToGrid w:val="0"/>
        <w:spacing w:line="360" w:lineRule="auto"/>
        <w:rPr>
          <w:rFonts w:ascii="宋体" w:hAnsi="宋体"/>
          <w:color w:val="auto"/>
          <w:sz w:val="24"/>
          <w:highlight w:val="none"/>
        </w:rPr>
      </w:pPr>
      <w:r>
        <w:rPr>
          <w:rFonts w:ascii="宋体" w:hAnsi="宋体"/>
          <w:color w:val="auto"/>
          <w:sz w:val="24"/>
          <w:highlight w:val="none"/>
        </w:rPr>
        <w:t>    分断时间25ms；</w:t>
      </w:r>
    </w:p>
    <w:p w14:paraId="57585943">
      <w:pPr>
        <w:adjustRightInd w:val="0"/>
        <w:snapToGrid w:val="0"/>
        <w:spacing w:line="360" w:lineRule="auto"/>
        <w:rPr>
          <w:rFonts w:ascii="宋体" w:hAnsi="宋体"/>
          <w:color w:val="auto"/>
          <w:sz w:val="24"/>
          <w:highlight w:val="none"/>
        </w:rPr>
      </w:pPr>
    </w:p>
    <w:p w14:paraId="773B1917">
      <w:pPr>
        <w:adjustRightInd w:val="0"/>
        <w:snapToGrid w:val="0"/>
        <w:spacing w:line="360" w:lineRule="auto"/>
        <w:rPr>
          <w:rFonts w:ascii="宋体" w:hAnsi="宋体"/>
          <w:color w:val="auto"/>
          <w:sz w:val="24"/>
          <w:highlight w:val="none"/>
        </w:rPr>
      </w:pPr>
      <w:r>
        <w:rPr>
          <w:rFonts w:ascii="宋体" w:hAnsi="宋体"/>
          <w:color w:val="auto"/>
          <w:sz w:val="24"/>
          <w:highlight w:val="none"/>
        </w:rPr>
        <w:t>    闭合时间＜80ms；</w:t>
      </w:r>
    </w:p>
    <w:p w14:paraId="10D34DBD">
      <w:pPr>
        <w:adjustRightInd w:val="0"/>
        <w:snapToGrid w:val="0"/>
        <w:spacing w:line="360" w:lineRule="auto"/>
        <w:rPr>
          <w:rFonts w:ascii="宋体" w:hAnsi="宋体"/>
          <w:color w:val="auto"/>
          <w:sz w:val="24"/>
          <w:highlight w:val="none"/>
        </w:rPr>
      </w:pPr>
    </w:p>
    <w:p w14:paraId="1145E191">
      <w:pPr>
        <w:adjustRightInd w:val="0"/>
        <w:snapToGrid w:val="0"/>
        <w:spacing w:line="360" w:lineRule="auto"/>
        <w:rPr>
          <w:rFonts w:ascii="宋体" w:hAnsi="宋体"/>
          <w:color w:val="auto"/>
          <w:sz w:val="24"/>
          <w:highlight w:val="none"/>
        </w:rPr>
      </w:pPr>
      <w:r>
        <w:rPr>
          <w:rFonts w:ascii="宋体" w:hAnsi="宋体"/>
          <w:color w:val="auto"/>
          <w:sz w:val="24"/>
          <w:highlight w:val="none"/>
        </w:rPr>
        <w:t> 框架开关机械寿命不小于10000次</w:t>
      </w:r>
    </w:p>
    <w:p w14:paraId="16C86C0B">
      <w:pPr>
        <w:adjustRightInd w:val="0"/>
        <w:snapToGrid w:val="0"/>
        <w:spacing w:line="360" w:lineRule="auto"/>
        <w:rPr>
          <w:rFonts w:ascii="宋体" w:hAnsi="宋体"/>
          <w:color w:val="auto"/>
          <w:sz w:val="24"/>
          <w:highlight w:val="none"/>
        </w:rPr>
      </w:pPr>
    </w:p>
    <w:p w14:paraId="2456EC1D">
      <w:pPr>
        <w:adjustRightInd w:val="0"/>
        <w:snapToGrid w:val="0"/>
        <w:spacing w:line="360" w:lineRule="auto"/>
        <w:rPr>
          <w:rFonts w:ascii="宋体" w:hAnsi="宋体"/>
          <w:color w:val="auto"/>
          <w:sz w:val="24"/>
          <w:highlight w:val="none"/>
        </w:rPr>
      </w:pPr>
      <w:r>
        <w:rPr>
          <w:rFonts w:ascii="宋体" w:hAnsi="宋体"/>
          <w:color w:val="auto"/>
          <w:sz w:val="24"/>
          <w:highlight w:val="none"/>
        </w:rPr>
        <w:t> 保护模式：</w:t>
      </w:r>
    </w:p>
    <w:p w14:paraId="36C8376E">
      <w:pPr>
        <w:adjustRightInd w:val="0"/>
        <w:snapToGrid w:val="0"/>
        <w:spacing w:line="360" w:lineRule="auto"/>
        <w:rPr>
          <w:rFonts w:ascii="宋体" w:hAnsi="宋体"/>
          <w:color w:val="auto"/>
          <w:sz w:val="24"/>
          <w:highlight w:val="none"/>
        </w:rPr>
      </w:pPr>
    </w:p>
    <w:p w14:paraId="6C9B9090">
      <w:pPr>
        <w:adjustRightInd w:val="0"/>
        <w:snapToGrid w:val="0"/>
        <w:spacing w:line="360" w:lineRule="auto"/>
        <w:rPr>
          <w:rFonts w:ascii="宋体" w:hAnsi="宋体"/>
          <w:color w:val="auto"/>
          <w:sz w:val="24"/>
          <w:highlight w:val="none"/>
        </w:rPr>
      </w:pPr>
      <w:r>
        <w:rPr>
          <w:rFonts w:ascii="宋体" w:hAnsi="宋体"/>
          <w:color w:val="auto"/>
          <w:sz w:val="24"/>
          <w:highlight w:val="none"/>
        </w:rPr>
        <w:t>1）长延时：电流整定Ir=0.4In~In，整定步长1A；</w:t>
      </w:r>
    </w:p>
    <w:p w14:paraId="62ED5732">
      <w:pPr>
        <w:adjustRightInd w:val="0"/>
        <w:snapToGrid w:val="0"/>
        <w:spacing w:line="360" w:lineRule="auto"/>
        <w:rPr>
          <w:rFonts w:ascii="宋体" w:hAnsi="宋体"/>
          <w:color w:val="auto"/>
          <w:sz w:val="24"/>
          <w:highlight w:val="none"/>
        </w:rPr>
      </w:pPr>
    </w:p>
    <w:p w14:paraId="55C28E1E">
      <w:pPr>
        <w:adjustRightInd w:val="0"/>
        <w:snapToGrid w:val="0"/>
        <w:spacing w:line="360" w:lineRule="auto"/>
        <w:rPr>
          <w:rFonts w:ascii="宋体" w:hAnsi="宋体"/>
          <w:color w:val="auto"/>
          <w:sz w:val="24"/>
          <w:highlight w:val="none"/>
        </w:rPr>
      </w:pPr>
      <w:r>
        <w:rPr>
          <w:rFonts w:ascii="宋体" w:hAnsi="宋体"/>
          <w:color w:val="auto"/>
          <w:sz w:val="24"/>
          <w:highlight w:val="none"/>
        </w:rPr>
        <w:t>     时间整定tr=0.5s~25s，整定步长0.5s当6倍Ir时</w:t>
      </w:r>
    </w:p>
    <w:p w14:paraId="24C6A91E">
      <w:pPr>
        <w:adjustRightInd w:val="0"/>
        <w:snapToGrid w:val="0"/>
        <w:spacing w:line="360" w:lineRule="auto"/>
        <w:rPr>
          <w:rFonts w:ascii="宋体" w:hAnsi="宋体"/>
          <w:color w:val="auto"/>
          <w:sz w:val="24"/>
          <w:highlight w:val="none"/>
        </w:rPr>
      </w:pPr>
    </w:p>
    <w:p w14:paraId="7F0E54B8">
      <w:pPr>
        <w:adjustRightInd w:val="0"/>
        <w:snapToGrid w:val="0"/>
        <w:spacing w:line="360" w:lineRule="auto"/>
        <w:rPr>
          <w:rFonts w:ascii="宋体" w:hAnsi="宋体"/>
          <w:color w:val="auto"/>
          <w:sz w:val="24"/>
          <w:highlight w:val="none"/>
        </w:rPr>
      </w:pPr>
      <w:r>
        <w:rPr>
          <w:rFonts w:ascii="宋体" w:hAnsi="宋体"/>
          <w:color w:val="auto"/>
          <w:sz w:val="24"/>
          <w:highlight w:val="none"/>
        </w:rPr>
        <w:t>2）短延时：整定值Isd=1.5~10Ir，整定步长0.5倍Ir，精确度±10%</w:t>
      </w:r>
    </w:p>
    <w:p w14:paraId="1F8A94FF">
      <w:pPr>
        <w:adjustRightInd w:val="0"/>
        <w:snapToGrid w:val="0"/>
        <w:spacing w:line="360" w:lineRule="auto"/>
        <w:rPr>
          <w:rFonts w:ascii="宋体" w:hAnsi="宋体"/>
          <w:color w:val="auto"/>
          <w:sz w:val="24"/>
          <w:highlight w:val="none"/>
        </w:rPr>
      </w:pPr>
    </w:p>
    <w:p w14:paraId="2B6EA19B">
      <w:pPr>
        <w:adjustRightInd w:val="0"/>
        <w:snapToGrid w:val="0"/>
        <w:spacing w:line="360" w:lineRule="auto"/>
        <w:rPr>
          <w:rFonts w:ascii="宋体" w:hAnsi="宋体"/>
          <w:color w:val="auto"/>
          <w:sz w:val="24"/>
          <w:highlight w:val="none"/>
        </w:rPr>
      </w:pPr>
      <w:r>
        <w:rPr>
          <w:rFonts w:ascii="宋体" w:hAnsi="宋体"/>
          <w:color w:val="auto"/>
          <w:sz w:val="24"/>
          <w:highlight w:val="none"/>
        </w:rPr>
        <w:t>     延时整定值tsd=0/0.1/0.2/0.3/0.4（I2t Off/ I2t On）</w:t>
      </w:r>
    </w:p>
    <w:p w14:paraId="61E84941">
      <w:pPr>
        <w:adjustRightInd w:val="0"/>
        <w:snapToGrid w:val="0"/>
        <w:spacing w:line="360" w:lineRule="auto"/>
        <w:rPr>
          <w:rFonts w:ascii="宋体" w:hAnsi="宋体"/>
          <w:color w:val="auto"/>
          <w:sz w:val="24"/>
          <w:highlight w:val="none"/>
        </w:rPr>
      </w:pPr>
    </w:p>
    <w:p w14:paraId="717194A2">
      <w:pPr>
        <w:adjustRightInd w:val="0"/>
        <w:snapToGrid w:val="0"/>
        <w:spacing w:line="360" w:lineRule="auto"/>
        <w:rPr>
          <w:rFonts w:ascii="宋体" w:hAnsi="宋体"/>
          <w:color w:val="auto"/>
          <w:sz w:val="24"/>
          <w:highlight w:val="none"/>
        </w:rPr>
      </w:pPr>
      <w:r>
        <w:rPr>
          <w:rFonts w:ascii="宋体" w:hAnsi="宋体"/>
          <w:color w:val="auto"/>
          <w:sz w:val="24"/>
          <w:highlight w:val="none"/>
        </w:rPr>
        <w:t>3）瞬时：整定值Ii=2~15In，整定步长0.5倍In和关闭，精确度±10%</w:t>
      </w:r>
    </w:p>
    <w:p w14:paraId="3D9CB67C">
      <w:pPr>
        <w:adjustRightInd w:val="0"/>
        <w:snapToGrid w:val="0"/>
        <w:spacing w:line="360" w:lineRule="auto"/>
        <w:rPr>
          <w:rFonts w:ascii="宋体" w:hAnsi="宋体"/>
          <w:color w:val="auto"/>
          <w:sz w:val="24"/>
          <w:highlight w:val="none"/>
        </w:rPr>
      </w:pPr>
    </w:p>
    <w:p w14:paraId="43B33C53">
      <w:pPr>
        <w:adjustRightInd w:val="0"/>
        <w:snapToGrid w:val="0"/>
        <w:spacing w:line="360" w:lineRule="auto"/>
        <w:rPr>
          <w:rFonts w:ascii="宋体" w:hAnsi="宋体"/>
          <w:color w:val="auto"/>
          <w:sz w:val="24"/>
          <w:highlight w:val="none"/>
        </w:rPr>
      </w:pPr>
      <w:r>
        <w:rPr>
          <w:rFonts w:ascii="宋体" w:hAnsi="宋体"/>
          <w:color w:val="auto"/>
          <w:sz w:val="24"/>
          <w:highlight w:val="none"/>
        </w:rPr>
        <w:t>4）测量功能：满足集成式1级精度电能测量功能，其中电流、电压0.5%，功率、电能1%。</w:t>
      </w:r>
    </w:p>
    <w:p w14:paraId="1626F6EE">
      <w:pPr>
        <w:adjustRightInd w:val="0"/>
        <w:snapToGrid w:val="0"/>
        <w:spacing w:line="360" w:lineRule="auto"/>
        <w:rPr>
          <w:rFonts w:ascii="宋体" w:hAnsi="宋体"/>
          <w:color w:val="auto"/>
          <w:sz w:val="24"/>
          <w:highlight w:val="none"/>
        </w:rPr>
      </w:pPr>
    </w:p>
    <w:p w14:paraId="3EC6BBDB">
      <w:pPr>
        <w:adjustRightInd w:val="0"/>
        <w:snapToGrid w:val="0"/>
        <w:spacing w:line="360" w:lineRule="auto"/>
        <w:rPr>
          <w:rFonts w:ascii="宋体" w:hAnsi="宋体"/>
          <w:color w:val="auto"/>
          <w:sz w:val="24"/>
          <w:highlight w:val="none"/>
        </w:rPr>
      </w:pPr>
      <w:r>
        <w:rPr>
          <w:rFonts w:ascii="宋体" w:hAnsi="宋体"/>
          <w:color w:val="auto"/>
          <w:sz w:val="24"/>
          <w:highlight w:val="none"/>
        </w:rPr>
        <w:t>诊断和维护功能：包括分合闸线圈是否连接可靠；电动分合闸是否成功；内置和外置电流互感器是否连接可靠；控制单元是否运行正常等等。</w:t>
      </w:r>
    </w:p>
    <w:p w14:paraId="16713E20">
      <w:pPr>
        <w:adjustRightInd w:val="0"/>
        <w:snapToGrid w:val="0"/>
        <w:spacing w:line="360" w:lineRule="auto"/>
        <w:rPr>
          <w:rFonts w:ascii="宋体" w:hAnsi="宋体"/>
          <w:color w:val="auto"/>
          <w:sz w:val="24"/>
          <w:highlight w:val="none"/>
        </w:rPr>
      </w:pPr>
    </w:p>
    <w:p w14:paraId="53DBD70C">
      <w:pPr>
        <w:adjustRightInd w:val="0"/>
        <w:snapToGrid w:val="0"/>
        <w:spacing w:line="360" w:lineRule="auto"/>
        <w:rPr>
          <w:rFonts w:ascii="宋体" w:hAnsi="宋体"/>
          <w:color w:val="auto"/>
          <w:sz w:val="24"/>
          <w:highlight w:val="none"/>
        </w:rPr>
      </w:pPr>
      <w:r>
        <w:rPr>
          <w:rFonts w:ascii="宋体" w:hAnsi="宋体"/>
          <w:color w:val="auto"/>
          <w:sz w:val="24"/>
          <w:highlight w:val="none"/>
        </w:rPr>
        <w:t>（二）塑壳断路器</w:t>
      </w:r>
    </w:p>
    <w:p w14:paraId="1A774A80">
      <w:pPr>
        <w:adjustRightInd w:val="0"/>
        <w:snapToGrid w:val="0"/>
        <w:spacing w:line="360" w:lineRule="auto"/>
        <w:rPr>
          <w:rFonts w:ascii="宋体" w:hAnsi="宋体"/>
          <w:color w:val="auto"/>
          <w:sz w:val="24"/>
          <w:highlight w:val="none"/>
        </w:rPr>
      </w:pPr>
    </w:p>
    <w:p w14:paraId="23B7226F">
      <w:pPr>
        <w:adjustRightInd w:val="0"/>
        <w:snapToGrid w:val="0"/>
        <w:spacing w:line="360" w:lineRule="auto"/>
        <w:rPr>
          <w:rFonts w:ascii="宋体" w:hAnsi="宋体"/>
          <w:color w:val="auto"/>
          <w:sz w:val="24"/>
          <w:highlight w:val="none"/>
        </w:rPr>
      </w:pPr>
      <w:r>
        <w:rPr>
          <w:rFonts w:ascii="宋体" w:hAnsi="宋体"/>
          <w:color w:val="auto"/>
          <w:sz w:val="24"/>
          <w:highlight w:val="none"/>
        </w:rPr>
        <w:t>*品质选择：按图纸参数选用施耐德NSX系列H级产品、ABB XT系列H级产品、西门子3VA1系列H级产品、日本三菱塑壳断路器NF系列HEP级产品品牌之一。保护功能满足系统图要求。塑壳断路器、交流接触器与热继电器的组成配合需参照IEC 2类配合表选用。并确保开关柜额定短时耐受电流及时间满足50kA，1s。</w:t>
      </w:r>
    </w:p>
    <w:p w14:paraId="204F13DD">
      <w:pPr>
        <w:adjustRightInd w:val="0"/>
        <w:snapToGrid w:val="0"/>
        <w:spacing w:line="360" w:lineRule="auto"/>
        <w:rPr>
          <w:rFonts w:ascii="宋体" w:hAnsi="宋体"/>
          <w:color w:val="auto"/>
          <w:sz w:val="24"/>
          <w:highlight w:val="none"/>
        </w:rPr>
      </w:pPr>
    </w:p>
    <w:p w14:paraId="5CC0DB82">
      <w:pPr>
        <w:adjustRightInd w:val="0"/>
        <w:snapToGrid w:val="0"/>
        <w:spacing w:line="360" w:lineRule="auto"/>
        <w:rPr>
          <w:rFonts w:ascii="宋体" w:hAnsi="宋体"/>
          <w:color w:val="auto"/>
          <w:sz w:val="24"/>
          <w:highlight w:val="none"/>
        </w:rPr>
      </w:pPr>
      <w:r>
        <w:rPr>
          <w:rFonts w:ascii="宋体" w:hAnsi="宋体"/>
          <w:color w:val="auto"/>
          <w:sz w:val="24"/>
          <w:highlight w:val="none"/>
        </w:rPr>
        <w:t>塑壳断路器的基本要求：</w:t>
      </w:r>
    </w:p>
    <w:p w14:paraId="2C39D7B4">
      <w:pPr>
        <w:adjustRightInd w:val="0"/>
        <w:snapToGrid w:val="0"/>
        <w:spacing w:line="360" w:lineRule="auto"/>
        <w:rPr>
          <w:rFonts w:ascii="宋体" w:hAnsi="宋体"/>
          <w:color w:val="auto"/>
          <w:sz w:val="24"/>
          <w:highlight w:val="none"/>
        </w:rPr>
      </w:pPr>
    </w:p>
    <w:p w14:paraId="79E30328">
      <w:pPr>
        <w:adjustRightInd w:val="0"/>
        <w:snapToGrid w:val="0"/>
        <w:spacing w:line="360" w:lineRule="auto"/>
        <w:rPr>
          <w:rFonts w:ascii="宋体" w:hAnsi="宋体"/>
          <w:color w:val="auto"/>
          <w:sz w:val="24"/>
          <w:highlight w:val="none"/>
        </w:rPr>
      </w:pPr>
      <w:r>
        <w:rPr>
          <w:rFonts w:ascii="宋体" w:hAnsi="宋体"/>
          <w:color w:val="auto"/>
          <w:sz w:val="24"/>
          <w:highlight w:val="none"/>
        </w:rPr>
        <w:t>极限分断能力≥65kA（AC380/415V）；</w:t>
      </w:r>
    </w:p>
    <w:p w14:paraId="2C94DE6A">
      <w:pPr>
        <w:adjustRightInd w:val="0"/>
        <w:snapToGrid w:val="0"/>
        <w:spacing w:line="360" w:lineRule="auto"/>
        <w:rPr>
          <w:rFonts w:ascii="宋体" w:hAnsi="宋体"/>
          <w:color w:val="auto"/>
          <w:sz w:val="24"/>
          <w:highlight w:val="none"/>
        </w:rPr>
      </w:pPr>
    </w:p>
    <w:p w14:paraId="2BC31575">
      <w:pPr>
        <w:adjustRightInd w:val="0"/>
        <w:snapToGrid w:val="0"/>
        <w:spacing w:line="360" w:lineRule="auto"/>
        <w:rPr>
          <w:rFonts w:ascii="宋体" w:hAnsi="宋体"/>
          <w:color w:val="auto"/>
          <w:sz w:val="24"/>
          <w:highlight w:val="none"/>
        </w:rPr>
      </w:pPr>
      <w:r>
        <w:rPr>
          <w:rFonts w:ascii="宋体" w:hAnsi="宋体"/>
          <w:color w:val="auto"/>
          <w:sz w:val="24"/>
          <w:highlight w:val="none"/>
        </w:rPr>
        <w:t>机械寿命：</w:t>
      </w:r>
    </w:p>
    <w:p w14:paraId="068E2131">
      <w:pPr>
        <w:adjustRightInd w:val="0"/>
        <w:snapToGrid w:val="0"/>
        <w:spacing w:line="360" w:lineRule="auto"/>
        <w:rPr>
          <w:rFonts w:ascii="宋体" w:hAnsi="宋体"/>
          <w:color w:val="auto"/>
          <w:sz w:val="24"/>
          <w:highlight w:val="none"/>
        </w:rPr>
      </w:pPr>
    </w:p>
    <w:p w14:paraId="223C191C">
      <w:pPr>
        <w:adjustRightInd w:val="0"/>
        <w:snapToGrid w:val="0"/>
        <w:spacing w:line="360" w:lineRule="auto"/>
        <w:rPr>
          <w:rFonts w:ascii="宋体" w:hAnsi="宋体"/>
          <w:color w:val="auto"/>
          <w:sz w:val="24"/>
          <w:highlight w:val="none"/>
        </w:rPr>
      </w:pPr>
      <w:r>
        <w:rPr>
          <w:rFonts w:ascii="宋体" w:hAnsi="宋体"/>
          <w:color w:val="auto"/>
          <w:sz w:val="24"/>
          <w:highlight w:val="none"/>
        </w:rPr>
        <w:t>1）壳架电流为100A的不小于50000次；</w:t>
      </w:r>
    </w:p>
    <w:p w14:paraId="02203F64">
      <w:pPr>
        <w:adjustRightInd w:val="0"/>
        <w:snapToGrid w:val="0"/>
        <w:spacing w:line="360" w:lineRule="auto"/>
        <w:rPr>
          <w:rFonts w:ascii="宋体" w:hAnsi="宋体"/>
          <w:color w:val="auto"/>
          <w:sz w:val="24"/>
          <w:highlight w:val="none"/>
        </w:rPr>
      </w:pPr>
    </w:p>
    <w:p w14:paraId="4F564BA7">
      <w:pPr>
        <w:adjustRightInd w:val="0"/>
        <w:snapToGrid w:val="0"/>
        <w:spacing w:line="360" w:lineRule="auto"/>
        <w:rPr>
          <w:rFonts w:ascii="宋体" w:hAnsi="宋体"/>
          <w:color w:val="auto"/>
          <w:sz w:val="24"/>
          <w:highlight w:val="none"/>
        </w:rPr>
      </w:pPr>
      <w:r>
        <w:rPr>
          <w:rFonts w:ascii="宋体" w:hAnsi="宋体"/>
          <w:color w:val="auto"/>
          <w:sz w:val="24"/>
          <w:highlight w:val="none"/>
        </w:rPr>
        <w:t>2）壳架电流为160A的不小于40000次；</w:t>
      </w:r>
    </w:p>
    <w:p w14:paraId="22D13857">
      <w:pPr>
        <w:adjustRightInd w:val="0"/>
        <w:snapToGrid w:val="0"/>
        <w:spacing w:line="360" w:lineRule="auto"/>
        <w:rPr>
          <w:rFonts w:ascii="宋体" w:hAnsi="宋体"/>
          <w:color w:val="auto"/>
          <w:sz w:val="24"/>
          <w:highlight w:val="none"/>
        </w:rPr>
      </w:pPr>
    </w:p>
    <w:p w14:paraId="2F96214C">
      <w:pPr>
        <w:adjustRightInd w:val="0"/>
        <w:snapToGrid w:val="0"/>
        <w:spacing w:line="360" w:lineRule="auto"/>
        <w:rPr>
          <w:rFonts w:ascii="宋体" w:hAnsi="宋体"/>
          <w:color w:val="auto"/>
          <w:sz w:val="24"/>
          <w:highlight w:val="none"/>
        </w:rPr>
      </w:pPr>
      <w:r>
        <w:rPr>
          <w:rFonts w:ascii="宋体" w:hAnsi="宋体"/>
          <w:color w:val="auto"/>
          <w:sz w:val="24"/>
          <w:highlight w:val="none"/>
        </w:rPr>
        <w:t>3）壳架电流为250A的不小于20000次；</w:t>
      </w:r>
    </w:p>
    <w:p w14:paraId="3D52FEB6">
      <w:pPr>
        <w:adjustRightInd w:val="0"/>
        <w:snapToGrid w:val="0"/>
        <w:spacing w:line="360" w:lineRule="auto"/>
        <w:rPr>
          <w:rFonts w:ascii="宋体" w:hAnsi="宋体"/>
          <w:color w:val="auto"/>
          <w:sz w:val="24"/>
          <w:highlight w:val="none"/>
        </w:rPr>
      </w:pPr>
    </w:p>
    <w:p w14:paraId="5A58B39A">
      <w:pPr>
        <w:adjustRightInd w:val="0"/>
        <w:snapToGrid w:val="0"/>
        <w:spacing w:line="360" w:lineRule="auto"/>
        <w:rPr>
          <w:rFonts w:ascii="宋体" w:hAnsi="宋体"/>
          <w:color w:val="auto"/>
          <w:sz w:val="24"/>
          <w:highlight w:val="none"/>
        </w:rPr>
      </w:pPr>
      <w:r>
        <w:rPr>
          <w:rFonts w:ascii="宋体" w:hAnsi="宋体"/>
          <w:color w:val="auto"/>
          <w:sz w:val="24"/>
          <w:highlight w:val="none"/>
        </w:rPr>
        <w:t>4）壳架电流为400A及以上的不小于15000次。</w:t>
      </w:r>
    </w:p>
    <w:p w14:paraId="43AD432E">
      <w:pPr>
        <w:adjustRightInd w:val="0"/>
        <w:snapToGrid w:val="0"/>
        <w:spacing w:line="360" w:lineRule="auto"/>
        <w:rPr>
          <w:rFonts w:ascii="宋体" w:hAnsi="宋体"/>
          <w:color w:val="auto"/>
          <w:sz w:val="24"/>
          <w:highlight w:val="none"/>
        </w:rPr>
      </w:pPr>
    </w:p>
    <w:p w14:paraId="08FFEF0B">
      <w:pPr>
        <w:adjustRightInd w:val="0"/>
        <w:snapToGrid w:val="0"/>
        <w:spacing w:line="360" w:lineRule="auto"/>
        <w:rPr>
          <w:rFonts w:ascii="宋体" w:hAnsi="宋体"/>
          <w:color w:val="auto"/>
          <w:sz w:val="24"/>
          <w:highlight w:val="none"/>
        </w:rPr>
      </w:pPr>
      <w:r>
        <w:rPr>
          <w:rFonts w:ascii="宋体" w:hAnsi="宋体"/>
          <w:color w:val="auto"/>
          <w:sz w:val="24"/>
          <w:highlight w:val="none"/>
        </w:rPr>
        <w:t>电气寿命（415V）：</w:t>
      </w:r>
    </w:p>
    <w:p w14:paraId="43F701DE">
      <w:pPr>
        <w:adjustRightInd w:val="0"/>
        <w:snapToGrid w:val="0"/>
        <w:spacing w:line="360" w:lineRule="auto"/>
        <w:rPr>
          <w:rFonts w:ascii="宋体" w:hAnsi="宋体"/>
          <w:color w:val="auto"/>
          <w:sz w:val="24"/>
          <w:highlight w:val="none"/>
        </w:rPr>
      </w:pPr>
    </w:p>
    <w:p w14:paraId="588028B2">
      <w:pPr>
        <w:adjustRightInd w:val="0"/>
        <w:snapToGrid w:val="0"/>
        <w:spacing w:line="360" w:lineRule="auto"/>
        <w:rPr>
          <w:rFonts w:ascii="宋体" w:hAnsi="宋体"/>
          <w:color w:val="auto"/>
          <w:sz w:val="24"/>
          <w:highlight w:val="none"/>
        </w:rPr>
      </w:pPr>
      <w:r>
        <w:rPr>
          <w:rFonts w:ascii="宋体" w:hAnsi="宋体"/>
          <w:color w:val="auto"/>
          <w:sz w:val="24"/>
          <w:highlight w:val="none"/>
        </w:rPr>
        <w:t>1）壳架电流为100A的不小于30000次；</w:t>
      </w:r>
    </w:p>
    <w:p w14:paraId="6A5D4CD7">
      <w:pPr>
        <w:adjustRightInd w:val="0"/>
        <w:snapToGrid w:val="0"/>
        <w:spacing w:line="360" w:lineRule="auto"/>
        <w:rPr>
          <w:rFonts w:ascii="宋体" w:hAnsi="宋体"/>
          <w:color w:val="auto"/>
          <w:sz w:val="24"/>
          <w:highlight w:val="none"/>
        </w:rPr>
      </w:pPr>
    </w:p>
    <w:p w14:paraId="178B57C9">
      <w:pPr>
        <w:adjustRightInd w:val="0"/>
        <w:snapToGrid w:val="0"/>
        <w:spacing w:line="360" w:lineRule="auto"/>
        <w:rPr>
          <w:rFonts w:ascii="宋体" w:hAnsi="宋体"/>
          <w:color w:val="auto"/>
          <w:sz w:val="24"/>
          <w:highlight w:val="none"/>
        </w:rPr>
      </w:pPr>
      <w:r>
        <w:rPr>
          <w:rFonts w:ascii="宋体" w:hAnsi="宋体"/>
          <w:color w:val="auto"/>
          <w:sz w:val="24"/>
          <w:highlight w:val="none"/>
        </w:rPr>
        <w:t>2）壳架电流为160A的不小于20000次；</w:t>
      </w:r>
    </w:p>
    <w:p w14:paraId="31BFE489">
      <w:pPr>
        <w:adjustRightInd w:val="0"/>
        <w:snapToGrid w:val="0"/>
        <w:spacing w:line="360" w:lineRule="auto"/>
        <w:rPr>
          <w:rFonts w:ascii="宋体" w:hAnsi="宋体"/>
          <w:color w:val="auto"/>
          <w:sz w:val="24"/>
          <w:highlight w:val="none"/>
        </w:rPr>
      </w:pPr>
    </w:p>
    <w:p w14:paraId="30D9ABB4">
      <w:pPr>
        <w:adjustRightInd w:val="0"/>
        <w:snapToGrid w:val="0"/>
        <w:spacing w:line="360" w:lineRule="auto"/>
        <w:rPr>
          <w:rFonts w:ascii="宋体" w:hAnsi="宋体"/>
          <w:color w:val="auto"/>
          <w:sz w:val="24"/>
          <w:highlight w:val="none"/>
        </w:rPr>
      </w:pPr>
      <w:r>
        <w:rPr>
          <w:rFonts w:ascii="宋体" w:hAnsi="宋体"/>
          <w:color w:val="auto"/>
          <w:sz w:val="24"/>
          <w:highlight w:val="none"/>
        </w:rPr>
        <w:t>3）壳架电流为250A的不小于10000次；</w:t>
      </w:r>
    </w:p>
    <w:p w14:paraId="22A7FAF1">
      <w:pPr>
        <w:adjustRightInd w:val="0"/>
        <w:snapToGrid w:val="0"/>
        <w:spacing w:line="360" w:lineRule="auto"/>
        <w:rPr>
          <w:rFonts w:ascii="宋体" w:hAnsi="宋体"/>
          <w:color w:val="auto"/>
          <w:sz w:val="24"/>
          <w:highlight w:val="none"/>
        </w:rPr>
      </w:pPr>
    </w:p>
    <w:p w14:paraId="40492B56">
      <w:pPr>
        <w:adjustRightInd w:val="0"/>
        <w:snapToGrid w:val="0"/>
        <w:spacing w:line="360" w:lineRule="auto"/>
        <w:rPr>
          <w:rFonts w:ascii="宋体" w:hAnsi="宋体"/>
          <w:color w:val="auto"/>
          <w:sz w:val="24"/>
          <w:highlight w:val="none"/>
        </w:rPr>
      </w:pPr>
      <w:r>
        <w:rPr>
          <w:rFonts w:ascii="宋体" w:hAnsi="宋体"/>
          <w:color w:val="auto"/>
          <w:sz w:val="24"/>
          <w:highlight w:val="none"/>
        </w:rPr>
        <w:t>4）壳架电流为400A及以上的不小于7000次。</w:t>
      </w:r>
    </w:p>
    <w:p w14:paraId="1731DFC8">
      <w:pPr>
        <w:adjustRightInd w:val="0"/>
        <w:snapToGrid w:val="0"/>
        <w:spacing w:line="360" w:lineRule="auto"/>
        <w:rPr>
          <w:rFonts w:ascii="宋体" w:hAnsi="宋体"/>
          <w:color w:val="auto"/>
          <w:sz w:val="24"/>
          <w:highlight w:val="none"/>
        </w:rPr>
      </w:pPr>
    </w:p>
    <w:p w14:paraId="021DF9D5">
      <w:pPr>
        <w:adjustRightInd w:val="0"/>
        <w:snapToGrid w:val="0"/>
        <w:spacing w:line="360" w:lineRule="auto"/>
        <w:rPr>
          <w:rFonts w:ascii="宋体" w:hAnsi="宋体"/>
          <w:color w:val="auto"/>
          <w:sz w:val="24"/>
          <w:highlight w:val="none"/>
        </w:rPr>
      </w:pPr>
      <w:r>
        <w:rPr>
          <w:rFonts w:ascii="宋体" w:hAnsi="宋体"/>
          <w:color w:val="auto"/>
          <w:sz w:val="24"/>
          <w:highlight w:val="none"/>
        </w:rPr>
        <w:t>（三）交流接触器</w:t>
      </w:r>
    </w:p>
    <w:p w14:paraId="4DA4CAA7">
      <w:pPr>
        <w:adjustRightInd w:val="0"/>
        <w:snapToGrid w:val="0"/>
        <w:spacing w:line="360" w:lineRule="auto"/>
        <w:rPr>
          <w:rFonts w:ascii="宋体" w:hAnsi="宋体"/>
          <w:color w:val="auto"/>
          <w:sz w:val="24"/>
          <w:highlight w:val="none"/>
        </w:rPr>
      </w:pPr>
    </w:p>
    <w:p w14:paraId="5226745E">
      <w:pPr>
        <w:adjustRightInd w:val="0"/>
        <w:snapToGrid w:val="0"/>
        <w:spacing w:line="360" w:lineRule="auto"/>
        <w:rPr>
          <w:rFonts w:ascii="宋体" w:hAnsi="宋体"/>
          <w:color w:val="auto"/>
          <w:sz w:val="24"/>
          <w:highlight w:val="none"/>
        </w:rPr>
      </w:pPr>
      <w:r>
        <w:rPr>
          <w:rFonts w:ascii="宋体" w:hAnsi="宋体"/>
          <w:color w:val="auto"/>
          <w:sz w:val="24"/>
          <w:highlight w:val="none"/>
        </w:rPr>
        <w:t>*品质选择：按图纸参数（AC3）选用施耐德LC1系列、ABB A系列、西门子3RT系列、GE CL系列品牌之一产品。</w:t>
      </w:r>
    </w:p>
    <w:p w14:paraId="593BF846">
      <w:pPr>
        <w:adjustRightInd w:val="0"/>
        <w:snapToGrid w:val="0"/>
        <w:spacing w:line="360" w:lineRule="auto"/>
        <w:rPr>
          <w:rFonts w:ascii="宋体" w:hAnsi="宋体"/>
          <w:color w:val="auto"/>
          <w:sz w:val="24"/>
          <w:highlight w:val="none"/>
        </w:rPr>
      </w:pPr>
    </w:p>
    <w:p w14:paraId="64F5D6DD">
      <w:pPr>
        <w:adjustRightInd w:val="0"/>
        <w:snapToGrid w:val="0"/>
        <w:spacing w:line="360" w:lineRule="auto"/>
        <w:rPr>
          <w:rFonts w:ascii="宋体" w:hAnsi="宋体"/>
          <w:color w:val="auto"/>
          <w:sz w:val="24"/>
          <w:highlight w:val="none"/>
        </w:rPr>
      </w:pPr>
      <w:r>
        <w:rPr>
          <w:rFonts w:ascii="宋体" w:hAnsi="宋体"/>
          <w:color w:val="auto"/>
          <w:sz w:val="24"/>
          <w:highlight w:val="none"/>
        </w:rPr>
        <w:t>交流接触器须满足以下基本要求：</w:t>
      </w:r>
    </w:p>
    <w:p w14:paraId="3B9A1F43">
      <w:pPr>
        <w:adjustRightInd w:val="0"/>
        <w:snapToGrid w:val="0"/>
        <w:spacing w:line="360" w:lineRule="auto"/>
        <w:rPr>
          <w:rFonts w:ascii="宋体" w:hAnsi="宋体"/>
          <w:color w:val="auto"/>
          <w:sz w:val="24"/>
          <w:highlight w:val="none"/>
        </w:rPr>
      </w:pPr>
    </w:p>
    <w:p w14:paraId="2BF8DACF">
      <w:pPr>
        <w:adjustRightInd w:val="0"/>
        <w:snapToGrid w:val="0"/>
        <w:spacing w:line="360" w:lineRule="auto"/>
        <w:rPr>
          <w:rFonts w:ascii="宋体" w:hAnsi="宋体"/>
          <w:color w:val="auto"/>
          <w:sz w:val="24"/>
          <w:highlight w:val="none"/>
        </w:rPr>
      </w:pPr>
      <w:r>
        <w:rPr>
          <w:rFonts w:ascii="宋体" w:hAnsi="宋体"/>
          <w:color w:val="auto"/>
          <w:sz w:val="24"/>
          <w:highlight w:val="none"/>
        </w:rPr>
        <w:t>1）额定工作电压为690V或1000V；</w:t>
      </w:r>
    </w:p>
    <w:p w14:paraId="1DA7E93D">
      <w:pPr>
        <w:adjustRightInd w:val="0"/>
        <w:snapToGrid w:val="0"/>
        <w:spacing w:line="360" w:lineRule="auto"/>
        <w:rPr>
          <w:rFonts w:ascii="宋体" w:hAnsi="宋体"/>
          <w:color w:val="auto"/>
          <w:sz w:val="24"/>
          <w:highlight w:val="none"/>
        </w:rPr>
      </w:pPr>
    </w:p>
    <w:p w14:paraId="4F51FACD">
      <w:pPr>
        <w:adjustRightInd w:val="0"/>
        <w:snapToGrid w:val="0"/>
        <w:spacing w:line="360" w:lineRule="auto"/>
        <w:rPr>
          <w:rFonts w:ascii="宋体" w:hAnsi="宋体"/>
          <w:color w:val="auto"/>
          <w:sz w:val="24"/>
          <w:highlight w:val="none"/>
        </w:rPr>
      </w:pPr>
      <w:r>
        <w:rPr>
          <w:rFonts w:ascii="宋体" w:hAnsi="宋体"/>
          <w:color w:val="auto"/>
          <w:sz w:val="24"/>
          <w:highlight w:val="none"/>
        </w:rPr>
        <w:t>2）可添加全系列通用附加模块，最少构成4个N/C或N/O瞬动辅助触点；</w:t>
      </w:r>
    </w:p>
    <w:p w14:paraId="26C46C02">
      <w:pPr>
        <w:adjustRightInd w:val="0"/>
        <w:snapToGrid w:val="0"/>
        <w:spacing w:line="360" w:lineRule="auto"/>
        <w:rPr>
          <w:rFonts w:ascii="宋体" w:hAnsi="宋体"/>
          <w:color w:val="auto"/>
          <w:sz w:val="24"/>
          <w:highlight w:val="none"/>
        </w:rPr>
      </w:pPr>
    </w:p>
    <w:p w14:paraId="0E30D5FA">
      <w:pPr>
        <w:adjustRightInd w:val="0"/>
        <w:snapToGrid w:val="0"/>
        <w:spacing w:line="360" w:lineRule="auto"/>
        <w:rPr>
          <w:rFonts w:ascii="宋体" w:hAnsi="宋体"/>
          <w:color w:val="auto"/>
          <w:sz w:val="24"/>
          <w:highlight w:val="none"/>
        </w:rPr>
      </w:pPr>
      <w:r>
        <w:rPr>
          <w:rFonts w:ascii="宋体" w:hAnsi="宋体"/>
          <w:color w:val="auto"/>
          <w:sz w:val="24"/>
          <w:highlight w:val="none"/>
        </w:rPr>
        <w:t>（四）热继电器</w:t>
      </w:r>
    </w:p>
    <w:p w14:paraId="1F9121AF">
      <w:pPr>
        <w:adjustRightInd w:val="0"/>
        <w:snapToGrid w:val="0"/>
        <w:spacing w:line="360" w:lineRule="auto"/>
        <w:rPr>
          <w:rFonts w:ascii="宋体" w:hAnsi="宋体"/>
          <w:color w:val="auto"/>
          <w:sz w:val="24"/>
          <w:highlight w:val="none"/>
        </w:rPr>
      </w:pPr>
    </w:p>
    <w:p w14:paraId="236ABA56">
      <w:pPr>
        <w:adjustRightInd w:val="0"/>
        <w:snapToGrid w:val="0"/>
        <w:spacing w:line="360" w:lineRule="auto"/>
        <w:rPr>
          <w:rFonts w:ascii="宋体" w:hAnsi="宋体"/>
          <w:color w:val="auto"/>
          <w:sz w:val="24"/>
          <w:highlight w:val="none"/>
        </w:rPr>
      </w:pPr>
      <w:r>
        <w:rPr>
          <w:rFonts w:ascii="宋体" w:hAnsi="宋体"/>
          <w:color w:val="auto"/>
          <w:sz w:val="24"/>
          <w:highlight w:val="none"/>
        </w:rPr>
        <w:t>品质选择：按图纸参数选用施耐德LRD系列、ABB TA系列、西门子3RU系列、GE RT系列品牌之一产品。</w:t>
      </w:r>
    </w:p>
    <w:p w14:paraId="263D925E">
      <w:pPr>
        <w:adjustRightInd w:val="0"/>
        <w:snapToGrid w:val="0"/>
        <w:spacing w:line="360" w:lineRule="auto"/>
        <w:rPr>
          <w:rFonts w:ascii="宋体" w:hAnsi="宋体"/>
          <w:color w:val="auto"/>
          <w:sz w:val="24"/>
          <w:highlight w:val="none"/>
        </w:rPr>
      </w:pPr>
    </w:p>
    <w:p w14:paraId="2C33C944">
      <w:pPr>
        <w:adjustRightInd w:val="0"/>
        <w:snapToGrid w:val="0"/>
        <w:spacing w:line="360" w:lineRule="auto"/>
        <w:rPr>
          <w:rFonts w:ascii="宋体" w:hAnsi="宋体"/>
          <w:color w:val="auto"/>
          <w:sz w:val="24"/>
          <w:highlight w:val="none"/>
        </w:rPr>
      </w:pPr>
      <w:r>
        <w:rPr>
          <w:rFonts w:ascii="宋体" w:hAnsi="宋体"/>
          <w:color w:val="auto"/>
          <w:sz w:val="24"/>
          <w:highlight w:val="none"/>
        </w:rPr>
        <w:t>热继电器须满足以下基本要求：</w:t>
      </w:r>
    </w:p>
    <w:p w14:paraId="3D4C7FC3">
      <w:pPr>
        <w:adjustRightInd w:val="0"/>
        <w:snapToGrid w:val="0"/>
        <w:spacing w:line="360" w:lineRule="auto"/>
        <w:rPr>
          <w:rFonts w:ascii="宋体" w:hAnsi="宋体"/>
          <w:color w:val="auto"/>
          <w:sz w:val="24"/>
          <w:highlight w:val="none"/>
        </w:rPr>
      </w:pPr>
    </w:p>
    <w:p w14:paraId="109DB127">
      <w:pPr>
        <w:adjustRightInd w:val="0"/>
        <w:snapToGrid w:val="0"/>
        <w:spacing w:line="360" w:lineRule="auto"/>
        <w:rPr>
          <w:rFonts w:ascii="宋体" w:hAnsi="宋体"/>
          <w:color w:val="auto"/>
          <w:sz w:val="24"/>
          <w:highlight w:val="none"/>
        </w:rPr>
      </w:pPr>
      <w:r>
        <w:rPr>
          <w:rFonts w:ascii="宋体" w:hAnsi="宋体"/>
          <w:color w:val="auto"/>
          <w:sz w:val="24"/>
          <w:highlight w:val="none"/>
        </w:rPr>
        <w:t>1）带有手动或自动复位功能的补偿继电器；</w:t>
      </w:r>
    </w:p>
    <w:p w14:paraId="13BD7AD3">
      <w:pPr>
        <w:adjustRightInd w:val="0"/>
        <w:snapToGrid w:val="0"/>
        <w:spacing w:line="360" w:lineRule="auto"/>
        <w:rPr>
          <w:rFonts w:ascii="宋体" w:hAnsi="宋体"/>
          <w:color w:val="auto"/>
          <w:sz w:val="24"/>
          <w:highlight w:val="none"/>
        </w:rPr>
      </w:pPr>
    </w:p>
    <w:p w14:paraId="0A4EDBF1">
      <w:pPr>
        <w:adjustRightInd w:val="0"/>
        <w:snapToGrid w:val="0"/>
        <w:spacing w:line="360" w:lineRule="auto"/>
        <w:rPr>
          <w:rFonts w:ascii="宋体" w:hAnsi="宋体"/>
          <w:color w:val="auto"/>
          <w:sz w:val="24"/>
          <w:highlight w:val="none"/>
        </w:rPr>
      </w:pPr>
      <w:r>
        <w:rPr>
          <w:rFonts w:ascii="宋体" w:hAnsi="宋体"/>
          <w:color w:val="auto"/>
          <w:sz w:val="24"/>
          <w:highlight w:val="none"/>
        </w:rPr>
        <w:t>2）带有继电器脱扣指示器；</w:t>
      </w:r>
    </w:p>
    <w:p w14:paraId="435FB64C">
      <w:pPr>
        <w:adjustRightInd w:val="0"/>
        <w:snapToGrid w:val="0"/>
        <w:spacing w:line="360" w:lineRule="auto"/>
        <w:rPr>
          <w:rFonts w:ascii="宋体" w:hAnsi="宋体"/>
          <w:color w:val="auto"/>
          <w:sz w:val="24"/>
          <w:highlight w:val="none"/>
        </w:rPr>
      </w:pPr>
    </w:p>
    <w:p w14:paraId="030E4D93">
      <w:pPr>
        <w:adjustRightInd w:val="0"/>
        <w:snapToGrid w:val="0"/>
        <w:spacing w:line="360" w:lineRule="auto"/>
        <w:rPr>
          <w:rFonts w:ascii="宋体" w:hAnsi="宋体"/>
          <w:color w:val="auto"/>
          <w:sz w:val="24"/>
          <w:highlight w:val="none"/>
        </w:rPr>
      </w:pPr>
      <w:r>
        <w:rPr>
          <w:rFonts w:ascii="宋体" w:hAnsi="宋体"/>
          <w:color w:val="auto"/>
          <w:sz w:val="24"/>
          <w:highlight w:val="none"/>
        </w:rPr>
        <w:t>3）实际电流为设置电流IR7.2倍时的脱扣时间按照20级选型</w:t>
      </w:r>
    </w:p>
    <w:p w14:paraId="18D43781">
      <w:pPr>
        <w:adjustRightInd w:val="0"/>
        <w:snapToGrid w:val="0"/>
        <w:spacing w:line="360" w:lineRule="auto"/>
        <w:rPr>
          <w:rFonts w:ascii="宋体" w:hAnsi="宋体"/>
          <w:color w:val="auto"/>
          <w:sz w:val="24"/>
          <w:highlight w:val="none"/>
        </w:rPr>
      </w:pPr>
    </w:p>
    <w:p w14:paraId="3314C8CA">
      <w:pPr>
        <w:adjustRightInd w:val="0"/>
        <w:snapToGrid w:val="0"/>
        <w:spacing w:line="360" w:lineRule="auto"/>
        <w:rPr>
          <w:rFonts w:ascii="宋体" w:hAnsi="宋体"/>
          <w:color w:val="auto"/>
          <w:sz w:val="24"/>
          <w:highlight w:val="none"/>
        </w:rPr>
      </w:pPr>
      <w:r>
        <w:rPr>
          <w:rFonts w:ascii="宋体" w:hAnsi="宋体"/>
          <w:color w:val="auto"/>
          <w:sz w:val="24"/>
          <w:highlight w:val="none"/>
        </w:rPr>
        <w:t>（五）转换开关、控制开关及指示灯 </w:t>
      </w:r>
    </w:p>
    <w:p w14:paraId="4935F97A">
      <w:pPr>
        <w:adjustRightInd w:val="0"/>
        <w:snapToGrid w:val="0"/>
        <w:spacing w:line="360" w:lineRule="auto"/>
        <w:rPr>
          <w:rFonts w:ascii="宋体" w:hAnsi="宋体"/>
          <w:color w:val="auto"/>
          <w:sz w:val="24"/>
          <w:highlight w:val="none"/>
        </w:rPr>
      </w:pPr>
    </w:p>
    <w:p w14:paraId="412A99C9">
      <w:pPr>
        <w:adjustRightInd w:val="0"/>
        <w:snapToGrid w:val="0"/>
        <w:spacing w:line="360" w:lineRule="auto"/>
        <w:rPr>
          <w:rFonts w:ascii="宋体" w:hAnsi="宋体"/>
          <w:color w:val="auto"/>
          <w:sz w:val="24"/>
          <w:highlight w:val="none"/>
        </w:rPr>
      </w:pPr>
      <w:r>
        <w:rPr>
          <w:rFonts w:ascii="宋体" w:hAnsi="宋体"/>
          <w:color w:val="auto"/>
          <w:sz w:val="24"/>
          <w:highlight w:val="none"/>
        </w:rPr>
        <w:t>品质选择：按照图纸参数选用ABB、施耐德、GE、欧姆龙、上海二工品牌之一。</w:t>
      </w:r>
    </w:p>
    <w:p w14:paraId="6075CD20">
      <w:pPr>
        <w:adjustRightInd w:val="0"/>
        <w:snapToGrid w:val="0"/>
        <w:spacing w:line="360" w:lineRule="auto"/>
        <w:rPr>
          <w:rFonts w:ascii="宋体" w:hAnsi="宋体"/>
          <w:color w:val="auto"/>
          <w:sz w:val="24"/>
          <w:highlight w:val="none"/>
        </w:rPr>
      </w:pPr>
    </w:p>
    <w:p w14:paraId="1180B305">
      <w:pPr>
        <w:adjustRightInd w:val="0"/>
        <w:snapToGrid w:val="0"/>
        <w:spacing w:line="360" w:lineRule="auto"/>
        <w:rPr>
          <w:rFonts w:ascii="宋体" w:hAnsi="宋体"/>
          <w:color w:val="auto"/>
          <w:sz w:val="24"/>
          <w:highlight w:val="none"/>
        </w:rPr>
      </w:pPr>
      <w:r>
        <w:rPr>
          <w:rFonts w:ascii="宋体" w:hAnsi="宋体"/>
          <w:color w:val="auto"/>
          <w:sz w:val="24"/>
          <w:highlight w:val="none"/>
        </w:rPr>
        <w:t>转换开关、控制开关基本参数：</w:t>
      </w:r>
    </w:p>
    <w:p w14:paraId="6E63D67D">
      <w:pPr>
        <w:adjustRightInd w:val="0"/>
        <w:snapToGrid w:val="0"/>
        <w:spacing w:line="360" w:lineRule="auto"/>
        <w:rPr>
          <w:rFonts w:ascii="宋体" w:hAnsi="宋体"/>
          <w:color w:val="auto"/>
          <w:sz w:val="24"/>
          <w:highlight w:val="none"/>
        </w:rPr>
      </w:pPr>
    </w:p>
    <w:p w14:paraId="1A937483">
      <w:pPr>
        <w:adjustRightInd w:val="0"/>
        <w:snapToGrid w:val="0"/>
        <w:spacing w:line="360" w:lineRule="auto"/>
        <w:rPr>
          <w:rFonts w:ascii="宋体" w:hAnsi="宋体"/>
          <w:color w:val="auto"/>
          <w:sz w:val="24"/>
          <w:highlight w:val="none"/>
        </w:rPr>
      </w:pPr>
      <w:r>
        <w:rPr>
          <w:rFonts w:ascii="宋体" w:hAnsi="宋体"/>
          <w:color w:val="auto"/>
          <w:sz w:val="24"/>
          <w:highlight w:val="none"/>
        </w:rPr>
        <w:t>工频耐受电压AC1890V，50Hz状况下1min；</w:t>
      </w:r>
    </w:p>
    <w:p w14:paraId="619808C8">
      <w:pPr>
        <w:adjustRightInd w:val="0"/>
        <w:snapToGrid w:val="0"/>
        <w:spacing w:line="360" w:lineRule="auto"/>
        <w:rPr>
          <w:rFonts w:ascii="宋体" w:hAnsi="宋体"/>
          <w:color w:val="auto"/>
          <w:sz w:val="24"/>
          <w:highlight w:val="none"/>
        </w:rPr>
      </w:pPr>
    </w:p>
    <w:p w14:paraId="4975FC43">
      <w:pPr>
        <w:adjustRightInd w:val="0"/>
        <w:snapToGrid w:val="0"/>
        <w:spacing w:line="360" w:lineRule="auto"/>
        <w:rPr>
          <w:rFonts w:ascii="宋体" w:hAnsi="宋体"/>
          <w:color w:val="auto"/>
          <w:sz w:val="24"/>
          <w:highlight w:val="none"/>
        </w:rPr>
      </w:pPr>
      <w:r>
        <w:rPr>
          <w:rFonts w:ascii="宋体" w:hAnsi="宋体"/>
          <w:color w:val="auto"/>
          <w:sz w:val="24"/>
          <w:highlight w:val="none"/>
        </w:rPr>
        <w:t>  额定绝缘电压Ui=660V</w:t>
      </w:r>
    </w:p>
    <w:p w14:paraId="7579855B">
      <w:pPr>
        <w:adjustRightInd w:val="0"/>
        <w:snapToGrid w:val="0"/>
        <w:spacing w:line="360" w:lineRule="auto"/>
        <w:rPr>
          <w:rFonts w:ascii="宋体" w:hAnsi="宋体"/>
          <w:color w:val="auto"/>
          <w:sz w:val="24"/>
          <w:highlight w:val="none"/>
        </w:rPr>
      </w:pPr>
    </w:p>
    <w:p w14:paraId="2B8C2A6F">
      <w:pPr>
        <w:adjustRightInd w:val="0"/>
        <w:snapToGrid w:val="0"/>
        <w:spacing w:line="360" w:lineRule="auto"/>
        <w:rPr>
          <w:rFonts w:ascii="宋体" w:hAnsi="宋体"/>
          <w:color w:val="auto"/>
          <w:sz w:val="24"/>
          <w:highlight w:val="none"/>
        </w:rPr>
      </w:pPr>
      <w:r>
        <w:rPr>
          <w:rFonts w:ascii="宋体" w:hAnsi="宋体"/>
          <w:color w:val="auto"/>
          <w:sz w:val="24"/>
          <w:highlight w:val="none"/>
        </w:rPr>
        <w:t>接触电阻：硬银触点≤50mΩ；</w:t>
      </w:r>
    </w:p>
    <w:p w14:paraId="7D56E0D8">
      <w:pPr>
        <w:adjustRightInd w:val="0"/>
        <w:snapToGrid w:val="0"/>
        <w:spacing w:line="360" w:lineRule="auto"/>
        <w:rPr>
          <w:rFonts w:ascii="宋体" w:hAnsi="宋体"/>
          <w:color w:val="auto"/>
          <w:sz w:val="24"/>
          <w:highlight w:val="none"/>
        </w:rPr>
      </w:pPr>
    </w:p>
    <w:p w14:paraId="514CA331">
      <w:pPr>
        <w:adjustRightInd w:val="0"/>
        <w:snapToGrid w:val="0"/>
        <w:spacing w:line="360" w:lineRule="auto"/>
        <w:rPr>
          <w:rFonts w:ascii="宋体" w:hAnsi="宋体"/>
          <w:color w:val="auto"/>
          <w:sz w:val="24"/>
          <w:highlight w:val="none"/>
        </w:rPr>
      </w:pPr>
      <w:r>
        <w:rPr>
          <w:rFonts w:ascii="宋体" w:hAnsi="宋体"/>
          <w:color w:val="auto"/>
          <w:sz w:val="24"/>
          <w:highlight w:val="none"/>
        </w:rPr>
        <w:t>机械寿命：一般按钮不少于100万次，转换开关不少于30万次，</w:t>
      </w:r>
    </w:p>
    <w:p w14:paraId="0A992657">
      <w:pPr>
        <w:adjustRightInd w:val="0"/>
        <w:snapToGrid w:val="0"/>
        <w:spacing w:line="360" w:lineRule="auto"/>
        <w:rPr>
          <w:rFonts w:ascii="宋体" w:hAnsi="宋体"/>
          <w:color w:val="auto"/>
          <w:sz w:val="24"/>
          <w:highlight w:val="none"/>
        </w:rPr>
      </w:pPr>
    </w:p>
    <w:p w14:paraId="34FB7D06">
      <w:pPr>
        <w:adjustRightInd w:val="0"/>
        <w:snapToGrid w:val="0"/>
        <w:spacing w:line="360" w:lineRule="auto"/>
        <w:rPr>
          <w:rFonts w:ascii="宋体" w:hAnsi="宋体"/>
          <w:color w:val="auto"/>
          <w:sz w:val="24"/>
          <w:highlight w:val="none"/>
        </w:rPr>
      </w:pPr>
      <w:r>
        <w:rPr>
          <w:rFonts w:ascii="宋体" w:hAnsi="宋体"/>
          <w:color w:val="auto"/>
          <w:sz w:val="24"/>
          <w:highlight w:val="none"/>
        </w:rPr>
        <w:t>电气寿命：≥60万次（1200次/小时）</w:t>
      </w:r>
    </w:p>
    <w:p w14:paraId="7B0C2F3A">
      <w:pPr>
        <w:adjustRightInd w:val="0"/>
        <w:snapToGrid w:val="0"/>
        <w:spacing w:line="360" w:lineRule="auto"/>
        <w:rPr>
          <w:rFonts w:ascii="宋体" w:hAnsi="宋体"/>
          <w:color w:val="auto"/>
          <w:sz w:val="24"/>
          <w:highlight w:val="none"/>
        </w:rPr>
      </w:pPr>
    </w:p>
    <w:p w14:paraId="3E5C78AE">
      <w:pPr>
        <w:adjustRightInd w:val="0"/>
        <w:snapToGrid w:val="0"/>
        <w:spacing w:line="360" w:lineRule="auto"/>
        <w:rPr>
          <w:rFonts w:ascii="宋体" w:hAnsi="宋体"/>
          <w:color w:val="auto"/>
          <w:sz w:val="24"/>
          <w:highlight w:val="none"/>
        </w:rPr>
      </w:pPr>
      <w:r>
        <w:rPr>
          <w:rFonts w:ascii="宋体" w:hAnsi="宋体"/>
          <w:color w:val="auto"/>
          <w:sz w:val="24"/>
          <w:highlight w:val="none"/>
        </w:rPr>
        <w:t>指示灯基本参数：</w:t>
      </w:r>
    </w:p>
    <w:p w14:paraId="1813198C">
      <w:pPr>
        <w:adjustRightInd w:val="0"/>
        <w:snapToGrid w:val="0"/>
        <w:spacing w:line="360" w:lineRule="auto"/>
        <w:rPr>
          <w:rFonts w:ascii="宋体" w:hAnsi="宋体"/>
          <w:color w:val="auto"/>
          <w:sz w:val="24"/>
          <w:highlight w:val="none"/>
        </w:rPr>
      </w:pPr>
    </w:p>
    <w:p w14:paraId="46D4677B">
      <w:pPr>
        <w:adjustRightInd w:val="0"/>
        <w:snapToGrid w:val="0"/>
        <w:spacing w:line="360" w:lineRule="auto"/>
        <w:rPr>
          <w:rFonts w:ascii="宋体" w:hAnsi="宋体"/>
          <w:color w:val="auto"/>
          <w:sz w:val="24"/>
          <w:highlight w:val="none"/>
        </w:rPr>
      </w:pPr>
      <w:r>
        <w:rPr>
          <w:rFonts w:ascii="宋体" w:hAnsi="宋体"/>
          <w:color w:val="auto"/>
          <w:sz w:val="24"/>
          <w:highlight w:val="none"/>
        </w:rPr>
        <w:t>工频耐受电压AC1890V，50Hz状况下1min；</w:t>
      </w:r>
    </w:p>
    <w:p w14:paraId="32FC7EE4">
      <w:pPr>
        <w:adjustRightInd w:val="0"/>
        <w:snapToGrid w:val="0"/>
        <w:spacing w:line="360" w:lineRule="auto"/>
        <w:rPr>
          <w:rFonts w:ascii="宋体" w:hAnsi="宋体"/>
          <w:color w:val="auto"/>
          <w:sz w:val="24"/>
          <w:highlight w:val="none"/>
        </w:rPr>
      </w:pPr>
    </w:p>
    <w:p w14:paraId="3858BF92">
      <w:pPr>
        <w:adjustRightInd w:val="0"/>
        <w:snapToGrid w:val="0"/>
        <w:spacing w:line="360" w:lineRule="auto"/>
        <w:rPr>
          <w:rFonts w:ascii="宋体" w:hAnsi="宋体"/>
          <w:color w:val="auto"/>
          <w:sz w:val="24"/>
          <w:highlight w:val="none"/>
        </w:rPr>
      </w:pPr>
      <w:r>
        <w:rPr>
          <w:rFonts w:ascii="宋体" w:hAnsi="宋体"/>
          <w:color w:val="auto"/>
          <w:sz w:val="24"/>
          <w:highlight w:val="none"/>
        </w:rPr>
        <w:t>绝缘电阻≥100mΩ；</w:t>
      </w:r>
    </w:p>
    <w:p w14:paraId="19BD16BD">
      <w:pPr>
        <w:adjustRightInd w:val="0"/>
        <w:snapToGrid w:val="0"/>
        <w:spacing w:line="360" w:lineRule="auto"/>
        <w:rPr>
          <w:rFonts w:ascii="宋体" w:hAnsi="宋体"/>
          <w:color w:val="auto"/>
          <w:sz w:val="24"/>
          <w:highlight w:val="none"/>
        </w:rPr>
      </w:pPr>
    </w:p>
    <w:p w14:paraId="5E4B7AD4">
      <w:pPr>
        <w:adjustRightInd w:val="0"/>
        <w:snapToGrid w:val="0"/>
        <w:spacing w:line="360" w:lineRule="auto"/>
        <w:rPr>
          <w:rFonts w:ascii="宋体" w:hAnsi="宋体"/>
          <w:color w:val="auto"/>
          <w:sz w:val="24"/>
          <w:highlight w:val="none"/>
        </w:rPr>
      </w:pPr>
      <w:r>
        <w:rPr>
          <w:rFonts w:ascii="宋体" w:hAnsi="宋体"/>
          <w:color w:val="auto"/>
          <w:sz w:val="24"/>
          <w:highlight w:val="none"/>
        </w:rPr>
        <w:t>连续工作寿命≥30000小时；</w:t>
      </w:r>
    </w:p>
    <w:p w14:paraId="011CFEA0">
      <w:pPr>
        <w:adjustRightInd w:val="0"/>
        <w:snapToGrid w:val="0"/>
        <w:spacing w:line="360" w:lineRule="auto"/>
        <w:rPr>
          <w:rFonts w:ascii="宋体" w:hAnsi="宋体"/>
          <w:color w:val="auto"/>
          <w:sz w:val="24"/>
          <w:highlight w:val="none"/>
        </w:rPr>
      </w:pPr>
    </w:p>
    <w:p w14:paraId="7A3AF863">
      <w:pPr>
        <w:adjustRightInd w:val="0"/>
        <w:snapToGrid w:val="0"/>
        <w:spacing w:line="360" w:lineRule="auto"/>
        <w:rPr>
          <w:rFonts w:ascii="宋体" w:hAnsi="宋体"/>
          <w:color w:val="auto"/>
          <w:sz w:val="24"/>
          <w:highlight w:val="none"/>
        </w:rPr>
      </w:pPr>
      <w:r>
        <w:rPr>
          <w:rFonts w:ascii="宋体" w:hAnsi="宋体"/>
          <w:color w:val="auto"/>
          <w:sz w:val="24"/>
          <w:highlight w:val="none"/>
        </w:rPr>
        <w:t>光亮度≥100CD/m2</w:t>
      </w:r>
    </w:p>
    <w:p w14:paraId="0CDF250E">
      <w:pPr>
        <w:adjustRightInd w:val="0"/>
        <w:snapToGrid w:val="0"/>
        <w:spacing w:line="360" w:lineRule="auto"/>
        <w:rPr>
          <w:rFonts w:ascii="宋体" w:hAnsi="宋体"/>
          <w:color w:val="auto"/>
          <w:sz w:val="24"/>
          <w:highlight w:val="none"/>
        </w:rPr>
      </w:pPr>
    </w:p>
    <w:p w14:paraId="3E5D5140">
      <w:pPr>
        <w:adjustRightInd w:val="0"/>
        <w:snapToGrid w:val="0"/>
        <w:spacing w:line="360" w:lineRule="auto"/>
        <w:rPr>
          <w:rFonts w:ascii="宋体" w:hAnsi="宋体"/>
          <w:color w:val="auto"/>
          <w:sz w:val="24"/>
          <w:highlight w:val="none"/>
        </w:rPr>
      </w:pPr>
      <w:r>
        <w:rPr>
          <w:rFonts w:ascii="宋体" w:hAnsi="宋体"/>
          <w:color w:val="auto"/>
          <w:sz w:val="24"/>
          <w:highlight w:val="none"/>
        </w:rPr>
        <w:t>（六）电流互感器 </w:t>
      </w:r>
    </w:p>
    <w:p w14:paraId="529C4520">
      <w:pPr>
        <w:adjustRightInd w:val="0"/>
        <w:snapToGrid w:val="0"/>
        <w:spacing w:line="360" w:lineRule="auto"/>
        <w:rPr>
          <w:rFonts w:ascii="宋体" w:hAnsi="宋体"/>
          <w:color w:val="auto"/>
          <w:sz w:val="24"/>
          <w:highlight w:val="none"/>
        </w:rPr>
      </w:pPr>
    </w:p>
    <w:p w14:paraId="0A8812A4">
      <w:pPr>
        <w:adjustRightInd w:val="0"/>
        <w:snapToGrid w:val="0"/>
        <w:spacing w:line="360" w:lineRule="auto"/>
        <w:rPr>
          <w:rFonts w:ascii="宋体" w:hAnsi="宋体"/>
          <w:color w:val="auto"/>
          <w:sz w:val="24"/>
          <w:highlight w:val="none"/>
        </w:rPr>
      </w:pPr>
      <w:r>
        <w:rPr>
          <w:rFonts w:ascii="宋体" w:hAnsi="宋体"/>
          <w:color w:val="auto"/>
          <w:sz w:val="24"/>
          <w:highlight w:val="none"/>
        </w:rPr>
        <w:t>品质要求：选择电流互感器行业国内外头部企业优质产品。</w:t>
      </w:r>
    </w:p>
    <w:p w14:paraId="54239B49">
      <w:pPr>
        <w:adjustRightInd w:val="0"/>
        <w:snapToGrid w:val="0"/>
        <w:spacing w:line="360" w:lineRule="auto"/>
        <w:rPr>
          <w:rFonts w:ascii="宋体" w:hAnsi="宋体"/>
          <w:color w:val="auto"/>
          <w:sz w:val="24"/>
          <w:highlight w:val="none"/>
        </w:rPr>
      </w:pPr>
    </w:p>
    <w:p w14:paraId="46013B3D">
      <w:pPr>
        <w:adjustRightInd w:val="0"/>
        <w:snapToGrid w:val="0"/>
        <w:spacing w:line="360" w:lineRule="auto"/>
        <w:rPr>
          <w:rFonts w:ascii="宋体" w:hAnsi="宋体"/>
          <w:color w:val="auto"/>
          <w:sz w:val="24"/>
          <w:highlight w:val="none"/>
        </w:rPr>
      </w:pPr>
      <w:r>
        <w:rPr>
          <w:rFonts w:ascii="宋体" w:hAnsi="宋体"/>
          <w:color w:val="auto"/>
          <w:sz w:val="24"/>
          <w:highlight w:val="none"/>
        </w:rPr>
        <w:t>技术参数：</w:t>
      </w:r>
    </w:p>
    <w:p w14:paraId="7BD5AC97">
      <w:pPr>
        <w:adjustRightInd w:val="0"/>
        <w:snapToGrid w:val="0"/>
        <w:spacing w:line="360" w:lineRule="auto"/>
        <w:rPr>
          <w:rFonts w:ascii="宋体" w:hAnsi="宋体"/>
          <w:color w:val="auto"/>
          <w:sz w:val="24"/>
          <w:highlight w:val="none"/>
        </w:rPr>
      </w:pPr>
    </w:p>
    <w:p w14:paraId="28D06B6F">
      <w:pPr>
        <w:adjustRightInd w:val="0"/>
        <w:snapToGrid w:val="0"/>
        <w:spacing w:line="360" w:lineRule="auto"/>
        <w:rPr>
          <w:rFonts w:ascii="宋体" w:hAnsi="宋体"/>
          <w:color w:val="auto"/>
          <w:sz w:val="24"/>
          <w:highlight w:val="none"/>
        </w:rPr>
      </w:pPr>
      <w:r>
        <w:rPr>
          <w:rFonts w:ascii="宋体" w:hAnsi="宋体"/>
          <w:color w:val="auto"/>
          <w:sz w:val="24"/>
          <w:highlight w:val="none"/>
        </w:rPr>
        <w:t>型号满足图纸参数要求</w:t>
      </w:r>
    </w:p>
    <w:p w14:paraId="07B35F47">
      <w:pPr>
        <w:adjustRightInd w:val="0"/>
        <w:snapToGrid w:val="0"/>
        <w:spacing w:line="360" w:lineRule="auto"/>
        <w:rPr>
          <w:rFonts w:ascii="宋体" w:hAnsi="宋体"/>
          <w:color w:val="auto"/>
          <w:sz w:val="24"/>
          <w:highlight w:val="none"/>
        </w:rPr>
      </w:pPr>
    </w:p>
    <w:p w14:paraId="1178AF45">
      <w:pPr>
        <w:adjustRightInd w:val="0"/>
        <w:snapToGrid w:val="0"/>
        <w:spacing w:line="360" w:lineRule="auto"/>
        <w:rPr>
          <w:rFonts w:ascii="宋体" w:hAnsi="宋体"/>
          <w:color w:val="auto"/>
          <w:sz w:val="24"/>
          <w:highlight w:val="none"/>
        </w:rPr>
      </w:pPr>
      <w:r>
        <w:rPr>
          <w:rFonts w:ascii="宋体" w:hAnsi="宋体"/>
          <w:color w:val="auto"/>
          <w:sz w:val="24"/>
          <w:highlight w:val="none"/>
        </w:rPr>
        <w:t>容量必须满足二次负载要求，且不低于10VA（特殊型号容量不满足，必须得到招标方许可）。</w:t>
      </w:r>
    </w:p>
    <w:p w14:paraId="7D89B453">
      <w:pPr>
        <w:adjustRightInd w:val="0"/>
        <w:snapToGrid w:val="0"/>
        <w:spacing w:line="360" w:lineRule="auto"/>
        <w:rPr>
          <w:rFonts w:ascii="宋体" w:hAnsi="宋体"/>
          <w:color w:val="auto"/>
          <w:sz w:val="24"/>
          <w:highlight w:val="none"/>
        </w:rPr>
      </w:pPr>
    </w:p>
    <w:p w14:paraId="6FE4B90B">
      <w:pPr>
        <w:adjustRightInd w:val="0"/>
        <w:snapToGrid w:val="0"/>
        <w:spacing w:line="360" w:lineRule="auto"/>
        <w:rPr>
          <w:rFonts w:ascii="宋体" w:hAnsi="宋体"/>
          <w:color w:val="auto"/>
          <w:sz w:val="24"/>
          <w:highlight w:val="none"/>
        </w:rPr>
      </w:pPr>
      <w:r>
        <w:rPr>
          <w:rFonts w:ascii="宋体" w:hAnsi="宋体"/>
          <w:color w:val="auto"/>
          <w:sz w:val="24"/>
          <w:highlight w:val="none"/>
        </w:rPr>
        <w:t>精度要求0.5级。</w:t>
      </w:r>
    </w:p>
    <w:p w14:paraId="5B9DC9F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（3） </w:t>
      </w:r>
      <w:r>
        <w:rPr>
          <w:rFonts w:ascii="宋体" w:hAnsi="宋体"/>
          <w:color w:val="auto"/>
          <w:sz w:val="24"/>
          <w:highlight w:val="none"/>
        </w:rPr>
        <w:t>低压动力配电箱户内型(户外型)及设备接线箱的设计和制作由经ISO9001认证电气设备专业制造厂生产。柜内元器件技术和档次要求同低压开关柜内主要元器件要求相同。</w:t>
      </w:r>
    </w:p>
    <w:p w14:paraId="4869515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机械设备配套的电气控制箱设计和制作应由经ISO9001认证电气设备专业制造厂生产。柜内元器件技术和档次要求同低压开关柜内主要元器件要求相同。</w:t>
      </w:r>
    </w:p>
    <w:p w14:paraId="5B9BF15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（5） </w:t>
      </w:r>
      <w:r>
        <w:rPr>
          <w:rFonts w:ascii="宋体" w:hAnsi="宋体"/>
          <w:color w:val="auto"/>
          <w:sz w:val="24"/>
          <w:highlight w:val="none"/>
        </w:rPr>
        <w:t>国家CCC认证产品目录内的电气设备必须具有CCC认证标志，并提供认证证书。</w:t>
      </w:r>
    </w:p>
    <w:p w14:paraId="28EC5EF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3.4.3</w:t>
      </w:r>
      <w:r>
        <w:rPr>
          <w:rFonts w:ascii="宋体" w:hAnsi="宋体"/>
          <w:color w:val="auto"/>
          <w:sz w:val="24"/>
          <w:highlight w:val="none"/>
        </w:rPr>
        <w:t>参照标准</w:t>
      </w:r>
    </w:p>
    <w:p w14:paraId="42BCF7B7">
      <w:pPr>
        <w:adjustRightInd w:val="0"/>
        <w:snapToGrid w:val="0"/>
        <w:spacing w:line="360" w:lineRule="auto"/>
        <w:rPr>
          <w:rFonts w:ascii="宋体" w:hAnsi="宋体"/>
          <w:color w:val="auto"/>
          <w:sz w:val="24"/>
          <w:highlight w:val="none"/>
        </w:rPr>
      </w:pPr>
      <w:r>
        <w:rPr>
          <w:rFonts w:ascii="宋体" w:hAnsi="宋体"/>
          <w:color w:val="auto"/>
          <w:sz w:val="24"/>
          <w:highlight w:val="none"/>
        </w:rPr>
        <w:t xml:space="preserve">本节的有关标准包括但不限于以下的IEC标准和相应的GB标准. </w:t>
      </w:r>
    </w:p>
    <w:tbl>
      <w:tblPr>
        <w:tblStyle w:val="19"/>
        <w:tblW w:w="0" w:type="auto"/>
        <w:tblInd w:w="108" w:type="dxa"/>
        <w:tblLayout w:type="fixed"/>
        <w:tblCellMar>
          <w:top w:w="0" w:type="dxa"/>
          <w:left w:w="108" w:type="dxa"/>
          <w:bottom w:w="0" w:type="dxa"/>
          <w:right w:w="108" w:type="dxa"/>
        </w:tblCellMar>
      </w:tblPr>
      <w:tblGrid>
        <w:gridCol w:w="1980"/>
        <w:gridCol w:w="6840"/>
      </w:tblGrid>
      <w:tr w14:paraId="6CDF20A2">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1A950B47">
            <w:pPr>
              <w:adjustRightInd w:val="0"/>
              <w:snapToGrid w:val="0"/>
              <w:spacing w:line="360" w:lineRule="auto"/>
              <w:rPr>
                <w:rFonts w:ascii="宋体" w:hAnsi="宋体"/>
                <w:color w:val="auto"/>
                <w:sz w:val="24"/>
                <w:highlight w:val="none"/>
              </w:rPr>
            </w:pPr>
            <w:r>
              <w:rPr>
                <w:rFonts w:ascii="宋体" w:hAnsi="宋体"/>
                <w:color w:val="auto"/>
                <w:sz w:val="24"/>
                <w:highlight w:val="none"/>
              </w:rPr>
              <w:t>JGJ46</w:t>
            </w:r>
          </w:p>
        </w:tc>
        <w:tc>
          <w:tcPr>
            <w:tcW w:w="6840" w:type="dxa"/>
            <w:tcBorders>
              <w:top w:val="single" w:color="auto" w:sz="4" w:space="0"/>
              <w:left w:val="nil"/>
              <w:bottom w:val="single" w:color="auto" w:sz="4" w:space="0"/>
              <w:right w:val="single" w:color="auto" w:sz="4" w:space="0"/>
            </w:tcBorders>
            <w:vAlign w:val="center"/>
          </w:tcPr>
          <w:p w14:paraId="38E04619">
            <w:pPr>
              <w:adjustRightInd w:val="0"/>
              <w:snapToGrid w:val="0"/>
              <w:spacing w:line="360" w:lineRule="auto"/>
              <w:rPr>
                <w:rFonts w:ascii="宋体" w:hAnsi="宋体"/>
                <w:color w:val="auto"/>
                <w:sz w:val="24"/>
                <w:highlight w:val="none"/>
              </w:rPr>
            </w:pPr>
            <w:r>
              <w:rPr>
                <w:rFonts w:ascii="宋体" w:hAnsi="宋体"/>
                <w:color w:val="auto"/>
                <w:sz w:val="24"/>
                <w:highlight w:val="none"/>
              </w:rPr>
              <w:t>施工现场临时用电安全技术规范</w:t>
            </w:r>
          </w:p>
        </w:tc>
      </w:tr>
      <w:tr w14:paraId="3BE04106">
        <w:tblPrEx>
          <w:tblCellMar>
            <w:top w:w="0" w:type="dxa"/>
            <w:left w:w="108" w:type="dxa"/>
            <w:bottom w:w="0" w:type="dxa"/>
            <w:right w:w="108" w:type="dxa"/>
          </w:tblCellMar>
        </w:tblPrEx>
        <w:trPr>
          <w:trHeight w:val="531" w:hRule="atLeast"/>
        </w:trPr>
        <w:tc>
          <w:tcPr>
            <w:tcW w:w="1980" w:type="dxa"/>
            <w:tcBorders>
              <w:top w:val="single" w:color="auto" w:sz="4" w:space="0"/>
              <w:left w:val="single" w:color="auto" w:sz="4" w:space="0"/>
              <w:bottom w:val="single" w:color="auto" w:sz="4" w:space="0"/>
              <w:right w:val="single" w:color="auto" w:sz="4" w:space="0"/>
            </w:tcBorders>
            <w:vAlign w:val="center"/>
          </w:tcPr>
          <w:p w14:paraId="1F8C95BE">
            <w:pPr>
              <w:adjustRightInd w:val="0"/>
              <w:snapToGrid w:val="0"/>
              <w:spacing w:line="360" w:lineRule="auto"/>
              <w:rPr>
                <w:rFonts w:ascii="宋体" w:hAnsi="宋体"/>
                <w:color w:val="auto"/>
                <w:sz w:val="24"/>
                <w:highlight w:val="none"/>
              </w:rPr>
            </w:pPr>
            <w:r>
              <w:rPr>
                <w:rFonts w:ascii="宋体" w:hAnsi="宋体"/>
                <w:color w:val="auto"/>
                <w:sz w:val="24"/>
                <w:highlight w:val="none"/>
              </w:rPr>
              <w:t>IEC60056</w:t>
            </w:r>
          </w:p>
        </w:tc>
        <w:tc>
          <w:tcPr>
            <w:tcW w:w="6840" w:type="dxa"/>
            <w:tcBorders>
              <w:top w:val="single" w:color="auto" w:sz="4" w:space="0"/>
              <w:left w:val="nil"/>
              <w:bottom w:val="single" w:color="auto" w:sz="4" w:space="0"/>
              <w:right w:val="single" w:color="auto" w:sz="4" w:space="0"/>
            </w:tcBorders>
            <w:vAlign w:val="center"/>
          </w:tcPr>
          <w:p w14:paraId="31BCCB22">
            <w:pPr>
              <w:adjustRightInd w:val="0"/>
              <w:snapToGrid w:val="0"/>
              <w:spacing w:line="360" w:lineRule="auto"/>
              <w:rPr>
                <w:rFonts w:ascii="宋体" w:hAnsi="宋体"/>
                <w:color w:val="auto"/>
                <w:sz w:val="24"/>
                <w:highlight w:val="none"/>
              </w:rPr>
            </w:pPr>
            <w:r>
              <w:rPr>
                <w:rFonts w:ascii="宋体" w:hAnsi="宋体"/>
                <w:color w:val="auto"/>
                <w:sz w:val="24"/>
                <w:highlight w:val="none"/>
              </w:rPr>
              <w:t>高压交流断路器</w:t>
            </w:r>
          </w:p>
        </w:tc>
      </w:tr>
      <w:tr w14:paraId="2E6DBAE8">
        <w:tblPrEx>
          <w:tblCellMar>
            <w:top w:w="0" w:type="dxa"/>
            <w:left w:w="108" w:type="dxa"/>
            <w:bottom w:w="0" w:type="dxa"/>
            <w:right w:w="108" w:type="dxa"/>
          </w:tblCellMar>
        </w:tblPrEx>
        <w:trPr>
          <w:trHeight w:val="532" w:hRule="atLeast"/>
        </w:trPr>
        <w:tc>
          <w:tcPr>
            <w:tcW w:w="1980" w:type="dxa"/>
            <w:tcBorders>
              <w:top w:val="single" w:color="auto" w:sz="4" w:space="0"/>
              <w:left w:val="single" w:color="auto" w:sz="4" w:space="0"/>
              <w:bottom w:val="single" w:color="auto" w:sz="4" w:space="0"/>
              <w:right w:val="single" w:color="auto" w:sz="4" w:space="0"/>
            </w:tcBorders>
            <w:vAlign w:val="center"/>
          </w:tcPr>
          <w:p w14:paraId="33357E07">
            <w:pPr>
              <w:adjustRightInd w:val="0"/>
              <w:snapToGrid w:val="0"/>
              <w:spacing w:line="360" w:lineRule="auto"/>
              <w:rPr>
                <w:rFonts w:ascii="宋体" w:hAnsi="宋体"/>
                <w:color w:val="auto"/>
                <w:sz w:val="24"/>
                <w:highlight w:val="none"/>
              </w:rPr>
            </w:pPr>
            <w:r>
              <w:rPr>
                <w:rFonts w:ascii="宋体" w:hAnsi="宋体"/>
                <w:color w:val="auto"/>
                <w:sz w:val="24"/>
                <w:highlight w:val="none"/>
              </w:rPr>
              <w:t>IEC60071</w:t>
            </w:r>
          </w:p>
        </w:tc>
        <w:tc>
          <w:tcPr>
            <w:tcW w:w="6840" w:type="dxa"/>
            <w:tcBorders>
              <w:top w:val="single" w:color="auto" w:sz="4" w:space="0"/>
              <w:left w:val="nil"/>
              <w:bottom w:val="single" w:color="auto" w:sz="4" w:space="0"/>
              <w:right w:val="single" w:color="auto" w:sz="4" w:space="0"/>
            </w:tcBorders>
            <w:vAlign w:val="center"/>
          </w:tcPr>
          <w:p w14:paraId="6EC53ECA">
            <w:pPr>
              <w:adjustRightInd w:val="0"/>
              <w:snapToGrid w:val="0"/>
              <w:spacing w:line="360" w:lineRule="auto"/>
              <w:rPr>
                <w:rFonts w:ascii="宋体" w:hAnsi="宋体"/>
                <w:color w:val="auto"/>
                <w:sz w:val="24"/>
                <w:highlight w:val="none"/>
              </w:rPr>
            </w:pPr>
            <w:r>
              <w:rPr>
                <w:rFonts w:ascii="宋体" w:hAnsi="宋体"/>
                <w:color w:val="auto"/>
                <w:sz w:val="24"/>
                <w:highlight w:val="none"/>
              </w:rPr>
              <w:t>绝缘配合</w:t>
            </w:r>
          </w:p>
        </w:tc>
      </w:tr>
      <w:tr w14:paraId="4B224DB7">
        <w:tblPrEx>
          <w:tblCellMar>
            <w:top w:w="0" w:type="dxa"/>
            <w:left w:w="108" w:type="dxa"/>
            <w:bottom w:w="0" w:type="dxa"/>
            <w:right w:w="108" w:type="dxa"/>
          </w:tblCellMar>
        </w:tblPrEx>
        <w:trPr>
          <w:trHeight w:val="532" w:hRule="atLeast"/>
        </w:trPr>
        <w:tc>
          <w:tcPr>
            <w:tcW w:w="1980" w:type="dxa"/>
            <w:tcBorders>
              <w:top w:val="single" w:color="auto" w:sz="4" w:space="0"/>
              <w:left w:val="single" w:color="auto" w:sz="4" w:space="0"/>
              <w:bottom w:val="single" w:color="auto" w:sz="4" w:space="0"/>
              <w:right w:val="single" w:color="auto" w:sz="4" w:space="0"/>
            </w:tcBorders>
            <w:vAlign w:val="center"/>
          </w:tcPr>
          <w:p w14:paraId="1750F94F">
            <w:pPr>
              <w:adjustRightInd w:val="0"/>
              <w:snapToGrid w:val="0"/>
              <w:spacing w:line="360" w:lineRule="auto"/>
              <w:rPr>
                <w:rFonts w:ascii="宋体" w:hAnsi="宋体"/>
                <w:color w:val="auto"/>
                <w:sz w:val="24"/>
                <w:highlight w:val="none"/>
              </w:rPr>
            </w:pPr>
            <w:r>
              <w:rPr>
                <w:rFonts w:ascii="宋体" w:hAnsi="宋体"/>
                <w:color w:val="auto"/>
                <w:sz w:val="24"/>
                <w:highlight w:val="none"/>
              </w:rPr>
              <w:t>IEC60269</w:t>
            </w:r>
          </w:p>
        </w:tc>
        <w:tc>
          <w:tcPr>
            <w:tcW w:w="6840" w:type="dxa"/>
            <w:tcBorders>
              <w:top w:val="single" w:color="auto" w:sz="4" w:space="0"/>
              <w:left w:val="nil"/>
              <w:bottom w:val="single" w:color="auto" w:sz="4" w:space="0"/>
              <w:right w:val="single" w:color="auto" w:sz="4" w:space="0"/>
            </w:tcBorders>
            <w:vAlign w:val="center"/>
          </w:tcPr>
          <w:p w14:paraId="6824D770">
            <w:pPr>
              <w:adjustRightInd w:val="0"/>
              <w:snapToGrid w:val="0"/>
              <w:spacing w:line="360" w:lineRule="auto"/>
              <w:rPr>
                <w:rFonts w:ascii="宋体" w:hAnsi="宋体"/>
                <w:color w:val="auto"/>
                <w:sz w:val="24"/>
                <w:highlight w:val="none"/>
              </w:rPr>
            </w:pPr>
            <w:r>
              <w:rPr>
                <w:rFonts w:ascii="宋体" w:hAnsi="宋体"/>
                <w:color w:val="auto"/>
                <w:sz w:val="24"/>
                <w:highlight w:val="none"/>
              </w:rPr>
              <w:t>低压电容器</w:t>
            </w:r>
          </w:p>
        </w:tc>
      </w:tr>
      <w:tr w14:paraId="5F15F6BF">
        <w:tblPrEx>
          <w:tblCellMar>
            <w:top w:w="0" w:type="dxa"/>
            <w:left w:w="108" w:type="dxa"/>
            <w:bottom w:w="0" w:type="dxa"/>
            <w:right w:w="108" w:type="dxa"/>
          </w:tblCellMar>
        </w:tblPrEx>
        <w:trPr>
          <w:trHeight w:val="531" w:hRule="atLeast"/>
        </w:trPr>
        <w:tc>
          <w:tcPr>
            <w:tcW w:w="1980" w:type="dxa"/>
            <w:tcBorders>
              <w:top w:val="single" w:color="auto" w:sz="4" w:space="0"/>
              <w:left w:val="single" w:color="auto" w:sz="4" w:space="0"/>
              <w:bottom w:val="single" w:color="auto" w:sz="4" w:space="0"/>
              <w:right w:val="single" w:color="auto" w:sz="4" w:space="0"/>
            </w:tcBorders>
            <w:vAlign w:val="center"/>
          </w:tcPr>
          <w:p w14:paraId="730E68FC">
            <w:pPr>
              <w:adjustRightInd w:val="0"/>
              <w:snapToGrid w:val="0"/>
              <w:spacing w:line="360" w:lineRule="auto"/>
              <w:rPr>
                <w:rFonts w:ascii="宋体" w:hAnsi="宋体"/>
                <w:color w:val="auto"/>
                <w:sz w:val="24"/>
                <w:highlight w:val="none"/>
              </w:rPr>
            </w:pPr>
            <w:r>
              <w:rPr>
                <w:rFonts w:ascii="宋体" w:hAnsi="宋体"/>
                <w:color w:val="auto"/>
                <w:sz w:val="24"/>
                <w:highlight w:val="none"/>
              </w:rPr>
              <w:t>IEC60871-1</w:t>
            </w:r>
          </w:p>
        </w:tc>
        <w:tc>
          <w:tcPr>
            <w:tcW w:w="6840" w:type="dxa"/>
            <w:tcBorders>
              <w:top w:val="single" w:color="auto" w:sz="4" w:space="0"/>
              <w:left w:val="nil"/>
              <w:bottom w:val="single" w:color="auto" w:sz="4" w:space="0"/>
              <w:right w:val="single" w:color="auto" w:sz="4" w:space="0"/>
            </w:tcBorders>
            <w:vAlign w:val="center"/>
          </w:tcPr>
          <w:p w14:paraId="4769E809">
            <w:pPr>
              <w:adjustRightInd w:val="0"/>
              <w:snapToGrid w:val="0"/>
              <w:spacing w:line="360" w:lineRule="auto"/>
              <w:rPr>
                <w:rFonts w:ascii="宋体" w:hAnsi="宋体"/>
                <w:color w:val="auto"/>
                <w:sz w:val="24"/>
                <w:highlight w:val="none"/>
              </w:rPr>
            </w:pPr>
            <w:r>
              <w:rPr>
                <w:rFonts w:ascii="宋体" w:hAnsi="宋体"/>
                <w:color w:val="auto"/>
                <w:sz w:val="24"/>
                <w:highlight w:val="none"/>
              </w:rPr>
              <w:t>高压电容器</w:t>
            </w:r>
          </w:p>
        </w:tc>
      </w:tr>
      <w:tr w14:paraId="677B7DE2">
        <w:tblPrEx>
          <w:tblCellMar>
            <w:top w:w="0" w:type="dxa"/>
            <w:left w:w="108" w:type="dxa"/>
            <w:bottom w:w="0" w:type="dxa"/>
            <w:right w:w="108" w:type="dxa"/>
          </w:tblCellMar>
        </w:tblPrEx>
        <w:trPr>
          <w:trHeight w:val="472" w:hRule="atLeast"/>
        </w:trPr>
        <w:tc>
          <w:tcPr>
            <w:tcW w:w="1980" w:type="dxa"/>
            <w:tcBorders>
              <w:top w:val="single" w:color="auto" w:sz="4" w:space="0"/>
              <w:left w:val="single" w:color="auto" w:sz="4" w:space="0"/>
              <w:bottom w:val="single" w:color="auto" w:sz="4" w:space="0"/>
              <w:right w:val="single" w:color="auto" w:sz="4" w:space="0"/>
            </w:tcBorders>
            <w:vAlign w:val="center"/>
          </w:tcPr>
          <w:p w14:paraId="2AC24DBA">
            <w:pPr>
              <w:adjustRightInd w:val="0"/>
              <w:snapToGrid w:val="0"/>
              <w:spacing w:line="360" w:lineRule="auto"/>
              <w:rPr>
                <w:rFonts w:ascii="宋体" w:hAnsi="宋体"/>
                <w:color w:val="auto"/>
                <w:sz w:val="24"/>
                <w:highlight w:val="none"/>
              </w:rPr>
            </w:pPr>
            <w:r>
              <w:rPr>
                <w:rFonts w:ascii="宋体" w:hAnsi="宋体"/>
                <w:color w:val="auto"/>
                <w:sz w:val="24"/>
                <w:highlight w:val="none"/>
              </w:rPr>
              <w:t>IEC60423</w:t>
            </w:r>
          </w:p>
        </w:tc>
        <w:tc>
          <w:tcPr>
            <w:tcW w:w="6840" w:type="dxa"/>
            <w:tcBorders>
              <w:top w:val="single" w:color="auto" w:sz="4" w:space="0"/>
              <w:left w:val="nil"/>
              <w:bottom w:val="single" w:color="auto" w:sz="4" w:space="0"/>
              <w:right w:val="single" w:color="auto" w:sz="4" w:space="0"/>
            </w:tcBorders>
            <w:vAlign w:val="center"/>
          </w:tcPr>
          <w:p w14:paraId="4F16ECA1">
            <w:pPr>
              <w:adjustRightInd w:val="0"/>
              <w:snapToGrid w:val="0"/>
              <w:spacing w:line="360" w:lineRule="auto"/>
              <w:rPr>
                <w:rFonts w:ascii="宋体" w:hAnsi="宋体"/>
                <w:color w:val="auto"/>
                <w:sz w:val="24"/>
                <w:highlight w:val="none"/>
              </w:rPr>
            </w:pPr>
            <w:r>
              <w:rPr>
                <w:rFonts w:ascii="宋体" w:hAnsi="宋体"/>
                <w:color w:val="auto"/>
                <w:sz w:val="24"/>
                <w:highlight w:val="none"/>
              </w:rPr>
              <w:t>金属穿线管和固定件</w:t>
            </w:r>
          </w:p>
        </w:tc>
      </w:tr>
      <w:tr w14:paraId="46D404EF">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8AD2071">
            <w:pPr>
              <w:adjustRightInd w:val="0"/>
              <w:snapToGrid w:val="0"/>
              <w:spacing w:line="360" w:lineRule="auto"/>
              <w:rPr>
                <w:rFonts w:ascii="宋体" w:hAnsi="宋体"/>
                <w:color w:val="auto"/>
                <w:sz w:val="24"/>
                <w:highlight w:val="none"/>
              </w:rPr>
            </w:pPr>
            <w:r>
              <w:rPr>
                <w:rFonts w:ascii="宋体" w:hAnsi="宋体"/>
                <w:color w:val="auto"/>
                <w:sz w:val="24"/>
                <w:highlight w:val="none"/>
              </w:rPr>
              <w:t>IEC60446</w:t>
            </w:r>
          </w:p>
        </w:tc>
        <w:tc>
          <w:tcPr>
            <w:tcW w:w="6840" w:type="dxa"/>
            <w:tcBorders>
              <w:top w:val="single" w:color="auto" w:sz="4" w:space="0"/>
              <w:left w:val="nil"/>
              <w:bottom w:val="single" w:color="auto" w:sz="4" w:space="0"/>
              <w:right w:val="single" w:color="auto" w:sz="4" w:space="0"/>
            </w:tcBorders>
            <w:vAlign w:val="center"/>
          </w:tcPr>
          <w:p w14:paraId="35D53285">
            <w:pPr>
              <w:adjustRightInd w:val="0"/>
              <w:snapToGrid w:val="0"/>
              <w:spacing w:line="360" w:lineRule="auto"/>
              <w:rPr>
                <w:rFonts w:ascii="宋体" w:hAnsi="宋体"/>
                <w:color w:val="auto"/>
                <w:sz w:val="24"/>
                <w:highlight w:val="none"/>
              </w:rPr>
            </w:pPr>
            <w:r>
              <w:rPr>
                <w:rFonts w:ascii="宋体" w:hAnsi="宋体"/>
                <w:color w:val="auto"/>
                <w:sz w:val="24"/>
                <w:highlight w:val="none"/>
              </w:rPr>
              <w:t>根据颜色和数字鉴别导线</w:t>
            </w:r>
          </w:p>
        </w:tc>
      </w:tr>
      <w:tr w14:paraId="64B69793">
        <w:tblPrEx>
          <w:tblCellMar>
            <w:top w:w="0" w:type="dxa"/>
            <w:left w:w="108" w:type="dxa"/>
            <w:bottom w:w="0" w:type="dxa"/>
            <w:right w:w="108" w:type="dxa"/>
          </w:tblCellMar>
        </w:tblPrEx>
        <w:trPr>
          <w:trHeight w:val="472" w:hRule="atLeast"/>
        </w:trPr>
        <w:tc>
          <w:tcPr>
            <w:tcW w:w="1980" w:type="dxa"/>
            <w:tcBorders>
              <w:top w:val="single" w:color="auto" w:sz="4" w:space="0"/>
              <w:left w:val="single" w:color="auto" w:sz="4" w:space="0"/>
              <w:bottom w:val="single" w:color="auto" w:sz="4" w:space="0"/>
              <w:right w:val="single" w:color="auto" w:sz="4" w:space="0"/>
            </w:tcBorders>
            <w:vAlign w:val="center"/>
          </w:tcPr>
          <w:p w14:paraId="4AEC43F4">
            <w:pPr>
              <w:adjustRightInd w:val="0"/>
              <w:snapToGrid w:val="0"/>
              <w:spacing w:line="360" w:lineRule="auto"/>
              <w:rPr>
                <w:rFonts w:ascii="宋体" w:hAnsi="宋体"/>
                <w:color w:val="auto"/>
                <w:sz w:val="24"/>
                <w:highlight w:val="none"/>
              </w:rPr>
            </w:pPr>
            <w:r>
              <w:rPr>
                <w:rFonts w:ascii="宋体" w:hAnsi="宋体"/>
                <w:color w:val="auto"/>
                <w:sz w:val="24"/>
                <w:highlight w:val="none"/>
              </w:rPr>
              <w:t>IEC60298</w:t>
            </w:r>
          </w:p>
        </w:tc>
        <w:tc>
          <w:tcPr>
            <w:tcW w:w="6840" w:type="dxa"/>
            <w:tcBorders>
              <w:top w:val="single" w:color="auto" w:sz="4" w:space="0"/>
              <w:left w:val="nil"/>
              <w:bottom w:val="single" w:color="auto" w:sz="4" w:space="0"/>
              <w:right w:val="single" w:color="auto" w:sz="4" w:space="0"/>
            </w:tcBorders>
            <w:vAlign w:val="center"/>
          </w:tcPr>
          <w:p w14:paraId="74C8CA89">
            <w:pPr>
              <w:adjustRightInd w:val="0"/>
              <w:snapToGrid w:val="0"/>
              <w:spacing w:line="360" w:lineRule="auto"/>
              <w:rPr>
                <w:rFonts w:ascii="宋体" w:hAnsi="宋体"/>
                <w:color w:val="auto"/>
                <w:sz w:val="24"/>
                <w:highlight w:val="none"/>
              </w:rPr>
            </w:pPr>
            <w:r>
              <w:rPr>
                <w:rFonts w:ascii="宋体" w:hAnsi="宋体"/>
                <w:color w:val="auto"/>
                <w:sz w:val="24"/>
                <w:highlight w:val="none"/>
              </w:rPr>
              <w:t>额定电压 1KV 以上至 72.5KV 交流金属封闭开关设备和控制设备</w:t>
            </w:r>
          </w:p>
        </w:tc>
      </w:tr>
      <w:tr w14:paraId="6091A468">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05F85D33">
            <w:pPr>
              <w:adjustRightInd w:val="0"/>
              <w:snapToGrid w:val="0"/>
              <w:spacing w:line="360" w:lineRule="auto"/>
              <w:rPr>
                <w:rFonts w:ascii="宋体" w:hAnsi="宋体"/>
                <w:color w:val="auto"/>
                <w:sz w:val="24"/>
                <w:highlight w:val="none"/>
              </w:rPr>
            </w:pPr>
            <w:r>
              <w:rPr>
                <w:rFonts w:ascii="宋体" w:hAnsi="宋体"/>
                <w:color w:val="auto"/>
                <w:sz w:val="24"/>
                <w:highlight w:val="none"/>
              </w:rPr>
              <w:t>IEC60439</w:t>
            </w:r>
          </w:p>
        </w:tc>
        <w:tc>
          <w:tcPr>
            <w:tcW w:w="6840" w:type="dxa"/>
            <w:tcBorders>
              <w:top w:val="single" w:color="auto" w:sz="4" w:space="0"/>
              <w:left w:val="nil"/>
              <w:bottom w:val="single" w:color="auto" w:sz="4" w:space="0"/>
              <w:right w:val="single" w:color="auto" w:sz="4" w:space="0"/>
            </w:tcBorders>
            <w:vAlign w:val="center"/>
          </w:tcPr>
          <w:p w14:paraId="19375A16">
            <w:pPr>
              <w:adjustRightInd w:val="0"/>
              <w:snapToGrid w:val="0"/>
              <w:spacing w:line="360" w:lineRule="auto"/>
              <w:rPr>
                <w:rFonts w:ascii="宋体" w:hAnsi="宋体"/>
                <w:color w:val="auto"/>
                <w:sz w:val="24"/>
                <w:highlight w:val="none"/>
              </w:rPr>
            </w:pPr>
            <w:r>
              <w:rPr>
                <w:rFonts w:ascii="宋体" w:hAnsi="宋体"/>
                <w:color w:val="auto"/>
                <w:sz w:val="24"/>
                <w:highlight w:val="none"/>
              </w:rPr>
              <w:t>低压开关设备和控制设备组件</w:t>
            </w:r>
          </w:p>
        </w:tc>
      </w:tr>
      <w:tr w14:paraId="5884F912">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799B1D7">
            <w:pPr>
              <w:adjustRightInd w:val="0"/>
              <w:snapToGrid w:val="0"/>
              <w:spacing w:line="360" w:lineRule="auto"/>
              <w:rPr>
                <w:rFonts w:ascii="宋体" w:hAnsi="宋体"/>
                <w:color w:val="auto"/>
                <w:sz w:val="24"/>
                <w:highlight w:val="none"/>
              </w:rPr>
            </w:pPr>
            <w:r>
              <w:rPr>
                <w:rFonts w:ascii="宋体" w:hAnsi="宋体"/>
                <w:color w:val="auto"/>
                <w:sz w:val="24"/>
                <w:highlight w:val="none"/>
              </w:rPr>
              <w:t>IEC60034</w:t>
            </w:r>
          </w:p>
        </w:tc>
        <w:tc>
          <w:tcPr>
            <w:tcW w:w="6840" w:type="dxa"/>
            <w:tcBorders>
              <w:top w:val="single" w:color="auto" w:sz="4" w:space="0"/>
              <w:left w:val="nil"/>
              <w:bottom w:val="single" w:color="auto" w:sz="4" w:space="0"/>
              <w:right w:val="single" w:color="auto" w:sz="4" w:space="0"/>
            </w:tcBorders>
            <w:vAlign w:val="center"/>
          </w:tcPr>
          <w:p w14:paraId="2F6A6BBE">
            <w:pPr>
              <w:adjustRightInd w:val="0"/>
              <w:snapToGrid w:val="0"/>
              <w:spacing w:line="360" w:lineRule="auto"/>
              <w:rPr>
                <w:rFonts w:ascii="宋体" w:hAnsi="宋体"/>
                <w:color w:val="auto"/>
                <w:sz w:val="24"/>
                <w:highlight w:val="none"/>
              </w:rPr>
            </w:pPr>
            <w:r>
              <w:rPr>
                <w:rFonts w:ascii="宋体" w:hAnsi="宋体"/>
                <w:color w:val="auto"/>
                <w:sz w:val="24"/>
                <w:highlight w:val="none"/>
              </w:rPr>
              <w:t>旋转电机</w:t>
            </w:r>
          </w:p>
        </w:tc>
      </w:tr>
      <w:tr w14:paraId="0D82406A">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4878233">
            <w:pPr>
              <w:adjustRightInd w:val="0"/>
              <w:snapToGrid w:val="0"/>
              <w:spacing w:line="360" w:lineRule="auto"/>
              <w:rPr>
                <w:rFonts w:ascii="宋体" w:hAnsi="宋体"/>
                <w:color w:val="auto"/>
                <w:sz w:val="24"/>
                <w:highlight w:val="none"/>
              </w:rPr>
            </w:pPr>
            <w:r>
              <w:rPr>
                <w:rFonts w:ascii="宋体" w:hAnsi="宋体"/>
                <w:color w:val="auto"/>
                <w:sz w:val="24"/>
                <w:highlight w:val="none"/>
              </w:rPr>
              <w:t>IEC60529</w:t>
            </w:r>
          </w:p>
        </w:tc>
        <w:tc>
          <w:tcPr>
            <w:tcW w:w="6840" w:type="dxa"/>
            <w:tcBorders>
              <w:top w:val="single" w:color="auto" w:sz="4" w:space="0"/>
              <w:left w:val="nil"/>
              <w:bottom w:val="single" w:color="auto" w:sz="4" w:space="0"/>
              <w:right w:val="single" w:color="auto" w:sz="4" w:space="0"/>
            </w:tcBorders>
            <w:vAlign w:val="center"/>
          </w:tcPr>
          <w:p w14:paraId="1DC21929">
            <w:pPr>
              <w:adjustRightInd w:val="0"/>
              <w:snapToGrid w:val="0"/>
              <w:spacing w:line="360" w:lineRule="auto"/>
              <w:rPr>
                <w:rFonts w:ascii="宋体" w:hAnsi="宋体"/>
                <w:color w:val="auto"/>
                <w:sz w:val="24"/>
                <w:highlight w:val="none"/>
              </w:rPr>
            </w:pPr>
            <w:r>
              <w:rPr>
                <w:rFonts w:ascii="宋体" w:hAnsi="宋体"/>
                <w:color w:val="auto"/>
                <w:sz w:val="24"/>
                <w:highlight w:val="none"/>
              </w:rPr>
              <w:t>外壳防护等级</w:t>
            </w:r>
          </w:p>
        </w:tc>
      </w:tr>
      <w:tr w14:paraId="46517336">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404CA0C">
            <w:pPr>
              <w:adjustRightInd w:val="0"/>
              <w:snapToGrid w:val="0"/>
              <w:spacing w:line="360" w:lineRule="auto"/>
              <w:rPr>
                <w:rFonts w:ascii="宋体" w:hAnsi="宋体"/>
                <w:color w:val="auto"/>
                <w:sz w:val="24"/>
                <w:highlight w:val="none"/>
              </w:rPr>
            </w:pPr>
            <w:r>
              <w:rPr>
                <w:rFonts w:ascii="宋体" w:hAnsi="宋体"/>
                <w:color w:val="auto"/>
                <w:sz w:val="24"/>
                <w:highlight w:val="none"/>
              </w:rPr>
              <w:t>IEC60694</w:t>
            </w:r>
          </w:p>
        </w:tc>
        <w:tc>
          <w:tcPr>
            <w:tcW w:w="6840" w:type="dxa"/>
            <w:tcBorders>
              <w:top w:val="single" w:color="auto" w:sz="4" w:space="0"/>
              <w:left w:val="nil"/>
              <w:bottom w:val="single" w:color="auto" w:sz="4" w:space="0"/>
              <w:right w:val="single" w:color="auto" w:sz="4" w:space="0"/>
            </w:tcBorders>
            <w:vAlign w:val="center"/>
          </w:tcPr>
          <w:p w14:paraId="3F090550">
            <w:pPr>
              <w:adjustRightInd w:val="0"/>
              <w:snapToGrid w:val="0"/>
              <w:spacing w:line="360" w:lineRule="auto"/>
              <w:rPr>
                <w:rFonts w:ascii="宋体" w:hAnsi="宋体"/>
                <w:color w:val="auto"/>
                <w:sz w:val="24"/>
                <w:highlight w:val="none"/>
              </w:rPr>
            </w:pPr>
            <w:r>
              <w:rPr>
                <w:rFonts w:ascii="宋体" w:hAnsi="宋体"/>
                <w:color w:val="auto"/>
                <w:sz w:val="24"/>
                <w:highlight w:val="none"/>
              </w:rPr>
              <w:t>高压开关设备和控制设备通用条款</w:t>
            </w:r>
          </w:p>
        </w:tc>
      </w:tr>
      <w:tr w14:paraId="6FD8143C">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EC8880A">
            <w:pPr>
              <w:adjustRightInd w:val="0"/>
              <w:snapToGrid w:val="0"/>
              <w:spacing w:line="360" w:lineRule="auto"/>
              <w:rPr>
                <w:rFonts w:ascii="宋体" w:hAnsi="宋体"/>
                <w:color w:val="auto"/>
                <w:sz w:val="24"/>
                <w:highlight w:val="none"/>
              </w:rPr>
            </w:pPr>
            <w:r>
              <w:rPr>
                <w:rFonts w:ascii="宋体" w:hAnsi="宋体"/>
                <w:color w:val="auto"/>
                <w:sz w:val="24"/>
                <w:highlight w:val="none"/>
              </w:rPr>
              <w:t>IEC60051</w:t>
            </w:r>
          </w:p>
        </w:tc>
        <w:tc>
          <w:tcPr>
            <w:tcW w:w="6840" w:type="dxa"/>
            <w:tcBorders>
              <w:top w:val="single" w:color="auto" w:sz="4" w:space="0"/>
              <w:left w:val="nil"/>
              <w:bottom w:val="single" w:color="auto" w:sz="4" w:space="0"/>
              <w:right w:val="single" w:color="auto" w:sz="4" w:space="0"/>
            </w:tcBorders>
            <w:vAlign w:val="center"/>
          </w:tcPr>
          <w:p w14:paraId="1F0640ED">
            <w:pPr>
              <w:adjustRightInd w:val="0"/>
              <w:snapToGrid w:val="0"/>
              <w:spacing w:line="360" w:lineRule="auto"/>
              <w:rPr>
                <w:rFonts w:ascii="宋体" w:hAnsi="宋体"/>
                <w:color w:val="auto"/>
                <w:sz w:val="24"/>
                <w:highlight w:val="none"/>
              </w:rPr>
            </w:pPr>
            <w:r>
              <w:rPr>
                <w:rFonts w:ascii="宋体" w:hAnsi="宋体"/>
                <w:color w:val="auto"/>
                <w:sz w:val="24"/>
                <w:highlight w:val="none"/>
              </w:rPr>
              <w:t>直接动作指示模拟电气测量仪器及附件</w:t>
            </w:r>
          </w:p>
        </w:tc>
      </w:tr>
      <w:tr w14:paraId="0E391BD6">
        <w:tblPrEx>
          <w:tblCellMar>
            <w:top w:w="0" w:type="dxa"/>
            <w:left w:w="108" w:type="dxa"/>
            <w:bottom w:w="0" w:type="dxa"/>
            <w:right w:w="108" w:type="dxa"/>
          </w:tblCellMar>
        </w:tblPrEx>
        <w:trPr>
          <w:trHeight w:val="472" w:hRule="atLeast"/>
        </w:trPr>
        <w:tc>
          <w:tcPr>
            <w:tcW w:w="1980" w:type="dxa"/>
            <w:tcBorders>
              <w:top w:val="single" w:color="auto" w:sz="4" w:space="0"/>
              <w:left w:val="single" w:color="auto" w:sz="4" w:space="0"/>
              <w:bottom w:val="single" w:color="auto" w:sz="4" w:space="0"/>
              <w:right w:val="single" w:color="auto" w:sz="4" w:space="0"/>
            </w:tcBorders>
            <w:vAlign w:val="center"/>
          </w:tcPr>
          <w:p w14:paraId="73A2BB9B">
            <w:pPr>
              <w:adjustRightInd w:val="0"/>
              <w:snapToGrid w:val="0"/>
              <w:spacing w:line="360" w:lineRule="auto"/>
              <w:rPr>
                <w:rFonts w:ascii="宋体" w:hAnsi="宋体"/>
                <w:color w:val="auto"/>
                <w:sz w:val="24"/>
                <w:highlight w:val="none"/>
              </w:rPr>
            </w:pPr>
            <w:r>
              <w:rPr>
                <w:rFonts w:ascii="宋体" w:hAnsi="宋体"/>
                <w:color w:val="auto"/>
                <w:sz w:val="24"/>
                <w:highlight w:val="none"/>
              </w:rPr>
              <w:t>IEC60099-5</w:t>
            </w:r>
          </w:p>
        </w:tc>
        <w:tc>
          <w:tcPr>
            <w:tcW w:w="6840" w:type="dxa"/>
            <w:tcBorders>
              <w:top w:val="single" w:color="auto" w:sz="4" w:space="0"/>
              <w:left w:val="nil"/>
              <w:bottom w:val="single" w:color="auto" w:sz="4" w:space="0"/>
              <w:right w:val="single" w:color="auto" w:sz="4" w:space="0"/>
            </w:tcBorders>
            <w:vAlign w:val="center"/>
          </w:tcPr>
          <w:p w14:paraId="7ADFBAD4">
            <w:pPr>
              <w:adjustRightInd w:val="0"/>
              <w:snapToGrid w:val="0"/>
              <w:spacing w:line="360" w:lineRule="auto"/>
              <w:rPr>
                <w:rFonts w:ascii="宋体" w:hAnsi="宋体"/>
                <w:color w:val="auto"/>
                <w:sz w:val="24"/>
                <w:highlight w:val="none"/>
              </w:rPr>
            </w:pPr>
            <w:r>
              <w:rPr>
                <w:rFonts w:ascii="宋体" w:hAnsi="宋体"/>
                <w:color w:val="auto"/>
                <w:sz w:val="24"/>
                <w:highlight w:val="none"/>
              </w:rPr>
              <w:t>避雷器</w:t>
            </w:r>
          </w:p>
        </w:tc>
      </w:tr>
      <w:tr w14:paraId="250310D7">
        <w:tblPrEx>
          <w:tblCellMar>
            <w:top w:w="0" w:type="dxa"/>
            <w:left w:w="108" w:type="dxa"/>
            <w:bottom w:w="0" w:type="dxa"/>
            <w:right w:w="108" w:type="dxa"/>
          </w:tblCellMar>
        </w:tblPrEx>
        <w:trPr>
          <w:trHeight w:val="472" w:hRule="atLeast"/>
        </w:trPr>
        <w:tc>
          <w:tcPr>
            <w:tcW w:w="1980" w:type="dxa"/>
            <w:tcBorders>
              <w:top w:val="single" w:color="auto" w:sz="4" w:space="0"/>
              <w:left w:val="single" w:color="auto" w:sz="4" w:space="0"/>
              <w:bottom w:val="single" w:color="auto" w:sz="4" w:space="0"/>
              <w:right w:val="single" w:color="auto" w:sz="4" w:space="0"/>
            </w:tcBorders>
            <w:vAlign w:val="center"/>
          </w:tcPr>
          <w:p w14:paraId="4B4FA5A2">
            <w:pPr>
              <w:adjustRightInd w:val="0"/>
              <w:snapToGrid w:val="0"/>
              <w:spacing w:line="360" w:lineRule="auto"/>
              <w:rPr>
                <w:rFonts w:ascii="宋体" w:hAnsi="宋体"/>
                <w:color w:val="auto"/>
                <w:sz w:val="24"/>
                <w:highlight w:val="none"/>
              </w:rPr>
            </w:pPr>
            <w:r>
              <w:rPr>
                <w:rFonts w:ascii="宋体" w:hAnsi="宋体"/>
                <w:color w:val="auto"/>
                <w:sz w:val="24"/>
                <w:highlight w:val="none"/>
              </w:rPr>
              <w:t>IEC60129</w:t>
            </w:r>
          </w:p>
        </w:tc>
        <w:tc>
          <w:tcPr>
            <w:tcW w:w="6840" w:type="dxa"/>
            <w:tcBorders>
              <w:top w:val="single" w:color="auto" w:sz="4" w:space="0"/>
              <w:left w:val="nil"/>
              <w:bottom w:val="single" w:color="auto" w:sz="4" w:space="0"/>
              <w:right w:val="single" w:color="auto" w:sz="4" w:space="0"/>
            </w:tcBorders>
            <w:vAlign w:val="center"/>
          </w:tcPr>
          <w:p w14:paraId="00724C71">
            <w:pPr>
              <w:adjustRightInd w:val="0"/>
              <w:snapToGrid w:val="0"/>
              <w:spacing w:line="360" w:lineRule="auto"/>
              <w:rPr>
                <w:rFonts w:ascii="宋体" w:hAnsi="宋体"/>
                <w:color w:val="auto"/>
                <w:sz w:val="24"/>
                <w:highlight w:val="none"/>
              </w:rPr>
            </w:pPr>
            <w:r>
              <w:rPr>
                <w:rFonts w:ascii="宋体" w:hAnsi="宋体"/>
                <w:color w:val="auto"/>
                <w:sz w:val="24"/>
                <w:highlight w:val="none"/>
              </w:rPr>
              <w:t>交流断路器和接地开关</w:t>
            </w:r>
          </w:p>
        </w:tc>
      </w:tr>
      <w:tr w14:paraId="19F86964">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0316D0A1">
            <w:pPr>
              <w:adjustRightInd w:val="0"/>
              <w:snapToGrid w:val="0"/>
              <w:spacing w:line="360" w:lineRule="auto"/>
              <w:rPr>
                <w:rFonts w:ascii="宋体" w:hAnsi="宋体"/>
                <w:color w:val="auto"/>
                <w:sz w:val="24"/>
                <w:highlight w:val="none"/>
              </w:rPr>
            </w:pPr>
            <w:r>
              <w:rPr>
                <w:rFonts w:ascii="宋体" w:hAnsi="宋体"/>
                <w:color w:val="auto"/>
                <w:sz w:val="24"/>
                <w:highlight w:val="none"/>
              </w:rPr>
              <w:t>IEC60255</w:t>
            </w:r>
          </w:p>
        </w:tc>
        <w:tc>
          <w:tcPr>
            <w:tcW w:w="6840" w:type="dxa"/>
            <w:tcBorders>
              <w:top w:val="single" w:color="auto" w:sz="4" w:space="0"/>
              <w:left w:val="nil"/>
              <w:bottom w:val="single" w:color="auto" w:sz="4" w:space="0"/>
              <w:right w:val="single" w:color="auto" w:sz="4" w:space="0"/>
            </w:tcBorders>
            <w:vAlign w:val="center"/>
          </w:tcPr>
          <w:p w14:paraId="638E3D17">
            <w:pPr>
              <w:adjustRightInd w:val="0"/>
              <w:snapToGrid w:val="0"/>
              <w:spacing w:line="360" w:lineRule="auto"/>
              <w:rPr>
                <w:rFonts w:ascii="宋体" w:hAnsi="宋体"/>
                <w:color w:val="auto"/>
                <w:sz w:val="24"/>
                <w:highlight w:val="none"/>
              </w:rPr>
            </w:pPr>
            <w:r>
              <w:rPr>
                <w:rFonts w:ascii="宋体" w:hAnsi="宋体"/>
                <w:color w:val="auto"/>
                <w:sz w:val="24"/>
                <w:highlight w:val="none"/>
              </w:rPr>
              <w:t>继电器</w:t>
            </w:r>
          </w:p>
        </w:tc>
      </w:tr>
      <w:tr w14:paraId="2700B296">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2966CFBA">
            <w:pPr>
              <w:adjustRightInd w:val="0"/>
              <w:snapToGrid w:val="0"/>
              <w:spacing w:line="360" w:lineRule="auto"/>
              <w:rPr>
                <w:rFonts w:ascii="宋体" w:hAnsi="宋体"/>
                <w:color w:val="auto"/>
                <w:sz w:val="24"/>
                <w:highlight w:val="none"/>
              </w:rPr>
            </w:pPr>
            <w:r>
              <w:rPr>
                <w:rFonts w:ascii="宋体" w:hAnsi="宋体"/>
                <w:color w:val="auto"/>
                <w:sz w:val="24"/>
                <w:highlight w:val="none"/>
              </w:rPr>
              <w:t>IEC60265</w:t>
            </w:r>
          </w:p>
        </w:tc>
        <w:tc>
          <w:tcPr>
            <w:tcW w:w="6840" w:type="dxa"/>
            <w:tcBorders>
              <w:top w:val="single" w:color="auto" w:sz="4" w:space="0"/>
              <w:left w:val="nil"/>
              <w:bottom w:val="single" w:color="auto" w:sz="4" w:space="0"/>
              <w:right w:val="single" w:color="auto" w:sz="4" w:space="0"/>
            </w:tcBorders>
            <w:vAlign w:val="center"/>
          </w:tcPr>
          <w:p w14:paraId="6F174CE4">
            <w:pPr>
              <w:adjustRightInd w:val="0"/>
              <w:snapToGrid w:val="0"/>
              <w:spacing w:line="360" w:lineRule="auto"/>
              <w:rPr>
                <w:rFonts w:ascii="宋体" w:hAnsi="宋体"/>
                <w:color w:val="auto"/>
                <w:sz w:val="24"/>
                <w:highlight w:val="none"/>
              </w:rPr>
            </w:pPr>
            <w:r>
              <w:rPr>
                <w:rFonts w:ascii="宋体" w:hAnsi="宋体"/>
                <w:color w:val="auto"/>
                <w:sz w:val="24"/>
                <w:highlight w:val="none"/>
              </w:rPr>
              <w:t>高压开关---额定电压为 52KV 及以下的高压开关</w:t>
            </w:r>
          </w:p>
        </w:tc>
      </w:tr>
      <w:tr w14:paraId="25DF0AED">
        <w:tblPrEx>
          <w:tblCellMar>
            <w:top w:w="0" w:type="dxa"/>
            <w:left w:w="108" w:type="dxa"/>
            <w:bottom w:w="0" w:type="dxa"/>
            <w:right w:w="108" w:type="dxa"/>
          </w:tblCellMar>
        </w:tblPrEx>
        <w:trPr>
          <w:trHeight w:val="472" w:hRule="atLeast"/>
        </w:trPr>
        <w:tc>
          <w:tcPr>
            <w:tcW w:w="1980" w:type="dxa"/>
            <w:tcBorders>
              <w:top w:val="single" w:color="auto" w:sz="4" w:space="0"/>
              <w:left w:val="single" w:color="auto" w:sz="4" w:space="0"/>
              <w:bottom w:val="single" w:color="auto" w:sz="4" w:space="0"/>
              <w:right w:val="single" w:color="auto" w:sz="4" w:space="0"/>
            </w:tcBorders>
            <w:vAlign w:val="center"/>
          </w:tcPr>
          <w:p w14:paraId="2B30388A">
            <w:pPr>
              <w:adjustRightInd w:val="0"/>
              <w:snapToGrid w:val="0"/>
              <w:spacing w:line="360" w:lineRule="auto"/>
              <w:rPr>
                <w:rFonts w:ascii="宋体" w:hAnsi="宋体"/>
                <w:color w:val="auto"/>
                <w:sz w:val="24"/>
                <w:highlight w:val="none"/>
              </w:rPr>
            </w:pPr>
            <w:r>
              <w:rPr>
                <w:rFonts w:ascii="宋体" w:hAnsi="宋体"/>
                <w:color w:val="auto"/>
                <w:sz w:val="24"/>
                <w:highlight w:val="none"/>
              </w:rPr>
              <w:t>IEC60269</w:t>
            </w:r>
          </w:p>
        </w:tc>
        <w:tc>
          <w:tcPr>
            <w:tcW w:w="6840" w:type="dxa"/>
            <w:tcBorders>
              <w:top w:val="single" w:color="auto" w:sz="4" w:space="0"/>
              <w:left w:val="nil"/>
              <w:bottom w:val="single" w:color="auto" w:sz="4" w:space="0"/>
              <w:right w:val="single" w:color="auto" w:sz="4" w:space="0"/>
            </w:tcBorders>
            <w:vAlign w:val="center"/>
          </w:tcPr>
          <w:p w14:paraId="41B7D765">
            <w:pPr>
              <w:adjustRightInd w:val="0"/>
              <w:snapToGrid w:val="0"/>
              <w:spacing w:line="360" w:lineRule="auto"/>
              <w:rPr>
                <w:rFonts w:ascii="宋体" w:hAnsi="宋体"/>
                <w:color w:val="auto"/>
                <w:sz w:val="24"/>
                <w:highlight w:val="none"/>
              </w:rPr>
            </w:pPr>
            <w:r>
              <w:rPr>
                <w:rFonts w:ascii="宋体" w:hAnsi="宋体"/>
                <w:color w:val="auto"/>
                <w:sz w:val="24"/>
                <w:highlight w:val="none"/>
              </w:rPr>
              <w:t>低压熔断器</w:t>
            </w:r>
          </w:p>
        </w:tc>
      </w:tr>
      <w:tr w14:paraId="131C1425">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0752475C">
            <w:pPr>
              <w:adjustRightInd w:val="0"/>
              <w:snapToGrid w:val="0"/>
              <w:spacing w:line="360" w:lineRule="auto"/>
              <w:rPr>
                <w:rFonts w:ascii="宋体" w:hAnsi="宋体"/>
                <w:color w:val="auto"/>
                <w:sz w:val="24"/>
                <w:highlight w:val="none"/>
              </w:rPr>
            </w:pPr>
            <w:r>
              <w:rPr>
                <w:rFonts w:ascii="宋体" w:hAnsi="宋体"/>
                <w:color w:val="auto"/>
                <w:sz w:val="24"/>
                <w:highlight w:val="none"/>
              </w:rPr>
              <w:t>IEC60282</w:t>
            </w:r>
          </w:p>
        </w:tc>
        <w:tc>
          <w:tcPr>
            <w:tcW w:w="6840" w:type="dxa"/>
            <w:tcBorders>
              <w:top w:val="single" w:color="auto" w:sz="4" w:space="0"/>
              <w:left w:val="nil"/>
              <w:bottom w:val="single" w:color="auto" w:sz="4" w:space="0"/>
              <w:right w:val="single" w:color="auto" w:sz="4" w:space="0"/>
            </w:tcBorders>
            <w:vAlign w:val="center"/>
          </w:tcPr>
          <w:p w14:paraId="05C814B6">
            <w:pPr>
              <w:adjustRightInd w:val="0"/>
              <w:snapToGrid w:val="0"/>
              <w:spacing w:line="360" w:lineRule="auto"/>
              <w:rPr>
                <w:rFonts w:ascii="宋体" w:hAnsi="宋体"/>
                <w:color w:val="auto"/>
                <w:sz w:val="24"/>
                <w:highlight w:val="none"/>
              </w:rPr>
            </w:pPr>
            <w:r>
              <w:rPr>
                <w:rFonts w:ascii="宋体" w:hAnsi="宋体"/>
                <w:color w:val="auto"/>
                <w:sz w:val="24"/>
                <w:highlight w:val="none"/>
              </w:rPr>
              <w:t>高压熔断器</w:t>
            </w:r>
          </w:p>
        </w:tc>
      </w:tr>
      <w:tr w14:paraId="56AADDA0">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015C77C">
            <w:pPr>
              <w:adjustRightInd w:val="0"/>
              <w:snapToGrid w:val="0"/>
              <w:spacing w:line="360" w:lineRule="auto"/>
              <w:rPr>
                <w:rFonts w:ascii="宋体" w:hAnsi="宋体"/>
                <w:color w:val="auto"/>
                <w:sz w:val="24"/>
                <w:highlight w:val="none"/>
              </w:rPr>
            </w:pPr>
            <w:r>
              <w:rPr>
                <w:rFonts w:ascii="宋体" w:hAnsi="宋体"/>
                <w:color w:val="auto"/>
                <w:sz w:val="24"/>
                <w:highlight w:val="none"/>
              </w:rPr>
              <w:t>IEC60439</w:t>
            </w:r>
          </w:p>
        </w:tc>
        <w:tc>
          <w:tcPr>
            <w:tcW w:w="6840" w:type="dxa"/>
            <w:tcBorders>
              <w:top w:val="single" w:color="auto" w:sz="4" w:space="0"/>
              <w:left w:val="nil"/>
              <w:bottom w:val="single" w:color="auto" w:sz="4" w:space="0"/>
              <w:right w:val="single" w:color="auto" w:sz="4" w:space="0"/>
            </w:tcBorders>
            <w:vAlign w:val="center"/>
          </w:tcPr>
          <w:p w14:paraId="46840EFB">
            <w:pPr>
              <w:adjustRightInd w:val="0"/>
              <w:snapToGrid w:val="0"/>
              <w:spacing w:line="360" w:lineRule="auto"/>
              <w:rPr>
                <w:rFonts w:ascii="宋体" w:hAnsi="宋体"/>
                <w:color w:val="auto"/>
                <w:sz w:val="24"/>
                <w:highlight w:val="none"/>
              </w:rPr>
            </w:pPr>
            <w:r>
              <w:rPr>
                <w:rFonts w:ascii="宋体" w:hAnsi="宋体"/>
                <w:color w:val="auto"/>
                <w:sz w:val="24"/>
                <w:highlight w:val="none"/>
              </w:rPr>
              <w:t>交流电量转换成模拟信号或数字信号用的电气测量换能器</w:t>
            </w:r>
          </w:p>
        </w:tc>
      </w:tr>
      <w:tr w14:paraId="1564CA65">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57B8956C">
            <w:pPr>
              <w:adjustRightInd w:val="0"/>
              <w:snapToGrid w:val="0"/>
              <w:spacing w:line="360" w:lineRule="auto"/>
              <w:rPr>
                <w:rFonts w:ascii="宋体" w:hAnsi="宋体"/>
                <w:color w:val="auto"/>
                <w:sz w:val="24"/>
                <w:highlight w:val="none"/>
              </w:rPr>
            </w:pPr>
            <w:r>
              <w:rPr>
                <w:rFonts w:ascii="宋体" w:hAnsi="宋体"/>
                <w:color w:val="auto"/>
                <w:sz w:val="24"/>
                <w:highlight w:val="none"/>
              </w:rPr>
              <w:t>GB311.1～6</w:t>
            </w:r>
          </w:p>
        </w:tc>
        <w:tc>
          <w:tcPr>
            <w:tcW w:w="6840" w:type="dxa"/>
            <w:tcBorders>
              <w:top w:val="single" w:color="auto" w:sz="4" w:space="0"/>
              <w:left w:val="nil"/>
              <w:bottom w:val="single" w:color="auto" w:sz="4" w:space="0"/>
              <w:right w:val="single" w:color="auto" w:sz="4" w:space="0"/>
            </w:tcBorders>
            <w:vAlign w:val="center"/>
          </w:tcPr>
          <w:p w14:paraId="5F59729B">
            <w:pPr>
              <w:adjustRightInd w:val="0"/>
              <w:snapToGrid w:val="0"/>
              <w:spacing w:line="360" w:lineRule="auto"/>
              <w:rPr>
                <w:rFonts w:ascii="宋体" w:hAnsi="宋体"/>
                <w:color w:val="auto"/>
                <w:sz w:val="24"/>
                <w:highlight w:val="none"/>
              </w:rPr>
            </w:pPr>
            <w:r>
              <w:rPr>
                <w:rFonts w:ascii="宋体" w:hAnsi="宋体"/>
                <w:color w:val="auto"/>
                <w:sz w:val="24"/>
                <w:highlight w:val="none"/>
              </w:rPr>
              <w:t>高压输变电设备的绝缘配合，高电压试验技术</w:t>
            </w:r>
          </w:p>
        </w:tc>
      </w:tr>
      <w:tr w14:paraId="4DC98AB5">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7961DC1D">
            <w:pPr>
              <w:adjustRightInd w:val="0"/>
              <w:snapToGrid w:val="0"/>
              <w:spacing w:line="360" w:lineRule="auto"/>
              <w:rPr>
                <w:rFonts w:ascii="宋体" w:hAnsi="宋体"/>
                <w:color w:val="auto"/>
                <w:sz w:val="24"/>
                <w:highlight w:val="none"/>
              </w:rPr>
            </w:pPr>
            <w:r>
              <w:rPr>
                <w:rFonts w:ascii="宋体" w:hAnsi="宋体"/>
                <w:color w:val="auto"/>
                <w:sz w:val="24"/>
                <w:highlight w:val="none"/>
              </w:rPr>
              <w:t>GB1207</w:t>
            </w:r>
          </w:p>
        </w:tc>
        <w:tc>
          <w:tcPr>
            <w:tcW w:w="6840" w:type="dxa"/>
            <w:tcBorders>
              <w:top w:val="single" w:color="auto" w:sz="4" w:space="0"/>
              <w:left w:val="nil"/>
              <w:bottom w:val="single" w:color="auto" w:sz="4" w:space="0"/>
              <w:right w:val="single" w:color="auto" w:sz="4" w:space="0"/>
            </w:tcBorders>
            <w:vAlign w:val="center"/>
          </w:tcPr>
          <w:p w14:paraId="30F54C3E">
            <w:pPr>
              <w:adjustRightInd w:val="0"/>
              <w:snapToGrid w:val="0"/>
              <w:spacing w:line="360" w:lineRule="auto"/>
              <w:rPr>
                <w:rFonts w:ascii="宋体" w:hAnsi="宋体"/>
                <w:color w:val="auto"/>
                <w:sz w:val="24"/>
                <w:highlight w:val="none"/>
              </w:rPr>
            </w:pPr>
            <w:r>
              <w:rPr>
                <w:rFonts w:ascii="宋体" w:hAnsi="宋体"/>
                <w:color w:val="auto"/>
                <w:sz w:val="24"/>
                <w:highlight w:val="none"/>
              </w:rPr>
              <w:t>电压互感器</w:t>
            </w:r>
          </w:p>
        </w:tc>
      </w:tr>
      <w:tr w14:paraId="3BA13961">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0B16A896">
            <w:pPr>
              <w:adjustRightInd w:val="0"/>
              <w:snapToGrid w:val="0"/>
              <w:spacing w:line="360" w:lineRule="auto"/>
              <w:rPr>
                <w:rFonts w:ascii="宋体" w:hAnsi="宋体"/>
                <w:color w:val="auto"/>
                <w:sz w:val="24"/>
                <w:highlight w:val="none"/>
              </w:rPr>
            </w:pPr>
            <w:r>
              <w:rPr>
                <w:rFonts w:ascii="宋体" w:hAnsi="宋体"/>
                <w:color w:val="auto"/>
                <w:sz w:val="24"/>
                <w:highlight w:val="none"/>
              </w:rPr>
              <w:t>GB1208</w:t>
            </w:r>
          </w:p>
        </w:tc>
        <w:tc>
          <w:tcPr>
            <w:tcW w:w="6840" w:type="dxa"/>
            <w:tcBorders>
              <w:top w:val="single" w:color="auto" w:sz="4" w:space="0"/>
              <w:left w:val="nil"/>
              <w:bottom w:val="single" w:color="auto" w:sz="4" w:space="0"/>
              <w:right w:val="single" w:color="auto" w:sz="4" w:space="0"/>
            </w:tcBorders>
            <w:vAlign w:val="center"/>
          </w:tcPr>
          <w:p w14:paraId="6538A746">
            <w:pPr>
              <w:adjustRightInd w:val="0"/>
              <w:snapToGrid w:val="0"/>
              <w:spacing w:line="360" w:lineRule="auto"/>
              <w:rPr>
                <w:rFonts w:ascii="宋体" w:hAnsi="宋体"/>
                <w:color w:val="auto"/>
                <w:sz w:val="24"/>
                <w:highlight w:val="none"/>
              </w:rPr>
            </w:pPr>
            <w:r>
              <w:rPr>
                <w:rFonts w:ascii="宋体" w:hAnsi="宋体"/>
                <w:color w:val="auto"/>
                <w:sz w:val="24"/>
                <w:highlight w:val="none"/>
              </w:rPr>
              <w:t>电流互感器</w:t>
            </w:r>
          </w:p>
        </w:tc>
      </w:tr>
      <w:tr w14:paraId="3AE07E29">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2BBB0671">
            <w:pPr>
              <w:adjustRightInd w:val="0"/>
              <w:snapToGrid w:val="0"/>
              <w:spacing w:line="360" w:lineRule="auto"/>
              <w:rPr>
                <w:rFonts w:ascii="宋体" w:hAnsi="宋体"/>
                <w:color w:val="auto"/>
                <w:sz w:val="24"/>
                <w:highlight w:val="none"/>
              </w:rPr>
            </w:pPr>
            <w:r>
              <w:rPr>
                <w:rFonts w:ascii="宋体" w:hAnsi="宋体"/>
                <w:color w:val="auto"/>
                <w:sz w:val="24"/>
                <w:highlight w:val="none"/>
              </w:rPr>
              <w:t>GB1984</w:t>
            </w:r>
          </w:p>
        </w:tc>
        <w:tc>
          <w:tcPr>
            <w:tcW w:w="6840" w:type="dxa"/>
            <w:tcBorders>
              <w:top w:val="single" w:color="auto" w:sz="4" w:space="0"/>
              <w:left w:val="nil"/>
              <w:bottom w:val="single" w:color="auto" w:sz="4" w:space="0"/>
              <w:right w:val="single" w:color="auto" w:sz="4" w:space="0"/>
            </w:tcBorders>
            <w:vAlign w:val="center"/>
          </w:tcPr>
          <w:p w14:paraId="61BF9444">
            <w:pPr>
              <w:adjustRightInd w:val="0"/>
              <w:snapToGrid w:val="0"/>
              <w:spacing w:line="360" w:lineRule="auto"/>
              <w:rPr>
                <w:rFonts w:ascii="宋体" w:hAnsi="宋体"/>
                <w:color w:val="auto"/>
                <w:sz w:val="24"/>
                <w:highlight w:val="none"/>
              </w:rPr>
            </w:pPr>
            <w:r>
              <w:rPr>
                <w:rFonts w:ascii="宋体" w:hAnsi="宋体"/>
                <w:color w:val="auto"/>
                <w:sz w:val="24"/>
                <w:highlight w:val="none"/>
              </w:rPr>
              <w:t>交流高压断路器</w:t>
            </w:r>
          </w:p>
        </w:tc>
      </w:tr>
      <w:tr w14:paraId="59C7299C">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157DAD25">
            <w:pPr>
              <w:adjustRightInd w:val="0"/>
              <w:snapToGrid w:val="0"/>
              <w:spacing w:line="360" w:lineRule="auto"/>
              <w:rPr>
                <w:rFonts w:ascii="宋体" w:hAnsi="宋体"/>
                <w:color w:val="auto"/>
                <w:sz w:val="24"/>
                <w:highlight w:val="none"/>
              </w:rPr>
            </w:pPr>
            <w:r>
              <w:rPr>
                <w:rFonts w:ascii="宋体" w:hAnsi="宋体"/>
                <w:color w:val="auto"/>
                <w:sz w:val="24"/>
                <w:highlight w:val="none"/>
              </w:rPr>
              <w:t>GB1985</w:t>
            </w:r>
          </w:p>
        </w:tc>
        <w:tc>
          <w:tcPr>
            <w:tcW w:w="6840" w:type="dxa"/>
            <w:tcBorders>
              <w:top w:val="single" w:color="auto" w:sz="4" w:space="0"/>
              <w:left w:val="nil"/>
              <w:bottom w:val="single" w:color="auto" w:sz="4" w:space="0"/>
              <w:right w:val="single" w:color="auto" w:sz="4" w:space="0"/>
            </w:tcBorders>
            <w:vAlign w:val="center"/>
          </w:tcPr>
          <w:p w14:paraId="58C66C87">
            <w:pPr>
              <w:adjustRightInd w:val="0"/>
              <w:snapToGrid w:val="0"/>
              <w:spacing w:line="360" w:lineRule="auto"/>
              <w:rPr>
                <w:rFonts w:ascii="宋体" w:hAnsi="宋体"/>
                <w:color w:val="auto"/>
                <w:sz w:val="24"/>
                <w:highlight w:val="none"/>
              </w:rPr>
            </w:pPr>
            <w:r>
              <w:rPr>
                <w:rFonts w:ascii="宋体" w:hAnsi="宋体"/>
                <w:color w:val="auto"/>
                <w:sz w:val="24"/>
                <w:highlight w:val="none"/>
              </w:rPr>
              <w:t>交流高压隔离开关和接地开关</w:t>
            </w:r>
          </w:p>
        </w:tc>
      </w:tr>
      <w:tr w14:paraId="77783A82">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E5907B9">
            <w:pPr>
              <w:adjustRightInd w:val="0"/>
              <w:snapToGrid w:val="0"/>
              <w:spacing w:line="360" w:lineRule="auto"/>
              <w:rPr>
                <w:rFonts w:ascii="宋体" w:hAnsi="宋体"/>
                <w:color w:val="auto"/>
                <w:sz w:val="24"/>
                <w:highlight w:val="none"/>
              </w:rPr>
            </w:pPr>
            <w:r>
              <w:rPr>
                <w:rFonts w:ascii="宋体" w:hAnsi="宋体"/>
                <w:color w:val="auto"/>
                <w:sz w:val="24"/>
                <w:highlight w:val="none"/>
              </w:rPr>
              <w:t>GB3906</w:t>
            </w:r>
          </w:p>
        </w:tc>
        <w:tc>
          <w:tcPr>
            <w:tcW w:w="6840" w:type="dxa"/>
            <w:tcBorders>
              <w:top w:val="single" w:color="auto" w:sz="4" w:space="0"/>
              <w:left w:val="nil"/>
              <w:bottom w:val="single" w:color="auto" w:sz="4" w:space="0"/>
              <w:right w:val="single" w:color="auto" w:sz="4" w:space="0"/>
            </w:tcBorders>
            <w:vAlign w:val="center"/>
          </w:tcPr>
          <w:p w14:paraId="14D96B11">
            <w:pPr>
              <w:adjustRightInd w:val="0"/>
              <w:snapToGrid w:val="0"/>
              <w:spacing w:line="360" w:lineRule="auto"/>
              <w:rPr>
                <w:rFonts w:ascii="宋体" w:hAnsi="宋体"/>
                <w:color w:val="auto"/>
                <w:sz w:val="24"/>
                <w:highlight w:val="none"/>
              </w:rPr>
            </w:pPr>
            <w:r>
              <w:rPr>
                <w:rFonts w:ascii="宋体" w:hAnsi="宋体"/>
                <w:color w:val="auto"/>
                <w:sz w:val="24"/>
                <w:highlight w:val="none"/>
              </w:rPr>
              <w:t>3～35KV交流金属封闭开关设备</w:t>
            </w:r>
          </w:p>
        </w:tc>
      </w:tr>
      <w:tr w14:paraId="0E3D8751">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6F23CA4">
            <w:pPr>
              <w:adjustRightInd w:val="0"/>
              <w:snapToGrid w:val="0"/>
              <w:spacing w:line="360" w:lineRule="auto"/>
              <w:rPr>
                <w:rFonts w:ascii="宋体" w:hAnsi="宋体"/>
                <w:color w:val="auto"/>
                <w:sz w:val="24"/>
                <w:highlight w:val="none"/>
              </w:rPr>
            </w:pPr>
            <w:r>
              <w:rPr>
                <w:rFonts w:ascii="宋体" w:hAnsi="宋体"/>
                <w:color w:val="auto"/>
                <w:sz w:val="24"/>
                <w:highlight w:val="none"/>
              </w:rPr>
              <w:t>GB7261</w:t>
            </w:r>
          </w:p>
        </w:tc>
        <w:tc>
          <w:tcPr>
            <w:tcW w:w="6840" w:type="dxa"/>
            <w:tcBorders>
              <w:top w:val="single" w:color="auto" w:sz="4" w:space="0"/>
              <w:left w:val="nil"/>
              <w:bottom w:val="single" w:color="auto" w:sz="4" w:space="0"/>
              <w:right w:val="single" w:color="auto" w:sz="4" w:space="0"/>
            </w:tcBorders>
            <w:vAlign w:val="center"/>
          </w:tcPr>
          <w:p w14:paraId="34615F9D">
            <w:pPr>
              <w:adjustRightInd w:val="0"/>
              <w:snapToGrid w:val="0"/>
              <w:spacing w:line="360" w:lineRule="auto"/>
              <w:rPr>
                <w:rFonts w:ascii="宋体" w:hAnsi="宋体"/>
                <w:color w:val="auto"/>
                <w:sz w:val="24"/>
                <w:highlight w:val="none"/>
              </w:rPr>
            </w:pPr>
            <w:r>
              <w:rPr>
                <w:rFonts w:ascii="宋体" w:hAnsi="宋体"/>
                <w:color w:val="auto"/>
                <w:sz w:val="24"/>
                <w:highlight w:val="none"/>
              </w:rPr>
              <w:t>继电器及继电保护装置基本试验方法</w:t>
            </w:r>
          </w:p>
        </w:tc>
      </w:tr>
      <w:tr w14:paraId="35376F93">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740910F">
            <w:pPr>
              <w:adjustRightInd w:val="0"/>
              <w:snapToGrid w:val="0"/>
              <w:spacing w:line="360" w:lineRule="auto"/>
              <w:rPr>
                <w:rFonts w:ascii="宋体" w:hAnsi="宋体"/>
                <w:color w:val="auto"/>
                <w:sz w:val="24"/>
                <w:highlight w:val="none"/>
              </w:rPr>
            </w:pPr>
            <w:r>
              <w:rPr>
                <w:rFonts w:ascii="宋体" w:hAnsi="宋体"/>
                <w:color w:val="auto"/>
                <w:sz w:val="24"/>
                <w:highlight w:val="none"/>
              </w:rPr>
              <w:t>GB11022</w:t>
            </w:r>
          </w:p>
        </w:tc>
        <w:tc>
          <w:tcPr>
            <w:tcW w:w="6840" w:type="dxa"/>
            <w:tcBorders>
              <w:top w:val="single" w:color="auto" w:sz="4" w:space="0"/>
              <w:left w:val="nil"/>
              <w:bottom w:val="single" w:color="auto" w:sz="4" w:space="0"/>
              <w:right w:val="single" w:color="auto" w:sz="4" w:space="0"/>
            </w:tcBorders>
            <w:vAlign w:val="center"/>
          </w:tcPr>
          <w:p w14:paraId="1519D436">
            <w:pPr>
              <w:adjustRightInd w:val="0"/>
              <w:snapToGrid w:val="0"/>
              <w:spacing w:line="360" w:lineRule="auto"/>
              <w:rPr>
                <w:rFonts w:ascii="宋体" w:hAnsi="宋体"/>
                <w:color w:val="auto"/>
                <w:sz w:val="24"/>
                <w:highlight w:val="none"/>
              </w:rPr>
            </w:pPr>
            <w:r>
              <w:rPr>
                <w:rFonts w:ascii="宋体" w:hAnsi="宋体"/>
                <w:color w:val="auto"/>
                <w:sz w:val="24"/>
                <w:highlight w:val="none"/>
              </w:rPr>
              <w:t>高压开关设备通用技术条件</w:t>
            </w:r>
          </w:p>
        </w:tc>
      </w:tr>
      <w:tr w14:paraId="6CB9465D">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1A7EE7A4">
            <w:pPr>
              <w:adjustRightInd w:val="0"/>
              <w:snapToGrid w:val="0"/>
              <w:spacing w:line="360" w:lineRule="auto"/>
              <w:rPr>
                <w:rFonts w:ascii="宋体" w:hAnsi="宋体"/>
                <w:color w:val="auto"/>
                <w:sz w:val="24"/>
                <w:highlight w:val="none"/>
              </w:rPr>
            </w:pPr>
            <w:r>
              <w:rPr>
                <w:rFonts w:ascii="宋体" w:hAnsi="宋体"/>
                <w:color w:val="auto"/>
                <w:sz w:val="24"/>
                <w:highlight w:val="none"/>
              </w:rPr>
              <w:t>GB11032</w:t>
            </w:r>
          </w:p>
        </w:tc>
        <w:tc>
          <w:tcPr>
            <w:tcW w:w="6840" w:type="dxa"/>
            <w:tcBorders>
              <w:top w:val="single" w:color="auto" w:sz="4" w:space="0"/>
              <w:left w:val="nil"/>
              <w:bottom w:val="single" w:color="auto" w:sz="4" w:space="0"/>
              <w:right w:val="single" w:color="auto" w:sz="4" w:space="0"/>
            </w:tcBorders>
            <w:vAlign w:val="center"/>
          </w:tcPr>
          <w:p w14:paraId="4FE65667">
            <w:pPr>
              <w:adjustRightInd w:val="0"/>
              <w:snapToGrid w:val="0"/>
              <w:spacing w:line="360" w:lineRule="auto"/>
              <w:rPr>
                <w:rFonts w:ascii="宋体" w:hAnsi="宋体"/>
                <w:color w:val="auto"/>
                <w:sz w:val="24"/>
                <w:highlight w:val="none"/>
              </w:rPr>
            </w:pPr>
            <w:r>
              <w:rPr>
                <w:rFonts w:ascii="宋体" w:hAnsi="宋体"/>
                <w:color w:val="auto"/>
                <w:sz w:val="24"/>
                <w:highlight w:val="none"/>
              </w:rPr>
              <w:t>交流无间隙金属氧化锌避雷器</w:t>
            </w:r>
          </w:p>
        </w:tc>
      </w:tr>
      <w:tr w14:paraId="78A7CCD9">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7BA8EA2">
            <w:pPr>
              <w:adjustRightInd w:val="0"/>
              <w:snapToGrid w:val="0"/>
              <w:spacing w:line="360" w:lineRule="auto"/>
              <w:rPr>
                <w:rFonts w:ascii="宋体" w:hAnsi="宋体"/>
                <w:color w:val="auto"/>
                <w:sz w:val="24"/>
                <w:highlight w:val="none"/>
              </w:rPr>
            </w:pPr>
            <w:r>
              <w:rPr>
                <w:rFonts w:ascii="宋体" w:hAnsi="宋体"/>
                <w:color w:val="auto"/>
                <w:sz w:val="24"/>
                <w:highlight w:val="none"/>
              </w:rPr>
              <w:t>GB500</w:t>
            </w:r>
            <w:r>
              <w:rPr>
                <w:rFonts w:hint="eastAsia" w:ascii="宋体" w:hAnsi="宋体"/>
                <w:color w:val="auto"/>
                <w:sz w:val="24"/>
                <w:highlight w:val="none"/>
              </w:rPr>
              <w:t>34</w:t>
            </w:r>
          </w:p>
        </w:tc>
        <w:tc>
          <w:tcPr>
            <w:tcW w:w="6840" w:type="dxa"/>
            <w:tcBorders>
              <w:top w:val="single" w:color="auto" w:sz="4" w:space="0"/>
              <w:left w:val="nil"/>
              <w:bottom w:val="single" w:color="auto" w:sz="4" w:space="0"/>
              <w:right w:val="single" w:color="auto" w:sz="4" w:space="0"/>
            </w:tcBorders>
            <w:vAlign w:val="center"/>
          </w:tcPr>
          <w:p w14:paraId="5E2CAFF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建筑照明设计标准</w:t>
            </w:r>
          </w:p>
        </w:tc>
      </w:tr>
      <w:tr w14:paraId="4F6F301C">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5610D4BF">
            <w:pPr>
              <w:adjustRightInd w:val="0"/>
              <w:snapToGrid w:val="0"/>
              <w:spacing w:line="360" w:lineRule="auto"/>
              <w:rPr>
                <w:rFonts w:ascii="宋体" w:hAnsi="宋体"/>
                <w:color w:val="auto"/>
                <w:sz w:val="24"/>
                <w:highlight w:val="none"/>
              </w:rPr>
            </w:pPr>
            <w:r>
              <w:rPr>
                <w:rFonts w:ascii="宋体" w:hAnsi="宋体"/>
                <w:color w:val="auto"/>
                <w:sz w:val="24"/>
                <w:highlight w:val="none"/>
              </w:rPr>
              <w:t>GB5005</w:t>
            </w:r>
            <w:r>
              <w:rPr>
                <w:rFonts w:hint="eastAsia" w:ascii="宋体" w:hAnsi="宋体"/>
                <w:color w:val="auto"/>
                <w:sz w:val="24"/>
                <w:highlight w:val="none"/>
              </w:rPr>
              <w:t>2</w:t>
            </w:r>
          </w:p>
        </w:tc>
        <w:tc>
          <w:tcPr>
            <w:tcW w:w="6840" w:type="dxa"/>
            <w:tcBorders>
              <w:top w:val="single" w:color="auto" w:sz="4" w:space="0"/>
              <w:left w:val="nil"/>
              <w:bottom w:val="single" w:color="auto" w:sz="4" w:space="0"/>
              <w:right w:val="single" w:color="auto" w:sz="4" w:space="0"/>
            </w:tcBorders>
            <w:vAlign w:val="center"/>
          </w:tcPr>
          <w:p w14:paraId="76D9195B">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供配电系统设计规范</w:t>
            </w:r>
          </w:p>
        </w:tc>
      </w:tr>
      <w:tr w14:paraId="59093116">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F9CD46B">
            <w:pPr>
              <w:adjustRightInd w:val="0"/>
              <w:snapToGrid w:val="0"/>
              <w:spacing w:line="360" w:lineRule="auto"/>
              <w:rPr>
                <w:rFonts w:ascii="宋体" w:hAnsi="宋体"/>
                <w:color w:val="auto"/>
                <w:sz w:val="24"/>
                <w:highlight w:val="none"/>
              </w:rPr>
            </w:pPr>
            <w:r>
              <w:rPr>
                <w:rFonts w:ascii="宋体" w:hAnsi="宋体"/>
                <w:color w:val="auto"/>
                <w:sz w:val="24"/>
                <w:highlight w:val="none"/>
              </w:rPr>
              <w:t>GB50053</w:t>
            </w:r>
          </w:p>
        </w:tc>
        <w:tc>
          <w:tcPr>
            <w:tcW w:w="6840" w:type="dxa"/>
            <w:tcBorders>
              <w:top w:val="single" w:color="auto" w:sz="4" w:space="0"/>
              <w:left w:val="nil"/>
              <w:bottom w:val="single" w:color="auto" w:sz="4" w:space="0"/>
              <w:right w:val="single" w:color="auto" w:sz="4" w:space="0"/>
            </w:tcBorders>
            <w:vAlign w:val="center"/>
          </w:tcPr>
          <w:p w14:paraId="3FCD3928">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0KV及以下变电所设计规范</w:t>
            </w:r>
          </w:p>
        </w:tc>
      </w:tr>
      <w:tr w14:paraId="2F518DD0">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6AF1A9CA">
            <w:pPr>
              <w:adjustRightInd w:val="0"/>
              <w:snapToGrid w:val="0"/>
              <w:spacing w:line="360" w:lineRule="auto"/>
              <w:rPr>
                <w:rFonts w:ascii="宋体" w:hAnsi="宋体"/>
                <w:color w:val="auto"/>
                <w:sz w:val="24"/>
                <w:highlight w:val="none"/>
              </w:rPr>
            </w:pPr>
            <w:r>
              <w:rPr>
                <w:rFonts w:ascii="宋体" w:hAnsi="宋体"/>
                <w:color w:val="auto"/>
                <w:sz w:val="24"/>
                <w:highlight w:val="none"/>
              </w:rPr>
              <w:t>GB5005</w:t>
            </w:r>
            <w:r>
              <w:rPr>
                <w:rFonts w:hint="eastAsia" w:ascii="宋体" w:hAnsi="宋体"/>
                <w:color w:val="auto"/>
                <w:sz w:val="24"/>
                <w:highlight w:val="none"/>
              </w:rPr>
              <w:t>4</w:t>
            </w:r>
          </w:p>
        </w:tc>
        <w:tc>
          <w:tcPr>
            <w:tcW w:w="6840" w:type="dxa"/>
            <w:tcBorders>
              <w:top w:val="single" w:color="auto" w:sz="4" w:space="0"/>
              <w:left w:val="nil"/>
              <w:bottom w:val="single" w:color="auto" w:sz="4" w:space="0"/>
              <w:right w:val="single" w:color="auto" w:sz="4" w:space="0"/>
            </w:tcBorders>
            <w:vAlign w:val="center"/>
          </w:tcPr>
          <w:p w14:paraId="7E94F57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低压配电设计规范</w:t>
            </w:r>
          </w:p>
        </w:tc>
      </w:tr>
      <w:tr w14:paraId="1E807164">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634D570C">
            <w:pPr>
              <w:adjustRightInd w:val="0"/>
              <w:snapToGrid w:val="0"/>
              <w:spacing w:line="360" w:lineRule="auto"/>
              <w:rPr>
                <w:rFonts w:ascii="宋体" w:hAnsi="宋体"/>
                <w:color w:val="auto"/>
                <w:sz w:val="24"/>
                <w:highlight w:val="none"/>
              </w:rPr>
            </w:pPr>
            <w:r>
              <w:rPr>
                <w:rFonts w:ascii="宋体" w:hAnsi="宋体"/>
                <w:color w:val="auto"/>
                <w:sz w:val="24"/>
                <w:highlight w:val="none"/>
              </w:rPr>
              <w:t>GB5005</w:t>
            </w:r>
            <w:r>
              <w:rPr>
                <w:rFonts w:hint="eastAsia" w:ascii="宋体" w:hAnsi="宋体"/>
                <w:color w:val="auto"/>
                <w:sz w:val="24"/>
                <w:highlight w:val="none"/>
              </w:rPr>
              <w:t>5</w:t>
            </w:r>
          </w:p>
        </w:tc>
        <w:tc>
          <w:tcPr>
            <w:tcW w:w="6840" w:type="dxa"/>
            <w:tcBorders>
              <w:top w:val="single" w:color="auto" w:sz="4" w:space="0"/>
              <w:left w:val="nil"/>
              <w:bottom w:val="single" w:color="auto" w:sz="4" w:space="0"/>
              <w:right w:val="single" w:color="auto" w:sz="4" w:space="0"/>
            </w:tcBorders>
            <w:vAlign w:val="center"/>
          </w:tcPr>
          <w:p w14:paraId="5FD7731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通用用电设备配电设计规范</w:t>
            </w:r>
          </w:p>
        </w:tc>
      </w:tr>
      <w:tr w14:paraId="105133B3">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5575E272">
            <w:pPr>
              <w:adjustRightInd w:val="0"/>
              <w:snapToGrid w:val="0"/>
              <w:spacing w:line="360" w:lineRule="auto"/>
              <w:rPr>
                <w:rFonts w:ascii="宋体" w:hAnsi="宋体"/>
                <w:color w:val="auto"/>
                <w:sz w:val="24"/>
                <w:highlight w:val="none"/>
              </w:rPr>
            </w:pPr>
            <w:r>
              <w:rPr>
                <w:rFonts w:ascii="宋体" w:hAnsi="宋体"/>
                <w:color w:val="auto"/>
                <w:sz w:val="24"/>
                <w:highlight w:val="none"/>
              </w:rPr>
              <w:t>GB50057</w:t>
            </w:r>
          </w:p>
        </w:tc>
        <w:tc>
          <w:tcPr>
            <w:tcW w:w="6840" w:type="dxa"/>
            <w:tcBorders>
              <w:top w:val="single" w:color="auto" w:sz="4" w:space="0"/>
              <w:left w:val="nil"/>
              <w:bottom w:val="single" w:color="auto" w:sz="4" w:space="0"/>
              <w:right w:val="single" w:color="auto" w:sz="4" w:space="0"/>
            </w:tcBorders>
            <w:vAlign w:val="center"/>
          </w:tcPr>
          <w:p w14:paraId="24A8F8B8">
            <w:pPr>
              <w:adjustRightInd w:val="0"/>
              <w:snapToGrid w:val="0"/>
              <w:spacing w:line="360" w:lineRule="auto"/>
              <w:rPr>
                <w:rFonts w:ascii="宋体" w:hAnsi="宋体"/>
                <w:color w:val="auto"/>
                <w:sz w:val="24"/>
                <w:highlight w:val="none"/>
              </w:rPr>
            </w:pPr>
            <w:r>
              <w:rPr>
                <w:rFonts w:ascii="宋体" w:hAnsi="宋体"/>
                <w:color w:val="auto"/>
                <w:sz w:val="24"/>
                <w:highlight w:val="none"/>
              </w:rPr>
              <w:t>建筑物防雷设计规范</w:t>
            </w:r>
          </w:p>
        </w:tc>
      </w:tr>
      <w:tr w14:paraId="6D84EE07">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0069E6E5">
            <w:pPr>
              <w:adjustRightInd w:val="0"/>
              <w:snapToGrid w:val="0"/>
              <w:spacing w:line="360" w:lineRule="auto"/>
              <w:rPr>
                <w:rFonts w:ascii="宋体" w:hAnsi="宋体"/>
                <w:color w:val="auto"/>
                <w:sz w:val="24"/>
                <w:highlight w:val="none"/>
              </w:rPr>
            </w:pPr>
            <w:r>
              <w:rPr>
                <w:rFonts w:ascii="宋体" w:hAnsi="宋体"/>
                <w:color w:val="auto"/>
                <w:sz w:val="24"/>
                <w:highlight w:val="none"/>
              </w:rPr>
              <w:t>GB5005</w:t>
            </w:r>
            <w:r>
              <w:rPr>
                <w:rFonts w:hint="eastAsia" w:ascii="宋体" w:hAnsi="宋体"/>
                <w:color w:val="auto"/>
                <w:sz w:val="24"/>
                <w:highlight w:val="none"/>
              </w:rPr>
              <w:t>8</w:t>
            </w:r>
          </w:p>
        </w:tc>
        <w:tc>
          <w:tcPr>
            <w:tcW w:w="6840" w:type="dxa"/>
            <w:tcBorders>
              <w:top w:val="single" w:color="auto" w:sz="4" w:space="0"/>
              <w:left w:val="nil"/>
              <w:bottom w:val="single" w:color="auto" w:sz="4" w:space="0"/>
              <w:right w:val="single" w:color="auto" w:sz="4" w:space="0"/>
            </w:tcBorders>
            <w:vAlign w:val="center"/>
          </w:tcPr>
          <w:p w14:paraId="0CC29F3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爆炸危险环境电力装置设计规范</w:t>
            </w:r>
          </w:p>
        </w:tc>
      </w:tr>
      <w:tr w14:paraId="417E706A">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25334302">
            <w:pPr>
              <w:adjustRightInd w:val="0"/>
              <w:snapToGrid w:val="0"/>
              <w:spacing w:line="360" w:lineRule="auto"/>
              <w:rPr>
                <w:rFonts w:ascii="宋体" w:hAnsi="宋体"/>
                <w:color w:val="auto"/>
                <w:sz w:val="24"/>
                <w:highlight w:val="none"/>
              </w:rPr>
            </w:pPr>
            <w:r>
              <w:rPr>
                <w:rFonts w:ascii="宋体" w:hAnsi="宋体"/>
                <w:color w:val="auto"/>
                <w:sz w:val="24"/>
                <w:highlight w:val="none"/>
              </w:rPr>
              <w:t>GB500</w:t>
            </w:r>
            <w:r>
              <w:rPr>
                <w:rFonts w:hint="eastAsia" w:ascii="宋体" w:hAnsi="宋体"/>
                <w:color w:val="auto"/>
                <w:sz w:val="24"/>
                <w:highlight w:val="none"/>
              </w:rPr>
              <w:t>60</w:t>
            </w:r>
          </w:p>
        </w:tc>
        <w:tc>
          <w:tcPr>
            <w:tcW w:w="6840" w:type="dxa"/>
            <w:tcBorders>
              <w:top w:val="single" w:color="auto" w:sz="4" w:space="0"/>
              <w:left w:val="nil"/>
              <w:bottom w:val="single" w:color="auto" w:sz="4" w:space="0"/>
              <w:right w:val="single" w:color="auto" w:sz="4" w:space="0"/>
            </w:tcBorders>
            <w:vAlign w:val="center"/>
          </w:tcPr>
          <w:p w14:paraId="0725AF2B">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3～110kV高压配电装置设计规范</w:t>
            </w:r>
          </w:p>
        </w:tc>
      </w:tr>
      <w:tr w14:paraId="763E21AD">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CC318F3">
            <w:pPr>
              <w:adjustRightInd w:val="0"/>
              <w:snapToGrid w:val="0"/>
              <w:spacing w:line="360" w:lineRule="auto"/>
              <w:rPr>
                <w:rFonts w:ascii="宋体" w:hAnsi="宋体"/>
                <w:color w:val="auto"/>
                <w:sz w:val="24"/>
                <w:highlight w:val="none"/>
              </w:rPr>
            </w:pPr>
            <w:r>
              <w:rPr>
                <w:rFonts w:ascii="宋体" w:hAnsi="宋体"/>
                <w:color w:val="auto"/>
                <w:sz w:val="24"/>
                <w:highlight w:val="none"/>
              </w:rPr>
              <w:t>GB50062</w:t>
            </w:r>
          </w:p>
        </w:tc>
        <w:tc>
          <w:tcPr>
            <w:tcW w:w="6840" w:type="dxa"/>
            <w:tcBorders>
              <w:top w:val="single" w:color="auto" w:sz="4" w:space="0"/>
              <w:left w:val="nil"/>
              <w:bottom w:val="single" w:color="auto" w:sz="4" w:space="0"/>
              <w:right w:val="single" w:color="auto" w:sz="4" w:space="0"/>
            </w:tcBorders>
            <w:vAlign w:val="center"/>
          </w:tcPr>
          <w:p w14:paraId="5C1CE12C">
            <w:pPr>
              <w:adjustRightInd w:val="0"/>
              <w:snapToGrid w:val="0"/>
              <w:spacing w:line="360" w:lineRule="auto"/>
              <w:rPr>
                <w:rFonts w:ascii="宋体" w:hAnsi="宋体"/>
                <w:color w:val="auto"/>
                <w:sz w:val="24"/>
                <w:highlight w:val="none"/>
              </w:rPr>
            </w:pPr>
            <w:r>
              <w:rPr>
                <w:rFonts w:ascii="宋体" w:hAnsi="宋体"/>
                <w:color w:val="auto"/>
                <w:sz w:val="24"/>
                <w:highlight w:val="none"/>
              </w:rPr>
              <w:t>电力装置的继电保护和自动装置设计规范</w:t>
            </w:r>
          </w:p>
        </w:tc>
      </w:tr>
      <w:tr w14:paraId="132A59C3">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08C2CF60">
            <w:pPr>
              <w:adjustRightInd w:val="0"/>
              <w:snapToGrid w:val="0"/>
              <w:spacing w:line="360" w:lineRule="auto"/>
              <w:rPr>
                <w:rFonts w:ascii="宋体" w:hAnsi="宋体"/>
                <w:color w:val="auto"/>
                <w:sz w:val="24"/>
                <w:highlight w:val="none"/>
              </w:rPr>
            </w:pPr>
            <w:r>
              <w:rPr>
                <w:rFonts w:ascii="宋体" w:hAnsi="宋体"/>
                <w:color w:val="auto"/>
                <w:sz w:val="24"/>
                <w:highlight w:val="none"/>
              </w:rPr>
              <w:t>GB5006</w:t>
            </w:r>
            <w:r>
              <w:rPr>
                <w:rFonts w:hint="eastAsia" w:ascii="宋体" w:hAnsi="宋体"/>
                <w:color w:val="auto"/>
                <w:sz w:val="24"/>
                <w:highlight w:val="none"/>
              </w:rPr>
              <w:t>3</w:t>
            </w:r>
          </w:p>
        </w:tc>
        <w:tc>
          <w:tcPr>
            <w:tcW w:w="6840" w:type="dxa"/>
            <w:tcBorders>
              <w:top w:val="single" w:color="auto" w:sz="4" w:space="0"/>
              <w:left w:val="nil"/>
              <w:bottom w:val="single" w:color="auto" w:sz="4" w:space="0"/>
              <w:right w:val="single" w:color="auto" w:sz="4" w:space="0"/>
            </w:tcBorders>
            <w:vAlign w:val="center"/>
          </w:tcPr>
          <w:p w14:paraId="16432A4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电力装置的电测量仪表装置设计规范</w:t>
            </w:r>
          </w:p>
        </w:tc>
      </w:tr>
      <w:tr w14:paraId="0CC73A7E">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D2DF7E7">
            <w:pPr>
              <w:adjustRightInd w:val="0"/>
              <w:snapToGrid w:val="0"/>
              <w:spacing w:line="360" w:lineRule="auto"/>
              <w:rPr>
                <w:rFonts w:ascii="宋体" w:hAnsi="宋体"/>
                <w:color w:val="auto"/>
                <w:sz w:val="24"/>
                <w:highlight w:val="none"/>
              </w:rPr>
            </w:pPr>
            <w:r>
              <w:rPr>
                <w:rFonts w:ascii="宋体" w:hAnsi="宋体"/>
                <w:color w:val="auto"/>
                <w:sz w:val="24"/>
                <w:highlight w:val="none"/>
              </w:rPr>
              <w:t>GB5006</w:t>
            </w:r>
            <w:r>
              <w:rPr>
                <w:rFonts w:hint="eastAsia" w:ascii="宋体" w:hAnsi="宋体"/>
                <w:color w:val="auto"/>
                <w:sz w:val="24"/>
                <w:highlight w:val="none"/>
              </w:rPr>
              <w:t>4</w:t>
            </w:r>
          </w:p>
        </w:tc>
        <w:tc>
          <w:tcPr>
            <w:tcW w:w="6840" w:type="dxa"/>
            <w:tcBorders>
              <w:top w:val="single" w:color="auto" w:sz="4" w:space="0"/>
              <w:left w:val="nil"/>
              <w:bottom w:val="single" w:color="auto" w:sz="4" w:space="0"/>
              <w:right w:val="single" w:color="auto" w:sz="4" w:space="0"/>
            </w:tcBorders>
            <w:vAlign w:val="center"/>
          </w:tcPr>
          <w:p w14:paraId="0D92156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交流电气装置的过电压保护和绝缘配合设计规范</w:t>
            </w:r>
          </w:p>
        </w:tc>
      </w:tr>
      <w:tr w14:paraId="5FD9F2F6">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77B7AD64">
            <w:pPr>
              <w:adjustRightInd w:val="0"/>
              <w:snapToGrid w:val="0"/>
              <w:spacing w:line="360" w:lineRule="auto"/>
              <w:rPr>
                <w:rFonts w:ascii="宋体" w:hAnsi="宋体"/>
                <w:color w:val="auto"/>
                <w:sz w:val="24"/>
                <w:highlight w:val="none"/>
              </w:rPr>
            </w:pPr>
            <w:r>
              <w:rPr>
                <w:rFonts w:ascii="宋体" w:hAnsi="宋体"/>
                <w:color w:val="auto"/>
                <w:sz w:val="24"/>
                <w:highlight w:val="none"/>
              </w:rPr>
              <w:t>GB50065</w:t>
            </w:r>
          </w:p>
        </w:tc>
        <w:tc>
          <w:tcPr>
            <w:tcW w:w="6840" w:type="dxa"/>
            <w:tcBorders>
              <w:top w:val="single" w:color="auto" w:sz="4" w:space="0"/>
              <w:left w:val="nil"/>
              <w:bottom w:val="single" w:color="auto" w:sz="4" w:space="0"/>
              <w:right w:val="single" w:color="auto" w:sz="4" w:space="0"/>
            </w:tcBorders>
            <w:vAlign w:val="center"/>
          </w:tcPr>
          <w:p w14:paraId="1922C52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交流电气装置的接地设计规范</w:t>
            </w:r>
          </w:p>
        </w:tc>
      </w:tr>
      <w:tr w14:paraId="5FBA8C9D">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9BFB205">
            <w:pPr>
              <w:adjustRightInd w:val="0"/>
              <w:snapToGrid w:val="0"/>
              <w:spacing w:line="360" w:lineRule="auto"/>
              <w:rPr>
                <w:rFonts w:ascii="宋体" w:hAnsi="宋体"/>
                <w:color w:val="auto"/>
                <w:sz w:val="24"/>
                <w:highlight w:val="none"/>
              </w:rPr>
            </w:pPr>
            <w:r>
              <w:rPr>
                <w:rFonts w:ascii="宋体" w:hAnsi="宋体"/>
                <w:color w:val="auto"/>
                <w:sz w:val="24"/>
                <w:highlight w:val="none"/>
              </w:rPr>
              <w:t>GB50</w:t>
            </w:r>
            <w:r>
              <w:rPr>
                <w:rFonts w:hint="eastAsia" w:ascii="宋体" w:hAnsi="宋体"/>
                <w:color w:val="auto"/>
                <w:sz w:val="24"/>
                <w:highlight w:val="none"/>
              </w:rPr>
              <w:t>147</w:t>
            </w:r>
          </w:p>
        </w:tc>
        <w:tc>
          <w:tcPr>
            <w:tcW w:w="6840" w:type="dxa"/>
            <w:tcBorders>
              <w:top w:val="single" w:color="auto" w:sz="4" w:space="0"/>
              <w:left w:val="nil"/>
              <w:bottom w:val="single" w:color="auto" w:sz="4" w:space="0"/>
              <w:right w:val="single" w:color="auto" w:sz="4" w:space="0"/>
            </w:tcBorders>
            <w:vAlign w:val="center"/>
          </w:tcPr>
          <w:p w14:paraId="54EE2EB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电气装置安装工程高压电器施工及验收规范</w:t>
            </w:r>
          </w:p>
        </w:tc>
      </w:tr>
      <w:tr w14:paraId="5AE506F3">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1E7E7DBB">
            <w:pPr>
              <w:adjustRightInd w:val="0"/>
              <w:snapToGrid w:val="0"/>
              <w:spacing w:line="360" w:lineRule="auto"/>
              <w:rPr>
                <w:rFonts w:ascii="宋体" w:hAnsi="宋体"/>
                <w:color w:val="auto"/>
                <w:sz w:val="24"/>
                <w:highlight w:val="none"/>
              </w:rPr>
            </w:pPr>
            <w:r>
              <w:rPr>
                <w:rFonts w:ascii="宋体" w:hAnsi="宋体"/>
                <w:color w:val="auto"/>
                <w:sz w:val="24"/>
                <w:highlight w:val="none"/>
              </w:rPr>
              <w:t>GB50</w:t>
            </w:r>
            <w:r>
              <w:rPr>
                <w:rFonts w:hint="eastAsia" w:ascii="宋体" w:hAnsi="宋体"/>
                <w:color w:val="auto"/>
                <w:sz w:val="24"/>
                <w:highlight w:val="none"/>
              </w:rPr>
              <w:t>148</w:t>
            </w:r>
          </w:p>
        </w:tc>
        <w:tc>
          <w:tcPr>
            <w:tcW w:w="6840" w:type="dxa"/>
            <w:tcBorders>
              <w:top w:val="single" w:color="auto" w:sz="4" w:space="0"/>
              <w:left w:val="nil"/>
              <w:bottom w:val="single" w:color="auto" w:sz="4" w:space="0"/>
              <w:right w:val="single" w:color="auto" w:sz="4" w:space="0"/>
            </w:tcBorders>
            <w:vAlign w:val="center"/>
          </w:tcPr>
          <w:p w14:paraId="2DACDB7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电气装置安装工程 电力变压器、油浸电抗器、互感器施工及验收规范</w:t>
            </w:r>
          </w:p>
        </w:tc>
      </w:tr>
      <w:tr w14:paraId="4588E07C">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520C2B26">
            <w:pPr>
              <w:adjustRightInd w:val="0"/>
              <w:snapToGrid w:val="0"/>
              <w:spacing w:line="360" w:lineRule="auto"/>
              <w:rPr>
                <w:rFonts w:ascii="宋体" w:hAnsi="宋体"/>
                <w:color w:val="auto"/>
                <w:sz w:val="24"/>
                <w:highlight w:val="none"/>
              </w:rPr>
            </w:pPr>
            <w:r>
              <w:rPr>
                <w:rFonts w:ascii="宋体" w:hAnsi="宋体"/>
                <w:color w:val="auto"/>
                <w:sz w:val="24"/>
                <w:highlight w:val="none"/>
              </w:rPr>
              <w:t>GB50</w:t>
            </w:r>
            <w:r>
              <w:rPr>
                <w:rFonts w:hint="eastAsia" w:ascii="宋体" w:hAnsi="宋体"/>
                <w:color w:val="auto"/>
                <w:sz w:val="24"/>
                <w:highlight w:val="none"/>
              </w:rPr>
              <w:t>149</w:t>
            </w:r>
          </w:p>
        </w:tc>
        <w:tc>
          <w:tcPr>
            <w:tcW w:w="6840" w:type="dxa"/>
            <w:tcBorders>
              <w:top w:val="single" w:color="auto" w:sz="4" w:space="0"/>
              <w:left w:val="nil"/>
              <w:bottom w:val="single" w:color="auto" w:sz="4" w:space="0"/>
              <w:right w:val="single" w:color="auto" w:sz="4" w:space="0"/>
            </w:tcBorders>
            <w:vAlign w:val="center"/>
          </w:tcPr>
          <w:p w14:paraId="77D1942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电气装置安装工程 母线装置施工及验收规范</w:t>
            </w:r>
          </w:p>
        </w:tc>
      </w:tr>
      <w:tr w14:paraId="7DD45394">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61B00D32">
            <w:pPr>
              <w:adjustRightInd w:val="0"/>
              <w:snapToGrid w:val="0"/>
              <w:spacing w:line="360" w:lineRule="auto"/>
              <w:rPr>
                <w:rFonts w:ascii="宋体" w:hAnsi="宋体"/>
                <w:color w:val="auto"/>
                <w:sz w:val="24"/>
                <w:highlight w:val="none"/>
              </w:rPr>
            </w:pPr>
            <w:r>
              <w:rPr>
                <w:rFonts w:ascii="宋体" w:hAnsi="宋体"/>
                <w:color w:val="auto"/>
                <w:sz w:val="24"/>
                <w:highlight w:val="none"/>
              </w:rPr>
              <w:t>GB50150</w:t>
            </w:r>
          </w:p>
        </w:tc>
        <w:tc>
          <w:tcPr>
            <w:tcW w:w="6840" w:type="dxa"/>
            <w:tcBorders>
              <w:top w:val="single" w:color="auto" w:sz="4" w:space="0"/>
              <w:left w:val="nil"/>
              <w:bottom w:val="single" w:color="auto" w:sz="4" w:space="0"/>
              <w:right w:val="single" w:color="auto" w:sz="4" w:space="0"/>
            </w:tcBorders>
            <w:vAlign w:val="center"/>
          </w:tcPr>
          <w:p w14:paraId="77DA8F3D">
            <w:pPr>
              <w:adjustRightInd w:val="0"/>
              <w:snapToGrid w:val="0"/>
              <w:spacing w:line="360" w:lineRule="auto"/>
              <w:rPr>
                <w:rFonts w:ascii="宋体" w:hAnsi="宋体"/>
                <w:color w:val="auto"/>
                <w:sz w:val="24"/>
                <w:highlight w:val="none"/>
              </w:rPr>
            </w:pPr>
            <w:r>
              <w:rPr>
                <w:rFonts w:ascii="宋体" w:hAnsi="宋体"/>
                <w:color w:val="auto"/>
                <w:sz w:val="24"/>
                <w:highlight w:val="none"/>
              </w:rPr>
              <w:t>电气装置安装工程电气设备交接试验标准</w:t>
            </w:r>
          </w:p>
        </w:tc>
      </w:tr>
      <w:tr w14:paraId="196CA5A0">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6C1C741C">
            <w:pPr>
              <w:adjustRightInd w:val="0"/>
              <w:snapToGrid w:val="0"/>
              <w:spacing w:line="360" w:lineRule="auto"/>
              <w:rPr>
                <w:rFonts w:ascii="宋体" w:hAnsi="宋体"/>
                <w:color w:val="auto"/>
                <w:sz w:val="24"/>
                <w:highlight w:val="none"/>
              </w:rPr>
            </w:pPr>
            <w:r>
              <w:rPr>
                <w:rFonts w:ascii="宋体" w:hAnsi="宋体"/>
                <w:color w:val="auto"/>
                <w:sz w:val="24"/>
                <w:highlight w:val="none"/>
              </w:rPr>
              <w:t>GB50168</w:t>
            </w:r>
          </w:p>
        </w:tc>
        <w:tc>
          <w:tcPr>
            <w:tcW w:w="6840" w:type="dxa"/>
            <w:tcBorders>
              <w:top w:val="single" w:color="auto" w:sz="4" w:space="0"/>
              <w:left w:val="nil"/>
              <w:bottom w:val="single" w:color="auto" w:sz="4" w:space="0"/>
              <w:right w:val="single" w:color="auto" w:sz="4" w:space="0"/>
            </w:tcBorders>
            <w:vAlign w:val="center"/>
          </w:tcPr>
          <w:p w14:paraId="130306A2">
            <w:pPr>
              <w:adjustRightInd w:val="0"/>
              <w:snapToGrid w:val="0"/>
              <w:spacing w:line="360" w:lineRule="auto"/>
              <w:rPr>
                <w:rFonts w:ascii="宋体" w:hAnsi="宋体"/>
                <w:color w:val="auto"/>
                <w:sz w:val="24"/>
                <w:highlight w:val="none"/>
              </w:rPr>
            </w:pPr>
            <w:r>
              <w:rPr>
                <w:rFonts w:ascii="宋体" w:hAnsi="宋体"/>
                <w:color w:val="auto"/>
                <w:sz w:val="24"/>
                <w:highlight w:val="none"/>
              </w:rPr>
              <w:t>电气装置安装工程电缆线路施工及验收规范</w:t>
            </w:r>
          </w:p>
        </w:tc>
      </w:tr>
      <w:tr w14:paraId="67092EF2">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7A3FF4D">
            <w:pPr>
              <w:adjustRightInd w:val="0"/>
              <w:snapToGrid w:val="0"/>
              <w:spacing w:line="360" w:lineRule="auto"/>
              <w:rPr>
                <w:rFonts w:ascii="宋体" w:hAnsi="宋体"/>
                <w:color w:val="auto"/>
                <w:sz w:val="24"/>
                <w:highlight w:val="none"/>
              </w:rPr>
            </w:pPr>
            <w:r>
              <w:rPr>
                <w:rFonts w:ascii="宋体" w:hAnsi="宋体"/>
                <w:color w:val="auto"/>
                <w:sz w:val="24"/>
                <w:highlight w:val="none"/>
              </w:rPr>
              <w:t>GB50169</w:t>
            </w:r>
          </w:p>
        </w:tc>
        <w:tc>
          <w:tcPr>
            <w:tcW w:w="6840" w:type="dxa"/>
            <w:tcBorders>
              <w:top w:val="single" w:color="auto" w:sz="4" w:space="0"/>
              <w:left w:val="nil"/>
              <w:bottom w:val="single" w:color="auto" w:sz="4" w:space="0"/>
              <w:right w:val="single" w:color="auto" w:sz="4" w:space="0"/>
            </w:tcBorders>
            <w:vAlign w:val="center"/>
          </w:tcPr>
          <w:p w14:paraId="605F2011">
            <w:pPr>
              <w:adjustRightInd w:val="0"/>
              <w:snapToGrid w:val="0"/>
              <w:spacing w:line="360" w:lineRule="auto"/>
              <w:rPr>
                <w:rFonts w:ascii="宋体" w:hAnsi="宋体"/>
                <w:color w:val="auto"/>
                <w:sz w:val="24"/>
                <w:highlight w:val="none"/>
              </w:rPr>
            </w:pPr>
            <w:r>
              <w:rPr>
                <w:rFonts w:ascii="宋体" w:hAnsi="宋体"/>
                <w:color w:val="auto"/>
                <w:sz w:val="24"/>
                <w:highlight w:val="none"/>
              </w:rPr>
              <w:t>电气装置安装工程接地装置施工及验收规范</w:t>
            </w:r>
          </w:p>
        </w:tc>
      </w:tr>
      <w:tr w14:paraId="75ECEA02">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738F9110">
            <w:pPr>
              <w:adjustRightInd w:val="0"/>
              <w:snapToGrid w:val="0"/>
              <w:spacing w:line="360" w:lineRule="auto"/>
              <w:rPr>
                <w:rFonts w:ascii="宋体" w:hAnsi="宋体"/>
                <w:color w:val="auto"/>
                <w:sz w:val="24"/>
                <w:highlight w:val="none"/>
              </w:rPr>
            </w:pPr>
            <w:r>
              <w:rPr>
                <w:rFonts w:ascii="宋体" w:hAnsi="宋体"/>
                <w:color w:val="auto"/>
                <w:sz w:val="24"/>
                <w:highlight w:val="none"/>
              </w:rPr>
              <w:t>GB50170</w:t>
            </w:r>
          </w:p>
        </w:tc>
        <w:tc>
          <w:tcPr>
            <w:tcW w:w="6840" w:type="dxa"/>
            <w:tcBorders>
              <w:top w:val="single" w:color="auto" w:sz="4" w:space="0"/>
              <w:left w:val="nil"/>
              <w:bottom w:val="single" w:color="auto" w:sz="4" w:space="0"/>
              <w:right w:val="single" w:color="auto" w:sz="4" w:space="0"/>
            </w:tcBorders>
            <w:vAlign w:val="center"/>
          </w:tcPr>
          <w:p w14:paraId="611540EC">
            <w:pPr>
              <w:adjustRightInd w:val="0"/>
              <w:snapToGrid w:val="0"/>
              <w:spacing w:line="360" w:lineRule="auto"/>
              <w:rPr>
                <w:rFonts w:ascii="宋体" w:hAnsi="宋体"/>
                <w:color w:val="auto"/>
                <w:sz w:val="24"/>
                <w:highlight w:val="none"/>
              </w:rPr>
            </w:pPr>
            <w:r>
              <w:rPr>
                <w:rFonts w:ascii="宋体" w:hAnsi="宋体"/>
                <w:color w:val="auto"/>
                <w:sz w:val="24"/>
                <w:highlight w:val="none"/>
              </w:rPr>
              <w:t>电气装置安装工程旋转电机施工及验收规范</w:t>
            </w:r>
          </w:p>
        </w:tc>
      </w:tr>
      <w:tr w14:paraId="43C10A0F">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7594B111">
            <w:pPr>
              <w:adjustRightInd w:val="0"/>
              <w:snapToGrid w:val="0"/>
              <w:spacing w:line="360" w:lineRule="auto"/>
              <w:rPr>
                <w:rFonts w:ascii="宋体" w:hAnsi="宋体"/>
                <w:color w:val="auto"/>
                <w:sz w:val="24"/>
                <w:highlight w:val="none"/>
              </w:rPr>
            </w:pPr>
            <w:r>
              <w:rPr>
                <w:rFonts w:ascii="宋体" w:hAnsi="宋体"/>
                <w:color w:val="auto"/>
                <w:sz w:val="24"/>
                <w:highlight w:val="none"/>
              </w:rPr>
              <w:t>GB50171</w:t>
            </w:r>
          </w:p>
        </w:tc>
        <w:tc>
          <w:tcPr>
            <w:tcW w:w="6840" w:type="dxa"/>
            <w:tcBorders>
              <w:top w:val="single" w:color="auto" w:sz="4" w:space="0"/>
              <w:left w:val="nil"/>
              <w:bottom w:val="single" w:color="auto" w:sz="4" w:space="0"/>
              <w:right w:val="single" w:color="auto" w:sz="4" w:space="0"/>
            </w:tcBorders>
            <w:vAlign w:val="center"/>
          </w:tcPr>
          <w:p w14:paraId="3F954F61">
            <w:pPr>
              <w:adjustRightInd w:val="0"/>
              <w:snapToGrid w:val="0"/>
              <w:spacing w:line="360" w:lineRule="auto"/>
              <w:rPr>
                <w:rFonts w:ascii="宋体" w:hAnsi="宋体"/>
                <w:color w:val="auto"/>
                <w:sz w:val="24"/>
                <w:highlight w:val="none"/>
              </w:rPr>
            </w:pPr>
            <w:r>
              <w:rPr>
                <w:rFonts w:ascii="宋体" w:hAnsi="宋体"/>
                <w:color w:val="auto"/>
                <w:sz w:val="24"/>
                <w:highlight w:val="none"/>
              </w:rPr>
              <w:t>电气装置安装工程盘，柜及二次回路结线施工及验收规范</w:t>
            </w:r>
          </w:p>
        </w:tc>
      </w:tr>
      <w:tr w14:paraId="4A54B69B">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F3DBEE1">
            <w:pPr>
              <w:adjustRightInd w:val="0"/>
              <w:snapToGrid w:val="0"/>
              <w:spacing w:line="360" w:lineRule="auto"/>
              <w:rPr>
                <w:rFonts w:ascii="宋体" w:hAnsi="宋体"/>
                <w:color w:val="auto"/>
                <w:sz w:val="24"/>
                <w:highlight w:val="none"/>
              </w:rPr>
            </w:pPr>
            <w:r>
              <w:rPr>
                <w:rFonts w:ascii="宋体" w:hAnsi="宋体"/>
                <w:color w:val="auto"/>
                <w:sz w:val="24"/>
                <w:highlight w:val="none"/>
              </w:rPr>
              <w:t>GB50174</w:t>
            </w:r>
          </w:p>
        </w:tc>
        <w:tc>
          <w:tcPr>
            <w:tcW w:w="6840" w:type="dxa"/>
            <w:tcBorders>
              <w:top w:val="single" w:color="auto" w:sz="4" w:space="0"/>
              <w:left w:val="nil"/>
              <w:bottom w:val="single" w:color="auto" w:sz="4" w:space="0"/>
              <w:right w:val="single" w:color="auto" w:sz="4" w:space="0"/>
            </w:tcBorders>
            <w:vAlign w:val="center"/>
          </w:tcPr>
          <w:p w14:paraId="13106159">
            <w:pPr>
              <w:adjustRightInd w:val="0"/>
              <w:snapToGrid w:val="0"/>
              <w:spacing w:line="360" w:lineRule="auto"/>
              <w:rPr>
                <w:rFonts w:ascii="宋体" w:hAnsi="宋体"/>
                <w:color w:val="auto"/>
                <w:sz w:val="24"/>
                <w:highlight w:val="none"/>
              </w:rPr>
            </w:pPr>
            <w:r>
              <w:rPr>
                <w:rFonts w:ascii="宋体" w:hAnsi="宋体"/>
                <w:color w:val="auto"/>
                <w:sz w:val="24"/>
                <w:highlight w:val="none"/>
              </w:rPr>
              <w:t>电子计算机房设计规范</w:t>
            </w:r>
          </w:p>
        </w:tc>
      </w:tr>
      <w:tr w14:paraId="7C92BAC6">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664D070A">
            <w:pPr>
              <w:adjustRightInd w:val="0"/>
              <w:snapToGrid w:val="0"/>
              <w:spacing w:line="360" w:lineRule="auto"/>
              <w:rPr>
                <w:rFonts w:ascii="宋体" w:hAnsi="宋体"/>
                <w:color w:val="auto"/>
                <w:sz w:val="24"/>
                <w:highlight w:val="none"/>
              </w:rPr>
            </w:pPr>
            <w:r>
              <w:rPr>
                <w:rFonts w:ascii="宋体" w:hAnsi="宋体"/>
                <w:color w:val="auto"/>
                <w:sz w:val="24"/>
                <w:highlight w:val="none"/>
              </w:rPr>
              <w:t>GB 50194</w:t>
            </w:r>
          </w:p>
        </w:tc>
        <w:tc>
          <w:tcPr>
            <w:tcW w:w="6840" w:type="dxa"/>
            <w:tcBorders>
              <w:top w:val="single" w:color="auto" w:sz="4" w:space="0"/>
              <w:left w:val="nil"/>
              <w:bottom w:val="single" w:color="auto" w:sz="4" w:space="0"/>
              <w:right w:val="single" w:color="auto" w:sz="4" w:space="0"/>
            </w:tcBorders>
            <w:vAlign w:val="center"/>
          </w:tcPr>
          <w:p w14:paraId="39E06A35">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建设工程施工现场供用电安全规范</w:t>
            </w:r>
          </w:p>
        </w:tc>
      </w:tr>
      <w:tr w14:paraId="753C274B">
        <w:tblPrEx>
          <w:tblCellMar>
            <w:top w:w="0" w:type="dxa"/>
            <w:left w:w="108" w:type="dxa"/>
            <w:bottom w:w="0" w:type="dxa"/>
            <w:right w:w="108" w:type="dxa"/>
          </w:tblCellMar>
        </w:tblPrEx>
        <w:trPr>
          <w:trHeight w:val="575" w:hRule="atLeast"/>
        </w:trPr>
        <w:tc>
          <w:tcPr>
            <w:tcW w:w="1980" w:type="dxa"/>
            <w:tcBorders>
              <w:top w:val="single" w:color="auto" w:sz="4" w:space="0"/>
              <w:left w:val="single" w:color="auto" w:sz="4" w:space="0"/>
              <w:bottom w:val="single" w:color="auto" w:sz="4" w:space="0"/>
              <w:right w:val="single" w:color="auto" w:sz="4" w:space="0"/>
            </w:tcBorders>
            <w:vAlign w:val="center"/>
          </w:tcPr>
          <w:p w14:paraId="36FE85BE">
            <w:pPr>
              <w:adjustRightInd w:val="0"/>
              <w:snapToGrid w:val="0"/>
              <w:spacing w:line="360" w:lineRule="auto"/>
              <w:rPr>
                <w:rFonts w:ascii="宋体" w:hAnsi="宋体"/>
                <w:color w:val="auto"/>
                <w:sz w:val="24"/>
                <w:highlight w:val="none"/>
              </w:rPr>
            </w:pPr>
            <w:r>
              <w:rPr>
                <w:rFonts w:ascii="宋体" w:hAnsi="宋体"/>
                <w:color w:val="auto"/>
                <w:sz w:val="24"/>
                <w:highlight w:val="none"/>
              </w:rPr>
              <w:t>GB50</w:t>
            </w:r>
            <w:r>
              <w:rPr>
                <w:rFonts w:hint="eastAsia" w:ascii="宋体" w:hAnsi="宋体"/>
                <w:color w:val="auto"/>
                <w:sz w:val="24"/>
                <w:highlight w:val="none"/>
              </w:rPr>
              <w:t>217</w:t>
            </w:r>
          </w:p>
        </w:tc>
        <w:tc>
          <w:tcPr>
            <w:tcW w:w="6840" w:type="dxa"/>
            <w:tcBorders>
              <w:top w:val="single" w:color="auto" w:sz="4" w:space="0"/>
              <w:left w:val="nil"/>
              <w:bottom w:val="single" w:color="auto" w:sz="4" w:space="0"/>
              <w:right w:val="single" w:color="auto" w:sz="4" w:space="0"/>
            </w:tcBorders>
            <w:vAlign w:val="center"/>
          </w:tcPr>
          <w:p w14:paraId="6BC7BC1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电力工程电缆设计规范</w:t>
            </w:r>
          </w:p>
        </w:tc>
      </w:tr>
      <w:tr w14:paraId="29CA90E1">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5D8D1825">
            <w:pPr>
              <w:adjustRightInd w:val="0"/>
              <w:snapToGrid w:val="0"/>
              <w:spacing w:line="360" w:lineRule="auto"/>
              <w:rPr>
                <w:rFonts w:ascii="宋体" w:hAnsi="宋体"/>
                <w:color w:val="auto"/>
                <w:sz w:val="24"/>
                <w:highlight w:val="none"/>
              </w:rPr>
            </w:pPr>
            <w:r>
              <w:rPr>
                <w:rFonts w:ascii="宋体" w:hAnsi="宋体"/>
                <w:color w:val="auto"/>
                <w:sz w:val="24"/>
                <w:highlight w:val="none"/>
              </w:rPr>
              <w:t>GB50</w:t>
            </w:r>
            <w:r>
              <w:rPr>
                <w:rFonts w:hint="eastAsia" w:ascii="宋体" w:hAnsi="宋体"/>
                <w:color w:val="auto"/>
                <w:sz w:val="24"/>
                <w:highlight w:val="none"/>
              </w:rPr>
              <w:t>227</w:t>
            </w:r>
          </w:p>
        </w:tc>
        <w:tc>
          <w:tcPr>
            <w:tcW w:w="6840" w:type="dxa"/>
            <w:tcBorders>
              <w:top w:val="single" w:color="auto" w:sz="4" w:space="0"/>
              <w:left w:val="nil"/>
              <w:bottom w:val="single" w:color="auto" w:sz="4" w:space="0"/>
              <w:right w:val="single" w:color="auto" w:sz="4" w:space="0"/>
            </w:tcBorders>
            <w:vAlign w:val="center"/>
          </w:tcPr>
          <w:p w14:paraId="0114764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并联电容器装置设计规范</w:t>
            </w:r>
          </w:p>
        </w:tc>
      </w:tr>
      <w:tr w14:paraId="6F775919">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22C07C55">
            <w:pPr>
              <w:adjustRightInd w:val="0"/>
              <w:snapToGrid w:val="0"/>
              <w:spacing w:line="360" w:lineRule="auto"/>
              <w:rPr>
                <w:rFonts w:ascii="宋体" w:hAnsi="宋体"/>
                <w:color w:val="auto"/>
                <w:sz w:val="24"/>
                <w:highlight w:val="none"/>
              </w:rPr>
            </w:pPr>
            <w:r>
              <w:rPr>
                <w:rFonts w:ascii="宋体" w:hAnsi="宋体"/>
                <w:color w:val="auto"/>
                <w:sz w:val="24"/>
                <w:highlight w:val="none"/>
              </w:rPr>
              <w:t>GB5025</w:t>
            </w:r>
            <w:r>
              <w:rPr>
                <w:rFonts w:hint="eastAsia" w:ascii="宋体" w:hAnsi="宋体"/>
                <w:color w:val="auto"/>
                <w:sz w:val="24"/>
                <w:highlight w:val="none"/>
              </w:rPr>
              <w:t>4</w:t>
            </w:r>
          </w:p>
        </w:tc>
        <w:tc>
          <w:tcPr>
            <w:tcW w:w="6840" w:type="dxa"/>
            <w:tcBorders>
              <w:top w:val="single" w:color="auto" w:sz="4" w:space="0"/>
              <w:left w:val="nil"/>
              <w:bottom w:val="single" w:color="auto" w:sz="4" w:space="0"/>
              <w:right w:val="single" w:color="auto" w:sz="4" w:space="0"/>
            </w:tcBorders>
            <w:vAlign w:val="center"/>
          </w:tcPr>
          <w:p w14:paraId="3D54C9C9">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电气装置安装工程低压电器施工及验收规范</w:t>
            </w:r>
          </w:p>
        </w:tc>
      </w:tr>
      <w:tr w14:paraId="31DCD18F">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1FA0FFD">
            <w:pPr>
              <w:adjustRightInd w:val="0"/>
              <w:snapToGrid w:val="0"/>
              <w:spacing w:line="360" w:lineRule="auto"/>
              <w:rPr>
                <w:rFonts w:ascii="宋体" w:hAnsi="宋体"/>
                <w:color w:val="auto"/>
                <w:sz w:val="24"/>
                <w:highlight w:val="none"/>
              </w:rPr>
            </w:pPr>
            <w:r>
              <w:rPr>
                <w:rFonts w:ascii="宋体" w:hAnsi="宋体"/>
                <w:color w:val="auto"/>
                <w:sz w:val="24"/>
                <w:highlight w:val="none"/>
              </w:rPr>
              <w:t>GB5025</w:t>
            </w:r>
            <w:r>
              <w:rPr>
                <w:rFonts w:hint="eastAsia" w:ascii="宋体" w:hAnsi="宋体"/>
                <w:color w:val="auto"/>
                <w:sz w:val="24"/>
                <w:highlight w:val="none"/>
              </w:rPr>
              <w:t>6</w:t>
            </w:r>
          </w:p>
        </w:tc>
        <w:tc>
          <w:tcPr>
            <w:tcW w:w="6840" w:type="dxa"/>
            <w:tcBorders>
              <w:top w:val="single" w:color="auto" w:sz="4" w:space="0"/>
              <w:left w:val="nil"/>
              <w:bottom w:val="single" w:color="auto" w:sz="4" w:space="0"/>
              <w:right w:val="single" w:color="auto" w:sz="4" w:space="0"/>
            </w:tcBorders>
            <w:vAlign w:val="center"/>
          </w:tcPr>
          <w:p w14:paraId="0BE3D3B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电气装置安装工程起重机电气装置施工及验收规范</w:t>
            </w:r>
          </w:p>
        </w:tc>
      </w:tr>
      <w:tr w14:paraId="0847CFFA">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353D8EA4">
            <w:pPr>
              <w:adjustRightInd w:val="0"/>
              <w:snapToGrid w:val="0"/>
              <w:spacing w:line="360" w:lineRule="auto"/>
              <w:rPr>
                <w:rFonts w:ascii="宋体" w:hAnsi="宋体"/>
                <w:color w:val="auto"/>
                <w:sz w:val="24"/>
                <w:highlight w:val="none"/>
              </w:rPr>
            </w:pPr>
            <w:r>
              <w:rPr>
                <w:rFonts w:ascii="宋体" w:hAnsi="宋体"/>
                <w:color w:val="auto"/>
                <w:sz w:val="24"/>
                <w:highlight w:val="none"/>
              </w:rPr>
              <w:t>GB50257</w:t>
            </w:r>
          </w:p>
        </w:tc>
        <w:tc>
          <w:tcPr>
            <w:tcW w:w="6840" w:type="dxa"/>
            <w:tcBorders>
              <w:top w:val="single" w:color="auto" w:sz="4" w:space="0"/>
              <w:left w:val="nil"/>
              <w:bottom w:val="single" w:color="auto" w:sz="4" w:space="0"/>
              <w:right w:val="single" w:color="auto" w:sz="4" w:space="0"/>
            </w:tcBorders>
            <w:vAlign w:val="center"/>
          </w:tcPr>
          <w:p w14:paraId="33702E5B">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电气装置安装工程 爆炸和火灾危险环境电气装置施工及验收规范</w:t>
            </w:r>
          </w:p>
        </w:tc>
      </w:tr>
      <w:tr w14:paraId="0B4113D9">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51D4E3D8">
            <w:pPr>
              <w:adjustRightInd w:val="0"/>
              <w:snapToGrid w:val="0"/>
              <w:spacing w:line="360" w:lineRule="auto"/>
              <w:rPr>
                <w:rFonts w:ascii="宋体" w:hAnsi="宋体"/>
                <w:color w:val="auto"/>
                <w:sz w:val="24"/>
                <w:highlight w:val="none"/>
              </w:rPr>
            </w:pPr>
            <w:r>
              <w:rPr>
                <w:rFonts w:ascii="宋体" w:hAnsi="宋体"/>
                <w:color w:val="auto"/>
                <w:sz w:val="24"/>
                <w:highlight w:val="none"/>
              </w:rPr>
              <w:t>GB50303</w:t>
            </w:r>
          </w:p>
        </w:tc>
        <w:tc>
          <w:tcPr>
            <w:tcW w:w="6840" w:type="dxa"/>
            <w:tcBorders>
              <w:top w:val="single" w:color="auto" w:sz="4" w:space="0"/>
              <w:left w:val="nil"/>
              <w:bottom w:val="single" w:color="auto" w:sz="4" w:space="0"/>
              <w:right w:val="single" w:color="auto" w:sz="4" w:space="0"/>
            </w:tcBorders>
            <w:vAlign w:val="center"/>
          </w:tcPr>
          <w:p w14:paraId="349B1BDF">
            <w:pPr>
              <w:adjustRightInd w:val="0"/>
              <w:snapToGrid w:val="0"/>
              <w:spacing w:line="360" w:lineRule="auto"/>
              <w:rPr>
                <w:rFonts w:ascii="宋体" w:hAnsi="宋体"/>
                <w:color w:val="auto"/>
                <w:sz w:val="24"/>
                <w:highlight w:val="none"/>
              </w:rPr>
            </w:pPr>
            <w:r>
              <w:rPr>
                <w:rFonts w:ascii="宋体" w:hAnsi="宋体"/>
                <w:color w:val="auto"/>
                <w:sz w:val="24"/>
                <w:highlight w:val="none"/>
              </w:rPr>
              <w:t>建筑电气工程施工质量验收规范</w:t>
            </w:r>
          </w:p>
        </w:tc>
      </w:tr>
      <w:tr w14:paraId="08B6B91F">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4D26661C">
            <w:pPr>
              <w:adjustRightInd w:val="0"/>
              <w:snapToGrid w:val="0"/>
              <w:spacing w:line="360" w:lineRule="auto"/>
              <w:rPr>
                <w:rFonts w:ascii="宋体" w:hAnsi="宋体"/>
                <w:color w:val="auto"/>
                <w:sz w:val="24"/>
                <w:highlight w:val="none"/>
              </w:rPr>
            </w:pPr>
            <w:r>
              <w:rPr>
                <w:rFonts w:ascii="宋体" w:hAnsi="宋体"/>
                <w:color w:val="auto"/>
                <w:sz w:val="24"/>
                <w:highlight w:val="none"/>
              </w:rPr>
              <w:t>GB503</w:t>
            </w:r>
            <w:r>
              <w:rPr>
                <w:rFonts w:hint="eastAsia" w:ascii="宋体" w:hAnsi="宋体"/>
                <w:color w:val="auto"/>
                <w:sz w:val="24"/>
                <w:highlight w:val="none"/>
              </w:rPr>
              <w:t>4</w:t>
            </w:r>
            <w:r>
              <w:rPr>
                <w:rFonts w:ascii="宋体" w:hAnsi="宋体"/>
                <w:color w:val="auto"/>
                <w:sz w:val="24"/>
                <w:highlight w:val="none"/>
              </w:rPr>
              <w:t>3</w:t>
            </w:r>
          </w:p>
        </w:tc>
        <w:tc>
          <w:tcPr>
            <w:tcW w:w="6840" w:type="dxa"/>
            <w:tcBorders>
              <w:top w:val="single" w:color="auto" w:sz="4" w:space="0"/>
              <w:left w:val="nil"/>
              <w:bottom w:val="single" w:color="auto" w:sz="4" w:space="0"/>
              <w:right w:val="single" w:color="auto" w:sz="4" w:space="0"/>
            </w:tcBorders>
            <w:vAlign w:val="center"/>
          </w:tcPr>
          <w:p w14:paraId="2FAB9A9C">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建筑物电子信息系统防雷技术规范</w:t>
            </w:r>
          </w:p>
        </w:tc>
      </w:tr>
      <w:tr w14:paraId="0D3A0183">
        <w:tblPrEx>
          <w:tblCellMar>
            <w:top w:w="0" w:type="dxa"/>
            <w:left w:w="108" w:type="dxa"/>
            <w:bottom w:w="0" w:type="dxa"/>
            <w:right w:w="108" w:type="dxa"/>
          </w:tblCellMar>
        </w:tblPrEx>
        <w:trPr>
          <w:trHeight w:val="473" w:hRule="atLeast"/>
        </w:trPr>
        <w:tc>
          <w:tcPr>
            <w:tcW w:w="1980" w:type="dxa"/>
            <w:tcBorders>
              <w:top w:val="single" w:color="auto" w:sz="4" w:space="0"/>
              <w:left w:val="single" w:color="auto" w:sz="4" w:space="0"/>
              <w:bottom w:val="single" w:color="auto" w:sz="4" w:space="0"/>
              <w:right w:val="single" w:color="auto" w:sz="4" w:space="0"/>
            </w:tcBorders>
            <w:vAlign w:val="center"/>
          </w:tcPr>
          <w:p w14:paraId="73CBD37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GB 12158</w:t>
            </w:r>
          </w:p>
        </w:tc>
        <w:tc>
          <w:tcPr>
            <w:tcW w:w="6840" w:type="dxa"/>
            <w:tcBorders>
              <w:top w:val="single" w:color="auto" w:sz="4" w:space="0"/>
              <w:left w:val="nil"/>
              <w:bottom w:val="single" w:color="auto" w:sz="4" w:space="0"/>
              <w:right w:val="single" w:color="auto" w:sz="4" w:space="0"/>
            </w:tcBorders>
            <w:vAlign w:val="center"/>
          </w:tcPr>
          <w:p w14:paraId="75FFDC96">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防止静电事故通用导则</w:t>
            </w:r>
          </w:p>
        </w:tc>
      </w:tr>
      <w:tr w14:paraId="5E9C9B70">
        <w:tblPrEx>
          <w:tblCellMar>
            <w:top w:w="0" w:type="dxa"/>
            <w:left w:w="108" w:type="dxa"/>
            <w:bottom w:w="0" w:type="dxa"/>
            <w:right w:w="108" w:type="dxa"/>
          </w:tblCellMar>
        </w:tblPrEx>
        <w:trPr>
          <w:trHeight w:val="581" w:hRule="atLeast"/>
        </w:trPr>
        <w:tc>
          <w:tcPr>
            <w:tcW w:w="1980" w:type="dxa"/>
            <w:tcBorders>
              <w:top w:val="single" w:color="auto" w:sz="4" w:space="0"/>
              <w:left w:val="single" w:color="auto" w:sz="4" w:space="0"/>
              <w:bottom w:val="single" w:color="auto" w:sz="4" w:space="0"/>
              <w:right w:val="single" w:color="auto" w:sz="4" w:space="0"/>
            </w:tcBorders>
            <w:vAlign w:val="center"/>
          </w:tcPr>
          <w:p w14:paraId="7E16A432">
            <w:pPr>
              <w:adjustRightInd w:val="0"/>
              <w:snapToGrid w:val="0"/>
              <w:spacing w:line="360" w:lineRule="auto"/>
              <w:rPr>
                <w:rFonts w:ascii="宋体" w:hAnsi="宋体"/>
                <w:color w:val="auto"/>
                <w:sz w:val="24"/>
                <w:highlight w:val="none"/>
              </w:rPr>
            </w:pPr>
            <w:r>
              <w:rPr>
                <w:rFonts w:ascii="宋体" w:hAnsi="宋体"/>
                <w:color w:val="auto"/>
                <w:sz w:val="24"/>
                <w:highlight w:val="none"/>
              </w:rPr>
              <w:t>装箱资料</w:t>
            </w:r>
          </w:p>
        </w:tc>
        <w:tc>
          <w:tcPr>
            <w:tcW w:w="6840" w:type="dxa"/>
            <w:tcBorders>
              <w:top w:val="single" w:color="auto" w:sz="4" w:space="0"/>
              <w:left w:val="nil"/>
              <w:bottom w:val="single" w:color="auto" w:sz="4" w:space="0"/>
              <w:right w:val="single" w:color="auto" w:sz="4" w:space="0"/>
            </w:tcBorders>
            <w:vAlign w:val="center"/>
          </w:tcPr>
          <w:p w14:paraId="3C3F70BB">
            <w:pPr>
              <w:adjustRightInd w:val="0"/>
              <w:snapToGrid w:val="0"/>
              <w:spacing w:line="360" w:lineRule="auto"/>
              <w:rPr>
                <w:rFonts w:ascii="宋体" w:hAnsi="宋体"/>
                <w:color w:val="auto"/>
                <w:sz w:val="24"/>
                <w:highlight w:val="none"/>
              </w:rPr>
            </w:pPr>
            <w:r>
              <w:rPr>
                <w:rFonts w:ascii="宋体" w:hAnsi="宋体"/>
                <w:color w:val="auto"/>
                <w:sz w:val="24"/>
                <w:highlight w:val="none"/>
              </w:rPr>
              <w:t>各种电气设备的使用说明及安装说明</w:t>
            </w:r>
          </w:p>
        </w:tc>
      </w:tr>
    </w:tbl>
    <w:p w14:paraId="03D822A7">
      <w:pPr>
        <w:adjustRightInd w:val="0"/>
        <w:snapToGrid w:val="0"/>
        <w:spacing w:line="360" w:lineRule="auto"/>
        <w:rPr>
          <w:rFonts w:ascii="宋体" w:hAnsi="宋体"/>
          <w:color w:val="auto"/>
          <w:sz w:val="24"/>
          <w:highlight w:val="none"/>
        </w:rPr>
      </w:pPr>
      <w:r>
        <w:rPr>
          <w:rFonts w:ascii="宋体" w:hAnsi="宋体"/>
          <w:color w:val="auto"/>
          <w:sz w:val="24"/>
          <w:highlight w:val="none"/>
        </w:rPr>
        <w:t>上述所有的规范、标准应是现行的有效版本。中标人应完全熟悉上述标准，并应按照这些标准进行设备的设计、供货、安装和施工。当各标准之间存在差异时，应以较高标准作为参照标准。中标人如使用替代标准，应提交所用的标准并对其进行说明。只有当所用的标准等效于或优于技术标书的要求时，该标准才可能被接受。</w:t>
      </w:r>
    </w:p>
    <w:p w14:paraId="144660D6">
      <w:pPr>
        <w:adjustRightInd w:val="0"/>
        <w:snapToGrid w:val="0"/>
        <w:spacing w:line="360" w:lineRule="auto"/>
        <w:rPr>
          <w:rFonts w:ascii="宋体" w:hAnsi="宋体"/>
          <w:b/>
          <w:color w:val="auto"/>
          <w:sz w:val="24"/>
          <w:highlight w:val="none"/>
        </w:rPr>
      </w:pPr>
      <w:r>
        <w:rPr>
          <w:rFonts w:hint="eastAsia" w:ascii="宋体" w:hAnsi="宋体" w:cs="宋体"/>
          <w:b/>
          <w:color w:val="auto"/>
          <w:sz w:val="24"/>
          <w:highlight w:val="none"/>
        </w:rPr>
        <w:t>★</w:t>
      </w:r>
      <w:r>
        <w:rPr>
          <w:rFonts w:hint="eastAsia" w:ascii="宋体" w:hAnsi="宋体"/>
          <w:b/>
          <w:color w:val="auto"/>
          <w:sz w:val="24"/>
          <w:highlight w:val="none"/>
        </w:rPr>
        <w:t>3.4.4</w:t>
      </w:r>
      <w:r>
        <w:rPr>
          <w:rFonts w:ascii="宋体" w:hAnsi="宋体"/>
          <w:b/>
          <w:color w:val="auto"/>
          <w:sz w:val="24"/>
          <w:highlight w:val="none"/>
        </w:rPr>
        <w:t>设备的一致性</w:t>
      </w:r>
      <w:bookmarkEnd w:id="272"/>
      <w:bookmarkEnd w:id="273"/>
    </w:p>
    <w:p w14:paraId="04C81ACE">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在整个工程设计、施工期间，除非另有规定，每项电气设备、装置、仪表及附件的型号和制造应保持一致性。</w:t>
      </w:r>
    </w:p>
    <w:p w14:paraId="3086BB4B">
      <w:pPr>
        <w:adjustRightInd w:val="0"/>
        <w:snapToGrid w:val="0"/>
        <w:spacing w:line="360" w:lineRule="auto"/>
        <w:ind w:firstLine="470" w:firstLineChars="196"/>
        <w:rPr>
          <w:rFonts w:ascii="宋体" w:hAnsi="宋体"/>
          <w:color w:val="auto"/>
          <w:sz w:val="24"/>
          <w:highlight w:val="none"/>
        </w:rPr>
      </w:pPr>
      <w:r>
        <w:rPr>
          <w:rFonts w:ascii="宋体" w:hAnsi="宋体"/>
          <w:color w:val="auto"/>
          <w:sz w:val="24"/>
          <w:highlight w:val="none"/>
        </w:rPr>
        <w:t>同类设备均应采用同一品牌同一系列产品。</w:t>
      </w:r>
    </w:p>
    <w:p w14:paraId="5919BCA0">
      <w:pPr>
        <w:adjustRightInd w:val="0"/>
        <w:snapToGrid w:val="0"/>
        <w:spacing w:line="360" w:lineRule="auto"/>
        <w:ind w:firstLine="470" w:firstLineChars="196"/>
        <w:rPr>
          <w:rFonts w:ascii="宋体" w:hAnsi="宋体"/>
          <w:color w:val="auto"/>
          <w:sz w:val="24"/>
          <w:highlight w:val="none"/>
        </w:rPr>
      </w:pPr>
      <w:r>
        <w:rPr>
          <w:rFonts w:hint="eastAsia" w:ascii="宋体" w:hAnsi="宋体"/>
          <w:color w:val="auto"/>
          <w:sz w:val="24"/>
          <w:highlight w:val="none"/>
        </w:rPr>
        <w:t>在原变配电所做局部改造的电气设备必须保持与原设备相同的控制机理及结构，同时保证可互换。</w:t>
      </w:r>
    </w:p>
    <w:p w14:paraId="7B5E0800">
      <w:pPr>
        <w:adjustRightInd w:val="0"/>
        <w:snapToGrid w:val="0"/>
        <w:spacing w:line="360" w:lineRule="auto"/>
        <w:rPr>
          <w:rFonts w:ascii="宋体" w:hAnsi="宋体"/>
          <w:color w:val="auto"/>
          <w:sz w:val="24"/>
          <w:highlight w:val="none"/>
        </w:rPr>
      </w:pPr>
      <w:bookmarkStart w:id="283" w:name="_Toc283917884"/>
      <w:bookmarkEnd w:id="283"/>
      <w:bookmarkStart w:id="284" w:name="_Toc261877431"/>
      <w:bookmarkStart w:id="285" w:name="_Toc19013"/>
      <w:r>
        <w:rPr>
          <w:rFonts w:hint="eastAsia" w:ascii="宋体" w:hAnsi="宋体"/>
          <w:color w:val="auto"/>
          <w:sz w:val="24"/>
          <w:highlight w:val="none"/>
        </w:rPr>
        <w:t>3.4.5</w:t>
      </w:r>
      <w:r>
        <w:rPr>
          <w:rFonts w:ascii="宋体" w:hAnsi="宋体"/>
          <w:color w:val="auto"/>
          <w:sz w:val="24"/>
          <w:highlight w:val="none"/>
        </w:rPr>
        <w:t>标签、标识及通告</w:t>
      </w:r>
      <w:bookmarkEnd w:id="284"/>
      <w:bookmarkEnd w:id="285"/>
    </w:p>
    <w:p w14:paraId="6CDE401A">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3.4.5.</w:t>
      </w:r>
      <w:r>
        <w:rPr>
          <w:rFonts w:ascii="宋体" w:hAnsi="宋体"/>
          <w:color w:val="auto"/>
          <w:sz w:val="24"/>
          <w:highlight w:val="none"/>
        </w:rPr>
        <w:t>1对所有的电气设备、装置（如熔断器、继电器、按钮及断路器等）以及附件都应做详细标签并获项目监理批准。</w:t>
      </w:r>
    </w:p>
    <w:p w14:paraId="501DBE0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3.4.5</w:t>
      </w:r>
      <w:r>
        <w:rPr>
          <w:rFonts w:ascii="宋体" w:hAnsi="宋体"/>
          <w:color w:val="auto"/>
          <w:sz w:val="24"/>
          <w:highlight w:val="none"/>
        </w:rPr>
        <w:t>.2应提供经批准的标识、通告和简图来提示危险情况的警告并帮助操作人员履行他们的职责。</w:t>
      </w:r>
    </w:p>
    <w:p w14:paraId="1E995CF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3.4.5</w:t>
      </w:r>
      <w:r>
        <w:rPr>
          <w:rFonts w:ascii="宋体" w:hAnsi="宋体"/>
          <w:color w:val="auto"/>
          <w:sz w:val="24"/>
          <w:highlight w:val="none"/>
        </w:rPr>
        <w:t>.3</w:t>
      </w:r>
      <w:r>
        <w:rPr>
          <w:rFonts w:hint="eastAsia" w:ascii="宋体" w:hAnsi="宋体"/>
          <w:color w:val="auto"/>
          <w:sz w:val="24"/>
          <w:highlight w:val="none"/>
        </w:rPr>
        <w:t>中标人</w:t>
      </w:r>
      <w:r>
        <w:rPr>
          <w:rFonts w:ascii="宋体" w:hAnsi="宋体"/>
          <w:color w:val="auto"/>
          <w:sz w:val="24"/>
          <w:highlight w:val="none"/>
        </w:rPr>
        <w:t>提供的设备，所有的铭牌、使用指示、警告指示必须用中文或中、英文对照表示。</w:t>
      </w:r>
    </w:p>
    <w:p w14:paraId="3A73EEA6">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.4.</w:t>
      </w:r>
      <w:r>
        <w:rPr>
          <w:rFonts w:hint="eastAsia" w:ascii="宋体" w:hAnsi="宋体"/>
          <w:color w:val="auto"/>
          <w:sz w:val="24"/>
          <w:highlight w:val="none"/>
        </w:rPr>
        <w:t>5.</w:t>
      </w:r>
      <w:r>
        <w:rPr>
          <w:rFonts w:ascii="宋体" w:hAnsi="宋体"/>
          <w:color w:val="auto"/>
          <w:sz w:val="24"/>
          <w:highlight w:val="none"/>
        </w:rPr>
        <w:t>4每个设备均应有制造厂家的铭牌，铭牌及其支架采用</w:t>
      </w:r>
      <w:r>
        <w:rPr>
          <w:rFonts w:hint="eastAsia" w:ascii="宋体" w:hAnsi="宋体"/>
          <w:color w:val="auto"/>
          <w:sz w:val="24"/>
          <w:highlight w:val="none"/>
        </w:rPr>
        <w:t>S</w:t>
      </w:r>
      <w:r>
        <w:rPr>
          <w:rFonts w:ascii="宋体" w:hAnsi="宋体"/>
          <w:color w:val="auto"/>
          <w:sz w:val="24"/>
          <w:highlight w:val="none"/>
        </w:rPr>
        <w:t>30408，并装在显著的地方，铭牌上至少应包括制造厂名称、型号、容量、制造年份及其他可完全识别此项设备的资料。</w:t>
      </w:r>
    </w:p>
    <w:p w14:paraId="6FE547F3">
      <w:pPr>
        <w:adjustRightInd w:val="0"/>
        <w:snapToGrid w:val="0"/>
        <w:spacing w:line="360" w:lineRule="auto"/>
        <w:rPr>
          <w:rFonts w:ascii="宋体" w:hAnsi="宋体"/>
          <w:color w:val="auto"/>
          <w:sz w:val="24"/>
          <w:highlight w:val="none"/>
        </w:rPr>
      </w:pPr>
      <w:bookmarkStart w:id="286" w:name="_Toc261877432"/>
      <w:bookmarkEnd w:id="286"/>
      <w:bookmarkStart w:id="287" w:name="_Toc283917885"/>
      <w:bookmarkStart w:id="288" w:name="_Toc3497"/>
      <w:r>
        <w:rPr>
          <w:rFonts w:hint="eastAsia" w:ascii="宋体" w:hAnsi="宋体"/>
          <w:color w:val="auto"/>
          <w:sz w:val="24"/>
          <w:highlight w:val="none"/>
        </w:rPr>
        <w:t>3.4.6</w:t>
      </w:r>
      <w:r>
        <w:rPr>
          <w:rFonts w:ascii="宋体" w:hAnsi="宋体"/>
          <w:color w:val="auto"/>
          <w:sz w:val="24"/>
          <w:highlight w:val="none"/>
        </w:rPr>
        <w:t>设备防腐保护</w:t>
      </w:r>
      <w:bookmarkEnd w:id="287"/>
      <w:bookmarkEnd w:id="288"/>
    </w:p>
    <w:p w14:paraId="54CA1F06">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中标人</w:t>
      </w:r>
      <w:r>
        <w:rPr>
          <w:rFonts w:ascii="宋体" w:hAnsi="宋体"/>
          <w:color w:val="auto"/>
          <w:sz w:val="24"/>
          <w:highlight w:val="none"/>
        </w:rPr>
        <w:t>应考虑设备运行环境的严重腐蚀性。户外安装的以及腐蚀较严重的构筑物内的电气设备箱体均采用SUS304不锈钢板压弯、焊接而成，钢板厚度不小于2.5mm，箱（柜）体表面采用酸洗钝化并静电粉喷；或采用同等机械强度和耐腐蚀性的玻璃纤维加强的聚碳酸酯材料制成。除非另有规定，在切割、钻孔、焊接完成后切割、焊接面均应进行防腐处理，所有金属托架、支柱均应采用热镀锌型钢。</w:t>
      </w:r>
    </w:p>
    <w:p w14:paraId="79CB4F54">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3.4.7</w:t>
      </w:r>
      <w:bookmarkStart w:id="289" w:name="_Toc261877433"/>
      <w:bookmarkEnd w:id="289"/>
      <w:r>
        <w:rPr>
          <w:rFonts w:ascii="宋体" w:hAnsi="宋体"/>
          <w:b/>
          <w:color w:val="auto"/>
          <w:sz w:val="24"/>
          <w:highlight w:val="none"/>
        </w:rPr>
        <w:t>电气设备推荐品牌及参考厂家</w:t>
      </w:r>
      <w:r>
        <w:rPr>
          <w:rFonts w:hint="eastAsia" w:ascii="宋体" w:hAnsi="宋体"/>
          <w:b/>
          <w:color w:val="auto"/>
          <w:sz w:val="24"/>
          <w:highlight w:val="none"/>
        </w:rPr>
        <w:t>：</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88"/>
        <w:gridCol w:w="3188"/>
        <w:gridCol w:w="1537"/>
        <w:gridCol w:w="1891"/>
        <w:gridCol w:w="1784"/>
      </w:tblGrid>
      <w:tr w14:paraId="1015E3C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48" w:hRule="atLeast"/>
          <w:jc w:val="center"/>
        </w:trPr>
        <w:tc>
          <w:tcPr>
            <w:tcW w:w="888" w:type="dxa"/>
            <w:vAlign w:val="center"/>
          </w:tcPr>
          <w:p w14:paraId="3397A159">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序号</w:t>
            </w:r>
          </w:p>
        </w:tc>
        <w:tc>
          <w:tcPr>
            <w:tcW w:w="3188" w:type="dxa"/>
            <w:vAlign w:val="center"/>
          </w:tcPr>
          <w:p w14:paraId="3F5A56FD">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设备名称</w:t>
            </w:r>
          </w:p>
        </w:tc>
        <w:tc>
          <w:tcPr>
            <w:tcW w:w="5212" w:type="dxa"/>
            <w:gridSpan w:val="3"/>
            <w:vAlign w:val="center"/>
          </w:tcPr>
          <w:p w14:paraId="654408A2">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推荐品牌</w:t>
            </w:r>
            <w:r>
              <w:rPr>
                <w:rFonts w:hint="eastAsia" w:ascii="宋体" w:hAnsi="宋体"/>
                <w:color w:val="auto"/>
                <w:kern w:val="0"/>
                <w:sz w:val="24"/>
                <w:highlight w:val="none"/>
              </w:rPr>
              <w:t>或</w:t>
            </w:r>
            <w:r>
              <w:rPr>
                <w:rFonts w:ascii="宋体" w:hAnsi="宋体"/>
                <w:color w:val="auto"/>
                <w:kern w:val="0"/>
                <w:sz w:val="24"/>
                <w:highlight w:val="none"/>
              </w:rPr>
              <w:t>厂家（或同等以上）</w:t>
            </w:r>
          </w:p>
        </w:tc>
      </w:tr>
      <w:tr w14:paraId="39203BF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88" w:type="dxa"/>
            <w:vAlign w:val="center"/>
          </w:tcPr>
          <w:p w14:paraId="29D645C8">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1</w:t>
            </w:r>
          </w:p>
        </w:tc>
        <w:tc>
          <w:tcPr>
            <w:tcW w:w="3188" w:type="dxa"/>
            <w:vAlign w:val="center"/>
          </w:tcPr>
          <w:p w14:paraId="66D28A1C">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电缆</w:t>
            </w:r>
          </w:p>
        </w:tc>
        <w:tc>
          <w:tcPr>
            <w:tcW w:w="5212" w:type="dxa"/>
            <w:gridSpan w:val="3"/>
            <w:vAlign w:val="center"/>
          </w:tcPr>
          <w:p w14:paraId="388FC4BB">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宝胜、上上、汉缆</w:t>
            </w:r>
          </w:p>
        </w:tc>
      </w:tr>
      <w:tr w14:paraId="210FC9D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59" w:hRule="atLeast"/>
          <w:jc w:val="center"/>
        </w:trPr>
        <w:tc>
          <w:tcPr>
            <w:tcW w:w="888" w:type="dxa"/>
            <w:vAlign w:val="center"/>
          </w:tcPr>
          <w:p w14:paraId="1006D668">
            <w:pPr>
              <w:rPr>
                <w:color w:val="auto"/>
                <w:highlight w:val="none"/>
              </w:rPr>
            </w:pPr>
          </w:p>
        </w:tc>
        <w:tc>
          <w:tcPr>
            <w:tcW w:w="3188" w:type="dxa"/>
            <w:vAlign w:val="center"/>
          </w:tcPr>
          <w:p w14:paraId="1275FC66">
            <w:pPr>
              <w:rPr>
                <w:color w:val="auto"/>
                <w:highlight w:val="none"/>
              </w:rPr>
            </w:pPr>
          </w:p>
        </w:tc>
        <w:tc>
          <w:tcPr>
            <w:tcW w:w="5212" w:type="dxa"/>
            <w:gridSpan w:val="3"/>
            <w:vAlign w:val="center"/>
          </w:tcPr>
          <w:p w14:paraId="72411664">
            <w:pPr>
              <w:rPr>
                <w:color w:val="auto"/>
                <w:highlight w:val="none"/>
              </w:rPr>
            </w:pPr>
          </w:p>
        </w:tc>
      </w:tr>
      <w:tr w14:paraId="63BC03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79ECFDBE">
            <w:pPr>
              <w:rPr>
                <w:color w:val="auto"/>
                <w:highlight w:val="none"/>
              </w:rPr>
            </w:pPr>
          </w:p>
        </w:tc>
        <w:tc>
          <w:tcPr>
            <w:tcW w:w="3188" w:type="dxa"/>
            <w:vAlign w:val="center"/>
          </w:tcPr>
          <w:p w14:paraId="391A1647">
            <w:pPr>
              <w:rPr>
                <w:color w:val="auto"/>
                <w:highlight w:val="none"/>
              </w:rPr>
            </w:pPr>
          </w:p>
        </w:tc>
        <w:tc>
          <w:tcPr>
            <w:tcW w:w="5212" w:type="dxa"/>
            <w:gridSpan w:val="3"/>
            <w:vAlign w:val="center"/>
          </w:tcPr>
          <w:p w14:paraId="697596BC">
            <w:pPr>
              <w:rPr>
                <w:color w:val="auto"/>
                <w:highlight w:val="none"/>
              </w:rPr>
            </w:pPr>
          </w:p>
        </w:tc>
      </w:tr>
      <w:tr w14:paraId="005571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4A0813A4">
            <w:pPr>
              <w:rPr>
                <w:color w:val="auto"/>
                <w:highlight w:val="none"/>
              </w:rPr>
            </w:pPr>
          </w:p>
        </w:tc>
        <w:tc>
          <w:tcPr>
            <w:tcW w:w="3188" w:type="dxa"/>
            <w:vAlign w:val="center"/>
          </w:tcPr>
          <w:p w14:paraId="70252D48">
            <w:pPr>
              <w:rPr>
                <w:color w:val="auto"/>
                <w:highlight w:val="none"/>
              </w:rPr>
            </w:pPr>
          </w:p>
        </w:tc>
        <w:tc>
          <w:tcPr>
            <w:tcW w:w="5212" w:type="dxa"/>
            <w:gridSpan w:val="3"/>
            <w:vAlign w:val="center"/>
          </w:tcPr>
          <w:p w14:paraId="285FD3C6">
            <w:pPr>
              <w:rPr>
                <w:color w:val="auto"/>
                <w:highlight w:val="none"/>
              </w:rPr>
            </w:pPr>
          </w:p>
        </w:tc>
      </w:tr>
      <w:tr w14:paraId="4A60D4C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760821CD">
            <w:pPr>
              <w:rPr>
                <w:color w:val="auto"/>
                <w:highlight w:val="none"/>
              </w:rPr>
            </w:pPr>
          </w:p>
        </w:tc>
        <w:tc>
          <w:tcPr>
            <w:tcW w:w="3188" w:type="dxa"/>
            <w:vAlign w:val="center"/>
          </w:tcPr>
          <w:p w14:paraId="6E144E1A">
            <w:pPr>
              <w:rPr>
                <w:color w:val="auto"/>
                <w:highlight w:val="none"/>
              </w:rPr>
            </w:pPr>
          </w:p>
        </w:tc>
        <w:tc>
          <w:tcPr>
            <w:tcW w:w="5212" w:type="dxa"/>
            <w:gridSpan w:val="3"/>
            <w:vAlign w:val="center"/>
          </w:tcPr>
          <w:p w14:paraId="3D9BEAFD">
            <w:pPr>
              <w:rPr>
                <w:color w:val="auto"/>
                <w:highlight w:val="none"/>
              </w:rPr>
            </w:pPr>
          </w:p>
        </w:tc>
      </w:tr>
      <w:tr w14:paraId="08AF0B3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01717651">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2</w:t>
            </w:r>
          </w:p>
        </w:tc>
        <w:tc>
          <w:tcPr>
            <w:tcW w:w="3188" w:type="dxa"/>
            <w:vAlign w:val="center"/>
          </w:tcPr>
          <w:p w14:paraId="0D2B923C">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塑壳断路器</w:t>
            </w:r>
          </w:p>
          <w:p w14:paraId="2AC665D3">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（分断能力≥65kA）</w:t>
            </w:r>
          </w:p>
        </w:tc>
        <w:tc>
          <w:tcPr>
            <w:tcW w:w="5212" w:type="dxa"/>
            <w:gridSpan w:val="3"/>
            <w:vAlign w:val="center"/>
          </w:tcPr>
          <w:p w14:paraId="5BAACAAD">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施耐德 NSX系列H级</w:t>
            </w:r>
          </w:p>
          <w:p w14:paraId="15AD4A29">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ABB XT</w:t>
            </w:r>
            <w:r>
              <w:rPr>
                <w:rFonts w:ascii="宋体" w:hAnsi="宋体"/>
                <w:color w:val="auto"/>
                <w:kern w:val="0"/>
                <w:sz w:val="24"/>
                <w:highlight w:val="none"/>
              </w:rPr>
              <w:t xml:space="preserve"> </w:t>
            </w:r>
            <w:r>
              <w:rPr>
                <w:rFonts w:hint="eastAsia" w:ascii="宋体" w:hAnsi="宋体"/>
                <w:color w:val="auto"/>
                <w:kern w:val="0"/>
                <w:sz w:val="24"/>
                <w:highlight w:val="none"/>
              </w:rPr>
              <w:t>H级</w:t>
            </w:r>
          </w:p>
          <w:p w14:paraId="015A00FC">
            <w:pPr>
              <w:rPr>
                <w:color w:val="auto"/>
                <w:highlight w:val="none"/>
              </w:rPr>
            </w:pPr>
          </w:p>
          <w:p w14:paraId="5CEC0378">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西门子</w:t>
            </w:r>
            <w:r>
              <w:rPr>
                <w:rFonts w:hint="eastAsia" w:ascii="宋体" w:hAnsi="宋体"/>
                <w:color w:val="auto"/>
                <w:kern w:val="0"/>
                <w:sz w:val="24"/>
                <w:highlight w:val="none"/>
              </w:rPr>
              <w:t xml:space="preserve"> </w:t>
            </w:r>
            <w:r>
              <w:rPr>
                <w:rFonts w:ascii="宋体" w:hAnsi="宋体"/>
                <w:color w:val="auto"/>
                <w:kern w:val="0"/>
                <w:sz w:val="24"/>
                <w:highlight w:val="none"/>
              </w:rPr>
              <w:t>3VA1系列</w:t>
            </w:r>
            <w:r>
              <w:rPr>
                <w:rFonts w:hint="eastAsia" w:ascii="宋体" w:hAnsi="宋体"/>
                <w:color w:val="auto"/>
                <w:kern w:val="0"/>
                <w:sz w:val="24"/>
                <w:highlight w:val="none"/>
              </w:rPr>
              <w:t>H级</w:t>
            </w:r>
          </w:p>
        </w:tc>
      </w:tr>
      <w:tr w14:paraId="7C72CE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7CA85009">
            <w:pPr>
              <w:rPr>
                <w:color w:val="auto"/>
                <w:highlight w:val="none"/>
              </w:rPr>
            </w:pPr>
          </w:p>
        </w:tc>
        <w:tc>
          <w:tcPr>
            <w:tcW w:w="3188" w:type="dxa"/>
            <w:vAlign w:val="center"/>
          </w:tcPr>
          <w:p w14:paraId="79DEB350">
            <w:pPr>
              <w:rPr>
                <w:color w:val="auto"/>
                <w:highlight w:val="none"/>
              </w:rPr>
            </w:pPr>
          </w:p>
        </w:tc>
        <w:tc>
          <w:tcPr>
            <w:tcW w:w="1537" w:type="dxa"/>
            <w:vAlign w:val="center"/>
          </w:tcPr>
          <w:p w14:paraId="38EDC679">
            <w:pPr>
              <w:rPr>
                <w:color w:val="auto"/>
                <w:highlight w:val="none"/>
              </w:rPr>
            </w:pPr>
          </w:p>
        </w:tc>
        <w:tc>
          <w:tcPr>
            <w:tcW w:w="1891" w:type="dxa"/>
            <w:vAlign w:val="center"/>
          </w:tcPr>
          <w:p w14:paraId="19CA5893">
            <w:pPr>
              <w:rPr>
                <w:color w:val="auto"/>
                <w:highlight w:val="none"/>
              </w:rPr>
            </w:pPr>
          </w:p>
        </w:tc>
        <w:tc>
          <w:tcPr>
            <w:tcW w:w="1784" w:type="dxa"/>
            <w:vAlign w:val="center"/>
          </w:tcPr>
          <w:p w14:paraId="54ECBC19">
            <w:pPr>
              <w:rPr>
                <w:color w:val="auto"/>
                <w:highlight w:val="none"/>
              </w:rPr>
            </w:pPr>
          </w:p>
        </w:tc>
      </w:tr>
      <w:tr w14:paraId="3ABF75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2266503D">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3</w:t>
            </w:r>
          </w:p>
        </w:tc>
        <w:tc>
          <w:tcPr>
            <w:tcW w:w="3188" w:type="dxa"/>
            <w:vAlign w:val="center"/>
          </w:tcPr>
          <w:p w14:paraId="24CDAACE">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低压交流接触器、热继电器</w:t>
            </w:r>
          </w:p>
        </w:tc>
        <w:tc>
          <w:tcPr>
            <w:tcW w:w="5212" w:type="dxa"/>
            <w:gridSpan w:val="3"/>
            <w:vAlign w:val="center"/>
          </w:tcPr>
          <w:p w14:paraId="323568AD">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施耐德</w:t>
            </w:r>
            <w:r>
              <w:rPr>
                <w:rFonts w:hint="eastAsia" w:ascii="宋体" w:hAnsi="宋体"/>
                <w:color w:val="auto"/>
                <w:kern w:val="0"/>
                <w:sz w:val="24"/>
                <w:highlight w:val="none"/>
              </w:rPr>
              <w:t xml:space="preserve"> LC1系列/LRD系列</w:t>
            </w:r>
          </w:p>
          <w:p w14:paraId="5A894DC3">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ABB AX/TA（E)</w:t>
            </w:r>
          </w:p>
          <w:p w14:paraId="0AEEF182">
            <w:pPr>
              <w:rPr>
                <w:color w:val="auto"/>
                <w:highlight w:val="none"/>
              </w:rPr>
            </w:pPr>
          </w:p>
          <w:p w14:paraId="5CF54EC7">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西门子3</w:t>
            </w:r>
            <w:r>
              <w:rPr>
                <w:rFonts w:ascii="宋体" w:hAnsi="宋体"/>
                <w:color w:val="auto"/>
                <w:kern w:val="0"/>
                <w:sz w:val="24"/>
                <w:highlight w:val="none"/>
              </w:rPr>
              <w:t>RU系列</w:t>
            </w:r>
          </w:p>
        </w:tc>
      </w:tr>
      <w:tr w14:paraId="5EC367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1ED6E1A8">
            <w:pPr>
              <w:rPr>
                <w:color w:val="auto"/>
                <w:highlight w:val="none"/>
              </w:rPr>
            </w:pPr>
          </w:p>
        </w:tc>
        <w:tc>
          <w:tcPr>
            <w:tcW w:w="3188" w:type="dxa"/>
            <w:vAlign w:val="center"/>
          </w:tcPr>
          <w:p w14:paraId="5B786826">
            <w:pPr>
              <w:rPr>
                <w:color w:val="auto"/>
                <w:highlight w:val="none"/>
              </w:rPr>
            </w:pPr>
          </w:p>
        </w:tc>
        <w:tc>
          <w:tcPr>
            <w:tcW w:w="5212" w:type="dxa"/>
            <w:gridSpan w:val="3"/>
            <w:vAlign w:val="center"/>
          </w:tcPr>
          <w:p w14:paraId="07D3EAB3">
            <w:pPr>
              <w:rPr>
                <w:color w:val="auto"/>
                <w:highlight w:val="none"/>
              </w:rPr>
            </w:pPr>
          </w:p>
        </w:tc>
      </w:tr>
      <w:tr w14:paraId="23858C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61071233">
            <w:pPr>
              <w:rPr>
                <w:color w:val="auto"/>
                <w:highlight w:val="none"/>
              </w:rPr>
            </w:pPr>
          </w:p>
        </w:tc>
        <w:tc>
          <w:tcPr>
            <w:tcW w:w="3188" w:type="dxa"/>
            <w:vAlign w:val="center"/>
          </w:tcPr>
          <w:p w14:paraId="04E8576A">
            <w:pPr>
              <w:rPr>
                <w:color w:val="auto"/>
                <w:highlight w:val="none"/>
              </w:rPr>
            </w:pPr>
          </w:p>
        </w:tc>
        <w:tc>
          <w:tcPr>
            <w:tcW w:w="5212" w:type="dxa"/>
            <w:gridSpan w:val="3"/>
            <w:vAlign w:val="center"/>
          </w:tcPr>
          <w:p w14:paraId="7071A8D2">
            <w:pPr>
              <w:rPr>
                <w:color w:val="auto"/>
                <w:highlight w:val="none"/>
              </w:rPr>
            </w:pPr>
          </w:p>
        </w:tc>
      </w:tr>
      <w:tr w14:paraId="6D3455B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4526F4B5">
            <w:pPr>
              <w:rPr>
                <w:color w:val="auto"/>
                <w:highlight w:val="none"/>
              </w:rPr>
            </w:pPr>
          </w:p>
        </w:tc>
        <w:tc>
          <w:tcPr>
            <w:tcW w:w="3188" w:type="dxa"/>
            <w:vAlign w:val="center"/>
          </w:tcPr>
          <w:p w14:paraId="59B69649">
            <w:pPr>
              <w:rPr>
                <w:color w:val="auto"/>
                <w:highlight w:val="none"/>
              </w:rPr>
            </w:pPr>
          </w:p>
        </w:tc>
        <w:tc>
          <w:tcPr>
            <w:tcW w:w="5212" w:type="dxa"/>
            <w:gridSpan w:val="3"/>
            <w:vAlign w:val="center"/>
          </w:tcPr>
          <w:p w14:paraId="76633B3C">
            <w:pPr>
              <w:rPr>
                <w:color w:val="auto"/>
                <w:highlight w:val="none"/>
              </w:rPr>
            </w:pPr>
          </w:p>
        </w:tc>
      </w:tr>
      <w:tr w14:paraId="058B1B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378E1944">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4</w:t>
            </w:r>
          </w:p>
        </w:tc>
        <w:tc>
          <w:tcPr>
            <w:tcW w:w="3188" w:type="dxa"/>
            <w:vAlign w:val="center"/>
          </w:tcPr>
          <w:p w14:paraId="09AEFF73">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低压电动机</w:t>
            </w:r>
          </w:p>
        </w:tc>
        <w:tc>
          <w:tcPr>
            <w:tcW w:w="5212" w:type="dxa"/>
            <w:gridSpan w:val="3"/>
            <w:vAlign w:val="center"/>
          </w:tcPr>
          <w:p w14:paraId="40EF17FD">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参见传动设备配套电机厂家推荐</w:t>
            </w:r>
          </w:p>
        </w:tc>
      </w:tr>
      <w:tr w14:paraId="2A03029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5DE4240B">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5</w:t>
            </w:r>
          </w:p>
        </w:tc>
        <w:tc>
          <w:tcPr>
            <w:tcW w:w="3188" w:type="dxa"/>
            <w:vAlign w:val="center"/>
          </w:tcPr>
          <w:p w14:paraId="6215C0EA">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 xml:space="preserve">三防灯具 </w:t>
            </w:r>
          </w:p>
        </w:tc>
        <w:tc>
          <w:tcPr>
            <w:tcW w:w="5212" w:type="dxa"/>
            <w:gridSpan w:val="3"/>
            <w:vAlign w:val="center"/>
          </w:tcPr>
          <w:p w14:paraId="2572D407">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华荣科技、正辉、尚为</w:t>
            </w:r>
          </w:p>
        </w:tc>
      </w:tr>
      <w:tr w14:paraId="65867D3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340D929B">
            <w:pPr>
              <w:rPr>
                <w:color w:val="auto"/>
                <w:highlight w:val="none"/>
              </w:rPr>
            </w:pPr>
          </w:p>
        </w:tc>
        <w:tc>
          <w:tcPr>
            <w:tcW w:w="3188" w:type="dxa"/>
            <w:vAlign w:val="center"/>
          </w:tcPr>
          <w:p w14:paraId="055BD30D">
            <w:pPr>
              <w:rPr>
                <w:color w:val="auto"/>
                <w:highlight w:val="none"/>
              </w:rPr>
            </w:pPr>
          </w:p>
        </w:tc>
        <w:tc>
          <w:tcPr>
            <w:tcW w:w="5212" w:type="dxa"/>
            <w:gridSpan w:val="3"/>
            <w:vAlign w:val="center"/>
          </w:tcPr>
          <w:p w14:paraId="6309ADF4">
            <w:pPr>
              <w:rPr>
                <w:color w:val="auto"/>
                <w:highlight w:val="none"/>
              </w:rPr>
            </w:pPr>
          </w:p>
        </w:tc>
      </w:tr>
      <w:tr w14:paraId="673EC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368D841E">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6</w:t>
            </w:r>
          </w:p>
        </w:tc>
        <w:tc>
          <w:tcPr>
            <w:tcW w:w="3188" w:type="dxa"/>
            <w:vAlign w:val="center"/>
          </w:tcPr>
          <w:p w14:paraId="6F565DA8">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桥架</w:t>
            </w:r>
          </w:p>
        </w:tc>
        <w:tc>
          <w:tcPr>
            <w:tcW w:w="5212" w:type="dxa"/>
            <w:gridSpan w:val="3"/>
            <w:vAlign w:val="center"/>
          </w:tcPr>
          <w:p w14:paraId="2164AC70">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太平洋</w:t>
            </w:r>
            <w:r>
              <w:rPr>
                <w:rFonts w:hint="eastAsia" w:ascii="宋体" w:hAnsi="宋体"/>
                <w:color w:val="auto"/>
                <w:kern w:val="0"/>
                <w:sz w:val="24"/>
                <w:highlight w:val="none"/>
              </w:rPr>
              <w:t>、中冠、祥君</w:t>
            </w:r>
          </w:p>
        </w:tc>
      </w:tr>
      <w:tr w14:paraId="5071D0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2054750A">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7</w:t>
            </w:r>
          </w:p>
        </w:tc>
        <w:tc>
          <w:tcPr>
            <w:tcW w:w="3188" w:type="dxa"/>
            <w:vAlign w:val="center"/>
          </w:tcPr>
          <w:p w14:paraId="2D8C790E">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三防电器</w:t>
            </w:r>
          </w:p>
        </w:tc>
        <w:tc>
          <w:tcPr>
            <w:tcW w:w="5212" w:type="dxa"/>
            <w:gridSpan w:val="3"/>
            <w:vAlign w:val="center"/>
          </w:tcPr>
          <w:p w14:paraId="4CFDFA43">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华荣、新黎明</w:t>
            </w:r>
            <w:r>
              <w:rPr>
                <w:rFonts w:ascii="宋体" w:hAnsi="宋体"/>
                <w:color w:val="auto"/>
                <w:kern w:val="0"/>
                <w:sz w:val="24"/>
                <w:highlight w:val="none"/>
              </w:rPr>
              <w:t>、合隆</w:t>
            </w:r>
          </w:p>
        </w:tc>
      </w:tr>
      <w:tr w14:paraId="3B8DEC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78" w:hRule="atLeast"/>
          <w:jc w:val="center"/>
        </w:trPr>
        <w:tc>
          <w:tcPr>
            <w:tcW w:w="888" w:type="dxa"/>
            <w:vAlign w:val="center"/>
          </w:tcPr>
          <w:p w14:paraId="05516A0A">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8</w:t>
            </w:r>
          </w:p>
        </w:tc>
        <w:tc>
          <w:tcPr>
            <w:tcW w:w="3188" w:type="dxa"/>
            <w:vAlign w:val="center"/>
          </w:tcPr>
          <w:p w14:paraId="0DC42F45">
            <w:pPr>
              <w:adjustRightInd w:val="0"/>
              <w:snapToGrid w:val="0"/>
              <w:spacing w:line="360" w:lineRule="auto"/>
              <w:jc w:val="center"/>
              <w:rPr>
                <w:rFonts w:ascii="宋体" w:hAnsi="宋体"/>
                <w:color w:val="auto"/>
                <w:sz w:val="24"/>
                <w:highlight w:val="none"/>
              </w:rPr>
            </w:pPr>
            <w:r>
              <w:rPr>
                <w:rFonts w:hint="eastAsia" w:ascii="宋体" w:hAnsi="宋体"/>
                <w:color w:val="auto"/>
                <w:sz w:val="24"/>
                <w:highlight w:val="none"/>
              </w:rPr>
              <w:t>应急疏散灯具</w:t>
            </w:r>
          </w:p>
        </w:tc>
        <w:tc>
          <w:tcPr>
            <w:tcW w:w="5212" w:type="dxa"/>
            <w:gridSpan w:val="3"/>
            <w:vAlign w:val="center"/>
          </w:tcPr>
          <w:p w14:paraId="74F4C6AE">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库柏、德安、华荣科技、创正防爆、尚为</w:t>
            </w:r>
          </w:p>
        </w:tc>
      </w:tr>
    </w:tbl>
    <w:p w14:paraId="632FCD7B">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3.5 自控仪表设备</w:t>
      </w:r>
    </w:p>
    <w:p w14:paraId="732FB7C0">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3.5 自控仪表设备</w:t>
      </w:r>
    </w:p>
    <w:p w14:paraId="4E2D1AD4">
      <w:pPr>
        <w:adjustRightInd w:val="0"/>
        <w:snapToGrid w:val="0"/>
        <w:spacing w:line="360" w:lineRule="auto"/>
        <w:rPr>
          <w:rFonts w:ascii="宋体" w:hAnsi="宋体"/>
          <w:color w:val="auto"/>
          <w:sz w:val="24"/>
          <w:highlight w:val="none"/>
        </w:rPr>
      </w:pPr>
      <w:bookmarkStart w:id="290" w:name="_Toc24924"/>
      <w:bookmarkStart w:id="291" w:name="_Toc26864"/>
      <w:r>
        <w:rPr>
          <w:rFonts w:hint="eastAsia" w:ascii="宋体" w:hAnsi="宋体"/>
          <w:color w:val="auto"/>
          <w:sz w:val="24"/>
          <w:highlight w:val="none"/>
        </w:rPr>
        <w:t>3.5.</w:t>
      </w:r>
      <w:r>
        <w:rPr>
          <w:rFonts w:ascii="宋体" w:hAnsi="宋体"/>
          <w:color w:val="auto"/>
          <w:sz w:val="24"/>
          <w:highlight w:val="none"/>
        </w:rPr>
        <w:t>1仪表及自控设备的一般要求</w:t>
      </w:r>
      <w:bookmarkEnd w:id="290"/>
      <w:bookmarkEnd w:id="291"/>
    </w:p>
    <w:p w14:paraId="6C99254A">
      <w:pPr>
        <w:adjustRightInd w:val="0"/>
        <w:snapToGrid w:val="0"/>
        <w:spacing w:line="360" w:lineRule="auto"/>
        <w:rPr>
          <w:rFonts w:ascii="宋体" w:hAnsi="宋体"/>
          <w:color w:val="auto"/>
          <w:sz w:val="24"/>
          <w:highlight w:val="none"/>
        </w:rPr>
      </w:pPr>
      <w:bookmarkStart w:id="292" w:name="_Toc283917917"/>
      <w:bookmarkEnd w:id="292"/>
      <w:bookmarkStart w:id="293" w:name="_Toc32119"/>
      <w:r>
        <w:rPr>
          <w:rFonts w:hint="eastAsia" w:ascii="宋体" w:hAnsi="宋体"/>
          <w:color w:val="auto"/>
          <w:sz w:val="24"/>
          <w:highlight w:val="none"/>
        </w:rPr>
        <w:t>3.5</w:t>
      </w:r>
      <w:r>
        <w:rPr>
          <w:rFonts w:ascii="宋体" w:hAnsi="宋体"/>
          <w:color w:val="auto"/>
          <w:sz w:val="24"/>
          <w:highlight w:val="none"/>
        </w:rPr>
        <w:t>.1.1范围</w:t>
      </w:r>
      <w:bookmarkEnd w:id="293"/>
    </w:p>
    <w:p w14:paraId="01AB8509">
      <w:pPr>
        <w:adjustRightInd w:val="0"/>
        <w:snapToGrid w:val="0"/>
        <w:spacing w:line="360" w:lineRule="auto"/>
        <w:ind w:firstLine="360" w:firstLineChars="150"/>
        <w:rPr>
          <w:rFonts w:ascii="宋体" w:hAnsi="宋体"/>
          <w:color w:val="auto"/>
          <w:sz w:val="24"/>
          <w:highlight w:val="none"/>
        </w:rPr>
      </w:pPr>
      <w:r>
        <w:rPr>
          <w:rFonts w:ascii="宋体" w:hAnsi="宋体"/>
          <w:color w:val="auto"/>
          <w:sz w:val="24"/>
          <w:highlight w:val="none"/>
        </w:rPr>
        <w:t>本节涉及的工程范围包括本项目所有自动控制系统和检测仪表的提供、安装、调试及开车指导。</w:t>
      </w:r>
    </w:p>
    <w:p w14:paraId="6E8AE7D2">
      <w:pPr>
        <w:adjustRightInd w:val="0"/>
        <w:snapToGrid w:val="0"/>
        <w:spacing w:line="360" w:lineRule="auto"/>
        <w:rPr>
          <w:rFonts w:ascii="宋体" w:hAnsi="宋体"/>
          <w:color w:val="auto"/>
          <w:sz w:val="24"/>
          <w:highlight w:val="none"/>
        </w:rPr>
      </w:pPr>
      <w:bookmarkStart w:id="294" w:name="_Toc1084"/>
      <w:r>
        <w:rPr>
          <w:rFonts w:hint="eastAsia" w:ascii="宋体" w:hAnsi="宋体"/>
          <w:color w:val="auto"/>
          <w:sz w:val="24"/>
          <w:highlight w:val="none"/>
        </w:rPr>
        <w:t>3.5</w:t>
      </w:r>
      <w:r>
        <w:rPr>
          <w:rFonts w:ascii="宋体" w:hAnsi="宋体"/>
          <w:color w:val="auto"/>
          <w:sz w:val="24"/>
          <w:highlight w:val="none"/>
        </w:rPr>
        <w:t>.1.2仪表选型</w:t>
      </w:r>
      <w:bookmarkEnd w:id="294"/>
    </w:p>
    <w:p w14:paraId="7AD7B37E">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仪表选型在满足工艺要求的前提下，本着技术先进、安全可靠、维护方便和经济合理的原则进行。现场仪表</w:t>
      </w:r>
      <w:r>
        <w:rPr>
          <w:rFonts w:hint="eastAsia" w:ascii="宋体" w:hAnsi="宋体"/>
          <w:color w:val="auto"/>
          <w:sz w:val="24"/>
          <w:highlight w:val="none"/>
        </w:rPr>
        <w:t>防爆等级不低于设计标准，具有国家防爆合格证的产品；</w:t>
      </w:r>
      <w:r>
        <w:rPr>
          <w:rFonts w:ascii="宋体" w:hAnsi="宋体"/>
          <w:color w:val="auto"/>
          <w:sz w:val="24"/>
          <w:highlight w:val="none"/>
        </w:rPr>
        <w:t>防护等级不低于IP</w:t>
      </w:r>
      <w:r>
        <w:rPr>
          <w:rFonts w:hint="eastAsia" w:ascii="宋体" w:hAnsi="宋体"/>
          <w:color w:val="auto"/>
          <w:sz w:val="24"/>
          <w:highlight w:val="none"/>
        </w:rPr>
        <w:t>66，</w:t>
      </w:r>
      <w:r>
        <w:rPr>
          <w:rFonts w:ascii="宋体" w:hAnsi="宋体"/>
          <w:color w:val="auto"/>
          <w:sz w:val="24"/>
          <w:highlight w:val="none"/>
        </w:rPr>
        <w:t>安装在地下管线上的传感器防护等级不低于IP68。</w:t>
      </w:r>
      <w:r>
        <w:rPr>
          <w:rFonts w:hint="eastAsia" w:ascii="宋体" w:hAnsi="宋体"/>
          <w:color w:val="auto"/>
          <w:sz w:val="24"/>
          <w:highlight w:val="none"/>
        </w:rPr>
        <w:t>除温度外</w:t>
      </w:r>
      <w:r>
        <w:rPr>
          <w:rFonts w:ascii="宋体" w:hAnsi="宋体"/>
          <w:color w:val="auto"/>
          <w:sz w:val="24"/>
          <w:highlight w:val="none"/>
        </w:rPr>
        <w:t>仪表均以4~20mADC信号送至DCS系统</w:t>
      </w:r>
      <w:r>
        <w:rPr>
          <w:rFonts w:hint="eastAsia" w:ascii="宋体" w:hAnsi="宋体"/>
          <w:color w:val="auto"/>
          <w:sz w:val="24"/>
          <w:highlight w:val="none"/>
        </w:rPr>
        <w:t>，四线制仪表供电优先采用24VDC电源供电</w:t>
      </w:r>
      <w:r>
        <w:rPr>
          <w:rFonts w:ascii="宋体" w:hAnsi="宋体"/>
          <w:color w:val="auto"/>
          <w:sz w:val="24"/>
          <w:highlight w:val="none"/>
        </w:rPr>
        <w:t xml:space="preserve">。 </w:t>
      </w:r>
    </w:p>
    <w:p w14:paraId="34A3352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3.5</w:t>
      </w:r>
      <w:r>
        <w:rPr>
          <w:rFonts w:ascii="宋体" w:hAnsi="宋体"/>
          <w:color w:val="auto"/>
          <w:sz w:val="24"/>
          <w:highlight w:val="none"/>
        </w:rPr>
        <w:t>.</w:t>
      </w:r>
      <w:r>
        <w:rPr>
          <w:rFonts w:hint="eastAsia" w:ascii="宋体" w:hAnsi="宋体"/>
          <w:color w:val="auto"/>
          <w:sz w:val="24"/>
          <w:highlight w:val="none"/>
        </w:rPr>
        <w:t>1.3气动阀选型</w:t>
      </w:r>
    </w:p>
    <w:p w14:paraId="3EDE4E14">
      <w:pPr>
        <w:adjustRightInd w:val="0"/>
        <w:snapToGrid w:val="0"/>
        <w:spacing w:line="360" w:lineRule="auto"/>
        <w:ind w:firstLine="480" w:firstLineChars="200"/>
        <w:rPr>
          <w:rFonts w:ascii="宋体" w:hAnsi="宋体"/>
          <w:color w:val="auto"/>
          <w:sz w:val="24"/>
          <w:highlight w:val="none"/>
        </w:rPr>
      </w:pPr>
      <w:r>
        <w:rPr>
          <w:rFonts w:hint="eastAsia" w:ascii="宋体" w:hAnsi="宋体"/>
          <w:color w:val="auto"/>
          <w:sz w:val="24"/>
          <w:highlight w:val="none"/>
        </w:rPr>
        <w:t>要求执行机构必须配置原装进口柏勒夫（Bellofram）或圣汉斯免维护气缸活塞执行机构。附件电磁阀采用管接式原装进口低功耗或高温级线圈产品，金属材质，电压24VDC；空气过滤减压阀建议选用原装进口产品，要求全金属壳体，压力表要求为不锈钢外壳，气源接口螺纹为1/4〞NPT内螺纹；气动切断阀所用的限位开关（阀位反馈）为采用原装进口品牌APL-410N系列或同档次产品，电气接线口为1/2〞NPT或M20×1.5内螺纹，一个电气进线口其它配304盲塞；用于釜温或配料等关键测量点的调节阀定位器要求选用西门子、山武智能定位器，其它采用韩国永泰机械电气阀门定位器；要求阀门全行程动作时间DN</w:t>
      </w:r>
      <w:r>
        <w:rPr>
          <w:rFonts w:ascii="宋体" w:hAnsi="宋体"/>
          <w:color w:val="auto"/>
          <w:sz w:val="24"/>
          <w:highlight w:val="none"/>
        </w:rPr>
        <w:t>80</w:t>
      </w:r>
      <w:r>
        <w:rPr>
          <w:rFonts w:hint="eastAsia" w:ascii="宋体" w:hAnsi="宋体"/>
          <w:color w:val="auto"/>
          <w:sz w:val="24"/>
          <w:highlight w:val="none"/>
        </w:rPr>
        <w:t>及以下在8秒内,DN65及以下在4S内；气源接头及所有螺丝材质不锈钢，除气缸外附件用不锈钢连接板固定。</w:t>
      </w:r>
    </w:p>
    <w:p w14:paraId="79CEAF9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3.5</w:t>
      </w:r>
      <w:r>
        <w:rPr>
          <w:rFonts w:ascii="宋体" w:hAnsi="宋体"/>
          <w:color w:val="auto"/>
          <w:sz w:val="24"/>
          <w:highlight w:val="none"/>
        </w:rPr>
        <w:t>.</w:t>
      </w:r>
      <w:r>
        <w:rPr>
          <w:rFonts w:hint="eastAsia" w:ascii="宋体" w:hAnsi="宋体"/>
          <w:color w:val="auto"/>
          <w:sz w:val="24"/>
          <w:highlight w:val="none"/>
        </w:rPr>
        <w:t>1.3变送器选型</w:t>
      </w:r>
    </w:p>
    <w:p w14:paraId="66143BC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 xml:space="preserve">     变送器需带现场显示模块，交替显示实际值及百分比数值。</w:t>
      </w:r>
    </w:p>
    <w:p w14:paraId="4F490F23">
      <w:pPr>
        <w:adjustRightInd w:val="0"/>
        <w:snapToGrid w:val="0"/>
        <w:spacing w:line="360" w:lineRule="auto"/>
        <w:rPr>
          <w:rFonts w:ascii="宋体" w:hAnsi="宋体"/>
          <w:b/>
          <w:color w:val="auto"/>
          <w:sz w:val="24"/>
          <w:highlight w:val="none"/>
        </w:rPr>
      </w:pPr>
      <w:bookmarkStart w:id="295" w:name="_Toc283917924"/>
      <w:bookmarkEnd w:id="295"/>
      <w:r>
        <w:rPr>
          <w:rFonts w:hint="eastAsia" w:ascii="宋体" w:hAnsi="宋体"/>
          <w:color w:val="auto"/>
          <w:sz w:val="24"/>
          <w:highlight w:val="none"/>
        </w:rPr>
        <w:t xml:space="preserve">3.5.2 </w:t>
      </w:r>
      <w:r>
        <w:rPr>
          <w:rFonts w:ascii="宋体" w:hAnsi="宋体"/>
          <w:color w:val="auto"/>
          <w:sz w:val="24"/>
          <w:highlight w:val="none"/>
        </w:rPr>
        <w:t>DCS系统：</w:t>
      </w:r>
      <w:r>
        <w:rPr>
          <w:rFonts w:hint="eastAsia" w:ascii="宋体" w:hAnsi="宋体"/>
          <w:color w:val="auto"/>
          <w:sz w:val="24"/>
          <w:highlight w:val="none"/>
        </w:rPr>
        <w:t>为与现有装置并网及操作使用方便，</w:t>
      </w:r>
      <w:r>
        <w:rPr>
          <w:rFonts w:ascii="宋体" w:hAnsi="宋体"/>
          <w:b/>
          <w:color w:val="auto"/>
          <w:sz w:val="24"/>
          <w:highlight w:val="none"/>
        </w:rPr>
        <w:t>DCS系统</w:t>
      </w:r>
      <w:r>
        <w:rPr>
          <w:rFonts w:hint="eastAsia" w:ascii="宋体" w:hAnsi="宋体"/>
          <w:b/>
          <w:color w:val="auto"/>
          <w:sz w:val="24"/>
          <w:highlight w:val="none"/>
        </w:rPr>
        <w:t>采用浙大中控产品</w:t>
      </w:r>
      <w:r>
        <w:rPr>
          <w:rFonts w:ascii="宋体" w:hAnsi="宋体"/>
          <w:b/>
          <w:color w:val="auto"/>
          <w:sz w:val="24"/>
          <w:highlight w:val="none"/>
        </w:rPr>
        <w:t>。</w:t>
      </w:r>
    </w:p>
    <w:p w14:paraId="18A5D9FD">
      <w:pPr>
        <w:adjustRightInd w:val="0"/>
        <w:snapToGrid w:val="0"/>
        <w:spacing w:line="360" w:lineRule="auto"/>
        <w:rPr>
          <w:rFonts w:ascii="宋体" w:hAnsi="宋体"/>
          <w:color w:val="auto"/>
          <w:kern w:val="0"/>
          <w:sz w:val="24"/>
          <w:highlight w:val="none"/>
        </w:rPr>
      </w:pPr>
      <w:r>
        <w:rPr>
          <w:rFonts w:hint="eastAsia" w:ascii="宋体" w:hAnsi="宋体"/>
          <w:color w:val="auto"/>
          <w:kern w:val="0"/>
          <w:sz w:val="24"/>
          <w:highlight w:val="none"/>
        </w:rPr>
        <w:t>3.5.3</w:t>
      </w:r>
      <w:r>
        <w:rPr>
          <w:rFonts w:ascii="宋体" w:hAnsi="宋体"/>
          <w:color w:val="auto"/>
          <w:kern w:val="0"/>
          <w:sz w:val="24"/>
          <w:highlight w:val="none"/>
        </w:rPr>
        <w:t>检测仪表推荐品牌及厂家</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72"/>
        <w:gridCol w:w="2119"/>
        <w:gridCol w:w="1553"/>
        <w:gridCol w:w="1492"/>
        <w:gridCol w:w="2002"/>
      </w:tblGrid>
      <w:tr w14:paraId="1A6A7EC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6" w:hRule="atLeast"/>
          <w:jc w:val="center"/>
        </w:trPr>
        <w:tc>
          <w:tcPr>
            <w:tcW w:w="1172" w:type="dxa"/>
            <w:vAlign w:val="center"/>
          </w:tcPr>
          <w:p w14:paraId="4995FE5D">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序号</w:t>
            </w:r>
          </w:p>
        </w:tc>
        <w:tc>
          <w:tcPr>
            <w:tcW w:w="2119" w:type="dxa"/>
            <w:vAlign w:val="center"/>
          </w:tcPr>
          <w:p w14:paraId="1A30F007">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设备名称</w:t>
            </w:r>
          </w:p>
        </w:tc>
        <w:tc>
          <w:tcPr>
            <w:tcW w:w="5047" w:type="dxa"/>
            <w:gridSpan w:val="3"/>
            <w:vAlign w:val="center"/>
          </w:tcPr>
          <w:p w14:paraId="281BB12A">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推荐品牌</w:t>
            </w:r>
            <w:r>
              <w:rPr>
                <w:rFonts w:hint="eastAsia" w:ascii="宋体" w:hAnsi="宋体"/>
                <w:color w:val="auto"/>
                <w:kern w:val="0"/>
                <w:sz w:val="24"/>
                <w:highlight w:val="none"/>
              </w:rPr>
              <w:t>或</w:t>
            </w:r>
            <w:r>
              <w:rPr>
                <w:rFonts w:ascii="宋体" w:hAnsi="宋体"/>
                <w:color w:val="auto"/>
                <w:kern w:val="0"/>
                <w:sz w:val="24"/>
                <w:highlight w:val="none"/>
              </w:rPr>
              <w:t>厂家（或同等以上）</w:t>
            </w:r>
          </w:p>
        </w:tc>
      </w:tr>
      <w:tr w14:paraId="67680EE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3624AD1E">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1</w:t>
            </w:r>
          </w:p>
        </w:tc>
        <w:tc>
          <w:tcPr>
            <w:tcW w:w="2119" w:type="dxa"/>
            <w:vAlign w:val="center"/>
          </w:tcPr>
          <w:p w14:paraId="7EB07C44">
            <w:pPr>
              <w:adjustRightInd w:val="0"/>
              <w:snapToGrid w:val="0"/>
              <w:spacing w:line="360" w:lineRule="auto"/>
              <w:rPr>
                <w:rFonts w:ascii="宋体" w:hAnsi="宋体"/>
                <w:color w:val="auto"/>
                <w:kern w:val="0"/>
                <w:sz w:val="24"/>
                <w:highlight w:val="none"/>
              </w:rPr>
            </w:pPr>
            <w:r>
              <w:rPr>
                <w:rFonts w:ascii="宋体" w:hAnsi="宋体"/>
                <w:color w:val="auto"/>
                <w:kern w:val="0"/>
                <w:sz w:val="24"/>
                <w:highlight w:val="none"/>
              </w:rPr>
              <w:t>压力</w:t>
            </w:r>
            <w:r>
              <w:rPr>
                <w:rFonts w:hint="eastAsia" w:ascii="宋体" w:hAnsi="宋体"/>
                <w:color w:val="auto"/>
                <w:kern w:val="0"/>
                <w:sz w:val="24"/>
                <w:highlight w:val="none"/>
              </w:rPr>
              <w:t>差压</w:t>
            </w:r>
            <w:r>
              <w:rPr>
                <w:rFonts w:ascii="宋体" w:hAnsi="宋体"/>
                <w:color w:val="auto"/>
                <w:kern w:val="0"/>
                <w:sz w:val="24"/>
                <w:highlight w:val="none"/>
              </w:rPr>
              <w:t>变送器</w:t>
            </w:r>
          </w:p>
        </w:tc>
        <w:tc>
          <w:tcPr>
            <w:tcW w:w="5047" w:type="dxa"/>
            <w:gridSpan w:val="3"/>
            <w:vAlign w:val="center"/>
          </w:tcPr>
          <w:p w14:paraId="12231C27">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横河、艾默生</w:t>
            </w:r>
          </w:p>
        </w:tc>
      </w:tr>
      <w:tr w14:paraId="6490E6D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55A37BD0">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2</w:t>
            </w:r>
          </w:p>
        </w:tc>
        <w:tc>
          <w:tcPr>
            <w:tcW w:w="2119" w:type="dxa"/>
            <w:vAlign w:val="center"/>
          </w:tcPr>
          <w:p w14:paraId="107C85FD">
            <w:pPr>
              <w:adjustRightInd w:val="0"/>
              <w:snapToGrid w:val="0"/>
              <w:spacing w:line="360" w:lineRule="auto"/>
              <w:ind w:left="-57" w:leftChars="-27" w:firstLine="120" w:firstLineChars="50"/>
              <w:rPr>
                <w:rFonts w:ascii="宋体" w:hAnsi="宋体"/>
                <w:color w:val="auto"/>
                <w:kern w:val="0"/>
                <w:sz w:val="24"/>
                <w:highlight w:val="none"/>
              </w:rPr>
            </w:pPr>
            <w:r>
              <w:rPr>
                <w:rFonts w:ascii="宋体" w:hAnsi="宋体"/>
                <w:color w:val="auto"/>
                <w:kern w:val="0"/>
                <w:sz w:val="24"/>
                <w:highlight w:val="none"/>
              </w:rPr>
              <w:t>质量流量计</w:t>
            </w:r>
          </w:p>
        </w:tc>
        <w:tc>
          <w:tcPr>
            <w:tcW w:w="1553" w:type="dxa"/>
            <w:vAlign w:val="center"/>
          </w:tcPr>
          <w:p w14:paraId="6D94F46B">
            <w:pPr>
              <w:adjustRightInd w:val="0"/>
              <w:snapToGrid w:val="0"/>
              <w:spacing w:line="360" w:lineRule="auto"/>
              <w:ind w:left="-57" w:leftChars="-27" w:firstLine="240" w:firstLineChars="100"/>
              <w:rPr>
                <w:rFonts w:ascii="宋体" w:hAnsi="宋体"/>
                <w:color w:val="auto"/>
                <w:kern w:val="0"/>
                <w:sz w:val="24"/>
                <w:highlight w:val="none"/>
              </w:rPr>
            </w:pPr>
            <w:r>
              <w:rPr>
                <w:rFonts w:ascii="宋体" w:hAnsi="宋体"/>
                <w:color w:val="auto"/>
                <w:kern w:val="0"/>
                <w:sz w:val="24"/>
                <w:highlight w:val="none"/>
              </w:rPr>
              <w:t>艾默生</w:t>
            </w:r>
          </w:p>
        </w:tc>
        <w:tc>
          <w:tcPr>
            <w:tcW w:w="1492" w:type="dxa"/>
            <w:vAlign w:val="center"/>
          </w:tcPr>
          <w:p w14:paraId="778F98CC">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E+H</w:t>
            </w:r>
          </w:p>
        </w:tc>
        <w:tc>
          <w:tcPr>
            <w:tcW w:w="2002" w:type="dxa"/>
            <w:vAlign w:val="center"/>
          </w:tcPr>
          <w:p w14:paraId="0D14B113">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科隆</w:t>
            </w:r>
          </w:p>
        </w:tc>
      </w:tr>
      <w:tr w14:paraId="6F3721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7D40A076">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3</w:t>
            </w:r>
          </w:p>
        </w:tc>
        <w:tc>
          <w:tcPr>
            <w:tcW w:w="2119" w:type="dxa"/>
            <w:vAlign w:val="center"/>
          </w:tcPr>
          <w:p w14:paraId="5CDF995B">
            <w:pPr>
              <w:adjustRightInd w:val="0"/>
              <w:snapToGrid w:val="0"/>
              <w:spacing w:line="360" w:lineRule="auto"/>
              <w:ind w:firstLine="120" w:firstLineChars="50"/>
              <w:rPr>
                <w:rFonts w:ascii="宋体" w:hAnsi="宋体"/>
                <w:color w:val="auto"/>
                <w:kern w:val="0"/>
                <w:sz w:val="24"/>
                <w:highlight w:val="none"/>
              </w:rPr>
            </w:pPr>
            <w:r>
              <w:rPr>
                <w:rFonts w:ascii="宋体" w:hAnsi="宋体"/>
                <w:color w:val="auto"/>
                <w:kern w:val="0"/>
                <w:sz w:val="24"/>
                <w:highlight w:val="none"/>
              </w:rPr>
              <w:t>电磁流量计</w:t>
            </w:r>
          </w:p>
        </w:tc>
        <w:tc>
          <w:tcPr>
            <w:tcW w:w="1553" w:type="dxa"/>
            <w:vAlign w:val="center"/>
          </w:tcPr>
          <w:p w14:paraId="26B89B67">
            <w:pPr>
              <w:adjustRightInd w:val="0"/>
              <w:snapToGrid w:val="0"/>
              <w:spacing w:line="360" w:lineRule="auto"/>
              <w:ind w:firstLine="120" w:firstLineChars="50"/>
              <w:rPr>
                <w:rFonts w:ascii="宋体" w:hAnsi="宋体"/>
                <w:color w:val="auto"/>
                <w:kern w:val="0"/>
                <w:sz w:val="24"/>
                <w:highlight w:val="none"/>
              </w:rPr>
            </w:pPr>
            <w:r>
              <w:rPr>
                <w:rFonts w:ascii="宋体" w:hAnsi="宋体"/>
                <w:color w:val="auto"/>
                <w:kern w:val="0"/>
                <w:sz w:val="24"/>
                <w:highlight w:val="none"/>
              </w:rPr>
              <w:t>横河</w:t>
            </w:r>
          </w:p>
        </w:tc>
        <w:tc>
          <w:tcPr>
            <w:tcW w:w="1492" w:type="dxa"/>
            <w:vAlign w:val="center"/>
          </w:tcPr>
          <w:p w14:paraId="6868C25B">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科隆</w:t>
            </w:r>
          </w:p>
        </w:tc>
        <w:tc>
          <w:tcPr>
            <w:tcW w:w="2002" w:type="dxa"/>
            <w:vAlign w:val="center"/>
          </w:tcPr>
          <w:p w14:paraId="35C9D8C4">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E+H</w:t>
            </w:r>
          </w:p>
        </w:tc>
      </w:tr>
      <w:tr w14:paraId="06ED78F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89" w:hRule="atLeast"/>
          <w:jc w:val="center"/>
        </w:trPr>
        <w:tc>
          <w:tcPr>
            <w:tcW w:w="1172" w:type="dxa"/>
            <w:vAlign w:val="center"/>
          </w:tcPr>
          <w:p w14:paraId="7BE87CB2">
            <w:pPr>
              <w:rPr>
                <w:color w:val="auto"/>
                <w:highlight w:val="none"/>
              </w:rPr>
            </w:pPr>
          </w:p>
        </w:tc>
        <w:tc>
          <w:tcPr>
            <w:tcW w:w="2119" w:type="dxa"/>
            <w:vAlign w:val="center"/>
          </w:tcPr>
          <w:p w14:paraId="70445A2F">
            <w:pPr>
              <w:rPr>
                <w:color w:val="auto"/>
                <w:highlight w:val="none"/>
              </w:rPr>
            </w:pPr>
          </w:p>
        </w:tc>
        <w:tc>
          <w:tcPr>
            <w:tcW w:w="5047" w:type="dxa"/>
            <w:gridSpan w:val="3"/>
            <w:vAlign w:val="center"/>
          </w:tcPr>
          <w:p w14:paraId="240D2D91">
            <w:pPr>
              <w:rPr>
                <w:color w:val="auto"/>
                <w:highlight w:val="none"/>
              </w:rPr>
            </w:pPr>
          </w:p>
        </w:tc>
      </w:tr>
      <w:tr w14:paraId="5BD8631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4684E1AA">
            <w:pPr>
              <w:rPr>
                <w:color w:val="auto"/>
                <w:highlight w:val="none"/>
              </w:rPr>
            </w:pPr>
          </w:p>
        </w:tc>
        <w:tc>
          <w:tcPr>
            <w:tcW w:w="2119" w:type="dxa"/>
            <w:vAlign w:val="center"/>
          </w:tcPr>
          <w:p w14:paraId="0EC059CC">
            <w:pPr>
              <w:rPr>
                <w:color w:val="auto"/>
                <w:highlight w:val="none"/>
              </w:rPr>
            </w:pPr>
          </w:p>
        </w:tc>
        <w:tc>
          <w:tcPr>
            <w:tcW w:w="5047" w:type="dxa"/>
            <w:gridSpan w:val="3"/>
            <w:vAlign w:val="center"/>
          </w:tcPr>
          <w:p w14:paraId="125F68AF">
            <w:pPr>
              <w:rPr>
                <w:color w:val="auto"/>
                <w:highlight w:val="none"/>
              </w:rPr>
            </w:pPr>
          </w:p>
        </w:tc>
      </w:tr>
      <w:tr w14:paraId="7B5D910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723AD2E7">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4</w:t>
            </w:r>
          </w:p>
        </w:tc>
        <w:tc>
          <w:tcPr>
            <w:tcW w:w="2119" w:type="dxa"/>
            <w:vAlign w:val="center"/>
          </w:tcPr>
          <w:p w14:paraId="5BF21910">
            <w:pPr>
              <w:adjustRightInd w:val="0"/>
              <w:snapToGrid w:val="0"/>
              <w:spacing w:line="360" w:lineRule="auto"/>
              <w:rPr>
                <w:rFonts w:ascii="宋体" w:hAnsi="宋体"/>
                <w:color w:val="auto"/>
                <w:kern w:val="0"/>
                <w:sz w:val="24"/>
                <w:highlight w:val="none"/>
              </w:rPr>
            </w:pPr>
            <w:r>
              <w:rPr>
                <w:rFonts w:hint="eastAsia" w:ascii="宋体" w:hAnsi="宋体"/>
                <w:color w:val="auto"/>
                <w:kern w:val="0"/>
                <w:sz w:val="24"/>
                <w:highlight w:val="none"/>
              </w:rPr>
              <w:t>金属转子流量计</w:t>
            </w:r>
          </w:p>
        </w:tc>
        <w:tc>
          <w:tcPr>
            <w:tcW w:w="5047" w:type="dxa"/>
            <w:gridSpan w:val="3"/>
          </w:tcPr>
          <w:p w14:paraId="7773CB34">
            <w:pPr>
              <w:adjustRightInd w:val="0"/>
              <w:snapToGrid w:val="0"/>
              <w:spacing w:line="360" w:lineRule="auto"/>
              <w:jc w:val="center"/>
              <w:rPr>
                <w:rFonts w:ascii="宋体" w:hAnsi="宋体"/>
                <w:color w:val="auto"/>
                <w:sz w:val="24"/>
                <w:highlight w:val="none"/>
              </w:rPr>
            </w:pPr>
            <w:r>
              <w:rPr>
                <w:rFonts w:hint="eastAsia" w:ascii="宋体" w:hAnsi="宋体"/>
                <w:color w:val="auto"/>
                <w:kern w:val="0"/>
                <w:sz w:val="24"/>
                <w:highlight w:val="none"/>
              </w:rPr>
              <w:t>克罗尼、横河</w:t>
            </w:r>
          </w:p>
        </w:tc>
      </w:tr>
      <w:tr w14:paraId="411166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0B74FC13">
            <w:pPr>
              <w:rPr>
                <w:color w:val="auto"/>
                <w:highlight w:val="none"/>
              </w:rPr>
            </w:pPr>
          </w:p>
        </w:tc>
        <w:tc>
          <w:tcPr>
            <w:tcW w:w="2119" w:type="dxa"/>
            <w:vAlign w:val="center"/>
          </w:tcPr>
          <w:p w14:paraId="073B6B3F">
            <w:pPr>
              <w:rPr>
                <w:color w:val="auto"/>
                <w:highlight w:val="none"/>
              </w:rPr>
            </w:pPr>
          </w:p>
        </w:tc>
        <w:tc>
          <w:tcPr>
            <w:tcW w:w="5047" w:type="dxa"/>
            <w:gridSpan w:val="3"/>
            <w:vAlign w:val="center"/>
          </w:tcPr>
          <w:p w14:paraId="5A3015BC">
            <w:pPr>
              <w:rPr>
                <w:color w:val="auto"/>
                <w:highlight w:val="none"/>
              </w:rPr>
            </w:pPr>
          </w:p>
        </w:tc>
      </w:tr>
      <w:tr w14:paraId="4E6FC4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6AB02855">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5</w:t>
            </w:r>
          </w:p>
        </w:tc>
        <w:tc>
          <w:tcPr>
            <w:tcW w:w="2119" w:type="dxa"/>
            <w:vAlign w:val="center"/>
          </w:tcPr>
          <w:p w14:paraId="2E6BEC77">
            <w:pPr>
              <w:adjustRightInd w:val="0"/>
              <w:snapToGrid w:val="0"/>
              <w:spacing w:line="360" w:lineRule="auto"/>
              <w:ind w:left="-57"/>
              <w:rPr>
                <w:rFonts w:ascii="宋体" w:hAnsi="宋体"/>
                <w:color w:val="auto"/>
                <w:kern w:val="0"/>
                <w:sz w:val="24"/>
                <w:highlight w:val="none"/>
              </w:rPr>
            </w:pPr>
            <w:r>
              <w:rPr>
                <w:rFonts w:hint="eastAsia" w:ascii="宋体" w:hAnsi="宋体"/>
                <w:color w:val="auto"/>
                <w:kern w:val="0"/>
                <w:sz w:val="24"/>
                <w:highlight w:val="none"/>
              </w:rPr>
              <w:t>雷达液位计</w:t>
            </w:r>
          </w:p>
        </w:tc>
        <w:tc>
          <w:tcPr>
            <w:tcW w:w="1553" w:type="dxa"/>
            <w:vAlign w:val="center"/>
          </w:tcPr>
          <w:p w14:paraId="652907AE">
            <w:pPr>
              <w:adjustRightInd w:val="0"/>
              <w:snapToGrid w:val="0"/>
              <w:spacing w:line="360" w:lineRule="auto"/>
              <w:rPr>
                <w:rFonts w:ascii="宋体" w:hAnsi="宋体"/>
                <w:color w:val="auto"/>
                <w:kern w:val="0"/>
                <w:sz w:val="24"/>
                <w:highlight w:val="none"/>
              </w:rPr>
            </w:pPr>
            <w:r>
              <w:rPr>
                <w:rFonts w:ascii="宋体" w:hAnsi="宋体"/>
                <w:color w:val="auto"/>
                <w:kern w:val="0"/>
                <w:sz w:val="24"/>
                <w:highlight w:val="none"/>
              </w:rPr>
              <w:t>E+H</w:t>
            </w:r>
          </w:p>
        </w:tc>
        <w:tc>
          <w:tcPr>
            <w:tcW w:w="1492" w:type="dxa"/>
            <w:vAlign w:val="center"/>
          </w:tcPr>
          <w:p w14:paraId="3A9ECA96">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艾默生</w:t>
            </w:r>
          </w:p>
        </w:tc>
        <w:tc>
          <w:tcPr>
            <w:tcW w:w="2002" w:type="dxa"/>
            <w:vAlign w:val="center"/>
          </w:tcPr>
          <w:p w14:paraId="717058E3">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VGGA</w:t>
            </w:r>
          </w:p>
        </w:tc>
      </w:tr>
      <w:tr w14:paraId="4469E4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96" w:hRule="atLeast"/>
          <w:jc w:val="center"/>
        </w:trPr>
        <w:tc>
          <w:tcPr>
            <w:tcW w:w="1172" w:type="dxa"/>
            <w:vAlign w:val="center"/>
          </w:tcPr>
          <w:p w14:paraId="0C208909">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6</w:t>
            </w:r>
          </w:p>
        </w:tc>
        <w:tc>
          <w:tcPr>
            <w:tcW w:w="2119" w:type="dxa"/>
            <w:vAlign w:val="center"/>
          </w:tcPr>
          <w:p w14:paraId="4B8E6B46">
            <w:pPr>
              <w:adjustRightInd w:val="0"/>
              <w:snapToGrid w:val="0"/>
              <w:spacing w:line="360" w:lineRule="auto"/>
              <w:ind w:left="-57"/>
              <w:rPr>
                <w:rFonts w:ascii="宋体" w:hAnsi="宋体"/>
                <w:color w:val="auto"/>
                <w:kern w:val="0"/>
                <w:sz w:val="24"/>
                <w:highlight w:val="none"/>
              </w:rPr>
            </w:pPr>
            <w:r>
              <w:rPr>
                <w:rFonts w:hint="eastAsia" w:ascii="宋体" w:hAnsi="宋体"/>
                <w:color w:val="auto"/>
                <w:kern w:val="0"/>
                <w:sz w:val="24"/>
                <w:highlight w:val="none"/>
              </w:rPr>
              <w:t>PH计</w:t>
            </w:r>
          </w:p>
        </w:tc>
        <w:tc>
          <w:tcPr>
            <w:tcW w:w="1553" w:type="dxa"/>
            <w:vAlign w:val="center"/>
          </w:tcPr>
          <w:p w14:paraId="3A05967D">
            <w:pPr>
              <w:adjustRightInd w:val="0"/>
              <w:snapToGrid w:val="0"/>
              <w:spacing w:line="360" w:lineRule="auto"/>
              <w:ind w:left="-57"/>
              <w:rPr>
                <w:rFonts w:ascii="宋体" w:hAnsi="宋体"/>
                <w:color w:val="auto"/>
                <w:kern w:val="0"/>
                <w:sz w:val="24"/>
                <w:highlight w:val="none"/>
              </w:rPr>
            </w:pPr>
            <w:r>
              <w:rPr>
                <w:rFonts w:hint="eastAsia" w:ascii="宋体" w:hAnsi="宋体"/>
                <w:color w:val="auto"/>
                <w:kern w:val="0"/>
                <w:sz w:val="24"/>
                <w:highlight w:val="none"/>
              </w:rPr>
              <w:t>日本横河</w:t>
            </w:r>
          </w:p>
        </w:tc>
        <w:tc>
          <w:tcPr>
            <w:tcW w:w="1492" w:type="dxa"/>
            <w:vAlign w:val="center"/>
          </w:tcPr>
          <w:p w14:paraId="0F0CD35C">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梅特勒.托利多</w:t>
            </w:r>
          </w:p>
        </w:tc>
        <w:tc>
          <w:tcPr>
            <w:tcW w:w="2002" w:type="dxa"/>
            <w:vAlign w:val="center"/>
          </w:tcPr>
          <w:p w14:paraId="6C63C4E7">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E+H</w:t>
            </w:r>
          </w:p>
        </w:tc>
      </w:tr>
    </w:tbl>
    <w:p w14:paraId="3C435999">
      <w:pPr>
        <w:adjustRightInd w:val="0"/>
        <w:snapToGrid w:val="0"/>
        <w:spacing w:line="360" w:lineRule="auto"/>
        <w:ind w:left="420"/>
        <w:rPr>
          <w:rFonts w:ascii="宋体" w:hAnsi="宋体"/>
          <w:color w:val="auto"/>
          <w:kern w:val="0"/>
          <w:sz w:val="24"/>
          <w:highlight w:val="none"/>
        </w:rPr>
      </w:pPr>
    </w:p>
    <w:p w14:paraId="37D1E3DA">
      <w:pPr>
        <w:adjustRightInd w:val="0"/>
        <w:snapToGrid w:val="0"/>
        <w:spacing w:line="360" w:lineRule="auto"/>
        <w:ind w:left="420"/>
        <w:rPr>
          <w:rFonts w:ascii="宋体" w:hAnsi="宋体"/>
          <w:color w:val="auto"/>
          <w:kern w:val="0"/>
          <w:sz w:val="24"/>
          <w:highlight w:val="none"/>
        </w:rPr>
      </w:pPr>
      <w:r>
        <w:rPr>
          <w:rFonts w:hint="eastAsia" w:ascii="宋体" w:hAnsi="宋体"/>
          <w:color w:val="auto"/>
          <w:kern w:val="0"/>
          <w:sz w:val="24"/>
          <w:highlight w:val="none"/>
        </w:rPr>
        <w:t>3.5.4</w:t>
      </w:r>
      <w:r>
        <w:rPr>
          <w:rFonts w:ascii="宋体" w:hAnsi="宋体"/>
          <w:color w:val="auto"/>
          <w:kern w:val="0"/>
          <w:sz w:val="24"/>
          <w:highlight w:val="none"/>
        </w:rPr>
        <w:t>控制及视频系统推荐品牌及参考厂家</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3"/>
        <w:gridCol w:w="2371"/>
        <w:gridCol w:w="4837"/>
      </w:tblGrid>
      <w:tr w14:paraId="62BF79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823" w:type="dxa"/>
            <w:vAlign w:val="center"/>
          </w:tcPr>
          <w:p w14:paraId="23670581">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序号</w:t>
            </w:r>
          </w:p>
        </w:tc>
        <w:tc>
          <w:tcPr>
            <w:tcW w:w="2371" w:type="dxa"/>
            <w:vAlign w:val="center"/>
          </w:tcPr>
          <w:p w14:paraId="27BA2B3B">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设备名称</w:t>
            </w:r>
          </w:p>
        </w:tc>
        <w:tc>
          <w:tcPr>
            <w:tcW w:w="4837" w:type="dxa"/>
            <w:vAlign w:val="center"/>
          </w:tcPr>
          <w:p w14:paraId="67B032C5">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推荐品牌</w:t>
            </w:r>
            <w:r>
              <w:rPr>
                <w:rFonts w:hint="eastAsia" w:ascii="宋体" w:hAnsi="宋体"/>
                <w:color w:val="auto"/>
                <w:kern w:val="0"/>
                <w:sz w:val="24"/>
                <w:highlight w:val="none"/>
              </w:rPr>
              <w:t>或</w:t>
            </w:r>
            <w:r>
              <w:rPr>
                <w:rFonts w:ascii="宋体" w:hAnsi="宋体"/>
                <w:color w:val="auto"/>
                <w:kern w:val="0"/>
                <w:sz w:val="24"/>
                <w:highlight w:val="none"/>
              </w:rPr>
              <w:t>厂家（或同等以上）</w:t>
            </w:r>
          </w:p>
        </w:tc>
      </w:tr>
      <w:tr w14:paraId="494DB1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823" w:type="dxa"/>
            <w:vAlign w:val="center"/>
          </w:tcPr>
          <w:p w14:paraId="171263E8">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1</w:t>
            </w:r>
          </w:p>
        </w:tc>
        <w:tc>
          <w:tcPr>
            <w:tcW w:w="2371" w:type="dxa"/>
            <w:vAlign w:val="center"/>
          </w:tcPr>
          <w:p w14:paraId="6B1B0B06">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DCS</w:t>
            </w:r>
          </w:p>
        </w:tc>
        <w:tc>
          <w:tcPr>
            <w:tcW w:w="4837" w:type="dxa"/>
            <w:vAlign w:val="center"/>
          </w:tcPr>
          <w:p w14:paraId="17ABD6E9">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浙大中控</w:t>
            </w:r>
          </w:p>
        </w:tc>
      </w:tr>
      <w:tr w14:paraId="53B38D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823" w:type="dxa"/>
            <w:vAlign w:val="center"/>
          </w:tcPr>
          <w:p w14:paraId="40A71C02">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2</w:t>
            </w:r>
          </w:p>
        </w:tc>
        <w:tc>
          <w:tcPr>
            <w:tcW w:w="2371" w:type="dxa"/>
            <w:vAlign w:val="center"/>
          </w:tcPr>
          <w:p w14:paraId="08F91618">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软件系统</w:t>
            </w:r>
          </w:p>
        </w:tc>
        <w:tc>
          <w:tcPr>
            <w:tcW w:w="4837" w:type="dxa"/>
            <w:vAlign w:val="center"/>
          </w:tcPr>
          <w:p w14:paraId="662F1772">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与DCS同一品牌</w:t>
            </w:r>
          </w:p>
        </w:tc>
      </w:tr>
      <w:tr w14:paraId="608718B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8" w:hRule="atLeast"/>
          <w:jc w:val="center"/>
        </w:trPr>
        <w:tc>
          <w:tcPr>
            <w:tcW w:w="823" w:type="dxa"/>
            <w:vAlign w:val="center"/>
          </w:tcPr>
          <w:p w14:paraId="372E6BC7">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3</w:t>
            </w:r>
          </w:p>
        </w:tc>
        <w:tc>
          <w:tcPr>
            <w:tcW w:w="2371" w:type="dxa"/>
            <w:vAlign w:val="center"/>
          </w:tcPr>
          <w:p w14:paraId="50ED7428">
            <w:pPr>
              <w:adjustRightInd w:val="0"/>
              <w:snapToGrid w:val="0"/>
              <w:spacing w:line="360" w:lineRule="auto"/>
              <w:jc w:val="center"/>
              <w:rPr>
                <w:rFonts w:ascii="宋体" w:hAnsi="宋体"/>
                <w:color w:val="auto"/>
                <w:kern w:val="0"/>
                <w:sz w:val="24"/>
                <w:highlight w:val="none"/>
              </w:rPr>
            </w:pPr>
            <w:r>
              <w:rPr>
                <w:rFonts w:ascii="宋体" w:hAnsi="宋体"/>
                <w:color w:val="auto"/>
                <w:kern w:val="0"/>
                <w:sz w:val="24"/>
                <w:highlight w:val="none"/>
              </w:rPr>
              <w:t>工作站PC机</w:t>
            </w:r>
          </w:p>
        </w:tc>
        <w:tc>
          <w:tcPr>
            <w:tcW w:w="4837" w:type="dxa"/>
            <w:vAlign w:val="center"/>
          </w:tcPr>
          <w:p w14:paraId="38252668">
            <w:pPr>
              <w:adjustRightInd w:val="0"/>
              <w:snapToGrid w:val="0"/>
              <w:spacing w:line="360" w:lineRule="auto"/>
              <w:jc w:val="center"/>
              <w:rPr>
                <w:rFonts w:ascii="宋体" w:hAnsi="宋体"/>
                <w:color w:val="auto"/>
                <w:kern w:val="0"/>
                <w:sz w:val="24"/>
                <w:highlight w:val="none"/>
              </w:rPr>
            </w:pPr>
            <w:r>
              <w:rPr>
                <w:rFonts w:hint="eastAsia" w:ascii="宋体" w:hAnsi="宋体"/>
                <w:color w:val="auto"/>
                <w:kern w:val="0"/>
                <w:sz w:val="24"/>
                <w:highlight w:val="none"/>
              </w:rPr>
              <w:t>DCS厂家配套</w:t>
            </w:r>
          </w:p>
        </w:tc>
      </w:tr>
    </w:tbl>
    <w:p w14:paraId="59B6D075">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 xml:space="preserve"> </w:t>
      </w:r>
      <w:r>
        <w:rPr>
          <w:rFonts w:ascii="宋体" w:hAnsi="宋体"/>
          <w:b/>
          <w:color w:val="auto"/>
          <w:sz w:val="24"/>
          <w:highlight w:val="none"/>
        </w:rPr>
        <w:t xml:space="preserve">  原有装置</w:t>
      </w:r>
      <w:r>
        <w:rPr>
          <w:rFonts w:hint="eastAsia" w:ascii="宋体" w:hAnsi="宋体"/>
          <w:b/>
          <w:color w:val="auto"/>
          <w:sz w:val="24"/>
          <w:highlight w:val="none"/>
        </w:rPr>
        <w:t>D</w:t>
      </w:r>
      <w:r>
        <w:rPr>
          <w:rFonts w:ascii="宋体" w:hAnsi="宋体"/>
          <w:b/>
          <w:color w:val="auto"/>
          <w:sz w:val="24"/>
          <w:highlight w:val="none"/>
        </w:rPr>
        <w:t>CS品牌为浙大中控，为接入匹配，本项目建议采用浙大中控。</w:t>
      </w:r>
    </w:p>
    <w:p w14:paraId="0C32A527">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4 施工</w:t>
      </w:r>
    </w:p>
    <w:p w14:paraId="39488FA8">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4.1 施工范围：</w:t>
      </w:r>
      <w:r>
        <w:rPr>
          <w:rFonts w:hint="eastAsia" w:ascii="宋体" w:hAnsi="宋体"/>
          <w:color w:val="auto"/>
          <w:sz w:val="24"/>
          <w:highlight w:val="none"/>
        </w:rPr>
        <w:t>本项目安装、防腐等工程施工单位由中标人自行确认，施工单位负责以下专业、内容施工，包括但不限于：室外工程、工艺、设备、管道、电气、自控仪表（含DCS控制）、消防、暖通、防腐、保温、工业电视监控系统等全部专业的施工</w:t>
      </w:r>
      <w:r>
        <w:rPr>
          <w:rFonts w:ascii="宋体" w:hAnsi="宋体"/>
          <w:color w:val="auto"/>
          <w:sz w:val="24"/>
          <w:highlight w:val="none"/>
        </w:rPr>
        <w:t>。</w:t>
      </w:r>
    </w:p>
    <w:p w14:paraId="2BAF0396">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4.2 施工要求：本项目施工方要求</w:t>
      </w:r>
      <w:r>
        <w:rPr>
          <w:rFonts w:hint="eastAsia" w:ascii="宋体" w:hAnsi="宋体"/>
          <w:color w:val="auto"/>
          <w:sz w:val="24"/>
          <w:highlight w:val="none"/>
        </w:rPr>
        <w:t xml:space="preserve">详见第二章、投标人要求 </w:t>
      </w:r>
      <w:r>
        <w:rPr>
          <w:rFonts w:ascii="宋体" w:hAnsi="宋体"/>
          <w:color w:val="auto"/>
          <w:sz w:val="24"/>
          <w:highlight w:val="none"/>
        </w:rPr>
        <w:t>11</w:t>
      </w:r>
      <w:r>
        <w:rPr>
          <w:rFonts w:hint="eastAsia" w:ascii="宋体" w:hAnsi="宋体"/>
          <w:color w:val="auto"/>
          <w:sz w:val="24"/>
          <w:highlight w:val="none"/>
        </w:rPr>
        <w:t>。</w:t>
      </w:r>
    </w:p>
    <w:p w14:paraId="4184E12C">
      <w:pPr>
        <w:autoSpaceDE w:val="0"/>
        <w:autoSpaceDN w:val="0"/>
        <w:adjustRightInd w:val="0"/>
        <w:spacing w:line="300" w:lineRule="atLeast"/>
        <w:jc w:val="left"/>
        <w:rPr>
          <w:rFonts w:ascii="宋体" w:hAnsi="宋体"/>
          <w:b/>
          <w:bCs/>
          <w:color w:val="auto"/>
          <w:sz w:val="24"/>
          <w:highlight w:val="none"/>
          <w:shd w:val="clear" w:color="auto" w:fill="FFFFFF"/>
        </w:rPr>
      </w:pPr>
      <w:r>
        <w:rPr>
          <w:rFonts w:hint="eastAsia" w:ascii="宋体" w:hAnsi="宋体"/>
          <w:b/>
          <w:bCs/>
          <w:color w:val="auto"/>
          <w:sz w:val="24"/>
          <w:highlight w:val="none"/>
          <w:shd w:val="clear" w:color="auto" w:fill="FFFFFF"/>
        </w:rPr>
        <w:t>4.2.1工程管理要求</w:t>
      </w:r>
    </w:p>
    <w:p w14:paraId="3A0F057C">
      <w:pPr>
        <w:adjustRightInd w:val="0"/>
        <w:spacing w:line="360" w:lineRule="exact"/>
        <w:ind w:firstLine="482" w:firstLineChars="200"/>
        <w:rPr>
          <w:rFonts w:ascii="宋体" w:hAnsi="宋体"/>
          <w:b/>
          <w:color w:val="auto"/>
          <w:sz w:val="24"/>
          <w:highlight w:val="none"/>
        </w:rPr>
      </w:pPr>
      <w:r>
        <w:rPr>
          <w:rFonts w:hint="eastAsia" w:ascii="宋体" w:hAnsi="宋体"/>
          <w:b/>
          <w:color w:val="auto"/>
          <w:sz w:val="24"/>
          <w:highlight w:val="none"/>
        </w:rPr>
        <w:t>4.2.1.1中标人</w:t>
      </w:r>
      <w:r>
        <w:rPr>
          <w:rFonts w:ascii="宋体" w:hAnsi="宋体"/>
          <w:b/>
          <w:color w:val="auto"/>
          <w:sz w:val="24"/>
          <w:highlight w:val="none"/>
        </w:rPr>
        <w:t>根据各自的</w:t>
      </w:r>
      <w:r>
        <w:rPr>
          <w:rFonts w:hint="eastAsia" w:ascii="宋体" w:hAnsi="宋体"/>
          <w:b/>
          <w:color w:val="auto"/>
          <w:sz w:val="24"/>
          <w:highlight w:val="none"/>
        </w:rPr>
        <w:t>项目经验</w:t>
      </w:r>
      <w:r>
        <w:rPr>
          <w:rFonts w:ascii="宋体" w:hAnsi="宋体"/>
          <w:b/>
          <w:color w:val="auto"/>
          <w:sz w:val="24"/>
          <w:highlight w:val="none"/>
        </w:rPr>
        <w:t>并结合</w:t>
      </w:r>
      <w:r>
        <w:rPr>
          <w:rFonts w:hint="eastAsia" w:ascii="宋体" w:hAnsi="宋体"/>
          <w:b/>
          <w:color w:val="auto"/>
          <w:sz w:val="24"/>
          <w:highlight w:val="none"/>
        </w:rPr>
        <w:t>本</w:t>
      </w:r>
      <w:r>
        <w:rPr>
          <w:rFonts w:ascii="宋体" w:hAnsi="宋体"/>
          <w:b/>
          <w:color w:val="auto"/>
          <w:sz w:val="24"/>
          <w:highlight w:val="none"/>
        </w:rPr>
        <w:t>项目特点、现场条件，充分考虑各种可能存在的不利因素，确定不超出计划工期施工总工期及合理进度计划。</w:t>
      </w:r>
    </w:p>
    <w:p w14:paraId="4A42D335">
      <w:pPr>
        <w:adjustRightInd w:val="0"/>
        <w:spacing w:line="360" w:lineRule="exact"/>
        <w:ind w:firstLine="482" w:firstLineChars="200"/>
        <w:rPr>
          <w:rFonts w:ascii="宋体" w:hAnsi="宋体"/>
          <w:b/>
          <w:color w:val="auto"/>
          <w:sz w:val="24"/>
          <w:highlight w:val="none"/>
        </w:rPr>
      </w:pPr>
      <w:r>
        <w:rPr>
          <w:rFonts w:hint="eastAsia" w:ascii="宋体" w:hAnsi="宋体"/>
          <w:b/>
          <w:color w:val="auto"/>
          <w:sz w:val="24"/>
          <w:highlight w:val="none"/>
        </w:rPr>
        <w:t>4.2.1.2</w:t>
      </w:r>
      <w:r>
        <w:rPr>
          <w:rFonts w:ascii="宋体" w:hAnsi="宋体"/>
          <w:b/>
          <w:color w:val="auto"/>
          <w:sz w:val="24"/>
          <w:highlight w:val="none"/>
        </w:rPr>
        <w:t xml:space="preserve"> 中标人需配合招标人进行施工单位现场安全、环保、质量等管理工作，如因施工单位违反招标人管理规定，招标人将按考核金额扣除中标人履约保证金。</w:t>
      </w:r>
    </w:p>
    <w:p w14:paraId="7745ACAA">
      <w:pPr>
        <w:adjustRightInd w:val="0"/>
        <w:spacing w:line="360" w:lineRule="exact"/>
        <w:ind w:firstLine="482" w:firstLineChars="200"/>
        <w:rPr>
          <w:rFonts w:ascii="宋体" w:hAnsi="宋体"/>
          <w:color w:val="auto"/>
          <w:kern w:val="0"/>
          <w:sz w:val="24"/>
          <w:highlight w:val="none"/>
        </w:rPr>
      </w:pPr>
      <w:r>
        <w:rPr>
          <w:rFonts w:hint="eastAsia" w:ascii="宋体" w:hAnsi="宋体"/>
          <w:b/>
          <w:color w:val="auto"/>
          <w:sz w:val="24"/>
          <w:highlight w:val="none"/>
        </w:rPr>
        <w:t>4.2.1.</w:t>
      </w:r>
      <w:r>
        <w:rPr>
          <w:rFonts w:ascii="宋体" w:hAnsi="宋体"/>
          <w:b/>
          <w:color w:val="auto"/>
          <w:sz w:val="24"/>
          <w:highlight w:val="none"/>
        </w:rPr>
        <w:t>3 质量要求：</w:t>
      </w:r>
      <w:r>
        <w:rPr>
          <w:rFonts w:hint="eastAsia" w:ascii="宋体" w:hAnsi="宋体"/>
          <w:color w:val="auto"/>
          <w:kern w:val="0"/>
          <w:sz w:val="24"/>
          <w:highlight w:val="none"/>
        </w:rPr>
        <w:t>达到合格质量标准</w:t>
      </w:r>
    </w:p>
    <w:p w14:paraId="432F1B66">
      <w:pPr>
        <w:adjustRightInd w:val="0"/>
        <w:spacing w:line="360" w:lineRule="exact"/>
        <w:ind w:firstLine="482" w:firstLineChars="200"/>
        <w:rPr>
          <w:rFonts w:ascii="宋体" w:hAnsi="宋体"/>
          <w:color w:val="auto"/>
          <w:sz w:val="24"/>
          <w:highlight w:val="none"/>
        </w:rPr>
      </w:pPr>
      <w:r>
        <w:rPr>
          <w:rFonts w:hint="eastAsia" w:ascii="宋体" w:hAnsi="宋体"/>
          <w:b/>
          <w:color w:val="auto"/>
          <w:sz w:val="24"/>
          <w:highlight w:val="none"/>
        </w:rPr>
        <w:t>4</w:t>
      </w:r>
      <w:r>
        <w:rPr>
          <w:rFonts w:ascii="宋体" w:hAnsi="宋体"/>
          <w:b/>
          <w:color w:val="auto"/>
          <w:sz w:val="24"/>
          <w:highlight w:val="none"/>
        </w:rPr>
        <w:t>.2.1.4 工程质量验收标准</w:t>
      </w:r>
      <w:r>
        <w:rPr>
          <w:rFonts w:hint="eastAsia" w:ascii="宋体" w:hAnsi="宋体"/>
          <w:b/>
          <w:color w:val="auto"/>
          <w:sz w:val="24"/>
          <w:highlight w:val="none"/>
        </w:rPr>
        <w:t>：</w:t>
      </w:r>
      <w:r>
        <w:rPr>
          <w:rFonts w:hint="eastAsia" w:ascii="宋体" w:hAnsi="宋体"/>
          <w:color w:val="auto"/>
          <w:sz w:val="24"/>
          <w:highlight w:val="none"/>
        </w:rPr>
        <w:t>《工业安装工程施工质量验收统一标准》（GBT 50252-2018）。</w:t>
      </w:r>
    </w:p>
    <w:p w14:paraId="2D0B73E9">
      <w:pPr>
        <w:spacing w:line="360" w:lineRule="auto"/>
        <w:ind w:firstLine="482" w:firstLineChars="200"/>
        <w:rPr>
          <w:rFonts w:ascii="宋体" w:hAnsi="宋体"/>
          <w:color w:val="auto"/>
          <w:kern w:val="0"/>
          <w:sz w:val="24"/>
          <w:highlight w:val="none"/>
        </w:rPr>
      </w:pPr>
      <w:r>
        <w:rPr>
          <w:rFonts w:hint="eastAsia" w:ascii="宋体" w:hAnsi="宋体"/>
          <w:b/>
          <w:color w:val="auto"/>
          <w:sz w:val="24"/>
          <w:highlight w:val="none"/>
        </w:rPr>
        <w:t>4.2.1.</w:t>
      </w:r>
      <w:r>
        <w:rPr>
          <w:rFonts w:ascii="宋体" w:hAnsi="宋体"/>
          <w:b/>
          <w:color w:val="auto"/>
          <w:sz w:val="24"/>
          <w:highlight w:val="none"/>
        </w:rPr>
        <w:t>5安全文明</w:t>
      </w:r>
      <w:r>
        <w:rPr>
          <w:rFonts w:hint="eastAsia" w:ascii="宋体" w:hAnsi="宋体"/>
          <w:b/>
          <w:color w:val="auto"/>
          <w:sz w:val="24"/>
          <w:highlight w:val="none"/>
        </w:rPr>
        <w:t>施工管理及环境保护</w:t>
      </w:r>
      <w:r>
        <w:rPr>
          <w:rFonts w:ascii="宋体" w:hAnsi="宋体"/>
          <w:b/>
          <w:color w:val="auto"/>
          <w:sz w:val="24"/>
          <w:highlight w:val="none"/>
        </w:rPr>
        <w:t>要求：</w:t>
      </w:r>
    </w:p>
    <w:p w14:paraId="058DE48B">
      <w:pPr>
        <w:adjustRightInd w:val="0"/>
        <w:snapToGrid w:val="0"/>
        <w:spacing w:line="360" w:lineRule="auto"/>
        <w:ind w:firstLine="484" w:firstLineChars="202"/>
        <w:rPr>
          <w:rFonts w:ascii="宋体" w:hAnsi="宋体"/>
          <w:color w:val="auto"/>
          <w:kern w:val="0"/>
          <w:sz w:val="24"/>
          <w:highlight w:val="none"/>
        </w:rPr>
      </w:pPr>
      <w:r>
        <w:rPr>
          <w:rFonts w:hint="eastAsia" w:ascii="宋体" w:hAnsi="宋体"/>
          <w:color w:val="auto"/>
          <w:sz w:val="24"/>
          <w:highlight w:val="none"/>
        </w:rPr>
        <w:t>1、</w:t>
      </w:r>
      <w:r>
        <w:rPr>
          <w:rFonts w:ascii="宋体" w:hAnsi="宋体"/>
          <w:color w:val="auto"/>
          <w:kern w:val="0"/>
          <w:sz w:val="24"/>
          <w:highlight w:val="none"/>
        </w:rPr>
        <w:t>严格执行</w:t>
      </w:r>
      <w:r>
        <w:rPr>
          <w:rFonts w:ascii="宋体" w:hAnsi="宋体"/>
          <w:snapToGrid w:val="0"/>
          <w:color w:val="auto"/>
          <w:kern w:val="0"/>
          <w:sz w:val="24"/>
          <w:highlight w:val="none"/>
        </w:rPr>
        <w:t>《建</w:t>
      </w:r>
      <w:r>
        <w:rPr>
          <w:rFonts w:hint="eastAsia" w:ascii="宋体" w:hAnsi="宋体"/>
          <w:snapToGrid w:val="0"/>
          <w:color w:val="auto"/>
          <w:kern w:val="0"/>
          <w:sz w:val="24"/>
          <w:highlight w:val="none"/>
        </w:rPr>
        <w:t>设项目安全文明施工标准化要求</w:t>
      </w:r>
      <w:r>
        <w:rPr>
          <w:rFonts w:ascii="宋体" w:hAnsi="宋体"/>
          <w:snapToGrid w:val="0"/>
          <w:color w:val="auto"/>
          <w:kern w:val="0"/>
          <w:sz w:val="24"/>
          <w:highlight w:val="none"/>
        </w:rPr>
        <w:t>》</w:t>
      </w:r>
      <w:r>
        <w:rPr>
          <w:rFonts w:hint="eastAsia" w:ascii="宋体" w:hAnsi="宋体"/>
          <w:snapToGrid w:val="0"/>
          <w:color w:val="auto"/>
          <w:kern w:val="0"/>
          <w:sz w:val="24"/>
          <w:highlight w:val="none"/>
        </w:rPr>
        <w:t>（</w:t>
      </w:r>
      <w:r>
        <w:rPr>
          <w:rFonts w:ascii="宋体" w:hAnsi="宋体"/>
          <w:snapToGrid w:val="0"/>
          <w:color w:val="auto"/>
          <w:kern w:val="0"/>
          <w:sz w:val="24"/>
          <w:highlight w:val="none"/>
        </w:rPr>
        <w:t>巨化股份〔2021〕78号</w:t>
      </w:r>
      <w:r>
        <w:rPr>
          <w:rFonts w:hint="eastAsia" w:ascii="宋体" w:hAnsi="宋体"/>
          <w:snapToGrid w:val="0"/>
          <w:color w:val="auto"/>
          <w:kern w:val="0"/>
          <w:sz w:val="24"/>
          <w:highlight w:val="none"/>
        </w:rPr>
        <w:t>）</w:t>
      </w:r>
      <w:r>
        <w:rPr>
          <w:rFonts w:ascii="宋体" w:hAnsi="宋体"/>
          <w:snapToGrid w:val="0"/>
          <w:color w:val="auto"/>
          <w:kern w:val="0"/>
          <w:sz w:val="24"/>
          <w:highlight w:val="none"/>
        </w:rPr>
        <w:t>《建设项目安全文明施工管理办法》</w:t>
      </w:r>
      <w:r>
        <w:rPr>
          <w:rFonts w:hint="eastAsia" w:ascii="宋体" w:hAnsi="宋体"/>
          <w:snapToGrid w:val="0"/>
          <w:color w:val="auto"/>
          <w:kern w:val="0"/>
          <w:sz w:val="24"/>
          <w:highlight w:val="none"/>
        </w:rPr>
        <w:t>（</w:t>
      </w:r>
      <w:r>
        <w:rPr>
          <w:rFonts w:ascii="宋体" w:hAnsi="宋体"/>
          <w:snapToGrid w:val="0"/>
          <w:color w:val="auto"/>
          <w:kern w:val="0"/>
          <w:sz w:val="24"/>
          <w:highlight w:val="none"/>
        </w:rPr>
        <w:t>巨化股份〔2019〕 75 号</w:t>
      </w:r>
      <w:r>
        <w:rPr>
          <w:rFonts w:hint="eastAsia" w:ascii="宋体" w:hAnsi="宋体"/>
          <w:snapToGrid w:val="0"/>
          <w:color w:val="auto"/>
          <w:kern w:val="0"/>
          <w:sz w:val="24"/>
          <w:highlight w:val="none"/>
        </w:rPr>
        <w:t>）</w:t>
      </w:r>
      <w:r>
        <w:rPr>
          <w:rFonts w:ascii="宋体" w:hAnsi="宋体"/>
          <w:color w:val="auto"/>
          <w:kern w:val="0"/>
          <w:sz w:val="24"/>
          <w:highlight w:val="none"/>
        </w:rPr>
        <w:t>，</w:t>
      </w:r>
      <w:r>
        <w:rPr>
          <w:rFonts w:ascii="宋体" w:hAnsi="宋体"/>
          <w:bCs/>
          <w:color w:val="auto"/>
          <w:kern w:val="0"/>
          <w:sz w:val="24"/>
          <w:highlight w:val="none"/>
        </w:rPr>
        <w:t>充分考虑执行国家和地方以及</w:t>
      </w:r>
      <w:r>
        <w:rPr>
          <w:rFonts w:hint="eastAsia" w:ascii="宋体" w:hAnsi="宋体"/>
          <w:bCs/>
          <w:color w:val="auto"/>
          <w:kern w:val="0"/>
          <w:sz w:val="24"/>
          <w:highlight w:val="none"/>
        </w:rPr>
        <w:t>浙江巨化股份有限公司</w:t>
      </w:r>
      <w:r>
        <w:rPr>
          <w:rFonts w:ascii="宋体" w:hAnsi="宋体"/>
          <w:bCs/>
          <w:color w:val="auto"/>
          <w:kern w:val="0"/>
          <w:sz w:val="24"/>
          <w:highlight w:val="none"/>
        </w:rPr>
        <w:t>有关安全生产政策、法规、条例、制度</w:t>
      </w:r>
      <w:r>
        <w:rPr>
          <w:rFonts w:ascii="宋体" w:hAnsi="宋体"/>
          <w:color w:val="auto"/>
          <w:kern w:val="0"/>
          <w:sz w:val="24"/>
          <w:highlight w:val="none"/>
        </w:rPr>
        <w:t>等标准文件要求，并要求现场作业人员统一着装、统一安全帽，按照</w:t>
      </w:r>
      <w:r>
        <w:rPr>
          <w:rFonts w:hint="eastAsia" w:ascii="宋体" w:hAnsi="宋体"/>
          <w:bCs/>
          <w:color w:val="auto"/>
          <w:kern w:val="0"/>
          <w:sz w:val="24"/>
          <w:highlight w:val="none"/>
        </w:rPr>
        <w:t>浙江巨化股份有限公司</w:t>
      </w:r>
      <w:r>
        <w:rPr>
          <w:rFonts w:ascii="宋体" w:hAnsi="宋体"/>
          <w:color w:val="auto"/>
          <w:kern w:val="0"/>
          <w:sz w:val="24"/>
          <w:highlight w:val="none"/>
        </w:rPr>
        <w:t>建设标化工地的要求，切实落实各项安全技术措施，确保施工现场的安全生产和文明施工。在施工过程中由于施工单位或中标人原因而发生的人身伤亡、财产损失及一切事故，其责任全部由施工单位或中标人负责。</w:t>
      </w:r>
    </w:p>
    <w:p w14:paraId="069202FC">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color w:val="auto"/>
          <w:sz w:val="24"/>
          <w:highlight w:val="none"/>
        </w:rPr>
        <w:t>2</w:t>
      </w:r>
      <w:r>
        <w:rPr>
          <w:rFonts w:hint="eastAsia" w:ascii="宋体" w:hAnsi="宋体"/>
          <w:color w:val="auto"/>
          <w:sz w:val="24"/>
          <w:highlight w:val="none"/>
        </w:rPr>
        <w:t>、</w:t>
      </w:r>
      <w:r>
        <w:rPr>
          <w:rFonts w:ascii="宋体" w:hAnsi="宋体"/>
          <w:snapToGrid w:val="0"/>
          <w:color w:val="auto"/>
          <w:kern w:val="0"/>
          <w:sz w:val="24"/>
          <w:highlight w:val="none"/>
        </w:rPr>
        <w:t>执行国家和地方以及</w:t>
      </w:r>
      <w:r>
        <w:rPr>
          <w:rFonts w:hint="eastAsia" w:ascii="宋体" w:hAnsi="宋体"/>
          <w:snapToGrid w:val="0"/>
          <w:color w:val="auto"/>
          <w:kern w:val="0"/>
          <w:sz w:val="24"/>
          <w:highlight w:val="none"/>
        </w:rPr>
        <w:t>浙江巨化股份有限公司</w:t>
      </w:r>
      <w:r>
        <w:rPr>
          <w:rFonts w:ascii="宋体" w:hAnsi="宋体"/>
          <w:snapToGrid w:val="0"/>
          <w:color w:val="auto"/>
          <w:kern w:val="0"/>
          <w:sz w:val="24"/>
          <w:highlight w:val="none"/>
        </w:rPr>
        <w:t>有关安全生产政策、法规、条例、制度，并要求现场作业人员统一着装，安全帽款式</w:t>
      </w:r>
      <w:r>
        <w:rPr>
          <w:rFonts w:hint="eastAsia" w:ascii="宋体" w:hAnsi="宋体"/>
          <w:snapToGrid w:val="0"/>
          <w:color w:val="auto"/>
          <w:kern w:val="0"/>
          <w:sz w:val="24"/>
          <w:highlight w:val="none"/>
        </w:rPr>
        <w:t>、</w:t>
      </w:r>
      <w:r>
        <w:rPr>
          <w:rFonts w:ascii="宋体" w:hAnsi="宋体"/>
          <w:snapToGrid w:val="0"/>
          <w:color w:val="auto"/>
          <w:kern w:val="0"/>
          <w:sz w:val="24"/>
          <w:highlight w:val="none"/>
        </w:rPr>
        <w:t>颜色统一</w:t>
      </w:r>
      <w:r>
        <w:rPr>
          <w:rFonts w:hint="eastAsia" w:ascii="宋体" w:hAnsi="宋体"/>
          <w:snapToGrid w:val="0"/>
          <w:color w:val="auto"/>
          <w:kern w:val="0"/>
          <w:sz w:val="24"/>
          <w:highlight w:val="none"/>
        </w:rPr>
        <w:t>，</w:t>
      </w:r>
      <w:r>
        <w:rPr>
          <w:rFonts w:ascii="宋体" w:hAnsi="宋体"/>
          <w:snapToGrid w:val="0"/>
          <w:color w:val="auto"/>
          <w:kern w:val="0"/>
          <w:sz w:val="24"/>
          <w:highlight w:val="none"/>
        </w:rPr>
        <w:t>按照浙江巨化股份有限公司项目建设标化工地的要求，切实落实各项安全技术措施，确保施工现场的安全生产和文明施工。在施工过程中由于</w:t>
      </w:r>
      <w:r>
        <w:rPr>
          <w:rFonts w:hint="eastAsia" w:ascii="宋体" w:hAnsi="宋体"/>
          <w:snapToGrid w:val="0"/>
          <w:color w:val="auto"/>
          <w:kern w:val="0"/>
          <w:sz w:val="24"/>
          <w:highlight w:val="none"/>
        </w:rPr>
        <w:t>中标人</w:t>
      </w:r>
      <w:r>
        <w:rPr>
          <w:rFonts w:ascii="宋体" w:hAnsi="宋体"/>
          <w:snapToGrid w:val="0"/>
          <w:color w:val="auto"/>
          <w:kern w:val="0"/>
          <w:sz w:val="24"/>
          <w:highlight w:val="none"/>
        </w:rPr>
        <w:t>原因而发生的人身伤亡、财产损失及一切事故，其责任全部由中标人负责。</w:t>
      </w:r>
    </w:p>
    <w:p w14:paraId="459AD346">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4、安全文明施工基本费必须保证足额投入施工中，主要要求见附件《安全文明施工目标责任书》。</w:t>
      </w:r>
    </w:p>
    <w:p w14:paraId="6C0625E5">
      <w:pPr>
        <w:adjustRightInd w:val="0"/>
        <w:snapToGrid w:val="0"/>
        <w:spacing w:line="360" w:lineRule="auto"/>
        <w:ind w:firstLine="484" w:firstLineChars="202"/>
        <w:rPr>
          <w:rFonts w:ascii="宋体" w:hAnsi="宋体"/>
          <w:color w:val="auto"/>
          <w:kern w:val="0"/>
          <w:sz w:val="24"/>
          <w:highlight w:val="none"/>
        </w:rPr>
      </w:pPr>
      <w:r>
        <w:rPr>
          <w:rFonts w:ascii="宋体" w:hAnsi="宋体"/>
          <w:snapToGrid w:val="0"/>
          <w:color w:val="auto"/>
          <w:kern w:val="0"/>
          <w:sz w:val="24"/>
          <w:highlight w:val="none"/>
        </w:rPr>
        <w:t>5</w:t>
      </w:r>
      <w:r>
        <w:rPr>
          <w:rFonts w:hint="eastAsia" w:ascii="宋体" w:hAnsi="宋体"/>
          <w:snapToGrid w:val="0"/>
          <w:color w:val="auto"/>
          <w:kern w:val="0"/>
          <w:sz w:val="24"/>
          <w:highlight w:val="none"/>
        </w:rPr>
        <w:t>、</w:t>
      </w:r>
      <w:r>
        <w:rPr>
          <w:rFonts w:ascii="宋体" w:hAnsi="宋体"/>
          <w:snapToGrid w:val="0"/>
          <w:color w:val="auto"/>
          <w:kern w:val="0"/>
          <w:sz w:val="24"/>
          <w:highlight w:val="none"/>
        </w:rPr>
        <w:t>对进入施工现场的施工人员进行安全文明施工教育，配备必要的劳动保护用具，保证工程的施工安全和人身安全</w:t>
      </w:r>
      <w:r>
        <w:rPr>
          <w:rFonts w:hint="eastAsia" w:ascii="宋体" w:hAnsi="宋体"/>
          <w:snapToGrid w:val="0"/>
          <w:color w:val="auto"/>
          <w:kern w:val="0"/>
          <w:sz w:val="24"/>
          <w:highlight w:val="none"/>
        </w:rPr>
        <w:t>，</w:t>
      </w:r>
      <w:r>
        <w:rPr>
          <w:rFonts w:hint="eastAsia" w:ascii="宋体" w:hAnsi="宋体"/>
          <w:color w:val="auto"/>
          <w:kern w:val="0"/>
          <w:sz w:val="24"/>
          <w:highlight w:val="none"/>
        </w:rPr>
        <w:t>施工单位</w:t>
      </w:r>
      <w:r>
        <w:rPr>
          <w:rFonts w:ascii="宋体" w:hAnsi="宋体"/>
          <w:color w:val="auto"/>
          <w:kern w:val="0"/>
          <w:sz w:val="24"/>
          <w:highlight w:val="none"/>
        </w:rPr>
        <w:t>必须为项目部管理人员、作业人员办理工伤保险或意外伤害保险、雇主责任险等，每人保额不得低于100万元，保险未办理齐全的不得开工</w:t>
      </w:r>
      <w:r>
        <w:rPr>
          <w:rFonts w:hint="eastAsia" w:ascii="宋体" w:hAnsi="宋体"/>
          <w:color w:val="auto"/>
          <w:kern w:val="0"/>
          <w:sz w:val="24"/>
          <w:highlight w:val="none"/>
        </w:rPr>
        <w:t>，</w:t>
      </w:r>
      <w:r>
        <w:rPr>
          <w:rFonts w:ascii="宋体" w:hAnsi="宋体"/>
          <w:color w:val="auto"/>
          <w:kern w:val="0"/>
          <w:sz w:val="24"/>
          <w:highlight w:val="none"/>
        </w:rPr>
        <w:t>项目部管理人员、作业人员进场施工前必须向</w:t>
      </w:r>
      <w:r>
        <w:rPr>
          <w:rFonts w:hint="eastAsia" w:ascii="宋体" w:hAnsi="宋体"/>
          <w:color w:val="auto"/>
          <w:kern w:val="0"/>
          <w:sz w:val="24"/>
          <w:highlight w:val="none"/>
        </w:rPr>
        <w:t>发包</w:t>
      </w:r>
      <w:r>
        <w:rPr>
          <w:rFonts w:ascii="宋体" w:hAnsi="宋体"/>
          <w:color w:val="auto"/>
          <w:kern w:val="0"/>
          <w:sz w:val="24"/>
          <w:highlight w:val="none"/>
        </w:rPr>
        <w:t>人提交有效的、6个月内体检证明；因临时性工作，无法及时提交体检证明的，应填写健康承诺书， 承诺自身不存在影响作业安全的疾病，方可进场施工</w:t>
      </w:r>
      <w:r>
        <w:rPr>
          <w:rFonts w:hint="eastAsia" w:ascii="宋体" w:hAnsi="宋体"/>
          <w:color w:val="auto"/>
          <w:kern w:val="0"/>
          <w:sz w:val="24"/>
          <w:highlight w:val="none"/>
        </w:rPr>
        <w:t>，</w:t>
      </w:r>
      <w:r>
        <w:rPr>
          <w:rFonts w:ascii="宋体" w:hAnsi="宋体"/>
          <w:color w:val="auto"/>
          <w:kern w:val="0"/>
          <w:sz w:val="24"/>
          <w:highlight w:val="none"/>
        </w:rPr>
        <w:t>作业人员年龄不得超过</w:t>
      </w:r>
      <w:r>
        <w:rPr>
          <w:rFonts w:hint="eastAsia" w:ascii="宋体" w:hAnsi="宋体"/>
          <w:color w:val="auto"/>
          <w:kern w:val="0"/>
          <w:sz w:val="24"/>
          <w:highlight w:val="none"/>
        </w:rPr>
        <w:t>6</w:t>
      </w:r>
      <w:r>
        <w:rPr>
          <w:rFonts w:ascii="宋体" w:hAnsi="宋体"/>
          <w:color w:val="auto"/>
          <w:kern w:val="0"/>
          <w:sz w:val="24"/>
          <w:highlight w:val="none"/>
        </w:rPr>
        <w:t>0周岁</w:t>
      </w:r>
    </w:p>
    <w:p w14:paraId="49C479A9">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6</w:t>
      </w:r>
      <w:r>
        <w:rPr>
          <w:rFonts w:hint="eastAsia" w:ascii="宋体" w:hAnsi="宋体"/>
          <w:snapToGrid w:val="0"/>
          <w:color w:val="auto"/>
          <w:kern w:val="0"/>
          <w:sz w:val="24"/>
          <w:highlight w:val="none"/>
        </w:rPr>
        <w:t>、承</w:t>
      </w:r>
      <w:r>
        <w:rPr>
          <w:rFonts w:ascii="宋体" w:hAnsi="宋体"/>
          <w:snapToGrid w:val="0"/>
          <w:color w:val="auto"/>
          <w:kern w:val="0"/>
          <w:sz w:val="24"/>
          <w:highlight w:val="none"/>
        </w:rPr>
        <w:t>注意保护施工现场邻近建筑物、交通和附近职工的安全，防止应施工不当使附近职工的人</w:t>
      </w:r>
      <w:r>
        <w:rPr>
          <w:rFonts w:hint="eastAsia" w:ascii="宋体" w:hAnsi="宋体"/>
          <w:snapToGrid w:val="0"/>
          <w:color w:val="auto"/>
          <w:kern w:val="0"/>
          <w:sz w:val="24"/>
          <w:highlight w:val="none"/>
        </w:rPr>
        <w:t>身</w:t>
      </w:r>
      <w:r>
        <w:rPr>
          <w:rFonts w:ascii="宋体" w:hAnsi="宋体"/>
          <w:snapToGrid w:val="0"/>
          <w:color w:val="auto"/>
          <w:kern w:val="0"/>
          <w:sz w:val="24"/>
          <w:highlight w:val="none"/>
        </w:rPr>
        <w:t>或财产遭受损失。</w:t>
      </w:r>
    </w:p>
    <w:p w14:paraId="78263D56">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7</w:t>
      </w:r>
      <w:r>
        <w:rPr>
          <w:rFonts w:hint="eastAsia" w:ascii="宋体" w:hAnsi="宋体"/>
          <w:snapToGrid w:val="0"/>
          <w:color w:val="auto"/>
          <w:kern w:val="0"/>
          <w:sz w:val="24"/>
          <w:highlight w:val="none"/>
        </w:rPr>
        <w:t>、</w:t>
      </w:r>
      <w:r>
        <w:rPr>
          <w:rFonts w:ascii="宋体" w:hAnsi="宋体"/>
          <w:snapToGrid w:val="0"/>
          <w:color w:val="auto"/>
          <w:kern w:val="0"/>
          <w:sz w:val="24"/>
          <w:highlight w:val="none"/>
        </w:rPr>
        <w:t>负责工程施工期间施工现场的安全保卫工作，如</w:t>
      </w:r>
      <w:r>
        <w:rPr>
          <w:rFonts w:hint="eastAsia" w:ascii="宋体" w:hAnsi="宋体"/>
          <w:snapToGrid w:val="0"/>
          <w:color w:val="auto"/>
          <w:kern w:val="0"/>
          <w:sz w:val="24"/>
          <w:highlight w:val="none"/>
        </w:rPr>
        <w:t>施工单位</w:t>
      </w:r>
      <w:r>
        <w:rPr>
          <w:rFonts w:ascii="宋体" w:hAnsi="宋体"/>
          <w:snapToGrid w:val="0"/>
          <w:color w:val="auto"/>
          <w:kern w:val="0"/>
          <w:sz w:val="24"/>
          <w:highlight w:val="none"/>
        </w:rPr>
        <w:t>未履行现场安全保卫工作义务造成工程、财产损失和人身伤害，由</w:t>
      </w:r>
      <w:r>
        <w:rPr>
          <w:rFonts w:hint="eastAsia" w:ascii="宋体" w:hAnsi="宋体"/>
          <w:snapToGrid w:val="0"/>
          <w:color w:val="auto"/>
          <w:kern w:val="0"/>
          <w:sz w:val="24"/>
          <w:highlight w:val="none"/>
        </w:rPr>
        <w:t>施工单位或中标人</w:t>
      </w:r>
      <w:r>
        <w:rPr>
          <w:rFonts w:ascii="宋体" w:hAnsi="宋体"/>
          <w:snapToGrid w:val="0"/>
          <w:color w:val="auto"/>
          <w:kern w:val="0"/>
          <w:sz w:val="24"/>
          <w:highlight w:val="none"/>
        </w:rPr>
        <w:t>承担责任和所发生的费用。</w:t>
      </w:r>
    </w:p>
    <w:p w14:paraId="06B11D0F">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8</w:t>
      </w:r>
      <w:r>
        <w:rPr>
          <w:rFonts w:hint="eastAsia" w:ascii="宋体" w:hAnsi="宋体"/>
          <w:snapToGrid w:val="0"/>
          <w:color w:val="auto"/>
          <w:kern w:val="0"/>
          <w:sz w:val="24"/>
          <w:highlight w:val="none"/>
        </w:rPr>
        <w:t>、</w:t>
      </w:r>
      <w:r>
        <w:rPr>
          <w:rFonts w:ascii="宋体" w:hAnsi="宋体"/>
          <w:snapToGrid w:val="0"/>
          <w:color w:val="auto"/>
          <w:kern w:val="0"/>
          <w:sz w:val="24"/>
          <w:highlight w:val="none"/>
        </w:rPr>
        <w:t>如由于</w:t>
      </w:r>
      <w:r>
        <w:rPr>
          <w:rFonts w:hint="eastAsia" w:ascii="宋体" w:hAnsi="宋体"/>
          <w:snapToGrid w:val="0"/>
          <w:color w:val="auto"/>
          <w:kern w:val="0"/>
          <w:sz w:val="24"/>
          <w:highlight w:val="none"/>
        </w:rPr>
        <w:t>施工单位</w:t>
      </w:r>
      <w:r>
        <w:rPr>
          <w:rFonts w:ascii="宋体" w:hAnsi="宋体"/>
          <w:snapToGrid w:val="0"/>
          <w:color w:val="auto"/>
          <w:kern w:val="0"/>
          <w:sz w:val="24"/>
          <w:highlight w:val="none"/>
        </w:rPr>
        <w:t>安全措施不力造成事故的责任和由此发生的费用，由施工单位或中标人承担。</w:t>
      </w:r>
    </w:p>
    <w:p w14:paraId="2F0196B9">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9</w:t>
      </w:r>
      <w:r>
        <w:rPr>
          <w:rFonts w:hint="eastAsia" w:ascii="宋体" w:hAnsi="宋体"/>
          <w:snapToGrid w:val="0"/>
          <w:color w:val="auto"/>
          <w:kern w:val="0"/>
          <w:sz w:val="24"/>
          <w:highlight w:val="none"/>
        </w:rPr>
        <w:t>、</w:t>
      </w:r>
      <w:r>
        <w:rPr>
          <w:rFonts w:ascii="宋体" w:hAnsi="宋体"/>
          <w:snapToGrid w:val="0"/>
          <w:color w:val="auto"/>
          <w:kern w:val="0"/>
          <w:sz w:val="24"/>
          <w:highlight w:val="none"/>
        </w:rPr>
        <w:t>在项目施工、调试等涉及安全的各个阶段均应认真执行国家及巨化公司有关安全生产的法规、条例，签订并落实项目安全文明施工协议，在上述服务过程中由于中标人原因发生的人身伤亡、财产损失及其它一切事故责任及后果由中标人负责，具体条款按《安全文明施工协议》要求执行。</w:t>
      </w:r>
    </w:p>
    <w:p w14:paraId="3AC75E19">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10</w:t>
      </w:r>
      <w:r>
        <w:rPr>
          <w:rFonts w:hint="eastAsia" w:ascii="宋体" w:hAnsi="宋体"/>
          <w:snapToGrid w:val="0"/>
          <w:color w:val="auto"/>
          <w:kern w:val="0"/>
          <w:sz w:val="24"/>
          <w:highlight w:val="none"/>
        </w:rPr>
        <w:t>、</w:t>
      </w:r>
      <w:r>
        <w:rPr>
          <w:rFonts w:ascii="宋体" w:hAnsi="宋体"/>
          <w:snapToGrid w:val="0"/>
          <w:color w:val="auto"/>
          <w:kern w:val="0"/>
          <w:sz w:val="24"/>
          <w:highlight w:val="none"/>
        </w:rPr>
        <w:t>确保工程按合同规定的方式（或若没有作出如此规定时，则以令合理满意的方式）进行建设。中标人及施工单位不得以任何对安全构成威胁或非法地对公众构成干扰的方式履行本合同。若认为如果不提出要求，中标人及施工单位履行本合同的行为将会构成安全危险、环境危险、项目场地附近地区的人身损害或财产损失的危险，则其有权要求中标人及施工单位停止工程或其任何部分的施工，或要求</w:t>
      </w:r>
      <w:r>
        <w:rPr>
          <w:rFonts w:hint="eastAsia" w:ascii="宋体" w:hAnsi="宋体"/>
          <w:snapToGrid w:val="0"/>
          <w:color w:val="auto"/>
          <w:kern w:val="0"/>
          <w:sz w:val="24"/>
          <w:highlight w:val="none"/>
        </w:rPr>
        <w:t>中标人</w:t>
      </w:r>
      <w:r>
        <w:rPr>
          <w:rFonts w:ascii="宋体" w:hAnsi="宋体"/>
          <w:snapToGrid w:val="0"/>
          <w:color w:val="auto"/>
          <w:kern w:val="0"/>
          <w:sz w:val="24"/>
          <w:highlight w:val="none"/>
        </w:rPr>
        <w:t>在自担费用和责任的情况下以不同的方式进行施工。除非另经批准，否则</w:t>
      </w:r>
      <w:r>
        <w:rPr>
          <w:rFonts w:hint="eastAsia" w:ascii="宋体" w:hAnsi="宋体"/>
          <w:snapToGrid w:val="0"/>
          <w:color w:val="auto"/>
          <w:kern w:val="0"/>
          <w:sz w:val="24"/>
          <w:highlight w:val="none"/>
        </w:rPr>
        <w:t>中标人</w:t>
      </w:r>
      <w:r>
        <w:rPr>
          <w:rFonts w:ascii="宋体" w:hAnsi="宋体"/>
          <w:snapToGrid w:val="0"/>
          <w:color w:val="auto"/>
          <w:kern w:val="0"/>
          <w:sz w:val="24"/>
          <w:highlight w:val="none"/>
        </w:rPr>
        <w:t>不得使用项目场地用作实施工程以外的任何其它用途。</w:t>
      </w:r>
    </w:p>
    <w:p w14:paraId="4F8760E6">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11</w:t>
      </w:r>
      <w:r>
        <w:rPr>
          <w:rFonts w:hint="eastAsia" w:ascii="宋体" w:hAnsi="宋体"/>
          <w:snapToGrid w:val="0"/>
          <w:color w:val="auto"/>
          <w:kern w:val="0"/>
          <w:sz w:val="24"/>
          <w:highlight w:val="none"/>
        </w:rPr>
        <w:t>、</w:t>
      </w:r>
      <w:r>
        <w:rPr>
          <w:rFonts w:ascii="宋体" w:hAnsi="宋体"/>
          <w:snapToGrid w:val="0"/>
          <w:color w:val="auto"/>
          <w:kern w:val="0"/>
          <w:sz w:val="24"/>
          <w:highlight w:val="none"/>
        </w:rPr>
        <w:t>实施和管理其服务范围内的安全、卫生、消防和环保方案，并按照法律及已生效的职业健康及安全标准采取一切必要的措施提供一个安全的工作环境。</w:t>
      </w:r>
      <w:r>
        <w:rPr>
          <w:rFonts w:hint="eastAsia" w:ascii="宋体" w:hAnsi="宋体"/>
          <w:snapToGrid w:val="0"/>
          <w:color w:val="auto"/>
          <w:kern w:val="0"/>
          <w:sz w:val="24"/>
          <w:highlight w:val="none"/>
        </w:rPr>
        <w:t>中标人</w:t>
      </w:r>
      <w:r>
        <w:rPr>
          <w:rFonts w:ascii="宋体" w:hAnsi="宋体"/>
          <w:snapToGrid w:val="0"/>
          <w:color w:val="auto"/>
          <w:kern w:val="0"/>
          <w:sz w:val="24"/>
          <w:highlight w:val="none"/>
        </w:rPr>
        <w:t>在服务中应防止人员伤害以及其它财产损害。</w:t>
      </w:r>
    </w:p>
    <w:p w14:paraId="415B9456">
      <w:pPr>
        <w:adjustRightInd w:val="0"/>
        <w:snapToGrid w:val="0"/>
        <w:spacing w:line="360" w:lineRule="auto"/>
        <w:ind w:firstLine="480" w:firstLineChars="200"/>
        <w:rPr>
          <w:rFonts w:ascii="宋体" w:hAnsi="宋体"/>
          <w:snapToGrid w:val="0"/>
          <w:color w:val="auto"/>
          <w:kern w:val="0"/>
          <w:sz w:val="24"/>
          <w:highlight w:val="none"/>
        </w:rPr>
      </w:pPr>
      <w:r>
        <w:rPr>
          <w:rFonts w:ascii="宋体" w:hAnsi="宋体"/>
          <w:snapToGrid w:val="0"/>
          <w:color w:val="auto"/>
          <w:kern w:val="0"/>
          <w:sz w:val="24"/>
          <w:highlight w:val="none"/>
        </w:rPr>
        <w:t>12</w:t>
      </w:r>
      <w:r>
        <w:rPr>
          <w:rFonts w:hint="eastAsia" w:ascii="宋体" w:hAnsi="宋体"/>
          <w:snapToGrid w:val="0"/>
          <w:color w:val="auto"/>
          <w:kern w:val="0"/>
          <w:sz w:val="24"/>
          <w:highlight w:val="none"/>
        </w:rPr>
        <w:t>、</w:t>
      </w:r>
      <w:r>
        <w:rPr>
          <w:rFonts w:ascii="宋体" w:hAnsi="宋体"/>
          <w:snapToGrid w:val="0"/>
          <w:color w:val="auto"/>
          <w:kern w:val="0"/>
          <w:sz w:val="24"/>
          <w:highlight w:val="none"/>
        </w:rPr>
        <w:t>做好施工车辆管理，严格遵守浙江巨化股份有限公司生产区域车辆管理的有关规定。</w:t>
      </w:r>
    </w:p>
    <w:p w14:paraId="4FD9AAFA">
      <w:pPr>
        <w:adjustRightInd w:val="0"/>
        <w:snapToGrid w:val="0"/>
        <w:spacing w:line="360" w:lineRule="auto"/>
        <w:ind w:firstLine="480" w:firstLineChars="200"/>
        <w:rPr>
          <w:rFonts w:ascii="宋体" w:hAnsi="宋体"/>
          <w:color w:val="auto"/>
          <w:kern w:val="0"/>
          <w:sz w:val="24"/>
          <w:highlight w:val="none"/>
        </w:rPr>
      </w:pPr>
      <w:r>
        <w:rPr>
          <w:rFonts w:ascii="宋体" w:hAnsi="宋体"/>
          <w:snapToGrid w:val="0"/>
          <w:color w:val="auto"/>
          <w:kern w:val="0"/>
          <w:sz w:val="24"/>
          <w:highlight w:val="none"/>
        </w:rPr>
        <w:t>13</w:t>
      </w:r>
      <w:r>
        <w:rPr>
          <w:rFonts w:hint="eastAsia" w:ascii="宋体" w:hAnsi="宋体"/>
          <w:snapToGrid w:val="0"/>
          <w:color w:val="auto"/>
          <w:kern w:val="0"/>
          <w:sz w:val="24"/>
          <w:highlight w:val="none"/>
        </w:rPr>
        <w:t>、</w:t>
      </w:r>
      <w:r>
        <w:rPr>
          <w:rFonts w:hint="eastAsia" w:ascii="宋体" w:hAnsi="宋体"/>
          <w:color w:val="auto"/>
          <w:kern w:val="0"/>
          <w:sz w:val="24"/>
          <w:highlight w:val="none"/>
        </w:rPr>
        <w:t>对于危险性较大的分部分项工程严格按《危险性较大的分部分项工程安全管理规定》（中华人民共和国住房和城乡建设部第37令）规定编制专项施工方案并经专家论证，危险性较大的分部分项工程范围执行《《危险性较大的分部分项工程安全管理规定》有关问题的通知》（建办质〔2018〕31号）。</w:t>
      </w:r>
    </w:p>
    <w:p w14:paraId="32DB9C9A">
      <w:pPr>
        <w:adjustRightInd w:val="0"/>
        <w:snapToGrid w:val="0"/>
        <w:spacing w:line="360" w:lineRule="auto"/>
        <w:ind w:firstLine="480" w:firstLineChars="200"/>
        <w:rPr>
          <w:rFonts w:ascii="宋体" w:hAnsi="宋体"/>
          <w:color w:val="auto"/>
          <w:kern w:val="0"/>
          <w:sz w:val="24"/>
          <w:highlight w:val="none"/>
        </w:rPr>
      </w:pPr>
      <w:r>
        <w:rPr>
          <w:rFonts w:ascii="宋体" w:hAnsi="宋体"/>
          <w:color w:val="auto"/>
          <w:kern w:val="0"/>
          <w:sz w:val="24"/>
          <w:highlight w:val="none"/>
        </w:rPr>
        <w:t>14</w:t>
      </w:r>
      <w:r>
        <w:rPr>
          <w:rFonts w:hint="eastAsia" w:ascii="宋体" w:hAnsi="宋体"/>
          <w:color w:val="auto"/>
          <w:kern w:val="0"/>
          <w:sz w:val="24"/>
          <w:highlight w:val="none"/>
        </w:rPr>
        <w:t>、施工临时用电严格执行《建设工程施工现场供用电安全规范》（GB50194</w:t>
      </w:r>
      <w:r>
        <w:rPr>
          <w:rFonts w:ascii="宋体" w:hAnsi="宋体"/>
          <w:color w:val="auto"/>
          <w:kern w:val="0"/>
          <w:sz w:val="24"/>
          <w:highlight w:val="none"/>
        </w:rPr>
        <w:t>-2014</w:t>
      </w:r>
      <w:r>
        <w:rPr>
          <w:rFonts w:hint="eastAsia" w:ascii="宋体" w:hAnsi="宋体"/>
          <w:color w:val="auto"/>
          <w:kern w:val="0"/>
          <w:sz w:val="24"/>
          <w:highlight w:val="none"/>
        </w:rPr>
        <w:t>）、《施工现场临时用电安全技术规范》（JGJ 46-2005）和电化厂临时用电管理办法。施工过程中施工用电电缆、电线、气管、水管等须架空布设，不得散落在楼地面上；每日施工结束，应将工器具、设备材料等摆放整齐，将施工垃圾、边角料等清理干净，做到工完场清。</w:t>
      </w:r>
    </w:p>
    <w:p w14:paraId="003939C3">
      <w:pPr>
        <w:adjustRightInd w:val="0"/>
        <w:snapToGrid w:val="0"/>
        <w:spacing w:line="360" w:lineRule="auto"/>
        <w:ind w:firstLine="484" w:firstLineChars="202"/>
        <w:rPr>
          <w:rFonts w:ascii="宋体" w:hAnsi="宋体"/>
          <w:color w:val="auto"/>
          <w:kern w:val="0"/>
          <w:sz w:val="24"/>
          <w:highlight w:val="none"/>
        </w:rPr>
      </w:pPr>
      <w:r>
        <w:rPr>
          <w:rFonts w:ascii="宋体" w:hAnsi="宋体"/>
          <w:color w:val="auto"/>
          <w:kern w:val="0"/>
          <w:sz w:val="24"/>
          <w:highlight w:val="none"/>
        </w:rPr>
        <w:t>15</w:t>
      </w:r>
      <w:r>
        <w:rPr>
          <w:rFonts w:hint="eastAsia" w:ascii="宋体" w:hAnsi="宋体"/>
          <w:color w:val="auto"/>
          <w:kern w:val="0"/>
          <w:sz w:val="24"/>
          <w:highlight w:val="none"/>
        </w:rPr>
        <w:t>、</w:t>
      </w:r>
      <w:r>
        <w:rPr>
          <w:rFonts w:ascii="宋体" w:hAnsi="宋体"/>
          <w:color w:val="auto"/>
          <w:kern w:val="0"/>
          <w:sz w:val="24"/>
          <w:highlight w:val="none"/>
        </w:rPr>
        <w:t>在施工过程中应遵守国家有关环境保护的法律、法规以及</w:t>
      </w:r>
      <w:r>
        <w:rPr>
          <w:rFonts w:hint="eastAsia" w:ascii="宋体" w:hAnsi="宋体"/>
          <w:color w:val="auto"/>
          <w:kern w:val="0"/>
          <w:sz w:val="24"/>
          <w:highlight w:val="none"/>
        </w:rPr>
        <w:t>《建设项目环境保护管理办法》（巨化股份〔2019〕85号）要求做好项目建设过程的环境保护工作，</w:t>
      </w:r>
      <w:r>
        <w:rPr>
          <w:rFonts w:ascii="宋体" w:hAnsi="宋体"/>
          <w:color w:val="auto"/>
          <w:kern w:val="0"/>
          <w:sz w:val="24"/>
          <w:highlight w:val="none"/>
        </w:rPr>
        <w:t>采取有效措施，保护好施工现场和周边地区的环境。</w:t>
      </w:r>
    </w:p>
    <w:p w14:paraId="3383B2A8">
      <w:pPr>
        <w:adjustRightInd w:val="0"/>
        <w:snapToGrid w:val="0"/>
        <w:spacing w:line="360" w:lineRule="auto"/>
        <w:ind w:firstLine="484" w:firstLineChars="202"/>
        <w:rPr>
          <w:rFonts w:ascii="宋体" w:hAnsi="宋体"/>
          <w:color w:val="auto"/>
          <w:kern w:val="0"/>
          <w:sz w:val="24"/>
          <w:highlight w:val="none"/>
        </w:rPr>
      </w:pPr>
      <w:r>
        <w:rPr>
          <w:rFonts w:ascii="宋体" w:hAnsi="宋体"/>
          <w:color w:val="auto"/>
          <w:kern w:val="0"/>
          <w:sz w:val="24"/>
          <w:highlight w:val="none"/>
        </w:rPr>
        <w:t>16</w:t>
      </w:r>
      <w:r>
        <w:rPr>
          <w:rFonts w:hint="eastAsia" w:ascii="宋体" w:hAnsi="宋体"/>
          <w:color w:val="auto"/>
          <w:kern w:val="0"/>
          <w:sz w:val="24"/>
          <w:highlight w:val="none"/>
        </w:rPr>
        <w:t>、</w:t>
      </w:r>
      <w:r>
        <w:rPr>
          <w:rFonts w:ascii="宋体" w:hAnsi="宋体"/>
          <w:color w:val="auto"/>
          <w:kern w:val="0"/>
          <w:sz w:val="24"/>
          <w:highlight w:val="none"/>
        </w:rPr>
        <w:t>对施工和生活所产生的各种生产、生活垃圾和废弃物应进行妥善处置，</w:t>
      </w:r>
      <w:r>
        <w:rPr>
          <w:rFonts w:hint="eastAsia" w:ascii="宋体" w:hAnsi="宋体"/>
          <w:color w:val="auto"/>
          <w:kern w:val="0"/>
          <w:sz w:val="24"/>
          <w:highlight w:val="none"/>
        </w:rPr>
        <w:t>处理必须及时、处理过程须合法化，</w:t>
      </w:r>
      <w:r>
        <w:rPr>
          <w:rFonts w:ascii="宋体" w:hAnsi="宋体"/>
          <w:color w:val="auto"/>
          <w:kern w:val="0"/>
          <w:sz w:val="24"/>
          <w:highlight w:val="none"/>
        </w:rPr>
        <w:t>防止对环境造成污染，并严格控制施工噪音。</w:t>
      </w:r>
    </w:p>
    <w:p w14:paraId="440D8DBE">
      <w:pPr>
        <w:adjustRightInd w:val="0"/>
        <w:snapToGrid w:val="0"/>
        <w:spacing w:line="360" w:lineRule="auto"/>
        <w:ind w:firstLine="484" w:firstLineChars="202"/>
        <w:rPr>
          <w:rFonts w:ascii="宋体" w:hAnsi="宋体"/>
          <w:color w:val="auto"/>
          <w:kern w:val="0"/>
          <w:sz w:val="24"/>
          <w:highlight w:val="none"/>
        </w:rPr>
      </w:pPr>
      <w:r>
        <w:rPr>
          <w:rFonts w:ascii="宋体" w:hAnsi="宋体"/>
          <w:color w:val="auto"/>
          <w:kern w:val="0"/>
          <w:sz w:val="24"/>
          <w:highlight w:val="none"/>
        </w:rPr>
        <w:t>17</w:t>
      </w:r>
      <w:r>
        <w:rPr>
          <w:rFonts w:hint="eastAsia" w:ascii="宋体" w:hAnsi="宋体"/>
          <w:color w:val="auto"/>
          <w:kern w:val="0"/>
          <w:sz w:val="24"/>
          <w:highlight w:val="none"/>
        </w:rPr>
        <w:t>、施工产生的废水、废弃物中标人不得随意排放或擅自倾倒，必须经发包人确认处理合格后才能排放或倾倒。</w:t>
      </w:r>
    </w:p>
    <w:p w14:paraId="29B41A7D">
      <w:pPr>
        <w:adjustRightInd w:val="0"/>
        <w:snapToGrid w:val="0"/>
        <w:spacing w:line="360" w:lineRule="auto"/>
        <w:ind w:firstLine="484" w:firstLineChars="202"/>
        <w:rPr>
          <w:rFonts w:ascii="宋体" w:hAnsi="宋体"/>
          <w:color w:val="auto"/>
          <w:kern w:val="0"/>
          <w:sz w:val="24"/>
          <w:highlight w:val="none"/>
        </w:rPr>
      </w:pPr>
      <w:r>
        <w:rPr>
          <w:rFonts w:ascii="宋体" w:hAnsi="宋体"/>
          <w:color w:val="auto"/>
          <w:kern w:val="0"/>
          <w:sz w:val="24"/>
          <w:highlight w:val="none"/>
        </w:rPr>
        <w:t>18</w:t>
      </w:r>
      <w:r>
        <w:rPr>
          <w:rFonts w:hint="eastAsia" w:ascii="宋体" w:hAnsi="宋体"/>
          <w:color w:val="auto"/>
          <w:kern w:val="0"/>
          <w:sz w:val="24"/>
          <w:highlight w:val="none"/>
        </w:rPr>
        <w:t>、</w:t>
      </w:r>
      <w:r>
        <w:rPr>
          <w:rFonts w:ascii="宋体" w:hAnsi="宋体"/>
          <w:color w:val="auto"/>
          <w:kern w:val="0"/>
          <w:sz w:val="24"/>
          <w:highlight w:val="none"/>
        </w:rPr>
        <w:t>如</w:t>
      </w:r>
      <w:r>
        <w:rPr>
          <w:rFonts w:hint="eastAsia" w:ascii="宋体" w:hAnsi="宋体"/>
          <w:color w:val="auto"/>
          <w:kern w:val="0"/>
          <w:sz w:val="24"/>
          <w:highlight w:val="none"/>
        </w:rPr>
        <w:t>施工单位</w:t>
      </w:r>
      <w:r>
        <w:rPr>
          <w:rFonts w:ascii="宋体" w:hAnsi="宋体"/>
          <w:color w:val="auto"/>
          <w:kern w:val="0"/>
          <w:sz w:val="24"/>
          <w:highlight w:val="none"/>
        </w:rPr>
        <w:t>措施不力而造成环境破坏或人员、财产损失的，应承担全部责任。</w:t>
      </w:r>
      <w:r>
        <w:rPr>
          <w:rFonts w:hint="eastAsia" w:ascii="宋体" w:hAnsi="宋体"/>
          <w:color w:val="auto"/>
          <w:kern w:val="0"/>
          <w:sz w:val="24"/>
          <w:highlight w:val="none"/>
        </w:rPr>
        <w:t>因违反有关环保法律法规造成任何经济或法律后果的 由</w:t>
      </w:r>
      <w:r>
        <w:rPr>
          <w:rFonts w:ascii="宋体" w:hAnsi="宋体"/>
          <w:snapToGrid w:val="0"/>
          <w:color w:val="auto"/>
          <w:kern w:val="0"/>
          <w:sz w:val="24"/>
          <w:highlight w:val="none"/>
        </w:rPr>
        <w:t>中标人及施工单位</w:t>
      </w:r>
      <w:r>
        <w:rPr>
          <w:rFonts w:hint="eastAsia" w:ascii="宋体" w:hAnsi="宋体"/>
          <w:color w:val="auto"/>
          <w:kern w:val="0"/>
          <w:sz w:val="24"/>
          <w:highlight w:val="none"/>
        </w:rPr>
        <w:t>自行承担。</w:t>
      </w:r>
    </w:p>
    <w:p w14:paraId="542C01E3">
      <w:pPr>
        <w:spacing w:line="360" w:lineRule="exact"/>
        <w:ind w:firstLine="482" w:firstLineChars="200"/>
        <w:rPr>
          <w:rFonts w:ascii="宋体" w:hAnsi="宋体"/>
          <w:color w:val="auto"/>
          <w:sz w:val="24"/>
          <w:highlight w:val="none"/>
        </w:rPr>
      </w:pPr>
      <w:r>
        <w:rPr>
          <w:rFonts w:hint="eastAsia" w:ascii="宋体" w:hAnsi="宋体"/>
          <w:b/>
          <w:color w:val="auto"/>
          <w:sz w:val="24"/>
          <w:highlight w:val="none"/>
        </w:rPr>
        <w:t>4.2.2工程施工相关要求</w:t>
      </w:r>
    </w:p>
    <w:p w14:paraId="00422347">
      <w:pPr>
        <w:spacing w:line="36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4.2.2.1</w:t>
      </w:r>
      <w:r>
        <w:rPr>
          <w:rFonts w:hint="eastAsia" w:ascii="宋体" w:hAnsi="宋体"/>
          <w:color w:val="auto"/>
          <w:sz w:val="24"/>
          <w:highlight w:val="none"/>
        </w:rPr>
        <w:t>中标人应选择符合资质施工单位，并配合投标人，确保施工单位充分了解本工程内容和特点，并对项目工程管理关系进行充分分析，编制科学、合理、可行的施工组织设计，其中应包括：工程进度计划、装卸搬运、起重吊装方法、测量方法、安装方法、安装顺序、检验验收、安全措施等，应按相关管理规定及时报送监理及招标人审核；</w:t>
      </w:r>
      <w:r>
        <w:rPr>
          <w:rFonts w:hint="eastAsia" w:ascii="宋体" w:hAnsi="宋体"/>
          <w:color w:val="auto"/>
          <w:kern w:val="0"/>
          <w:sz w:val="24"/>
          <w:highlight w:val="none"/>
        </w:rPr>
        <w:t>施工单位</w:t>
      </w:r>
      <w:r>
        <w:rPr>
          <w:rFonts w:ascii="宋体" w:hAnsi="宋体"/>
          <w:color w:val="auto"/>
          <w:kern w:val="0"/>
          <w:sz w:val="24"/>
          <w:highlight w:val="none"/>
        </w:rPr>
        <w:t>应</w:t>
      </w:r>
      <w:r>
        <w:rPr>
          <w:rFonts w:hint="eastAsia" w:ascii="宋体" w:hAnsi="宋体"/>
          <w:color w:val="auto"/>
          <w:sz w:val="24"/>
          <w:highlight w:val="none"/>
        </w:rPr>
        <w:t>服从监理人的指令、</w:t>
      </w:r>
      <w:r>
        <w:rPr>
          <w:rFonts w:hint="eastAsia" w:ascii="宋体" w:hAnsi="宋体"/>
          <w:color w:val="auto"/>
          <w:kern w:val="0"/>
          <w:sz w:val="24"/>
          <w:highlight w:val="none"/>
        </w:rPr>
        <w:t>服从管理，并密切配合完成各项施工工作；</w:t>
      </w:r>
      <w:r>
        <w:rPr>
          <w:rFonts w:ascii="宋体" w:hAnsi="宋体"/>
          <w:color w:val="auto"/>
          <w:kern w:val="0"/>
          <w:sz w:val="24"/>
          <w:highlight w:val="none"/>
        </w:rPr>
        <w:t>对</w:t>
      </w:r>
      <w:r>
        <w:rPr>
          <w:rFonts w:hint="eastAsia" w:ascii="宋体" w:hAnsi="宋体"/>
          <w:color w:val="auto"/>
          <w:kern w:val="0"/>
          <w:sz w:val="24"/>
          <w:highlight w:val="none"/>
        </w:rPr>
        <w:t>招标人</w:t>
      </w:r>
      <w:r>
        <w:rPr>
          <w:rFonts w:ascii="宋体" w:hAnsi="宋体"/>
          <w:color w:val="auto"/>
          <w:kern w:val="0"/>
          <w:sz w:val="24"/>
          <w:highlight w:val="none"/>
        </w:rPr>
        <w:t>另行发包的其它专业工程的</w:t>
      </w:r>
      <w:r>
        <w:rPr>
          <w:rFonts w:hint="eastAsia" w:ascii="宋体" w:hAnsi="宋体"/>
          <w:color w:val="auto"/>
          <w:kern w:val="0"/>
          <w:sz w:val="24"/>
          <w:highlight w:val="none"/>
        </w:rPr>
        <w:t>中标人的工作应予以配合、给予各类和施工有关的便利,</w:t>
      </w:r>
      <w:r>
        <w:rPr>
          <w:rFonts w:ascii="宋体" w:hAnsi="宋体"/>
          <w:color w:val="auto"/>
          <w:kern w:val="0"/>
          <w:sz w:val="24"/>
          <w:highlight w:val="none"/>
        </w:rPr>
        <w:t>。</w:t>
      </w:r>
    </w:p>
    <w:p w14:paraId="2C022679">
      <w:pPr>
        <w:spacing w:line="360" w:lineRule="exact"/>
        <w:ind w:firstLine="480" w:firstLineChars="200"/>
        <w:rPr>
          <w:rFonts w:ascii="宋体" w:hAnsi="宋体"/>
          <w:color w:val="auto"/>
          <w:sz w:val="24"/>
          <w:highlight w:val="none"/>
        </w:rPr>
      </w:pPr>
      <w:r>
        <w:rPr>
          <w:rFonts w:hint="eastAsia" w:ascii="宋体" w:hAnsi="宋体"/>
          <w:color w:val="auto"/>
          <w:kern w:val="0"/>
          <w:sz w:val="24"/>
          <w:highlight w:val="none"/>
        </w:rPr>
        <w:t>对于危险性较大的分部分项工程严格按《危险性较大的分部分项工程安全管理规定》（中华人民共和国住房和城乡建设部第37令）规定编制专项施工方案并经专家论证，危险性较大的分部分项工程范围执行《《危险性较大的分部分项工程安全管理规定》有关问题的通知》（建办质〔2018〕31号）。</w:t>
      </w:r>
      <w:r>
        <w:rPr>
          <w:rFonts w:ascii="宋体" w:hAnsi="宋体"/>
          <w:color w:val="auto"/>
          <w:kern w:val="0"/>
          <w:sz w:val="24"/>
          <w:highlight w:val="none"/>
        </w:rPr>
        <w:t>其中涉及费用的内容，除</w:t>
      </w:r>
      <w:r>
        <w:rPr>
          <w:rFonts w:hint="eastAsia" w:ascii="宋体" w:hAnsi="宋体"/>
          <w:color w:val="auto"/>
          <w:kern w:val="0"/>
          <w:sz w:val="24"/>
          <w:highlight w:val="none"/>
        </w:rPr>
        <w:t>非招标文件已有</w:t>
      </w:r>
      <w:r>
        <w:rPr>
          <w:rFonts w:ascii="宋体" w:hAnsi="宋体"/>
          <w:color w:val="auto"/>
          <w:kern w:val="0"/>
          <w:sz w:val="24"/>
          <w:highlight w:val="none"/>
        </w:rPr>
        <w:t>明示之外均须考虑并包含在投标报价中</w:t>
      </w:r>
      <w:r>
        <w:rPr>
          <w:rFonts w:hint="eastAsia" w:ascii="宋体" w:hAnsi="宋体"/>
          <w:color w:val="auto"/>
          <w:kern w:val="0"/>
          <w:sz w:val="24"/>
          <w:highlight w:val="none"/>
        </w:rPr>
        <w:t>。施工过程中，严禁使用《房屋建筑和市政基础设施工程危及生产安全施工工艺、设备和材料淘汰目录（第一批）》中规定淘汰的施工工艺、设备和材料</w:t>
      </w:r>
      <w:r>
        <w:rPr>
          <w:rFonts w:hint="eastAsia" w:ascii="宋体" w:hAnsi="宋体"/>
          <w:color w:val="auto"/>
          <w:sz w:val="24"/>
          <w:highlight w:val="none"/>
        </w:rPr>
        <w:t>。</w:t>
      </w:r>
    </w:p>
    <w:p w14:paraId="3B219252">
      <w:pPr>
        <w:spacing w:line="36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4.2.2.2按施工图提供施工场地轴线、标高、基准线对预留、预埋进行监督、检查、复核, 承担符合设计要求和施工验收的连带责任；对分格轴线测量等自测数据负完全责任。自备专业工程需要的特殊设施由中标人自行考虑。</w:t>
      </w:r>
    </w:p>
    <w:p w14:paraId="370AB5EC">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4.2.2.3</w:t>
      </w:r>
      <w:r>
        <w:rPr>
          <w:rFonts w:ascii="宋体" w:hAnsi="宋体"/>
          <w:color w:val="auto"/>
          <w:sz w:val="24"/>
          <w:highlight w:val="none"/>
        </w:rPr>
        <w:t>施工用电、用水及通</w:t>
      </w:r>
      <w:r>
        <w:rPr>
          <w:rFonts w:hint="eastAsia" w:ascii="宋体" w:hAnsi="宋体"/>
          <w:color w:val="auto"/>
          <w:sz w:val="24"/>
          <w:highlight w:val="none"/>
        </w:rPr>
        <w:t>讯</w:t>
      </w:r>
    </w:p>
    <w:p w14:paraId="4ACF1941">
      <w:pPr>
        <w:spacing w:line="360" w:lineRule="exact"/>
        <w:ind w:firstLine="480" w:firstLineChars="200"/>
        <w:rPr>
          <w:rFonts w:ascii="宋体" w:hAnsi="宋体"/>
          <w:color w:val="auto"/>
          <w:sz w:val="24"/>
          <w:highlight w:val="none"/>
        </w:rPr>
      </w:pPr>
      <w:r>
        <w:rPr>
          <w:rFonts w:ascii="宋体" w:hAnsi="宋体"/>
          <w:color w:val="auto"/>
          <w:sz w:val="24"/>
          <w:highlight w:val="none"/>
        </w:rPr>
        <w:t>施工用水、电外部管线已由</w:t>
      </w:r>
      <w:r>
        <w:rPr>
          <w:rFonts w:hint="eastAsia" w:ascii="宋体" w:hAnsi="宋体"/>
          <w:color w:val="auto"/>
          <w:sz w:val="24"/>
          <w:highlight w:val="none"/>
        </w:rPr>
        <w:t>招标人</w:t>
      </w:r>
      <w:r>
        <w:rPr>
          <w:rFonts w:ascii="宋体" w:hAnsi="宋体"/>
          <w:color w:val="auto"/>
          <w:sz w:val="24"/>
          <w:highlight w:val="none"/>
        </w:rPr>
        <w:t>统一接至本工程现场设定的配置点。</w:t>
      </w:r>
      <w:r>
        <w:rPr>
          <w:rFonts w:hint="eastAsia" w:ascii="宋体" w:hAnsi="宋体"/>
          <w:color w:val="auto"/>
          <w:sz w:val="24"/>
          <w:highlight w:val="none"/>
        </w:rPr>
        <w:t>具体接入位置由</w:t>
      </w:r>
      <w:r>
        <w:rPr>
          <w:rFonts w:ascii="宋体" w:hAnsi="宋体"/>
          <w:color w:val="auto"/>
          <w:sz w:val="24"/>
          <w:highlight w:val="none"/>
        </w:rPr>
        <w:t>招标人</w:t>
      </w:r>
      <w:r>
        <w:rPr>
          <w:rFonts w:hint="eastAsia" w:ascii="宋体" w:hAnsi="宋体"/>
          <w:color w:val="auto"/>
          <w:sz w:val="24"/>
          <w:highlight w:val="none"/>
        </w:rPr>
        <w:t>确定，接入点</w:t>
      </w:r>
      <w:r>
        <w:rPr>
          <w:rFonts w:ascii="宋体" w:hAnsi="宋体"/>
          <w:color w:val="auto"/>
          <w:sz w:val="24"/>
          <w:highlight w:val="none"/>
        </w:rPr>
        <w:t>之后的施工和生活用水、用电的设计、配管、配线、安装、管理和维修等均由</w:t>
      </w:r>
      <w:r>
        <w:rPr>
          <w:rFonts w:hint="eastAsia" w:ascii="宋体" w:hAnsi="宋体"/>
          <w:color w:val="auto"/>
          <w:sz w:val="24"/>
          <w:highlight w:val="none"/>
        </w:rPr>
        <w:t>施工单位</w:t>
      </w:r>
      <w:r>
        <w:rPr>
          <w:rFonts w:ascii="宋体" w:hAnsi="宋体"/>
          <w:color w:val="auto"/>
          <w:sz w:val="24"/>
          <w:highlight w:val="none"/>
        </w:rPr>
        <w:t>负责。</w:t>
      </w:r>
      <w:r>
        <w:rPr>
          <w:rFonts w:hint="eastAsia" w:ascii="宋体" w:hAnsi="宋体"/>
          <w:color w:val="auto"/>
          <w:sz w:val="24"/>
          <w:highlight w:val="none"/>
        </w:rPr>
        <w:t>施工期间的通讯</w:t>
      </w:r>
      <w:r>
        <w:rPr>
          <w:rFonts w:ascii="宋体" w:hAnsi="宋体"/>
          <w:color w:val="auto"/>
          <w:sz w:val="24"/>
          <w:highlight w:val="none"/>
        </w:rPr>
        <w:t>由中标人或施工单位自行考虑并承担与此相关的一切费用，必须满足施工及各方联系的需要。</w:t>
      </w:r>
    </w:p>
    <w:p w14:paraId="6EA0A142">
      <w:pPr>
        <w:spacing w:line="360" w:lineRule="exact"/>
        <w:ind w:firstLine="480" w:firstLineChars="200"/>
        <w:rPr>
          <w:rFonts w:ascii="宋体" w:hAnsi="宋体"/>
          <w:color w:val="auto"/>
          <w:sz w:val="24"/>
          <w:highlight w:val="none"/>
        </w:rPr>
      </w:pPr>
      <w:r>
        <w:rPr>
          <w:rFonts w:ascii="宋体" w:hAnsi="宋体"/>
          <w:color w:val="auto"/>
          <w:sz w:val="24"/>
          <w:highlight w:val="none"/>
        </w:rPr>
        <w:t>施工单位应按其自身需要和经验，为本工程的施工和生活用电，配备一定容量的应急备用电源，中标人承担由此发生的一切购置、维修、使用费用和风险，费用已包含在投标报价中。</w:t>
      </w:r>
    </w:p>
    <w:p w14:paraId="36540D4C">
      <w:pPr>
        <w:spacing w:line="360" w:lineRule="exact"/>
        <w:ind w:firstLine="480" w:firstLineChars="200"/>
        <w:rPr>
          <w:rFonts w:ascii="宋体" w:hAnsi="宋体"/>
          <w:color w:val="auto"/>
          <w:kern w:val="0"/>
          <w:sz w:val="24"/>
          <w:highlight w:val="none"/>
        </w:rPr>
      </w:pPr>
      <w:r>
        <w:rPr>
          <w:rFonts w:ascii="宋体" w:hAnsi="宋体"/>
          <w:color w:val="auto"/>
          <w:sz w:val="24"/>
          <w:highlight w:val="none"/>
        </w:rPr>
        <w:t>除合同另有规定外，</w:t>
      </w:r>
      <w:r>
        <w:rPr>
          <w:rFonts w:hint="eastAsia" w:ascii="宋体" w:hAnsi="宋体"/>
          <w:color w:val="auto"/>
          <w:sz w:val="24"/>
          <w:highlight w:val="none"/>
        </w:rPr>
        <w:t>施工单位</w:t>
      </w:r>
      <w:r>
        <w:rPr>
          <w:rFonts w:ascii="宋体" w:hAnsi="宋体"/>
          <w:color w:val="auto"/>
          <w:kern w:val="0"/>
          <w:sz w:val="24"/>
          <w:highlight w:val="none"/>
        </w:rPr>
        <w:t>应按监理人的指示，为进入现场的其他施工单位等提供施工和生活用电、用水</w:t>
      </w:r>
      <w:r>
        <w:rPr>
          <w:rFonts w:hint="eastAsia" w:ascii="宋体" w:hAnsi="宋体"/>
          <w:color w:val="auto"/>
          <w:kern w:val="0"/>
          <w:sz w:val="24"/>
          <w:highlight w:val="none"/>
        </w:rPr>
        <w:t>便利</w:t>
      </w:r>
      <w:r>
        <w:rPr>
          <w:rFonts w:ascii="宋体" w:hAnsi="宋体"/>
          <w:color w:val="auto"/>
          <w:kern w:val="0"/>
          <w:sz w:val="24"/>
          <w:highlight w:val="none"/>
        </w:rPr>
        <w:t>。</w:t>
      </w:r>
    </w:p>
    <w:p w14:paraId="4D9E9358">
      <w:pPr>
        <w:spacing w:line="36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4.2.2.4</w:t>
      </w:r>
      <w:r>
        <w:rPr>
          <w:rFonts w:ascii="宋体" w:hAnsi="宋体"/>
          <w:color w:val="auto"/>
          <w:kern w:val="0"/>
          <w:sz w:val="24"/>
          <w:highlight w:val="none"/>
        </w:rPr>
        <w:t>施工期间的排水由</w:t>
      </w:r>
      <w:r>
        <w:rPr>
          <w:rFonts w:hint="eastAsia" w:ascii="宋体" w:hAnsi="宋体"/>
          <w:color w:val="auto"/>
          <w:kern w:val="0"/>
          <w:sz w:val="24"/>
          <w:highlight w:val="none"/>
        </w:rPr>
        <w:t>施工单位</w:t>
      </w:r>
      <w:r>
        <w:rPr>
          <w:rFonts w:ascii="宋体" w:hAnsi="宋体"/>
          <w:color w:val="auto"/>
          <w:kern w:val="0"/>
          <w:sz w:val="24"/>
          <w:highlight w:val="none"/>
        </w:rPr>
        <w:t>根据现场情况充分考虑防汛、防台及其他措施的需要，制定措施方案，如发生相关费用，则由中标人在投标报价中考虑，今后不得因此类事件进行相关费用的索赔。若中标人在施工中违反上述规定，引起政府有关部门的处罚，责任自负。</w:t>
      </w:r>
    </w:p>
    <w:p w14:paraId="13AE0F64">
      <w:pPr>
        <w:spacing w:line="36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4.2.2.5</w:t>
      </w:r>
      <w:r>
        <w:rPr>
          <w:rFonts w:ascii="宋体" w:hAnsi="宋体"/>
          <w:color w:val="auto"/>
          <w:kern w:val="0"/>
          <w:sz w:val="24"/>
          <w:highlight w:val="none"/>
        </w:rPr>
        <w:t>中标人</w:t>
      </w:r>
      <w:r>
        <w:rPr>
          <w:rFonts w:hint="eastAsia" w:ascii="宋体" w:hAnsi="宋体"/>
          <w:color w:val="auto"/>
          <w:kern w:val="0"/>
          <w:sz w:val="24"/>
          <w:highlight w:val="none"/>
        </w:rPr>
        <w:t>中标后，</w:t>
      </w:r>
      <w:r>
        <w:rPr>
          <w:rFonts w:ascii="宋体" w:hAnsi="宋体"/>
          <w:color w:val="auto"/>
          <w:kern w:val="0"/>
          <w:sz w:val="24"/>
          <w:highlight w:val="none"/>
        </w:rPr>
        <w:t>负责</w:t>
      </w:r>
      <w:r>
        <w:rPr>
          <w:rFonts w:hint="eastAsia" w:ascii="宋体" w:hAnsi="宋体"/>
          <w:color w:val="auto"/>
          <w:kern w:val="0"/>
          <w:sz w:val="24"/>
          <w:highlight w:val="none"/>
        </w:rPr>
        <w:t>本标段全部</w:t>
      </w:r>
      <w:r>
        <w:rPr>
          <w:rFonts w:ascii="宋体" w:hAnsi="宋体"/>
          <w:color w:val="auto"/>
          <w:kern w:val="0"/>
          <w:sz w:val="24"/>
          <w:highlight w:val="none"/>
        </w:rPr>
        <w:t>材料</w:t>
      </w:r>
      <w:r>
        <w:rPr>
          <w:rFonts w:hint="eastAsia" w:ascii="宋体" w:hAnsi="宋体"/>
          <w:color w:val="auto"/>
          <w:kern w:val="0"/>
          <w:sz w:val="24"/>
          <w:highlight w:val="none"/>
        </w:rPr>
        <w:t>、</w:t>
      </w:r>
      <w:r>
        <w:rPr>
          <w:rFonts w:ascii="宋体" w:hAnsi="宋体"/>
          <w:color w:val="auto"/>
          <w:kern w:val="0"/>
          <w:sz w:val="24"/>
          <w:highlight w:val="none"/>
        </w:rPr>
        <w:t>设备</w:t>
      </w:r>
      <w:r>
        <w:rPr>
          <w:rFonts w:hint="eastAsia" w:ascii="宋体" w:hAnsi="宋体"/>
          <w:color w:val="auto"/>
          <w:kern w:val="0"/>
          <w:sz w:val="24"/>
          <w:highlight w:val="none"/>
        </w:rPr>
        <w:t>、机械、</w:t>
      </w:r>
      <w:r>
        <w:rPr>
          <w:rFonts w:ascii="宋体" w:hAnsi="宋体"/>
          <w:color w:val="auto"/>
          <w:kern w:val="0"/>
          <w:sz w:val="24"/>
          <w:highlight w:val="none"/>
        </w:rPr>
        <w:t>成品</w:t>
      </w:r>
      <w:r>
        <w:rPr>
          <w:rFonts w:hint="eastAsia" w:ascii="宋体" w:hAnsi="宋体"/>
          <w:color w:val="auto"/>
          <w:kern w:val="0"/>
          <w:sz w:val="24"/>
          <w:highlight w:val="none"/>
        </w:rPr>
        <w:t>等</w:t>
      </w:r>
      <w:r>
        <w:rPr>
          <w:rFonts w:ascii="宋体" w:hAnsi="宋体"/>
          <w:color w:val="auto"/>
          <w:kern w:val="0"/>
          <w:sz w:val="24"/>
          <w:highlight w:val="none"/>
        </w:rPr>
        <w:t>的照管</w:t>
      </w:r>
      <w:r>
        <w:rPr>
          <w:rFonts w:hint="eastAsia" w:ascii="宋体" w:hAnsi="宋体"/>
          <w:color w:val="auto"/>
          <w:kern w:val="0"/>
          <w:sz w:val="24"/>
          <w:highlight w:val="none"/>
        </w:rPr>
        <w:t>和</w:t>
      </w:r>
      <w:r>
        <w:rPr>
          <w:rFonts w:ascii="宋体" w:hAnsi="宋体"/>
          <w:color w:val="auto"/>
          <w:kern w:val="0"/>
          <w:sz w:val="24"/>
          <w:highlight w:val="none"/>
        </w:rPr>
        <w:t>保护</w:t>
      </w:r>
      <w:r>
        <w:rPr>
          <w:rFonts w:hint="eastAsia" w:ascii="宋体" w:hAnsi="宋体"/>
          <w:color w:val="auto"/>
          <w:kern w:val="0"/>
          <w:sz w:val="24"/>
          <w:highlight w:val="none"/>
        </w:rPr>
        <w:t>责任</w:t>
      </w:r>
      <w:r>
        <w:rPr>
          <w:rFonts w:ascii="宋体" w:hAnsi="宋体"/>
          <w:color w:val="auto"/>
          <w:kern w:val="0"/>
          <w:sz w:val="24"/>
          <w:highlight w:val="none"/>
        </w:rPr>
        <w:t>，时间从</w:t>
      </w:r>
      <w:r>
        <w:rPr>
          <w:rFonts w:hint="eastAsia" w:ascii="宋体" w:hAnsi="宋体"/>
          <w:color w:val="auto"/>
          <w:kern w:val="0"/>
          <w:sz w:val="24"/>
          <w:highlight w:val="none"/>
        </w:rPr>
        <w:t>开工日</w:t>
      </w:r>
      <w:r>
        <w:rPr>
          <w:rFonts w:ascii="宋体" w:hAnsi="宋体"/>
          <w:color w:val="auto"/>
          <w:kern w:val="0"/>
          <w:sz w:val="24"/>
          <w:highlight w:val="none"/>
        </w:rPr>
        <w:t>起，至本工程竣工验收并移交给</w:t>
      </w:r>
      <w:r>
        <w:rPr>
          <w:rFonts w:hint="eastAsia" w:ascii="宋体" w:hAnsi="宋体"/>
          <w:color w:val="auto"/>
          <w:kern w:val="0"/>
          <w:sz w:val="24"/>
          <w:highlight w:val="none"/>
        </w:rPr>
        <w:t>发包人</w:t>
      </w:r>
      <w:r>
        <w:rPr>
          <w:rFonts w:ascii="宋体" w:hAnsi="宋体"/>
          <w:color w:val="auto"/>
          <w:kern w:val="0"/>
          <w:sz w:val="24"/>
          <w:highlight w:val="none"/>
        </w:rPr>
        <w:t>止</w:t>
      </w:r>
      <w:r>
        <w:rPr>
          <w:rFonts w:hint="eastAsia" w:ascii="宋体" w:hAnsi="宋体"/>
          <w:color w:val="auto"/>
          <w:kern w:val="0"/>
          <w:sz w:val="24"/>
          <w:highlight w:val="none"/>
        </w:rPr>
        <w:t>。</w:t>
      </w:r>
      <w:r>
        <w:rPr>
          <w:rFonts w:ascii="宋体" w:hAnsi="宋体"/>
          <w:color w:val="auto"/>
          <w:kern w:val="0"/>
          <w:sz w:val="24"/>
          <w:highlight w:val="none"/>
        </w:rPr>
        <w:t>因失窃失火或其他原因而造成的损失均由中标人负责</w:t>
      </w:r>
      <w:r>
        <w:rPr>
          <w:rFonts w:hint="eastAsia" w:ascii="宋体" w:hAnsi="宋体"/>
          <w:color w:val="auto"/>
          <w:kern w:val="0"/>
          <w:sz w:val="24"/>
          <w:highlight w:val="none"/>
        </w:rPr>
        <w:t>，</w:t>
      </w:r>
      <w:r>
        <w:rPr>
          <w:rFonts w:ascii="宋体" w:hAnsi="宋体"/>
          <w:color w:val="auto"/>
          <w:kern w:val="0"/>
          <w:sz w:val="24"/>
          <w:highlight w:val="none"/>
        </w:rPr>
        <w:t>凡由此而损及</w:t>
      </w:r>
      <w:r>
        <w:rPr>
          <w:rFonts w:hint="eastAsia" w:ascii="宋体" w:hAnsi="宋体"/>
          <w:color w:val="auto"/>
          <w:kern w:val="0"/>
          <w:sz w:val="24"/>
          <w:highlight w:val="none"/>
        </w:rPr>
        <w:t>发包人和</w:t>
      </w:r>
      <w:r>
        <w:rPr>
          <w:rFonts w:ascii="宋体" w:hAnsi="宋体"/>
          <w:color w:val="auto"/>
          <w:kern w:val="0"/>
          <w:sz w:val="24"/>
          <w:highlight w:val="none"/>
        </w:rPr>
        <w:t>使用人利益时，中标人应负责赔偿损失</w:t>
      </w:r>
      <w:r>
        <w:rPr>
          <w:rFonts w:hint="eastAsia" w:ascii="宋体" w:hAnsi="宋体"/>
          <w:color w:val="auto"/>
          <w:kern w:val="0"/>
          <w:sz w:val="24"/>
          <w:highlight w:val="none"/>
        </w:rPr>
        <w:t>。</w:t>
      </w:r>
    </w:p>
    <w:p w14:paraId="3E7C1C0A">
      <w:pPr>
        <w:spacing w:line="360" w:lineRule="exact"/>
        <w:ind w:firstLine="480" w:firstLineChars="200"/>
        <w:rPr>
          <w:rFonts w:ascii="宋体" w:hAnsi="宋体"/>
          <w:color w:val="auto"/>
          <w:kern w:val="0"/>
          <w:sz w:val="24"/>
          <w:highlight w:val="none"/>
        </w:rPr>
      </w:pPr>
      <w:r>
        <w:rPr>
          <w:rFonts w:hint="eastAsia" w:ascii="宋体" w:hAnsi="宋体"/>
          <w:color w:val="auto"/>
          <w:kern w:val="0"/>
          <w:sz w:val="24"/>
          <w:highlight w:val="none"/>
        </w:rPr>
        <w:t>4.2.2.6严格按照防火、防雷、防渗漏的国家标准和设计要求进行施工，保证各种试验合格的同时，完成完工后的清洗工作。</w:t>
      </w:r>
    </w:p>
    <w:p w14:paraId="2D6D9BEC">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4.2.2.7按招标人的总体要求负责本项目竣工资料的汇编，并提交招标人，协助招标人做好本项目竣工验收工作。</w:t>
      </w:r>
    </w:p>
    <w:p w14:paraId="3F9B41D8">
      <w:pPr>
        <w:spacing w:line="360" w:lineRule="exact"/>
        <w:ind w:firstLine="480" w:firstLineChars="200"/>
        <w:rPr>
          <w:rFonts w:ascii="宋体" w:hAnsi="宋体" w:cs="Courier New"/>
          <w:color w:val="auto"/>
          <w:sz w:val="24"/>
          <w:highlight w:val="none"/>
        </w:rPr>
      </w:pPr>
      <w:r>
        <w:rPr>
          <w:rFonts w:hint="eastAsia" w:ascii="宋体" w:hAnsi="宋体" w:cs="Courier New"/>
          <w:color w:val="auto"/>
          <w:sz w:val="24"/>
          <w:highlight w:val="none"/>
        </w:rPr>
        <w:t>4.2.2.8施工过程采用新技术、新工艺、新材料，必须符合现行强制性条文的规定，否则应按规定报审批准后才能实施。</w:t>
      </w:r>
    </w:p>
    <w:p w14:paraId="34BBB516">
      <w:pPr>
        <w:spacing w:line="360" w:lineRule="exact"/>
        <w:ind w:firstLine="480" w:firstLineChars="200"/>
        <w:rPr>
          <w:rFonts w:ascii="宋体" w:hAnsi="宋体" w:cs="Courier New"/>
          <w:color w:val="auto"/>
          <w:sz w:val="24"/>
          <w:highlight w:val="none"/>
        </w:rPr>
      </w:pPr>
      <w:r>
        <w:rPr>
          <w:rFonts w:hint="eastAsia" w:ascii="宋体" w:hAnsi="宋体" w:cs="Courier New"/>
          <w:color w:val="auto"/>
          <w:sz w:val="24"/>
          <w:highlight w:val="none"/>
        </w:rPr>
        <w:t>4</w:t>
      </w:r>
      <w:r>
        <w:rPr>
          <w:rFonts w:ascii="宋体" w:hAnsi="宋体" w:cs="Courier New"/>
          <w:color w:val="auto"/>
          <w:sz w:val="24"/>
          <w:highlight w:val="none"/>
        </w:rPr>
        <w:t>.2.2.</w:t>
      </w:r>
      <w:r>
        <w:rPr>
          <w:rFonts w:hint="eastAsia" w:ascii="宋体" w:hAnsi="宋体" w:cs="Courier New"/>
          <w:color w:val="auto"/>
          <w:sz w:val="24"/>
          <w:highlight w:val="none"/>
        </w:rPr>
        <w:t>9</w:t>
      </w:r>
      <w:r>
        <w:rPr>
          <w:rFonts w:ascii="宋体" w:hAnsi="宋体" w:cs="Courier New"/>
          <w:color w:val="auto"/>
          <w:sz w:val="24"/>
          <w:highlight w:val="none"/>
        </w:rPr>
        <w:t xml:space="preserve"> 压力管道施工</w:t>
      </w:r>
      <w:r>
        <w:rPr>
          <w:rFonts w:hint="eastAsia" w:ascii="宋体" w:hAnsi="宋体" w:cs="Courier New"/>
          <w:color w:val="auto"/>
          <w:sz w:val="24"/>
          <w:highlight w:val="none"/>
        </w:rPr>
        <w:t>，</w:t>
      </w:r>
      <w:r>
        <w:rPr>
          <w:rFonts w:ascii="宋体" w:hAnsi="宋体" w:cs="Courier New"/>
          <w:color w:val="auto"/>
          <w:sz w:val="24"/>
          <w:highlight w:val="none"/>
        </w:rPr>
        <w:t>焊接质量按</w:t>
      </w:r>
      <w:r>
        <w:rPr>
          <w:rFonts w:hint="eastAsia" w:ascii="宋体" w:hAnsi="宋体" w:cs="Courier New"/>
          <w:color w:val="auto"/>
          <w:sz w:val="24"/>
          <w:highlight w:val="none"/>
        </w:rPr>
        <w:t>《_压力管道焊接质量管理规定》（</w:t>
      </w:r>
      <w:r>
        <w:rPr>
          <w:rFonts w:ascii="宋体" w:hAnsi="宋体" w:cs="Courier New"/>
          <w:color w:val="auto"/>
          <w:sz w:val="24"/>
          <w:highlight w:val="none"/>
        </w:rPr>
        <w:t>巨化股份〔2020〕 64 号</w:t>
      </w:r>
      <w:r>
        <w:rPr>
          <w:rFonts w:hint="eastAsia" w:ascii="宋体" w:hAnsi="宋体" w:cs="Courier New"/>
          <w:color w:val="auto"/>
          <w:sz w:val="24"/>
          <w:highlight w:val="none"/>
        </w:rPr>
        <w:t>）执行，对于涉及危险介质的压力管道无损探伤比例提高至1</w:t>
      </w:r>
      <w:r>
        <w:rPr>
          <w:rFonts w:ascii="宋体" w:hAnsi="宋体" w:cs="Courier New"/>
          <w:color w:val="auto"/>
          <w:sz w:val="24"/>
          <w:highlight w:val="none"/>
        </w:rPr>
        <w:t>00</w:t>
      </w:r>
      <w:r>
        <w:rPr>
          <w:rFonts w:hint="eastAsia" w:ascii="宋体" w:hAnsi="宋体" w:cs="Courier New"/>
          <w:color w:val="auto"/>
          <w:sz w:val="24"/>
          <w:highlight w:val="none"/>
        </w:rPr>
        <w:t>%。</w:t>
      </w:r>
    </w:p>
    <w:p w14:paraId="69B993D2">
      <w:pPr>
        <w:spacing w:line="360" w:lineRule="exact"/>
        <w:ind w:firstLine="480" w:firstLineChars="200"/>
        <w:rPr>
          <w:rFonts w:ascii="宋体" w:hAnsi="宋体" w:cs="Courier New"/>
          <w:color w:val="auto"/>
          <w:sz w:val="24"/>
          <w:highlight w:val="none"/>
        </w:rPr>
      </w:pPr>
      <w:r>
        <w:rPr>
          <w:rFonts w:hint="eastAsia" w:ascii="宋体" w:hAnsi="宋体" w:cs="Courier New"/>
          <w:color w:val="auto"/>
          <w:sz w:val="24"/>
          <w:highlight w:val="none"/>
        </w:rPr>
        <w:t>4</w:t>
      </w:r>
      <w:r>
        <w:rPr>
          <w:rFonts w:ascii="宋体" w:hAnsi="宋体" w:cs="Courier New"/>
          <w:color w:val="auto"/>
          <w:sz w:val="24"/>
          <w:highlight w:val="none"/>
        </w:rPr>
        <w:t>.2.2.</w:t>
      </w:r>
      <w:r>
        <w:rPr>
          <w:rFonts w:hint="eastAsia" w:ascii="宋体" w:hAnsi="宋体" w:cs="Courier New"/>
          <w:color w:val="auto"/>
          <w:sz w:val="24"/>
          <w:highlight w:val="none"/>
        </w:rPr>
        <w:t xml:space="preserve">10 </w:t>
      </w:r>
      <w:r>
        <w:rPr>
          <w:rFonts w:ascii="宋体" w:hAnsi="宋体" w:cs="Courier New"/>
          <w:color w:val="auto"/>
          <w:sz w:val="24"/>
          <w:highlight w:val="none"/>
        </w:rPr>
        <w:t>项目全过程施工、竣工</w:t>
      </w:r>
      <w:r>
        <w:rPr>
          <w:rFonts w:hint="eastAsia" w:ascii="宋体" w:hAnsi="宋体" w:cs="Courier New"/>
          <w:color w:val="auto"/>
          <w:sz w:val="24"/>
          <w:highlight w:val="none"/>
        </w:rPr>
        <w:t>、变更、试车</w:t>
      </w:r>
      <w:r>
        <w:rPr>
          <w:rFonts w:ascii="宋体" w:hAnsi="宋体" w:cs="Courier New"/>
          <w:color w:val="auto"/>
          <w:sz w:val="24"/>
          <w:highlight w:val="none"/>
        </w:rPr>
        <w:t>等资料除按规定提供纸质版外，</w:t>
      </w:r>
      <w:r>
        <w:rPr>
          <w:rFonts w:hint="eastAsia" w:ascii="宋体" w:hAnsi="宋体" w:cs="Courier New"/>
          <w:color w:val="auto"/>
          <w:sz w:val="24"/>
          <w:highlight w:val="none"/>
        </w:rPr>
        <w:t>电子版</w:t>
      </w:r>
      <w:r>
        <w:rPr>
          <w:rFonts w:ascii="宋体" w:hAnsi="宋体" w:cs="Courier New"/>
          <w:color w:val="auto"/>
          <w:sz w:val="24"/>
          <w:highlight w:val="none"/>
        </w:rPr>
        <w:t>需配合</w:t>
      </w:r>
      <w:r>
        <w:rPr>
          <w:rFonts w:hint="eastAsia" w:ascii="宋体" w:hAnsi="宋体" w:cs="Courier New"/>
          <w:color w:val="auto"/>
          <w:sz w:val="24"/>
          <w:highlight w:val="none"/>
        </w:rPr>
        <w:t>按时导入巨化集团PMS建设项目管理系统。</w:t>
      </w:r>
    </w:p>
    <w:p w14:paraId="7AD67027">
      <w:pPr>
        <w:spacing w:line="360" w:lineRule="exact"/>
        <w:rPr>
          <w:rFonts w:hAnsi="宋体"/>
          <w:color w:val="auto"/>
          <w:sz w:val="24"/>
          <w:highlight w:val="none"/>
        </w:rPr>
      </w:pPr>
      <w:r>
        <w:rPr>
          <w:rFonts w:hint="eastAsia" w:ascii="宋体" w:hAnsi="宋体"/>
          <w:b/>
          <w:color w:val="auto"/>
          <w:sz w:val="24"/>
          <w:highlight w:val="none"/>
        </w:rPr>
        <w:t xml:space="preserve">4.3 </w:t>
      </w:r>
      <w:r>
        <w:rPr>
          <w:rFonts w:hint="eastAsia" w:hAnsi="宋体"/>
          <w:color w:val="auto"/>
          <w:sz w:val="24"/>
          <w:highlight w:val="none"/>
        </w:rPr>
        <w:t>工程实施的技术标准和规范一般规定</w:t>
      </w:r>
    </w:p>
    <w:p w14:paraId="14E19740">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4.3.1</w:t>
      </w:r>
      <w:r>
        <w:rPr>
          <w:rFonts w:ascii="宋体" w:hAnsi="宋体"/>
          <w:color w:val="auto"/>
          <w:sz w:val="24"/>
          <w:highlight w:val="none"/>
        </w:rPr>
        <w:t>除本技术要求另有规定外，所有材料、设备和工程的质量均应符合招标时国家和项目所在地已颁布标准、规范的相应规定和要求，其中与本技术要求不一致时以要求高的为准。</w:t>
      </w:r>
    </w:p>
    <w:p w14:paraId="5CA5A1AB">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4.3.2</w:t>
      </w:r>
      <w:r>
        <w:rPr>
          <w:rFonts w:ascii="宋体" w:hAnsi="宋体"/>
          <w:color w:val="auto"/>
          <w:sz w:val="24"/>
          <w:highlight w:val="none"/>
        </w:rPr>
        <w:t>在合同履行期间，本工程所采用的标准或规范有修改或新颁，监理人认为有必要采用时，在报经</w:t>
      </w:r>
      <w:r>
        <w:rPr>
          <w:rFonts w:hint="eastAsia" w:ascii="宋体" w:hAnsi="宋体"/>
          <w:color w:val="auto"/>
          <w:sz w:val="24"/>
          <w:highlight w:val="none"/>
        </w:rPr>
        <w:t>招标人</w:t>
      </w:r>
      <w:r>
        <w:rPr>
          <w:rFonts w:ascii="宋体" w:hAnsi="宋体"/>
          <w:color w:val="auto"/>
          <w:sz w:val="24"/>
          <w:highlight w:val="none"/>
        </w:rPr>
        <w:t>和设计单位批准后，应向</w:t>
      </w:r>
      <w:r>
        <w:rPr>
          <w:rFonts w:hint="eastAsia" w:ascii="宋体" w:hAnsi="宋体"/>
          <w:color w:val="auto"/>
          <w:sz w:val="24"/>
          <w:highlight w:val="none"/>
        </w:rPr>
        <w:t>中标人</w:t>
      </w:r>
      <w:r>
        <w:rPr>
          <w:rFonts w:ascii="宋体" w:hAnsi="宋体"/>
          <w:color w:val="auto"/>
          <w:sz w:val="24"/>
          <w:highlight w:val="none"/>
        </w:rPr>
        <w:t>发出变更指令。</w:t>
      </w:r>
    </w:p>
    <w:p w14:paraId="2D956CE6">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4.3.3</w:t>
      </w:r>
      <w:r>
        <w:rPr>
          <w:rFonts w:ascii="宋体" w:hAnsi="宋体"/>
          <w:color w:val="auto"/>
          <w:sz w:val="24"/>
          <w:highlight w:val="none"/>
        </w:rPr>
        <w:t>对本工程所采用的标准或规范的任何部分，当中标人认为改用其他标准或规范，同样能够保证工程达到相同质量或更高的质量时，中标人可提出申请报经监理人、设计单位、发包人和使用人审批后采用，但这种批准不免除中标人根据合同规定应承担的任何责任。申请报告中应对原采用的标准或规范与所建议改用的其他标准或规范之间的差异进行详细说明，并在期望监理工程师批准的日期前至少28个工作日提交。获批之前中标人仍应执行原采用的标准或规范。</w:t>
      </w:r>
    </w:p>
    <w:p w14:paraId="16AF1A65">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4.3.4</w:t>
      </w:r>
      <w:r>
        <w:rPr>
          <w:rFonts w:ascii="宋体" w:hAnsi="宋体"/>
          <w:color w:val="auto"/>
          <w:sz w:val="24"/>
          <w:highlight w:val="none"/>
        </w:rPr>
        <w:t>除本技术条款另有规定外，中标人及施工单位施工所用的材料、设备、施工工艺和工程质量的检验和验收应符合本技术条款中引用的国家和行业颁布的技术标准和规程规范规定的技术要求。</w:t>
      </w:r>
    </w:p>
    <w:p w14:paraId="56DE3B56">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4.3.5</w:t>
      </w:r>
      <w:r>
        <w:rPr>
          <w:rFonts w:ascii="宋体" w:hAnsi="宋体"/>
          <w:color w:val="auto"/>
          <w:sz w:val="24"/>
          <w:highlight w:val="none"/>
        </w:rPr>
        <w:t>当本技术条款的内容与所引用的标准和规程规范的规定有矛盾时，应以监理人指示为准。</w:t>
      </w:r>
    </w:p>
    <w:p w14:paraId="51EAA3B8">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4.3.6</w:t>
      </w:r>
      <w:r>
        <w:rPr>
          <w:rFonts w:ascii="宋体" w:hAnsi="宋体"/>
          <w:color w:val="auto"/>
          <w:sz w:val="24"/>
          <w:highlight w:val="none"/>
        </w:rPr>
        <w:t>技术条款中有关涉及工程安全的规定，必须严格遵守国家和行业的标准，遇有矛盾时应由监理人按国家和行业标准的规定进行修正。</w:t>
      </w:r>
    </w:p>
    <w:p w14:paraId="5876FFFF">
      <w:pPr>
        <w:spacing w:line="360" w:lineRule="exact"/>
        <w:ind w:firstLine="480" w:firstLineChars="200"/>
        <w:rPr>
          <w:rFonts w:ascii="宋体" w:hAnsi="宋体"/>
          <w:color w:val="auto"/>
          <w:sz w:val="24"/>
          <w:highlight w:val="none"/>
        </w:rPr>
      </w:pPr>
      <w:r>
        <w:rPr>
          <w:rFonts w:hint="eastAsia" w:ascii="宋体" w:hAnsi="宋体"/>
          <w:color w:val="auto"/>
          <w:sz w:val="24"/>
          <w:highlight w:val="none"/>
        </w:rPr>
        <w:t>4.3.7</w:t>
      </w:r>
      <w:r>
        <w:rPr>
          <w:rFonts w:ascii="宋体" w:hAnsi="宋体"/>
          <w:color w:val="auto"/>
          <w:sz w:val="24"/>
          <w:highlight w:val="none"/>
        </w:rPr>
        <w:t>在施工过程中，监理人为保证工程质量和施工进度的要求，有权指示中标人或</w:t>
      </w:r>
      <w:r>
        <w:rPr>
          <w:rFonts w:hint="eastAsia" w:ascii="宋体" w:hAnsi="宋体"/>
          <w:color w:val="auto"/>
          <w:sz w:val="24"/>
          <w:highlight w:val="none"/>
        </w:rPr>
        <w:t>施工单位</w:t>
      </w:r>
      <w:r>
        <w:rPr>
          <w:rFonts w:ascii="宋体" w:hAnsi="宋体"/>
          <w:color w:val="auto"/>
          <w:sz w:val="24"/>
          <w:highlight w:val="none"/>
        </w:rPr>
        <w:t>采用新技术和新工艺，并增补和修改技术条款的内容。其增补和修改的内容涉及变更时，应按合同条款的规定办理。</w:t>
      </w:r>
    </w:p>
    <w:p w14:paraId="1C0E33D5">
      <w:pPr>
        <w:spacing w:line="360" w:lineRule="exact"/>
        <w:ind w:firstLine="480" w:firstLineChars="200"/>
        <w:rPr>
          <w:rFonts w:ascii="宋体" w:hAnsi="宋体" w:cs="宋体"/>
          <w:color w:val="auto"/>
          <w:sz w:val="24"/>
          <w:highlight w:val="none"/>
        </w:rPr>
      </w:pPr>
      <w:r>
        <w:rPr>
          <w:rFonts w:hint="eastAsia" w:ascii="宋体" w:hAnsi="宋体"/>
          <w:color w:val="auto"/>
          <w:sz w:val="24"/>
          <w:highlight w:val="none"/>
        </w:rPr>
        <w:t>4.3.8本招标项目采用的材料、设备、施工、检验检测、验收等均须符合本工程施工图等设计文件的要求，并按现行的国家标准、相关技术规范等实施。</w:t>
      </w:r>
    </w:p>
    <w:p w14:paraId="5EF96F95">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5 教育培训、试车及试生产</w:t>
      </w:r>
    </w:p>
    <w:p w14:paraId="69394D94">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5.1 教育培训：</w:t>
      </w:r>
      <w:r>
        <w:rPr>
          <w:rFonts w:hint="eastAsia" w:ascii="宋体" w:hAnsi="宋体"/>
          <w:color w:val="auto"/>
          <w:sz w:val="24"/>
          <w:highlight w:val="none"/>
        </w:rPr>
        <w:t>项目投料试车前，中标人配合招标人组织开车前培训</w:t>
      </w:r>
    </w:p>
    <w:p w14:paraId="69E848A2">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5.2 单机试车：</w:t>
      </w:r>
      <w:r>
        <w:rPr>
          <w:rFonts w:hint="eastAsia" w:ascii="宋体" w:hAnsi="宋体"/>
          <w:color w:val="auto"/>
          <w:sz w:val="24"/>
          <w:highlight w:val="none"/>
        </w:rPr>
        <w:t>中标人负责单机方案的编制和试车，做好试车记录和整改</w:t>
      </w:r>
    </w:p>
    <w:p w14:paraId="09824EAD">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5.3 联动试车：</w:t>
      </w:r>
      <w:r>
        <w:rPr>
          <w:rFonts w:hint="eastAsia" w:ascii="宋体" w:hAnsi="宋体"/>
          <w:color w:val="auto"/>
          <w:sz w:val="24"/>
          <w:highlight w:val="none"/>
        </w:rPr>
        <w:t>中标人配合招标人进行联动试车，打通整个流程，做好试车记录和整改。</w:t>
      </w:r>
    </w:p>
    <w:p w14:paraId="4B6C32C1">
      <w:pPr>
        <w:adjustRightInd w:val="0"/>
        <w:snapToGrid w:val="0"/>
        <w:spacing w:line="360" w:lineRule="auto"/>
        <w:rPr>
          <w:rFonts w:ascii="宋体" w:hAnsi="宋体"/>
          <w:color w:val="auto"/>
          <w:sz w:val="24"/>
          <w:highlight w:val="none"/>
        </w:rPr>
      </w:pPr>
      <w:r>
        <w:rPr>
          <w:rFonts w:hint="eastAsia" w:ascii="宋体" w:hAnsi="宋体"/>
          <w:b/>
          <w:color w:val="auto"/>
          <w:sz w:val="24"/>
          <w:highlight w:val="none"/>
        </w:rPr>
        <w:t>5.5 化工投料试车以及试生产：</w:t>
      </w:r>
      <w:r>
        <w:rPr>
          <w:rFonts w:hint="eastAsia" w:ascii="宋体" w:hAnsi="宋体"/>
          <w:color w:val="auto"/>
          <w:sz w:val="24"/>
          <w:highlight w:val="none"/>
        </w:rPr>
        <w:t>配合招标人组织装置的投料试车和试生产，通过72小时性能考核后移交给发包人。</w:t>
      </w:r>
    </w:p>
    <w:p w14:paraId="37786104">
      <w:pPr>
        <w:snapToGrid w:val="0"/>
        <w:spacing w:line="360" w:lineRule="auto"/>
        <w:rPr>
          <w:rFonts w:ascii="宋体" w:hAnsi="宋体"/>
          <w:b/>
          <w:color w:val="auto"/>
          <w:sz w:val="24"/>
          <w:highlight w:val="none"/>
        </w:rPr>
      </w:pPr>
      <w:r>
        <w:rPr>
          <w:rFonts w:hint="eastAsia" w:ascii="宋体" w:hAnsi="宋体"/>
          <w:b/>
          <w:color w:val="auto"/>
          <w:sz w:val="24"/>
          <w:highlight w:val="none"/>
        </w:rPr>
        <w:t>6性能测试和考核</w:t>
      </w:r>
    </w:p>
    <w:p w14:paraId="06DDD971">
      <w:pPr>
        <w:snapToGrid w:val="0"/>
        <w:spacing w:line="360" w:lineRule="auto"/>
        <w:rPr>
          <w:rFonts w:ascii="宋体" w:hAnsi="宋体"/>
          <w:color w:val="auto"/>
          <w:sz w:val="24"/>
          <w:highlight w:val="none"/>
        </w:rPr>
      </w:pPr>
      <w:r>
        <w:rPr>
          <w:rFonts w:hint="eastAsia" w:ascii="宋体" w:hAnsi="宋体"/>
          <w:color w:val="auto"/>
          <w:sz w:val="24"/>
          <w:highlight w:val="none"/>
        </w:rPr>
        <w:t>6.1系统调试确认验收合格双方签字之日起后1个月进行性能测试与考核。</w:t>
      </w:r>
    </w:p>
    <w:p w14:paraId="27172BD2">
      <w:pPr>
        <w:snapToGrid w:val="0"/>
        <w:spacing w:line="360" w:lineRule="auto"/>
        <w:rPr>
          <w:rFonts w:ascii="宋体" w:hAnsi="宋体"/>
          <w:color w:val="auto"/>
          <w:sz w:val="24"/>
          <w:highlight w:val="none"/>
        </w:rPr>
      </w:pPr>
      <w:r>
        <w:rPr>
          <w:rFonts w:hint="eastAsia" w:ascii="宋体" w:hAnsi="宋体"/>
          <w:color w:val="auto"/>
          <w:sz w:val="24"/>
          <w:highlight w:val="none"/>
        </w:rPr>
        <w:t>6.2性能测试考核办法</w:t>
      </w:r>
    </w:p>
    <w:p w14:paraId="1694D0A1">
      <w:pPr>
        <w:snapToGrid w:val="0"/>
        <w:spacing w:line="360" w:lineRule="auto"/>
        <w:ind w:firstLine="360" w:firstLineChars="150"/>
        <w:rPr>
          <w:rFonts w:ascii="宋体" w:hAnsi="宋体"/>
          <w:color w:val="auto"/>
          <w:sz w:val="24"/>
          <w:highlight w:val="none"/>
        </w:rPr>
      </w:pPr>
      <w:r>
        <w:rPr>
          <w:rFonts w:hint="eastAsia" w:ascii="宋体" w:hAnsi="宋体"/>
          <w:color w:val="auto"/>
          <w:sz w:val="24"/>
          <w:highlight w:val="none"/>
        </w:rPr>
        <w:t>系统与设备调试合格后采用72小时连续生产运行测试，同时设备于一年内实现稳定运行，未发生因设备或施工质量原因造成的超过两周检维修。72小时系统性能考核指标如下，以第三方检测结果为准：</w:t>
      </w:r>
    </w:p>
    <w:p w14:paraId="6849B59C">
      <w:pPr>
        <w:snapToGrid w:val="0"/>
        <w:spacing w:line="360" w:lineRule="auto"/>
        <w:jc w:val="center"/>
        <w:rPr>
          <w:rFonts w:ascii="宋体" w:hAnsi="宋体"/>
          <w:color w:val="auto"/>
          <w:sz w:val="24"/>
          <w:highlight w:val="none"/>
        </w:rPr>
      </w:pPr>
      <w:r>
        <w:rPr>
          <w:rFonts w:hint="eastAsia" w:ascii="宋体" w:hAnsi="宋体"/>
          <w:color w:val="auto"/>
          <w:sz w:val="24"/>
          <w:highlight w:val="none"/>
        </w:rPr>
        <w:t>系统性能考核表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499"/>
        <w:gridCol w:w="5603"/>
      </w:tblGrid>
      <w:tr w14:paraId="1019C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5BC7549B">
            <w:pPr>
              <w:snapToGrid w:val="0"/>
              <w:spacing w:line="360" w:lineRule="auto"/>
              <w:jc w:val="center"/>
              <w:rPr>
                <w:rFonts w:ascii="宋体" w:hAnsi="宋体"/>
                <w:color w:val="auto"/>
                <w:sz w:val="24"/>
                <w:highlight w:val="none"/>
              </w:rPr>
            </w:pPr>
            <w:r>
              <w:rPr>
                <w:rFonts w:ascii="宋体" w:hAnsi="宋体"/>
                <w:color w:val="auto"/>
                <w:sz w:val="24"/>
                <w:highlight w:val="none"/>
              </w:rPr>
              <w:t>序号</w:t>
            </w:r>
          </w:p>
        </w:tc>
        <w:tc>
          <w:tcPr>
            <w:tcW w:w="2499" w:type="dxa"/>
          </w:tcPr>
          <w:p w14:paraId="574B5E8A">
            <w:pPr>
              <w:snapToGrid w:val="0"/>
              <w:spacing w:line="360" w:lineRule="auto"/>
              <w:jc w:val="center"/>
              <w:rPr>
                <w:rFonts w:ascii="宋体" w:hAnsi="宋体"/>
                <w:color w:val="auto"/>
                <w:sz w:val="24"/>
                <w:highlight w:val="none"/>
              </w:rPr>
            </w:pPr>
            <w:r>
              <w:rPr>
                <w:rFonts w:hint="eastAsia" w:ascii="宋体" w:hAnsi="宋体"/>
                <w:color w:val="auto"/>
                <w:sz w:val="24"/>
                <w:highlight w:val="none"/>
              </w:rPr>
              <w:t>考核内容</w:t>
            </w:r>
          </w:p>
        </w:tc>
        <w:tc>
          <w:tcPr>
            <w:tcW w:w="5603" w:type="dxa"/>
          </w:tcPr>
          <w:p w14:paraId="0C12C634">
            <w:pPr>
              <w:snapToGrid w:val="0"/>
              <w:spacing w:line="360" w:lineRule="auto"/>
              <w:jc w:val="center"/>
              <w:rPr>
                <w:rFonts w:ascii="宋体" w:hAnsi="宋体"/>
                <w:color w:val="auto"/>
                <w:sz w:val="24"/>
                <w:highlight w:val="none"/>
              </w:rPr>
            </w:pPr>
            <w:r>
              <w:rPr>
                <w:rFonts w:hint="eastAsia" w:ascii="宋体" w:hAnsi="宋体"/>
                <w:color w:val="auto"/>
                <w:sz w:val="24"/>
                <w:highlight w:val="none"/>
              </w:rPr>
              <w:t>考核指标</w:t>
            </w:r>
          </w:p>
        </w:tc>
      </w:tr>
      <w:tr w14:paraId="5E56D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59" w:type="dxa"/>
            <w:vAlign w:val="center"/>
          </w:tcPr>
          <w:p w14:paraId="72A63FF2">
            <w:pPr>
              <w:snapToGrid w:val="0"/>
              <w:spacing w:line="360" w:lineRule="auto"/>
              <w:jc w:val="center"/>
              <w:rPr>
                <w:rFonts w:ascii="宋体" w:hAnsi="宋体"/>
                <w:color w:val="auto"/>
                <w:sz w:val="24"/>
                <w:highlight w:val="none"/>
              </w:rPr>
            </w:pPr>
            <w:r>
              <w:rPr>
                <w:rFonts w:ascii="宋体" w:hAnsi="宋体"/>
                <w:color w:val="auto"/>
                <w:sz w:val="24"/>
                <w:highlight w:val="none"/>
              </w:rPr>
              <w:t>1</w:t>
            </w:r>
          </w:p>
        </w:tc>
        <w:tc>
          <w:tcPr>
            <w:tcW w:w="2499" w:type="dxa"/>
            <w:vAlign w:val="center"/>
          </w:tcPr>
          <w:p w14:paraId="02B9C83D">
            <w:pPr>
              <w:snapToGrid w:val="0"/>
              <w:spacing w:line="360" w:lineRule="auto"/>
              <w:rPr>
                <w:rFonts w:ascii="宋体" w:hAnsi="宋体"/>
                <w:color w:val="auto"/>
                <w:sz w:val="24"/>
                <w:highlight w:val="none"/>
              </w:rPr>
            </w:pPr>
            <w:r>
              <w:rPr>
                <w:rFonts w:hint="eastAsia" w:ascii="宋体" w:hAnsi="宋体"/>
                <w:color w:val="auto"/>
                <w:sz w:val="24"/>
                <w:highlight w:val="none"/>
              </w:rPr>
              <w:t>低压蒸汽</w:t>
            </w:r>
          </w:p>
        </w:tc>
        <w:tc>
          <w:tcPr>
            <w:tcW w:w="5603" w:type="dxa"/>
          </w:tcPr>
          <w:p w14:paraId="44995939">
            <w:pPr>
              <w:snapToGrid w:val="0"/>
              <w:spacing w:line="360" w:lineRule="auto"/>
              <w:rPr>
                <w:rFonts w:ascii="宋体" w:hAnsi="宋体"/>
                <w:color w:val="auto"/>
                <w:sz w:val="24"/>
                <w:highlight w:val="none"/>
              </w:rPr>
            </w:pPr>
            <w:r>
              <w:rPr>
                <w:rFonts w:hint="eastAsia" w:ascii="宋体" w:hAnsi="宋体"/>
                <w:color w:val="auto"/>
                <w:sz w:val="24"/>
                <w:highlight w:val="none"/>
              </w:rPr>
              <w:t>压缩机出口减温蒸汽产量≥10</w:t>
            </w:r>
            <w:r>
              <w:rPr>
                <w:rFonts w:ascii="宋体" w:hAnsi="宋体"/>
                <w:color w:val="auto"/>
                <w:sz w:val="24"/>
                <w:highlight w:val="none"/>
              </w:rPr>
              <w:t>t</w:t>
            </w:r>
            <w:r>
              <w:rPr>
                <w:rFonts w:hint="eastAsia" w:ascii="宋体" w:hAnsi="宋体"/>
                <w:color w:val="auto"/>
                <w:sz w:val="24"/>
                <w:highlight w:val="none"/>
              </w:rPr>
              <w:t>/</w:t>
            </w:r>
            <w:r>
              <w:rPr>
                <w:rFonts w:ascii="宋体" w:hAnsi="宋体"/>
                <w:color w:val="auto"/>
                <w:sz w:val="24"/>
                <w:highlight w:val="none"/>
              </w:rPr>
              <w:t>h</w:t>
            </w:r>
            <w:r>
              <w:rPr>
                <w:rFonts w:hint="eastAsia" w:ascii="宋体" w:hAnsi="宋体"/>
                <w:color w:val="auto"/>
                <w:sz w:val="24"/>
                <w:highlight w:val="none"/>
              </w:rPr>
              <w:t>，压力、温度达标</w:t>
            </w:r>
          </w:p>
        </w:tc>
      </w:tr>
      <w:tr w14:paraId="5FE63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959" w:type="dxa"/>
            <w:vAlign w:val="center"/>
          </w:tcPr>
          <w:p w14:paraId="0ED7D257">
            <w:pPr>
              <w:snapToGrid w:val="0"/>
              <w:spacing w:line="360" w:lineRule="auto"/>
              <w:jc w:val="center"/>
              <w:rPr>
                <w:rFonts w:ascii="宋体" w:hAnsi="宋体"/>
                <w:color w:val="auto"/>
                <w:sz w:val="24"/>
                <w:highlight w:val="none"/>
              </w:rPr>
            </w:pPr>
            <w:r>
              <w:rPr>
                <w:rFonts w:hint="eastAsia" w:ascii="宋体" w:hAnsi="宋体"/>
                <w:color w:val="auto"/>
                <w:sz w:val="24"/>
                <w:highlight w:val="none"/>
              </w:rPr>
              <w:t>2</w:t>
            </w:r>
          </w:p>
        </w:tc>
        <w:tc>
          <w:tcPr>
            <w:tcW w:w="2499" w:type="dxa"/>
            <w:vAlign w:val="center"/>
          </w:tcPr>
          <w:p w14:paraId="50225B04">
            <w:pPr>
              <w:snapToGrid w:val="0"/>
              <w:spacing w:line="360" w:lineRule="auto"/>
              <w:rPr>
                <w:rFonts w:ascii="宋体" w:hAnsi="宋体"/>
                <w:color w:val="auto"/>
                <w:sz w:val="24"/>
                <w:highlight w:val="none"/>
              </w:rPr>
            </w:pPr>
            <w:r>
              <w:rPr>
                <w:rFonts w:hint="eastAsia" w:ascii="宋体" w:hAnsi="宋体"/>
                <w:color w:val="auto"/>
                <w:sz w:val="24"/>
                <w:highlight w:val="none"/>
              </w:rPr>
              <w:t>蒸汽压缩机组用电</w:t>
            </w:r>
          </w:p>
        </w:tc>
        <w:tc>
          <w:tcPr>
            <w:tcW w:w="5603" w:type="dxa"/>
          </w:tcPr>
          <w:p w14:paraId="643430E0">
            <w:pPr>
              <w:snapToGrid w:val="0"/>
              <w:spacing w:line="360" w:lineRule="auto"/>
              <w:rPr>
                <w:rFonts w:ascii="宋体" w:hAnsi="宋体"/>
                <w:color w:val="auto"/>
                <w:sz w:val="24"/>
                <w:highlight w:val="none"/>
              </w:rPr>
            </w:pPr>
            <w:r>
              <w:rPr>
                <w:rFonts w:hint="eastAsia" w:ascii="宋体" w:hAnsi="宋体"/>
                <w:color w:val="auto"/>
                <w:sz w:val="24"/>
                <w:highlight w:val="none"/>
              </w:rPr>
              <w:t>吨均蒸汽用电量不超过设定指标5</w:t>
            </w:r>
            <w:r>
              <w:rPr>
                <w:rFonts w:ascii="宋体" w:hAnsi="宋体"/>
                <w:color w:val="auto"/>
                <w:sz w:val="24"/>
                <w:highlight w:val="none"/>
              </w:rPr>
              <w:t>%（设定</w:t>
            </w:r>
            <w:r>
              <w:rPr>
                <w:rFonts w:hint="eastAsia" w:ascii="宋体" w:hAnsi="宋体"/>
                <w:color w:val="auto"/>
                <w:sz w:val="24"/>
                <w:highlight w:val="none"/>
              </w:rPr>
              <w:t>指标</w:t>
            </w:r>
            <w:r>
              <w:rPr>
                <w:rFonts w:ascii="宋体" w:hAnsi="宋体"/>
                <w:color w:val="auto"/>
                <w:sz w:val="24"/>
                <w:highlight w:val="none"/>
              </w:rPr>
              <w:t>基于投标文件用电</w:t>
            </w:r>
            <w:r>
              <w:rPr>
                <w:rFonts w:hint="eastAsia" w:ascii="宋体" w:hAnsi="宋体"/>
                <w:color w:val="auto"/>
                <w:sz w:val="24"/>
                <w:highlight w:val="none"/>
              </w:rPr>
              <w:t>计算</w:t>
            </w:r>
            <w:r>
              <w:rPr>
                <w:rFonts w:ascii="宋体" w:hAnsi="宋体"/>
                <w:color w:val="auto"/>
                <w:sz w:val="24"/>
                <w:highlight w:val="none"/>
              </w:rPr>
              <w:t>）</w:t>
            </w:r>
          </w:p>
        </w:tc>
      </w:tr>
    </w:tbl>
    <w:p w14:paraId="1F00880D">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7</w:t>
      </w:r>
      <w:r>
        <w:rPr>
          <w:rFonts w:ascii="宋体" w:hAnsi="宋体"/>
          <w:b/>
          <w:color w:val="auto"/>
          <w:sz w:val="24"/>
          <w:highlight w:val="none"/>
        </w:rPr>
        <w:t>、</w:t>
      </w:r>
      <w:r>
        <w:rPr>
          <w:rFonts w:hint="eastAsia" w:ascii="宋体" w:hAnsi="宋体"/>
          <w:b/>
          <w:color w:val="auto"/>
          <w:sz w:val="24"/>
          <w:highlight w:val="none"/>
        </w:rPr>
        <w:t>投标技术</w:t>
      </w:r>
      <w:r>
        <w:rPr>
          <w:rFonts w:ascii="宋体" w:hAnsi="宋体"/>
          <w:b/>
          <w:color w:val="auto"/>
          <w:sz w:val="24"/>
          <w:highlight w:val="none"/>
        </w:rPr>
        <w:t>技术文件</w:t>
      </w:r>
    </w:p>
    <w:p w14:paraId="1D20E15D">
      <w:pPr>
        <w:adjustRightInd w:val="0"/>
        <w:snapToGrid w:val="0"/>
        <w:spacing w:line="360" w:lineRule="auto"/>
        <w:ind w:firstLine="360" w:firstLineChars="150"/>
        <w:rPr>
          <w:rFonts w:ascii="宋体" w:hAnsi="宋体"/>
          <w:color w:val="auto"/>
          <w:sz w:val="24"/>
          <w:highlight w:val="none"/>
        </w:rPr>
      </w:pPr>
      <w:r>
        <w:rPr>
          <w:rFonts w:ascii="宋体" w:hAnsi="宋体"/>
          <w:color w:val="auto"/>
          <w:sz w:val="24"/>
          <w:highlight w:val="none"/>
        </w:rPr>
        <w:t>投标技术文件应包括但不限于下列内容：</w:t>
      </w:r>
    </w:p>
    <w:p w14:paraId="1EE87F9F">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7</w:t>
      </w:r>
      <w:r>
        <w:rPr>
          <w:rFonts w:ascii="宋体" w:hAnsi="宋体"/>
          <w:b/>
          <w:color w:val="auto"/>
          <w:sz w:val="24"/>
          <w:highlight w:val="none"/>
        </w:rPr>
        <w:t>.1 初步技术方案</w:t>
      </w:r>
    </w:p>
    <w:p w14:paraId="13362D9D">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第一章 基本设计（包括经济评价、概算）</w:t>
      </w:r>
    </w:p>
    <w:p w14:paraId="123FF26E">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第二章 计划进度</w:t>
      </w:r>
    </w:p>
    <w:p w14:paraId="2C338A5D">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第三章 人员培训、建筑施工、性能测试技术指导服务及启动调试</w:t>
      </w:r>
    </w:p>
    <w:p w14:paraId="068978F2">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第四章 性能测试考核及工程预验收</w:t>
      </w:r>
    </w:p>
    <w:p w14:paraId="265864EC">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第五章 质量保证</w:t>
      </w:r>
    </w:p>
    <w:p w14:paraId="0F4F7EEE">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第六章 技术服务和售后服务的内容及措施。</w:t>
      </w:r>
    </w:p>
    <w:p w14:paraId="5348EC30">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第七章 执行的标准</w:t>
      </w:r>
    </w:p>
    <w:p w14:paraId="6200F665">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第八章 双方分工</w:t>
      </w:r>
    </w:p>
    <w:p w14:paraId="345A12D9">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第九章 发包人应提供的资料清单</w:t>
      </w:r>
    </w:p>
    <w:p w14:paraId="5CDCCF76">
      <w:pPr>
        <w:adjustRightInd w:val="0"/>
        <w:snapToGrid w:val="0"/>
        <w:spacing w:line="360" w:lineRule="auto"/>
        <w:ind w:firstLine="484" w:firstLineChars="202"/>
        <w:rPr>
          <w:rFonts w:ascii="宋体" w:hAnsi="宋体"/>
          <w:color w:val="auto"/>
          <w:sz w:val="24"/>
          <w:highlight w:val="none"/>
        </w:rPr>
      </w:pPr>
      <w:r>
        <w:rPr>
          <w:rFonts w:ascii="宋体" w:hAnsi="宋体"/>
          <w:color w:val="auto"/>
          <w:sz w:val="24"/>
          <w:highlight w:val="none"/>
        </w:rPr>
        <w:t>第十章 主要供货商清单（含备品备件清单）</w:t>
      </w:r>
    </w:p>
    <w:p w14:paraId="3DE39EA7">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7</w:t>
      </w:r>
      <w:r>
        <w:rPr>
          <w:rFonts w:ascii="宋体" w:hAnsi="宋体"/>
          <w:b/>
          <w:color w:val="auto"/>
          <w:sz w:val="24"/>
          <w:highlight w:val="none"/>
        </w:rPr>
        <w:t>.2基本设计</w:t>
      </w:r>
    </w:p>
    <w:p w14:paraId="2765A827">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各投标单位应详细提供组成系统的说明，主要技术数据和性能的详细描述等。同时各投标单位必须附各方案计算过程表。</w:t>
      </w:r>
    </w:p>
    <w:p w14:paraId="58BAF694">
      <w:pPr>
        <w:adjustRightInd w:val="0"/>
        <w:snapToGrid w:val="0"/>
        <w:spacing w:line="360" w:lineRule="auto"/>
        <w:rPr>
          <w:rFonts w:ascii="宋体" w:hAnsi="宋体"/>
          <w:b/>
          <w:color w:val="auto"/>
          <w:sz w:val="24"/>
          <w:highlight w:val="none"/>
        </w:rPr>
      </w:pPr>
      <w:r>
        <w:rPr>
          <w:rFonts w:hint="eastAsia" w:ascii="宋体" w:hAnsi="宋体"/>
          <w:b/>
          <w:color w:val="auto"/>
          <w:sz w:val="24"/>
          <w:highlight w:val="none"/>
        </w:rPr>
        <w:t>7</w:t>
      </w:r>
      <w:r>
        <w:rPr>
          <w:rFonts w:ascii="宋体" w:hAnsi="宋体"/>
          <w:b/>
          <w:color w:val="auto"/>
          <w:sz w:val="24"/>
          <w:highlight w:val="none"/>
        </w:rPr>
        <w:t>.3施工组织设计：</w:t>
      </w:r>
    </w:p>
    <w:p w14:paraId="6D3598DD">
      <w:pPr>
        <w:adjustRightInd w:val="0"/>
        <w:snapToGrid w:val="0"/>
        <w:spacing w:line="360" w:lineRule="auto"/>
        <w:ind w:firstLine="480" w:firstLineChars="200"/>
        <w:rPr>
          <w:rFonts w:ascii="宋体" w:hAnsi="宋体"/>
          <w:color w:val="auto"/>
          <w:sz w:val="24"/>
          <w:highlight w:val="none"/>
        </w:rPr>
      </w:pPr>
      <w:r>
        <w:rPr>
          <w:rFonts w:ascii="宋体" w:hAnsi="宋体"/>
          <w:color w:val="auto"/>
          <w:sz w:val="24"/>
          <w:highlight w:val="none"/>
        </w:rPr>
        <w:t>施工单位应根据各单位、各分部工程施工特点，结合自身实力和以往施工同类工程的经验，编制内容完善、重点突出、先进可行的施工方案。方案中应包括：</w:t>
      </w:r>
    </w:p>
    <w:p w14:paraId="642926B0">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（1）总体方案</w:t>
      </w:r>
    </w:p>
    <w:p w14:paraId="612F3591">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（2）测量放线和高程</w:t>
      </w:r>
    </w:p>
    <w:p w14:paraId="6F29E1FB">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（3）质量控制与管理</w:t>
      </w:r>
    </w:p>
    <w:p w14:paraId="4540A6D5">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（4）分部分项工程质量的保证措施</w:t>
      </w:r>
    </w:p>
    <w:p w14:paraId="1A48B7E4">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 xml:space="preserve">（5）关键工序和重要部位的施工方法 </w:t>
      </w:r>
    </w:p>
    <w:p w14:paraId="2E8EF7B8">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（6）工期进度计划</w:t>
      </w:r>
    </w:p>
    <w:p w14:paraId="413A7C97">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（7）施工机具与劳务配备</w:t>
      </w:r>
    </w:p>
    <w:p w14:paraId="31B26D3A">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（8）主要材料组织与管理</w:t>
      </w:r>
    </w:p>
    <w:p w14:paraId="2B90D4F7">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（9）施工组织与管理</w:t>
      </w:r>
    </w:p>
    <w:p w14:paraId="78DF858F">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（10）施工安全、文明施工、标准化工地创建</w:t>
      </w:r>
    </w:p>
    <w:p w14:paraId="24D83B29">
      <w:pPr>
        <w:adjustRightInd w:val="0"/>
        <w:snapToGrid w:val="0"/>
        <w:spacing w:line="360" w:lineRule="auto"/>
        <w:ind w:firstLine="540" w:firstLineChars="225"/>
        <w:rPr>
          <w:rFonts w:ascii="宋体" w:hAnsi="宋体"/>
          <w:color w:val="auto"/>
          <w:sz w:val="24"/>
          <w:highlight w:val="none"/>
        </w:rPr>
      </w:pPr>
      <w:r>
        <w:rPr>
          <w:rFonts w:hint="eastAsia" w:ascii="宋体" w:hAnsi="宋体"/>
          <w:color w:val="auto"/>
          <w:sz w:val="24"/>
          <w:highlight w:val="none"/>
        </w:rPr>
        <w:t>7</w:t>
      </w:r>
      <w:r>
        <w:rPr>
          <w:rFonts w:ascii="宋体" w:hAnsi="宋体"/>
          <w:color w:val="auto"/>
          <w:sz w:val="24"/>
          <w:highlight w:val="none"/>
        </w:rPr>
        <w:t>.4 图表：</w:t>
      </w:r>
    </w:p>
    <w:p w14:paraId="520C4E8C">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10.4.1工程项目管理机构配备情况表</w:t>
      </w:r>
    </w:p>
    <w:p w14:paraId="12DEF4CB">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10.4.2 投入本工程主要施工机械设备表</w:t>
      </w:r>
    </w:p>
    <w:p w14:paraId="379D9C70">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 xml:space="preserve">10.4.3 劳动力计划表 </w:t>
      </w:r>
    </w:p>
    <w:p w14:paraId="678BE5F8">
      <w:pPr>
        <w:adjustRightInd w:val="0"/>
        <w:snapToGrid w:val="0"/>
        <w:spacing w:line="360" w:lineRule="auto"/>
        <w:ind w:firstLine="540" w:firstLineChars="225"/>
        <w:rPr>
          <w:rFonts w:ascii="宋体" w:hAnsi="宋体"/>
          <w:color w:val="auto"/>
          <w:sz w:val="24"/>
          <w:highlight w:val="none"/>
        </w:rPr>
      </w:pPr>
      <w:r>
        <w:rPr>
          <w:rFonts w:ascii="宋体" w:hAnsi="宋体"/>
          <w:color w:val="auto"/>
          <w:sz w:val="24"/>
          <w:highlight w:val="none"/>
        </w:rPr>
        <w:t>10.4.4 临时设施布置及临时用地表</w:t>
      </w:r>
    </w:p>
    <w:p w14:paraId="5CB04E56">
      <w:pPr>
        <w:adjustRightInd w:val="0"/>
        <w:snapToGrid w:val="0"/>
        <w:spacing w:line="360" w:lineRule="auto"/>
        <w:ind w:firstLine="540" w:firstLineChars="225"/>
        <w:rPr>
          <w:rFonts w:ascii="宋体" w:hAnsi="宋体"/>
          <w:color w:val="auto"/>
          <w:sz w:val="24"/>
          <w:highlight w:val="none"/>
        </w:rPr>
      </w:pPr>
      <w:r>
        <w:rPr>
          <w:rFonts w:hint="eastAsia" w:ascii="宋体" w:hAnsi="宋体"/>
          <w:color w:val="auto"/>
          <w:sz w:val="24"/>
          <w:highlight w:val="none"/>
        </w:rPr>
        <w:t>中标人确认施工单位后，</w:t>
      </w:r>
      <w:r>
        <w:rPr>
          <w:rFonts w:ascii="宋体" w:hAnsi="宋体"/>
          <w:color w:val="auto"/>
          <w:sz w:val="24"/>
          <w:highlight w:val="none"/>
        </w:rPr>
        <w:t>应要求施工单位根据上述顺序编制施工组织设计方案文件，可根据中标人要求对上述内容进行补充和扩展。</w:t>
      </w:r>
    </w:p>
    <w:p w14:paraId="0913689D">
      <w:pPr>
        <w:adjustRightInd w:val="0"/>
        <w:snapToGrid w:val="0"/>
        <w:spacing w:line="360" w:lineRule="auto"/>
        <w:rPr>
          <w:rFonts w:ascii="宋体" w:hAnsi="宋体"/>
          <w:b/>
          <w:bCs/>
          <w:color w:val="auto"/>
          <w:sz w:val="24"/>
          <w:highlight w:val="none"/>
        </w:rPr>
      </w:pPr>
      <w:bookmarkStart w:id="296" w:name="_Toc261877474"/>
      <w:bookmarkEnd w:id="296"/>
      <w:bookmarkStart w:id="297" w:name="_Toc261877453"/>
      <w:bookmarkEnd w:id="297"/>
      <w:r>
        <w:rPr>
          <w:rFonts w:hint="eastAsia" w:ascii="宋体" w:hAnsi="宋体"/>
          <w:b/>
          <w:bCs/>
          <w:color w:val="auto"/>
          <w:sz w:val="24"/>
          <w:highlight w:val="none"/>
        </w:rPr>
        <w:t>8</w:t>
      </w:r>
      <w:r>
        <w:rPr>
          <w:rFonts w:ascii="宋体" w:hAnsi="宋体"/>
          <w:b/>
          <w:bCs/>
          <w:color w:val="auto"/>
          <w:sz w:val="24"/>
          <w:highlight w:val="none"/>
        </w:rPr>
        <w:t>、其他要求</w:t>
      </w:r>
    </w:p>
    <w:p w14:paraId="3869F12D">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.1中标人、施工单位必须严格遵守国家及招标人的相关规定。</w:t>
      </w:r>
    </w:p>
    <w:p w14:paraId="0E048730">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.2 进场施工前，</w:t>
      </w:r>
      <w:r>
        <w:rPr>
          <w:rFonts w:hint="eastAsia" w:ascii="宋体" w:hAnsi="宋体"/>
          <w:color w:val="auto"/>
          <w:sz w:val="24"/>
          <w:highlight w:val="none"/>
        </w:rPr>
        <w:t>中标人</w:t>
      </w:r>
      <w:r>
        <w:rPr>
          <w:rFonts w:ascii="宋体" w:hAnsi="宋体"/>
          <w:color w:val="auto"/>
          <w:sz w:val="24"/>
          <w:highlight w:val="none"/>
        </w:rPr>
        <w:t>必须与</w:t>
      </w:r>
      <w:r>
        <w:rPr>
          <w:rFonts w:hint="eastAsia" w:ascii="宋体" w:hAnsi="宋体"/>
          <w:color w:val="auto"/>
          <w:sz w:val="24"/>
          <w:highlight w:val="none"/>
        </w:rPr>
        <w:t>施工单位</w:t>
      </w:r>
      <w:r>
        <w:rPr>
          <w:rFonts w:hint="eastAsia" w:ascii="宋体" w:hAnsi="宋体"/>
          <w:b/>
          <w:color w:val="auto"/>
          <w:sz w:val="24"/>
          <w:highlight w:val="none"/>
        </w:rPr>
        <w:t>《</w:t>
      </w:r>
      <w:r>
        <w:rPr>
          <w:rFonts w:ascii="宋体" w:hAnsi="宋体"/>
          <w:b/>
          <w:color w:val="auto"/>
          <w:sz w:val="24"/>
          <w:highlight w:val="none"/>
        </w:rPr>
        <w:t>安全文明施工</w:t>
      </w:r>
      <w:r>
        <w:rPr>
          <w:rFonts w:hint="eastAsia" w:ascii="宋体" w:hAnsi="宋体"/>
          <w:b/>
          <w:color w:val="auto"/>
          <w:sz w:val="24"/>
          <w:highlight w:val="none"/>
        </w:rPr>
        <w:t>协议》</w:t>
      </w:r>
      <w:r>
        <w:rPr>
          <w:rFonts w:ascii="宋体" w:hAnsi="宋体"/>
          <w:color w:val="auto"/>
          <w:sz w:val="24"/>
          <w:highlight w:val="none"/>
        </w:rPr>
        <w:t>，确保安全文明施工。</w:t>
      </w:r>
    </w:p>
    <w:p w14:paraId="24D55484">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.4 施工过程中，</w:t>
      </w:r>
      <w:r>
        <w:rPr>
          <w:rFonts w:hint="eastAsia" w:ascii="宋体" w:hAnsi="宋体"/>
          <w:color w:val="auto"/>
          <w:sz w:val="24"/>
          <w:highlight w:val="none"/>
        </w:rPr>
        <w:t>施工单位</w:t>
      </w:r>
      <w:r>
        <w:rPr>
          <w:rFonts w:ascii="宋体" w:hAnsi="宋体"/>
          <w:color w:val="auto"/>
          <w:sz w:val="24"/>
          <w:highlight w:val="none"/>
        </w:rPr>
        <w:t>需向</w:t>
      </w:r>
      <w:r>
        <w:rPr>
          <w:rFonts w:hint="eastAsia" w:ascii="宋体" w:hAnsi="宋体"/>
          <w:color w:val="auto"/>
          <w:sz w:val="24"/>
          <w:highlight w:val="none"/>
        </w:rPr>
        <w:t>中标人</w:t>
      </w:r>
      <w:r>
        <w:rPr>
          <w:rFonts w:ascii="宋体" w:hAnsi="宋体"/>
          <w:color w:val="auto"/>
          <w:sz w:val="24"/>
          <w:highlight w:val="none"/>
        </w:rPr>
        <w:t>提供4套施工资料（含施工图蓝图</w:t>
      </w:r>
      <w:r>
        <w:rPr>
          <w:rFonts w:hint="eastAsia" w:ascii="宋体" w:hAnsi="宋体"/>
          <w:color w:val="auto"/>
          <w:sz w:val="24"/>
          <w:highlight w:val="none"/>
        </w:rPr>
        <w:t>以及</w:t>
      </w:r>
      <w:r>
        <w:rPr>
          <w:rFonts w:ascii="宋体" w:hAnsi="宋体"/>
          <w:color w:val="auto"/>
          <w:sz w:val="24"/>
          <w:highlight w:val="none"/>
        </w:rPr>
        <w:t>整套Autocad</w:t>
      </w:r>
      <w:r>
        <w:rPr>
          <w:rFonts w:hint="eastAsia" w:ascii="宋体" w:hAnsi="宋体"/>
          <w:color w:val="auto"/>
          <w:sz w:val="24"/>
          <w:highlight w:val="none"/>
        </w:rPr>
        <w:t>电子版</w:t>
      </w:r>
      <w:r>
        <w:rPr>
          <w:rFonts w:ascii="宋体" w:hAnsi="宋体"/>
          <w:color w:val="auto"/>
          <w:sz w:val="24"/>
          <w:highlight w:val="none"/>
        </w:rPr>
        <w:t>施工图），审核后移交招标人。</w:t>
      </w:r>
    </w:p>
    <w:p w14:paraId="4489A3D6">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.5 中标人列出项目竣工时需向发包人移交的资料清单。应包括但不限于以下资料：</w:t>
      </w:r>
    </w:p>
    <w:p w14:paraId="1CB71F3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.5.1  4套</w:t>
      </w:r>
      <w:r>
        <w:rPr>
          <w:rFonts w:hint="eastAsia" w:ascii="宋体" w:hAnsi="宋体"/>
          <w:color w:val="auto"/>
          <w:sz w:val="24"/>
          <w:highlight w:val="none"/>
        </w:rPr>
        <w:t>竣工</w:t>
      </w:r>
      <w:r>
        <w:rPr>
          <w:rFonts w:ascii="宋体" w:hAnsi="宋体"/>
          <w:color w:val="auto"/>
          <w:sz w:val="24"/>
          <w:highlight w:val="none"/>
        </w:rPr>
        <w:t>资料（含</w:t>
      </w:r>
      <w:r>
        <w:rPr>
          <w:rFonts w:hint="eastAsia" w:ascii="宋体" w:hAnsi="宋体"/>
          <w:color w:val="auto"/>
          <w:sz w:val="24"/>
          <w:highlight w:val="none"/>
        </w:rPr>
        <w:t>竣</w:t>
      </w:r>
      <w:r>
        <w:rPr>
          <w:rFonts w:ascii="宋体" w:hAnsi="宋体"/>
          <w:color w:val="auto"/>
          <w:sz w:val="24"/>
          <w:highlight w:val="none"/>
        </w:rPr>
        <w:t>工图，</w:t>
      </w:r>
      <w:r>
        <w:rPr>
          <w:rFonts w:hint="eastAsia" w:ascii="宋体" w:hAnsi="宋体"/>
          <w:color w:val="auto"/>
          <w:sz w:val="24"/>
          <w:highlight w:val="none"/>
        </w:rPr>
        <w:t>竣</w:t>
      </w:r>
      <w:r>
        <w:rPr>
          <w:rFonts w:ascii="宋体" w:hAnsi="宋体"/>
          <w:color w:val="auto"/>
          <w:sz w:val="24"/>
          <w:highlight w:val="none"/>
        </w:rPr>
        <w:t>工图需提供蓝图</w:t>
      </w:r>
      <w:r>
        <w:rPr>
          <w:rFonts w:hint="eastAsia" w:ascii="宋体" w:hAnsi="宋体"/>
          <w:color w:val="auto"/>
          <w:sz w:val="24"/>
          <w:highlight w:val="none"/>
        </w:rPr>
        <w:t>，同时提供电子版</w:t>
      </w:r>
      <w:r>
        <w:rPr>
          <w:rFonts w:ascii="宋体" w:hAnsi="宋体"/>
          <w:color w:val="auto"/>
          <w:sz w:val="24"/>
          <w:highlight w:val="none"/>
        </w:rPr>
        <w:t>）。</w:t>
      </w:r>
    </w:p>
    <w:p w14:paraId="1A28147D">
      <w:pPr>
        <w:adjustRightInd w:val="0"/>
        <w:snapToGrid w:val="0"/>
        <w:spacing w:line="360" w:lineRule="auto"/>
        <w:rPr>
          <w:rFonts w:ascii="宋体" w:hAnsi="宋体"/>
          <w:color w:val="auto"/>
          <w:sz w:val="24"/>
          <w:highlight w:val="none"/>
        </w:rPr>
      </w:pPr>
      <w:r>
        <w:rPr>
          <w:rFonts w:ascii="宋体" w:hAnsi="宋体"/>
          <w:color w:val="auto"/>
          <w:sz w:val="24"/>
          <w:highlight w:val="none"/>
        </w:rPr>
        <w:t>交工资料必须满足</w:t>
      </w:r>
      <w:r>
        <w:rPr>
          <w:rFonts w:hint="eastAsia" w:ascii="宋体" w:hAnsi="宋体"/>
          <w:color w:val="auto"/>
          <w:sz w:val="24"/>
          <w:highlight w:val="none"/>
        </w:rPr>
        <w:t>《工业安装工程施工质量验收统一标准》 （GB/T50252-2018）、《化学工业工程建设交工技术文件规定》（HG/T20237-2014）要求。</w:t>
      </w:r>
    </w:p>
    <w:p w14:paraId="768E37A2">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.5.2 所有设备资料（包括设备说明书、设备图纸、设备备品备件清单、电气仪表图纸等）。</w:t>
      </w:r>
    </w:p>
    <w:p w14:paraId="33315153">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.5.3 提供5套完整的四规一法（工艺规程、设备检修规程、分析规程、安全技术规程、岗位操作法）等资料。</w:t>
      </w:r>
    </w:p>
    <w:p w14:paraId="6C8BA23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.5.4 其他</w:t>
      </w:r>
      <w:r>
        <w:rPr>
          <w:rFonts w:hint="eastAsia" w:ascii="宋体" w:hAnsi="宋体"/>
          <w:color w:val="auto"/>
          <w:sz w:val="24"/>
          <w:highlight w:val="none"/>
        </w:rPr>
        <w:t>招标</w:t>
      </w:r>
      <w:r>
        <w:rPr>
          <w:rFonts w:ascii="宋体" w:hAnsi="宋体"/>
          <w:color w:val="auto"/>
          <w:sz w:val="24"/>
          <w:highlight w:val="none"/>
        </w:rPr>
        <w:t>所需的必需资料。所有施工资料、图纸及其他资料必须符合发包人的要求。</w:t>
      </w:r>
    </w:p>
    <w:p w14:paraId="1BCC5521">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8.5.5 所有施工过程资料均需</w:t>
      </w:r>
      <w:r>
        <w:rPr>
          <w:rFonts w:ascii="宋体" w:hAnsi="宋体"/>
          <w:color w:val="auto"/>
          <w:sz w:val="24"/>
          <w:highlight w:val="none"/>
        </w:rPr>
        <w:t>配合完成</w:t>
      </w:r>
      <w:r>
        <w:rPr>
          <w:rFonts w:hint="eastAsia" w:ascii="宋体" w:hAnsi="宋体"/>
          <w:color w:val="auto"/>
          <w:sz w:val="24"/>
          <w:highlight w:val="none"/>
        </w:rPr>
        <w:t>巨化集团PMS建设</w:t>
      </w:r>
      <w:r>
        <w:rPr>
          <w:rFonts w:ascii="宋体" w:hAnsi="宋体"/>
          <w:color w:val="auto"/>
          <w:sz w:val="24"/>
          <w:highlight w:val="none"/>
        </w:rPr>
        <w:t>项目管理系统</w:t>
      </w:r>
      <w:r>
        <w:rPr>
          <w:rFonts w:hint="eastAsia" w:ascii="宋体" w:hAnsi="宋体"/>
          <w:color w:val="auto"/>
          <w:sz w:val="24"/>
          <w:highlight w:val="none"/>
        </w:rPr>
        <w:t>录入。</w:t>
      </w:r>
    </w:p>
    <w:p w14:paraId="7A41677F">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.6 中标人在项目竣工时需向</w:t>
      </w:r>
      <w:r>
        <w:rPr>
          <w:rFonts w:hint="eastAsia" w:ascii="宋体" w:hAnsi="宋体"/>
          <w:color w:val="auto"/>
          <w:sz w:val="24"/>
          <w:highlight w:val="none"/>
        </w:rPr>
        <w:t>招标</w:t>
      </w:r>
      <w:r>
        <w:rPr>
          <w:rFonts w:ascii="宋体" w:hAnsi="宋体"/>
          <w:color w:val="auto"/>
          <w:sz w:val="24"/>
          <w:highlight w:val="none"/>
        </w:rPr>
        <w:t>人移交的设备备品备件及其清单。</w:t>
      </w:r>
    </w:p>
    <w:p w14:paraId="3047C12E">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 xml:space="preserve">.7 </w:t>
      </w:r>
      <w:r>
        <w:rPr>
          <w:rFonts w:hint="eastAsia" w:ascii="宋体" w:hAnsi="宋体"/>
          <w:color w:val="auto"/>
          <w:sz w:val="24"/>
          <w:highlight w:val="none"/>
        </w:rPr>
        <w:t>本项目</w:t>
      </w:r>
      <w:r>
        <w:rPr>
          <w:rFonts w:ascii="宋体" w:hAnsi="宋体"/>
          <w:color w:val="auto"/>
          <w:sz w:val="24"/>
          <w:highlight w:val="none"/>
        </w:rPr>
        <w:t>涉及特种设备，中标人应遵循电化厂《</w:t>
      </w:r>
      <w:r>
        <w:rPr>
          <w:rFonts w:hint="eastAsia" w:ascii="宋体" w:hAnsi="宋体"/>
          <w:color w:val="auto"/>
          <w:sz w:val="24"/>
          <w:highlight w:val="none"/>
        </w:rPr>
        <w:t>特种设备及安全附件管理规定</w:t>
      </w:r>
      <w:r>
        <w:rPr>
          <w:rFonts w:ascii="宋体" w:hAnsi="宋体"/>
          <w:color w:val="auto"/>
          <w:sz w:val="24"/>
          <w:highlight w:val="none"/>
        </w:rPr>
        <w:t>》、国家相关法律法规</w:t>
      </w:r>
      <w:r>
        <w:rPr>
          <w:rFonts w:hint="eastAsia" w:ascii="宋体" w:hAnsi="宋体"/>
          <w:color w:val="auto"/>
          <w:sz w:val="24"/>
          <w:highlight w:val="none"/>
        </w:rPr>
        <w:t>及安全技术规范要求</w:t>
      </w:r>
      <w:r>
        <w:rPr>
          <w:rFonts w:ascii="宋体" w:hAnsi="宋体"/>
          <w:color w:val="auto"/>
          <w:sz w:val="24"/>
          <w:highlight w:val="none"/>
        </w:rPr>
        <w:t>定期进行校验维护，并将相关技术资料提交招标人存档，由招标人进行日常记录、管理。</w:t>
      </w:r>
    </w:p>
    <w:p w14:paraId="4715DB07">
      <w:pPr>
        <w:adjustRightInd w:val="0"/>
        <w:snapToGrid w:val="0"/>
        <w:spacing w:line="360" w:lineRule="auto"/>
        <w:rPr>
          <w:rFonts w:ascii="宋体" w:hAnsi="宋体"/>
          <w:color w:val="auto"/>
          <w:sz w:val="24"/>
          <w:highlight w:val="none"/>
        </w:rPr>
      </w:pPr>
      <w:r>
        <w:rPr>
          <w:rFonts w:hint="eastAsia" w:ascii="宋体" w:hAnsi="宋体"/>
          <w:color w:val="auto"/>
          <w:sz w:val="24"/>
          <w:highlight w:val="none"/>
        </w:rPr>
        <w:t>8</w:t>
      </w:r>
      <w:r>
        <w:rPr>
          <w:rFonts w:ascii="宋体" w:hAnsi="宋体"/>
          <w:color w:val="auto"/>
          <w:sz w:val="24"/>
          <w:highlight w:val="none"/>
        </w:rPr>
        <w:t>.8 本项目因</w:t>
      </w:r>
      <w:r>
        <w:rPr>
          <w:rFonts w:hint="eastAsia" w:ascii="宋体" w:hAnsi="宋体"/>
          <w:color w:val="auto"/>
          <w:sz w:val="24"/>
          <w:highlight w:val="none"/>
        </w:rPr>
        <w:t>投标人</w:t>
      </w:r>
      <w:r>
        <w:rPr>
          <w:rFonts w:ascii="宋体" w:hAnsi="宋体"/>
          <w:color w:val="auto"/>
          <w:sz w:val="24"/>
          <w:highlight w:val="none"/>
        </w:rPr>
        <w:t>原因装置停车，年累计次数超</w:t>
      </w:r>
      <w:r>
        <w:rPr>
          <w:rFonts w:hint="eastAsia" w:ascii="宋体" w:hAnsi="宋体"/>
          <w:color w:val="auto"/>
          <w:sz w:val="24"/>
          <w:highlight w:val="none"/>
        </w:rPr>
        <w:t>3次，导致年运行时间少于7000小时，按7</w:t>
      </w:r>
      <w:r>
        <w:rPr>
          <w:rFonts w:ascii="宋体" w:hAnsi="宋体"/>
          <w:color w:val="auto"/>
          <w:sz w:val="24"/>
          <w:highlight w:val="none"/>
        </w:rPr>
        <w:t>000小时进行效益计算、分成，不足部分由投标人补足。</w:t>
      </w:r>
    </w:p>
    <w:p w14:paraId="59CEC3C6">
      <w:pPr>
        <w:rPr>
          <w:rFonts w:ascii="宋体"/>
          <w:color w:val="auto"/>
          <w:highlight w:val="none"/>
        </w:rPr>
      </w:pPr>
    </w:p>
    <w:p w14:paraId="21254BB8">
      <w:pPr>
        <w:spacing w:line="440" w:lineRule="exact"/>
        <w:ind w:firstLine="720" w:firstLineChars="200"/>
        <w:jc w:val="left"/>
        <w:rPr>
          <w:rFonts w:ascii="宋体"/>
          <w:color w:val="auto"/>
          <w:sz w:val="36"/>
          <w:szCs w:val="36"/>
          <w:highlight w:val="none"/>
        </w:rPr>
      </w:pPr>
    </w:p>
    <w:p w14:paraId="11A78905">
      <w:pPr>
        <w:spacing w:line="440" w:lineRule="exact"/>
        <w:ind w:firstLine="720" w:firstLineChars="200"/>
        <w:jc w:val="left"/>
        <w:rPr>
          <w:rFonts w:ascii="宋体"/>
          <w:color w:val="auto"/>
          <w:sz w:val="36"/>
          <w:szCs w:val="36"/>
          <w:highlight w:val="none"/>
        </w:rPr>
      </w:pPr>
    </w:p>
    <w:p w14:paraId="326F22D9">
      <w:pPr>
        <w:spacing w:line="440" w:lineRule="exact"/>
        <w:ind w:firstLine="720" w:firstLineChars="200"/>
        <w:jc w:val="left"/>
        <w:rPr>
          <w:rFonts w:ascii="宋体"/>
          <w:color w:val="auto"/>
          <w:sz w:val="36"/>
          <w:szCs w:val="36"/>
          <w:highlight w:val="none"/>
        </w:rPr>
      </w:pPr>
    </w:p>
    <w:p w14:paraId="5082BAD0">
      <w:pPr>
        <w:spacing w:line="440" w:lineRule="exact"/>
        <w:ind w:firstLine="720" w:firstLineChars="200"/>
        <w:jc w:val="left"/>
        <w:rPr>
          <w:rFonts w:ascii="宋体"/>
          <w:color w:val="auto"/>
          <w:sz w:val="36"/>
          <w:szCs w:val="36"/>
          <w:highlight w:val="none"/>
        </w:rPr>
      </w:pPr>
    </w:p>
    <w:p w14:paraId="4418082B">
      <w:pPr>
        <w:spacing w:line="440" w:lineRule="exact"/>
        <w:ind w:firstLine="720" w:firstLineChars="200"/>
        <w:jc w:val="left"/>
        <w:rPr>
          <w:rFonts w:ascii="宋体"/>
          <w:color w:val="auto"/>
          <w:sz w:val="36"/>
          <w:szCs w:val="36"/>
          <w:highlight w:val="none"/>
        </w:rPr>
      </w:pPr>
    </w:p>
    <w:p w14:paraId="2C80A60C">
      <w:pPr>
        <w:spacing w:line="440" w:lineRule="exact"/>
        <w:ind w:firstLine="720" w:firstLineChars="200"/>
        <w:jc w:val="left"/>
        <w:rPr>
          <w:rFonts w:ascii="宋体"/>
          <w:color w:val="auto"/>
          <w:sz w:val="36"/>
          <w:szCs w:val="36"/>
          <w:highlight w:val="none"/>
        </w:rPr>
      </w:pPr>
    </w:p>
    <w:p w14:paraId="09260D6E">
      <w:pPr>
        <w:spacing w:line="440" w:lineRule="exact"/>
        <w:ind w:firstLine="720" w:firstLineChars="200"/>
        <w:jc w:val="left"/>
        <w:rPr>
          <w:rFonts w:ascii="宋体"/>
          <w:color w:val="auto"/>
          <w:sz w:val="36"/>
          <w:szCs w:val="36"/>
          <w:highlight w:val="none"/>
        </w:rPr>
      </w:pPr>
    </w:p>
    <w:p w14:paraId="02238B30">
      <w:pPr>
        <w:spacing w:line="440" w:lineRule="exact"/>
        <w:ind w:firstLine="720" w:firstLineChars="200"/>
        <w:jc w:val="left"/>
        <w:rPr>
          <w:rFonts w:ascii="宋体"/>
          <w:color w:val="auto"/>
          <w:sz w:val="36"/>
          <w:szCs w:val="36"/>
          <w:highlight w:val="none"/>
        </w:rPr>
      </w:pPr>
    </w:p>
    <w:p w14:paraId="464E87B0">
      <w:pPr>
        <w:pStyle w:val="7"/>
        <w:rPr>
          <w:color w:val="auto"/>
          <w:highlight w:val="none"/>
        </w:rPr>
      </w:pPr>
    </w:p>
    <w:p w14:paraId="173D10EC">
      <w:pPr>
        <w:pStyle w:val="7"/>
        <w:rPr>
          <w:color w:val="auto"/>
          <w:highlight w:val="none"/>
        </w:rPr>
      </w:pPr>
    </w:p>
    <w:p w14:paraId="3091F8EC">
      <w:pPr>
        <w:pStyle w:val="7"/>
        <w:rPr>
          <w:color w:val="auto"/>
          <w:highlight w:val="none"/>
        </w:rPr>
      </w:pPr>
    </w:p>
    <w:p w14:paraId="32119AC7">
      <w:pPr>
        <w:pStyle w:val="7"/>
        <w:rPr>
          <w:color w:val="auto"/>
          <w:highlight w:val="none"/>
        </w:rPr>
      </w:pPr>
    </w:p>
    <w:p w14:paraId="073A289B">
      <w:pPr>
        <w:pStyle w:val="7"/>
        <w:rPr>
          <w:color w:val="auto"/>
          <w:highlight w:val="none"/>
        </w:rPr>
      </w:pPr>
    </w:p>
    <w:p w14:paraId="5BF02C7F">
      <w:pPr>
        <w:pStyle w:val="7"/>
        <w:rPr>
          <w:color w:val="auto"/>
          <w:highlight w:val="none"/>
        </w:rPr>
      </w:pPr>
    </w:p>
    <w:p w14:paraId="70F7567D">
      <w:pPr>
        <w:pStyle w:val="7"/>
        <w:rPr>
          <w:color w:val="auto"/>
          <w:highlight w:val="none"/>
        </w:rPr>
      </w:pPr>
    </w:p>
    <w:p w14:paraId="31B5C752">
      <w:pPr>
        <w:pStyle w:val="7"/>
        <w:rPr>
          <w:color w:val="auto"/>
          <w:highlight w:val="none"/>
        </w:rPr>
      </w:pPr>
    </w:p>
    <w:p w14:paraId="23A691C1">
      <w:pPr>
        <w:pStyle w:val="7"/>
        <w:rPr>
          <w:color w:val="auto"/>
          <w:highlight w:val="none"/>
        </w:rPr>
      </w:pPr>
    </w:p>
    <w:p w14:paraId="425027B2">
      <w:pPr>
        <w:pStyle w:val="7"/>
        <w:rPr>
          <w:color w:val="auto"/>
          <w:highlight w:val="none"/>
        </w:rPr>
      </w:pPr>
    </w:p>
    <w:p w14:paraId="570F3AFA">
      <w:pPr>
        <w:pStyle w:val="7"/>
        <w:rPr>
          <w:color w:val="auto"/>
          <w:highlight w:val="none"/>
        </w:rPr>
      </w:pPr>
    </w:p>
    <w:p w14:paraId="34F26E37">
      <w:pPr>
        <w:pStyle w:val="7"/>
        <w:rPr>
          <w:color w:val="auto"/>
          <w:highlight w:val="none"/>
        </w:rPr>
      </w:pPr>
    </w:p>
    <w:p w14:paraId="51342ED7">
      <w:pPr>
        <w:spacing w:line="440" w:lineRule="exact"/>
        <w:jc w:val="left"/>
        <w:rPr>
          <w:rFonts w:ascii="宋体"/>
          <w:color w:val="auto"/>
          <w:sz w:val="36"/>
          <w:szCs w:val="36"/>
          <w:highlight w:val="none"/>
        </w:rPr>
      </w:pPr>
    </w:p>
    <w:bookmarkEnd w:id="125"/>
    <w:p w14:paraId="044DBF9A">
      <w:pPr>
        <w:pStyle w:val="2"/>
        <w:tabs>
          <w:tab w:val="right" w:leader="dot" w:pos="8295"/>
        </w:tabs>
        <w:jc w:val="center"/>
        <w:rPr>
          <w:rFonts w:ascii="宋体" w:eastAsia="宋体"/>
          <w:b w:val="0"/>
          <w:color w:val="auto"/>
          <w:highlight w:val="none"/>
        </w:rPr>
      </w:pPr>
      <w:bookmarkStart w:id="298" w:name="_Toc494121493"/>
      <w:bookmarkStart w:id="299" w:name="_Toc530660856"/>
      <w:bookmarkStart w:id="300" w:name="_Toc15914"/>
      <w:r>
        <w:rPr>
          <w:rFonts w:hint="eastAsia" w:ascii="宋体" w:eastAsia="宋体"/>
          <w:b w:val="0"/>
          <w:color w:val="auto"/>
          <w:highlight w:val="none"/>
        </w:rPr>
        <w:t>第七章 投标文件格式</w:t>
      </w:r>
      <w:bookmarkEnd w:id="298"/>
      <w:bookmarkEnd w:id="299"/>
      <w:bookmarkEnd w:id="300"/>
    </w:p>
    <w:p w14:paraId="74334199">
      <w:pPr>
        <w:tabs>
          <w:tab w:val="right" w:leader="dot" w:pos="8295"/>
        </w:tabs>
        <w:ind w:left="1290"/>
        <w:jc w:val="left"/>
        <w:rPr>
          <w:rFonts w:ascii="宋体"/>
          <w:color w:val="auto"/>
          <w:sz w:val="32"/>
          <w:szCs w:val="32"/>
          <w:highlight w:val="none"/>
        </w:rPr>
      </w:pPr>
    </w:p>
    <w:p w14:paraId="31EE39BD">
      <w:pPr>
        <w:tabs>
          <w:tab w:val="right" w:leader="dot" w:pos="8295"/>
        </w:tabs>
        <w:ind w:firstLine="480"/>
        <w:rPr>
          <w:rFonts w:ascii="宋体"/>
          <w:b/>
          <w:color w:val="auto"/>
          <w:szCs w:val="24"/>
          <w:highlight w:val="none"/>
        </w:rPr>
      </w:pPr>
      <w:r>
        <w:rPr>
          <w:rFonts w:hint="eastAsia" w:ascii="宋体"/>
          <w:b/>
          <w:color w:val="auto"/>
          <w:szCs w:val="24"/>
          <w:highlight w:val="none"/>
        </w:rPr>
        <w:t>资格及资信文件（上传在投标工具中的“资格审查申请文件”模块）：</w:t>
      </w:r>
    </w:p>
    <w:p w14:paraId="3B865C81">
      <w:pPr>
        <w:tabs>
          <w:tab w:val="right" w:leader="dot" w:pos="8295"/>
        </w:tabs>
        <w:ind w:firstLine="480"/>
        <w:rPr>
          <w:rFonts w:ascii="宋体"/>
          <w:color w:val="auto"/>
          <w:szCs w:val="24"/>
          <w:highlight w:val="none"/>
        </w:rPr>
      </w:pPr>
      <w:r>
        <w:rPr>
          <w:rFonts w:hint="eastAsia" w:ascii="宋体"/>
          <w:color w:val="auto"/>
          <w:szCs w:val="24"/>
          <w:highlight w:val="none"/>
        </w:rPr>
        <w:t>（1）法定代表人（单位负责人）身份证明或授权委托书；</w:t>
      </w:r>
    </w:p>
    <w:p w14:paraId="3EE23751">
      <w:pPr>
        <w:tabs>
          <w:tab w:val="right" w:leader="dot" w:pos="8295"/>
        </w:tabs>
        <w:ind w:firstLine="480"/>
        <w:rPr>
          <w:rFonts w:ascii="宋体"/>
          <w:color w:val="auto"/>
          <w:szCs w:val="24"/>
          <w:highlight w:val="none"/>
        </w:rPr>
      </w:pPr>
      <w:r>
        <w:rPr>
          <w:rFonts w:hint="eastAsia" w:ascii="宋体"/>
          <w:color w:val="auto"/>
          <w:szCs w:val="24"/>
          <w:highlight w:val="none"/>
        </w:rPr>
        <w:t>（2）投标保证金；</w:t>
      </w:r>
    </w:p>
    <w:p w14:paraId="26D8F3ED">
      <w:pPr>
        <w:tabs>
          <w:tab w:val="right" w:leader="dot" w:pos="8295"/>
        </w:tabs>
        <w:ind w:firstLine="480"/>
        <w:rPr>
          <w:rFonts w:ascii="宋体"/>
          <w:color w:val="auto"/>
          <w:szCs w:val="24"/>
          <w:highlight w:val="none"/>
        </w:rPr>
      </w:pPr>
      <w:r>
        <w:rPr>
          <w:rFonts w:hint="eastAsia" w:ascii="宋体"/>
          <w:color w:val="auto"/>
          <w:szCs w:val="24"/>
          <w:highlight w:val="none"/>
        </w:rPr>
        <w:t>（3）资格审查资料：</w:t>
      </w:r>
      <w:bookmarkStart w:id="309" w:name="_GoBack"/>
      <w:bookmarkEnd w:id="309"/>
      <w:r>
        <w:rPr>
          <w:rFonts w:hint="eastAsia" w:ascii="宋体" w:hAnsi="宋体" w:cs="宋体"/>
          <w:color w:val="auto"/>
          <w:spacing w:val="-9"/>
          <w:sz w:val="24"/>
          <w:highlight w:val="none"/>
        </w:rPr>
        <w:t>体系认证等</w:t>
      </w:r>
      <w:r>
        <w:rPr>
          <w:rFonts w:hint="eastAsia" w:ascii="宋体"/>
          <w:color w:val="auto"/>
          <w:szCs w:val="24"/>
          <w:highlight w:val="none"/>
        </w:rPr>
        <w:t xml:space="preserve">； </w:t>
      </w:r>
    </w:p>
    <w:p w14:paraId="2EBC39C1">
      <w:pPr>
        <w:tabs>
          <w:tab w:val="right" w:leader="dot" w:pos="8295"/>
        </w:tabs>
        <w:ind w:firstLine="480"/>
        <w:rPr>
          <w:rFonts w:ascii="宋体"/>
          <w:color w:val="auto"/>
          <w:szCs w:val="24"/>
          <w:highlight w:val="none"/>
        </w:rPr>
      </w:pPr>
      <w:r>
        <w:rPr>
          <w:rFonts w:hint="eastAsia" w:ascii="宋体"/>
          <w:color w:val="auto"/>
          <w:szCs w:val="24"/>
          <w:highlight w:val="none"/>
        </w:rPr>
        <w:t>（4）联合体协议书；（格式自拟）</w:t>
      </w:r>
    </w:p>
    <w:p w14:paraId="54751DBA">
      <w:pPr>
        <w:tabs>
          <w:tab w:val="right" w:leader="dot" w:pos="8295"/>
        </w:tabs>
        <w:ind w:firstLine="480"/>
        <w:rPr>
          <w:rFonts w:ascii="宋体"/>
          <w:color w:val="auto"/>
          <w:szCs w:val="24"/>
          <w:highlight w:val="none"/>
        </w:rPr>
      </w:pPr>
      <w:r>
        <w:rPr>
          <w:rFonts w:hint="eastAsia" w:ascii="宋体"/>
          <w:color w:val="auto"/>
          <w:szCs w:val="24"/>
          <w:highlight w:val="none"/>
        </w:rPr>
        <w:t>（5）投标人主要业绩情况及佐证材料；</w:t>
      </w:r>
    </w:p>
    <w:p w14:paraId="3984FB48">
      <w:pPr>
        <w:tabs>
          <w:tab w:val="right" w:leader="dot" w:pos="8295"/>
        </w:tabs>
        <w:ind w:firstLine="480"/>
        <w:rPr>
          <w:rFonts w:ascii="宋体"/>
          <w:color w:val="auto"/>
          <w:szCs w:val="24"/>
          <w:highlight w:val="none"/>
        </w:rPr>
      </w:pPr>
      <w:r>
        <w:rPr>
          <w:rFonts w:hint="eastAsia" w:ascii="宋体"/>
          <w:color w:val="auto"/>
          <w:szCs w:val="24"/>
          <w:highlight w:val="none"/>
        </w:rPr>
        <w:t>（6）2022、2023、2024年度经审计的财务报表，如未满三年则提供成立以来的经审计的财务报表；</w:t>
      </w:r>
    </w:p>
    <w:p w14:paraId="652A19E7">
      <w:pPr>
        <w:tabs>
          <w:tab w:val="right" w:leader="dot" w:pos="8295"/>
        </w:tabs>
        <w:ind w:firstLine="480"/>
        <w:rPr>
          <w:rFonts w:ascii="宋体"/>
          <w:color w:val="auto"/>
          <w:szCs w:val="24"/>
          <w:highlight w:val="none"/>
        </w:rPr>
      </w:pPr>
      <w:r>
        <w:rPr>
          <w:rFonts w:hint="eastAsia" w:ascii="宋体"/>
          <w:color w:val="auto"/>
          <w:szCs w:val="24"/>
          <w:highlight w:val="none"/>
        </w:rPr>
        <w:t>（7）投标人须知前附表规定的其他材料。</w:t>
      </w:r>
    </w:p>
    <w:p w14:paraId="2DDFEF64">
      <w:pPr>
        <w:tabs>
          <w:tab w:val="right" w:leader="dot" w:pos="8295"/>
        </w:tabs>
        <w:ind w:firstLine="480"/>
        <w:rPr>
          <w:rFonts w:ascii="宋体"/>
          <w:b/>
          <w:color w:val="auto"/>
          <w:szCs w:val="24"/>
          <w:highlight w:val="none"/>
        </w:rPr>
      </w:pPr>
      <w:r>
        <w:rPr>
          <w:rFonts w:hint="eastAsia" w:ascii="宋体"/>
          <w:b/>
          <w:color w:val="auto"/>
          <w:szCs w:val="24"/>
          <w:highlight w:val="none"/>
        </w:rPr>
        <w:t>技术标（上传在投标工具中的“技术标”模块）：</w:t>
      </w:r>
    </w:p>
    <w:p w14:paraId="27BC38B3">
      <w:pPr>
        <w:spacing w:before="64"/>
        <w:ind w:left="459"/>
        <w:rPr>
          <w:rFonts w:ascii="宋体" w:hAnsi="宋体" w:cs="宋体"/>
          <w:color w:val="auto"/>
          <w:highlight w:val="none"/>
        </w:rPr>
      </w:pPr>
      <w:r>
        <w:rPr>
          <w:rFonts w:ascii="宋体" w:hAnsi="宋体" w:cs="宋体"/>
          <w:color w:val="auto"/>
          <w:highlight w:val="none"/>
        </w:rPr>
        <w:t>（1）</w:t>
      </w:r>
      <w:r>
        <w:rPr>
          <w:rFonts w:hint="eastAsia" w:ascii="宋体" w:hAnsi="宋体" w:cs="宋体"/>
          <w:color w:val="auto"/>
          <w:highlight w:val="none"/>
        </w:rPr>
        <w:t>项目方案设计总说明、图纸、投资概算及关键问题解决方案等。提供包括但不限于以下图纸：总平面布置图、工艺流程图等。方案中应列出技术经济指标一览表。</w:t>
      </w:r>
    </w:p>
    <w:p w14:paraId="579ED68F">
      <w:pPr>
        <w:spacing w:before="64"/>
        <w:ind w:left="459"/>
        <w:rPr>
          <w:rFonts w:ascii="宋体" w:hAnsi="宋体" w:cs="宋体"/>
          <w:color w:val="auto"/>
          <w:highlight w:val="none"/>
        </w:rPr>
      </w:pPr>
      <w:r>
        <w:rPr>
          <w:rFonts w:ascii="宋体" w:hAnsi="宋体" w:cs="宋体"/>
          <w:color w:val="auto"/>
          <w:highlight w:val="none"/>
        </w:rPr>
        <w:t>（2）</w:t>
      </w:r>
      <w:r>
        <w:rPr>
          <w:rFonts w:hint="eastAsia" w:ascii="宋体" w:hAnsi="宋体" w:cs="宋体"/>
          <w:color w:val="auto"/>
          <w:highlight w:val="none"/>
        </w:rPr>
        <w:t>设备技术要求偏离表，技术响应表，点对点应答；</w:t>
      </w:r>
    </w:p>
    <w:p w14:paraId="4E47D3A7">
      <w:pPr>
        <w:spacing w:before="64"/>
        <w:ind w:left="459"/>
        <w:rPr>
          <w:rFonts w:ascii="宋体" w:hAnsi="宋体" w:cs="宋体"/>
          <w:color w:val="auto"/>
          <w:highlight w:val="none"/>
        </w:rPr>
      </w:pPr>
      <w:r>
        <w:rPr>
          <w:rFonts w:ascii="宋体" w:hAnsi="宋体" w:cs="宋体"/>
          <w:color w:val="auto"/>
          <w:spacing w:val="-6"/>
          <w:highlight w:val="none"/>
        </w:rPr>
        <w:t>（3）</w:t>
      </w:r>
      <w:r>
        <w:rPr>
          <w:rFonts w:hint="eastAsia" w:ascii="宋体" w:hAnsi="宋体" w:cs="宋体"/>
          <w:color w:val="auto"/>
          <w:spacing w:val="-4"/>
          <w:highlight w:val="none"/>
        </w:rPr>
        <w:t>核心</w:t>
      </w:r>
      <w:r>
        <w:rPr>
          <w:rFonts w:ascii="宋体" w:hAnsi="宋体" w:cs="宋体"/>
          <w:color w:val="auto"/>
          <w:spacing w:val="-4"/>
          <w:highlight w:val="none"/>
        </w:rPr>
        <w:t>设备技术性能指标的详细描述；</w:t>
      </w:r>
    </w:p>
    <w:p w14:paraId="65DDB5E1">
      <w:pPr>
        <w:spacing w:before="65"/>
        <w:ind w:left="459"/>
        <w:rPr>
          <w:rFonts w:ascii="宋体" w:hAnsi="宋体" w:cs="宋体"/>
          <w:color w:val="auto"/>
          <w:highlight w:val="none"/>
        </w:rPr>
      </w:pPr>
      <w:r>
        <w:rPr>
          <w:rFonts w:ascii="宋体" w:hAnsi="宋体" w:cs="宋体"/>
          <w:color w:val="auto"/>
          <w:spacing w:val="-4"/>
          <w:highlight w:val="none"/>
        </w:rPr>
        <w:t>（4）</w:t>
      </w:r>
      <w:r>
        <w:rPr>
          <w:rFonts w:ascii="宋体" w:hAnsi="宋体" w:cs="宋体"/>
          <w:color w:val="auto"/>
          <w:spacing w:val="-6"/>
          <w:highlight w:val="none"/>
        </w:rPr>
        <w:t>技术支持资料</w:t>
      </w:r>
      <w:r>
        <w:rPr>
          <w:rFonts w:hint="eastAsia" w:ascii="宋体" w:hAnsi="宋体" w:cs="宋体"/>
          <w:color w:val="auto"/>
          <w:spacing w:val="-6"/>
          <w:highlight w:val="none"/>
        </w:rPr>
        <w:t>，</w:t>
      </w:r>
      <w:r>
        <w:rPr>
          <w:rFonts w:hint="eastAsia" w:ascii="宋体" w:hAnsi="宋体" w:cs="宋体"/>
          <w:color w:val="auto"/>
          <w:kern w:val="0"/>
          <w:highlight w:val="none"/>
        </w:rPr>
        <w:t>产品质量检验报告，认证证书等</w:t>
      </w:r>
      <w:r>
        <w:rPr>
          <w:rFonts w:ascii="宋体" w:hAnsi="宋体" w:cs="宋体"/>
          <w:color w:val="auto"/>
          <w:spacing w:val="-6"/>
          <w:highlight w:val="none"/>
        </w:rPr>
        <w:t>；</w:t>
      </w:r>
    </w:p>
    <w:p w14:paraId="5DE912E7">
      <w:pPr>
        <w:spacing w:before="65"/>
        <w:ind w:left="459"/>
        <w:rPr>
          <w:rFonts w:ascii="宋体" w:hAnsi="宋体" w:cs="宋体"/>
          <w:color w:val="auto"/>
          <w:highlight w:val="none"/>
        </w:rPr>
      </w:pPr>
      <w:r>
        <w:rPr>
          <w:rFonts w:ascii="宋体" w:hAnsi="宋体" w:cs="宋体"/>
          <w:color w:val="auto"/>
          <w:spacing w:val="-6"/>
          <w:highlight w:val="none"/>
        </w:rPr>
        <w:t>（5）</w:t>
      </w:r>
      <w:r>
        <w:rPr>
          <w:rFonts w:ascii="宋体" w:hAnsi="宋体" w:cs="宋体"/>
          <w:color w:val="auto"/>
          <w:spacing w:val="-4"/>
          <w:highlight w:val="none"/>
        </w:rPr>
        <w:t>技术服务和</w:t>
      </w:r>
      <w:r>
        <w:rPr>
          <w:rFonts w:hint="eastAsia" w:ascii="宋体" w:hAnsi="宋体" w:cs="宋体"/>
          <w:color w:val="auto"/>
          <w:spacing w:val="-4"/>
          <w:highlight w:val="none"/>
        </w:rPr>
        <w:t>能源管理合同期内装置检维修方案，</w:t>
      </w:r>
      <w:r>
        <w:rPr>
          <w:rFonts w:ascii="宋体" w:hAnsi="宋体" w:cs="宋体"/>
          <w:color w:val="auto"/>
          <w:spacing w:val="-4"/>
          <w:highlight w:val="none"/>
        </w:rPr>
        <w:t>服务计划；</w:t>
      </w:r>
    </w:p>
    <w:p w14:paraId="38D3C19B">
      <w:pPr>
        <w:spacing w:before="65"/>
        <w:ind w:left="459"/>
        <w:rPr>
          <w:rFonts w:ascii="宋体" w:hAnsi="宋体" w:cs="宋体"/>
          <w:color w:val="auto"/>
          <w:spacing w:val="-4"/>
          <w:highlight w:val="none"/>
        </w:rPr>
      </w:pPr>
      <w:r>
        <w:rPr>
          <w:rFonts w:ascii="宋体" w:hAnsi="宋体" w:cs="宋体"/>
          <w:color w:val="auto"/>
          <w:spacing w:val="-4"/>
          <w:highlight w:val="none"/>
        </w:rPr>
        <w:t>（6）</w:t>
      </w:r>
      <w:r>
        <w:rPr>
          <w:rFonts w:hint="eastAsia" w:ascii="宋体" w:hAnsi="宋体" w:cs="宋体"/>
          <w:color w:val="auto"/>
          <w:spacing w:val="-4"/>
          <w:highlight w:val="none"/>
        </w:rPr>
        <w:t>施工组织设计：应包含安装施工方案、</w:t>
      </w:r>
      <w:r>
        <w:rPr>
          <w:rFonts w:hint="eastAsia" w:ascii="宋体" w:hAnsi="宋体" w:cs="宋体"/>
          <w:color w:val="auto"/>
          <w:spacing w:val="-3"/>
          <w:highlight w:val="none"/>
        </w:rPr>
        <w:t>项目工期进度安排、施工机具人员配备、质量控制与管理、安全文明施工管理；</w:t>
      </w:r>
    </w:p>
    <w:p w14:paraId="02900055">
      <w:pPr>
        <w:spacing w:before="64"/>
        <w:ind w:left="459"/>
        <w:rPr>
          <w:rFonts w:ascii="宋体" w:hAnsi="宋体" w:cs="宋体"/>
          <w:color w:val="auto"/>
          <w:spacing w:val="-5"/>
          <w:highlight w:val="none"/>
        </w:rPr>
      </w:pPr>
      <w:r>
        <w:rPr>
          <w:rFonts w:hint="eastAsia" w:ascii="宋体" w:hAnsi="宋体" w:cs="宋体"/>
          <w:color w:val="auto"/>
          <w:highlight w:val="none"/>
        </w:rPr>
        <w:t>（7）根据招标文件中的技术要求，</w:t>
      </w:r>
      <w:r>
        <w:rPr>
          <w:rFonts w:hint="eastAsia" w:ascii="宋体" w:hAnsi="宋体" w:cs="宋体"/>
          <w:color w:val="auto"/>
          <w:spacing w:val="-5"/>
          <w:highlight w:val="none"/>
        </w:rPr>
        <w:t>投标人认为需要提供的其他文件和资料</w:t>
      </w:r>
      <w:r>
        <w:rPr>
          <w:rFonts w:ascii="宋体" w:hAnsi="宋体" w:cs="宋体"/>
          <w:color w:val="auto"/>
          <w:spacing w:val="-5"/>
          <w:highlight w:val="none"/>
        </w:rPr>
        <w:t>；</w:t>
      </w:r>
    </w:p>
    <w:p w14:paraId="5C77F545">
      <w:pPr>
        <w:spacing w:before="64"/>
        <w:ind w:left="459"/>
        <w:rPr>
          <w:rFonts w:ascii="宋体" w:hAnsi="宋体" w:cs="宋体"/>
          <w:color w:val="auto"/>
          <w:spacing w:val="-3"/>
          <w:highlight w:val="none"/>
        </w:rPr>
      </w:pPr>
      <w:r>
        <w:rPr>
          <w:rFonts w:ascii="宋体" w:hAnsi="宋体" w:cs="宋体"/>
          <w:color w:val="auto"/>
          <w:spacing w:val="-3"/>
          <w:highlight w:val="none"/>
        </w:rPr>
        <w:t>（8）工程调试、试运行方案</w:t>
      </w:r>
    </w:p>
    <w:p w14:paraId="4086E842">
      <w:pPr>
        <w:tabs>
          <w:tab w:val="right" w:leader="dot" w:pos="8295"/>
        </w:tabs>
        <w:ind w:firstLine="480"/>
        <w:rPr>
          <w:rFonts w:ascii="宋体"/>
          <w:b/>
          <w:color w:val="auto"/>
          <w:szCs w:val="24"/>
          <w:highlight w:val="none"/>
        </w:rPr>
      </w:pPr>
      <w:r>
        <w:rPr>
          <w:rFonts w:hint="eastAsia" w:ascii="宋体"/>
          <w:b/>
          <w:color w:val="auto"/>
          <w:szCs w:val="24"/>
          <w:highlight w:val="none"/>
        </w:rPr>
        <w:t>商务标：（上传在投标工具中的“商务标正文”模块）</w:t>
      </w:r>
    </w:p>
    <w:p w14:paraId="2487494E">
      <w:pPr>
        <w:tabs>
          <w:tab w:val="right" w:leader="dot" w:pos="8295"/>
        </w:tabs>
        <w:ind w:firstLine="480"/>
        <w:rPr>
          <w:rFonts w:ascii="宋体"/>
          <w:color w:val="auto"/>
          <w:szCs w:val="24"/>
          <w:highlight w:val="none"/>
        </w:rPr>
      </w:pPr>
      <w:r>
        <w:rPr>
          <w:rFonts w:hint="eastAsia" w:ascii="宋体"/>
          <w:color w:val="auto"/>
          <w:szCs w:val="24"/>
          <w:highlight w:val="none"/>
        </w:rPr>
        <w:t>（1）投标函；</w:t>
      </w:r>
    </w:p>
    <w:p w14:paraId="3C2C8D65">
      <w:pPr>
        <w:tabs>
          <w:tab w:val="right" w:leader="dot" w:pos="8295"/>
        </w:tabs>
        <w:ind w:firstLine="480"/>
        <w:rPr>
          <w:rFonts w:ascii="宋体" w:cs="宋体"/>
          <w:color w:val="auto"/>
          <w:highlight w:val="none"/>
        </w:rPr>
      </w:pPr>
      <w:r>
        <w:rPr>
          <w:rFonts w:hint="eastAsia" w:ascii="宋体" w:cs="宋体"/>
          <w:color w:val="auto"/>
          <w:highlight w:val="none"/>
        </w:rPr>
        <w:t>（2）项目投资金额及组成、资金来源、年运行成本、年收益测算；</w:t>
      </w:r>
    </w:p>
    <w:p w14:paraId="0B1D8FD4">
      <w:pPr>
        <w:tabs>
          <w:tab w:val="right" w:leader="dot" w:pos="8295"/>
        </w:tabs>
        <w:ind w:firstLine="480"/>
        <w:rPr>
          <w:rFonts w:ascii="宋体" w:cs="宋体"/>
          <w:color w:val="auto"/>
          <w:highlight w:val="none"/>
        </w:rPr>
      </w:pPr>
      <w:r>
        <w:rPr>
          <w:rFonts w:hint="eastAsia" w:ascii="宋体" w:cs="宋体"/>
          <w:color w:val="auto"/>
          <w:highlight w:val="none"/>
        </w:rPr>
        <w:t>（3）项目年收益、投标人投资回收期、能源管理合同分享比例表；</w:t>
      </w:r>
    </w:p>
    <w:p w14:paraId="14614420">
      <w:pPr>
        <w:tabs>
          <w:tab w:val="right" w:leader="dot" w:pos="8295"/>
        </w:tabs>
        <w:rPr>
          <w:rFonts w:ascii="宋体"/>
          <w:color w:val="auto"/>
          <w:highlight w:val="none"/>
        </w:rPr>
      </w:pPr>
    </w:p>
    <w:p w14:paraId="42CE4EC6">
      <w:pPr>
        <w:jc w:val="center"/>
        <w:rPr>
          <w:rFonts w:ascii="宋体"/>
          <w:color w:val="auto"/>
          <w:sz w:val="36"/>
          <w:szCs w:val="52"/>
          <w:highlight w:val="none"/>
          <w:u w:val="single"/>
        </w:rPr>
      </w:pPr>
    </w:p>
    <w:p w14:paraId="1C5D42A7">
      <w:pPr>
        <w:jc w:val="center"/>
        <w:rPr>
          <w:rFonts w:ascii="宋体"/>
          <w:color w:val="auto"/>
          <w:sz w:val="36"/>
          <w:szCs w:val="52"/>
          <w:highlight w:val="none"/>
          <w:u w:val="single"/>
        </w:rPr>
      </w:pPr>
    </w:p>
    <w:p w14:paraId="084F2255">
      <w:pPr>
        <w:jc w:val="center"/>
        <w:rPr>
          <w:rFonts w:ascii="宋体"/>
          <w:color w:val="auto"/>
          <w:sz w:val="36"/>
          <w:szCs w:val="52"/>
          <w:highlight w:val="none"/>
          <w:u w:val="single"/>
        </w:rPr>
      </w:pPr>
    </w:p>
    <w:p w14:paraId="03063D90">
      <w:pPr>
        <w:jc w:val="center"/>
        <w:rPr>
          <w:rFonts w:ascii="宋体"/>
          <w:color w:val="auto"/>
          <w:sz w:val="36"/>
          <w:szCs w:val="52"/>
          <w:highlight w:val="none"/>
          <w:u w:val="single"/>
        </w:rPr>
      </w:pPr>
    </w:p>
    <w:p w14:paraId="52F81751">
      <w:pPr>
        <w:jc w:val="center"/>
        <w:rPr>
          <w:rFonts w:ascii="宋体"/>
          <w:color w:val="auto"/>
          <w:sz w:val="36"/>
          <w:szCs w:val="52"/>
          <w:highlight w:val="none"/>
          <w:u w:val="single"/>
        </w:rPr>
      </w:pPr>
    </w:p>
    <w:p w14:paraId="2A70AB9E">
      <w:pPr>
        <w:jc w:val="center"/>
        <w:rPr>
          <w:rFonts w:ascii="宋体"/>
          <w:color w:val="auto"/>
          <w:sz w:val="36"/>
          <w:szCs w:val="52"/>
          <w:highlight w:val="none"/>
          <w:u w:val="single"/>
        </w:rPr>
      </w:pPr>
    </w:p>
    <w:p w14:paraId="2BC01473">
      <w:pPr>
        <w:jc w:val="center"/>
        <w:rPr>
          <w:rFonts w:ascii="宋体"/>
          <w:color w:val="auto"/>
          <w:sz w:val="36"/>
          <w:szCs w:val="52"/>
          <w:highlight w:val="none"/>
          <w:u w:val="single"/>
        </w:rPr>
      </w:pPr>
    </w:p>
    <w:p w14:paraId="5F5D1148">
      <w:pPr>
        <w:jc w:val="center"/>
        <w:rPr>
          <w:rFonts w:ascii="宋体"/>
          <w:color w:val="auto"/>
          <w:sz w:val="36"/>
          <w:szCs w:val="52"/>
          <w:highlight w:val="none"/>
          <w:u w:val="single"/>
        </w:rPr>
      </w:pPr>
    </w:p>
    <w:p w14:paraId="6EF78E5A">
      <w:pPr>
        <w:jc w:val="center"/>
        <w:rPr>
          <w:rFonts w:ascii="宋体"/>
          <w:color w:val="auto"/>
          <w:sz w:val="36"/>
          <w:szCs w:val="52"/>
          <w:highlight w:val="none"/>
          <w:u w:val="single"/>
        </w:rPr>
      </w:pPr>
    </w:p>
    <w:p w14:paraId="3D413EBE">
      <w:pPr>
        <w:jc w:val="center"/>
        <w:rPr>
          <w:rFonts w:ascii="宋体"/>
          <w:color w:val="auto"/>
          <w:sz w:val="36"/>
          <w:szCs w:val="52"/>
          <w:highlight w:val="none"/>
          <w:u w:val="single"/>
        </w:rPr>
      </w:pPr>
    </w:p>
    <w:p w14:paraId="3A41A339">
      <w:pPr>
        <w:jc w:val="center"/>
        <w:rPr>
          <w:rFonts w:ascii="宋体"/>
          <w:color w:val="auto"/>
          <w:sz w:val="36"/>
          <w:szCs w:val="52"/>
          <w:highlight w:val="none"/>
          <w:u w:val="single"/>
        </w:rPr>
      </w:pPr>
    </w:p>
    <w:p w14:paraId="029B7F93">
      <w:pPr>
        <w:jc w:val="center"/>
        <w:rPr>
          <w:rFonts w:ascii="宋体"/>
          <w:color w:val="auto"/>
          <w:sz w:val="36"/>
          <w:szCs w:val="52"/>
          <w:highlight w:val="none"/>
          <w:u w:val="single"/>
        </w:rPr>
      </w:pPr>
    </w:p>
    <w:p w14:paraId="492F4936">
      <w:pPr>
        <w:jc w:val="center"/>
        <w:rPr>
          <w:rFonts w:ascii="宋体"/>
          <w:color w:val="auto"/>
          <w:sz w:val="36"/>
          <w:szCs w:val="52"/>
          <w:highlight w:val="none"/>
          <w:u w:val="single"/>
        </w:rPr>
      </w:pPr>
    </w:p>
    <w:p w14:paraId="275386C3">
      <w:pPr>
        <w:jc w:val="center"/>
        <w:rPr>
          <w:rFonts w:ascii="宋体"/>
          <w:color w:val="auto"/>
          <w:sz w:val="36"/>
          <w:szCs w:val="52"/>
          <w:highlight w:val="none"/>
          <w:u w:val="single"/>
        </w:rPr>
      </w:pPr>
    </w:p>
    <w:p w14:paraId="64EB1FC1">
      <w:pPr>
        <w:tabs>
          <w:tab w:val="right" w:leader="dot" w:pos="8295"/>
        </w:tabs>
        <w:jc w:val="center"/>
        <w:rPr>
          <w:rFonts w:ascii="宋体"/>
          <w:color w:val="auto"/>
          <w:sz w:val="36"/>
          <w:szCs w:val="36"/>
          <w:highlight w:val="none"/>
        </w:rPr>
      </w:pPr>
      <w:r>
        <w:rPr>
          <w:rFonts w:hint="eastAsia" w:ascii="宋体"/>
          <w:color w:val="auto"/>
          <w:sz w:val="36"/>
          <w:szCs w:val="36"/>
          <w:highlight w:val="none"/>
        </w:rPr>
        <w:t>浙江衢州巨塑化工有限公司皂化清液浓缩装置三效蒸发乏汽回收余热利用节能改造项目合作实施方招标</w:t>
      </w:r>
    </w:p>
    <w:p w14:paraId="75BADA43">
      <w:pPr>
        <w:tabs>
          <w:tab w:val="right" w:leader="dot" w:pos="8295"/>
        </w:tabs>
        <w:jc w:val="center"/>
        <w:rPr>
          <w:rFonts w:ascii="宋体"/>
          <w:color w:val="auto"/>
          <w:sz w:val="36"/>
          <w:szCs w:val="36"/>
          <w:highlight w:val="none"/>
        </w:rPr>
      </w:pPr>
    </w:p>
    <w:p w14:paraId="7F637EA8">
      <w:pPr>
        <w:jc w:val="center"/>
        <w:rPr>
          <w:rFonts w:ascii="宋体"/>
          <w:color w:val="auto"/>
          <w:sz w:val="72"/>
          <w:szCs w:val="72"/>
          <w:highlight w:val="none"/>
        </w:rPr>
      </w:pPr>
      <w:r>
        <w:rPr>
          <w:rFonts w:hint="eastAsia" w:ascii="宋体"/>
          <w:color w:val="auto"/>
          <w:sz w:val="72"/>
          <w:szCs w:val="72"/>
          <w:highlight w:val="none"/>
        </w:rPr>
        <w:t>投 标 文 件</w:t>
      </w:r>
    </w:p>
    <w:p w14:paraId="6B85202A">
      <w:pPr>
        <w:autoSpaceDE w:val="0"/>
        <w:autoSpaceDN w:val="0"/>
        <w:jc w:val="center"/>
        <w:rPr>
          <w:rFonts w:ascii="宋体"/>
          <w:b/>
          <w:bCs/>
          <w:color w:val="auto"/>
          <w:sz w:val="48"/>
          <w:szCs w:val="48"/>
          <w:highlight w:val="none"/>
        </w:rPr>
      </w:pPr>
      <w:r>
        <w:rPr>
          <w:rFonts w:hint="eastAsia" w:ascii="宋体"/>
          <w:color w:val="auto"/>
          <w:sz w:val="32"/>
          <w:szCs w:val="32"/>
          <w:highlight w:val="none"/>
        </w:rPr>
        <w:t>项目编号：NFZB-20251008</w:t>
      </w:r>
    </w:p>
    <w:p w14:paraId="11481C50">
      <w:pPr>
        <w:autoSpaceDE w:val="0"/>
        <w:autoSpaceDN w:val="0"/>
        <w:jc w:val="center"/>
        <w:rPr>
          <w:rFonts w:ascii="宋体"/>
          <w:b/>
          <w:bCs/>
          <w:color w:val="auto"/>
          <w:sz w:val="48"/>
          <w:szCs w:val="48"/>
          <w:highlight w:val="none"/>
        </w:rPr>
      </w:pPr>
    </w:p>
    <w:p w14:paraId="7401312F">
      <w:pPr>
        <w:autoSpaceDE w:val="0"/>
        <w:autoSpaceDN w:val="0"/>
        <w:jc w:val="center"/>
        <w:rPr>
          <w:rFonts w:ascii="宋体"/>
          <w:b/>
          <w:bCs/>
          <w:color w:val="auto"/>
          <w:sz w:val="48"/>
          <w:szCs w:val="48"/>
          <w:highlight w:val="none"/>
        </w:rPr>
      </w:pPr>
    </w:p>
    <w:p w14:paraId="4F85FC1A">
      <w:pPr>
        <w:autoSpaceDE w:val="0"/>
        <w:autoSpaceDN w:val="0"/>
        <w:jc w:val="center"/>
        <w:rPr>
          <w:rFonts w:ascii="宋体"/>
          <w:b/>
          <w:bCs/>
          <w:color w:val="auto"/>
          <w:sz w:val="48"/>
          <w:szCs w:val="48"/>
          <w:highlight w:val="none"/>
        </w:rPr>
      </w:pPr>
    </w:p>
    <w:p w14:paraId="52676F78">
      <w:pPr>
        <w:autoSpaceDE w:val="0"/>
        <w:autoSpaceDN w:val="0"/>
        <w:jc w:val="center"/>
        <w:rPr>
          <w:rFonts w:ascii="宋体"/>
          <w:b/>
          <w:bCs/>
          <w:color w:val="auto"/>
          <w:sz w:val="48"/>
          <w:szCs w:val="48"/>
          <w:highlight w:val="none"/>
        </w:rPr>
      </w:pPr>
    </w:p>
    <w:p w14:paraId="5CF70124">
      <w:pPr>
        <w:autoSpaceDE w:val="0"/>
        <w:autoSpaceDN w:val="0"/>
        <w:ind w:firstLine="300" w:firstLineChars="100"/>
        <w:rPr>
          <w:rFonts w:ascii="宋体"/>
          <w:bCs/>
          <w:color w:val="auto"/>
          <w:sz w:val="30"/>
          <w:szCs w:val="30"/>
          <w:highlight w:val="none"/>
          <w:u w:val="single"/>
          <w:lang w:val="zh-CN"/>
        </w:rPr>
      </w:pPr>
      <w:r>
        <w:rPr>
          <w:rFonts w:hint="eastAsia" w:ascii="宋体"/>
          <w:bCs/>
          <w:color w:val="auto"/>
          <w:sz w:val="30"/>
          <w:szCs w:val="30"/>
          <w:highlight w:val="none"/>
          <w:lang w:val="zh-CN"/>
        </w:rPr>
        <w:t>投标人：</w:t>
      </w:r>
      <w:r>
        <w:rPr>
          <w:rFonts w:hint="eastAsia" w:ascii="宋体"/>
          <w:bCs/>
          <w:color w:val="auto"/>
          <w:sz w:val="30"/>
          <w:szCs w:val="30"/>
          <w:highlight w:val="none"/>
          <w:u w:val="single"/>
          <w:lang w:val="zh-CN"/>
        </w:rPr>
        <w:t xml:space="preserve">（盖章） </w:t>
      </w:r>
    </w:p>
    <w:p w14:paraId="566A7110">
      <w:pPr>
        <w:autoSpaceDE w:val="0"/>
        <w:autoSpaceDN w:val="0"/>
        <w:ind w:firstLine="300" w:firstLineChars="100"/>
        <w:rPr>
          <w:rFonts w:ascii="宋体"/>
          <w:bCs/>
          <w:color w:val="auto"/>
          <w:sz w:val="30"/>
          <w:szCs w:val="30"/>
          <w:highlight w:val="none"/>
          <w:u w:val="single"/>
          <w:lang w:val="zh-CN"/>
        </w:rPr>
      </w:pPr>
      <w:r>
        <w:rPr>
          <w:rFonts w:hint="eastAsia" w:ascii="宋体"/>
          <w:bCs/>
          <w:color w:val="auto"/>
          <w:sz w:val="30"/>
          <w:szCs w:val="30"/>
          <w:highlight w:val="none"/>
          <w:lang w:val="zh-CN"/>
        </w:rPr>
        <w:t>法定代表人：</w:t>
      </w:r>
      <w:r>
        <w:rPr>
          <w:rFonts w:hint="eastAsia" w:ascii="宋体"/>
          <w:bCs/>
          <w:color w:val="auto"/>
          <w:sz w:val="30"/>
          <w:szCs w:val="30"/>
          <w:highlight w:val="none"/>
          <w:u w:val="single"/>
          <w:lang w:val="zh-CN"/>
        </w:rPr>
        <w:t>（盖章）　　</w:t>
      </w:r>
    </w:p>
    <w:p w14:paraId="6DFC413B">
      <w:pPr>
        <w:autoSpaceDE w:val="0"/>
        <w:autoSpaceDN w:val="0"/>
        <w:ind w:firstLine="600" w:firstLineChars="200"/>
        <w:rPr>
          <w:rFonts w:ascii="宋体"/>
          <w:bCs/>
          <w:color w:val="auto"/>
          <w:sz w:val="30"/>
          <w:szCs w:val="30"/>
          <w:highlight w:val="none"/>
          <w:lang w:val="zh-CN"/>
        </w:rPr>
      </w:pPr>
    </w:p>
    <w:p w14:paraId="7BF58ACC">
      <w:pPr>
        <w:autoSpaceDE w:val="0"/>
        <w:autoSpaceDN w:val="0"/>
        <w:jc w:val="center"/>
        <w:rPr>
          <w:rFonts w:ascii="宋体"/>
          <w:bCs/>
          <w:color w:val="auto"/>
          <w:sz w:val="30"/>
          <w:szCs w:val="30"/>
          <w:highlight w:val="none"/>
          <w:lang w:val="zh-CN"/>
        </w:rPr>
      </w:pPr>
      <w:r>
        <w:rPr>
          <w:rFonts w:hint="eastAsia" w:ascii="宋体"/>
          <w:bCs/>
          <w:color w:val="auto"/>
          <w:sz w:val="30"/>
          <w:szCs w:val="30"/>
          <w:highlight w:val="none"/>
          <w:lang w:val="zh-CN"/>
        </w:rPr>
        <w:t>日期：年  月  日</w:t>
      </w:r>
    </w:p>
    <w:p w14:paraId="09ECB8B3">
      <w:pPr>
        <w:spacing w:line="360" w:lineRule="auto"/>
        <w:jc w:val="center"/>
        <w:outlineLvl w:val="1"/>
        <w:rPr>
          <w:rFonts w:ascii="宋体" w:hAnsi="宋体" w:cs="宋体"/>
          <w:b/>
          <w:bCs/>
          <w:color w:val="auto"/>
          <w:spacing w:val="-5"/>
          <w:sz w:val="32"/>
          <w:szCs w:val="32"/>
          <w:highlight w:val="none"/>
        </w:rPr>
      </w:pPr>
      <w:r>
        <w:rPr>
          <w:rFonts w:hint="eastAsia" w:ascii="宋体"/>
          <w:color w:val="auto"/>
          <w:sz w:val="32"/>
          <w:szCs w:val="32"/>
          <w:highlight w:val="none"/>
        </w:rPr>
        <w:br w:type="page"/>
      </w:r>
      <w:r>
        <w:rPr>
          <w:rFonts w:hint="eastAsia" w:ascii="宋体"/>
          <w:b/>
          <w:color w:val="auto"/>
          <w:sz w:val="28"/>
          <w:szCs w:val="28"/>
          <w:highlight w:val="none"/>
        </w:rPr>
        <w:t>一、</w:t>
      </w:r>
      <w:r>
        <w:rPr>
          <w:rFonts w:ascii="宋体" w:hAnsi="宋体" w:cs="宋体"/>
          <w:b/>
          <w:bCs/>
          <w:color w:val="auto"/>
          <w:spacing w:val="-5"/>
          <w:sz w:val="32"/>
          <w:szCs w:val="32"/>
          <w:highlight w:val="none"/>
        </w:rPr>
        <w:t>法定代表人（单位负责人）身份证明</w:t>
      </w:r>
    </w:p>
    <w:p w14:paraId="2BE82D51">
      <w:pPr>
        <w:spacing w:before="78" w:line="220" w:lineRule="auto"/>
        <w:ind w:left="38"/>
        <w:rPr>
          <w:rFonts w:ascii="宋体" w:hAnsi="宋体" w:cs="宋体"/>
          <w:color w:val="auto"/>
          <w:spacing w:val="-10"/>
          <w:sz w:val="24"/>
          <w:highlight w:val="none"/>
        </w:rPr>
      </w:pPr>
    </w:p>
    <w:p w14:paraId="58562092">
      <w:pPr>
        <w:spacing w:before="78" w:line="220" w:lineRule="auto"/>
        <w:ind w:left="38"/>
        <w:rPr>
          <w:rFonts w:ascii="宋体" w:hAnsi="宋体" w:cs="宋体"/>
          <w:color w:val="auto"/>
          <w:spacing w:val="-10"/>
          <w:sz w:val="24"/>
          <w:highlight w:val="none"/>
        </w:rPr>
      </w:pPr>
    </w:p>
    <w:p w14:paraId="15A95F49">
      <w:pPr>
        <w:spacing w:before="78" w:line="220" w:lineRule="auto"/>
        <w:ind w:left="38"/>
        <w:rPr>
          <w:rFonts w:ascii="宋体" w:hAnsi="宋体" w:cs="宋体"/>
          <w:color w:val="auto"/>
          <w:spacing w:val="-10"/>
          <w:sz w:val="24"/>
          <w:highlight w:val="none"/>
        </w:rPr>
      </w:pPr>
    </w:p>
    <w:p w14:paraId="7665A637">
      <w:pPr>
        <w:spacing w:before="78" w:line="220" w:lineRule="auto"/>
        <w:ind w:left="38"/>
        <w:rPr>
          <w:rFonts w:ascii="宋体" w:hAnsi="宋体" w:cs="宋体"/>
          <w:color w:val="auto"/>
          <w:spacing w:val="-10"/>
          <w:sz w:val="24"/>
          <w:highlight w:val="none"/>
        </w:rPr>
      </w:pPr>
    </w:p>
    <w:p w14:paraId="0297DF94">
      <w:pPr>
        <w:spacing w:before="78" w:line="220" w:lineRule="auto"/>
        <w:ind w:left="38"/>
        <w:rPr>
          <w:rFonts w:ascii="宋体" w:hAnsi="宋体" w:cs="宋体"/>
          <w:color w:val="auto"/>
          <w:sz w:val="24"/>
          <w:highlight w:val="none"/>
        </w:rPr>
      </w:pPr>
      <w:r>
        <w:rPr>
          <w:rFonts w:ascii="宋体" w:hAnsi="宋体" w:cs="宋体"/>
          <w:color w:val="auto"/>
          <w:spacing w:val="-10"/>
          <w:sz w:val="24"/>
          <w:highlight w:val="none"/>
        </w:rPr>
        <w:t>投标人名称：</w:t>
      </w:r>
    </w:p>
    <w:p w14:paraId="6F7773ED">
      <w:pPr>
        <w:pStyle w:val="7"/>
        <w:spacing w:line="379" w:lineRule="auto"/>
        <w:rPr>
          <w:color w:val="auto"/>
          <w:highlight w:val="none"/>
        </w:rPr>
      </w:pPr>
    </w:p>
    <w:p w14:paraId="2AF3F70E">
      <w:pPr>
        <w:spacing w:before="79" w:line="220" w:lineRule="auto"/>
        <w:ind w:left="35"/>
        <w:rPr>
          <w:rFonts w:ascii="宋体" w:hAnsi="宋体" w:cs="宋体"/>
          <w:color w:val="auto"/>
          <w:sz w:val="24"/>
          <w:highlight w:val="none"/>
        </w:rPr>
      </w:pPr>
      <w:r>
        <w:rPr>
          <w:rFonts w:ascii="宋体" w:hAnsi="宋体" w:cs="宋体"/>
          <w:color w:val="auto"/>
          <w:spacing w:val="-12"/>
          <w:sz w:val="24"/>
          <w:highlight w:val="none"/>
        </w:rPr>
        <w:t>姓</w:t>
      </w:r>
      <w:r>
        <w:rPr>
          <w:rFonts w:ascii="宋体" w:hAnsi="宋体" w:cs="宋体"/>
          <w:color w:val="auto"/>
          <w:spacing w:val="3"/>
          <w:sz w:val="24"/>
          <w:highlight w:val="none"/>
        </w:rPr>
        <w:t xml:space="preserve">    </w:t>
      </w:r>
      <w:r>
        <w:rPr>
          <w:rFonts w:ascii="宋体" w:hAnsi="宋体" w:cs="宋体"/>
          <w:color w:val="auto"/>
          <w:spacing w:val="-12"/>
          <w:sz w:val="24"/>
          <w:highlight w:val="none"/>
        </w:rPr>
        <w:t>名：</w:t>
      </w:r>
      <w:r>
        <w:rPr>
          <w:rFonts w:ascii="宋体" w:hAnsi="宋体" w:cs="宋体"/>
          <w:color w:val="auto"/>
          <w:spacing w:val="7"/>
          <w:sz w:val="24"/>
          <w:highlight w:val="none"/>
        </w:rPr>
        <w:t xml:space="preserve">  </w:t>
      </w:r>
      <w:r>
        <w:rPr>
          <w:rFonts w:hint="eastAsia" w:ascii="宋体" w:hAnsi="宋体" w:cs="宋体"/>
          <w:color w:val="auto"/>
          <w:spacing w:val="7"/>
          <w:sz w:val="24"/>
          <w:highlight w:val="none"/>
        </w:rPr>
        <w:t xml:space="preserve">          </w:t>
      </w:r>
      <w:r>
        <w:rPr>
          <w:rFonts w:ascii="宋体" w:hAnsi="宋体" w:cs="宋体"/>
          <w:color w:val="auto"/>
          <w:spacing w:val="-12"/>
          <w:sz w:val="24"/>
          <w:highlight w:val="none"/>
        </w:rPr>
        <w:t>性</w:t>
      </w:r>
      <w:r>
        <w:rPr>
          <w:rFonts w:ascii="宋体" w:hAnsi="宋体" w:cs="宋体"/>
          <w:color w:val="auto"/>
          <w:spacing w:val="2"/>
          <w:sz w:val="24"/>
          <w:highlight w:val="none"/>
        </w:rPr>
        <w:t xml:space="preserve">     </w:t>
      </w:r>
      <w:r>
        <w:rPr>
          <w:rFonts w:ascii="宋体" w:hAnsi="宋体" w:cs="宋体"/>
          <w:color w:val="auto"/>
          <w:spacing w:val="-12"/>
          <w:sz w:val="24"/>
          <w:highlight w:val="none"/>
        </w:rPr>
        <w:t>别：</w:t>
      </w:r>
    </w:p>
    <w:p w14:paraId="115C663C">
      <w:pPr>
        <w:pStyle w:val="7"/>
        <w:spacing w:line="380" w:lineRule="auto"/>
        <w:rPr>
          <w:color w:val="auto"/>
          <w:highlight w:val="none"/>
        </w:rPr>
      </w:pPr>
    </w:p>
    <w:p w14:paraId="46A444D3">
      <w:pPr>
        <w:spacing w:before="78" w:line="220" w:lineRule="auto"/>
        <w:ind w:left="36"/>
        <w:rPr>
          <w:rFonts w:ascii="宋体" w:hAnsi="宋体" w:cs="宋体"/>
          <w:color w:val="auto"/>
          <w:sz w:val="24"/>
          <w:highlight w:val="none"/>
        </w:rPr>
      </w:pPr>
      <w:r>
        <w:rPr>
          <w:rFonts w:ascii="宋体" w:hAnsi="宋体" w:cs="宋体"/>
          <w:color w:val="auto"/>
          <w:spacing w:val="-11"/>
          <w:sz w:val="24"/>
          <w:highlight w:val="none"/>
        </w:rPr>
        <w:t>年</w:t>
      </w:r>
      <w:r>
        <w:rPr>
          <w:rFonts w:ascii="宋体" w:hAnsi="宋体" w:cs="宋体"/>
          <w:color w:val="auto"/>
          <w:spacing w:val="2"/>
          <w:sz w:val="24"/>
          <w:highlight w:val="none"/>
        </w:rPr>
        <w:t xml:space="preserve">    </w:t>
      </w:r>
      <w:r>
        <w:rPr>
          <w:rFonts w:ascii="宋体" w:hAnsi="宋体" w:cs="宋体"/>
          <w:color w:val="auto"/>
          <w:spacing w:val="-11"/>
          <w:sz w:val="24"/>
          <w:highlight w:val="none"/>
        </w:rPr>
        <w:t>龄：</w:t>
      </w:r>
      <w:r>
        <w:rPr>
          <w:rFonts w:ascii="宋体" w:hAnsi="宋体" w:cs="宋体"/>
          <w:color w:val="auto"/>
          <w:spacing w:val="6"/>
          <w:sz w:val="24"/>
          <w:highlight w:val="none"/>
        </w:rPr>
        <w:t xml:space="preserve">  </w:t>
      </w:r>
      <w:r>
        <w:rPr>
          <w:rFonts w:hint="eastAsia" w:ascii="宋体" w:hAnsi="宋体" w:cs="宋体"/>
          <w:color w:val="auto"/>
          <w:spacing w:val="6"/>
          <w:sz w:val="24"/>
          <w:highlight w:val="none"/>
        </w:rPr>
        <w:t xml:space="preserve">          </w:t>
      </w:r>
      <w:r>
        <w:rPr>
          <w:rFonts w:ascii="宋体" w:hAnsi="宋体" w:cs="宋体"/>
          <w:color w:val="auto"/>
          <w:spacing w:val="-11"/>
          <w:sz w:val="24"/>
          <w:highlight w:val="none"/>
        </w:rPr>
        <w:t>职</w:t>
      </w:r>
      <w:r>
        <w:rPr>
          <w:rFonts w:ascii="宋体" w:hAnsi="宋体" w:cs="宋体"/>
          <w:color w:val="auto"/>
          <w:spacing w:val="2"/>
          <w:sz w:val="24"/>
          <w:highlight w:val="none"/>
        </w:rPr>
        <w:t xml:space="preserve">     </w:t>
      </w:r>
      <w:r>
        <w:rPr>
          <w:rFonts w:ascii="宋体" w:hAnsi="宋体" w:cs="宋体"/>
          <w:color w:val="auto"/>
          <w:spacing w:val="-11"/>
          <w:sz w:val="24"/>
          <w:highlight w:val="none"/>
        </w:rPr>
        <w:t>务：</w:t>
      </w:r>
    </w:p>
    <w:p w14:paraId="3159F35D">
      <w:pPr>
        <w:pStyle w:val="7"/>
        <w:spacing w:line="381" w:lineRule="auto"/>
        <w:rPr>
          <w:color w:val="auto"/>
          <w:highlight w:val="none"/>
        </w:rPr>
      </w:pPr>
    </w:p>
    <w:p w14:paraId="6A664D52">
      <w:pPr>
        <w:spacing w:before="79" w:line="561" w:lineRule="auto"/>
        <w:ind w:left="35" w:right="326" w:firstLine="4"/>
        <w:rPr>
          <w:rFonts w:ascii="宋体" w:hAnsi="宋体" w:cs="宋体"/>
          <w:color w:val="auto"/>
          <w:sz w:val="24"/>
          <w:highlight w:val="none"/>
        </w:rPr>
      </w:pPr>
      <w:r>
        <w:rPr>
          <w:rFonts w:ascii="宋体" w:hAnsi="宋体" w:cs="宋体"/>
          <w:color w:val="auto"/>
          <w:spacing w:val="-3"/>
          <w:sz w:val="24"/>
          <w:highlight w:val="none"/>
        </w:rPr>
        <w:t>系（投标人名称）的法定代表人（单位负责人）。</w:t>
      </w:r>
      <w:r>
        <w:rPr>
          <w:rFonts w:ascii="宋体" w:hAnsi="宋体" w:cs="宋体"/>
          <w:color w:val="auto"/>
          <w:spacing w:val="16"/>
          <w:sz w:val="24"/>
          <w:highlight w:val="none"/>
        </w:rPr>
        <w:t xml:space="preserve"> </w:t>
      </w:r>
      <w:r>
        <w:rPr>
          <w:rFonts w:ascii="宋体" w:hAnsi="宋体" w:cs="宋体"/>
          <w:color w:val="auto"/>
          <w:spacing w:val="-8"/>
          <w:sz w:val="24"/>
          <w:highlight w:val="none"/>
        </w:rPr>
        <w:t>特此证明。</w:t>
      </w:r>
    </w:p>
    <w:p w14:paraId="4FE53437">
      <w:pPr>
        <w:spacing w:before="34" w:line="219" w:lineRule="auto"/>
        <w:ind w:left="54"/>
        <w:rPr>
          <w:rFonts w:ascii="宋体" w:hAnsi="宋体" w:cs="宋体"/>
          <w:color w:val="auto"/>
          <w:spacing w:val="-3"/>
          <w:sz w:val="24"/>
          <w:highlight w:val="none"/>
        </w:rPr>
      </w:pPr>
      <w:r>
        <w:rPr>
          <w:rFonts w:ascii="宋体" w:hAnsi="宋体" w:cs="宋体"/>
          <w:color w:val="auto"/>
          <w:spacing w:val="-3"/>
          <w:sz w:val="24"/>
          <w:highlight w:val="none"/>
        </w:rPr>
        <w:t>附：法定代表人（单位负责人）身份证扫描件</w:t>
      </w:r>
      <w:r>
        <w:rPr>
          <w:rFonts w:hint="eastAsia" w:ascii="宋体" w:hAnsi="宋体" w:cs="宋体"/>
          <w:color w:val="auto"/>
          <w:spacing w:val="-3"/>
          <w:sz w:val="24"/>
          <w:highlight w:val="none"/>
        </w:rPr>
        <w:t>（正反面）</w:t>
      </w:r>
      <w:r>
        <w:rPr>
          <w:rFonts w:ascii="宋体" w:hAnsi="宋体" w:cs="宋体"/>
          <w:color w:val="auto"/>
          <w:spacing w:val="-3"/>
          <w:sz w:val="24"/>
          <w:highlight w:val="none"/>
        </w:rPr>
        <w:t>。</w:t>
      </w:r>
    </w:p>
    <w:p w14:paraId="06B0BC4C">
      <w:pPr>
        <w:spacing w:before="34" w:line="219" w:lineRule="auto"/>
        <w:ind w:left="54"/>
        <w:rPr>
          <w:rFonts w:ascii="宋体" w:hAnsi="宋体" w:cs="宋体"/>
          <w:color w:val="auto"/>
          <w:spacing w:val="-3"/>
          <w:sz w:val="24"/>
          <w:highlight w:val="none"/>
        </w:rPr>
      </w:pPr>
    </w:p>
    <w:tbl>
      <w:tblPr>
        <w:tblStyle w:val="1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1"/>
        <w:gridCol w:w="4261"/>
      </w:tblGrid>
      <w:tr w14:paraId="293307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3" w:hRule="atLeast"/>
        </w:trPr>
        <w:tc>
          <w:tcPr>
            <w:tcW w:w="4261" w:type="dxa"/>
          </w:tcPr>
          <w:p w14:paraId="2536C3C4">
            <w:pPr>
              <w:spacing w:line="360" w:lineRule="auto"/>
              <w:jc w:val="center"/>
              <w:rPr>
                <w:rFonts w:ascii="宋体" w:hAnsi="宋体" w:cs="宋体"/>
                <w:b/>
                <w:bCs/>
                <w:color w:val="auto"/>
                <w:spacing w:val="-5"/>
                <w:sz w:val="32"/>
                <w:szCs w:val="32"/>
                <w:highlight w:val="none"/>
              </w:rPr>
            </w:pPr>
          </w:p>
        </w:tc>
        <w:tc>
          <w:tcPr>
            <w:tcW w:w="4261" w:type="dxa"/>
          </w:tcPr>
          <w:p w14:paraId="16F7AC66">
            <w:pPr>
              <w:spacing w:line="360" w:lineRule="auto"/>
              <w:jc w:val="center"/>
              <w:rPr>
                <w:rFonts w:ascii="宋体" w:hAnsi="宋体" w:cs="宋体"/>
                <w:b/>
                <w:bCs/>
                <w:color w:val="auto"/>
                <w:spacing w:val="-5"/>
                <w:sz w:val="32"/>
                <w:szCs w:val="32"/>
                <w:highlight w:val="none"/>
              </w:rPr>
            </w:pPr>
          </w:p>
        </w:tc>
      </w:tr>
    </w:tbl>
    <w:p w14:paraId="65A4605E">
      <w:pPr>
        <w:spacing w:before="104" w:line="219" w:lineRule="auto"/>
        <w:jc w:val="center"/>
        <w:outlineLvl w:val="1"/>
        <w:rPr>
          <w:rFonts w:ascii="宋体" w:hAnsi="宋体" w:cs="宋体"/>
          <w:b/>
          <w:bCs/>
          <w:color w:val="auto"/>
          <w:spacing w:val="-6"/>
          <w:sz w:val="32"/>
          <w:szCs w:val="32"/>
          <w:highlight w:val="none"/>
        </w:rPr>
      </w:pPr>
      <w:r>
        <w:rPr>
          <w:rFonts w:ascii="宋体" w:hAnsi="宋体" w:cs="宋体"/>
          <w:b/>
          <w:bCs/>
          <w:color w:val="auto"/>
          <w:spacing w:val="-5"/>
          <w:sz w:val="32"/>
          <w:szCs w:val="32"/>
          <w:highlight w:val="none"/>
        </w:rPr>
        <w:br w:type="page"/>
      </w:r>
      <w:bookmarkStart w:id="301" w:name="_Toc31491"/>
      <w:r>
        <w:rPr>
          <w:rFonts w:ascii="宋体" w:hAnsi="宋体" w:cs="宋体"/>
          <w:b/>
          <w:bCs/>
          <w:color w:val="auto"/>
          <w:spacing w:val="-6"/>
          <w:sz w:val="32"/>
          <w:szCs w:val="32"/>
          <w:highlight w:val="none"/>
        </w:rPr>
        <w:t>二、授权委托书</w:t>
      </w:r>
      <w:bookmarkEnd w:id="301"/>
    </w:p>
    <w:p w14:paraId="4B0E35C3">
      <w:pPr>
        <w:spacing w:before="78" w:line="350" w:lineRule="auto"/>
        <w:ind w:left="36" w:right="173" w:firstLine="480"/>
        <w:rPr>
          <w:rFonts w:ascii="宋体" w:hAnsi="宋体" w:cs="宋体"/>
          <w:color w:val="auto"/>
          <w:spacing w:val="-1"/>
          <w:sz w:val="24"/>
          <w:highlight w:val="none"/>
        </w:rPr>
      </w:pPr>
    </w:p>
    <w:p w14:paraId="0B0E1433">
      <w:pPr>
        <w:spacing w:before="78" w:line="350" w:lineRule="auto"/>
        <w:ind w:left="36" w:right="173" w:firstLine="480"/>
        <w:rPr>
          <w:rFonts w:ascii="宋体" w:hAnsi="宋体" w:cs="宋体"/>
          <w:color w:val="auto"/>
          <w:sz w:val="24"/>
          <w:highlight w:val="none"/>
        </w:rPr>
      </w:pPr>
      <w:r>
        <w:rPr>
          <w:rFonts w:ascii="宋体" w:hAnsi="宋体" w:cs="宋体"/>
          <w:color w:val="auto"/>
          <w:spacing w:val="-1"/>
          <w:sz w:val="24"/>
          <w:highlight w:val="none"/>
        </w:rPr>
        <w:t>本人（姓名）系（投标人名称）的法定代表人（单位负责人</w:t>
      </w:r>
      <w:r>
        <w:rPr>
          <w:rFonts w:ascii="宋体" w:hAnsi="宋体" w:cs="宋体"/>
          <w:color w:val="auto"/>
          <w:spacing w:val="2"/>
          <w:sz w:val="24"/>
          <w:highlight w:val="none"/>
        </w:rPr>
        <w:t>），</w:t>
      </w:r>
      <w:r>
        <w:rPr>
          <w:rFonts w:ascii="宋体" w:hAnsi="宋体" w:cs="宋体"/>
          <w:color w:val="auto"/>
          <w:spacing w:val="-1"/>
          <w:sz w:val="24"/>
          <w:highlight w:val="none"/>
        </w:rPr>
        <w:t>现委托（姓名）</w:t>
      </w:r>
      <w:r>
        <w:rPr>
          <w:rFonts w:ascii="宋体" w:hAnsi="宋体" w:cs="宋体"/>
          <w:color w:val="auto"/>
          <w:spacing w:val="1"/>
          <w:sz w:val="24"/>
          <w:highlight w:val="none"/>
        </w:rPr>
        <w:t xml:space="preserve"> </w:t>
      </w:r>
      <w:r>
        <w:rPr>
          <w:rFonts w:ascii="宋体" w:hAnsi="宋体" w:cs="宋体"/>
          <w:color w:val="auto"/>
          <w:sz w:val="24"/>
          <w:highlight w:val="none"/>
        </w:rPr>
        <w:t>为我方代理人。代理人根据授权，以我方名义签署、澄清</w:t>
      </w:r>
      <w:r>
        <w:rPr>
          <w:rFonts w:ascii="宋体" w:hAnsi="宋体" w:cs="宋体"/>
          <w:color w:val="auto"/>
          <w:spacing w:val="-1"/>
          <w:sz w:val="24"/>
          <w:highlight w:val="none"/>
        </w:rPr>
        <w:t>确认、递交、撤回、修改本</w:t>
      </w:r>
      <w:r>
        <w:rPr>
          <w:rFonts w:ascii="宋体" w:hAnsi="宋体" w:cs="宋体"/>
          <w:color w:val="auto"/>
          <w:sz w:val="24"/>
          <w:highlight w:val="none"/>
        </w:rPr>
        <w:t xml:space="preserve"> </w:t>
      </w:r>
      <w:r>
        <w:rPr>
          <w:rFonts w:ascii="宋体" w:hAnsi="宋体" w:cs="宋体"/>
          <w:color w:val="auto"/>
          <w:spacing w:val="-1"/>
          <w:sz w:val="24"/>
          <w:highlight w:val="none"/>
        </w:rPr>
        <w:t>招标项目投标文件、签订合同和处理有关事</w:t>
      </w:r>
      <w:r>
        <w:rPr>
          <w:rFonts w:ascii="宋体" w:hAnsi="宋体" w:cs="宋体"/>
          <w:color w:val="auto"/>
          <w:spacing w:val="-2"/>
          <w:sz w:val="24"/>
          <w:highlight w:val="none"/>
        </w:rPr>
        <w:t>宜，其法律后果由我方承担。</w:t>
      </w:r>
    </w:p>
    <w:p w14:paraId="2D3ED72A">
      <w:pPr>
        <w:spacing w:before="314" w:line="220" w:lineRule="auto"/>
        <w:ind w:firstLine="472" w:firstLineChars="200"/>
        <w:rPr>
          <w:rFonts w:ascii="宋体" w:hAnsi="宋体" w:cs="宋体"/>
          <w:color w:val="auto"/>
          <w:sz w:val="24"/>
          <w:highlight w:val="none"/>
        </w:rPr>
      </w:pPr>
      <w:r>
        <w:rPr>
          <w:rFonts w:ascii="宋体" w:hAnsi="宋体" w:cs="宋体"/>
          <w:color w:val="auto"/>
          <w:spacing w:val="-2"/>
          <w:sz w:val="24"/>
          <w:highlight w:val="none"/>
        </w:rPr>
        <w:t>委托期限：</w:t>
      </w:r>
      <w:r>
        <w:rPr>
          <w:rFonts w:hint="eastAsia" w:ascii="宋体" w:hAnsi="宋体" w:cs="宋体"/>
          <w:color w:val="auto"/>
          <w:spacing w:val="-2"/>
          <w:sz w:val="24"/>
          <w:highlight w:val="none"/>
          <w:u w:val="single"/>
        </w:rPr>
        <w:t xml:space="preserve">                                  </w:t>
      </w:r>
      <w:r>
        <w:rPr>
          <w:rFonts w:ascii="宋体" w:hAnsi="宋体" w:cs="宋体"/>
          <w:color w:val="auto"/>
          <w:spacing w:val="-2"/>
          <w:sz w:val="24"/>
          <w:highlight w:val="none"/>
        </w:rPr>
        <w:t xml:space="preserve"> 。</w:t>
      </w:r>
    </w:p>
    <w:p w14:paraId="42E298B7">
      <w:pPr>
        <w:spacing w:before="79" w:line="220" w:lineRule="auto"/>
        <w:ind w:firstLine="460" w:firstLineChars="200"/>
        <w:rPr>
          <w:rFonts w:ascii="宋体" w:hAnsi="宋体" w:cs="宋体"/>
          <w:color w:val="auto"/>
          <w:sz w:val="24"/>
          <w:highlight w:val="none"/>
        </w:rPr>
      </w:pPr>
      <w:r>
        <w:rPr>
          <w:rFonts w:ascii="宋体" w:hAnsi="宋体" w:cs="宋体"/>
          <w:color w:val="auto"/>
          <w:spacing w:val="-5"/>
          <w:sz w:val="24"/>
          <w:highlight w:val="none"/>
        </w:rPr>
        <w:t>代理人无转委托权。</w:t>
      </w:r>
    </w:p>
    <w:p w14:paraId="726902DB">
      <w:pPr>
        <w:spacing w:before="104" w:line="219" w:lineRule="auto"/>
        <w:ind w:firstLine="476" w:firstLineChars="200"/>
        <w:rPr>
          <w:rFonts w:ascii="宋体" w:hAnsi="宋体" w:cs="宋体"/>
          <w:color w:val="auto"/>
          <w:spacing w:val="-1"/>
          <w:sz w:val="24"/>
          <w:highlight w:val="none"/>
        </w:rPr>
      </w:pPr>
      <w:r>
        <w:rPr>
          <w:rFonts w:ascii="宋体" w:hAnsi="宋体" w:cs="宋体"/>
          <w:color w:val="auto"/>
          <w:spacing w:val="-1"/>
          <w:sz w:val="24"/>
          <w:highlight w:val="none"/>
        </w:rPr>
        <w:t>附：法定代表人（单位负责人）身份证扫描件及委托代理人身份证扫描件</w:t>
      </w:r>
      <w:r>
        <w:rPr>
          <w:rFonts w:hint="eastAsia" w:ascii="宋体" w:hAnsi="宋体" w:cs="宋体"/>
          <w:color w:val="auto"/>
          <w:spacing w:val="-1"/>
          <w:sz w:val="24"/>
          <w:highlight w:val="none"/>
        </w:rPr>
        <w:t>。</w:t>
      </w:r>
    </w:p>
    <w:p w14:paraId="112F8AA5">
      <w:pPr>
        <w:spacing w:before="104" w:line="219" w:lineRule="auto"/>
        <w:rPr>
          <w:rFonts w:ascii="宋体" w:hAnsi="宋体" w:cs="宋体"/>
          <w:color w:val="auto"/>
          <w:spacing w:val="-1"/>
          <w:sz w:val="24"/>
          <w:highlight w:val="none"/>
        </w:rPr>
      </w:pPr>
    </w:p>
    <w:p w14:paraId="600BE5DB">
      <w:pPr>
        <w:spacing w:before="104" w:line="219" w:lineRule="auto"/>
        <w:rPr>
          <w:rFonts w:ascii="宋体" w:hAnsi="宋体" w:cs="宋体"/>
          <w:color w:val="auto"/>
          <w:spacing w:val="-1"/>
          <w:sz w:val="24"/>
          <w:highlight w:val="none"/>
        </w:rPr>
      </w:pPr>
      <w:r>
        <w:rPr>
          <w:rFonts w:hint="eastAsia" w:ascii="宋体" w:hAnsi="宋体" w:cs="宋体"/>
          <w:color w:val="auto"/>
          <w:spacing w:val="-1"/>
          <w:sz w:val="24"/>
          <w:highlight w:val="none"/>
        </w:rPr>
        <w:t>法定代表人（单位负责人）身份证扫描件：</w:t>
      </w:r>
    </w:p>
    <w:tbl>
      <w:tblPr>
        <w:tblStyle w:val="1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1"/>
        <w:gridCol w:w="4261"/>
      </w:tblGrid>
      <w:tr w14:paraId="3E623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6" w:hRule="atLeast"/>
        </w:trPr>
        <w:tc>
          <w:tcPr>
            <w:tcW w:w="4261" w:type="dxa"/>
          </w:tcPr>
          <w:p w14:paraId="4E73A76A">
            <w:pPr>
              <w:spacing w:before="104" w:line="219" w:lineRule="auto"/>
              <w:rPr>
                <w:rFonts w:ascii="宋体" w:hAnsi="宋体" w:cs="宋体"/>
                <w:color w:val="auto"/>
                <w:spacing w:val="-1"/>
                <w:sz w:val="24"/>
                <w:highlight w:val="none"/>
              </w:rPr>
            </w:pPr>
          </w:p>
        </w:tc>
        <w:tc>
          <w:tcPr>
            <w:tcW w:w="4261" w:type="dxa"/>
          </w:tcPr>
          <w:p w14:paraId="12903806">
            <w:pPr>
              <w:spacing w:before="104" w:line="219" w:lineRule="auto"/>
              <w:rPr>
                <w:rFonts w:ascii="宋体" w:hAnsi="宋体" w:cs="宋体"/>
                <w:color w:val="auto"/>
                <w:spacing w:val="-1"/>
                <w:sz w:val="24"/>
                <w:highlight w:val="none"/>
              </w:rPr>
            </w:pPr>
          </w:p>
        </w:tc>
      </w:tr>
    </w:tbl>
    <w:p w14:paraId="7D4F6930">
      <w:pPr>
        <w:spacing w:before="104" w:line="219" w:lineRule="auto"/>
        <w:rPr>
          <w:rFonts w:ascii="宋体" w:hAnsi="宋体" w:cs="宋体"/>
          <w:color w:val="auto"/>
          <w:spacing w:val="-1"/>
          <w:sz w:val="24"/>
          <w:highlight w:val="none"/>
        </w:rPr>
      </w:pPr>
    </w:p>
    <w:p w14:paraId="156D6012">
      <w:pPr>
        <w:spacing w:before="104" w:line="219" w:lineRule="auto"/>
        <w:rPr>
          <w:rFonts w:ascii="宋体" w:hAnsi="宋体" w:cs="宋体"/>
          <w:color w:val="auto"/>
          <w:spacing w:val="-1"/>
          <w:sz w:val="24"/>
          <w:highlight w:val="none"/>
        </w:rPr>
      </w:pPr>
      <w:r>
        <w:rPr>
          <w:rFonts w:hint="eastAsia" w:ascii="宋体" w:hAnsi="宋体" w:cs="宋体"/>
          <w:color w:val="auto"/>
          <w:spacing w:val="-1"/>
          <w:sz w:val="24"/>
          <w:highlight w:val="none"/>
        </w:rPr>
        <w:t>委托代理人身份证扫描件：</w:t>
      </w:r>
    </w:p>
    <w:tbl>
      <w:tblPr>
        <w:tblStyle w:val="1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1"/>
        <w:gridCol w:w="4261"/>
      </w:tblGrid>
      <w:tr w14:paraId="689BE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6" w:hRule="atLeast"/>
        </w:trPr>
        <w:tc>
          <w:tcPr>
            <w:tcW w:w="4261" w:type="dxa"/>
          </w:tcPr>
          <w:p w14:paraId="2CE54F9F">
            <w:pPr>
              <w:spacing w:before="104" w:line="219" w:lineRule="auto"/>
              <w:rPr>
                <w:rFonts w:ascii="宋体" w:hAnsi="宋体" w:cs="宋体"/>
                <w:color w:val="auto"/>
                <w:spacing w:val="-1"/>
                <w:sz w:val="24"/>
                <w:highlight w:val="none"/>
              </w:rPr>
            </w:pPr>
          </w:p>
        </w:tc>
        <w:tc>
          <w:tcPr>
            <w:tcW w:w="4261" w:type="dxa"/>
          </w:tcPr>
          <w:p w14:paraId="0DDC7E4E">
            <w:pPr>
              <w:spacing w:before="104" w:line="219" w:lineRule="auto"/>
              <w:rPr>
                <w:rFonts w:ascii="宋体" w:hAnsi="宋体" w:cs="宋体"/>
                <w:color w:val="auto"/>
                <w:spacing w:val="-1"/>
                <w:sz w:val="24"/>
                <w:highlight w:val="none"/>
              </w:rPr>
            </w:pPr>
          </w:p>
        </w:tc>
      </w:tr>
    </w:tbl>
    <w:p w14:paraId="00EBE38C">
      <w:pPr>
        <w:spacing w:line="360" w:lineRule="auto"/>
        <w:rPr>
          <w:rFonts w:ascii="宋体" w:hAnsi="宋体" w:cs="宋体"/>
          <w:color w:val="auto"/>
          <w:spacing w:val="-1"/>
          <w:sz w:val="24"/>
          <w:highlight w:val="none"/>
        </w:rPr>
      </w:pPr>
    </w:p>
    <w:p w14:paraId="1271C2D8">
      <w:pPr>
        <w:spacing w:line="360" w:lineRule="auto"/>
        <w:ind w:firstLine="476" w:firstLineChars="200"/>
        <w:rPr>
          <w:rFonts w:ascii="宋体" w:hAnsi="宋体" w:cs="宋体"/>
          <w:color w:val="auto"/>
          <w:spacing w:val="-1"/>
          <w:sz w:val="24"/>
          <w:highlight w:val="none"/>
        </w:rPr>
      </w:pPr>
      <w:r>
        <w:rPr>
          <w:rFonts w:hint="eastAsia" w:ascii="宋体" w:hAnsi="宋体" w:cs="宋体"/>
          <w:color w:val="auto"/>
          <w:spacing w:val="-1"/>
          <w:sz w:val="24"/>
          <w:highlight w:val="none"/>
        </w:rPr>
        <w:t>投标人（盖章）：</w:t>
      </w:r>
    </w:p>
    <w:p w14:paraId="369473CA">
      <w:pPr>
        <w:spacing w:line="360" w:lineRule="auto"/>
        <w:ind w:firstLine="476" w:firstLineChars="200"/>
        <w:rPr>
          <w:rFonts w:ascii="宋体" w:hAnsi="宋体" w:cs="宋体"/>
          <w:color w:val="auto"/>
          <w:spacing w:val="-1"/>
          <w:sz w:val="24"/>
          <w:highlight w:val="none"/>
        </w:rPr>
      </w:pPr>
      <w:r>
        <w:rPr>
          <w:rFonts w:hint="eastAsia" w:ascii="宋体" w:hAnsi="宋体" w:cs="宋体"/>
          <w:color w:val="auto"/>
          <w:spacing w:val="-1"/>
          <w:sz w:val="24"/>
          <w:highlight w:val="none"/>
        </w:rPr>
        <w:t>法定代表人签字：</w:t>
      </w:r>
    </w:p>
    <w:p w14:paraId="5BEE263B">
      <w:pPr>
        <w:spacing w:line="360" w:lineRule="auto"/>
        <w:ind w:firstLine="476" w:firstLineChars="200"/>
        <w:rPr>
          <w:rFonts w:ascii="宋体" w:hAnsi="宋体" w:cs="宋体"/>
          <w:color w:val="auto"/>
          <w:spacing w:val="-1"/>
          <w:sz w:val="24"/>
          <w:highlight w:val="none"/>
        </w:rPr>
      </w:pPr>
      <w:r>
        <w:rPr>
          <w:rFonts w:hint="eastAsia" w:ascii="宋体" w:hAnsi="宋体" w:cs="宋体"/>
          <w:color w:val="auto"/>
          <w:spacing w:val="-1"/>
          <w:sz w:val="24"/>
          <w:highlight w:val="none"/>
        </w:rPr>
        <w:t>委托代理人签字：</w:t>
      </w:r>
    </w:p>
    <w:p w14:paraId="270B2CAA">
      <w:pPr>
        <w:spacing w:line="360" w:lineRule="auto"/>
        <w:ind w:firstLine="476" w:firstLineChars="200"/>
        <w:rPr>
          <w:rFonts w:ascii="宋体" w:hAnsi="宋体" w:cs="宋体"/>
          <w:color w:val="auto"/>
          <w:spacing w:val="-1"/>
          <w:sz w:val="24"/>
          <w:highlight w:val="none"/>
        </w:rPr>
      </w:pPr>
      <w:r>
        <w:rPr>
          <w:rFonts w:hint="eastAsia" w:ascii="宋体" w:hAnsi="宋体" w:cs="宋体"/>
          <w:color w:val="auto"/>
          <w:spacing w:val="-1"/>
          <w:sz w:val="24"/>
          <w:highlight w:val="none"/>
        </w:rPr>
        <w:t>日期：</w:t>
      </w:r>
    </w:p>
    <w:p w14:paraId="5DC140BB">
      <w:pPr>
        <w:pStyle w:val="3"/>
        <w:tabs>
          <w:tab w:val="right" w:leader="dot" w:pos="8295"/>
        </w:tabs>
        <w:jc w:val="center"/>
        <w:rPr>
          <w:rFonts w:ascii="宋体" w:eastAsia="宋体"/>
          <w:b w:val="0"/>
          <w:color w:val="auto"/>
          <w:sz w:val="28"/>
          <w:szCs w:val="28"/>
          <w:highlight w:val="none"/>
        </w:rPr>
      </w:pPr>
      <w:r>
        <w:rPr>
          <w:rFonts w:ascii="宋体" w:hAnsi="宋体" w:cs="宋体"/>
          <w:bCs/>
          <w:color w:val="auto"/>
          <w:spacing w:val="-5"/>
          <w:sz w:val="32"/>
          <w:szCs w:val="32"/>
          <w:highlight w:val="none"/>
        </w:rPr>
        <w:br w:type="page"/>
      </w:r>
    </w:p>
    <w:p w14:paraId="2C72FDA8">
      <w:pPr>
        <w:pStyle w:val="3"/>
        <w:tabs>
          <w:tab w:val="right" w:leader="dot" w:pos="8295"/>
        </w:tabs>
        <w:jc w:val="center"/>
        <w:rPr>
          <w:rFonts w:ascii="宋体" w:eastAsia="宋体"/>
          <w:color w:val="auto"/>
          <w:sz w:val="28"/>
          <w:szCs w:val="28"/>
          <w:highlight w:val="none"/>
        </w:rPr>
      </w:pPr>
      <w:r>
        <w:rPr>
          <w:rFonts w:hint="eastAsia" w:ascii="宋体" w:eastAsia="宋体"/>
          <w:color w:val="auto"/>
          <w:sz w:val="28"/>
          <w:szCs w:val="28"/>
          <w:highlight w:val="none"/>
        </w:rPr>
        <w:t>三、投标保证金</w:t>
      </w:r>
    </w:p>
    <w:p w14:paraId="21D35FD8">
      <w:pPr>
        <w:tabs>
          <w:tab w:val="right" w:leader="dot" w:pos="8295"/>
        </w:tabs>
        <w:rPr>
          <w:rFonts w:ascii="宋体"/>
          <w:color w:val="auto"/>
          <w:highlight w:val="none"/>
        </w:rPr>
      </w:pPr>
    </w:p>
    <w:p w14:paraId="3E32C9A7">
      <w:pPr>
        <w:tabs>
          <w:tab w:val="right" w:leader="dot" w:pos="8295"/>
        </w:tabs>
        <w:rPr>
          <w:rFonts w:ascii="宋体"/>
          <w:color w:val="auto"/>
          <w:szCs w:val="24"/>
          <w:highlight w:val="none"/>
        </w:rPr>
      </w:pPr>
    </w:p>
    <w:p w14:paraId="20DB32E0">
      <w:pPr>
        <w:shd w:val="clear" w:color="000000" w:fill="auto"/>
        <w:tabs>
          <w:tab w:val="right" w:leader="dot" w:pos="8295"/>
        </w:tabs>
        <w:ind w:firstLine="461"/>
        <w:rPr>
          <w:rFonts w:ascii="宋体"/>
          <w:color w:val="auto"/>
          <w:szCs w:val="24"/>
          <w:highlight w:val="none"/>
        </w:rPr>
      </w:pPr>
      <w:r>
        <w:rPr>
          <w:rFonts w:hint="eastAsia" w:ascii="宋体"/>
          <w:color w:val="auto"/>
          <w:szCs w:val="24"/>
          <w:highlight w:val="none"/>
        </w:rPr>
        <w:t>□现金支付（全部采用现金支付的，提供银行汇出扫描件）</w:t>
      </w:r>
    </w:p>
    <w:p w14:paraId="09D18FD4">
      <w:pPr>
        <w:shd w:val="clear" w:color="000000" w:fill="auto"/>
        <w:tabs>
          <w:tab w:val="right" w:leader="dot" w:pos="8295"/>
        </w:tabs>
        <w:ind w:firstLine="461"/>
        <w:rPr>
          <w:rFonts w:ascii="宋体"/>
          <w:color w:val="auto"/>
          <w:szCs w:val="24"/>
          <w:highlight w:val="none"/>
        </w:rPr>
      </w:pPr>
      <w:r>
        <w:rPr>
          <w:rFonts w:hint="eastAsia" w:ascii="宋体"/>
          <w:color w:val="auto"/>
          <w:szCs w:val="24"/>
          <w:highlight w:val="none"/>
        </w:rPr>
        <w:t>□联保资金支付（联保资金大于项目投标保证金时，无需提供证明；联保资金小于项目投标保证金时，提供补交差额的银行汇出扫描件）</w:t>
      </w:r>
    </w:p>
    <w:p w14:paraId="027688E0">
      <w:pPr>
        <w:shd w:val="clear" w:color="000000" w:fill="auto"/>
        <w:tabs>
          <w:tab w:val="right" w:leader="dot" w:pos="8295"/>
        </w:tabs>
        <w:ind w:firstLine="461"/>
        <w:rPr>
          <w:rFonts w:ascii="宋体"/>
          <w:color w:val="auto"/>
          <w:szCs w:val="24"/>
          <w:highlight w:val="none"/>
        </w:rPr>
      </w:pPr>
      <w:r>
        <w:rPr>
          <w:rFonts w:hint="eastAsia" w:ascii="宋体"/>
          <w:color w:val="auto"/>
          <w:szCs w:val="24"/>
          <w:highlight w:val="none"/>
        </w:rPr>
        <w:t>□电子保险保单（可以不提供证明）</w:t>
      </w:r>
    </w:p>
    <w:p w14:paraId="51B5709F">
      <w:pPr>
        <w:shd w:val="clear" w:color="000000" w:fill="auto"/>
        <w:tabs>
          <w:tab w:val="right" w:leader="dot" w:pos="8295"/>
        </w:tabs>
        <w:ind w:firstLine="461"/>
        <w:rPr>
          <w:rFonts w:ascii="宋体"/>
          <w:color w:val="auto"/>
          <w:szCs w:val="24"/>
          <w:highlight w:val="none"/>
        </w:rPr>
      </w:pPr>
    </w:p>
    <w:p w14:paraId="45C60AA7">
      <w:pPr>
        <w:tabs>
          <w:tab w:val="right" w:leader="dot" w:pos="8295"/>
        </w:tabs>
        <w:jc w:val="left"/>
        <w:rPr>
          <w:rFonts w:ascii="宋体"/>
          <w:i/>
          <w:color w:val="auto"/>
          <w:sz w:val="28"/>
          <w:szCs w:val="28"/>
          <w:highlight w:val="none"/>
        </w:rPr>
      </w:pPr>
    </w:p>
    <w:p w14:paraId="13BB7CFE">
      <w:pPr>
        <w:spacing w:before="78" w:line="350" w:lineRule="auto"/>
        <w:ind w:right="173"/>
        <w:jc w:val="center"/>
        <w:outlineLvl w:val="1"/>
        <w:rPr>
          <w:rFonts w:ascii="宋体" w:hAnsi="宋体" w:cs="宋体"/>
          <w:b/>
          <w:bCs/>
          <w:color w:val="auto"/>
          <w:spacing w:val="-5"/>
          <w:sz w:val="28"/>
          <w:szCs w:val="28"/>
          <w:highlight w:val="none"/>
        </w:rPr>
      </w:pPr>
      <w:r>
        <w:rPr>
          <w:rFonts w:hint="eastAsia" w:ascii="宋体"/>
          <w:color w:val="auto"/>
          <w:highlight w:val="none"/>
        </w:rPr>
        <w:br w:type="page"/>
      </w:r>
      <w:bookmarkStart w:id="302" w:name="_Toc184635145"/>
      <w:bookmarkStart w:id="303" w:name="_Toc494121501"/>
      <w:bookmarkStart w:id="304" w:name="_Toc530660870"/>
      <w:r>
        <w:rPr>
          <w:rFonts w:hint="eastAsia" w:ascii="宋体"/>
          <w:b/>
          <w:color w:val="auto"/>
          <w:sz w:val="28"/>
          <w:szCs w:val="28"/>
          <w:highlight w:val="none"/>
        </w:rPr>
        <w:t>四、</w:t>
      </w:r>
      <w:bookmarkEnd w:id="302"/>
      <w:bookmarkEnd w:id="303"/>
      <w:bookmarkEnd w:id="304"/>
      <w:r>
        <w:rPr>
          <w:rFonts w:hint="eastAsia" w:ascii="宋体" w:hAnsi="宋体" w:cs="宋体"/>
          <w:b/>
          <w:bCs/>
          <w:color w:val="auto"/>
          <w:spacing w:val="-5"/>
          <w:sz w:val="28"/>
          <w:szCs w:val="28"/>
          <w:highlight w:val="none"/>
        </w:rPr>
        <w:t>资格审查资料</w:t>
      </w:r>
    </w:p>
    <w:tbl>
      <w:tblPr>
        <w:tblStyle w:val="19"/>
        <w:tblW w:w="0" w:type="auto"/>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2939"/>
        <w:gridCol w:w="5387"/>
      </w:tblGrid>
      <w:tr w14:paraId="4EB7A3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6" w:hRule="atLeast"/>
        </w:trPr>
        <w:tc>
          <w:tcPr>
            <w:tcW w:w="2939" w:type="dxa"/>
          </w:tcPr>
          <w:p w14:paraId="5F538DF8">
            <w:pPr>
              <w:pStyle w:val="34"/>
              <w:spacing w:before="32" w:line="205" w:lineRule="auto"/>
              <w:jc w:val="center"/>
              <w:rPr>
                <w:color w:val="auto"/>
                <w:spacing w:val="-1"/>
                <w:highlight w:val="none"/>
                <w:lang w:eastAsia="zh-CN"/>
              </w:rPr>
            </w:pPr>
            <w:r>
              <w:rPr>
                <w:rFonts w:hint="eastAsia"/>
                <w:color w:val="auto"/>
                <w:spacing w:val="-1"/>
                <w:highlight w:val="none"/>
                <w:lang w:eastAsia="zh-CN"/>
              </w:rPr>
              <w:t>序号</w:t>
            </w:r>
          </w:p>
        </w:tc>
        <w:tc>
          <w:tcPr>
            <w:tcW w:w="5387" w:type="dxa"/>
          </w:tcPr>
          <w:p w14:paraId="245A47D5">
            <w:pPr>
              <w:pStyle w:val="34"/>
              <w:spacing w:before="32" w:line="205" w:lineRule="auto"/>
              <w:jc w:val="center"/>
              <w:rPr>
                <w:color w:val="auto"/>
                <w:highlight w:val="none"/>
              </w:rPr>
            </w:pPr>
            <w:r>
              <w:rPr>
                <w:color w:val="auto"/>
                <w:spacing w:val="-1"/>
                <w:highlight w:val="none"/>
              </w:rPr>
              <w:t>相关证明材料类型</w:t>
            </w:r>
          </w:p>
        </w:tc>
      </w:tr>
      <w:tr w14:paraId="18008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68" w:hRule="atLeast"/>
        </w:trPr>
        <w:tc>
          <w:tcPr>
            <w:tcW w:w="2939" w:type="dxa"/>
          </w:tcPr>
          <w:p w14:paraId="7602DE01">
            <w:pPr>
              <w:pStyle w:val="34"/>
              <w:spacing w:before="29" w:line="201" w:lineRule="auto"/>
              <w:jc w:val="center"/>
              <w:rPr>
                <w:color w:val="auto"/>
                <w:spacing w:val="-3"/>
                <w:highlight w:val="none"/>
                <w:lang w:eastAsia="zh-CN"/>
              </w:rPr>
            </w:pPr>
            <w:r>
              <w:rPr>
                <w:rFonts w:hint="eastAsia"/>
                <w:color w:val="auto"/>
                <w:spacing w:val="-3"/>
                <w:highlight w:val="none"/>
                <w:lang w:eastAsia="zh-CN"/>
              </w:rPr>
              <w:t>1</w:t>
            </w:r>
          </w:p>
        </w:tc>
        <w:tc>
          <w:tcPr>
            <w:tcW w:w="5387" w:type="dxa"/>
          </w:tcPr>
          <w:p w14:paraId="68012AB6">
            <w:pPr>
              <w:pStyle w:val="34"/>
              <w:spacing w:before="29" w:line="201" w:lineRule="auto"/>
              <w:jc w:val="center"/>
              <w:rPr>
                <w:color w:val="auto"/>
                <w:highlight w:val="none"/>
              </w:rPr>
            </w:pPr>
            <w:r>
              <w:rPr>
                <w:color w:val="auto"/>
                <w:spacing w:val="-3"/>
                <w:highlight w:val="none"/>
              </w:rPr>
              <w:t>营业执照</w:t>
            </w:r>
          </w:p>
        </w:tc>
      </w:tr>
      <w:tr w14:paraId="5C2E3D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69" w:hRule="atLeast"/>
        </w:trPr>
        <w:tc>
          <w:tcPr>
            <w:tcW w:w="2939" w:type="dxa"/>
          </w:tcPr>
          <w:p w14:paraId="23F5B430">
            <w:pPr>
              <w:pStyle w:val="34"/>
              <w:spacing w:before="33" w:line="198" w:lineRule="auto"/>
              <w:jc w:val="center"/>
              <w:rPr>
                <w:color w:val="auto"/>
                <w:spacing w:val="-1"/>
                <w:highlight w:val="none"/>
                <w:lang w:eastAsia="zh-CN"/>
              </w:rPr>
            </w:pPr>
            <w:r>
              <w:rPr>
                <w:rFonts w:hint="eastAsia"/>
                <w:color w:val="auto"/>
                <w:spacing w:val="-1"/>
                <w:highlight w:val="none"/>
                <w:lang w:eastAsia="zh-CN"/>
              </w:rPr>
              <w:t>2</w:t>
            </w:r>
          </w:p>
        </w:tc>
        <w:tc>
          <w:tcPr>
            <w:tcW w:w="5387" w:type="dxa"/>
          </w:tcPr>
          <w:p w14:paraId="5A22DFE4">
            <w:pPr>
              <w:pStyle w:val="34"/>
              <w:spacing w:before="33" w:line="198" w:lineRule="auto"/>
              <w:jc w:val="center"/>
              <w:rPr>
                <w:color w:val="auto"/>
                <w:highlight w:val="none"/>
                <w:lang w:eastAsia="zh-CN"/>
              </w:rPr>
            </w:pPr>
            <w:r>
              <w:rPr>
                <w:color w:val="auto"/>
                <w:spacing w:val="-1"/>
                <w:highlight w:val="none"/>
                <w:lang w:eastAsia="zh-CN"/>
              </w:rPr>
              <w:t>投标人须知要求投标人需具有的各类资质证书</w:t>
            </w:r>
          </w:p>
        </w:tc>
      </w:tr>
      <w:tr w14:paraId="72976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76" w:hRule="atLeast"/>
        </w:trPr>
        <w:tc>
          <w:tcPr>
            <w:tcW w:w="2939" w:type="dxa"/>
          </w:tcPr>
          <w:p w14:paraId="4DCD2D85">
            <w:pPr>
              <w:pStyle w:val="34"/>
              <w:spacing w:before="36" w:line="202" w:lineRule="auto"/>
              <w:jc w:val="center"/>
              <w:rPr>
                <w:color w:val="auto"/>
                <w:spacing w:val="-3"/>
                <w:highlight w:val="none"/>
                <w:lang w:eastAsia="zh-CN"/>
              </w:rPr>
            </w:pPr>
            <w:r>
              <w:rPr>
                <w:rFonts w:hint="eastAsia"/>
                <w:color w:val="auto"/>
                <w:spacing w:val="-3"/>
                <w:highlight w:val="none"/>
                <w:lang w:eastAsia="zh-CN"/>
              </w:rPr>
              <w:t>3</w:t>
            </w:r>
          </w:p>
        </w:tc>
        <w:tc>
          <w:tcPr>
            <w:tcW w:w="5387" w:type="dxa"/>
          </w:tcPr>
          <w:p w14:paraId="16C0CF10">
            <w:pPr>
              <w:pStyle w:val="34"/>
              <w:spacing w:before="36" w:line="202" w:lineRule="auto"/>
              <w:jc w:val="center"/>
              <w:rPr>
                <w:color w:val="auto"/>
                <w:highlight w:val="none"/>
              </w:rPr>
            </w:pPr>
            <w:r>
              <w:rPr>
                <w:color w:val="auto"/>
                <w:spacing w:val="-3"/>
                <w:highlight w:val="none"/>
              </w:rPr>
              <w:t>其他</w:t>
            </w:r>
          </w:p>
        </w:tc>
      </w:tr>
    </w:tbl>
    <w:p w14:paraId="4A18A7CC">
      <w:pPr>
        <w:spacing w:before="78" w:line="350" w:lineRule="auto"/>
        <w:ind w:right="173"/>
        <w:jc w:val="center"/>
        <w:outlineLvl w:val="2"/>
        <w:rPr>
          <w:rFonts w:ascii="宋体" w:hAnsi="宋体" w:cs="宋体"/>
          <w:b/>
          <w:bCs/>
          <w:color w:val="auto"/>
          <w:spacing w:val="-7"/>
          <w:sz w:val="28"/>
          <w:szCs w:val="28"/>
          <w:highlight w:val="none"/>
        </w:rPr>
      </w:pPr>
      <w:bookmarkStart w:id="305" w:name="_Toc4989"/>
      <w:r>
        <w:rPr>
          <w:rFonts w:ascii="宋体" w:hAnsi="宋体" w:cs="宋体"/>
          <w:b/>
          <w:bCs/>
          <w:color w:val="auto"/>
          <w:spacing w:val="-7"/>
          <w:sz w:val="28"/>
          <w:szCs w:val="28"/>
          <w:highlight w:val="none"/>
        </w:rPr>
        <w:t>（一）</w:t>
      </w:r>
      <w:r>
        <w:rPr>
          <w:rFonts w:hint="eastAsia" w:ascii="宋体" w:hAnsi="宋体" w:cs="宋体"/>
          <w:b/>
          <w:bCs/>
          <w:color w:val="auto"/>
          <w:spacing w:val="-7"/>
          <w:sz w:val="28"/>
          <w:szCs w:val="28"/>
          <w:highlight w:val="none"/>
        </w:rPr>
        <w:t>投标人</w:t>
      </w:r>
      <w:r>
        <w:rPr>
          <w:rFonts w:ascii="宋体" w:hAnsi="宋体" w:cs="宋体"/>
          <w:b/>
          <w:bCs/>
          <w:color w:val="auto"/>
          <w:spacing w:val="-7"/>
          <w:sz w:val="28"/>
          <w:szCs w:val="28"/>
          <w:highlight w:val="none"/>
        </w:rPr>
        <w:t>基本情况表</w:t>
      </w:r>
      <w:bookmarkEnd w:id="305"/>
    </w:p>
    <w:tbl>
      <w:tblPr>
        <w:tblStyle w:val="19"/>
        <w:tblW w:w="0" w:type="auto"/>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2212"/>
        <w:gridCol w:w="1253"/>
        <w:gridCol w:w="1637"/>
        <w:gridCol w:w="1379"/>
        <w:gridCol w:w="2115"/>
      </w:tblGrid>
      <w:tr w14:paraId="47A182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2212" w:type="dxa"/>
          </w:tcPr>
          <w:p w14:paraId="0B056C09">
            <w:pPr>
              <w:pStyle w:val="34"/>
              <w:spacing w:before="89" w:line="231" w:lineRule="auto"/>
              <w:ind w:left="470" w:right="153" w:hanging="311"/>
              <w:rPr>
                <w:color w:val="auto"/>
                <w:highlight w:val="none"/>
              </w:rPr>
            </w:pPr>
            <w:r>
              <w:rPr>
                <w:color w:val="auto"/>
                <w:spacing w:val="-3"/>
                <w:highlight w:val="none"/>
              </w:rPr>
              <w:t>投标人名</w:t>
            </w:r>
            <w:r>
              <w:rPr>
                <w:color w:val="auto"/>
                <w:highlight w:val="none"/>
              </w:rPr>
              <w:t>称</w:t>
            </w:r>
          </w:p>
        </w:tc>
        <w:tc>
          <w:tcPr>
            <w:tcW w:w="6384" w:type="dxa"/>
            <w:gridSpan w:val="4"/>
          </w:tcPr>
          <w:p w14:paraId="48C537C9">
            <w:pPr>
              <w:rPr>
                <w:rFonts w:ascii="Arial"/>
                <w:color w:val="auto"/>
                <w:highlight w:val="none"/>
              </w:rPr>
            </w:pPr>
          </w:p>
        </w:tc>
      </w:tr>
      <w:tr w14:paraId="538F61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2212" w:type="dxa"/>
          </w:tcPr>
          <w:p w14:paraId="52133F9D">
            <w:pPr>
              <w:pStyle w:val="34"/>
              <w:spacing w:before="197" w:line="221" w:lineRule="auto"/>
              <w:ind w:left="156"/>
              <w:rPr>
                <w:color w:val="auto"/>
                <w:highlight w:val="none"/>
              </w:rPr>
            </w:pPr>
            <w:r>
              <w:rPr>
                <w:color w:val="auto"/>
                <w:spacing w:val="-2"/>
                <w:highlight w:val="none"/>
              </w:rPr>
              <w:t>注册资金</w:t>
            </w:r>
          </w:p>
        </w:tc>
        <w:tc>
          <w:tcPr>
            <w:tcW w:w="2890" w:type="dxa"/>
            <w:gridSpan w:val="2"/>
          </w:tcPr>
          <w:p w14:paraId="5AF6F451">
            <w:pPr>
              <w:rPr>
                <w:rFonts w:ascii="Arial"/>
                <w:color w:val="auto"/>
                <w:highlight w:val="none"/>
              </w:rPr>
            </w:pPr>
          </w:p>
        </w:tc>
        <w:tc>
          <w:tcPr>
            <w:tcW w:w="1379" w:type="dxa"/>
          </w:tcPr>
          <w:p w14:paraId="30B93949">
            <w:pPr>
              <w:pStyle w:val="34"/>
              <w:spacing w:before="197" w:line="221" w:lineRule="auto"/>
              <w:ind w:left="160"/>
              <w:rPr>
                <w:color w:val="auto"/>
                <w:highlight w:val="none"/>
              </w:rPr>
            </w:pPr>
            <w:r>
              <w:rPr>
                <w:color w:val="auto"/>
                <w:spacing w:val="-2"/>
                <w:highlight w:val="none"/>
              </w:rPr>
              <w:t>成立时间</w:t>
            </w:r>
          </w:p>
        </w:tc>
        <w:tc>
          <w:tcPr>
            <w:tcW w:w="2115" w:type="dxa"/>
          </w:tcPr>
          <w:p w14:paraId="14261431">
            <w:pPr>
              <w:rPr>
                <w:rFonts w:ascii="Arial"/>
                <w:color w:val="auto"/>
                <w:highlight w:val="none"/>
              </w:rPr>
            </w:pPr>
          </w:p>
        </w:tc>
      </w:tr>
      <w:tr w14:paraId="52312D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2212" w:type="dxa"/>
          </w:tcPr>
          <w:p w14:paraId="464AFC5A">
            <w:pPr>
              <w:pStyle w:val="34"/>
              <w:spacing w:before="198" w:line="221" w:lineRule="auto"/>
              <w:ind w:left="156"/>
              <w:rPr>
                <w:color w:val="auto"/>
                <w:highlight w:val="none"/>
              </w:rPr>
            </w:pPr>
            <w:r>
              <w:rPr>
                <w:color w:val="auto"/>
                <w:spacing w:val="-2"/>
                <w:highlight w:val="none"/>
              </w:rPr>
              <w:t>注册地址</w:t>
            </w:r>
          </w:p>
        </w:tc>
        <w:tc>
          <w:tcPr>
            <w:tcW w:w="6384" w:type="dxa"/>
            <w:gridSpan w:val="4"/>
          </w:tcPr>
          <w:p w14:paraId="63E14ADD">
            <w:pPr>
              <w:rPr>
                <w:rFonts w:ascii="Arial"/>
                <w:color w:val="auto"/>
                <w:highlight w:val="none"/>
              </w:rPr>
            </w:pPr>
          </w:p>
        </w:tc>
      </w:tr>
      <w:tr w14:paraId="1CAB51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2212" w:type="dxa"/>
          </w:tcPr>
          <w:p w14:paraId="00A542EA">
            <w:pPr>
              <w:pStyle w:val="34"/>
              <w:spacing w:before="199" w:line="220" w:lineRule="auto"/>
              <w:ind w:left="172"/>
              <w:rPr>
                <w:color w:val="auto"/>
                <w:highlight w:val="none"/>
              </w:rPr>
            </w:pPr>
            <w:r>
              <w:rPr>
                <w:color w:val="auto"/>
                <w:spacing w:val="-5"/>
                <w:highlight w:val="none"/>
              </w:rPr>
              <w:t>邮政编码</w:t>
            </w:r>
          </w:p>
        </w:tc>
        <w:tc>
          <w:tcPr>
            <w:tcW w:w="2890" w:type="dxa"/>
            <w:gridSpan w:val="2"/>
          </w:tcPr>
          <w:p w14:paraId="6D0FE92F">
            <w:pPr>
              <w:rPr>
                <w:rFonts w:ascii="Arial"/>
                <w:color w:val="auto"/>
                <w:highlight w:val="none"/>
              </w:rPr>
            </w:pPr>
          </w:p>
        </w:tc>
        <w:tc>
          <w:tcPr>
            <w:tcW w:w="1379" w:type="dxa"/>
          </w:tcPr>
          <w:p w14:paraId="276094A6">
            <w:pPr>
              <w:pStyle w:val="34"/>
              <w:spacing w:before="199" w:line="220" w:lineRule="auto"/>
              <w:ind w:left="166"/>
              <w:rPr>
                <w:color w:val="auto"/>
                <w:highlight w:val="none"/>
              </w:rPr>
            </w:pPr>
            <w:r>
              <w:rPr>
                <w:color w:val="auto"/>
                <w:spacing w:val="-4"/>
                <w:highlight w:val="none"/>
              </w:rPr>
              <w:t>员工总数</w:t>
            </w:r>
          </w:p>
        </w:tc>
        <w:tc>
          <w:tcPr>
            <w:tcW w:w="2115" w:type="dxa"/>
          </w:tcPr>
          <w:p w14:paraId="27E17590">
            <w:pPr>
              <w:rPr>
                <w:rFonts w:ascii="Arial"/>
                <w:color w:val="auto"/>
                <w:highlight w:val="none"/>
              </w:rPr>
            </w:pPr>
          </w:p>
        </w:tc>
      </w:tr>
      <w:tr w14:paraId="00A5AD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trPr>
        <w:tc>
          <w:tcPr>
            <w:tcW w:w="2212" w:type="dxa"/>
            <w:vMerge w:val="restart"/>
            <w:tcBorders>
              <w:bottom w:val="nil"/>
            </w:tcBorders>
          </w:tcPr>
          <w:p w14:paraId="01E8934A">
            <w:pPr>
              <w:spacing w:line="285" w:lineRule="auto"/>
              <w:rPr>
                <w:rFonts w:ascii="Arial"/>
                <w:color w:val="auto"/>
                <w:highlight w:val="none"/>
              </w:rPr>
            </w:pPr>
          </w:p>
          <w:p w14:paraId="7EE9E00A">
            <w:pPr>
              <w:spacing w:line="286" w:lineRule="auto"/>
              <w:rPr>
                <w:rFonts w:ascii="Arial"/>
                <w:color w:val="auto"/>
                <w:highlight w:val="none"/>
              </w:rPr>
            </w:pPr>
          </w:p>
          <w:p w14:paraId="4A964A08">
            <w:pPr>
              <w:pStyle w:val="34"/>
              <w:spacing w:before="68" w:line="221" w:lineRule="auto"/>
              <w:ind w:left="157"/>
              <w:rPr>
                <w:color w:val="auto"/>
                <w:highlight w:val="none"/>
              </w:rPr>
            </w:pPr>
            <w:r>
              <w:rPr>
                <w:color w:val="auto"/>
                <w:spacing w:val="-2"/>
                <w:highlight w:val="none"/>
              </w:rPr>
              <w:t>联系方式</w:t>
            </w:r>
          </w:p>
        </w:tc>
        <w:tc>
          <w:tcPr>
            <w:tcW w:w="1253" w:type="dxa"/>
          </w:tcPr>
          <w:p w14:paraId="2A9AE224">
            <w:pPr>
              <w:pStyle w:val="34"/>
              <w:spacing w:before="298" w:line="222" w:lineRule="auto"/>
              <w:jc w:val="center"/>
              <w:rPr>
                <w:color w:val="auto"/>
                <w:highlight w:val="none"/>
              </w:rPr>
            </w:pPr>
            <w:r>
              <w:rPr>
                <w:color w:val="auto"/>
                <w:spacing w:val="-3"/>
                <w:highlight w:val="none"/>
              </w:rPr>
              <w:t>联系人</w:t>
            </w:r>
          </w:p>
        </w:tc>
        <w:tc>
          <w:tcPr>
            <w:tcW w:w="1637" w:type="dxa"/>
          </w:tcPr>
          <w:p w14:paraId="41CF754D">
            <w:pPr>
              <w:rPr>
                <w:rFonts w:ascii="Arial"/>
                <w:color w:val="auto"/>
                <w:highlight w:val="none"/>
              </w:rPr>
            </w:pPr>
          </w:p>
        </w:tc>
        <w:tc>
          <w:tcPr>
            <w:tcW w:w="1379" w:type="dxa"/>
          </w:tcPr>
          <w:p w14:paraId="542EBAD3">
            <w:pPr>
              <w:pStyle w:val="34"/>
              <w:spacing w:before="298" w:line="222" w:lineRule="auto"/>
              <w:ind w:left="393"/>
              <w:rPr>
                <w:color w:val="auto"/>
                <w:highlight w:val="none"/>
              </w:rPr>
            </w:pPr>
            <w:r>
              <w:rPr>
                <w:color w:val="auto"/>
                <w:spacing w:val="-9"/>
                <w:highlight w:val="none"/>
              </w:rPr>
              <w:t>电话</w:t>
            </w:r>
          </w:p>
        </w:tc>
        <w:tc>
          <w:tcPr>
            <w:tcW w:w="2115" w:type="dxa"/>
          </w:tcPr>
          <w:p w14:paraId="1995B141">
            <w:pPr>
              <w:rPr>
                <w:rFonts w:ascii="Arial"/>
                <w:color w:val="auto"/>
                <w:highlight w:val="none"/>
              </w:rPr>
            </w:pPr>
          </w:p>
        </w:tc>
      </w:tr>
      <w:tr w14:paraId="6C39F8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trPr>
        <w:tc>
          <w:tcPr>
            <w:tcW w:w="2212" w:type="dxa"/>
            <w:vMerge w:val="continue"/>
            <w:tcBorders>
              <w:top w:val="nil"/>
            </w:tcBorders>
          </w:tcPr>
          <w:p w14:paraId="3D5FFC74">
            <w:pPr>
              <w:rPr>
                <w:rFonts w:ascii="Arial"/>
                <w:color w:val="auto"/>
                <w:highlight w:val="none"/>
              </w:rPr>
            </w:pPr>
          </w:p>
        </w:tc>
        <w:tc>
          <w:tcPr>
            <w:tcW w:w="1253" w:type="dxa"/>
          </w:tcPr>
          <w:p w14:paraId="18FB9DE8">
            <w:pPr>
              <w:pStyle w:val="34"/>
              <w:spacing w:before="231" w:line="225" w:lineRule="auto"/>
              <w:jc w:val="center"/>
              <w:rPr>
                <w:color w:val="auto"/>
                <w:highlight w:val="none"/>
              </w:rPr>
            </w:pPr>
            <w:r>
              <w:rPr>
                <w:color w:val="auto"/>
                <w:spacing w:val="-7"/>
                <w:highlight w:val="none"/>
              </w:rPr>
              <w:t>网址</w:t>
            </w:r>
          </w:p>
        </w:tc>
        <w:tc>
          <w:tcPr>
            <w:tcW w:w="1637" w:type="dxa"/>
          </w:tcPr>
          <w:p w14:paraId="6C87AD98">
            <w:pPr>
              <w:rPr>
                <w:rFonts w:ascii="Arial"/>
                <w:color w:val="auto"/>
                <w:highlight w:val="none"/>
              </w:rPr>
            </w:pPr>
          </w:p>
        </w:tc>
        <w:tc>
          <w:tcPr>
            <w:tcW w:w="1379" w:type="dxa"/>
          </w:tcPr>
          <w:p w14:paraId="68C91461">
            <w:pPr>
              <w:pStyle w:val="34"/>
              <w:spacing w:before="231" w:line="219" w:lineRule="auto"/>
              <w:ind w:firstLine="472" w:firstLineChars="200"/>
              <w:rPr>
                <w:color w:val="auto"/>
                <w:highlight w:val="none"/>
              </w:rPr>
            </w:pPr>
            <w:r>
              <w:rPr>
                <w:color w:val="auto"/>
                <w:spacing w:val="-2"/>
                <w:highlight w:val="none"/>
              </w:rPr>
              <w:t>传真</w:t>
            </w:r>
          </w:p>
        </w:tc>
        <w:tc>
          <w:tcPr>
            <w:tcW w:w="2115" w:type="dxa"/>
          </w:tcPr>
          <w:p w14:paraId="6F9DB884">
            <w:pPr>
              <w:rPr>
                <w:rFonts w:ascii="Arial"/>
                <w:color w:val="auto"/>
                <w:highlight w:val="none"/>
              </w:rPr>
            </w:pPr>
          </w:p>
        </w:tc>
      </w:tr>
      <w:tr w14:paraId="756BC6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4" w:hRule="atLeast"/>
        </w:trPr>
        <w:tc>
          <w:tcPr>
            <w:tcW w:w="2212" w:type="dxa"/>
          </w:tcPr>
          <w:p w14:paraId="38E6F728">
            <w:pPr>
              <w:pStyle w:val="34"/>
              <w:spacing w:before="31" w:line="227" w:lineRule="auto"/>
              <w:ind w:left="157" w:right="153"/>
              <w:rPr>
                <w:color w:val="auto"/>
                <w:highlight w:val="none"/>
              </w:rPr>
            </w:pPr>
            <w:r>
              <w:rPr>
                <w:color w:val="auto"/>
                <w:spacing w:val="-3"/>
                <w:highlight w:val="none"/>
              </w:rPr>
              <w:t>法定代表人</w:t>
            </w:r>
          </w:p>
        </w:tc>
        <w:tc>
          <w:tcPr>
            <w:tcW w:w="1253" w:type="dxa"/>
            <w:vAlign w:val="center"/>
          </w:tcPr>
          <w:p w14:paraId="705D42D1">
            <w:pPr>
              <w:pStyle w:val="34"/>
              <w:spacing w:before="303" w:line="220" w:lineRule="auto"/>
              <w:jc w:val="center"/>
              <w:rPr>
                <w:color w:val="auto"/>
                <w:highlight w:val="none"/>
              </w:rPr>
            </w:pPr>
            <w:r>
              <w:rPr>
                <w:color w:val="auto"/>
                <w:spacing w:val="-3"/>
                <w:highlight w:val="none"/>
              </w:rPr>
              <w:t>姓名</w:t>
            </w:r>
          </w:p>
        </w:tc>
        <w:tc>
          <w:tcPr>
            <w:tcW w:w="1637" w:type="dxa"/>
            <w:vAlign w:val="center"/>
          </w:tcPr>
          <w:p w14:paraId="4B2D808F">
            <w:pPr>
              <w:jc w:val="center"/>
              <w:rPr>
                <w:rFonts w:ascii="Arial"/>
                <w:color w:val="auto"/>
                <w:highlight w:val="none"/>
              </w:rPr>
            </w:pPr>
          </w:p>
        </w:tc>
        <w:tc>
          <w:tcPr>
            <w:tcW w:w="1379" w:type="dxa"/>
            <w:vAlign w:val="center"/>
          </w:tcPr>
          <w:p w14:paraId="4469A899">
            <w:pPr>
              <w:pStyle w:val="34"/>
              <w:spacing w:before="303" w:line="222" w:lineRule="auto"/>
              <w:ind w:left="393"/>
              <w:rPr>
                <w:color w:val="auto"/>
                <w:highlight w:val="none"/>
              </w:rPr>
            </w:pPr>
            <w:r>
              <w:rPr>
                <w:color w:val="auto"/>
                <w:spacing w:val="-9"/>
                <w:highlight w:val="none"/>
              </w:rPr>
              <w:t>电话</w:t>
            </w:r>
          </w:p>
        </w:tc>
        <w:tc>
          <w:tcPr>
            <w:tcW w:w="2115" w:type="dxa"/>
          </w:tcPr>
          <w:p w14:paraId="48FE2A4D">
            <w:pPr>
              <w:rPr>
                <w:rFonts w:ascii="Arial"/>
                <w:color w:val="auto"/>
                <w:highlight w:val="none"/>
              </w:rPr>
            </w:pPr>
          </w:p>
        </w:tc>
      </w:tr>
      <w:tr w14:paraId="29DE09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34" w:hRule="atLeast"/>
        </w:trPr>
        <w:tc>
          <w:tcPr>
            <w:tcW w:w="2212" w:type="dxa"/>
          </w:tcPr>
          <w:p w14:paraId="77F0A456">
            <w:pPr>
              <w:pStyle w:val="34"/>
              <w:spacing w:before="30" w:line="232" w:lineRule="auto"/>
              <w:ind w:left="157" w:right="153" w:firstLine="1"/>
              <w:rPr>
                <w:color w:val="auto"/>
                <w:highlight w:val="none"/>
                <w:lang w:eastAsia="zh-CN"/>
              </w:rPr>
            </w:pPr>
            <w:r>
              <w:rPr>
                <w:color w:val="auto"/>
                <w:spacing w:val="-3"/>
                <w:highlight w:val="none"/>
                <w:lang w:eastAsia="zh-CN"/>
              </w:rPr>
              <w:t>投标人须知要求投标人需具有的各类资质证书</w:t>
            </w:r>
          </w:p>
        </w:tc>
        <w:tc>
          <w:tcPr>
            <w:tcW w:w="6384" w:type="dxa"/>
            <w:gridSpan w:val="4"/>
          </w:tcPr>
          <w:p w14:paraId="1276B605">
            <w:pPr>
              <w:spacing w:line="252" w:lineRule="auto"/>
              <w:rPr>
                <w:rFonts w:ascii="Arial"/>
                <w:color w:val="auto"/>
                <w:highlight w:val="none"/>
              </w:rPr>
            </w:pPr>
          </w:p>
          <w:p w14:paraId="44F8A397">
            <w:pPr>
              <w:pStyle w:val="34"/>
              <w:spacing w:before="69" w:line="219" w:lineRule="auto"/>
              <w:ind w:left="103"/>
              <w:rPr>
                <w:color w:val="auto"/>
                <w:highlight w:val="none"/>
                <w:lang w:eastAsia="zh-CN"/>
              </w:rPr>
            </w:pPr>
            <w:r>
              <w:rPr>
                <w:color w:val="auto"/>
                <w:spacing w:val="-5"/>
                <w:highlight w:val="none"/>
                <w:lang w:eastAsia="zh-CN"/>
              </w:rPr>
              <w:t>类型： 等级：</w:t>
            </w:r>
            <w:r>
              <w:rPr>
                <w:color w:val="auto"/>
                <w:spacing w:val="11"/>
                <w:highlight w:val="none"/>
                <w:lang w:eastAsia="zh-CN"/>
              </w:rPr>
              <w:t xml:space="preserve"> </w:t>
            </w:r>
            <w:r>
              <w:rPr>
                <w:color w:val="auto"/>
                <w:spacing w:val="-5"/>
                <w:highlight w:val="none"/>
                <w:lang w:eastAsia="zh-CN"/>
              </w:rPr>
              <w:t>证书号：</w:t>
            </w:r>
          </w:p>
        </w:tc>
      </w:tr>
      <w:tr w14:paraId="02ACC8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trPr>
        <w:tc>
          <w:tcPr>
            <w:tcW w:w="2212" w:type="dxa"/>
          </w:tcPr>
          <w:p w14:paraId="4D2509D1">
            <w:pPr>
              <w:pStyle w:val="34"/>
              <w:spacing w:before="234" w:line="230" w:lineRule="auto"/>
              <w:ind w:left="156" w:right="153"/>
              <w:rPr>
                <w:color w:val="auto"/>
                <w:highlight w:val="none"/>
                <w:lang w:eastAsia="zh-CN"/>
              </w:rPr>
            </w:pPr>
            <w:r>
              <w:rPr>
                <w:color w:val="auto"/>
                <w:spacing w:val="-3"/>
                <w:highlight w:val="none"/>
                <w:lang w:eastAsia="zh-CN"/>
              </w:rPr>
              <w:t>基本账户开户银行</w:t>
            </w:r>
            <w:r>
              <w:rPr>
                <w:rFonts w:hint="eastAsia"/>
                <w:color w:val="auto"/>
                <w:spacing w:val="-3"/>
                <w:highlight w:val="none"/>
                <w:lang w:eastAsia="zh-CN"/>
              </w:rPr>
              <w:t>和账号</w:t>
            </w:r>
          </w:p>
        </w:tc>
        <w:tc>
          <w:tcPr>
            <w:tcW w:w="6384" w:type="dxa"/>
            <w:gridSpan w:val="4"/>
          </w:tcPr>
          <w:p w14:paraId="010EEB04">
            <w:pPr>
              <w:rPr>
                <w:rFonts w:ascii="Arial"/>
                <w:color w:val="auto"/>
                <w:highlight w:val="none"/>
              </w:rPr>
            </w:pPr>
          </w:p>
        </w:tc>
      </w:tr>
      <w:tr w14:paraId="12AED2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94" w:hRule="atLeast"/>
        </w:trPr>
        <w:tc>
          <w:tcPr>
            <w:tcW w:w="2212" w:type="dxa"/>
          </w:tcPr>
          <w:p w14:paraId="56042496">
            <w:pPr>
              <w:pStyle w:val="34"/>
              <w:spacing w:before="38" w:line="227" w:lineRule="auto"/>
              <w:ind w:left="157" w:right="153" w:firstLine="1"/>
              <w:rPr>
                <w:color w:val="auto"/>
                <w:highlight w:val="none"/>
                <w:lang w:eastAsia="zh-CN"/>
              </w:rPr>
            </w:pPr>
            <w:r>
              <w:rPr>
                <w:color w:val="auto"/>
                <w:spacing w:val="-3"/>
                <w:highlight w:val="none"/>
                <w:lang w:eastAsia="zh-CN"/>
              </w:rPr>
              <w:t>投标人关联企业情</w:t>
            </w:r>
            <w:r>
              <w:rPr>
                <w:color w:val="auto"/>
                <w:spacing w:val="1"/>
                <w:highlight w:val="none"/>
                <w:lang w:eastAsia="zh-CN"/>
              </w:rPr>
              <w:t xml:space="preserve"> </w:t>
            </w:r>
            <w:r>
              <w:rPr>
                <w:color w:val="auto"/>
                <w:spacing w:val="-3"/>
                <w:highlight w:val="none"/>
                <w:lang w:eastAsia="zh-CN"/>
              </w:rPr>
              <w:t>况（包括</w:t>
            </w:r>
            <w:r>
              <w:rPr>
                <w:color w:val="auto"/>
                <w:spacing w:val="-2"/>
                <w:highlight w:val="none"/>
                <w:lang w:eastAsia="zh-CN"/>
              </w:rPr>
              <w:t>但不限于</w:t>
            </w:r>
            <w:r>
              <w:rPr>
                <w:color w:val="auto"/>
                <w:spacing w:val="9"/>
                <w:highlight w:val="none"/>
                <w:lang w:eastAsia="zh-CN"/>
              </w:rPr>
              <w:t>与投标人法定代表人（单位</w:t>
            </w:r>
            <w:r>
              <w:rPr>
                <w:color w:val="auto"/>
                <w:spacing w:val="5"/>
                <w:highlight w:val="none"/>
                <w:lang w:eastAsia="zh-CN"/>
              </w:rPr>
              <w:t>负责人）</w:t>
            </w:r>
            <w:r>
              <w:rPr>
                <w:color w:val="auto"/>
                <w:spacing w:val="9"/>
                <w:highlight w:val="none"/>
                <w:lang w:eastAsia="zh-CN"/>
              </w:rPr>
              <w:t>为同一人或者存在</w:t>
            </w:r>
            <w:r>
              <w:rPr>
                <w:color w:val="auto"/>
                <w:highlight w:val="none"/>
                <w:lang w:eastAsia="zh-CN"/>
              </w:rPr>
              <w:t xml:space="preserve">  </w:t>
            </w:r>
            <w:r>
              <w:rPr>
                <w:color w:val="auto"/>
                <w:spacing w:val="9"/>
                <w:highlight w:val="none"/>
                <w:lang w:eastAsia="zh-CN"/>
              </w:rPr>
              <w:t>控股、管理关系的</w:t>
            </w:r>
            <w:r>
              <w:rPr>
                <w:color w:val="auto"/>
                <w:spacing w:val="-6"/>
                <w:highlight w:val="none"/>
                <w:lang w:eastAsia="zh-CN"/>
              </w:rPr>
              <w:t>不同单位）</w:t>
            </w:r>
          </w:p>
        </w:tc>
        <w:tc>
          <w:tcPr>
            <w:tcW w:w="6384" w:type="dxa"/>
            <w:gridSpan w:val="4"/>
          </w:tcPr>
          <w:p w14:paraId="1ED54A99">
            <w:pPr>
              <w:rPr>
                <w:rFonts w:ascii="Arial"/>
                <w:color w:val="auto"/>
                <w:highlight w:val="none"/>
              </w:rPr>
            </w:pPr>
          </w:p>
        </w:tc>
      </w:tr>
      <w:tr w14:paraId="3E5A80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10" w:hRule="atLeast"/>
        </w:trPr>
        <w:tc>
          <w:tcPr>
            <w:tcW w:w="2212" w:type="dxa"/>
          </w:tcPr>
          <w:p w14:paraId="79B50E45">
            <w:pPr>
              <w:pStyle w:val="34"/>
              <w:spacing w:before="32" w:line="220" w:lineRule="auto"/>
              <w:ind w:left="159"/>
              <w:rPr>
                <w:color w:val="auto"/>
                <w:spacing w:val="-3"/>
                <w:highlight w:val="none"/>
              </w:rPr>
            </w:pPr>
            <w:r>
              <w:rPr>
                <w:color w:val="auto"/>
                <w:spacing w:val="-3"/>
                <w:highlight w:val="none"/>
              </w:rPr>
              <w:t>投标设备</w:t>
            </w:r>
            <w:r>
              <w:rPr>
                <w:color w:val="auto"/>
                <w:spacing w:val="-2"/>
                <w:highlight w:val="none"/>
              </w:rPr>
              <w:t>制造商名</w:t>
            </w:r>
            <w:r>
              <w:rPr>
                <w:color w:val="auto"/>
                <w:highlight w:val="none"/>
              </w:rPr>
              <w:t>称</w:t>
            </w:r>
          </w:p>
        </w:tc>
        <w:tc>
          <w:tcPr>
            <w:tcW w:w="6384" w:type="dxa"/>
            <w:gridSpan w:val="4"/>
          </w:tcPr>
          <w:p w14:paraId="3A86AFC0">
            <w:pPr>
              <w:rPr>
                <w:rFonts w:ascii="Arial"/>
                <w:color w:val="auto"/>
                <w:highlight w:val="none"/>
              </w:rPr>
            </w:pPr>
          </w:p>
        </w:tc>
      </w:tr>
      <w:tr w14:paraId="2A5704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trPr>
        <w:tc>
          <w:tcPr>
            <w:tcW w:w="2212" w:type="dxa"/>
          </w:tcPr>
          <w:p w14:paraId="072F0E5C">
            <w:pPr>
              <w:pStyle w:val="34"/>
              <w:spacing w:before="32" w:line="220" w:lineRule="auto"/>
              <w:ind w:left="159"/>
              <w:rPr>
                <w:color w:val="auto"/>
                <w:spacing w:val="-3"/>
                <w:highlight w:val="none"/>
                <w:lang w:eastAsia="zh-CN"/>
              </w:rPr>
            </w:pPr>
            <w:r>
              <w:rPr>
                <w:rFonts w:hint="eastAsia"/>
                <w:color w:val="auto"/>
                <w:spacing w:val="-3"/>
                <w:highlight w:val="none"/>
                <w:lang w:eastAsia="zh-CN"/>
              </w:rPr>
              <w:t>备注</w:t>
            </w:r>
          </w:p>
        </w:tc>
        <w:tc>
          <w:tcPr>
            <w:tcW w:w="6384" w:type="dxa"/>
            <w:gridSpan w:val="4"/>
          </w:tcPr>
          <w:p w14:paraId="3D4C868F">
            <w:pPr>
              <w:rPr>
                <w:rFonts w:ascii="Arial"/>
                <w:color w:val="auto"/>
                <w:highlight w:val="none"/>
              </w:rPr>
            </w:pPr>
          </w:p>
        </w:tc>
      </w:tr>
    </w:tbl>
    <w:p w14:paraId="0AE05677">
      <w:pPr>
        <w:spacing w:before="78" w:line="350" w:lineRule="auto"/>
        <w:ind w:right="173"/>
        <w:rPr>
          <w:rFonts w:ascii="Arial"/>
          <w:color w:val="auto"/>
          <w:highlight w:val="none"/>
        </w:rPr>
      </w:pPr>
      <w:r>
        <w:rPr>
          <w:rFonts w:hint="eastAsia" w:ascii="宋体" w:hAnsi="宋体" w:cs="宋体"/>
          <w:color w:val="auto"/>
          <w:spacing w:val="-7"/>
          <w:sz w:val="24"/>
          <w:highlight w:val="none"/>
        </w:rPr>
        <w:t>注：1、</w:t>
      </w:r>
      <w:r>
        <w:rPr>
          <w:rFonts w:hint="eastAsia" w:ascii="Arial"/>
          <w:color w:val="auto"/>
          <w:sz w:val="24"/>
          <w:szCs w:val="32"/>
          <w:highlight w:val="none"/>
        </w:rPr>
        <w:t>投标人应按投标人须知的相关资质要求提供证明材料。</w:t>
      </w:r>
    </w:p>
    <w:p w14:paraId="352DAF83">
      <w:pPr>
        <w:spacing w:before="78" w:line="350" w:lineRule="auto"/>
        <w:ind w:right="173"/>
        <w:jc w:val="center"/>
        <w:outlineLvl w:val="1"/>
        <w:rPr>
          <w:rFonts w:ascii="Arial"/>
          <w:color w:val="auto"/>
          <w:sz w:val="24"/>
          <w:szCs w:val="32"/>
          <w:highlight w:val="none"/>
        </w:rPr>
      </w:pPr>
    </w:p>
    <w:p w14:paraId="0F2FB430">
      <w:pPr>
        <w:spacing w:before="78" w:line="350" w:lineRule="auto"/>
        <w:ind w:right="173"/>
        <w:jc w:val="center"/>
        <w:outlineLvl w:val="1"/>
        <w:rPr>
          <w:rFonts w:ascii="Arial"/>
          <w:color w:val="auto"/>
          <w:sz w:val="24"/>
          <w:szCs w:val="32"/>
          <w:highlight w:val="none"/>
        </w:rPr>
      </w:pPr>
    </w:p>
    <w:p w14:paraId="43B82C06">
      <w:pPr>
        <w:spacing w:before="78" w:line="350" w:lineRule="auto"/>
        <w:ind w:right="173"/>
        <w:jc w:val="center"/>
        <w:outlineLvl w:val="1"/>
        <w:rPr>
          <w:rFonts w:ascii="Arial"/>
          <w:color w:val="auto"/>
          <w:sz w:val="24"/>
          <w:szCs w:val="32"/>
          <w:highlight w:val="none"/>
        </w:rPr>
      </w:pPr>
    </w:p>
    <w:p w14:paraId="00BDE80A">
      <w:pPr>
        <w:spacing w:before="78" w:line="220" w:lineRule="auto"/>
        <w:ind w:left="41"/>
        <w:jc w:val="center"/>
        <w:outlineLvl w:val="2"/>
        <w:rPr>
          <w:rFonts w:ascii="宋体" w:hAnsi="宋体" w:cs="宋体"/>
          <w:color w:val="auto"/>
          <w:sz w:val="24"/>
          <w:highlight w:val="none"/>
        </w:rPr>
      </w:pPr>
      <w:r>
        <w:rPr>
          <w:rFonts w:ascii="宋体" w:hAnsi="宋体" w:cs="宋体"/>
          <w:b/>
          <w:bCs/>
          <w:color w:val="auto"/>
          <w:spacing w:val="-4"/>
          <w:sz w:val="24"/>
          <w:highlight w:val="none"/>
        </w:rPr>
        <w:t>质量管理体系认证情况</w:t>
      </w:r>
    </w:p>
    <w:p w14:paraId="7156FD28">
      <w:pPr>
        <w:spacing w:before="78" w:line="350" w:lineRule="auto"/>
        <w:ind w:right="173"/>
        <w:jc w:val="center"/>
        <w:outlineLvl w:val="1"/>
        <w:rPr>
          <w:rFonts w:hint="eastAsia" w:ascii="宋体" w:hAnsi="宋体" w:cs="宋体"/>
          <w:color w:val="auto"/>
          <w:spacing w:val="-1"/>
          <w:highlight w:val="none"/>
        </w:rPr>
      </w:pPr>
      <w:r>
        <w:rPr>
          <w:rFonts w:ascii="宋体" w:hAnsi="宋体" w:cs="宋体"/>
          <w:color w:val="auto"/>
          <w:highlight w:val="none"/>
        </w:rPr>
        <w:t>投标产品制造商若具有质量管理体系认证证书，请提供相关证书扫描</w:t>
      </w:r>
      <w:r>
        <w:rPr>
          <w:rFonts w:ascii="宋体" w:hAnsi="宋体" w:cs="宋体"/>
          <w:color w:val="auto"/>
          <w:spacing w:val="-1"/>
          <w:highlight w:val="none"/>
        </w:rPr>
        <w:t>件</w:t>
      </w:r>
      <w:r>
        <w:rPr>
          <w:rFonts w:hint="eastAsia" w:ascii="宋体" w:hAnsi="宋体" w:cs="宋体"/>
          <w:color w:val="auto"/>
          <w:spacing w:val="-1"/>
          <w:highlight w:val="none"/>
        </w:rPr>
        <w:t>。</w:t>
      </w:r>
    </w:p>
    <w:p w14:paraId="3BCDF0AC">
      <w:pPr>
        <w:adjustRightInd w:val="0"/>
        <w:snapToGrid w:val="0"/>
        <w:spacing w:line="360" w:lineRule="auto"/>
        <w:jc w:val="center"/>
        <w:rPr>
          <w:rFonts w:hint="eastAsia" w:ascii="宋体"/>
        </w:rPr>
      </w:pPr>
    </w:p>
    <w:p w14:paraId="7E913328">
      <w:pPr>
        <w:adjustRightInd w:val="0"/>
        <w:snapToGrid w:val="0"/>
        <w:spacing w:line="360" w:lineRule="auto"/>
        <w:jc w:val="center"/>
        <w:rPr>
          <w:rFonts w:hint="eastAsia" w:ascii="宋体"/>
        </w:rPr>
      </w:pPr>
    </w:p>
    <w:p w14:paraId="01617303">
      <w:pPr>
        <w:adjustRightInd w:val="0"/>
        <w:snapToGrid w:val="0"/>
        <w:spacing w:line="360" w:lineRule="auto"/>
        <w:jc w:val="center"/>
        <w:rPr>
          <w:rFonts w:hint="eastAsia" w:ascii="宋体"/>
        </w:rPr>
      </w:pPr>
    </w:p>
    <w:p w14:paraId="0C47546D">
      <w:pPr>
        <w:adjustRightInd w:val="0"/>
        <w:snapToGrid w:val="0"/>
        <w:spacing w:line="360" w:lineRule="auto"/>
        <w:jc w:val="center"/>
        <w:rPr>
          <w:rFonts w:hint="eastAsia" w:ascii="宋体"/>
        </w:rPr>
      </w:pPr>
    </w:p>
    <w:p w14:paraId="002188B1">
      <w:pPr>
        <w:adjustRightInd w:val="0"/>
        <w:snapToGrid w:val="0"/>
        <w:spacing w:line="360" w:lineRule="auto"/>
        <w:jc w:val="center"/>
        <w:rPr>
          <w:rFonts w:hint="eastAsia" w:ascii="宋体"/>
        </w:rPr>
      </w:pPr>
    </w:p>
    <w:p w14:paraId="5953AD3D">
      <w:pPr>
        <w:adjustRightInd w:val="0"/>
        <w:snapToGrid w:val="0"/>
        <w:spacing w:line="360" w:lineRule="auto"/>
        <w:jc w:val="center"/>
        <w:rPr>
          <w:rFonts w:hint="eastAsia" w:ascii="宋体"/>
        </w:rPr>
      </w:pPr>
    </w:p>
    <w:p w14:paraId="14DDA5A3">
      <w:pPr>
        <w:adjustRightInd w:val="0"/>
        <w:snapToGrid w:val="0"/>
        <w:spacing w:line="360" w:lineRule="auto"/>
        <w:jc w:val="center"/>
        <w:rPr>
          <w:rFonts w:hint="eastAsia" w:ascii="宋体"/>
        </w:rPr>
      </w:pPr>
    </w:p>
    <w:p w14:paraId="581008A3">
      <w:pPr>
        <w:adjustRightInd w:val="0"/>
        <w:snapToGrid w:val="0"/>
        <w:spacing w:line="360" w:lineRule="auto"/>
        <w:jc w:val="center"/>
        <w:rPr>
          <w:rFonts w:hint="eastAsia" w:ascii="宋体"/>
        </w:rPr>
      </w:pPr>
    </w:p>
    <w:p w14:paraId="66267A86">
      <w:pPr>
        <w:adjustRightInd w:val="0"/>
        <w:snapToGrid w:val="0"/>
        <w:spacing w:line="360" w:lineRule="auto"/>
        <w:jc w:val="center"/>
        <w:rPr>
          <w:rFonts w:hint="eastAsia" w:ascii="宋体"/>
        </w:rPr>
      </w:pPr>
    </w:p>
    <w:p w14:paraId="6043D41E">
      <w:pPr>
        <w:adjustRightInd w:val="0"/>
        <w:snapToGrid w:val="0"/>
        <w:spacing w:line="360" w:lineRule="auto"/>
        <w:jc w:val="center"/>
        <w:rPr>
          <w:rFonts w:hint="eastAsia" w:ascii="宋体"/>
        </w:rPr>
      </w:pPr>
    </w:p>
    <w:p w14:paraId="76A16C2F">
      <w:pPr>
        <w:adjustRightInd w:val="0"/>
        <w:snapToGrid w:val="0"/>
        <w:spacing w:line="360" w:lineRule="auto"/>
        <w:jc w:val="center"/>
        <w:rPr>
          <w:rFonts w:hint="eastAsia" w:ascii="宋体"/>
        </w:rPr>
      </w:pPr>
    </w:p>
    <w:p w14:paraId="45BF5C8C">
      <w:pPr>
        <w:adjustRightInd w:val="0"/>
        <w:snapToGrid w:val="0"/>
        <w:spacing w:line="360" w:lineRule="auto"/>
        <w:jc w:val="center"/>
        <w:rPr>
          <w:rFonts w:hint="eastAsia" w:ascii="宋体"/>
        </w:rPr>
      </w:pPr>
    </w:p>
    <w:p w14:paraId="7C960CC3">
      <w:pPr>
        <w:adjustRightInd w:val="0"/>
        <w:snapToGrid w:val="0"/>
        <w:spacing w:line="360" w:lineRule="auto"/>
        <w:jc w:val="center"/>
        <w:rPr>
          <w:rFonts w:hint="eastAsia" w:ascii="宋体"/>
        </w:rPr>
      </w:pPr>
    </w:p>
    <w:p w14:paraId="7FCCFD2C">
      <w:pPr>
        <w:adjustRightInd w:val="0"/>
        <w:snapToGrid w:val="0"/>
        <w:spacing w:line="360" w:lineRule="auto"/>
        <w:jc w:val="center"/>
        <w:rPr>
          <w:rFonts w:hint="eastAsia" w:ascii="宋体"/>
        </w:rPr>
      </w:pPr>
    </w:p>
    <w:p w14:paraId="7B464A5D">
      <w:pPr>
        <w:adjustRightInd w:val="0"/>
        <w:snapToGrid w:val="0"/>
        <w:spacing w:line="360" w:lineRule="auto"/>
        <w:jc w:val="center"/>
        <w:rPr>
          <w:rFonts w:hint="eastAsia" w:ascii="宋体"/>
        </w:rPr>
      </w:pPr>
    </w:p>
    <w:p w14:paraId="2732FC75">
      <w:pPr>
        <w:adjustRightInd w:val="0"/>
        <w:snapToGrid w:val="0"/>
        <w:spacing w:line="360" w:lineRule="auto"/>
        <w:jc w:val="center"/>
        <w:rPr>
          <w:rFonts w:hint="eastAsia" w:ascii="宋体"/>
        </w:rPr>
      </w:pPr>
    </w:p>
    <w:p w14:paraId="012676E5">
      <w:pPr>
        <w:adjustRightInd w:val="0"/>
        <w:snapToGrid w:val="0"/>
        <w:spacing w:line="360" w:lineRule="auto"/>
        <w:jc w:val="center"/>
        <w:rPr>
          <w:rFonts w:hint="eastAsia" w:ascii="宋体"/>
        </w:rPr>
      </w:pPr>
    </w:p>
    <w:p w14:paraId="130D0F0E">
      <w:pPr>
        <w:adjustRightInd w:val="0"/>
        <w:snapToGrid w:val="0"/>
        <w:spacing w:line="360" w:lineRule="auto"/>
        <w:jc w:val="center"/>
        <w:rPr>
          <w:rFonts w:hint="eastAsia" w:ascii="宋体"/>
        </w:rPr>
      </w:pPr>
    </w:p>
    <w:p w14:paraId="599FC1AC">
      <w:pPr>
        <w:adjustRightInd w:val="0"/>
        <w:snapToGrid w:val="0"/>
        <w:spacing w:line="360" w:lineRule="auto"/>
        <w:jc w:val="center"/>
        <w:rPr>
          <w:rFonts w:hint="eastAsia" w:ascii="宋体"/>
        </w:rPr>
      </w:pPr>
    </w:p>
    <w:p w14:paraId="1DE038A4">
      <w:pPr>
        <w:adjustRightInd w:val="0"/>
        <w:snapToGrid w:val="0"/>
        <w:spacing w:line="360" w:lineRule="auto"/>
        <w:jc w:val="center"/>
        <w:rPr>
          <w:rFonts w:hint="eastAsia" w:ascii="宋体"/>
        </w:rPr>
      </w:pPr>
    </w:p>
    <w:p w14:paraId="1478FFBB">
      <w:pPr>
        <w:adjustRightInd w:val="0"/>
        <w:snapToGrid w:val="0"/>
        <w:spacing w:line="360" w:lineRule="auto"/>
        <w:jc w:val="center"/>
        <w:rPr>
          <w:rFonts w:hint="eastAsia" w:ascii="宋体"/>
        </w:rPr>
      </w:pPr>
    </w:p>
    <w:p w14:paraId="657FA6DD">
      <w:pPr>
        <w:adjustRightInd w:val="0"/>
        <w:snapToGrid w:val="0"/>
        <w:spacing w:line="360" w:lineRule="auto"/>
        <w:jc w:val="center"/>
        <w:rPr>
          <w:rFonts w:hint="eastAsia" w:ascii="宋体"/>
        </w:rPr>
      </w:pPr>
    </w:p>
    <w:p w14:paraId="280F3DD1">
      <w:pPr>
        <w:adjustRightInd w:val="0"/>
        <w:snapToGrid w:val="0"/>
        <w:spacing w:line="360" w:lineRule="auto"/>
        <w:jc w:val="center"/>
        <w:rPr>
          <w:rFonts w:hint="eastAsia" w:ascii="宋体"/>
        </w:rPr>
      </w:pPr>
    </w:p>
    <w:p w14:paraId="51073A4A">
      <w:pPr>
        <w:adjustRightInd w:val="0"/>
        <w:snapToGrid w:val="0"/>
        <w:spacing w:line="360" w:lineRule="auto"/>
        <w:jc w:val="center"/>
        <w:rPr>
          <w:rFonts w:hint="eastAsia" w:ascii="宋体"/>
        </w:rPr>
      </w:pPr>
    </w:p>
    <w:p w14:paraId="7E0C1B04">
      <w:pPr>
        <w:adjustRightInd w:val="0"/>
        <w:snapToGrid w:val="0"/>
        <w:spacing w:line="360" w:lineRule="auto"/>
        <w:jc w:val="center"/>
        <w:rPr>
          <w:rFonts w:hint="eastAsia" w:ascii="宋体"/>
        </w:rPr>
      </w:pPr>
    </w:p>
    <w:p w14:paraId="7DCFB292">
      <w:pPr>
        <w:adjustRightInd w:val="0"/>
        <w:snapToGrid w:val="0"/>
        <w:spacing w:line="360" w:lineRule="auto"/>
        <w:jc w:val="center"/>
        <w:rPr>
          <w:rFonts w:hint="eastAsia" w:ascii="宋体"/>
        </w:rPr>
      </w:pPr>
    </w:p>
    <w:p w14:paraId="0126A81D">
      <w:pPr>
        <w:adjustRightInd w:val="0"/>
        <w:snapToGrid w:val="0"/>
        <w:spacing w:line="360" w:lineRule="auto"/>
        <w:jc w:val="center"/>
        <w:rPr>
          <w:rFonts w:hint="eastAsia" w:ascii="宋体"/>
        </w:rPr>
      </w:pPr>
    </w:p>
    <w:p w14:paraId="32F552C7">
      <w:pPr>
        <w:adjustRightInd w:val="0"/>
        <w:snapToGrid w:val="0"/>
        <w:spacing w:line="360" w:lineRule="auto"/>
        <w:jc w:val="center"/>
        <w:rPr>
          <w:rFonts w:hint="eastAsia" w:ascii="宋体"/>
        </w:rPr>
      </w:pPr>
    </w:p>
    <w:p w14:paraId="79B7FB48">
      <w:pPr>
        <w:adjustRightInd w:val="0"/>
        <w:snapToGrid w:val="0"/>
        <w:spacing w:line="360" w:lineRule="auto"/>
        <w:jc w:val="center"/>
        <w:rPr>
          <w:rFonts w:hint="eastAsia" w:ascii="宋体"/>
        </w:rPr>
      </w:pPr>
    </w:p>
    <w:p w14:paraId="51CDE8B2">
      <w:pPr>
        <w:adjustRightInd w:val="0"/>
        <w:snapToGrid w:val="0"/>
        <w:spacing w:line="360" w:lineRule="auto"/>
        <w:jc w:val="center"/>
        <w:rPr>
          <w:rFonts w:hint="eastAsia" w:ascii="宋体"/>
        </w:rPr>
      </w:pPr>
    </w:p>
    <w:p w14:paraId="54837D1B">
      <w:pPr>
        <w:adjustRightInd w:val="0"/>
        <w:snapToGrid w:val="0"/>
        <w:spacing w:line="360" w:lineRule="auto"/>
        <w:jc w:val="center"/>
        <w:rPr>
          <w:rFonts w:hint="eastAsia" w:ascii="宋体"/>
        </w:rPr>
      </w:pPr>
    </w:p>
    <w:p w14:paraId="6B172AD4">
      <w:pPr>
        <w:adjustRightInd w:val="0"/>
        <w:snapToGrid w:val="0"/>
        <w:spacing w:line="360" w:lineRule="auto"/>
        <w:jc w:val="center"/>
        <w:rPr>
          <w:rFonts w:hint="eastAsia" w:ascii="宋体"/>
        </w:rPr>
      </w:pPr>
    </w:p>
    <w:p w14:paraId="5DF367DB">
      <w:pPr>
        <w:adjustRightInd w:val="0"/>
        <w:snapToGrid w:val="0"/>
        <w:spacing w:line="360" w:lineRule="auto"/>
        <w:jc w:val="center"/>
        <w:rPr>
          <w:rFonts w:hint="eastAsia" w:ascii="宋体"/>
          <w:sz w:val="24"/>
        </w:rPr>
      </w:pPr>
      <w:r>
        <w:rPr>
          <w:rFonts w:hint="eastAsia" w:ascii="宋体"/>
          <w:b/>
          <w:sz w:val="30"/>
          <w:szCs w:val="30"/>
        </w:rPr>
        <w:t>投标人资格承诺函</w:t>
      </w:r>
    </w:p>
    <w:p w14:paraId="4DAE5E2B">
      <w:pPr>
        <w:adjustRightInd w:val="0"/>
        <w:snapToGrid w:val="0"/>
        <w:spacing w:line="360" w:lineRule="auto"/>
        <w:rPr>
          <w:rFonts w:ascii="宋体"/>
          <w:sz w:val="24"/>
          <w:szCs w:val="20"/>
        </w:rPr>
      </w:pPr>
      <w:r>
        <w:rPr>
          <w:rFonts w:hint="eastAsia" w:ascii="宋体"/>
          <w:sz w:val="24"/>
        </w:rPr>
        <w:t>致：</w:t>
      </w:r>
      <w:r>
        <w:rPr>
          <w:rFonts w:hint="eastAsia" w:ascii="宋体"/>
          <w:sz w:val="24"/>
          <w:u w:val="single"/>
        </w:rPr>
        <w:t xml:space="preserve">浙江衢州巨塑化工有限公司   </w:t>
      </w:r>
    </w:p>
    <w:p w14:paraId="7F157188">
      <w:pPr>
        <w:adjustRightInd w:val="0"/>
        <w:snapToGrid w:val="0"/>
        <w:spacing w:line="360" w:lineRule="auto"/>
        <w:ind w:firstLine="720" w:firstLineChars="300"/>
        <w:rPr>
          <w:rFonts w:hint="eastAsia" w:ascii="宋体"/>
          <w:sz w:val="24"/>
          <w:szCs w:val="20"/>
        </w:rPr>
      </w:pPr>
      <w:r>
        <w:rPr>
          <w:rFonts w:hint="eastAsia" w:ascii="宋体"/>
          <w:sz w:val="24"/>
          <w:u w:val="single"/>
        </w:rPr>
        <w:t xml:space="preserve">                       </w:t>
      </w:r>
      <w:r>
        <w:rPr>
          <w:rFonts w:hint="eastAsia" w:ascii="宋体"/>
          <w:sz w:val="24"/>
        </w:rPr>
        <w:t>（投标人名称）符合参加本次招标活动的资格条件并承诺如下。</w:t>
      </w:r>
    </w:p>
    <w:p w14:paraId="53079575">
      <w:pPr>
        <w:adjustRightInd w:val="0"/>
        <w:snapToGrid w:val="0"/>
        <w:spacing w:line="360" w:lineRule="auto"/>
        <w:ind w:firstLine="480" w:firstLineChars="200"/>
        <w:rPr>
          <w:rFonts w:hint="eastAsia" w:ascii="宋体"/>
          <w:sz w:val="24"/>
        </w:rPr>
      </w:pPr>
      <w:r>
        <w:rPr>
          <w:rFonts w:hint="eastAsia" w:ascii="宋体"/>
          <w:sz w:val="24"/>
        </w:rPr>
        <w:t>一、投标人未被“信用中国”（www.creditchina.gov.cn)列入失信被执行人、重大税收违法案件当事人名单。</w:t>
      </w:r>
    </w:p>
    <w:p w14:paraId="2872AC5A">
      <w:pPr>
        <w:adjustRightInd w:val="0"/>
        <w:snapToGrid w:val="0"/>
        <w:spacing w:line="360" w:lineRule="auto"/>
        <w:ind w:firstLine="480" w:firstLineChars="200"/>
        <w:rPr>
          <w:rFonts w:hint="eastAsia" w:ascii="宋体"/>
          <w:sz w:val="24"/>
        </w:rPr>
      </w:pPr>
      <w:r>
        <w:rPr>
          <w:rFonts w:hint="eastAsia" w:ascii="宋体"/>
          <w:sz w:val="24"/>
        </w:rPr>
        <w:t>二、投标人本次投标无如下情形：</w:t>
      </w:r>
    </w:p>
    <w:p w14:paraId="5410AC3D">
      <w:pPr>
        <w:adjustRightInd w:val="0"/>
        <w:snapToGrid w:val="0"/>
        <w:spacing w:line="360" w:lineRule="auto"/>
        <w:ind w:firstLine="480" w:firstLineChars="200"/>
        <w:rPr>
          <w:rFonts w:hint="eastAsia" w:ascii="宋体"/>
          <w:sz w:val="24"/>
        </w:rPr>
      </w:pPr>
      <w:r>
        <w:rPr>
          <w:rFonts w:hint="eastAsia" w:ascii="宋体"/>
          <w:sz w:val="24"/>
        </w:rPr>
        <w:t>1</w:t>
      </w:r>
      <w:r>
        <w:rPr>
          <w:rFonts w:hint="eastAsia" w:ascii="宋体"/>
          <w:sz w:val="24"/>
          <w:lang w:eastAsia="zh-CN"/>
        </w:rPr>
        <w:t>、</w:t>
      </w:r>
      <w:r>
        <w:rPr>
          <w:rFonts w:hint="eastAsia" w:ascii="宋体"/>
          <w:sz w:val="24"/>
        </w:rPr>
        <w:t>投标人未被“信用中国”（www.creditchina.gov.cn)列入失信被执行人、重大税收违法案件当事人名单。</w:t>
      </w:r>
    </w:p>
    <w:p w14:paraId="78932806">
      <w:pPr>
        <w:adjustRightInd w:val="0"/>
        <w:snapToGrid w:val="0"/>
        <w:spacing w:line="360" w:lineRule="auto"/>
        <w:ind w:firstLine="480" w:firstLineChars="200"/>
        <w:rPr>
          <w:rFonts w:hint="eastAsia" w:ascii="宋体"/>
          <w:sz w:val="24"/>
        </w:rPr>
      </w:pPr>
      <w:r>
        <w:rPr>
          <w:rFonts w:hint="eastAsia" w:ascii="宋体"/>
          <w:sz w:val="24"/>
        </w:rPr>
        <w:t>2</w:t>
      </w:r>
      <w:r>
        <w:rPr>
          <w:rFonts w:hint="eastAsia" w:ascii="宋体"/>
          <w:sz w:val="24"/>
          <w:lang w:eastAsia="zh-CN"/>
        </w:rPr>
        <w:t>、</w:t>
      </w:r>
      <w:r>
        <w:rPr>
          <w:rFonts w:hint="eastAsia" w:ascii="宋体"/>
          <w:sz w:val="24"/>
        </w:rPr>
        <w:t>投标人具备独立承担民事责任的能力，未被巨化集团禁止参加采购活动，近三年在招标人单位无不良业绩。</w:t>
      </w:r>
    </w:p>
    <w:p w14:paraId="1A8E2DDF">
      <w:pPr>
        <w:adjustRightInd w:val="0"/>
        <w:snapToGrid w:val="0"/>
        <w:spacing w:line="360" w:lineRule="auto"/>
        <w:ind w:firstLine="480" w:firstLineChars="200"/>
        <w:rPr>
          <w:rFonts w:hint="eastAsia" w:ascii="宋体"/>
          <w:sz w:val="24"/>
        </w:rPr>
      </w:pPr>
      <w:r>
        <w:rPr>
          <w:rFonts w:hint="eastAsia" w:ascii="宋体"/>
          <w:sz w:val="24"/>
        </w:rPr>
        <w:t>3</w:t>
      </w:r>
      <w:r>
        <w:rPr>
          <w:rFonts w:hint="eastAsia" w:ascii="宋体"/>
          <w:sz w:val="24"/>
          <w:lang w:eastAsia="zh-CN"/>
        </w:rPr>
        <w:t>、</w:t>
      </w:r>
      <w:r>
        <w:rPr>
          <w:rFonts w:hint="eastAsia" w:ascii="宋体"/>
          <w:sz w:val="24"/>
        </w:rPr>
        <w:t>单位负责人为同一人或者存在控股、管理关系的不同单位，存在关联关系的不同单位，不得参加同一标项投标。2.关联关系是具有以下情形之一：</w:t>
      </w:r>
    </w:p>
    <w:p w14:paraId="07929416">
      <w:pPr>
        <w:adjustRightInd w:val="0"/>
        <w:snapToGrid w:val="0"/>
        <w:spacing w:line="360" w:lineRule="auto"/>
        <w:ind w:firstLine="480" w:firstLineChars="200"/>
        <w:rPr>
          <w:rFonts w:hint="eastAsia" w:ascii="宋体"/>
          <w:sz w:val="24"/>
        </w:rPr>
      </w:pPr>
      <w:r>
        <w:rPr>
          <w:rFonts w:hint="eastAsia" w:ascii="宋体"/>
          <w:sz w:val="24"/>
        </w:rPr>
        <w:t>A.法定代表人或负责人或实际控制人是同一人</w:t>
      </w:r>
    </w:p>
    <w:p w14:paraId="55F0CE5F">
      <w:pPr>
        <w:adjustRightInd w:val="0"/>
        <w:snapToGrid w:val="0"/>
        <w:spacing w:line="360" w:lineRule="auto"/>
        <w:ind w:firstLine="480" w:firstLineChars="200"/>
        <w:rPr>
          <w:rFonts w:hint="eastAsia" w:ascii="宋体"/>
          <w:sz w:val="24"/>
        </w:rPr>
      </w:pPr>
      <w:r>
        <w:rPr>
          <w:rFonts w:hint="eastAsia" w:ascii="宋体"/>
          <w:sz w:val="24"/>
        </w:rPr>
        <w:t>B.法定代表人或负责人或实际控制人是夫妻关系</w:t>
      </w:r>
    </w:p>
    <w:p w14:paraId="1BBC8839">
      <w:pPr>
        <w:adjustRightInd w:val="0"/>
        <w:snapToGrid w:val="0"/>
        <w:spacing w:line="360" w:lineRule="auto"/>
        <w:ind w:firstLine="480" w:firstLineChars="200"/>
        <w:rPr>
          <w:rFonts w:hint="eastAsia" w:ascii="宋体"/>
          <w:sz w:val="24"/>
        </w:rPr>
      </w:pPr>
      <w:r>
        <w:rPr>
          <w:rFonts w:hint="eastAsia" w:ascii="宋体"/>
          <w:sz w:val="24"/>
        </w:rPr>
        <w:t>C.法定代表人或负责人或实际控制人是直系血亲关系</w:t>
      </w:r>
    </w:p>
    <w:p w14:paraId="128B7EC3">
      <w:pPr>
        <w:adjustRightInd w:val="0"/>
        <w:snapToGrid w:val="0"/>
        <w:spacing w:line="360" w:lineRule="auto"/>
        <w:ind w:firstLine="480" w:firstLineChars="200"/>
        <w:rPr>
          <w:rFonts w:hint="eastAsia" w:ascii="宋体"/>
          <w:sz w:val="24"/>
        </w:rPr>
      </w:pPr>
      <w:r>
        <w:rPr>
          <w:rFonts w:hint="eastAsia" w:ascii="宋体"/>
          <w:sz w:val="24"/>
        </w:rPr>
        <w:t>D.法定代表人或负责人或实际控制人存在三代以内旁系血亲关系</w:t>
      </w:r>
    </w:p>
    <w:p w14:paraId="2307A214">
      <w:pPr>
        <w:adjustRightInd w:val="0"/>
        <w:snapToGrid w:val="0"/>
        <w:spacing w:line="360" w:lineRule="auto"/>
        <w:ind w:firstLine="480" w:firstLineChars="200"/>
        <w:rPr>
          <w:rFonts w:hint="eastAsia" w:ascii="宋体"/>
          <w:sz w:val="24"/>
        </w:rPr>
      </w:pPr>
      <w:r>
        <w:rPr>
          <w:rFonts w:hint="eastAsia" w:ascii="宋体"/>
          <w:sz w:val="24"/>
        </w:rPr>
        <w:t>E.法定代表人或负责人或实际控制人存在近姻亲关系</w:t>
      </w:r>
    </w:p>
    <w:p w14:paraId="6A2634D0">
      <w:pPr>
        <w:adjustRightInd w:val="0"/>
        <w:snapToGrid w:val="0"/>
        <w:spacing w:line="360" w:lineRule="auto"/>
        <w:ind w:firstLine="480" w:firstLineChars="200"/>
        <w:rPr>
          <w:rFonts w:hint="eastAsia" w:ascii="宋体"/>
          <w:sz w:val="24"/>
        </w:rPr>
      </w:pPr>
      <w:r>
        <w:rPr>
          <w:rFonts w:hint="eastAsia" w:ascii="宋体"/>
          <w:sz w:val="24"/>
        </w:rPr>
        <w:t>F.法定代表人或负责人或实际控制人存在股份控制或实际控制关系</w:t>
      </w:r>
    </w:p>
    <w:p w14:paraId="4C17AFF2">
      <w:pPr>
        <w:adjustRightInd w:val="0"/>
        <w:snapToGrid w:val="0"/>
        <w:spacing w:line="360" w:lineRule="auto"/>
        <w:ind w:firstLine="480" w:firstLineChars="200"/>
        <w:rPr>
          <w:rFonts w:hint="eastAsia" w:ascii="宋体"/>
          <w:sz w:val="24"/>
        </w:rPr>
      </w:pPr>
      <w:r>
        <w:rPr>
          <w:rFonts w:hint="eastAsia" w:ascii="宋体"/>
          <w:sz w:val="24"/>
        </w:rPr>
        <w:t>G.存在共同直接或间接投资设立子公司、联营企业和合营企业情况</w:t>
      </w:r>
    </w:p>
    <w:p w14:paraId="7344A17D">
      <w:pPr>
        <w:adjustRightInd w:val="0"/>
        <w:snapToGrid w:val="0"/>
        <w:spacing w:line="360" w:lineRule="auto"/>
        <w:ind w:firstLine="480" w:firstLineChars="200"/>
        <w:rPr>
          <w:rFonts w:hint="eastAsia" w:ascii="宋体"/>
          <w:sz w:val="24"/>
        </w:rPr>
      </w:pPr>
      <w:r>
        <w:rPr>
          <w:rFonts w:hint="eastAsia" w:ascii="宋体"/>
          <w:sz w:val="24"/>
        </w:rPr>
        <w:t>H.存在分级代理或代销关系、同一生产制造商关系、管理关系、重要业务（占主营业务收入50%以上）或重要财务往来关系（如融资）等其他实质性控制关系</w:t>
      </w:r>
    </w:p>
    <w:p w14:paraId="63DBC815">
      <w:pPr>
        <w:adjustRightInd w:val="0"/>
        <w:snapToGrid w:val="0"/>
        <w:spacing w:line="360" w:lineRule="auto"/>
        <w:ind w:firstLine="480" w:firstLineChars="200"/>
        <w:rPr>
          <w:rFonts w:hint="eastAsia" w:ascii="宋体"/>
          <w:sz w:val="24"/>
        </w:rPr>
      </w:pPr>
      <w:r>
        <w:rPr>
          <w:rFonts w:hint="eastAsia" w:ascii="宋体"/>
          <w:sz w:val="24"/>
        </w:rPr>
        <w:t>I.其他利害关系情况</w:t>
      </w:r>
    </w:p>
    <w:p w14:paraId="5AA86626">
      <w:pPr>
        <w:adjustRightInd w:val="0"/>
        <w:snapToGrid w:val="0"/>
        <w:spacing w:line="360" w:lineRule="auto"/>
        <w:ind w:firstLine="480" w:firstLineChars="200"/>
        <w:rPr>
          <w:rFonts w:hint="eastAsia" w:ascii="宋体"/>
          <w:sz w:val="24"/>
        </w:rPr>
      </w:pPr>
      <w:r>
        <w:rPr>
          <w:rFonts w:hint="eastAsia" w:ascii="宋体"/>
          <w:sz w:val="24"/>
        </w:rPr>
        <w:t>3.投标人与项目建设单位、施工单位、监理单位无隶属关系。</w:t>
      </w:r>
    </w:p>
    <w:p w14:paraId="147E6C27">
      <w:pPr>
        <w:adjustRightInd w:val="0"/>
        <w:snapToGrid w:val="0"/>
        <w:spacing w:line="360" w:lineRule="auto"/>
        <w:ind w:firstLine="480" w:firstLineChars="200"/>
        <w:rPr>
          <w:rFonts w:hint="eastAsia" w:ascii="宋体"/>
          <w:sz w:val="24"/>
        </w:rPr>
      </w:pPr>
      <w:r>
        <w:rPr>
          <w:rFonts w:hint="eastAsia" w:ascii="宋体"/>
          <w:sz w:val="24"/>
        </w:rPr>
        <w:t>三、满足本项目的特定资格要求：</w:t>
      </w:r>
    </w:p>
    <w:p w14:paraId="3A56220C">
      <w:pPr>
        <w:adjustRightInd w:val="0"/>
        <w:snapToGrid w:val="0"/>
        <w:spacing w:line="360" w:lineRule="auto"/>
        <w:ind w:firstLine="480" w:firstLineChars="200"/>
        <w:rPr>
          <w:rFonts w:hint="eastAsia" w:ascii="宋体"/>
          <w:sz w:val="24"/>
          <w:u w:val="single"/>
        </w:rPr>
      </w:pPr>
      <w:r>
        <w:rPr>
          <w:rFonts w:hint="eastAsia" w:ascii="宋体"/>
          <w:sz w:val="24"/>
          <w:u w:val="single"/>
        </w:rPr>
        <w:t xml:space="preserve">                                 </w:t>
      </w:r>
    </w:p>
    <w:p w14:paraId="0460FF30">
      <w:pPr>
        <w:adjustRightInd w:val="0"/>
        <w:snapToGrid w:val="0"/>
        <w:spacing w:line="360" w:lineRule="auto"/>
        <w:ind w:firstLine="480" w:firstLineChars="200"/>
        <w:rPr>
          <w:rFonts w:hint="eastAsia" w:ascii="宋体"/>
          <w:sz w:val="24"/>
        </w:rPr>
      </w:pPr>
      <w:r>
        <w:rPr>
          <w:rFonts w:hint="eastAsia" w:ascii="宋体"/>
          <w:sz w:val="24"/>
        </w:rPr>
        <w:t>四、联合体投标情形符合招标文件要求。</w:t>
      </w:r>
    </w:p>
    <w:p w14:paraId="4E502D27">
      <w:pPr>
        <w:adjustRightInd w:val="0"/>
        <w:snapToGrid w:val="0"/>
        <w:spacing w:line="360" w:lineRule="auto"/>
        <w:ind w:firstLine="480" w:firstLineChars="200"/>
        <w:rPr>
          <w:rFonts w:hint="eastAsia" w:ascii="宋体" w:cs="宋体"/>
          <w:kern w:val="0"/>
          <w:sz w:val="24"/>
        </w:rPr>
      </w:pPr>
      <w:r>
        <w:rPr>
          <w:rFonts w:hint="eastAsia" w:ascii="宋体" w:cs="宋体"/>
          <w:kern w:val="0"/>
          <w:sz w:val="24"/>
        </w:rPr>
        <w:t>本单位对上述承诺内容的真实性负责，已清楚知道并严格遵守招标法律法规和承诺要求如有虚假，将依法承担相应责任。</w:t>
      </w:r>
    </w:p>
    <w:p w14:paraId="56E10D7B">
      <w:pPr>
        <w:adjustRightInd w:val="0"/>
        <w:snapToGrid w:val="0"/>
        <w:spacing w:line="360" w:lineRule="auto"/>
        <w:rPr>
          <w:rFonts w:hint="eastAsia" w:ascii="宋体"/>
          <w:sz w:val="24"/>
        </w:rPr>
      </w:pPr>
    </w:p>
    <w:p w14:paraId="5F9271A0">
      <w:pPr>
        <w:widowControl/>
        <w:adjustRightInd w:val="0"/>
        <w:snapToGrid w:val="0"/>
        <w:spacing w:line="360" w:lineRule="auto"/>
        <w:jc w:val="left"/>
        <w:rPr>
          <w:rFonts w:hint="eastAsia" w:ascii="宋体"/>
          <w:sz w:val="24"/>
        </w:rPr>
      </w:pPr>
      <w:r>
        <w:rPr>
          <w:rFonts w:hint="eastAsia" w:ascii="宋体"/>
          <w:sz w:val="24"/>
        </w:rPr>
        <w:t>投标人：</w:t>
      </w:r>
      <w:r>
        <w:rPr>
          <w:rFonts w:hint="eastAsia" w:ascii="宋体"/>
          <w:sz w:val="24"/>
          <w:u w:val="single"/>
        </w:rPr>
        <w:t xml:space="preserve">       （盖章）        </w:t>
      </w:r>
      <w:r>
        <w:rPr>
          <w:rFonts w:hint="eastAsia" w:ascii="宋体"/>
          <w:sz w:val="24"/>
        </w:rPr>
        <w:t xml:space="preserve">                      年    月    日</w:t>
      </w:r>
    </w:p>
    <w:p w14:paraId="48A06205">
      <w:pPr>
        <w:pStyle w:val="18"/>
        <w:ind w:left="420" w:firstLine="464"/>
        <w:rPr>
          <w:rFonts w:hint="eastAsia"/>
          <w:sz w:val="24"/>
        </w:rPr>
      </w:pPr>
    </w:p>
    <w:p w14:paraId="508CA820">
      <w:pPr>
        <w:spacing w:before="78" w:line="350" w:lineRule="auto"/>
        <w:ind w:right="173"/>
        <w:jc w:val="center"/>
        <w:outlineLvl w:val="1"/>
        <w:rPr>
          <w:rFonts w:ascii="宋体" w:hAnsi="宋体" w:cs="宋体"/>
          <w:b/>
          <w:bCs/>
          <w:color w:val="auto"/>
          <w:spacing w:val="-5"/>
          <w:sz w:val="28"/>
          <w:szCs w:val="28"/>
          <w:highlight w:val="none"/>
        </w:rPr>
      </w:pPr>
      <w:r>
        <w:rPr>
          <w:rFonts w:ascii="Arial"/>
          <w:color w:val="auto"/>
          <w:sz w:val="24"/>
          <w:szCs w:val="32"/>
          <w:highlight w:val="none"/>
        </w:rPr>
        <w:br w:type="page"/>
      </w:r>
      <w:r>
        <w:rPr>
          <w:rFonts w:ascii="Arial"/>
          <w:b/>
          <w:color w:val="auto"/>
          <w:sz w:val="24"/>
          <w:szCs w:val="32"/>
          <w:highlight w:val="none"/>
        </w:rPr>
        <w:t>五</w:t>
      </w:r>
      <w:r>
        <w:rPr>
          <w:rFonts w:hint="eastAsia" w:ascii="宋体"/>
          <w:b/>
          <w:color w:val="auto"/>
          <w:sz w:val="28"/>
          <w:szCs w:val="28"/>
          <w:highlight w:val="none"/>
        </w:rPr>
        <w:t>、联合体协议书</w:t>
      </w:r>
    </w:p>
    <w:p w14:paraId="2BEE2B83">
      <w:pPr>
        <w:pStyle w:val="3"/>
        <w:tabs>
          <w:tab w:val="right" w:leader="dot" w:pos="8295"/>
        </w:tabs>
        <w:jc w:val="center"/>
        <w:rPr>
          <w:rFonts w:ascii="宋体" w:eastAsia="宋体"/>
          <w:b w:val="0"/>
          <w:color w:val="auto"/>
          <w:sz w:val="28"/>
          <w:szCs w:val="28"/>
          <w:highlight w:val="none"/>
        </w:rPr>
      </w:pPr>
    </w:p>
    <w:p w14:paraId="115673E5">
      <w:pPr>
        <w:pStyle w:val="3"/>
        <w:tabs>
          <w:tab w:val="right" w:leader="dot" w:pos="8295"/>
        </w:tabs>
        <w:jc w:val="center"/>
        <w:rPr>
          <w:rFonts w:ascii="宋体" w:eastAsia="宋体"/>
          <w:b w:val="0"/>
          <w:color w:val="auto"/>
          <w:sz w:val="28"/>
          <w:szCs w:val="28"/>
          <w:highlight w:val="none"/>
        </w:rPr>
      </w:pPr>
    </w:p>
    <w:p w14:paraId="23C92D6A">
      <w:pPr>
        <w:pStyle w:val="3"/>
        <w:tabs>
          <w:tab w:val="right" w:leader="dot" w:pos="8295"/>
        </w:tabs>
        <w:jc w:val="center"/>
        <w:rPr>
          <w:rFonts w:ascii="宋体" w:eastAsia="宋体"/>
          <w:b w:val="0"/>
          <w:color w:val="auto"/>
          <w:sz w:val="28"/>
          <w:szCs w:val="28"/>
          <w:highlight w:val="none"/>
        </w:rPr>
      </w:pPr>
    </w:p>
    <w:p w14:paraId="5EEDE799">
      <w:pPr>
        <w:pStyle w:val="3"/>
        <w:tabs>
          <w:tab w:val="right" w:leader="dot" w:pos="8295"/>
        </w:tabs>
        <w:jc w:val="center"/>
        <w:rPr>
          <w:rFonts w:ascii="宋体" w:eastAsia="宋体"/>
          <w:b w:val="0"/>
          <w:color w:val="auto"/>
          <w:sz w:val="28"/>
          <w:szCs w:val="28"/>
          <w:highlight w:val="none"/>
        </w:rPr>
      </w:pPr>
    </w:p>
    <w:p w14:paraId="572633D6">
      <w:pPr>
        <w:pStyle w:val="3"/>
        <w:tabs>
          <w:tab w:val="right" w:leader="dot" w:pos="8295"/>
        </w:tabs>
        <w:jc w:val="center"/>
        <w:rPr>
          <w:rFonts w:ascii="宋体" w:eastAsia="宋体"/>
          <w:b w:val="0"/>
          <w:color w:val="auto"/>
          <w:sz w:val="28"/>
          <w:szCs w:val="28"/>
          <w:highlight w:val="none"/>
        </w:rPr>
      </w:pPr>
    </w:p>
    <w:p w14:paraId="5BEE092E">
      <w:pPr>
        <w:pStyle w:val="3"/>
        <w:tabs>
          <w:tab w:val="right" w:leader="dot" w:pos="8295"/>
        </w:tabs>
        <w:jc w:val="center"/>
        <w:rPr>
          <w:rFonts w:ascii="宋体" w:eastAsia="宋体"/>
          <w:b w:val="0"/>
          <w:color w:val="auto"/>
          <w:sz w:val="28"/>
          <w:szCs w:val="28"/>
          <w:highlight w:val="none"/>
        </w:rPr>
      </w:pPr>
    </w:p>
    <w:p w14:paraId="7D365356">
      <w:pPr>
        <w:pStyle w:val="3"/>
        <w:tabs>
          <w:tab w:val="right" w:leader="dot" w:pos="8295"/>
        </w:tabs>
        <w:jc w:val="center"/>
        <w:rPr>
          <w:rFonts w:ascii="宋体" w:eastAsia="宋体"/>
          <w:b w:val="0"/>
          <w:color w:val="auto"/>
          <w:sz w:val="28"/>
          <w:szCs w:val="28"/>
          <w:highlight w:val="none"/>
        </w:rPr>
      </w:pPr>
    </w:p>
    <w:p w14:paraId="4BB7BAE2">
      <w:pPr>
        <w:pStyle w:val="3"/>
        <w:tabs>
          <w:tab w:val="right" w:leader="dot" w:pos="8295"/>
        </w:tabs>
        <w:jc w:val="center"/>
        <w:rPr>
          <w:rFonts w:ascii="宋体" w:eastAsia="宋体"/>
          <w:b w:val="0"/>
          <w:color w:val="auto"/>
          <w:sz w:val="28"/>
          <w:szCs w:val="28"/>
          <w:highlight w:val="none"/>
        </w:rPr>
      </w:pPr>
    </w:p>
    <w:p w14:paraId="2B9C6507">
      <w:pPr>
        <w:pStyle w:val="3"/>
        <w:tabs>
          <w:tab w:val="right" w:leader="dot" w:pos="8295"/>
        </w:tabs>
        <w:jc w:val="center"/>
        <w:rPr>
          <w:rFonts w:ascii="宋体" w:eastAsia="宋体"/>
          <w:b w:val="0"/>
          <w:color w:val="auto"/>
          <w:sz w:val="28"/>
          <w:szCs w:val="28"/>
          <w:highlight w:val="none"/>
        </w:rPr>
      </w:pPr>
    </w:p>
    <w:p w14:paraId="53C2DC74">
      <w:pPr>
        <w:pStyle w:val="3"/>
        <w:tabs>
          <w:tab w:val="right" w:leader="dot" w:pos="8295"/>
        </w:tabs>
        <w:jc w:val="center"/>
        <w:rPr>
          <w:rFonts w:ascii="宋体" w:eastAsia="宋体"/>
          <w:b w:val="0"/>
          <w:color w:val="auto"/>
          <w:sz w:val="28"/>
          <w:szCs w:val="28"/>
          <w:highlight w:val="none"/>
        </w:rPr>
      </w:pPr>
    </w:p>
    <w:p w14:paraId="11A10DD7">
      <w:pPr>
        <w:pStyle w:val="3"/>
        <w:tabs>
          <w:tab w:val="right" w:leader="dot" w:pos="8295"/>
        </w:tabs>
        <w:jc w:val="center"/>
        <w:rPr>
          <w:rFonts w:ascii="宋体" w:eastAsia="宋体"/>
          <w:b w:val="0"/>
          <w:color w:val="auto"/>
          <w:sz w:val="28"/>
          <w:szCs w:val="28"/>
          <w:highlight w:val="none"/>
        </w:rPr>
      </w:pPr>
    </w:p>
    <w:p w14:paraId="2A629B7E">
      <w:pPr>
        <w:pStyle w:val="3"/>
        <w:tabs>
          <w:tab w:val="right" w:leader="dot" w:pos="8295"/>
        </w:tabs>
        <w:jc w:val="center"/>
        <w:rPr>
          <w:rFonts w:ascii="宋体" w:eastAsia="宋体"/>
          <w:b w:val="0"/>
          <w:color w:val="auto"/>
          <w:sz w:val="28"/>
          <w:szCs w:val="28"/>
          <w:highlight w:val="none"/>
        </w:rPr>
      </w:pPr>
    </w:p>
    <w:p w14:paraId="3C4D60F1">
      <w:pPr>
        <w:pStyle w:val="3"/>
        <w:tabs>
          <w:tab w:val="right" w:leader="dot" w:pos="8295"/>
        </w:tabs>
        <w:jc w:val="center"/>
        <w:rPr>
          <w:rFonts w:ascii="宋体" w:eastAsia="宋体"/>
          <w:b w:val="0"/>
          <w:color w:val="auto"/>
          <w:sz w:val="28"/>
          <w:szCs w:val="28"/>
          <w:highlight w:val="none"/>
        </w:rPr>
      </w:pPr>
    </w:p>
    <w:p w14:paraId="21386942">
      <w:pPr>
        <w:pStyle w:val="3"/>
        <w:tabs>
          <w:tab w:val="right" w:leader="dot" w:pos="8295"/>
        </w:tabs>
        <w:jc w:val="center"/>
        <w:rPr>
          <w:rFonts w:ascii="宋体" w:eastAsia="宋体"/>
          <w:b w:val="0"/>
          <w:color w:val="auto"/>
          <w:sz w:val="28"/>
          <w:szCs w:val="28"/>
          <w:highlight w:val="none"/>
        </w:rPr>
      </w:pPr>
    </w:p>
    <w:p w14:paraId="38E3D9FA">
      <w:pPr>
        <w:pStyle w:val="3"/>
        <w:tabs>
          <w:tab w:val="right" w:leader="dot" w:pos="8295"/>
        </w:tabs>
        <w:jc w:val="center"/>
        <w:rPr>
          <w:rFonts w:ascii="宋体" w:eastAsia="宋体"/>
          <w:b w:val="0"/>
          <w:color w:val="auto"/>
          <w:sz w:val="28"/>
          <w:szCs w:val="28"/>
          <w:highlight w:val="none"/>
        </w:rPr>
      </w:pPr>
    </w:p>
    <w:p w14:paraId="1B5D8E1A">
      <w:pPr>
        <w:pStyle w:val="3"/>
        <w:tabs>
          <w:tab w:val="right" w:leader="dot" w:pos="8295"/>
        </w:tabs>
        <w:jc w:val="center"/>
        <w:rPr>
          <w:rFonts w:ascii="宋体" w:eastAsia="宋体"/>
          <w:b w:val="0"/>
          <w:color w:val="auto"/>
          <w:sz w:val="28"/>
          <w:szCs w:val="28"/>
          <w:highlight w:val="none"/>
        </w:rPr>
      </w:pPr>
    </w:p>
    <w:p w14:paraId="0571B2C6">
      <w:pPr>
        <w:pStyle w:val="3"/>
        <w:tabs>
          <w:tab w:val="right" w:leader="dot" w:pos="8295"/>
        </w:tabs>
        <w:jc w:val="center"/>
        <w:rPr>
          <w:rFonts w:ascii="宋体" w:eastAsia="宋体"/>
          <w:b w:val="0"/>
          <w:color w:val="auto"/>
          <w:sz w:val="28"/>
          <w:szCs w:val="28"/>
          <w:highlight w:val="none"/>
        </w:rPr>
      </w:pPr>
    </w:p>
    <w:p w14:paraId="43FD54BD">
      <w:pPr>
        <w:pStyle w:val="3"/>
        <w:tabs>
          <w:tab w:val="right" w:leader="dot" w:pos="8295"/>
        </w:tabs>
        <w:jc w:val="center"/>
        <w:rPr>
          <w:rFonts w:ascii="宋体" w:eastAsia="宋体"/>
          <w:b w:val="0"/>
          <w:color w:val="auto"/>
          <w:sz w:val="28"/>
          <w:szCs w:val="28"/>
          <w:highlight w:val="none"/>
        </w:rPr>
      </w:pPr>
    </w:p>
    <w:p w14:paraId="2928E97A">
      <w:pPr>
        <w:pStyle w:val="3"/>
        <w:tabs>
          <w:tab w:val="right" w:leader="dot" w:pos="8295"/>
        </w:tabs>
        <w:jc w:val="center"/>
        <w:rPr>
          <w:rFonts w:ascii="宋体" w:eastAsia="宋体"/>
          <w:b w:val="0"/>
          <w:color w:val="auto"/>
          <w:sz w:val="28"/>
          <w:szCs w:val="28"/>
          <w:highlight w:val="none"/>
        </w:rPr>
      </w:pPr>
    </w:p>
    <w:p w14:paraId="32CC6EF1">
      <w:pPr>
        <w:pStyle w:val="3"/>
        <w:tabs>
          <w:tab w:val="right" w:leader="dot" w:pos="8295"/>
        </w:tabs>
        <w:jc w:val="center"/>
        <w:rPr>
          <w:rFonts w:ascii="宋体" w:eastAsia="宋体"/>
          <w:b w:val="0"/>
          <w:color w:val="auto"/>
          <w:sz w:val="28"/>
          <w:szCs w:val="28"/>
          <w:highlight w:val="none"/>
        </w:rPr>
      </w:pPr>
    </w:p>
    <w:p w14:paraId="57AEA007">
      <w:pPr>
        <w:pStyle w:val="3"/>
        <w:tabs>
          <w:tab w:val="right" w:leader="dot" w:pos="8295"/>
        </w:tabs>
        <w:jc w:val="center"/>
        <w:rPr>
          <w:rFonts w:ascii="宋体" w:eastAsia="宋体"/>
          <w:b w:val="0"/>
          <w:color w:val="auto"/>
          <w:sz w:val="28"/>
          <w:szCs w:val="28"/>
          <w:highlight w:val="none"/>
        </w:rPr>
      </w:pPr>
    </w:p>
    <w:p w14:paraId="6528C65B">
      <w:pPr>
        <w:pStyle w:val="3"/>
        <w:tabs>
          <w:tab w:val="right" w:leader="dot" w:pos="8295"/>
        </w:tabs>
        <w:jc w:val="center"/>
        <w:rPr>
          <w:rFonts w:ascii="宋体" w:eastAsia="宋体"/>
          <w:b w:val="0"/>
          <w:color w:val="auto"/>
          <w:sz w:val="28"/>
          <w:szCs w:val="28"/>
          <w:highlight w:val="none"/>
        </w:rPr>
      </w:pPr>
    </w:p>
    <w:p w14:paraId="02A57F51">
      <w:pPr>
        <w:pStyle w:val="3"/>
        <w:tabs>
          <w:tab w:val="right" w:leader="dot" w:pos="8295"/>
        </w:tabs>
        <w:jc w:val="center"/>
        <w:rPr>
          <w:rFonts w:ascii="宋体" w:eastAsia="宋体"/>
          <w:b w:val="0"/>
          <w:color w:val="auto"/>
          <w:sz w:val="28"/>
          <w:szCs w:val="28"/>
          <w:highlight w:val="none"/>
        </w:rPr>
      </w:pPr>
    </w:p>
    <w:p w14:paraId="2693DC00">
      <w:pPr>
        <w:pStyle w:val="3"/>
        <w:tabs>
          <w:tab w:val="right" w:leader="dot" w:pos="8295"/>
        </w:tabs>
        <w:jc w:val="center"/>
        <w:rPr>
          <w:rFonts w:ascii="宋体" w:eastAsia="宋体"/>
          <w:b w:val="0"/>
          <w:color w:val="auto"/>
          <w:sz w:val="28"/>
          <w:szCs w:val="28"/>
          <w:highlight w:val="none"/>
        </w:rPr>
      </w:pPr>
    </w:p>
    <w:p w14:paraId="330228C5">
      <w:pPr>
        <w:pStyle w:val="3"/>
        <w:tabs>
          <w:tab w:val="right" w:leader="dot" w:pos="8295"/>
        </w:tabs>
        <w:jc w:val="center"/>
        <w:rPr>
          <w:rFonts w:ascii="宋体" w:eastAsia="宋体"/>
          <w:b w:val="0"/>
          <w:color w:val="auto"/>
          <w:sz w:val="28"/>
          <w:szCs w:val="28"/>
          <w:highlight w:val="none"/>
        </w:rPr>
      </w:pPr>
    </w:p>
    <w:p w14:paraId="5017BF5D">
      <w:pPr>
        <w:pStyle w:val="3"/>
        <w:tabs>
          <w:tab w:val="right" w:leader="dot" w:pos="8295"/>
        </w:tabs>
        <w:jc w:val="center"/>
        <w:rPr>
          <w:rFonts w:ascii="宋体" w:eastAsia="宋体"/>
          <w:b w:val="0"/>
          <w:color w:val="auto"/>
          <w:sz w:val="28"/>
          <w:szCs w:val="28"/>
          <w:highlight w:val="none"/>
        </w:rPr>
      </w:pPr>
    </w:p>
    <w:p w14:paraId="049A8689">
      <w:pPr>
        <w:pStyle w:val="3"/>
        <w:tabs>
          <w:tab w:val="right" w:leader="dot" w:pos="8295"/>
        </w:tabs>
        <w:jc w:val="center"/>
        <w:rPr>
          <w:rFonts w:ascii="宋体" w:eastAsia="宋体"/>
          <w:b w:val="0"/>
          <w:color w:val="auto"/>
          <w:sz w:val="28"/>
          <w:szCs w:val="28"/>
          <w:highlight w:val="none"/>
        </w:rPr>
      </w:pPr>
    </w:p>
    <w:p w14:paraId="491F81C9">
      <w:pPr>
        <w:pStyle w:val="3"/>
        <w:tabs>
          <w:tab w:val="right" w:leader="dot" w:pos="8295"/>
        </w:tabs>
        <w:jc w:val="center"/>
        <w:rPr>
          <w:rFonts w:ascii="宋体" w:eastAsia="宋体"/>
          <w:b w:val="0"/>
          <w:color w:val="auto"/>
          <w:sz w:val="28"/>
          <w:szCs w:val="28"/>
          <w:highlight w:val="none"/>
        </w:rPr>
      </w:pPr>
    </w:p>
    <w:p w14:paraId="6FB5556B">
      <w:pPr>
        <w:pStyle w:val="3"/>
        <w:tabs>
          <w:tab w:val="right" w:leader="dot" w:pos="8295"/>
        </w:tabs>
        <w:jc w:val="center"/>
        <w:rPr>
          <w:rFonts w:ascii="宋体" w:eastAsia="宋体"/>
          <w:b w:val="0"/>
          <w:color w:val="auto"/>
          <w:sz w:val="28"/>
          <w:szCs w:val="28"/>
          <w:highlight w:val="none"/>
        </w:rPr>
      </w:pPr>
    </w:p>
    <w:p w14:paraId="0D1389E3">
      <w:pPr>
        <w:pStyle w:val="3"/>
        <w:tabs>
          <w:tab w:val="right" w:leader="dot" w:pos="8295"/>
        </w:tabs>
        <w:jc w:val="center"/>
        <w:rPr>
          <w:rFonts w:ascii="宋体" w:eastAsia="宋体"/>
          <w:b w:val="0"/>
          <w:color w:val="auto"/>
          <w:sz w:val="28"/>
          <w:szCs w:val="28"/>
          <w:highlight w:val="none"/>
        </w:rPr>
      </w:pPr>
    </w:p>
    <w:p w14:paraId="08977599">
      <w:pPr>
        <w:pStyle w:val="3"/>
        <w:tabs>
          <w:tab w:val="right" w:leader="dot" w:pos="8295"/>
        </w:tabs>
        <w:jc w:val="center"/>
        <w:rPr>
          <w:rFonts w:ascii="宋体" w:eastAsia="宋体"/>
          <w:b w:val="0"/>
          <w:color w:val="auto"/>
          <w:sz w:val="28"/>
          <w:szCs w:val="28"/>
          <w:highlight w:val="none"/>
        </w:rPr>
      </w:pPr>
    </w:p>
    <w:p w14:paraId="5EA40A86">
      <w:pPr>
        <w:pStyle w:val="3"/>
        <w:tabs>
          <w:tab w:val="right" w:leader="dot" w:pos="8295"/>
        </w:tabs>
        <w:jc w:val="center"/>
        <w:rPr>
          <w:rFonts w:ascii="宋体" w:eastAsia="宋体"/>
          <w:b w:val="0"/>
          <w:color w:val="auto"/>
          <w:sz w:val="28"/>
          <w:szCs w:val="28"/>
          <w:highlight w:val="none"/>
        </w:rPr>
      </w:pPr>
    </w:p>
    <w:p w14:paraId="70406E64">
      <w:pPr>
        <w:pStyle w:val="3"/>
        <w:tabs>
          <w:tab w:val="right" w:leader="dot" w:pos="8295"/>
        </w:tabs>
        <w:jc w:val="center"/>
        <w:rPr>
          <w:rFonts w:ascii="宋体" w:eastAsia="宋体"/>
          <w:b w:val="0"/>
          <w:color w:val="auto"/>
          <w:sz w:val="28"/>
          <w:szCs w:val="28"/>
          <w:highlight w:val="none"/>
        </w:rPr>
      </w:pPr>
    </w:p>
    <w:p w14:paraId="48FF552D">
      <w:pPr>
        <w:pStyle w:val="3"/>
        <w:tabs>
          <w:tab w:val="right" w:leader="dot" w:pos="8295"/>
        </w:tabs>
        <w:jc w:val="center"/>
        <w:rPr>
          <w:rFonts w:ascii="宋体" w:eastAsia="宋体"/>
          <w:b w:val="0"/>
          <w:color w:val="auto"/>
          <w:sz w:val="28"/>
          <w:szCs w:val="28"/>
          <w:highlight w:val="none"/>
        </w:rPr>
      </w:pPr>
    </w:p>
    <w:p w14:paraId="68934FF8">
      <w:pPr>
        <w:pStyle w:val="3"/>
        <w:tabs>
          <w:tab w:val="right" w:leader="dot" w:pos="8295"/>
        </w:tabs>
        <w:jc w:val="center"/>
        <w:rPr>
          <w:rFonts w:ascii="宋体" w:eastAsia="宋体"/>
          <w:b w:val="0"/>
          <w:color w:val="auto"/>
          <w:sz w:val="28"/>
          <w:szCs w:val="28"/>
          <w:highlight w:val="none"/>
        </w:rPr>
      </w:pPr>
    </w:p>
    <w:p w14:paraId="750474A1">
      <w:pPr>
        <w:tabs>
          <w:tab w:val="right" w:leader="dot" w:pos="8295"/>
        </w:tabs>
        <w:rPr>
          <w:rFonts w:ascii="宋体"/>
          <w:color w:val="auto"/>
          <w:highlight w:val="none"/>
        </w:rPr>
      </w:pPr>
    </w:p>
    <w:p w14:paraId="1A9D5D7C">
      <w:pPr>
        <w:tabs>
          <w:tab w:val="right" w:leader="dot" w:pos="8295"/>
        </w:tabs>
        <w:rPr>
          <w:rFonts w:ascii="宋体"/>
          <w:color w:val="auto"/>
          <w:highlight w:val="none"/>
        </w:rPr>
      </w:pPr>
    </w:p>
    <w:p w14:paraId="43FDDC0A">
      <w:pPr>
        <w:spacing w:before="78" w:line="350" w:lineRule="auto"/>
        <w:ind w:right="173"/>
        <w:jc w:val="center"/>
        <w:outlineLvl w:val="2"/>
        <w:rPr>
          <w:rFonts w:ascii="宋体" w:hAnsi="宋体" w:cs="宋体"/>
          <w:b/>
          <w:bCs/>
          <w:color w:val="auto"/>
          <w:spacing w:val="-6"/>
          <w:sz w:val="28"/>
          <w:szCs w:val="28"/>
          <w:highlight w:val="none"/>
        </w:rPr>
      </w:pPr>
      <w:r>
        <w:rPr>
          <w:rFonts w:hint="eastAsia" w:ascii="宋体" w:hAnsi="宋体" w:cs="宋体"/>
          <w:b/>
          <w:bCs/>
          <w:color w:val="auto"/>
          <w:spacing w:val="-6"/>
          <w:sz w:val="28"/>
          <w:szCs w:val="28"/>
          <w:highlight w:val="none"/>
        </w:rPr>
        <w:t>六、业绩表</w:t>
      </w:r>
    </w:p>
    <w:p w14:paraId="36654B93">
      <w:pPr>
        <w:spacing w:before="78" w:line="350" w:lineRule="auto"/>
        <w:ind w:right="173"/>
        <w:jc w:val="center"/>
        <w:rPr>
          <w:rFonts w:ascii="宋体" w:hAnsi="宋体" w:cs="宋体"/>
          <w:b/>
          <w:bCs/>
          <w:color w:val="auto"/>
          <w:spacing w:val="-6"/>
          <w:sz w:val="28"/>
          <w:szCs w:val="28"/>
          <w:highlight w:val="none"/>
        </w:rPr>
      </w:pPr>
    </w:p>
    <w:tbl>
      <w:tblPr>
        <w:tblStyle w:val="19"/>
        <w:tblW w:w="0" w:type="auto"/>
        <w:tblInd w:w="-111" w:type="dxa"/>
        <w:tblLayout w:type="autofit"/>
        <w:tblCellMar>
          <w:top w:w="0" w:type="dxa"/>
          <w:left w:w="108" w:type="dxa"/>
          <w:bottom w:w="0" w:type="dxa"/>
          <w:right w:w="108" w:type="dxa"/>
        </w:tblCellMar>
      </w:tblPr>
      <w:tblGrid>
        <w:gridCol w:w="687"/>
        <w:gridCol w:w="1373"/>
        <w:gridCol w:w="918"/>
        <w:gridCol w:w="1202"/>
        <w:gridCol w:w="1033"/>
        <w:gridCol w:w="1014"/>
        <w:gridCol w:w="1147"/>
        <w:gridCol w:w="1147"/>
      </w:tblGrid>
      <w:tr w14:paraId="45036F04">
        <w:tblPrEx>
          <w:tblCellMar>
            <w:top w:w="0" w:type="dxa"/>
            <w:left w:w="108" w:type="dxa"/>
            <w:bottom w:w="0" w:type="dxa"/>
            <w:right w:w="108" w:type="dxa"/>
          </w:tblCellMar>
        </w:tblPrEx>
        <w:trPr>
          <w:trHeight w:val="600" w:hRule="atLeast"/>
        </w:trPr>
        <w:tc>
          <w:tcPr>
            <w:tcW w:w="687" w:type="dxa"/>
            <w:tcBorders>
              <w:top w:val="single" w:color="auto" w:sz="4" w:space="0"/>
              <w:left w:val="single" w:color="auto" w:sz="4" w:space="0"/>
              <w:bottom w:val="single" w:color="auto" w:sz="4" w:space="0"/>
              <w:right w:val="single" w:color="auto" w:sz="4" w:space="0"/>
            </w:tcBorders>
            <w:vAlign w:val="center"/>
          </w:tcPr>
          <w:p w14:paraId="1C9DEBFB">
            <w:pPr>
              <w:jc w:val="center"/>
              <w:rPr>
                <w:rFonts w:ascii="宋体" w:hAnsi="宋体" w:cs="宋体"/>
                <w:color w:val="auto"/>
                <w:highlight w:val="none"/>
              </w:rPr>
            </w:pPr>
            <w:r>
              <w:rPr>
                <w:rFonts w:hint="eastAsia" w:ascii="宋体" w:hAnsi="宋体" w:cs="宋体"/>
                <w:color w:val="auto"/>
                <w:kern w:val="0"/>
                <w:highlight w:val="none"/>
                <w:lang w:bidi="ar"/>
              </w:rPr>
              <w:t>序号</w:t>
            </w:r>
          </w:p>
        </w:tc>
        <w:tc>
          <w:tcPr>
            <w:tcW w:w="1373" w:type="dxa"/>
            <w:tcBorders>
              <w:top w:val="single" w:color="auto" w:sz="4" w:space="0"/>
              <w:left w:val="single" w:color="auto" w:sz="4" w:space="0"/>
              <w:bottom w:val="single" w:color="auto" w:sz="4" w:space="0"/>
              <w:right w:val="single" w:color="auto" w:sz="4" w:space="0"/>
            </w:tcBorders>
            <w:vAlign w:val="center"/>
          </w:tcPr>
          <w:p w14:paraId="45DF312A">
            <w:pPr>
              <w:jc w:val="center"/>
              <w:rPr>
                <w:rFonts w:ascii="宋体" w:hAnsi="宋体" w:cs="宋体"/>
                <w:color w:val="auto"/>
                <w:highlight w:val="none"/>
              </w:rPr>
            </w:pPr>
            <w:r>
              <w:rPr>
                <w:rFonts w:hint="eastAsia" w:ascii="宋体" w:hAnsi="宋体" w:cs="宋体"/>
                <w:color w:val="auto"/>
                <w:kern w:val="0"/>
                <w:highlight w:val="none"/>
                <w:lang w:bidi="ar"/>
              </w:rPr>
              <w:t>服务用户</w:t>
            </w:r>
          </w:p>
        </w:tc>
        <w:tc>
          <w:tcPr>
            <w:tcW w:w="918" w:type="dxa"/>
            <w:tcBorders>
              <w:top w:val="single" w:color="auto" w:sz="4" w:space="0"/>
              <w:left w:val="single" w:color="auto" w:sz="4" w:space="0"/>
              <w:bottom w:val="single" w:color="auto" w:sz="4" w:space="0"/>
              <w:right w:val="single" w:color="auto" w:sz="4" w:space="0"/>
            </w:tcBorders>
            <w:vAlign w:val="center"/>
          </w:tcPr>
          <w:p w14:paraId="22C12DD4">
            <w:pPr>
              <w:jc w:val="center"/>
              <w:rPr>
                <w:rFonts w:ascii="宋体" w:hAnsi="宋体" w:cs="宋体"/>
                <w:color w:val="auto"/>
                <w:highlight w:val="none"/>
              </w:rPr>
            </w:pPr>
            <w:r>
              <w:rPr>
                <w:rFonts w:hint="eastAsia" w:ascii="宋体" w:hAnsi="宋体" w:cs="宋体"/>
                <w:color w:val="auto"/>
                <w:kern w:val="0"/>
                <w:highlight w:val="none"/>
                <w:lang w:bidi="ar"/>
              </w:rPr>
              <w:t>设备名称和型式</w:t>
            </w:r>
          </w:p>
        </w:tc>
        <w:tc>
          <w:tcPr>
            <w:tcW w:w="1202" w:type="dxa"/>
            <w:tcBorders>
              <w:top w:val="single" w:color="auto" w:sz="4" w:space="0"/>
              <w:left w:val="single" w:color="auto" w:sz="4" w:space="0"/>
              <w:bottom w:val="single" w:color="auto" w:sz="4" w:space="0"/>
              <w:right w:val="single" w:color="auto" w:sz="4" w:space="0"/>
            </w:tcBorders>
            <w:vAlign w:val="center"/>
          </w:tcPr>
          <w:p w14:paraId="4E9073D2">
            <w:pPr>
              <w:jc w:val="center"/>
              <w:rPr>
                <w:rFonts w:ascii="宋体" w:hAnsi="宋体" w:cs="宋体"/>
                <w:color w:val="auto"/>
                <w:highlight w:val="none"/>
              </w:rPr>
            </w:pPr>
            <w:r>
              <w:rPr>
                <w:rFonts w:hint="eastAsia" w:ascii="宋体" w:hAnsi="宋体" w:cs="宋体"/>
                <w:color w:val="auto"/>
                <w:kern w:val="0"/>
                <w:highlight w:val="none"/>
                <w:lang w:bidi="ar"/>
              </w:rPr>
              <w:t>设备型号</w:t>
            </w:r>
          </w:p>
        </w:tc>
        <w:tc>
          <w:tcPr>
            <w:tcW w:w="1033" w:type="dxa"/>
            <w:tcBorders>
              <w:top w:val="single" w:color="auto" w:sz="4" w:space="0"/>
              <w:left w:val="single" w:color="auto" w:sz="4" w:space="0"/>
              <w:bottom w:val="single" w:color="auto" w:sz="4" w:space="0"/>
              <w:right w:val="single" w:color="auto" w:sz="4" w:space="0"/>
            </w:tcBorders>
            <w:vAlign w:val="center"/>
          </w:tcPr>
          <w:p w14:paraId="5ECAA664">
            <w:pPr>
              <w:jc w:val="center"/>
              <w:rPr>
                <w:rFonts w:ascii="宋体" w:hAnsi="宋体" w:cs="宋体"/>
                <w:color w:val="auto"/>
                <w:highlight w:val="none"/>
              </w:rPr>
            </w:pPr>
            <w:r>
              <w:rPr>
                <w:rFonts w:hint="eastAsia" w:ascii="宋体" w:hAnsi="宋体" w:cs="宋体"/>
                <w:color w:val="auto"/>
                <w:kern w:val="0"/>
                <w:highlight w:val="none"/>
                <w:lang w:bidi="ar"/>
              </w:rPr>
              <w:t>进口流量</w:t>
            </w:r>
            <w:r>
              <w:rPr>
                <w:rFonts w:cs="Calibri"/>
                <w:color w:val="auto"/>
                <w:kern w:val="0"/>
                <w:highlight w:val="none"/>
                <w:lang w:bidi="ar"/>
              </w:rPr>
              <w:t>t/h</w:t>
            </w:r>
          </w:p>
        </w:tc>
        <w:tc>
          <w:tcPr>
            <w:tcW w:w="1014" w:type="dxa"/>
            <w:tcBorders>
              <w:top w:val="single" w:color="auto" w:sz="4" w:space="0"/>
              <w:left w:val="single" w:color="auto" w:sz="4" w:space="0"/>
              <w:bottom w:val="single" w:color="auto" w:sz="4" w:space="0"/>
              <w:right w:val="single" w:color="auto" w:sz="4" w:space="0"/>
            </w:tcBorders>
            <w:vAlign w:val="center"/>
          </w:tcPr>
          <w:p w14:paraId="08B965BD">
            <w:pPr>
              <w:jc w:val="center"/>
              <w:rPr>
                <w:rFonts w:ascii="宋体" w:hAnsi="宋体" w:cs="宋体"/>
                <w:color w:val="auto"/>
                <w:kern w:val="0"/>
                <w:highlight w:val="none"/>
                <w:lang w:bidi="ar"/>
              </w:rPr>
            </w:pPr>
            <w:r>
              <w:rPr>
                <w:rFonts w:hint="eastAsia" w:ascii="宋体" w:hAnsi="宋体" w:cs="宋体"/>
                <w:color w:val="auto"/>
                <w:kern w:val="0"/>
                <w:highlight w:val="none"/>
                <w:lang w:bidi="ar"/>
              </w:rPr>
              <w:t>进</w:t>
            </w:r>
            <w:r>
              <w:rPr>
                <w:rFonts w:cs="Calibri"/>
                <w:color w:val="auto"/>
                <w:kern w:val="0"/>
                <w:highlight w:val="none"/>
                <w:lang w:bidi="ar"/>
              </w:rPr>
              <w:t>/</w:t>
            </w:r>
            <w:r>
              <w:rPr>
                <w:rFonts w:hint="eastAsia" w:ascii="宋体" w:hAnsi="宋体" w:cs="宋体"/>
                <w:color w:val="auto"/>
                <w:kern w:val="0"/>
                <w:highlight w:val="none"/>
                <w:lang w:bidi="ar"/>
              </w:rPr>
              <w:t>出口</w:t>
            </w:r>
          </w:p>
          <w:p w14:paraId="4144F37F">
            <w:pPr>
              <w:jc w:val="center"/>
              <w:rPr>
                <w:rFonts w:ascii="宋体" w:hAnsi="宋体" w:cs="宋体"/>
                <w:color w:val="auto"/>
                <w:highlight w:val="none"/>
              </w:rPr>
            </w:pPr>
            <w:r>
              <w:rPr>
                <w:rFonts w:hint="eastAsia" w:ascii="宋体" w:hAnsi="宋体" w:cs="宋体"/>
                <w:color w:val="auto"/>
                <w:kern w:val="0"/>
                <w:highlight w:val="none"/>
                <w:lang w:bidi="ar"/>
              </w:rPr>
              <w:t>饱和温度℃</w:t>
            </w:r>
          </w:p>
        </w:tc>
        <w:tc>
          <w:tcPr>
            <w:tcW w:w="1147" w:type="dxa"/>
            <w:tcBorders>
              <w:top w:val="single" w:color="auto" w:sz="4" w:space="0"/>
              <w:left w:val="single" w:color="auto" w:sz="4" w:space="0"/>
              <w:bottom w:val="single" w:color="auto" w:sz="4" w:space="0"/>
              <w:right w:val="single" w:color="auto" w:sz="4" w:space="0"/>
            </w:tcBorders>
            <w:vAlign w:val="center"/>
          </w:tcPr>
          <w:p w14:paraId="37E0003E">
            <w:pPr>
              <w:jc w:val="center"/>
              <w:rPr>
                <w:rFonts w:ascii="宋体" w:hAnsi="宋体" w:cs="宋体"/>
                <w:color w:val="auto"/>
                <w:kern w:val="0"/>
                <w:highlight w:val="none"/>
                <w:lang w:bidi="ar"/>
              </w:rPr>
            </w:pPr>
            <w:r>
              <w:rPr>
                <w:rFonts w:hint="eastAsia" w:ascii="宋体" w:hAnsi="宋体" w:cs="宋体"/>
                <w:color w:val="auto"/>
                <w:kern w:val="0"/>
                <w:highlight w:val="none"/>
                <w:lang w:bidi="ar"/>
              </w:rPr>
              <w:t>项目</w:t>
            </w:r>
          </w:p>
          <w:p w14:paraId="417F5694">
            <w:pPr>
              <w:jc w:val="center"/>
              <w:rPr>
                <w:rFonts w:ascii="宋体" w:hAnsi="宋体" w:cs="宋体"/>
                <w:color w:val="auto"/>
                <w:kern w:val="0"/>
                <w:highlight w:val="none"/>
                <w:lang w:bidi="ar"/>
              </w:rPr>
            </w:pPr>
            <w:r>
              <w:rPr>
                <w:rFonts w:hint="eastAsia" w:ascii="宋体" w:hAnsi="宋体" w:cs="宋体"/>
                <w:color w:val="auto"/>
                <w:kern w:val="0"/>
                <w:highlight w:val="none"/>
                <w:lang w:bidi="ar"/>
              </w:rPr>
              <w:t>地点</w:t>
            </w:r>
          </w:p>
        </w:tc>
        <w:tc>
          <w:tcPr>
            <w:tcW w:w="1147" w:type="dxa"/>
            <w:tcBorders>
              <w:top w:val="single" w:color="auto" w:sz="4" w:space="0"/>
              <w:left w:val="single" w:color="auto" w:sz="4" w:space="0"/>
              <w:bottom w:val="single" w:color="auto" w:sz="4" w:space="0"/>
              <w:right w:val="single" w:color="auto" w:sz="4" w:space="0"/>
            </w:tcBorders>
            <w:vAlign w:val="center"/>
          </w:tcPr>
          <w:p w14:paraId="50D2D535">
            <w:pPr>
              <w:jc w:val="center"/>
              <w:rPr>
                <w:rFonts w:ascii="宋体" w:hAnsi="宋体" w:cs="宋体"/>
                <w:color w:val="auto"/>
                <w:kern w:val="0"/>
                <w:highlight w:val="none"/>
                <w:lang w:bidi="ar"/>
              </w:rPr>
            </w:pPr>
            <w:r>
              <w:rPr>
                <w:rFonts w:hint="eastAsia" w:ascii="宋体" w:hAnsi="宋体" w:cs="宋体"/>
                <w:color w:val="auto"/>
                <w:kern w:val="0"/>
                <w:highlight w:val="none"/>
                <w:lang w:bidi="ar"/>
              </w:rPr>
              <w:t>签署日期</w:t>
            </w:r>
          </w:p>
        </w:tc>
      </w:tr>
      <w:tr w14:paraId="0CEF9517">
        <w:tblPrEx>
          <w:tblCellMar>
            <w:top w:w="0" w:type="dxa"/>
            <w:left w:w="108" w:type="dxa"/>
            <w:bottom w:w="0" w:type="dxa"/>
            <w:right w:w="108" w:type="dxa"/>
          </w:tblCellMar>
        </w:tblPrEx>
        <w:trPr>
          <w:trHeight w:val="600" w:hRule="atLeast"/>
        </w:trPr>
        <w:tc>
          <w:tcPr>
            <w:tcW w:w="687" w:type="dxa"/>
            <w:tcBorders>
              <w:top w:val="single" w:color="auto" w:sz="4" w:space="0"/>
              <w:left w:val="single" w:color="auto" w:sz="4" w:space="0"/>
              <w:bottom w:val="single" w:color="auto" w:sz="4" w:space="0"/>
              <w:right w:val="single" w:color="auto" w:sz="4" w:space="0"/>
            </w:tcBorders>
            <w:vAlign w:val="center"/>
          </w:tcPr>
          <w:p w14:paraId="50274F47">
            <w:pPr>
              <w:jc w:val="center"/>
              <w:rPr>
                <w:rFonts w:cs="Calibri"/>
                <w:color w:val="auto"/>
                <w:highlight w:val="none"/>
              </w:rPr>
            </w:pPr>
            <w:r>
              <w:rPr>
                <w:rFonts w:hint="eastAsia" w:cs="Calibri"/>
                <w:color w:val="auto"/>
                <w:kern w:val="0"/>
                <w:highlight w:val="none"/>
                <w:lang w:bidi="ar"/>
              </w:rPr>
              <w:t>1</w:t>
            </w:r>
          </w:p>
        </w:tc>
        <w:tc>
          <w:tcPr>
            <w:tcW w:w="1373" w:type="dxa"/>
            <w:tcBorders>
              <w:top w:val="single" w:color="auto" w:sz="4" w:space="0"/>
              <w:left w:val="single" w:color="auto" w:sz="4" w:space="0"/>
              <w:bottom w:val="single" w:color="auto" w:sz="4" w:space="0"/>
              <w:right w:val="single" w:color="auto" w:sz="4" w:space="0"/>
            </w:tcBorders>
            <w:vAlign w:val="center"/>
          </w:tcPr>
          <w:p w14:paraId="2DC5A424">
            <w:pPr>
              <w:jc w:val="center"/>
              <w:rPr>
                <w:rFonts w:ascii="宋体" w:hAnsi="宋体" w:cs="宋体"/>
                <w:color w:val="auto"/>
                <w:highlight w:val="none"/>
              </w:rPr>
            </w:pPr>
          </w:p>
        </w:tc>
        <w:tc>
          <w:tcPr>
            <w:tcW w:w="918" w:type="dxa"/>
            <w:tcBorders>
              <w:top w:val="single" w:color="auto" w:sz="4" w:space="0"/>
              <w:left w:val="single" w:color="auto" w:sz="4" w:space="0"/>
              <w:bottom w:val="single" w:color="auto" w:sz="4" w:space="0"/>
              <w:right w:val="single" w:color="auto" w:sz="4" w:space="0"/>
            </w:tcBorders>
            <w:vAlign w:val="center"/>
          </w:tcPr>
          <w:p w14:paraId="19278B42">
            <w:pPr>
              <w:jc w:val="center"/>
              <w:rPr>
                <w:rFonts w:ascii="宋体" w:hAnsi="宋体" w:cs="宋体"/>
                <w:color w:val="auto"/>
                <w:highlight w:val="none"/>
              </w:rPr>
            </w:pPr>
          </w:p>
        </w:tc>
        <w:tc>
          <w:tcPr>
            <w:tcW w:w="1202" w:type="dxa"/>
            <w:tcBorders>
              <w:top w:val="single" w:color="auto" w:sz="4" w:space="0"/>
              <w:left w:val="single" w:color="auto" w:sz="4" w:space="0"/>
              <w:bottom w:val="single" w:color="auto" w:sz="4" w:space="0"/>
              <w:right w:val="single" w:color="auto" w:sz="4" w:space="0"/>
            </w:tcBorders>
            <w:vAlign w:val="center"/>
          </w:tcPr>
          <w:p w14:paraId="080E7F30">
            <w:pPr>
              <w:jc w:val="center"/>
              <w:rPr>
                <w:rFonts w:cs="Calibri"/>
                <w:color w:val="auto"/>
                <w:highlight w:val="none"/>
              </w:rPr>
            </w:pPr>
          </w:p>
        </w:tc>
        <w:tc>
          <w:tcPr>
            <w:tcW w:w="1033" w:type="dxa"/>
            <w:tcBorders>
              <w:top w:val="single" w:color="auto" w:sz="4" w:space="0"/>
              <w:left w:val="single" w:color="auto" w:sz="4" w:space="0"/>
              <w:bottom w:val="single" w:color="auto" w:sz="4" w:space="0"/>
              <w:right w:val="single" w:color="auto" w:sz="4" w:space="0"/>
            </w:tcBorders>
            <w:vAlign w:val="center"/>
          </w:tcPr>
          <w:p w14:paraId="03AC1BCB">
            <w:pPr>
              <w:jc w:val="center"/>
              <w:rPr>
                <w:rFonts w:cs="Calibri"/>
                <w:color w:val="auto"/>
                <w:highlight w:val="none"/>
              </w:rPr>
            </w:pPr>
          </w:p>
        </w:tc>
        <w:tc>
          <w:tcPr>
            <w:tcW w:w="1014" w:type="dxa"/>
            <w:tcBorders>
              <w:top w:val="single" w:color="auto" w:sz="4" w:space="0"/>
              <w:left w:val="single" w:color="auto" w:sz="4" w:space="0"/>
              <w:bottom w:val="single" w:color="auto" w:sz="4" w:space="0"/>
              <w:right w:val="single" w:color="auto" w:sz="4" w:space="0"/>
            </w:tcBorders>
            <w:vAlign w:val="center"/>
          </w:tcPr>
          <w:p w14:paraId="1917CDDE">
            <w:pPr>
              <w:jc w:val="center"/>
              <w:rPr>
                <w:rFonts w:cs="Calibri"/>
                <w:color w:val="auto"/>
                <w:highlight w:val="none"/>
              </w:rPr>
            </w:pPr>
          </w:p>
        </w:tc>
        <w:tc>
          <w:tcPr>
            <w:tcW w:w="1147" w:type="dxa"/>
            <w:tcBorders>
              <w:top w:val="single" w:color="auto" w:sz="4" w:space="0"/>
              <w:left w:val="single" w:color="auto" w:sz="4" w:space="0"/>
              <w:bottom w:val="single" w:color="auto" w:sz="4" w:space="0"/>
              <w:right w:val="single" w:color="auto" w:sz="4" w:space="0"/>
            </w:tcBorders>
            <w:vAlign w:val="center"/>
          </w:tcPr>
          <w:p w14:paraId="47C0281D">
            <w:pPr>
              <w:jc w:val="center"/>
              <w:rPr>
                <w:rFonts w:cs="Calibri"/>
                <w:color w:val="auto"/>
                <w:kern w:val="0"/>
                <w:highlight w:val="none"/>
                <w:lang w:bidi="ar"/>
              </w:rPr>
            </w:pPr>
          </w:p>
        </w:tc>
        <w:tc>
          <w:tcPr>
            <w:tcW w:w="1147" w:type="dxa"/>
            <w:tcBorders>
              <w:top w:val="single" w:color="auto" w:sz="4" w:space="0"/>
              <w:left w:val="single" w:color="auto" w:sz="4" w:space="0"/>
              <w:bottom w:val="single" w:color="auto" w:sz="4" w:space="0"/>
              <w:right w:val="single" w:color="auto" w:sz="4" w:space="0"/>
            </w:tcBorders>
            <w:vAlign w:val="center"/>
          </w:tcPr>
          <w:p w14:paraId="6EBEF7A1">
            <w:pPr>
              <w:jc w:val="center"/>
              <w:rPr>
                <w:rFonts w:cs="Calibri"/>
                <w:color w:val="auto"/>
                <w:kern w:val="0"/>
                <w:highlight w:val="none"/>
                <w:lang w:bidi="ar"/>
              </w:rPr>
            </w:pPr>
          </w:p>
        </w:tc>
      </w:tr>
      <w:tr w14:paraId="43B6E37A">
        <w:tblPrEx>
          <w:tblCellMar>
            <w:top w:w="0" w:type="dxa"/>
            <w:left w:w="108" w:type="dxa"/>
            <w:bottom w:w="0" w:type="dxa"/>
            <w:right w:w="108" w:type="dxa"/>
          </w:tblCellMar>
        </w:tblPrEx>
        <w:trPr>
          <w:trHeight w:val="600" w:hRule="atLeast"/>
        </w:trPr>
        <w:tc>
          <w:tcPr>
            <w:tcW w:w="687" w:type="dxa"/>
            <w:tcBorders>
              <w:top w:val="single" w:color="auto" w:sz="4" w:space="0"/>
              <w:left w:val="single" w:color="auto" w:sz="4" w:space="0"/>
              <w:bottom w:val="single" w:color="auto" w:sz="4" w:space="0"/>
              <w:right w:val="single" w:color="auto" w:sz="4" w:space="0"/>
            </w:tcBorders>
            <w:vAlign w:val="center"/>
          </w:tcPr>
          <w:p w14:paraId="60EC0B31">
            <w:pPr>
              <w:jc w:val="center"/>
              <w:rPr>
                <w:rFonts w:cs="Calibri"/>
                <w:color w:val="auto"/>
                <w:highlight w:val="none"/>
              </w:rPr>
            </w:pPr>
            <w:r>
              <w:rPr>
                <w:rFonts w:hint="eastAsia" w:cs="Calibri"/>
                <w:color w:val="auto"/>
                <w:kern w:val="0"/>
                <w:highlight w:val="none"/>
                <w:lang w:bidi="ar"/>
              </w:rPr>
              <w:t>2</w:t>
            </w:r>
          </w:p>
        </w:tc>
        <w:tc>
          <w:tcPr>
            <w:tcW w:w="1373" w:type="dxa"/>
            <w:tcBorders>
              <w:top w:val="single" w:color="auto" w:sz="4" w:space="0"/>
              <w:left w:val="single" w:color="auto" w:sz="4" w:space="0"/>
              <w:bottom w:val="single" w:color="auto" w:sz="4" w:space="0"/>
              <w:right w:val="single" w:color="auto" w:sz="4" w:space="0"/>
            </w:tcBorders>
            <w:vAlign w:val="center"/>
          </w:tcPr>
          <w:p w14:paraId="15436E45">
            <w:pPr>
              <w:jc w:val="center"/>
              <w:rPr>
                <w:rFonts w:ascii="宋体" w:hAnsi="宋体" w:cs="宋体"/>
                <w:color w:val="auto"/>
                <w:highlight w:val="none"/>
              </w:rPr>
            </w:pPr>
          </w:p>
        </w:tc>
        <w:tc>
          <w:tcPr>
            <w:tcW w:w="918" w:type="dxa"/>
            <w:tcBorders>
              <w:top w:val="single" w:color="auto" w:sz="4" w:space="0"/>
              <w:left w:val="single" w:color="auto" w:sz="4" w:space="0"/>
              <w:bottom w:val="single" w:color="auto" w:sz="4" w:space="0"/>
              <w:right w:val="single" w:color="auto" w:sz="4" w:space="0"/>
            </w:tcBorders>
            <w:vAlign w:val="center"/>
          </w:tcPr>
          <w:p w14:paraId="3A4B9D99">
            <w:pPr>
              <w:jc w:val="center"/>
              <w:rPr>
                <w:rFonts w:ascii="宋体" w:hAnsi="宋体" w:cs="宋体"/>
                <w:color w:val="auto"/>
                <w:highlight w:val="none"/>
              </w:rPr>
            </w:pPr>
          </w:p>
        </w:tc>
        <w:tc>
          <w:tcPr>
            <w:tcW w:w="1202" w:type="dxa"/>
            <w:tcBorders>
              <w:top w:val="single" w:color="auto" w:sz="4" w:space="0"/>
              <w:left w:val="single" w:color="auto" w:sz="4" w:space="0"/>
              <w:bottom w:val="single" w:color="auto" w:sz="4" w:space="0"/>
              <w:right w:val="single" w:color="auto" w:sz="4" w:space="0"/>
            </w:tcBorders>
            <w:vAlign w:val="center"/>
          </w:tcPr>
          <w:p w14:paraId="47704393">
            <w:pPr>
              <w:jc w:val="center"/>
              <w:rPr>
                <w:rFonts w:cs="Calibri"/>
                <w:color w:val="auto"/>
                <w:highlight w:val="none"/>
              </w:rPr>
            </w:pPr>
          </w:p>
        </w:tc>
        <w:tc>
          <w:tcPr>
            <w:tcW w:w="1033" w:type="dxa"/>
            <w:tcBorders>
              <w:top w:val="single" w:color="auto" w:sz="4" w:space="0"/>
              <w:left w:val="single" w:color="auto" w:sz="4" w:space="0"/>
              <w:bottom w:val="single" w:color="auto" w:sz="4" w:space="0"/>
              <w:right w:val="single" w:color="auto" w:sz="4" w:space="0"/>
            </w:tcBorders>
            <w:vAlign w:val="center"/>
          </w:tcPr>
          <w:p w14:paraId="56345EC3">
            <w:pPr>
              <w:jc w:val="center"/>
              <w:rPr>
                <w:rFonts w:cs="Calibri"/>
                <w:color w:val="auto"/>
                <w:highlight w:val="none"/>
              </w:rPr>
            </w:pPr>
          </w:p>
        </w:tc>
        <w:tc>
          <w:tcPr>
            <w:tcW w:w="1014" w:type="dxa"/>
            <w:tcBorders>
              <w:top w:val="single" w:color="auto" w:sz="4" w:space="0"/>
              <w:left w:val="single" w:color="auto" w:sz="4" w:space="0"/>
              <w:bottom w:val="single" w:color="auto" w:sz="4" w:space="0"/>
              <w:right w:val="single" w:color="auto" w:sz="4" w:space="0"/>
            </w:tcBorders>
            <w:vAlign w:val="center"/>
          </w:tcPr>
          <w:p w14:paraId="2E075584">
            <w:pPr>
              <w:jc w:val="center"/>
              <w:rPr>
                <w:rFonts w:cs="Calibri"/>
                <w:color w:val="auto"/>
                <w:highlight w:val="none"/>
              </w:rPr>
            </w:pPr>
          </w:p>
        </w:tc>
        <w:tc>
          <w:tcPr>
            <w:tcW w:w="1147" w:type="dxa"/>
            <w:tcBorders>
              <w:top w:val="single" w:color="auto" w:sz="4" w:space="0"/>
              <w:left w:val="single" w:color="auto" w:sz="4" w:space="0"/>
              <w:bottom w:val="single" w:color="auto" w:sz="4" w:space="0"/>
              <w:right w:val="single" w:color="auto" w:sz="4" w:space="0"/>
            </w:tcBorders>
            <w:vAlign w:val="center"/>
          </w:tcPr>
          <w:p w14:paraId="095C6830">
            <w:pPr>
              <w:jc w:val="center"/>
              <w:rPr>
                <w:rFonts w:cs="Calibri"/>
                <w:color w:val="auto"/>
                <w:kern w:val="0"/>
                <w:highlight w:val="none"/>
                <w:lang w:bidi="ar"/>
              </w:rPr>
            </w:pPr>
          </w:p>
        </w:tc>
        <w:tc>
          <w:tcPr>
            <w:tcW w:w="1147" w:type="dxa"/>
            <w:tcBorders>
              <w:top w:val="single" w:color="auto" w:sz="4" w:space="0"/>
              <w:left w:val="single" w:color="auto" w:sz="4" w:space="0"/>
              <w:bottom w:val="single" w:color="auto" w:sz="4" w:space="0"/>
              <w:right w:val="single" w:color="auto" w:sz="4" w:space="0"/>
            </w:tcBorders>
            <w:vAlign w:val="center"/>
          </w:tcPr>
          <w:p w14:paraId="28C5129A">
            <w:pPr>
              <w:jc w:val="center"/>
              <w:rPr>
                <w:rFonts w:cs="Calibri"/>
                <w:color w:val="auto"/>
                <w:kern w:val="0"/>
                <w:highlight w:val="none"/>
                <w:lang w:bidi="ar"/>
              </w:rPr>
            </w:pPr>
          </w:p>
        </w:tc>
      </w:tr>
      <w:tr w14:paraId="57B0754F">
        <w:tblPrEx>
          <w:tblCellMar>
            <w:top w:w="0" w:type="dxa"/>
            <w:left w:w="108" w:type="dxa"/>
            <w:bottom w:w="0" w:type="dxa"/>
            <w:right w:w="108" w:type="dxa"/>
          </w:tblCellMar>
        </w:tblPrEx>
        <w:trPr>
          <w:trHeight w:val="600" w:hRule="atLeast"/>
        </w:trPr>
        <w:tc>
          <w:tcPr>
            <w:tcW w:w="687" w:type="dxa"/>
            <w:tcBorders>
              <w:top w:val="single" w:color="auto" w:sz="4" w:space="0"/>
              <w:left w:val="single" w:color="auto" w:sz="4" w:space="0"/>
              <w:bottom w:val="single" w:color="auto" w:sz="4" w:space="0"/>
              <w:right w:val="single" w:color="auto" w:sz="4" w:space="0"/>
            </w:tcBorders>
            <w:vAlign w:val="center"/>
          </w:tcPr>
          <w:p w14:paraId="6CE4EBC0">
            <w:pPr>
              <w:jc w:val="center"/>
              <w:rPr>
                <w:rFonts w:cs="Calibri"/>
                <w:color w:val="auto"/>
                <w:highlight w:val="none"/>
              </w:rPr>
            </w:pPr>
            <w:r>
              <w:rPr>
                <w:rFonts w:hint="eastAsia" w:cs="Calibri"/>
                <w:color w:val="auto"/>
                <w:kern w:val="0"/>
                <w:highlight w:val="none"/>
                <w:lang w:bidi="ar"/>
              </w:rPr>
              <w:t>3</w:t>
            </w:r>
          </w:p>
        </w:tc>
        <w:tc>
          <w:tcPr>
            <w:tcW w:w="1373" w:type="dxa"/>
            <w:tcBorders>
              <w:top w:val="single" w:color="auto" w:sz="4" w:space="0"/>
              <w:left w:val="single" w:color="auto" w:sz="4" w:space="0"/>
              <w:bottom w:val="single" w:color="auto" w:sz="4" w:space="0"/>
              <w:right w:val="single" w:color="auto" w:sz="4" w:space="0"/>
            </w:tcBorders>
            <w:vAlign w:val="center"/>
          </w:tcPr>
          <w:p w14:paraId="7A383D28">
            <w:pPr>
              <w:jc w:val="center"/>
              <w:rPr>
                <w:rFonts w:ascii="宋体" w:hAnsi="宋体" w:cs="宋体"/>
                <w:color w:val="auto"/>
                <w:highlight w:val="none"/>
              </w:rPr>
            </w:pPr>
          </w:p>
        </w:tc>
        <w:tc>
          <w:tcPr>
            <w:tcW w:w="918" w:type="dxa"/>
            <w:tcBorders>
              <w:top w:val="single" w:color="auto" w:sz="4" w:space="0"/>
              <w:left w:val="single" w:color="auto" w:sz="4" w:space="0"/>
              <w:bottom w:val="single" w:color="auto" w:sz="4" w:space="0"/>
              <w:right w:val="single" w:color="auto" w:sz="4" w:space="0"/>
            </w:tcBorders>
            <w:vAlign w:val="center"/>
          </w:tcPr>
          <w:p w14:paraId="3DC4D5A8">
            <w:pPr>
              <w:jc w:val="center"/>
              <w:rPr>
                <w:rFonts w:ascii="宋体" w:hAnsi="宋体" w:cs="宋体"/>
                <w:color w:val="auto"/>
                <w:highlight w:val="none"/>
              </w:rPr>
            </w:pPr>
          </w:p>
        </w:tc>
        <w:tc>
          <w:tcPr>
            <w:tcW w:w="1202" w:type="dxa"/>
            <w:tcBorders>
              <w:top w:val="single" w:color="auto" w:sz="4" w:space="0"/>
              <w:left w:val="single" w:color="auto" w:sz="4" w:space="0"/>
              <w:bottom w:val="single" w:color="auto" w:sz="4" w:space="0"/>
              <w:right w:val="single" w:color="auto" w:sz="4" w:space="0"/>
            </w:tcBorders>
            <w:vAlign w:val="center"/>
          </w:tcPr>
          <w:p w14:paraId="501560E3">
            <w:pPr>
              <w:jc w:val="center"/>
              <w:rPr>
                <w:rFonts w:cs="Calibri"/>
                <w:color w:val="auto"/>
                <w:highlight w:val="none"/>
              </w:rPr>
            </w:pPr>
          </w:p>
        </w:tc>
        <w:tc>
          <w:tcPr>
            <w:tcW w:w="1033" w:type="dxa"/>
            <w:tcBorders>
              <w:top w:val="single" w:color="auto" w:sz="4" w:space="0"/>
              <w:left w:val="single" w:color="auto" w:sz="4" w:space="0"/>
              <w:bottom w:val="single" w:color="auto" w:sz="4" w:space="0"/>
              <w:right w:val="single" w:color="auto" w:sz="4" w:space="0"/>
            </w:tcBorders>
            <w:vAlign w:val="center"/>
          </w:tcPr>
          <w:p w14:paraId="016B4EDF">
            <w:pPr>
              <w:jc w:val="center"/>
              <w:rPr>
                <w:rFonts w:cs="Calibri"/>
                <w:color w:val="auto"/>
                <w:highlight w:val="none"/>
              </w:rPr>
            </w:pPr>
          </w:p>
        </w:tc>
        <w:tc>
          <w:tcPr>
            <w:tcW w:w="1014" w:type="dxa"/>
            <w:tcBorders>
              <w:top w:val="single" w:color="auto" w:sz="4" w:space="0"/>
              <w:left w:val="single" w:color="auto" w:sz="4" w:space="0"/>
              <w:bottom w:val="single" w:color="auto" w:sz="4" w:space="0"/>
              <w:right w:val="single" w:color="auto" w:sz="4" w:space="0"/>
            </w:tcBorders>
            <w:vAlign w:val="center"/>
          </w:tcPr>
          <w:p w14:paraId="4261F986">
            <w:pPr>
              <w:jc w:val="center"/>
              <w:rPr>
                <w:rFonts w:cs="Calibri"/>
                <w:color w:val="auto"/>
                <w:highlight w:val="none"/>
              </w:rPr>
            </w:pPr>
          </w:p>
        </w:tc>
        <w:tc>
          <w:tcPr>
            <w:tcW w:w="1147" w:type="dxa"/>
            <w:tcBorders>
              <w:top w:val="single" w:color="auto" w:sz="4" w:space="0"/>
              <w:left w:val="single" w:color="auto" w:sz="4" w:space="0"/>
              <w:bottom w:val="single" w:color="auto" w:sz="4" w:space="0"/>
              <w:right w:val="single" w:color="auto" w:sz="4" w:space="0"/>
            </w:tcBorders>
            <w:vAlign w:val="center"/>
          </w:tcPr>
          <w:p w14:paraId="4C9FF608">
            <w:pPr>
              <w:jc w:val="center"/>
              <w:rPr>
                <w:rFonts w:cs="Calibri"/>
                <w:color w:val="auto"/>
                <w:kern w:val="0"/>
                <w:highlight w:val="none"/>
                <w:lang w:bidi="ar"/>
              </w:rPr>
            </w:pPr>
          </w:p>
        </w:tc>
        <w:tc>
          <w:tcPr>
            <w:tcW w:w="1147" w:type="dxa"/>
            <w:tcBorders>
              <w:top w:val="single" w:color="auto" w:sz="4" w:space="0"/>
              <w:left w:val="single" w:color="auto" w:sz="4" w:space="0"/>
              <w:bottom w:val="single" w:color="auto" w:sz="4" w:space="0"/>
              <w:right w:val="single" w:color="auto" w:sz="4" w:space="0"/>
            </w:tcBorders>
            <w:vAlign w:val="center"/>
          </w:tcPr>
          <w:p w14:paraId="2335510F">
            <w:pPr>
              <w:jc w:val="center"/>
              <w:rPr>
                <w:rFonts w:cs="Calibri"/>
                <w:color w:val="auto"/>
                <w:kern w:val="0"/>
                <w:highlight w:val="none"/>
                <w:lang w:bidi="ar"/>
              </w:rPr>
            </w:pPr>
          </w:p>
        </w:tc>
      </w:tr>
      <w:tr w14:paraId="51048C88">
        <w:tblPrEx>
          <w:tblCellMar>
            <w:top w:w="0" w:type="dxa"/>
            <w:left w:w="108" w:type="dxa"/>
            <w:bottom w:w="0" w:type="dxa"/>
            <w:right w:w="108" w:type="dxa"/>
          </w:tblCellMar>
        </w:tblPrEx>
        <w:trPr>
          <w:trHeight w:val="600" w:hRule="atLeast"/>
        </w:trPr>
        <w:tc>
          <w:tcPr>
            <w:tcW w:w="687" w:type="dxa"/>
            <w:tcBorders>
              <w:top w:val="single" w:color="auto" w:sz="4" w:space="0"/>
              <w:left w:val="single" w:color="auto" w:sz="4" w:space="0"/>
              <w:bottom w:val="single" w:color="auto" w:sz="4" w:space="0"/>
              <w:right w:val="single" w:color="auto" w:sz="4" w:space="0"/>
            </w:tcBorders>
            <w:vAlign w:val="center"/>
          </w:tcPr>
          <w:p w14:paraId="097990A4">
            <w:pPr>
              <w:jc w:val="center"/>
              <w:rPr>
                <w:rFonts w:cs="Calibri"/>
                <w:color w:val="auto"/>
                <w:highlight w:val="none"/>
              </w:rPr>
            </w:pPr>
            <w:r>
              <w:rPr>
                <w:rFonts w:hint="eastAsia" w:cs="Calibri"/>
                <w:color w:val="auto"/>
                <w:kern w:val="0"/>
                <w:highlight w:val="none"/>
                <w:lang w:bidi="ar"/>
              </w:rPr>
              <w:t>...</w:t>
            </w:r>
          </w:p>
        </w:tc>
        <w:tc>
          <w:tcPr>
            <w:tcW w:w="1373" w:type="dxa"/>
            <w:tcBorders>
              <w:top w:val="single" w:color="auto" w:sz="4" w:space="0"/>
              <w:left w:val="single" w:color="auto" w:sz="4" w:space="0"/>
              <w:bottom w:val="single" w:color="auto" w:sz="4" w:space="0"/>
              <w:right w:val="single" w:color="auto" w:sz="4" w:space="0"/>
            </w:tcBorders>
            <w:vAlign w:val="center"/>
          </w:tcPr>
          <w:p w14:paraId="091B017E">
            <w:pPr>
              <w:jc w:val="center"/>
              <w:rPr>
                <w:rFonts w:ascii="宋体" w:hAnsi="宋体" w:cs="宋体"/>
                <w:color w:val="auto"/>
                <w:highlight w:val="none"/>
              </w:rPr>
            </w:pPr>
          </w:p>
        </w:tc>
        <w:tc>
          <w:tcPr>
            <w:tcW w:w="918" w:type="dxa"/>
            <w:tcBorders>
              <w:top w:val="single" w:color="auto" w:sz="4" w:space="0"/>
              <w:left w:val="single" w:color="auto" w:sz="4" w:space="0"/>
              <w:bottom w:val="single" w:color="auto" w:sz="4" w:space="0"/>
              <w:right w:val="single" w:color="auto" w:sz="4" w:space="0"/>
            </w:tcBorders>
            <w:vAlign w:val="center"/>
          </w:tcPr>
          <w:p w14:paraId="210528F1">
            <w:pPr>
              <w:jc w:val="center"/>
              <w:rPr>
                <w:rFonts w:ascii="宋体" w:hAnsi="宋体" w:cs="宋体"/>
                <w:color w:val="auto"/>
                <w:highlight w:val="none"/>
              </w:rPr>
            </w:pPr>
          </w:p>
        </w:tc>
        <w:tc>
          <w:tcPr>
            <w:tcW w:w="1202" w:type="dxa"/>
            <w:tcBorders>
              <w:top w:val="single" w:color="auto" w:sz="4" w:space="0"/>
              <w:left w:val="single" w:color="auto" w:sz="4" w:space="0"/>
              <w:bottom w:val="single" w:color="auto" w:sz="4" w:space="0"/>
              <w:right w:val="single" w:color="auto" w:sz="4" w:space="0"/>
            </w:tcBorders>
            <w:vAlign w:val="center"/>
          </w:tcPr>
          <w:p w14:paraId="51241D5E">
            <w:pPr>
              <w:jc w:val="center"/>
              <w:rPr>
                <w:rFonts w:cs="Calibri"/>
                <w:color w:val="auto"/>
                <w:sz w:val="24"/>
                <w:highlight w:val="none"/>
              </w:rPr>
            </w:pPr>
          </w:p>
        </w:tc>
        <w:tc>
          <w:tcPr>
            <w:tcW w:w="1033" w:type="dxa"/>
            <w:tcBorders>
              <w:top w:val="single" w:color="auto" w:sz="4" w:space="0"/>
              <w:left w:val="single" w:color="auto" w:sz="4" w:space="0"/>
              <w:bottom w:val="single" w:color="auto" w:sz="4" w:space="0"/>
              <w:right w:val="single" w:color="auto" w:sz="4" w:space="0"/>
            </w:tcBorders>
            <w:vAlign w:val="center"/>
          </w:tcPr>
          <w:p w14:paraId="2674E6FD">
            <w:pPr>
              <w:jc w:val="center"/>
              <w:rPr>
                <w:rFonts w:cs="Calibri"/>
                <w:color w:val="auto"/>
                <w:highlight w:val="none"/>
              </w:rPr>
            </w:pPr>
          </w:p>
        </w:tc>
        <w:tc>
          <w:tcPr>
            <w:tcW w:w="1014" w:type="dxa"/>
            <w:tcBorders>
              <w:top w:val="single" w:color="auto" w:sz="4" w:space="0"/>
              <w:left w:val="single" w:color="auto" w:sz="4" w:space="0"/>
              <w:bottom w:val="single" w:color="auto" w:sz="4" w:space="0"/>
              <w:right w:val="single" w:color="auto" w:sz="4" w:space="0"/>
            </w:tcBorders>
            <w:vAlign w:val="center"/>
          </w:tcPr>
          <w:p w14:paraId="09E49B0C">
            <w:pPr>
              <w:jc w:val="center"/>
              <w:rPr>
                <w:rFonts w:cs="Calibri"/>
                <w:color w:val="auto"/>
                <w:highlight w:val="none"/>
              </w:rPr>
            </w:pPr>
          </w:p>
        </w:tc>
        <w:tc>
          <w:tcPr>
            <w:tcW w:w="1147" w:type="dxa"/>
            <w:tcBorders>
              <w:top w:val="single" w:color="auto" w:sz="4" w:space="0"/>
              <w:left w:val="single" w:color="auto" w:sz="4" w:space="0"/>
              <w:bottom w:val="single" w:color="auto" w:sz="4" w:space="0"/>
              <w:right w:val="single" w:color="auto" w:sz="4" w:space="0"/>
            </w:tcBorders>
            <w:vAlign w:val="center"/>
          </w:tcPr>
          <w:p w14:paraId="77CF7E8F">
            <w:pPr>
              <w:jc w:val="center"/>
              <w:rPr>
                <w:rFonts w:cs="Calibri"/>
                <w:color w:val="auto"/>
                <w:kern w:val="0"/>
                <w:highlight w:val="none"/>
                <w:lang w:bidi="ar"/>
              </w:rPr>
            </w:pPr>
          </w:p>
        </w:tc>
        <w:tc>
          <w:tcPr>
            <w:tcW w:w="1147" w:type="dxa"/>
            <w:tcBorders>
              <w:top w:val="single" w:color="auto" w:sz="4" w:space="0"/>
              <w:left w:val="single" w:color="auto" w:sz="4" w:space="0"/>
              <w:bottom w:val="single" w:color="auto" w:sz="4" w:space="0"/>
              <w:right w:val="single" w:color="auto" w:sz="4" w:space="0"/>
            </w:tcBorders>
            <w:vAlign w:val="center"/>
          </w:tcPr>
          <w:p w14:paraId="71FB5D0F">
            <w:pPr>
              <w:jc w:val="center"/>
              <w:rPr>
                <w:rFonts w:cs="Calibri"/>
                <w:color w:val="auto"/>
                <w:kern w:val="0"/>
                <w:highlight w:val="none"/>
                <w:lang w:bidi="ar"/>
              </w:rPr>
            </w:pPr>
          </w:p>
        </w:tc>
      </w:tr>
    </w:tbl>
    <w:p w14:paraId="618AA4B4">
      <w:pPr>
        <w:spacing w:before="78" w:line="350" w:lineRule="auto"/>
        <w:ind w:right="173"/>
        <w:rPr>
          <w:color w:val="auto"/>
          <w:highlight w:val="none"/>
        </w:rPr>
      </w:pPr>
    </w:p>
    <w:p w14:paraId="1B375298">
      <w:pPr>
        <w:spacing w:before="78" w:line="350" w:lineRule="auto"/>
        <w:ind w:right="173"/>
        <w:rPr>
          <w:color w:val="auto"/>
          <w:highlight w:val="none"/>
        </w:rPr>
      </w:pPr>
      <w:r>
        <w:rPr>
          <w:rFonts w:hint="eastAsia"/>
          <w:color w:val="auto"/>
          <w:highlight w:val="none"/>
        </w:rPr>
        <w:t>注：1、投标人须在本表后提供能证明业绩的合同复印件，内容至少包括项目名称、合同签订时间、压缩机参数、供货范围以及签章页。若不能体现上述要求，须同时提供合同配套的技术协议或数据表复印件。</w:t>
      </w:r>
    </w:p>
    <w:p w14:paraId="5B268405">
      <w:pPr>
        <w:spacing w:before="78" w:line="350" w:lineRule="auto"/>
        <w:ind w:right="173" w:firstLine="420" w:firstLineChars="200"/>
        <w:rPr>
          <w:color w:val="auto"/>
          <w:highlight w:val="none"/>
        </w:rPr>
      </w:pPr>
      <w:r>
        <w:rPr>
          <w:rFonts w:hint="eastAsia"/>
          <w:color w:val="auto"/>
          <w:highlight w:val="none"/>
        </w:rPr>
        <w:t>2、若投标文件提供的业绩证明材料不满足上述要求，则视为无效业绩。</w:t>
      </w:r>
    </w:p>
    <w:p w14:paraId="567C84E9">
      <w:pPr>
        <w:pStyle w:val="5"/>
        <w:tabs>
          <w:tab w:val="right" w:leader="dot" w:pos="8295"/>
        </w:tabs>
        <w:jc w:val="center"/>
        <w:rPr>
          <w:rFonts w:ascii="宋体" w:eastAsia="宋体"/>
          <w:b w:val="0"/>
          <w:color w:val="auto"/>
          <w:highlight w:val="none"/>
        </w:rPr>
      </w:pPr>
    </w:p>
    <w:p w14:paraId="392BE592">
      <w:pPr>
        <w:tabs>
          <w:tab w:val="right" w:leader="dot" w:pos="8295"/>
        </w:tabs>
        <w:jc w:val="center"/>
        <w:rPr>
          <w:color w:val="auto"/>
          <w:highlight w:val="none"/>
        </w:rPr>
      </w:pPr>
    </w:p>
    <w:p w14:paraId="11A974C7">
      <w:pPr>
        <w:tabs>
          <w:tab w:val="right" w:leader="dot" w:pos="8295"/>
        </w:tabs>
        <w:jc w:val="center"/>
        <w:rPr>
          <w:color w:val="auto"/>
          <w:highlight w:val="none"/>
        </w:rPr>
      </w:pPr>
    </w:p>
    <w:p w14:paraId="62D0CCAC">
      <w:pPr>
        <w:tabs>
          <w:tab w:val="right" w:leader="dot" w:pos="8295"/>
        </w:tabs>
        <w:jc w:val="center"/>
        <w:rPr>
          <w:color w:val="auto"/>
          <w:highlight w:val="none"/>
        </w:rPr>
      </w:pPr>
    </w:p>
    <w:p w14:paraId="69F01DD8">
      <w:pPr>
        <w:tabs>
          <w:tab w:val="right" w:leader="dot" w:pos="8295"/>
        </w:tabs>
        <w:jc w:val="center"/>
        <w:rPr>
          <w:color w:val="auto"/>
          <w:highlight w:val="none"/>
        </w:rPr>
      </w:pPr>
    </w:p>
    <w:p w14:paraId="44F0ADDE">
      <w:pPr>
        <w:tabs>
          <w:tab w:val="right" w:leader="dot" w:pos="8295"/>
        </w:tabs>
        <w:jc w:val="center"/>
        <w:rPr>
          <w:color w:val="auto"/>
          <w:highlight w:val="none"/>
        </w:rPr>
      </w:pPr>
    </w:p>
    <w:p w14:paraId="497AEC52">
      <w:pPr>
        <w:tabs>
          <w:tab w:val="right" w:leader="dot" w:pos="8295"/>
        </w:tabs>
        <w:jc w:val="center"/>
        <w:rPr>
          <w:color w:val="auto"/>
          <w:highlight w:val="none"/>
        </w:rPr>
      </w:pPr>
    </w:p>
    <w:p w14:paraId="34827E03">
      <w:pPr>
        <w:tabs>
          <w:tab w:val="right" w:leader="dot" w:pos="8295"/>
        </w:tabs>
        <w:jc w:val="center"/>
        <w:rPr>
          <w:color w:val="auto"/>
          <w:highlight w:val="none"/>
        </w:rPr>
      </w:pPr>
    </w:p>
    <w:p w14:paraId="3B5AA383">
      <w:pPr>
        <w:tabs>
          <w:tab w:val="right" w:leader="dot" w:pos="8295"/>
        </w:tabs>
        <w:jc w:val="center"/>
        <w:rPr>
          <w:color w:val="auto"/>
          <w:highlight w:val="none"/>
        </w:rPr>
      </w:pPr>
    </w:p>
    <w:p w14:paraId="5D5D930B">
      <w:pPr>
        <w:tabs>
          <w:tab w:val="right" w:leader="dot" w:pos="8295"/>
        </w:tabs>
        <w:jc w:val="center"/>
        <w:rPr>
          <w:color w:val="auto"/>
          <w:highlight w:val="none"/>
        </w:rPr>
      </w:pPr>
    </w:p>
    <w:p w14:paraId="099EE2F6">
      <w:pPr>
        <w:tabs>
          <w:tab w:val="right" w:leader="dot" w:pos="8295"/>
        </w:tabs>
        <w:jc w:val="center"/>
        <w:rPr>
          <w:color w:val="auto"/>
          <w:highlight w:val="none"/>
        </w:rPr>
      </w:pPr>
    </w:p>
    <w:p w14:paraId="5DE1ACD6">
      <w:pPr>
        <w:tabs>
          <w:tab w:val="right" w:leader="dot" w:pos="8295"/>
        </w:tabs>
        <w:jc w:val="center"/>
        <w:rPr>
          <w:color w:val="auto"/>
          <w:highlight w:val="none"/>
        </w:rPr>
      </w:pPr>
    </w:p>
    <w:p w14:paraId="7E2D07EE">
      <w:pPr>
        <w:tabs>
          <w:tab w:val="right" w:leader="dot" w:pos="8295"/>
        </w:tabs>
        <w:jc w:val="center"/>
        <w:rPr>
          <w:color w:val="auto"/>
          <w:highlight w:val="none"/>
        </w:rPr>
      </w:pPr>
    </w:p>
    <w:p w14:paraId="4E2969CD">
      <w:pPr>
        <w:tabs>
          <w:tab w:val="right" w:leader="dot" w:pos="8295"/>
        </w:tabs>
        <w:jc w:val="center"/>
        <w:rPr>
          <w:color w:val="auto"/>
          <w:highlight w:val="none"/>
        </w:rPr>
      </w:pPr>
    </w:p>
    <w:p w14:paraId="19BBB198">
      <w:pPr>
        <w:tabs>
          <w:tab w:val="right" w:leader="dot" w:pos="8295"/>
        </w:tabs>
        <w:jc w:val="center"/>
        <w:rPr>
          <w:color w:val="auto"/>
          <w:highlight w:val="none"/>
        </w:rPr>
      </w:pPr>
    </w:p>
    <w:p w14:paraId="0B9E0899">
      <w:pPr>
        <w:tabs>
          <w:tab w:val="right" w:leader="dot" w:pos="8295"/>
        </w:tabs>
        <w:jc w:val="center"/>
        <w:rPr>
          <w:color w:val="auto"/>
          <w:highlight w:val="none"/>
        </w:rPr>
      </w:pPr>
    </w:p>
    <w:p w14:paraId="5E4B3635">
      <w:pPr>
        <w:tabs>
          <w:tab w:val="right" w:leader="dot" w:pos="8295"/>
        </w:tabs>
        <w:jc w:val="center"/>
        <w:rPr>
          <w:color w:val="auto"/>
          <w:highlight w:val="none"/>
        </w:rPr>
      </w:pPr>
    </w:p>
    <w:p w14:paraId="3FBF36FA">
      <w:pPr>
        <w:tabs>
          <w:tab w:val="right" w:leader="dot" w:pos="8295"/>
        </w:tabs>
        <w:jc w:val="center"/>
        <w:rPr>
          <w:color w:val="auto"/>
          <w:highlight w:val="none"/>
        </w:rPr>
      </w:pPr>
    </w:p>
    <w:p w14:paraId="5AB905EE">
      <w:pPr>
        <w:tabs>
          <w:tab w:val="right" w:leader="dot" w:pos="8295"/>
        </w:tabs>
        <w:jc w:val="center"/>
        <w:rPr>
          <w:color w:val="auto"/>
          <w:highlight w:val="none"/>
        </w:rPr>
      </w:pPr>
    </w:p>
    <w:p w14:paraId="5ED7E99A">
      <w:pPr>
        <w:tabs>
          <w:tab w:val="right" w:leader="dot" w:pos="8295"/>
        </w:tabs>
        <w:jc w:val="center"/>
        <w:rPr>
          <w:color w:val="auto"/>
          <w:highlight w:val="none"/>
        </w:rPr>
      </w:pPr>
    </w:p>
    <w:p w14:paraId="462262A1">
      <w:pPr>
        <w:tabs>
          <w:tab w:val="right" w:leader="dot" w:pos="8295"/>
        </w:tabs>
        <w:jc w:val="center"/>
        <w:rPr>
          <w:color w:val="auto"/>
          <w:highlight w:val="none"/>
        </w:rPr>
      </w:pPr>
    </w:p>
    <w:p w14:paraId="76DFBFD5">
      <w:pPr>
        <w:tabs>
          <w:tab w:val="right" w:leader="dot" w:pos="8295"/>
        </w:tabs>
        <w:jc w:val="center"/>
        <w:rPr>
          <w:color w:val="auto"/>
          <w:highlight w:val="none"/>
        </w:rPr>
      </w:pPr>
    </w:p>
    <w:p w14:paraId="502088E2">
      <w:pPr>
        <w:tabs>
          <w:tab w:val="right" w:leader="dot" w:pos="8295"/>
        </w:tabs>
        <w:jc w:val="center"/>
        <w:rPr>
          <w:color w:val="auto"/>
          <w:highlight w:val="none"/>
        </w:rPr>
      </w:pPr>
    </w:p>
    <w:p w14:paraId="0DDC305E">
      <w:pPr>
        <w:tabs>
          <w:tab w:val="right" w:leader="dot" w:pos="8295"/>
        </w:tabs>
        <w:jc w:val="center"/>
        <w:rPr>
          <w:color w:val="auto"/>
          <w:highlight w:val="none"/>
        </w:rPr>
      </w:pPr>
    </w:p>
    <w:p w14:paraId="185B0A08">
      <w:pPr>
        <w:tabs>
          <w:tab w:val="right" w:leader="dot" w:pos="8295"/>
        </w:tabs>
        <w:jc w:val="center"/>
        <w:rPr>
          <w:color w:val="auto"/>
          <w:highlight w:val="none"/>
        </w:rPr>
      </w:pPr>
    </w:p>
    <w:p w14:paraId="43D92039">
      <w:pPr>
        <w:tabs>
          <w:tab w:val="right" w:leader="dot" w:pos="8295"/>
        </w:tabs>
        <w:jc w:val="center"/>
        <w:rPr>
          <w:color w:val="auto"/>
          <w:highlight w:val="none"/>
        </w:rPr>
      </w:pPr>
    </w:p>
    <w:p w14:paraId="30551C90">
      <w:pPr>
        <w:tabs>
          <w:tab w:val="right" w:leader="dot" w:pos="8295"/>
        </w:tabs>
        <w:jc w:val="center"/>
        <w:rPr>
          <w:color w:val="auto"/>
          <w:highlight w:val="none"/>
        </w:rPr>
      </w:pPr>
    </w:p>
    <w:p w14:paraId="7900F0F1">
      <w:pPr>
        <w:tabs>
          <w:tab w:val="right" w:leader="dot" w:pos="8295"/>
        </w:tabs>
        <w:jc w:val="center"/>
        <w:rPr>
          <w:color w:val="auto"/>
          <w:highlight w:val="none"/>
        </w:rPr>
      </w:pPr>
    </w:p>
    <w:p w14:paraId="2EC6D0B6">
      <w:pPr>
        <w:tabs>
          <w:tab w:val="right" w:leader="dot" w:pos="8295"/>
        </w:tabs>
        <w:jc w:val="center"/>
        <w:rPr>
          <w:color w:val="auto"/>
          <w:highlight w:val="none"/>
        </w:rPr>
      </w:pPr>
    </w:p>
    <w:p w14:paraId="4B92603D">
      <w:pPr>
        <w:tabs>
          <w:tab w:val="right" w:leader="dot" w:pos="8295"/>
        </w:tabs>
        <w:jc w:val="center"/>
        <w:rPr>
          <w:color w:val="auto"/>
          <w:highlight w:val="none"/>
        </w:rPr>
      </w:pPr>
    </w:p>
    <w:p w14:paraId="1DA88164">
      <w:pPr>
        <w:spacing w:before="78" w:line="350" w:lineRule="auto"/>
        <w:ind w:right="173"/>
        <w:jc w:val="center"/>
        <w:outlineLvl w:val="2"/>
        <w:rPr>
          <w:rFonts w:ascii="宋体" w:hAnsi="宋体" w:cs="宋体"/>
          <w:b/>
          <w:bCs/>
          <w:color w:val="auto"/>
          <w:spacing w:val="-6"/>
          <w:sz w:val="28"/>
          <w:szCs w:val="28"/>
          <w:highlight w:val="none"/>
        </w:rPr>
      </w:pPr>
      <w:r>
        <w:rPr>
          <w:rFonts w:ascii="宋体" w:hAnsi="宋体" w:cs="宋体"/>
          <w:b/>
          <w:bCs/>
          <w:color w:val="auto"/>
          <w:spacing w:val="-6"/>
          <w:sz w:val="28"/>
          <w:szCs w:val="28"/>
          <w:highlight w:val="none"/>
        </w:rPr>
        <w:t>七、近年财务状况表</w:t>
      </w:r>
    </w:p>
    <w:p w14:paraId="4AD94D6D">
      <w:pPr>
        <w:spacing w:before="78" w:line="350" w:lineRule="auto"/>
        <w:ind w:right="173" w:firstLine="536" w:firstLineChars="200"/>
        <w:rPr>
          <w:rFonts w:ascii="宋体" w:hAnsi="宋体" w:cs="宋体"/>
          <w:color w:val="auto"/>
          <w:spacing w:val="-6"/>
          <w:sz w:val="28"/>
          <w:szCs w:val="28"/>
          <w:highlight w:val="none"/>
        </w:rPr>
      </w:pPr>
      <w:r>
        <w:rPr>
          <w:rFonts w:hint="eastAsia" w:ascii="宋体" w:hAnsi="宋体" w:cs="宋体"/>
          <w:color w:val="auto"/>
          <w:spacing w:val="-6"/>
          <w:sz w:val="28"/>
          <w:szCs w:val="28"/>
          <w:highlight w:val="none"/>
        </w:rPr>
        <w:t>投标人提供近三年经专业审计完成的审计报告，至少包含现金流表、资产负债表、利润表等内容。</w:t>
      </w:r>
    </w:p>
    <w:p w14:paraId="30107EA7">
      <w:pPr>
        <w:pStyle w:val="3"/>
        <w:tabs>
          <w:tab w:val="right" w:leader="dot" w:pos="8295"/>
        </w:tabs>
        <w:jc w:val="center"/>
        <w:rPr>
          <w:rFonts w:ascii="宋体" w:eastAsia="宋体"/>
          <w:b w:val="0"/>
          <w:color w:val="auto"/>
          <w:sz w:val="28"/>
          <w:szCs w:val="28"/>
          <w:highlight w:val="none"/>
        </w:rPr>
      </w:pPr>
    </w:p>
    <w:p w14:paraId="33B932F4">
      <w:pPr>
        <w:pStyle w:val="3"/>
        <w:tabs>
          <w:tab w:val="right" w:leader="dot" w:pos="8295"/>
        </w:tabs>
        <w:jc w:val="center"/>
        <w:rPr>
          <w:rFonts w:ascii="宋体" w:eastAsia="宋体"/>
          <w:b w:val="0"/>
          <w:color w:val="auto"/>
          <w:sz w:val="28"/>
          <w:szCs w:val="28"/>
          <w:highlight w:val="none"/>
        </w:rPr>
      </w:pPr>
    </w:p>
    <w:p w14:paraId="5D0A3C99">
      <w:pPr>
        <w:pStyle w:val="3"/>
        <w:tabs>
          <w:tab w:val="right" w:leader="dot" w:pos="8295"/>
        </w:tabs>
        <w:jc w:val="center"/>
        <w:rPr>
          <w:rFonts w:ascii="宋体" w:eastAsia="宋体"/>
          <w:b w:val="0"/>
          <w:color w:val="auto"/>
          <w:sz w:val="28"/>
          <w:szCs w:val="28"/>
          <w:highlight w:val="none"/>
        </w:rPr>
      </w:pPr>
    </w:p>
    <w:p w14:paraId="2A280FD9">
      <w:pPr>
        <w:pStyle w:val="3"/>
        <w:tabs>
          <w:tab w:val="right" w:leader="dot" w:pos="8295"/>
        </w:tabs>
        <w:jc w:val="center"/>
        <w:rPr>
          <w:rFonts w:ascii="宋体" w:eastAsia="宋体"/>
          <w:b w:val="0"/>
          <w:color w:val="auto"/>
          <w:sz w:val="28"/>
          <w:szCs w:val="28"/>
          <w:highlight w:val="none"/>
        </w:rPr>
      </w:pPr>
    </w:p>
    <w:p w14:paraId="5D405450">
      <w:pPr>
        <w:pStyle w:val="3"/>
        <w:tabs>
          <w:tab w:val="right" w:leader="dot" w:pos="8295"/>
        </w:tabs>
        <w:jc w:val="center"/>
        <w:rPr>
          <w:rFonts w:ascii="宋体" w:eastAsia="宋体"/>
          <w:b w:val="0"/>
          <w:color w:val="auto"/>
          <w:sz w:val="28"/>
          <w:szCs w:val="28"/>
          <w:highlight w:val="none"/>
        </w:rPr>
      </w:pPr>
    </w:p>
    <w:p w14:paraId="35D733B6">
      <w:pPr>
        <w:pStyle w:val="3"/>
        <w:tabs>
          <w:tab w:val="right" w:leader="dot" w:pos="8295"/>
        </w:tabs>
        <w:jc w:val="center"/>
        <w:rPr>
          <w:rFonts w:ascii="宋体" w:eastAsia="宋体"/>
          <w:b w:val="0"/>
          <w:color w:val="auto"/>
          <w:sz w:val="28"/>
          <w:szCs w:val="28"/>
          <w:highlight w:val="none"/>
        </w:rPr>
      </w:pPr>
    </w:p>
    <w:p w14:paraId="519B85C1">
      <w:pPr>
        <w:pStyle w:val="3"/>
        <w:tabs>
          <w:tab w:val="right" w:leader="dot" w:pos="8295"/>
        </w:tabs>
        <w:jc w:val="center"/>
        <w:rPr>
          <w:rFonts w:ascii="宋体" w:eastAsia="宋体"/>
          <w:b w:val="0"/>
          <w:color w:val="auto"/>
          <w:sz w:val="28"/>
          <w:szCs w:val="28"/>
          <w:highlight w:val="none"/>
        </w:rPr>
      </w:pPr>
    </w:p>
    <w:p w14:paraId="5BF4159D">
      <w:pPr>
        <w:pStyle w:val="3"/>
        <w:tabs>
          <w:tab w:val="right" w:leader="dot" w:pos="8295"/>
        </w:tabs>
        <w:jc w:val="center"/>
        <w:rPr>
          <w:rFonts w:ascii="宋体" w:eastAsia="宋体"/>
          <w:b w:val="0"/>
          <w:color w:val="auto"/>
          <w:sz w:val="28"/>
          <w:szCs w:val="28"/>
          <w:highlight w:val="none"/>
        </w:rPr>
      </w:pPr>
    </w:p>
    <w:p w14:paraId="5A0BE214">
      <w:pPr>
        <w:pStyle w:val="3"/>
        <w:tabs>
          <w:tab w:val="right" w:leader="dot" w:pos="8295"/>
        </w:tabs>
        <w:jc w:val="center"/>
        <w:rPr>
          <w:rFonts w:ascii="宋体" w:eastAsia="宋体"/>
          <w:b w:val="0"/>
          <w:color w:val="auto"/>
          <w:sz w:val="28"/>
          <w:szCs w:val="28"/>
          <w:highlight w:val="none"/>
        </w:rPr>
      </w:pPr>
    </w:p>
    <w:p w14:paraId="362D04D0">
      <w:pPr>
        <w:pStyle w:val="3"/>
        <w:tabs>
          <w:tab w:val="right" w:leader="dot" w:pos="8295"/>
        </w:tabs>
        <w:jc w:val="center"/>
        <w:rPr>
          <w:rFonts w:ascii="宋体" w:eastAsia="宋体"/>
          <w:b w:val="0"/>
          <w:color w:val="auto"/>
          <w:sz w:val="28"/>
          <w:szCs w:val="28"/>
          <w:highlight w:val="none"/>
        </w:rPr>
      </w:pPr>
    </w:p>
    <w:p w14:paraId="78BF480F">
      <w:pPr>
        <w:pStyle w:val="3"/>
        <w:tabs>
          <w:tab w:val="right" w:leader="dot" w:pos="8295"/>
        </w:tabs>
        <w:jc w:val="center"/>
        <w:rPr>
          <w:rFonts w:ascii="宋体" w:eastAsia="宋体"/>
          <w:b w:val="0"/>
          <w:color w:val="auto"/>
          <w:sz w:val="28"/>
          <w:szCs w:val="28"/>
          <w:highlight w:val="none"/>
        </w:rPr>
      </w:pPr>
    </w:p>
    <w:p w14:paraId="1F542900">
      <w:pPr>
        <w:pStyle w:val="3"/>
        <w:tabs>
          <w:tab w:val="right" w:leader="dot" w:pos="8295"/>
        </w:tabs>
        <w:jc w:val="center"/>
        <w:rPr>
          <w:rFonts w:ascii="宋体" w:eastAsia="宋体"/>
          <w:b w:val="0"/>
          <w:color w:val="auto"/>
          <w:sz w:val="28"/>
          <w:szCs w:val="28"/>
          <w:highlight w:val="none"/>
        </w:rPr>
      </w:pPr>
    </w:p>
    <w:p w14:paraId="598D2948">
      <w:pPr>
        <w:pStyle w:val="3"/>
        <w:tabs>
          <w:tab w:val="right" w:leader="dot" w:pos="8295"/>
        </w:tabs>
        <w:jc w:val="center"/>
        <w:rPr>
          <w:rFonts w:ascii="宋体" w:eastAsia="宋体"/>
          <w:b w:val="0"/>
          <w:color w:val="auto"/>
          <w:sz w:val="28"/>
          <w:szCs w:val="28"/>
          <w:highlight w:val="none"/>
        </w:rPr>
      </w:pPr>
    </w:p>
    <w:p w14:paraId="136C3C9C">
      <w:pPr>
        <w:pStyle w:val="3"/>
        <w:tabs>
          <w:tab w:val="right" w:leader="dot" w:pos="8295"/>
        </w:tabs>
        <w:jc w:val="center"/>
        <w:rPr>
          <w:rFonts w:ascii="宋体" w:eastAsia="宋体"/>
          <w:b w:val="0"/>
          <w:color w:val="auto"/>
          <w:sz w:val="28"/>
          <w:szCs w:val="28"/>
          <w:highlight w:val="none"/>
        </w:rPr>
      </w:pPr>
    </w:p>
    <w:p w14:paraId="146F94E5">
      <w:pPr>
        <w:pStyle w:val="3"/>
        <w:tabs>
          <w:tab w:val="right" w:leader="dot" w:pos="8295"/>
        </w:tabs>
        <w:jc w:val="center"/>
        <w:rPr>
          <w:rFonts w:ascii="宋体" w:eastAsia="宋体"/>
          <w:b w:val="0"/>
          <w:color w:val="auto"/>
          <w:sz w:val="28"/>
          <w:szCs w:val="28"/>
          <w:highlight w:val="none"/>
        </w:rPr>
      </w:pPr>
    </w:p>
    <w:p w14:paraId="4D973010">
      <w:pPr>
        <w:pStyle w:val="3"/>
        <w:tabs>
          <w:tab w:val="right" w:leader="dot" w:pos="8295"/>
        </w:tabs>
        <w:jc w:val="center"/>
        <w:rPr>
          <w:rFonts w:ascii="宋体" w:eastAsia="宋体"/>
          <w:b w:val="0"/>
          <w:color w:val="auto"/>
          <w:sz w:val="28"/>
          <w:szCs w:val="28"/>
          <w:highlight w:val="none"/>
        </w:rPr>
      </w:pPr>
    </w:p>
    <w:p w14:paraId="55A3D86F">
      <w:pPr>
        <w:pStyle w:val="3"/>
        <w:tabs>
          <w:tab w:val="right" w:leader="dot" w:pos="8295"/>
        </w:tabs>
        <w:jc w:val="center"/>
        <w:rPr>
          <w:rFonts w:ascii="宋体" w:eastAsia="宋体"/>
          <w:b w:val="0"/>
          <w:color w:val="auto"/>
          <w:sz w:val="28"/>
          <w:szCs w:val="28"/>
          <w:highlight w:val="none"/>
        </w:rPr>
      </w:pPr>
    </w:p>
    <w:p w14:paraId="31C849BE">
      <w:pPr>
        <w:pStyle w:val="3"/>
        <w:tabs>
          <w:tab w:val="right" w:leader="dot" w:pos="8295"/>
        </w:tabs>
        <w:jc w:val="center"/>
        <w:rPr>
          <w:rFonts w:ascii="宋体" w:eastAsia="宋体"/>
          <w:b w:val="0"/>
          <w:color w:val="auto"/>
          <w:sz w:val="28"/>
          <w:szCs w:val="28"/>
          <w:highlight w:val="none"/>
        </w:rPr>
      </w:pPr>
    </w:p>
    <w:p w14:paraId="29080040">
      <w:pPr>
        <w:pStyle w:val="3"/>
        <w:tabs>
          <w:tab w:val="right" w:leader="dot" w:pos="8295"/>
        </w:tabs>
        <w:jc w:val="center"/>
        <w:rPr>
          <w:rFonts w:ascii="宋体" w:eastAsia="宋体"/>
          <w:b w:val="0"/>
          <w:color w:val="auto"/>
          <w:sz w:val="28"/>
          <w:szCs w:val="28"/>
          <w:highlight w:val="none"/>
        </w:rPr>
      </w:pPr>
    </w:p>
    <w:p w14:paraId="41BDA49C">
      <w:pPr>
        <w:pStyle w:val="3"/>
        <w:tabs>
          <w:tab w:val="right" w:leader="dot" w:pos="8295"/>
        </w:tabs>
        <w:jc w:val="center"/>
        <w:rPr>
          <w:rFonts w:ascii="宋体" w:eastAsia="宋体"/>
          <w:b w:val="0"/>
          <w:color w:val="auto"/>
          <w:sz w:val="28"/>
          <w:szCs w:val="28"/>
          <w:highlight w:val="none"/>
        </w:rPr>
      </w:pPr>
    </w:p>
    <w:p w14:paraId="282D31DC">
      <w:pPr>
        <w:pStyle w:val="3"/>
        <w:tabs>
          <w:tab w:val="right" w:leader="dot" w:pos="8295"/>
        </w:tabs>
        <w:jc w:val="center"/>
        <w:rPr>
          <w:rFonts w:ascii="宋体" w:eastAsia="宋体"/>
          <w:b w:val="0"/>
          <w:color w:val="auto"/>
          <w:sz w:val="28"/>
          <w:szCs w:val="28"/>
          <w:highlight w:val="none"/>
        </w:rPr>
      </w:pPr>
    </w:p>
    <w:p w14:paraId="5B9C3D25">
      <w:pPr>
        <w:pStyle w:val="3"/>
        <w:tabs>
          <w:tab w:val="right" w:leader="dot" w:pos="8295"/>
        </w:tabs>
        <w:jc w:val="center"/>
        <w:rPr>
          <w:rFonts w:ascii="宋体" w:eastAsia="宋体"/>
          <w:b w:val="0"/>
          <w:color w:val="auto"/>
          <w:sz w:val="28"/>
          <w:szCs w:val="28"/>
          <w:highlight w:val="none"/>
        </w:rPr>
      </w:pPr>
    </w:p>
    <w:p w14:paraId="17E63392">
      <w:pPr>
        <w:pStyle w:val="3"/>
        <w:tabs>
          <w:tab w:val="right" w:leader="dot" w:pos="8295"/>
        </w:tabs>
        <w:jc w:val="center"/>
        <w:rPr>
          <w:rFonts w:ascii="宋体" w:eastAsia="宋体"/>
          <w:b w:val="0"/>
          <w:color w:val="auto"/>
          <w:sz w:val="28"/>
          <w:szCs w:val="28"/>
          <w:highlight w:val="none"/>
        </w:rPr>
      </w:pPr>
    </w:p>
    <w:p w14:paraId="7955E634">
      <w:pPr>
        <w:pStyle w:val="3"/>
        <w:tabs>
          <w:tab w:val="right" w:leader="dot" w:pos="8295"/>
        </w:tabs>
        <w:jc w:val="center"/>
        <w:rPr>
          <w:rFonts w:ascii="宋体" w:eastAsia="宋体"/>
          <w:b w:val="0"/>
          <w:color w:val="auto"/>
          <w:sz w:val="28"/>
          <w:szCs w:val="28"/>
          <w:highlight w:val="none"/>
        </w:rPr>
      </w:pPr>
    </w:p>
    <w:p w14:paraId="0DD862A0">
      <w:pPr>
        <w:pStyle w:val="3"/>
        <w:tabs>
          <w:tab w:val="right" w:leader="dot" w:pos="8295"/>
        </w:tabs>
        <w:jc w:val="center"/>
        <w:rPr>
          <w:rFonts w:ascii="宋体" w:eastAsia="宋体"/>
          <w:b w:val="0"/>
          <w:color w:val="auto"/>
          <w:sz w:val="28"/>
          <w:szCs w:val="28"/>
          <w:highlight w:val="none"/>
        </w:rPr>
      </w:pPr>
    </w:p>
    <w:p w14:paraId="6496001F">
      <w:pPr>
        <w:pStyle w:val="3"/>
        <w:tabs>
          <w:tab w:val="right" w:leader="dot" w:pos="8295"/>
        </w:tabs>
        <w:jc w:val="center"/>
        <w:rPr>
          <w:rFonts w:ascii="宋体" w:eastAsia="宋体"/>
          <w:b w:val="0"/>
          <w:color w:val="auto"/>
          <w:sz w:val="28"/>
          <w:szCs w:val="28"/>
          <w:highlight w:val="none"/>
        </w:rPr>
      </w:pPr>
    </w:p>
    <w:p w14:paraId="0E2305AB">
      <w:pPr>
        <w:tabs>
          <w:tab w:val="right" w:leader="dot" w:pos="8295"/>
        </w:tabs>
        <w:jc w:val="center"/>
        <w:rPr>
          <w:color w:val="auto"/>
          <w:szCs w:val="28"/>
          <w:highlight w:val="none"/>
        </w:rPr>
      </w:pPr>
    </w:p>
    <w:p w14:paraId="4BC8BE97">
      <w:pPr>
        <w:pStyle w:val="3"/>
        <w:tabs>
          <w:tab w:val="right" w:leader="dot" w:pos="8295"/>
        </w:tabs>
        <w:jc w:val="center"/>
        <w:rPr>
          <w:rFonts w:ascii="宋体" w:eastAsia="宋体"/>
          <w:b w:val="0"/>
          <w:color w:val="auto"/>
          <w:sz w:val="28"/>
          <w:szCs w:val="28"/>
          <w:highlight w:val="none"/>
        </w:rPr>
      </w:pPr>
    </w:p>
    <w:p w14:paraId="475D92B0">
      <w:pPr>
        <w:pStyle w:val="3"/>
        <w:tabs>
          <w:tab w:val="right" w:leader="dot" w:pos="8295"/>
        </w:tabs>
        <w:jc w:val="center"/>
        <w:rPr>
          <w:rFonts w:ascii="宋体" w:eastAsia="宋体"/>
          <w:b w:val="0"/>
          <w:color w:val="auto"/>
          <w:sz w:val="28"/>
          <w:szCs w:val="28"/>
          <w:highlight w:val="none"/>
        </w:rPr>
      </w:pPr>
    </w:p>
    <w:p w14:paraId="7945F6A0">
      <w:pPr>
        <w:pStyle w:val="3"/>
        <w:tabs>
          <w:tab w:val="right" w:leader="dot" w:pos="8295"/>
        </w:tabs>
        <w:jc w:val="center"/>
        <w:rPr>
          <w:rFonts w:ascii="宋体" w:eastAsia="宋体"/>
          <w:b w:val="0"/>
          <w:color w:val="auto"/>
          <w:sz w:val="28"/>
          <w:szCs w:val="28"/>
          <w:highlight w:val="none"/>
        </w:rPr>
      </w:pPr>
    </w:p>
    <w:p w14:paraId="43F4533C">
      <w:pPr>
        <w:pStyle w:val="3"/>
        <w:tabs>
          <w:tab w:val="right" w:leader="dot" w:pos="8295"/>
        </w:tabs>
        <w:jc w:val="center"/>
        <w:rPr>
          <w:rFonts w:ascii="宋体" w:eastAsia="宋体"/>
          <w:b w:val="0"/>
          <w:color w:val="auto"/>
          <w:sz w:val="28"/>
          <w:szCs w:val="28"/>
          <w:highlight w:val="none"/>
        </w:rPr>
      </w:pPr>
    </w:p>
    <w:p w14:paraId="430819D1">
      <w:pPr>
        <w:tabs>
          <w:tab w:val="right" w:leader="dot" w:pos="8295"/>
        </w:tabs>
        <w:jc w:val="center"/>
        <w:rPr>
          <w:color w:val="auto"/>
          <w:szCs w:val="28"/>
          <w:highlight w:val="none"/>
        </w:rPr>
      </w:pPr>
    </w:p>
    <w:p w14:paraId="3D17E55E">
      <w:pPr>
        <w:pStyle w:val="3"/>
        <w:tabs>
          <w:tab w:val="right" w:leader="dot" w:pos="8295"/>
        </w:tabs>
        <w:jc w:val="center"/>
        <w:rPr>
          <w:rFonts w:hint="eastAsia" w:ascii="宋体" w:eastAsia="宋体"/>
          <w:b/>
          <w:bCs/>
          <w:color w:val="auto"/>
          <w:highlight w:val="none"/>
        </w:rPr>
      </w:pPr>
      <w:bookmarkStart w:id="306" w:name="_Toc530660863"/>
      <w:bookmarkStart w:id="307" w:name="_Toc184635144"/>
      <w:bookmarkStart w:id="308" w:name="_Toc494121500"/>
    </w:p>
    <w:p w14:paraId="62759FD2">
      <w:pPr>
        <w:pStyle w:val="3"/>
        <w:tabs>
          <w:tab w:val="right" w:leader="dot" w:pos="8295"/>
        </w:tabs>
        <w:jc w:val="center"/>
        <w:rPr>
          <w:rFonts w:ascii="宋体"/>
          <w:b/>
          <w:bCs/>
          <w:color w:val="auto"/>
          <w:sz w:val="28"/>
          <w:szCs w:val="28"/>
          <w:highlight w:val="none"/>
        </w:rPr>
      </w:pPr>
      <w:r>
        <w:rPr>
          <w:rFonts w:hint="eastAsia" w:ascii="宋体" w:eastAsia="宋体"/>
          <w:b/>
          <w:bCs/>
          <w:color w:val="auto"/>
          <w:highlight w:val="none"/>
        </w:rPr>
        <w:t>八、技术标</w:t>
      </w:r>
      <w:bookmarkEnd w:id="306"/>
      <w:bookmarkEnd w:id="307"/>
      <w:bookmarkEnd w:id="308"/>
    </w:p>
    <w:p w14:paraId="75D99FBB">
      <w:pPr>
        <w:spacing w:before="64"/>
        <w:ind w:left="459"/>
        <w:rPr>
          <w:rFonts w:ascii="宋体" w:hAnsi="宋体" w:cs="宋体"/>
          <w:color w:val="auto"/>
          <w:highlight w:val="none"/>
        </w:rPr>
      </w:pPr>
      <w:r>
        <w:rPr>
          <w:rFonts w:ascii="宋体" w:hAnsi="宋体" w:cs="宋体"/>
          <w:color w:val="auto"/>
          <w:highlight w:val="none"/>
        </w:rPr>
        <w:t>（1）</w:t>
      </w:r>
      <w:r>
        <w:rPr>
          <w:rFonts w:hint="eastAsia" w:ascii="宋体" w:hAnsi="宋体" w:cs="宋体"/>
          <w:color w:val="auto"/>
          <w:highlight w:val="none"/>
        </w:rPr>
        <w:t>项目方案设计总说明、图纸、投资概算及关键问题解决方案等。提供包括但不限于以下图纸：总平面布置图、工艺流程图等。方案中应列出技术经济指标一览表。</w:t>
      </w:r>
    </w:p>
    <w:p w14:paraId="78E1A344">
      <w:pPr>
        <w:spacing w:before="64"/>
        <w:ind w:left="459"/>
        <w:rPr>
          <w:rFonts w:ascii="宋体" w:hAnsi="宋体" w:cs="宋体"/>
          <w:color w:val="auto"/>
          <w:highlight w:val="none"/>
        </w:rPr>
      </w:pPr>
      <w:r>
        <w:rPr>
          <w:rFonts w:ascii="宋体" w:hAnsi="宋体" w:cs="宋体"/>
          <w:color w:val="auto"/>
          <w:highlight w:val="none"/>
        </w:rPr>
        <w:t>（2）</w:t>
      </w:r>
      <w:r>
        <w:rPr>
          <w:rFonts w:hint="eastAsia" w:ascii="宋体" w:hAnsi="宋体" w:cs="宋体"/>
          <w:color w:val="auto"/>
          <w:highlight w:val="none"/>
        </w:rPr>
        <w:t>设备技术要求偏离表，技术响应表，点对点应答；</w:t>
      </w:r>
    </w:p>
    <w:p w14:paraId="5595C7E5">
      <w:pPr>
        <w:spacing w:before="64"/>
        <w:ind w:left="459"/>
        <w:rPr>
          <w:rFonts w:ascii="宋体" w:hAnsi="宋体" w:cs="宋体"/>
          <w:color w:val="auto"/>
          <w:highlight w:val="none"/>
        </w:rPr>
      </w:pPr>
      <w:r>
        <w:rPr>
          <w:rFonts w:ascii="宋体" w:hAnsi="宋体" w:cs="宋体"/>
          <w:color w:val="auto"/>
          <w:spacing w:val="-6"/>
          <w:highlight w:val="none"/>
        </w:rPr>
        <w:t>（3）</w:t>
      </w:r>
      <w:r>
        <w:rPr>
          <w:rFonts w:hint="eastAsia" w:ascii="宋体" w:hAnsi="宋体" w:cs="宋体"/>
          <w:color w:val="auto"/>
          <w:spacing w:val="-4"/>
          <w:highlight w:val="none"/>
        </w:rPr>
        <w:t>核心</w:t>
      </w:r>
      <w:r>
        <w:rPr>
          <w:rFonts w:ascii="宋体" w:hAnsi="宋体" w:cs="宋体"/>
          <w:color w:val="auto"/>
          <w:spacing w:val="-4"/>
          <w:highlight w:val="none"/>
        </w:rPr>
        <w:t>设备技术性能指标的详细描述；</w:t>
      </w:r>
    </w:p>
    <w:p w14:paraId="6F6E4C08">
      <w:pPr>
        <w:spacing w:before="65"/>
        <w:ind w:left="459"/>
        <w:rPr>
          <w:rFonts w:ascii="宋体" w:hAnsi="宋体" w:cs="宋体"/>
          <w:color w:val="auto"/>
          <w:highlight w:val="none"/>
        </w:rPr>
      </w:pPr>
      <w:r>
        <w:rPr>
          <w:rFonts w:ascii="宋体" w:hAnsi="宋体" w:cs="宋体"/>
          <w:color w:val="auto"/>
          <w:spacing w:val="-4"/>
          <w:highlight w:val="none"/>
        </w:rPr>
        <w:t>（4）</w:t>
      </w:r>
      <w:r>
        <w:rPr>
          <w:rFonts w:ascii="宋体" w:hAnsi="宋体" w:cs="宋体"/>
          <w:color w:val="auto"/>
          <w:spacing w:val="-6"/>
          <w:highlight w:val="none"/>
        </w:rPr>
        <w:t>技术支持资料</w:t>
      </w:r>
      <w:r>
        <w:rPr>
          <w:rFonts w:hint="eastAsia" w:ascii="宋体" w:hAnsi="宋体" w:cs="宋体"/>
          <w:color w:val="auto"/>
          <w:spacing w:val="-6"/>
          <w:highlight w:val="none"/>
        </w:rPr>
        <w:t>，</w:t>
      </w:r>
      <w:r>
        <w:rPr>
          <w:rFonts w:hint="eastAsia" w:ascii="宋体" w:hAnsi="宋体" w:cs="宋体"/>
          <w:color w:val="auto"/>
          <w:kern w:val="0"/>
          <w:highlight w:val="none"/>
        </w:rPr>
        <w:t>产品质量检验报告，认证证书等</w:t>
      </w:r>
      <w:r>
        <w:rPr>
          <w:rFonts w:ascii="宋体" w:hAnsi="宋体" w:cs="宋体"/>
          <w:color w:val="auto"/>
          <w:spacing w:val="-6"/>
          <w:highlight w:val="none"/>
        </w:rPr>
        <w:t>；</w:t>
      </w:r>
    </w:p>
    <w:p w14:paraId="456BD0C1">
      <w:pPr>
        <w:spacing w:before="65"/>
        <w:ind w:left="459"/>
        <w:rPr>
          <w:rFonts w:ascii="宋体" w:hAnsi="宋体" w:cs="宋体"/>
          <w:color w:val="auto"/>
          <w:highlight w:val="none"/>
        </w:rPr>
      </w:pPr>
      <w:r>
        <w:rPr>
          <w:rFonts w:ascii="宋体" w:hAnsi="宋体" w:cs="宋体"/>
          <w:color w:val="auto"/>
          <w:spacing w:val="-6"/>
          <w:highlight w:val="none"/>
        </w:rPr>
        <w:t>（5）</w:t>
      </w:r>
      <w:r>
        <w:rPr>
          <w:rFonts w:ascii="宋体" w:hAnsi="宋体" w:cs="宋体"/>
          <w:color w:val="auto"/>
          <w:spacing w:val="-4"/>
          <w:highlight w:val="none"/>
        </w:rPr>
        <w:t>技术服务和</w:t>
      </w:r>
      <w:r>
        <w:rPr>
          <w:rFonts w:hint="eastAsia" w:ascii="宋体" w:hAnsi="宋体" w:cs="宋体"/>
          <w:color w:val="auto"/>
          <w:spacing w:val="-4"/>
          <w:highlight w:val="none"/>
        </w:rPr>
        <w:t>能源管理合同期内装置检维修方案，</w:t>
      </w:r>
      <w:r>
        <w:rPr>
          <w:rFonts w:ascii="宋体" w:hAnsi="宋体" w:cs="宋体"/>
          <w:color w:val="auto"/>
          <w:spacing w:val="-4"/>
          <w:highlight w:val="none"/>
        </w:rPr>
        <w:t>服务计划；</w:t>
      </w:r>
    </w:p>
    <w:p w14:paraId="3009DFD2">
      <w:pPr>
        <w:spacing w:before="65"/>
        <w:ind w:left="459"/>
        <w:rPr>
          <w:rFonts w:ascii="宋体" w:hAnsi="宋体" w:cs="宋体"/>
          <w:color w:val="auto"/>
          <w:spacing w:val="-4"/>
          <w:highlight w:val="none"/>
        </w:rPr>
      </w:pPr>
      <w:r>
        <w:rPr>
          <w:rFonts w:ascii="宋体" w:hAnsi="宋体" w:cs="宋体"/>
          <w:color w:val="auto"/>
          <w:spacing w:val="-4"/>
          <w:highlight w:val="none"/>
        </w:rPr>
        <w:t>（6）</w:t>
      </w:r>
      <w:r>
        <w:rPr>
          <w:rFonts w:hint="eastAsia" w:ascii="宋体" w:hAnsi="宋体" w:cs="宋体"/>
          <w:color w:val="auto"/>
          <w:spacing w:val="-4"/>
          <w:highlight w:val="none"/>
        </w:rPr>
        <w:t>施工组织设计：应包含安装施工方案、</w:t>
      </w:r>
      <w:r>
        <w:rPr>
          <w:rFonts w:hint="eastAsia" w:ascii="宋体" w:hAnsi="宋体" w:cs="宋体"/>
          <w:color w:val="auto"/>
          <w:spacing w:val="-3"/>
          <w:highlight w:val="none"/>
        </w:rPr>
        <w:t>项目工期进度安排、施工机具人员配备、质量控制与管理、安全文明施工管理；</w:t>
      </w:r>
    </w:p>
    <w:p w14:paraId="5992F7ED">
      <w:pPr>
        <w:spacing w:before="64"/>
        <w:ind w:left="459"/>
        <w:rPr>
          <w:rFonts w:ascii="宋体" w:hAnsi="宋体" w:cs="宋体"/>
          <w:color w:val="auto"/>
          <w:spacing w:val="-5"/>
          <w:highlight w:val="none"/>
        </w:rPr>
      </w:pPr>
      <w:r>
        <w:rPr>
          <w:rFonts w:hint="eastAsia" w:ascii="宋体" w:hAnsi="宋体" w:cs="宋体"/>
          <w:color w:val="auto"/>
          <w:highlight w:val="none"/>
        </w:rPr>
        <w:t>（7）根据招标文件中的技术要求，</w:t>
      </w:r>
      <w:r>
        <w:rPr>
          <w:rFonts w:hint="eastAsia" w:ascii="宋体" w:hAnsi="宋体" w:cs="宋体"/>
          <w:color w:val="auto"/>
          <w:spacing w:val="-5"/>
          <w:highlight w:val="none"/>
        </w:rPr>
        <w:t>投标人认为需要提供的其他文件和资料</w:t>
      </w:r>
      <w:r>
        <w:rPr>
          <w:rFonts w:ascii="宋体" w:hAnsi="宋体" w:cs="宋体"/>
          <w:color w:val="auto"/>
          <w:spacing w:val="-5"/>
          <w:highlight w:val="none"/>
        </w:rPr>
        <w:t>；</w:t>
      </w:r>
    </w:p>
    <w:p w14:paraId="69821410">
      <w:pPr>
        <w:spacing w:before="64"/>
        <w:ind w:left="459"/>
        <w:rPr>
          <w:rFonts w:ascii="宋体" w:hAnsi="宋体" w:cs="宋体"/>
          <w:color w:val="auto"/>
          <w:spacing w:val="-3"/>
          <w:highlight w:val="none"/>
        </w:rPr>
      </w:pPr>
      <w:r>
        <w:rPr>
          <w:rFonts w:ascii="宋体" w:hAnsi="宋体" w:cs="宋体"/>
          <w:color w:val="auto"/>
          <w:spacing w:val="-3"/>
          <w:highlight w:val="none"/>
        </w:rPr>
        <w:t>（8）工程调试、试运行方案</w:t>
      </w:r>
    </w:p>
    <w:p w14:paraId="60BC2579">
      <w:pPr>
        <w:tabs>
          <w:tab w:val="right" w:leader="dot" w:pos="8295"/>
        </w:tabs>
        <w:ind w:firstLine="420"/>
        <w:jc w:val="center"/>
        <w:rPr>
          <w:rFonts w:ascii="宋体"/>
          <w:color w:val="auto"/>
          <w:highlight w:val="none"/>
          <w:shd w:val="clear" w:color="auto" w:fill="FFFF00"/>
        </w:rPr>
      </w:pPr>
    </w:p>
    <w:p w14:paraId="3DB07B98">
      <w:pPr>
        <w:tabs>
          <w:tab w:val="right" w:leader="dot" w:pos="8295"/>
        </w:tabs>
        <w:ind w:firstLine="480"/>
        <w:rPr>
          <w:rFonts w:ascii="宋体"/>
          <w:color w:val="auto"/>
          <w:szCs w:val="24"/>
          <w:highlight w:val="none"/>
          <w:shd w:val="clear" w:color="auto" w:fill="FFFF00"/>
        </w:rPr>
      </w:pPr>
    </w:p>
    <w:p w14:paraId="35E64F5E">
      <w:pPr>
        <w:rPr>
          <w:color w:val="auto"/>
          <w:highlight w:val="none"/>
        </w:rPr>
        <w:sectPr>
          <w:pgSz w:w="11906" w:h="16838"/>
          <w:pgMar w:top="1417" w:right="1417" w:bottom="1417" w:left="1417" w:header="851" w:footer="992" w:gutter="0"/>
          <w:cols w:space="720" w:num="1"/>
          <w:docGrid w:linePitch="312" w:charSpace="0"/>
        </w:sectPr>
      </w:pPr>
    </w:p>
    <w:p w14:paraId="49E3CC47">
      <w:pPr>
        <w:pStyle w:val="3"/>
        <w:tabs>
          <w:tab w:val="right" w:leader="dot" w:pos="8295"/>
        </w:tabs>
        <w:jc w:val="center"/>
        <w:rPr>
          <w:rFonts w:ascii="宋体" w:eastAsia="宋体"/>
          <w:b w:val="0"/>
          <w:color w:val="auto"/>
          <w:sz w:val="28"/>
          <w:szCs w:val="28"/>
          <w:highlight w:val="none"/>
        </w:rPr>
      </w:pPr>
      <w:r>
        <w:rPr>
          <w:rFonts w:hint="eastAsia" w:ascii="宋体" w:eastAsia="宋体"/>
          <w:b w:val="0"/>
          <w:color w:val="auto"/>
          <w:sz w:val="28"/>
          <w:szCs w:val="28"/>
          <w:highlight w:val="none"/>
        </w:rPr>
        <w:t>九、投标函</w:t>
      </w:r>
    </w:p>
    <w:p w14:paraId="4BB3BF18">
      <w:pPr>
        <w:tabs>
          <w:tab w:val="right" w:leader="dot" w:pos="8295"/>
        </w:tabs>
        <w:jc w:val="center"/>
        <w:rPr>
          <w:rFonts w:ascii="宋体"/>
          <w:color w:val="auto"/>
          <w:sz w:val="28"/>
          <w:szCs w:val="28"/>
          <w:highlight w:val="none"/>
        </w:rPr>
      </w:pPr>
      <w:r>
        <w:rPr>
          <w:rFonts w:hint="eastAsia" w:ascii="宋体"/>
          <w:color w:val="auto"/>
          <w:sz w:val="28"/>
          <w:szCs w:val="28"/>
          <w:highlight w:val="none"/>
        </w:rPr>
        <w:t>（一）投标函</w:t>
      </w:r>
    </w:p>
    <w:p w14:paraId="2D3BEC9D">
      <w:pPr>
        <w:tabs>
          <w:tab w:val="right" w:leader="dot" w:pos="8295"/>
        </w:tabs>
        <w:rPr>
          <w:rFonts w:ascii="宋体"/>
          <w:color w:val="auto"/>
          <w:szCs w:val="24"/>
          <w:highlight w:val="none"/>
        </w:rPr>
      </w:pPr>
      <w:r>
        <w:rPr>
          <w:rFonts w:hint="eastAsia" w:ascii="宋体"/>
          <w:color w:val="auto"/>
          <w:szCs w:val="24"/>
          <w:highlight w:val="none"/>
          <w:u w:val="single"/>
        </w:rPr>
        <w:t>（招标人名称）</w:t>
      </w:r>
      <w:r>
        <w:rPr>
          <w:rFonts w:hint="eastAsia" w:ascii="宋体"/>
          <w:color w:val="auto"/>
          <w:szCs w:val="24"/>
          <w:highlight w:val="none"/>
        </w:rPr>
        <w:t xml:space="preserve">： </w:t>
      </w:r>
    </w:p>
    <w:p w14:paraId="08C7874D">
      <w:pPr>
        <w:tabs>
          <w:tab w:val="right" w:leader="dot" w:pos="8295"/>
        </w:tabs>
        <w:jc w:val="left"/>
        <w:rPr>
          <w:rFonts w:ascii="宋体"/>
          <w:color w:val="auto"/>
          <w:szCs w:val="24"/>
          <w:highlight w:val="none"/>
        </w:rPr>
      </w:pPr>
      <w:r>
        <w:rPr>
          <w:rFonts w:hint="eastAsia" w:ascii="宋体"/>
          <w:color w:val="auto"/>
          <w:szCs w:val="24"/>
          <w:highlight w:val="none"/>
        </w:rPr>
        <w:t>1、我方已仔细研究了浙江衢州巨塑化工有限公司皂化清液浓缩装置三效蒸发乏汽回收余热利用节能改造项目合作实施方招标</w:t>
      </w:r>
    </w:p>
    <w:p w14:paraId="5E49798C">
      <w:pPr>
        <w:tabs>
          <w:tab w:val="right" w:leader="dot" w:pos="8295"/>
        </w:tabs>
        <w:ind w:firstLine="480"/>
        <w:rPr>
          <w:rFonts w:ascii="宋体"/>
          <w:color w:val="auto"/>
          <w:szCs w:val="24"/>
          <w:highlight w:val="none"/>
        </w:rPr>
      </w:pPr>
      <w:r>
        <w:rPr>
          <w:rFonts w:hint="eastAsia" w:ascii="宋体"/>
          <w:color w:val="auto"/>
          <w:szCs w:val="24"/>
          <w:highlight w:val="none"/>
        </w:rPr>
        <w:t>招标文件的全部内容，愿意以：</w:t>
      </w:r>
    </w:p>
    <w:p w14:paraId="3A58745C">
      <w:pPr>
        <w:tabs>
          <w:tab w:val="right" w:leader="dot" w:pos="8295"/>
        </w:tabs>
        <w:ind w:firstLine="480"/>
        <w:rPr>
          <w:rFonts w:ascii="宋体"/>
          <w:color w:val="auto"/>
          <w:szCs w:val="24"/>
          <w:highlight w:val="none"/>
        </w:rPr>
      </w:pPr>
      <w:r>
        <w:rPr>
          <w:rFonts w:hint="eastAsia" w:ascii="宋体"/>
          <w:color w:val="auto"/>
          <w:szCs w:val="24"/>
          <w:highlight w:val="none"/>
        </w:rPr>
        <w:t>人民币（大写）</w:t>
      </w:r>
      <w:r>
        <w:rPr>
          <w:rFonts w:hint="eastAsia" w:ascii="宋体"/>
          <w:color w:val="auto"/>
          <w:szCs w:val="24"/>
          <w:highlight w:val="none"/>
          <w:u w:val="single"/>
        </w:rPr>
        <w:t xml:space="preserve">         </w:t>
      </w:r>
      <w:r>
        <w:rPr>
          <w:rFonts w:hint="eastAsia" w:ascii="宋体"/>
          <w:color w:val="auto"/>
          <w:szCs w:val="24"/>
          <w:highlight w:val="none"/>
        </w:rPr>
        <w:t>（￥</w:t>
      </w:r>
      <w:r>
        <w:rPr>
          <w:rFonts w:hint="eastAsia" w:ascii="宋体"/>
          <w:color w:val="auto"/>
          <w:szCs w:val="24"/>
          <w:highlight w:val="none"/>
          <w:u w:val="single"/>
        </w:rPr>
        <w:t xml:space="preserve">      </w:t>
      </w:r>
      <w:r>
        <w:rPr>
          <w:rFonts w:hint="eastAsia" w:ascii="宋体"/>
          <w:color w:val="auto"/>
          <w:szCs w:val="24"/>
          <w:highlight w:val="none"/>
        </w:rPr>
        <w:t>）的投标报价，工期</w:t>
      </w:r>
      <w:r>
        <w:rPr>
          <w:rFonts w:hint="eastAsia" w:ascii="宋体"/>
          <w:color w:val="auto"/>
          <w:szCs w:val="24"/>
          <w:highlight w:val="none"/>
          <w:u w:val="single"/>
        </w:rPr>
        <w:t xml:space="preserve">     </w:t>
      </w:r>
      <w:r>
        <w:rPr>
          <w:rFonts w:hint="eastAsia" w:ascii="宋体"/>
          <w:color w:val="auto"/>
          <w:szCs w:val="24"/>
          <w:highlight w:val="none"/>
        </w:rPr>
        <w:t>日历天，按合同约定实施和完成承包工程，修补工程中的任何缺陷，工程质量达到</w:t>
      </w:r>
      <w:r>
        <w:rPr>
          <w:rFonts w:hint="eastAsia" w:ascii="宋体"/>
          <w:color w:val="auto"/>
          <w:szCs w:val="24"/>
          <w:highlight w:val="none"/>
          <w:u w:val="single"/>
        </w:rPr>
        <w:t xml:space="preserve">             </w:t>
      </w:r>
      <w:r>
        <w:rPr>
          <w:rFonts w:hint="eastAsia" w:ascii="宋体"/>
          <w:color w:val="auto"/>
          <w:szCs w:val="24"/>
          <w:highlight w:val="none"/>
        </w:rPr>
        <w:t>。</w:t>
      </w:r>
    </w:p>
    <w:p w14:paraId="5A668F7F">
      <w:pPr>
        <w:tabs>
          <w:tab w:val="right" w:leader="dot" w:pos="8295"/>
        </w:tabs>
        <w:ind w:firstLine="480"/>
        <w:rPr>
          <w:rFonts w:ascii="宋体"/>
          <w:color w:val="auto"/>
          <w:szCs w:val="24"/>
          <w:highlight w:val="none"/>
        </w:rPr>
      </w:pPr>
      <w:r>
        <w:rPr>
          <w:rFonts w:hint="eastAsia" w:ascii="宋体"/>
          <w:color w:val="auto"/>
          <w:szCs w:val="24"/>
          <w:highlight w:val="none"/>
        </w:rPr>
        <w:t>2、我方承诺在投标有效期内不修改、撤销投标文件。</w:t>
      </w:r>
    </w:p>
    <w:p w14:paraId="407543C0">
      <w:pPr>
        <w:tabs>
          <w:tab w:val="right" w:leader="dot" w:pos="8295"/>
        </w:tabs>
        <w:ind w:firstLine="480"/>
        <w:rPr>
          <w:rFonts w:ascii="宋体"/>
          <w:color w:val="auto"/>
          <w:szCs w:val="24"/>
          <w:highlight w:val="none"/>
        </w:rPr>
      </w:pPr>
      <w:r>
        <w:rPr>
          <w:rFonts w:hint="eastAsia" w:ascii="宋体"/>
          <w:color w:val="auto"/>
          <w:szCs w:val="24"/>
          <w:highlight w:val="none"/>
        </w:rPr>
        <w:t>3、随同本投标函提交投标保证金一份，金额为</w:t>
      </w:r>
    </w:p>
    <w:p w14:paraId="48700FBD">
      <w:pPr>
        <w:tabs>
          <w:tab w:val="right" w:leader="dot" w:pos="8295"/>
        </w:tabs>
        <w:ind w:firstLine="480"/>
        <w:rPr>
          <w:rFonts w:ascii="宋体"/>
          <w:color w:val="auto"/>
          <w:szCs w:val="24"/>
          <w:highlight w:val="none"/>
        </w:rPr>
      </w:pPr>
      <w:r>
        <w:rPr>
          <w:rFonts w:hint="eastAsia" w:ascii="宋体"/>
          <w:color w:val="auto"/>
          <w:szCs w:val="24"/>
          <w:highlight w:val="none"/>
        </w:rPr>
        <w:t>人民币（大写）</w:t>
      </w:r>
      <w:r>
        <w:rPr>
          <w:rFonts w:hint="eastAsia" w:ascii="宋体"/>
          <w:color w:val="auto"/>
          <w:szCs w:val="24"/>
          <w:highlight w:val="none"/>
          <w:u w:val="single"/>
        </w:rPr>
        <w:t xml:space="preserve">         </w:t>
      </w:r>
      <w:r>
        <w:rPr>
          <w:rFonts w:hint="eastAsia" w:ascii="宋体"/>
          <w:color w:val="auto"/>
          <w:szCs w:val="24"/>
          <w:highlight w:val="none"/>
        </w:rPr>
        <w:t>（￥</w:t>
      </w:r>
      <w:r>
        <w:rPr>
          <w:rFonts w:hint="eastAsia" w:ascii="宋体"/>
          <w:color w:val="auto"/>
          <w:szCs w:val="24"/>
          <w:highlight w:val="none"/>
          <w:u w:val="single"/>
        </w:rPr>
        <w:t xml:space="preserve">      </w:t>
      </w:r>
      <w:r>
        <w:rPr>
          <w:rFonts w:hint="eastAsia" w:ascii="宋体"/>
          <w:color w:val="auto"/>
          <w:szCs w:val="24"/>
          <w:highlight w:val="none"/>
        </w:rPr>
        <w:t>）。</w:t>
      </w:r>
    </w:p>
    <w:p w14:paraId="7BFF61B0">
      <w:pPr>
        <w:tabs>
          <w:tab w:val="right" w:leader="dot" w:pos="8295"/>
        </w:tabs>
        <w:ind w:firstLine="480"/>
        <w:rPr>
          <w:rFonts w:ascii="宋体"/>
          <w:color w:val="auto"/>
          <w:szCs w:val="24"/>
          <w:highlight w:val="none"/>
        </w:rPr>
      </w:pPr>
      <w:r>
        <w:rPr>
          <w:rFonts w:hint="eastAsia" w:ascii="宋体"/>
          <w:color w:val="auto"/>
          <w:szCs w:val="24"/>
          <w:highlight w:val="none"/>
        </w:rPr>
        <w:t>4、如我方中标：</w:t>
      </w:r>
    </w:p>
    <w:p w14:paraId="628D7E80">
      <w:pPr>
        <w:tabs>
          <w:tab w:val="right" w:leader="dot" w:pos="8295"/>
        </w:tabs>
        <w:ind w:firstLine="480"/>
        <w:rPr>
          <w:rFonts w:ascii="宋体"/>
          <w:color w:val="auto"/>
          <w:szCs w:val="24"/>
          <w:highlight w:val="none"/>
        </w:rPr>
      </w:pPr>
      <w:r>
        <w:rPr>
          <w:rFonts w:hint="eastAsia" w:ascii="宋体"/>
          <w:color w:val="auto"/>
          <w:szCs w:val="24"/>
          <w:highlight w:val="none"/>
        </w:rPr>
        <w:t>（l）我方承诺在收到中标通知书后，在中标通知书规定的期限内与你方签订合同。</w:t>
      </w:r>
    </w:p>
    <w:p w14:paraId="3B336B14">
      <w:pPr>
        <w:tabs>
          <w:tab w:val="right" w:leader="dot" w:pos="8295"/>
        </w:tabs>
        <w:ind w:firstLine="480"/>
        <w:rPr>
          <w:rFonts w:ascii="宋体"/>
          <w:color w:val="auto"/>
          <w:szCs w:val="24"/>
          <w:highlight w:val="none"/>
        </w:rPr>
      </w:pPr>
      <w:r>
        <w:rPr>
          <w:rFonts w:hint="eastAsia" w:ascii="宋体"/>
          <w:color w:val="auto"/>
          <w:szCs w:val="24"/>
          <w:highlight w:val="none"/>
        </w:rPr>
        <w:t>（2）我方承诺按照招标文件规定向你方递交履约担保。</w:t>
      </w:r>
    </w:p>
    <w:p w14:paraId="62163B6B">
      <w:pPr>
        <w:tabs>
          <w:tab w:val="right" w:leader="dot" w:pos="8295"/>
        </w:tabs>
        <w:ind w:firstLine="480"/>
        <w:rPr>
          <w:rFonts w:ascii="宋体"/>
          <w:color w:val="auto"/>
          <w:szCs w:val="24"/>
          <w:highlight w:val="none"/>
        </w:rPr>
      </w:pPr>
      <w:r>
        <w:rPr>
          <w:rFonts w:hint="eastAsia" w:ascii="宋体"/>
          <w:color w:val="auto"/>
          <w:szCs w:val="24"/>
          <w:highlight w:val="none"/>
        </w:rPr>
        <w:t>（</w:t>
      </w:r>
      <w:r>
        <w:rPr>
          <w:rFonts w:hint="eastAsia" w:ascii="宋体"/>
          <w:color w:val="auto"/>
          <w:szCs w:val="24"/>
          <w:highlight w:val="none"/>
          <w:lang w:val="en-US" w:eastAsia="zh-CN"/>
        </w:rPr>
        <w:t>3</w:t>
      </w:r>
      <w:r>
        <w:rPr>
          <w:rFonts w:hint="eastAsia" w:ascii="宋体"/>
          <w:color w:val="auto"/>
          <w:szCs w:val="24"/>
          <w:highlight w:val="none"/>
        </w:rPr>
        <w:t>）我方承诺在合同约定的期限内完成并移交全部合同工程。</w:t>
      </w:r>
    </w:p>
    <w:p w14:paraId="12A27CCD">
      <w:pPr>
        <w:tabs>
          <w:tab w:val="right" w:leader="dot" w:pos="8295"/>
        </w:tabs>
        <w:ind w:firstLine="480"/>
        <w:rPr>
          <w:rFonts w:ascii="宋体"/>
          <w:color w:val="auto"/>
          <w:szCs w:val="24"/>
          <w:highlight w:val="none"/>
        </w:rPr>
      </w:pPr>
      <w:r>
        <w:rPr>
          <w:rFonts w:hint="eastAsia" w:ascii="宋体"/>
          <w:color w:val="auto"/>
          <w:szCs w:val="24"/>
          <w:highlight w:val="none"/>
        </w:rPr>
        <w:t>5、我方在此声明，所递交的投标文件及有关资料内容完整、真实和准确，且不存在第二章“投标人须知”第1.4.3 项规定的任何一种情形。</w:t>
      </w:r>
    </w:p>
    <w:p w14:paraId="1E111E6A">
      <w:pPr>
        <w:tabs>
          <w:tab w:val="right" w:leader="dot" w:pos="8295"/>
        </w:tabs>
        <w:ind w:firstLine="480"/>
        <w:rPr>
          <w:rFonts w:ascii="宋体"/>
          <w:color w:val="auto"/>
          <w:szCs w:val="24"/>
          <w:highlight w:val="none"/>
        </w:rPr>
      </w:pPr>
      <w:r>
        <w:rPr>
          <w:rFonts w:hint="eastAsia" w:ascii="宋体"/>
          <w:color w:val="auto"/>
          <w:szCs w:val="24"/>
          <w:highlight w:val="none"/>
        </w:rPr>
        <w:t>6、（其他补充说明）。</w:t>
      </w:r>
    </w:p>
    <w:p w14:paraId="7396F0B2">
      <w:pPr>
        <w:tabs>
          <w:tab w:val="right" w:leader="dot" w:pos="8295"/>
        </w:tabs>
        <w:ind w:firstLine="480"/>
        <w:rPr>
          <w:rFonts w:ascii="宋体"/>
          <w:color w:val="auto"/>
          <w:szCs w:val="24"/>
          <w:highlight w:val="none"/>
        </w:rPr>
      </w:pPr>
    </w:p>
    <w:p w14:paraId="10B31943">
      <w:pPr>
        <w:tabs>
          <w:tab w:val="right" w:leader="dot" w:pos="8295"/>
        </w:tabs>
        <w:ind w:firstLine="480"/>
        <w:rPr>
          <w:rFonts w:ascii="宋体"/>
          <w:color w:val="auto"/>
          <w:szCs w:val="24"/>
          <w:highlight w:val="none"/>
        </w:rPr>
      </w:pPr>
    </w:p>
    <w:p w14:paraId="6300215E">
      <w:pPr>
        <w:tabs>
          <w:tab w:val="right" w:leader="dot" w:pos="8295"/>
        </w:tabs>
        <w:ind w:left="2835" w:hanging="2835" w:hangingChars="1350"/>
        <w:rPr>
          <w:rFonts w:ascii="宋体"/>
          <w:color w:val="auto"/>
          <w:szCs w:val="24"/>
          <w:highlight w:val="none"/>
        </w:rPr>
      </w:pPr>
      <w:r>
        <w:rPr>
          <w:rFonts w:hint="eastAsia" w:ascii="宋体"/>
          <w:color w:val="auto"/>
          <w:szCs w:val="24"/>
          <w:highlight w:val="none"/>
        </w:rPr>
        <w:t>投标人：（盖单位公章）          法定代表人：（法定代表人章）</w:t>
      </w:r>
    </w:p>
    <w:p w14:paraId="3C8382EB">
      <w:pPr>
        <w:tabs>
          <w:tab w:val="right" w:leader="dot" w:pos="8295"/>
        </w:tabs>
        <w:rPr>
          <w:rFonts w:ascii="宋体"/>
          <w:color w:val="auto"/>
          <w:szCs w:val="24"/>
          <w:highlight w:val="none"/>
        </w:rPr>
      </w:pPr>
      <w:r>
        <w:rPr>
          <w:rFonts w:hint="eastAsia" w:ascii="宋体"/>
          <w:color w:val="auto"/>
          <w:szCs w:val="24"/>
          <w:highlight w:val="none"/>
        </w:rPr>
        <w:t>地址：</w:t>
      </w:r>
    </w:p>
    <w:p w14:paraId="5D6828C0">
      <w:pPr>
        <w:tabs>
          <w:tab w:val="right" w:leader="dot" w:pos="8295"/>
        </w:tabs>
        <w:rPr>
          <w:rFonts w:ascii="宋体"/>
          <w:color w:val="auto"/>
          <w:szCs w:val="24"/>
          <w:highlight w:val="none"/>
        </w:rPr>
      </w:pPr>
      <w:r>
        <w:rPr>
          <w:rFonts w:hint="eastAsia" w:ascii="宋体"/>
          <w:color w:val="auto"/>
          <w:szCs w:val="24"/>
          <w:highlight w:val="none"/>
        </w:rPr>
        <w:t>网址：</w:t>
      </w:r>
    </w:p>
    <w:p w14:paraId="0B338DB0">
      <w:pPr>
        <w:tabs>
          <w:tab w:val="right" w:leader="dot" w:pos="8295"/>
        </w:tabs>
        <w:rPr>
          <w:rFonts w:ascii="宋体"/>
          <w:color w:val="auto"/>
          <w:szCs w:val="24"/>
          <w:highlight w:val="none"/>
        </w:rPr>
      </w:pPr>
      <w:r>
        <w:rPr>
          <w:rFonts w:hint="eastAsia" w:ascii="宋体"/>
          <w:color w:val="auto"/>
          <w:szCs w:val="24"/>
          <w:highlight w:val="none"/>
        </w:rPr>
        <w:t>电话：</w:t>
      </w:r>
    </w:p>
    <w:p w14:paraId="40E691A3">
      <w:pPr>
        <w:tabs>
          <w:tab w:val="right" w:leader="dot" w:pos="8295"/>
        </w:tabs>
        <w:ind w:left="3045" w:hanging="3045" w:hangingChars="1450"/>
        <w:jc w:val="left"/>
        <w:rPr>
          <w:rFonts w:ascii="宋体"/>
          <w:color w:val="auto"/>
          <w:szCs w:val="24"/>
          <w:highlight w:val="none"/>
        </w:rPr>
      </w:pPr>
      <w:r>
        <w:rPr>
          <w:rFonts w:hint="eastAsia" w:ascii="宋体"/>
          <w:color w:val="auto"/>
          <w:szCs w:val="24"/>
          <w:highlight w:val="none"/>
        </w:rPr>
        <w:t>传真：邮政编码：</w:t>
      </w:r>
    </w:p>
    <w:p w14:paraId="68ED08D7">
      <w:pPr>
        <w:pStyle w:val="31"/>
        <w:rPr>
          <w:b/>
          <w:color w:val="auto"/>
          <w:highlight w:val="none"/>
        </w:rPr>
      </w:pPr>
      <w:r>
        <w:rPr>
          <w:rFonts w:hint="eastAsia" w:ascii="宋体"/>
          <w:color w:val="auto"/>
          <w:szCs w:val="24"/>
          <w:highlight w:val="none"/>
        </w:rPr>
        <w:t>年月日</w:t>
      </w:r>
      <w:r>
        <w:rPr>
          <w:rFonts w:hint="eastAsia" w:ascii="宋体"/>
          <w:color w:val="auto"/>
          <w:sz w:val="28"/>
          <w:szCs w:val="28"/>
          <w:highlight w:val="none"/>
        </w:rPr>
        <w:br w:type="page"/>
      </w:r>
      <w:r>
        <w:rPr>
          <w:rFonts w:hint="eastAsia"/>
          <w:b/>
          <w:color w:val="auto"/>
          <w:highlight w:val="none"/>
        </w:rPr>
        <w:t>十、项目投资金额及组成、资金来源、年运行成本、年收益测算；</w:t>
      </w:r>
    </w:p>
    <w:p w14:paraId="6A1AB319">
      <w:pPr>
        <w:spacing w:before="78" w:line="218" w:lineRule="auto"/>
        <w:ind w:left="39"/>
        <w:jc w:val="center"/>
        <w:outlineLvl w:val="1"/>
        <w:rPr>
          <w:rFonts w:ascii="宋体"/>
          <w:b/>
          <w:color w:val="auto"/>
          <w:sz w:val="28"/>
          <w:szCs w:val="28"/>
          <w:highlight w:val="none"/>
        </w:rPr>
      </w:pPr>
    </w:p>
    <w:p w14:paraId="2AECDD69">
      <w:pPr>
        <w:spacing w:before="78" w:line="218" w:lineRule="auto"/>
        <w:ind w:left="39"/>
        <w:jc w:val="center"/>
        <w:outlineLvl w:val="1"/>
        <w:rPr>
          <w:rFonts w:ascii="宋体"/>
          <w:b/>
          <w:color w:val="auto"/>
          <w:sz w:val="28"/>
          <w:szCs w:val="28"/>
          <w:highlight w:val="none"/>
        </w:rPr>
      </w:pPr>
    </w:p>
    <w:p w14:paraId="614A26E3">
      <w:pPr>
        <w:spacing w:before="78" w:line="218" w:lineRule="auto"/>
        <w:ind w:left="39"/>
        <w:jc w:val="center"/>
        <w:outlineLvl w:val="1"/>
        <w:rPr>
          <w:rFonts w:ascii="宋体"/>
          <w:b/>
          <w:color w:val="auto"/>
          <w:sz w:val="28"/>
          <w:szCs w:val="28"/>
          <w:highlight w:val="none"/>
        </w:rPr>
      </w:pPr>
    </w:p>
    <w:p w14:paraId="6859EF97">
      <w:pPr>
        <w:spacing w:before="78" w:line="218" w:lineRule="auto"/>
        <w:ind w:left="39"/>
        <w:jc w:val="center"/>
        <w:outlineLvl w:val="1"/>
        <w:rPr>
          <w:rFonts w:ascii="宋体"/>
          <w:b/>
          <w:color w:val="auto"/>
          <w:sz w:val="28"/>
          <w:szCs w:val="28"/>
          <w:highlight w:val="none"/>
        </w:rPr>
      </w:pPr>
    </w:p>
    <w:p w14:paraId="0B72BBCC">
      <w:pPr>
        <w:spacing w:before="78" w:line="218" w:lineRule="auto"/>
        <w:ind w:left="39"/>
        <w:jc w:val="center"/>
        <w:outlineLvl w:val="1"/>
        <w:rPr>
          <w:rFonts w:ascii="宋体"/>
          <w:b/>
          <w:color w:val="auto"/>
          <w:sz w:val="28"/>
          <w:szCs w:val="28"/>
          <w:highlight w:val="none"/>
        </w:rPr>
      </w:pPr>
    </w:p>
    <w:p w14:paraId="49896827">
      <w:pPr>
        <w:spacing w:before="78" w:line="218" w:lineRule="auto"/>
        <w:ind w:left="39"/>
        <w:jc w:val="center"/>
        <w:outlineLvl w:val="1"/>
        <w:rPr>
          <w:rFonts w:ascii="宋体"/>
          <w:b/>
          <w:color w:val="auto"/>
          <w:sz w:val="28"/>
          <w:szCs w:val="28"/>
          <w:highlight w:val="none"/>
        </w:rPr>
      </w:pPr>
    </w:p>
    <w:p w14:paraId="4C79083C">
      <w:pPr>
        <w:spacing w:before="78" w:line="218" w:lineRule="auto"/>
        <w:ind w:left="39"/>
        <w:jc w:val="center"/>
        <w:outlineLvl w:val="1"/>
        <w:rPr>
          <w:rFonts w:ascii="宋体"/>
          <w:b/>
          <w:color w:val="auto"/>
          <w:sz w:val="28"/>
          <w:szCs w:val="28"/>
          <w:highlight w:val="none"/>
        </w:rPr>
      </w:pPr>
    </w:p>
    <w:p w14:paraId="7FC39E3E">
      <w:pPr>
        <w:spacing w:before="78" w:line="218" w:lineRule="auto"/>
        <w:ind w:left="39"/>
        <w:jc w:val="center"/>
        <w:outlineLvl w:val="1"/>
        <w:rPr>
          <w:rFonts w:ascii="宋体"/>
          <w:b/>
          <w:color w:val="auto"/>
          <w:sz w:val="28"/>
          <w:szCs w:val="28"/>
          <w:highlight w:val="none"/>
        </w:rPr>
      </w:pPr>
    </w:p>
    <w:p w14:paraId="7D1B1369">
      <w:pPr>
        <w:spacing w:before="78" w:line="218" w:lineRule="auto"/>
        <w:ind w:left="39"/>
        <w:jc w:val="center"/>
        <w:outlineLvl w:val="1"/>
        <w:rPr>
          <w:rFonts w:ascii="宋体"/>
          <w:b/>
          <w:color w:val="auto"/>
          <w:sz w:val="28"/>
          <w:szCs w:val="28"/>
          <w:highlight w:val="none"/>
        </w:rPr>
      </w:pPr>
    </w:p>
    <w:p w14:paraId="081D3C87">
      <w:pPr>
        <w:spacing w:before="78" w:line="218" w:lineRule="auto"/>
        <w:ind w:left="39"/>
        <w:jc w:val="center"/>
        <w:outlineLvl w:val="1"/>
        <w:rPr>
          <w:rFonts w:ascii="宋体"/>
          <w:b/>
          <w:color w:val="auto"/>
          <w:sz w:val="28"/>
          <w:szCs w:val="28"/>
          <w:highlight w:val="none"/>
        </w:rPr>
      </w:pPr>
    </w:p>
    <w:p w14:paraId="2BE33C64">
      <w:pPr>
        <w:spacing w:before="78" w:line="218" w:lineRule="auto"/>
        <w:ind w:left="39"/>
        <w:jc w:val="center"/>
        <w:outlineLvl w:val="1"/>
        <w:rPr>
          <w:rFonts w:ascii="宋体"/>
          <w:b/>
          <w:color w:val="auto"/>
          <w:sz w:val="28"/>
          <w:szCs w:val="28"/>
          <w:highlight w:val="none"/>
        </w:rPr>
      </w:pPr>
    </w:p>
    <w:p w14:paraId="2F5BF011">
      <w:pPr>
        <w:spacing w:before="78" w:line="218" w:lineRule="auto"/>
        <w:ind w:left="39"/>
        <w:jc w:val="center"/>
        <w:outlineLvl w:val="1"/>
        <w:rPr>
          <w:rFonts w:ascii="宋体"/>
          <w:b/>
          <w:color w:val="auto"/>
          <w:sz w:val="28"/>
          <w:szCs w:val="28"/>
          <w:highlight w:val="none"/>
        </w:rPr>
      </w:pPr>
    </w:p>
    <w:p w14:paraId="6170D84D">
      <w:pPr>
        <w:spacing w:before="78" w:line="218" w:lineRule="auto"/>
        <w:ind w:left="39"/>
        <w:jc w:val="center"/>
        <w:outlineLvl w:val="1"/>
        <w:rPr>
          <w:rFonts w:ascii="宋体"/>
          <w:b/>
          <w:color w:val="auto"/>
          <w:sz w:val="28"/>
          <w:szCs w:val="28"/>
          <w:highlight w:val="none"/>
        </w:rPr>
      </w:pPr>
    </w:p>
    <w:p w14:paraId="05C6DB91">
      <w:pPr>
        <w:spacing w:before="78" w:line="218" w:lineRule="auto"/>
        <w:ind w:left="39"/>
        <w:jc w:val="center"/>
        <w:outlineLvl w:val="1"/>
        <w:rPr>
          <w:rFonts w:ascii="宋体"/>
          <w:b/>
          <w:color w:val="auto"/>
          <w:sz w:val="28"/>
          <w:szCs w:val="28"/>
          <w:highlight w:val="none"/>
        </w:rPr>
      </w:pPr>
    </w:p>
    <w:p w14:paraId="540BAC02">
      <w:pPr>
        <w:spacing w:before="78" w:line="218" w:lineRule="auto"/>
        <w:ind w:left="39"/>
        <w:jc w:val="center"/>
        <w:outlineLvl w:val="1"/>
        <w:rPr>
          <w:rFonts w:ascii="宋体"/>
          <w:b/>
          <w:color w:val="auto"/>
          <w:sz w:val="28"/>
          <w:szCs w:val="28"/>
          <w:highlight w:val="none"/>
        </w:rPr>
      </w:pPr>
    </w:p>
    <w:p w14:paraId="503B2F28">
      <w:pPr>
        <w:spacing w:before="78" w:line="218" w:lineRule="auto"/>
        <w:ind w:left="39"/>
        <w:jc w:val="center"/>
        <w:outlineLvl w:val="1"/>
        <w:rPr>
          <w:rFonts w:ascii="宋体"/>
          <w:b/>
          <w:color w:val="auto"/>
          <w:sz w:val="28"/>
          <w:szCs w:val="28"/>
          <w:highlight w:val="none"/>
        </w:rPr>
      </w:pPr>
    </w:p>
    <w:p w14:paraId="57FE347A">
      <w:pPr>
        <w:spacing w:before="78" w:line="218" w:lineRule="auto"/>
        <w:ind w:left="39"/>
        <w:jc w:val="center"/>
        <w:outlineLvl w:val="1"/>
        <w:rPr>
          <w:rFonts w:ascii="宋体"/>
          <w:b/>
          <w:color w:val="auto"/>
          <w:sz w:val="28"/>
          <w:szCs w:val="28"/>
          <w:highlight w:val="none"/>
        </w:rPr>
      </w:pPr>
    </w:p>
    <w:p w14:paraId="1E5EAF23">
      <w:pPr>
        <w:spacing w:before="78" w:line="218" w:lineRule="auto"/>
        <w:ind w:left="39"/>
        <w:jc w:val="center"/>
        <w:outlineLvl w:val="1"/>
        <w:rPr>
          <w:rFonts w:ascii="宋体"/>
          <w:b/>
          <w:color w:val="auto"/>
          <w:sz w:val="28"/>
          <w:szCs w:val="28"/>
          <w:highlight w:val="none"/>
        </w:rPr>
      </w:pPr>
    </w:p>
    <w:p w14:paraId="5544FEB7">
      <w:pPr>
        <w:spacing w:before="78" w:line="218" w:lineRule="auto"/>
        <w:ind w:left="39"/>
        <w:jc w:val="center"/>
        <w:outlineLvl w:val="1"/>
        <w:rPr>
          <w:rFonts w:ascii="宋体"/>
          <w:b/>
          <w:color w:val="auto"/>
          <w:sz w:val="28"/>
          <w:szCs w:val="28"/>
          <w:highlight w:val="none"/>
        </w:rPr>
      </w:pPr>
    </w:p>
    <w:p w14:paraId="7C189CE6">
      <w:pPr>
        <w:spacing w:before="78" w:line="218" w:lineRule="auto"/>
        <w:ind w:left="39"/>
        <w:jc w:val="center"/>
        <w:outlineLvl w:val="1"/>
        <w:rPr>
          <w:rFonts w:ascii="宋体"/>
          <w:b/>
          <w:color w:val="auto"/>
          <w:sz w:val="28"/>
          <w:szCs w:val="28"/>
          <w:highlight w:val="none"/>
        </w:rPr>
      </w:pPr>
    </w:p>
    <w:p w14:paraId="07E0A8DA">
      <w:pPr>
        <w:spacing w:before="78" w:line="218" w:lineRule="auto"/>
        <w:ind w:left="39"/>
        <w:jc w:val="center"/>
        <w:outlineLvl w:val="1"/>
        <w:rPr>
          <w:rFonts w:ascii="宋体"/>
          <w:b/>
          <w:color w:val="auto"/>
          <w:sz w:val="28"/>
          <w:szCs w:val="28"/>
          <w:highlight w:val="none"/>
        </w:rPr>
      </w:pPr>
    </w:p>
    <w:p w14:paraId="6C2B9E94">
      <w:pPr>
        <w:spacing w:before="78" w:line="218" w:lineRule="auto"/>
        <w:ind w:left="39"/>
        <w:jc w:val="center"/>
        <w:outlineLvl w:val="1"/>
        <w:rPr>
          <w:rFonts w:ascii="宋体"/>
          <w:b/>
          <w:color w:val="auto"/>
          <w:sz w:val="28"/>
          <w:szCs w:val="28"/>
          <w:highlight w:val="none"/>
        </w:rPr>
      </w:pPr>
    </w:p>
    <w:p w14:paraId="47212114">
      <w:pPr>
        <w:spacing w:before="78" w:line="218" w:lineRule="auto"/>
        <w:ind w:left="39"/>
        <w:jc w:val="center"/>
        <w:outlineLvl w:val="1"/>
        <w:rPr>
          <w:rFonts w:ascii="宋体"/>
          <w:b/>
          <w:color w:val="auto"/>
          <w:sz w:val="28"/>
          <w:szCs w:val="28"/>
          <w:highlight w:val="none"/>
        </w:rPr>
      </w:pPr>
    </w:p>
    <w:p w14:paraId="3F7560F3">
      <w:pPr>
        <w:spacing w:before="78" w:line="218" w:lineRule="auto"/>
        <w:ind w:left="39"/>
        <w:jc w:val="center"/>
        <w:outlineLvl w:val="1"/>
        <w:rPr>
          <w:rFonts w:ascii="宋体"/>
          <w:b/>
          <w:color w:val="auto"/>
          <w:sz w:val="28"/>
          <w:szCs w:val="28"/>
          <w:highlight w:val="none"/>
        </w:rPr>
      </w:pPr>
    </w:p>
    <w:p w14:paraId="0C757AC1">
      <w:pPr>
        <w:spacing w:before="78" w:line="218" w:lineRule="auto"/>
        <w:ind w:left="39"/>
        <w:jc w:val="center"/>
        <w:outlineLvl w:val="1"/>
        <w:rPr>
          <w:rFonts w:ascii="宋体"/>
          <w:b/>
          <w:color w:val="auto"/>
          <w:sz w:val="28"/>
          <w:szCs w:val="28"/>
          <w:highlight w:val="none"/>
        </w:rPr>
      </w:pPr>
    </w:p>
    <w:p w14:paraId="0830924F">
      <w:pPr>
        <w:spacing w:before="78" w:line="218" w:lineRule="auto"/>
        <w:ind w:left="39"/>
        <w:jc w:val="center"/>
        <w:outlineLvl w:val="1"/>
        <w:rPr>
          <w:rFonts w:ascii="宋体"/>
          <w:b/>
          <w:color w:val="auto"/>
          <w:sz w:val="28"/>
          <w:szCs w:val="28"/>
          <w:highlight w:val="none"/>
        </w:rPr>
      </w:pPr>
    </w:p>
    <w:p w14:paraId="62208166">
      <w:pPr>
        <w:spacing w:before="78" w:line="218" w:lineRule="auto"/>
        <w:ind w:left="39"/>
        <w:jc w:val="center"/>
        <w:outlineLvl w:val="1"/>
        <w:rPr>
          <w:rFonts w:ascii="宋体"/>
          <w:b/>
          <w:color w:val="auto"/>
          <w:sz w:val="28"/>
          <w:szCs w:val="28"/>
          <w:highlight w:val="none"/>
        </w:rPr>
      </w:pPr>
    </w:p>
    <w:p w14:paraId="0D7B0F99">
      <w:pPr>
        <w:spacing w:before="78" w:line="218" w:lineRule="auto"/>
        <w:ind w:left="39"/>
        <w:jc w:val="center"/>
        <w:outlineLvl w:val="1"/>
        <w:rPr>
          <w:rFonts w:ascii="宋体"/>
          <w:b/>
          <w:color w:val="auto"/>
          <w:sz w:val="28"/>
          <w:szCs w:val="28"/>
          <w:highlight w:val="none"/>
        </w:rPr>
      </w:pPr>
    </w:p>
    <w:p w14:paraId="02F9EEEA">
      <w:pPr>
        <w:spacing w:before="78" w:line="218" w:lineRule="auto"/>
        <w:ind w:left="39"/>
        <w:jc w:val="center"/>
        <w:outlineLvl w:val="1"/>
        <w:rPr>
          <w:rFonts w:ascii="宋体"/>
          <w:b/>
          <w:color w:val="auto"/>
          <w:sz w:val="28"/>
          <w:szCs w:val="28"/>
          <w:highlight w:val="none"/>
        </w:rPr>
      </w:pPr>
    </w:p>
    <w:p w14:paraId="2A68B9ED">
      <w:pPr>
        <w:spacing w:before="78" w:line="218" w:lineRule="auto"/>
        <w:ind w:left="39"/>
        <w:jc w:val="center"/>
        <w:outlineLvl w:val="1"/>
        <w:rPr>
          <w:rFonts w:ascii="宋体"/>
          <w:b/>
          <w:color w:val="auto"/>
          <w:sz w:val="28"/>
          <w:szCs w:val="28"/>
          <w:highlight w:val="none"/>
        </w:rPr>
      </w:pPr>
    </w:p>
    <w:p w14:paraId="51438158">
      <w:pPr>
        <w:spacing w:before="78" w:line="218" w:lineRule="auto"/>
        <w:ind w:left="39"/>
        <w:jc w:val="center"/>
        <w:outlineLvl w:val="1"/>
        <w:rPr>
          <w:rFonts w:ascii="宋体"/>
          <w:b/>
          <w:color w:val="auto"/>
          <w:sz w:val="28"/>
          <w:szCs w:val="28"/>
          <w:highlight w:val="none"/>
        </w:rPr>
      </w:pPr>
    </w:p>
    <w:p w14:paraId="1DA9CD11">
      <w:pPr>
        <w:spacing w:before="78" w:line="218" w:lineRule="auto"/>
        <w:ind w:left="39"/>
        <w:jc w:val="center"/>
        <w:outlineLvl w:val="1"/>
        <w:rPr>
          <w:rFonts w:ascii="宋体"/>
          <w:b/>
          <w:color w:val="auto"/>
          <w:sz w:val="28"/>
          <w:szCs w:val="28"/>
          <w:highlight w:val="none"/>
        </w:rPr>
      </w:pPr>
    </w:p>
    <w:p w14:paraId="3825B012">
      <w:pPr>
        <w:spacing w:before="78" w:line="218" w:lineRule="auto"/>
        <w:ind w:left="39"/>
        <w:jc w:val="center"/>
        <w:outlineLvl w:val="1"/>
        <w:rPr>
          <w:rFonts w:ascii="宋体"/>
          <w:b/>
          <w:color w:val="auto"/>
          <w:sz w:val="28"/>
          <w:szCs w:val="28"/>
          <w:highlight w:val="none"/>
        </w:rPr>
      </w:pPr>
    </w:p>
    <w:p w14:paraId="0E416DF6">
      <w:pPr>
        <w:spacing w:before="78" w:line="218" w:lineRule="auto"/>
        <w:jc w:val="center"/>
        <w:outlineLvl w:val="1"/>
        <w:rPr>
          <w:rFonts w:ascii="宋体" w:hAnsi="宋体" w:cs="宋体"/>
          <w:b/>
          <w:bCs/>
          <w:color w:val="auto"/>
          <w:spacing w:val="-5"/>
          <w:sz w:val="28"/>
          <w:szCs w:val="28"/>
          <w:highlight w:val="none"/>
        </w:rPr>
      </w:pPr>
      <w:r>
        <w:rPr>
          <w:rFonts w:hint="eastAsia" w:ascii="宋体"/>
          <w:b/>
          <w:color w:val="auto"/>
          <w:sz w:val="28"/>
          <w:szCs w:val="28"/>
          <w:highlight w:val="none"/>
        </w:rPr>
        <w:t>十一、</w:t>
      </w:r>
      <w:r>
        <w:rPr>
          <w:rFonts w:hint="eastAsia" w:ascii="宋体" w:hAnsi="宋体" w:cs="宋体"/>
          <w:b/>
          <w:bCs/>
          <w:color w:val="auto"/>
          <w:spacing w:val="-5"/>
          <w:sz w:val="28"/>
          <w:szCs w:val="28"/>
          <w:highlight w:val="none"/>
        </w:rPr>
        <w:t>项目年收益、投标人投资回收期、能源管理合同分享比例表</w:t>
      </w:r>
    </w:p>
    <w:p w14:paraId="4CCBE50B">
      <w:pPr>
        <w:spacing w:before="203" w:line="214" w:lineRule="auto"/>
        <w:rPr>
          <w:rFonts w:ascii="宋体" w:hAnsi="宋体" w:cs="宋体"/>
          <w:color w:val="auto"/>
          <w:highlight w:val="none"/>
        </w:rPr>
      </w:pPr>
      <w:r>
        <w:rPr>
          <w:rFonts w:ascii="宋体" w:hAnsi="宋体" w:cs="宋体"/>
          <w:color w:val="auto"/>
          <w:spacing w:val="-1"/>
          <w:highlight w:val="none"/>
        </w:rPr>
        <w:t>投标人保证：</w:t>
      </w:r>
      <w:r>
        <w:rPr>
          <w:rFonts w:hint="eastAsia" w:ascii="宋体" w:hAnsi="宋体" w:cs="宋体"/>
          <w:color w:val="auto"/>
          <w:spacing w:val="-1"/>
          <w:highlight w:val="none"/>
        </w:rPr>
        <w:t>下表所列内容为充分阅读和理解投标人须知和合同条款、招标内容的全部要求</w:t>
      </w:r>
      <w:r>
        <w:rPr>
          <w:rFonts w:ascii="宋体" w:hAnsi="宋体" w:cs="宋体"/>
          <w:color w:val="auto"/>
          <w:spacing w:val="-2"/>
          <w:highlight w:val="none"/>
        </w:rPr>
        <w:t>。</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52"/>
        <w:gridCol w:w="1511"/>
        <w:gridCol w:w="2303"/>
        <w:gridCol w:w="2335"/>
      </w:tblGrid>
      <w:tr w14:paraId="7CE4E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5585ABBA">
            <w:pPr>
              <w:spacing w:line="280" w:lineRule="exact"/>
              <w:jc w:val="center"/>
              <w:rPr>
                <w:color w:val="auto"/>
                <w:highlight w:val="none"/>
              </w:rPr>
            </w:pPr>
            <w:r>
              <w:rPr>
                <w:rFonts w:hint="eastAsia"/>
                <w:color w:val="auto"/>
                <w:highlight w:val="none"/>
              </w:rPr>
              <w:t>序号</w:t>
            </w:r>
          </w:p>
        </w:tc>
        <w:tc>
          <w:tcPr>
            <w:tcW w:w="1511" w:type="dxa"/>
            <w:vAlign w:val="center"/>
          </w:tcPr>
          <w:p w14:paraId="5611240B">
            <w:pPr>
              <w:spacing w:line="280" w:lineRule="exact"/>
              <w:jc w:val="center"/>
              <w:rPr>
                <w:color w:val="auto"/>
                <w:highlight w:val="none"/>
              </w:rPr>
            </w:pPr>
            <w:r>
              <w:rPr>
                <w:rFonts w:hint="eastAsia"/>
                <w:color w:val="auto"/>
                <w:highlight w:val="none"/>
              </w:rPr>
              <w:t>项目</w:t>
            </w:r>
          </w:p>
        </w:tc>
        <w:tc>
          <w:tcPr>
            <w:tcW w:w="4638" w:type="dxa"/>
            <w:gridSpan w:val="2"/>
            <w:vAlign w:val="center"/>
          </w:tcPr>
          <w:p w14:paraId="415ABBA2">
            <w:pPr>
              <w:spacing w:line="280" w:lineRule="exact"/>
              <w:jc w:val="center"/>
              <w:rPr>
                <w:color w:val="auto"/>
                <w:highlight w:val="none"/>
              </w:rPr>
            </w:pPr>
            <w:r>
              <w:rPr>
                <w:rFonts w:hint="eastAsia"/>
                <w:color w:val="auto"/>
                <w:highlight w:val="none"/>
              </w:rPr>
              <w:t>金额</w:t>
            </w:r>
          </w:p>
        </w:tc>
      </w:tr>
      <w:tr w14:paraId="0FDE1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6F96640E">
            <w:pPr>
              <w:spacing w:line="280" w:lineRule="exact"/>
              <w:jc w:val="center"/>
              <w:rPr>
                <w:color w:val="auto"/>
                <w:highlight w:val="none"/>
              </w:rPr>
            </w:pPr>
            <w:r>
              <w:rPr>
                <w:rFonts w:hint="eastAsia"/>
                <w:color w:val="auto"/>
                <w:highlight w:val="none"/>
              </w:rPr>
              <w:t>1</w:t>
            </w:r>
          </w:p>
        </w:tc>
        <w:tc>
          <w:tcPr>
            <w:tcW w:w="1511" w:type="dxa"/>
            <w:vAlign w:val="center"/>
          </w:tcPr>
          <w:p w14:paraId="242AD146">
            <w:pPr>
              <w:spacing w:line="280" w:lineRule="exact"/>
              <w:jc w:val="center"/>
              <w:rPr>
                <w:color w:val="auto"/>
                <w:highlight w:val="none"/>
              </w:rPr>
            </w:pPr>
            <w:r>
              <w:rPr>
                <w:rFonts w:hint="eastAsia"/>
                <w:color w:val="auto"/>
                <w:highlight w:val="none"/>
                <w:lang w:val="en-US" w:eastAsia="zh-CN"/>
              </w:rPr>
              <w:t>Ti</w:t>
            </w:r>
            <w:r>
              <w:rPr>
                <w:rFonts w:hint="eastAsia"/>
                <w:color w:val="auto"/>
                <w:highlight w:val="none"/>
              </w:rPr>
              <w:t>投标人总投资额（万元）</w:t>
            </w:r>
          </w:p>
        </w:tc>
        <w:tc>
          <w:tcPr>
            <w:tcW w:w="4638" w:type="dxa"/>
            <w:gridSpan w:val="2"/>
            <w:vAlign w:val="center"/>
          </w:tcPr>
          <w:p w14:paraId="03C4F9FF">
            <w:pPr>
              <w:spacing w:line="280" w:lineRule="exact"/>
              <w:jc w:val="center"/>
              <w:rPr>
                <w:color w:val="auto"/>
                <w:highlight w:val="none"/>
              </w:rPr>
            </w:pPr>
          </w:p>
        </w:tc>
      </w:tr>
      <w:tr w14:paraId="5D721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118C3B68">
            <w:pPr>
              <w:spacing w:line="280" w:lineRule="exact"/>
              <w:jc w:val="center"/>
              <w:rPr>
                <w:color w:val="auto"/>
                <w:highlight w:val="none"/>
              </w:rPr>
            </w:pPr>
            <w:r>
              <w:rPr>
                <w:rFonts w:hint="eastAsia"/>
                <w:color w:val="auto"/>
                <w:highlight w:val="none"/>
              </w:rPr>
              <w:t>2</w:t>
            </w:r>
          </w:p>
        </w:tc>
        <w:tc>
          <w:tcPr>
            <w:tcW w:w="1511" w:type="dxa"/>
            <w:vAlign w:val="center"/>
          </w:tcPr>
          <w:p w14:paraId="226428FF">
            <w:pPr>
              <w:spacing w:line="280" w:lineRule="exact"/>
              <w:jc w:val="center"/>
              <w:rPr>
                <w:color w:val="auto"/>
                <w:highlight w:val="none"/>
              </w:rPr>
            </w:pPr>
            <w:r>
              <w:rPr>
                <w:rFonts w:hint="eastAsia"/>
                <w:color w:val="auto"/>
                <w:highlight w:val="none"/>
                <w:lang w:val="en-US" w:eastAsia="zh-CN"/>
              </w:rPr>
              <w:t>Q</w:t>
            </w:r>
            <w:r>
              <w:rPr>
                <w:rFonts w:hint="eastAsia"/>
                <w:color w:val="auto"/>
                <w:highlight w:val="none"/>
              </w:rPr>
              <w:t>项目预期年收益（万元）</w:t>
            </w:r>
          </w:p>
        </w:tc>
        <w:tc>
          <w:tcPr>
            <w:tcW w:w="4638" w:type="dxa"/>
            <w:gridSpan w:val="2"/>
            <w:vAlign w:val="center"/>
          </w:tcPr>
          <w:p w14:paraId="1C0E817A">
            <w:pPr>
              <w:spacing w:line="280" w:lineRule="exact"/>
              <w:jc w:val="center"/>
              <w:rPr>
                <w:color w:val="auto"/>
                <w:highlight w:val="none"/>
              </w:rPr>
            </w:pPr>
          </w:p>
        </w:tc>
      </w:tr>
      <w:tr w14:paraId="36619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4B6A82E5">
            <w:pPr>
              <w:spacing w:line="280" w:lineRule="exact"/>
              <w:jc w:val="center"/>
              <w:rPr>
                <w:color w:val="auto"/>
                <w:highlight w:val="none"/>
              </w:rPr>
            </w:pPr>
            <w:r>
              <w:rPr>
                <w:rFonts w:hint="eastAsia"/>
                <w:color w:val="auto"/>
                <w:highlight w:val="none"/>
              </w:rPr>
              <w:t>3</w:t>
            </w:r>
          </w:p>
        </w:tc>
        <w:tc>
          <w:tcPr>
            <w:tcW w:w="1511" w:type="dxa"/>
            <w:vAlign w:val="center"/>
          </w:tcPr>
          <w:p w14:paraId="23EBE929">
            <w:pPr>
              <w:spacing w:line="280" w:lineRule="exact"/>
              <w:jc w:val="center"/>
              <w:rPr>
                <w:color w:val="auto"/>
                <w:highlight w:val="none"/>
              </w:rPr>
            </w:pPr>
            <w:r>
              <w:rPr>
                <w:rFonts w:hint="eastAsia"/>
                <w:color w:val="auto"/>
                <w:highlight w:val="none"/>
              </w:rPr>
              <w:t>节能效益分成比例</w:t>
            </w:r>
          </w:p>
        </w:tc>
        <w:tc>
          <w:tcPr>
            <w:tcW w:w="2303" w:type="dxa"/>
            <w:vAlign w:val="center"/>
          </w:tcPr>
          <w:p w14:paraId="448D9B9C">
            <w:pPr>
              <w:spacing w:line="280" w:lineRule="exact"/>
              <w:jc w:val="center"/>
              <w:rPr>
                <w:color w:val="auto"/>
                <w:highlight w:val="none"/>
              </w:rPr>
            </w:pPr>
            <w:r>
              <w:rPr>
                <w:rFonts w:hint="eastAsia"/>
                <w:color w:val="auto"/>
                <w:highlight w:val="none"/>
              </w:rPr>
              <w:t>招标人</w:t>
            </w:r>
          </w:p>
        </w:tc>
        <w:tc>
          <w:tcPr>
            <w:tcW w:w="2335" w:type="dxa"/>
            <w:vAlign w:val="center"/>
          </w:tcPr>
          <w:p w14:paraId="6302DF97">
            <w:pPr>
              <w:spacing w:line="280" w:lineRule="exact"/>
              <w:jc w:val="center"/>
              <w:rPr>
                <w:color w:val="auto"/>
                <w:highlight w:val="none"/>
              </w:rPr>
            </w:pPr>
            <w:r>
              <w:rPr>
                <w:rFonts w:hint="eastAsia"/>
                <w:color w:val="auto"/>
                <w:highlight w:val="none"/>
              </w:rPr>
              <w:t>投标人</w:t>
            </w:r>
          </w:p>
        </w:tc>
      </w:tr>
      <w:tr w14:paraId="65F9FB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48085CF7">
            <w:pPr>
              <w:spacing w:line="280" w:lineRule="exact"/>
              <w:jc w:val="center"/>
              <w:rPr>
                <w:color w:val="auto"/>
                <w:highlight w:val="none"/>
              </w:rPr>
            </w:pPr>
          </w:p>
        </w:tc>
        <w:tc>
          <w:tcPr>
            <w:tcW w:w="1511" w:type="dxa"/>
            <w:vAlign w:val="center"/>
          </w:tcPr>
          <w:p w14:paraId="07A84473">
            <w:pPr>
              <w:spacing w:line="280" w:lineRule="exact"/>
              <w:jc w:val="center"/>
              <w:rPr>
                <w:color w:val="auto"/>
                <w:highlight w:val="none"/>
              </w:rPr>
            </w:pPr>
            <w:r>
              <w:rPr>
                <w:rFonts w:hint="eastAsia"/>
                <w:color w:val="auto"/>
                <w:highlight w:val="none"/>
              </w:rPr>
              <w:t>第一阶段</w:t>
            </w:r>
          </w:p>
        </w:tc>
        <w:tc>
          <w:tcPr>
            <w:tcW w:w="2303" w:type="dxa"/>
            <w:vAlign w:val="center"/>
          </w:tcPr>
          <w:p w14:paraId="6008DF90">
            <w:pPr>
              <w:spacing w:line="280" w:lineRule="exact"/>
              <w:jc w:val="center"/>
              <w:rPr>
                <w:color w:val="auto"/>
                <w:highlight w:val="none"/>
              </w:rPr>
            </w:pPr>
            <w:r>
              <w:rPr>
                <w:rFonts w:hint="eastAsia"/>
                <w:color w:val="auto"/>
                <w:highlight w:val="none"/>
              </w:rPr>
              <w:t>%</w:t>
            </w:r>
          </w:p>
        </w:tc>
        <w:tc>
          <w:tcPr>
            <w:tcW w:w="2335" w:type="dxa"/>
            <w:vAlign w:val="center"/>
          </w:tcPr>
          <w:p w14:paraId="58C5BFDD">
            <w:pPr>
              <w:spacing w:line="280" w:lineRule="exact"/>
              <w:jc w:val="center"/>
              <w:rPr>
                <w:color w:val="auto"/>
                <w:highlight w:val="none"/>
              </w:rPr>
            </w:pPr>
            <w:r>
              <w:rPr>
                <w:rFonts w:hint="eastAsia"/>
                <w:color w:val="auto"/>
                <w:highlight w:val="none"/>
              </w:rPr>
              <w:t>%</w:t>
            </w:r>
          </w:p>
        </w:tc>
      </w:tr>
      <w:tr w14:paraId="2CDBE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41E9BBDC">
            <w:pPr>
              <w:spacing w:line="280" w:lineRule="exact"/>
              <w:jc w:val="center"/>
              <w:rPr>
                <w:color w:val="auto"/>
                <w:highlight w:val="none"/>
              </w:rPr>
            </w:pPr>
          </w:p>
        </w:tc>
        <w:tc>
          <w:tcPr>
            <w:tcW w:w="1511" w:type="dxa"/>
            <w:vAlign w:val="center"/>
          </w:tcPr>
          <w:p w14:paraId="41867C16">
            <w:pPr>
              <w:spacing w:line="280" w:lineRule="exact"/>
              <w:jc w:val="center"/>
              <w:rPr>
                <w:color w:val="auto"/>
                <w:highlight w:val="none"/>
              </w:rPr>
            </w:pPr>
            <w:r>
              <w:rPr>
                <w:rFonts w:hint="eastAsia"/>
                <w:color w:val="auto"/>
                <w:highlight w:val="none"/>
              </w:rPr>
              <w:t>第二阶段</w:t>
            </w:r>
          </w:p>
        </w:tc>
        <w:tc>
          <w:tcPr>
            <w:tcW w:w="2303" w:type="dxa"/>
            <w:vAlign w:val="center"/>
          </w:tcPr>
          <w:p w14:paraId="749A560D">
            <w:pPr>
              <w:spacing w:line="280" w:lineRule="exact"/>
              <w:jc w:val="center"/>
              <w:rPr>
                <w:color w:val="auto"/>
                <w:highlight w:val="none"/>
              </w:rPr>
            </w:pPr>
            <w:r>
              <w:rPr>
                <w:rFonts w:hint="eastAsia"/>
                <w:color w:val="auto"/>
                <w:highlight w:val="none"/>
              </w:rPr>
              <w:t>%</w:t>
            </w:r>
          </w:p>
        </w:tc>
        <w:tc>
          <w:tcPr>
            <w:tcW w:w="2335" w:type="dxa"/>
            <w:vAlign w:val="center"/>
          </w:tcPr>
          <w:p w14:paraId="0F520B6E">
            <w:pPr>
              <w:spacing w:line="280" w:lineRule="exact"/>
              <w:jc w:val="center"/>
              <w:rPr>
                <w:color w:val="auto"/>
                <w:highlight w:val="none"/>
              </w:rPr>
            </w:pPr>
            <w:r>
              <w:rPr>
                <w:rFonts w:hint="eastAsia"/>
                <w:color w:val="auto"/>
                <w:highlight w:val="none"/>
              </w:rPr>
              <w:t>%</w:t>
            </w:r>
          </w:p>
        </w:tc>
      </w:tr>
      <w:tr w14:paraId="47B90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79815320">
            <w:pPr>
              <w:spacing w:line="280" w:lineRule="exact"/>
              <w:jc w:val="center"/>
              <w:rPr>
                <w:color w:val="auto"/>
                <w:highlight w:val="none"/>
              </w:rPr>
            </w:pPr>
            <w:r>
              <w:rPr>
                <w:rFonts w:hint="eastAsia"/>
                <w:color w:val="auto"/>
                <w:highlight w:val="none"/>
              </w:rPr>
              <w:t>4</w:t>
            </w:r>
          </w:p>
        </w:tc>
        <w:tc>
          <w:tcPr>
            <w:tcW w:w="1511" w:type="dxa"/>
            <w:vAlign w:val="center"/>
          </w:tcPr>
          <w:p w14:paraId="65630562">
            <w:pPr>
              <w:spacing w:line="280" w:lineRule="exact"/>
              <w:jc w:val="center"/>
              <w:rPr>
                <w:color w:val="auto"/>
                <w:highlight w:val="none"/>
              </w:rPr>
            </w:pPr>
            <w:r>
              <w:rPr>
                <w:rFonts w:hint="eastAsia"/>
                <w:color w:val="auto"/>
                <w:highlight w:val="none"/>
                <w:lang w:val="en-US" w:eastAsia="zh-CN"/>
              </w:rPr>
              <w:t>n</w:t>
            </w:r>
            <w:r>
              <w:rPr>
                <w:rFonts w:hint="eastAsia"/>
                <w:color w:val="auto"/>
                <w:highlight w:val="none"/>
              </w:rPr>
              <w:t>投标人投资回收期</w:t>
            </w:r>
          </w:p>
        </w:tc>
        <w:tc>
          <w:tcPr>
            <w:tcW w:w="4638" w:type="dxa"/>
            <w:gridSpan w:val="2"/>
            <w:vAlign w:val="center"/>
          </w:tcPr>
          <w:p w14:paraId="6E635B5A">
            <w:pPr>
              <w:spacing w:line="280" w:lineRule="exact"/>
              <w:jc w:val="center"/>
              <w:rPr>
                <w:color w:val="auto"/>
                <w:highlight w:val="none"/>
              </w:rPr>
            </w:pPr>
            <w:r>
              <w:rPr>
                <w:rFonts w:hint="eastAsia"/>
                <w:color w:val="auto"/>
                <w:highlight w:val="none"/>
              </w:rPr>
              <w:t xml:space="preserve"> </w:t>
            </w:r>
            <w:r>
              <w:rPr>
                <w:color w:val="auto"/>
                <w:highlight w:val="none"/>
              </w:rPr>
              <w:t xml:space="preserve">    </w:t>
            </w:r>
            <w:r>
              <w:rPr>
                <w:rFonts w:hint="eastAsia"/>
                <w:color w:val="auto"/>
                <w:highlight w:val="none"/>
              </w:rPr>
              <w:t>年</w:t>
            </w:r>
          </w:p>
        </w:tc>
      </w:tr>
      <w:tr w14:paraId="5FC38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1052" w:type="dxa"/>
            <w:vAlign w:val="center"/>
          </w:tcPr>
          <w:p w14:paraId="0600674A">
            <w:pPr>
              <w:spacing w:line="280" w:lineRule="exact"/>
              <w:jc w:val="center"/>
              <w:rPr>
                <w:color w:val="auto"/>
                <w:highlight w:val="none"/>
              </w:rPr>
            </w:pPr>
            <w:r>
              <w:rPr>
                <w:color w:val="auto"/>
                <w:highlight w:val="none"/>
              </w:rPr>
              <w:t>5</w:t>
            </w:r>
          </w:p>
        </w:tc>
        <w:tc>
          <w:tcPr>
            <w:tcW w:w="1511" w:type="dxa"/>
            <w:vAlign w:val="center"/>
          </w:tcPr>
          <w:p w14:paraId="65FCEE06">
            <w:pPr>
              <w:spacing w:line="280" w:lineRule="exact"/>
              <w:jc w:val="center"/>
              <w:rPr>
                <w:color w:val="auto"/>
                <w:highlight w:val="none"/>
              </w:rPr>
            </w:pPr>
            <w:r>
              <w:rPr>
                <w:rFonts w:hint="eastAsia"/>
                <w:color w:val="auto"/>
                <w:highlight w:val="none"/>
              </w:rPr>
              <w:t>备注</w:t>
            </w:r>
          </w:p>
        </w:tc>
        <w:tc>
          <w:tcPr>
            <w:tcW w:w="4638" w:type="dxa"/>
            <w:gridSpan w:val="2"/>
            <w:vAlign w:val="center"/>
          </w:tcPr>
          <w:p w14:paraId="33190C22">
            <w:pPr>
              <w:spacing w:line="280" w:lineRule="exact"/>
              <w:jc w:val="left"/>
              <w:rPr>
                <w:color w:val="auto"/>
                <w:highlight w:val="none"/>
              </w:rPr>
            </w:pPr>
            <w:r>
              <w:rPr>
                <w:rFonts w:hint="eastAsia"/>
                <w:color w:val="auto"/>
                <w:highlight w:val="none"/>
              </w:rPr>
              <w:t>1.装置运行满2年后，合同能源管理期限内，甲方可向乙方回购本项目装置，回购价由双方协商确认</w:t>
            </w:r>
          </w:p>
          <w:p w14:paraId="3121F717">
            <w:pPr>
              <w:spacing w:line="280" w:lineRule="exact"/>
              <w:jc w:val="left"/>
              <w:rPr>
                <w:color w:val="auto"/>
                <w:highlight w:val="none"/>
              </w:rPr>
            </w:pPr>
            <w:r>
              <w:rPr>
                <w:rFonts w:hint="eastAsia"/>
                <w:color w:val="auto"/>
                <w:highlight w:val="none"/>
              </w:rPr>
              <w:t>2.第一阶段为乙方投资回收期前，第二阶段为乙方投资回收期后至装置设计寿命20年。</w:t>
            </w:r>
          </w:p>
          <w:p w14:paraId="579E852E">
            <w:pPr>
              <w:spacing w:line="280" w:lineRule="exact"/>
              <w:jc w:val="left"/>
              <w:rPr>
                <w:color w:val="auto"/>
                <w:highlight w:val="none"/>
              </w:rPr>
            </w:pPr>
            <w:r>
              <w:rPr>
                <w:rFonts w:hint="eastAsia"/>
                <w:color w:val="auto"/>
                <w:highlight w:val="none"/>
              </w:rPr>
              <w:t>3.乙方投资回收期：以乙方投标</w:t>
            </w:r>
            <w:r>
              <w:rPr>
                <w:color w:val="auto"/>
                <w:highlight w:val="none"/>
              </w:rPr>
              <w:t>投资回收期</w:t>
            </w:r>
            <w:r>
              <w:rPr>
                <w:rFonts w:hint="eastAsia"/>
                <w:color w:val="auto"/>
                <w:highlight w:val="none"/>
              </w:rPr>
              <w:t>为准，不得大于8年。</w:t>
            </w:r>
          </w:p>
          <w:p w14:paraId="4150D9D4">
            <w:pPr>
              <w:spacing w:line="280" w:lineRule="exact"/>
              <w:jc w:val="left"/>
              <w:rPr>
                <w:color w:val="auto"/>
                <w:highlight w:val="none"/>
              </w:rPr>
            </w:pPr>
            <w:r>
              <w:rPr>
                <w:rFonts w:hint="eastAsia"/>
                <w:color w:val="auto"/>
                <w:highlight w:val="none"/>
              </w:rPr>
              <w:t>4.乙方投资回收后第二季度分成比例按第二阶段执行。</w:t>
            </w:r>
          </w:p>
          <w:p w14:paraId="7A6C8C7D">
            <w:pPr>
              <w:spacing w:line="280" w:lineRule="exact"/>
              <w:jc w:val="left"/>
              <w:rPr>
                <w:color w:val="auto"/>
                <w:highlight w:val="none"/>
              </w:rPr>
            </w:pPr>
            <w:r>
              <w:rPr>
                <w:rFonts w:hint="eastAsia"/>
                <w:color w:val="auto"/>
                <w:highlight w:val="none"/>
              </w:rPr>
              <w:t>5.效益分享期结束后，本项目涉及乙方资产无偿移交甲方。</w:t>
            </w:r>
          </w:p>
        </w:tc>
      </w:tr>
    </w:tbl>
    <w:p w14:paraId="20EA237F">
      <w:pPr>
        <w:spacing w:before="78" w:line="350" w:lineRule="auto"/>
        <w:ind w:right="173"/>
        <w:jc w:val="both"/>
        <w:outlineLvl w:val="1"/>
        <w:rPr>
          <w:rFonts w:hint="default" w:eastAsia="宋体"/>
          <w:color w:val="auto"/>
          <w:highlight w:val="none"/>
          <w:lang w:val="en-US" w:eastAsia="zh-CN"/>
        </w:rPr>
      </w:pPr>
      <w:r>
        <w:rPr>
          <w:rFonts w:hint="eastAsia"/>
          <w:color w:val="auto"/>
          <w:highlight w:val="none"/>
          <w:lang w:val="en-US" w:eastAsia="zh-CN"/>
        </w:rPr>
        <w:t>注意：系统中投标报价栏目填写</w:t>
      </w:r>
      <w:r>
        <w:rPr>
          <w:rFonts w:hint="eastAsia"/>
          <w:color w:val="auto"/>
          <w:highlight w:val="none"/>
        </w:rPr>
        <w:t>投标人总投资额</w:t>
      </w:r>
    </w:p>
    <w:p w14:paraId="774E3C0C">
      <w:pPr>
        <w:spacing w:before="78" w:line="350" w:lineRule="auto"/>
        <w:ind w:right="173"/>
        <w:rPr>
          <w:rFonts w:ascii="宋体" w:hAnsi="宋体" w:cs="宋体"/>
          <w:color w:val="auto"/>
          <w:spacing w:val="-1"/>
          <w:highlight w:val="none"/>
        </w:rPr>
      </w:pPr>
    </w:p>
    <w:p w14:paraId="66D8AE3F">
      <w:pPr>
        <w:spacing w:before="78" w:line="350" w:lineRule="auto"/>
        <w:ind w:right="173"/>
        <w:rPr>
          <w:rFonts w:ascii="宋体" w:hAnsi="宋体" w:cs="宋体"/>
          <w:color w:val="auto"/>
          <w:spacing w:val="-1"/>
          <w:highlight w:val="none"/>
        </w:rPr>
      </w:pPr>
      <w:r>
        <w:rPr>
          <w:rFonts w:hint="eastAsia" w:ascii="宋体" w:hAnsi="宋体" w:cs="宋体"/>
          <w:color w:val="auto"/>
          <w:spacing w:val="-1"/>
          <w:highlight w:val="none"/>
        </w:rPr>
        <w:t>投标人（盖章）：</w:t>
      </w:r>
    </w:p>
    <w:p w14:paraId="40ED7A09">
      <w:pPr>
        <w:spacing w:before="78" w:line="350" w:lineRule="auto"/>
        <w:ind w:right="173"/>
        <w:rPr>
          <w:rFonts w:ascii="宋体" w:hAnsi="宋体" w:cs="宋体"/>
          <w:color w:val="auto"/>
          <w:spacing w:val="-1"/>
          <w:highlight w:val="none"/>
        </w:rPr>
      </w:pPr>
      <w:r>
        <w:rPr>
          <w:rFonts w:hint="eastAsia" w:ascii="宋体" w:hAnsi="宋体" w:cs="宋体"/>
          <w:color w:val="auto"/>
          <w:spacing w:val="-1"/>
          <w:highlight w:val="none"/>
        </w:rPr>
        <w:t>法定代表人或授权代理人签字：</w:t>
      </w:r>
    </w:p>
    <w:p w14:paraId="6BD4939A">
      <w:pPr>
        <w:spacing w:before="78" w:line="350" w:lineRule="auto"/>
        <w:ind w:right="173"/>
        <w:rPr>
          <w:rFonts w:hint="default" w:ascii="宋体" w:hAnsi="宋体" w:cs="宋体"/>
          <w:color w:val="auto"/>
          <w:spacing w:val="-1"/>
          <w:highlight w:val="none"/>
          <w:lang w:val="en-US" w:eastAsia="zh-CN"/>
        </w:rPr>
      </w:pPr>
      <w:r>
        <w:rPr>
          <w:rFonts w:hint="eastAsia" w:ascii="宋体" w:hAnsi="宋体" w:cs="宋体"/>
          <w:color w:val="auto"/>
          <w:spacing w:val="-1"/>
          <w:highlight w:val="none"/>
        </w:rPr>
        <w:t>日期：</w:t>
      </w:r>
    </w:p>
    <w:sectPr>
      <w:footerReference r:id="rId7" w:type="default"/>
      <w:pgSz w:w="11906" w:h="16838"/>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PMingLiU">
    <w:altName w:val="Microsoft JhengHei UI"/>
    <w:panose1 w:val="02010601000101010101"/>
    <w:charset w:val="88"/>
    <w:family w:val="auto"/>
    <w:pitch w:val="default"/>
    <w:sig w:usb0="00000000" w:usb1="00000000" w:usb2="00000010" w:usb3="00000000" w:csb0="0010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Microsoft JhengHei U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0ADD7">
    <w:pPr>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2169B">
    <w:pPr>
      <w:pStyle w:val="11"/>
      <w:jc w:val="center"/>
    </w:pPr>
    <w:r>
      <w:fldChar w:fldCharType="begin"/>
    </w:r>
    <w:r>
      <w:instrText xml:space="preserve"> PAGE   \* MERGEFORMAT </w:instrText>
    </w:r>
    <w:r>
      <w:fldChar w:fldCharType="separate"/>
    </w:r>
    <w:r>
      <w:rPr>
        <w:lang w:val="zh-CN"/>
      </w:rPr>
      <w:t>30</w:t>
    </w:r>
    <w:r>
      <w:fldChar w:fldCharType="end"/>
    </w:r>
  </w:p>
  <w:p w14:paraId="790DBAC5">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6C1F4">
    <w:pPr>
      <w:ind w:right="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A281B">
    <w:pPr>
      <w:jc w:val="center"/>
    </w:pPr>
    <w:r>
      <w:fldChar w:fldCharType="begin"/>
    </w:r>
    <w:r>
      <w:instrText xml:space="preserve">PAGE  \* MERGEFORMAT</w:instrText>
    </w:r>
    <w:r>
      <w:fldChar w:fldCharType="separate"/>
    </w:r>
    <w:r>
      <w:rPr>
        <w:rFonts w:eastAsia="Times New Roman"/>
      </w:rPr>
      <w:t>23</w:t>
    </w:r>
    <w:r>
      <w:rPr>
        <w:rFonts w:eastAsia="Times New Roma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AFE26">
    <w:pPr>
      <w:pStyle w:val="11"/>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B392BE">
                          <w:pPr>
                            <w:pStyle w:val="11"/>
                            <w:jc w:val="center"/>
                          </w:pPr>
                          <w:r>
                            <w:fldChar w:fldCharType="begin"/>
                          </w:r>
                          <w:r>
                            <w:instrText xml:space="preserve"> PAGE   \* MERGEFORMAT </w:instrText>
                          </w:r>
                          <w:r>
                            <w:fldChar w:fldCharType="separate"/>
                          </w:r>
                          <w:r>
                            <w:rPr>
                              <w:lang w:val="zh-CN"/>
                            </w:rPr>
                            <w:t>154</w:t>
                          </w:r>
                          <w:r>
                            <w:fldChar w:fldCharType="end"/>
                          </w:r>
                        </w:p>
                      </w:txbxContent>
                    </wps:txbx>
                    <wps:bodyPr wrap="none" lIns="0" tIns="0" rIns="0" bIns="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y5LMIBAACO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5&#10;zPr0AWpMuw+YmIZ3fsCtmf2Azkx7UNHmLxIiGEd1z1d15ZCIyI/Wq/W6wpDA2HxBfPbwPERI76W3&#10;JBsNjTi+oio/fYQ0ps4puZrzd9qYMkLj/nEgZvaw3PvYY7bSsB8mQnvfnpFPj5NvqMNFp8R8cChs&#10;XpLZiLOxn4xcA8LtMWHh0k9GHaGmYjimwmhaqbwHj+8l6+E32v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Ep8uSzCAQAAjgMAAA4AAAAAAAAAAQAgAAAAHgEAAGRycy9lMm9Eb2MueG1sUEsF&#10;BgAAAAAGAAYAWQEAAFIFAAAAAA==&#10;">
              <v:fill on="f" focussize="0,0"/>
              <v:stroke on="f"/>
              <v:imagedata o:title=""/>
              <o:lock v:ext="edit" aspectratio="f"/>
              <v:textbox inset="0mm,0mm,0mm,0mm" style="mso-fit-shape-to-text:t;">
                <w:txbxContent>
                  <w:p w14:paraId="20B392BE">
                    <w:pPr>
                      <w:pStyle w:val="11"/>
                      <w:jc w:val="center"/>
                    </w:pPr>
                    <w:r>
                      <w:fldChar w:fldCharType="begin"/>
                    </w:r>
                    <w:r>
                      <w:instrText xml:space="preserve"> PAGE   \* MERGEFORMAT </w:instrText>
                    </w:r>
                    <w:r>
                      <w:fldChar w:fldCharType="separate"/>
                    </w:r>
                    <w:r>
                      <w:rPr>
                        <w:lang w:val="zh-CN"/>
                      </w:rPr>
                      <w:t>154</w:t>
                    </w:r>
                    <w:r>
                      <w:fldChar w:fldCharType="end"/>
                    </w:r>
                  </w:p>
                </w:txbxContent>
              </v:textbox>
            </v:shape>
          </w:pict>
        </mc:Fallback>
      </mc:AlternateContent>
    </w:r>
  </w:p>
  <w:p w14:paraId="6123BD75">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5CE63"/>
    <w:multiLevelType w:val="multilevel"/>
    <w:tmpl w:val="8145CE63"/>
    <w:lvl w:ilvl="0" w:tentative="0">
      <w:start w:val="1"/>
      <w:numFmt w:val="decimal"/>
      <w:suff w:val="nothing"/>
      <w:lvlText w:val="5.%1"/>
      <w:lvlJc w:val="left"/>
      <w:pPr>
        <w:tabs>
          <w:tab w:val="left" w:pos="0"/>
        </w:tabs>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
    <w:nsid w:val="8B81131C"/>
    <w:multiLevelType w:val="singleLevel"/>
    <w:tmpl w:val="8B81131C"/>
    <w:lvl w:ilvl="0" w:tentative="0">
      <w:start w:val="1"/>
      <w:numFmt w:val="decimalEnclosedCircleChinese"/>
      <w:suff w:val="nothing"/>
      <w:lvlText w:val="%1　"/>
      <w:lvlJc w:val="left"/>
      <w:pPr>
        <w:ind w:left="420" w:firstLine="400"/>
      </w:pPr>
      <w:rPr>
        <w:rFonts w:hint="eastAsia"/>
      </w:rPr>
    </w:lvl>
  </w:abstractNum>
  <w:abstractNum w:abstractNumId="2">
    <w:nsid w:val="90A5418F"/>
    <w:multiLevelType w:val="multilevel"/>
    <w:tmpl w:val="90A5418F"/>
    <w:lvl w:ilvl="0" w:tentative="0">
      <w:start w:val="1"/>
      <w:numFmt w:val="decimal"/>
      <w:suff w:val="nothing"/>
      <w:lvlText w:val="6.%1"/>
      <w:lvlJc w:val="left"/>
      <w:pPr>
        <w:tabs>
          <w:tab w:val="left" w:pos="0"/>
        </w:tabs>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3">
    <w:nsid w:val="A7419446"/>
    <w:multiLevelType w:val="singleLevel"/>
    <w:tmpl w:val="A7419446"/>
    <w:lvl w:ilvl="0" w:tentative="0">
      <w:start w:val="1"/>
      <w:numFmt w:val="decimalEnclosedCircleChinese"/>
      <w:suff w:val="nothing"/>
      <w:lvlText w:val="%1　"/>
      <w:lvlJc w:val="left"/>
      <w:pPr>
        <w:ind w:left="420" w:firstLine="400"/>
      </w:pPr>
      <w:rPr>
        <w:rFonts w:hint="eastAsia"/>
      </w:rPr>
    </w:lvl>
  </w:abstractNum>
  <w:abstractNum w:abstractNumId="4">
    <w:nsid w:val="AC7EB373"/>
    <w:multiLevelType w:val="singleLevel"/>
    <w:tmpl w:val="AC7EB373"/>
    <w:lvl w:ilvl="0" w:tentative="0">
      <w:start w:val="1"/>
      <w:numFmt w:val="decimal"/>
      <w:suff w:val="nothing"/>
      <w:lvlText w:val="14.%1"/>
      <w:lvlJc w:val="left"/>
      <w:pPr>
        <w:ind w:left="425" w:hanging="425"/>
      </w:pPr>
      <w:rPr>
        <w:rFonts w:hint="default"/>
      </w:rPr>
    </w:lvl>
  </w:abstractNum>
  <w:abstractNum w:abstractNumId="5">
    <w:nsid w:val="B13D7D5A"/>
    <w:multiLevelType w:val="multilevel"/>
    <w:tmpl w:val="B13D7D5A"/>
    <w:lvl w:ilvl="0" w:tentative="0">
      <w:start w:val="1"/>
      <w:numFmt w:val="decimal"/>
      <w:suff w:val="space"/>
      <w:lvlText w:val="7.4.%1"/>
      <w:lvlJc w:val="left"/>
      <w:pPr>
        <w:tabs>
          <w:tab w:val="left" w:pos="0"/>
        </w:tabs>
        <w:ind w:left="420" w:hanging="420"/>
      </w:pPr>
      <w:rPr>
        <w:rFonts w:hint="default" w:ascii="Times New Roman" w:hAnsi="Times New Roman" w:cs="Times New Roman"/>
        <w:b w:val="0"/>
        <w:color w:val="auto"/>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B359FF0D"/>
    <w:multiLevelType w:val="singleLevel"/>
    <w:tmpl w:val="B359FF0D"/>
    <w:lvl w:ilvl="0" w:tentative="0">
      <w:start w:val="1"/>
      <w:numFmt w:val="decimalEnclosedCircleChinese"/>
      <w:suff w:val="nothing"/>
      <w:lvlText w:val="%1　"/>
      <w:lvlJc w:val="left"/>
      <w:pPr>
        <w:ind w:left="420" w:firstLine="400"/>
      </w:pPr>
      <w:rPr>
        <w:rFonts w:hint="eastAsia"/>
      </w:rPr>
    </w:lvl>
  </w:abstractNum>
  <w:abstractNum w:abstractNumId="7">
    <w:nsid w:val="B393B639"/>
    <w:multiLevelType w:val="singleLevel"/>
    <w:tmpl w:val="B393B639"/>
    <w:lvl w:ilvl="0" w:tentative="0">
      <w:start w:val="1"/>
      <w:numFmt w:val="decimal"/>
      <w:suff w:val="nothing"/>
      <w:lvlText w:val="%1、"/>
      <w:lvlJc w:val="left"/>
    </w:lvl>
  </w:abstractNum>
  <w:abstractNum w:abstractNumId="8">
    <w:nsid w:val="B5E98E5D"/>
    <w:multiLevelType w:val="multilevel"/>
    <w:tmpl w:val="B5E98E5D"/>
    <w:lvl w:ilvl="0" w:tentative="0">
      <w:start w:val="1"/>
      <w:numFmt w:val="decimal"/>
      <w:suff w:val="space"/>
      <w:lvlText w:val="4.2.%1"/>
      <w:lvlJc w:val="left"/>
      <w:pPr>
        <w:tabs>
          <w:tab w:val="left" w:pos="0"/>
        </w:tabs>
        <w:ind w:left="840" w:firstLine="0"/>
      </w:pPr>
      <w:rPr>
        <w:rFonts w:hint="default" w:ascii="Times New Roman" w:hAnsi="Times New Roman" w:eastAsia="宋体" w:cs="Times New Roman"/>
        <w:b w:val="0"/>
        <w:color w:val="auto"/>
        <w:sz w:val="24"/>
        <w:szCs w:val="24"/>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BF3DD71E"/>
    <w:multiLevelType w:val="multilevel"/>
    <w:tmpl w:val="BF3DD71E"/>
    <w:lvl w:ilvl="0" w:tentative="0">
      <w:start w:val="1"/>
      <w:numFmt w:val="decimal"/>
      <w:lvlText w:val="7.%1"/>
      <w:lvlJc w:val="left"/>
      <w:pPr>
        <w:ind w:left="420" w:hanging="420"/>
      </w:pPr>
      <w:rPr>
        <w:rFonts w:hint="eastAsia"/>
      </w:rPr>
    </w:lvl>
    <w:lvl w:ilvl="1" w:tentative="0">
      <w:start w:val="1"/>
      <w:numFmt w:val="decimal"/>
      <w:suff w:val="space"/>
      <w:lvlText w:val="8.%2"/>
      <w:lvlJc w:val="left"/>
      <w:pPr>
        <w:tabs>
          <w:tab w:val="left" w:pos="0"/>
        </w:tabs>
        <w:ind w:left="0" w:firstLine="0"/>
      </w:pPr>
      <w:rPr>
        <w:rFonts w:hint="default" w:ascii="Times New Roman" w:hAnsi="Times New Roman" w:eastAsia="宋体" w:cs="Times New Roman"/>
        <w:sz w:val="24"/>
        <w:szCs w:val="24"/>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C19B3C5B"/>
    <w:multiLevelType w:val="singleLevel"/>
    <w:tmpl w:val="C19B3C5B"/>
    <w:lvl w:ilvl="0" w:tentative="0">
      <w:start w:val="4"/>
      <w:numFmt w:val="decimal"/>
      <w:suff w:val="nothing"/>
      <w:lvlText w:val="（%1）"/>
      <w:lvlJc w:val="left"/>
    </w:lvl>
  </w:abstractNum>
  <w:abstractNum w:abstractNumId="11">
    <w:nsid w:val="D95E226F"/>
    <w:multiLevelType w:val="singleLevel"/>
    <w:tmpl w:val="D95E226F"/>
    <w:lvl w:ilvl="0" w:tentative="0">
      <w:start w:val="1"/>
      <w:numFmt w:val="decimalEnclosedCircleChinese"/>
      <w:suff w:val="nothing"/>
      <w:lvlText w:val="%1　"/>
      <w:lvlJc w:val="left"/>
      <w:pPr>
        <w:ind w:left="420" w:firstLine="400"/>
      </w:pPr>
      <w:rPr>
        <w:rFonts w:hint="eastAsia"/>
      </w:rPr>
    </w:lvl>
  </w:abstractNum>
  <w:abstractNum w:abstractNumId="12">
    <w:nsid w:val="E4EAD5E4"/>
    <w:multiLevelType w:val="multilevel"/>
    <w:tmpl w:val="E4EAD5E4"/>
    <w:lvl w:ilvl="0" w:tentative="0">
      <w:start w:val="1"/>
      <w:numFmt w:val="decimal"/>
      <w:suff w:val="space"/>
      <w:lvlText w:val="9.1.%1"/>
      <w:lvlJc w:val="left"/>
      <w:pPr>
        <w:tabs>
          <w:tab w:val="left" w:pos="0"/>
        </w:tabs>
        <w:ind w:left="840" w:firstLine="0"/>
      </w:pPr>
      <w:rPr>
        <w:rFonts w:hint="default" w:ascii="Times New Roman" w:hAnsi="Times New Roman" w:eastAsia="宋体" w:cs="Times New Roman"/>
        <w:sz w:val="24"/>
        <w:szCs w:val="24"/>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F599A25B"/>
    <w:multiLevelType w:val="singleLevel"/>
    <w:tmpl w:val="F599A25B"/>
    <w:lvl w:ilvl="0" w:tentative="0">
      <w:start w:val="1"/>
      <w:numFmt w:val="decimalEnclosedCircleChinese"/>
      <w:suff w:val="nothing"/>
      <w:lvlText w:val="%1　"/>
      <w:lvlJc w:val="left"/>
      <w:pPr>
        <w:ind w:left="420" w:firstLine="400"/>
      </w:pPr>
      <w:rPr>
        <w:rFonts w:hint="eastAsia"/>
      </w:rPr>
    </w:lvl>
  </w:abstractNum>
  <w:abstractNum w:abstractNumId="14">
    <w:nsid w:val="F9605B83"/>
    <w:multiLevelType w:val="singleLevel"/>
    <w:tmpl w:val="F9605B83"/>
    <w:lvl w:ilvl="0" w:tentative="0">
      <w:start w:val="1"/>
      <w:numFmt w:val="decimalEnclosedCircleChinese"/>
      <w:suff w:val="nothing"/>
      <w:lvlText w:val="%1　"/>
      <w:lvlJc w:val="left"/>
      <w:pPr>
        <w:ind w:left="420" w:firstLine="400"/>
      </w:pPr>
      <w:rPr>
        <w:rFonts w:hint="eastAsia"/>
      </w:rPr>
    </w:lvl>
  </w:abstractNum>
  <w:abstractNum w:abstractNumId="15">
    <w:nsid w:val="F9D9F00B"/>
    <w:multiLevelType w:val="multilevel"/>
    <w:tmpl w:val="F9D9F00B"/>
    <w:lvl w:ilvl="0" w:tentative="0">
      <w:start w:val="1"/>
      <w:numFmt w:val="decimal"/>
      <w:lvlText w:val="8.%1"/>
      <w:lvlJc w:val="left"/>
      <w:pPr>
        <w:ind w:left="0" w:firstLine="0"/>
      </w:pPr>
      <w:rPr>
        <w:rFonts w:hint="eastAsia" w:ascii="宋体" w:hAnsi="宋体" w:eastAsia="宋体"/>
        <w:sz w:val="24"/>
        <w:szCs w:val="24"/>
      </w:rPr>
    </w:lvl>
    <w:lvl w:ilvl="1" w:tentative="0">
      <w:start w:val="1"/>
      <w:numFmt w:val="lowerLetter"/>
      <w:lvlText w:val="%2)"/>
      <w:lvlJc w:val="left"/>
      <w:pPr>
        <w:ind w:left="840" w:hanging="420"/>
      </w:pPr>
    </w:lvl>
    <w:lvl w:ilvl="2" w:tentative="0">
      <w:start w:val="1"/>
      <w:numFmt w:val="decimal"/>
      <w:lvlText w:val="9.%3"/>
      <w:lvlJc w:val="left"/>
      <w:pPr>
        <w:ind w:left="0" w:firstLine="0"/>
      </w:pPr>
      <w:rPr>
        <w:rFonts w:hint="default" w:ascii="Times New Roman" w:hAnsi="Times New Roman" w:eastAsia="宋体" w:cs="Times New Roman"/>
        <w:b w:val="0"/>
        <w:bCs w:val="0"/>
        <w:sz w:val="24"/>
        <w:szCs w:val="24"/>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62D26A6"/>
    <w:multiLevelType w:val="multilevel"/>
    <w:tmpl w:val="062D26A6"/>
    <w:lvl w:ilvl="0" w:tentative="0">
      <w:start w:val="1"/>
      <w:numFmt w:val="decimal"/>
      <w:suff w:val="space"/>
      <w:lvlText w:val="2.1.%1"/>
      <w:lvlJc w:val="left"/>
      <w:pPr>
        <w:ind w:left="0" w:firstLine="0"/>
      </w:pPr>
      <w:rPr>
        <w:rFonts w:hint="default" w:ascii="Times New Roman" w:hAnsi="Times New Roman" w:cs="Times New Roman"/>
        <w:b w:val="0"/>
        <w:color w:val="auto"/>
        <w:sz w:val="24"/>
        <w:szCs w:val="24"/>
      </w:rPr>
    </w:lvl>
    <w:lvl w:ilvl="1" w:tentative="0">
      <w:start w:val="1"/>
      <w:numFmt w:val="decimal"/>
      <w:lvlText w:val="%1.%2"/>
      <w:lvlJc w:val="left"/>
      <w:pPr>
        <w:ind w:left="0" w:firstLine="0"/>
      </w:pPr>
      <w:rPr>
        <w:rFonts w:hint="default" w:ascii="宋体" w:hAnsi="宋体" w:eastAsia="宋体"/>
        <w:color w:val="auto"/>
        <w:sz w:val="24"/>
        <w:szCs w:val="24"/>
      </w:rPr>
    </w:lvl>
    <w:lvl w:ilvl="2" w:tentative="0">
      <w:start w:val="1"/>
      <w:numFmt w:val="decimal"/>
      <w:lvlText w:val="2.1.1.%3"/>
      <w:lvlJc w:val="left"/>
      <w:pPr>
        <w:ind w:left="720" w:hanging="720"/>
      </w:pPr>
      <w:rPr>
        <w:rFonts w:hint="default" w:ascii="Times New Roman" w:hAnsi="Times New Roman" w:cs="Times New Roman"/>
        <w:b w:val="0"/>
        <w:color w:val="auto"/>
        <w:sz w:val="24"/>
        <w:szCs w:val="24"/>
      </w:rPr>
    </w:lvl>
    <w:lvl w:ilvl="3" w:tentative="0">
      <w:start w:val="1"/>
      <w:numFmt w:val="decimal"/>
      <w:lvlText w:val="1.%4、"/>
      <w:lvlJc w:val="left"/>
      <w:pPr>
        <w:ind w:left="720" w:hanging="720"/>
      </w:pPr>
      <w:rPr>
        <w:rFonts w:hint="eastAsia"/>
        <w:color w:val="000000"/>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7">
    <w:nsid w:val="0BF863D8"/>
    <w:multiLevelType w:val="multilevel"/>
    <w:tmpl w:val="0BF863D8"/>
    <w:lvl w:ilvl="0" w:tentative="0">
      <w:start w:val="1"/>
      <w:numFmt w:val="decimal"/>
      <w:lvlText w:val="14.%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decimal"/>
      <w:suff w:val="space"/>
      <w:lvlText w:val="12.%3"/>
      <w:lvlJc w:val="left"/>
      <w:pPr>
        <w:ind w:left="0" w:firstLine="0"/>
      </w:pPr>
      <w:rPr>
        <w:rFonts w:hint="default" w:ascii="Times New Roman" w:hAnsi="Times New Roman" w:cs="Times New Roman"/>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8">
    <w:nsid w:val="0C7BA360"/>
    <w:multiLevelType w:val="multilevel"/>
    <w:tmpl w:val="0C7BA360"/>
    <w:lvl w:ilvl="0" w:tentative="0">
      <w:start w:val="1"/>
      <w:numFmt w:val="decimal"/>
      <w:suff w:val="nothing"/>
      <w:lvlText w:val="7.%1"/>
      <w:lvlJc w:val="left"/>
      <w:pPr>
        <w:tabs>
          <w:tab w:val="left" w:pos="0"/>
        </w:tabs>
        <w:ind w:left="425" w:hanging="425"/>
      </w:pPr>
      <w:rPr>
        <w:rFonts w:hint="default"/>
        <w:b w:val="0"/>
        <w:bCs w:val="0"/>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9">
    <w:nsid w:val="0D7161EB"/>
    <w:multiLevelType w:val="multilevel"/>
    <w:tmpl w:val="0D7161EB"/>
    <w:lvl w:ilvl="0" w:tentative="0">
      <w:start w:val="1"/>
      <w:numFmt w:val="decimal"/>
      <w:lvlText w:val="13.2.%1"/>
      <w:lvlJc w:val="left"/>
      <w:pPr>
        <w:ind w:left="420" w:hanging="420"/>
      </w:pPr>
      <w:rPr>
        <w:rFonts w:hint="eastAsia"/>
      </w:rPr>
    </w:lvl>
    <w:lvl w:ilvl="1" w:tentative="0">
      <w:start w:val="1"/>
      <w:numFmt w:val="decimal"/>
      <w:suff w:val="space"/>
      <w:lvlText w:val="11.2.%2"/>
      <w:lvlJc w:val="left"/>
      <w:pPr>
        <w:ind w:left="1050" w:firstLine="0"/>
      </w:pPr>
      <w:rPr>
        <w:rFonts w:hint="default" w:ascii="Times New Roman" w:hAnsi="Times New Roman" w:cs="Times New Roman"/>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0">
    <w:nsid w:val="109E2275"/>
    <w:multiLevelType w:val="multilevel"/>
    <w:tmpl w:val="109E2275"/>
    <w:lvl w:ilvl="0" w:tentative="0">
      <w:start w:val="1"/>
      <w:numFmt w:val="decimalEnclosedCircle"/>
      <w:lvlText w:val="%1"/>
      <w:lvlJc w:val="left"/>
      <w:pPr>
        <w:ind w:left="360" w:hanging="36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573226B"/>
    <w:multiLevelType w:val="singleLevel"/>
    <w:tmpl w:val="1573226B"/>
    <w:lvl w:ilvl="0" w:tentative="0">
      <w:start w:val="1"/>
      <w:numFmt w:val="decimal"/>
      <w:suff w:val="nothing"/>
      <w:lvlText w:val="13.%1"/>
      <w:lvlJc w:val="left"/>
      <w:pPr>
        <w:ind w:left="425" w:hanging="425"/>
      </w:pPr>
      <w:rPr>
        <w:rFonts w:hint="default"/>
      </w:rPr>
    </w:lvl>
  </w:abstractNum>
  <w:abstractNum w:abstractNumId="22">
    <w:nsid w:val="159E7A23"/>
    <w:multiLevelType w:val="multilevel"/>
    <w:tmpl w:val="159E7A23"/>
    <w:lvl w:ilvl="0" w:tentative="0">
      <w:start w:val="4"/>
      <w:numFmt w:val="decimal"/>
      <w:lvlText w:val="%1"/>
      <w:lvlJc w:val="left"/>
      <w:pPr>
        <w:ind w:left="840" w:hanging="840"/>
      </w:pPr>
      <w:rPr>
        <w:rFonts w:hint="default"/>
      </w:rPr>
    </w:lvl>
    <w:lvl w:ilvl="1" w:tentative="0">
      <w:start w:val="2"/>
      <w:numFmt w:val="decimal"/>
      <w:lvlText w:val="%1.%2"/>
      <w:lvlJc w:val="left"/>
      <w:pPr>
        <w:ind w:left="1000" w:hanging="840"/>
      </w:pPr>
      <w:rPr>
        <w:rFonts w:hint="default"/>
      </w:rPr>
    </w:lvl>
    <w:lvl w:ilvl="2" w:tentative="0">
      <w:start w:val="2"/>
      <w:numFmt w:val="decimal"/>
      <w:lvlText w:val="%1.%2.%3"/>
      <w:lvlJc w:val="left"/>
      <w:pPr>
        <w:ind w:left="1160" w:hanging="840"/>
      </w:pPr>
      <w:rPr>
        <w:rFonts w:hint="default"/>
      </w:rPr>
    </w:lvl>
    <w:lvl w:ilvl="3" w:tentative="0">
      <w:start w:val="7"/>
      <w:numFmt w:val="decimal"/>
      <w:lvlText w:val="%1.%2.%3.%4"/>
      <w:lvlJc w:val="left"/>
      <w:pPr>
        <w:ind w:left="1560" w:hanging="1080"/>
      </w:pPr>
      <w:rPr>
        <w:rFonts w:hint="default"/>
      </w:rPr>
    </w:lvl>
    <w:lvl w:ilvl="4" w:tentative="0">
      <w:start w:val="1"/>
      <w:numFmt w:val="decimal"/>
      <w:lvlText w:val="%1.%2.%3.%4.%5"/>
      <w:lvlJc w:val="left"/>
      <w:pPr>
        <w:ind w:left="1720" w:hanging="1080"/>
      </w:pPr>
      <w:rPr>
        <w:rFonts w:hint="default"/>
      </w:rPr>
    </w:lvl>
    <w:lvl w:ilvl="5" w:tentative="0">
      <w:start w:val="1"/>
      <w:numFmt w:val="decimal"/>
      <w:lvlText w:val="%1.%2.%3.%4.%5.%6"/>
      <w:lvlJc w:val="left"/>
      <w:pPr>
        <w:ind w:left="2240" w:hanging="1440"/>
      </w:pPr>
      <w:rPr>
        <w:rFonts w:hint="default"/>
      </w:rPr>
    </w:lvl>
    <w:lvl w:ilvl="6" w:tentative="0">
      <w:start w:val="1"/>
      <w:numFmt w:val="decimal"/>
      <w:lvlText w:val="%1.%2.%3.%4.%5.%6.%7"/>
      <w:lvlJc w:val="left"/>
      <w:pPr>
        <w:ind w:left="2760" w:hanging="1800"/>
      </w:pPr>
      <w:rPr>
        <w:rFonts w:hint="default"/>
      </w:rPr>
    </w:lvl>
    <w:lvl w:ilvl="7" w:tentative="0">
      <w:start w:val="1"/>
      <w:numFmt w:val="decimal"/>
      <w:lvlText w:val="%1.%2.%3.%4.%5.%6.%7.%8"/>
      <w:lvlJc w:val="left"/>
      <w:pPr>
        <w:ind w:left="2920" w:hanging="1800"/>
      </w:pPr>
      <w:rPr>
        <w:rFonts w:hint="default"/>
      </w:rPr>
    </w:lvl>
    <w:lvl w:ilvl="8" w:tentative="0">
      <w:start w:val="1"/>
      <w:numFmt w:val="decimal"/>
      <w:lvlText w:val="%1.%2.%3.%4.%5.%6.%7.%8.%9"/>
      <w:lvlJc w:val="left"/>
      <w:pPr>
        <w:ind w:left="3440" w:hanging="2160"/>
      </w:pPr>
      <w:rPr>
        <w:rFonts w:hint="default"/>
      </w:rPr>
    </w:lvl>
  </w:abstractNum>
  <w:abstractNum w:abstractNumId="23">
    <w:nsid w:val="16EE7075"/>
    <w:multiLevelType w:val="multilevel"/>
    <w:tmpl w:val="16EE7075"/>
    <w:lvl w:ilvl="0" w:tentative="0">
      <w:start w:val="5"/>
      <w:numFmt w:val="decimal"/>
      <w:lvlText w:val="%1"/>
      <w:lvlJc w:val="left"/>
      <w:pPr>
        <w:ind w:left="600" w:hanging="600"/>
      </w:pPr>
      <w:rPr>
        <w:rFonts w:hint="default"/>
      </w:rPr>
    </w:lvl>
    <w:lvl w:ilvl="1" w:tentative="0">
      <w:start w:val="5"/>
      <w:numFmt w:val="decimal"/>
      <w:lvlText w:val="%1.%2"/>
      <w:lvlJc w:val="left"/>
      <w:pPr>
        <w:ind w:left="720" w:hanging="600"/>
      </w:pPr>
      <w:rPr>
        <w:rFonts w:hint="default"/>
      </w:rPr>
    </w:lvl>
    <w:lvl w:ilvl="2" w:tentative="0">
      <w:start w:val="3"/>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24">
    <w:nsid w:val="177F2968"/>
    <w:multiLevelType w:val="singleLevel"/>
    <w:tmpl w:val="177F2968"/>
    <w:lvl w:ilvl="0" w:tentative="0">
      <w:start w:val="1"/>
      <w:numFmt w:val="decimalEnclosedCircleChinese"/>
      <w:suff w:val="nothing"/>
      <w:lvlText w:val="%1　"/>
      <w:lvlJc w:val="left"/>
      <w:pPr>
        <w:ind w:left="420" w:firstLine="400"/>
      </w:pPr>
      <w:rPr>
        <w:rFonts w:hint="eastAsia"/>
      </w:rPr>
    </w:lvl>
  </w:abstractNum>
  <w:abstractNum w:abstractNumId="25">
    <w:nsid w:val="1F42C51A"/>
    <w:multiLevelType w:val="singleLevel"/>
    <w:tmpl w:val="1F42C51A"/>
    <w:lvl w:ilvl="0" w:tentative="0">
      <w:start w:val="1"/>
      <w:numFmt w:val="decimal"/>
      <w:lvlText w:val="%1)"/>
      <w:lvlJc w:val="left"/>
      <w:pPr>
        <w:ind w:left="1265" w:hanging="425"/>
      </w:pPr>
      <w:rPr>
        <w:rFonts w:hint="default"/>
      </w:rPr>
    </w:lvl>
  </w:abstractNum>
  <w:abstractNum w:abstractNumId="26">
    <w:nsid w:val="1FBDE6E4"/>
    <w:multiLevelType w:val="singleLevel"/>
    <w:tmpl w:val="1FBDE6E4"/>
    <w:lvl w:ilvl="0" w:tentative="0">
      <w:start w:val="1"/>
      <w:numFmt w:val="decimal"/>
      <w:suff w:val="space"/>
      <w:lvlText w:val="%1）"/>
      <w:lvlJc w:val="left"/>
      <w:pPr>
        <w:ind w:left="840"/>
      </w:pPr>
    </w:lvl>
  </w:abstractNum>
  <w:abstractNum w:abstractNumId="27">
    <w:nsid w:val="20BE6A7E"/>
    <w:multiLevelType w:val="multilevel"/>
    <w:tmpl w:val="20BE6A7E"/>
    <w:lvl w:ilvl="0" w:tentative="0">
      <w:start w:val="1"/>
      <w:numFmt w:val="decimal"/>
      <w:suff w:val="space"/>
      <w:lvlText w:val="9.2.%1"/>
      <w:lvlJc w:val="left"/>
      <w:pPr>
        <w:tabs>
          <w:tab w:val="left" w:pos="0"/>
        </w:tabs>
        <w:ind w:left="420" w:firstLine="0"/>
      </w:pPr>
      <w:rPr>
        <w:rFonts w:hint="default" w:ascii="Times New Roman" w:hAnsi="Times New Roman" w:eastAsia="宋体" w:cs="Times New Roman"/>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20FE7511"/>
    <w:multiLevelType w:val="singleLevel"/>
    <w:tmpl w:val="20FE7511"/>
    <w:lvl w:ilvl="0" w:tentative="0">
      <w:start w:val="1"/>
      <w:numFmt w:val="decimalEnclosedCircleChinese"/>
      <w:suff w:val="nothing"/>
      <w:lvlText w:val="%1　"/>
      <w:lvlJc w:val="left"/>
      <w:pPr>
        <w:ind w:left="1070" w:firstLine="400"/>
      </w:pPr>
      <w:rPr>
        <w:rFonts w:hint="eastAsia"/>
      </w:rPr>
    </w:lvl>
  </w:abstractNum>
  <w:abstractNum w:abstractNumId="29">
    <w:nsid w:val="21EBC68D"/>
    <w:multiLevelType w:val="singleLevel"/>
    <w:tmpl w:val="21EBC68D"/>
    <w:lvl w:ilvl="0" w:tentative="0">
      <w:start w:val="1"/>
      <w:numFmt w:val="decimalEnclosedCircleChinese"/>
      <w:suff w:val="nothing"/>
      <w:lvlText w:val="%1　"/>
      <w:lvlJc w:val="left"/>
      <w:pPr>
        <w:ind w:left="860" w:firstLine="400"/>
      </w:pPr>
      <w:rPr>
        <w:rFonts w:hint="eastAsia"/>
      </w:rPr>
    </w:lvl>
  </w:abstractNum>
  <w:abstractNum w:abstractNumId="30">
    <w:nsid w:val="220706CE"/>
    <w:multiLevelType w:val="singleLevel"/>
    <w:tmpl w:val="220706CE"/>
    <w:lvl w:ilvl="0" w:tentative="0">
      <w:start w:val="1"/>
      <w:numFmt w:val="decimalEnclosedCircleChinese"/>
      <w:suff w:val="nothing"/>
      <w:lvlText w:val="%1　"/>
      <w:lvlJc w:val="left"/>
      <w:pPr>
        <w:ind w:left="860" w:firstLine="400"/>
      </w:pPr>
      <w:rPr>
        <w:rFonts w:hint="eastAsia"/>
      </w:rPr>
    </w:lvl>
  </w:abstractNum>
  <w:abstractNum w:abstractNumId="31">
    <w:nsid w:val="351368E1"/>
    <w:multiLevelType w:val="multilevel"/>
    <w:tmpl w:val="351368E1"/>
    <w:lvl w:ilvl="0" w:tentative="0">
      <w:start w:val="1"/>
      <w:numFmt w:val="decimalEnclosedCircle"/>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37A7832A"/>
    <w:multiLevelType w:val="multilevel"/>
    <w:tmpl w:val="37A7832A"/>
    <w:lvl w:ilvl="0" w:tentative="0">
      <w:start w:val="1"/>
      <w:numFmt w:val="decimal"/>
      <w:suff w:val="nothing"/>
      <w:lvlText w:val="4.1.%1"/>
      <w:lvlJc w:val="left"/>
      <w:pPr>
        <w:ind w:left="1265" w:hanging="425"/>
      </w:pPr>
      <w:rPr>
        <w:rFonts w:hint="default" w:ascii="Times New Roman" w:hAnsi="Times New Roman" w:cs="Times New Roman"/>
      </w:rPr>
    </w:lvl>
    <w:lvl w:ilvl="1" w:tentative="0">
      <w:start w:val="1"/>
      <w:numFmt w:val="decimal"/>
      <w:lvlText w:val="%1.%2."/>
      <w:lvlJc w:val="left"/>
      <w:pPr>
        <w:ind w:left="1407" w:hanging="567"/>
      </w:pPr>
      <w:rPr>
        <w:rFonts w:hint="default"/>
      </w:rPr>
    </w:lvl>
    <w:lvl w:ilvl="2" w:tentative="0">
      <w:start w:val="1"/>
      <w:numFmt w:val="decimal"/>
      <w:lvlText w:val="%1.%2.%3."/>
      <w:lvlJc w:val="left"/>
      <w:pPr>
        <w:ind w:left="1549" w:hanging="709"/>
      </w:pPr>
      <w:rPr>
        <w:rFonts w:hint="default"/>
      </w:rPr>
    </w:lvl>
    <w:lvl w:ilvl="3" w:tentative="0">
      <w:start w:val="1"/>
      <w:numFmt w:val="decimal"/>
      <w:lvlText w:val="%1.%2.%3.%4."/>
      <w:lvlJc w:val="left"/>
      <w:pPr>
        <w:ind w:left="1690" w:hanging="850"/>
      </w:pPr>
      <w:rPr>
        <w:rFonts w:hint="default"/>
      </w:rPr>
    </w:lvl>
    <w:lvl w:ilvl="4" w:tentative="0">
      <w:start w:val="1"/>
      <w:numFmt w:val="decimal"/>
      <w:lvlText w:val="%1.%2.%3.%4.%5."/>
      <w:lvlJc w:val="left"/>
      <w:pPr>
        <w:ind w:left="1831" w:hanging="991"/>
      </w:pPr>
      <w:rPr>
        <w:rFonts w:hint="default"/>
      </w:rPr>
    </w:lvl>
    <w:lvl w:ilvl="5" w:tentative="0">
      <w:start w:val="1"/>
      <w:numFmt w:val="decimal"/>
      <w:lvlText w:val="%1.%2.%3.%4.%5.%6."/>
      <w:lvlJc w:val="left"/>
      <w:pPr>
        <w:ind w:left="1974" w:hanging="1134"/>
      </w:pPr>
      <w:rPr>
        <w:rFonts w:hint="default"/>
      </w:rPr>
    </w:lvl>
    <w:lvl w:ilvl="6" w:tentative="0">
      <w:start w:val="1"/>
      <w:numFmt w:val="decimal"/>
      <w:lvlText w:val="%1.%2.%3.%4.%5.%6.%7."/>
      <w:lvlJc w:val="left"/>
      <w:pPr>
        <w:ind w:left="2115" w:hanging="1275"/>
      </w:pPr>
      <w:rPr>
        <w:rFonts w:hint="default"/>
      </w:rPr>
    </w:lvl>
    <w:lvl w:ilvl="7" w:tentative="0">
      <w:start w:val="1"/>
      <w:numFmt w:val="decimal"/>
      <w:lvlText w:val="%1.%2.%3.%4.%5.%6.%7.%8."/>
      <w:lvlJc w:val="left"/>
      <w:pPr>
        <w:ind w:left="2258" w:hanging="1418"/>
      </w:pPr>
      <w:rPr>
        <w:rFonts w:hint="default"/>
      </w:rPr>
    </w:lvl>
    <w:lvl w:ilvl="8" w:tentative="0">
      <w:start w:val="1"/>
      <w:numFmt w:val="decimal"/>
      <w:lvlText w:val="%1.%2.%3.%4.%5.%6.%7.%8.%9."/>
      <w:lvlJc w:val="left"/>
      <w:pPr>
        <w:ind w:left="2398" w:hanging="1558"/>
      </w:pPr>
      <w:rPr>
        <w:rFonts w:hint="default"/>
      </w:rPr>
    </w:lvl>
  </w:abstractNum>
  <w:abstractNum w:abstractNumId="33">
    <w:nsid w:val="38C10255"/>
    <w:multiLevelType w:val="multilevel"/>
    <w:tmpl w:val="38C1025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BD66F12"/>
    <w:multiLevelType w:val="singleLevel"/>
    <w:tmpl w:val="3BD66F12"/>
    <w:lvl w:ilvl="0" w:tentative="0">
      <w:start w:val="1"/>
      <w:numFmt w:val="decimalEnclosedCircleChinese"/>
      <w:suff w:val="nothing"/>
      <w:lvlText w:val="%1　"/>
      <w:lvlJc w:val="left"/>
      <w:pPr>
        <w:ind w:left="420" w:firstLine="400"/>
      </w:pPr>
      <w:rPr>
        <w:rFonts w:hint="eastAsia"/>
      </w:rPr>
    </w:lvl>
  </w:abstractNum>
  <w:abstractNum w:abstractNumId="35">
    <w:nsid w:val="3D270398"/>
    <w:multiLevelType w:val="singleLevel"/>
    <w:tmpl w:val="3D270398"/>
    <w:lvl w:ilvl="0" w:tentative="0">
      <w:start w:val="1"/>
      <w:numFmt w:val="decimal"/>
      <w:lvlText w:val="%1)"/>
      <w:lvlJc w:val="left"/>
      <w:pPr>
        <w:ind w:left="1265" w:hanging="425"/>
      </w:pPr>
      <w:rPr>
        <w:rFonts w:hint="default"/>
      </w:rPr>
    </w:lvl>
  </w:abstractNum>
  <w:abstractNum w:abstractNumId="36">
    <w:nsid w:val="413D2A6D"/>
    <w:multiLevelType w:val="singleLevel"/>
    <w:tmpl w:val="413D2A6D"/>
    <w:lvl w:ilvl="0" w:tentative="0">
      <w:start w:val="1"/>
      <w:numFmt w:val="decimalEnclosedCircleChinese"/>
      <w:suff w:val="nothing"/>
      <w:lvlText w:val="%1　"/>
      <w:lvlJc w:val="left"/>
      <w:pPr>
        <w:ind w:left="420" w:firstLine="400"/>
      </w:pPr>
      <w:rPr>
        <w:rFonts w:hint="eastAsia"/>
      </w:rPr>
    </w:lvl>
  </w:abstractNum>
  <w:abstractNum w:abstractNumId="37">
    <w:nsid w:val="46A26BC3"/>
    <w:multiLevelType w:val="multilevel"/>
    <w:tmpl w:val="46A26BC3"/>
    <w:lvl w:ilvl="0" w:tentative="0">
      <w:start w:val="1"/>
      <w:numFmt w:val="decimal"/>
      <w:lvlText w:val="(%1)."/>
      <w:lvlJc w:val="left"/>
      <w:pPr>
        <w:tabs>
          <w:tab w:val="left" w:pos="840"/>
        </w:tabs>
        <w:ind w:left="84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38">
    <w:nsid w:val="46E0A069"/>
    <w:multiLevelType w:val="singleLevel"/>
    <w:tmpl w:val="46E0A069"/>
    <w:lvl w:ilvl="0" w:tentative="0">
      <w:start w:val="1"/>
      <w:numFmt w:val="decimalEnclosedCircleChinese"/>
      <w:suff w:val="nothing"/>
      <w:lvlText w:val="%1　"/>
      <w:lvlJc w:val="left"/>
      <w:pPr>
        <w:ind w:left="420" w:firstLine="400"/>
      </w:pPr>
      <w:rPr>
        <w:rFonts w:hint="eastAsia"/>
      </w:rPr>
    </w:lvl>
  </w:abstractNum>
  <w:abstractNum w:abstractNumId="39">
    <w:nsid w:val="4B2F017A"/>
    <w:multiLevelType w:val="multilevel"/>
    <w:tmpl w:val="4B2F017A"/>
    <w:lvl w:ilvl="0" w:tentative="0">
      <w:start w:val="1"/>
      <w:numFmt w:val="decimal"/>
      <w:lvlText w:val="13.1.%1"/>
      <w:lvlJc w:val="left"/>
      <w:pPr>
        <w:ind w:left="0" w:firstLine="0"/>
      </w:pPr>
      <w:rPr>
        <w:rFonts w:hint="eastAsia"/>
      </w:rPr>
    </w:lvl>
    <w:lvl w:ilvl="1" w:tentative="0">
      <w:start w:val="1"/>
      <w:numFmt w:val="decimal"/>
      <w:suff w:val="space"/>
      <w:lvlText w:val="11.1.%2"/>
      <w:lvlJc w:val="left"/>
      <w:pPr>
        <w:ind w:left="567" w:firstLine="0"/>
      </w:pPr>
      <w:rPr>
        <w:rFonts w:hint="default" w:ascii="Times New Roman" w:hAnsi="Times New Roman" w:cs="Times New Roman"/>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0">
    <w:nsid w:val="4BFB2664"/>
    <w:multiLevelType w:val="multilevel"/>
    <w:tmpl w:val="4BFB2664"/>
    <w:lvl w:ilvl="0" w:tentative="0">
      <w:start w:val="1"/>
      <w:numFmt w:val="decimal"/>
      <w:lvlText w:val="(%1)."/>
      <w:lvlJc w:val="left"/>
      <w:pPr>
        <w:tabs>
          <w:tab w:val="left" w:pos="840"/>
        </w:tabs>
        <w:ind w:left="840" w:hanging="420"/>
      </w:pPr>
      <w:rPr>
        <w:rFonts w:hint="eastAsia"/>
      </w:r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41">
    <w:nsid w:val="53877D41"/>
    <w:multiLevelType w:val="singleLevel"/>
    <w:tmpl w:val="53877D41"/>
    <w:lvl w:ilvl="0" w:tentative="0">
      <w:start w:val="1"/>
      <w:numFmt w:val="decimalEnclosedCircleChinese"/>
      <w:suff w:val="nothing"/>
      <w:lvlText w:val="%1　"/>
      <w:lvlJc w:val="left"/>
      <w:pPr>
        <w:ind w:left="420" w:firstLine="400"/>
      </w:pPr>
      <w:rPr>
        <w:rFonts w:hint="eastAsia"/>
      </w:rPr>
    </w:lvl>
  </w:abstractNum>
  <w:abstractNum w:abstractNumId="42">
    <w:nsid w:val="5685C945"/>
    <w:multiLevelType w:val="singleLevel"/>
    <w:tmpl w:val="5685C945"/>
    <w:lvl w:ilvl="0" w:tentative="0">
      <w:start w:val="1"/>
      <w:numFmt w:val="decimalEnclosedCircleChinese"/>
      <w:suff w:val="nothing"/>
      <w:lvlText w:val="%1　"/>
      <w:lvlJc w:val="left"/>
      <w:pPr>
        <w:ind w:left="-480" w:firstLine="400"/>
      </w:pPr>
      <w:rPr>
        <w:rFonts w:hint="eastAsia"/>
      </w:rPr>
    </w:lvl>
  </w:abstractNum>
  <w:abstractNum w:abstractNumId="43">
    <w:nsid w:val="59F557F6"/>
    <w:multiLevelType w:val="multilevel"/>
    <w:tmpl w:val="59F557F6"/>
    <w:lvl w:ilvl="0" w:tentative="0">
      <w:start w:val="5"/>
      <w:numFmt w:val="decimal"/>
      <w:lvlText w:val="%1"/>
      <w:lvlJc w:val="left"/>
      <w:pPr>
        <w:ind w:left="720" w:hanging="720"/>
      </w:pPr>
      <w:rPr>
        <w:rFonts w:hint="default"/>
      </w:rPr>
    </w:lvl>
    <w:lvl w:ilvl="1" w:tentative="0">
      <w:start w:val="13"/>
      <w:numFmt w:val="decimal"/>
      <w:lvlText w:val="%1.%2"/>
      <w:lvlJc w:val="left"/>
      <w:pPr>
        <w:ind w:left="840" w:hanging="720"/>
      </w:pPr>
      <w:rPr>
        <w:rFonts w:hint="default"/>
      </w:rPr>
    </w:lvl>
    <w:lvl w:ilvl="2" w:tentative="0">
      <w:start w:val="2"/>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44">
    <w:nsid w:val="5A9D20D4"/>
    <w:multiLevelType w:val="multilevel"/>
    <w:tmpl w:val="5A9D20D4"/>
    <w:lvl w:ilvl="0" w:tentative="0">
      <w:start w:val="1"/>
      <w:numFmt w:val="decimal"/>
      <w:suff w:val="space"/>
      <w:lvlText w:val="7.5.%1"/>
      <w:lvlJc w:val="left"/>
      <w:pPr>
        <w:tabs>
          <w:tab w:val="left" w:pos="0"/>
        </w:tabs>
        <w:ind w:left="0" w:firstLine="0"/>
      </w:pPr>
      <w:rPr>
        <w:rFonts w:hint="default" w:ascii="Times New Roman" w:hAnsi="Times New Roman"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5E2F1057"/>
    <w:multiLevelType w:val="multilevel"/>
    <w:tmpl w:val="5E2F1057"/>
    <w:lvl w:ilvl="0" w:tentative="0">
      <w:start w:val="4"/>
      <w:numFmt w:val="decimal"/>
      <w:lvlText w:val="%1"/>
      <w:lvlJc w:val="left"/>
      <w:pPr>
        <w:ind w:left="960" w:hanging="960"/>
      </w:pPr>
      <w:rPr>
        <w:rFonts w:hint="default"/>
      </w:rPr>
    </w:lvl>
    <w:lvl w:ilvl="1" w:tentative="0">
      <w:start w:val="2"/>
      <w:numFmt w:val="decimal"/>
      <w:lvlText w:val="%1.%2"/>
      <w:lvlJc w:val="left"/>
      <w:pPr>
        <w:ind w:left="1120" w:hanging="960"/>
      </w:pPr>
      <w:rPr>
        <w:rFonts w:hint="default"/>
      </w:rPr>
    </w:lvl>
    <w:lvl w:ilvl="2" w:tentative="0">
      <w:start w:val="2"/>
      <w:numFmt w:val="decimal"/>
      <w:lvlText w:val="%1.%2.%3"/>
      <w:lvlJc w:val="left"/>
      <w:pPr>
        <w:ind w:left="1280" w:hanging="960"/>
      </w:pPr>
      <w:rPr>
        <w:rFonts w:hint="default"/>
      </w:rPr>
    </w:lvl>
    <w:lvl w:ilvl="3" w:tentative="0">
      <w:start w:val="15"/>
      <w:numFmt w:val="decimal"/>
      <w:lvlText w:val="%1.%2.%3.%4"/>
      <w:lvlJc w:val="left"/>
      <w:pPr>
        <w:ind w:left="1560" w:hanging="1080"/>
      </w:pPr>
      <w:rPr>
        <w:rFonts w:hint="default"/>
      </w:rPr>
    </w:lvl>
    <w:lvl w:ilvl="4" w:tentative="0">
      <w:start w:val="1"/>
      <w:numFmt w:val="decimal"/>
      <w:lvlText w:val="%1.%2.%3.%4.%5"/>
      <w:lvlJc w:val="left"/>
      <w:pPr>
        <w:ind w:left="1720" w:hanging="1080"/>
      </w:pPr>
      <w:rPr>
        <w:rFonts w:hint="default"/>
      </w:rPr>
    </w:lvl>
    <w:lvl w:ilvl="5" w:tentative="0">
      <w:start w:val="1"/>
      <w:numFmt w:val="decimal"/>
      <w:lvlText w:val="%1.%2.%3.%4.%5.%6"/>
      <w:lvlJc w:val="left"/>
      <w:pPr>
        <w:ind w:left="2240" w:hanging="1440"/>
      </w:pPr>
      <w:rPr>
        <w:rFonts w:hint="default"/>
      </w:rPr>
    </w:lvl>
    <w:lvl w:ilvl="6" w:tentative="0">
      <w:start w:val="1"/>
      <w:numFmt w:val="decimal"/>
      <w:lvlText w:val="%1.%2.%3.%4.%5.%6.%7"/>
      <w:lvlJc w:val="left"/>
      <w:pPr>
        <w:ind w:left="2760" w:hanging="1800"/>
      </w:pPr>
      <w:rPr>
        <w:rFonts w:hint="default"/>
      </w:rPr>
    </w:lvl>
    <w:lvl w:ilvl="7" w:tentative="0">
      <w:start w:val="1"/>
      <w:numFmt w:val="decimal"/>
      <w:lvlText w:val="%1.%2.%3.%4.%5.%6.%7.%8"/>
      <w:lvlJc w:val="left"/>
      <w:pPr>
        <w:ind w:left="2920" w:hanging="1800"/>
      </w:pPr>
      <w:rPr>
        <w:rFonts w:hint="default"/>
      </w:rPr>
    </w:lvl>
    <w:lvl w:ilvl="8" w:tentative="0">
      <w:start w:val="1"/>
      <w:numFmt w:val="decimal"/>
      <w:lvlText w:val="%1.%2.%3.%4.%5.%6.%7.%8.%9"/>
      <w:lvlJc w:val="left"/>
      <w:pPr>
        <w:ind w:left="3440" w:hanging="2160"/>
      </w:pPr>
      <w:rPr>
        <w:rFonts w:hint="default"/>
      </w:rPr>
    </w:lvl>
  </w:abstractNum>
  <w:abstractNum w:abstractNumId="46">
    <w:nsid w:val="634A94F8"/>
    <w:multiLevelType w:val="singleLevel"/>
    <w:tmpl w:val="634A94F8"/>
    <w:lvl w:ilvl="0" w:tentative="0">
      <w:start w:val="1"/>
      <w:numFmt w:val="decimalEnclosedCircleChinese"/>
      <w:suff w:val="nothing"/>
      <w:lvlText w:val="%1　"/>
      <w:lvlJc w:val="left"/>
      <w:pPr>
        <w:ind w:left="420" w:firstLine="400"/>
      </w:pPr>
      <w:rPr>
        <w:rFonts w:hint="eastAsia"/>
      </w:rPr>
    </w:lvl>
  </w:abstractNum>
  <w:abstractNum w:abstractNumId="47">
    <w:nsid w:val="635A4F7E"/>
    <w:multiLevelType w:val="singleLevel"/>
    <w:tmpl w:val="635A4F7E"/>
    <w:lvl w:ilvl="0" w:tentative="0">
      <w:start w:val="1"/>
      <w:numFmt w:val="decimalEnclosedCircleChinese"/>
      <w:suff w:val="nothing"/>
      <w:lvlText w:val="%1　"/>
      <w:lvlJc w:val="left"/>
      <w:pPr>
        <w:ind w:left="420" w:firstLine="400"/>
      </w:pPr>
      <w:rPr>
        <w:rFonts w:hint="eastAsia"/>
      </w:rPr>
    </w:lvl>
  </w:abstractNum>
  <w:abstractNum w:abstractNumId="48">
    <w:nsid w:val="67129E59"/>
    <w:multiLevelType w:val="singleLevel"/>
    <w:tmpl w:val="67129E59"/>
    <w:lvl w:ilvl="0" w:tentative="0">
      <w:start w:val="1"/>
      <w:numFmt w:val="decimalEnclosedCircleChinese"/>
      <w:suff w:val="nothing"/>
      <w:lvlText w:val="%1　"/>
      <w:lvlJc w:val="left"/>
      <w:pPr>
        <w:ind w:left="420" w:firstLine="400"/>
      </w:pPr>
      <w:rPr>
        <w:rFonts w:hint="eastAsia"/>
      </w:rPr>
    </w:lvl>
  </w:abstractNum>
  <w:abstractNum w:abstractNumId="49">
    <w:nsid w:val="674C11DD"/>
    <w:multiLevelType w:val="multilevel"/>
    <w:tmpl w:val="674C11DD"/>
    <w:lvl w:ilvl="0" w:tentative="0">
      <w:start w:val="5"/>
      <w:numFmt w:val="decimal"/>
      <w:lvlText w:val="%1"/>
      <w:lvlJc w:val="left"/>
      <w:pPr>
        <w:ind w:left="600" w:hanging="600"/>
      </w:pPr>
      <w:rPr>
        <w:rFonts w:hint="default"/>
      </w:rPr>
    </w:lvl>
    <w:lvl w:ilvl="1" w:tentative="0">
      <w:start w:val="4"/>
      <w:numFmt w:val="decimal"/>
      <w:lvlText w:val="%1.%2"/>
      <w:lvlJc w:val="left"/>
      <w:pPr>
        <w:ind w:left="720" w:hanging="600"/>
      </w:pPr>
      <w:rPr>
        <w:rFonts w:hint="default"/>
      </w:rPr>
    </w:lvl>
    <w:lvl w:ilvl="2" w:tentative="0">
      <w:start w:val="6"/>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50">
    <w:nsid w:val="68A358BF"/>
    <w:multiLevelType w:val="singleLevel"/>
    <w:tmpl w:val="68A358BF"/>
    <w:lvl w:ilvl="0" w:tentative="0">
      <w:start w:val="1"/>
      <w:numFmt w:val="decimalEnclosedCircleChinese"/>
      <w:suff w:val="nothing"/>
      <w:lvlText w:val="%1　"/>
      <w:lvlJc w:val="left"/>
      <w:pPr>
        <w:ind w:left="420" w:firstLine="400"/>
      </w:pPr>
      <w:rPr>
        <w:rFonts w:hint="eastAsia"/>
      </w:rPr>
    </w:lvl>
  </w:abstractNum>
  <w:abstractNum w:abstractNumId="51">
    <w:nsid w:val="697A407F"/>
    <w:multiLevelType w:val="multilevel"/>
    <w:tmpl w:val="697A407F"/>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2"/>
      <w:numFmt w:val="decimal"/>
      <w:suff w:val="space"/>
      <w:lvlText w:val="11.%3"/>
      <w:lvlJc w:val="left"/>
      <w:pPr>
        <w:ind w:left="0" w:firstLine="0"/>
      </w:pPr>
      <w:rPr>
        <w:rFonts w:hint="default" w:ascii="Times New Roman" w:hAnsi="Times New Roman" w:cs="Times New Roman"/>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2">
    <w:nsid w:val="6AF4F56D"/>
    <w:multiLevelType w:val="multilevel"/>
    <w:tmpl w:val="6AF4F56D"/>
    <w:lvl w:ilvl="0" w:tentative="0">
      <w:start w:val="1"/>
      <w:numFmt w:val="decimal"/>
      <w:suff w:val="space"/>
      <w:lvlText w:val="7.3.%1"/>
      <w:lvlJc w:val="left"/>
      <w:pPr>
        <w:tabs>
          <w:tab w:val="left" w:pos="0"/>
        </w:tabs>
        <w:ind w:left="0" w:firstLine="0"/>
      </w:pPr>
      <w:rPr>
        <w:rFonts w:hint="default" w:ascii="Times New Roman" w:hAnsi="Times New Roman" w:cs="Times New Roman"/>
        <w:b w:val="0"/>
        <w:color w:val="auto"/>
        <w:sz w:val="24"/>
        <w:szCs w:val="24"/>
      </w:rPr>
    </w:lvl>
    <w:lvl w:ilvl="1" w:tentative="0">
      <w:start w:val="1"/>
      <w:numFmt w:val="decimal"/>
      <w:lvlText w:val="%1.%2"/>
      <w:lvlJc w:val="left"/>
      <w:pPr>
        <w:ind w:left="0" w:firstLine="0"/>
      </w:pPr>
      <w:rPr>
        <w:rFonts w:hint="default" w:ascii="宋体" w:hAnsi="宋体" w:eastAsia="宋体"/>
        <w:color w:val="auto"/>
        <w:sz w:val="24"/>
        <w:szCs w:val="24"/>
      </w:rPr>
    </w:lvl>
    <w:lvl w:ilvl="2" w:tentative="0">
      <w:start w:val="1"/>
      <w:numFmt w:val="decimal"/>
      <w:lvlText w:val="2.1.1.%3"/>
      <w:lvlJc w:val="left"/>
      <w:pPr>
        <w:ind w:left="720" w:hanging="720"/>
      </w:pPr>
      <w:rPr>
        <w:rFonts w:hint="default" w:ascii="Times New Roman" w:hAnsi="Times New Roman" w:cs="Times New Roman"/>
        <w:b w:val="0"/>
        <w:color w:val="auto"/>
        <w:sz w:val="24"/>
        <w:szCs w:val="24"/>
      </w:rPr>
    </w:lvl>
    <w:lvl w:ilvl="3" w:tentative="0">
      <w:start w:val="1"/>
      <w:numFmt w:val="decimal"/>
      <w:lvlText w:val="1.%4、"/>
      <w:lvlJc w:val="left"/>
      <w:pPr>
        <w:ind w:left="720" w:hanging="720"/>
      </w:pPr>
      <w:rPr>
        <w:rFonts w:hint="eastAsia"/>
        <w:color w:val="000000"/>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53">
    <w:nsid w:val="6C013F38"/>
    <w:multiLevelType w:val="multilevel"/>
    <w:tmpl w:val="6C013F38"/>
    <w:lvl w:ilvl="0" w:tentative="0">
      <w:start w:val="1"/>
      <w:numFmt w:val="decimalEnclosedCircle"/>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4">
    <w:nsid w:val="6C6245AA"/>
    <w:multiLevelType w:val="multilevel"/>
    <w:tmpl w:val="6C6245AA"/>
    <w:lvl w:ilvl="0" w:tentative="0">
      <w:start w:val="1"/>
      <w:numFmt w:val="lowerLetter"/>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5">
    <w:nsid w:val="6CE27B7D"/>
    <w:multiLevelType w:val="multilevel"/>
    <w:tmpl w:val="6CE27B7D"/>
    <w:lvl w:ilvl="0" w:tentative="0">
      <w:start w:val="1"/>
      <w:numFmt w:val="decimal"/>
      <w:lvlText w:val="9.%1"/>
      <w:lvlJc w:val="left"/>
      <w:pPr>
        <w:ind w:left="420" w:hanging="420"/>
      </w:pPr>
      <w:rPr>
        <w:rFonts w:hint="eastAsia" w:ascii="宋体" w:hAnsi="宋体" w:eastAsia="宋体"/>
        <w:sz w:val="24"/>
        <w:szCs w:val="24"/>
      </w:rPr>
    </w:lvl>
    <w:lvl w:ilvl="1" w:tentative="0">
      <w:start w:val="1"/>
      <w:numFmt w:val="decimal"/>
      <w:suff w:val="nothing"/>
      <w:lvlText w:val="10.%2"/>
      <w:lvlJc w:val="left"/>
      <w:pPr>
        <w:ind w:left="0" w:firstLine="0"/>
      </w:pPr>
      <w:rPr>
        <w:rFonts w:hint="default" w:ascii="Times New Roman" w:hAnsi="Times New Roman" w:eastAsia="宋体" w:cs="Times New Roman"/>
        <w:sz w:val="24"/>
        <w:szCs w:val="24"/>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6D68F1BD"/>
    <w:multiLevelType w:val="singleLevel"/>
    <w:tmpl w:val="6D68F1BD"/>
    <w:lvl w:ilvl="0" w:tentative="0">
      <w:start w:val="1"/>
      <w:numFmt w:val="decimal"/>
      <w:suff w:val="nothing"/>
      <w:lvlText w:val="4.3.%1　"/>
      <w:lvlJc w:val="left"/>
      <w:pPr>
        <w:ind w:left="420" w:firstLine="403"/>
      </w:pPr>
      <w:rPr>
        <w:rFonts w:hint="default"/>
      </w:rPr>
    </w:lvl>
  </w:abstractNum>
  <w:abstractNum w:abstractNumId="57">
    <w:nsid w:val="73F84621"/>
    <w:multiLevelType w:val="multilevel"/>
    <w:tmpl w:val="73F84621"/>
    <w:lvl w:ilvl="0" w:tentative="0">
      <w:start w:val="5"/>
      <w:numFmt w:val="decimal"/>
      <w:lvlText w:val="%1"/>
      <w:lvlJc w:val="left"/>
      <w:pPr>
        <w:ind w:left="600" w:hanging="600"/>
      </w:pPr>
      <w:rPr>
        <w:rFonts w:hint="default"/>
      </w:rPr>
    </w:lvl>
    <w:lvl w:ilvl="1" w:tentative="0">
      <w:start w:val="5"/>
      <w:numFmt w:val="decimal"/>
      <w:lvlText w:val="%1.%2"/>
      <w:lvlJc w:val="left"/>
      <w:pPr>
        <w:ind w:left="720" w:hanging="600"/>
      </w:pPr>
      <w:rPr>
        <w:rFonts w:hint="default"/>
      </w:rPr>
    </w:lvl>
    <w:lvl w:ilvl="2" w:tentative="0">
      <w:start w:val="1"/>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58">
    <w:nsid w:val="7DAE35EE"/>
    <w:multiLevelType w:val="multilevel"/>
    <w:tmpl w:val="7DAE35EE"/>
    <w:lvl w:ilvl="0" w:tentative="0">
      <w:start w:val="1"/>
      <w:numFmt w:val="decimal"/>
      <w:lvlText w:val="4.%1"/>
      <w:lvlJc w:val="left"/>
      <w:pPr>
        <w:ind w:left="425" w:hanging="425"/>
      </w:pPr>
      <w:rPr>
        <w:rFonts w:hint="default" w:ascii="Times New Roman" w:hAnsi="Times New Roman" w:cs="Times New Roman"/>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7"/>
  </w:num>
  <w:num w:numId="2">
    <w:abstractNumId w:val="20"/>
  </w:num>
  <w:num w:numId="3">
    <w:abstractNumId w:val="10"/>
  </w:num>
  <w:num w:numId="4">
    <w:abstractNumId w:val="36"/>
  </w:num>
  <w:num w:numId="5">
    <w:abstractNumId w:val="13"/>
  </w:num>
  <w:num w:numId="6">
    <w:abstractNumId w:val="58"/>
  </w:num>
  <w:num w:numId="7">
    <w:abstractNumId w:val="32"/>
  </w:num>
  <w:num w:numId="8">
    <w:abstractNumId w:val="41"/>
  </w:num>
  <w:num w:numId="9">
    <w:abstractNumId w:val="1"/>
  </w:num>
  <w:num w:numId="10">
    <w:abstractNumId w:val="26"/>
  </w:num>
  <w:num w:numId="11">
    <w:abstractNumId w:val="8"/>
  </w:num>
  <w:num w:numId="12">
    <w:abstractNumId w:val="22"/>
  </w:num>
  <w:num w:numId="13">
    <w:abstractNumId w:val="45"/>
  </w:num>
  <w:num w:numId="14">
    <w:abstractNumId w:val="56"/>
  </w:num>
  <w:num w:numId="15">
    <w:abstractNumId w:val="0"/>
  </w:num>
  <w:num w:numId="16">
    <w:abstractNumId w:val="49"/>
  </w:num>
  <w:num w:numId="17">
    <w:abstractNumId w:val="57"/>
  </w:num>
  <w:num w:numId="18">
    <w:abstractNumId w:val="23"/>
  </w:num>
  <w:num w:numId="19">
    <w:abstractNumId w:val="43"/>
  </w:num>
  <w:num w:numId="20">
    <w:abstractNumId w:val="2"/>
  </w:num>
  <w:num w:numId="21">
    <w:abstractNumId w:val="14"/>
  </w:num>
  <w:num w:numId="22">
    <w:abstractNumId w:val="18"/>
  </w:num>
  <w:num w:numId="23">
    <w:abstractNumId w:val="52"/>
  </w:num>
  <w:num w:numId="24">
    <w:abstractNumId w:val="16"/>
  </w:num>
  <w:num w:numId="25">
    <w:abstractNumId w:val="5"/>
  </w:num>
  <w:num w:numId="26">
    <w:abstractNumId w:val="44"/>
  </w:num>
  <w:num w:numId="27">
    <w:abstractNumId w:val="42"/>
  </w:num>
  <w:num w:numId="28">
    <w:abstractNumId w:val="9"/>
  </w:num>
  <w:num w:numId="29">
    <w:abstractNumId w:val="3"/>
  </w:num>
  <w:num w:numId="30">
    <w:abstractNumId w:val="15"/>
  </w:num>
  <w:num w:numId="31">
    <w:abstractNumId w:val="12"/>
  </w:num>
  <w:num w:numId="32">
    <w:abstractNumId w:val="27"/>
  </w:num>
  <w:num w:numId="33">
    <w:abstractNumId w:val="38"/>
  </w:num>
  <w:num w:numId="34">
    <w:abstractNumId w:val="46"/>
  </w:num>
  <w:num w:numId="35">
    <w:abstractNumId w:val="25"/>
  </w:num>
  <w:num w:numId="36">
    <w:abstractNumId w:val="55"/>
  </w:num>
  <w:num w:numId="37">
    <w:abstractNumId w:val="11"/>
  </w:num>
  <w:num w:numId="38">
    <w:abstractNumId w:val="39"/>
  </w:num>
  <w:num w:numId="39">
    <w:abstractNumId w:val="30"/>
  </w:num>
  <w:num w:numId="40">
    <w:abstractNumId w:val="29"/>
  </w:num>
  <w:num w:numId="41">
    <w:abstractNumId w:val="28"/>
  </w:num>
  <w:num w:numId="42">
    <w:abstractNumId w:val="51"/>
  </w:num>
  <w:num w:numId="43">
    <w:abstractNumId w:val="19"/>
  </w:num>
  <w:num w:numId="44">
    <w:abstractNumId w:val="24"/>
  </w:num>
  <w:num w:numId="45">
    <w:abstractNumId w:val="47"/>
  </w:num>
  <w:num w:numId="46">
    <w:abstractNumId w:val="17"/>
  </w:num>
  <w:num w:numId="47">
    <w:abstractNumId w:val="50"/>
  </w:num>
  <w:num w:numId="48">
    <w:abstractNumId w:val="6"/>
  </w:num>
  <w:num w:numId="49">
    <w:abstractNumId w:val="48"/>
  </w:num>
  <w:num w:numId="50">
    <w:abstractNumId w:val="34"/>
  </w:num>
  <w:num w:numId="51">
    <w:abstractNumId w:val="35"/>
  </w:num>
  <w:num w:numId="52">
    <w:abstractNumId w:val="21"/>
  </w:num>
  <w:num w:numId="53">
    <w:abstractNumId w:val="4"/>
  </w:num>
  <w:num w:numId="54">
    <w:abstractNumId w:val="54"/>
  </w:num>
  <w:num w:numId="55">
    <w:abstractNumId w:val="31"/>
  </w:num>
  <w:num w:numId="56">
    <w:abstractNumId w:val="53"/>
  </w:num>
  <w:num w:numId="57">
    <w:abstractNumId w:val="37"/>
  </w:num>
  <w:num w:numId="58">
    <w:abstractNumId w:val="40"/>
  </w:num>
  <w:num w:numId="5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0ZGUwYTgxNmM5ZGNlZWM5Njc4MzAwOTVmMmZiNTkifQ=="/>
  </w:docVars>
  <w:rsids>
    <w:rsidRoot w:val="54FE6749"/>
    <w:rsid w:val="002B2D6D"/>
    <w:rsid w:val="00306BC1"/>
    <w:rsid w:val="003531F9"/>
    <w:rsid w:val="003F2FF6"/>
    <w:rsid w:val="00601C92"/>
    <w:rsid w:val="006F15EB"/>
    <w:rsid w:val="0088071F"/>
    <w:rsid w:val="008D640B"/>
    <w:rsid w:val="009F3FD8"/>
    <w:rsid w:val="00AE69F0"/>
    <w:rsid w:val="00BE3EB3"/>
    <w:rsid w:val="00CC7C05"/>
    <w:rsid w:val="042D3804"/>
    <w:rsid w:val="09FD74C9"/>
    <w:rsid w:val="0B2D4462"/>
    <w:rsid w:val="17D63A5D"/>
    <w:rsid w:val="26A91DFC"/>
    <w:rsid w:val="283C7070"/>
    <w:rsid w:val="2CE564A3"/>
    <w:rsid w:val="396E32FA"/>
    <w:rsid w:val="4625601B"/>
    <w:rsid w:val="4A841B50"/>
    <w:rsid w:val="4EBC696F"/>
    <w:rsid w:val="4FDC2A12"/>
    <w:rsid w:val="50AD221B"/>
    <w:rsid w:val="50E266F2"/>
    <w:rsid w:val="54FE6749"/>
    <w:rsid w:val="59572EA9"/>
    <w:rsid w:val="64023ED0"/>
    <w:rsid w:val="6DCD4570"/>
    <w:rsid w:val="6F966F61"/>
    <w:rsid w:val="785F4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4"/>
    <w:qFormat/>
    <w:uiPriority w:val="0"/>
    <w:pPr>
      <w:keepNext/>
      <w:keepLines/>
      <w:outlineLvl w:val="0"/>
    </w:pPr>
    <w:rPr>
      <w:rFonts w:eastAsia="Times New Roman"/>
      <w:b/>
      <w:sz w:val="32"/>
      <w:szCs w:val="32"/>
    </w:rPr>
  </w:style>
  <w:style w:type="paragraph" w:styleId="3">
    <w:name w:val="heading 2"/>
    <w:basedOn w:val="1"/>
    <w:next w:val="1"/>
    <w:qFormat/>
    <w:uiPriority w:val="0"/>
    <w:pPr>
      <w:keepNext/>
      <w:keepLines/>
      <w:outlineLvl w:val="1"/>
    </w:pPr>
    <w:rPr>
      <w:rFonts w:ascii="Arial" w:hAnsi="Arial" w:eastAsia="Times New Roman"/>
      <w:b/>
      <w:sz w:val="24"/>
      <w:szCs w:val="24"/>
    </w:rPr>
  </w:style>
  <w:style w:type="paragraph" w:styleId="4">
    <w:name w:val="heading 3"/>
    <w:basedOn w:val="1"/>
    <w:next w:val="1"/>
    <w:qFormat/>
    <w:uiPriority w:val="0"/>
    <w:pPr>
      <w:keepNext/>
      <w:keepLines/>
      <w:ind w:firstLine="200"/>
      <w:outlineLvl w:val="2"/>
    </w:pPr>
    <w:rPr>
      <w:rFonts w:eastAsia="Times New Roman"/>
      <w:b/>
      <w:sz w:val="20"/>
      <w:szCs w:val="20"/>
    </w:rPr>
  </w:style>
  <w:style w:type="paragraph" w:styleId="5">
    <w:name w:val="heading 4"/>
    <w:basedOn w:val="1"/>
    <w:next w:val="1"/>
    <w:qFormat/>
    <w:uiPriority w:val="0"/>
    <w:pPr>
      <w:keepNext/>
      <w:keepLines/>
      <w:outlineLvl w:val="3"/>
    </w:pPr>
    <w:rPr>
      <w:rFonts w:ascii="Arial" w:hAnsi="Arial" w:eastAsia="Times New Roman"/>
      <w:b/>
      <w:sz w:val="28"/>
      <w:szCs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 w:val="20"/>
      <w:szCs w:val="20"/>
    </w:rPr>
  </w:style>
  <w:style w:type="paragraph" w:styleId="7">
    <w:name w:val="Body Text"/>
    <w:qFormat/>
    <w:uiPriority w:val="0"/>
    <w:rPr>
      <w:rFonts w:ascii="Times New Roman" w:hAnsi="Times New Roman" w:eastAsia="Times New Roman" w:cs="Times New Roman"/>
      <w:kern w:val="2"/>
      <w:lang w:val="en-US" w:eastAsia="zh-CN" w:bidi="ar-SA"/>
    </w:rPr>
  </w:style>
  <w:style w:type="paragraph" w:styleId="8">
    <w:name w:val="Body Text Indent"/>
    <w:basedOn w:val="1"/>
    <w:next w:val="9"/>
    <w:uiPriority w:val="0"/>
    <w:pPr>
      <w:spacing w:line="200" w:lineRule="exact"/>
      <w:ind w:firstLine="301"/>
    </w:pPr>
    <w:rPr>
      <w:rFonts w:ascii="宋体"/>
      <w:spacing w:val="-4"/>
      <w:kern w:val="0"/>
      <w:sz w:val="18"/>
      <w:szCs w:val="20"/>
    </w:rPr>
  </w:style>
  <w:style w:type="paragraph" w:customStyle="1" w:styleId="9">
    <w:name w:val="font5"/>
    <w:basedOn w:val="1"/>
    <w:uiPriority w:val="0"/>
    <w:pPr>
      <w:widowControl/>
      <w:spacing w:before="100" w:beforeAutospacing="1" w:after="100" w:afterAutospacing="1"/>
      <w:jc w:val="left"/>
    </w:pPr>
    <w:rPr>
      <w:rFonts w:ascii="宋体"/>
      <w:kern w:val="0"/>
      <w:sz w:val="18"/>
      <w:szCs w:val="18"/>
    </w:rPr>
  </w:style>
  <w:style w:type="paragraph" w:styleId="10">
    <w:name w:val="Plain Text"/>
    <w:basedOn w:val="1"/>
    <w:qFormat/>
    <w:uiPriority w:val="0"/>
    <w:rPr>
      <w:rFonts w:ascii="宋体" w:hAnsi="宋体" w:eastAsia="Courier New"/>
      <w:sz w:val="20"/>
      <w:szCs w:val="20"/>
    </w:rPr>
  </w:style>
  <w:style w:type="paragraph" w:styleId="11">
    <w:name w:val="footer"/>
    <w:basedOn w:val="1"/>
    <w:qFormat/>
    <w:uiPriority w:val="0"/>
    <w:pPr>
      <w:tabs>
        <w:tab w:val="center" w:pos="4153"/>
        <w:tab w:val="right" w:pos="8306"/>
      </w:tabs>
    </w:pPr>
    <w:rPr>
      <w:sz w:val="18"/>
      <w:szCs w:val="18"/>
    </w:rPr>
  </w:style>
  <w:style w:type="paragraph" w:styleId="12">
    <w:name w:val="toc 1"/>
    <w:basedOn w:val="1"/>
    <w:next w:val="1"/>
    <w:qFormat/>
    <w:uiPriority w:val="0"/>
    <w:pPr>
      <w:tabs>
        <w:tab w:val="left" w:pos="0"/>
        <w:tab w:val="right" w:leader="dot" w:pos="8280"/>
      </w:tabs>
    </w:pPr>
    <w:rPr>
      <w:sz w:val="20"/>
      <w:szCs w:val="20"/>
    </w:rPr>
  </w:style>
  <w:style w:type="paragraph" w:styleId="13">
    <w:name w:val="Subtitle"/>
    <w:qFormat/>
    <w:uiPriority w:val="0"/>
    <w:pPr>
      <w:jc w:val="center"/>
    </w:pPr>
    <w:rPr>
      <w:rFonts w:ascii="Times New Roman" w:hAnsi="Times New Roman" w:eastAsia="宋体" w:cs="Times New Roman"/>
      <w:kern w:val="2"/>
      <w:sz w:val="24"/>
      <w:szCs w:val="24"/>
      <w:lang w:val="en-US" w:eastAsia="zh-CN" w:bidi="ar-SA"/>
    </w:rPr>
  </w:style>
  <w:style w:type="paragraph" w:styleId="14">
    <w:name w:val="toc 6"/>
    <w:basedOn w:val="1"/>
    <w:next w:val="1"/>
    <w:qFormat/>
    <w:uiPriority w:val="0"/>
    <w:pPr>
      <w:ind w:left="2100"/>
    </w:pPr>
    <w:rPr>
      <w:sz w:val="20"/>
      <w:szCs w:val="20"/>
    </w:rPr>
  </w:style>
  <w:style w:type="paragraph" w:styleId="15">
    <w:name w:val="toc 2"/>
    <w:basedOn w:val="1"/>
    <w:next w:val="1"/>
    <w:qFormat/>
    <w:uiPriority w:val="0"/>
    <w:pPr>
      <w:tabs>
        <w:tab w:val="right" w:leader="dot" w:pos="8280"/>
      </w:tabs>
      <w:ind w:left="420"/>
    </w:pPr>
    <w:rPr>
      <w:color w:val="000000"/>
      <w:sz w:val="20"/>
      <w:szCs w:val="20"/>
    </w:r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s>
    </w:pPr>
    <w:rPr>
      <w:rFonts w:ascii="宋体"/>
      <w:sz w:val="24"/>
      <w:szCs w:val="24"/>
    </w:rPr>
  </w:style>
  <w:style w:type="paragraph" w:styleId="17">
    <w:name w:val="Body Text First Indent"/>
    <w:basedOn w:val="1"/>
    <w:next w:val="1"/>
    <w:qFormat/>
    <w:uiPriority w:val="0"/>
    <w:pPr>
      <w:ind w:firstLine="420"/>
    </w:pPr>
    <w:rPr>
      <w:rFonts w:eastAsia="Times New Roman"/>
      <w:sz w:val="16"/>
      <w:szCs w:val="16"/>
    </w:rPr>
  </w:style>
  <w:style w:type="paragraph" w:styleId="18">
    <w:name w:val="Body Text First Indent 2"/>
    <w:basedOn w:val="8"/>
    <w:next w:val="1"/>
    <w:uiPriority w:val="0"/>
    <w:pPr>
      <w:spacing w:after="120" w:line="240" w:lineRule="auto"/>
      <w:ind w:left="200" w:leftChars="200" w:firstLine="200" w:firstLineChars="200"/>
    </w:pPr>
    <w:rPr>
      <w:kern w:val="2"/>
      <w:sz w:val="21"/>
      <w:szCs w:val="24"/>
    </w:rPr>
  </w:style>
  <w:style w:type="character" w:styleId="21">
    <w:name w:val="Strong"/>
    <w:qFormat/>
    <w:uiPriority w:val="0"/>
    <w:rPr>
      <w:b/>
      <w:w w:val="100"/>
      <w:sz w:val="20"/>
      <w:szCs w:val="20"/>
      <w:shd w:val="clear" w:color="auto" w:fill="auto"/>
    </w:rPr>
  </w:style>
  <w:style w:type="character" w:styleId="22">
    <w:name w:val="page number"/>
    <w:qFormat/>
    <w:uiPriority w:val="0"/>
  </w:style>
  <w:style w:type="character" w:styleId="23">
    <w:name w:val="Hyperlink"/>
    <w:qFormat/>
    <w:uiPriority w:val="0"/>
    <w:rPr>
      <w:color w:val="0000FF"/>
      <w:w w:val="100"/>
      <w:sz w:val="20"/>
      <w:szCs w:val="20"/>
      <w:u w:val="single"/>
      <w:shd w:val="clear" w:color="auto" w:fill="auto"/>
    </w:rPr>
  </w:style>
  <w:style w:type="character" w:customStyle="1" w:styleId="24">
    <w:name w:val="标题 1 Char"/>
    <w:basedOn w:val="20"/>
    <w:link w:val="2"/>
    <w:qFormat/>
    <w:uiPriority w:val="0"/>
    <w:rPr>
      <w:rFonts w:eastAsia="Times New Roman"/>
      <w:b/>
      <w:sz w:val="32"/>
      <w:szCs w:val="32"/>
    </w:rPr>
  </w:style>
  <w:style w:type="paragraph" w:customStyle="1" w:styleId="25">
    <w:name w:val="正文，首行缩进:"/>
    <w:basedOn w:val="1"/>
    <w:qFormat/>
    <w:uiPriority w:val="0"/>
    <w:pPr>
      <w:tabs>
        <w:tab w:val="left" w:pos="3376"/>
      </w:tabs>
      <w:ind w:firstLine="480"/>
    </w:pPr>
    <w:rPr>
      <w:rFonts w:ascii="宋体"/>
      <w:sz w:val="24"/>
      <w:szCs w:val="24"/>
    </w:rPr>
  </w:style>
  <w:style w:type="paragraph" w:styleId="26">
    <w:name w:val="List Paragraph"/>
    <w:basedOn w:val="1"/>
    <w:qFormat/>
    <w:uiPriority w:val="0"/>
    <w:pPr>
      <w:ind w:firstLine="420"/>
    </w:pPr>
  </w:style>
  <w:style w:type="paragraph" w:customStyle="1" w:styleId="27">
    <w:name w:val="_Style 4"/>
    <w:basedOn w:val="2"/>
    <w:next w:val="1"/>
    <w:qFormat/>
    <w:uiPriority w:val="39"/>
    <w:pPr>
      <w:spacing w:before="480" w:line="276" w:lineRule="auto"/>
      <w:jc w:val="left"/>
      <w:outlineLvl w:val="9"/>
    </w:pPr>
    <w:rPr>
      <w:rFonts w:ascii="Arial Unicode MS" w:hAnsi="Arial Unicode MS" w:eastAsia="PMingLiU" w:cs="Calibri"/>
      <w:bCs/>
      <w:color w:val="365F91"/>
      <w:sz w:val="28"/>
      <w:szCs w:val="28"/>
    </w:rPr>
  </w:style>
  <w:style w:type="paragraph" w:customStyle="1" w:styleId="28">
    <w:name w:val="TOC 标题2"/>
    <w:basedOn w:val="2"/>
    <w:next w:val="1"/>
    <w:qFormat/>
    <w:uiPriority w:val="0"/>
    <w:pPr>
      <w:spacing w:before="240" w:line="259" w:lineRule="auto"/>
      <w:jc w:val="left"/>
      <w:outlineLvl w:val="9"/>
    </w:pPr>
    <w:rPr>
      <w:rFonts w:ascii="Cambria" w:hAnsi="Cambria" w:eastAsia="宋体"/>
      <w:b w:val="0"/>
      <w:color w:val="365F91"/>
    </w:rPr>
  </w:style>
  <w:style w:type="paragraph" w:customStyle="1" w:styleId="29">
    <w:name w:val="纯文本1"/>
    <w:basedOn w:val="1"/>
    <w:qFormat/>
    <w:uiPriority w:val="0"/>
    <w:pPr>
      <w:jc w:val="left"/>
    </w:pPr>
    <w:rPr>
      <w:rFonts w:ascii="宋体"/>
      <w:szCs w:val="20"/>
    </w:rPr>
  </w:style>
  <w:style w:type="paragraph" w:customStyle="1" w:styleId="30">
    <w:name w:val="Table Text"/>
    <w:qFormat/>
    <w:uiPriority w:val="0"/>
    <w:pPr>
      <w:widowControl w:val="0"/>
      <w:autoSpaceDE w:val="0"/>
      <w:autoSpaceDN w:val="0"/>
    </w:pPr>
    <w:rPr>
      <w:rFonts w:ascii="Calibri" w:hAnsi="Calibri" w:eastAsia="楷体_GB2312" w:cs="Calibri"/>
      <w:color w:val="000000"/>
      <w:kern w:val="2"/>
      <w:sz w:val="24"/>
      <w:szCs w:val="22"/>
      <w:lang w:val="en-US" w:eastAsia="en-US" w:bidi="ar-SA"/>
    </w:rPr>
  </w:style>
  <w:style w:type="paragraph" w:customStyle="1" w:styleId="31">
    <w:name w:val="专用标题4"/>
    <w:next w:val="1"/>
    <w:qFormat/>
    <w:uiPriority w:val="0"/>
    <w:pPr>
      <w:keepNext/>
      <w:keepLines/>
      <w:adjustRightInd w:val="0"/>
      <w:snapToGrid w:val="0"/>
      <w:ind w:left="425" w:hanging="425"/>
      <w:outlineLvl w:val="3"/>
    </w:pPr>
    <w:rPr>
      <w:rFonts w:ascii="Arial" w:hAnsi="Arial" w:eastAsia="宋体" w:cs="Times New Roman"/>
      <w:kern w:val="2"/>
      <w:sz w:val="28"/>
      <w:szCs w:val="22"/>
      <w:lang w:val="en-US" w:eastAsia="zh-CN" w:bidi="ar-SA"/>
    </w:rPr>
  </w:style>
  <w:style w:type="paragraph" w:customStyle="1" w:styleId="32">
    <w:name w:val="[Normal]"/>
    <w:qFormat/>
    <w:uiPriority w:val="0"/>
    <w:rPr>
      <w:rFonts w:ascii="宋体" w:hAnsi="宋体" w:eastAsia="宋体" w:cs="Times New Roman"/>
      <w:kern w:val="2"/>
      <w:sz w:val="24"/>
      <w:szCs w:val="22"/>
      <w:lang w:val="zh-CN" w:eastAsia="zh-CN" w:bidi="ar-SA"/>
    </w:rPr>
  </w:style>
  <w:style w:type="paragraph" w:customStyle="1" w:styleId="33">
    <w:name w:val="ZhGP_正文 2"/>
    <w:basedOn w:val="1"/>
    <w:qFormat/>
    <w:uiPriority w:val="0"/>
    <w:pPr>
      <w:spacing w:line="360" w:lineRule="auto"/>
      <w:ind w:left="799" w:firstLine="200" w:firstLineChars="200"/>
    </w:pPr>
    <w:rPr>
      <w:rFonts w:cs="黑体"/>
      <w:color w:val="0000FF"/>
      <w:sz w:val="24"/>
    </w:rPr>
  </w:style>
  <w:style w:type="paragraph" w:customStyle="1" w:styleId="34">
    <w:name w:val="Table Text1"/>
    <w:qFormat/>
    <w:uiPriority w:val="0"/>
    <w:pPr>
      <w:widowControl w:val="0"/>
      <w:autoSpaceDE w:val="0"/>
      <w:autoSpaceDN w:val="0"/>
    </w:pPr>
    <w:rPr>
      <w:rFonts w:ascii="Calibri" w:hAnsi="Calibri" w:eastAsia="楷体_GB2312" w:cs="Calibri"/>
      <w:color w:val="000000"/>
      <w:kern w:val="2"/>
      <w:sz w:val="24"/>
      <w:szCs w:val="22"/>
      <w:lang w:val="en-US" w:eastAsia="en-US" w:bidi="ar-SA"/>
    </w:rPr>
  </w:style>
  <w:style w:type="paragraph" w:customStyle="1" w:styleId="35">
    <w:name w:val="Table Paragraph"/>
    <w:basedOn w:val="1"/>
    <w:qFormat/>
    <w:uiPriority w:val="0"/>
    <w:pPr>
      <w:widowControl w:val="0"/>
      <w:autoSpaceDE w:val="0"/>
      <w:autoSpaceDN w:val="0"/>
      <w:adjustRightInd w:val="0"/>
      <w:jc w:val="left"/>
    </w:pPr>
    <w:rPr>
      <w:rFonts w:ascii="Calibri" w:hAnsi="Calibri" w:eastAsia="PMingLiU" w:cs="Calibri"/>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150</Pages>
  <Words>93786</Words>
  <Characters>106381</Characters>
  <Lines>815</Lines>
  <Paragraphs>229</Paragraphs>
  <TotalTime>1</TotalTime>
  <ScaleCrop>false</ScaleCrop>
  <LinksUpToDate>false</LinksUpToDate>
  <CharactersWithSpaces>108721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2025-10-15T07:42:00Z</dcterms:created>
  <dc:creator>Administrator</dc:creator>
  <cp:lastModifiedBy>Yan</cp:lastModifiedBy>
  <cp:lastPrinted>2025-10-17T06:15:00Z</cp:lastPrinted>
  <dcterms:modified xsi:type="dcterms:W3CDTF">2025-10-28T08:47:30Z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15DAA646FB7A4E58BE7EF075E784B213_13</vt:lpwstr>
  </property>
</Properties>
</file>