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F7DE1">
      <w:pPr>
        <w:pStyle w:val="2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>智能受限空间管控系统</w:t>
      </w:r>
      <w:r>
        <w:rPr>
          <w:rFonts w:ascii="宋体" w:hAnsi="宋体" w:eastAsia="宋体" w:cs="宋体"/>
        </w:rPr>
        <w:t>招标技术规范</w:t>
      </w:r>
    </w:p>
    <w:p w14:paraId="3A705E54">
      <w:pPr>
        <w:snapToGrid/>
        <w:spacing w:line="240" w:lineRule="auto"/>
        <w:ind w:left="0" w:right="0"/>
        <w:jc w:val="center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FFFFFF"/>
          <w:sz w:val="22"/>
          <w:u w:val="none"/>
          <w:shd w:val="clear" w:color="auto" w:fill="006400"/>
        </w:rPr>
        <w:t>技术规范</w:t>
      </w:r>
    </w:p>
    <w:p w14:paraId="30944C8A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FFFFFF"/>
          <w:sz w:val="21"/>
          <w:u w:val="none"/>
          <w:shd w:val="clear" w:color="auto" w:fill="006400"/>
        </w:rPr>
        <w:t>一丶执行标准</w:t>
      </w:r>
    </w:p>
    <w:p w14:paraId="408FBC50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《危险化学品企业特殊作业安全规范》（GB 30871-2022 ）</w:t>
      </w:r>
    </w:p>
    <w:p w14:paraId="4DB6BA86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《化工过程安全管理导则》（AQ/T 3034-2022）</w:t>
      </w:r>
    </w:p>
    <w:p w14:paraId="36DBA2F9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《作业场所环境气体检测报警仪通用技术要求》（GB12358-2024）</w:t>
      </w:r>
    </w:p>
    <w:p w14:paraId="083A0B85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《石油化工可燃气体和有毒气体检测报警设计规范》（GB/T50493-2019）</w:t>
      </w:r>
    </w:p>
    <w:p w14:paraId="0E1156F5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《工作场所有毒气体检测报警装置设置规范》（GBZ/T233-2009）</w:t>
      </w:r>
    </w:p>
    <w:p w14:paraId="42F0658A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《工作场所有害因素职业接触限值》（GBZ2.1-2019）</w:t>
      </w:r>
    </w:p>
    <w:p w14:paraId="719321AA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  <w:shd w:val="clear" w:color="auto" w:fill="FFFFFF"/>
        </w:rPr>
        <w:t>《安全防范视频监控联网系统信息传输、交换、控制技术要求》（GB/T28181-2022）</w:t>
      </w:r>
    </w:p>
    <w:p w14:paraId="472CB07F">
      <w:pPr>
        <w:snapToGrid/>
        <w:spacing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FFFFFF"/>
          <w:sz w:val="21"/>
          <w:u w:val="none"/>
          <w:shd w:val="clear" w:color="auto" w:fill="006400"/>
        </w:rPr>
        <w:t>二丶技术要求</w:t>
      </w:r>
    </w:p>
    <w:p w14:paraId="2D40A15D">
      <w:pPr>
        <w:numPr>
          <w:ilvl w:val="0"/>
          <w:numId w:val="1"/>
        </w:numPr>
        <w:snapToGrid/>
        <w:spacing w:before="60" w:after="60" w:line="240" w:lineRule="auto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设备需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支持多种气体检测，如氧气、硫化氢、一氧化碳和可燃气等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eastAsia="zh-CN"/>
        </w:rPr>
        <w:t>（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</w:rPr>
        <w:t>提供第三方检测机构出具的检测报告；报告需在全国认证认可信息公共服务平台可查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</w:rPr>
        <w:t>（http://cx.cnca.cn/CertECloud/index/index/page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）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支持定制其他气体检测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（氯乙烯、偏氯乙烯、偏氟乙烯、三氯乙烯、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氟氯乙烯、六氟丙烯、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四氯乙烷、三氯乙烷、三氟乙烷、二氟一氯乙烷、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丙烯腈、氯化氢、乙炔、氯气、氢气、氨气、二氧化碳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等）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,整机质保36个月，气体传感器采用行业内知名品牌，如CT、蒙巴博、霍尼韦尔、费加罗等，质保期限（可燃气体质保18个月、有毒气体质保12个月）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2"/>
          <w:u w:val="none"/>
          <w:lang w:val="en-US" w:eastAsia="zh-CN"/>
        </w:rPr>
        <w:t>。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 xml:space="preserve">  </w:t>
      </w:r>
      <w:r>
        <w:rPr>
          <w:rFonts w:ascii="宋体" w:hAnsi="宋体" w:eastAsia="宋体" w:cs="宋体"/>
          <w:b/>
          <w:i w:val="0"/>
          <w:strike w:val="0"/>
          <w:color w:val="auto"/>
          <w:sz w:val="22"/>
          <w:u w:val="none"/>
        </w:rPr>
        <w:t xml:space="preserve">  </w:t>
      </w:r>
    </w:p>
    <w:p w14:paraId="444A6970">
      <w:pPr>
        <w:numPr>
          <w:ilvl w:val="0"/>
          <w:numId w:val="1"/>
        </w:numPr>
        <w:pBdr>
          <w:bottom w:val="none" w:color="auto" w:sz="0" w:space="0"/>
        </w:pBdr>
        <w:snapToGrid/>
        <w:spacing w:before="60" w:after="60" w:line="240" w:lineRule="auto"/>
        <w:rPr>
          <w:rFonts w:ascii="宋体" w:hAnsi="宋体" w:eastAsia="宋体" w:cs="宋体"/>
        </w:rPr>
      </w:pP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一台主机支持连接三个采样器</w:t>
      </w:r>
      <w:r>
        <w:rPr>
          <w:rFonts w:ascii="宋体" w:hAnsi="宋体" w:eastAsia="宋体" w:cs="宋体"/>
          <w:b/>
          <w:i w:val="0"/>
          <w:strike w:val="0"/>
          <w:color w:val="auto"/>
          <w:sz w:val="22"/>
          <w:u w:val="none"/>
        </w:rPr>
        <w:t>（3*4合一）原位式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 xml:space="preserve">同时检测，可按1-3个采样器自主选择、并后期可扩容，线缆连接采用隔爆型插头，支持在防爆一区使用、防爆等级ExEdb IIC T6 Gb. 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粉尘防爆等级Ex tb ⅢC T80℃ Db.防护等级IP66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（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</w:rPr>
        <w:t>提供第三方检测机构出具的检测报告；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</w:rPr>
        <w:t>报告需在全国认证认可信息公共服务平台可查（http://cx.cnca.cn/CertECloud/index/index/page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eastAsia="zh-CN"/>
        </w:rPr>
        <w:t>）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。</w:t>
      </w:r>
    </w:p>
    <w:p w14:paraId="00D2E7F5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3.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气体采样方式：泵吸式，支持温度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-10℃-50℃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，湿度9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0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%的受限空间作业环境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。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进气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流量不低于1000ml/min，支持进气流量的显示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及</w:t>
      </w:r>
      <w:r>
        <w:rPr>
          <w:rFonts w:ascii="宋体" w:hAnsi="宋体" w:eastAsia="宋体" w:cs="宋体"/>
          <w:i w:val="0"/>
          <w:strike w:val="0"/>
          <w:color w:val="auto"/>
          <w:spacing w:val="0"/>
          <w:u w:val="none"/>
        </w:rPr>
        <w:t>采样器堵塞的告警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或进气流量低于设定流量的80%，设备发出声光报警，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报警阈值可自定义，报警音量不低于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9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0db。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测量范围0-100ppm、0-1000ppm、0-100%LEL、0-30%VOL，特殊量程可定制，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检测线性误差≤±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1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%F.S，重复性≤±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1</w:t>
      </w:r>
      <w:r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  <w:t>%</w:t>
      </w: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eastAsia="zh-CN"/>
        </w:rPr>
        <w:t>。</w:t>
      </w:r>
    </w:p>
    <w:p w14:paraId="236B8A74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4.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具有</w:t>
      </w:r>
      <w:r>
        <w:rPr>
          <w:rFonts w:ascii="宋体" w:hAnsi="宋体" w:eastAsia="宋体" w:cs="宋体"/>
          <w:b w:val="0"/>
          <w:i w:val="0"/>
          <w:strike w:val="0"/>
          <w:color w:val="000000"/>
          <w:sz w:val="22"/>
          <w:u w:val="none"/>
        </w:rPr>
        <w:t>安全确认功能，作业模式下的重要操作具有语音提醒和确认功能，具备监护人员脱岗触发告警功能</w:t>
      </w:r>
      <w:r>
        <w:rPr>
          <w:rFonts w:hint="eastAsia" w:ascii="宋体" w:hAnsi="宋体" w:eastAsia="宋体" w:cs="宋体"/>
          <w:b w:val="0"/>
          <w:i w:val="0"/>
          <w:strike w:val="0"/>
          <w:color w:val="000000"/>
          <w:sz w:val="22"/>
          <w:u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i w:val="0"/>
          <w:strike w:val="0"/>
          <w:color w:val="000000"/>
          <w:sz w:val="22"/>
          <w:u w:val="none"/>
          <w:lang w:val="en-US" w:eastAsia="zh-CN"/>
        </w:rPr>
        <w:t>现场、APP、远传控制平台），并具备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一键SOS呼救功能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或具备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受限空间作业人员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与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监护人员语音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双向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对讲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功能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。</w:t>
      </w:r>
    </w:p>
    <w:p w14:paraId="7333A016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i w:val="0"/>
          <w:strike w:val="0"/>
          <w:color w:val="000000"/>
          <w:sz w:val="22"/>
          <w:u w:val="none"/>
          <w:shd w:val="clear" w:color="auto" w:fill="FFFFFF"/>
          <w:lang w:val="en-US" w:eastAsia="zh-CN"/>
        </w:rPr>
        <w:t>5.</w:t>
      </w:r>
      <w:r>
        <w:rPr>
          <w:rFonts w:ascii="宋体" w:hAnsi="宋体" w:eastAsia="宋体" w:cs="宋体"/>
          <w:i w:val="0"/>
          <w:strike w:val="0"/>
          <w:color w:val="000000"/>
          <w:sz w:val="22"/>
          <w:u w:val="none"/>
          <w:shd w:val="clear" w:color="auto" w:fill="FFFFFF"/>
        </w:rPr>
        <w:t>视频监控和气体检测数据在同一设备内集中显示，显示屏尺寸不低于7英寸，分辨率不低于1920*1200。</w:t>
      </w:r>
    </w:p>
    <w:p w14:paraId="7A1FBF2A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color w:val="000000"/>
          <w:shd w:val="clear" w:color="auto" w:fill="FFFFFF"/>
        </w:rPr>
      </w:pPr>
      <w:r>
        <w:rPr>
          <w:rFonts w:hint="eastAsia" w:ascii="宋体" w:hAnsi="宋体" w:eastAsia="宋体" w:cs="宋体"/>
          <w:b/>
          <w:i w:val="0"/>
          <w:strike w:val="0"/>
          <w:color w:val="000000"/>
          <w:sz w:val="22"/>
          <w:u w:val="none"/>
          <w:shd w:val="clear" w:color="auto" w:fill="FFFFFF"/>
          <w:lang w:val="en-US" w:eastAsia="zh-CN"/>
        </w:rPr>
        <w:t>6.</w:t>
      </w:r>
      <w:r>
        <w:rPr>
          <w:rFonts w:ascii="宋体" w:hAnsi="宋体" w:eastAsia="宋体" w:cs="宋体"/>
          <w:b/>
          <w:i w:val="0"/>
          <w:strike w:val="0"/>
          <w:color w:val="000000"/>
          <w:sz w:val="22"/>
          <w:u w:val="none"/>
          <w:shd w:val="clear" w:color="auto" w:fill="FFFFFF"/>
        </w:rPr>
        <w:t>防爆</w:t>
      </w:r>
      <w:r>
        <w:rPr>
          <w:rFonts w:ascii="宋体" w:hAnsi="宋体" w:eastAsia="宋体" w:cs="宋体"/>
          <w:i w:val="0"/>
          <w:strike w:val="0"/>
          <w:color w:val="000000"/>
          <w:sz w:val="22"/>
          <w:u w:val="none"/>
          <w:shd w:val="clear" w:color="auto" w:fill="FFFFFF"/>
        </w:rPr>
        <w:t>摄像机像素不低于400万像素，</w:t>
      </w:r>
      <w:r>
        <w:rPr>
          <w:rFonts w:hint="eastAsia" w:ascii="宋体" w:hAnsi="宋体" w:eastAsia="宋体" w:cs="宋体"/>
          <w:i w:val="0"/>
          <w:strike w:val="0"/>
          <w:color w:val="000000"/>
          <w:sz w:val="22"/>
          <w:u w:val="none"/>
          <w:shd w:val="clear" w:color="auto" w:fill="FFFFFF"/>
          <w:lang w:val="en-US" w:eastAsia="zh-CN"/>
        </w:rPr>
        <w:t>摄像机需具备双光融合（摄像可视+红外热成像）功能，</w:t>
      </w:r>
      <w:r>
        <w:rPr>
          <w:rFonts w:ascii="宋体" w:hAnsi="宋体" w:eastAsia="宋体" w:cs="宋体"/>
          <w:i w:val="0"/>
          <w:strike w:val="0"/>
          <w:color w:val="000000"/>
          <w:sz w:val="22"/>
          <w:u w:val="none"/>
          <w:shd w:val="clear" w:color="auto" w:fill="FFFFFF"/>
        </w:rPr>
        <w:t>支持夜视功能，夜视空间自动转换补光，支持光学变焦和数字变焦功能，支持多种固定方式。</w:t>
      </w:r>
    </w:p>
    <w:p w14:paraId="7E169E90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7.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支持智能检测功能：如目标检测，火焰和烟雾识别，人脸识别，区域入侵检测，人体跌倒检测、人员穿戴检测等。</w:t>
      </w:r>
    </w:p>
    <w:p w14:paraId="105949A7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8.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存储采用固态硬盘（SSD），容量不低于1TB，支持连续录制视频不低于72天，即1728小时。</w:t>
      </w:r>
    </w:p>
    <w:p w14:paraId="6723AC4A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9.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设备待机时长不低于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24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小时。</w:t>
      </w:r>
    </w:p>
    <w:p w14:paraId="6590E7E0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10.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000000"/>
          <w:sz w:val="22"/>
          <w:u w:val="none"/>
        </w:rPr>
        <w:t>系统支持OTA升级</w:t>
      </w:r>
      <w:r>
        <w:rPr>
          <w:rFonts w:hint="eastAsia" w:ascii="宋体" w:hAnsi="宋体" w:eastAsia="宋体" w:cs="宋体"/>
          <w:i w:val="0"/>
          <w:strike w:val="0"/>
          <w:color w:val="000000"/>
          <w:sz w:val="22"/>
          <w:u w:val="none"/>
          <w:lang w:eastAsia="zh-CN"/>
        </w:rPr>
        <w:t>，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具备后端管理平台，支持Web端和移动端登录，远程监护，报警弹窗提示和声音提示，支持设备管理功能和用户权限管理功能。</w:t>
      </w:r>
      <w:r>
        <w:rPr>
          <w:rFonts w:ascii="宋体" w:hAnsi="宋体" w:eastAsia="宋体" w:cs="宋体"/>
          <w:i w:val="0"/>
          <w:strike w:val="0"/>
          <w:color w:val="000000"/>
          <w:sz w:val="22"/>
          <w:u w:val="none"/>
        </w:rPr>
        <w:t>系统后端管理平台支持数据可视化，支持查看设备实时视频和历史视频，支持数据处理规则链配置，支持数据清洗、数据转发和发送报警。后端管理平台支持显示设备状态，包括设备定位，在线状态、电池电量等。</w:t>
      </w:r>
      <w:bookmarkStart w:id="0" w:name="_Toc31876"/>
      <w:bookmarkEnd w:id="0"/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主机重要设置和数据查询具有密码保护措施，具备量程校准和零点校准功能。</w:t>
      </w:r>
    </w:p>
    <w:p w14:paraId="30500D65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11.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提供便捷的设备运输方式，如拉杆箱、背包等。</w:t>
      </w:r>
    </w:p>
    <w:p w14:paraId="79732E23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12.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hint="eastAsia" w:ascii="宋体" w:hAnsi="宋体" w:eastAsia="宋体" w:cs="宋体"/>
          <w:b w:val="0"/>
          <w:bCs/>
          <w:i w:val="0"/>
          <w:strike w:val="0"/>
          <w:color w:val="auto"/>
          <w:sz w:val="22"/>
          <w:u w:val="none"/>
          <w:lang w:val="en-US" w:eastAsia="zh-CN"/>
        </w:rPr>
        <w:t>设备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具备漏电保护功能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使用安全电压不得大于DC12V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。</w:t>
      </w:r>
    </w:p>
    <w:p w14:paraId="1D2A7E95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hint="eastAsia" w:ascii="宋体" w:hAnsi="宋体" w:eastAsia="宋体" w:cs="宋体"/>
          <w:b/>
          <w:i w:val="0"/>
          <w:strike w:val="0"/>
          <w:color w:val="auto"/>
          <w:sz w:val="22"/>
          <w:u w:val="none"/>
          <w:lang w:val="en-US" w:eastAsia="zh-CN"/>
        </w:rPr>
        <w:t>13.</w:t>
      </w:r>
      <w:r>
        <w:rPr>
          <w:rFonts w:ascii="宋体" w:hAnsi="宋体" w:eastAsia="宋体" w:cs="宋体"/>
          <w:b/>
          <w:i w:val="0"/>
          <w:strike w:val="0"/>
          <w:color w:val="FF0000"/>
          <w:sz w:val="22"/>
          <w:u w:val="none"/>
        </w:rPr>
        <w:t>★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支持企业内部5G物联网，后台服务支持在企业内网部署，满足数据安全与低延时要求。</w:t>
      </w:r>
    </w:p>
    <w:p w14:paraId="123FC5B6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14.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设备使用前，必须先播放企业安全教育视频，且不能跳过视频的播放而直接进行作业。</w:t>
      </w:r>
    </w:p>
    <w:p w14:paraId="451FFBBE">
      <w:pPr>
        <w:numPr>
          <w:ilvl w:val="0"/>
          <w:numId w:val="0"/>
        </w:numPr>
        <w:snapToGrid/>
        <w:spacing w:before="60" w:after="60" w:line="240" w:lineRule="auto"/>
        <w:ind w:leftChars="0"/>
        <w:rPr>
          <w:rFonts w:hint="eastAsia" w:ascii="宋体" w:hAnsi="宋体" w:eastAsia="minorEastAsia" w:cs="宋体"/>
          <w:i w:val="0"/>
          <w:strike w:val="0"/>
          <w:color w:val="333333"/>
          <w:sz w:val="2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15.</w:t>
      </w:r>
      <w:r>
        <w:rPr>
          <w:rFonts w:hint="eastAsia" w:ascii="宋体" w:hAnsi="宋体"/>
          <w:szCs w:val="21"/>
          <w:highlight w:val="none"/>
        </w:rPr>
        <w:t>招标人对到货的标的物按照巨化股份【2019】139号《可燃气体及有毒有害气体报警器管理办法》的要求，送指定的检测机构进行检定/校准，</w:t>
      </w:r>
      <w:r>
        <w:rPr>
          <w:rFonts w:hint="eastAsia" w:ascii="宋体" w:hAnsi="宋体"/>
          <w:highlight w:val="none"/>
        </w:rPr>
        <w:t>不合格或不符合要求的予以退换，再次不合格或不符合要求的予以退货</w:t>
      </w:r>
      <w:r>
        <w:rPr>
          <w:rFonts w:hint="eastAsia" w:ascii="宋体" w:hAnsi="宋体"/>
          <w:highlight w:val="none"/>
          <w:lang w:eastAsia="zh-CN"/>
        </w:rPr>
        <w:t>。</w:t>
      </w:r>
    </w:p>
    <w:p w14:paraId="62B61EA9">
      <w:pPr>
        <w:snapToGrid/>
        <w:spacing w:before="60" w:after="60" w:line="240" w:lineRule="auto"/>
        <w:ind w:left="0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</w:p>
    <w:p w14:paraId="3AF8D8CE">
      <w:pPr>
        <w:snapToGrid/>
        <w:spacing w:line="240" w:lineRule="auto"/>
        <w:ind w:left="0" w:right="0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ascii="宋体" w:hAnsi="宋体" w:eastAsia="宋体" w:cs="宋体"/>
          <w:i w:val="0"/>
          <w:strike w:val="0"/>
          <w:color w:val="FFFFFF"/>
          <w:sz w:val="21"/>
          <w:u w:val="none"/>
          <w:shd w:val="clear" w:color="auto" w:fill="006400"/>
        </w:rPr>
        <w:t>其他要求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：</w:t>
      </w:r>
    </w:p>
    <w:p w14:paraId="39A6BE2A">
      <w:pPr>
        <w:snapToGrid/>
        <w:spacing w:line="240" w:lineRule="auto"/>
        <w:ind w:left="0"/>
        <w:rPr>
          <w:rFonts w:ascii="宋体" w:hAnsi="宋体" w:eastAsia="宋体" w:cs="宋体"/>
          <w:i w:val="0"/>
          <w:strike w:val="0"/>
          <w:color w:val="333333"/>
          <w:spacing w:val="0"/>
          <w:sz w:val="22"/>
          <w:u w:val="none"/>
        </w:rPr>
      </w:pPr>
    </w:p>
    <w:p w14:paraId="631CE2C5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中标方提供3个月的免费试用期，甲方可无条件、无折损费用的退货。</w:t>
      </w:r>
    </w:p>
    <w:p w14:paraId="6D6C6AF4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中标方提供7*24小时技术支持服务，甲方有紧急需要时，中标方可在8小时内到达现场提供服务支持。</w:t>
      </w:r>
    </w:p>
    <w:p w14:paraId="34ABC6A4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中标方为甲方提供开发功能定制服务。</w:t>
      </w:r>
    </w:p>
    <w:p w14:paraId="71EE9A15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中标方提供不限次数的现场培训服务。</w:t>
      </w:r>
    </w:p>
    <w:p w14:paraId="11C41AEC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</w:pP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中标方需提供主要部件报价清单如：固态硬盘、各种类型传感器、主机电源、显示屏幕、摄像头等。</w:t>
      </w:r>
    </w:p>
    <w:p w14:paraId="04D33293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</w:pP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中标方需提供终生授权软件使用权并免费支持更新到最新版本。</w:t>
      </w:r>
    </w:p>
    <w:p w14:paraId="688667E2">
      <w:pPr>
        <w:numPr>
          <w:ilvl w:val="0"/>
          <w:numId w:val="2"/>
        </w:numPr>
        <w:snapToGrid/>
        <w:spacing w:before="60" w:after="60" w:line="240" w:lineRule="auto"/>
        <w:rPr>
          <w:rFonts w:ascii="宋体" w:hAnsi="宋体" w:eastAsia="宋体" w:cs="宋体"/>
          <w:i w:val="0"/>
          <w:strike w:val="0"/>
          <w:color w:val="auto"/>
          <w:sz w:val="22"/>
          <w:u w:val="none"/>
        </w:rPr>
      </w:pPr>
      <w:r>
        <w:rPr>
          <w:rFonts w:hint="eastAsia" w:ascii="宋体" w:hAnsi="宋体" w:eastAsia="宋体" w:cs="宋体"/>
          <w:i w:val="0"/>
          <w:strike w:val="0"/>
          <w:color w:val="auto"/>
          <w:sz w:val="22"/>
          <w:u w:val="none"/>
          <w:lang w:val="en-US" w:eastAsia="zh-CN"/>
        </w:rPr>
        <w:t>配置需求10套硬件及配套的后台系统。</w:t>
      </w:r>
      <w:bookmarkStart w:id="1" w:name="_GoBack"/>
      <w:bookmarkEnd w:id="1"/>
    </w:p>
    <w:p w14:paraId="491E092B">
      <w:pPr>
        <w:snapToGrid/>
        <w:spacing w:before="60" w:after="60" w:line="240" w:lineRule="auto"/>
        <w:ind w:left="0"/>
        <w:rPr>
          <w:rFonts w:ascii="宋体" w:hAnsi="宋体" w:eastAsia="宋体" w:cs="宋体"/>
        </w:rPr>
      </w:pPr>
    </w:p>
    <w:p w14:paraId="6C3386DB">
      <w:pPr>
        <w:snapToGrid/>
        <w:spacing w:before="60" w:after="60" w:line="240" w:lineRule="auto"/>
        <w:ind w:left="0" w:right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i w:val="0"/>
          <w:strike w:val="0"/>
          <w:color w:val="333333"/>
          <w:sz w:val="22"/>
          <w:u w:val="none"/>
          <w:lang w:val="en-US" w:eastAsia="zh-CN"/>
        </w:rPr>
        <w:t>最高限价 70万</w:t>
      </w: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 </w:t>
      </w:r>
    </w:p>
    <w:p w14:paraId="604F47FE">
      <w:pPr>
        <w:snapToGrid/>
        <w:spacing w:before="60" w:after="60"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 </w:t>
      </w:r>
    </w:p>
    <w:p w14:paraId="0D6A5660">
      <w:pPr>
        <w:pBdr>
          <w:bottom w:val="none" w:color="auto" w:sz="0" w:space="0"/>
        </w:pBdr>
        <w:snapToGrid/>
        <w:spacing w:before="60" w:after="60" w:line="240" w:lineRule="auto"/>
        <w:ind w:left="0" w:right="0"/>
        <w:rPr>
          <w:rFonts w:ascii="宋体" w:hAnsi="宋体" w:eastAsia="宋体" w:cs="宋体"/>
        </w:rPr>
      </w:pPr>
      <w:r>
        <w:rPr>
          <w:rFonts w:ascii="宋体" w:hAnsi="宋体" w:eastAsia="宋体" w:cs="宋体"/>
          <w:i w:val="0"/>
          <w:strike w:val="0"/>
          <w:color w:val="333333"/>
          <w:sz w:val="22"/>
          <w:u w:val="none"/>
        </w:rPr>
        <w:t> </w:t>
      </w:r>
    </w:p>
    <w:p w14:paraId="7244250E">
      <w:pPr>
        <w:rPr>
          <w:rFonts w:ascii="宋体" w:hAnsi="宋体" w:eastAsia="宋体" w:cs="宋体"/>
        </w:rPr>
      </w:pPr>
    </w:p>
    <w:sectPr>
      <w:pgSz w:w="11905" w:h="16838"/>
      <w:pgMar w:top="1361" w:right="1417" w:bottom="1361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36" w:hanging="336"/>
      </w:pPr>
    </w:lvl>
    <w:lvl w:ilvl="1" w:tentative="0">
      <w:start w:val="1"/>
      <w:numFmt w:val="lowerLetter"/>
      <w:lvlText w:val="%2."/>
      <w:lvlJc w:val="left"/>
      <w:pPr>
        <w:ind w:left="776" w:hanging="336"/>
      </w:pPr>
    </w:lvl>
    <w:lvl w:ilvl="2" w:tentative="0">
      <w:start w:val="1"/>
      <w:numFmt w:val="lowerRoman"/>
      <w:lvlText w:val="%3."/>
      <w:lvlJc w:val="left"/>
      <w:pPr>
        <w:ind w:left="1216" w:hanging="336"/>
      </w:pPr>
    </w:lvl>
    <w:lvl w:ilvl="3" w:tentative="0">
      <w:start w:val="1"/>
      <w:numFmt w:val="decimal"/>
      <w:lvlText w:val="%4."/>
      <w:lvlJc w:val="left"/>
      <w:pPr>
        <w:ind w:left="1656" w:hanging="336"/>
      </w:pPr>
    </w:lvl>
    <w:lvl w:ilvl="4" w:tentative="0">
      <w:start w:val="1"/>
      <w:numFmt w:val="lowerLetter"/>
      <w:lvlText w:val="%5."/>
      <w:lvlJc w:val="left"/>
      <w:pPr>
        <w:ind w:left="2096" w:hanging="336"/>
      </w:pPr>
    </w:lvl>
    <w:lvl w:ilvl="5" w:tentative="0">
      <w:start w:val="1"/>
      <w:numFmt w:val="lowerRoman"/>
      <w:lvlText w:val="%6."/>
      <w:lvlJc w:val="left"/>
      <w:pPr>
        <w:ind w:left="2536" w:hanging="336"/>
      </w:pPr>
    </w:lvl>
    <w:lvl w:ilvl="6" w:tentative="0">
      <w:start w:val="1"/>
      <w:numFmt w:val="decimal"/>
      <w:lvlText w:val="%7."/>
      <w:lvlJc w:val="left"/>
      <w:pPr>
        <w:ind w:left="2976" w:hanging="336"/>
      </w:pPr>
    </w:lvl>
    <w:lvl w:ilvl="7" w:tentative="0">
      <w:start w:val="1"/>
      <w:numFmt w:val="lowerLetter"/>
      <w:lvlText w:val="%8."/>
      <w:lvlJc w:val="left"/>
      <w:pPr>
        <w:ind w:left="3416" w:hanging="336"/>
      </w:pPr>
    </w:lvl>
    <w:lvl w:ilvl="8" w:tentative="0">
      <w:start w:val="1"/>
      <w:numFmt w:val="lowerRoman"/>
      <w:lvlText w:val="%9."/>
      <w:lvlJc w:val="left"/>
      <w:pPr>
        <w:ind w:left="3856" w:hanging="336"/>
      </w:p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36" w:hanging="336"/>
      </w:pPr>
      <w:rPr>
        <w:rFonts w:hint="default"/>
        <w:color w:val="auto"/>
      </w:rPr>
    </w:lvl>
    <w:lvl w:ilvl="1" w:tentative="0">
      <w:start w:val="1"/>
      <w:numFmt w:val="lowerLetter"/>
      <w:lvlText w:val="%2."/>
      <w:lvlJc w:val="left"/>
      <w:pPr>
        <w:ind w:left="776" w:hanging="336"/>
      </w:pPr>
    </w:lvl>
    <w:lvl w:ilvl="2" w:tentative="0">
      <w:start w:val="1"/>
      <w:numFmt w:val="lowerRoman"/>
      <w:lvlText w:val="%3."/>
      <w:lvlJc w:val="left"/>
      <w:pPr>
        <w:ind w:left="1216" w:hanging="336"/>
      </w:pPr>
    </w:lvl>
    <w:lvl w:ilvl="3" w:tentative="0">
      <w:start w:val="1"/>
      <w:numFmt w:val="decimal"/>
      <w:lvlText w:val="%4."/>
      <w:lvlJc w:val="left"/>
      <w:pPr>
        <w:ind w:left="1656" w:hanging="336"/>
      </w:pPr>
    </w:lvl>
    <w:lvl w:ilvl="4" w:tentative="0">
      <w:start w:val="1"/>
      <w:numFmt w:val="lowerLetter"/>
      <w:lvlText w:val="%5."/>
      <w:lvlJc w:val="left"/>
      <w:pPr>
        <w:ind w:left="2096" w:hanging="336"/>
      </w:pPr>
    </w:lvl>
    <w:lvl w:ilvl="5" w:tentative="0">
      <w:start w:val="1"/>
      <w:numFmt w:val="lowerRoman"/>
      <w:lvlText w:val="%6."/>
      <w:lvlJc w:val="left"/>
      <w:pPr>
        <w:ind w:left="2536" w:hanging="336"/>
      </w:pPr>
    </w:lvl>
    <w:lvl w:ilvl="6" w:tentative="0">
      <w:start w:val="1"/>
      <w:numFmt w:val="decimal"/>
      <w:lvlText w:val="%7."/>
      <w:lvlJc w:val="left"/>
      <w:pPr>
        <w:ind w:left="2976" w:hanging="336"/>
      </w:pPr>
    </w:lvl>
    <w:lvl w:ilvl="7" w:tentative="0">
      <w:start w:val="1"/>
      <w:numFmt w:val="lowerLetter"/>
      <w:lvlText w:val="%8."/>
      <w:lvlJc w:val="left"/>
      <w:pPr>
        <w:ind w:left="3416" w:hanging="336"/>
      </w:pPr>
    </w:lvl>
    <w:lvl w:ilvl="8" w:tentative="0">
      <w:start w:val="1"/>
      <w:numFmt w:val="lowerRoman"/>
      <w:lvlText w:val="%9."/>
      <w:lvlJc w:val="left"/>
      <w:pPr>
        <w:ind w:left="3856" w:hanging="336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A0"/>
    <w:rsid w:val="00680AC3"/>
    <w:rsid w:val="007452DF"/>
    <w:rsid w:val="00E023A0"/>
    <w:rsid w:val="02E70022"/>
    <w:rsid w:val="05DE6CD5"/>
    <w:rsid w:val="2D967310"/>
    <w:rsid w:val="33010C5B"/>
    <w:rsid w:val="34FD2668"/>
    <w:rsid w:val="368736F0"/>
    <w:rsid w:val="45A779F3"/>
    <w:rsid w:val="46C83374"/>
    <w:rsid w:val="491960AB"/>
    <w:rsid w:val="53715E0C"/>
    <w:rsid w:val="68DB7048"/>
    <w:rsid w:val="69B56269"/>
    <w:rsid w:val="722A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1432</Words>
  <Characters>1738</Characters>
  <TotalTime>9</TotalTime>
  <ScaleCrop>false</ScaleCrop>
  <LinksUpToDate>false</LinksUpToDate>
  <CharactersWithSpaces>1753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2025-09-18T21:30:00Z</dcterms:created>
  <dc:creator>阮深的book</dc:creator>
  <cp:lastModifiedBy>郑</cp:lastModifiedBy>
  <dcterms:modified xsi:type="dcterms:W3CDTF">2025-10-31T02:33:26Z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eyJoZGlkIjoiNGYzZDczNmVlNzkzYzdlODU2NjIwYTQwNzNlN2Y5YzQiLCJ1c2VySWQiOiI1NjkxMjc2OTEifQ==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86AA2718BE214E63B002E8B2B86AA6A2_13</vt:lpwstr>
  </property>
</Properties>
</file>