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A61B2A">
      <w:pPr>
        <w:jc w:val="center"/>
        <w:rPr>
          <w:rFonts w:hint="eastAsia" w:ascii="宋体" w:hAnsi="宋体"/>
          <w:b/>
          <w:sz w:val="36"/>
          <w:szCs w:val="36"/>
        </w:rPr>
      </w:pPr>
    </w:p>
    <w:p w14:paraId="04A61B2B">
      <w:pPr>
        <w:jc w:val="center"/>
        <w:rPr>
          <w:rFonts w:hint="eastAsia" w:ascii="宋体" w:hAnsi="宋体"/>
          <w:b/>
          <w:sz w:val="36"/>
          <w:szCs w:val="36"/>
        </w:rPr>
      </w:pPr>
      <w:r>
        <w:rPr>
          <w:rFonts w:hint="eastAsia" w:ascii="宋体" w:hAnsi="宋体"/>
          <w:b/>
          <w:sz w:val="36"/>
          <w:szCs w:val="36"/>
        </w:rPr>
        <w:t>招  标  文  件</w:t>
      </w:r>
    </w:p>
    <w:p w14:paraId="04A61B2C">
      <w:pPr>
        <w:spacing w:line="560" w:lineRule="exact"/>
        <w:rPr>
          <w:rFonts w:hint="eastAsia" w:ascii="宋体" w:hAnsi="宋体"/>
          <w:sz w:val="36"/>
          <w:szCs w:val="36"/>
        </w:rPr>
      </w:pPr>
    </w:p>
    <w:p w14:paraId="04A61B2D">
      <w:pPr>
        <w:spacing w:line="560" w:lineRule="exact"/>
        <w:ind w:left="718" w:leftChars="342"/>
        <w:rPr>
          <w:rFonts w:hint="eastAsia" w:ascii="宋体" w:hAnsi="宋体"/>
          <w:b/>
          <w:sz w:val="36"/>
          <w:szCs w:val="36"/>
        </w:rPr>
      </w:pPr>
      <w:r>
        <w:rPr>
          <w:rFonts w:hint="eastAsia" w:ascii="宋体" w:hAnsi="宋体"/>
          <w:b/>
          <w:sz w:val="36"/>
          <w:szCs w:val="36"/>
        </w:rPr>
        <w:t xml:space="preserve">招 标 编 号： </w:t>
      </w:r>
    </w:p>
    <w:p w14:paraId="04A61B2E">
      <w:pPr>
        <w:spacing w:line="560" w:lineRule="exact"/>
        <w:ind w:left="718" w:leftChars="342"/>
        <w:rPr>
          <w:rFonts w:hint="eastAsia" w:ascii="宋体" w:hAnsi="宋体"/>
          <w:b/>
          <w:sz w:val="36"/>
          <w:szCs w:val="36"/>
        </w:rPr>
      </w:pPr>
      <w:r>
        <w:rPr>
          <w:rFonts w:hint="eastAsia" w:ascii="宋体" w:hAnsi="宋体"/>
          <w:b/>
          <w:sz w:val="36"/>
          <w:szCs w:val="36"/>
        </w:rPr>
        <w:t>项 目 名 称：浙江晋巨化工有限公司合成氨装置提质增效设备更新项目提质增效、无样装置新增等项目</w:t>
      </w:r>
    </w:p>
    <w:p w14:paraId="04A61B2F">
      <w:pPr>
        <w:spacing w:line="560" w:lineRule="exact"/>
        <w:ind w:firstLine="723" w:firstLineChars="200"/>
        <w:rPr>
          <w:rFonts w:hint="eastAsia" w:ascii="宋体" w:hAnsi="宋体"/>
          <w:b/>
          <w:sz w:val="36"/>
          <w:szCs w:val="36"/>
        </w:rPr>
      </w:pPr>
      <w:r>
        <w:rPr>
          <w:rFonts w:hint="eastAsia" w:ascii="宋体" w:hAnsi="宋体"/>
          <w:b/>
          <w:sz w:val="36"/>
          <w:szCs w:val="36"/>
        </w:rPr>
        <w:t>标的物名称：在线分析仪招标</w:t>
      </w:r>
    </w:p>
    <w:p w14:paraId="04A61B30">
      <w:pPr>
        <w:spacing w:line="560" w:lineRule="exact"/>
        <w:rPr>
          <w:rFonts w:hint="eastAsia" w:ascii="宋体" w:hAnsi="宋体"/>
          <w:b/>
          <w:sz w:val="36"/>
          <w:szCs w:val="36"/>
        </w:rPr>
      </w:pPr>
    </w:p>
    <w:p w14:paraId="04A61B31">
      <w:pPr>
        <w:spacing w:line="560" w:lineRule="exact"/>
        <w:rPr>
          <w:rFonts w:hint="eastAsia" w:ascii="宋体" w:hAnsi="宋体"/>
          <w:b/>
          <w:sz w:val="36"/>
          <w:szCs w:val="36"/>
        </w:rPr>
      </w:pPr>
    </w:p>
    <w:p w14:paraId="04A61B32">
      <w:pPr>
        <w:spacing w:line="560" w:lineRule="exact"/>
        <w:rPr>
          <w:rFonts w:hint="eastAsia" w:ascii="宋体" w:hAnsi="宋体"/>
          <w:b/>
          <w:sz w:val="36"/>
          <w:szCs w:val="36"/>
        </w:rPr>
      </w:pPr>
    </w:p>
    <w:p w14:paraId="04A61B33">
      <w:pPr>
        <w:spacing w:line="560" w:lineRule="exact"/>
        <w:rPr>
          <w:rFonts w:hint="eastAsia" w:ascii="宋体" w:hAnsi="宋体"/>
          <w:b/>
          <w:sz w:val="36"/>
          <w:szCs w:val="36"/>
        </w:rPr>
      </w:pPr>
    </w:p>
    <w:p w14:paraId="04A61B34">
      <w:pPr>
        <w:spacing w:line="560" w:lineRule="exact"/>
        <w:rPr>
          <w:rFonts w:hint="eastAsia" w:ascii="宋体" w:hAnsi="宋体"/>
          <w:b/>
          <w:sz w:val="36"/>
          <w:szCs w:val="36"/>
        </w:rPr>
      </w:pPr>
    </w:p>
    <w:p w14:paraId="04A61B35">
      <w:pPr>
        <w:spacing w:line="560" w:lineRule="exact"/>
        <w:rPr>
          <w:rFonts w:hint="eastAsia" w:ascii="宋体" w:hAnsi="宋体"/>
          <w:b/>
          <w:sz w:val="36"/>
          <w:szCs w:val="36"/>
        </w:rPr>
      </w:pPr>
    </w:p>
    <w:p w14:paraId="04A61B36">
      <w:pPr>
        <w:spacing w:line="560" w:lineRule="exact"/>
        <w:rPr>
          <w:rFonts w:hint="eastAsia" w:ascii="宋体" w:hAnsi="宋体"/>
          <w:b/>
          <w:sz w:val="36"/>
          <w:szCs w:val="36"/>
        </w:rPr>
      </w:pPr>
    </w:p>
    <w:p w14:paraId="04A61B37">
      <w:pPr>
        <w:spacing w:line="560" w:lineRule="exact"/>
        <w:rPr>
          <w:rFonts w:hint="eastAsia" w:ascii="宋体" w:hAnsi="宋体"/>
          <w:b/>
          <w:sz w:val="36"/>
          <w:szCs w:val="36"/>
        </w:rPr>
      </w:pPr>
    </w:p>
    <w:p w14:paraId="04A61B38">
      <w:pPr>
        <w:spacing w:line="560" w:lineRule="exact"/>
        <w:rPr>
          <w:rFonts w:hint="eastAsia" w:ascii="宋体" w:hAnsi="宋体"/>
          <w:b/>
          <w:sz w:val="36"/>
          <w:szCs w:val="36"/>
        </w:rPr>
      </w:pPr>
    </w:p>
    <w:p w14:paraId="04A61B39">
      <w:pPr>
        <w:ind w:left="1080" w:hanging="1080" w:hangingChars="300"/>
        <w:rPr>
          <w:rFonts w:hint="eastAsia" w:ascii="宋体" w:hAnsi="宋体"/>
          <w:sz w:val="36"/>
          <w:szCs w:val="36"/>
        </w:rPr>
      </w:pPr>
      <w:r>
        <w:rPr>
          <w:rFonts w:hint="eastAsia" w:ascii="宋体" w:hAnsi="宋体"/>
          <w:sz w:val="36"/>
          <w:szCs w:val="36"/>
        </w:rPr>
        <w:t xml:space="preserve"> 招标人：浙江晋巨化工有限公司</w:t>
      </w:r>
    </w:p>
    <w:p w14:paraId="04A61B3A">
      <w:pPr>
        <w:ind w:left="1080" w:hanging="1080" w:hangingChars="300"/>
        <w:rPr>
          <w:rFonts w:hint="eastAsia" w:ascii="宋体" w:hAnsi="宋体"/>
          <w:sz w:val="36"/>
          <w:szCs w:val="36"/>
        </w:rPr>
      </w:pPr>
      <w:r>
        <w:rPr>
          <w:rFonts w:hint="eastAsia" w:ascii="宋体" w:hAnsi="宋体"/>
          <w:sz w:val="36"/>
          <w:szCs w:val="36"/>
        </w:rPr>
        <w:t xml:space="preserve">         浙江巨化化工材料有限公司</w:t>
      </w:r>
    </w:p>
    <w:p w14:paraId="04A61B3B">
      <w:pPr>
        <w:rPr>
          <w:rFonts w:hint="eastAsia" w:ascii="宋体" w:hAnsi="宋体"/>
          <w:sz w:val="36"/>
          <w:szCs w:val="36"/>
        </w:rPr>
      </w:pPr>
    </w:p>
    <w:p w14:paraId="04A61B3C">
      <w:pPr>
        <w:rPr>
          <w:rFonts w:hint="eastAsia" w:ascii="宋体" w:hAnsi="宋体"/>
          <w:sz w:val="36"/>
          <w:szCs w:val="36"/>
        </w:rPr>
      </w:pPr>
      <w:r>
        <w:rPr>
          <w:rFonts w:hint="eastAsia" w:ascii="宋体" w:hAnsi="宋体"/>
          <w:sz w:val="36"/>
          <w:szCs w:val="36"/>
        </w:rPr>
        <w:t xml:space="preserve"> 招标代理：巨化集团有限公司物资装备分公司</w:t>
      </w:r>
    </w:p>
    <w:p w14:paraId="04A61B3D">
      <w:pPr>
        <w:ind w:firstLine="2340" w:firstLineChars="650"/>
        <w:rPr>
          <w:rFonts w:hint="eastAsia" w:ascii="宋体" w:hAnsi="宋体"/>
          <w:sz w:val="36"/>
          <w:szCs w:val="36"/>
        </w:rPr>
      </w:pPr>
      <w:r>
        <w:rPr>
          <w:rFonts w:hint="eastAsia" w:ascii="宋体" w:hAnsi="宋体"/>
          <w:sz w:val="36"/>
          <w:szCs w:val="36"/>
        </w:rPr>
        <w:t>二O二五年  月</w:t>
      </w:r>
    </w:p>
    <w:p w14:paraId="04A61B3E">
      <w:pPr>
        <w:widowControl/>
        <w:jc w:val="left"/>
        <w:rPr>
          <w:rFonts w:hint="eastAsia" w:ascii="宋体" w:hAnsi="宋体"/>
          <w:sz w:val="36"/>
          <w:szCs w:val="36"/>
        </w:rPr>
      </w:pPr>
    </w:p>
    <w:p w14:paraId="04A61B3F">
      <w:pPr>
        <w:widowControl/>
        <w:jc w:val="left"/>
        <w:rPr>
          <w:rFonts w:hint="eastAsia" w:ascii="宋体" w:hAnsi="宋体"/>
          <w:sz w:val="24"/>
          <w:szCs w:val="24"/>
        </w:rPr>
      </w:pPr>
    </w:p>
    <w:p w14:paraId="04A61B40">
      <w:pPr>
        <w:widowControl/>
        <w:jc w:val="left"/>
        <w:rPr>
          <w:rFonts w:hint="eastAsia" w:ascii="宋体" w:hAnsi="宋体"/>
          <w:sz w:val="24"/>
          <w:szCs w:val="24"/>
        </w:rPr>
      </w:pPr>
    </w:p>
    <w:p w14:paraId="04A61B41">
      <w:pPr>
        <w:widowControl/>
        <w:jc w:val="left"/>
        <w:rPr>
          <w:rFonts w:hint="eastAsia" w:ascii="宋体" w:hAnsi="宋体"/>
          <w:sz w:val="24"/>
          <w:szCs w:val="24"/>
        </w:rPr>
      </w:pPr>
    </w:p>
    <w:p w14:paraId="04A61B42">
      <w:pPr>
        <w:widowControl/>
        <w:jc w:val="left"/>
        <w:rPr>
          <w:rFonts w:hint="eastAsia" w:ascii="宋体" w:hAnsi="宋体"/>
          <w:sz w:val="24"/>
          <w:szCs w:val="24"/>
        </w:rPr>
      </w:pPr>
    </w:p>
    <w:p w14:paraId="04A61B43">
      <w:pPr>
        <w:pStyle w:val="13"/>
        <w:snapToGrid w:val="0"/>
        <w:spacing w:line="360" w:lineRule="auto"/>
        <w:jc w:val="center"/>
        <w:outlineLvl w:val="0"/>
        <w:rPr>
          <w:rFonts w:hint="eastAsia" w:hAnsi="宋体"/>
          <w:b/>
          <w:sz w:val="24"/>
          <w:szCs w:val="24"/>
        </w:rPr>
      </w:pPr>
      <w:bookmarkStart w:id="0" w:name="_Toc161130971"/>
      <w:bookmarkStart w:id="1" w:name="_Toc127277056"/>
    </w:p>
    <w:p w14:paraId="04A61B44">
      <w:pPr>
        <w:pStyle w:val="13"/>
        <w:snapToGrid w:val="0"/>
        <w:spacing w:line="360" w:lineRule="auto"/>
        <w:jc w:val="center"/>
        <w:outlineLvl w:val="0"/>
        <w:rPr>
          <w:rFonts w:hint="eastAsia" w:hAnsi="宋体"/>
          <w:b/>
          <w:sz w:val="24"/>
          <w:szCs w:val="24"/>
        </w:rPr>
      </w:pPr>
      <w:r>
        <w:rPr>
          <w:rFonts w:hint="eastAsia" w:hAnsi="宋体"/>
          <w:b/>
          <w:sz w:val="24"/>
          <w:szCs w:val="24"/>
        </w:rPr>
        <w:t>电子投标须知</w:t>
      </w:r>
      <w:bookmarkEnd w:id="0"/>
      <w:bookmarkEnd w:id="1"/>
    </w:p>
    <w:p w14:paraId="04A61B45">
      <w:pPr>
        <w:pStyle w:val="13"/>
        <w:snapToGrid w:val="0"/>
        <w:spacing w:line="360" w:lineRule="exact"/>
        <w:ind w:firstLine="480" w:firstLineChars="200"/>
        <w:rPr>
          <w:rFonts w:hint="eastAsia" w:hAnsi="宋体" w:cs="宋体"/>
          <w:kern w:val="144"/>
          <w:sz w:val="24"/>
          <w:szCs w:val="24"/>
        </w:rPr>
      </w:pPr>
      <w:r>
        <w:rPr>
          <w:rFonts w:hint="eastAsia" w:hAnsi="宋体" w:cs="宋体"/>
          <w:kern w:val="144"/>
          <w:sz w:val="24"/>
          <w:szCs w:val="24"/>
        </w:rPr>
        <w:t>本次招标采用电子投标方式，电子投标平台为“巨化数字化招采平台（juhua.ccccnet.com）”，参考操作顺序如下：</w:t>
      </w:r>
    </w:p>
    <w:p w14:paraId="04A61B46">
      <w:pPr>
        <w:pStyle w:val="13"/>
        <w:snapToGrid w:val="0"/>
        <w:spacing w:line="360" w:lineRule="exact"/>
        <w:ind w:firstLine="480" w:firstLineChars="200"/>
        <w:rPr>
          <w:rFonts w:hint="eastAsia" w:hAnsi="宋体" w:cs="宋体"/>
          <w:kern w:val="144"/>
          <w:sz w:val="24"/>
          <w:szCs w:val="24"/>
        </w:rPr>
      </w:pPr>
      <w:r>
        <w:rPr>
          <w:rFonts w:hint="eastAsia" w:hAnsi="宋体" w:cs="宋体"/>
          <w:kern w:val="144"/>
          <w:sz w:val="24"/>
          <w:szCs w:val="24"/>
        </w:rPr>
        <w:t>1.在“巨化数字化招采平台”注册，网址：</w:t>
      </w:r>
    </w:p>
    <w:p w14:paraId="04A61B47">
      <w:pPr>
        <w:pStyle w:val="13"/>
        <w:snapToGrid w:val="0"/>
        <w:spacing w:line="360" w:lineRule="exact"/>
        <w:ind w:firstLine="480" w:firstLineChars="200"/>
        <w:rPr>
          <w:rFonts w:hint="eastAsia" w:hAnsi="宋体" w:cs="宋体"/>
          <w:kern w:val="144"/>
          <w:sz w:val="24"/>
          <w:szCs w:val="24"/>
        </w:rPr>
      </w:pPr>
      <w:r>
        <w:rPr>
          <w:rFonts w:hAnsi="宋体" w:cs="宋体"/>
          <w:kern w:val="144"/>
          <w:sz w:val="24"/>
          <w:szCs w:val="24"/>
        </w:rPr>
        <w:t>https://jhscm.ccccnet.com/user/supplierRegister/</w:t>
      </w:r>
    </w:p>
    <w:p w14:paraId="04A61B48">
      <w:pPr>
        <w:pStyle w:val="13"/>
        <w:snapToGrid w:val="0"/>
        <w:spacing w:line="360" w:lineRule="exact"/>
        <w:ind w:firstLine="480" w:firstLineChars="200"/>
        <w:rPr>
          <w:rFonts w:hint="eastAsia" w:hAnsi="宋体" w:cs="宋体"/>
          <w:kern w:val="144"/>
          <w:sz w:val="24"/>
          <w:szCs w:val="24"/>
        </w:rPr>
      </w:pPr>
      <w:r>
        <w:rPr>
          <w:rFonts w:hint="eastAsia" w:hAnsi="宋体" w:cs="宋体"/>
          <w:kern w:val="144"/>
          <w:sz w:val="24"/>
          <w:szCs w:val="24"/>
        </w:rPr>
        <w:t>2.CA申请，网址：</w:t>
      </w:r>
    </w:p>
    <w:p w14:paraId="04A61B49">
      <w:pPr>
        <w:pStyle w:val="13"/>
        <w:snapToGrid w:val="0"/>
        <w:spacing w:line="360" w:lineRule="exact"/>
        <w:ind w:firstLine="480" w:firstLineChars="200"/>
        <w:rPr>
          <w:rFonts w:hint="eastAsia" w:hAnsi="宋体" w:cs="宋体"/>
          <w:kern w:val="144"/>
          <w:sz w:val="24"/>
          <w:szCs w:val="24"/>
        </w:rPr>
      </w:pPr>
      <w:r>
        <w:rPr>
          <w:rFonts w:hAnsi="宋体" w:cs="宋体"/>
          <w:kern w:val="144"/>
          <w:sz w:val="24"/>
          <w:szCs w:val="24"/>
        </w:rPr>
        <w:t>http://www.tseal.cn/tcloud/common.xhtml?projId=81</w:t>
      </w:r>
    </w:p>
    <w:p w14:paraId="04A61B4A">
      <w:pPr>
        <w:pStyle w:val="13"/>
        <w:snapToGrid w:val="0"/>
        <w:spacing w:line="360" w:lineRule="exact"/>
        <w:ind w:firstLine="480" w:firstLineChars="200"/>
        <w:rPr>
          <w:rFonts w:hint="eastAsia" w:hAnsi="宋体" w:cs="宋体"/>
          <w:kern w:val="144"/>
          <w:sz w:val="24"/>
          <w:szCs w:val="24"/>
        </w:rPr>
      </w:pPr>
      <w:r>
        <w:rPr>
          <w:rFonts w:hint="eastAsia" w:hAnsi="宋体" w:cs="宋体"/>
          <w:kern w:val="144"/>
          <w:sz w:val="24"/>
          <w:szCs w:val="24"/>
        </w:rPr>
        <w:t>CA数字证书申请后须邮寄实体介质，应尽早申请，否则因CA邮寄时间导致延误投标的责任由投标人自行承担。</w:t>
      </w:r>
    </w:p>
    <w:p w14:paraId="04A61B4B">
      <w:pPr>
        <w:pStyle w:val="13"/>
        <w:snapToGrid w:val="0"/>
        <w:spacing w:line="360" w:lineRule="exact"/>
        <w:ind w:firstLine="480" w:firstLineChars="200"/>
        <w:rPr>
          <w:rFonts w:hint="eastAsia" w:hAnsi="宋体" w:cs="宋体"/>
          <w:kern w:val="144"/>
          <w:sz w:val="24"/>
          <w:szCs w:val="24"/>
        </w:rPr>
      </w:pPr>
      <w:r>
        <w:rPr>
          <w:rFonts w:hint="eastAsia" w:hAnsi="宋体" w:cs="宋体"/>
          <w:kern w:val="144"/>
          <w:sz w:val="24"/>
          <w:szCs w:val="24"/>
        </w:rPr>
        <w:t>3.报名：</w:t>
      </w:r>
    </w:p>
    <w:p w14:paraId="04A61B4C">
      <w:pPr>
        <w:pStyle w:val="13"/>
        <w:snapToGrid w:val="0"/>
        <w:spacing w:line="360" w:lineRule="exact"/>
        <w:ind w:firstLine="480" w:firstLineChars="200"/>
        <w:rPr>
          <w:rFonts w:hint="eastAsia" w:hAnsi="宋体" w:cs="宋体"/>
          <w:kern w:val="144"/>
          <w:sz w:val="24"/>
          <w:szCs w:val="24"/>
        </w:rPr>
      </w:pPr>
      <w:r>
        <w:rPr>
          <w:rFonts w:hint="eastAsia" w:hAnsi="宋体" w:cs="宋体"/>
          <w:kern w:val="144"/>
          <w:sz w:val="24"/>
          <w:szCs w:val="24"/>
        </w:rPr>
        <w:t>登录“巨化数字化招采平台”→“供应商门户”→“招标公告”→“查看”本项目招标公告→“公开报名”→“报名”。</w:t>
      </w:r>
    </w:p>
    <w:p w14:paraId="04A61B4D">
      <w:pPr>
        <w:pStyle w:val="13"/>
        <w:snapToGrid w:val="0"/>
        <w:spacing w:line="360" w:lineRule="exact"/>
        <w:ind w:firstLine="480" w:firstLineChars="200"/>
        <w:rPr>
          <w:rFonts w:hint="eastAsia" w:hAnsi="宋体" w:cs="宋体"/>
          <w:kern w:val="144"/>
          <w:sz w:val="24"/>
          <w:szCs w:val="24"/>
        </w:rPr>
      </w:pPr>
      <w:r>
        <w:rPr>
          <w:rFonts w:hint="eastAsia" w:hAnsi="宋体" w:cs="宋体"/>
          <w:kern w:val="144"/>
          <w:sz w:val="24"/>
          <w:szCs w:val="24"/>
        </w:rPr>
        <w:t>4.编制投标文件：</w:t>
      </w:r>
    </w:p>
    <w:p w14:paraId="04A61B4E">
      <w:pPr>
        <w:pStyle w:val="13"/>
        <w:snapToGrid w:val="0"/>
        <w:spacing w:line="360" w:lineRule="exact"/>
        <w:ind w:firstLine="480" w:firstLineChars="200"/>
        <w:rPr>
          <w:rFonts w:hint="eastAsia" w:hAnsi="宋体" w:cs="宋体"/>
          <w:kern w:val="144"/>
          <w:sz w:val="24"/>
          <w:szCs w:val="24"/>
        </w:rPr>
      </w:pPr>
      <w:r>
        <w:rPr>
          <w:rFonts w:hint="eastAsia" w:hAnsi="宋体" w:cs="宋体"/>
          <w:kern w:val="144"/>
          <w:sz w:val="24"/>
          <w:szCs w:val="24"/>
        </w:rPr>
        <w:t>根据本招标文件“第二章</w:t>
      </w:r>
      <w:r>
        <w:rPr>
          <w:rFonts w:hAnsi="宋体" w:cs="宋体"/>
          <w:kern w:val="144"/>
          <w:sz w:val="24"/>
          <w:szCs w:val="24"/>
        </w:rPr>
        <w:t xml:space="preserve">  </w:t>
      </w:r>
      <w:r>
        <w:rPr>
          <w:rFonts w:hint="eastAsia" w:hAnsi="宋体" w:cs="宋体"/>
          <w:kern w:val="144"/>
          <w:sz w:val="24"/>
          <w:szCs w:val="24"/>
        </w:rPr>
        <w:t>投标人须知” “三、投标文件的编制”“（一）投标文件的组成”的要求编制“技术资信标书”和“商务经济标书”电子版。</w:t>
      </w:r>
    </w:p>
    <w:p w14:paraId="04A61B4F">
      <w:pPr>
        <w:pStyle w:val="13"/>
        <w:snapToGrid w:val="0"/>
        <w:spacing w:line="360" w:lineRule="exact"/>
        <w:ind w:firstLine="480" w:firstLineChars="200"/>
        <w:rPr>
          <w:rFonts w:hint="eastAsia" w:hAnsi="宋体" w:cs="宋体"/>
          <w:kern w:val="144"/>
          <w:sz w:val="24"/>
          <w:szCs w:val="24"/>
        </w:rPr>
      </w:pPr>
      <w:r>
        <w:rPr>
          <w:rFonts w:hint="eastAsia" w:hAnsi="宋体" w:cs="宋体"/>
          <w:kern w:val="144"/>
          <w:sz w:val="24"/>
          <w:szCs w:val="24"/>
        </w:rPr>
        <w:t>5.投标：</w:t>
      </w:r>
    </w:p>
    <w:p w14:paraId="04A61B50">
      <w:pPr>
        <w:pStyle w:val="13"/>
        <w:snapToGrid w:val="0"/>
        <w:spacing w:line="360" w:lineRule="exact"/>
        <w:ind w:firstLine="480" w:firstLineChars="200"/>
        <w:rPr>
          <w:rFonts w:hint="eastAsia" w:hAnsi="宋体" w:cs="宋体"/>
          <w:kern w:val="144"/>
          <w:sz w:val="24"/>
          <w:szCs w:val="24"/>
        </w:rPr>
      </w:pPr>
      <w:r>
        <w:rPr>
          <w:rFonts w:hint="eastAsia" w:hAnsi="宋体" w:cs="宋体"/>
          <w:kern w:val="144"/>
          <w:sz w:val="24"/>
          <w:szCs w:val="24"/>
        </w:rPr>
        <w:t>用WIN10系统的电脑，登录“巨化数字化招采平台” →“寻源管理”→“我参与的”→本项目“投标控制台”→“投标”→在投标界面下载“e签宝”和“巨化电子标书制作客户端”→将“技术资信标书”和“商务经济标书”电子版在“巨化电子标书制作客户端”加密→将加密的“技术资信标书”和“商务经济标书” 上传至“投标文件上传”对应之处→编制并上传“供应商（服务商）承诺书”，填写投标界面内容→“提交”</w:t>
      </w:r>
    </w:p>
    <w:p w14:paraId="04A61B51">
      <w:pPr>
        <w:pStyle w:val="13"/>
        <w:snapToGrid w:val="0"/>
        <w:spacing w:line="360" w:lineRule="exact"/>
        <w:ind w:firstLine="480" w:firstLineChars="200"/>
        <w:rPr>
          <w:rFonts w:hint="eastAsia" w:hAnsi="宋体" w:cs="宋体"/>
          <w:kern w:val="144"/>
          <w:sz w:val="24"/>
          <w:szCs w:val="24"/>
        </w:rPr>
      </w:pPr>
      <w:r>
        <w:rPr>
          <w:rFonts w:hint="eastAsia" w:hAnsi="宋体" w:cs="宋体"/>
          <w:kern w:val="144"/>
          <w:sz w:val="24"/>
          <w:szCs w:val="24"/>
        </w:rPr>
        <w:t>6.注册、投标等相关操作方法详见“电子投标供应商操作手册”，获取方式：巨化数字化招采平台首页-供应商操作手册（招标），获取网址：</w:t>
      </w:r>
    </w:p>
    <w:p w14:paraId="04A61B52">
      <w:pPr>
        <w:pStyle w:val="13"/>
        <w:snapToGrid w:val="0"/>
        <w:spacing w:line="360" w:lineRule="exact"/>
        <w:ind w:firstLine="480" w:firstLineChars="200"/>
        <w:rPr>
          <w:rFonts w:hint="eastAsia" w:hAnsi="宋体" w:cs="宋体"/>
          <w:kern w:val="144"/>
          <w:sz w:val="24"/>
          <w:szCs w:val="24"/>
        </w:rPr>
      </w:pPr>
      <w:r>
        <w:rPr>
          <w:rFonts w:hAnsi="宋体" w:cs="宋体"/>
          <w:kern w:val="144"/>
          <w:sz w:val="24"/>
          <w:szCs w:val="24"/>
        </w:rPr>
        <w:t>https://juhua.ccccnet.com/#/detail3/cdef968b-fd19-4ffa-9edd-0d9699c46185</w:t>
      </w:r>
    </w:p>
    <w:p w14:paraId="04A61B53">
      <w:pPr>
        <w:pStyle w:val="13"/>
        <w:snapToGrid w:val="0"/>
        <w:spacing w:line="360" w:lineRule="exact"/>
        <w:ind w:firstLine="480" w:firstLineChars="200"/>
        <w:rPr>
          <w:rFonts w:hint="eastAsia" w:hAnsi="宋体" w:cs="宋体"/>
          <w:kern w:val="144"/>
          <w:sz w:val="24"/>
          <w:szCs w:val="24"/>
        </w:rPr>
      </w:pPr>
      <w:r>
        <w:rPr>
          <w:rFonts w:hint="eastAsia" w:hAnsi="宋体" w:cs="宋体"/>
          <w:kern w:val="144"/>
          <w:sz w:val="24"/>
          <w:szCs w:val="24"/>
        </w:rPr>
        <w:t>7.投标人在参加电子交易过程中，有CA或平台问题的，请联系：</w:t>
      </w:r>
    </w:p>
    <w:p w14:paraId="04A61B54">
      <w:pPr>
        <w:pStyle w:val="13"/>
        <w:snapToGrid w:val="0"/>
        <w:spacing w:line="360" w:lineRule="exact"/>
        <w:ind w:firstLine="480" w:firstLineChars="200"/>
        <w:rPr>
          <w:rFonts w:hint="eastAsia" w:hAnsi="宋体" w:cs="宋体"/>
          <w:kern w:val="144"/>
          <w:sz w:val="24"/>
          <w:szCs w:val="24"/>
        </w:rPr>
      </w:pPr>
      <w:r>
        <w:rPr>
          <w:rFonts w:hint="eastAsia" w:hAnsi="宋体" w:cs="宋体"/>
          <w:kern w:val="144"/>
          <w:sz w:val="24"/>
          <w:szCs w:val="24"/>
        </w:rPr>
        <w:t>巨化招采平台供应商线上支持QQ群：256350034（首选）</w:t>
      </w:r>
    </w:p>
    <w:p w14:paraId="04A61B55">
      <w:pPr>
        <w:pStyle w:val="13"/>
        <w:snapToGrid w:val="0"/>
        <w:spacing w:line="360" w:lineRule="exact"/>
        <w:ind w:firstLine="480" w:firstLineChars="200"/>
        <w:rPr>
          <w:rFonts w:hint="eastAsia" w:hAnsi="宋体" w:cs="宋体"/>
          <w:kern w:val="144"/>
          <w:sz w:val="24"/>
          <w:szCs w:val="24"/>
        </w:rPr>
      </w:pPr>
      <w:r>
        <w:rPr>
          <w:rFonts w:hint="eastAsia" w:hAnsi="宋体" w:cs="宋体"/>
          <w:kern w:val="144"/>
          <w:sz w:val="24"/>
          <w:szCs w:val="24"/>
        </w:rPr>
        <w:t>联系电话：0570-3615336</w:t>
      </w:r>
    </w:p>
    <w:p w14:paraId="04A61B56">
      <w:pPr>
        <w:pStyle w:val="13"/>
        <w:snapToGrid w:val="0"/>
        <w:spacing w:line="360" w:lineRule="exact"/>
        <w:ind w:firstLine="480" w:firstLineChars="200"/>
        <w:rPr>
          <w:rFonts w:hint="eastAsia" w:hAnsi="宋体" w:cs="宋体"/>
          <w:kern w:val="144"/>
          <w:sz w:val="24"/>
          <w:szCs w:val="24"/>
        </w:rPr>
        <w:sectPr>
          <w:footnotePr>
            <w:numRestart w:val="eachPage"/>
          </w:footnotePr>
          <w:endnotePr>
            <w:numRestart w:val="eachSect"/>
          </w:endnotePr>
          <w:pgSz w:w="11907" w:h="16840"/>
          <w:pgMar w:top="1418" w:right="1418" w:bottom="1418" w:left="1644" w:header="851" w:footer="992" w:gutter="0"/>
          <w:cols w:space="720" w:num="1"/>
        </w:sectPr>
      </w:pPr>
      <w:r>
        <w:rPr>
          <w:rFonts w:hint="eastAsia" w:hAnsi="宋体" w:cs="宋体"/>
          <w:kern w:val="144"/>
          <w:sz w:val="24"/>
          <w:szCs w:val="24"/>
        </w:rPr>
        <w:t>8.不论中标与否均需邮寄《退还投标保证金申请书》后方可退还投标保证金，建议尽早邮寄，以免耽误投标保证金的退还。</w:t>
      </w:r>
    </w:p>
    <w:p w14:paraId="04A61B57">
      <w:pPr>
        <w:pStyle w:val="33"/>
        <w:jc w:val="center"/>
        <w:rPr>
          <w:color w:val="auto"/>
          <w:sz w:val="52"/>
          <w:szCs w:val="52"/>
        </w:rPr>
      </w:pPr>
      <w:r>
        <w:rPr>
          <w:color w:val="auto"/>
          <w:sz w:val="52"/>
          <w:szCs w:val="52"/>
          <w:lang w:val="zh-CN"/>
        </w:rPr>
        <w:t>目录</w:t>
      </w:r>
    </w:p>
    <w:p w14:paraId="04A61B58">
      <w:pPr>
        <w:pStyle w:val="18"/>
        <w:tabs>
          <w:tab w:val="right" w:leader="dot" w:pos="8835"/>
        </w:tabs>
        <w:rPr>
          <w:rFonts w:ascii="Calibri" w:hAnsi="Calibri"/>
          <w:b/>
          <w:szCs w:val="22"/>
        </w:rPr>
      </w:pPr>
      <w:r>
        <w:fldChar w:fldCharType="begin"/>
      </w:r>
      <w:r>
        <w:instrText xml:space="preserve"> TOC \o "1-3" \h \z \u </w:instrText>
      </w:r>
      <w:r>
        <w:fldChar w:fldCharType="separate"/>
      </w:r>
      <w:r>
        <w:fldChar w:fldCharType="begin"/>
      </w:r>
      <w:r>
        <w:instrText xml:space="preserve"> HYPERLINK \l "_Toc161130971" </w:instrText>
      </w:r>
      <w:r>
        <w:fldChar w:fldCharType="separate"/>
      </w:r>
      <w:r>
        <w:rPr>
          <w:rStyle w:val="28"/>
          <w:rFonts w:hint="eastAsia" w:hAnsi="宋体"/>
          <w:b/>
        </w:rPr>
        <w:t>电子投标须知</w:t>
      </w:r>
      <w:r>
        <w:rPr>
          <w:b/>
        </w:rPr>
        <w:tab/>
      </w:r>
      <w:r>
        <w:rPr>
          <w:b/>
        </w:rPr>
        <w:fldChar w:fldCharType="begin"/>
      </w:r>
      <w:r>
        <w:rPr>
          <w:b/>
        </w:rPr>
        <w:instrText xml:space="preserve"> PAGEREF _Toc161130971 \h </w:instrText>
      </w:r>
      <w:r>
        <w:rPr>
          <w:b/>
        </w:rPr>
        <w:fldChar w:fldCharType="separate"/>
      </w:r>
      <w:r>
        <w:rPr>
          <w:b/>
        </w:rPr>
        <w:t>1</w:t>
      </w:r>
      <w:r>
        <w:rPr>
          <w:b/>
        </w:rPr>
        <w:fldChar w:fldCharType="end"/>
      </w:r>
      <w:r>
        <w:rPr>
          <w:b/>
        </w:rPr>
        <w:fldChar w:fldCharType="end"/>
      </w:r>
    </w:p>
    <w:p w14:paraId="04A61B59">
      <w:pPr>
        <w:pStyle w:val="18"/>
        <w:tabs>
          <w:tab w:val="left" w:pos="840"/>
          <w:tab w:val="right" w:leader="dot" w:pos="8835"/>
        </w:tabs>
        <w:rPr>
          <w:rFonts w:ascii="Calibri" w:hAnsi="Calibri"/>
          <w:b/>
          <w:szCs w:val="22"/>
        </w:rPr>
      </w:pPr>
      <w:r>
        <w:fldChar w:fldCharType="begin"/>
      </w:r>
      <w:r>
        <w:instrText xml:space="preserve"> HYPERLINK \l "_Toc161130972" </w:instrText>
      </w:r>
      <w:r>
        <w:fldChar w:fldCharType="separate"/>
      </w:r>
      <w:r>
        <w:rPr>
          <w:rStyle w:val="28"/>
          <w:rFonts w:hint="eastAsia" w:ascii="宋体" w:hAnsi="宋体"/>
          <w:b/>
          <w:kern w:val="0"/>
        </w:rPr>
        <w:t>第一章</w:t>
      </w:r>
      <w:r>
        <w:rPr>
          <w:rFonts w:ascii="Calibri" w:hAnsi="Calibri"/>
          <w:b/>
          <w:szCs w:val="22"/>
        </w:rPr>
        <w:tab/>
      </w:r>
      <w:r>
        <w:rPr>
          <w:rStyle w:val="28"/>
          <w:rFonts w:hint="eastAsia" w:ascii="宋体" w:hAnsi="宋体"/>
          <w:b/>
          <w:kern w:val="0"/>
        </w:rPr>
        <w:t>招标公告</w:t>
      </w:r>
      <w:r>
        <w:rPr>
          <w:b/>
        </w:rPr>
        <w:tab/>
      </w:r>
      <w:r>
        <w:rPr>
          <w:b/>
        </w:rPr>
        <w:fldChar w:fldCharType="begin"/>
      </w:r>
      <w:r>
        <w:rPr>
          <w:b/>
        </w:rPr>
        <w:instrText xml:space="preserve"> PAGEREF _Toc161130972 \h </w:instrText>
      </w:r>
      <w:r>
        <w:rPr>
          <w:b/>
        </w:rPr>
        <w:fldChar w:fldCharType="separate"/>
      </w:r>
      <w:r>
        <w:rPr>
          <w:b/>
        </w:rPr>
        <w:t>3</w:t>
      </w:r>
      <w:r>
        <w:rPr>
          <w:b/>
        </w:rPr>
        <w:fldChar w:fldCharType="end"/>
      </w:r>
      <w:r>
        <w:rPr>
          <w:b/>
        </w:rPr>
        <w:fldChar w:fldCharType="end"/>
      </w:r>
    </w:p>
    <w:p w14:paraId="04A61B5A">
      <w:pPr>
        <w:pStyle w:val="18"/>
        <w:tabs>
          <w:tab w:val="right" w:leader="dot" w:pos="8835"/>
        </w:tabs>
        <w:rPr>
          <w:rFonts w:ascii="Calibri" w:hAnsi="Calibri"/>
          <w:b/>
          <w:szCs w:val="22"/>
        </w:rPr>
      </w:pPr>
      <w:r>
        <w:fldChar w:fldCharType="begin"/>
      </w:r>
      <w:r>
        <w:instrText xml:space="preserve"> HYPERLINK \l "_Toc161130973" </w:instrText>
      </w:r>
      <w:r>
        <w:fldChar w:fldCharType="separate"/>
      </w:r>
      <w:r>
        <w:rPr>
          <w:rStyle w:val="28"/>
          <w:rFonts w:hint="eastAsia" w:ascii="宋体" w:hAnsi="宋体"/>
          <w:b/>
          <w:bCs/>
          <w:kern w:val="0"/>
        </w:rPr>
        <w:t>第二章</w:t>
      </w:r>
      <w:r>
        <w:rPr>
          <w:rStyle w:val="28"/>
          <w:rFonts w:ascii="宋体" w:hAnsi="宋体"/>
          <w:b/>
          <w:bCs/>
          <w:kern w:val="0"/>
        </w:rPr>
        <w:t xml:space="preserve">  </w:t>
      </w:r>
      <w:r>
        <w:rPr>
          <w:rStyle w:val="28"/>
          <w:rFonts w:hint="eastAsia" w:ascii="宋体" w:hAnsi="宋体"/>
          <w:b/>
          <w:bCs/>
          <w:kern w:val="0"/>
        </w:rPr>
        <w:t>投标人须知前附表</w:t>
      </w:r>
      <w:r>
        <w:rPr>
          <w:b/>
        </w:rPr>
        <w:tab/>
      </w:r>
      <w:r>
        <w:rPr>
          <w:b/>
        </w:rPr>
        <w:fldChar w:fldCharType="begin"/>
      </w:r>
      <w:r>
        <w:rPr>
          <w:b/>
        </w:rPr>
        <w:instrText xml:space="preserve"> PAGEREF _Toc161130973 \h </w:instrText>
      </w:r>
      <w:r>
        <w:rPr>
          <w:b/>
        </w:rPr>
        <w:fldChar w:fldCharType="separate"/>
      </w:r>
      <w:r>
        <w:rPr>
          <w:b/>
        </w:rPr>
        <w:t>4</w:t>
      </w:r>
      <w:r>
        <w:rPr>
          <w:b/>
        </w:rPr>
        <w:fldChar w:fldCharType="end"/>
      </w:r>
      <w:r>
        <w:rPr>
          <w:b/>
        </w:rPr>
        <w:fldChar w:fldCharType="end"/>
      </w:r>
    </w:p>
    <w:p w14:paraId="04A61B5B">
      <w:pPr>
        <w:pStyle w:val="18"/>
        <w:tabs>
          <w:tab w:val="right" w:leader="dot" w:pos="8835"/>
        </w:tabs>
        <w:rPr>
          <w:rFonts w:ascii="Calibri" w:hAnsi="Calibri"/>
          <w:b/>
          <w:szCs w:val="22"/>
        </w:rPr>
      </w:pPr>
      <w:r>
        <w:fldChar w:fldCharType="begin"/>
      </w:r>
      <w:r>
        <w:instrText xml:space="preserve"> HYPERLINK \l "_Toc161130974" </w:instrText>
      </w:r>
      <w:r>
        <w:fldChar w:fldCharType="separate"/>
      </w:r>
      <w:r>
        <w:rPr>
          <w:rStyle w:val="28"/>
          <w:rFonts w:hint="eastAsia" w:ascii="宋体" w:hAnsi="宋体"/>
          <w:b/>
          <w:kern w:val="0"/>
        </w:rPr>
        <w:t>第三章　投标人须知</w:t>
      </w:r>
      <w:r>
        <w:rPr>
          <w:b/>
        </w:rPr>
        <w:tab/>
      </w:r>
      <w:r>
        <w:rPr>
          <w:b/>
        </w:rPr>
        <w:fldChar w:fldCharType="begin"/>
      </w:r>
      <w:r>
        <w:rPr>
          <w:b/>
        </w:rPr>
        <w:instrText xml:space="preserve"> PAGEREF _Toc161130974 \h </w:instrText>
      </w:r>
      <w:r>
        <w:rPr>
          <w:b/>
        </w:rPr>
        <w:fldChar w:fldCharType="separate"/>
      </w:r>
      <w:r>
        <w:rPr>
          <w:b/>
        </w:rPr>
        <w:t>8</w:t>
      </w:r>
      <w:r>
        <w:rPr>
          <w:b/>
        </w:rPr>
        <w:fldChar w:fldCharType="end"/>
      </w:r>
      <w:r>
        <w:rPr>
          <w:b/>
        </w:rPr>
        <w:fldChar w:fldCharType="end"/>
      </w:r>
    </w:p>
    <w:p w14:paraId="04A61B5C">
      <w:pPr>
        <w:pStyle w:val="19"/>
        <w:tabs>
          <w:tab w:val="right" w:leader="dot" w:pos="8835"/>
        </w:tabs>
        <w:rPr>
          <w:rFonts w:ascii="Calibri" w:hAnsi="Calibri"/>
          <w:b/>
          <w:szCs w:val="22"/>
        </w:rPr>
      </w:pPr>
      <w:r>
        <w:fldChar w:fldCharType="begin"/>
      </w:r>
      <w:r>
        <w:instrText xml:space="preserve"> HYPERLINK \l "_Toc161130975" </w:instrText>
      </w:r>
      <w:r>
        <w:fldChar w:fldCharType="separate"/>
      </w:r>
      <w:r>
        <w:rPr>
          <w:rStyle w:val="28"/>
          <w:rFonts w:hint="eastAsia" w:ascii="宋体" w:hAnsi="宋体"/>
          <w:b/>
        </w:rPr>
        <w:t>一、总</w:t>
      </w:r>
      <w:r>
        <w:rPr>
          <w:rStyle w:val="28"/>
          <w:rFonts w:ascii="宋体" w:hAnsi="宋体"/>
          <w:b/>
        </w:rPr>
        <w:t xml:space="preserve">  </w:t>
      </w:r>
      <w:r>
        <w:rPr>
          <w:rStyle w:val="28"/>
          <w:rFonts w:hint="eastAsia" w:ascii="宋体" w:hAnsi="宋体"/>
          <w:b/>
        </w:rPr>
        <w:t>则</w:t>
      </w:r>
      <w:r>
        <w:rPr>
          <w:b/>
        </w:rPr>
        <w:tab/>
      </w:r>
      <w:r>
        <w:rPr>
          <w:b/>
        </w:rPr>
        <w:fldChar w:fldCharType="begin"/>
      </w:r>
      <w:r>
        <w:rPr>
          <w:b/>
        </w:rPr>
        <w:instrText xml:space="preserve"> PAGEREF _Toc161130975 \h </w:instrText>
      </w:r>
      <w:r>
        <w:rPr>
          <w:b/>
        </w:rPr>
        <w:fldChar w:fldCharType="separate"/>
      </w:r>
      <w:r>
        <w:rPr>
          <w:b/>
        </w:rPr>
        <w:t>8</w:t>
      </w:r>
      <w:r>
        <w:rPr>
          <w:b/>
        </w:rPr>
        <w:fldChar w:fldCharType="end"/>
      </w:r>
      <w:r>
        <w:rPr>
          <w:b/>
        </w:rPr>
        <w:fldChar w:fldCharType="end"/>
      </w:r>
    </w:p>
    <w:p w14:paraId="04A61B5D">
      <w:pPr>
        <w:pStyle w:val="19"/>
        <w:tabs>
          <w:tab w:val="right" w:leader="dot" w:pos="8835"/>
        </w:tabs>
        <w:rPr>
          <w:rFonts w:ascii="Calibri" w:hAnsi="Calibri"/>
          <w:b/>
          <w:szCs w:val="22"/>
        </w:rPr>
      </w:pPr>
      <w:r>
        <w:fldChar w:fldCharType="begin"/>
      </w:r>
      <w:r>
        <w:instrText xml:space="preserve"> HYPERLINK \l "_Toc161130976" </w:instrText>
      </w:r>
      <w:r>
        <w:fldChar w:fldCharType="separate"/>
      </w:r>
      <w:r>
        <w:rPr>
          <w:rStyle w:val="28"/>
          <w:rFonts w:hint="eastAsia" w:ascii="宋体" w:hAnsi="宋体"/>
          <w:b/>
        </w:rPr>
        <w:t>二、招标文件</w:t>
      </w:r>
      <w:r>
        <w:rPr>
          <w:b/>
        </w:rPr>
        <w:tab/>
      </w:r>
      <w:r>
        <w:rPr>
          <w:b/>
        </w:rPr>
        <w:fldChar w:fldCharType="begin"/>
      </w:r>
      <w:r>
        <w:rPr>
          <w:b/>
        </w:rPr>
        <w:instrText xml:space="preserve"> PAGEREF _Toc161130976 \h </w:instrText>
      </w:r>
      <w:r>
        <w:rPr>
          <w:b/>
        </w:rPr>
        <w:fldChar w:fldCharType="separate"/>
      </w:r>
      <w:r>
        <w:rPr>
          <w:b/>
        </w:rPr>
        <w:t>9</w:t>
      </w:r>
      <w:r>
        <w:rPr>
          <w:b/>
        </w:rPr>
        <w:fldChar w:fldCharType="end"/>
      </w:r>
      <w:r>
        <w:rPr>
          <w:b/>
        </w:rPr>
        <w:fldChar w:fldCharType="end"/>
      </w:r>
    </w:p>
    <w:p w14:paraId="04A61B5E">
      <w:pPr>
        <w:pStyle w:val="19"/>
        <w:tabs>
          <w:tab w:val="right" w:leader="dot" w:pos="8835"/>
        </w:tabs>
        <w:rPr>
          <w:rFonts w:ascii="Calibri" w:hAnsi="Calibri"/>
          <w:b/>
          <w:szCs w:val="22"/>
        </w:rPr>
      </w:pPr>
      <w:r>
        <w:fldChar w:fldCharType="begin"/>
      </w:r>
      <w:r>
        <w:instrText xml:space="preserve"> HYPERLINK \l "_Toc161130977" </w:instrText>
      </w:r>
      <w:r>
        <w:fldChar w:fldCharType="separate"/>
      </w:r>
      <w:r>
        <w:rPr>
          <w:rStyle w:val="28"/>
          <w:rFonts w:hint="eastAsia" w:ascii="宋体" w:hAnsi="宋体"/>
          <w:b/>
        </w:rPr>
        <w:t>三、投标文件的编制</w:t>
      </w:r>
      <w:r>
        <w:rPr>
          <w:b/>
        </w:rPr>
        <w:tab/>
      </w:r>
      <w:r>
        <w:rPr>
          <w:b/>
        </w:rPr>
        <w:fldChar w:fldCharType="begin"/>
      </w:r>
      <w:r>
        <w:rPr>
          <w:b/>
        </w:rPr>
        <w:instrText xml:space="preserve"> PAGEREF _Toc161130977 \h </w:instrText>
      </w:r>
      <w:r>
        <w:rPr>
          <w:b/>
        </w:rPr>
        <w:fldChar w:fldCharType="separate"/>
      </w:r>
      <w:r>
        <w:rPr>
          <w:b/>
        </w:rPr>
        <w:t>10</w:t>
      </w:r>
      <w:r>
        <w:rPr>
          <w:b/>
        </w:rPr>
        <w:fldChar w:fldCharType="end"/>
      </w:r>
      <w:r>
        <w:rPr>
          <w:b/>
        </w:rPr>
        <w:fldChar w:fldCharType="end"/>
      </w:r>
    </w:p>
    <w:p w14:paraId="04A61B5F">
      <w:pPr>
        <w:pStyle w:val="19"/>
        <w:tabs>
          <w:tab w:val="right" w:leader="dot" w:pos="8835"/>
        </w:tabs>
        <w:rPr>
          <w:rFonts w:ascii="Calibri" w:hAnsi="Calibri"/>
          <w:b/>
          <w:szCs w:val="22"/>
        </w:rPr>
      </w:pPr>
      <w:r>
        <w:fldChar w:fldCharType="begin"/>
      </w:r>
      <w:r>
        <w:instrText xml:space="preserve"> HYPERLINK \l "_Toc161130978" </w:instrText>
      </w:r>
      <w:r>
        <w:fldChar w:fldCharType="separate"/>
      </w:r>
      <w:r>
        <w:rPr>
          <w:rStyle w:val="28"/>
          <w:rFonts w:hint="eastAsia" w:ascii="宋体" w:hAnsi="宋体"/>
          <w:b/>
        </w:rPr>
        <w:t>四、开标</w:t>
      </w:r>
      <w:r>
        <w:rPr>
          <w:b/>
        </w:rPr>
        <w:tab/>
      </w:r>
      <w:r>
        <w:rPr>
          <w:b/>
        </w:rPr>
        <w:fldChar w:fldCharType="begin"/>
      </w:r>
      <w:r>
        <w:rPr>
          <w:b/>
        </w:rPr>
        <w:instrText xml:space="preserve"> PAGEREF _Toc161130978 \h </w:instrText>
      </w:r>
      <w:r>
        <w:rPr>
          <w:b/>
        </w:rPr>
        <w:fldChar w:fldCharType="separate"/>
      </w:r>
      <w:r>
        <w:rPr>
          <w:b/>
        </w:rPr>
        <w:t>13</w:t>
      </w:r>
      <w:r>
        <w:rPr>
          <w:b/>
        </w:rPr>
        <w:fldChar w:fldCharType="end"/>
      </w:r>
      <w:r>
        <w:rPr>
          <w:b/>
        </w:rPr>
        <w:fldChar w:fldCharType="end"/>
      </w:r>
    </w:p>
    <w:p w14:paraId="04A61B60">
      <w:pPr>
        <w:pStyle w:val="19"/>
        <w:tabs>
          <w:tab w:val="right" w:leader="dot" w:pos="8835"/>
        </w:tabs>
        <w:rPr>
          <w:rFonts w:ascii="Calibri" w:hAnsi="Calibri"/>
          <w:b/>
          <w:szCs w:val="22"/>
        </w:rPr>
      </w:pPr>
      <w:r>
        <w:fldChar w:fldCharType="begin"/>
      </w:r>
      <w:r>
        <w:instrText xml:space="preserve"> HYPERLINK \l "_Toc161130979" </w:instrText>
      </w:r>
      <w:r>
        <w:fldChar w:fldCharType="separate"/>
      </w:r>
      <w:r>
        <w:rPr>
          <w:rStyle w:val="28"/>
          <w:rFonts w:hint="eastAsia" w:ascii="宋体" w:hAnsi="宋体"/>
          <w:b/>
        </w:rPr>
        <w:t>五、评标</w:t>
      </w:r>
      <w:r>
        <w:rPr>
          <w:b/>
        </w:rPr>
        <w:tab/>
      </w:r>
      <w:r>
        <w:rPr>
          <w:b/>
        </w:rPr>
        <w:fldChar w:fldCharType="begin"/>
      </w:r>
      <w:r>
        <w:rPr>
          <w:b/>
        </w:rPr>
        <w:instrText xml:space="preserve"> PAGEREF _Toc161130979 \h </w:instrText>
      </w:r>
      <w:r>
        <w:rPr>
          <w:b/>
        </w:rPr>
        <w:fldChar w:fldCharType="separate"/>
      </w:r>
      <w:r>
        <w:rPr>
          <w:b/>
        </w:rPr>
        <w:t>13</w:t>
      </w:r>
      <w:r>
        <w:rPr>
          <w:b/>
        </w:rPr>
        <w:fldChar w:fldCharType="end"/>
      </w:r>
      <w:r>
        <w:rPr>
          <w:b/>
        </w:rPr>
        <w:fldChar w:fldCharType="end"/>
      </w:r>
    </w:p>
    <w:p w14:paraId="04A61B61">
      <w:pPr>
        <w:pStyle w:val="19"/>
        <w:tabs>
          <w:tab w:val="right" w:leader="dot" w:pos="8835"/>
        </w:tabs>
        <w:rPr>
          <w:rFonts w:ascii="Calibri" w:hAnsi="Calibri"/>
          <w:b/>
          <w:szCs w:val="22"/>
        </w:rPr>
      </w:pPr>
      <w:r>
        <w:fldChar w:fldCharType="begin"/>
      </w:r>
      <w:r>
        <w:instrText xml:space="preserve"> HYPERLINK \l "_Toc161130980" </w:instrText>
      </w:r>
      <w:r>
        <w:fldChar w:fldCharType="separate"/>
      </w:r>
      <w:r>
        <w:rPr>
          <w:rStyle w:val="28"/>
          <w:rFonts w:hint="eastAsia" w:ascii="宋体" w:hAnsi="宋体"/>
          <w:b/>
        </w:rPr>
        <w:t>六、合同授予</w:t>
      </w:r>
      <w:r>
        <w:rPr>
          <w:b/>
        </w:rPr>
        <w:tab/>
      </w:r>
      <w:r>
        <w:rPr>
          <w:b/>
        </w:rPr>
        <w:fldChar w:fldCharType="begin"/>
      </w:r>
      <w:r>
        <w:rPr>
          <w:b/>
        </w:rPr>
        <w:instrText xml:space="preserve"> PAGEREF _Toc161130980 \h </w:instrText>
      </w:r>
      <w:r>
        <w:rPr>
          <w:b/>
        </w:rPr>
        <w:fldChar w:fldCharType="separate"/>
      </w:r>
      <w:r>
        <w:rPr>
          <w:b/>
        </w:rPr>
        <w:t>15</w:t>
      </w:r>
      <w:r>
        <w:rPr>
          <w:b/>
        </w:rPr>
        <w:fldChar w:fldCharType="end"/>
      </w:r>
      <w:r>
        <w:rPr>
          <w:b/>
        </w:rPr>
        <w:fldChar w:fldCharType="end"/>
      </w:r>
    </w:p>
    <w:p w14:paraId="04A61B62">
      <w:pPr>
        <w:pStyle w:val="19"/>
        <w:tabs>
          <w:tab w:val="right" w:leader="dot" w:pos="8835"/>
        </w:tabs>
        <w:rPr>
          <w:rFonts w:ascii="Calibri" w:hAnsi="Calibri"/>
          <w:b/>
          <w:szCs w:val="22"/>
        </w:rPr>
      </w:pPr>
      <w:r>
        <w:fldChar w:fldCharType="begin"/>
      </w:r>
      <w:r>
        <w:instrText xml:space="preserve"> HYPERLINK \l "_Toc161130981" </w:instrText>
      </w:r>
      <w:r>
        <w:fldChar w:fldCharType="separate"/>
      </w:r>
      <w:r>
        <w:rPr>
          <w:rStyle w:val="28"/>
          <w:rFonts w:hint="eastAsia" w:ascii="宋体" w:hAnsi="宋体"/>
          <w:b/>
        </w:rPr>
        <w:t>七、</w:t>
      </w:r>
      <w:r>
        <w:rPr>
          <w:rStyle w:val="28"/>
          <w:rFonts w:hint="eastAsia" w:ascii="宋体" w:hAnsi="宋体" w:cs="宋体"/>
          <w:b/>
          <w:bCs/>
          <w:kern w:val="0"/>
        </w:rPr>
        <w:t>中标服务费的收费标准</w:t>
      </w:r>
      <w:r>
        <w:rPr>
          <w:b/>
        </w:rPr>
        <w:tab/>
      </w:r>
      <w:r>
        <w:rPr>
          <w:b/>
        </w:rPr>
        <w:fldChar w:fldCharType="begin"/>
      </w:r>
      <w:r>
        <w:rPr>
          <w:b/>
        </w:rPr>
        <w:instrText xml:space="preserve"> PAGEREF _Toc161130981 \h </w:instrText>
      </w:r>
      <w:r>
        <w:rPr>
          <w:b/>
        </w:rPr>
        <w:fldChar w:fldCharType="separate"/>
      </w:r>
      <w:r>
        <w:rPr>
          <w:b/>
        </w:rPr>
        <w:t>15</w:t>
      </w:r>
      <w:r>
        <w:rPr>
          <w:b/>
        </w:rPr>
        <w:fldChar w:fldCharType="end"/>
      </w:r>
      <w:r>
        <w:rPr>
          <w:b/>
        </w:rPr>
        <w:fldChar w:fldCharType="end"/>
      </w:r>
    </w:p>
    <w:p w14:paraId="04A61B63">
      <w:pPr>
        <w:pStyle w:val="18"/>
        <w:tabs>
          <w:tab w:val="right" w:leader="dot" w:pos="8835"/>
        </w:tabs>
        <w:rPr>
          <w:rFonts w:ascii="Calibri" w:hAnsi="Calibri"/>
          <w:b/>
          <w:szCs w:val="22"/>
        </w:rPr>
      </w:pPr>
      <w:r>
        <w:fldChar w:fldCharType="begin"/>
      </w:r>
      <w:r>
        <w:instrText xml:space="preserve"> HYPERLINK \l "_Toc161130982" </w:instrText>
      </w:r>
      <w:r>
        <w:fldChar w:fldCharType="separate"/>
      </w:r>
      <w:r>
        <w:rPr>
          <w:rStyle w:val="28"/>
          <w:rFonts w:hint="eastAsia" w:ascii="宋体" w:hAnsi="宋体"/>
          <w:b/>
          <w:kern w:val="0"/>
        </w:rPr>
        <w:t>第四章</w:t>
      </w:r>
      <w:r>
        <w:rPr>
          <w:rStyle w:val="28"/>
          <w:rFonts w:ascii="宋体" w:hAnsi="宋体"/>
          <w:b/>
          <w:kern w:val="0"/>
        </w:rPr>
        <w:t xml:space="preserve"> </w:t>
      </w:r>
      <w:r>
        <w:rPr>
          <w:rStyle w:val="28"/>
          <w:rFonts w:hint="eastAsia" w:ascii="宋体" w:hAnsi="宋体"/>
          <w:b/>
          <w:kern w:val="0"/>
        </w:rPr>
        <w:t>采购内容及技术要求</w:t>
      </w:r>
      <w:r>
        <w:rPr>
          <w:b/>
        </w:rPr>
        <w:tab/>
      </w:r>
      <w:r>
        <w:rPr>
          <w:b/>
        </w:rPr>
        <w:fldChar w:fldCharType="begin"/>
      </w:r>
      <w:r>
        <w:rPr>
          <w:b/>
        </w:rPr>
        <w:instrText xml:space="preserve"> PAGEREF _Toc161130982 \h </w:instrText>
      </w:r>
      <w:r>
        <w:rPr>
          <w:b/>
        </w:rPr>
        <w:fldChar w:fldCharType="separate"/>
      </w:r>
      <w:r>
        <w:rPr>
          <w:b/>
        </w:rPr>
        <w:t>17</w:t>
      </w:r>
      <w:r>
        <w:rPr>
          <w:b/>
        </w:rPr>
        <w:fldChar w:fldCharType="end"/>
      </w:r>
      <w:r>
        <w:rPr>
          <w:b/>
        </w:rPr>
        <w:fldChar w:fldCharType="end"/>
      </w:r>
    </w:p>
    <w:p w14:paraId="04A61B64">
      <w:pPr>
        <w:pStyle w:val="19"/>
        <w:tabs>
          <w:tab w:val="right" w:leader="dot" w:pos="8835"/>
        </w:tabs>
        <w:rPr>
          <w:rFonts w:ascii="Calibri" w:hAnsi="Calibri"/>
          <w:b/>
          <w:szCs w:val="22"/>
        </w:rPr>
      </w:pPr>
      <w:r>
        <w:fldChar w:fldCharType="begin"/>
      </w:r>
      <w:r>
        <w:instrText xml:space="preserve"> HYPERLINK \l "_Toc161130983" </w:instrText>
      </w:r>
      <w:r>
        <w:fldChar w:fldCharType="separate"/>
      </w:r>
      <w:r>
        <w:rPr>
          <w:rStyle w:val="28"/>
          <w:rFonts w:ascii="宋体" w:hAnsi="宋体" w:cs="宋体"/>
          <w:b/>
          <w:bCs/>
        </w:rPr>
        <w:t>1.</w:t>
      </w:r>
      <w:r>
        <w:rPr>
          <w:rStyle w:val="28"/>
          <w:rFonts w:hint="eastAsia" w:ascii="宋体" w:hAnsi="宋体" w:cs="宋体"/>
          <w:b/>
          <w:bCs/>
        </w:rPr>
        <w:t>总则</w:t>
      </w:r>
      <w:r>
        <w:rPr>
          <w:b/>
        </w:rPr>
        <w:tab/>
      </w:r>
      <w:r>
        <w:rPr>
          <w:b/>
        </w:rPr>
        <w:fldChar w:fldCharType="begin"/>
      </w:r>
      <w:r>
        <w:rPr>
          <w:b/>
        </w:rPr>
        <w:instrText xml:space="preserve"> PAGEREF _Toc161130983 \h </w:instrText>
      </w:r>
      <w:r>
        <w:rPr>
          <w:b/>
        </w:rPr>
        <w:fldChar w:fldCharType="separate"/>
      </w:r>
      <w:r>
        <w:rPr>
          <w:b/>
        </w:rPr>
        <w:t>17</w:t>
      </w:r>
      <w:r>
        <w:rPr>
          <w:b/>
        </w:rPr>
        <w:fldChar w:fldCharType="end"/>
      </w:r>
      <w:r>
        <w:rPr>
          <w:b/>
        </w:rPr>
        <w:fldChar w:fldCharType="end"/>
      </w:r>
    </w:p>
    <w:p w14:paraId="04A61B65">
      <w:pPr>
        <w:pStyle w:val="19"/>
        <w:tabs>
          <w:tab w:val="right" w:leader="dot" w:pos="8835"/>
        </w:tabs>
        <w:rPr>
          <w:rFonts w:ascii="Calibri" w:hAnsi="Calibri"/>
          <w:b/>
          <w:szCs w:val="22"/>
        </w:rPr>
      </w:pPr>
      <w:r>
        <w:fldChar w:fldCharType="begin"/>
      </w:r>
      <w:r>
        <w:instrText xml:space="preserve"> HYPERLINK \l "_Toc161130984" </w:instrText>
      </w:r>
      <w:r>
        <w:fldChar w:fldCharType="separate"/>
      </w:r>
      <w:r>
        <w:rPr>
          <w:rStyle w:val="28"/>
          <w:rFonts w:ascii="宋体" w:hAnsi="宋体" w:cs="宋体"/>
          <w:b/>
          <w:bCs/>
        </w:rPr>
        <w:t xml:space="preserve">2 </w:t>
      </w:r>
      <w:r>
        <w:rPr>
          <w:rStyle w:val="28"/>
          <w:rFonts w:hint="eastAsia" w:ascii="宋体" w:hAnsi="宋体" w:cs="宋体"/>
          <w:b/>
          <w:bCs/>
        </w:rPr>
        <w:t>项目信息</w:t>
      </w:r>
      <w:r>
        <w:rPr>
          <w:b/>
        </w:rPr>
        <w:tab/>
      </w:r>
      <w:r>
        <w:rPr>
          <w:b/>
        </w:rPr>
        <w:fldChar w:fldCharType="begin"/>
      </w:r>
      <w:r>
        <w:rPr>
          <w:b/>
        </w:rPr>
        <w:instrText xml:space="preserve"> PAGEREF _Toc161130984 \h </w:instrText>
      </w:r>
      <w:r>
        <w:rPr>
          <w:b/>
        </w:rPr>
        <w:fldChar w:fldCharType="separate"/>
      </w:r>
      <w:r>
        <w:rPr>
          <w:b/>
        </w:rPr>
        <w:t>18</w:t>
      </w:r>
      <w:r>
        <w:rPr>
          <w:b/>
        </w:rPr>
        <w:fldChar w:fldCharType="end"/>
      </w:r>
      <w:r>
        <w:rPr>
          <w:b/>
        </w:rPr>
        <w:fldChar w:fldCharType="end"/>
      </w:r>
    </w:p>
    <w:p w14:paraId="04A61B66">
      <w:pPr>
        <w:pStyle w:val="19"/>
        <w:tabs>
          <w:tab w:val="right" w:leader="dot" w:pos="8835"/>
        </w:tabs>
        <w:rPr>
          <w:rFonts w:ascii="Calibri" w:hAnsi="Calibri"/>
          <w:b/>
          <w:szCs w:val="22"/>
        </w:rPr>
      </w:pPr>
      <w:r>
        <w:fldChar w:fldCharType="begin"/>
      </w:r>
      <w:r>
        <w:instrText xml:space="preserve"> HYPERLINK \l "_Toc161130985" </w:instrText>
      </w:r>
      <w:r>
        <w:fldChar w:fldCharType="separate"/>
      </w:r>
      <w:r>
        <w:rPr>
          <w:rStyle w:val="28"/>
          <w:rFonts w:ascii="宋体" w:hAnsi="宋体" w:cs="宋体"/>
          <w:b/>
          <w:bCs/>
        </w:rPr>
        <w:t xml:space="preserve">3 </w:t>
      </w:r>
      <w:r>
        <w:rPr>
          <w:rStyle w:val="28"/>
          <w:rFonts w:hint="eastAsia" w:ascii="宋体" w:hAnsi="宋体" w:cs="宋体"/>
          <w:b/>
          <w:bCs/>
        </w:rPr>
        <w:t>项目要求</w:t>
      </w:r>
      <w:r>
        <w:rPr>
          <w:b/>
        </w:rPr>
        <w:tab/>
      </w:r>
      <w:r>
        <w:rPr>
          <w:b/>
        </w:rPr>
        <w:fldChar w:fldCharType="begin"/>
      </w:r>
      <w:r>
        <w:rPr>
          <w:b/>
        </w:rPr>
        <w:instrText xml:space="preserve"> PAGEREF _Toc161130985 \h </w:instrText>
      </w:r>
      <w:r>
        <w:rPr>
          <w:b/>
        </w:rPr>
        <w:fldChar w:fldCharType="separate"/>
      </w:r>
      <w:r>
        <w:rPr>
          <w:b/>
        </w:rPr>
        <w:t>18</w:t>
      </w:r>
      <w:r>
        <w:rPr>
          <w:b/>
        </w:rPr>
        <w:fldChar w:fldCharType="end"/>
      </w:r>
      <w:r>
        <w:rPr>
          <w:b/>
        </w:rPr>
        <w:fldChar w:fldCharType="end"/>
      </w:r>
    </w:p>
    <w:p w14:paraId="04A61B67">
      <w:pPr>
        <w:pStyle w:val="19"/>
        <w:tabs>
          <w:tab w:val="right" w:leader="dot" w:pos="8835"/>
        </w:tabs>
        <w:rPr>
          <w:rFonts w:ascii="Calibri" w:hAnsi="Calibri"/>
          <w:b/>
          <w:szCs w:val="22"/>
        </w:rPr>
      </w:pPr>
      <w:r>
        <w:fldChar w:fldCharType="begin"/>
      </w:r>
      <w:r>
        <w:instrText xml:space="preserve"> HYPERLINK \l "_Toc161130986" </w:instrText>
      </w:r>
      <w:r>
        <w:fldChar w:fldCharType="separate"/>
      </w:r>
      <w:r>
        <w:rPr>
          <w:rStyle w:val="28"/>
          <w:rFonts w:ascii="宋体" w:hAnsi="宋体" w:cs="宋体"/>
          <w:b/>
          <w:bCs/>
        </w:rPr>
        <w:t>4</w:t>
      </w:r>
      <w:r>
        <w:rPr>
          <w:rStyle w:val="28"/>
          <w:rFonts w:hint="eastAsia" w:ascii="宋体" w:hAnsi="宋体" w:cs="宋体"/>
          <w:b/>
          <w:bCs/>
        </w:rPr>
        <w:t>第三方产品供货说明</w:t>
      </w:r>
      <w:r>
        <w:rPr>
          <w:b/>
        </w:rPr>
        <w:tab/>
      </w:r>
      <w:r>
        <w:rPr>
          <w:b/>
        </w:rPr>
        <w:fldChar w:fldCharType="begin"/>
      </w:r>
      <w:r>
        <w:rPr>
          <w:b/>
        </w:rPr>
        <w:instrText xml:space="preserve"> PAGEREF _Toc161130986 \h </w:instrText>
      </w:r>
      <w:r>
        <w:rPr>
          <w:b/>
        </w:rPr>
        <w:fldChar w:fldCharType="separate"/>
      </w:r>
      <w:r>
        <w:rPr>
          <w:b/>
        </w:rPr>
        <w:t>23</w:t>
      </w:r>
      <w:r>
        <w:rPr>
          <w:b/>
        </w:rPr>
        <w:fldChar w:fldCharType="end"/>
      </w:r>
      <w:r>
        <w:rPr>
          <w:b/>
        </w:rPr>
        <w:fldChar w:fldCharType="end"/>
      </w:r>
    </w:p>
    <w:p w14:paraId="04A61B68">
      <w:pPr>
        <w:pStyle w:val="19"/>
        <w:tabs>
          <w:tab w:val="right" w:leader="dot" w:pos="8835"/>
        </w:tabs>
        <w:rPr>
          <w:rFonts w:ascii="Calibri" w:hAnsi="Calibri"/>
          <w:b/>
          <w:szCs w:val="22"/>
        </w:rPr>
      </w:pPr>
      <w:r>
        <w:fldChar w:fldCharType="begin"/>
      </w:r>
      <w:r>
        <w:instrText xml:space="preserve"> HYPERLINK \l "_Toc161130987" </w:instrText>
      </w:r>
      <w:r>
        <w:fldChar w:fldCharType="separate"/>
      </w:r>
      <w:r>
        <w:rPr>
          <w:rStyle w:val="28"/>
          <w:rFonts w:ascii="宋体" w:hAnsi="宋体" w:cs="宋体"/>
          <w:b/>
          <w:bCs/>
        </w:rPr>
        <w:t>5</w:t>
      </w:r>
      <w:r>
        <w:rPr>
          <w:rStyle w:val="28"/>
          <w:rFonts w:hint="eastAsia" w:ascii="宋体" w:hAnsi="宋体" w:cs="宋体"/>
          <w:b/>
          <w:bCs/>
        </w:rPr>
        <w:t>标准和规范</w:t>
      </w:r>
      <w:r>
        <w:rPr>
          <w:b/>
        </w:rPr>
        <w:tab/>
      </w:r>
      <w:r>
        <w:rPr>
          <w:b/>
        </w:rPr>
        <w:fldChar w:fldCharType="begin"/>
      </w:r>
      <w:r>
        <w:rPr>
          <w:b/>
        </w:rPr>
        <w:instrText xml:space="preserve"> PAGEREF _Toc161130987 \h </w:instrText>
      </w:r>
      <w:r>
        <w:rPr>
          <w:b/>
        </w:rPr>
        <w:fldChar w:fldCharType="separate"/>
      </w:r>
      <w:r>
        <w:rPr>
          <w:b/>
        </w:rPr>
        <w:t>23</w:t>
      </w:r>
      <w:r>
        <w:rPr>
          <w:b/>
        </w:rPr>
        <w:fldChar w:fldCharType="end"/>
      </w:r>
      <w:r>
        <w:rPr>
          <w:b/>
        </w:rPr>
        <w:fldChar w:fldCharType="end"/>
      </w:r>
    </w:p>
    <w:p w14:paraId="04A61B69">
      <w:pPr>
        <w:pStyle w:val="19"/>
        <w:tabs>
          <w:tab w:val="right" w:leader="dot" w:pos="8835"/>
        </w:tabs>
        <w:rPr>
          <w:rFonts w:ascii="Calibri" w:hAnsi="Calibri"/>
          <w:b/>
          <w:szCs w:val="22"/>
        </w:rPr>
      </w:pPr>
      <w:r>
        <w:fldChar w:fldCharType="begin"/>
      </w:r>
      <w:r>
        <w:instrText xml:space="preserve"> HYPERLINK \l "_Toc161130988" </w:instrText>
      </w:r>
      <w:r>
        <w:fldChar w:fldCharType="separate"/>
      </w:r>
      <w:r>
        <w:rPr>
          <w:rStyle w:val="28"/>
          <w:rFonts w:ascii="宋体" w:hAnsi="宋体" w:cs="宋体"/>
          <w:b/>
          <w:bCs/>
        </w:rPr>
        <w:t>7</w:t>
      </w:r>
      <w:r>
        <w:rPr>
          <w:rStyle w:val="28"/>
          <w:rFonts w:hint="eastAsia" w:ascii="宋体" w:hAnsi="宋体" w:cs="宋体"/>
          <w:b/>
          <w:bCs/>
        </w:rPr>
        <w:t>技术要求</w:t>
      </w:r>
      <w:r>
        <w:rPr>
          <w:b/>
        </w:rPr>
        <w:tab/>
      </w:r>
      <w:r>
        <w:rPr>
          <w:b/>
        </w:rPr>
        <w:fldChar w:fldCharType="begin"/>
      </w:r>
      <w:r>
        <w:rPr>
          <w:b/>
        </w:rPr>
        <w:instrText xml:space="preserve"> PAGEREF _Toc161130988 \h </w:instrText>
      </w:r>
      <w:r>
        <w:rPr>
          <w:b/>
        </w:rPr>
        <w:fldChar w:fldCharType="separate"/>
      </w:r>
      <w:r>
        <w:rPr>
          <w:b/>
        </w:rPr>
        <w:t>24</w:t>
      </w:r>
      <w:r>
        <w:rPr>
          <w:b/>
        </w:rPr>
        <w:fldChar w:fldCharType="end"/>
      </w:r>
      <w:r>
        <w:rPr>
          <w:b/>
        </w:rPr>
        <w:fldChar w:fldCharType="end"/>
      </w:r>
    </w:p>
    <w:p w14:paraId="04A61B6A">
      <w:pPr>
        <w:pStyle w:val="19"/>
        <w:tabs>
          <w:tab w:val="right" w:leader="dot" w:pos="8835"/>
        </w:tabs>
        <w:rPr>
          <w:rFonts w:ascii="Calibri" w:hAnsi="Calibri"/>
          <w:b/>
          <w:szCs w:val="22"/>
        </w:rPr>
      </w:pPr>
      <w:r>
        <w:fldChar w:fldCharType="begin"/>
      </w:r>
      <w:r>
        <w:instrText xml:space="preserve"> HYPERLINK \l "_Toc161130989" </w:instrText>
      </w:r>
      <w:r>
        <w:fldChar w:fldCharType="separate"/>
      </w:r>
      <w:r>
        <w:rPr>
          <w:rStyle w:val="28"/>
          <w:rFonts w:ascii="宋体" w:hAnsi="宋体" w:cs="宋体"/>
          <w:b/>
          <w:bCs/>
        </w:rPr>
        <w:t>8</w:t>
      </w:r>
      <w:r>
        <w:rPr>
          <w:rStyle w:val="28"/>
          <w:rFonts w:hint="eastAsia" w:ascii="宋体" w:hAnsi="宋体" w:cs="宋体"/>
          <w:b/>
          <w:bCs/>
        </w:rPr>
        <w:t>检测标准</w:t>
      </w:r>
      <w:r>
        <w:rPr>
          <w:b/>
        </w:rPr>
        <w:tab/>
      </w:r>
      <w:r>
        <w:rPr>
          <w:b/>
        </w:rPr>
        <w:fldChar w:fldCharType="begin"/>
      </w:r>
      <w:r>
        <w:rPr>
          <w:b/>
        </w:rPr>
        <w:instrText xml:space="preserve"> PAGEREF _Toc161130989 \h </w:instrText>
      </w:r>
      <w:r>
        <w:rPr>
          <w:b/>
        </w:rPr>
        <w:fldChar w:fldCharType="separate"/>
      </w:r>
      <w:r>
        <w:rPr>
          <w:b/>
        </w:rPr>
        <w:t>25</w:t>
      </w:r>
      <w:r>
        <w:rPr>
          <w:b/>
        </w:rPr>
        <w:fldChar w:fldCharType="end"/>
      </w:r>
      <w:r>
        <w:rPr>
          <w:b/>
        </w:rPr>
        <w:fldChar w:fldCharType="end"/>
      </w:r>
    </w:p>
    <w:p w14:paraId="04A61B6B">
      <w:pPr>
        <w:pStyle w:val="19"/>
        <w:tabs>
          <w:tab w:val="right" w:leader="dot" w:pos="8835"/>
        </w:tabs>
        <w:rPr>
          <w:rFonts w:ascii="Calibri" w:hAnsi="Calibri"/>
          <w:b/>
          <w:szCs w:val="22"/>
        </w:rPr>
      </w:pPr>
      <w:r>
        <w:fldChar w:fldCharType="begin"/>
      </w:r>
      <w:r>
        <w:instrText xml:space="preserve"> HYPERLINK \l "_Toc161130990" </w:instrText>
      </w:r>
      <w:r>
        <w:fldChar w:fldCharType="separate"/>
      </w:r>
      <w:r>
        <w:rPr>
          <w:rStyle w:val="28"/>
          <w:rFonts w:ascii="宋体" w:hAnsi="宋体" w:cs="宋体"/>
          <w:b/>
          <w:bCs/>
        </w:rPr>
        <w:t>9</w:t>
      </w:r>
      <w:r>
        <w:rPr>
          <w:rStyle w:val="28"/>
          <w:rFonts w:hint="eastAsia" w:ascii="宋体" w:hAnsi="宋体" w:cs="宋体"/>
          <w:b/>
          <w:bCs/>
        </w:rPr>
        <w:t>工程服务</w:t>
      </w:r>
      <w:r>
        <w:rPr>
          <w:b/>
        </w:rPr>
        <w:tab/>
      </w:r>
      <w:r>
        <w:rPr>
          <w:b/>
        </w:rPr>
        <w:fldChar w:fldCharType="begin"/>
      </w:r>
      <w:r>
        <w:rPr>
          <w:b/>
        </w:rPr>
        <w:instrText xml:space="preserve"> PAGEREF _Toc161130990 \h </w:instrText>
      </w:r>
      <w:r>
        <w:rPr>
          <w:b/>
        </w:rPr>
        <w:fldChar w:fldCharType="separate"/>
      </w:r>
      <w:r>
        <w:rPr>
          <w:b/>
        </w:rPr>
        <w:t>25</w:t>
      </w:r>
      <w:r>
        <w:rPr>
          <w:b/>
        </w:rPr>
        <w:fldChar w:fldCharType="end"/>
      </w:r>
      <w:r>
        <w:rPr>
          <w:b/>
        </w:rPr>
        <w:fldChar w:fldCharType="end"/>
      </w:r>
    </w:p>
    <w:p w14:paraId="04A61B6C">
      <w:pPr>
        <w:pStyle w:val="19"/>
        <w:tabs>
          <w:tab w:val="right" w:leader="dot" w:pos="8835"/>
        </w:tabs>
        <w:rPr>
          <w:rFonts w:ascii="Calibri" w:hAnsi="Calibri"/>
          <w:b/>
          <w:szCs w:val="22"/>
        </w:rPr>
      </w:pPr>
      <w:r>
        <w:fldChar w:fldCharType="begin"/>
      </w:r>
      <w:r>
        <w:instrText xml:space="preserve"> HYPERLINK \l "_Toc161130991" </w:instrText>
      </w:r>
      <w:r>
        <w:fldChar w:fldCharType="separate"/>
      </w:r>
      <w:r>
        <w:rPr>
          <w:rStyle w:val="28"/>
          <w:rFonts w:ascii="宋体" w:hAnsi="宋体" w:cs="宋体"/>
          <w:b/>
          <w:bCs/>
        </w:rPr>
        <w:t>10</w:t>
      </w:r>
      <w:r>
        <w:rPr>
          <w:rStyle w:val="28"/>
          <w:rFonts w:hint="eastAsia" w:ascii="宋体" w:hAnsi="宋体" w:cs="宋体"/>
          <w:b/>
          <w:bCs/>
        </w:rPr>
        <w:t>质量保证</w:t>
      </w:r>
      <w:r>
        <w:rPr>
          <w:b/>
        </w:rPr>
        <w:tab/>
      </w:r>
      <w:r>
        <w:rPr>
          <w:b/>
        </w:rPr>
        <w:fldChar w:fldCharType="begin"/>
      </w:r>
      <w:r>
        <w:rPr>
          <w:b/>
        </w:rPr>
        <w:instrText xml:space="preserve"> PAGEREF _Toc161130991 \h </w:instrText>
      </w:r>
      <w:r>
        <w:rPr>
          <w:b/>
        </w:rPr>
        <w:fldChar w:fldCharType="separate"/>
      </w:r>
      <w:r>
        <w:rPr>
          <w:b/>
        </w:rPr>
        <w:t>25</w:t>
      </w:r>
      <w:r>
        <w:rPr>
          <w:b/>
        </w:rPr>
        <w:fldChar w:fldCharType="end"/>
      </w:r>
      <w:r>
        <w:rPr>
          <w:b/>
        </w:rPr>
        <w:fldChar w:fldCharType="end"/>
      </w:r>
    </w:p>
    <w:p w14:paraId="04A61B6D">
      <w:pPr>
        <w:pStyle w:val="19"/>
        <w:tabs>
          <w:tab w:val="right" w:leader="dot" w:pos="8835"/>
        </w:tabs>
        <w:rPr>
          <w:rFonts w:ascii="Calibri" w:hAnsi="Calibri"/>
          <w:b/>
          <w:szCs w:val="22"/>
        </w:rPr>
      </w:pPr>
      <w:r>
        <w:fldChar w:fldCharType="begin"/>
      </w:r>
      <w:r>
        <w:instrText xml:space="preserve"> HYPERLINK \l "_Toc161130992" </w:instrText>
      </w:r>
      <w:r>
        <w:fldChar w:fldCharType="separate"/>
      </w:r>
      <w:r>
        <w:rPr>
          <w:rStyle w:val="28"/>
          <w:rFonts w:ascii="宋体" w:hAnsi="宋体" w:cs="宋体"/>
          <w:b/>
          <w:bCs/>
        </w:rPr>
        <w:t>11</w:t>
      </w:r>
      <w:r>
        <w:rPr>
          <w:rStyle w:val="28"/>
          <w:rFonts w:hint="eastAsia" w:ascii="宋体" w:hAnsi="宋体" w:cs="宋体"/>
          <w:b/>
          <w:bCs/>
        </w:rPr>
        <w:t>技术服务</w:t>
      </w:r>
      <w:r>
        <w:rPr>
          <w:b/>
        </w:rPr>
        <w:tab/>
      </w:r>
      <w:r>
        <w:rPr>
          <w:b/>
        </w:rPr>
        <w:fldChar w:fldCharType="begin"/>
      </w:r>
      <w:r>
        <w:rPr>
          <w:b/>
        </w:rPr>
        <w:instrText xml:space="preserve"> PAGEREF _Toc161130992 \h </w:instrText>
      </w:r>
      <w:r>
        <w:rPr>
          <w:b/>
        </w:rPr>
        <w:fldChar w:fldCharType="separate"/>
      </w:r>
      <w:r>
        <w:rPr>
          <w:b/>
        </w:rPr>
        <w:t>26</w:t>
      </w:r>
      <w:r>
        <w:rPr>
          <w:b/>
        </w:rPr>
        <w:fldChar w:fldCharType="end"/>
      </w:r>
      <w:r>
        <w:rPr>
          <w:b/>
        </w:rPr>
        <w:fldChar w:fldCharType="end"/>
      </w:r>
    </w:p>
    <w:p w14:paraId="04A61B6E">
      <w:pPr>
        <w:pStyle w:val="18"/>
        <w:tabs>
          <w:tab w:val="right" w:leader="dot" w:pos="8835"/>
        </w:tabs>
        <w:rPr>
          <w:rFonts w:ascii="Calibri" w:hAnsi="Calibri"/>
          <w:b/>
          <w:szCs w:val="22"/>
        </w:rPr>
      </w:pPr>
      <w:r>
        <w:fldChar w:fldCharType="begin"/>
      </w:r>
      <w:r>
        <w:instrText xml:space="preserve"> HYPERLINK \l "_Toc161130993" </w:instrText>
      </w:r>
      <w:r>
        <w:fldChar w:fldCharType="separate"/>
      </w:r>
      <w:r>
        <w:rPr>
          <w:rStyle w:val="28"/>
          <w:rFonts w:hint="eastAsia" w:ascii="宋体" w:hAnsi="宋体"/>
          <w:b/>
        </w:rPr>
        <w:t>第五章</w:t>
      </w:r>
      <w:r>
        <w:rPr>
          <w:rStyle w:val="28"/>
          <w:rFonts w:ascii="宋体" w:hAnsi="宋体"/>
          <w:b/>
        </w:rPr>
        <w:t xml:space="preserve"> </w:t>
      </w:r>
      <w:r>
        <w:rPr>
          <w:rStyle w:val="28"/>
          <w:rFonts w:hint="eastAsia" w:ascii="宋体" w:hAnsi="宋体"/>
          <w:b/>
        </w:rPr>
        <w:t>主要商务条款</w:t>
      </w:r>
      <w:r>
        <w:rPr>
          <w:b/>
        </w:rPr>
        <w:tab/>
      </w:r>
      <w:r>
        <w:rPr>
          <w:b/>
        </w:rPr>
        <w:fldChar w:fldCharType="begin"/>
      </w:r>
      <w:r>
        <w:rPr>
          <w:b/>
        </w:rPr>
        <w:instrText xml:space="preserve"> PAGEREF _Toc161130993 \h </w:instrText>
      </w:r>
      <w:r>
        <w:rPr>
          <w:b/>
        </w:rPr>
        <w:fldChar w:fldCharType="separate"/>
      </w:r>
      <w:r>
        <w:rPr>
          <w:b/>
        </w:rPr>
        <w:t>27</w:t>
      </w:r>
      <w:r>
        <w:rPr>
          <w:b/>
        </w:rPr>
        <w:fldChar w:fldCharType="end"/>
      </w:r>
      <w:r>
        <w:rPr>
          <w:b/>
        </w:rPr>
        <w:fldChar w:fldCharType="end"/>
      </w:r>
    </w:p>
    <w:p w14:paraId="04A61B6F">
      <w:pPr>
        <w:pStyle w:val="19"/>
        <w:tabs>
          <w:tab w:val="left" w:pos="1050"/>
          <w:tab w:val="right" w:leader="dot" w:pos="8835"/>
        </w:tabs>
        <w:rPr>
          <w:rFonts w:ascii="Calibri" w:hAnsi="Calibri"/>
          <w:b/>
          <w:szCs w:val="22"/>
        </w:rPr>
      </w:pPr>
      <w:r>
        <w:fldChar w:fldCharType="begin"/>
      </w:r>
      <w:r>
        <w:instrText xml:space="preserve"> HYPERLINK \l "_Toc161130994" </w:instrText>
      </w:r>
      <w:r>
        <w:fldChar w:fldCharType="separate"/>
      </w:r>
      <w:r>
        <w:rPr>
          <w:rStyle w:val="28"/>
          <w:rFonts w:hint="eastAsia" w:ascii="宋体" w:hAnsi="宋体"/>
          <w:b/>
        </w:rPr>
        <w:t>1、供货范围：</w:t>
      </w:r>
      <w:r>
        <w:rPr>
          <w:b/>
        </w:rPr>
        <w:tab/>
      </w:r>
      <w:r>
        <w:rPr>
          <w:b/>
        </w:rPr>
        <w:fldChar w:fldCharType="begin"/>
      </w:r>
      <w:r>
        <w:rPr>
          <w:b/>
        </w:rPr>
        <w:instrText xml:space="preserve"> PAGEREF _Toc161130994 \h </w:instrText>
      </w:r>
      <w:r>
        <w:rPr>
          <w:b/>
        </w:rPr>
        <w:fldChar w:fldCharType="separate"/>
      </w:r>
      <w:r>
        <w:rPr>
          <w:b/>
        </w:rPr>
        <w:t>27</w:t>
      </w:r>
      <w:r>
        <w:rPr>
          <w:b/>
        </w:rPr>
        <w:fldChar w:fldCharType="end"/>
      </w:r>
      <w:r>
        <w:rPr>
          <w:b/>
        </w:rPr>
        <w:fldChar w:fldCharType="end"/>
      </w:r>
    </w:p>
    <w:p w14:paraId="04A61B70">
      <w:pPr>
        <w:pStyle w:val="19"/>
        <w:tabs>
          <w:tab w:val="left" w:pos="1050"/>
          <w:tab w:val="right" w:leader="dot" w:pos="8835"/>
        </w:tabs>
        <w:rPr>
          <w:rFonts w:ascii="Calibri" w:hAnsi="Calibri"/>
          <w:b/>
          <w:szCs w:val="22"/>
        </w:rPr>
      </w:pPr>
      <w:r>
        <w:fldChar w:fldCharType="begin"/>
      </w:r>
      <w:r>
        <w:instrText xml:space="preserve"> HYPERLINK \l "_Toc161130995" </w:instrText>
      </w:r>
      <w:r>
        <w:fldChar w:fldCharType="separate"/>
      </w:r>
      <w:r>
        <w:rPr>
          <w:rStyle w:val="28"/>
          <w:rFonts w:hint="eastAsia" w:ascii="宋体" w:hAnsi="宋体"/>
          <w:b/>
        </w:rPr>
        <w:t>2、交货</w:t>
      </w:r>
      <w:r>
        <w:rPr>
          <w:b/>
        </w:rPr>
        <w:tab/>
      </w:r>
      <w:r>
        <w:rPr>
          <w:b/>
        </w:rPr>
        <w:fldChar w:fldCharType="begin"/>
      </w:r>
      <w:r>
        <w:rPr>
          <w:b/>
        </w:rPr>
        <w:instrText xml:space="preserve"> PAGEREF _Toc161130995 \h </w:instrText>
      </w:r>
      <w:r>
        <w:rPr>
          <w:b/>
        </w:rPr>
        <w:fldChar w:fldCharType="separate"/>
      </w:r>
      <w:r>
        <w:rPr>
          <w:b/>
        </w:rPr>
        <w:t>27</w:t>
      </w:r>
      <w:r>
        <w:rPr>
          <w:b/>
        </w:rPr>
        <w:fldChar w:fldCharType="end"/>
      </w:r>
      <w:r>
        <w:rPr>
          <w:b/>
        </w:rPr>
        <w:fldChar w:fldCharType="end"/>
      </w:r>
    </w:p>
    <w:p w14:paraId="04A61B71">
      <w:pPr>
        <w:pStyle w:val="19"/>
        <w:tabs>
          <w:tab w:val="left" w:pos="1050"/>
          <w:tab w:val="right" w:leader="dot" w:pos="8835"/>
        </w:tabs>
        <w:rPr>
          <w:rFonts w:ascii="Calibri" w:hAnsi="Calibri"/>
          <w:b/>
          <w:szCs w:val="22"/>
        </w:rPr>
      </w:pPr>
      <w:r>
        <w:fldChar w:fldCharType="begin"/>
      </w:r>
      <w:r>
        <w:instrText xml:space="preserve"> HYPERLINK \l "_Toc161130996" </w:instrText>
      </w:r>
      <w:r>
        <w:fldChar w:fldCharType="separate"/>
      </w:r>
      <w:r>
        <w:rPr>
          <w:rStyle w:val="28"/>
          <w:rFonts w:hint="eastAsia" w:ascii="宋体" w:hAnsi="宋体"/>
          <w:b/>
        </w:rPr>
        <w:t>3、货款支付</w:t>
      </w:r>
      <w:r>
        <w:rPr>
          <w:b/>
        </w:rPr>
        <w:tab/>
      </w:r>
      <w:r>
        <w:rPr>
          <w:b/>
        </w:rPr>
        <w:fldChar w:fldCharType="begin"/>
      </w:r>
      <w:r>
        <w:rPr>
          <w:b/>
        </w:rPr>
        <w:instrText xml:space="preserve"> PAGEREF _Toc161130996 \h </w:instrText>
      </w:r>
      <w:r>
        <w:rPr>
          <w:b/>
        </w:rPr>
        <w:fldChar w:fldCharType="separate"/>
      </w:r>
      <w:r>
        <w:rPr>
          <w:b/>
        </w:rPr>
        <w:t>27</w:t>
      </w:r>
      <w:r>
        <w:rPr>
          <w:b/>
        </w:rPr>
        <w:fldChar w:fldCharType="end"/>
      </w:r>
      <w:r>
        <w:rPr>
          <w:b/>
        </w:rPr>
        <w:fldChar w:fldCharType="end"/>
      </w:r>
    </w:p>
    <w:p w14:paraId="04A61B72">
      <w:pPr>
        <w:pStyle w:val="19"/>
        <w:tabs>
          <w:tab w:val="left" w:pos="1050"/>
          <w:tab w:val="right" w:leader="dot" w:pos="8835"/>
        </w:tabs>
        <w:rPr>
          <w:rFonts w:ascii="Calibri" w:hAnsi="Calibri"/>
          <w:b/>
          <w:szCs w:val="22"/>
        </w:rPr>
      </w:pPr>
      <w:r>
        <w:fldChar w:fldCharType="begin"/>
      </w:r>
      <w:r>
        <w:instrText xml:space="preserve"> HYPERLINK \l "_Toc161130997" </w:instrText>
      </w:r>
      <w:r>
        <w:fldChar w:fldCharType="separate"/>
      </w:r>
      <w:r>
        <w:rPr>
          <w:rStyle w:val="28"/>
          <w:rFonts w:hint="eastAsia" w:ascii="宋体" w:hAnsi="宋体"/>
          <w:b/>
        </w:rPr>
        <w:t>4、质量保证</w:t>
      </w:r>
      <w:r>
        <w:rPr>
          <w:b/>
        </w:rPr>
        <w:tab/>
      </w:r>
      <w:r>
        <w:rPr>
          <w:b/>
        </w:rPr>
        <w:fldChar w:fldCharType="begin"/>
      </w:r>
      <w:r>
        <w:rPr>
          <w:b/>
        </w:rPr>
        <w:instrText xml:space="preserve"> PAGEREF _Toc161130997 \h </w:instrText>
      </w:r>
      <w:r>
        <w:rPr>
          <w:b/>
        </w:rPr>
        <w:fldChar w:fldCharType="separate"/>
      </w:r>
      <w:r>
        <w:rPr>
          <w:b/>
        </w:rPr>
        <w:t>28</w:t>
      </w:r>
      <w:r>
        <w:rPr>
          <w:b/>
        </w:rPr>
        <w:fldChar w:fldCharType="end"/>
      </w:r>
      <w:r>
        <w:rPr>
          <w:b/>
        </w:rPr>
        <w:fldChar w:fldCharType="end"/>
      </w:r>
    </w:p>
    <w:p w14:paraId="04A61B73">
      <w:pPr>
        <w:pStyle w:val="19"/>
        <w:tabs>
          <w:tab w:val="left" w:pos="1050"/>
          <w:tab w:val="right" w:leader="dot" w:pos="8835"/>
        </w:tabs>
        <w:rPr>
          <w:rFonts w:ascii="Calibri" w:hAnsi="Calibri"/>
          <w:b/>
          <w:szCs w:val="22"/>
        </w:rPr>
      </w:pPr>
      <w:r>
        <w:fldChar w:fldCharType="begin"/>
      </w:r>
      <w:r>
        <w:instrText xml:space="preserve"> HYPERLINK \l "_Toc161130998" </w:instrText>
      </w:r>
      <w:r>
        <w:fldChar w:fldCharType="separate"/>
      </w:r>
      <w:r>
        <w:rPr>
          <w:rStyle w:val="28"/>
          <w:rFonts w:hint="eastAsia" w:ascii="宋体" w:hAnsi="宋体"/>
          <w:b/>
        </w:rPr>
        <w:t>5、售后服务</w:t>
      </w:r>
      <w:r>
        <w:rPr>
          <w:b/>
        </w:rPr>
        <w:tab/>
      </w:r>
      <w:r>
        <w:rPr>
          <w:b/>
        </w:rPr>
        <w:fldChar w:fldCharType="begin"/>
      </w:r>
      <w:r>
        <w:rPr>
          <w:b/>
        </w:rPr>
        <w:instrText xml:space="preserve"> PAGEREF _Toc161130998 \h </w:instrText>
      </w:r>
      <w:r>
        <w:rPr>
          <w:b/>
        </w:rPr>
        <w:fldChar w:fldCharType="separate"/>
      </w:r>
      <w:r>
        <w:rPr>
          <w:b/>
        </w:rPr>
        <w:t>28</w:t>
      </w:r>
      <w:r>
        <w:rPr>
          <w:b/>
        </w:rPr>
        <w:fldChar w:fldCharType="end"/>
      </w:r>
      <w:r>
        <w:rPr>
          <w:b/>
        </w:rPr>
        <w:fldChar w:fldCharType="end"/>
      </w:r>
    </w:p>
    <w:p w14:paraId="04A61B74">
      <w:pPr>
        <w:pStyle w:val="19"/>
        <w:tabs>
          <w:tab w:val="left" w:pos="1050"/>
          <w:tab w:val="right" w:leader="dot" w:pos="8835"/>
        </w:tabs>
        <w:rPr>
          <w:rFonts w:ascii="Calibri" w:hAnsi="Calibri"/>
          <w:b/>
          <w:szCs w:val="22"/>
        </w:rPr>
      </w:pPr>
      <w:r>
        <w:fldChar w:fldCharType="begin"/>
      </w:r>
      <w:r>
        <w:instrText xml:space="preserve"> HYPERLINK \l "_Toc161130999" </w:instrText>
      </w:r>
      <w:r>
        <w:fldChar w:fldCharType="separate"/>
      </w:r>
      <w:r>
        <w:rPr>
          <w:rStyle w:val="28"/>
          <w:rFonts w:hint="eastAsia" w:ascii="宋体" w:hAnsi="宋体"/>
          <w:b/>
        </w:rPr>
        <w:t>6、验收</w:t>
      </w:r>
      <w:r>
        <w:rPr>
          <w:b/>
        </w:rPr>
        <w:tab/>
      </w:r>
      <w:r>
        <w:rPr>
          <w:b/>
        </w:rPr>
        <w:fldChar w:fldCharType="begin"/>
      </w:r>
      <w:r>
        <w:rPr>
          <w:b/>
        </w:rPr>
        <w:instrText xml:space="preserve"> PAGEREF _Toc161130999 \h </w:instrText>
      </w:r>
      <w:r>
        <w:rPr>
          <w:b/>
        </w:rPr>
        <w:fldChar w:fldCharType="separate"/>
      </w:r>
      <w:r>
        <w:rPr>
          <w:b/>
        </w:rPr>
        <w:t>29</w:t>
      </w:r>
      <w:r>
        <w:rPr>
          <w:b/>
        </w:rPr>
        <w:fldChar w:fldCharType="end"/>
      </w:r>
      <w:r>
        <w:rPr>
          <w:b/>
        </w:rPr>
        <w:fldChar w:fldCharType="end"/>
      </w:r>
    </w:p>
    <w:p w14:paraId="04A61B75">
      <w:pPr>
        <w:pStyle w:val="19"/>
        <w:tabs>
          <w:tab w:val="left" w:pos="1050"/>
          <w:tab w:val="right" w:leader="dot" w:pos="8835"/>
        </w:tabs>
        <w:rPr>
          <w:rFonts w:ascii="Calibri" w:hAnsi="Calibri"/>
          <w:b/>
          <w:szCs w:val="22"/>
        </w:rPr>
      </w:pPr>
      <w:r>
        <w:fldChar w:fldCharType="begin"/>
      </w:r>
      <w:r>
        <w:instrText xml:space="preserve"> HYPERLINK \l "_Toc161131000" </w:instrText>
      </w:r>
      <w:r>
        <w:fldChar w:fldCharType="separate"/>
      </w:r>
      <w:r>
        <w:rPr>
          <w:rStyle w:val="28"/>
          <w:rFonts w:hint="eastAsia" w:ascii="宋体" w:hAnsi="宋体"/>
          <w:b/>
        </w:rPr>
        <w:t>7、违约责任</w:t>
      </w:r>
      <w:r>
        <w:rPr>
          <w:b/>
        </w:rPr>
        <w:tab/>
      </w:r>
      <w:r>
        <w:rPr>
          <w:b/>
        </w:rPr>
        <w:fldChar w:fldCharType="begin"/>
      </w:r>
      <w:r>
        <w:rPr>
          <w:b/>
        </w:rPr>
        <w:instrText xml:space="preserve"> PAGEREF _Toc161131000 \h </w:instrText>
      </w:r>
      <w:r>
        <w:rPr>
          <w:b/>
        </w:rPr>
        <w:fldChar w:fldCharType="separate"/>
      </w:r>
      <w:r>
        <w:rPr>
          <w:b/>
        </w:rPr>
        <w:t>29</w:t>
      </w:r>
      <w:r>
        <w:rPr>
          <w:b/>
        </w:rPr>
        <w:fldChar w:fldCharType="end"/>
      </w:r>
      <w:r>
        <w:rPr>
          <w:b/>
        </w:rPr>
        <w:fldChar w:fldCharType="end"/>
      </w:r>
    </w:p>
    <w:p w14:paraId="04A61B76">
      <w:pPr>
        <w:pStyle w:val="18"/>
        <w:tabs>
          <w:tab w:val="right" w:leader="dot" w:pos="8835"/>
        </w:tabs>
        <w:rPr>
          <w:rFonts w:ascii="Calibri" w:hAnsi="Calibri"/>
          <w:b/>
          <w:szCs w:val="22"/>
        </w:rPr>
      </w:pPr>
      <w:r>
        <w:fldChar w:fldCharType="begin"/>
      </w:r>
      <w:r>
        <w:instrText xml:space="preserve"> HYPERLINK \l "_Toc161131001" </w:instrText>
      </w:r>
      <w:r>
        <w:fldChar w:fldCharType="separate"/>
      </w:r>
      <w:r>
        <w:rPr>
          <w:rStyle w:val="28"/>
          <w:rFonts w:hint="eastAsia" w:ascii="宋体" w:hAnsi="宋体"/>
          <w:b/>
          <w:kern w:val="0"/>
        </w:rPr>
        <w:t>第六章</w:t>
      </w:r>
      <w:r>
        <w:rPr>
          <w:rStyle w:val="28"/>
          <w:rFonts w:ascii="宋体" w:hAnsi="宋体"/>
          <w:b/>
          <w:kern w:val="0"/>
        </w:rPr>
        <w:t xml:space="preserve"> </w:t>
      </w:r>
      <w:r>
        <w:rPr>
          <w:rStyle w:val="28"/>
          <w:rFonts w:hint="eastAsia" w:ascii="宋体" w:hAnsi="宋体"/>
          <w:b/>
          <w:kern w:val="0"/>
        </w:rPr>
        <w:t>评标办法</w:t>
      </w:r>
      <w:r>
        <w:rPr>
          <w:b/>
        </w:rPr>
        <w:tab/>
      </w:r>
      <w:r>
        <w:rPr>
          <w:b/>
        </w:rPr>
        <w:fldChar w:fldCharType="begin"/>
      </w:r>
      <w:r>
        <w:rPr>
          <w:b/>
        </w:rPr>
        <w:instrText xml:space="preserve"> PAGEREF _Toc161131001 \h </w:instrText>
      </w:r>
      <w:r>
        <w:rPr>
          <w:b/>
        </w:rPr>
        <w:fldChar w:fldCharType="separate"/>
      </w:r>
      <w:r>
        <w:rPr>
          <w:b/>
        </w:rPr>
        <w:t>30</w:t>
      </w:r>
      <w:r>
        <w:rPr>
          <w:b/>
        </w:rPr>
        <w:fldChar w:fldCharType="end"/>
      </w:r>
      <w:r>
        <w:rPr>
          <w:b/>
        </w:rPr>
        <w:fldChar w:fldCharType="end"/>
      </w:r>
    </w:p>
    <w:p w14:paraId="04A61B77">
      <w:pPr>
        <w:pStyle w:val="19"/>
        <w:tabs>
          <w:tab w:val="right" w:leader="dot" w:pos="8835"/>
        </w:tabs>
        <w:rPr>
          <w:rFonts w:ascii="Calibri" w:hAnsi="Calibri"/>
          <w:b/>
          <w:szCs w:val="22"/>
        </w:rPr>
      </w:pPr>
      <w:r>
        <w:fldChar w:fldCharType="begin"/>
      </w:r>
      <w:r>
        <w:instrText xml:space="preserve"> HYPERLINK \l "_Toc161131002" </w:instrText>
      </w:r>
      <w:r>
        <w:fldChar w:fldCharType="separate"/>
      </w:r>
      <w:r>
        <w:rPr>
          <w:rStyle w:val="28"/>
          <w:rFonts w:ascii="宋体" w:hAnsi="宋体"/>
          <w:b/>
        </w:rPr>
        <w:t>1</w:t>
      </w:r>
      <w:r>
        <w:rPr>
          <w:rStyle w:val="28"/>
          <w:rFonts w:hint="eastAsia" w:ascii="宋体" w:hAnsi="宋体"/>
          <w:b/>
        </w:rPr>
        <w:t>、评标总则</w:t>
      </w:r>
      <w:r>
        <w:rPr>
          <w:b/>
        </w:rPr>
        <w:tab/>
      </w:r>
      <w:r>
        <w:rPr>
          <w:b/>
        </w:rPr>
        <w:fldChar w:fldCharType="begin"/>
      </w:r>
      <w:r>
        <w:rPr>
          <w:b/>
        </w:rPr>
        <w:instrText xml:space="preserve"> PAGEREF _Toc161131002 \h </w:instrText>
      </w:r>
      <w:r>
        <w:rPr>
          <w:b/>
        </w:rPr>
        <w:fldChar w:fldCharType="separate"/>
      </w:r>
      <w:r>
        <w:rPr>
          <w:b/>
        </w:rPr>
        <w:t>30</w:t>
      </w:r>
      <w:r>
        <w:rPr>
          <w:b/>
        </w:rPr>
        <w:fldChar w:fldCharType="end"/>
      </w:r>
      <w:r>
        <w:rPr>
          <w:b/>
        </w:rPr>
        <w:fldChar w:fldCharType="end"/>
      </w:r>
    </w:p>
    <w:p w14:paraId="04A61B78">
      <w:pPr>
        <w:pStyle w:val="19"/>
        <w:tabs>
          <w:tab w:val="right" w:leader="dot" w:pos="8835"/>
        </w:tabs>
        <w:rPr>
          <w:rFonts w:ascii="Calibri" w:hAnsi="Calibri"/>
          <w:b/>
          <w:szCs w:val="22"/>
        </w:rPr>
      </w:pPr>
      <w:r>
        <w:fldChar w:fldCharType="begin"/>
      </w:r>
      <w:r>
        <w:instrText xml:space="preserve"> HYPERLINK \l "_Toc161131003" </w:instrText>
      </w:r>
      <w:r>
        <w:fldChar w:fldCharType="separate"/>
      </w:r>
      <w:r>
        <w:rPr>
          <w:rStyle w:val="28"/>
          <w:rFonts w:ascii="宋体" w:hAnsi="宋体"/>
          <w:b/>
        </w:rPr>
        <w:t>2</w:t>
      </w:r>
      <w:r>
        <w:rPr>
          <w:rStyle w:val="28"/>
          <w:rFonts w:hint="eastAsia" w:ascii="宋体" w:hAnsi="宋体"/>
          <w:b/>
        </w:rPr>
        <w:t>、评标组织</w:t>
      </w:r>
      <w:r>
        <w:rPr>
          <w:b/>
        </w:rPr>
        <w:tab/>
      </w:r>
      <w:r>
        <w:rPr>
          <w:b/>
        </w:rPr>
        <w:fldChar w:fldCharType="begin"/>
      </w:r>
      <w:r>
        <w:rPr>
          <w:b/>
        </w:rPr>
        <w:instrText xml:space="preserve"> PAGEREF _Toc161131003 \h </w:instrText>
      </w:r>
      <w:r>
        <w:rPr>
          <w:b/>
        </w:rPr>
        <w:fldChar w:fldCharType="separate"/>
      </w:r>
      <w:r>
        <w:rPr>
          <w:b/>
        </w:rPr>
        <w:t>30</w:t>
      </w:r>
      <w:r>
        <w:rPr>
          <w:b/>
        </w:rPr>
        <w:fldChar w:fldCharType="end"/>
      </w:r>
      <w:r>
        <w:rPr>
          <w:b/>
        </w:rPr>
        <w:fldChar w:fldCharType="end"/>
      </w:r>
    </w:p>
    <w:p w14:paraId="04A61B79">
      <w:pPr>
        <w:pStyle w:val="19"/>
        <w:tabs>
          <w:tab w:val="right" w:leader="dot" w:pos="8835"/>
        </w:tabs>
        <w:rPr>
          <w:rFonts w:ascii="Calibri" w:hAnsi="Calibri"/>
          <w:b/>
          <w:szCs w:val="22"/>
        </w:rPr>
      </w:pPr>
      <w:r>
        <w:fldChar w:fldCharType="begin"/>
      </w:r>
      <w:r>
        <w:instrText xml:space="preserve"> HYPERLINK \l "_Toc161131004" </w:instrText>
      </w:r>
      <w:r>
        <w:fldChar w:fldCharType="separate"/>
      </w:r>
      <w:r>
        <w:rPr>
          <w:rStyle w:val="28"/>
          <w:rFonts w:ascii="宋体" w:hAnsi="宋体"/>
          <w:b/>
        </w:rPr>
        <w:t>3</w:t>
      </w:r>
      <w:r>
        <w:rPr>
          <w:rStyle w:val="28"/>
          <w:rFonts w:hint="eastAsia" w:ascii="宋体" w:hAnsi="宋体"/>
          <w:b/>
        </w:rPr>
        <w:t>、评标程序及办法</w:t>
      </w:r>
      <w:r>
        <w:rPr>
          <w:b/>
        </w:rPr>
        <w:tab/>
      </w:r>
      <w:r>
        <w:rPr>
          <w:b/>
        </w:rPr>
        <w:fldChar w:fldCharType="begin"/>
      </w:r>
      <w:r>
        <w:rPr>
          <w:b/>
        </w:rPr>
        <w:instrText xml:space="preserve"> PAGEREF _Toc161131004 \h </w:instrText>
      </w:r>
      <w:r>
        <w:rPr>
          <w:b/>
        </w:rPr>
        <w:fldChar w:fldCharType="separate"/>
      </w:r>
      <w:r>
        <w:rPr>
          <w:b/>
        </w:rPr>
        <w:t>30</w:t>
      </w:r>
      <w:r>
        <w:rPr>
          <w:b/>
        </w:rPr>
        <w:fldChar w:fldCharType="end"/>
      </w:r>
      <w:r>
        <w:rPr>
          <w:b/>
        </w:rPr>
        <w:fldChar w:fldCharType="end"/>
      </w:r>
    </w:p>
    <w:p w14:paraId="04A61B7A">
      <w:pPr>
        <w:pStyle w:val="19"/>
        <w:tabs>
          <w:tab w:val="right" w:leader="dot" w:pos="8835"/>
        </w:tabs>
        <w:rPr>
          <w:rFonts w:ascii="Calibri" w:hAnsi="Calibri"/>
          <w:b/>
          <w:szCs w:val="22"/>
        </w:rPr>
      </w:pPr>
      <w:r>
        <w:fldChar w:fldCharType="begin"/>
      </w:r>
      <w:r>
        <w:instrText xml:space="preserve"> HYPERLINK \l "_Toc161131005" </w:instrText>
      </w:r>
      <w:r>
        <w:fldChar w:fldCharType="separate"/>
      </w:r>
      <w:r>
        <w:rPr>
          <w:rStyle w:val="28"/>
          <w:rFonts w:ascii="宋体" w:hAnsi="宋体"/>
          <w:b/>
        </w:rPr>
        <w:t>4</w:t>
      </w:r>
      <w:r>
        <w:rPr>
          <w:rStyle w:val="28"/>
          <w:rFonts w:hint="eastAsia" w:ascii="宋体" w:hAnsi="宋体"/>
          <w:b/>
        </w:rPr>
        <w:t>、评标细则</w:t>
      </w:r>
      <w:r>
        <w:rPr>
          <w:b/>
        </w:rPr>
        <w:tab/>
      </w:r>
      <w:r>
        <w:rPr>
          <w:b/>
        </w:rPr>
        <w:fldChar w:fldCharType="begin"/>
      </w:r>
      <w:r>
        <w:rPr>
          <w:b/>
        </w:rPr>
        <w:instrText xml:space="preserve"> PAGEREF _Toc161131005 \h </w:instrText>
      </w:r>
      <w:r>
        <w:rPr>
          <w:b/>
        </w:rPr>
        <w:fldChar w:fldCharType="separate"/>
      </w:r>
      <w:r>
        <w:rPr>
          <w:b/>
        </w:rPr>
        <w:t>32</w:t>
      </w:r>
      <w:r>
        <w:rPr>
          <w:b/>
        </w:rPr>
        <w:fldChar w:fldCharType="end"/>
      </w:r>
      <w:r>
        <w:rPr>
          <w:b/>
        </w:rPr>
        <w:fldChar w:fldCharType="end"/>
      </w:r>
    </w:p>
    <w:p w14:paraId="04A61B7B">
      <w:pPr>
        <w:pStyle w:val="18"/>
        <w:tabs>
          <w:tab w:val="right" w:leader="dot" w:pos="8835"/>
        </w:tabs>
        <w:rPr>
          <w:rFonts w:ascii="Calibri" w:hAnsi="Calibri"/>
          <w:szCs w:val="22"/>
        </w:rPr>
      </w:pPr>
      <w:r>
        <w:fldChar w:fldCharType="begin"/>
      </w:r>
      <w:r>
        <w:instrText xml:space="preserve"> HYPERLINK \l "_Toc161131006" </w:instrText>
      </w:r>
      <w:r>
        <w:fldChar w:fldCharType="separate"/>
      </w:r>
      <w:r>
        <w:rPr>
          <w:rStyle w:val="28"/>
          <w:rFonts w:hint="eastAsia" w:ascii="宋体" w:hAnsi="宋体"/>
          <w:b/>
          <w:bCs/>
          <w:kern w:val="0"/>
        </w:rPr>
        <w:t>第七章</w:t>
      </w:r>
      <w:r>
        <w:rPr>
          <w:rStyle w:val="28"/>
          <w:rFonts w:ascii="宋体" w:hAnsi="宋体"/>
          <w:b/>
          <w:bCs/>
          <w:kern w:val="0"/>
        </w:rPr>
        <w:t xml:space="preserve">   </w:t>
      </w:r>
      <w:r>
        <w:rPr>
          <w:rStyle w:val="28"/>
          <w:rFonts w:hint="eastAsia" w:ascii="宋体" w:hAnsi="宋体"/>
          <w:b/>
          <w:bCs/>
          <w:kern w:val="0"/>
        </w:rPr>
        <w:t>附件</w:t>
      </w:r>
      <w:r>
        <w:rPr>
          <w:rStyle w:val="28"/>
          <w:rFonts w:ascii="宋体" w:hAnsi="宋体"/>
          <w:b/>
          <w:bCs/>
          <w:kern w:val="0"/>
        </w:rPr>
        <w:t>---</w:t>
      </w:r>
      <w:r>
        <w:rPr>
          <w:rStyle w:val="28"/>
          <w:rFonts w:hint="eastAsia" w:ascii="宋体" w:hAnsi="宋体"/>
          <w:b/>
          <w:bCs/>
          <w:kern w:val="0"/>
        </w:rPr>
        <w:t>投标文件格式</w:t>
      </w:r>
      <w:r>
        <w:tab/>
      </w:r>
      <w:r>
        <w:fldChar w:fldCharType="begin"/>
      </w:r>
      <w:r>
        <w:instrText xml:space="preserve"> PAGEREF _Toc161131006 \h </w:instrText>
      </w:r>
      <w:r>
        <w:fldChar w:fldCharType="separate"/>
      </w:r>
      <w:r>
        <w:t>35</w:t>
      </w:r>
      <w:r>
        <w:fldChar w:fldCharType="end"/>
      </w:r>
      <w:r>
        <w:fldChar w:fldCharType="end"/>
      </w:r>
    </w:p>
    <w:p w14:paraId="04A61B7C">
      <w:pPr>
        <w:pStyle w:val="19"/>
        <w:tabs>
          <w:tab w:val="right" w:leader="dot" w:pos="8835"/>
        </w:tabs>
        <w:rPr>
          <w:rFonts w:ascii="Calibri" w:hAnsi="Calibri"/>
          <w:szCs w:val="22"/>
        </w:rPr>
      </w:pPr>
      <w:r>
        <w:fldChar w:fldCharType="begin"/>
      </w:r>
      <w:r>
        <w:instrText xml:space="preserve"> HYPERLINK \l "_Toc161131007" </w:instrText>
      </w:r>
      <w:r>
        <w:fldChar w:fldCharType="separate"/>
      </w:r>
      <w:r>
        <w:rPr>
          <w:rStyle w:val="28"/>
          <w:rFonts w:hint="eastAsia" w:ascii="宋体" w:hAnsi="宋体" w:cs="宋体"/>
          <w:b/>
          <w:kern w:val="0"/>
        </w:rPr>
        <w:t>附件</w:t>
      </w:r>
      <w:r>
        <w:rPr>
          <w:rStyle w:val="28"/>
          <w:rFonts w:ascii="宋体" w:hAnsi="宋体" w:cs="宋体"/>
          <w:b/>
          <w:kern w:val="0"/>
        </w:rPr>
        <w:t>1</w:t>
      </w:r>
      <w:r>
        <w:tab/>
      </w:r>
      <w:r>
        <w:fldChar w:fldCharType="begin"/>
      </w:r>
      <w:r>
        <w:instrText xml:space="preserve"> PAGEREF _Toc161131007 \h </w:instrText>
      </w:r>
      <w:r>
        <w:fldChar w:fldCharType="separate"/>
      </w:r>
      <w:r>
        <w:t>35</w:t>
      </w:r>
      <w:r>
        <w:fldChar w:fldCharType="end"/>
      </w:r>
      <w:r>
        <w:fldChar w:fldCharType="end"/>
      </w:r>
    </w:p>
    <w:p w14:paraId="04A61B7D">
      <w:pPr>
        <w:pStyle w:val="12"/>
        <w:tabs>
          <w:tab w:val="right" w:leader="dot" w:pos="8835"/>
        </w:tabs>
        <w:rPr>
          <w:kern w:val="2"/>
          <w:sz w:val="21"/>
        </w:rPr>
      </w:pPr>
      <w:r>
        <w:fldChar w:fldCharType="begin"/>
      </w:r>
      <w:r>
        <w:instrText xml:space="preserve"> HYPERLINK \l "_Toc161131008" </w:instrText>
      </w:r>
      <w:r>
        <w:fldChar w:fldCharType="separate"/>
      </w:r>
      <w:r>
        <w:rPr>
          <w:rStyle w:val="28"/>
          <w:rFonts w:hint="eastAsia" w:ascii="宋体" w:hAnsi="宋体" w:cs="宋体"/>
          <w:b/>
        </w:rPr>
        <w:t>附件</w:t>
      </w:r>
      <w:r>
        <w:rPr>
          <w:rStyle w:val="28"/>
          <w:rFonts w:ascii="宋体" w:hAnsi="宋体" w:cs="宋体"/>
          <w:b/>
        </w:rPr>
        <w:t>2</w:t>
      </w:r>
      <w:r>
        <w:tab/>
      </w:r>
      <w:r>
        <w:fldChar w:fldCharType="begin"/>
      </w:r>
      <w:r>
        <w:instrText xml:space="preserve"> PAGEREF _Toc161131008 \h </w:instrText>
      </w:r>
      <w:r>
        <w:fldChar w:fldCharType="separate"/>
      </w:r>
      <w:r>
        <w:t>36</w:t>
      </w:r>
      <w:r>
        <w:fldChar w:fldCharType="end"/>
      </w:r>
      <w:r>
        <w:fldChar w:fldCharType="end"/>
      </w:r>
    </w:p>
    <w:p w14:paraId="04A61B7E">
      <w:pPr>
        <w:pStyle w:val="19"/>
        <w:tabs>
          <w:tab w:val="right" w:leader="dot" w:pos="8835"/>
        </w:tabs>
        <w:rPr>
          <w:rFonts w:ascii="Calibri" w:hAnsi="Calibri"/>
          <w:szCs w:val="22"/>
        </w:rPr>
      </w:pPr>
      <w:r>
        <w:fldChar w:fldCharType="begin"/>
      </w:r>
      <w:r>
        <w:instrText xml:space="preserve"> HYPERLINK \l "_Toc161131009" </w:instrText>
      </w:r>
      <w:r>
        <w:fldChar w:fldCharType="separate"/>
      </w:r>
      <w:r>
        <w:rPr>
          <w:rStyle w:val="28"/>
          <w:rFonts w:hint="eastAsia" w:ascii="宋体" w:hAnsi="宋体"/>
        </w:rPr>
        <w:t>开标一览表</w:t>
      </w:r>
      <w:r>
        <w:tab/>
      </w:r>
      <w:r>
        <w:fldChar w:fldCharType="begin"/>
      </w:r>
      <w:r>
        <w:instrText xml:space="preserve"> PAGEREF _Toc161131009 \h </w:instrText>
      </w:r>
      <w:r>
        <w:fldChar w:fldCharType="separate"/>
      </w:r>
      <w:r>
        <w:t>36</w:t>
      </w:r>
      <w:r>
        <w:fldChar w:fldCharType="end"/>
      </w:r>
      <w:r>
        <w:fldChar w:fldCharType="end"/>
      </w:r>
    </w:p>
    <w:p w14:paraId="04A61B7F">
      <w:pPr>
        <w:pStyle w:val="19"/>
        <w:tabs>
          <w:tab w:val="right" w:leader="dot" w:pos="8835"/>
        </w:tabs>
        <w:rPr>
          <w:rFonts w:ascii="Calibri" w:hAnsi="Calibri"/>
          <w:szCs w:val="22"/>
        </w:rPr>
      </w:pPr>
      <w:r>
        <w:fldChar w:fldCharType="begin"/>
      </w:r>
      <w:r>
        <w:instrText xml:space="preserve"> HYPERLINK \l "_Toc161131010" </w:instrText>
      </w:r>
      <w:r>
        <w:fldChar w:fldCharType="separate"/>
      </w:r>
      <w:r>
        <w:rPr>
          <w:rStyle w:val="28"/>
          <w:rFonts w:hint="eastAsia" w:ascii="宋体" w:hAnsi="宋体"/>
        </w:rPr>
        <w:t>投标分项报价表</w:t>
      </w:r>
      <w:r>
        <w:rPr>
          <w:rStyle w:val="28"/>
          <w:rFonts w:ascii="宋体" w:hAnsi="宋体"/>
        </w:rPr>
        <w:t>2</w:t>
      </w:r>
      <w:r>
        <w:tab/>
      </w:r>
      <w:r>
        <w:fldChar w:fldCharType="begin"/>
      </w:r>
      <w:r>
        <w:instrText xml:space="preserve"> PAGEREF _Toc161131010 \h </w:instrText>
      </w:r>
      <w:r>
        <w:fldChar w:fldCharType="separate"/>
      </w:r>
      <w:r>
        <w:t>37</w:t>
      </w:r>
      <w:r>
        <w:fldChar w:fldCharType="end"/>
      </w:r>
      <w:r>
        <w:fldChar w:fldCharType="end"/>
      </w:r>
    </w:p>
    <w:p w14:paraId="04A61B80">
      <w:pPr>
        <w:pStyle w:val="19"/>
        <w:tabs>
          <w:tab w:val="right" w:leader="dot" w:pos="8835"/>
        </w:tabs>
        <w:rPr>
          <w:rFonts w:ascii="Calibri" w:hAnsi="Calibri"/>
          <w:szCs w:val="22"/>
        </w:rPr>
      </w:pPr>
      <w:r>
        <w:fldChar w:fldCharType="begin"/>
      </w:r>
      <w:r>
        <w:instrText xml:space="preserve"> HYPERLINK \l "_Toc161131011" </w:instrText>
      </w:r>
      <w:r>
        <w:fldChar w:fldCharType="separate"/>
      </w:r>
      <w:r>
        <w:rPr>
          <w:rStyle w:val="28"/>
          <w:rFonts w:hint="eastAsia" w:ascii="宋体" w:hAnsi="宋体"/>
        </w:rPr>
        <w:t>商务差异表</w:t>
      </w:r>
      <w:r>
        <w:tab/>
      </w:r>
      <w:r>
        <w:fldChar w:fldCharType="begin"/>
      </w:r>
      <w:r>
        <w:instrText xml:space="preserve"> PAGEREF _Toc161131011 \h </w:instrText>
      </w:r>
      <w:r>
        <w:fldChar w:fldCharType="separate"/>
      </w:r>
      <w:r>
        <w:t>38</w:t>
      </w:r>
      <w:r>
        <w:fldChar w:fldCharType="end"/>
      </w:r>
      <w:r>
        <w:fldChar w:fldCharType="end"/>
      </w:r>
    </w:p>
    <w:p w14:paraId="04A61B81">
      <w:pPr>
        <w:pStyle w:val="19"/>
        <w:tabs>
          <w:tab w:val="right" w:leader="dot" w:pos="8835"/>
        </w:tabs>
        <w:rPr>
          <w:rFonts w:ascii="Calibri" w:hAnsi="Calibri"/>
          <w:szCs w:val="22"/>
        </w:rPr>
      </w:pPr>
      <w:r>
        <w:fldChar w:fldCharType="begin"/>
      </w:r>
      <w:r>
        <w:instrText xml:space="preserve"> HYPERLINK \l "_Toc161131012" </w:instrText>
      </w:r>
      <w:r>
        <w:fldChar w:fldCharType="separate"/>
      </w:r>
      <w:r>
        <w:rPr>
          <w:rStyle w:val="28"/>
          <w:rFonts w:hint="eastAsia" w:ascii="宋体" w:hAnsi="宋体"/>
        </w:rPr>
        <w:t>资格、资质证明文件</w:t>
      </w:r>
      <w:r>
        <w:tab/>
      </w:r>
      <w:r>
        <w:fldChar w:fldCharType="begin"/>
      </w:r>
      <w:r>
        <w:instrText xml:space="preserve"> PAGEREF _Toc161131012 \h </w:instrText>
      </w:r>
      <w:r>
        <w:fldChar w:fldCharType="separate"/>
      </w:r>
      <w:r>
        <w:t>40</w:t>
      </w:r>
      <w:r>
        <w:fldChar w:fldCharType="end"/>
      </w:r>
      <w:r>
        <w:fldChar w:fldCharType="end"/>
      </w:r>
    </w:p>
    <w:p w14:paraId="04A61B82">
      <w:pPr>
        <w:pStyle w:val="18"/>
        <w:tabs>
          <w:tab w:val="right" w:leader="dot" w:pos="8835"/>
        </w:tabs>
        <w:rPr>
          <w:rFonts w:ascii="Calibri" w:hAnsi="Calibri"/>
          <w:szCs w:val="22"/>
        </w:rPr>
      </w:pPr>
      <w:r>
        <w:fldChar w:fldCharType="begin"/>
      </w:r>
      <w:r>
        <w:instrText xml:space="preserve"> HYPERLINK \l "_Toc161131013" </w:instrText>
      </w:r>
      <w:r>
        <w:fldChar w:fldCharType="separate"/>
      </w:r>
      <w:r>
        <w:rPr>
          <w:rStyle w:val="28"/>
          <w:rFonts w:hint="eastAsia" w:ascii="宋体" w:hAnsi="宋体" w:cs="宋体"/>
          <w:b/>
          <w:kern w:val="0"/>
        </w:rPr>
        <w:t>附件</w:t>
      </w:r>
      <w:r>
        <w:rPr>
          <w:rStyle w:val="28"/>
          <w:rFonts w:ascii="宋体" w:hAnsi="宋体" w:cs="宋体"/>
          <w:b/>
          <w:kern w:val="0"/>
        </w:rPr>
        <w:t>5</w:t>
      </w:r>
      <w:r>
        <w:tab/>
      </w:r>
      <w:r>
        <w:fldChar w:fldCharType="begin"/>
      </w:r>
      <w:r>
        <w:instrText xml:space="preserve"> PAGEREF _Toc161131013 \h </w:instrText>
      </w:r>
      <w:r>
        <w:fldChar w:fldCharType="separate"/>
      </w:r>
      <w:r>
        <w:t>42</w:t>
      </w:r>
      <w:r>
        <w:fldChar w:fldCharType="end"/>
      </w:r>
      <w:r>
        <w:fldChar w:fldCharType="end"/>
      </w:r>
    </w:p>
    <w:p w14:paraId="04A61B83">
      <w:pPr>
        <w:pStyle w:val="19"/>
        <w:tabs>
          <w:tab w:val="right" w:leader="dot" w:pos="8835"/>
        </w:tabs>
        <w:rPr>
          <w:rFonts w:ascii="Calibri" w:hAnsi="Calibri"/>
          <w:szCs w:val="22"/>
        </w:rPr>
      </w:pPr>
      <w:r>
        <w:fldChar w:fldCharType="begin"/>
      </w:r>
      <w:r>
        <w:instrText xml:space="preserve"> HYPERLINK \l "_Toc161131014" </w:instrText>
      </w:r>
      <w:r>
        <w:fldChar w:fldCharType="separate"/>
      </w:r>
      <w:r>
        <w:rPr>
          <w:rStyle w:val="28"/>
          <w:rFonts w:hint="eastAsia" w:ascii="宋体" w:hAnsi="宋体"/>
        </w:rPr>
        <w:t>投标人主要业绩</w:t>
      </w:r>
      <w:r>
        <w:tab/>
      </w:r>
      <w:r>
        <w:fldChar w:fldCharType="begin"/>
      </w:r>
      <w:r>
        <w:instrText xml:space="preserve"> PAGEREF _Toc161131014 \h </w:instrText>
      </w:r>
      <w:r>
        <w:fldChar w:fldCharType="separate"/>
      </w:r>
      <w:r>
        <w:t>43</w:t>
      </w:r>
      <w:r>
        <w:fldChar w:fldCharType="end"/>
      </w:r>
      <w:r>
        <w:fldChar w:fldCharType="end"/>
      </w:r>
    </w:p>
    <w:p w14:paraId="04A61B84">
      <w:pPr>
        <w:pStyle w:val="18"/>
        <w:tabs>
          <w:tab w:val="right" w:leader="dot" w:pos="8835"/>
        </w:tabs>
        <w:rPr>
          <w:rFonts w:ascii="Calibri" w:hAnsi="Calibri"/>
          <w:szCs w:val="22"/>
        </w:rPr>
      </w:pPr>
      <w:r>
        <w:fldChar w:fldCharType="begin"/>
      </w:r>
      <w:r>
        <w:instrText xml:space="preserve"> HYPERLINK \l "_Toc161131015" </w:instrText>
      </w:r>
      <w:r>
        <w:fldChar w:fldCharType="separate"/>
      </w:r>
      <w:r>
        <w:rPr>
          <w:rStyle w:val="28"/>
          <w:rFonts w:hint="eastAsia" w:ascii="宋体" w:hAnsi="宋体" w:cs="宋体"/>
          <w:b/>
          <w:kern w:val="0"/>
        </w:rPr>
        <w:t>附件</w:t>
      </w:r>
      <w:r>
        <w:rPr>
          <w:rStyle w:val="28"/>
          <w:rFonts w:ascii="宋体" w:hAnsi="宋体" w:cs="宋体"/>
          <w:b/>
          <w:kern w:val="0"/>
        </w:rPr>
        <w:t>6</w:t>
      </w:r>
      <w:r>
        <w:tab/>
      </w:r>
      <w:r>
        <w:fldChar w:fldCharType="begin"/>
      </w:r>
      <w:r>
        <w:instrText xml:space="preserve"> PAGEREF _Toc161131015 \h </w:instrText>
      </w:r>
      <w:r>
        <w:fldChar w:fldCharType="separate"/>
      </w:r>
      <w:r>
        <w:t>43</w:t>
      </w:r>
      <w:r>
        <w:fldChar w:fldCharType="end"/>
      </w:r>
      <w:r>
        <w:fldChar w:fldCharType="end"/>
      </w:r>
    </w:p>
    <w:p w14:paraId="04A61B85">
      <w:pPr>
        <w:pStyle w:val="19"/>
        <w:tabs>
          <w:tab w:val="right" w:leader="dot" w:pos="8835"/>
        </w:tabs>
        <w:rPr>
          <w:rFonts w:ascii="Calibri" w:hAnsi="Calibri"/>
          <w:szCs w:val="22"/>
        </w:rPr>
      </w:pPr>
      <w:r>
        <w:fldChar w:fldCharType="begin"/>
      </w:r>
      <w:r>
        <w:instrText xml:space="preserve"> HYPERLINK \l "_Toc161131016" </w:instrText>
      </w:r>
      <w:r>
        <w:fldChar w:fldCharType="separate"/>
      </w:r>
      <w:r>
        <w:rPr>
          <w:rStyle w:val="28"/>
          <w:rFonts w:hint="eastAsia" w:ascii="宋体" w:hAnsi="宋体"/>
        </w:rPr>
        <w:t>设备技术规格偏离表，技术响应表</w:t>
      </w:r>
      <w:r>
        <w:tab/>
      </w:r>
      <w:r>
        <w:fldChar w:fldCharType="begin"/>
      </w:r>
      <w:r>
        <w:instrText xml:space="preserve"> PAGEREF _Toc161131016 \h </w:instrText>
      </w:r>
      <w:r>
        <w:fldChar w:fldCharType="separate"/>
      </w:r>
      <w:r>
        <w:t>43</w:t>
      </w:r>
      <w:r>
        <w:fldChar w:fldCharType="end"/>
      </w:r>
      <w:r>
        <w:fldChar w:fldCharType="end"/>
      </w:r>
    </w:p>
    <w:p w14:paraId="04A61B86">
      <w:pPr>
        <w:pStyle w:val="18"/>
        <w:tabs>
          <w:tab w:val="right" w:leader="dot" w:pos="8835"/>
        </w:tabs>
        <w:rPr>
          <w:rFonts w:ascii="Calibri" w:hAnsi="Calibri"/>
          <w:szCs w:val="22"/>
        </w:rPr>
      </w:pPr>
      <w:r>
        <w:fldChar w:fldCharType="begin"/>
      </w:r>
      <w:r>
        <w:instrText xml:space="preserve"> HYPERLINK \l "_Toc161131017" </w:instrText>
      </w:r>
      <w:r>
        <w:fldChar w:fldCharType="separate"/>
      </w:r>
      <w:r>
        <w:rPr>
          <w:rStyle w:val="28"/>
          <w:rFonts w:hint="eastAsia" w:ascii="宋体" w:hAnsi="宋体" w:cs="宋体"/>
          <w:b/>
          <w:kern w:val="0"/>
        </w:rPr>
        <w:t>附件</w:t>
      </w:r>
      <w:r>
        <w:rPr>
          <w:rStyle w:val="28"/>
          <w:rFonts w:ascii="宋体" w:hAnsi="宋体" w:cs="宋体"/>
          <w:b/>
          <w:kern w:val="0"/>
        </w:rPr>
        <w:t>7</w:t>
      </w:r>
      <w:r>
        <w:tab/>
      </w:r>
      <w:r>
        <w:fldChar w:fldCharType="begin"/>
      </w:r>
      <w:r>
        <w:instrText xml:space="preserve"> PAGEREF _Toc161131017 \h </w:instrText>
      </w:r>
      <w:r>
        <w:fldChar w:fldCharType="separate"/>
      </w:r>
      <w:r>
        <w:t>43</w:t>
      </w:r>
      <w:r>
        <w:fldChar w:fldCharType="end"/>
      </w:r>
      <w:r>
        <w:fldChar w:fldCharType="end"/>
      </w:r>
    </w:p>
    <w:p w14:paraId="04A61B87">
      <w:pPr>
        <w:pStyle w:val="19"/>
        <w:tabs>
          <w:tab w:val="right" w:leader="dot" w:pos="8835"/>
        </w:tabs>
        <w:rPr>
          <w:rFonts w:ascii="Calibri" w:hAnsi="Calibri"/>
          <w:szCs w:val="22"/>
        </w:rPr>
      </w:pPr>
      <w:r>
        <w:fldChar w:fldCharType="begin"/>
      </w:r>
      <w:r>
        <w:instrText xml:space="preserve"> HYPERLINK \l "_Toc161131018" </w:instrText>
      </w:r>
      <w:r>
        <w:fldChar w:fldCharType="separate"/>
      </w:r>
      <w:r>
        <w:rPr>
          <w:rStyle w:val="28"/>
          <w:rFonts w:hint="eastAsia" w:ascii="宋体" w:hAnsi="宋体"/>
        </w:rPr>
        <w:t>投标产品技术规格书及产品样本说明</w:t>
      </w:r>
      <w:r>
        <w:tab/>
      </w:r>
      <w:r>
        <w:fldChar w:fldCharType="begin"/>
      </w:r>
      <w:r>
        <w:instrText xml:space="preserve"> PAGEREF _Toc161131018 \h </w:instrText>
      </w:r>
      <w:r>
        <w:fldChar w:fldCharType="separate"/>
      </w:r>
      <w:r>
        <w:t>43</w:t>
      </w:r>
      <w:r>
        <w:fldChar w:fldCharType="end"/>
      </w:r>
      <w:r>
        <w:fldChar w:fldCharType="end"/>
      </w:r>
    </w:p>
    <w:p w14:paraId="04A61B88">
      <w:pPr>
        <w:pStyle w:val="18"/>
        <w:tabs>
          <w:tab w:val="right" w:leader="dot" w:pos="8835"/>
        </w:tabs>
        <w:rPr>
          <w:rFonts w:ascii="Calibri" w:hAnsi="Calibri"/>
          <w:szCs w:val="22"/>
        </w:rPr>
      </w:pPr>
      <w:r>
        <w:fldChar w:fldCharType="begin"/>
      </w:r>
      <w:r>
        <w:instrText xml:space="preserve"> HYPERLINK \l "_Toc161131019" </w:instrText>
      </w:r>
      <w:r>
        <w:fldChar w:fldCharType="separate"/>
      </w:r>
      <w:r>
        <w:rPr>
          <w:rStyle w:val="28"/>
          <w:rFonts w:hint="eastAsia" w:ascii="宋体" w:hAnsi="宋体" w:cs="宋体"/>
          <w:b/>
          <w:kern w:val="0"/>
        </w:rPr>
        <w:t>附件</w:t>
      </w:r>
      <w:r>
        <w:rPr>
          <w:rStyle w:val="28"/>
          <w:rFonts w:ascii="宋体" w:hAnsi="宋体" w:cs="宋体"/>
          <w:b/>
          <w:kern w:val="0"/>
        </w:rPr>
        <w:t>8</w:t>
      </w:r>
      <w:r>
        <w:tab/>
      </w:r>
      <w:r>
        <w:fldChar w:fldCharType="begin"/>
      </w:r>
      <w:r>
        <w:instrText xml:space="preserve"> PAGEREF _Toc161131019 \h </w:instrText>
      </w:r>
      <w:r>
        <w:fldChar w:fldCharType="separate"/>
      </w:r>
      <w:r>
        <w:t>43</w:t>
      </w:r>
      <w:r>
        <w:fldChar w:fldCharType="end"/>
      </w:r>
      <w:r>
        <w:fldChar w:fldCharType="end"/>
      </w:r>
    </w:p>
    <w:p w14:paraId="04A61B89">
      <w:pPr>
        <w:pStyle w:val="19"/>
        <w:tabs>
          <w:tab w:val="right" w:leader="dot" w:pos="8835"/>
        </w:tabs>
        <w:rPr>
          <w:rFonts w:ascii="Calibri" w:hAnsi="Calibri"/>
          <w:szCs w:val="22"/>
        </w:rPr>
      </w:pPr>
      <w:r>
        <w:fldChar w:fldCharType="begin"/>
      </w:r>
      <w:r>
        <w:instrText xml:space="preserve"> HYPERLINK \l "_Toc161131020" </w:instrText>
      </w:r>
      <w:r>
        <w:fldChar w:fldCharType="separate"/>
      </w:r>
      <w:r>
        <w:rPr>
          <w:rStyle w:val="28"/>
          <w:rFonts w:hint="eastAsia" w:ascii="宋体" w:hAnsi="宋体"/>
        </w:rPr>
        <w:t>唛</w:t>
      </w:r>
      <w:r>
        <w:rPr>
          <w:rStyle w:val="28"/>
          <w:rFonts w:ascii="宋体" w:hAnsi="宋体"/>
        </w:rPr>
        <w:t xml:space="preserve">  </w:t>
      </w:r>
      <w:r>
        <w:rPr>
          <w:rStyle w:val="28"/>
          <w:rFonts w:hint="eastAsia" w:ascii="宋体" w:hAnsi="宋体"/>
        </w:rPr>
        <w:t>头</w:t>
      </w:r>
      <w:r>
        <w:tab/>
      </w:r>
      <w:r>
        <w:fldChar w:fldCharType="begin"/>
      </w:r>
      <w:r>
        <w:instrText xml:space="preserve"> PAGEREF _Toc161131020 \h </w:instrText>
      </w:r>
      <w:r>
        <w:fldChar w:fldCharType="separate"/>
      </w:r>
      <w:r>
        <w:t>44</w:t>
      </w:r>
      <w:r>
        <w:fldChar w:fldCharType="end"/>
      </w:r>
      <w:r>
        <w:fldChar w:fldCharType="end"/>
      </w:r>
    </w:p>
    <w:p w14:paraId="04A61B8A">
      <w:r>
        <w:fldChar w:fldCharType="end"/>
      </w:r>
    </w:p>
    <w:p w14:paraId="04A61B8B">
      <w:pPr>
        <w:pStyle w:val="13"/>
        <w:snapToGrid w:val="0"/>
        <w:spacing w:line="360" w:lineRule="exact"/>
        <w:ind w:firstLine="480" w:firstLineChars="200"/>
        <w:rPr>
          <w:rFonts w:hint="eastAsia" w:hAnsi="宋体" w:cs="宋体"/>
          <w:kern w:val="144"/>
          <w:sz w:val="24"/>
          <w:szCs w:val="24"/>
        </w:rPr>
        <w:sectPr>
          <w:footnotePr>
            <w:numRestart w:val="eachPage"/>
          </w:footnotePr>
          <w:endnotePr>
            <w:numRestart w:val="eachSect"/>
          </w:endnotePr>
          <w:pgSz w:w="11907" w:h="16840"/>
          <w:pgMar w:top="1418" w:right="1418" w:bottom="1418" w:left="1644" w:header="851" w:footer="992" w:gutter="0"/>
          <w:pgNumType w:start="1"/>
          <w:cols w:space="720" w:num="1"/>
        </w:sectPr>
      </w:pPr>
    </w:p>
    <w:p w14:paraId="04A61B8C">
      <w:pPr>
        <w:pStyle w:val="5"/>
        <w:numPr>
          <w:ilvl w:val="0"/>
          <w:numId w:val="2"/>
        </w:numPr>
        <w:rPr>
          <w:rFonts w:hint="eastAsia" w:ascii="宋体" w:hAnsi="宋体"/>
          <w:kern w:val="0"/>
          <w:sz w:val="24"/>
          <w:szCs w:val="24"/>
        </w:rPr>
      </w:pPr>
      <w:bookmarkStart w:id="2" w:name="_Toc161130972"/>
      <w:bookmarkStart w:id="3" w:name="_Toc368928469"/>
      <w:bookmarkStart w:id="4" w:name="_Toc441676613"/>
      <w:bookmarkStart w:id="5" w:name="_Toc359873210"/>
      <w:r>
        <w:rPr>
          <w:rFonts w:hint="eastAsia" w:ascii="宋体" w:hAnsi="宋体"/>
          <w:kern w:val="0"/>
          <w:sz w:val="24"/>
          <w:szCs w:val="24"/>
        </w:rPr>
        <w:t>招标公告</w:t>
      </w:r>
      <w:bookmarkEnd w:id="2"/>
      <w:bookmarkEnd w:id="3"/>
      <w:bookmarkEnd w:id="4"/>
      <w:bookmarkEnd w:id="5"/>
    </w:p>
    <w:p w14:paraId="04A61B8D">
      <w:pPr>
        <w:snapToGrid w:val="0"/>
        <w:spacing w:line="320" w:lineRule="exact"/>
        <w:ind w:firstLine="480" w:firstLineChars="200"/>
        <w:rPr>
          <w:rFonts w:hint="eastAsia" w:ascii="宋体" w:hAnsi="宋体" w:cs="宋体"/>
          <w:kern w:val="144"/>
          <w:sz w:val="24"/>
          <w:szCs w:val="24"/>
        </w:rPr>
      </w:pPr>
      <w:r>
        <w:rPr>
          <w:rFonts w:hint="eastAsia" w:ascii="宋体" w:hAnsi="宋体"/>
          <w:sz w:val="24"/>
          <w:szCs w:val="24"/>
        </w:rPr>
        <w:t xml:space="preserve">  </w:t>
      </w:r>
      <w:r>
        <w:rPr>
          <w:rFonts w:hint="eastAsia" w:ascii="宋体" w:hAnsi="宋体" w:cs="宋体"/>
          <w:kern w:val="144"/>
          <w:sz w:val="24"/>
          <w:szCs w:val="24"/>
        </w:rPr>
        <w:t>浙江巨化化工材料有限公司受浙江晋巨化工有限公司（硫酸厂）的委托，就其科创项目</w:t>
      </w:r>
      <w:r>
        <w:rPr>
          <w:rFonts w:ascii="宋体" w:hAnsi="宋体" w:cs="宋体"/>
          <w:kern w:val="144"/>
          <w:sz w:val="24"/>
          <w:szCs w:val="24"/>
        </w:rPr>
        <w:t>所需</w:t>
      </w:r>
      <w:r>
        <w:rPr>
          <w:rFonts w:hint="eastAsia" w:ascii="宋体" w:hAnsi="宋体" w:cs="宋体"/>
          <w:kern w:val="144"/>
          <w:sz w:val="24"/>
          <w:szCs w:val="24"/>
        </w:rPr>
        <w:t>在线分析仪表</w:t>
      </w:r>
      <w:r>
        <w:rPr>
          <w:rFonts w:ascii="宋体" w:hAnsi="宋体" w:cs="宋体"/>
          <w:kern w:val="144"/>
          <w:sz w:val="24"/>
          <w:szCs w:val="24"/>
        </w:rPr>
        <w:t>进行</w:t>
      </w:r>
      <w:r>
        <w:rPr>
          <w:rFonts w:hint="eastAsia" w:ascii="宋体" w:hAnsi="宋体" w:cs="宋体"/>
          <w:kern w:val="144"/>
          <w:sz w:val="24"/>
          <w:szCs w:val="24"/>
        </w:rPr>
        <w:t>国内</w:t>
      </w:r>
      <w:r>
        <w:rPr>
          <w:rFonts w:ascii="宋体" w:hAnsi="宋体" w:cs="宋体"/>
          <w:kern w:val="144"/>
          <w:sz w:val="24"/>
          <w:szCs w:val="24"/>
        </w:rPr>
        <w:t>公开招标，</w:t>
      </w:r>
      <w:r>
        <w:rPr>
          <w:rFonts w:hint="eastAsia" w:ascii="宋体" w:hAnsi="宋体" w:cs="宋体"/>
          <w:kern w:val="144"/>
          <w:sz w:val="24"/>
          <w:szCs w:val="24"/>
        </w:rPr>
        <w:t>现将有关事宜公告如下：</w:t>
      </w:r>
    </w:p>
    <w:p w14:paraId="04A61B8E">
      <w:pPr>
        <w:rPr>
          <w:kern w:val="144"/>
        </w:rPr>
      </w:pPr>
      <w:r>
        <w:rPr>
          <w:rFonts w:hint="eastAsia" w:ascii="宋体" w:hAnsi="宋体" w:cs="宋体"/>
          <w:b/>
          <w:kern w:val="144"/>
          <w:sz w:val="24"/>
          <w:szCs w:val="24"/>
        </w:rPr>
        <w:t>1、招标编号：</w:t>
      </w:r>
      <w:r>
        <w:rPr>
          <w:rFonts w:hint="eastAsia"/>
          <w:kern w:val="144"/>
        </w:rPr>
        <w:t xml:space="preserve">           </w:t>
      </w:r>
    </w:p>
    <w:p w14:paraId="04A61B8F">
      <w:pPr>
        <w:snapToGrid w:val="0"/>
        <w:spacing w:line="320" w:lineRule="exact"/>
        <w:rPr>
          <w:rFonts w:hint="eastAsia" w:ascii="宋体" w:hAnsi="宋体" w:cs="宋体"/>
          <w:kern w:val="144"/>
          <w:sz w:val="24"/>
          <w:szCs w:val="24"/>
        </w:rPr>
      </w:pPr>
      <w:r>
        <w:rPr>
          <w:rFonts w:hint="eastAsia" w:ascii="宋体" w:hAnsi="宋体" w:cs="宋体"/>
          <w:b/>
          <w:kern w:val="144"/>
          <w:sz w:val="24"/>
          <w:szCs w:val="24"/>
        </w:rPr>
        <w:t>2、招标内容</w:t>
      </w:r>
      <w:r>
        <w:rPr>
          <w:rFonts w:hint="eastAsia" w:ascii="宋体" w:hAnsi="宋体" w:cs="宋体"/>
          <w:kern w:val="144"/>
          <w:sz w:val="24"/>
          <w:szCs w:val="24"/>
        </w:rPr>
        <w:t>：详见招标文件</w:t>
      </w:r>
    </w:p>
    <w:p w14:paraId="04A61B90">
      <w:pPr>
        <w:snapToGrid w:val="0"/>
        <w:spacing w:line="360" w:lineRule="auto"/>
        <w:rPr>
          <w:sz w:val="24"/>
          <w:szCs w:val="24"/>
        </w:rPr>
      </w:pPr>
      <w:r>
        <w:rPr>
          <w:rFonts w:hint="eastAsia"/>
          <w:sz w:val="24"/>
          <w:szCs w:val="24"/>
        </w:rPr>
        <w:t xml:space="preserve">  在线分析仪一批</w:t>
      </w:r>
    </w:p>
    <w:p w14:paraId="04A61B91">
      <w:pPr>
        <w:snapToGrid w:val="0"/>
        <w:spacing w:line="360" w:lineRule="auto"/>
        <w:rPr>
          <w:b/>
        </w:rPr>
      </w:pPr>
      <w:r>
        <w:rPr>
          <w:rFonts w:hint="eastAsia"/>
          <w:sz w:val="24"/>
          <w:szCs w:val="24"/>
        </w:rPr>
        <w:t>3、</w:t>
      </w:r>
      <w:r>
        <w:rPr>
          <w:rFonts w:hint="eastAsia"/>
          <w:b/>
        </w:rPr>
        <w:t>投标人资格要求：</w:t>
      </w:r>
    </w:p>
    <w:p w14:paraId="04A61B92">
      <w:pPr>
        <w:snapToGrid w:val="0"/>
        <w:spacing w:line="360" w:lineRule="auto"/>
        <w:ind w:firstLine="369" w:firstLineChars="176"/>
        <w:rPr>
          <w:b/>
        </w:rPr>
      </w:pPr>
      <w:r>
        <w:rPr>
          <w:rFonts w:hint="eastAsia"/>
          <w:b/>
        </w:rPr>
        <w:t>1.基本资格要求：</w:t>
      </w:r>
    </w:p>
    <w:p w14:paraId="04A61B93">
      <w:pPr>
        <w:snapToGrid w:val="0"/>
        <w:spacing w:line="360" w:lineRule="auto"/>
        <w:ind w:firstLine="422" w:firstLineChars="176"/>
        <w:rPr>
          <w:rFonts w:hint="eastAsia" w:ascii="宋体" w:hAnsi="宋体" w:cs="宋体"/>
          <w:kern w:val="144"/>
          <w:sz w:val="24"/>
          <w:szCs w:val="24"/>
        </w:rPr>
      </w:pPr>
      <w:r>
        <w:rPr>
          <w:rFonts w:hint="eastAsia" w:ascii="宋体" w:hAnsi="宋体" w:cs="宋体"/>
          <w:kern w:val="144"/>
          <w:sz w:val="24"/>
          <w:szCs w:val="24"/>
        </w:rPr>
        <w:t>1.1投标人未被“信用中国”（www.creditchina.gov.cn)列入失信被执行人、重大税收违法案件当事人名单。</w:t>
      </w:r>
    </w:p>
    <w:p w14:paraId="04A61B94">
      <w:pPr>
        <w:snapToGrid w:val="0"/>
        <w:spacing w:line="360" w:lineRule="auto"/>
        <w:ind w:firstLine="422" w:firstLineChars="176"/>
        <w:rPr>
          <w:rFonts w:hint="eastAsia" w:ascii="宋体" w:hAnsi="宋体" w:cs="宋体"/>
          <w:kern w:val="144"/>
          <w:sz w:val="24"/>
          <w:szCs w:val="24"/>
        </w:rPr>
      </w:pPr>
      <w:r>
        <w:rPr>
          <w:rFonts w:hint="eastAsia" w:ascii="宋体" w:hAnsi="宋体" w:cs="宋体"/>
          <w:kern w:val="144"/>
          <w:sz w:val="24"/>
          <w:szCs w:val="24"/>
        </w:rPr>
        <w:t>1.2单位负责人为同一人或者存在控股、管理关系的不同单位，存在关联关系的不同单位，不得参加同一标项投标。</w:t>
      </w:r>
    </w:p>
    <w:p w14:paraId="04A61B95">
      <w:pPr>
        <w:widowControl/>
        <w:spacing w:line="360" w:lineRule="exact"/>
        <w:ind w:firstLine="240" w:firstLineChars="100"/>
        <w:jc w:val="left"/>
        <w:rPr>
          <w:rFonts w:hint="eastAsia" w:ascii="宋体" w:hAnsi="宋体" w:cs="宋体"/>
          <w:kern w:val="144"/>
          <w:sz w:val="24"/>
          <w:szCs w:val="24"/>
        </w:rPr>
      </w:pPr>
      <w:r>
        <w:rPr>
          <w:rFonts w:hint="eastAsia" w:ascii="宋体" w:hAnsi="宋体" w:cs="宋体"/>
          <w:kern w:val="144"/>
          <w:sz w:val="24"/>
          <w:szCs w:val="24"/>
        </w:rPr>
        <w:t xml:space="preserve">2. </w:t>
      </w:r>
      <w:r>
        <w:rPr>
          <w:rFonts w:hint="eastAsia" w:ascii="宋体" w:hAnsi="宋体" w:cs="宋体"/>
          <w:b/>
          <w:kern w:val="144"/>
          <w:sz w:val="24"/>
          <w:szCs w:val="24"/>
        </w:rPr>
        <w:t>特定资格要求：</w:t>
      </w:r>
      <w:r>
        <w:rPr>
          <w:rFonts w:hint="eastAsia" w:ascii="宋体" w:hAnsi="宋体" w:cs="宋体"/>
          <w:kern w:val="144"/>
          <w:sz w:val="24"/>
          <w:szCs w:val="24"/>
        </w:rPr>
        <w:t xml:space="preserve"> </w:t>
      </w:r>
    </w:p>
    <w:p w14:paraId="04A61B96">
      <w:pPr>
        <w:snapToGrid w:val="0"/>
        <w:spacing w:line="360" w:lineRule="auto"/>
        <w:ind w:firstLine="480" w:firstLineChars="200"/>
        <w:rPr>
          <w:rFonts w:hint="eastAsia" w:ascii="宋体" w:hAnsi="宋体"/>
          <w:sz w:val="24"/>
          <w:szCs w:val="24"/>
        </w:rPr>
      </w:pPr>
      <w:r>
        <w:rPr>
          <w:rFonts w:hint="eastAsia" w:ascii="宋体" w:hAnsi="宋体" w:cs="宋体"/>
          <w:kern w:val="144"/>
          <w:sz w:val="24"/>
          <w:szCs w:val="24"/>
        </w:rPr>
        <w:t>提供的在线色谱分析仪分析主机要求为原装进口（原装进口：</w:t>
      </w:r>
      <w:r>
        <w:rPr>
          <w:rFonts w:hint="eastAsia" w:ascii="宋体" w:hAnsi="宋体"/>
          <w:sz w:val="24"/>
          <w:szCs w:val="24"/>
        </w:rPr>
        <w:t>原装进口是指从原产国进口到国内且未经过加工与分装提供对应报关单</w:t>
      </w:r>
      <w:r>
        <w:rPr>
          <w:rFonts w:hint="eastAsia" w:ascii="宋体" w:hAnsi="宋体" w:cs="宋体"/>
          <w:kern w:val="144"/>
          <w:sz w:val="24"/>
          <w:szCs w:val="24"/>
        </w:rPr>
        <w:t>）2022-至今</w:t>
      </w:r>
      <w:r>
        <w:rPr>
          <w:rFonts w:hint="eastAsia" w:ascii="宋体" w:hAnsi="宋体"/>
          <w:sz w:val="24"/>
          <w:szCs w:val="24"/>
        </w:rPr>
        <w:t>具备在合成氨装置的较好的应用业绩一份。（提供合同复印件，原件备查。合同不能体现规模的，须出具业主证明）</w:t>
      </w:r>
    </w:p>
    <w:p w14:paraId="04A61B97">
      <w:pPr>
        <w:snapToGrid w:val="0"/>
        <w:spacing w:line="360" w:lineRule="auto"/>
        <w:ind w:firstLine="480" w:firstLineChars="200"/>
        <w:rPr>
          <w:rFonts w:hint="eastAsia" w:ascii="宋体" w:hAnsi="宋体" w:cs="宋体"/>
          <w:kern w:val="144"/>
          <w:sz w:val="24"/>
          <w:szCs w:val="24"/>
        </w:rPr>
      </w:pPr>
      <w:r>
        <w:rPr>
          <w:rFonts w:hint="eastAsia" w:ascii="宋体" w:hAnsi="宋体" w:cs="宋体"/>
          <w:kern w:val="144"/>
          <w:sz w:val="24"/>
          <w:szCs w:val="24"/>
        </w:rPr>
        <w:t>4、</w:t>
      </w:r>
      <w:r>
        <w:rPr>
          <w:rFonts w:hint="eastAsia" w:ascii="宋体" w:hAnsi="宋体" w:cs="宋体"/>
          <w:b/>
          <w:kern w:val="144"/>
          <w:sz w:val="24"/>
          <w:szCs w:val="24"/>
        </w:rPr>
        <w:t>获取采购文件的时间</w:t>
      </w:r>
      <w:r>
        <w:rPr>
          <w:rFonts w:hint="eastAsia" w:ascii="宋体" w:hAnsi="宋体" w:cs="宋体"/>
          <w:kern w:val="144"/>
          <w:sz w:val="24"/>
          <w:szCs w:val="24"/>
        </w:rPr>
        <w:t>：招标公告发出之日起至投标截止时间。</w:t>
      </w:r>
    </w:p>
    <w:p w14:paraId="04A61B98">
      <w:pPr>
        <w:snapToGrid w:val="0"/>
        <w:spacing w:line="360" w:lineRule="auto"/>
        <w:rPr>
          <w:rFonts w:hint="eastAsia" w:ascii="宋体" w:hAnsi="宋体" w:cs="宋体"/>
          <w:kern w:val="144"/>
          <w:sz w:val="24"/>
          <w:szCs w:val="24"/>
        </w:rPr>
      </w:pPr>
      <w:r>
        <w:rPr>
          <w:rFonts w:hint="eastAsia" w:ascii="宋体" w:hAnsi="宋体" w:cs="宋体"/>
          <w:kern w:val="144"/>
          <w:sz w:val="24"/>
          <w:szCs w:val="24"/>
        </w:rPr>
        <w:t>5、</w:t>
      </w:r>
      <w:r>
        <w:rPr>
          <w:rFonts w:hint="eastAsia" w:ascii="宋体" w:hAnsi="宋体" w:cs="宋体"/>
          <w:b/>
          <w:kern w:val="144"/>
          <w:sz w:val="24"/>
          <w:szCs w:val="24"/>
        </w:rPr>
        <w:t>获取采购文件的方式：</w:t>
      </w:r>
    </w:p>
    <w:p w14:paraId="04A61B99">
      <w:pPr>
        <w:snapToGrid w:val="0"/>
        <w:spacing w:line="360" w:lineRule="auto"/>
        <w:ind w:firstLine="422" w:firstLineChars="176"/>
        <w:rPr>
          <w:rFonts w:hint="eastAsia" w:ascii="宋体" w:hAnsi="宋体" w:cs="宋体"/>
          <w:kern w:val="144"/>
          <w:sz w:val="24"/>
          <w:szCs w:val="24"/>
        </w:rPr>
      </w:pPr>
      <w:r>
        <w:rPr>
          <w:rFonts w:hint="eastAsia" w:ascii="宋体" w:hAnsi="宋体" w:cs="宋体"/>
          <w:kern w:val="144"/>
          <w:sz w:val="24"/>
          <w:szCs w:val="24"/>
        </w:rPr>
        <w:t>1.在巨化数字化招采平台（</w:t>
      </w:r>
      <w:r>
        <w:rPr>
          <w:rFonts w:ascii="宋体" w:hAnsi="宋体" w:cs="宋体"/>
          <w:kern w:val="144"/>
          <w:sz w:val="24"/>
          <w:szCs w:val="24"/>
        </w:rPr>
        <w:t>juhua.ccccnet.com</w:t>
      </w:r>
      <w:r>
        <w:rPr>
          <w:rFonts w:hint="eastAsia" w:ascii="宋体" w:hAnsi="宋体" w:cs="宋体"/>
          <w:kern w:val="144"/>
          <w:sz w:val="24"/>
          <w:szCs w:val="24"/>
        </w:rPr>
        <w:t>）“招标项目信息”栏的本项目招标公告附件中查看。</w:t>
      </w:r>
    </w:p>
    <w:p w14:paraId="04A61B9A">
      <w:pPr>
        <w:snapToGrid w:val="0"/>
        <w:spacing w:line="360" w:lineRule="auto"/>
        <w:ind w:firstLine="422" w:firstLineChars="176"/>
        <w:rPr>
          <w:rFonts w:hint="eastAsia" w:ascii="宋体" w:hAnsi="宋体" w:cs="宋体"/>
          <w:kern w:val="144"/>
          <w:sz w:val="24"/>
          <w:szCs w:val="24"/>
        </w:rPr>
      </w:pPr>
      <w:r>
        <w:rPr>
          <w:rFonts w:hint="eastAsia" w:ascii="宋体" w:hAnsi="宋体" w:cs="宋体"/>
          <w:kern w:val="144"/>
          <w:sz w:val="24"/>
          <w:szCs w:val="24"/>
        </w:rPr>
        <w:t>2.如有意向参加投标，投标人需在巨化数字化招采平台注册、登录并报名。报名方式：登录巨化数字化招采平台后选择“供应商门户”-“招标公告”选择本项目招标公告的“查看”，在 “②投标”选择“公开报名”-“报名”。递交电子投标文件前还需申领“CA专用数字证书（天谷）”，投标人应充分考虑完成注册、申领数字证书等所需的时间。注册、投标等相关操作方法详见“电子投标供应商操作手册”，获取方式：巨化数字化招采平台首页-“下载中心”-“供应商操作手册（招标）”。</w:t>
      </w:r>
    </w:p>
    <w:p w14:paraId="04A61B9B">
      <w:pPr>
        <w:snapToGrid w:val="0"/>
        <w:spacing w:line="360" w:lineRule="auto"/>
        <w:rPr>
          <w:rFonts w:hint="eastAsia" w:ascii="宋体" w:hAnsi="宋体" w:cs="宋体"/>
          <w:kern w:val="144"/>
          <w:sz w:val="24"/>
          <w:szCs w:val="24"/>
        </w:rPr>
      </w:pPr>
      <w:r>
        <w:rPr>
          <w:rFonts w:hint="eastAsia" w:ascii="宋体" w:hAnsi="宋体" w:cs="宋体"/>
          <w:kern w:val="144"/>
          <w:sz w:val="24"/>
          <w:szCs w:val="24"/>
        </w:rPr>
        <w:t>6、递交投标文件的截止时间和开标时间：2025年11月6日9时</w:t>
      </w:r>
    </w:p>
    <w:p w14:paraId="04A61B9C">
      <w:pPr>
        <w:snapToGrid w:val="0"/>
        <w:spacing w:line="360" w:lineRule="auto"/>
        <w:rPr>
          <w:rFonts w:hint="eastAsia" w:ascii="宋体" w:hAnsi="宋体" w:cs="宋体"/>
          <w:kern w:val="144"/>
          <w:sz w:val="24"/>
          <w:szCs w:val="24"/>
        </w:rPr>
      </w:pPr>
      <w:r>
        <w:rPr>
          <w:rFonts w:hint="eastAsia" w:ascii="宋体" w:hAnsi="宋体" w:cs="宋体"/>
          <w:kern w:val="144"/>
          <w:sz w:val="24"/>
          <w:szCs w:val="24"/>
        </w:rPr>
        <w:t xml:space="preserve">7、递交投标文件的方式： </w:t>
      </w:r>
    </w:p>
    <w:p w14:paraId="04A61B9D">
      <w:pPr>
        <w:snapToGrid w:val="0"/>
        <w:spacing w:line="360" w:lineRule="auto"/>
        <w:rPr>
          <w:rFonts w:hint="eastAsia" w:ascii="宋体" w:hAnsi="宋体" w:cs="宋体"/>
          <w:kern w:val="144"/>
          <w:sz w:val="24"/>
          <w:szCs w:val="24"/>
        </w:rPr>
      </w:pPr>
      <w:r>
        <w:rPr>
          <w:rFonts w:hint="eastAsia" w:ascii="宋体" w:hAnsi="宋体" w:cs="宋体"/>
          <w:kern w:val="144"/>
          <w:sz w:val="24"/>
          <w:szCs w:val="24"/>
        </w:rPr>
        <w:t>7.1 本项目采用网上投标不见面开标形式。</w:t>
      </w:r>
    </w:p>
    <w:p w14:paraId="04A61B9E">
      <w:pPr>
        <w:snapToGrid w:val="0"/>
        <w:spacing w:line="360" w:lineRule="auto"/>
        <w:rPr>
          <w:rFonts w:hint="eastAsia" w:ascii="宋体" w:hAnsi="宋体" w:cs="宋体"/>
          <w:kern w:val="144"/>
          <w:sz w:val="24"/>
          <w:szCs w:val="24"/>
        </w:rPr>
      </w:pPr>
      <w:r>
        <w:rPr>
          <w:rFonts w:hint="eastAsia" w:ascii="宋体" w:hAnsi="宋体" w:cs="宋体"/>
          <w:kern w:val="144"/>
          <w:sz w:val="24"/>
          <w:szCs w:val="24"/>
        </w:rPr>
        <w:t>7.2投标文件制作工具制作生成的加密电子投标文件在投标截止时间前（以上传完成时间为准）上传至巨化数字化招采平台（http:// https://juhua.ccccnet.com）。</w:t>
      </w:r>
    </w:p>
    <w:p w14:paraId="04A61B9F">
      <w:pPr>
        <w:spacing w:line="360" w:lineRule="exact"/>
        <w:rPr>
          <w:rFonts w:hint="eastAsia" w:ascii="宋体" w:hAnsi="宋体" w:cs="宋体"/>
          <w:kern w:val="144"/>
          <w:sz w:val="24"/>
          <w:szCs w:val="24"/>
        </w:rPr>
      </w:pPr>
      <w:r>
        <w:rPr>
          <w:rFonts w:hint="eastAsia" w:ascii="宋体" w:hAnsi="宋体" w:cs="宋体"/>
          <w:kern w:val="144"/>
          <w:sz w:val="24"/>
          <w:szCs w:val="24"/>
        </w:rPr>
        <w:t>9、其他补充事项：电子交易平台如有其他要求的，应遵循电子交易平台要求。</w:t>
      </w:r>
    </w:p>
    <w:p w14:paraId="04A61BA0">
      <w:pPr>
        <w:spacing w:line="360" w:lineRule="exact"/>
        <w:rPr>
          <w:rFonts w:hint="eastAsia" w:ascii="宋体" w:hAnsi="宋体" w:cs="宋体"/>
          <w:kern w:val="144"/>
          <w:sz w:val="24"/>
          <w:szCs w:val="24"/>
        </w:rPr>
      </w:pPr>
      <w:r>
        <w:rPr>
          <w:rFonts w:hint="eastAsia" w:ascii="宋体" w:hAnsi="宋体" w:cs="宋体"/>
          <w:kern w:val="144"/>
          <w:sz w:val="24"/>
          <w:szCs w:val="24"/>
        </w:rPr>
        <w:t>10、标书每套收成本费300元，售后不退。标书获取方式详见招标公告。</w:t>
      </w:r>
    </w:p>
    <w:p w14:paraId="04A61BA1">
      <w:pPr>
        <w:snapToGrid w:val="0"/>
        <w:spacing w:line="360" w:lineRule="auto"/>
        <w:rPr>
          <w:rFonts w:hint="eastAsia" w:ascii="宋体" w:hAnsi="宋体" w:cs="宋体"/>
          <w:kern w:val="144"/>
          <w:sz w:val="24"/>
          <w:szCs w:val="24"/>
        </w:rPr>
      </w:pPr>
      <w:r>
        <w:rPr>
          <w:rFonts w:hint="eastAsia" w:ascii="宋体" w:hAnsi="宋体" w:cs="宋体"/>
          <w:kern w:val="144"/>
          <w:sz w:val="24"/>
          <w:szCs w:val="24"/>
        </w:rPr>
        <w:t>11、联系方式：</w:t>
      </w:r>
    </w:p>
    <w:p w14:paraId="04A61BA2">
      <w:pPr>
        <w:snapToGrid w:val="0"/>
        <w:spacing w:line="360" w:lineRule="auto"/>
        <w:rPr>
          <w:rFonts w:hint="eastAsia" w:ascii="宋体" w:hAnsi="宋体" w:cs="宋体"/>
          <w:kern w:val="144"/>
          <w:sz w:val="24"/>
          <w:szCs w:val="24"/>
        </w:rPr>
      </w:pPr>
      <w:r>
        <w:rPr>
          <w:rFonts w:hint="eastAsia" w:ascii="宋体" w:hAnsi="宋体" w:cs="宋体"/>
          <w:kern w:val="144"/>
          <w:sz w:val="24"/>
          <w:szCs w:val="24"/>
        </w:rPr>
        <w:t>招标人：浙江晋巨化工有限公司（硫酸厂）</w:t>
      </w:r>
    </w:p>
    <w:p w14:paraId="04A61BA3">
      <w:pPr>
        <w:snapToGrid w:val="0"/>
        <w:spacing w:line="320" w:lineRule="exact"/>
        <w:rPr>
          <w:rFonts w:hint="eastAsia" w:ascii="宋体" w:hAnsi="宋体" w:cs="宋体"/>
          <w:kern w:val="144"/>
          <w:sz w:val="24"/>
          <w:szCs w:val="24"/>
        </w:rPr>
      </w:pPr>
      <w:r>
        <w:rPr>
          <w:rFonts w:hint="eastAsia" w:ascii="宋体" w:hAnsi="宋体" w:cs="宋体"/>
          <w:kern w:val="144"/>
          <w:sz w:val="24"/>
          <w:szCs w:val="24"/>
        </w:rPr>
        <w:t>招标代理机构：巨化集团有限公司物资装备分公司</w:t>
      </w:r>
    </w:p>
    <w:p w14:paraId="04A61BA4">
      <w:pPr>
        <w:snapToGrid w:val="0"/>
        <w:spacing w:line="360" w:lineRule="auto"/>
        <w:rPr>
          <w:rFonts w:hint="eastAsia" w:ascii="宋体" w:hAnsi="宋体" w:cs="宋体"/>
          <w:kern w:val="144"/>
          <w:sz w:val="24"/>
          <w:szCs w:val="24"/>
        </w:rPr>
      </w:pPr>
      <w:r>
        <w:rPr>
          <w:rFonts w:hint="eastAsia" w:ascii="宋体" w:hAnsi="宋体" w:cs="宋体"/>
          <w:kern w:val="144"/>
          <w:sz w:val="24"/>
          <w:szCs w:val="24"/>
        </w:rPr>
        <w:t>联系人：郑启威      联系电话：0570-3092783  15057055408</w:t>
      </w:r>
    </w:p>
    <w:p w14:paraId="04A61BA5">
      <w:pPr>
        <w:snapToGrid w:val="0"/>
        <w:spacing w:line="360" w:lineRule="auto"/>
        <w:rPr>
          <w:rFonts w:hint="eastAsia" w:ascii="宋体" w:hAnsi="宋体" w:cs="宋体"/>
          <w:kern w:val="144"/>
          <w:sz w:val="24"/>
          <w:szCs w:val="24"/>
        </w:rPr>
      </w:pPr>
      <w:r>
        <w:rPr>
          <w:rFonts w:hint="eastAsia" w:ascii="宋体" w:hAnsi="宋体" w:cs="宋体"/>
          <w:kern w:val="144"/>
          <w:sz w:val="24"/>
          <w:szCs w:val="24"/>
        </w:rPr>
        <w:t xml:space="preserve"> 电子邮箱：zqw656446889@126.com</w:t>
      </w:r>
    </w:p>
    <w:p w14:paraId="04A61BA6">
      <w:pPr>
        <w:snapToGrid w:val="0"/>
        <w:spacing w:line="360" w:lineRule="auto"/>
        <w:rPr>
          <w:rFonts w:hint="eastAsia" w:ascii="宋体" w:hAnsi="宋体" w:cs="宋体"/>
          <w:kern w:val="144"/>
          <w:sz w:val="24"/>
          <w:szCs w:val="24"/>
        </w:rPr>
      </w:pPr>
      <w:r>
        <w:rPr>
          <w:rFonts w:hint="eastAsia" w:ascii="宋体" w:hAnsi="宋体" w:cs="宋体"/>
          <w:kern w:val="144"/>
          <w:sz w:val="24"/>
          <w:szCs w:val="24"/>
        </w:rPr>
        <w:t>地址：浙江省衢州市巨化集团公司北道口</w:t>
      </w:r>
    </w:p>
    <w:p w14:paraId="04A61BA7">
      <w:pPr>
        <w:snapToGrid w:val="0"/>
        <w:spacing w:line="360" w:lineRule="auto"/>
        <w:rPr>
          <w:rFonts w:hint="eastAsia" w:ascii="宋体" w:hAnsi="宋体" w:cs="宋体"/>
          <w:kern w:val="144"/>
          <w:sz w:val="24"/>
          <w:szCs w:val="24"/>
        </w:rPr>
      </w:pPr>
      <w:r>
        <w:rPr>
          <w:rFonts w:hint="eastAsia" w:ascii="宋体" w:hAnsi="宋体" w:cs="宋体"/>
          <w:kern w:val="144"/>
          <w:sz w:val="24"/>
          <w:szCs w:val="24"/>
        </w:rPr>
        <w:t>开户行：中国建设银行衢州衢化支行</w:t>
      </w:r>
    </w:p>
    <w:p w14:paraId="04A61BA8">
      <w:pPr>
        <w:snapToGrid w:val="0"/>
        <w:spacing w:line="360" w:lineRule="auto"/>
        <w:rPr>
          <w:rFonts w:hint="eastAsia" w:ascii="宋体" w:hAnsi="宋体" w:cs="宋体"/>
          <w:kern w:val="144"/>
          <w:sz w:val="24"/>
          <w:szCs w:val="24"/>
        </w:rPr>
      </w:pPr>
      <w:r>
        <w:rPr>
          <w:rFonts w:hint="eastAsia" w:ascii="宋体" w:hAnsi="宋体" w:cs="宋体"/>
          <w:kern w:val="144"/>
          <w:sz w:val="24"/>
          <w:szCs w:val="24"/>
        </w:rPr>
        <w:t xml:space="preserve">帐号：33001685200050002606                                          </w:t>
      </w:r>
    </w:p>
    <w:p w14:paraId="04A61BA9">
      <w:pPr>
        <w:snapToGrid w:val="0"/>
        <w:spacing w:line="320" w:lineRule="exact"/>
        <w:ind w:firstLine="480" w:firstLineChars="200"/>
        <w:rPr>
          <w:rFonts w:hint="eastAsia" w:ascii="宋体" w:hAnsi="宋体" w:cs="宋体"/>
          <w:kern w:val="144"/>
          <w:sz w:val="24"/>
          <w:szCs w:val="24"/>
        </w:rPr>
      </w:pPr>
      <w:r>
        <w:rPr>
          <w:rFonts w:hint="eastAsia" w:ascii="宋体" w:hAnsi="宋体" w:cs="宋体"/>
          <w:kern w:val="144"/>
          <w:sz w:val="24"/>
          <w:szCs w:val="24"/>
        </w:rPr>
        <w:t xml:space="preserve">                                        </w:t>
      </w:r>
    </w:p>
    <w:p w14:paraId="04A61BAA">
      <w:pPr>
        <w:snapToGrid w:val="0"/>
        <w:spacing w:line="320" w:lineRule="exact"/>
        <w:ind w:firstLine="3600" w:firstLineChars="1500"/>
        <w:rPr>
          <w:rFonts w:hint="eastAsia" w:ascii="宋体" w:hAnsi="宋体" w:cs="宋体"/>
          <w:kern w:val="144"/>
          <w:sz w:val="24"/>
          <w:szCs w:val="24"/>
        </w:rPr>
      </w:pPr>
    </w:p>
    <w:p w14:paraId="04A61BAB">
      <w:pPr>
        <w:snapToGrid w:val="0"/>
        <w:spacing w:line="320" w:lineRule="exact"/>
        <w:ind w:firstLine="3600" w:firstLineChars="1500"/>
        <w:rPr>
          <w:rFonts w:hint="eastAsia" w:ascii="宋体" w:hAnsi="宋体" w:cs="宋体"/>
          <w:kern w:val="144"/>
          <w:sz w:val="24"/>
          <w:szCs w:val="24"/>
        </w:rPr>
      </w:pPr>
    </w:p>
    <w:p w14:paraId="04A61BAC">
      <w:pPr>
        <w:snapToGrid w:val="0"/>
        <w:spacing w:line="320" w:lineRule="exact"/>
        <w:ind w:firstLine="4440" w:firstLineChars="1850"/>
        <w:rPr>
          <w:rFonts w:hint="eastAsia" w:ascii="宋体" w:hAnsi="宋体" w:cs="宋体"/>
          <w:kern w:val="144"/>
          <w:sz w:val="24"/>
          <w:szCs w:val="24"/>
        </w:rPr>
      </w:pPr>
      <w:r>
        <w:rPr>
          <w:rFonts w:hint="eastAsia" w:ascii="宋体" w:hAnsi="宋体" w:cs="宋体"/>
          <w:kern w:val="144"/>
          <w:sz w:val="24"/>
          <w:szCs w:val="24"/>
        </w:rPr>
        <w:t>浙江晋巨化工有限公司</w:t>
      </w:r>
    </w:p>
    <w:p w14:paraId="04A61BAD">
      <w:pPr>
        <w:snapToGrid w:val="0"/>
        <w:spacing w:line="320" w:lineRule="exact"/>
        <w:ind w:firstLine="4440" w:firstLineChars="1850"/>
        <w:rPr>
          <w:rFonts w:hint="eastAsia" w:ascii="宋体" w:hAnsi="宋体" w:cs="宋体"/>
          <w:kern w:val="144"/>
          <w:sz w:val="24"/>
          <w:szCs w:val="24"/>
        </w:rPr>
      </w:pPr>
      <w:r>
        <w:rPr>
          <w:rFonts w:hint="eastAsia" w:ascii="宋体" w:hAnsi="宋体" w:cs="宋体"/>
          <w:kern w:val="144"/>
          <w:sz w:val="24"/>
          <w:szCs w:val="24"/>
        </w:rPr>
        <w:t xml:space="preserve">浙江巨化股份有限公司硫酸厂 </w:t>
      </w:r>
    </w:p>
    <w:p w14:paraId="04A61BAE">
      <w:pPr>
        <w:snapToGrid w:val="0"/>
        <w:spacing w:line="320" w:lineRule="exact"/>
        <w:ind w:firstLine="4440" w:firstLineChars="1850"/>
        <w:rPr>
          <w:rFonts w:hint="eastAsia" w:ascii="宋体" w:hAnsi="宋体" w:cs="宋体"/>
          <w:kern w:val="144"/>
          <w:sz w:val="24"/>
          <w:szCs w:val="24"/>
        </w:rPr>
      </w:pPr>
      <w:r>
        <w:rPr>
          <w:rFonts w:hint="eastAsia" w:ascii="宋体" w:hAnsi="宋体" w:cs="宋体"/>
          <w:kern w:val="144"/>
          <w:sz w:val="24"/>
          <w:szCs w:val="24"/>
        </w:rPr>
        <w:t>浙江巨化化工材料有限公司</w:t>
      </w:r>
    </w:p>
    <w:p w14:paraId="04A61BAF">
      <w:pPr>
        <w:snapToGrid w:val="0"/>
        <w:spacing w:line="320" w:lineRule="exact"/>
        <w:ind w:firstLine="480" w:firstLineChars="200"/>
        <w:rPr>
          <w:rFonts w:hint="eastAsia" w:ascii="宋体" w:hAnsi="宋体" w:cs="宋体"/>
          <w:kern w:val="144"/>
          <w:sz w:val="24"/>
          <w:szCs w:val="24"/>
        </w:rPr>
      </w:pPr>
      <w:r>
        <w:rPr>
          <w:rFonts w:hint="eastAsia" w:ascii="宋体" w:hAnsi="宋体" w:cs="宋体"/>
          <w:kern w:val="144"/>
          <w:sz w:val="24"/>
          <w:szCs w:val="24"/>
        </w:rPr>
        <w:t xml:space="preserve">                                 巨化集团有限公司物资装备分公司 </w:t>
      </w:r>
    </w:p>
    <w:p w14:paraId="04A61BB0">
      <w:pPr>
        <w:snapToGrid w:val="0"/>
        <w:spacing w:line="320" w:lineRule="exact"/>
        <w:ind w:firstLine="5760" w:firstLineChars="2400"/>
        <w:rPr>
          <w:rFonts w:hint="eastAsia" w:ascii="宋体" w:hAnsi="宋体" w:cs="宋体"/>
          <w:kern w:val="144"/>
          <w:sz w:val="24"/>
          <w:szCs w:val="24"/>
        </w:rPr>
      </w:pPr>
      <w:r>
        <w:rPr>
          <w:rFonts w:hint="eastAsia" w:ascii="宋体" w:hAnsi="宋体" w:cs="宋体"/>
          <w:kern w:val="144"/>
          <w:sz w:val="24"/>
          <w:szCs w:val="24"/>
        </w:rPr>
        <w:t xml:space="preserve"> 2025 年   月   日</w:t>
      </w:r>
    </w:p>
    <w:p w14:paraId="04A61BB1">
      <w:pPr>
        <w:snapToGrid w:val="0"/>
        <w:spacing w:line="320" w:lineRule="exact"/>
        <w:ind w:firstLine="480" w:firstLineChars="200"/>
        <w:rPr>
          <w:rFonts w:hint="eastAsia" w:ascii="宋体" w:hAnsi="宋体" w:cs="宋体"/>
          <w:kern w:val="144"/>
          <w:sz w:val="24"/>
          <w:szCs w:val="24"/>
        </w:rPr>
      </w:pPr>
    </w:p>
    <w:p w14:paraId="04A61BB2">
      <w:pPr>
        <w:snapToGrid w:val="0"/>
        <w:spacing w:line="320" w:lineRule="exact"/>
        <w:ind w:firstLine="480" w:firstLineChars="200"/>
        <w:rPr>
          <w:rFonts w:hint="eastAsia" w:ascii="宋体" w:hAnsi="宋体"/>
          <w:sz w:val="24"/>
          <w:szCs w:val="24"/>
        </w:rPr>
      </w:pPr>
    </w:p>
    <w:p w14:paraId="04A61BB3">
      <w:pPr>
        <w:snapToGrid w:val="0"/>
        <w:spacing w:line="320" w:lineRule="exact"/>
        <w:ind w:firstLine="480" w:firstLineChars="200"/>
        <w:rPr>
          <w:rFonts w:hint="eastAsia" w:ascii="宋体" w:hAnsi="宋体"/>
          <w:sz w:val="24"/>
          <w:szCs w:val="24"/>
        </w:rPr>
      </w:pPr>
    </w:p>
    <w:p w14:paraId="04A61BB4">
      <w:pPr>
        <w:snapToGrid w:val="0"/>
        <w:spacing w:line="320" w:lineRule="exact"/>
        <w:ind w:firstLine="480" w:firstLineChars="200"/>
        <w:rPr>
          <w:rFonts w:hint="eastAsia" w:ascii="宋体" w:hAnsi="宋体"/>
          <w:sz w:val="24"/>
          <w:szCs w:val="24"/>
        </w:rPr>
      </w:pPr>
    </w:p>
    <w:p w14:paraId="04A61BB5">
      <w:pPr>
        <w:snapToGrid w:val="0"/>
        <w:spacing w:line="320" w:lineRule="exact"/>
        <w:ind w:firstLine="480" w:firstLineChars="200"/>
        <w:rPr>
          <w:rFonts w:hint="eastAsia" w:ascii="宋体" w:hAnsi="宋体"/>
          <w:sz w:val="24"/>
          <w:szCs w:val="24"/>
        </w:rPr>
      </w:pPr>
    </w:p>
    <w:p w14:paraId="04A61BB6">
      <w:pPr>
        <w:snapToGrid w:val="0"/>
        <w:spacing w:line="320" w:lineRule="exact"/>
        <w:ind w:firstLine="480" w:firstLineChars="200"/>
        <w:rPr>
          <w:rFonts w:hint="eastAsia" w:ascii="宋体" w:hAnsi="宋体"/>
          <w:sz w:val="24"/>
          <w:szCs w:val="24"/>
        </w:rPr>
      </w:pPr>
    </w:p>
    <w:p w14:paraId="04A61BB7">
      <w:pPr>
        <w:snapToGrid w:val="0"/>
        <w:spacing w:line="320" w:lineRule="exact"/>
        <w:ind w:firstLine="480" w:firstLineChars="200"/>
        <w:rPr>
          <w:rFonts w:hint="eastAsia" w:ascii="宋体" w:hAnsi="宋体"/>
          <w:sz w:val="24"/>
          <w:szCs w:val="24"/>
        </w:rPr>
      </w:pPr>
    </w:p>
    <w:p w14:paraId="04A61BB8">
      <w:pPr>
        <w:snapToGrid w:val="0"/>
        <w:spacing w:line="320" w:lineRule="exact"/>
        <w:ind w:firstLine="480" w:firstLineChars="200"/>
        <w:rPr>
          <w:rFonts w:hint="eastAsia" w:ascii="宋体" w:hAnsi="宋体"/>
          <w:sz w:val="24"/>
          <w:szCs w:val="24"/>
        </w:rPr>
      </w:pPr>
    </w:p>
    <w:p w14:paraId="04A61BB9">
      <w:pPr>
        <w:snapToGrid w:val="0"/>
        <w:spacing w:line="320" w:lineRule="exact"/>
        <w:ind w:firstLine="480" w:firstLineChars="200"/>
        <w:rPr>
          <w:rFonts w:hint="eastAsia" w:ascii="宋体" w:hAnsi="宋体"/>
          <w:sz w:val="24"/>
          <w:szCs w:val="24"/>
        </w:rPr>
      </w:pPr>
    </w:p>
    <w:p w14:paraId="04A61BBA">
      <w:pPr>
        <w:snapToGrid w:val="0"/>
        <w:spacing w:line="320" w:lineRule="exact"/>
        <w:ind w:firstLine="480" w:firstLineChars="200"/>
        <w:rPr>
          <w:rFonts w:hint="eastAsia" w:ascii="宋体" w:hAnsi="宋体"/>
          <w:sz w:val="24"/>
          <w:szCs w:val="24"/>
        </w:rPr>
      </w:pPr>
    </w:p>
    <w:p w14:paraId="04A61BBB">
      <w:pPr>
        <w:snapToGrid w:val="0"/>
        <w:spacing w:line="360" w:lineRule="auto"/>
        <w:jc w:val="center"/>
        <w:outlineLvl w:val="0"/>
        <w:rPr>
          <w:rFonts w:hint="eastAsia" w:ascii="宋体" w:hAnsi="宋体"/>
          <w:b/>
          <w:bCs/>
          <w:kern w:val="0"/>
          <w:sz w:val="24"/>
          <w:szCs w:val="24"/>
        </w:rPr>
      </w:pPr>
      <w:bookmarkStart w:id="6" w:name="_Toc368928470"/>
      <w:bookmarkStart w:id="7" w:name="_Toc441676614"/>
      <w:bookmarkStart w:id="8" w:name="_Toc161130973"/>
    </w:p>
    <w:p w14:paraId="04A61BBC">
      <w:pPr>
        <w:snapToGrid w:val="0"/>
        <w:spacing w:line="360" w:lineRule="auto"/>
        <w:jc w:val="center"/>
        <w:outlineLvl w:val="0"/>
        <w:rPr>
          <w:rFonts w:hint="eastAsia" w:ascii="宋体" w:hAnsi="宋体"/>
          <w:b/>
          <w:bCs/>
          <w:kern w:val="0"/>
          <w:sz w:val="24"/>
          <w:szCs w:val="24"/>
        </w:rPr>
      </w:pPr>
    </w:p>
    <w:p w14:paraId="04A61BBD">
      <w:pPr>
        <w:snapToGrid w:val="0"/>
        <w:spacing w:line="360" w:lineRule="auto"/>
        <w:jc w:val="center"/>
        <w:outlineLvl w:val="0"/>
        <w:rPr>
          <w:rFonts w:hint="eastAsia" w:ascii="宋体" w:hAnsi="宋体"/>
          <w:b/>
          <w:bCs/>
          <w:kern w:val="0"/>
          <w:sz w:val="24"/>
          <w:szCs w:val="24"/>
        </w:rPr>
      </w:pPr>
    </w:p>
    <w:p w14:paraId="04A61BBE">
      <w:pPr>
        <w:snapToGrid w:val="0"/>
        <w:spacing w:line="360" w:lineRule="auto"/>
        <w:jc w:val="center"/>
        <w:outlineLvl w:val="0"/>
        <w:rPr>
          <w:rFonts w:hint="eastAsia" w:ascii="宋体" w:hAnsi="宋体"/>
          <w:b/>
          <w:bCs/>
          <w:kern w:val="0"/>
          <w:sz w:val="24"/>
          <w:szCs w:val="24"/>
        </w:rPr>
      </w:pPr>
    </w:p>
    <w:p w14:paraId="04A61BBF">
      <w:pPr>
        <w:snapToGrid w:val="0"/>
        <w:spacing w:line="360" w:lineRule="auto"/>
        <w:jc w:val="center"/>
        <w:outlineLvl w:val="0"/>
        <w:rPr>
          <w:rFonts w:hint="eastAsia" w:ascii="宋体" w:hAnsi="宋体"/>
          <w:b/>
          <w:bCs/>
          <w:kern w:val="0"/>
          <w:sz w:val="24"/>
          <w:szCs w:val="24"/>
        </w:rPr>
      </w:pPr>
    </w:p>
    <w:p w14:paraId="04A61BC0">
      <w:pPr>
        <w:snapToGrid w:val="0"/>
        <w:spacing w:line="360" w:lineRule="auto"/>
        <w:jc w:val="center"/>
        <w:outlineLvl w:val="0"/>
        <w:rPr>
          <w:rFonts w:hint="eastAsia" w:ascii="宋体" w:hAnsi="宋体"/>
          <w:b/>
          <w:bCs/>
          <w:kern w:val="0"/>
          <w:sz w:val="24"/>
          <w:szCs w:val="24"/>
        </w:rPr>
      </w:pPr>
    </w:p>
    <w:p w14:paraId="04A61BC1">
      <w:pPr>
        <w:snapToGrid w:val="0"/>
        <w:spacing w:line="360" w:lineRule="auto"/>
        <w:jc w:val="center"/>
        <w:outlineLvl w:val="0"/>
        <w:rPr>
          <w:rFonts w:hint="eastAsia" w:ascii="宋体" w:hAnsi="宋体"/>
          <w:b/>
          <w:sz w:val="24"/>
          <w:szCs w:val="24"/>
        </w:rPr>
      </w:pPr>
      <w:r>
        <w:rPr>
          <w:rFonts w:hint="eastAsia" w:ascii="宋体" w:hAnsi="宋体"/>
          <w:b/>
          <w:bCs/>
          <w:kern w:val="0"/>
          <w:sz w:val="24"/>
          <w:szCs w:val="24"/>
        </w:rPr>
        <w:t xml:space="preserve">第二章  </w:t>
      </w:r>
      <w:bookmarkEnd w:id="6"/>
      <w:r>
        <w:rPr>
          <w:rFonts w:hint="eastAsia" w:ascii="宋体" w:hAnsi="宋体"/>
          <w:b/>
          <w:bCs/>
          <w:kern w:val="0"/>
          <w:sz w:val="24"/>
          <w:szCs w:val="24"/>
        </w:rPr>
        <w:t>投标人须知前附表</w:t>
      </w:r>
      <w:bookmarkEnd w:id="7"/>
      <w:bookmarkEnd w:id="8"/>
    </w:p>
    <w:tbl>
      <w:tblPr>
        <w:tblStyle w:val="21"/>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276"/>
        <w:gridCol w:w="3101"/>
        <w:gridCol w:w="3102"/>
      </w:tblGrid>
      <w:tr w14:paraId="04A61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1276" w:type="dxa"/>
            <w:vAlign w:val="center"/>
          </w:tcPr>
          <w:p w14:paraId="04A61BC2">
            <w:pPr>
              <w:jc w:val="center"/>
              <w:rPr>
                <w:rFonts w:hint="eastAsia" w:ascii="宋体" w:hAnsi="宋体" w:cs="宋体"/>
                <w:b/>
                <w:kern w:val="0"/>
                <w:sz w:val="24"/>
                <w:szCs w:val="24"/>
              </w:rPr>
            </w:pPr>
            <w:r>
              <w:rPr>
                <w:rFonts w:hint="eastAsia" w:ascii="宋体" w:hAnsi="宋体" w:cs="宋体"/>
                <w:b/>
                <w:kern w:val="0"/>
                <w:sz w:val="24"/>
                <w:szCs w:val="24"/>
              </w:rPr>
              <w:t>项号</w:t>
            </w:r>
          </w:p>
        </w:tc>
        <w:tc>
          <w:tcPr>
            <w:tcW w:w="1276" w:type="dxa"/>
            <w:vAlign w:val="center"/>
          </w:tcPr>
          <w:p w14:paraId="04A61BC3">
            <w:pPr>
              <w:jc w:val="center"/>
              <w:rPr>
                <w:rFonts w:hint="eastAsia" w:ascii="宋体" w:hAnsi="宋体" w:cs="宋体"/>
                <w:b/>
                <w:kern w:val="0"/>
                <w:sz w:val="24"/>
                <w:szCs w:val="24"/>
              </w:rPr>
            </w:pPr>
            <w:r>
              <w:rPr>
                <w:rFonts w:hint="eastAsia" w:ascii="宋体" w:hAnsi="宋体" w:cs="宋体"/>
                <w:b/>
                <w:kern w:val="0"/>
                <w:sz w:val="24"/>
                <w:szCs w:val="24"/>
              </w:rPr>
              <w:t>内 容</w:t>
            </w:r>
          </w:p>
        </w:tc>
        <w:tc>
          <w:tcPr>
            <w:tcW w:w="6203" w:type="dxa"/>
            <w:gridSpan w:val="2"/>
            <w:vAlign w:val="center"/>
          </w:tcPr>
          <w:p w14:paraId="04A61BC4">
            <w:pPr>
              <w:jc w:val="center"/>
              <w:rPr>
                <w:rFonts w:hint="eastAsia" w:ascii="宋体" w:hAnsi="宋体" w:cs="宋体"/>
                <w:b/>
                <w:kern w:val="0"/>
                <w:sz w:val="24"/>
                <w:szCs w:val="24"/>
              </w:rPr>
            </w:pPr>
            <w:r>
              <w:rPr>
                <w:rFonts w:hint="eastAsia" w:ascii="宋体" w:hAnsi="宋体" w:cs="宋体"/>
                <w:b/>
                <w:kern w:val="0"/>
                <w:sz w:val="24"/>
                <w:szCs w:val="24"/>
              </w:rPr>
              <w:t>说明与要求</w:t>
            </w:r>
          </w:p>
        </w:tc>
      </w:tr>
      <w:tr w14:paraId="04A61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276" w:type="dxa"/>
            <w:vAlign w:val="center"/>
          </w:tcPr>
          <w:p w14:paraId="04A61BC6">
            <w:pPr>
              <w:jc w:val="center"/>
              <w:rPr>
                <w:rFonts w:hint="eastAsia" w:ascii="宋体" w:hAnsi="宋体" w:cs="宋体"/>
                <w:b/>
                <w:kern w:val="0"/>
                <w:sz w:val="24"/>
                <w:szCs w:val="24"/>
              </w:rPr>
            </w:pPr>
            <w:r>
              <w:rPr>
                <w:rFonts w:hint="eastAsia" w:ascii="宋体" w:hAnsi="宋体" w:cs="宋体"/>
                <w:b/>
                <w:kern w:val="0"/>
                <w:sz w:val="24"/>
                <w:szCs w:val="24"/>
              </w:rPr>
              <w:t>1</w:t>
            </w:r>
          </w:p>
        </w:tc>
        <w:tc>
          <w:tcPr>
            <w:tcW w:w="1276" w:type="dxa"/>
            <w:vAlign w:val="center"/>
          </w:tcPr>
          <w:p w14:paraId="04A61BC7">
            <w:pPr>
              <w:jc w:val="center"/>
              <w:rPr>
                <w:rFonts w:hint="eastAsia" w:ascii="宋体" w:hAnsi="宋体" w:cs="宋体"/>
                <w:b/>
                <w:kern w:val="0"/>
                <w:sz w:val="24"/>
                <w:szCs w:val="24"/>
              </w:rPr>
            </w:pPr>
            <w:r>
              <w:rPr>
                <w:rFonts w:hint="eastAsia" w:ascii="宋体" w:hAnsi="宋体" w:cs="宋体"/>
                <w:b/>
                <w:kern w:val="0"/>
                <w:sz w:val="24"/>
                <w:szCs w:val="24"/>
              </w:rPr>
              <w:t>项目名称</w:t>
            </w:r>
          </w:p>
        </w:tc>
        <w:tc>
          <w:tcPr>
            <w:tcW w:w="6203" w:type="dxa"/>
            <w:gridSpan w:val="2"/>
            <w:vAlign w:val="center"/>
          </w:tcPr>
          <w:p w14:paraId="04A61BC8">
            <w:pPr>
              <w:jc w:val="center"/>
              <w:rPr>
                <w:rFonts w:hint="eastAsia" w:ascii="宋体" w:hAnsi="宋体" w:cs="宋体"/>
                <w:b/>
                <w:kern w:val="0"/>
                <w:sz w:val="24"/>
                <w:szCs w:val="24"/>
              </w:rPr>
            </w:pPr>
            <w:r>
              <w:rPr>
                <w:rFonts w:hint="eastAsia" w:ascii="宋体" w:hAnsi="宋体" w:cs="宋体"/>
                <w:b/>
                <w:kern w:val="0"/>
                <w:sz w:val="24"/>
                <w:szCs w:val="24"/>
              </w:rPr>
              <w:t>浙江晋巨化工有限公司合成氨装置提质增效设备更新项目提质增效、无样装置新增等项目</w:t>
            </w:r>
          </w:p>
        </w:tc>
      </w:tr>
      <w:tr w14:paraId="04A61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276" w:type="dxa"/>
            <w:vAlign w:val="center"/>
          </w:tcPr>
          <w:p w14:paraId="04A61BCA">
            <w:pPr>
              <w:jc w:val="center"/>
              <w:rPr>
                <w:rFonts w:hint="eastAsia" w:ascii="宋体" w:hAnsi="宋体" w:cs="宋体"/>
                <w:b/>
                <w:kern w:val="0"/>
                <w:sz w:val="24"/>
                <w:szCs w:val="24"/>
              </w:rPr>
            </w:pPr>
            <w:r>
              <w:rPr>
                <w:rFonts w:hint="eastAsia" w:ascii="宋体" w:hAnsi="宋体" w:cs="宋体"/>
                <w:b/>
                <w:kern w:val="0"/>
                <w:sz w:val="24"/>
                <w:szCs w:val="24"/>
              </w:rPr>
              <w:t>2</w:t>
            </w:r>
          </w:p>
        </w:tc>
        <w:tc>
          <w:tcPr>
            <w:tcW w:w="1276" w:type="dxa"/>
            <w:vAlign w:val="center"/>
          </w:tcPr>
          <w:p w14:paraId="04A61BCB">
            <w:pPr>
              <w:jc w:val="center"/>
              <w:rPr>
                <w:rFonts w:hint="eastAsia" w:ascii="宋体" w:hAnsi="宋体" w:cs="宋体"/>
                <w:b/>
                <w:kern w:val="0"/>
                <w:sz w:val="24"/>
                <w:szCs w:val="24"/>
              </w:rPr>
            </w:pPr>
            <w:r>
              <w:rPr>
                <w:rFonts w:hint="eastAsia" w:ascii="宋体" w:hAnsi="宋体" w:cs="宋体"/>
                <w:b/>
                <w:kern w:val="0"/>
                <w:sz w:val="24"/>
                <w:szCs w:val="24"/>
              </w:rPr>
              <w:t>项目地点</w:t>
            </w:r>
          </w:p>
        </w:tc>
        <w:tc>
          <w:tcPr>
            <w:tcW w:w="6203" w:type="dxa"/>
            <w:gridSpan w:val="2"/>
            <w:vAlign w:val="center"/>
          </w:tcPr>
          <w:p w14:paraId="04A61BCC">
            <w:pPr>
              <w:spacing w:line="360" w:lineRule="auto"/>
              <w:rPr>
                <w:rFonts w:hint="eastAsia" w:ascii="宋体" w:hAnsi="宋体" w:cs="宋体"/>
                <w:b/>
                <w:kern w:val="0"/>
                <w:sz w:val="24"/>
                <w:szCs w:val="24"/>
              </w:rPr>
            </w:pPr>
            <w:r>
              <w:rPr>
                <w:rFonts w:hint="eastAsia" w:ascii="宋体" w:hAnsi="宋体"/>
                <w:b/>
                <w:bCs/>
                <w:sz w:val="24"/>
                <w:szCs w:val="24"/>
                <w:shd w:val="clear" w:color="auto" w:fill="FFF9ED"/>
              </w:rPr>
              <w:t>浙江晋巨化工有限公司</w:t>
            </w:r>
          </w:p>
        </w:tc>
      </w:tr>
      <w:tr w14:paraId="04A61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1276" w:type="dxa"/>
            <w:vAlign w:val="center"/>
          </w:tcPr>
          <w:p w14:paraId="04A61BCE">
            <w:pPr>
              <w:jc w:val="center"/>
              <w:rPr>
                <w:rFonts w:hint="eastAsia" w:ascii="宋体" w:hAnsi="宋体" w:cs="宋体"/>
                <w:b/>
                <w:kern w:val="0"/>
                <w:sz w:val="24"/>
                <w:szCs w:val="24"/>
              </w:rPr>
            </w:pPr>
            <w:r>
              <w:rPr>
                <w:rFonts w:hint="eastAsia" w:ascii="宋体" w:hAnsi="宋体" w:cs="宋体"/>
                <w:b/>
                <w:kern w:val="0"/>
                <w:sz w:val="24"/>
                <w:szCs w:val="24"/>
              </w:rPr>
              <w:t>3</w:t>
            </w:r>
          </w:p>
        </w:tc>
        <w:tc>
          <w:tcPr>
            <w:tcW w:w="1276" w:type="dxa"/>
            <w:vAlign w:val="center"/>
          </w:tcPr>
          <w:p w14:paraId="04A61BCF">
            <w:pPr>
              <w:jc w:val="center"/>
              <w:rPr>
                <w:rFonts w:hint="eastAsia" w:ascii="宋体" w:hAnsi="宋体" w:cs="宋体"/>
                <w:b/>
                <w:kern w:val="0"/>
                <w:sz w:val="24"/>
                <w:szCs w:val="24"/>
              </w:rPr>
            </w:pPr>
            <w:r>
              <w:rPr>
                <w:rFonts w:hint="eastAsia" w:ascii="宋体" w:hAnsi="宋体" w:cs="宋体"/>
                <w:b/>
                <w:kern w:val="0"/>
                <w:sz w:val="24"/>
                <w:szCs w:val="24"/>
              </w:rPr>
              <w:t>招标范围</w:t>
            </w:r>
          </w:p>
        </w:tc>
        <w:tc>
          <w:tcPr>
            <w:tcW w:w="6203" w:type="dxa"/>
            <w:gridSpan w:val="2"/>
            <w:vAlign w:val="center"/>
          </w:tcPr>
          <w:p w14:paraId="04A61BD0">
            <w:pPr>
              <w:spacing w:line="360" w:lineRule="auto"/>
              <w:rPr>
                <w:rFonts w:hint="eastAsia" w:ascii="宋体" w:hAnsi="宋体" w:cs="宋体"/>
                <w:b/>
                <w:kern w:val="0"/>
                <w:sz w:val="24"/>
                <w:szCs w:val="24"/>
              </w:rPr>
            </w:pPr>
            <w:r>
              <w:rPr>
                <w:rFonts w:ascii="宋体" w:hAnsi="宋体" w:cs="宋体"/>
                <w:b/>
                <w:kern w:val="0"/>
                <w:sz w:val="24"/>
                <w:szCs w:val="24"/>
              </w:rPr>
              <w:t>具体</w:t>
            </w:r>
            <w:r>
              <w:rPr>
                <w:rFonts w:hint="eastAsia" w:ascii="宋体" w:hAnsi="宋体" w:cs="宋体"/>
                <w:b/>
                <w:kern w:val="0"/>
                <w:sz w:val="24"/>
                <w:szCs w:val="24"/>
              </w:rPr>
              <w:t>见采购内容及技术要求。</w:t>
            </w:r>
          </w:p>
        </w:tc>
      </w:tr>
      <w:tr w14:paraId="04A61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2" w:hRule="atLeast"/>
        </w:trPr>
        <w:tc>
          <w:tcPr>
            <w:tcW w:w="1276" w:type="dxa"/>
            <w:vAlign w:val="center"/>
          </w:tcPr>
          <w:p w14:paraId="04A61BD2">
            <w:pPr>
              <w:jc w:val="center"/>
              <w:rPr>
                <w:rFonts w:hint="eastAsia" w:ascii="宋体" w:hAnsi="宋体" w:cs="宋体"/>
                <w:b/>
                <w:kern w:val="0"/>
                <w:sz w:val="24"/>
                <w:szCs w:val="24"/>
              </w:rPr>
            </w:pPr>
            <w:r>
              <w:rPr>
                <w:rFonts w:hint="eastAsia" w:ascii="宋体" w:hAnsi="宋体" w:cs="宋体"/>
                <w:b/>
                <w:kern w:val="0"/>
                <w:sz w:val="24"/>
                <w:szCs w:val="24"/>
              </w:rPr>
              <w:t>4</w:t>
            </w:r>
          </w:p>
        </w:tc>
        <w:tc>
          <w:tcPr>
            <w:tcW w:w="1276" w:type="dxa"/>
            <w:vAlign w:val="center"/>
          </w:tcPr>
          <w:p w14:paraId="04A61BD3">
            <w:pPr>
              <w:jc w:val="center"/>
              <w:rPr>
                <w:rFonts w:hint="eastAsia" w:ascii="宋体" w:hAnsi="宋体" w:cs="宋体"/>
                <w:b/>
                <w:kern w:val="0"/>
                <w:sz w:val="24"/>
                <w:szCs w:val="24"/>
              </w:rPr>
            </w:pPr>
            <w:r>
              <w:rPr>
                <w:rFonts w:hint="eastAsia" w:ascii="宋体" w:hAnsi="宋体" w:cs="宋体"/>
                <w:b/>
                <w:kern w:val="0"/>
                <w:sz w:val="24"/>
                <w:szCs w:val="24"/>
              </w:rPr>
              <w:t>投 标 人</w:t>
            </w:r>
          </w:p>
          <w:p w14:paraId="04A61BD4">
            <w:pPr>
              <w:jc w:val="center"/>
              <w:rPr>
                <w:rFonts w:hint="eastAsia" w:ascii="宋体" w:hAnsi="宋体" w:cs="宋体"/>
                <w:b/>
                <w:kern w:val="0"/>
                <w:sz w:val="24"/>
                <w:szCs w:val="24"/>
              </w:rPr>
            </w:pPr>
            <w:r>
              <w:rPr>
                <w:rFonts w:hint="eastAsia" w:ascii="宋体" w:hAnsi="宋体" w:cs="宋体"/>
                <w:b/>
                <w:kern w:val="0"/>
                <w:sz w:val="24"/>
                <w:szCs w:val="24"/>
              </w:rPr>
              <w:t>资格要求</w:t>
            </w:r>
          </w:p>
        </w:tc>
        <w:tc>
          <w:tcPr>
            <w:tcW w:w="6203" w:type="dxa"/>
            <w:gridSpan w:val="2"/>
            <w:vAlign w:val="center"/>
          </w:tcPr>
          <w:p w14:paraId="04A61BD5">
            <w:pPr>
              <w:snapToGrid w:val="0"/>
              <w:spacing w:line="320" w:lineRule="exact"/>
              <w:ind w:firstLine="480" w:firstLineChars="200"/>
              <w:rPr>
                <w:rFonts w:hint="eastAsia" w:ascii="宋体" w:hAnsi="宋体"/>
                <w:sz w:val="24"/>
                <w:szCs w:val="24"/>
              </w:rPr>
            </w:pPr>
            <w:r>
              <w:rPr>
                <w:rFonts w:hint="eastAsia" w:ascii="宋体" w:hAnsi="宋体" w:cs="宋体"/>
                <w:kern w:val="144"/>
                <w:sz w:val="24"/>
                <w:szCs w:val="24"/>
              </w:rPr>
              <w:t>提供的在线色谱分析仪分析主机要求为原装进口（原装进口：</w:t>
            </w:r>
            <w:r>
              <w:rPr>
                <w:rFonts w:hint="eastAsia" w:ascii="宋体" w:hAnsi="宋体"/>
                <w:sz w:val="24"/>
                <w:szCs w:val="24"/>
              </w:rPr>
              <w:t>原装进口是指从原产国进口到国内且未经过加工与分装提供对应报关单</w:t>
            </w:r>
            <w:r>
              <w:rPr>
                <w:rFonts w:hint="eastAsia" w:ascii="宋体" w:hAnsi="宋体" w:cs="宋体"/>
                <w:kern w:val="144"/>
                <w:sz w:val="24"/>
                <w:szCs w:val="24"/>
              </w:rPr>
              <w:t>）2022-至今</w:t>
            </w:r>
            <w:r>
              <w:rPr>
                <w:rFonts w:hint="eastAsia" w:ascii="宋体" w:hAnsi="宋体"/>
                <w:sz w:val="24"/>
                <w:szCs w:val="24"/>
              </w:rPr>
              <w:t>具备在合成氨装置的较好的应用业绩一份。（提供合同复印件，原件备查。合同不能体现规模的，须出具业主证明）</w:t>
            </w:r>
          </w:p>
        </w:tc>
      </w:tr>
      <w:tr w14:paraId="04A61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2" w:hRule="atLeast"/>
        </w:trPr>
        <w:tc>
          <w:tcPr>
            <w:tcW w:w="1276" w:type="dxa"/>
            <w:vAlign w:val="center"/>
          </w:tcPr>
          <w:p w14:paraId="04A61BD7">
            <w:pPr>
              <w:jc w:val="center"/>
              <w:rPr>
                <w:rFonts w:hint="eastAsia" w:ascii="宋体" w:hAnsi="宋体" w:cs="宋体"/>
                <w:b/>
                <w:kern w:val="0"/>
                <w:sz w:val="24"/>
                <w:szCs w:val="24"/>
              </w:rPr>
            </w:pPr>
            <w:r>
              <w:rPr>
                <w:rFonts w:hint="eastAsia" w:ascii="宋体" w:hAnsi="宋体" w:cs="宋体"/>
                <w:b/>
                <w:kern w:val="0"/>
                <w:sz w:val="24"/>
                <w:szCs w:val="24"/>
              </w:rPr>
              <w:t>5</w:t>
            </w:r>
          </w:p>
        </w:tc>
        <w:tc>
          <w:tcPr>
            <w:tcW w:w="1276" w:type="dxa"/>
            <w:vAlign w:val="center"/>
          </w:tcPr>
          <w:p w14:paraId="04A61BD8">
            <w:pPr>
              <w:jc w:val="center"/>
              <w:rPr>
                <w:rFonts w:hint="eastAsia" w:ascii="宋体" w:hAnsi="宋体" w:cs="宋体"/>
                <w:b/>
                <w:kern w:val="0"/>
                <w:sz w:val="24"/>
                <w:szCs w:val="24"/>
              </w:rPr>
            </w:pPr>
            <w:r>
              <w:rPr>
                <w:rFonts w:hint="eastAsia" w:ascii="宋体" w:hAnsi="宋体" w:cs="宋体"/>
                <w:b/>
                <w:kern w:val="0"/>
                <w:sz w:val="24"/>
                <w:szCs w:val="24"/>
              </w:rPr>
              <w:t>否决投标条件</w:t>
            </w:r>
          </w:p>
        </w:tc>
        <w:tc>
          <w:tcPr>
            <w:tcW w:w="6203" w:type="dxa"/>
            <w:gridSpan w:val="2"/>
            <w:vAlign w:val="center"/>
          </w:tcPr>
          <w:p w14:paraId="04A61BD9">
            <w:pPr>
              <w:rPr>
                <w:rFonts w:hint="eastAsia" w:ascii="宋体" w:hAnsi="宋体"/>
                <w:sz w:val="24"/>
                <w:szCs w:val="24"/>
              </w:rPr>
            </w:pPr>
            <w:r>
              <w:rPr>
                <w:rFonts w:hint="eastAsia" w:ascii="宋体" w:hAnsi="宋体"/>
                <w:sz w:val="24"/>
                <w:szCs w:val="24"/>
              </w:rPr>
              <w:t xml:space="preserve"> </w:t>
            </w:r>
            <w:r>
              <w:rPr>
                <w:rFonts w:ascii="宋体" w:hAnsi="宋体"/>
                <w:sz w:val="24"/>
                <w:szCs w:val="24"/>
              </w:rPr>
              <w:t>*3.11</w:t>
            </w:r>
            <w:r>
              <w:rPr>
                <w:rFonts w:hint="eastAsia" w:ascii="宋体" w:hAnsi="宋体"/>
                <w:sz w:val="24"/>
                <w:szCs w:val="24"/>
              </w:rPr>
              <w:t>投标人应提供分析仪和待测组分的调校方法。连续分析仪表的校准除特殊说明外，应当是2点（零点和满量程）校准；气相色谱的校准除特殊说明外，应当是单点校准。</w:t>
            </w:r>
          </w:p>
          <w:p w14:paraId="04A61BDA">
            <w:pPr>
              <w:rPr>
                <w:rFonts w:hint="eastAsia" w:ascii="宋体" w:hAnsi="宋体"/>
                <w:sz w:val="24"/>
                <w:szCs w:val="24"/>
              </w:rPr>
            </w:pPr>
            <w:r>
              <w:rPr>
                <w:rFonts w:ascii="宋体" w:hAnsi="宋体"/>
                <w:sz w:val="24"/>
                <w:szCs w:val="24"/>
              </w:rPr>
              <w:t>*3.13</w:t>
            </w:r>
            <w:r>
              <w:rPr>
                <w:rFonts w:hint="eastAsia" w:ascii="宋体" w:hAnsi="宋体"/>
                <w:sz w:val="24"/>
                <w:szCs w:val="24"/>
              </w:rPr>
              <w:t>色谱需要EPC载气电子压力控制器，分析系统应具备自诊断功能，包括但不局限于以下内容：样品流体损失、载体流体错误、仪表空气压力错误、温度控制错误、通讯错误、微处理器错误等，且应具备保持记录的功能，直到技术人员确认。</w:t>
            </w:r>
          </w:p>
          <w:p w14:paraId="04A61BDB">
            <w:pPr>
              <w:spacing w:line="360" w:lineRule="auto"/>
              <w:jc w:val="left"/>
              <w:rPr>
                <w:rFonts w:hint="eastAsia" w:ascii="宋体" w:hAnsi="宋体"/>
                <w:sz w:val="24"/>
                <w:szCs w:val="24"/>
              </w:rPr>
            </w:pPr>
            <w:r>
              <w:rPr>
                <w:rFonts w:hint="eastAsia" w:ascii="宋体" w:hAnsi="宋体"/>
                <w:sz w:val="24"/>
                <w:szCs w:val="24"/>
              </w:rPr>
              <w:t>*4.1整套系统的质量保证期为交货后24个月或开车投用后18个月，二者以先到为准。</w:t>
            </w:r>
          </w:p>
          <w:p w14:paraId="04A61BDC">
            <w:pPr>
              <w:spacing w:line="360" w:lineRule="auto"/>
              <w:jc w:val="left"/>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 xml:space="preserve">投标方须严格按照国家、行业相关标准及工厂指标生产、集成本项目所需设备。投标方须严格按照本项目招标人提供的数据设计、组装产品，并为产品的正常运行及各部件的质量性能负责，承诺所提供的产品质量性能能够买组招标方需求。如若招标方在生产使用过程中发现产品性能未能达到协议中说明的标准，视为产品不合格，投标方须为因此产生的问题负责，招标方保留进一步追责的权利。 </w:t>
            </w:r>
            <w:r>
              <w:rPr>
                <w:rFonts w:ascii="宋体" w:hAnsi="宋体"/>
                <w:sz w:val="24"/>
                <w:szCs w:val="24"/>
              </w:rPr>
              <w:t xml:space="preserve"> </w:t>
            </w:r>
          </w:p>
          <w:p w14:paraId="04A61BDD">
            <w:pPr>
              <w:tabs>
                <w:tab w:val="left" w:pos="8160"/>
                <w:tab w:val="left" w:pos="9840"/>
                <w:tab w:val="left" w:pos="9960"/>
              </w:tabs>
              <w:adjustRightInd w:val="0"/>
              <w:snapToGrid w:val="0"/>
              <w:spacing w:line="360" w:lineRule="auto"/>
              <w:ind w:right="13"/>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投标方须保证系统各部件的备品备件的供应期不少于1</w:t>
            </w:r>
            <w:r>
              <w:rPr>
                <w:rFonts w:ascii="宋体" w:hAnsi="宋体"/>
                <w:sz w:val="24"/>
                <w:szCs w:val="24"/>
              </w:rPr>
              <w:t>0</w:t>
            </w:r>
            <w:r>
              <w:rPr>
                <w:rFonts w:hint="eastAsia" w:ascii="宋体" w:hAnsi="宋体"/>
                <w:sz w:val="24"/>
                <w:szCs w:val="24"/>
              </w:rPr>
              <w:t>年或同型号备品备件退出市场后5年，且所提供的备品备件价格不得高于投标文件中分项报价的单列价格。否则，投标方需提供同性能的备品备件清单供招标方选择，并承诺对所提供的清单中的替代备件型号的性能指标负责</w:t>
            </w:r>
            <w:r>
              <w:rPr>
                <w:rFonts w:hint="eastAsia" w:ascii="宋体" w:cs="宋体"/>
                <w:sz w:val="24"/>
                <w:szCs w:val="24"/>
              </w:rPr>
              <w:t>。</w:t>
            </w:r>
          </w:p>
          <w:p w14:paraId="04A61BDE">
            <w:pPr>
              <w:spacing w:line="360" w:lineRule="auto"/>
              <w:rPr>
                <w:rFonts w:hint="eastAsia" w:ascii="宋体" w:hAnsi="宋体" w:cs="宋体"/>
                <w:kern w:val="144"/>
                <w:sz w:val="24"/>
                <w:szCs w:val="24"/>
              </w:rPr>
            </w:pPr>
            <w:r>
              <w:rPr>
                <w:rFonts w:hint="eastAsia"/>
                <w:sz w:val="24"/>
                <w:szCs w:val="24"/>
              </w:rPr>
              <w:t>*</w:t>
            </w:r>
            <w:r>
              <w:rPr>
                <w:rFonts w:hint="eastAsia" w:ascii="宋体" w:cs="宋体"/>
                <w:sz w:val="24"/>
                <w:szCs w:val="24"/>
              </w:rPr>
              <w:t>投标报价高于最高限价的，其投标文件作否决处理。</w:t>
            </w:r>
          </w:p>
        </w:tc>
      </w:tr>
      <w:tr w14:paraId="04A61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276" w:type="dxa"/>
            <w:vAlign w:val="center"/>
          </w:tcPr>
          <w:p w14:paraId="04A61BE0">
            <w:pPr>
              <w:jc w:val="center"/>
              <w:rPr>
                <w:rFonts w:hint="eastAsia" w:ascii="宋体" w:hAnsi="宋体" w:cs="宋体"/>
                <w:b/>
                <w:kern w:val="0"/>
                <w:sz w:val="24"/>
                <w:szCs w:val="24"/>
              </w:rPr>
            </w:pPr>
            <w:r>
              <w:rPr>
                <w:rFonts w:hint="eastAsia" w:ascii="宋体" w:hAnsi="宋体" w:cs="宋体"/>
                <w:b/>
                <w:kern w:val="0"/>
                <w:sz w:val="24"/>
                <w:szCs w:val="24"/>
              </w:rPr>
              <w:t>6</w:t>
            </w:r>
          </w:p>
        </w:tc>
        <w:tc>
          <w:tcPr>
            <w:tcW w:w="1276" w:type="dxa"/>
            <w:vAlign w:val="center"/>
          </w:tcPr>
          <w:p w14:paraId="04A61BE1">
            <w:pPr>
              <w:jc w:val="center"/>
              <w:rPr>
                <w:rFonts w:hint="eastAsia" w:ascii="宋体" w:hAnsi="宋体" w:cs="宋体"/>
                <w:b/>
                <w:kern w:val="0"/>
                <w:sz w:val="24"/>
                <w:szCs w:val="24"/>
              </w:rPr>
            </w:pPr>
            <w:r>
              <w:rPr>
                <w:rFonts w:hint="eastAsia" w:ascii="宋体" w:hAnsi="宋体" w:cs="宋体"/>
                <w:b/>
                <w:kern w:val="0"/>
                <w:sz w:val="24"/>
                <w:szCs w:val="24"/>
              </w:rPr>
              <w:t>投标有效期</w:t>
            </w:r>
          </w:p>
        </w:tc>
        <w:tc>
          <w:tcPr>
            <w:tcW w:w="6203" w:type="dxa"/>
            <w:gridSpan w:val="2"/>
            <w:vAlign w:val="center"/>
          </w:tcPr>
          <w:p w14:paraId="04A61BE2">
            <w:pPr>
              <w:spacing w:line="360" w:lineRule="auto"/>
              <w:rPr>
                <w:rFonts w:hint="eastAsia" w:ascii="宋体" w:hAnsi="宋体" w:cs="宋体"/>
                <w:b/>
                <w:kern w:val="0"/>
                <w:sz w:val="24"/>
                <w:szCs w:val="24"/>
              </w:rPr>
            </w:pPr>
            <w:r>
              <w:rPr>
                <w:rFonts w:hint="eastAsia" w:ascii="宋体" w:hAnsi="宋体" w:cs="宋体"/>
                <w:b/>
                <w:kern w:val="0"/>
                <w:sz w:val="24"/>
                <w:szCs w:val="24"/>
              </w:rPr>
              <w:t>投标截止日起90日历天。</w:t>
            </w:r>
          </w:p>
        </w:tc>
      </w:tr>
      <w:tr w14:paraId="04A61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276" w:type="dxa"/>
            <w:vAlign w:val="center"/>
          </w:tcPr>
          <w:p w14:paraId="04A61BE4">
            <w:pPr>
              <w:spacing w:line="440" w:lineRule="exact"/>
              <w:jc w:val="center"/>
              <w:rPr>
                <w:rFonts w:hint="eastAsia" w:ascii="宋体" w:hAnsi="宋体" w:cs="宋体"/>
                <w:b/>
                <w:kern w:val="0"/>
                <w:sz w:val="24"/>
                <w:szCs w:val="24"/>
              </w:rPr>
            </w:pPr>
            <w:r>
              <w:rPr>
                <w:rFonts w:hint="eastAsia"/>
                <w:sz w:val="24"/>
              </w:rPr>
              <w:t>7</w:t>
            </w:r>
          </w:p>
        </w:tc>
        <w:tc>
          <w:tcPr>
            <w:tcW w:w="1276" w:type="dxa"/>
            <w:vAlign w:val="center"/>
          </w:tcPr>
          <w:p w14:paraId="04A61BE5">
            <w:pPr>
              <w:snapToGrid w:val="0"/>
              <w:spacing w:line="360" w:lineRule="auto"/>
              <w:jc w:val="center"/>
              <w:rPr>
                <w:rFonts w:hint="eastAsia" w:ascii="宋体" w:hAnsi="宋体" w:cs="宋体"/>
                <w:b/>
                <w:kern w:val="0"/>
                <w:sz w:val="24"/>
                <w:szCs w:val="24"/>
              </w:rPr>
            </w:pPr>
            <w:r>
              <w:rPr>
                <w:rFonts w:hint="eastAsia" w:ascii="宋体" w:hAnsi="宋体" w:cs="宋体"/>
                <w:sz w:val="24"/>
              </w:rPr>
              <w:t>最高限价和风险控制价</w:t>
            </w:r>
          </w:p>
        </w:tc>
        <w:tc>
          <w:tcPr>
            <w:tcW w:w="6203" w:type="dxa"/>
            <w:gridSpan w:val="2"/>
            <w:vAlign w:val="center"/>
          </w:tcPr>
          <w:p w14:paraId="04A61BE6">
            <w:pPr>
              <w:snapToGrid w:val="0"/>
              <w:spacing w:line="400" w:lineRule="exact"/>
              <w:jc w:val="left"/>
              <w:rPr>
                <w:rFonts w:hint="eastAsia" w:ascii="宋体" w:hAnsi="宋体" w:cs="宋体"/>
                <w:b/>
                <w:kern w:val="0"/>
                <w:sz w:val="24"/>
                <w:szCs w:val="24"/>
              </w:rPr>
            </w:pPr>
            <w:r>
              <w:rPr>
                <w:rFonts w:hint="eastAsia" w:ascii="Times New Roman" w:hAnsi="宋体"/>
                <w:sz w:val="24"/>
                <w:lang w:val="zh-CN"/>
              </w:rPr>
              <w:t>本次招标的投标最高限价为</w:t>
            </w:r>
            <w:r>
              <w:rPr>
                <w:rFonts w:hint="eastAsia"/>
                <w:sz w:val="24"/>
                <w:u w:val="single"/>
              </w:rPr>
              <w:t>140</w:t>
            </w:r>
            <w:r>
              <w:rPr>
                <w:rFonts w:hint="eastAsia" w:ascii="宋体" w:hAnsi="宋体" w:cs="宋体"/>
                <w:sz w:val="24"/>
              </w:rPr>
              <w:t>万元。投标报价高于最高限价的作否决处理。</w:t>
            </w:r>
          </w:p>
        </w:tc>
      </w:tr>
      <w:tr w14:paraId="04A61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6" w:hRule="atLeast"/>
        </w:trPr>
        <w:tc>
          <w:tcPr>
            <w:tcW w:w="1276" w:type="dxa"/>
            <w:vAlign w:val="center"/>
          </w:tcPr>
          <w:p w14:paraId="04A61BE8">
            <w:pPr>
              <w:jc w:val="center"/>
              <w:rPr>
                <w:rFonts w:hint="eastAsia" w:ascii="宋体" w:hAnsi="宋体" w:cs="宋体"/>
                <w:b/>
                <w:kern w:val="0"/>
                <w:sz w:val="24"/>
                <w:szCs w:val="24"/>
              </w:rPr>
            </w:pPr>
            <w:r>
              <w:rPr>
                <w:rFonts w:hint="eastAsia" w:ascii="宋体" w:hAnsi="宋体" w:cs="宋体"/>
                <w:b/>
                <w:kern w:val="0"/>
                <w:sz w:val="24"/>
                <w:szCs w:val="24"/>
              </w:rPr>
              <w:t>8</w:t>
            </w:r>
          </w:p>
        </w:tc>
        <w:tc>
          <w:tcPr>
            <w:tcW w:w="1276" w:type="dxa"/>
            <w:vAlign w:val="center"/>
          </w:tcPr>
          <w:p w14:paraId="04A61BE9">
            <w:pPr>
              <w:jc w:val="center"/>
              <w:rPr>
                <w:rFonts w:hint="eastAsia" w:ascii="宋体" w:hAnsi="宋体" w:cs="宋体"/>
                <w:b/>
                <w:kern w:val="0"/>
                <w:sz w:val="24"/>
                <w:szCs w:val="24"/>
              </w:rPr>
            </w:pPr>
            <w:r>
              <w:rPr>
                <w:rFonts w:hint="eastAsia" w:ascii="宋体" w:hAnsi="宋体" w:cs="宋体"/>
                <w:b/>
                <w:kern w:val="0"/>
                <w:sz w:val="24"/>
                <w:szCs w:val="24"/>
              </w:rPr>
              <w:t>投标保证金</w:t>
            </w:r>
          </w:p>
        </w:tc>
        <w:tc>
          <w:tcPr>
            <w:tcW w:w="6203" w:type="dxa"/>
            <w:gridSpan w:val="2"/>
            <w:vAlign w:val="center"/>
          </w:tcPr>
          <w:p w14:paraId="04A61BEA">
            <w:pPr>
              <w:spacing w:line="360" w:lineRule="auto"/>
              <w:rPr>
                <w:rFonts w:hint="eastAsia" w:ascii="宋体" w:hAnsi="宋体" w:cs="宋体"/>
                <w:b/>
                <w:kern w:val="0"/>
                <w:sz w:val="24"/>
                <w:szCs w:val="24"/>
              </w:rPr>
            </w:pPr>
            <w:r>
              <w:rPr>
                <w:rFonts w:hint="eastAsia" w:ascii="宋体" w:hAnsi="宋体" w:cs="宋体"/>
                <w:b/>
                <w:kern w:val="0"/>
                <w:sz w:val="24"/>
                <w:szCs w:val="24"/>
              </w:rPr>
              <w:t>人民币：</w:t>
            </w:r>
            <w:r>
              <w:rPr>
                <w:rFonts w:hint="eastAsia" w:ascii="宋体" w:hAnsi="宋体"/>
                <w:sz w:val="24"/>
                <w:szCs w:val="24"/>
              </w:rPr>
              <w:t xml:space="preserve"> </w:t>
            </w:r>
            <w:r>
              <w:rPr>
                <w:rFonts w:hint="eastAsia" w:ascii="宋体" w:hAnsi="宋体" w:cs="宋体"/>
                <w:b/>
                <w:kern w:val="0"/>
                <w:sz w:val="24"/>
                <w:szCs w:val="24"/>
              </w:rPr>
              <w:t xml:space="preserve">贰万元 </w:t>
            </w:r>
          </w:p>
          <w:p w14:paraId="04A61BEB">
            <w:pPr>
              <w:spacing w:line="360" w:lineRule="auto"/>
              <w:rPr>
                <w:rFonts w:hint="eastAsia" w:ascii="宋体" w:hAnsi="宋体" w:cs="宋体"/>
                <w:b/>
                <w:kern w:val="0"/>
                <w:sz w:val="24"/>
                <w:szCs w:val="24"/>
              </w:rPr>
            </w:pPr>
            <w:r>
              <w:rPr>
                <w:rFonts w:hint="eastAsia" w:ascii="宋体" w:hAnsi="宋体" w:cs="宋体"/>
                <w:b/>
                <w:kern w:val="0"/>
                <w:sz w:val="24"/>
                <w:szCs w:val="24"/>
              </w:rPr>
              <w:t>形  式：电汇</w:t>
            </w:r>
          </w:p>
          <w:p w14:paraId="04A61BEC">
            <w:pPr>
              <w:spacing w:line="360" w:lineRule="auto"/>
              <w:rPr>
                <w:rFonts w:hint="eastAsia" w:ascii="宋体" w:hAnsi="宋体" w:cs="宋体"/>
                <w:b/>
                <w:kern w:val="0"/>
                <w:sz w:val="24"/>
                <w:szCs w:val="24"/>
              </w:rPr>
            </w:pPr>
            <w:r>
              <w:rPr>
                <w:rFonts w:hint="eastAsia" w:ascii="宋体" w:hAnsi="宋体" w:cs="宋体"/>
                <w:b/>
                <w:kern w:val="0"/>
                <w:sz w:val="24"/>
                <w:szCs w:val="24"/>
              </w:rPr>
              <w:t>收款人：</w:t>
            </w:r>
            <w:r>
              <w:rPr>
                <w:rFonts w:hint="eastAsia" w:ascii="宋体" w:hAnsi="宋体" w:cs="宋体"/>
                <w:kern w:val="144"/>
                <w:sz w:val="24"/>
                <w:szCs w:val="24"/>
              </w:rPr>
              <w:t>巨化集团有限公司物资装备分公司</w:t>
            </w:r>
          </w:p>
          <w:p w14:paraId="04A61BED">
            <w:pPr>
              <w:spacing w:line="360" w:lineRule="auto"/>
              <w:rPr>
                <w:rFonts w:hint="eastAsia" w:ascii="宋体" w:hAnsi="宋体" w:cs="宋体"/>
                <w:b/>
                <w:kern w:val="0"/>
                <w:sz w:val="24"/>
                <w:szCs w:val="24"/>
              </w:rPr>
            </w:pPr>
            <w:r>
              <w:rPr>
                <w:rFonts w:hint="eastAsia" w:ascii="宋体" w:hAnsi="宋体" w:cs="宋体"/>
                <w:b/>
                <w:kern w:val="0"/>
                <w:sz w:val="24"/>
                <w:szCs w:val="24"/>
              </w:rPr>
              <w:t>开 户 行：</w:t>
            </w:r>
            <w:r>
              <w:rPr>
                <w:rFonts w:hint="eastAsia" w:ascii="宋体" w:hAnsi="宋体" w:cs="宋体"/>
                <w:kern w:val="144"/>
                <w:sz w:val="24"/>
                <w:szCs w:val="24"/>
              </w:rPr>
              <w:t>中国建设银行衢州衢化支行</w:t>
            </w:r>
          </w:p>
          <w:p w14:paraId="04A61BEE">
            <w:pPr>
              <w:spacing w:line="360" w:lineRule="auto"/>
              <w:rPr>
                <w:rFonts w:hint="eastAsia" w:ascii="宋体" w:hAnsi="宋体" w:cs="宋体"/>
                <w:b/>
                <w:kern w:val="0"/>
                <w:sz w:val="24"/>
                <w:szCs w:val="24"/>
              </w:rPr>
            </w:pPr>
            <w:r>
              <w:rPr>
                <w:rFonts w:hint="eastAsia" w:ascii="宋体" w:hAnsi="宋体" w:cs="宋体"/>
                <w:b/>
                <w:kern w:val="0"/>
                <w:sz w:val="24"/>
                <w:szCs w:val="24"/>
              </w:rPr>
              <w:t>帐    号</w:t>
            </w:r>
            <w:r>
              <w:rPr>
                <w:rFonts w:hint="eastAsia" w:ascii="宋体" w:hAnsi="宋体"/>
                <w:sz w:val="24"/>
                <w:szCs w:val="24"/>
              </w:rPr>
              <w:t>：</w:t>
            </w:r>
            <w:r>
              <w:rPr>
                <w:rFonts w:hint="eastAsia" w:ascii="宋体" w:hAnsi="宋体" w:cs="宋体"/>
                <w:kern w:val="144"/>
                <w:sz w:val="24"/>
                <w:szCs w:val="24"/>
              </w:rPr>
              <w:t>33001685200050002606</w:t>
            </w:r>
          </w:p>
        </w:tc>
      </w:tr>
      <w:tr w14:paraId="04A61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1276" w:type="dxa"/>
            <w:vAlign w:val="center"/>
          </w:tcPr>
          <w:p w14:paraId="04A61BF0">
            <w:pPr>
              <w:jc w:val="center"/>
              <w:rPr>
                <w:rFonts w:hint="eastAsia" w:ascii="宋体" w:hAnsi="宋体" w:cs="宋体"/>
                <w:b/>
                <w:kern w:val="0"/>
                <w:sz w:val="24"/>
                <w:szCs w:val="24"/>
              </w:rPr>
            </w:pPr>
            <w:r>
              <w:rPr>
                <w:rFonts w:hint="eastAsia" w:ascii="宋体" w:hAnsi="宋体" w:cs="宋体"/>
                <w:b/>
                <w:kern w:val="0"/>
                <w:sz w:val="24"/>
                <w:szCs w:val="24"/>
              </w:rPr>
              <w:t>9</w:t>
            </w:r>
          </w:p>
        </w:tc>
        <w:tc>
          <w:tcPr>
            <w:tcW w:w="1276" w:type="dxa"/>
            <w:vAlign w:val="center"/>
          </w:tcPr>
          <w:p w14:paraId="04A61BF1">
            <w:pPr>
              <w:jc w:val="center"/>
              <w:rPr>
                <w:rFonts w:hint="eastAsia" w:ascii="宋体" w:hAnsi="宋体" w:cs="宋体"/>
                <w:b/>
                <w:kern w:val="0"/>
                <w:sz w:val="24"/>
                <w:szCs w:val="24"/>
              </w:rPr>
            </w:pPr>
            <w:r>
              <w:rPr>
                <w:rFonts w:hint="eastAsia" w:ascii="宋体" w:hAnsi="宋体" w:cs="宋体"/>
                <w:b/>
                <w:kern w:val="0"/>
                <w:sz w:val="24"/>
                <w:szCs w:val="24"/>
              </w:rPr>
              <w:t>招标疑问</w:t>
            </w:r>
          </w:p>
        </w:tc>
        <w:tc>
          <w:tcPr>
            <w:tcW w:w="6203" w:type="dxa"/>
            <w:gridSpan w:val="2"/>
            <w:vAlign w:val="center"/>
          </w:tcPr>
          <w:p w14:paraId="04A61BF2">
            <w:pPr>
              <w:spacing w:line="360" w:lineRule="auto"/>
              <w:rPr>
                <w:rFonts w:hint="eastAsia" w:ascii="宋体" w:hAnsi="宋体" w:cs="宋体"/>
                <w:b/>
                <w:kern w:val="0"/>
                <w:sz w:val="24"/>
                <w:szCs w:val="24"/>
              </w:rPr>
            </w:pPr>
            <w:r>
              <w:rPr>
                <w:rFonts w:hint="eastAsia" w:ascii="宋体" w:hAnsi="宋体" w:cs="宋体"/>
                <w:b/>
                <w:kern w:val="0"/>
                <w:sz w:val="24"/>
                <w:szCs w:val="24"/>
              </w:rPr>
              <w:t>投标人应于2025年11月5日 9时之前将要求澄清的问题，包括对其中指定品牌或推荐品牌有任何异议的，加盖公章后，以书面形式至巨化集团公司物资装备分公司。传真号码：0570-3099629 。同时发送邮件至zqw656446889@126.com（邮件只为方便工作，邮件内容与书面内容不符者，以书面为准）</w:t>
            </w:r>
          </w:p>
        </w:tc>
      </w:tr>
      <w:tr w14:paraId="04A61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1276" w:type="dxa"/>
            <w:vAlign w:val="center"/>
          </w:tcPr>
          <w:p w14:paraId="04A61BF4">
            <w:pPr>
              <w:jc w:val="center"/>
              <w:rPr>
                <w:rFonts w:hint="eastAsia" w:ascii="宋体" w:hAnsi="宋体" w:cs="宋体"/>
                <w:b/>
                <w:kern w:val="0"/>
                <w:sz w:val="24"/>
                <w:szCs w:val="24"/>
              </w:rPr>
            </w:pPr>
            <w:r>
              <w:rPr>
                <w:rFonts w:hint="eastAsia" w:ascii="宋体" w:hAnsi="宋体" w:cs="宋体"/>
                <w:b/>
                <w:kern w:val="0"/>
                <w:sz w:val="24"/>
                <w:szCs w:val="24"/>
              </w:rPr>
              <w:t>10</w:t>
            </w:r>
          </w:p>
        </w:tc>
        <w:tc>
          <w:tcPr>
            <w:tcW w:w="1276" w:type="dxa"/>
            <w:vAlign w:val="center"/>
          </w:tcPr>
          <w:p w14:paraId="04A61BF5">
            <w:pPr>
              <w:jc w:val="center"/>
              <w:rPr>
                <w:rFonts w:hint="eastAsia" w:ascii="宋体" w:hAnsi="宋体" w:cs="宋体"/>
                <w:b/>
                <w:kern w:val="0"/>
                <w:sz w:val="24"/>
                <w:szCs w:val="24"/>
              </w:rPr>
            </w:pPr>
            <w:r>
              <w:rPr>
                <w:rFonts w:hint="eastAsia" w:ascii="宋体" w:hAnsi="宋体" w:cs="宋体"/>
                <w:b/>
                <w:kern w:val="0"/>
                <w:sz w:val="24"/>
                <w:szCs w:val="24"/>
              </w:rPr>
              <w:t>交货期</w:t>
            </w:r>
          </w:p>
        </w:tc>
        <w:tc>
          <w:tcPr>
            <w:tcW w:w="6203" w:type="dxa"/>
            <w:gridSpan w:val="2"/>
            <w:vAlign w:val="center"/>
          </w:tcPr>
          <w:p w14:paraId="04A61BF6">
            <w:pPr>
              <w:spacing w:line="360" w:lineRule="auto"/>
              <w:rPr>
                <w:rFonts w:hint="eastAsia" w:ascii="宋体" w:hAnsi="宋体" w:cs="宋体"/>
                <w:b/>
                <w:kern w:val="0"/>
                <w:sz w:val="24"/>
                <w:szCs w:val="24"/>
              </w:rPr>
            </w:pPr>
            <w:r>
              <w:rPr>
                <w:rFonts w:hint="eastAsia" w:ascii="宋体" w:hAnsi="宋体" w:cs="宋体"/>
                <w:b/>
                <w:kern w:val="0"/>
                <w:sz w:val="24"/>
                <w:szCs w:val="24"/>
              </w:rPr>
              <w:t>收到中标通知书后90天（报最短交货期）</w:t>
            </w:r>
          </w:p>
        </w:tc>
      </w:tr>
      <w:tr w14:paraId="04A61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7" w:hRule="atLeast"/>
        </w:trPr>
        <w:tc>
          <w:tcPr>
            <w:tcW w:w="1276" w:type="dxa"/>
            <w:vAlign w:val="center"/>
          </w:tcPr>
          <w:p w14:paraId="04A61BF8">
            <w:pPr>
              <w:jc w:val="center"/>
              <w:rPr>
                <w:rFonts w:hint="eastAsia" w:ascii="宋体" w:hAnsi="宋体" w:cs="宋体"/>
                <w:b/>
                <w:kern w:val="0"/>
                <w:sz w:val="24"/>
                <w:szCs w:val="24"/>
              </w:rPr>
            </w:pPr>
            <w:r>
              <w:rPr>
                <w:rFonts w:hint="eastAsia" w:ascii="宋体" w:hAnsi="宋体" w:cs="宋体"/>
                <w:b/>
                <w:kern w:val="0"/>
                <w:sz w:val="24"/>
                <w:szCs w:val="24"/>
              </w:rPr>
              <w:t>11</w:t>
            </w:r>
          </w:p>
        </w:tc>
        <w:tc>
          <w:tcPr>
            <w:tcW w:w="1276" w:type="dxa"/>
            <w:vAlign w:val="center"/>
          </w:tcPr>
          <w:p w14:paraId="04A61BF9">
            <w:pPr>
              <w:jc w:val="center"/>
              <w:rPr>
                <w:rFonts w:hint="eastAsia" w:ascii="宋体" w:hAnsi="宋体" w:cs="宋体"/>
                <w:b/>
                <w:kern w:val="0"/>
                <w:sz w:val="24"/>
                <w:szCs w:val="24"/>
              </w:rPr>
            </w:pPr>
            <w:r>
              <w:rPr>
                <w:rFonts w:hint="eastAsia" w:ascii="宋体" w:hAnsi="宋体" w:cs="宋体"/>
                <w:b/>
                <w:kern w:val="0"/>
                <w:sz w:val="24"/>
                <w:szCs w:val="24"/>
              </w:rPr>
              <w:t>招标文件</w:t>
            </w:r>
          </w:p>
          <w:p w14:paraId="04A61BFA">
            <w:pPr>
              <w:jc w:val="center"/>
              <w:rPr>
                <w:rFonts w:hint="eastAsia" w:ascii="宋体" w:hAnsi="宋体" w:cs="宋体"/>
                <w:b/>
                <w:kern w:val="0"/>
                <w:sz w:val="24"/>
                <w:szCs w:val="24"/>
              </w:rPr>
            </w:pPr>
            <w:r>
              <w:rPr>
                <w:rFonts w:hint="eastAsia" w:ascii="宋体" w:hAnsi="宋体" w:cs="宋体"/>
                <w:b/>
                <w:kern w:val="0"/>
                <w:sz w:val="24"/>
                <w:szCs w:val="24"/>
              </w:rPr>
              <w:t>的修改</w:t>
            </w:r>
          </w:p>
        </w:tc>
        <w:tc>
          <w:tcPr>
            <w:tcW w:w="6203" w:type="dxa"/>
            <w:gridSpan w:val="2"/>
            <w:vAlign w:val="center"/>
          </w:tcPr>
          <w:p w14:paraId="04A61BFB">
            <w:pPr>
              <w:spacing w:line="360" w:lineRule="auto"/>
              <w:rPr>
                <w:rFonts w:hint="eastAsia" w:ascii="宋体" w:hAnsi="宋体" w:cs="宋体"/>
                <w:b/>
                <w:kern w:val="0"/>
                <w:sz w:val="24"/>
                <w:szCs w:val="24"/>
              </w:rPr>
            </w:pPr>
            <w:r>
              <w:rPr>
                <w:rFonts w:hint="eastAsia" w:ascii="宋体" w:hAnsi="宋体" w:cs="宋体"/>
                <w:b/>
                <w:kern w:val="0"/>
                <w:sz w:val="24"/>
                <w:szCs w:val="24"/>
              </w:rPr>
              <w:t>在投标截止时间前，招标机构有权修改招标文件，并以书面形式通知投标人。修改的文件作为招标文件的补充和组成部分，对所有投标人均有约束力。</w:t>
            </w:r>
          </w:p>
        </w:tc>
      </w:tr>
      <w:tr w14:paraId="04A61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276" w:type="dxa"/>
            <w:vAlign w:val="center"/>
          </w:tcPr>
          <w:p w14:paraId="04A61BFD">
            <w:pPr>
              <w:jc w:val="center"/>
              <w:rPr>
                <w:rFonts w:hint="eastAsia" w:ascii="宋体" w:hAnsi="宋体" w:cs="宋体"/>
                <w:b/>
                <w:kern w:val="0"/>
                <w:sz w:val="24"/>
                <w:szCs w:val="24"/>
              </w:rPr>
            </w:pPr>
            <w:r>
              <w:rPr>
                <w:rFonts w:hint="eastAsia" w:ascii="宋体" w:hAnsi="宋体" w:cs="宋体"/>
                <w:b/>
                <w:kern w:val="0"/>
                <w:sz w:val="24"/>
                <w:szCs w:val="24"/>
              </w:rPr>
              <w:t>12</w:t>
            </w:r>
          </w:p>
        </w:tc>
        <w:tc>
          <w:tcPr>
            <w:tcW w:w="1276" w:type="dxa"/>
            <w:vAlign w:val="center"/>
          </w:tcPr>
          <w:p w14:paraId="04A61BFE">
            <w:pPr>
              <w:jc w:val="center"/>
              <w:rPr>
                <w:rFonts w:hint="eastAsia" w:ascii="宋体" w:hAnsi="宋体" w:cs="宋体"/>
                <w:b/>
                <w:kern w:val="0"/>
                <w:sz w:val="24"/>
                <w:szCs w:val="24"/>
              </w:rPr>
            </w:pPr>
            <w:r>
              <w:rPr>
                <w:rFonts w:hint="eastAsia" w:ascii="宋体" w:hAnsi="宋体" w:cs="宋体"/>
                <w:b/>
                <w:kern w:val="0"/>
                <w:sz w:val="24"/>
                <w:szCs w:val="24"/>
              </w:rPr>
              <w:t>投标文件</w:t>
            </w:r>
          </w:p>
          <w:p w14:paraId="04A61BFF">
            <w:pPr>
              <w:jc w:val="center"/>
              <w:rPr>
                <w:rFonts w:hint="eastAsia" w:ascii="宋体" w:hAnsi="宋体" w:cs="宋体"/>
                <w:b/>
                <w:kern w:val="0"/>
                <w:sz w:val="24"/>
                <w:szCs w:val="24"/>
              </w:rPr>
            </w:pPr>
            <w:r>
              <w:rPr>
                <w:rFonts w:hint="eastAsia" w:ascii="宋体" w:hAnsi="宋体" w:cs="宋体"/>
                <w:b/>
                <w:kern w:val="0"/>
                <w:sz w:val="24"/>
                <w:szCs w:val="24"/>
              </w:rPr>
              <w:t>递交地点</w:t>
            </w:r>
          </w:p>
          <w:p w14:paraId="04A61C00">
            <w:pPr>
              <w:jc w:val="center"/>
              <w:rPr>
                <w:rFonts w:hint="eastAsia" w:ascii="宋体" w:hAnsi="宋体" w:cs="宋体"/>
                <w:b/>
                <w:kern w:val="0"/>
                <w:sz w:val="24"/>
                <w:szCs w:val="24"/>
              </w:rPr>
            </w:pPr>
            <w:r>
              <w:rPr>
                <w:rFonts w:hint="eastAsia" w:ascii="宋体" w:hAnsi="宋体" w:cs="宋体"/>
                <w:b/>
                <w:kern w:val="0"/>
                <w:sz w:val="24"/>
                <w:szCs w:val="24"/>
              </w:rPr>
              <w:t>及截止时间</w:t>
            </w:r>
          </w:p>
        </w:tc>
        <w:tc>
          <w:tcPr>
            <w:tcW w:w="6203" w:type="dxa"/>
            <w:gridSpan w:val="2"/>
            <w:vAlign w:val="center"/>
          </w:tcPr>
          <w:p w14:paraId="04A61C01">
            <w:pPr>
              <w:spacing w:line="360" w:lineRule="auto"/>
              <w:rPr>
                <w:rFonts w:hint="eastAsia" w:ascii="宋体" w:hAnsi="宋体" w:cs="宋体"/>
                <w:b/>
                <w:kern w:val="0"/>
                <w:sz w:val="24"/>
                <w:szCs w:val="24"/>
              </w:rPr>
            </w:pPr>
            <w:r>
              <w:rPr>
                <w:rFonts w:hint="eastAsia" w:ascii="宋体" w:hAnsi="宋体" w:cs="宋体"/>
                <w:b/>
                <w:kern w:val="0"/>
                <w:sz w:val="24"/>
                <w:szCs w:val="24"/>
              </w:rPr>
              <w:t>1.“电子加密投标文件”的递交：投标人应在投标截止时间前将“电子加密投标文件”成功上传递交至“巨化数字化招采平台”，否则投标无效。</w:t>
            </w:r>
          </w:p>
          <w:p w14:paraId="04A61C02">
            <w:pPr>
              <w:spacing w:line="360" w:lineRule="auto"/>
              <w:rPr>
                <w:rFonts w:hint="eastAsia" w:ascii="宋体" w:hAnsi="宋体" w:cs="宋体"/>
                <w:b/>
                <w:kern w:val="0"/>
                <w:sz w:val="24"/>
                <w:szCs w:val="24"/>
              </w:rPr>
            </w:pPr>
            <w:r>
              <w:rPr>
                <w:rFonts w:hint="eastAsia" w:ascii="宋体" w:hAnsi="宋体" w:cs="宋体"/>
                <w:b/>
                <w:kern w:val="0"/>
                <w:sz w:val="24"/>
                <w:szCs w:val="24"/>
              </w:rPr>
              <w:t>2.“纸质投标文件”：投标时无需提供“纸质投标文件”，中标人须在中标候选人公示发出后5个工作日内提供3套纸质投标文件，纸质投标文件须打印有签章的电子加密投标文件。</w:t>
            </w:r>
          </w:p>
          <w:p w14:paraId="04A61C03">
            <w:pPr>
              <w:spacing w:line="360" w:lineRule="auto"/>
              <w:rPr>
                <w:rFonts w:hint="eastAsia" w:ascii="宋体" w:hAnsi="宋体" w:cs="宋体"/>
                <w:b/>
                <w:kern w:val="0"/>
                <w:sz w:val="24"/>
                <w:szCs w:val="24"/>
              </w:rPr>
            </w:pPr>
            <w:r>
              <w:rPr>
                <w:rFonts w:hint="eastAsia" w:ascii="宋体" w:hAnsi="宋体" w:cs="宋体"/>
                <w:b/>
                <w:kern w:val="0"/>
                <w:sz w:val="24"/>
                <w:szCs w:val="24"/>
              </w:rPr>
              <w:t>邮寄地址：浙江省衢州市巨化集团有限公司北一道165号</w:t>
            </w:r>
          </w:p>
          <w:p w14:paraId="04A61C04">
            <w:pPr>
              <w:spacing w:line="360" w:lineRule="auto"/>
              <w:rPr>
                <w:rFonts w:hint="eastAsia" w:ascii="宋体" w:hAnsi="宋体" w:cs="宋体"/>
                <w:b/>
                <w:kern w:val="0"/>
                <w:sz w:val="24"/>
                <w:szCs w:val="24"/>
              </w:rPr>
            </w:pPr>
            <w:r>
              <w:rPr>
                <w:rFonts w:hint="eastAsia" w:ascii="宋体" w:hAnsi="宋体" w:cs="宋体"/>
                <w:b/>
                <w:kern w:val="0"/>
                <w:sz w:val="24"/>
                <w:szCs w:val="24"/>
              </w:rPr>
              <w:t>招标人：浙江巨化化工材料有限公司</w:t>
            </w:r>
          </w:p>
          <w:p w14:paraId="04A61C05">
            <w:pPr>
              <w:spacing w:line="360" w:lineRule="auto"/>
              <w:rPr>
                <w:rFonts w:hint="eastAsia" w:ascii="宋体" w:hAnsi="宋体" w:cs="宋体"/>
                <w:b/>
                <w:kern w:val="0"/>
                <w:sz w:val="24"/>
                <w:szCs w:val="24"/>
              </w:rPr>
            </w:pPr>
            <w:r>
              <w:rPr>
                <w:rFonts w:hint="eastAsia" w:ascii="宋体" w:hAnsi="宋体" w:cs="宋体"/>
                <w:b/>
                <w:kern w:val="0"/>
                <w:sz w:val="24"/>
                <w:szCs w:val="24"/>
              </w:rPr>
              <w:t xml:space="preserve">联系人： </w:t>
            </w:r>
            <w:r>
              <w:rPr>
                <w:rFonts w:ascii="宋体" w:hAnsi="宋体" w:cs="宋体"/>
                <w:b/>
                <w:kern w:val="0"/>
                <w:sz w:val="24"/>
                <w:szCs w:val="24"/>
              </w:rPr>
              <w:t xml:space="preserve">  </w:t>
            </w:r>
            <w:r>
              <w:rPr>
                <w:rFonts w:hint="eastAsia" w:ascii="宋体" w:hAnsi="宋体" w:cs="宋体"/>
                <w:b/>
                <w:kern w:val="0"/>
                <w:sz w:val="24"/>
                <w:szCs w:val="24"/>
              </w:rPr>
              <w:t xml:space="preserve">       联系电话：</w:t>
            </w:r>
            <w:r>
              <w:rPr>
                <w:rFonts w:ascii="宋体" w:hAnsi="宋体" w:cs="宋体"/>
                <w:b/>
                <w:kern w:val="0"/>
                <w:sz w:val="24"/>
                <w:szCs w:val="24"/>
              </w:rPr>
              <w:t xml:space="preserve"> </w:t>
            </w:r>
          </w:p>
        </w:tc>
      </w:tr>
      <w:tr w14:paraId="04A61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276" w:type="dxa"/>
            <w:vAlign w:val="center"/>
          </w:tcPr>
          <w:p w14:paraId="04A61C07">
            <w:pPr>
              <w:jc w:val="center"/>
              <w:rPr>
                <w:rFonts w:hint="eastAsia" w:ascii="宋体" w:hAnsi="宋体" w:cs="宋体"/>
                <w:b/>
                <w:kern w:val="0"/>
                <w:sz w:val="24"/>
                <w:szCs w:val="24"/>
              </w:rPr>
            </w:pPr>
            <w:r>
              <w:rPr>
                <w:rFonts w:hint="eastAsia" w:ascii="宋体" w:hAnsi="宋体" w:cs="宋体"/>
                <w:b/>
                <w:kern w:val="0"/>
                <w:sz w:val="24"/>
                <w:szCs w:val="24"/>
              </w:rPr>
              <w:t>13</w:t>
            </w:r>
          </w:p>
        </w:tc>
        <w:tc>
          <w:tcPr>
            <w:tcW w:w="1276" w:type="dxa"/>
            <w:vAlign w:val="center"/>
          </w:tcPr>
          <w:p w14:paraId="04A61C08">
            <w:pPr>
              <w:jc w:val="center"/>
              <w:rPr>
                <w:rFonts w:hint="eastAsia" w:ascii="宋体" w:hAnsi="宋体" w:cs="宋体"/>
                <w:b/>
                <w:kern w:val="0"/>
                <w:sz w:val="24"/>
                <w:szCs w:val="24"/>
              </w:rPr>
            </w:pPr>
            <w:r>
              <w:rPr>
                <w:rFonts w:hint="eastAsia" w:ascii="宋体" w:hAnsi="宋体" w:cs="宋体"/>
                <w:b/>
                <w:kern w:val="0"/>
                <w:sz w:val="24"/>
                <w:szCs w:val="24"/>
              </w:rPr>
              <w:t>投标文件</w:t>
            </w:r>
          </w:p>
          <w:p w14:paraId="04A61C09">
            <w:pPr>
              <w:jc w:val="center"/>
              <w:rPr>
                <w:rFonts w:hint="eastAsia" w:ascii="宋体" w:hAnsi="宋体" w:cs="宋体"/>
                <w:b/>
                <w:kern w:val="0"/>
                <w:sz w:val="24"/>
                <w:szCs w:val="24"/>
              </w:rPr>
            </w:pPr>
            <w:r>
              <w:rPr>
                <w:rFonts w:hint="eastAsia" w:ascii="宋体" w:hAnsi="宋体" w:cs="宋体"/>
                <w:b/>
                <w:kern w:val="0"/>
                <w:sz w:val="24"/>
                <w:szCs w:val="24"/>
              </w:rPr>
              <w:t>的签章</w:t>
            </w:r>
          </w:p>
        </w:tc>
        <w:tc>
          <w:tcPr>
            <w:tcW w:w="6203" w:type="dxa"/>
            <w:gridSpan w:val="2"/>
            <w:vAlign w:val="center"/>
          </w:tcPr>
          <w:p w14:paraId="04A61C0A">
            <w:pPr>
              <w:spacing w:line="360" w:lineRule="auto"/>
              <w:rPr>
                <w:rFonts w:hint="eastAsia" w:ascii="宋体" w:hAnsi="宋体" w:cs="宋体"/>
                <w:b/>
                <w:kern w:val="0"/>
                <w:sz w:val="24"/>
                <w:szCs w:val="24"/>
              </w:rPr>
            </w:pPr>
            <w:r>
              <w:rPr>
                <w:rFonts w:hint="eastAsia" w:ascii="宋体" w:hAnsi="宋体" w:cs="宋体"/>
                <w:b/>
                <w:kern w:val="0"/>
                <w:sz w:val="24"/>
                <w:szCs w:val="24"/>
              </w:rPr>
              <w:t>采用电子签章。</w:t>
            </w:r>
          </w:p>
        </w:tc>
      </w:tr>
      <w:tr w14:paraId="04A61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1276" w:type="dxa"/>
            <w:vAlign w:val="center"/>
          </w:tcPr>
          <w:p w14:paraId="04A61C0C">
            <w:pPr>
              <w:jc w:val="center"/>
              <w:rPr>
                <w:rFonts w:hint="eastAsia" w:ascii="宋体" w:hAnsi="宋体" w:cs="宋体"/>
                <w:b/>
                <w:kern w:val="0"/>
                <w:sz w:val="24"/>
                <w:szCs w:val="24"/>
              </w:rPr>
            </w:pPr>
            <w:r>
              <w:rPr>
                <w:rFonts w:hint="eastAsia" w:ascii="宋体" w:hAnsi="宋体" w:cs="宋体"/>
                <w:b/>
                <w:kern w:val="0"/>
                <w:sz w:val="24"/>
                <w:szCs w:val="24"/>
              </w:rPr>
              <w:t>14</w:t>
            </w:r>
          </w:p>
        </w:tc>
        <w:tc>
          <w:tcPr>
            <w:tcW w:w="1276" w:type="dxa"/>
            <w:vAlign w:val="center"/>
          </w:tcPr>
          <w:p w14:paraId="04A61C0D">
            <w:pPr>
              <w:jc w:val="center"/>
              <w:rPr>
                <w:rFonts w:hint="eastAsia" w:ascii="宋体" w:hAnsi="宋体" w:cs="宋体"/>
                <w:b/>
                <w:kern w:val="0"/>
                <w:sz w:val="24"/>
                <w:szCs w:val="24"/>
              </w:rPr>
            </w:pPr>
            <w:r>
              <w:rPr>
                <w:rFonts w:hint="eastAsia" w:ascii="宋体" w:hAnsi="宋体" w:cs="宋体"/>
                <w:b/>
                <w:kern w:val="0"/>
                <w:sz w:val="24"/>
                <w:szCs w:val="24"/>
              </w:rPr>
              <w:t>开标时间及地点</w:t>
            </w:r>
          </w:p>
        </w:tc>
        <w:tc>
          <w:tcPr>
            <w:tcW w:w="6203" w:type="dxa"/>
            <w:gridSpan w:val="2"/>
            <w:vAlign w:val="center"/>
          </w:tcPr>
          <w:p w14:paraId="04A61C0E">
            <w:pPr>
              <w:spacing w:line="360" w:lineRule="auto"/>
              <w:rPr>
                <w:rFonts w:hint="eastAsia" w:ascii="宋体" w:hAnsi="宋体" w:cs="宋体"/>
                <w:b/>
                <w:kern w:val="0"/>
                <w:sz w:val="24"/>
                <w:szCs w:val="24"/>
              </w:rPr>
            </w:pPr>
            <w:r>
              <w:rPr>
                <w:rFonts w:hint="eastAsia" w:ascii="宋体" w:hAnsi="宋体" w:cs="宋体"/>
                <w:b/>
                <w:kern w:val="0"/>
                <w:sz w:val="24"/>
                <w:szCs w:val="24"/>
              </w:rPr>
              <w:t>开标时间：详见第一章招标公告</w:t>
            </w:r>
          </w:p>
          <w:p w14:paraId="04A61C0F">
            <w:pPr>
              <w:spacing w:line="360" w:lineRule="auto"/>
              <w:rPr>
                <w:rFonts w:hint="eastAsia" w:ascii="宋体" w:hAnsi="宋体" w:cs="宋体"/>
                <w:b/>
                <w:kern w:val="0"/>
                <w:sz w:val="24"/>
                <w:szCs w:val="24"/>
              </w:rPr>
            </w:pPr>
            <w:r>
              <w:rPr>
                <w:rFonts w:hint="eastAsia" w:ascii="宋体" w:hAnsi="宋体" w:cs="宋体"/>
                <w:b/>
                <w:kern w:val="0"/>
                <w:sz w:val="24"/>
                <w:szCs w:val="24"/>
              </w:rPr>
              <w:t>开标地址：巨化数字化招采平台（juhua.ccccnet.com），投标人在线参加开标。</w:t>
            </w:r>
          </w:p>
        </w:tc>
      </w:tr>
      <w:tr w14:paraId="04A61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1276" w:type="dxa"/>
            <w:vAlign w:val="center"/>
          </w:tcPr>
          <w:p w14:paraId="04A61C11">
            <w:pPr>
              <w:jc w:val="center"/>
              <w:rPr>
                <w:rFonts w:hint="eastAsia" w:ascii="宋体" w:hAnsi="宋体" w:cs="宋体"/>
                <w:b/>
                <w:kern w:val="0"/>
                <w:sz w:val="24"/>
                <w:szCs w:val="24"/>
              </w:rPr>
            </w:pPr>
            <w:r>
              <w:rPr>
                <w:rFonts w:hint="eastAsia" w:ascii="宋体" w:hAnsi="宋体" w:cs="宋体"/>
                <w:b/>
                <w:kern w:val="0"/>
                <w:sz w:val="24"/>
                <w:szCs w:val="24"/>
              </w:rPr>
              <w:t>15</w:t>
            </w:r>
          </w:p>
        </w:tc>
        <w:tc>
          <w:tcPr>
            <w:tcW w:w="1276" w:type="dxa"/>
            <w:vAlign w:val="center"/>
          </w:tcPr>
          <w:p w14:paraId="04A61C12">
            <w:pPr>
              <w:jc w:val="center"/>
              <w:rPr>
                <w:rFonts w:hint="eastAsia" w:ascii="宋体" w:hAnsi="宋体" w:cs="宋体"/>
                <w:b/>
                <w:kern w:val="0"/>
                <w:sz w:val="24"/>
                <w:szCs w:val="24"/>
              </w:rPr>
            </w:pPr>
            <w:r>
              <w:rPr>
                <w:rFonts w:hint="eastAsia" w:ascii="宋体" w:hAnsi="宋体" w:cs="宋体"/>
                <w:b/>
                <w:kern w:val="0"/>
                <w:sz w:val="24"/>
                <w:szCs w:val="24"/>
              </w:rPr>
              <w:t>履约保证金</w:t>
            </w:r>
          </w:p>
        </w:tc>
        <w:tc>
          <w:tcPr>
            <w:tcW w:w="6203" w:type="dxa"/>
            <w:gridSpan w:val="2"/>
            <w:vAlign w:val="center"/>
          </w:tcPr>
          <w:p w14:paraId="04A61C13">
            <w:pPr>
              <w:spacing w:line="360" w:lineRule="auto"/>
              <w:rPr>
                <w:rFonts w:hint="eastAsia" w:ascii="宋体" w:hAnsi="宋体" w:cs="宋体"/>
                <w:b/>
                <w:kern w:val="0"/>
                <w:sz w:val="24"/>
                <w:szCs w:val="24"/>
              </w:rPr>
            </w:pPr>
            <w:r>
              <w:rPr>
                <w:rFonts w:hint="eastAsia" w:ascii="宋体" w:hAnsi="宋体" w:cs="宋体"/>
                <w:b/>
                <w:kern w:val="0"/>
                <w:sz w:val="24"/>
                <w:szCs w:val="24"/>
              </w:rPr>
              <w:t>投标人提供的履约保证金额为：合同总金额的  10  ％</w:t>
            </w:r>
          </w:p>
          <w:p w14:paraId="04A61C14">
            <w:pPr>
              <w:spacing w:line="360" w:lineRule="auto"/>
              <w:rPr>
                <w:rFonts w:hint="eastAsia" w:ascii="宋体" w:hAnsi="宋体" w:cs="宋体"/>
                <w:b/>
                <w:kern w:val="0"/>
                <w:sz w:val="24"/>
                <w:szCs w:val="24"/>
              </w:rPr>
            </w:pPr>
            <w:r>
              <w:rPr>
                <w:rFonts w:hint="eastAsia" w:ascii="宋体" w:hAnsi="宋体" w:cs="宋体"/>
                <w:b/>
                <w:kern w:val="0"/>
                <w:sz w:val="24"/>
                <w:szCs w:val="24"/>
              </w:rPr>
              <w:t>提交时间：在签订合同的同时。</w:t>
            </w:r>
          </w:p>
        </w:tc>
      </w:tr>
      <w:tr w14:paraId="04A61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276" w:type="dxa"/>
            <w:vAlign w:val="center"/>
          </w:tcPr>
          <w:p w14:paraId="04A61C16">
            <w:pPr>
              <w:jc w:val="center"/>
              <w:rPr>
                <w:rFonts w:hint="eastAsia" w:ascii="宋体" w:hAnsi="宋体" w:cs="宋体"/>
                <w:b/>
                <w:kern w:val="0"/>
                <w:sz w:val="24"/>
                <w:szCs w:val="24"/>
              </w:rPr>
            </w:pPr>
            <w:r>
              <w:rPr>
                <w:rFonts w:hint="eastAsia" w:ascii="宋体" w:hAnsi="宋体" w:cs="宋体"/>
                <w:b/>
                <w:kern w:val="0"/>
                <w:sz w:val="24"/>
                <w:szCs w:val="24"/>
              </w:rPr>
              <w:t>16</w:t>
            </w:r>
          </w:p>
        </w:tc>
        <w:tc>
          <w:tcPr>
            <w:tcW w:w="1276" w:type="dxa"/>
            <w:vAlign w:val="center"/>
          </w:tcPr>
          <w:p w14:paraId="04A61C17">
            <w:pPr>
              <w:jc w:val="center"/>
              <w:rPr>
                <w:rFonts w:hint="eastAsia" w:ascii="宋体" w:hAnsi="宋体" w:cs="宋体"/>
                <w:b/>
                <w:kern w:val="0"/>
                <w:sz w:val="24"/>
                <w:szCs w:val="24"/>
              </w:rPr>
            </w:pPr>
            <w:r>
              <w:rPr>
                <w:rFonts w:hint="eastAsia" w:ascii="宋体" w:hAnsi="宋体" w:cs="宋体"/>
                <w:b/>
                <w:kern w:val="0"/>
                <w:sz w:val="24"/>
                <w:szCs w:val="24"/>
              </w:rPr>
              <w:t>评标办法</w:t>
            </w:r>
          </w:p>
        </w:tc>
        <w:tc>
          <w:tcPr>
            <w:tcW w:w="6203" w:type="dxa"/>
            <w:gridSpan w:val="2"/>
            <w:vAlign w:val="center"/>
          </w:tcPr>
          <w:p w14:paraId="04A61C18">
            <w:pPr>
              <w:spacing w:line="360" w:lineRule="auto"/>
              <w:rPr>
                <w:rFonts w:hint="eastAsia" w:ascii="宋体" w:hAnsi="宋体" w:cs="宋体"/>
                <w:b/>
                <w:kern w:val="0"/>
                <w:sz w:val="24"/>
                <w:szCs w:val="24"/>
              </w:rPr>
            </w:pPr>
            <w:r>
              <w:rPr>
                <w:rFonts w:hint="eastAsia" w:ascii="宋体" w:hAnsi="宋体" w:cs="宋体"/>
                <w:b/>
                <w:kern w:val="0"/>
                <w:sz w:val="24"/>
                <w:szCs w:val="24"/>
              </w:rPr>
              <w:t>综合评标法</w:t>
            </w:r>
          </w:p>
        </w:tc>
      </w:tr>
      <w:tr w14:paraId="04A61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276" w:type="dxa"/>
            <w:vAlign w:val="center"/>
          </w:tcPr>
          <w:p w14:paraId="04A61C1A">
            <w:pPr>
              <w:jc w:val="center"/>
              <w:rPr>
                <w:rFonts w:hint="eastAsia" w:ascii="宋体" w:hAnsi="宋体" w:cs="宋体"/>
                <w:b/>
                <w:kern w:val="0"/>
                <w:sz w:val="24"/>
                <w:szCs w:val="24"/>
              </w:rPr>
            </w:pPr>
            <w:r>
              <w:rPr>
                <w:rFonts w:hint="eastAsia" w:ascii="宋体" w:hAnsi="宋体" w:cs="宋体"/>
                <w:b/>
                <w:kern w:val="0"/>
                <w:sz w:val="24"/>
                <w:szCs w:val="24"/>
              </w:rPr>
              <w:t>17</w:t>
            </w:r>
          </w:p>
        </w:tc>
        <w:tc>
          <w:tcPr>
            <w:tcW w:w="1276" w:type="dxa"/>
          </w:tcPr>
          <w:p w14:paraId="04A61C1B">
            <w:pPr>
              <w:jc w:val="center"/>
              <w:rPr>
                <w:rFonts w:hint="eastAsia" w:ascii="宋体" w:hAnsi="宋体" w:cs="宋体"/>
                <w:b/>
                <w:kern w:val="0"/>
                <w:sz w:val="24"/>
                <w:szCs w:val="24"/>
              </w:rPr>
            </w:pPr>
            <w:r>
              <w:rPr>
                <w:rFonts w:hint="eastAsia" w:ascii="宋体" w:hAnsi="宋体" w:cs="宋体"/>
                <w:b/>
                <w:kern w:val="0"/>
                <w:sz w:val="24"/>
                <w:szCs w:val="24"/>
              </w:rPr>
              <w:t>商务、技术、资信等权重</w:t>
            </w:r>
          </w:p>
        </w:tc>
        <w:tc>
          <w:tcPr>
            <w:tcW w:w="6203" w:type="dxa"/>
            <w:gridSpan w:val="2"/>
            <w:vAlign w:val="center"/>
          </w:tcPr>
          <w:p w14:paraId="04A61C1C">
            <w:pPr>
              <w:jc w:val="left"/>
              <w:rPr>
                <w:rFonts w:hint="eastAsia" w:ascii="宋体" w:hAnsi="宋体" w:cs="宋体"/>
                <w:b/>
                <w:kern w:val="0"/>
                <w:sz w:val="24"/>
                <w:szCs w:val="24"/>
              </w:rPr>
            </w:pPr>
            <w:r>
              <w:rPr>
                <w:rFonts w:hint="eastAsia" w:ascii="宋体" w:hAnsi="宋体" w:cs="宋体"/>
                <w:b/>
                <w:kern w:val="0"/>
                <w:sz w:val="24"/>
                <w:szCs w:val="24"/>
              </w:rPr>
              <w:t>商务60</w:t>
            </w:r>
            <w:r>
              <w:rPr>
                <w:rFonts w:ascii="宋体" w:hAnsi="宋体" w:cs="宋体"/>
                <w:b/>
                <w:kern w:val="0"/>
                <w:sz w:val="24"/>
                <w:szCs w:val="24"/>
              </w:rPr>
              <w:t>%</w:t>
            </w:r>
            <w:r>
              <w:rPr>
                <w:rFonts w:hint="eastAsia" w:ascii="宋体" w:hAnsi="宋体" w:cs="宋体"/>
                <w:b/>
                <w:kern w:val="0"/>
                <w:sz w:val="24"/>
                <w:szCs w:val="24"/>
              </w:rPr>
              <w:t>，技术40</w:t>
            </w:r>
            <w:r>
              <w:rPr>
                <w:rFonts w:ascii="宋体" w:hAnsi="宋体" w:cs="宋体"/>
                <w:b/>
                <w:kern w:val="0"/>
                <w:sz w:val="24"/>
                <w:szCs w:val="24"/>
              </w:rPr>
              <w:t>%</w:t>
            </w:r>
          </w:p>
        </w:tc>
      </w:tr>
      <w:tr w14:paraId="04A61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1276" w:type="dxa"/>
            <w:vMerge w:val="restart"/>
            <w:vAlign w:val="center"/>
          </w:tcPr>
          <w:p w14:paraId="04A61C1E">
            <w:pPr>
              <w:jc w:val="center"/>
              <w:rPr>
                <w:rFonts w:hint="eastAsia" w:ascii="宋体" w:hAnsi="宋体" w:cs="宋体"/>
                <w:b/>
                <w:kern w:val="0"/>
                <w:sz w:val="24"/>
                <w:szCs w:val="24"/>
              </w:rPr>
            </w:pPr>
            <w:r>
              <w:rPr>
                <w:rFonts w:hint="eastAsia" w:ascii="宋体" w:hAnsi="宋体" w:cs="宋体"/>
                <w:b/>
                <w:kern w:val="0"/>
                <w:sz w:val="24"/>
                <w:szCs w:val="24"/>
              </w:rPr>
              <w:t>18</w:t>
            </w:r>
          </w:p>
        </w:tc>
        <w:tc>
          <w:tcPr>
            <w:tcW w:w="1276" w:type="dxa"/>
            <w:vMerge w:val="restart"/>
            <w:vAlign w:val="center"/>
          </w:tcPr>
          <w:p w14:paraId="04A61C1F">
            <w:pPr>
              <w:jc w:val="center"/>
              <w:rPr>
                <w:rFonts w:hint="eastAsia" w:ascii="宋体" w:hAnsi="宋体" w:cs="宋体"/>
                <w:b/>
                <w:kern w:val="0"/>
                <w:sz w:val="24"/>
                <w:szCs w:val="24"/>
              </w:rPr>
            </w:pPr>
            <w:r>
              <w:rPr>
                <w:rFonts w:hint="eastAsia" w:ascii="宋体" w:hAnsi="宋体" w:cs="宋体"/>
                <w:b/>
                <w:kern w:val="0"/>
                <w:sz w:val="24"/>
                <w:szCs w:val="24"/>
              </w:rPr>
              <w:t>主要元器件配置水平及推荐品牌</w:t>
            </w:r>
          </w:p>
        </w:tc>
        <w:tc>
          <w:tcPr>
            <w:tcW w:w="3101" w:type="dxa"/>
            <w:vAlign w:val="center"/>
          </w:tcPr>
          <w:p w14:paraId="04A61C20">
            <w:pPr>
              <w:jc w:val="left"/>
              <w:rPr>
                <w:rFonts w:hint="eastAsia" w:ascii="宋体" w:hAnsi="宋体" w:cs="宋体"/>
                <w:b/>
                <w:kern w:val="0"/>
                <w:sz w:val="24"/>
                <w:szCs w:val="24"/>
              </w:rPr>
            </w:pPr>
            <w:r>
              <w:rPr>
                <w:rFonts w:hint="eastAsia" w:ascii="宋体" w:hAnsi="宋体" w:cs="宋体"/>
                <w:b/>
                <w:kern w:val="0"/>
                <w:sz w:val="24"/>
                <w:szCs w:val="24"/>
              </w:rPr>
              <w:t xml:space="preserve">管阀件 </w:t>
            </w:r>
          </w:p>
        </w:tc>
        <w:tc>
          <w:tcPr>
            <w:tcW w:w="3102" w:type="dxa"/>
          </w:tcPr>
          <w:p w14:paraId="04A61C21">
            <w:pPr>
              <w:rPr>
                <w:rFonts w:hint="eastAsia" w:ascii="宋体" w:hAnsi="宋体" w:cs="宋体"/>
                <w:b/>
                <w:kern w:val="0"/>
                <w:sz w:val="24"/>
                <w:szCs w:val="24"/>
              </w:rPr>
            </w:pPr>
            <w:r>
              <w:rPr>
                <w:rFonts w:ascii="宋体" w:hAnsi="宋体"/>
                <w:sz w:val="24"/>
                <w:szCs w:val="24"/>
              </w:rPr>
              <w:t>P</w:t>
            </w:r>
            <w:r>
              <w:rPr>
                <w:rFonts w:hint="eastAsia" w:ascii="宋体" w:hAnsi="宋体"/>
                <w:sz w:val="24"/>
                <w:szCs w:val="24"/>
              </w:rPr>
              <w:t>arker</w:t>
            </w:r>
            <w:r>
              <w:rPr>
                <w:rFonts w:ascii="宋体" w:hAnsi="宋体"/>
                <w:sz w:val="24"/>
                <w:szCs w:val="24"/>
              </w:rPr>
              <w:t>/VFK</w:t>
            </w:r>
          </w:p>
        </w:tc>
      </w:tr>
      <w:tr w14:paraId="04A61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trPr>
        <w:tc>
          <w:tcPr>
            <w:tcW w:w="1276" w:type="dxa"/>
            <w:vMerge w:val="continue"/>
            <w:vAlign w:val="center"/>
          </w:tcPr>
          <w:p w14:paraId="04A61C23">
            <w:pPr>
              <w:jc w:val="center"/>
              <w:rPr>
                <w:rFonts w:hint="eastAsia" w:ascii="宋体" w:hAnsi="宋体" w:cs="宋体"/>
                <w:b/>
                <w:kern w:val="0"/>
                <w:sz w:val="24"/>
                <w:szCs w:val="24"/>
              </w:rPr>
            </w:pPr>
          </w:p>
        </w:tc>
        <w:tc>
          <w:tcPr>
            <w:tcW w:w="1276" w:type="dxa"/>
            <w:vMerge w:val="continue"/>
          </w:tcPr>
          <w:p w14:paraId="04A61C24">
            <w:pPr>
              <w:jc w:val="center"/>
              <w:rPr>
                <w:rFonts w:hint="eastAsia" w:ascii="宋体" w:hAnsi="宋体" w:cs="宋体"/>
                <w:b/>
                <w:kern w:val="0"/>
                <w:sz w:val="24"/>
                <w:szCs w:val="24"/>
              </w:rPr>
            </w:pPr>
          </w:p>
        </w:tc>
        <w:tc>
          <w:tcPr>
            <w:tcW w:w="3101" w:type="dxa"/>
          </w:tcPr>
          <w:p w14:paraId="04A61C25">
            <w:pPr>
              <w:jc w:val="left"/>
              <w:rPr>
                <w:rFonts w:hint="eastAsia" w:ascii="宋体" w:hAnsi="宋体" w:cs="宋体"/>
                <w:b/>
                <w:kern w:val="0"/>
                <w:sz w:val="24"/>
                <w:szCs w:val="24"/>
              </w:rPr>
            </w:pPr>
            <w:r>
              <w:rPr>
                <w:rFonts w:hint="eastAsia" w:ascii="宋体" w:hAnsi="宋体" w:cs="宋体"/>
                <w:b/>
                <w:kern w:val="0"/>
                <w:sz w:val="24"/>
                <w:szCs w:val="24"/>
              </w:rPr>
              <w:t>过滤器</w:t>
            </w:r>
          </w:p>
        </w:tc>
        <w:tc>
          <w:tcPr>
            <w:tcW w:w="3102" w:type="dxa"/>
          </w:tcPr>
          <w:p w14:paraId="04A61C26">
            <w:pPr>
              <w:rPr>
                <w:rFonts w:hint="eastAsia" w:ascii="宋体" w:hAnsi="宋体" w:cs="宋体"/>
                <w:b/>
                <w:kern w:val="0"/>
                <w:sz w:val="24"/>
                <w:szCs w:val="24"/>
              </w:rPr>
            </w:pPr>
            <w:r>
              <w:rPr>
                <w:rFonts w:hint="eastAsia" w:ascii="宋体" w:hAnsi="宋体"/>
                <w:sz w:val="24"/>
                <w:szCs w:val="24"/>
              </w:rPr>
              <w:t>Parker/</w:t>
            </w:r>
            <w:r>
              <w:rPr>
                <w:rFonts w:ascii="宋体" w:hAnsi="宋体"/>
                <w:sz w:val="24"/>
                <w:szCs w:val="24"/>
              </w:rPr>
              <w:t>BALTSTON</w:t>
            </w:r>
          </w:p>
        </w:tc>
      </w:tr>
      <w:tr w14:paraId="04A61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trPr>
        <w:tc>
          <w:tcPr>
            <w:tcW w:w="1276" w:type="dxa"/>
            <w:vMerge w:val="continue"/>
            <w:vAlign w:val="center"/>
          </w:tcPr>
          <w:p w14:paraId="04A61C28">
            <w:pPr>
              <w:jc w:val="center"/>
              <w:rPr>
                <w:rFonts w:hint="eastAsia" w:ascii="宋体" w:hAnsi="宋体" w:cs="宋体"/>
                <w:b/>
                <w:kern w:val="0"/>
                <w:sz w:val="24"/>
                <w:szCs w:val="24"/>
              </w:rPr>
            </w:pPr>
          </w:p>
        </w:tc>
        <w:tc>
          <w:tcPr>
            <w:tcW w:w="1276" w:type="dxa"/>
            <w:vMerge w:val="continue"/>
          </w:tcPr>
          <w:p w14:paraId="04A61C29">
            <w:pPr>
              <w:jc w:val="center"/>
              <w:rPr>
                <w:rFonts w:hint="eastAsia" w:ascii="宋体" w:hAnsi="宋体" w:cs="宋体"/>
                <w:b/>
                <w:kern w:val="0"/>
                <w:sz w:val="24"/>
                <w:szCs w:val="24"/>
              </w:rPr>
            </w:pPr>
          </w:p>
        </w:tc>
        <w:tc>
          <w:tcPr>
            <w:tcW w:w="3101" w:type="dxa"/>
          </w:tcPr>
          <w:p w14:paraId="04A61C2A">
            <w:pPr>
              <w:jc w:val="left"/>
              <w:rPr>
                <w:rFonts w:hint="eastAsia" w:ascii="宋体" w:hAnsi="宋体" w:cs="宋体"/>
                <w:b/>
                <w:kern w:val="0"/>
                <w:sz w:val="24"/>
                <w:szCs w:val="24"/>
              </w:rPr>
            </w:pPr>
            <w:r>
              <w:rPr>
                <w:rFonts w:hint="eastAsia" w:ascii="宋体" w:hAnsi="宋体" w:cs="宋体"/>
                <w:b/>
                <w:kern w:val="0"/>
                <w:sz w:val="24"/>
                <w:szCs w:val="24"/>
              </w:rPr>
              <w:t>仪表风减压阀</w:t>
            </w:r>
          </w:p>
        </w:tc>
        <w:tc>
          <w:tcPr>
            <w:tcW w:w="3102" w:type="dxa"/>
          </w:tcPr>
          <w:p w14:paraId="04A61C2B">
            <w:pPr>
              <w:rPr>
                <w:rFonts w:hint="eastAsia" w:ascii="宋体" w:hAnsi="宋体" w:cs="宋体"/>
                <w:b/>
                <w:kern w:val="0"/>
                <w:sz w:val="24"/>
                <w:szCs w:val="24"/>
              </w:rPr>
            </w:pPr>
            <w:r>
              <w:rPr>
                <w:rFonts w:hint="eastAsia" w:ascii="宋体" w:hAnsi="宋体"/>
                <w:sz w:val="24"/>
                <w:szCs w:val="24"/>
              </w:rPr>
              <w:t>A</w:t>
            </w:r>
            <w:r>
              <w:rPr>
                <w:rFonts w:ascii="宋体" w:hAnsi="宋体"/>
                <w:sz w:val="24"/>
                <w:szCs w:val="24"/>
              </w:rPr>
              <w:t>IRTEC</w:t>
            </w:r>
            <w:r>
              <w:rPr>
                <w:rFonts w:hint="eastAsia" w:ascii="宋体" w:hAnsi="宋体"/>
                <w:sz w:val="24"/>
                <w:szCs w:val="24"/>
              </w:rPr>
              <w:t>/SMC/SNS</w:t>
            </w:r>
          </w:p>
        </w:tc>
      </w:tr>
      <w:tr w14:paraId="04A61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trPr>
        <w:tc>
          <w:tcPr>
            <w:tcW w:w="1276" w:type="dxa"/>
            <w:vMerge w:val="continue"/>
            <w:vAlign w:val="center"/>
          </w:tcPr>
          <w:p w14:paraId="04A61C2D">
            <w:pPr>
              <w:jc w:val="center"/>
              <w:rPr>
                <w:rFonts w:hint="eastAsia" w:ascii="宋体" w:hAnsi="宋体" w:cs="宋体"/>
                <w:b/>
                <w:kern w:val="0"/>
                <w:sz w:val="24"/>
                <w:szCs w:val="24"/>
              </w:rPr>
            </w:pPr>
          </w:p>
        </w:tc>
        <w:tc>
          <w:tcPr>
            <w:tcW w:w="1276" w:type="dxa"/>
            <w:vMerge w:val="continue"/>
          </w:tcPr>
          <w:p w14:paraId="04A61C2E">
            <w:pPr>
              <w:jc w:val="center"/>
              <w:rPr>
                <w:rFonts w:hint="eastAsia" w:ascii="宋体" w:hAnsi="宋体" w:cs="宋体"/>
                <w:b/>
                <w:kern w:val="0"/>
                <w:sz w:val="24"/>
                <w:szCs w:val="24"/>
              </w:rPr>
            </w:pPr>
          </w:p>
        </w:tc>
        <w:tc>
          <w:tcPr>
            <w:tcW w:w="3101" w:type="dxa"/>
          </w:tcPr>
          <w:p w14:paraId="04A61C2F">
            <w:pPr>
              <w:jc w:val="left"/>
              <w:rPr>
                <w:rFonts w:hint="eastAsia" w:ascii="宋体" w:hAnsi="宋体" w:cs="宋体"/>
                <w:b/>
                <w:kern w:val="0"/>
                <w:sz w:val="24"/>
                <w:szCs w:val="24"/>
              </w:rPr>
            </w:pPr>
            <w:r>
              <w:rPr>
                <w:rFonts w:hint="eastAsia" w:ascii="宋体" w:hAnsi="宋体" w:cs="宋体"/>
                <w:b/>
                <w:kern w:val="0"/>
                <w:sz w:val="24"/>
                <w:szCs w:val="24"/>
              </w:rPr>
              <w:t>流量计</w:t>
            </w:r>
          </w:p>
        </w:tc>
        <w:tc>
          <w:tcPr>
            <w:tcW w:w="3102" w:type="dxa"/>
          </w:tcPr>
          <w:p w14:paraId="04A61C30">
            <w:pPr>
              <w:rPr>
                <w:rFonts w:hint="eastAsia" w:ascii="宋体" w:hAnsi="宋体" w:cs="宋体"/>
                <w:b/>
                <w:kern w:val="0"/>
                <w:sz w:val="24"/>
                <w:szCs w:val="24"/>
              </w:rPr>
            </w:pPr>
            <w:r>
              <w:rPr>
                <w:rFonts w:hint="eastAsia" w:ascii="宋体" w:hAnsi="宋体"/>
                <w:sz w:val="24"/>
                <w:szCs w:val="24"/>
              </w:rPr>
              <w:t>K</w:t>
            </w:r>
            <w:r>
              <w:rPr>
                <w:rFonts w:ascii="宋体" w:hAnsi="宋体"/>
                <w:sz w:val="24"/>
                <w:szCs w:val="24"/>
              </w:rPr>
              <w:t>ROHNE</w:t>
            </w:r>
            <w:r>
              <w:rPr>
                <w:rFonts w:hint="eastAsia" w:ascii="宋体" w:hAnsi="宋体"/>
                <w:sz w:val="24"/>
                <w:szCs w:val="24"/>
              </w:rPr>
              <w:t>/ABB/Yokogawa</w:t>
            </w:r>
          </w:p>
        </w:tc>
      </w:tr>
      <w:tr w14:paraId="04A61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trPr>
        <w:tc>
          <w:tcPr>
            <w:tcW w:w="1276" w:type="dxa"/>
            <w:vMerge w:val="continue"/>
            <w:vAlign w:val="center"/>
          </w:tcPr>
          <w:p w14:paraId="04A61C32">
            <w:pPr>
              <w:jc w:val="center"/>
              <w:rPr>
                <w:rFonts w:hint="eastAsia" w:ascii="宋体" w:hAnsi="宋体" w:cs="宋体"/>
                <w:b/>
                <w:kern w:val="0"/>
                <w:sz w:val="24"/>
                <w:szCs w:val="24"/>
              </w:rPr>
            </w:pPr>
          </w:p>
        </w:tc>
        <w:tc>
          <w:tcPr>
            <w:tcW w:w="1276" w:type="dxa"/>
            <w:vMerge w:val="continue"/>
          </w:tcPr>
          <w:p w14:paraId="04A61C33">
            <w:pPr>
              <w:jc w:val="center"/>
              <w:rPr>
                <w:rFonts w:hint="eastAsia" w:ascii="宋体" w:hAnsi="宋体" w:cs="宋体"/>
                <w:b/>
                <w:kern w:val="0"/>
                <w:sz w:val="24"/>
                <w:szCs w:val="24"/>
              </w:rPr>
            </w:pPr>
          </w:p>
        </w:tc>
        <w:tc>
          <w:tcPr>
            <w:tcW w:w="3101" w:type="dxa"/>
          </w:tcPr>
          <w:p w14:paraId="04A61C34">
            <w:pPr>
              <w:jc w:val="left"/>
              <w:rPr>
                <w:rFonts w:hint="eastAsia" w:ascii="宋体" w:hAnsi="宋体" w:cs="宋体"/>
                <w:b/>
                <w:kern w:val="0"/>
                <w:sz w:val="24"/>
                <w:szCs w:val="24"/>
              </w:rPr>
            </w:pPr>
            <w:r>
              <w:rPr>
                <w:rFonts w:hint="eastAsia" w:ascii="宋体" w:hAnsi="宋体" w:cs="宋体"/>
                <w:b/>
                <w:kern w:val="0"/>
                <w:sz w:val="24"/>
                <w:szCs w:val="24"/>
              </w:rPr>
              <w:t>压力表及接口</w:t>
            </w:r>
          </w:p>
        </w:tc>
        <w:tc>
          <w:tcPr>
            <w:tcW w:w="3102" w:type="dxa"/>
          </w:tcPr>
          <w:p w14:paraId="04A61C35">
            <w:pPr>
              <w:rPr>
                <w:rFonts w:hint="eastAsia" w:ascii="宋体" w:hAnsi="宋体" w:cs="宋体"/>
                <w:b/>
                <w:kern w:val="0"/>
                <w:sz w:val="24"/>
                <w:szCs w:val="24"/>
              </w:rPr>
            </w:pPr>
            <w:r>
              <w:rPr>
                <w:rFonts w:hint="eastAsia" w:ascii="宋体" w:hAnsi="宋体"/>
                <w:sz w:val="24"/>
                <w:szCs w:val="24"/>
              </w:rPr>
              <w:t>W</w:t>
            </w:r>
            <w:r>
              <w:rPr>
                <w:rFonts w:ascii="宋体" w:hAnsi="宋体"/>
                <w:sz w:val="24"/>
                <w:szCs w:val="24"/>
              </w:rPr>
              <w:t>IKA/</w:t>
            </w:r>
            <w:r>
              <w:rPr>
                <w:rFonts w:hint="eastAsia" w:ascii="宋体" w:hAnsi="宋体"/>
                <w:sz w:val="24"/>
                <w:szCs w:val="24"/>
              </w:rPr>
              <w:t>布莱迪/SMC</w:t>
            </w:r>
          </w:p>
        </w:tc>
      </w:tr>
      <w:tr w14:paraId="04A61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trPr>
        <w:tc>
          <w:tcPr>
            <w:tcW w:w="1276" w:type="dxa"/>
            <w:vMerge w:val="continue"/>
            <w:vAlign w:val="center"/>
          </w:tcPr>
          <w:p w14:paraId="04A61C37">
            <w:pPr>
              <w:jc w:val="center"/>
              <w:rPr>
                <w:rFonts w:hint="eastAsia" w:ascii="宋体" w:hAnsi="宋体" w:cs="宋体"/>
                <w:b/>
                <w:kern w:val="0"/>
                <w:sz w:val="24"/>
                <w:szCs w:val="24"/>
              </w:rPr>
            </w:pPr>
          </w:p>
        </w:tc>
        <w:tc>
          <w:tcPr>
            <w:tcW w:w="1276" w:type="dxa"/>
            <w:vMerge w:val="continue"/>
          </w:tcPr>
          <w:p w14:paraId="04A61C38">
            <w:pPr>
              <w:jc w:val="center"/>
              <w:rPr>
                <w:rFonts w:hint="eastAsia" w:ascii="宋体" w:hAnsi="宋体" w:cs="宋体"/>
                <w:b/>
                <w:kern w:val="0"/>
                <w:sz w:val="24"/>
                <w:szCs w:val="24"/>
              </w:rPr>
            </w:pPr>
          </w:p>
        </w:tc>
        <w:tc>
          <w:tcPr>
            <w:tcW w:w="3101" w:type="dxa"/>
          </w:tcPr>
          <w:p w14:paraId="04A61C39">
            <w:pPr>
              <w:jc w:val="left"/>
              <w:rPr>
                <w:rFonts w:hint="eastAsia" w:ascii="宋体" w:hAnsi="宋体" w:cs="宋体"/>
                <w:b/>
                <w:kern w:val="0"/>
                <w:sz w:val="24"/>
                <w:szCs w:val="24"/>
              </w:rPr>
            </w:pPr>
            <w:r>
              <w:rPr>
                <w:rFonts w:hint="eastAsia" w:ascii="宋体" w:hAnsi="宋体" w:cs="宋体"/>
                <w:b/>
                <w:kern w:val="0"/>
                <w:sz w:val="24"/>
                <w:szCs w:val="24"/>
              </w:rPr>
              <w:t>防爆电器</w:t>
            </w:r>
          </w:p>
        </w:tc>
        <w:tc>
          <w:tcPr>
            <w:tcW w:w="3102" w:type="dxa"/>
          </w:tcPr>
          <w:p w14:paraId="04A61C3A">
            <w:pPr>
              <w:rPr>
                <w:rFonts w:hint="eastAsia" w:ascii="宋体" w:hAnsi="宋体" w:cs="宋体"/>
                <w:b/>
                <w:kern w:val="0"/>
                <w:sz w:val="24"/>
                <w:szCs w:val="24"/>
              </w:rPr>
            </w:pPr>
            <w:r>
              <w:rPr>
                <w:rFonts w:hint="eastAsia" w:ascii="宋体" w:hAnsi="宋体"/>
                <w:sz w:val="24"/>
                <w:szCs w:val="24"/>
              </w:rPr>
              <w:t>华荣/新黎明</w:t>
            </w:r>
          </w:p>
        </w:tc>
      </w:tr>
      <w:tr w14:paraId="04A61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trPr>
        <w:tc>
          <w:tcPr>
            <w:tcW w:w="1276" w:type="dxa"/>
            <w:vMerge w:val="continue"/>
            <w:vAlign w:val="center"/>
          </w:tcPr>
          <w:p w14:paraId="04A61C3C">
            <w:pPr>
              <w:jc w:val="center"/>
              <w:rPr>
                <w:rFonts w:hint="eastAsia" w:ascii="宋体" w:hAnsi="宋体" w:cs="宋体"/>
                <w:b/>
                <w:kern w:val="0"/>
                <w:sz w:val="24"/>
                <w:szCs w:val="24"/>
              </w:rPr>
            </w:pPr>
          </w:p>
        </w:tc>
        <w:tc>
          <w:tcPr>
            <w:tcW w:w="1276" w:type="dxa"/>
            <w:vMerge w:val="continue"/>
          </w:tcPr>
          <w:p w14:paraId="04A61C3D">
            <w:pPr>
              <w:jc w:val="center"/>
              <w:rPr>
                <w:rFonts w:hint="eastAsia" w:ascii="宋体" w:hAnsi="宋体" w:cs="宋体"/>
                <w:b/>
                <w:kern w:val="0"/>
                <w:sz w:val="24"/>
                <w:szCs w:val="24"/>
              </w:rPr>
            </w:pPr>
          </w:p>
        </w:tc>
        <w:tc>
          <w:tcPr>
            <w:tcW w:w="3101" w:type="dxa"/>
          </w:tcPr>
          <w:p w14:paraId="04A61C3E">
            <w:pPr>
              <w:jc w:val="left"/>
              <w:rPr>
                <w:rFonts w:hint="eastAsia" w:ascii="宋体" w:hAnsi="宋体" w:cs="宋体"/>
                <w:b/>
                <w:kern w:val="0"/>
                <w:sz w:val="24"/>
                <w:szCs w:val="24"/>
              </w:rPr>
            </w:pPr>
            <w:r>
              <w:rPr>
                <w:rFonts w:hint="eastAsia" w:ascii="宋体" w:hAnsi="宋体" w:cs="宋体"/>
                <w:b/>
                <w:kern w:val="0"/>
                <w:sz w:val="24"/>
                <w:szCs w:val="24"/>
              </w:rPr>
              <w:t>防爆轴流风机</w:t>
            </w:r>
          </w:p>
        </w:tc>
        <w:tc>
          <w:tcPr>
            <w:tcW w:w="3102" w:type="dxa"/>
          </w:tcPr>
          <w:p w14:paraId="04A61C3F">
            <w:pPr>
              <w:rPr>
                <w:rFonts w:hint="eastAsia" w:ascii="宋体" w:hAnsi="宋体" w:cs="宋体"/>
                <w:b/>
                <w:kern w:val="0"/>
                <w:sz w:val="24"/>
                <w:szCs w:val="24"/>
              </w:rPr>
            </w:pPr>
            <w:r>
              <w:rPr>
                <w:rFonts w:hint="eastAsia" w:ascii="宋体" w:hAnsi="宋体"/>
                <w:sz w:val="24"/>
                <w:szCs w:val="24"/>
              </w:rPr>
              <w:t>无锡康宁/飞策/二工</w:t>
            </w:r>
          </w:p>
        </w:tc>
      </w:tr>
      <w:tr w14:paraId="04A61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trPr>
        <w:tc>
          <w:tcPr>
            <w:tcW w:w="1276" w:type="dxa"/>
            <w:vMerge w:val="continue"/>
            <w:vAlign w:val="center"/>
          </w:tcPr>
          <w:p w14:paraId="04A61C41">
            <w:pPr>
              <w:jc w:val="center"/>
              <w:rPr>
                <w:rFonts w:hint="eastAsia" w:ascii="宋体" w:hAnsi="宋体" w:cs="宋体"/>
                <w:b/>
                <w:kern w:val="0"/>
                <w:sz w:val="24"/>
                <w:szCs w:val="24"/>
              </w:rPr>
            </w:pPr>
          </w:p>
        </w:tc>
        <w:tc>
          <w:tcPr>
            <w:tcW w:w="1276" w:type="dxa"/>
            <w:vMerge w:val="continue"/>
          </w:tcPr>
          <w:p w14:paraId="04A61C42">
            <w:pPr>
              <w:jc w:val="center"/>
              <w:rPr>
                <w:rFonts w:hint="eastAsia" w:ascii="宋体" w:hAnsi="宋体" w:cs="宋体"/>
                <w:b/>
                <w:kern w:val="0"/>
                <w:sz w:val="24"/>
                <w:szCs w:val="24"/>
              </w:rPr>
            </w:pPr>
          </w:p>
        </w:tc>
        <w:tc>
          <w:tcPr>
            <w:tcW w:w="3101" w:type="dxa"/>
          </w:tcPr>
          <w:p w14:paraId="04A61C43">
            <w:pPr>
              <w:jc w:val="left"/>
              <w:rPr>
                <w:rFonts w:hint="eastAsia" w:ascii="宋体" w:hAnsi="宋体" w:cs="宋体"/>
                <w:b/>
                <w:kern w:val="0"/>
                <w:sz w:val="24"/>
                <w:szCs w:val="24"/>
              </w:rPr>
            </w:pPr>
            <w:r>
              <w:rPr>
                <w:rFonts w:hint="eastAsia" w:ascii="宋体" w:hAnsi="宋体" w:cs="宋体"/>
                <w:b/>
                <w:kern w:val="0"/>
                <w:sz w:val="24"/>
                <w:szCs w:val="24"/>
              </w:rPr>
              <w:t>防爆空调</w:t>
            </w:r>
          </w:p>
        </w:tc>
        <w:tc>
          <w:tcPr>
            <w:tcW w:w="3102" w:type="dxa"/>
          </w:tcPr>
          <w:p w14:paraId="04A61C44">
            <w:pPr>
              <w:rPr>
                <w:rFonts w:hint="eastAsia" w:ascii="宋体" w:hAnsi="宋体" w:cs="宋体"/>
                <w:b/>
                <w:kern w:val="0"/>
                <w:sz w:val="24"/>
                <w:szCs w:val="24"/>
              </w:rPr>
            </w:pPr>
            <w:r>
              <w:rPr>
                <w:rFonts w:hint="eastAsia" w:ascii="宋体" w:hAnsi="宋体"/>
                <w:sz w:val="24"/>
                <w:szCs w:val="24"/>
              </w:rPr>
              <w:t>无锡康宁/南阳一通</w:t>
            </w:r>
          </w:p>
        </w:tc>
      </w:tr>
      <w:tr w14:paraId="04A61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trPr>
        <w:tc>
          <w:tcPr>
            <w:tcW w:w="1276" w:type="dxa"/>
            <w:vMerge w:val="continue"/>
            <w:vAlign w:val="center"/>
          </w:tcPr>
          <w:p w14:paraId="04A61C46">
            <w:pPr>
              <w:jc w:val="center"/>
              <w:rPr>
                <w:rFonts w:hint="eastAsia" w:ascii="宋体" w:hAnsi="宋体" w:cs="宋体"/>
                <w:b/>
                <w:kern w:val="0"/>
                <w:sz w:val="24"/>
                <w:szCs w:val="24"/>
              </w:rPr>
            </w:pPr>
          </w:p>
        </w:tc>
        <w:tc>
          <w:tcPr>
            <w:tcW w:w="1276" w:type="dxa"/>
            <w:vMerge w:val="continue"/>
          </w:tcPr>
          <w:p w14:paraId="04A61C47">
            <w:pPr>
              <w:jc w:val="center"/>
              <w:rPr>
                <w:rFonts w:hint="eastAsia" w:ascii="宋体" w:hAnsi="宋体" w:cs="宋体"/>
                <w:b/>
                <w:kern w:val="0"/>
                <w:sz w:val="24"/>
                <w:szCs w:val="24"/>
              </w:rPr>
            </w:pPr>
          </w:p>
        </w:tc>
        <w:tc>
          <w:tcPr>
            <w:tcW w:w="3101" w:type="dxa"/>
          </w:tcPr>
          <w:p w14:paraId="04A61C48">
            <w:pPr>
              <w:jc w:val="left"/>
              <w:rPr>
                <w:rFonts w:hint="eastAsia" w:ascii="宋体" w:hAnsi="宋体" w:cs="宋体"/>
                <w:b/>
                <w:kern w:val="0"/>
                <w:sz w:val="24"/>
                <w:szCs w:val="24"/>
              </w:rPr>
            </w:pPr>
            <w:r>
              <w:rPr>
                <w:rFonts w:hint="eastAsia" w:ascii="宋体" w:hAnsi="宋体" w:cs="宋体"/>
                <w:b/>
                <w:kern w:val="0"/>
                <w:sz w:val="24"/>
                <w:szCs w:val="24"/>
              </w:rPr>
              <w:t>一体化电伴热管缆</w:t>
            </w:r>
          </w:p>
        </w:tc>
        <w:tc>
          <w:tcPr>
            <w:tcW w:w="3102" w:type="dxa"/>
          </w:tcPr>
          <w:p w14:paraId="04A61C49">
            <w:pPr>
              <w:rPr>
                <w:rFonts w:hint="eastAsia" w:ascii="宋体" w:hAnsi="宋体" w:cs="宋体"/>
                <w:b/>
                <w:kern w:val="0"/>
                <w:sz w:val="24"/>
                <w:szCs w:val="24"/>
              </w:rPr>
            </w:pPr>
            <w:r>
              <w:rPr>
                <w:rFonts w:hint="eastAsia" w:ascii="宋体" w:hAnsi="宋体"/>
                <w:sz w:val="24"/>
                <w:szCs w:val="24"/>
              </w:rPr>
              <w:t>O</w:t>
            </w:r>
            <w:r>
              <w:rPr>
                <w:rFonts w:ascii="宋体" w:hAnsi="宋体"/>
                <w:sz w:val="24"/>
                <w:szCs w:val="24"/>
              </w:rPr>
              <w:t>’B</w:t>
            </w:r>
            <w:r>
              <w:rPr>
                <w:rFonts w:hint="eastAsia" w:ascii="宋体" w:hAnsi="宋体"/>
                <w:sz w:val="24"/>
                <w:szCs w:val="24"/>
              </w:rPr>
              <w:t>rien</w:t>
            </w:r>
            <w:r>
              <w:rPr>
                <w:rFonts w:ascii="宋体" w:hAnsi="宋体"/>
                <w:sz w:val="24"/>
                <w:szCs w:val="24"/>
              </w:rPr>
              <w:t>/Thermon</w:t>
            </w:r>
            <w:r>
              <w:rPr>
                <w:rFonts w:hint="eastAsia" w:ascii="宋体" w:hAnsi="宋体"/>
                <w:sz w:val="24"/>
                <w:szCs w:val="24"/>
              </w:rPr>
              <w:t>/ Bartec</w:t>
            </w:r>
          </w:p>
        </w:tc>
      </w:tr>
      <w:tr w14:paraId="04A61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trPr>
        <w:tc>
          <w:tcPr>
            <w:tcW w:w="1276" w:type="dxa"/>
            <w:vMerge w:val="continue"/>
            <w:vAlign w:val="center"/>
          </w:tcPr>
          <w:p w14:paraId="04A61C4B">
            <w:pPr>
              <w:jc w:val="center"/>
              <w:rPr>
                <w:rFonts w:hint="eastAsia" w:ascii="宋体" w:hAnsi="宋体" w:cs="宋体"/>
                <w:b/>
                <w:kern w:val="0"/>
                <w:sz w:val="24"/>
                <w:szCs w:val="24"/>
              </w:rPr>
            </w:pPr>
          </w:p>
        </w:tc>
        <w:tc>
          <w:tcPr>
            <w:tcW w:w="1276" w:type="dxa"/>
            <w:vMerge w:val="continue"/>
          </w:tcPr>
          <w:p w14:paraId="04A61C4C">
            <w:pPr>
              <w:jc w:val="center"/>
              <w:rPr>
                <w:rFonts w:hint="eastAsia" w:ascii="宋体" w:hAnsi="宋体" w:cs="宋体"/>
                <w:b/>
                <w:kern w:val="0"/>
                <w:sz w:val="24"/>
                <w:szCs w:val="24"/>
              </w:rPr>
            </w:pPr>
          </w:p>
        </w:tc>
        <w:tc>
          <w:tcPr>
            <w:tcW w:w="3101" w:type="dxa"/>
          </w:tcPr>
          <w:p w14:paraId="04A61C4D">
            <w:pPr>
              <w:jc w:val="left"/>
              <w:rPr>
                <w:rFonts w:hint="eastAsia" w:ascii="宋体" w:hAnsi="宋体" w:cs="宋体"/>
                <w:b/>
                <w:kern w:val="0"/>
                <w:sz w:val="24"/>
                <w:szCs w:val="24"/>
              </w:rPr>
            </w:pPr>
            <w:r>
              <w:rPr>
                <w:rFonts w:hint="eastAsia" w:ascii="宋体" w:hAnsi="宋体" w:cs="宋体"/>
                <w:b/>
                <w:kern w:val="0"/>
                <w:sz w:val="24"/>
                <w:szCs w:val="24"/>
              </w:rPr>
              <w:t>样品减压阀</w:t>
            </w:r>
          </w:p>
        </w:tc>
        <w:tc>
          <w:tcPr>
            <w:tcW w:w="3102" w:type="dxa"/>
          </w:tcPr>
          <w:p w14:paraId="04A61C4E">
            <w:pPr>
              <w:rPr>
                <w:rFonts w:hint="eastAsia" w:ascii="宋体" w:hAnsi="宋体" w:cs="宋体"/>
                <w:b/>
                <w:kern w:val="0"/>
                <w:sz w:val="24"/>
                <w:szCs w:val="24"/>
              </w:rPr>
            </w:pPr>
            <w:r>
              <w:rPr>
                <w:rFonts w:hint="eastAsia" w:ascii="宋体" w:hAnsi="宋体"/>
                <w:sz w:val="24"/>
                <w:szCs w:val="24"/>
              </w:rPr>
              <w:t>G</w:t>
            </w:r>
            <w:r>
              <w:rPr>
                <w:rFonts w:ascii="宋体" w:hAnsi="宋体"/>
                <w:sz w:val="24"/>
                <w:szCs w:val="24"/>
              </w:rPr>
              <w:t>O/PARKER/TECOM</w:t>
            </w:r>
          </w:p>
        </w:tc>
      </w:tr>
      <w:tr w14:paraId="04A61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trPr>
        <w:tc>
          <w:tcPr>
            <w:tcW w:w="1276" w:type="dxa"/>
            <w:vMerge w:val="continue"/>
            <w:vAlign w:val="center"/>
          </w:tcPr>
          <w:p w14:paraId="04A61C50">
            <w:pPr>
              <w:jc w:val="center"/>
              <w:rPr>
                <w:rFonts w:hint="eastAsia" w:ascii="宋体" w:hAnsi="宋体" w:cs="宋体"/>
                <w:b/>
                <w:kern w:val="0"/>
                <w:sz w:val="24"/>
                <w:szCs w:val="24"/>
              </w:rPr>
            </w:pPr>
          </w:p>
        </w:tc>
        <w:tc>
          <w:tcPr>
            <w:tcW w:w="1276" w:type="dxa"/>
            <w:vMerge w:val="continue"/>
          </w:tcPr>
          <w:p w14:paraId="04A61C51">
            <w:pPr>
              <w:jc w:val="center"/>
              <w:rPr>
                <w:rFonts w:hint="eastAsia" w:ascii="宋体" w:hAnsi="宋体" w:cs="宋体"/>
                <w:b/>
                <w:kern w:val="0"/>
                <w:sz w:val="24"/>
                <w:szCs w:val="24"/>
              </w:rPr>
            </w:pPr>
          </w:p>
        </w:tc>
        <w:tc>
          <w:tcPr>
            <w:tcW w:w="3101" w:type="dxa"/>
          </w:tcPr>
          <w:p w14:paraId="04A61C52">
            <w:pPr>
              <w:jc w:val="left"/>
              <w:rPr>
                <w:rFonts w:hint="eastAsia" w:ascii="宋体" w:hAnsi="宋体" w:cs="宋体"/>
                <w:b/>
                <w:kern w:val="0"/>
                <w:sz w:val="24"/>
                <w:szCs w:val="24"/>
              </w:rPr>
            </w:pPr>
            <w:r>
              <w:rPr>
                <w:rFonts w:hint="eastAsia" w:ascii="宋体" w:hAnsi="宋体" w:cs="宋体"/>
                <w:b/>
                <w:kern w:val="0"/>
                <w:sz w:val="24"/>
                <w:szCs w:val="24"/>
              </w:rPr>
              <w:t>电加热器</w:t>
            </w:r>
          </w:p>
        </w:tc>
        <w:tc>
          <w:tcPr>
            <w:tcW w:w="3102" w:type="dxa"/>
          </w:tcPr>
          <w:p w14:paraId="04A61C53">
            <w:pPr>
              <w:rPr>
                <w:rFonts w:hint="eastAsia" w:ascii="宋体" w:hAnsi="宋体" w:cs="宋体"/>
                <w:b/>
                <w:kern w:val="0"/>
                <w:sz w:val="24"/>
                <w:szCs w:val="24"/>
              </w:rPr>
            </w:pPr>
            <w:r>
              <w:rPr>
                <w:rFonts w:hint="eastAsia" w:ascii="宋体" w:hAnsi="宋体"/>
                <w:sz w:val="24"/>
                <w:szCs w:val="24"/>
              </w:rPr>
              <w:t>Condor</w:t>
            </w:r>
            <w:r>
              <w:rPr>
                <w:rFonts w:ascii="宋体" w:hAnsi="宋体"/>
                <w:sz w:val="24"/>
                <w:szCs w:val="24"/>
              </w:rPr>
              <w:t>/I</w:t>
            </w:r>
            <w:r>
              <w:rPr>
                <w:rFonts w:hint="eastAsia" w:ascii="宋体" w:hAnsi="宋体"/>
                <w:sz w:val="24"/>
                <w:szCs w:val="24"/>
              </w:rPr>
              <w:t>ntertec/Bartec</w:t>
            </w:r>
          </w:p>
        </w:tc>
      </w:tr>
      <w:tr w14:paraId="04A61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trPr>
        <w:tc>
          <w:tcPr>
            <w:tcW w:w="1276" w:type="dxa"/>
            <w:vMerge w:val="continue"/>
            <w:vAlign w:val="center"/>
          </w:tcPr>
          <w:p w14:paraId="04A61C55">
            <w:pPr>
              <w:jc w:val="center"/>
              <w:rPr>
                <w:rFonts w:hint="eastAsia" w:ascii="宋体" w:hAnsi="宋体" w:cs="宋体"/>
                <w:b/>
                <w:kern w:val="0"/>
                <w:sz w:val="24"/>
                <w:szCs w:val="24"/>
              </w:rPr>
            </w:pPr>
          </w:p>
        </w:tc>
        <w:tc>
          <w:tcPr>
            <w:tcW w:w="1276" w:type="dxa"/>
            <w:vMerge w:val="continue"/>
          </w:tcPr>
          <w:p w14:paraId="04A61C56">
            <w:pPr>
              <w:jc w:val="center"/>
              <w:rPr>
                <w:rFonts w:hint="eastAsia" w:ascii="宋体" w:hAnsi="宋体" w:cs="宋体"/>
                <w:b/>
                <w:kern w:val="0"/>
                <w:sz w:val="24"/>
                <w:szCs w:val="24"/>
              </w:rPr>
            </w:pPr>
          </w:p>
        </w:tc>
        <w:tc>
          <w:tcPr>
            <w:tcW w:w="3101" w:type="dxa"/>
          </w:tcPr>
          <w:p w14:paraId="04A61C57">
            <w:pPr>
              <w:jc w:val="left"/>
              <w:rPr>
                <w:rFonts w:hint="eastAsia" w:ascii="宋体" w:hAnsi="宋体" w:cs="宋体"/>
                <w:b/>
                <w:kern w:val="0"/>
                <w:sz w:val="24"/>
                <w:szCs w:val="24"/>
              </w:rPr>
            </w:pPr>
            <w:r>
              <w:rPr>
                <w:rFonts w:hint="eastAsia" w:ascii="宋体" w:hAnsi="宋体" w:cs="宋体"/>
                <w:b/>
                <w:kern w:val="0"/>
                <w:sz w:val="24"/>
                <w:szCs w:val="24"/>
              </w:rPr>
              <w:t>钢瓶减压阀</w:t>
            </w:r>
          </w:p>
        </w:tc>
        <w:tc>
          <w:tcPr>
            <w:tcW w:w="3102" w:type="dxa"/>
          </w:tcPr>
          <w:p w14:paraId="04A61C58">
            <w:pPr>
              <w:rPr>
                <w:rFonts w:hint="eastAsia" w:ascii="宋体" w:hAnsi="宋体" w:cs="宋体"/>
                <w:b/>
                <w:kern w:val="0"/>
                <w:sz w:val="24"/>
                <w:szCs w:val="24"/>
              </w:rPr>
            </w:pPr>
            <w:r>
              <w:rPr>
                <w:rFonts w:hint="eastAsia" w:ascii="宋体" w:hAnsi="宋体"/>
                <w:sz w:val="24"/>
                <w:szCs w:val="24"/>
              </w:rPr>
              <w:t>A</w:t>
            </w:r>
            <w:r>
              <w:rPr>
                <w:rFonts w:ascii="宋体" w:hAnsi="宋体"/>
                <w:sz w:val="24"/>
                <w:szCs w:val="24"/>
              </w:rPr>
              <w:t>MFLO</w:t>
            </w:r>
            <w:r>
              <w:rPr>
                <w:rFonts w:hint="eastAsia" w:ascii="宋体" w:hAnsi="宋体"/>
                <w:sz w:val="24"/>
                <w:szCs w:val="24"/>
              </w:rPr>
              <w:t>/Parker</w:t>
            </w:r>
          </w:p>
        </w:tc>
      </w:tr>
      <w:tr w14:paraId="04A61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trPr>
        <w:tc>
          <w:tcPr>
            <w:tcW w:w="1276" w:type="dxa"/>
            <w:vMerge w:val="continue"/>
            <w:vAlign w:val="center"/>
          </w:tcPr>
          <w:p w14:paraId="04A61C5A">
            <w:pPr>
              <w:jc w:val="center"/>
              <w:rPr>
                <w:rFonts w:hint="eastAsia" w:ascii="宋体" w:hAnsi="宋体" w:cs="宋体"/>
                <w:b/>
                <w:kern w:val="0"/>
                <w:sz w:val="24"/>
                <w:szCs w:val="24"/>
              </w:rPr>
            </w:pPr>
          </w:p>
        </w:tc>
        <w:tc>
          <w:tcPr>
            <w:tcW w:w="1276" w:type="dxa"/>
            <w:vMerge w:val="continue"/>
          </w:tcPr>
          <w:p w14:paraId="04A61C5B">
            <w:pPr>
              <w:jc w:val="center"/>
              <w:rPr>
                <w:rFonts w:hint="eastAsia" w:ascii="宋体" w:hAnsi="宋体" w:cs="宋体"/>
                <w:b/>
                <w:kern w:val="0"/>
                <w:sz w:val="24"/>
                <w:szCs w:val="24"/>
              </w:rPr>
            </w:pPr>
          </w:p>
        </w:tc>
        <w:tc>
          <w:tcPr>
            <w:tcW w:w="3101" w:type="dxa"/>
          </w:tcPr>
          <w:p w14:paraId="04A61C5C">
            <w:pPr>
              <w:jc w:val="left"/>
              <w:rPr>
                <w:rFonts w:hint="eastAsia" w:ascii="宋体" w:hAnsi="宋体" w:cs="宋体"/>
                <w:b/>
                <w:kern w:val="0"/>
                <w:sz w:val="24"/>
                <w:szCs w:val="24"/>
              </w:rPr>
            </w:pPr>
            <w:r>
              <w:rPr>
                <w:rFonts w:hint="eastAsia" w:ascii="宋体" w:hAnsi="宋体" w:cs="宋体"/>
                <w:b/>
                <w:kern w:val="0"/>
                <w:sz w:val="24"/>
                <w:szCs w:val="24"/>
              </w:rPr>
              <w:t>色谱分析仪</w:t>
            </w:r>
          </w:p>
        </w:tc>
        <w:tc>
          <w:tcPr>
            <w:tcW w:w="3102" w:type="dxa"/>
          </w:tcPr>
          <w:p w14:paraId="04A61C5D">
            <w:pPr>
              <w:rPr>
                <w:rFonts w:hint="eastAsia" w:ascii="宋体" w:hAnsi="宋体"/>
                <w:sz w:val="24"/>
                <w:szCs w:val="24"/>
              </w:rPr>
            </w:pPr>
            <w:r>
              <w:rPr>
                <w:rFonts w:hint="eastAsia" w:ascii="宋体" w:hAnsi="宋体"/>
                <w:sz w:val="24"/>
                <w:szCs w:val="24"/>
              </w:rPr>
              <w:t>艾默生/维美德/仕福梅</w:t>
            </w:r>
          </w:p>
        </w:tc>
      </w:tr>
      <w:tr w14:paraId="04A61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trPr>
        <w:tc>
          <w:tcPr>
            <w:tcW w:w="1276" w:type="dxa"/>
            <w:vMerge w:val="continue"/>
            <w:vAlign w:val="center"/>
          </w:tcPr>
          <w:p w14:paraId="04A61C5F">
            <w:pPr>
              <w:jc w:val="center"/>
              <w:rPr>
                <w:rFonts w:hint="eastAsia" w:ascii="宋体" w:hAnsi="宋体" w:cs="宋体"/>
                <w:b/>
                <w:kern w:val="0"/>
                <w:sz w:val="24"/>
                <w:szCs w:val="24"/>
              </w:rPr>
            </w:pPr>
          </w:p>
        </w:tc>
        <w:tc>
          <w:tcPr>
            <w:tcW w:w="1276" w:type="dxa"/>
            <w:vMerge w:val="continue"/>
          </w:tcPr>
          <w:p w14:paraId="04A61C60">
            <w:pPr>
              <w:jc w:val="center"/>
              <w:rPr>
                <w:rFonts w:hint="eastAsia" w:ascii="宋体" w:hAnsi="宋体" w:cs="宋体"/>
                <w:b/>
                <w:kern w:val="0"/>
                <w:sz w:val="24"/>
                <w:szCs w:val="24"/>
              </w:rPr>
            </w:pPr>
          </w:p>
        </w:tc>
        <w:tc>
          <w:tcPr>
            <w:tcW w:w="3101" w:type="dxa"/>
          </w:tcPr>
          <w:p w14:paraId="04A61C61">
            <w:pPr>
              <w:jc w:val="left"/>
              <w:rPr>
                <w:rFonts w:hint="eastAsia" w:ascii="宋体" w:hAnsi="宋体" w:cs="宋体"/>
                <w:b/>
                <w:kern w:val="0"/>
                <w:sz w:val="24"/>
                <w:szCs w:val="24"/>
              </w:rPr>
            </w:pPr>
            <w:r>
              <w:rPr>
                <w:rFonts w:hint="eastAsia" w:ascii="宋体" w:hAnsi="宋体" w:cs="宋体"/>
                <w:b/>
                <w:kern w:val="0"/>
                <w:sz w:val="24"/>
                <w:szCs w:val="24"/>
              </w:rPr>
              <w:t>电导率仪/PH计</w:t>
            </w:r>
          </w:p>
        </w:tc>
        <w:tc>
          <w:tcPr>
            <w:tcW w:w="3102" w:type="dxa"/>
          </w:tcPr>
          <w:p w14:paraId="04A61C62">
            <w:pPr>
              <w:rPr>
                <w:rFonts w:hint="eastAsia" w:ascii="宋体" w:hAnsi="宋体"/>
                <w:sz w:val="24"/>
                <w:szCs w:val="24"/>
              </w:rPr>
            </w:pPr>
            <w:r>
              <w:rPr>
                <w:rFonts w:hint="eastAsia" w:ascii="宋体" w:hAnsi="宋体"/>
                <w:sz w:val="24"/>
                <w:szCs w:val="24"/>
              </w:rPr>
              <w:t>哈希/横河/锦汐</w:t>
            </w:r>
          </w:p>
        </w:tc>
      </w:tr>
      <w:tr w14:paraId="04A61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trPr>
        <w:tc>
          <w:tcPr>
            <w:tcW w:w="1276" w:type="dxa"/>
            <w:vMerge w:val="continue"/>
            <w:vAlign w:val="center"/>
          </w:tcPr>
          <w:p w14:paraId="04A61C64">
            <w:pPr>
              <w:jc w:val="center"/>
              <w:rPr>
                <w:rFonts w:hint="eastAsia" w:ascii="宋体" w:hAnsi="宋体" w:cs="宋体"/>
                <w:b/>
                <w:kern w:val="0"/>
                <w:sz w:val="24"/>
                <w:szCs w:val="24"/>
              </w:rPr>
            </w:pPr>
          </w:p>
        </w:tc>
        <w:tc>
          <w:tcPr>
            <w:tcW w:w="1276" w:type="dxa"/>
            <w:vMerge w:val="continue"/>
          </w:tcPr>
          <w:p w14:paraId="04A61C65">
            <w:pPr>
              <w:jc w:val="center"/>
              <w:rPr>
                <w:rFonts w:hint="eastAsia" w:ascii="宋体" w:hAnsi="宋体" w:cs="宋体"/>
                <w:b/>
                <w:kern w:val="0"/>
                <w:sz w:val="24"/>
                <w:szCs w:val="24"/>
              </w:rPr>
            </w:pPr>
          </w:p>
        </w:tc>
        <w:tc>
          <w:tcPr>
            <w:tcW w:w="3101" w:type="dxa"/>
          </w:tcPr>
          <w:p w14:paraId="04A61C66">
            <w:pPr>
              <w:jc w:val="left"/>
              <w:rPr>
                <w:rFonts w:hint="eastAsia" w:ascii="宋体" w:hAnsi="宋体" w:cs="宋体"/>
                <w:b/>
                <w:kern w:val="0"/>
                <w:sz w:val="24"/>
                <w:szCs w:val="24"/>
              </w:rPr>
            </w:pPr>
            <w:r>
              <w:rPr>
                <w:rFonts w:hint="eastAsia" w:ascii="宋体" w:hAnsi="宋体" w:cs="宋体"/>
                <w:b/>
                <w:kern w:val="0"/>
                <w:sz w:val="24"/>
                <w:szCs w:val="24"/>
              </w:rPr>
              <w:t>氨氮/总氮/多参数测量</w:t>
            </w:r>
          </w:p>
        </w:tc>
        <w:tc>
          <w:tcPr>
            <w:tcW w:w="3102" w:type="dxa"/>
          </w:tcPr>
          <w:p w14:paraId="04A61C67">
            <w:pPr>
              <w:rPr>
                <w:rFonts w:hint="eastAsia" w:ascii="宋体" w:hAnsi="宋体"/>
                <w:sz w:val="24"/>
                <w:szCs w:val="24"/>
              </w:rPr>
            </w:pPr>
            <w:r>
              <w:rPr>
                <w:rFonts w:hint="eastAsia" w:ascii="宋体" w:hAnsi="宋体"/>
                <w:sz w:val="24"/>
                <w:szCs w:val="24"/>
              </w:rPr>
              <w:t>WTW/哈希/艾默生</w:t>
            </w:r>
          </w:p>
        </w:tc>
      </w:tr>
      <w:tr w14:paraId="04A61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9" w:hRule="atLeast"/>
        </w:trPr>
        <w:tc>
          <w:tcPr>
            <w:tcW w:w="1276" w:type="dxa"/>
            <w:vAlign w:val="center"/>
          </w:tcPr>
          <w:p w14:paraId="04A61C69">
            <w:pPr>
              <w:jc w:val="center"/>
              <w:rPr>
                <w:rFonts w:hint="eastAsia" w:ascii="宋体" w:hAnsi="宋体" w:cs="宋体"/>
                <w:b/>
                <w:kern w:val="0"/>
                <w:sz w:val="24"/>
                <w:szCs w:val="24"/>
              </w:rPr>
            </w:pPr>
            <w:r>
              <w:rPr>
                <w:rFonts w:hint="eastAsia" w:ascii="宋体" w:hAnsi="宋体" w:cs="宋体"/>
                <w:b/>
                <w:kern w:val="0"/>
                <w:sz w:val="24"/>
                <w:szCs w:val="24"/>
              </w:rPr>
              <w:t>19</w:t>
            </w:r>
          </w:p>
        </w:tc>
        <w:tc>
          <w:tcPr>
            <w:tcW w:w="1276" w:type="dxa"/>
            <w:vAlign w:val="center"/>
          </w:tcPr>
          <w:p w14:paraId="04A61C6A">
            <w:pPr>
              <w:jc w:val="center"/>
              <w:rPr>
                <w:rFonts w:hint="eastAsia" w:ascii="宋体" w:hAnsi="宋体" w:cs="宋体"/>
                <w:b/>
                <w:kern w:val="0"/>
                <w:sz w:val="24"/>
                <w:szCs w:val="24"/>
              </w:rPr>
            </w:pPr>
            <w:r>
              <w:rPr>
                <w:rFonts w:hint="eastAsia" w:ascii="宋体" w:hAnsi="宋体" w:cs="宋体"/>
                <w:b/>
                <w:kern w:val="0"/>
                <w:sz w:val="24"/>
                <w:szCs w:val="24"/>
              </w:rPr>
              <w:t>招标机构</w:t>
            </w:r>
          </w:p>
          <w:p w14:paraId="04A61C6B">
            <w:pPr>
              <w:jc w:val="center"/>
              <w:rPr>
                <w:rFonts w:hint="eastAsia" w:ascii="宋体" w:hAnsi="宋体" w:cs="宋体"/>
                <w:b/>
                <w:kern w:val="0"/>
                <w:sz w:val="24"/>
                <w:szCs w:val="24"/>
              </w:rPr>
            </w:pPr>
            <w:r>
              <w:rPr>
                <w:rFonts w:hint="eastAsia" w:ascii="宋体" w:hAnsi="宋体" w:cs="宋体"/>
                <w:b/>
                <w:kern w:val="0"/>
                <w:sz w:val="24"/>
                <w:szCs w:val="24"/>
              </w:rPr>
              <w:t>联系方式</w:t>
            </w:r>
          </w:p>
        </w:tc>
        <w:tc>
          <w:tcPr>
            <w:tcW w:w="6203" w:type="dxa"/>
            <w:gridSpan w:val="2"/>
            <w:vAlign w:val="center"/>
          </w:tcPr>
          <w:p w14:paraId="04A61C6C">
            <w:pPr>
              <w:spacing w:line="360" w:lineRule="auto"/>
              <w:rPr>
                <w:rFonts w:hint="eastAsia" w:ascii="宋体" w:hAnsi="宋体" w:cs="宋体"/>
                <w:b/>
                <w:kern w:val="0"/>
                <w:sz w:val="24"/>
                <w:szCs w:val="24"/>
              </w:rPr>
            </w:pPr>
            <w:r>
              <w:rPr>
                <w:rFonts w:hint="eastAsia" w:ascii="宋体" w:hAnsi="宋体" w:cs="宋体"/>
                <w:b/>
                <w:kern w:val="0"/>
                <w:sz w:val="24"/>
                <w:szCs w:val="24"/>
              </w:rPr>
              <w:t xml:space="preserve">联 系 人：  郑启威   </w:t>
            </w:r>
          </w:p>
          <w:p w14:paraId="04A61C6D">
            <w:pPr>
              <w:spacing w:line="360" w:lineRule="auto"/>
              <w:rPr>
                <w:rFonts w:hint="eastAsia" w:ascii="宋体" w:hAnsi="宋体" w:cs="宋体"/>
                <w:b/>
                <w:kern w:val="0"/>
                <w:sz w:val="24"/>
                <w:szCs w:val="24"/>
              </w:rPr>
            </w:pPr>
            <w:r>
              <w:rPr>
                <w:rFonts w:hint="eastAsia" w:ascii="宋体" w:hAnsi="宋体" w:cs="宋体"/>
                <w:b/>
                <w:kern w:val="0"/>
                <w:sz w:val="24"/>
                <w:szCs w:val="24"/>
              </w:rPr>
              <w:t xml:space="preserve">联系电话： </w:t>
            </w:r>
            <w:r>
              <w:rPr>
                <w:rFonts w:ascii="宋体" w:hAnsi="宋体"/>
                <w:sz w:val="24"/>
                <w:szCs w:val="24"/>
              </w:rPr>
              <w:t xml:space="preserve"> </w:t>
            </w:r>
            <w:r>
              <w:rPr>
                <w:rFonts w:hint="eastAsia" w:ascii="宋体" w:hAnsi="宋体" w:cs="宋体"/>
                <w:b/>
                <w:kern w:val="0"/>
                <w:sz w:val="24"/>
                <w:szCs w:val="24"/>
              </w:rPr>
              <w:t xml:space="preserve">  15057055408            </w:t>
            </w:r>
          </w:p>
          <w:p w14:paraId="04A61C6E">
            <w:pPr>
              <w:spacing w:line="360" w:lineRule="auto"/>
              <w:rPr>
                <w:rFonts w:hint="eastAsia" w:ascii="宋体" w:hAnsi="宋体" w:cs="宋体"/>
                <w:b/>
                <w:kern w:val="0"/>
                <w:sz w:val="24"/>
                <w:szCs w:val="24"/>
              </w:rPr>
            </w:pPr>
            <w:r>
              <w:rPr>
                <w:rFonts w:hint="eastAsia" w:ascii="宋体" w:hAnsi="宋体" w:cs="宋体"/>
                <w:b/>
                <w:kern w:val="0"/>
                <w:sz w:val="24"/>
                <w:szCs w:val="24"/>
              </w:rPr>
              <w:t xml:space="preserve">邮　　箱： </w:t>
            </w:r>
            <w:r>
              <w:rPr>
                <w:rFonts w:ascii="宋体" w:hAnsi="宋体"/>
                <w:sz w:val="24"/>
                <w:szCs w:val="24"/>
              </w:rPr>
              <w:t xml:space="preserve"> </w:t>
            </w:r>
            <w:r>
              <w:rPr>
                <w:rFonts w:hint="eastAsia" w:ascii="宋体" w:hAnsi="宋体" w:cs="宋体"/>
                <w:b/>
                <w:kern w:val="0"/>
                <w:sz w:val="24"/>
                <w:szCs w:val="24"/>
              </w:rPr>
              <w:t>zqw656446889@126.com</w:t>
            </w:r>
          </w:p>
        </w:tc>
      </w:tr>
    </w:tbl>
    <w:p w14:paraId="04A61C70">
      <w:pPr>
        <w:pStyle w:val="5"/>
        <w:rPr>
          <w:rFonts w:hint="eastAsia" w:ascii="宋体" w:hAnsi="宋体"/>
          <w:kern w:val="0"/>
          <w:sz w:val="24"/>
          <w:szCs w:val="24"/>
        </w:rPr>
        <w:sectPr>
          <w:headerReference r:id="rId4" w:type="first"/>
          <w:footerReference r:id="rId6" w:type="first"/>
          <w:headerReference r:id="rId3" w:type="default"/>
          <w:footerReference r:id="rId5" w:type="default"/>
          <w:pgSz w:w="11907" w:h="16840"/>
          <w:pgMar w:top="1440" w:right="1797" w:bottom="1440" w:left="1797" w:header="567" w:footer="992" w:gutter="0"/>
          <w:cols w:space="720" w:num="1"/>
          <w:docGrid w:type="linesAndChars" w:linePitch="312" w:charSpace="0"/>
        </w:sectPr>
      </w:pPr>
      <w:bookmarkStart w:id="9" w:name="_Toc441676615"/>
      <w:bookmarkStart w:id="10" w:name="_Toc368928471"/>
    </w:p>
    <w:p w14:paraId="04A61C71">
      <w:pPr>
        <w:pStyle w:val="5"/>
        <w:jc w:val="both"/>
        <w:rPr>
          <w:rFonts w:hint="eastAsia" w:ascii="宋体" w:hAnsi="宋体"/>
          <w:kern w:val="0"/>
          <w:sz w:val="24"/>
          <w:szCs w:val="24"/>
        </w:rPr>
      </w:pPr>
      <w:bookmarkStart w:id="11" w:name="_Toc161130974"/>
      <w:r>
        <w:rPr>
          <w:rFonts w:hint="eastAsia" w:ascii="宋体" w:hAnsi="宋体"/>
          <w:kern w:val="0"/>
          <w:sz w:val="24"/>
          <w:szCs w:val="24"/>
        </w:rPr>
        <w:t>第三章　投标人须知</w:t>
      </w:r>
      <w:bookmarkEnd w:id="9"/>
      <w:bookmarkEnd w:id="10"/>
      <w:bookmarkEnd w:id="11"/>
    </w:p>
    <w:p w14:paraId="04A61C72">
      <w:pPr>
        <w:snapToGrid w:val="0"/>
        <w:spacing w:line="360" w:lineRule="auto"/>
        <w:ind w:left="426"/>
        <w:outlineLvl w:val="1"/>
        <w:rPr>
          <w:rFonts w:hint="eastAsia" w:ascii="宋体" w:hAnsi="宋体"/>
          <w:b/>
          <w:sz w:val="24"/>
          <w:szCs w:val="24"/>
        </w:rPr>
      </w:pPr>
      <w:bookmarkStart w:id="12" w:name="_Toc161130975"/>
      <w:bookmarkStart w:id="13" w:name="_Toc127277060"/>
      <w:r>
        <w:rPr>
          <w:rFonts w:ascii="宋体" w:hAnsi="宋体"/>
          <w:b/>
          <w:sz w:val="24"/>
          <w:szCs w:val="24"/>
        </w:rPr>
        <w:t>一、总  则</w:t>
      </w:r>
      <w:bookmarkEnd w:id="12"/>
      <w:bookmarkEnd w:id="13"/>
    </w:p>
    <w:p w14:paraId="04A61C73">
      <w:pPr>
        <w:snapToGrid w:val="0"/>
        <w:spacing w:line="360" w:lineRule="auto"/>
        <w:ind w:firstLine="426"/>
        <w:rPr>
          <w:rFonts w:hint="eastAsia" w:ascii="宋体" w:hAnsi="宋体"/>
          <w:b/>
          <w:sz w:val="24"/>
          <w:szCs w:val="24"/>
        </w:rPr>
      </w:pPr>
      <w:r>
        <w:rPr>
          <w:rFonts w:hint="eastAsia" w:ascii="宋体" w:hAnsi="宋体"/>
          <w:b/>
          <w:sz w:val="24"/>
          <w:szCs w:val="24"/>
        </w:rPr>
        <w:t>（一） 适用范围</w:t>
      </w:r>
    </w:p>
    <w:p w14:paraId="04A61C74">
      <w:pPr>
        <w:snapToGrid w:val="0"/>
        <w:spacing w:line="360" w:lineRule="auto"/>
        <w:ind w:firstLine="426"/>
        <w:rPr>
          <w:rFonts w:hint="eastAsia" w:ascii="宋体" w:hAnsi="宋体"/>
          <w:sz w:val="24"/>
          <w:szCs w:val="24"/>
        </w:rPr>
      </w:pPr>
      <w:r>
        <w:rPr>
          <w:rFonts w:hint="eastAsia" w:ascii="宋体" w:hAnsi="宋体"/>
          <w:sz w:val="24"/>
          <w:szCs w:val="24"/>
        </w:rPr>
        <w:t>本招标文件适用于本次采购项目的招标、投标、评标、定标、验收、合同履约、付款等行为（法律、法规另有规定的，从其规定）。</w:t>
      </w:r>
    </w:p>
    <w:p w14:paraId="04A61C75">
      <w:pPr>
        <w:snapToGrid w:val="0"/>
        <w:spacing w:line="360" w:lineRule="auto"/>
        <w:ind w:firstLine="426"/>
        <w:rPr>
          <w:rFonts w:hint="eastAsia" w:ascii="宋体" w:hAnsi="宋体"/>
          <w:b/>
          <w:sz w:val="24"/>
          <w:szCs w:val="24"/>
        </w:rPr>
      </w:pPr>
      <w:r>
        <w:rPr>
          <w:rFonts w:hint="eastAsia" w:ascii="宋体" w:hAnsi="宋体"/>
          <w:b/>
          <w:sz w:val="24"/>
          <w:szCs w:val="24"/>
        </w:rPr>
        <w:t>（二）定义</w:t>
      </w:r>
    </w:p>
    <w:p w14:paraId="04A61C76">
      <w:pPr>
        <w:snapToGrid w:val="0"/>
        <w:spacing w:line="360" w:lineRule="auto"/>
        <w:ind w:firstLine="426"/>
        <w:rPr>
          <w:rFonts w:hint="eastAsia" w:ascii="宋体" w:hAnsi="宋体"/>
          <w:sz w:val="24"/>
          <w:szCs w:val="24"/>
        </w:rPr>
      </w:pPr>
      <w:r>
        <w:rPr>
          <w:rFonts w:ascii="宋体" w:hAnsi="宋体"/>
          <w:sz w:val="24"/>
          <w:szCs w:val="24"/>
        </w:rPr>
        <w:t>1.招标采购单位：系指组织本次招标的招标人</w:t>
      </w:r>
      <w:r>
        <w:rPr>
          <w:rFonts w:hint="eastAsia" w:ascii="宋体" w:hAnsi="宋体"/>
          <w:sz w:val="24"/>
          <w:szCs w:val="24"/>
        </w:rPr>
        <w:t>和招标</w:t>
      </w:r>
      <w:r>
        <w:rPr>
          <w:rFonts w:ascii="宋体" w:hAnsi="宋体"/>
          <w:sz w:val="24"/>
          <w:szCs w:val="24"/>
        </w:rPr>
        <w:t>代理机构。</w:t>
      </w:r>
    </w:p>
    <w:p w14:paraId="04A61C77">
      <w:pPr>
        <w:snapToGrid w:val="0"/>
        <w:spacing w:line="360" w:lineRule="auto"/>
        <w:ind w:firstLine="426"/>
        <w:rPr>
          <w:rFonts w:hint="eastAsia" w:ascii="宋体" w:hAnsi="宋体"/>
          <w:sz w:val="24"/>
          <w:szCs w:val="24"/>
        </w:rPr>
      </w:pPr>
      <w:r>
        <w:rPr>
          <w:rFonts w:ascii="宋体" w:hAnsi="宋体"/>
          <w:sz w:val="24"/>
          <w:szCs w:val="24"/>
        </w:rPr>
        <w:t>2.投标人：</w:t>
      </w:r>
      <w:r>
        <w:rPr>
          <w:rFonts w:hint="eastAsia" w:ascii="宋体" w:hAnsi="宋体"/>
          <w:sz w:val="24"/>
          <w:szCs w:val="24"/>
        </w:rPr>
        <w:t>系指按招标文件规定合法获取了招标文件并向招标单位提交投标文件的单位。</w:t>
      </w:r>
    </w:p>
    <w:p w14:paraId="04A61C78">
      <w:pPr>
        <w:snapToGrid w:val="0"/>
        <w:spacing w:line="360" w:lineRule="auto"/>
        <w:ind w:firstLine="426"/>
        <w:rPr>
          <w:rFonts w:hint="eastAsia" w:ascii="宋体" w:hAnsi="宋体"/>
          <w:sz w:val="24"/>
          <w:szCs w:val="24"/>
        </w:rPr>
      </w:pPr>
      <w:r>
        <w:rPr>
          <w:rFonts w:ascii="宋体" w:hAnsi="宋体"/>
          <w:sz w:val="24"/>
          <w:szCs w:val="24"/>
        </w:rPr>
        <w:t>3.投标人代表：是指参加本项目投标活动的投标人法定代表人或法定代表人授权代表。</w:t>
      </w:r>
    </w:p>
    <w:p w14:paraId="04A61C79">
      <w:pPr>
        <w:snapToGrid w:val="0"/>
        <w:spacing w:line="360" w:lineRule="auto"/>
        <w:ind w:firstLine="426"/>
        <w:rPr>
          <w:rFonts w:hint="eastAsia" w:ascii="宋体" w:hAnsi="宋体"/>
          <w:sz w:val="24"/>
          <w:szCs w:val="24"/>
        </w:rPr>
      </w:pPr>
      <w:r>
        <w:rPr>
          <w:rFonts w:ascii="宋体" w:hAnsi="宋体"/>
          <w:sz w:val="24"/>
          <w:szCs w:val="24"/>
        </w:rPr>
        <w:t>4.联合体：是指两个以上投标人组成联合体，以一个投标人的身份参加投标。</w:t>
      </w:r>
    </w:p>
    <w:p w14:paraId="04A61C7A">
      <w:pPr>
        <w:snapToGrid w:val="0"/>
        <w:spacing w:line="360" w:lineRule="auto"/>
        <w:ind w:firstLine="426"/>
        <w:rPr>
          <w:rFonts w:hint="eastAsia" w:ascii="宋体" w:hAnsi="宋体"/>
          <w:sz w:val="24"/>
          <w:szCs w:val="24"/>
        </w:rPr>
      </w:pPr>
      <w:r>
        <w:rPr>
          <w:rFonts w:ascii="宋体" w:hAnsi="宋体"/>
          <w:sz w:val="24"/>
          <w:szCs w:val="24"/>
        </w:rPr>
        <w:t>5.甲方：是指合同签订的一方，一般与招标人、用户</w:t>
      </w:r>
      <w:r>
        <w:rPr>
          <w:rFonts w:hint="eastAsia" w:ascii="宋体" w:hAnsi="宋体"/>
          <w:sz w:val="24"/>
          <w:szCs w:val="24"/>
        </w:rPr>
        <w:t>、需方</w:t>
      </w:r>
      <w:r>
        <w:rPr>
          <w:rFonts w:ascii="宋体" w:hAnsi="宋体"/>
          <w:sz w:val="24"/>
          <w:szCs w:val="24"/>
        </w:rPr>
        <w:t>相同。</w:t>
      </w:r>
    </w:p>
    <w:p w14:paraId="04A61C7B">
      <w:pPr>
        <w:snapToGrid w:val="0"/>
        <w:spacing w:line="360" w:lineRule="auto"/>
        <w:ind w:firstLine="426"/>
        <w:rPr>
          <w:rFonts w:hint="eastAsia" w:ascii="宋体" w:hAnsi="宋体"/>
          <w:sz w:val="24"/>
          <w:szCs w:val="24"/>
        </w:rPr>
      </w:pPr>
      <w:r>
        <w:rPr>
          <w:rFonts w:ascii="宋体" w:hAnsi="宋体"/>
          <w:sz w:val="24"/>
          <w:szCs w:val="24"/>
        </w:rPr>
        <w:t>6.乙方：是指合同签订的另一方，与中标人</w:t>
      </w:r>
      <w:r>
        <w:rPr>
          <w:rFonts w:hint="eastAsia" w:ascii="宋体" w:hAnsi="宋体"/>
          <w:sz w:val="24"/>
          <w:szCs w:val="24"/>
        </w:rPr>
        <w:t>、供方</w:t>
      </w:r>
      <w:r>
        <w:rPr>
          <w:rFonts w:ascii="宋体" w:hAnsi="宋体"/>
          <w:sz w:val="24"/>
          <w:szCs w:val="24"/>
        </w:rPr>
        <w:t>相同。</w:t>
      </w:r>
    </w:p>
    <w:p w14:paraId="04A61C7C">
      <w:pPr>
        <w:snapToGrid w:val="0"/>
        <w:spacing w:line="360" w:lineRule="auto"/>
        <w:ind w:firstLine="426"/>
        <w:rPr>
          <w:rFonts w:hint="eastAsia" w:ascii="宋体" w:hAnsi="宋体"/>
          <w:sz w:val="24"/>
          <w:szCs w:val="24"/>
        </w:rPr>
      </w:pPr>
      <w:r>
        <w:rPr>
          <w:rFonts w:ascii="宋体" w:hAnsi="宋体"/>
          <w:sz w:val="24"/>
          <w:szCs w:val="24"/>
        </w:rPr>
        <w:t>7.“产品”系指供方按招标文件规定，须向招标人提供的一切设备、保险、税金、备品备件、工具、手册及其它有关技术资料和材料。</w:t>
      </w:r>
    </w:p>
    <w:p w14:paraId="04A61C7D">
      <w:pPr>
        <w:snapToGrid w:val="0"/>
        <w:spacing w:line="360" w:lineRule="auto"/>
        <w:ind w:firstLine="426"/>
        <w:rPr>
          <w:rFonts w:hint="eastAsia" w:ascii="宋体" w:hAnsi="宋体"/>
          <w:sz w:val="24"/>
          <w:szCs w:val="24"/>
        </w:rPr>
      </w:pPr>
      <w:r>
        <w:rPr>
          <w:rFonts w:ascii="宋体" w:hAnsi="宋体"/>
          <w:sz w:val="24"/>
          <w:szCs w:val="24"/>
        </w:rPr>
        <w:t>8.“服务”系指招标文件规定投标人须承担的</w:t>
      </w:r>
      <w:r>
        <w:rPr>
          <w:rFonts w:hint="eastAsia" w:ascii="宋体" w:hAnsi="宋体"/>
          <w:sz w:val="24"/>
          <w:szCs w:val="24"/>
        </w:rPr>
        <w:t>加工、运输、技术协助、培训、技术指导以及其他类似的义务</w:t>
      </w:r>
      <w:r>
        <w:rPr>
          <w:rFonts w:ascii="宋体" w:hAnsi="宋体"/>
          <w:sz w:val="24"/>
          <w:szCs w:val="24"/>
        </w:rPr>
        <w:t>。</w:t>
      </w:r>
    </w:p>
    <w:p w14:paraId="04A61C7E">
      <w:pPr>
        <w:snapToGrid w:val="0"/>
        <w:spacing w:line="360" w:lineRule="auto"/>
        <w:ind w:firstLine="426"/>
        <w:rPr>
          <w:rFonts w:hint="eastAsia" w:ascii="宋体" w:hAnsi="宋体"/>
          <w:sz w:val="24"/>
          <w:szCs w:val="24"/>
        </w:rPr>
      </w:pPr>
      <w:r>
        <w:rPr>
          <w:rFonts w:ascii="宋体" w:hAnsi="宋体"/>
          <w:sz w:val="24"/>
          <w:szCs w:val="24"/>
        </w:rPr>
        <w:t>9.“项目”系指投标人按招标文件规定向招标人提供的产品和服务。</w:t>
      </w:r>
    </w:p>
    <w:p w14:paraId="04A61C7F">
      <w:pPr>
        <w:snapToGrid w:val="0"/>
        <w:spacing w:line="360" w:lineRule="auto"/>
        <w:ind w:firstLine="426"/>
        <w:rPr>
          <w:rFonts w:hint="eastAsia" w:ascii="宋体" w:hAnsi="宋体"/>
          <w:sz w:val="24"/>
          <w:szCs w:val="24"/>
        </w:rPr>
      </w:pPr>
      <w:r>
        <w:rPr>
          <w:rFonts w:ascii="宋体" w:hAnsi="宋体"/>
          <w:sz w:val="24"/>
          <w:szCs w:val="24"/>
        </w:rPr>
        <w:t>10.“书面形式”包括信函、传真、电报等。</w:t>
      </w:r>
    </w:p>
    <w:p w14:paraId="04A61C80">
      <w:pPr>
        <w:snapToGrid w:val="0"/>
        <w:spacing w:line="360" w:lineRule="auto"/>
        <w:ind w:firstLine="426"/>
        <w:rPr>
          <w:rFonts w:hint="eastAsia" w:ascii="宋体" w:hAnsi="宋体"/>
          <w:sz w:val="24"/>
          <w:szCs w:val="24"/>
        </w:rPr>
      </w:pPr>
      <w:r>
        <w:rPr>
          <w:rFonts w:ascii="宋体" w:hAnsi="宋体"/>
          <w:sz w:val="24"/>
          <w:szCs w:val="24"/>
        </w:rPr>
        <w:t>11.“</w:t>
      </w:r>
      <w:r>
        <w:rPr>
          <w:rFonts w:hint="eastAsia" w:ascii="宋体" w:hAnsi="宋体"/>
          <w:sz w:val="24"/>
          <w:szCs w:val="24"/>
        </w:rPr>
        <w:t>*</w:t>
      </w:r>
      <w:r>
        <w:rPr>
          <w:rFonts w:ascii="宋体" w:hAnsi="宋体" w:cs="Calibri"/>
          <w:sz w:val="24"/>
          <w:szCs w:val="24"/>
        </w:rPr>
        <w:t>”</w:t>
      </w:r>
      <w:r>
        <w:rPr>
          <w:rFonts w:ascii="宋体" w:hAnsi="宋体"/>
          <w:sz w:val="24"/>
          <w:szCs w:val="24"/>
        </w:rPr>
        <w:t>系指实质性要求条款。</w:t>
      </w:r>
    </w:p>
    <w:p w14:paraId="04A61C81">
      <w:pPr>
        <w:snapToGrid w:val="0"/>
        <w:spacing w:line="360" w:lineRule="auto"/>
        <w:ind w:firstLine="426"/>
        <w:rPr>
          <w:rFonts w:hint="eastAsia" w:ascii="宋体" w:hAnsi="宋体"/>
          <w:b/>
          <w:sz w:val="24"/>
          <w:szCs w:val="24"/>
        </w:rPr>
      </w:pPr>
      <w:r>
        <w:rPr>
          <w:rFonts w:hint="eastAsia" w:ascii="宋体" w:hAnsi="宋体"/>
          <w:b/>
          <w:sz w:val="24"/>
          <w:szCs w:val="24"/>
        </w:rPr>
        <w:t>（三）招标方式</w:t>
      </w:r>
    </w:p>
    <w:p w14:paraId="04A61C82">
      <w:pPr>
        <w:snapToGrid w:val="0"/>
        <w:spacing w:line="360" w:lineRule="auto"/>
        <w:ind w:firstLine="426"/>
        <w:rPr>
          <w:rFonts w:hint="eastAsia" w:ascii="宋体" w:hAnsi="宋体"/>
          <w:sz w:val="24"/>
          <w:szCs w:val="24"/>
        </w:rPr>
      </w:pPr>
      <w:r>
        <w:rPr>
          <w:rFonts w:hint="eastAsia" w:ascii="宋体" w:hAnsi="宋体"/>
          <w:sz w:val="24"/>
          <w:szCs w:val="24"/>
        </w:rPr>
        <w:t>本次招标采用公开招标方式进行。</w:t>
      </w:r>
    </w:p>
    <w:p w14:paraId="04A61C83">
      <w:pPr>
        <w:snapToGrid w:val="0"/>
        <w:spacing w:line="360" w:lineRule="auto"/>
        <w:ind w:firstLine="426"/>
        <w:rPr>
          <w:rFonts w:hint="eastAsia" w:ascii="宋体" w:hAnsi="宋体"/>
          <w:b/>
          <w:sz w:val="24"/>
          <w:szCs w:val="24"/>
        </w:rPr>
      </w:pPr>
      <w:r>
        <w:rPr>
          <w:rFonts w:hint="eastAsia" w:ascii="宋体" w:hAnsi="宋体"/>
          <w:b/>
          <w:sz w:val="24"/>
          <w:szCs w:val="24"/>
        </w:rPr>
        <w:t>（四）投标委托</w:t>
      </w:r>
    </w:p>
    <w:p w14:paraId="04A61C84">
      <w:pPr>
        <w:pStyle w:val="11"/>
        <w:snapToGrid w:val="0"/>
        <w:spacing w:line="360" w:lineRule="auto"/>
        <w:ind w:firstLine="426"/>
        <w:rPr>
          <w:rFonts w:hint="eastAsia" w:ascii="宋体" w:hAnsi="宋体" w:eastAsia="宋体"/>
          <w:sz w:val="24"/>
          <w:szCs w:val="24"/>
        </w:rPr>
      </w:pPr>
      <w:r>
        <w:rPr>
          <w:rFonts w:ascii="宋体" w:hAnsi="宋体" w:eastAsia="宋体" w:cs="宋体"/>
          <w:kern w:val="0"/>
          <w:sz w:val="24"/>
          <w:szCs w:val="24"/>
        </w:rPr>
        <w:t>如投标人代表不是法定代表人，投标文件应当提供法定代表人出具的授权委托书（格式见</w:t>
      </w:r>
      <w:r>
        <w:rPr>
          <w:rFonts w:hint="eastAsia" w:ascii="宋体" w:hAnsi="宋体" w:eastAsia="宋体" w:cs="宋体"/>
          <w:kern w:val="0"/>
          <w:sz w:val="24"/>
          <w:szCs w:val="24"/>
        </w:rPr>
        <w:t>附件</w:t>
      </w:r>
      <w:r>
        <w:rPr>
          <w:rFonts w:ascii="宋体" w:hAnsi="宋体" w:eastAsia="宋体" w:cs="宋体"/>
          <w:kern w:val="0"/>
          <w:sz w:val="24"/>
          <w:szCs w:val="24"/>
        </w:rPr>
        <w:t>）。</w:t>
      </w:r>
    </w:p>
    <w:p w14:paraId="04A61C85">
      <w:pPr>
        <w:snapToGrid w:val="0"/>
        <w:spacing w:line="360" w:lineRule="auto"/>
        <w:ind w:firstLine="426"/>
        <w:rPr>
          <w:rFonts w:hint="eastAsia" w:ascii="宋体" w:hAnsi="宋体"/>
          <w:b/>
          <w:sz w:val="24"/>
          <w:szCs w:val="24"/>
        </w:rPr>
      </w:pPr>
      <w:r>
        <w:rPr>
          <w:rFonts w:hint="eastAsia" w:ascii="宋体" w:hAnsi="宋体"/>
          <w:b/>
          <w:sz w:val="24"/>
          <w:szCs w:val="24"/>
        </w:rPr>
        <w:t>（五）投标费用</w:t>
      </w:r>
    </w:p>
    <w:p w14:paraId="04A61C86">
      <w:pPr>
        <w:snapToGrid w:val="0"/>
        <w:spacing w:line="360" w:lineRule="auto"/>
        <w:ind w:firstLine="426"/>
        <w:rPr>
          <w:rFonts w:hint="eastAsia" w:ascii="宋体" w:hAnsi="宋体"/>
          <w:sz w:val="24"/>
          <w:szCs w:val="24"/>
        </w:rPr>
      </w:pPr>
      <w:r>
        <w:rPr>
          <w:rFonts w:hint="eastAsia" w:ascii="宋体" w:hAnsi="宋体"/>
          <w:sz w:val="24"/>
          <w:szCs w:val="24"/>
        </w:rPr>
        <w:t>不论投标结果如何，投标人均应自行承担所有与投标有关的全部费用。</w:t>
      </w:r>
    </w:p>
    <w:p w14:paraId="04A61C87">
      <w:pPr>
        <w:snapToGrid w:val="0"/>
        <w:spacing w:line="360" w:lineRule="auto"/>
        <w:ind w:firstLine="426"/>
        <w:rPr>
          <w:rFonts w:hint="eastAsia" w:ascii="宋体" w:hAnsi="宋体"/>
          <w:b/>
          <w:sz w:val="24"/>
          <w:szCs w:val="24"/>
        </w:rPr>
      </w:pPr>
      <w:r>
        <w:rPr>
          <w:rFonts w:hint="eastAsia" w:ascii="宋体" w:hAnsi="宋体"/>
          <w:b/>
          <w:sz w:val="24"/>
          <w:szCs w:val="24"/>
        </w:rPr>
        <w:t>（六）联合体投标</w:t>
      </w:r>
    </w:p>
    <w:p w14:paraId="04A61C88">
      <w:pPr>
        <w:snapToGrid w:val="0"/>
        <w:spacing w:line="360" w:lineRule="auto"/>
        <w:ind w:firstLine="426"/>
        <w:rPr>
          <w:rFonts w:hint="eastAsia" w:ascii="宋体" w:hAnsi="宋体"/>
          <w:i/>
          <w:sz w:val="24"/>
          <w:szCs w:val="24"/>
        </w:rPr>
      </w:pPr>
      <w:r>
        <w:rPr>
          <w:rFonts w:hint="eastAsia" w:ascii="宋体" w:hAnsi="宋体"/>
          <w:sz w:val="24"/>
          <w:szCs w:val="24"/>
        </w:rPr>
        <w:t>本项目不接受联合体投标。</w:t>
      </w:r>
    </w:p>
    <w:p w14:paraId="04A61C89">
      <w:pPr>
        <w:snapToGrid w:val="0"/>
        <w:spacing w:line="360" w:lineRule="auto"/>
        <w:ind w:firstLine="426"/>
        <w:rPr>
          <w:rFonts w:hint="eastAsia" w:ascii="宋体" w:hAnsi="宋体"/>
          <w:b/>
          <w:sz w:val="24"/>
          <w:szCs w:val="24"/>
        </w:rPr>
      </w:pPr>
      <w:r>
        <w:rPr>
          <w:rFonts w:hint="eastAsia" w:ascii="宋体" w:hAnsi="宋体"/>
          <w:b/>
          <w:sz w:val="24"/>
          <w:szCs w:val="24"/>
        </w:rPr>
        <w:t>（七）转包与分包</w:t>
      </w:r>
    </w:p>
    <w:p w14:paraId="04A61C8A">
      <w:pPr>
        <w:snapToGrid w:val="0"/>
        <w:spacing w:line="360" w:lineRule="auto"/>
        <w:ind w:firstLine="426"/>
        <w:rPr>
          <w:rFonts w:hint="eastAsia" w:ascii="宋体" w:hAnsi="宋体"/>
          <w:sz w:val="24"/>
          <w:szCs w:val="24"/>
        </w:rPr>
      </w:pPr>
      <w:r>
        <w:rPr>
          <w:rFonts w:hint="eastAsia" w:ascii="宋体" w:hAnsi="宋体"/>
          <w:sz w:val="24"/>
          <w:szCs w:val="24"/>
        </w:rPr>
        <w:t>1.本项目不允许转包。</w:t>
      </w:r>
    </w:p>
    <w:p w14:paraId="04A61C8B">
      <w:pPr>
        <w:snapToGrid w:val="0"/>
        <w:spacing w:line="360" w:lineRule="auto"/>
        <w:ind w:firstLine="426"/>
        <w:rPr>
          <w:rFonts w:hint="eastAsia" w:ascii="宋体" w:hAnsi="宋体"/>
          <w:sz w:val="24"/>
          <w:szCs w:val="24"/>
        </w:rPr>
      </w:pPr>
      <w:r>
        <w:rPr>
          <w:rFonts w:hint="eastAsia" w:ascii="宋体" w:hAnsi="宋体"/>
          <w:sz w:val="24"/>
          <w:szCs w:val="24"/>
        </w:rPr>
        <w:t>2.本项目不可以分包。</w:t>
      </w:r>
    </w:p>
    <w:p w14:paraId="04A61C8C">
      <w:pPr>
        <w:snapToGrid w:val="0"/>
        <w:spacing w:line="360" w:lineRule="auto"/>
        <w:ind w:firstLine="426"/>
        <w:rPr>
          <w:rFonts w:hint="eastAsia" w:ascii="宋体" w:hAnsi="宋体"/>
          <w:b/>
          <w:sz w:val="24"/>
          <w:szCs w:val="24"/>
        </w:rPr>
      </w:pPr>
      <w:r>
        <w:rPr>
          <w:rFonts w:hint="eastAsia" w:ascii="宋体" w:hAnsi="宋体"/>
          <w:b/>
          <w:sz w:val="24"/>
          <w:szCs w:val="24"/>
        </w:rPr>
        <w:t>（八）特别说明：</w:t>
      </w:r>
    </w:p>
    <w:p w14:paraId="04A61C8D">
      <w:pPr>
        <w:snapToGrid w:val="0"/>
        <w:spacing w:line="360" w:lineRule="auto"/>
        <w:ind w:firstLine="426"/>
        <w:rPr>
          <w:rFonts w:hint="eastAsia" w:ascii="宋体" w:hAnsi="宋体"/>
          <w:sz w:val="24"/>
          <w:szCs w:val="24"/>
        </w:rPr>
      </w:pPr>
      <w:r>
        <w:rPr>
          <w:rFonts w:hint="eastAsia" w:ascii="宋体" w:hAnsi="宋体"/>
          <w:sz w:val="24"/>
          <w:szCs w:val="24"/>
        </w:rPr>
        <w:t>1.本次招标采用电子交易方式。</w:t>
      </w:r>
    </w:p>
    <w:p w14:paraId="04A61C8E">
      <w:pPr>
        <w:snapToGrid w:val="0"/>
        <w:spacing w:line="360" w:lineRule="auto"/>
        <w:ind w:firstLine="426"/>
        <w:rPr>
          <w:rFonts w:hint="eastAsia" w:ascii="宋体" w:hAnsi="宋体"/>
          <w:sz w:val="24"/>
          <w:szCs w:val="24"/>
        </w:rPr>
      </w:pPr>
      <w:r>
        <w:rPr>
          <w:rFonts w:hint="eastAsia" w:ascii="宋体" w:hAnsi="宋体"/>
          <w:sz w:val="24"/>
          <w:szCs w:val="24"/>
        </w:rPr>
        <w:t>2.招标文件中指出的工艺、材料、设备、服务等标准以及推荐、参照的品牌或型号仅起说明作用，并没有任何限制性。投标人在投标中可以选用替代标准、品牌或型号，但这些替代要实质上满足或超过招标文件的要求。</w:t>
      </w:r>
    </w:p>
    <w:p w14:paraId="04A61C8F">
      <w:pPr>
        <w:snapToGrid w:val="0"/>
        <w:spacing w:line="360" w:lineRule="auto"/>
        <w:ind w:firstLine="426"/>
        <w:rPr>
          <w:rFonts w:hint="eastAsia" w:ascii="宋体" w:hAnsi="宋体"/>
          <w:sz w:val="24"/>
          <w:szCs w:val="24"/>
        </w:rPr>
      </w:pPr>
      <w:r>
        <w:rPr>
          <w:rFonts w:hint="eastAsia" w:ascii="宋体" w:hAnsi="宋体"/>
          <w:sz w:val="24"/>
          <w:szCs w:val="24"/>
        </w:rPr>
        <w:t>3.投标人投标所使用的资格、信誉、荣誉、业绩与企业认证证书必须为该投标人所拥有。</w:t>
      </w:r>
    </w:p>
    <w:p w14:paraId="04A61C90">
      <w:pPr>
        <w:snapToGrid w:val="0"/>
        <w:spacing w:line="360" w:lineRule="auto"/>
        <w:ind w:firstLine="426"/>
        <w:rPr>
          <w:rFonts w:hint="eastAsia" w:ascii="宋体" w:hAnsi="宋体"/>
          <w:sz w:val="24"/>
          <w:szCs w:val="24"/>
        </w:rPr>
      </w:pPr>
      <w:r>
        <w:rPr>
          <w:rFonts w:hint="eastAsia" w:ascii="宋体" w:hAnsi="宋体"/>
          <w:sz w:val="24"/>
          <w:szCs w:val="24"/>
        </w:rPr>
        <w:t>4.投标人应仔细阅读招标文件的所有内容，按照招标文件的要求提交投标文件，并对所提供的全部资料的真实性承担法律责任。</w:t>
      </w:r>
    </w:p>
    <w:p w14:paraId="04A61C91">
      <w:pPr>
        <w:snapToGrid w:val="0"/>
        <w:spacing w:line="360" w:lineRule="auto"/>
        <w:ind w:firstLine="426"/>
        <w:rPr>
          <w:rFonts w:hint="eastAsia" w:ascii="宋体" w:hAnsi="宋体"/>
          <w:sz w:val="24"/>
          <w:szCs w:val="24"/>
        </w:rPr>
      </w:pPr>
      <w:r>
        <w:rPr>
          <w:rFonts w:hint="eastAsia" w:ascii="宋体" w:hAnsi="宋体"/>
          <w:sz w:val="24"/>
          <w:szCs w:val="24"/>
        </w:rPr>
        <w:t>5.招标过程中出现以下情形，导致电子交易平台无法正常运行，或者无法保证电子交易的公平、公正和安全时，招标人（或招标代理机构）可中止电子交易活动：</w:t>
      </w:r>
    </w:p>
    <w:p w14:paraId="04A61C92">
      <w:pPr>
        <w:snapToGrid w:val="0"/>
        <w:spacing w:line="360" w:lineRule="auto"/>
        <w:ind w:firstLine="426"/>
        <w:rPr>
          <w:rFonts w:hint="eastAsia" w:ascii="宋体" w:hAnsi="宋体"/>
          <w:sz w:val="24"/>
          <w:szCs w:val="24"/>
        </w:rPr>
      </w:pPr>
      <w:r>
        <w:rPr>
          <w:rFonts w:hint="eastAsia" w:ascii="宋体" w:hAnsi="宋体"/>
          <w:sz w:val="24"/>
          <w:szCs w:val="24"/>
        </w:rPr>
        <w:t xml:space="preserve">（1）电子交易平台发生故障而无法登录访问的； </w:t>
      </w:r>
    </w:p>
    <w:p w14:paraId="04A61C93">
      <w:pPr>
        <w:snapToGrid w:val="0"/>
        <w:spacing w:line="360" w:lineRule="auto"/>
        <w:ind w:firstLine="426"/>
        <w:rPr>
          <w:rFonts w:hint="eastAsia" w:ascii="宋体" w:hAnsi="宋体"/>
          <w:sz w:val="24"/>
          <w:szCs w:val="24"/>
        </w:rPr>
      </w:pPr>
      <w:r>
        <w:rPr>
          <w:rFonts w:hint="eastAsia" w:ascii="宋体" w:hAnsi="宋体"/>
          <w:sz w:val="24"/>
          <w:szCs w:val="24"/>
        </w:rPr>
        <w:t>（2）电子交易平台应用或数据库出现错误，不能进行正常操作的；</w:t>
      </w:r>
    </w:p>
    <w:p w14:paraId="04A61C94">
      <w:pPr>
        <w:snapToGrid w:val="0"/>
        <w:spacing w:line="360" w:lineRule="auto"/>
        <w:ind w:firstLine="426"/>
        <w:rPr>
          <w:rFonts w:hint="eastAsia" w:ascii="宋体" w:hAnsi="宋体"/>
          <w:sz w:val="24"/>
          <w:szCs w:val="24"/>
        </w:rPr>
      </w:pPr>
      <w:r>
        <w:rPr>
          <w:rFonts w:hint="eastAsia" w:ascii="宋体" w:hAnsi="宋体"/>
          <w:sz w:val="24"/>
          <w:szCs w:val="24"/>
        </w:rPr>
        <w:t>（3）电子交易平台发现严重安全漏洞，有潜在泄密危险的；</w:t>
      </w:r>
    </w:p>
    <w:p w14:paraId="04A61C95">
      <w:pPr>
        <w:snapToGrid w:val="0"/>
        <w:spacing w:line="360" w:lineRule="auto"/>
        <w:ind w:firstLine="426"/>
        <w:rPr>
          <w:rFonts w:hint="eastAsia" w:ascii="宋体" w:hAnsi="宋体"/>
          <w:sz w:val="24"/>
          <w:szCs w:val="24"/>
        </w:rPr>
      </w:pPr>
      <w:r>
        <w:rPr>
          <w:rFonts w:hint="eastAsia" w:ascii="宋体" w:hAnsi="宋体"/>
          <w:sz w:val="24"/>
          <w:szCs w:val="24"/>
        </w:rPr>
        <w:t>（4）病毒发作导致不能进行正常操作的；</w:t>
      </w:r>
    </w:p>
    <w:p w14:paraId="04A61C96">
      <w:pPr>
        <w:snapToGrid w:val="0"/>
        <w:spacing w:line="360" w:lineRule="auto"/>
        <w:ind w:firstLine="426"/>
        <w:rPr>
          <w:rFonts w:hint="eastAsia" w:ascii="宋体" w:hAnsi="宋体"/>
          <w:sz w:val="24"/>
          <w:szCs w:val="24"/>
        </w:rPr>
      </w:pPr>
      <w:r>
        <w:rPr>
          <w:rFonts w:hint="eastAsia" w:ascii="宋体" w:hAnsi="宋体"/>
          <w:sz w:val="24"/>
          <w:szCs w:val="24"/>
        </w:rPr>
        <w:t>（5）其他无法保证电子交易的公平、公正和安全的情况。</w:t>
      </w:r>
    </w:p>
    <w:p w14:paraId="04A61C97">
      <w:pPr>
        <w:snapToGrid w:val="0"/>
        <w:spacing w:line="360" w:lineRule="auto"/>
        <w:ind w:firstLine="426"/>
        <w:rPr>
          <w:rFonts w:hint="eastAsia" w:ascii="宋体" w:hAnsi="宋体"/>
          <w:sz w:val="24"/>
          <w:szCs w:val="24"/>
        </w:rPr>
      </w:pPr>
      <w:r>
        <w:rPr>
          <w:rFonts w:hint="eastAsia" w:ascii="宋体" w:hAnsi="宋体"/>
          <w:sz w:val="24"/>
          <w:szCs w:val="24"/>
        </w:rPr>
        <w:t>出现上述规定情形，不影响采购公平、公正性的，招标（或招标代理机构）可以待上述情形消除后继续组织电子交易活动，也可以决定某些环节以纸质形式进行。</w:t>
      </w:r>
    </w:p>
    <w:p w14:paraId="04A61C98">
      <w:pPr>
        <w:snapToGrid w:val="0"/>
        <w:spacing w:line="360" w:lineRule="auto"/>
        <w:ind w:left="426"/>
        <w:outlineLvl w:val="1"/>
        <w:rPr>
          <w:rFonts w:hint="eastAsia" w:ascii="宋体" w:hAnsi="宋体"/>
          <w:b/>
          <w:sz w:val="24"/>
          <w:szCs w:val="24"/>
        </w:rPr>
      </w:pPr>
      <w:bookmarkStart w:id="14" w:name="_Toc127277061"/>
      <w:bookmarkStart w:id="15" w:name="_Toc161130976"/>
      <w:r>
        <w:rPr>
          <w:rFonts w:ascii="宋体" w:hAnsi="宋体"/>
          <w:b/>
          <w:sz w:val="24"/>
          <w:szCs w:val="24"/>
        </w:rPr>
        <w:t>二、招标文件</w:t>
      </w:r>
      <w:bookmarkEnd w:id="14"/>
      <w:bookmarkEnd w:id="15"/>
    </w:p>
    <w:p w14:paraId="04A61C99">
      <w:pPr>
        <w:snapToGrid w:val="0"/>
        <w:spacing w:line="360" w:lineRule="auto"/>
        <w:ind w:firstLine="426"/>
        <w:rPr>
          <w:rFonts w:hint="eastAsia" w:ascii="宋体" w:hAnsi="宋体"/>
          <w:b/>
          <w:sz w:val="24"/>
          <w:szCs w:val="24"/>
        </w:rPr>
      </w:pPr>
      <w:r>
        <w:rPr>
          <w:rFonts w:hint="eastAsia" w:ascii="宋体" w:hAnsi="宋体"/>
          <w:b/>
          <w:sz w:val="24"/>
          <w:szCs w:val="24"/>
        </w:rPr>
        <w:t>（一）招标文件的构成。本招标文件由以下部份组成：</w:t>
      </w:r>
    </w:p>
    <w:p w14:paraId="04A61C9A">
      <w:pPr>
        <w:snapToGrid w:val="0"/>
        <w:spacing w:line="360" w:lineRule="auto"/>
        <w:ind w:firstLine="426"/>
        <w:rPr>
          <w:rFonts w:hint="eastAsia" w:ascii="宋体" w:hAnsi="宋体"/>
          <w:sz w:val="24"/>
          <w:szCs w:val="24"/>
        </w:rPr>
      </w:pPr>
      <w:r>
        <w:rPr>
          <w:rFonts w:hint="eastAsia" w:ascii="宋体" w:hAnsi="宋体"/>
          <w:sz w:val="24"/>
          <w:szCs w:val="24"/>
        </w:rPr>
        <w:t>1.招标公告</w:t>
      </w:r>
    </w:p>
    <w:p w14:paraId="04A61C9B">
      <w:pPr>
        <w:snapToGrid w:val="0"/>
        <w:spacing w:line="360" w:lineRule="auto"/>
        <w:ind w:firstLine="426"/>
        <w:rPr>
          <w:rFonts w:hint="eastAsia" w:ascii="宋体" w:hAnsi="宋体"/>
          <w:sz w:val="24"/>
          <w:szCs w:val="24"/>
        </w:rPr>
      </w:pPr>
      <w:r>
        <w:rPr>
          <w:rFonts w:hint="eastAsia" w:ascii="宋体" w:hAnsi="宋体"/>
          <w:sz w:val="24"/>
          <w:szCs w:val="24"/>
        </w:rPr>
        <w:t>2.投标人须知</w:t>
      </w:r>
    </w:p>
    <w:p w14:paraId="04A61C9C">
      <w:pPr>
        <w:snapToGrid w:val="0"/>
        <w:spacing w:line="360" w:lineRule="auto"/>
        <w:ind w:firstLine="426"/>
        <w:rPr>
          <w:rFonts w:hint="eastAsia" w:ascii="宋体" w:hAnsi="宋体"/>
          <w:sz w:val="24"/>
          <w:szCs w:val="24"/>
        </w:rPr>
      </w:pPr>
      <w:r>
        <w:rPr>
          <w:rFonts w:hint="eastAsia" w:ascii="宋体" w:hAnsi="宋体"/>
          <w:sz w:val="24"/>
          <w:szCs w:val="24"/>
        </w:rPr>
        <w:t>3.评标办法</w:t>
      </w:r>
    </w:p>
    <w:p w14:paraId="04A61C9D">
      <w:pPr>
        <w:snapToGrid w:val="0"/>
        <w:spacing w:line="360" w:lineRule="auto"/>
        <w:ind w:firstLine="426"/>
        <w:rPr>
          <w:rFonts w:hint="eastAsia" w:ascii="宋体" w:hAnsi="宋体"/>
          <w:sz w:val="24"/>
          <w:szCs w:val="24"/>
        </w:rPr>
      </w:pPr>
      <w:r>
        <w:rPr>
          <w:rFonts w:hint="eastAsia" w:ascii="宋体" w:hAnsi="宋体"/>
          <w:sz w:val="24"/>
          <w:szCs w:val="24"/>
        </w:rPr>
        <w:t>4.招标内容及需求</w:t>
      </w:r>
    </w:p>
    <w:p w14:paraId="04A61C9E">
      <w:pPr>
        <w:snapToGrid w:val="0"/>
        <w:spacing w:line="360" w:lineRule="auto"/>
        <w:ind w:firstLine="426"/>
        <w:rPr>
          <w:rFonts w:hint="eastAsia" w:ascii="宋体" w:hAnsi="宋体"/>
          <w:sz w:val="24"/>
          <w:szCs w:val="24"/>
        </w:rPr>
      </w:pPr>
      <w:r>
        <w:rPr>
          <w:rFonts w:hint="eastAsia" w:ascii="宋体" w:hAnsi="宋体"/>
          <w:sz w:val="24"/>
          <w:szCs w:val="24"/>
        </w:rPr>
        <w:t>5.合同主要条款</w:t>
      </w:r>
    </w:p>
    <w:p w14:paraId="04A61C9F">
      <w:pPr>
        <w:snapToGrid w:val="0"/>
        <w:spacing w:line="360" w:lineRule="auto"/>
        <w:ind w:firstLine="426"/>
        <w:rPr>
          <w:rFonts w:hint="eastAsia" w:ascii="宋体" w:hAnsi="宋体"/>
          <w:sz w:val="24"/>
          <w:szCs w:val="24"/>
        </w:rPr>
      </w:pPr>
      <w:r>
        <w:rPr>
          <w:rFonts w:hint="eastAsia" w:ascii="宋体" w:hAnsi="宋体"/>
          <w:sz w:val="24"/>
          <w:szCs w:val="24"/>
        </w:rPr>
        <w:t>6.投标文件格式</w:t>
      </w:r>
    </w:p>
    <w:p w14:paraId="04A61CA0">
      <w:pPr>
        <w:snapToGrid w:val="0"/>
        <w:spacing w:line="360" w:lineRule="auto"/>
        <w:ind w:firstLine="426"/>
        <w:rPr>
          <w:rFonts w:hint="eastAsia" w:ascii="宋体" w:hAnsi="宋体"/>
          <w:sz w:val="24"/>
          <w:szCs w:val="24"/>
        </w:rPr>
      </w:pPr>
      <w:r>
        <w:rPr>
          <w:rFonts w:hint="eastAsia" w:ascii="宋体" w:hAnsi="宋体"/>
          <w:sz w:val="24"/>
          <w:szCs w:val="24"/>
        </w:rPr>
        <w:t>7.本项目招标文件的澄清、修改内容（如有）</w:t>
      </w:r>
    </w:p>
    <w:p w14:paraId="04A61CA1">
      <w:pPr>
        <w:snapToGrid w:val="0"/>
        <w:spacing w:line="360" w:lineRule="auto"/>
        <w:ind w:firstLine="426"/>
        <w:rPr>
          <w:rFonts w:hint="eastAsia" w:ascii="宋体" w:hAnsi="宋体"/>
          <w:b/>
          <w:sz w:val="24"/>
          <w:szCs w:val="24"/>
        </w:rPr>
      </w:pPr>
      <w:r>
        <w:rPr>
          <w:rFonts w:hint="eastAsia" w:ascii="宋体" w:hAnsi="宋体"/>
          <w:b/>
          <w:sz w:val="24"/>
          <w:szCs w:val="24"/>
        </w:rPr>
        <w:t>（二）投标人的风险</w:t>
      </w:r>
    </w:p>
    <w:p w14:paraId="04A61CA2">
      <w:pPr>
        <w:pStyle w:val="13"/>
        <w:snapToGrid w:val="0"/>
        <w:spacing w:line="360" w:lineRule="auto"/>
        <w:ind w:firstLine="426"/>
        <w:rPr>
          <w:rFonts w:hint="eastAsia" w:hAnsi="宋体" w:cs="宋体"/>
          <w:kern w:val="0"/>
          <w:sz w:val="24"/>
          <w:szCs w:val="24"/>
        </w:rPr>
      </w:pPr>
      <w:r>
        <w:rPr>
          <w:rFonts w:hint="eastAsia" w:hAnsi="宋体" w:cs="宋体"/>
          <w:kern w:val="0"/>
          <w:sz w:val="24"/>
          <w:szCs w:val="24"/>
        </w:rPr>
        <w:t>1.投标截止时间前，未将“电子加密投标文件”成功上传至”巨化数字化招采平台”的，投标无效。</w:t>
      </w:r>
    </w:p>
    <w:p w14:paraId="04A61CA3">
      <w:pPr>
        <w:pStyle w:val="13"/>
        <w:snapToGrid w:val="0"/>
        <w:spacing w:line="360" w:lineRule="auto"/>
        <w:ind w:firstLine="426"/>
        <w:rPr>
          <w:rFonts w:hint="eastAsia" w:hAnsi="宋体" w:cs="宋体"/>
          <w:kern w:val="0"/>
          <w:sz w:val="24"/>
          <w:szCs w:val="24"/>
        </w:rPr>
      </w:pPr>
      <w:r>
        <w:rPr>
          <w:rFonts w:hint="eastAsia" w:hAnsi="宋体" w:cs="宋体"/>
          <w:kern w:val="0"/>
          <w:sz w:val="24"/>
          <w:szCs w:val="24"/>
        </w:rPr>
        <w:t>2.投标人没有按照招标文件要求提供全部资料，或者投标人没有对招标文件在各方面作出实质性响应是投标人的风险，并可能导致其投标无效。</w:t>
      </w:r>
    </w:p>
    <w:p w14:paraId="04A61CA4">
      <w:pPr>
        <w:pStyle w:val="7"/>
        <w:widowControl w:val="0"/>
        <w:numPr>
          <w:ilvl w:val="0"/>
          <w:numId w:val="0"/>
        </w:numPr>
        <w:snapToGrid w:val="0"/>
        <w:spacing w:line="360" w:lineRule="auto"/>
        <w:ind w:firstLine="426"/>
        <w:rPr>
          <w:rFonts w:hint="eastAsia"/>
        </w:rPr>
      </w:pPr>
      <w:r>
        <w:rPr>
          <w:rFonts w:hint="eastAsia"/>
        </w:rPr>
        <w:t xml:space="preserve">（三）招标文件的澄清与修改 </w:t>
      </w:r>
    </w:p>
    <w:p w14:paraId="04A61CA5">
      <w:pPr>
        <w:pStyle w:val="13"/>
        <w:snapToGrid w:val="0"/>
        <w:spacing w:line="360" w:lineRule="auto"/>
        <w:ind w:firstLine="426"/>
        <w:rPr>
          <w:rFonts w:hint="eastAsia" w:hAnsi="宋体" w:cs="宋体"/>
          <w:kern w:val="0"/>
          <w:sz w:val="24"/>
          <w:szCs w:val="24"/>
        </w:rPr>
      </w:pPr>
      <w:r>
        <w:rPr>
          <w:rFonts w:hAnsi="宋体" w:cs="宋体"/>
          <w:kern w:val="0"/>
          <w:sz w:val="24"/>
          <w:szCs w:val="24"/>
        </w:rPr>
        <w:t>1.投标人应认真阅读本招标文件，发现其中有表述不清晰、前后矛盾等内容的，投标人可以在投标截止日</w:t>
      </w:r>
      <w:r>
        <w:rPr>
          <w:rFonts w:hint="eastAsia" w:hAnsi="宋体" w:cs="宋体"/>
          <w:kern w:val="0"/>
          <w:sz w:val="24"/>
          <w:szCs w:val="24"/>
        </w:rPr>
        <w:t>（投标人须知前附表规定的时间）</w:t>
      </w:r>
      <w:r>
        <w:rPr>
          <w:rFonts w:hAnsi="宋体" w:cs="宋体"/>
          <w:kern w:val="0"/>
          <w:sz w:val="24"/>
          <w:szCs w:val="24"/>
        </w:rPr>
        <w:t>天前以书面形式要求招标人澄清。</w:t>
      </w:r>
    </w:p>
    <w:p w14:paraId="04A61CA6">
      <w:pPr>
        <w:pStyle w:val="13"/>
        <w:snapToGrid w:val="0"/>
        <w:spacing w:line="360" w:lineRule="auto"/>
        <w:ind w:firstLine="426"/>
        <w:rPr>
          <w:rFonts w:hint="eastAsia" w:hAnsi="宋体" w:cs="宋体"/>
          <w:kern w:val="0"/>
          <w:sz w:val="24"/>
          <w:szCs w:val="24"/>
        </w:rPr>
      </w:pPr>
      <w:r>
        <w:rPr>
          <w:rFonts w:hAnsi="宋体" w:cs="宋体"/>
          <w:kern w:val="0"/>
          <w:sz w:val="24"/>
          <w:szCs w:val="24"/>
        </w:rPr>
        <w:t>2.招标人以书面形式答复投标人要求澄清的问题，并将不包含问题来源的答复书面通知所有购买招标文件的投标人；除书面答复以外的其他澄清方式及澄清内容均无效。</w:t>
      </w:r>
    </w:p>
    <w:p w14:paraId="04A61CA7">
      <w:pPr>
        <w:pStyle w:val="13"/>
        <w:snapToGrid w:val="0"/>
        <w:spacing w:line="360" w:lineRule="auto"/>
        <w:ind w:firstLine="426"/>
        <w:rPr>
          <w:rFonts w:hint="eastAsia" w:hAnsi="宋体" w:cs="宋体"/>
          <w:kern w:val="0"/>
          <w:sz w:val="24"/>
          <w:szCs w:val="24"/>
        </w:rPr>
      </w:pPr>
      <w:r>
        <w:rPr>
          <w:rFonts w:hAnsi="宋体" w:cs="宋体"/>
          <w:kern w:val="0"/>
          <w:sz w:val="24"/>
          <w:szCs w:val="24"/>
        </w:rPr>
        <w:t>3.招标文件澄清、修改的内容为招标文件的组成部分。当招标文件与招标文件的澄清、修改通知就同一内容的表述不一致时，以最后发出的书面文件为准。</w:t>
      </w:r>
    </w:p>
    <w:p w14:paraId="04A61CA8">
      <w:pPr>
        <w:pStyle w:val="13"/>
        <w:snapToGrid w:val="0"/>
        <w:spacing w:line="360" w:lineRule="auto"/>
        <w:ind w:firstLine="426"/>
        <w:rPr>
          <w:rFonts w:hint="eastAsia" w:hAnsi="宋体" w:cs="宋体"/>
          <w:kern w:val="0"/>
          <w:sz w:val="24"/>
          <w:szCs w:val="24"/>
        </w:rPr>
      </w:pPr>
      <w:r>
        <w:rPr>
          <w:rFonts w:hAnsi="宋体" w:cs="宋体"/>
          <w:kern w:val="0"/>
          <w:sz w:val="24"/>
          <w:szCs w:val="24"/>
        </w:rPr>
        <w:t>4.招标文件的澄清、修改都应该通过本项目招标代理机构发布。</w:t>
      </w:r>
    </w:p>
    <w:p w14:paraId="04A61CA9">
      <w:pPr>
        <w:snapToGrid w:val="0"/>
        <w:spacing w:line="360" w:lineRule="auto"/>
        <w:ind w:left="426"/>
        <w:outlineLvl w:val="1"/>
        <w:rPr>
          <w:rFonts w:hint="eastAsia" w:ascii="宋体" w:hAnsi="宋体"/>
          <w:b/>
          <w:sz w:val="24"/>
          <w:szCs w:val="24"/>
        </w:rPr>
      </w:pPr>
      <w:bookmarkStart w:id="16" w:name="_Toc161130977"/>
      <w:bookmarkStart w:id="17" w:name="_Toc127277062"/>
      <w:r>
        <w:rPr>
          <w:rFonts w:ascii="宋体" w:hAnsi="宋体"/>
          <w:b/>
          <w:sz w:val="24"/>
          <w:szCs w:val="24"/>
        </w:rPr>
        <w:t>三、投标文件的编制</w:t>
      </w:r>
      <w:bookmarkEnd w:id="16"/>
      <w:bookmarkEnd w:id="17"/>
    </w:p>
    <w:p w14:paraId="04A61CAA">
      <w:pPr>
        <w:snapToGrid w:val="0"/>
        <w:spacing w:line="360" w:lineRule="auto"/>
        <w:ind w:firstLine="426"/>
        <w:rPr>
          <w:rFonts w:hint="eastAsia" w:ascii="宋体" w:hAnsi="宋体"/>
          <w:sz w:val="24"/>
          <w:szCs w:val="24"/>
        </w:rPr>
      </w:pPr>
      <w:r>
        <w:rPr>
          <w:rFonts w:hint="eastAsia" w:ascii="宋体" w:hAnsi="宋体"/>
          <w:sz w:val="24"/>
          <w:szCs w:val="24"/>
        </w:rPr>
        <w:t>（一）投标文件的组成</w:t>
      </w:r>
    </w:p>
    <w:p w14:paraId="04A61CAB">
      <w:pPr>
        <w:pStyle w:val="13"/>
        <w:snapToGrid w:val="0"/>
        <w:spacing w:line="360" w:lineRule="auto"/>
        <w:ind w:firstLine="426"/>
        <w:rPr>
          <w:rFonts w:hint="eastAsia" w:hAnsi="宋体" w:cs="宋体"/>
          <w:kern w:val="0"/>
          <w:sz w:val="24"/>
          <w:szCs w:val="24"/>
        </w:rPr>
      </w:pPr>
      <w:r>
        <w:rPr>
          <w:rFonts w:hAnsi="宋体" w:cs="宋体"/>
          <w:kern w:val="0"/>
          <w:sz w:val="24"/>
          <w:szCs w:val="24"/>
        </w:rPr>
        <w:t>1</w:t>
      </w:r>
      <w:r>
        <w:rPr>
          <w:rFonts w:hint="eastAsia" w:hAnsi="宋体" w:cs="宋体"/>
          <w:kern w:val="0"/>
          <w:sz w:val="24"/>
          <w:szCs w:val="24"/>
        </w:rPr>
        <w:t>. 技术资信标书</w:t>
      </w:r>
    </w:p>
    <w:p w14:paraId="04A61CAC">
      <w:pPr>
        <w:pStyle w:val="13"/>
        <w:numPr>
          <w:ilvl w:val="1"/>
          <w:numId w:val="3"/>
        </w:numPr>
        <w:snapToGrid w:val="0"/>
        <w:spacing w:line="360" w:lineRule="auto"/>
        <w:rPr>
          <w:rFonts w:hint="eastAsia" w:hAnsi="宋体" w:cs="宋体"/>
          <w:kern w:val="0"/>
          <w:sz w:val="24"/>
          <w:szCs w:val="24"/>
        </w:rPr>
      </w:pPr>
      <w:r>
        <w:rPr>
          <w:rFonts w:hint="eastAsia" w:hAnsi="宋体" w:cs="宋体"/>
          <w:kern w:val="0"/>
          <w:sz w:val="24"/>
          <w:szCs w:val="24"/>
        </w:rPr>
        <w:t>技术资信标书封面（格式见附件）</w:t>
      </w:r>
    </w:p>
    <w:p w14:paraId="04A61CAD">
      <w:pPr>
        <w:pStyle w:val="13"/>
        <w:numPr>
          <w:ilvl w:val="1"/>
          <w:numId w:val="3"/>
        </w:numPr>
        <w:snapToGrid w:val="0"/>
        <w:spacing w:line="360" w:lineRule="auto"/>
        <w:rPr>
          <w:rFonts w:hint="eastAsia" w:hAnsi="宋体" w:cs="宋体"/>
          <w:kern w:val="0"/>
          <w:sz w:val="24"/>
          <w:szCs w:val="24"/>
        </w:rPr>
      </w:pPr>
      <w:r>
        <w:rPr>
          <w:rFonts w:hint="eastAsia" w:hAnsi="宋体" w:cs="宋体"/>
          <w:kern w:val="0"/>
          <w:sz w:val="24"/>
          <w:szCs w:val="24"/>
        </w:rPr>
        <w:t>资格证明</w:t>
      </w:r>
      <w:r>
        <w:rPr>
          <w:rFonts w:hAnsi="宋体" w:cs="宋体"/>
          <w:kern w:val="0"/>
          <w:sz w:val="24"/>
          <w:szCs w:val="24"/>
        </w:rPr>
        <w:t>文件：</w:t>
      </w:r>
    </w:p>
    <w:p w14:paraId="04A61CAE">
      <w:pPr>
        <w:pStyle w:val="13"/>
        <w:numPr>
          <w:ilvl w:val="0"/>
          <w:numId w:val="4"/>
        </w:numPr>
        <w:snapToGrid w:val="0"/>
        <w:spacing w:line="360" w:lineRule="auto"/>
        <w:ind w:firstLine="11"/>
        <w:rPr>
          <w:rFonts w:hint="eastAsia" w:hAnsi="宋体" w:cs="宋体"/>
          <w:kern w:val="0"/>
          <w:sz w:val="24"/>
          <w:szCs w:val="24"/>
        </w:rPr>
      </w:pPr>
      <w:r>
        <w:rPr>
          <w:rFonts w:hAnsi="宋体" w:cs="宋体"/>
          <w:kern w:val="0"/>
          <w:sz w:val="24"/>
          <w:szCs w:val="24"/>
        </w:rPr>
        <w:t>投标人营业执照</w:t>
      </w:r>
    </w:p>
    <w:p w14:paraId="04A61CAF">
      <w:pPr>
        <w:pStyle w:val="13"/>
        <w:numPr>
          <w:ilvl w:val="0"/>
          <w:numId w:val="4"/>
        </w:numPr>
        <w:snapToGrid w:val="0"/>
        <w:spacing w:line="360" w:lineRule="auto"/>
        <w:ind w:firstLine="11"/>
        <w:rPr>
          <w:rFonts w:hint="eastAsia" w:hAnsi="宋体" w:cs="宋体"/>
          <w:kern w:val="0"/>
          <w:sz w:val="24"/>
          <w:szCs w:val="24"/>
        </w:rPr>
      </w:pPr>
      <w:r>
        <w:rPr>
          <w:rFonts w:hint="eastAsia" w:hAnsi="宋体" w:cs="宋体"/>
          <w:kern w:val="0"/>
          <w:sz w:val="24"/>
          <w:szCs w:val="24"/>
        </w:rPr>
        <w:t>投标人资格承诺函（格式见附件）</w:t>
      </w:r>
    </w:p>
    <w:p w14:paraId="04A61CB0">
      <w:pPr>
        <w:pStyle w:val="13"/>
        <w:numPr>
          <w:ilvl w:val="1"/>
          <w:numId w:val="3"/>
        </w:numPr>
        <w:snapToGrid w:val="0"/>
        <w:spacing w:line="360" w:lineRule="auto"/>
        <w:rPr>
          <w:rFonts w:hint="eastAsia" w:hAnsi="宋体" w:cs="宋体"/>
          <w:kern w:val="0"/>
          <w:sz w:val="24"/>
          <w:szCs w:val="24"/>
        </w:rPr>
      </w:pPr>
      <w:r>
        <w:rPr>
          <w:rFonts w:hint="eastAsia" w:hAnsi="宋体" w:cs="宋体"/>
          <w:kern w:val="0"/>
          <w:sz w:val="24"/>
          <w:szCs w:val="24"/>
        </w:rPr>
        <w:t>廉洁承诺书</w:t>
      </w:r>
      <w:r>
        <w:rPr>
          <w:rFonts w:hAnsi="宋体" w:cs="宋体"/>
          <w:kern w:val="0"/>
          <w:sz w:val="24"/>
          <w:szCs w:val="24"/>
        </w:rPr>
        <w:t>（格式见附件）</w:t>
      </w:r>
    </w:p>
    <w:p w14:paraId="04A61CB1">
      <w:pPr>
        <w:pStyle w:val="13"/>
        <w:numPr>
          <w:ilvl w:val="1"/>
          <w:numId w:val="3"/>
        </w:numPr>
        <w:snapToGrid w:val="0"/>
        <w:spacing w:line="360" w:lineRule="auto"/>
        <w:rPr>
          <w:rFonts w:hint="eastAsia" w:hAnsi="宋体" w:cs="宋体"/>
          <w:kern w:val="0"/>
          <w:sz w:val="24"/>
          <w:szCs w:val="24"/>
        </w:rPr>
      </w:pPr>
      <w:r>
        <w:rPr>
          <w:rFonts w:hAnsi="宋体" w:cs="宋体"/>
          <w:kern w:val="0"/>
          <w:sz w:val="24"/>
          <w:szCs w:val="24"/>
        </w:rPr>
        <w:t>法定代表人授权委托书（格式见附件</w:t>
      </w:r>
      <w:r>
        <w:rPr>
          <w:rFonts w:hint="eastAsia" w:hAnsi="宋体" w:cs="宋体"/>
          <w:kern w:val="0"/>
          <w:sz w:val="24"/>
          <w:szCs w:val="24"/>
        </w:rPr>
        <w:t>）</w:t>
      </w:r>
    </w:p>
    <w:p w14:paraId="04A61CB2">
      <w:pPr>
        <w:pStyle w:val="13"/>
        <w:numPr>
          <w:ilvl w:val="1"/>
          <w:numId w:val="3"/>
        </w:numPr>
        <w:snapToGrid w:val="0"/>
        <w:spacing w:line="360" w:lineRule="auto"/>
        <w:rPr>
          <w:rFonts w:hint="eastAsia" w:hAnsi="宋体" w:cs="宋体"/>
          <w:kern w:val="0"/>
          <w:sz w:val="24"/>
          <w:szCs w:val="24"/>
        </w:rPr>
      </w:pPr>
      <w:r>
        <w:rPr>
          <w:rFonts w:hint="eastAsia" w:hAnsi="宋体" w:cs="宋体"/>
          <w:kern w:val="0"/>
          <w:sz w:val="24"/>
          <w:szCs w:val="24"/>
        </w:rPr>
        <w:t>招标文件服务费和投标保证金</w:t>
      </w:r>
      <w:r>
        <w:rPr>
          <w:rFonts w:hAnsi="宋体" w:cs="宋体"/>
          <w:kern w:val="0"/>
          <w:sz w:val="24"/>
          <w:szCs w:val="24"/>
        </w:rPr>
        <w:t>支付凭证（格式见附件）</w:t>
      </w:r>
    </w:p>
    <w:p w14:paraId="04A61CB3">
      <w:pPr>
        <w:pStyle w:val="13"/>
        <w:numPr>
          <w:ilvl w:val="1"/>
          <w:numId w:val="3"/>
        </w:numPr>
        <w:snapToGrid w:val="0"/>
        <w:spacing w:line="360" w:lineRule="auto"/>
        <w:rPr>
          <w:rFonts w:hint="eastAsia" w:hAnsi="宋体" w:cs="宋体"/>
          <w:kern w:val="0"/>
          <w:sz w:val="24"/>
          <w:szCs w:val="24"/>
        </w:rPr>
      </w:pPr>
      <w:r>
        <w:rPr>
          <w:rFonts w:hAnsi="宋体" w:cs="宋体"/>
          <w:kern w:val="0"/>
          <w:sz w:val="24"/>
          <w:szCs w:val="24"/>
        </w:rPr>
        <w:t>技术响应表（格式见附件）</w:t>
      </w:r>
    </w:p>
    <w:p w14:paraId="04A61CB4">
      <w:pPr>
        <w:pStyle w:val="13"/>
        <w:snapToGrid w:val="0"/>
        <w:spacing w:line="360" w:lineRule="auto"/>
        <w:ind w:firstLine="426"/>
        <w:rPr>
          <w:rFonts w:hint="eastAsia" w:hAnsi="宋体" w:cs="宋体"/>
          <w:kern w:val="0"/>
          <w:sz w:val="24"/>
          <w:szCs w:val="24"/>
        </w:rPr>
      </w:pPr>
      <w:r>
        <w:rPr>
          <w:rFonts w:hint="eastAsia" w:hAnsi="宋体" w:cs="宋体"/>
          <w:kern w:val="0"/>
          <w:sz w:val="24"/>
          <w:szCs w:val="24"/>
        </w:rPr>
        <w:t>2. 商务经济标书：</w:t>
      </w:r>
    </w:p>
    <w:p w14:paraId="04A61CB5">
      <w:pPr>
        <w:pStyle w:val="13"/>
        <w:numPr>
          <w:ilvl w:val="0"/>
          <w:numId w:val="5"/>
        </w:numPr>
        <w:snapToGrid w:val="0"/>
        <w:spacing w:line="360" w:lineRule="auto"/>
        <w:ind w:left="1276" w:hanging="425"/>
        <w:rPr>
          <w:rFonts w:hint="eastAsia" w:hAnsi="宋体" w:cs="宋体"/>
          <w:kern w:val="0"/>
          <w:sz w:val="24"/>
          <w:szCs w:val="24"/>
        </w:rPr>
      </w:pPr>
      <w:r>
        <w:rPr>
          <w:rFonts w:hint="eastAsia" w:hAnsi="宋体" w:cs="宋体"/>
          <w:kern w:val="0"/>
          <w:sz w:val="24"/>
          <w:szCs w:val="24"/>
        </w:rPr>
        <w:t>商务经济标书封面（格式见附件）</w:t>
      </w:r>
    </w:p>
    <w:p w14:paraId="04A61CB6">
      <w:pPr>
        <w:pStyle w:val="13"/>
        <w:numPr>
          <w:ilvl w:val="0"/>
          <w:numId w:val="5"/>
        </w:numPr>
        <w:snapToGrid w:val="0"/>
        <w:spacing w:line="360" w:lineRule="auto"/>
        <w:ind w:left="1276" w:hanging="425"/>
        <w:rPr>
          <w:rFonts w:hint="eastAsia" w:hAnsi="宋体" w:cs="宋体"/>
          <w:kern w:val="0"/>
          <w:sz w:val="24"/>
          <w:szCs w:val="24"/>
        </w:rPr>
      </w:pPr>
      <w:r>
        <w:rPr>
          <w:rFonts w:hAnsi="宋体" w:cs="宋体"/>
          <w:kern w:val="0"/>
          <w:sz w:val="24"/>
          <w:szCs w:val="24"/>
        </w:rPr>
        <w:t>商务响应表（格式见附件）</w:t>
      </w:r>
    </w:p>
    <w:p w14:paraId="04A61CB7">
      <w:pPr>
        <w:pStyle w:val="13"/>
        <w:numPr>
          <w:ilvl w:val="0"/>
          <w:numId w:val="5"/>
        </w:numPr>
        <w:snapToGrid w:val="0"/>
        <w:spacing w:line="360" w:lineRule="auto"/>
        <w:ind w:left="1276" w:hanging="425"/>
        <w:rPr>
          <w:rFonts w:hint="eastAsia" w:hAnsi="宋体" w:cs="宋体"/>
          <w:kern w:val="0"/>
          <w:sz w:val="24"/>
          <w:szCs w:val="24"/>
        </w:rPr>
      </w:pPr>
      <w:r>
        <w:rPr>
          <w:rFonts w:hint="eastAsia" w:hAnsi="宋体" w:cs="宋体"/>
          <w:kern w:val="0"/>
          <w:sz w:val="24"/>
          <w:szCs w:val="24"/>
        </w:rPr>
        <w:t>投标函（格式见附件）</w:t>
      </w:r>
    </w:p>
    <w:p w14:paraId="04A61CB8">
      <w:pPr>
        <w:adjustRightInd w:val="0"/>
        <w:snapToGrid w:val="0"/>
        <w:spacing w:line="360" w:lineRule="auto"/>
        <w:ind w:firstLine="426"/>
        <w:rPr>
          <w:rFonts w:hint="eastAsia" w:ascii="宋体" w:hAnsi="宋体"/>
          <w:sz w:val="24"/>
          <w:szCs w:val="24"/>
        </w:rPr>
      </w:pPr>
      <w:r>
        <w:rPr>
          <w:rFonts w:hint="eastAsia" w:ascii="宋体" w:hAnsi="宋体"/>
          <w:sz w:val="24"/>
          <w:szCs w:val="24"/>
        </w:rPr>
        <w:t>（二）投标文件的语言及计量</w:t>
      </w:r>
    </w:p>
    <w:p w14:paraId="04A61CB9">
      <w:pPr>
        <w:pStyle w:val="13"/>
        <w:snapToGrid w:val="0"/>
        <w:spacing w:line="360" w:lineRule="auto"/>
        <w:ind w:firstLine="426"/>
        <w:rPr>
          <w:rFonts w:hint="eastAsia" w:hAnsi="宋体" w:cs="宋体"/>
          <w:kern w:val="0"/>
          <w:sz w:val="24"/>
          <w:szCs w:val="24"/>
        </w:rPr>
      </w:pPr>
      <w:r>
        <w:rPr>
          <w:rFonts w:hint="eastAsia" w:hAnsi="宋体" w:cs="宋体"/>
          <w:kern w:val="0"/>
          <w:sz w:val="24"/>
          <w:szCs w:val="24"/>
        </w:rPr>
        <w:t xml:space="preserve">1.投标文件以及投标人与招标人就有关投标事宜的所有来往函电，均应以中文汉语书写。除签名、盖章、专用名称等特殊情形外，以中文汉语以外的文字表述的投标文件视同未提供。 </w:t>
      </w:r>
    </w:p>
    <w:p w14:paraId="04A61CBA">
      <w:pPr>
        <w:pStyle w:val="13"/>
        <w:snapToGrid w:val="0"/>
        <w:spacing w:line="360" w:lineRule="auto"/>
        <w:ind w:firstLine="426"/>
        <w:rPr>
          <w:rFonts w:hint="eastAsia" w:hAnsi="宋体" w:cs="宋体"/>
          <w:kern w:val="0"/>
          <w:sz w:val="24"/>
          <w:szCs w:val="24"/>
        </w:rPr>
      </w:pPr>
      <w:r>
        <w:rPr>
          <w:rFonts w:hint="eastAsia" w:hAnsi="宋体" w:cs="宋体"/>
          <w:kern w:val="0"/>
          <w:sz w:val="24"/>
          <w:szCs w:val="24"/>
        </w:rPr>
        <w:t>2.投标计量单位，招标文件已有明确规定的，使用招标文件规定的计量单位；招标文件没有规定的，应采用中华人民共和国法定计量单位（货币单位：人民币元），否则视同未响应。</w:t>
      </w:r>
    </w:p>
    <w:p w14:paraId="04A61CBB">
      <w:pPr>
        <w:adjustRightInd w:val="0"/>
        <w:snapToGrid w:val="0"/>
        <w:spacing w:line="360" w:lineRule="auto"/>
        <w:ind w:firstLine="426"/>
        <w:rPr>
          <w:rFonts w:hint="eastAsia" w:ascii="宋体" w:hAnsi="宋体"/>
          <w:sz w:val="24"/>
          <w:szCs w:val="24"/>
        </w:rPr>
      </w:pPr>
      <w:r>
        <w:rPr>
          <w:rFonts w:hint="eastAsia" w:ascii="宋体" w:hAnsi="宋体"/>
          <w:sz w:val="24"/>
          <w:szCs w:val="24"/>
        </w:rPr>
        <w:t>（三）投标报价</w:t>
      </w:r>
    </w:p>
    <w:p w14:paraId="04A61CBC">
      <w:pPr>
        <w:pStyle w:val="13"/>
        <w:snapToGrid w:val="0"/>
        <w:spacing w:line="360" w:lineRule="auto"/>
        <w:ind w:firstLine="426"/>
        <w:rPr>
          <w:rFonts w:hint="eastAsia" w:hAnsi="宋体" w:cs="宋体"/>
          <w:kern w:val="0"/>
          <w:sz w:val="24"/>
          <w:szCs w:val="24"/>
        </w:rPr>
      </w:pPr>
      <w:r>
        <w:rPr>
          <w:rFonts w:hint="eastAsia" w:hAnsi="宋体" w:cs="宋体"/>
          <w:kern w:val="0"/>
          <w:sz w:val="24"/>
          <w:szCs w:val="24"/>
        </w:rPr>
        <w:t>1.投标报价应按招标文件中相关附表格式填写。</w:t>
      </w:r>
    </w:p>
    <w:p w14:paraId="04A61CBD">
      <w:pPr>
        <w:pStyle w:val="13"/>
        <w:snapToGrid w:val="0"/>
        <w:spacing w:line="360" w:lineRule="auto"/>
        <w:ind w:firstLine="426"/>
        <w:rPr>
          <w:rFonts w:hint="eastAsia" w:hAnsi="宋体" w:cs="宋体"/>
          <w:kern w:val="0"/>
          <w:sz w:val="24"/>
          <w:szCs w:val="24"/>
        </w:rPr>
      </w:pPr>
      <w:r>
        <w:rPr>
          <w:rFonts w:hint="eastAsia" w:hAnsi="宋体" w:cs="宋体"/>
          <w:kern w:val="0"/>
          <w:sz w:val="24"/>
          <w:szCs w:val="24"/>
        </w:rPr>
        <w:t>2.投标报价应当包括履行合同的全部价格以及中标后向招标代理机构支付的服务费。</w:t>
      </w:r>
    </w:p>
    <w:p w14:paraId="04A61CBE">
      <w:pPr>
        <w:pStyle w:val="13"/>
        <w:snapToGrid w:val="0"/>
        <w:spacing w:line="360" w:lineRule="auto"/>
        <w:ind w:firstLine="426"/>
        <w:rPr>
          <w:rFonts w:hint="eastAsia" w:hAnsi="宋体" w:cs="宋体"/>
          <w:kern w:val="0"/>
          <w:sz w:val="24"/>
          <w:szCs w:val="24"/>
        </w:rPr>
      </w:pPr>
      <w:r>
        <w:rPr>
          <w:rFonts w:hint="eastAsia" w:hAnsi="宋体" w:cs="宋体"/>
          <w:kern w:val="0"/>
          <w:sz w:val="24"/>
          <w:szCs w:val="24"/>
        </w:rPr>
        <w:t>3.投标文件只允许有一个报价，有选择或有条件的报价将不予接受，其投标无效。</w:t>
      </w:r>
    </w:p>
    <w:p w14:paraId="04A61CBF">
      <w:pPr>
        <w:pStyle w:val="7"/>
        <w:widowControl w:val="0"/>
        <w:numPr>
          <w:ilvl w:val="0"/>
          <w:numId w:val="0"/>
        </w:numPr>
        <w:adjustRightInd w:val="0"/>
        <w:snapToGrid w:val="0"/>
        <w:spacing w:line="360" w:lineRule="auto"/>
        <w:ind w:firstLine="426"/>
        <w:rPr>
          <w:rFonts w:hint="eastAsia"/>
        </w:rPr>
      </w:pPr>
      <w:r>
        <w:rPr>
          <w:rFonts w:hint="eastAsia"/>
        </w:rPr>
        <w:t>（四）投标文件的有效期</w:t>
      </w:r>
    </w:p>
    <w:p w14:paraId="04A61CC0">
      <w:pPr>
        <w:pStyle w:val="7"/>
        <w:widowControl w:val="0"/>
        <w:numPr>
          <w:ilvl w:val="0"/>
          <w:numId w:val="0"/>
        </w:numPr>
        <w:adjustRightInd w:val="0"/>
        <w:snapToGrid w:val="0"/>
        <w:spacing w:line="360" w:lineRule="auto"/>
        <w:ind w:firstLine="426"/>
        <w:rPr>
          <w:rFonts w:hint="eastAsia"/>
        </w:rPr>
      </w:pPr>
      <w:r>
        <w:rPr>
          <w:rFonts w:hint="eastAsia"/>
        </w:rPr>
        <w:t>1.自投标截止日起90天投标文件应保持有效。有效期不足的投标文件将被视为无效。</w:t>
      </w:r>
    </w:p>
    <w:p w14:paraId="04A61CC1">
      <w:pPr>
        <w:pStyle w:val="7"/>
        <w:widowControl w:val="0"/>
        <w:numPr>
          <w:ilvl w:val="0"/>
          <w:numId w:val="0"/>
        </w:numPr>
        <w:adjustRightInd w:val="0"/>
        <w:snapToGrid w:val="0"/>
        <w:spacing w:line="360" w:lineRule="auto"/>
        <w:ind w:firstLine="426"/>
        <w:rPr>
          <w:rFonts w:hint="eastAsia"/>
        </w:rPr>
      </w:pPr>
      <w:r>
        <w:rPr>
          <w:rFonts w:hint="eastAsia"/>
        </w:rPr>
        <w:t>2.在特殊情况下，招标人可与投标人协商延长投标书的有效期，这种要求和答复均以书面形式进行。</w:t>
      </w:r>
    </w:p>
    <w:p w14:paraId="04A61CC2">
      <w:pPr>
        <w:adjustRightInd w:val="0"/>
        <w:snapToGrid w:val="0"/>
        <w:spacing w:line="360" w:lineRule="auto"/>
        <w:ind w:firstLine="426"/>
        <w:rPr>
          <w:rFonts w:hint="eastAsia" w:ascii="宋体" w:hAnsi="宋体"/>
          <w:b/>
          <w:sz w:val="24"/>
          <w:szCs w:val="24"/>
        </w:rPr>
      </w:pPr>
      <w:r>
        <w:rPr>
          <w:rFonts w:hint="eastAsia" w:ascii="宋体" w:hAnsi="宋体"/>
          <w:sz w:val="24"/>
          <w:szCs w:val="24"/>
        </w:rPr>
        <w:t>3.投标人可拒绝接受延期要求。同意延长有效期的，投标人不能修改其投标文件。</w:t>
      </w:r>
    </w:p>
    <w:p w14:paraId="04A61CC3">
      <w:pPr>
        <w:adjustRightInd w:val="0"/>
        <w:snapToGrid w:val="0"/>
        <w:spacing w:line="360" w:lineRule="auto"/>
        <w:ind w:firstLine="426"/>
        <w:rPr>
          <w:rFonts w:hint="eastAsia" w:ascii="宋体" w:hAnsi="宋体"/>
          <w:b/>
          <w:sz w:val="24"/>
          <w:szCs w:val="24"/>
        </w:rPr>
      </w:pPr>
      <w:r>
        <w:rPr>
          <w:rFonts w:hint="eastAsia" w:ascii="宋体" w:hAnsi="宋体"/>
          <w:sz w:val="24"/>
          <w:szCs w:val="24"/>
        </w:rPr>
        <w:t>4.中标人的投标文件自开标之日起至合同履行完毕止均应保持有效。</w:t>
      </w:r>
    </w:p>
    <w:p w14:paraId="04A61CC4">
      <w:pPr>
        <w:adjustRightInd w:val="0"/>
        <w:snapToGrid w:val="0"/>
        <w:spacing w:line="360" w:lineRule="auto"/>
        <w:ind w:firstLine="470" w:firstLineChars="196"/>
        <w:rPr>
          <w:rFonts w:hint="eastAsia" w:ascii="宋体" w:hAnsi="宋体"/>
          <w:b/>
          <w:sz w:val="24"/>
          <w:szCs w:val="24"/>
        </w:rPr>
      </w:pPr>
      <w:r>
        <w:rPr>
          <w:rFonts w:hint="eastAsia" w:ascii="宋体" w:hAnsi="宋体"/>
          <w:b/>
          <w:sz w:val="24"/>
          <w:szCs w:val="24"/>
        </w:rPr>
        <w:t>（五）投标文件的编制</w:t>
      </w:r>
    </w:p>
    <w:p w14:paraId="04A61CC5">
      <w:pPr>
        <w:pStyle w:val="7"/>
        <w:widowControl w:val="0"/>
        <w:numPr>
          <w:ilvl w:val="0"/>
          <w:numId w:val="0"/>
        </w:numPr>
        <w:adjustRightInd w:val="0"/>
        <w:snapToGrid w:val="0"/>
        <w:spacing w:line="360" w:lineRule="auto"/>
        <w:ind w:firstLine="426"/>
        <w:rPr>
          <w:rFonts w:hint="eastAsia"/>
        </w:rPr>
      </w:pPr>
      <w:r>
        <w:rPr>
          <w:rFonts w:hint="eastAsia"/>
        </w:rPr>
        <w:t>本项目要求投标文件通过“电子加密投标文件”的形式提交：</w:t>
      </w:r>
    </w:p>
    <w:p w14:paraId="04A61CC6">
      <w:pPr>
        <w:pStyle w:val="7"/>
        <w:widowControl w:val="0"/>
        <w:numPr>
          <w:ilvl w:val="0"/>
          <w:numId w:val="0"/>
        </w:numPr>
        <w:adjustRightInd w:val="0"/>
        <w:snapToGrid w:val="0"/>
        <w:spacing w:line="360" w:lineRule="auto"/>
        <w:ind w:firstLine="426"/>
        <w:rPr>
          <w:rFonts w:hint="eastAsia"/>
        </w:rPr>
      </w:pPr>
      <w:r>
        <w:rPr>
          <w:rFonts w:hint="eastAsia"/>
        </w:rPr>
        <w:t>1.“电子加密投标文件”是指通过“巨化数字化招采平台”完成投标文件加密的数据电文形式的投标文件。</w:t>
      </w:r>
    </w:p>
    <w:p w14:paraId="04A61CC7">
      <w:pPr>
        <w:pStyle w:val="7"/>
        <w:widowControl w:val="0"/>
        <w:numPr>
          <w:ilvl w:val="0"/>
          <w:numId w:val="0"/>
        </w:numPr>
        <w:adjustRightInd w:val="0"/>
        <w:snapToGrid w:val="0"/>
        <w:spacing w:line="360" w:lineRule="auto"/>
        <w:ind w:firstLine="426"/>
        <w:rPr>
          <w:rFonts w:hint="eastAsia"/>
        </w:rPr>
      </w:pPr>
      <w:r>
        <w:rPr>
          <w:rFonts w:hint="eastAsia"/>
        </w:rPr>
        <w:t>2.投标人应先按照本招标文件和“巨化数字化招采平台”的要求，通过“巨化数字化招采平台”加密并提交投标文件。</w:t>
      </w:r>
    </w:p>
    <w:p w14:paraId="04A61CC8">
      <w:pPr>
        <w:autoSpaceDE w:val="0"/>
        <w:autoSpaceDN w:val="0"/>
        <w:adjustRightInd w:val="0"/>
        <w:snapToGrid w:val="0"/>
        <w:spacing w:line="360" w:lineRule="auto"/>
        <w:ind w:firstLine="360" w:firstLineChars="150"/>
        <w:rPr>
          <w:rFonts w:hint="eastAsia" w:ascii="宋体" w:hAnsi="宋体"/>
          <w:b/>
          <w:sz w:val="24"/>
          <w:szCs w:val="24"/>
          <w:lang w:bidi="ar"/>
        </w:rPr>
      </w:pPr>
      <w:r>
        <w:rPr>
          <w:rFonts w:hint="eastAsia" w:ascii="宋体" w:hAnsi="宋体"/>
          <w:b/>
          <w:sz w:val="24"/>
          <w:szCs w:val="24"/>
          <w:lang w:bidi="ar"/>
        </w:rPr>
        <w:t>（六）投标保证金</w:t>
      </w:r>
    </w:p>
    <w:p w14:paraId="04A61CC9">
      <w:pPr>
        <w:adjustRightInd w:val="0"/>
        <w:snapToGrid w:val="0"/>
        <w:spacing w:line="360" w:lineRule="auto"/>
        <w:ind w:firstLine="426"/>
        <w:rPr>
          <w:rFonts w:hint="eastAsia" w:ascii="宋体" w:hAnsi="宋体"/>
          <w:sz w:val="24"/>
          <w:szCs w:val="24"/>
        </w:rPr>
      </w:pPr>
      <w:r>
        <w:rPr>
          <w:rFonts w:hint="eastAsia" w:ascii="宋体" w:hAnsi="宋体"/>
          <w:sz w:val="24"/>
          <w:szCs w:val="24"/>
        </w:rPr>
        <w:t>1.投标保证金金额：见投标人须知前附表。</w:t>
      </w:r>
    </w:p>
    <w:p w14:paraId="04A61CCA">
      <w:pPr>
        <w:adjustRightInd w:val="0"/>
        <w:snapToGrid w:val="0"/>
        <w:spacing w:line="360" w:lineRule="auto"/>
        <w:ind w:firstLine="426"/>
        <w:rPr>
          <w:rFonts w:hint="eastAsia" w:ascii="宋体" w:hAnsi="宋体"/>
          <w:sz w:val="24"/>
          <w:szCs w:val="24"/>
        </w:rPr>
      </w:pPr>
      <w:r>
        <w:rPr>
          <w:rFonts w:hint="eastAsia" w:ascii="宋体" w:hAnsi="宋体"/>
          <w:sz w:val="24"/>
          <w:szCs w:val="24"/>
        </w:rPr>
        <w:t>2.投标保证金的形式：银行转账等非现金形式。</w:t>
      </w:r>
    </w:p>
    <w:p w14:paraId="04A61CCB">
      <w:pPr>
        <w:adjustRightInd w:val="0"/>
        <w:snapToGrid w:val="0"/>
        <w:spacing w:line="360" w:lineRule="auto"/>
        <w:ind w:firstLine="426"/>
        <w:rPr>
          <w:rFonts w:hint="eastAsia" w:ascii="宋体" w:hAnsi="宋体"/>
          <w:sz w:val="24"/>
          <w:szCs w:val="24"/>
        </w:rPr>
      </w:pPr>
      <w:r>
        <w:rPr>
          <w:rFonts w:hint="eastAsia" w:ascii="宋体" w:hAnsi="宋体"/>
          <w:sz w:val="24"/>
          <w:szCs w:val="24"/>
        </w:rPr>
        <w:t>3.投标保证金应当在投标截止时间前到帐。投标截止时间前投标保证金未到帐的，投标无效。</w:t>
      </w:r>
    </w:p>
    <w:p w14:paraId="04A61CCC">
      <w:pPr>
        <w:adjustRightInd w:val="0"/>
        <w:snapToGrid w:val="0"/>
        <w:spacing w:line="360" w:lineRule="auto"/>
        <w:ind w:firstLine="426"/>
        <w:rPr>
          <w:rFonts w:hint="eastAsia" w:ascii="宋体" w:hAnsi="宋体"/>
          <w:sz w:val="24"/>
          <w:szCs w:val="24"/>
        </w:rPr>
      </w:pPr>
      <w:r>
        <w:rPr>
          <w:rFonts w:hint="eastAsia" w:ascii="宋体" w:hAnsi="宋体"/>
          <w:sz w:val="24"/>
          <w:szCs w:val="24"/>
        </w:rPr>
        <w:t>4.除招标文件规定不予退还保证金的情形及因投标人自身原因导致无法及时退还的，代理机构凭投标人在投标时提供的“退还投标保证金申请书”以银行转账等非现金形式予以退还：</w:t>
      </w:r>
    </w:p>
    <w:p w14:paraId="04A61CCD">
      <w:pPr>
        <w:adjustRightInd w:val="0"/>
        <w:snapToGrid w:val="0"/>
        <w:spacing w:line="360" w:lineRule="auto"/>
        <w:ind w:firstLine="426"/>
        <w:rPr>
          <w:rFonts w:hint="eastAsia" w:ascii="宋体" w:hAnsi="宋体"/>
          <w:sz w:val="24"/>
          <w:szCs w:val="24"/>
        </w:rPr>
      </w:pPr>
      <w:r>
        <w:rPr>
          <w:rFonts w:hint="eastAsia" w:ascii="宋体" w:hAnsi="宋体"/>
          <w:sz w:val="24"/>
          <w:szCs w:val="24"/>
        </w:rPr>
        <w:t>（1）未中标投标人的投标保证金自中标通知书发出后5个工作日内退还；</w:t>
      </w:r>
    </w:p>
    <w:p w14:paraId="04A61CCE">
      <w:pPr>
        <w:adjustRightInd w:val="0"/>
        <w:snapToGrid w:val="0"/>
        <w:spacing w:line="360" w:lineRule="auto"/>
        <w:ind w:firstLine="426"/>
        <w:rPr>
          <w:rFonts w:hint="eastAsia" w:ascii="宋体" w:hAnsi="宋体"/>
          <w:sz w:val="24"/>
          <w:szCs w:val="24"/>
        </w:rPr>
      </w:pPr>
      <w:r>
        <w:rPr>
          <w:rFonts w:hint="eastAsia" w:ascii="宋体" w:hAnsi="宋体"/>
          <w:sz w:val="24"/>
          <w:szCs w:val="24"/>
        </w:rPr>
        <w:t>（2）中标人的投标保证金在合同签订后5个工作日内退还。</w:t>
      </w:r>
    </w:p>
    <w:p w14:paraId="04A61CCF">
      <w:pPr>
        <w:adjustRightInd w:val="0"/>
        <w:snapToGrid w:val="0"/>
        <w:spacing w:line="360" w:lineRule="auto"/>
        <w:ind w:firstLine="426"/>
        <w:rPr>
          <w:rFonts w:hint="eastAsia" w:ascii="宋体" w:hAnsi="宋体"/>
          <w:bCs/>
          <w:sz w:val="24"/>
          <w:szCs w:val="24"/>
        </w:rPr>
      </w:pPr>
      <w:r>
        <w:rPr>
          <w:rFonts w:hint="eastAsia" w:ascii="宋体" w:hAnsi="宋体"/>
          <w:bCs/>
          <w:sz w:val="24"/>
          <w:szCs w:val="24"/>
        </w:rPr>
        <w:t>5.投标人有下列情形之一的，投标保证金将不予退还：</w:t>
      </w:r>
    </w:p>
    <w:p w14:paraId="04A61CD0">
      <w:pPr>
        <w:adjustRightInd w:val="0"/>
        <w:snapToGrid w:val="0"/>
        <w:spacing w:line="360" w:lineRule="auto"/>
        <w:ind w:firstLine="426"/>
        <w:rPr>
          <w:rFonts w:hint="eastAsia" w:ascii="宋体" w:hAnsi="宋体"/>
          <w:sz w:val="24"/>
          <w:szCs w:val="24"/>
        </w:rPr>
      </w:pPr>
      <w:r>
        <w:rPr>
          <w:rFonts w:hint="eastAsia" w:ascii="宋体" w:hAnsi="宋体"/>
          <w:sz w:val="24"/>
          <w:szCs w:val="24"/>
        </w:rPr>
        <w:t>（1）投标人在投标有效期内撤回投标文件的；</w:t>
      </w:r>
    </w:p>
    <w:p w14:paraId="04A61CD1">
      <w:pPr>
        <w:adjustRightInd w:val="0"/>
        <w:snapToGrid w:val="0"/>
        <w:spacing w:line="360" w:lineRule="auto"/>
        <w:ind w:firstLine="426"/>
        <w:rPr>
          <w:rFonts w:hint="eastAsia" w:ascii="宋体" w:hAnsi="宋体"/>
          <w:sz w:val="24"/>
          <w:szCs w:val="24"/>
        </w:rPr>
      </w:pPr>
      <w:r>
        <w:rPr>
          <w:rFonts w:hint="eastAsia" w:ascii="宋体" w:hAnsi="宋体"/>
          <w:sz w:val="24"/>
          <w:szCs w:val="24"/>
        </w:rPr>
        <w:t>（2）投标人提供虚假、伪造的证明文件；</w:t>
      </w:r>
    </w:p>
    <w:p w14:paraId="04A61CD2">
      <w:pPr>
        <w:adjustRightInd w:val="0"/>
        <w:snapToGrid w:val="0"/>
        <w:spacing w:line="360" w:lineRule="auto"/>
        <w:ind w:firstLine="426"/>
        <w:rPr>
          <w:rFonts w:hint="eastAsia" w:ascii="宋体" w:hAnsi="宋体"/>
          <w:sz w:val="24"/>
          <w:szCs w:val="24"/>
        </w:rPr>
      </w:pPr>
      <w:r>
        <w:rPr>
          <w:rFonts w:hint="eastAsia" w:ascii="宋体" w:hAnsi="宋体"/>
          <w:sz w:val="24"/>
          <w:szCs w:val="24"/>
        </w:rPr>
        <w:t>（3）投标人被认定为串通投标的（技术资信标书符合性审查第11-16项）；</w:t>
      </w:r>
    </w:p>
    <w:p w14:paraId="04A61CD3">
      <w:pPr>
        <w:adjustRightInd w:val="0"/>
        <w:snapToGrid w:val="0"/>
        <w:spacing w:line="360" w:lineRule="auto"/>
        <w:ind w:firstLine="426"/>
        <w:rPr>
          <w:rFonts w:hint="eastAsia" w:ascii="宋体" w:hAnsi="宋体"/>
          <w:sz w:val="24"/>
          <w:szCs w:val="24"/>
        </w:rPr>
      </w:pPr>
      <w:r>
        <w:rPr>
          <w:rFonts w:hint="eastAsia" w:ascii="宋体" w:hAnsi="宋体"/>
          <w:sz w:val="24"/>
          <w:szCs w:val="24"/>
        </w:rPr>
        <w:t>（4）未按规定提交履约保证金的；</w:t>
      </w:r>
    </w:p>
    <w:p w14:paraId="04A61CD4">
      <w:pPr>
        <w:adjustRightInd w:val="0"/>
        <w:snapToGrid w:val="0"/>
        <w:spacing w:line="360" w:lineRule="auto"/>
        <w:ind w:firstLine="426"/>
        <w:rPr>
          <w:rFonts w:hint="eastAsia" w:ascii="宋体" w:hAnsi="宋体"/>
          <w:b/>
          <w:sz w:val="24"/>
          <w:szCs w:val="24"/>
        </w:rPr>
      </w:pPr>
      <w:r>
        <w:rPr>
          <w:rFonts w:hint="eastAsia" w:ascii="宋体" w:hAnsi="宋体"/>
          <w:sz w:val="24"/>
          <w:szCs w:val="24"/>
        </w:rPr>
        <w:t>（5）中标人无正当理由不与招标人签订合同的。</w:t>
      </w:r>
    </w:p>
    <w:p w14:paraId="04A61CD5">
      <w:pPr>
        <w:adjustRightInd w:val="0"/>
        <w:snapToGrid w:val="0"/>
        <w:spacing w:line="360" w:lineRule="auto"/>
        <w:ind w:firstLine="352" w:firstLineChars="147"/>
        <w:rPr>
          <w:rFonts w:hint="eastAsia" w:ascii="宋体" w:hAnsi="宋体"/>
          <w:b/>
          <w:sz w:val="24"/>
          <w:szCs w:val="24"/>
        </w:rPr>
      </w:pPr>
      <w:r>
        <w:rPr>
          <w:rFonts w:hint="eastAsia" w:ascii="宋体" w:hAnsi="宋体"/>
          <w:b/>
          <w:sz w:val="24"/>
          <w:szCs w:val="24"/>
        </w:rPr>
        <w:t>（七）投标文件的签章</w:t>
      </w:r>
    </w:p>
    <w:p w14:paraId="04A61CD6">
      <w:pPr>
        <w:adjustRightInd w:val="0"/>
        <w:snapToGrid w:val="0"/>
        <w:spacing w:line="360" w:lineRule="auto"/>
        <w:ind w:firstLine="426"/>
        <w:rPr>
          <w:rFonts w:hint="eastAsia" w:ascii="宋体" w:hAnsi="宋体"/>
          <w:sz w:val="24"/>
          <w:szCs w:val="24"/>
        </w:rPr>
      </w:pPr>
      <w:r>
        <w:rPr>
          <w:rFonts w:hint="eastAsia" w:ascii="宋体" w:hAnsi="宋体"/>
          <w:sz w:val="24"/>
          <w:szCs w:val="24"/>
        </w:rPr>
        <w:t>采用电子签章。</w:t>
      </w:r>
    </w:p>
    <w:p w14:paraId="04A61CD7">
      <w:pPr>
        <w:adjustRightInd w:val="0"/>
        <w:snapToGrid w:val="0"/>
        <w:spacing w:line="360" w:lineRule="auto"/>
        <w:ind w:firstLine="426"/>
        <w:rPr>
          <w:rFonts w:hint="eastAsia" w:ascii="宋体" w:hAnsi="宋体"/>
          <w:b/>
          <w:sz w:val="24"/>
          <w:szCs w:val="24"/>
        </w:rPr>
      </w:pPr>
      <w:r>
        <w:rPr>
          <w:rFonts w:hint="eastAsia" w:ascii="宋体" w:hAnsi="宋体"/>
          <w:b/>
          <w:sz w:val="24"/>
          <w:szCs w:val="24"/>
        </w:rPr>
        <w:t>（八）投标文件的包装、密封和递交</w:t>
      </w:r>
    </w:p>
    <w:p w14:paraId="04A61CD8">
      <w:pPr>
        <w:adjustRightInd w:val="0"/>
        <w:snapToGrid w:val="0"/>
        <w:spacing w:line="360" w:lineRule="auto"/>
        <w:ind w:firstLine="426"/>
        <w:rPr>
          <w:rFonts w:hint="eastAsia" w:ascii="宋体" w:hAnsi="宋体"/>
          <w:bCs/>
          <w:sz w:val="24"/>
          <w:szCs w:val="24"/>
        </w:rPr>
      </w:pPr>
      <w:r>
        <w:rPr>
          <w:rFonts w:hint="eastAsia" w:ascii="宋体" w:hAnsi="宋体"/>
          <w:bCs/>
          <w:sz w:val="24"/>
          <w:szCs w:val="24"/>
        </w:rPr>
        <w:t>1.“电子加密投标文件”的递交：投标人应在投标截止时间前将“电子加密投标文件”成功上传递交至“巨化数字化招采平台”，否则投标无效。</w:t>
      </w:r>
    </w:p>
    <w:p w14:paraId="04A61CD9">
      <w:pPr>
        <w:spacing w:line="360" w:lineRule="auto"/>
        <w:rPr>
          <w:rFonts w:hint="eastAsia" w:ascii="宋体" w:hAnsi="宋体"/>
          <w:sz w:val="24"/>
          <w:szCs w:val="24"/>
        </w:rPr>
      </w:pPr>
      <w:r>
        <w:rPr>
          <w:rFonts w:hint="eastAsia" w:ascii="宋体" w:hAnsi="宋体"/>
          <w:bCs/>
          <w:sz w:val="24"/>
          <w:szCs w:val="24"/>
        </w:rPr>
        <w:t>2.“纸质投标文件”：投标时无需提供“纸质投标文件”，中标人须在中标候选人公示发出后5个工作日内提供3套纸质投标文件，纸质投标文件须打印有签章的电子加密投标文件。邮寄地址：</w:t>
      </w:r>
      <w:r>
        <w:rPr>
          <w:rFonts w:hint="eastAsia" w:ascii="宋体" w:hAnsi="宋体"/>
          <w:sz w:val="24"/>
          <w:szCs w:val="24"/>
        </w:rPr>
        <w:t>浙江省衢州市巨化集团有限公司北一道165号</w:t>
      </w:r>
    </w:p>
    <w:p w14:paraId="04A61CDA">
      <w:pPr>
        <w:adjustRightInd w:val="0"/>
        <w:snapToGrid w:val="0"/>
        <w:spacing w:line="360" w:lineRule="auto"/>
        <w:ind w:firstLine="426"/>
        <w:rPr>
          <w:rFonts w:hint="eastAsia" w:ascii="宋体" w:hAnsi="宋体"/>
          <w:sz w:val="24"/>
          <w:szCs w:val="24"/>
        </w:rPr>
      </w:pPr>
      <w:r>
        <w:rPr>
          <w:rFonts w:hint="eastAsia" w:ascii="宋体" w:hAnsi="宋体"/>
          <w:sz w:val="24"/>
          <w:szCs w:val="24"/>
        </w:rPr>
        <w:t>联系人：        联系电话：</w:t>
      </w:r>
      <w:r>
        <w:rPr>
          <w:rFonts w:ascii="宋体" w:hAnsi="宋体"/>
          <w:sz w:val="24"/>
          <w:szCs w:val="24"/>
        </w:rPr>
        <w:t xml:space="preserve"> </w:t>
      </w:r>
    </w:p>
    <w:p w14:paraId="04A61CDB">
      <w:pPr>
        <w:autoSpaceDE w:val="0"/>
        <w:autoSpaceDN w:val="0"/>
        <w:adjustRightInd w:val="0"/>
        <w:snapToGrid w:val="0"/>
        <w:spacing w:line="360" w:lineRule="auto"/>
        <w:ind w:firstLine="480" w:firstLineChars="200"/>
        <w:textAlignment w:val="bottom"/>
        <w:rPr>
          <w:rFonts w:hint="eastAsia" w:ascii="宋体" w:hAnsi="宋体"/>
          <w:b/>
          <w:sz w:val="24"/>
          <w:szCs w:val="24"/>
          <w:lang w:bidi="ar"/>
        </w:rPr>
      </w:pPr>
      <w:r>
        <w:rPr>
          <w:rFonts w:hint="eastAsia" w:ascii="宋体" w:hAnsi="宋体"/>
          <w:b/>
          <w:sz w:val="24"/>
          <w:szCs w:val="24"/>
          <w:lang w:bidi="ar"/>
        </w:rPr>
        <w:t>（九）投标文件的修改和撤回</w:t>
      </w:r>
    </w:p>
    <w:p w14:paraId="04A61CDC">
      <w:pPr>
        <w:autoSpaceDE w:val="0"/>
        <w:autoSpaceDN w:val="0"/>
        <w:adjustRightInd w:val="0"/>
        <w:snapToGrid w:val="0"/>
        <w:spacing w:line="360" w:lineRule="auto"/>
        <w:ind w:left="478" w:leftChars="228"/>
        <w:textAlignment w:val="bottom"/>
        <w:rPr>
          <w:rFonts w:hint="eastAsia" w:ascii="宋体" w:hAnsi="宋体"/>
          <w:sz w:val="24"/>
          <w:szCs w:val="24"/>
          <w:lang w:bidi="ar"/>
        </w:rPr>
      </w:pPr>
      <w:r>
        <w:rPr>
          <w:rFonts w:hint="eastAsia" w:ascii="宋体" w:hAnsi="宋体"/>
          <w:sz w:val="24"/>
          <w:szCs w:val="24"/>
          <w:lang w:bidi="ar"/>
        </w:rPr>
        <w:t>1.投标人在投标截止时间前可以补充、修改或者撤回投标文件。</w:t>
      </w:r>
    </w:p>
    <w:p w14:paraId="04A61CDD">
      <w:pPr>
        <w:autoSpaceDE w:val="0"/>
        <w:autoSpaceDN w:val="0"/>
        <w:adjustRightInd w:val="0"/>
        <w:snapToGrid w:val="0"/>
        <w:spacing w:line="360" w:lineRule="auto"/>
        <w:ind w:firstLine="480" w:firstLineChars="200"/>
        <w:textAlignment w:val="bottom"/>
        <w:rPr>
          <w:rFonts w:hint="eastAsia" w:ascii="宋体" w:hAnsi="宋体"/>
          <w:sz w:val="24"/>
          <w:szCs w:val="24"/>
          <w:lang w:bidi="ar"/>
        </w:rPr>
      </w:pPr>
      <w:r>
        <w:rPr>
          <w:rFonts w:hint="eastAsia" w:ascii="宋体" w:hAnsi="宋体"/>
          <w:sz w:val="24"/>
          <w:szCs w:val="24"/>
          <w:lang w:bidi="ar"/>
        </w:rPr>
        <w:t>2.补充或者修改投标文件的，应当先行撤回原投标文件，补充、修改后重新上传递交。</w:t>
      </w:r>
    </w:p>
    <w:p w14:paraId="04A61CDE">
      <w:pPr>
        <w:autoSpaceDE w:val="0"/>
        <w:autoSpaceDN w:val="0"/>
        <w:adjustRightInd w:val="0"/>
        <w:snapToGrid w:val="0"/>
        <w:spacing w:line="360" w:lineRule="auto"/>
        <w:ind w:left="478" w:leftChars="228"/>
        <w:textAlignment w:val="bottom"/>
        <w:rPr>
          <w:rFonts w:hint="eastAsia" w:ascii="宋体" w:hAnsi="宋体"/>
          <w:sz w:val="24"/>
          <w:szCs w:val="24"/>
        </w:rPr>
      </w:pPr>
      <w:r>
        <w:rPr>
          <w:rFonts w:hint="eastAsia" w:ascii="宋体" w:hAnsi="宋体"/>
          <w:sz w:val="24"/>
          <w:szCs w:val="24"/>
          <w:lang w:bidi="ar"/>
        </w:rPr>
        <w:t>3.投标截止时间前未完成上传的，视为撤回投标文件。</w:t>
      </w:r>
    </w:p>
    <w:p w14:paraId="04A61CDF">
      <w:pPr>
        <w:snapToGrid w:val="0"/>
        <w:spacing w:line="360" w:lineRule="auto"/>
        <w:ind w:left="426"/>
        <w:outlineLvl w:val="1"/>
        <w:rPr>
          <w:rFonts w:hint="eastAsia" w:ascii="宋体" w:hAnsi="宋体"/>
          <w:b/>
          <w:sz w:val="24"/>
          <w:szCs w:val="24"/>
        </w:rPr>
      </w:pPr>
      <w:bookmarkStart w:id="18" w:name="_Toc161130978"/>
      <w:bookmarkStart w:id="19" w:name="_Toc127277063"/>
      <w:r>
        <w:rPr>
          <w:rFonts w:ascii="宋体" w:hAnsi="宋体"/>
          <w:b/>
          <w:sz w:val="24"/>
          <w:szCs w:val="24"/>
        </w:rPr>
        <w:t>四、开标</w:t>
      </w:r>
      <w:bookmarkEnd w:id="18"/>
      <w:bookmarkEnd w:id="19"/>
    </w:p>
    <w:p w14:paraId="04A61CE0">
      <w:pPr>
        <w:autoSpaceDE w:val="0"/>
        <w:autoSpaceDN w:val="0"/>
        <w:adjustRightInd w:val="0"/>
        <w:snapToGrid w:val="0"/>
        <w:spacing w:line="360" w:lineRule="auto"/>
        <w:ind w:firstLine="480" w:firstLineChars="200"/>
        <w:textAlignment w:val="bottom"/>
        <w:rPr>
          <w:rFonts w:hint="eastAsia" w:ascii="宋体" w:hAnsi="宋体"/>
          <w:b/>
          <w:sz w:val="24"/>
          <w:szCs w:val="24"/>
          <w:lang w:bidi="ar"/>
        </w:rPr>
      </w:pPr>
      <w:r>
        <w:rPr>
          <w:rFonts w:hint="eastAsia" w:ascii="宋体" w:hAnsi="宋体"/>
          <w:b/>
          <w:sz w:val="24"/>
          <w:szCs w:val="24"/>
          <w:lang w:bidi="ar"/>
        </w:rPr>
        <w:t>（一）开标形式</w:t>
      </w:r>
    </w:p>
    <w:p w14:paraId="04A61CE1">
      <w:pPr>
        <w:autoSpaceDE w:val="0"/>
        <w:autoSpaceDN w:val="0"/>
        <w:adjustRightInd w:val="0"/>
        <w:snapToGrid w:val="0"/>
        <w:spacing w:line="360" w:lineRule="auto"/>
        <w:ind w:firstLine="480" w:firstLineChars="200"/>
        <w:textAlignment w:val="bottom"/>
        <w:rPr>
          <w:rFonts w:hint="eastAsia" w:ascii="宋体" w:hAnsi="宋体"/>
          <w:sz w:val="24"/>
          <w:szCs w:val="24"/>
          <w:lang w:bidi="ar"/>
        </w:rPr>
      </w:pPr>
      <w:r>
        <w:rPr>
          <w:rFonts w:hint="eastAsia" w:ascii="宋体" w:hAnsi="宋体"/>
          <w:sz w:val="24"/>
          <w:szCs w:val="24"/>
          <w:lang w:bidi="ar"/>
        </w:rPr>
        <w:t>采购组织机构将按照招标文件规定的时间通过”巨化数字化招采平台”组织在线开标，所有投标人均应当准时在线参加。</w:t>
      </w:r>
    </w:p>
    <w:p w14:paraId="04A61CE2">
      <w:pPr>
        <w:autoSpaceDE w:val="0"/>
        <w:autoSpaceDN w:val="0"/>
        <w:adjustRightInd w:val="0"/>
        <w:snapToGrid w:val="0"/>
        <w:spacing w:line="360" w:lineRule="auto"/>
        <w:ind w:firstLine="480" w:firstLineChars="200"/>
        <w:textAlignment w:val="bottom"/>
        <w:rPr>
          <w:rFonts w:hint="eastAsia" w:ascii="宋体" w:hAnsi="宋体"/>
          <w:b/>
          <w:sz w:val="24"/>
          <w:szCs w:val="24"/>
          <w:lang w:bidi="ar"/>
        </w:rPr>
      </w:pPr>
      <w:r>
        <w:rPr>
          <w:rFonts w:hint="eastAsia" w:ascii="宋体" w:hAnsi="宋体"/>
          <w:b/>
          <w:sz w:val="24"/>
          <w:szCs w:val="24"/>
          <w:lang w:bidi="ar"/>
        </w:rPr>
        <w:t>（二） 开标准备</w:t>
      </w:r>
    </w:p>
    <w:p w14:paraId="04A61CE3">
      <w:pPr>
        <w:autoSpaceDE w:val="0"/>
        <w:autoSpaceDN w:val="0"/>
        <w:adjustRightInd w:val="0"/>
        <w:snapToGrid w:val="0"/>
        <w:spacing w:line="360" w:lineRule="auto"/>
        <w:ind w:firstLine="480" w:firstLineChars="200"/>
        <w:textAlignment w:val="bottom"/>
        <w:rPr>
          <w:rFonts w:hint="eastAsia" w:ascii="宋体" w:hAnsi="宋体"/>
          <w:sz w:val="24"/>
          <w:szCs w:val="24"/>
          <w:lang w:bidi="ar"/>
        </w:rPr>
      </w:pPr>
      <w:r>
        <w:rPr>
          <w:rFonts w:hint="eastAsia" w:ascii="宋体" w:hAnsi="宋体"/>
          <w:sz w:val="24"/>
          <w:szCs w:val="24"/>
          <w:lang w:bidi="ar"/>
        </w:rPr>
        <w:t>1.开标的准备工作由采购组织机构负责落实。</w:t>
      </w:r>
    </w:p>
    <w:p w14:paraId="04A61CE4">
      <w:pPr>
        <w:autoSpaceDE w:val="0"/>
        <w:autoSpaceDN w:val="0"/>
        <w:adjustRightInd w:val="0"/>
        <w:snapToGrid w:val="0"/>
        <w:spacing w:line="360" w:lineRule="auto"/>
        <w:ind w:firstLine="480" w:firstLineChars="200"/>
        <w:textAlignment w:val="bottom"/>
        <w:rPr>
          <w:rFonts w:hint="eastAsia" w:ascii="宋体" w:hAnsi="宋体"/>
          <w:sz w:val="24"/>
          <w:szCs w:val="24"/>
          <w:lang w:bidi="ar"/>
        </w:rPr>
      </w:pPr>
      <w:r>
        <w:rPr>
          <w:rFonts w:hint="eastAsia" w:ascii="宋体" w:hAnsi="宋体"/>
          <w:sz w:val="24"/>
          <w:szCs w:val="24"/>
          <w:lang w:bidi="ar"/>
        </w:rPr>
        <w:t>2.采购组织机构将按照招标文件规定的时间通过”巨化数字化招采平台”组织开标，所有投标人均应当准时在线参加。投标人自行承担因不参加在线开标而产生的不利后果。</w:t>
      </w:r>
    </w:p>
    <w:p w14:paraId="04A61CE5">
      <w:pPr>
        <w:autoSpaceDE w:val="0"/>
        <w:autoSpaceDN w:val="0"/>
        <w:adjustRightInd w:val="0"/>
        <w:snapToGrid w:val="0"/>
        <w:spacing w:line="360" w:lineRule="auto"/>
        <w:ind w:firstLine="480" w:firstLineChars="200"/>
        <w:textAlignment w:val="bottom"/>
        <w:rPr>
          <w:rFonts w:hint="eastAsia" w:ascii="宋体" w:hAnsi="宋体"/>
          <w:b/>
          <w:sz w:val="24"/>
          <w:szCs w:val="24"/>
          <w:lang w:bidi="ar"/>
        </w:rPr>
      </w:pPr>
      <w:r>
        <w:rPr>
          <w:rFonts w:hint="eastAsia" w:ascii="宋体" w:hAnsi="宋体"/>
          <w:b/>
          <w:sz w:val="24"/>
          <w:szCs w:val="24"/>
          <w:lang w:bidi="ar"/>
        </w:rPr>
        <w:t>（三）开标流程</w:t>
      </w:r>
    </w:p>
    <w:p w14:paraId="04A61CE6">
      <w:pPr>
        <w:autoSpaceDE w:val="0"/>
        <w:autoSpaceDN w:val="0"/>
        <w:adjustRightInd w:val="0"/>
        <w:snapToGrid w:val="0"/>
        <w:spacing w:line="360" w:lineRule="auto"/>
        <w:ind w:firstLine="480" w:firstLineChars="200"/>
        <w:textAlignment w:val="bottom"/>
        <w:rPr>
          <w:rFonts w:hint="eastAsia" w:ascii="宋体" w:hAnsi="宋体"/>
          <w:sz w:val="24"/>
          <w:szCs w:val="24"/>
          <w:lang w:bidi="ar"/>
        </w:rPr>
      </w:pPr>
      <w:r>
        <w:rPr>
          <w:rFonts w:hint="eastAsia" w:ascii="宋体" w:hAnsi="宋体"/>
          <w:sz w:val="24"/>
          <w:szCs w:val="24"/>
          <w:lang w:bidi="ar"/>
        </w:rPr>
        <w:t>1.开标第一阶段</w:t>
      </w:r>
    </w:p>
    <w:p w14:paraId="04A61CE7">
      <w:pPr>
        <w:autoSpaceDE w:val="0"/>
        <w:autoSpaceDN w:val="0"/>
        <w:adjustRightInd w:val="0"/>
        <w:snapToGrid w:val="0"/>
        <w:spacing w:line="360" w:lineRule="auto"/>
        <w:ind w:firstLine="480" w:firstLineChars="200"/>
        <w:textAlignment w:val="bottom"/>
        <w:rPr>
          <w:rFonts w:hint="eastAsia" w:ascii="宋体" w:hAnsi="宋体"/>
          <w:sz w:val="24"/>
          <w:szCs w:val="24"/>
          <w:lang w:bidi="ar"/>
        </w:rPr>
      </w:pPr>
      <w:r>
        <w:rPr>
          <w:rFonts w:hint="eastAsia" w:ascii="宋体" w:hAnsi="宋体"/>
          <w:sz w:val="24"/>
          <w:szCs w:val="24"/>
          <w:lang w:bidi="ar"/>
        </w:rPr>
        <w:t>（1）投标人在规定的时间内完成“电子加密投标文件”解密，在”巨化数字化招采平台”正常运行情况下，“电子备份投标文件”无法上传至”巨化数字化招采平台”的，视为投标文件撤回。</w:t>
      </w:r>
    </w:p>
    <w:p w14:paraId="04A61CE8">
      <w:pPr>
        <w:autoSpaceDE w:val="0"/>
        <w:autoSpaceDN w:val="0"/>
        <w:adjustRightInd w:val="0"/>
        <w:snapToGrid w:val="0"/>
        <w:spacing w:line="360" w:lineRule="auto"/>
        <w:ind w:firstLine="480" w:firstLineChars="200"/>
        <w:textAlignment w:val="bottom"/>
        <w:rPr>
          <w:rFonts w:hint="eastAsia" w:ascii="宋体" w:hAnsi="宋体"/>
          <w:sz w:val="24"/>
          <w:szCs w:val="24"/>
          <w:lang w:bidi="ar"/>
        </w:rPr>
      </w:pPr>
      <w:r>
        <w:rPr>
          <w:rFonts w:hint="eastAsia" w:ascii="宋体" w:hAnsi="宋体"/>
          <w:sz w:val="24"/>
          <w:szCs w:val="24"/>
          <w:lang w:bidi="ar"/>
        </w:rPr>
        <w:t>（2）开启技术资信标书。</w:t>
      </w:r>
    </w:p>
    <w:p w14:paraId="04A61CE9">
      <w:pPr>
        <w:autoSpaceDE w:val="0"/>
        <w:autoSpaceDN w:val="0"/>
        <w:adjustRightInd w:val="0"/>
        <w:snapToGrid w:val="0"/>
        <w:spacing w:line="360" w:lineRule="auto"/>
        <w:ind w:firstLine="480" w:firstLineChars="200"/>
        <w:textAlignment w:val="bottom"/>
        <w:rPr>
          <w:rFonts w:hint="eastAsia" w:ascii="宋体" w:hAnsi="宋体"/>
          <w:sz w:val="24"/>
          <w:szCs w:val="24"/>
          <w:lang w:bidi="ar"/>
        </w:rPr>
      </w:pPr>
      <w:r>
        <w:rPr>
          <w:rFonts w:hint="eastAsia" w:ascii="宋体" w:hAnsi="宋体"/>
          <w:sz w:val="24"/>
          <w:szCs w:val="24"/>
          <w:lang w:bidi="ar"/>
        </w:rPr>
        <w:t>（3）进行资格审查。对通过资格审查的投标人进行符合性审查、技术资信评审；</w:t>
      </w:r>
    </w:p>
    <w:p w14:paraId="04A61CEA">
      <w:pPr>
        <w:autoSpaceDE w:val="0"/>
        <w:autoSpaceDN w:val="0"/>
        <w:adjustRightInd w:val="0"/>
        <w:snapToGrid w:val="0"/>
        <w:spacing w:line="360" w:lineRule="auto"/>
        <w:ind w:firstLine="480" w:firstLineChars="200"/>
        <w:textAlignment w:val="bottom"/>
        <w:rPr>
          <w:rFonts w:hint="eastAsia" w:ascii="宋体" w:hAnsi="宋体"/>
          <w:sz w:val="24"/>
          <w:szCs w:val="24"/>
          <w:lang w:bidi="ar"/>
        </w:rPr>
      </w:pPr>
      <w:r>
        <w:rPr>
          <w:rFonts w:hint="eastAsia" w:ascii="宋体" w:hAnsi="宋体"/>
          <w:sz w:val="24"/>
          <w:szCs w:val="24"/>
          <w:lang w:bidi="ar"/>
        </w:rPr>
        <w:t>2.开标第二阶段</w:t>
      </w:r>
    </w:p>
    <w:p w14:paraId="04A61CEB">
      <w:pPr>
        <w:autoSpaceDE w:val="0"/>
        <w:autoSpaceDN w:val="0"/>
        <w:adjustRightInd w:val="0"/>
        <w:snapToGrid w:val="0"/>
        <w:spacing w:line="360" w:lineRule="auto"/>
        <w:ind w:firstLine="480" w:firstLineChars="200"/>
        <w:textAlignment w:val="bottom"/>
        <w:rPr>
          <w:rFonts w:hint="eastAsia" w:ascii="宋体" w:hAnsi="宋体"/>
          <w:sz w:val="24"/>
          <w:szCs w:val="24"/>
          <w:lang w:bidi="ar"/>
        </w:rPr>
      </w:pPr>
      <w:r>
        <w:rPr>
          <w:rFonts w:hint="eastAsia" w:ascii="宋体" w:hAnsi="宋体"/>
          <w:sz w:val="24"/>
          <w:szCs w:val="24"/>
          <w:lang w:bidi="ar"/>
        </w:rPr>
        <w:t>（1）资格审查、符合性审查、技术资信评审结束后，进入开标第二阶段。</w:t>
      </w:r>
    </w:p>
    <w:p w14:paraId="04A61CEC">
      <w:pPr>
        <w:autoSpaceDE w:val="0"/>
        <w:autoSpaceDN w:val="0"/>
        <w:adjustRightInd w:val="0"/>
        <w:snapToGrid w:val="0"/>
        <w:spacing w:line="360" w:lineRule="auto"/>
        <w:ind w:firstLine="480" w:firstLineChars="200"/>
        <w:textAlignment w:val="bottom"/>
        <w:rPr>
          <w:rFonts w:hint="eastAsia" w:ascii="宋体" w:hAnsi="宋体"/>
          <w:sz w:val="24"/>
          <w:szCs w:val="24"/>
          <w:lang w:bidi="ar"/>
        </w:rPr>
      </w:pPr>
      <w:r>
        <w:rPr>
          <w:rFonts w:hint="eastAsia" w:ascii="宋体" w:hAnsi="宋体"/>
          <w:sz w:val="24"/>
          <w:szCs w:val="24"/>
          <w:lang w:bidi="ar"/>
        </w:rPr>
        <w:t>（2）通过电子交易平台公布有效投标人的名单及其技术资信得分。</w:t>
      </w:r>
    </w:p>
    <w:p w14:paraId="04A61CED">
      <w:pPr>
        <w:autoSpaceDE w:val="0"/>
        <w:autoSpaceDN w:val="0"/>
        <w:adjustRightInd w:val="0"/>
        <w:snapToGrid w:val="0"/>
        <w:spacing w:line="360" w:lineRule="auto"/>
        <w:ind w:firstLine="480" w:firstLineChars="200"/>
        <w:textAlignment w:val="bottom"/>
        <w:rPr>
          <w:rFonts w:hint="eastAsia" w:ascii="宋体" w:hAnsi="宋体"/>
          <w:sz w:val="24"/>
          <w:szCs w:val="24"/>
          <w:lang w:bidi="ar"/>
        </w:rPr>
      </w:pPr>
      <w:r>
        <w:rPr>
          <w:rFonts w:hint="eastAsia" w:ascii="宋体" w:hAnsi="宋体"/>
          <w:sz w:val="24"/>
          <w:szCs w:val="24"/>
          <w:lang w:bidi="ar"/>
        </w:rPr>
        <w:t>（3）开启有效投标人的商务经济标书，系统形成开标记录。</w:t>
      </w:r>
    </w:p>
    <w:p w14:paraId="04A61CEE">
      <w:pPr>
        <w:autoSpaceDE w:val="0"/>
        <w:autoSpaceDN w:val="0"/>
        <w:adjustRightInd w:val="0"/>
        <w:snapToGrid w:val="0"/>
        <w:spacing w:line="360" w:lineRule="auto"/>
        <w:ind w:firstLine="480" w:firstLineChars="200"/>
        <w:textAlignment w:val="bottom"/>
        <w:rPr>
          <w:rFonts w:hint="eastAsia" w:ascii="宋体" w:hAnsi="宋体"/>
          <w:sz w:val="24"/>
          <w:szCs w:val="24"/>
          <w:lang w:bidi="ar"/>
        </w:rPr>
      </w:pPr>
      <w:r>
        <w:rPr>
          <w:rFonts w:hint="eastAsia" w:ascii="宋体" w:hAnsi="宋体"/>
          <w:sz w:val="24"/>
          <w:szCs w:val="24"/>
          <w:lang w:bidi="ar"/>
        </w:rPr>
        <w:t>（4）商务经济标书评审。商务经济标书评审结束后，通过电子交易平台公布综合得分。</w:t>
      </w:r>
    </w:p>
    <w:p w14:paraId="04A61CEF">
      <w:pPr>
        <w:autoSpaceDE w:val="0"/>
        <w:autoSpaceDN w:val="0"/>
        <w:adjustRightInd w:val="0"/>
        <w:snapToGrid w:val="0"/>
        <w:spacing w:line="360" w:lineRule="auto"/>
        <w:ind w:firstLine="480" w:firstLineChars="200"/>
        <w:textAlignment w:val="bottom"/>
        <w:rPr>
          <w:rFonts w:hint="eastAsia" w:ascii="宋体" w:hAnsi="宋体"/>
          <w:sz w:val="24"/>
          <w:szCs w:val="24"/>
          <w:lang w:bidi="ar"/>
        </w:rPr>
      </w:pPr>
      <w:r>
        <w:rPr>
          <w:rFonts w:hint="eastAsia" w:ascii="宋体" w:hAnsi="宋体"/>
          <w:sz w:val="24"/>
          <w:szCs w:val="24"/>
          <w:lang w:bidi="ar"/>
        </w:rPr>
        <w:t>3.其他说明：如因电子交易平台设置原因导致的程序或投标人界面显示与招标文件的规定不一致的，以电子交易平台的程序或投标人界面显示为准。</w:t>
      </w:r>
    </w:p>
    <w:p w14:paraId="04A61CF0">
      <w:pPr>
        <w:snapToGrid w:val="0"/>
        <w:spacing w:line="360" w:lineRule="auto"/>
        <w:ind w:left="426"/>
        <w:outlineLvl w:val="1"/>
        <w:rPr>
          <w:rFonts w:hint="eastAsia" w:ascii="宋体" w:hAnsi="宋体"/>
          <w:b/>
          <w:sz w:val="24"/>
          <w:szCs w:val="24"/>
        </w:rPr>
      </w:pPr>
      <w:bookmarkStart w:id="20" w:name="_Toc127277064"/>
      <w:bookmarkStart w:id="21" w:name="_Toc161130979"/>
      <w:r>
        <w:rPr>
          <w:rFonts w:ascii="宋体" w:hAnsi="宋体"/>
          <w:b/>
          <w:sz w:val="24"/>
          <w:szCs w:val="24"/>
        </w:rPr>
        <w:t>五、评标</w:t>
      </w:r>
      <w:bookmarkEnd w:id="20"/>
      <w:bookmarkEnd w:id="21"/>
    </w:p>
    <w:p w14:paraId="04A61CF1">
      <w:pPr>
        <w:pStyle w:val="13"/>
        <w:adjustRightInd w:val="0"/>
        <w:snapToGrid w:val="0"/>
        <w:spacing w:line="360" w:lineRule="auto"/>
        <w:ind w:firstLine="426"/>
        <w:rPr>
          <w:rFonts w:hint="eastAsia" w:hAnsi="宋体"/>
          <w:sz w:val="24"/>
          <w:szCs w:val="24"/>
          <w:lang w:bidi="ar"/>
        </w:rPr>
      </w:pPr>
      <w:r>
        <w:rPr>
          <w:rFonts w:hAnsi="宋体"/>
          <w:sz w:val="24"/>
          <w:szCs w:val="24"/>
          <w:lang w:bidi="ar"/>
        </w:rPr>
        <w:t>（一）组建评标委员会</w:t>
      </w:r>
    </w:p>
    <w:p w14:paraId="04A61CF2">
      <w:pPr>
        <w:pStyle w:val="13"/>
        <w:adjustRightInd w:val="0"/>
        <w:snapToGrid w:val="0"/>
        <w:spacing w:line="360" w:lineRule="auto"/>
        <w:ind w:firstLine="426"/>
        <w:rPr>
          <w:rFonts w:hint="eastAsia" w:hAnsi="宋体"/>
          <w:sz w:val="24"/>
          <w:szCs w:val="24"/>
          <w:lang w:bidi="ar"/>
        </w:rPr>
      </w:pPr>
      <w:r>
        <w:rPr>
          <w:rFonts w:hAnsi="宋体"/>
          <w:sz w:val="24"/>
          <w:szCs w:val="24"/>
          <w:lang w:bidi="ar"/>
        </w:rPr>
        <w:t>评标委员会由招标人代表和有关技术、经济等方面的专家组成</w:t>
      </w:r>
      <w:r>
        <w:rPr>
          <w:rFonts w:hint="eastAsia" w:hAnsi="宋体"/>
          <w:sz w:val="24"/>
          <w:szCs w:val="24"/>
          <w:lang w:bidi="ar"/>
        </w:rPr>
        <w:t>，</w:t>
      </w:r>
      <w:r>
        <w:rPr>
          <w:rFonts w:hAnsi="宋体"/>
          <w:sz w:val="24"/>
          <w:szCs w:val="24"/>
          <w:lang w:bidi="ar"/>
        </w:rPr>
        <w:t>成员人数应当为五人</w:t>
      </w:r>
      <w:r>
        <w:rPr>
          <w:rFonts w:hint="eastAsia" w:hAnsi="宋体"/>
          <w:sz w:val="24"/>
          <w:szCs w:val="24"/>
          <w:lang w:bidi="ar"/>
        </w:rPr>
        <w:t>及</w:t>
      </w:r>
      <w:r>
        <w:rPr>
          <w:rFonts w:hAnsi="宋体"/>
          <w:sz w:val="24"/>
          <w:szCs w:val="24"/>
          <w:lang w:bidi="ar"/>
        </w:rPr>
        <w:t>以上单数。其中，技术、经济等方面的专家不得少于成员总数的三分之二。</w:t>
      </w:r>
    </w:p>
    <w:p w14:paraId="04A61CF3">
      <w:pPr>
        <w:pStyle w:val="13"/>
        <w:adjustRightInd w:val="0"/>
        <w:snapToGrid w:val="0"/>
        <w:spacing w:line="360" w:lineRule="auto"/>
        <w:ind w:firstLine="426"/>
        <w:rPr>
          <w:rFonts w:hint="eastAsia" w:hAnsi="宋体"/>
          <w:sz w:val="24"/>
          <w:szCs w:val="24"/>
          <w:lang w:bidi="ar"/>
        </w:rPr>
      </w:pPr>
      <w:r>
        <w:rPr>
          <w:rFonts w:hAnsi="宋体"/>
          <w:sz w:val="24"/>
          <w:szCs w:val="24"/>
          <w:lang w:bidi="ar"/>
        </w:rPr>
        <w:t>（二）评标程序</w:t>
      </w:r>
    </w:p>
    <w:p w14:paraId="04A61CF4">
      <w:pPr>
        <w:pStyle w:val="13"/>
        <w:adjustRightInd w:val="0"/>
        <w:snapToGrid w:val="0"/>
        <w:spacing w:line="360" w:lineRule="auto"/>
        <w:ind w:firstLine="426"/>
        <w:rPr>
          <w:rFonts w:hint="eastAsia" w:hAnsi="宋体"/>
          <w:sz w:val="24"/>
          <w:szCs w:val="24"/>
          <w:lang w:bidi="ar"/>
        </w:rPr>
      </w:pPr>
      <w:r>
        <w:rPr>
          <w:rFonts w:hAnsi="宋体"/>
          <w:sz w:val="24"/>
          <w:szCs w:val="24"/>
          <w:lang w:bidi="ar"/>
        </w:rPr>
        <w:t>1.在</w:t>
      </w:r>
      <w:r>
        <w:rPr>
          <w:rFonts w:hint="eastAsia" w:hAnsi="宋体"/>
          <w:sz w:val="24"/>
          <w:szCs w:val="24"/>
          <w:lang w:bidi="ar"/>
        </w:rPr>
        <w:t>评标委员会</w:t>
      </w:r>
      <w:r>
        <w:rPr>
          <w:rFonts w:hAnsi="宋体"/>
          <w:sz w:val="24"/>
          <w:szCs w:val="24"/>
          <w:lang w:bidi="ar"/>
        </w:rPr>
        <w:t>中推选组长。</w:t>
      </w:r>
    </w:p>
    <w:p w14:paraId="04A61CF5">
      <w:pPr>
        <w:pStyle w:val="13"/>
        <w:adjustRightInd w:val="0"/>
        <w:snapToGrid w:val="0"/>
        <w:spacing w:line="360" w:lineRule="auto"/>
        <w:ind w:firstLine="426"/>
        <w:rPr>
          <w:rFonts w:hint="eastAsia" w:hAnsi="宋体"/>
          <w:sz w:val="24"/>
          <w:szCs w:val="24"/>
          <w:lang w:bidi="ar"/>
        </w:rPr>
      </w:pPr>
      <w:r>
        <w:rPr>
          <w:rFonts w:hAnsi="宋体"/>
          <w:sz w:val="24"/>
          <w:szCs w:val="24"/>
          <w:lang w:bidi="ar"/>
        </w:rPr>
        <w:t>2.</w:t>
      </w:r>
      <w:r>
        <w:rPr>
          <w:rFonts w:hint="eastAsia" w:hAnsi="宋体"/>
          <w:sz w:val="24"/>
          <w:szCs w:val="24"/>
          <w:lang w:bidi="ar"/>
        </w:rPr>
        <w:t>评标委员会</w:t>
      </w:r>
      <w:r>
        <w:rPr>
          <w:rFonts w:hAnsi="宋体"/>
          <w:sz w:val="24"/>
          <w:szCs w:val="24"/>
          <w:lang w:bidi="ar"/>
        </w:rPr>
        <w:t>组长召集成员认真阅读招标文件以及相关补充、质疑、答复文件、项目书面说明等材料，熟悉采购项目的基本概况，采购项目的质量要求、数量、主要技术标准或服务需求，采购合同主要条款，投标无效情形，评审方法、评审依据、评审标准等。</w:t>
      </w:r>
    </w:p>
    <w:p w14:paraId="04A61CF6">
      <w:pPr>
        <w:pStyle w:val="13"/>
        <w:adjustRightInd w:val="0"/>
        <w:snapToGrid w:val="0"/>
        <w:spacing w:line="360" w:lineRule="auto"/>
        <w:ind w:firstLine="426"/>
        <w:rPr>
          <w:rFonts w:hint="eastAsia" w:hAnsi="宋体"/>
          <w:sz w:val="24"/>
          <w:szCs w:val="24"/>
          <w:lang w:bidi="ar"/>
        </w:rPr>
      </w:pPr>
      <w:r>
        <w:rPr>
          <w:rFonts w:hAnsi="宋体"/>
          <w:sz w:val="24"/>
          <w:szCs w:val="24"/>
          <w:lang w:bidi="ar"/>
        </w:rPr>
        <w:t>3.评标委员会对各投标人的资格进行审查，投标人资格条件不符合招标文件要求的投标将被否决，不再进入符合性审查。</w:t>
      </w:r>
    </w:p>
    <w:p w14:paraId="04A61CF7">
      <w:pPr>
        <w:pStyle w:val="13"/>
        <w:adjustRightInd w:val="0"/>
        <w:snapToGrid w:val="0"/>
        <w:spacing w:line="360" w:lineRule="auto"/>
        <w:ind w:firstLine="426"/>
        <w:rPr>
          <w:rFonts w:hint="eastAsia" w:hAnsi="宋体"/>
          <w:sz w:val="24"/>
          <w:szCs w:val="24"/>
          <w:lang w:bidi="ar"/>
        </w:rPr>
      </w:pPr>
      <w:r>
        <w:rPr>
          <w:rFonts w:hAnsi="宋体"/>
          <w:sz w:val="24"/>
          <w:szCs w:val="24"/>
          <w:lang w:bidi="ar"/>
        </w:rPr>
        <w:t>4.</w:t>
      </w:r>
      <w:r>
        <w:rPr>
          <w:rFonts w:hint="eastAsia" w:hAnsi="宋体"/>
          <w:sz w:val="24"/>
          <w:szCs w:val="24"/>
          <w:lang w:bidi="ar"/>
        </w:rPr>
        <w:t>评标委员会</w:t>
      </w:r>
      <w:r>
        <w:rPr>
          <w:rFonts w:hAnsi="宋体"/>
          <w:sz w:val="24"/>
          <w:szCs w:val="24"/>
          <w:lang w:bidi="ar"/>
        </w:rPr>
        <w:t>对各投标文件的符合性进行审查，确定是否对招标文件作出了实质性响应。实质上没有响应招标文件要求的投标将被视为无效投标，不再进入下一阶段的评审。</w:t>
      </w:r>
    </w:p>
    <w:p w14:paraId="04A61CF8">
      <w:pPr>
        <w:pStyle w:val="13"/>
        <w:adjustRightInd w:val="0"/>
        <w:snapToGrid w:val="0"/>
        <w:spacing w:line="360" w:lineRule="auto"/>
        <w:ind w:firstLine="426"/>
        <w:rPr>
          <w:rFonts w:hint="eastAsia" w:hAnsi="宋体"/>
          <w:sz w:val="24"/>
          <w:szCs w:val="24"/>
          <w:lang w:bidi="ar"/>
        </w:rPr>
      </w:pPr>
      <w:r>
        <w:rPr>
          <w:rFonts w:hAnsi="宋体"/>
          <w:sz w:val="24"/>
          <w:szCs w:val="24"/>
          <w:lang w:bidi="ar"/>
        </w:rPr>
        <w:t>5.</w:t>
      </w:r>
      <w:r>
        <w:rPr>
          <w:rFonts w:hint="eastAsia" w:hAnsi="宋体"/>
          <w:sz w:val="24"/>
          <w:szCs w:val="24"/>
          <w:lang w:bidi="ar"/>
        </w:rPr>
        <w:t>评标委员会</w:t>
      </w:r>
      <w:r>
        <w:rPr>
          <w:rFonts w:hAnsi="宋体"/>
          <w:sz w:val="24"/>
          <w:szCs w:val="24"/>
          <w:lang w:bidi="ar"/>
        </w:rPr>
        <w:t>按招标文件规定的评审方法和评审标准，依法独立对投标人投标文件进行评估、比较，并给予评价或打分，不受任何单位和个人的干预。</w:t>
      </w:r>
    </w:p>
    <w:p w14:paraId="04A61CF9">
      <w:pPr>
        <w:adjustRightInd w:val="0"/>
        <w:snapToGrid w:val="0"/>
        <w:spacing w:line="360" w:lineRule="auto"/>
        <w:ind w:firstLine="426"/>
        <w:rPr>
          <w:rFonts w:hint="eastAsia" w:ascii="宋体" w:hAnsi="宋体"/>
          <w:sz w:val="24"/>
          <w:szCs w:val="24"/>
          <w:lang w:bidi="ar"/>
        </w:rPr>
      </w:pPr>
      <w:r>
        <w:rPr>
          <w:rFonts w:hint="eastAsia" w:ascii="宋体" w:hAnsi="宋体"/>
          <w:sz w:val="24"/>
          <w:szCs w:val="24"/>
          <w:lang w:bidi="ar"/>
        </w:rPr>
        <w:t>6.各投标人的得分为所有评标委员会的有效评分的算术平均数，由指定专人进行计算复核。</w:t>
      </w:r>
    </w:p>
    <w:p w14:paraId="04A61CFA">
      <w:pPr>
        <w:adjustRightInd w:val="0"/>
        <w:snapToGrid w:val="0"/>
        <w:spacing w:line="360" w:lineRule="auto"/>
        <w:ind w:firstLine="426"/>
        <w:rPr>
          <w:rFonts w:hint="eastAsia" w:ascii="宋体" w:hAnsi="宋体"/>
          <w:sz w:val="24"/>
          <w:szCs w:val="24"/>
          <w:lang w:bidi="ar"/>
        </w:rPr>
      </w:pPr>
      <w:r>
        <w:rPr>
          <w:rFonts w:hint="eastAsia" w:ascii="宋体" w:hAnsi="宋体"/>
          <w:sz w:val="24"/>
          <w:szCs w:val="24"/>
          <w:lang w:bidi="ar"/>
        </w:rPr>
        <w:t>7.评标委员会完成评标后，对各部分得分汇总，计算出本项目最终得分。评标委员会按评标原则推荐中标候选人，同时起草评标报告。</w:t>
      </w:r>
    </w:p>
    <w:p w14:paraId="04A61CFB">
      <w:pPr>
        <w:adjustRightInd w:val="0"/>
        <w:snapToGrid w:val="0"/>
        <w:spacing w:line="360" w:lineRule="auto"/>
        <w:ind w:firstLine="426"/>
        <w:rPr>
          <w:rFonts w:hint="eastAsia" w:ascii="宋体" w:hAnsi="宋体"/>
          <w:sz w:val="24"/>
          <w:szCs w:val="24"/>
          <w:lang w:bidi="ar"/>
        </w:rPr>
      </w:pPr>
      <w:r>
        <w:rPr>
          <w:rFonts w:hint="eastAsia" w:ascii="宋体" w:hAnsi="宋体"/>
          <w:sz w:val="24"/>
          <w:szCs w:val="24"/>
          <w:lang w:bidi="ar"/>
        </w:rPr>
        <w:t>（三）澄清问题的形式</w:t>
      </w:r>
    </w:p>
    <w:p w14:paraId="04A61CFC">
      <w:pPr>
        <w:adjustRightInd w:val="0"/>
        <w:snapToGrid w:val="0"/>
        <w:spacing w:line="360" w:lineRule="auto"/>
        <w:ind w:firstLine="426"/>
        <w:rPr>
          <w:rFonts w:hint="eastAsia" w:ascii="宋体" w:hAnsi="宋体"/>
          <w:sz w:val="24"/>
          <w:szCs w:val="24"/>
          <w:lang w:bidi="ar"/>
        </w:rPr>
      </w:pPr>
      <w:r>
        <w:rPr>
          <w:rFonts w:hint="eastAsia" w:ascii="宋体" w:hAnsi="宋体"/>
          <w:sz w:val="24"/>
          <w:szCs w:val="24"/>
          <w:lang w:bidi="ar"/>
        </w:rPr>
        <w:t>对投标文件中含义不明确、同类问题表述不一致或者有明显文字和计算错误的内容，评标委员会可要求投标人作出必要的澄清、说明或者补正。评标委员会的澄清内容及投标人的澄清、说明或者补正均通过电子交易平台交换数据电文或电子邮件的形式进行。</w:t>
      </w:r>
    </w:p>
    <w:p w14:paraId="04A61CFD">
      <w:pPr>
        <w:adjustRightInd w:val="0"/>
        <w:snapToGrid w:val="0"/>
        <w:spacing w:line="360" w:lineRule="auto"/>
        <w:ind w:firstLine="426"/>
        <w:rPr>
          <w:rFonts w:hint="eastAsia" w:ascii="宋体" w:hAnsi="宋体"/>
          <w:sz w:val="24"/>
          <w:szCs w:val="24"/>
          <w:lang w:bidi="ar"/>
        </w:rPr>
      </w:pPr>
      <w:r>
        <w:rPr>
          <w:rFonts w:hint="eastAsia" w:ascii="宋体" w:hAnsi="宋体"/>
          <w:sz w:val="24"/>
          <w:szCs w:val="24"/>
          <w:lang w:bidi="ar"/>
        </w:rPr>
        <w:t>评标委员会发出澄清内容后，投标人应当在规定的时间内钟内提交澄清说明或补正，否则视为投标人放弃答复，并自行承担因此而产生的不利后果。澄清、说明或者补正不得超出投标文件的范围或者改变投标文件的实质性内容。</w:t>
      </w:r>
    </w:p>
    <w:p w14:paraId="04A61CFE">
      <w:pPr>
        <w:pStyle w:val="13"/>
        <w:adjustRightInd w:val="0"/>
        <w:snapToGrid w:val="0"/>
        <w:spacing w:line="360" w:lineRule="auto"/>
        <w:ind w:firstLine="426"/>
        <w:rPr>
          <w:rFonts w:hint="eastAsia" w:hAnsi="宋体"/>
          <w:sz w:val="24"/>
          <w:szCs w:val="24"/>
          <w:lang w:bidi="ar"/>
        </w:rPr>
      </w:pPr>
      <w:r>
        <w:rPr>
          <w:rFonts w:hAnsi="宋体"/>
          <w:sz w:val="24"/>
          <w:szCs w:val="24"/>
          <w:lang w:bidi="ar"/>
        </w:rPr>
        <w:t>（四）错误修正</w:t>
      </w:r>
    </w:p>
    <w:p w14:paraId="04A61CFF">
      <w:pPr>
        <w:adjustRightInd w:val="0"/>
        <w:snapToGrid w:val="0"/>
        <w:spacing w:line="360" w:lineRule="auto"/>
        <w:ind w:firstLine="426"/>
        <w:rPr>
          <w:rFonts w:hint="eastAsia" w:ascii="宋体" w:hAnsi="宋体"/>
          <w:sz w:val="24"/>
          <w:szCs w:val="24"/>
          <w:lang w:bidi="ar"/>
        </w:rPr>
      </w:pPr>
      <w:r>
        <w:rPr>
          <w:rFonts w:hint="eastAsia" w:ascii="宋体" w:hAnsi="宋体"/>
          <w:sz w:val="24"/>
          <w:szCs w:val="24"/>
          <w:lang w:bidi="ar"/>
        </w:rPr>
        <w:t xml:space="preserve">投标文件报价出现前后不一致的，按照下列规定修正： </w:t>
      </w:r>
    </w:p>
    <w:p w14:paraId="04A61D00">
      <w:pPr>
        <w:adjustRightInd w:val="0"/>
        <w:snapToGrid w:val="0"/>
        <w:spacing w:line="360" w:lineRule="auto"/>
        <w:ind w:firstLine="426"/>
        <w:rPr>
          <w:rFonts w:hint="eastAsia" w:ascii="宋体" w:hAnsi="宋体"/>
          <w:sz w:val="24"/>
          <w:szCs w:val="24"/>
        </w:rPr>
      </w:pPr>
      <w:r>
        <w:rPr>
          <w:rFonts w:hint="eastAsia" w:ascii="宋体" w:hAnsi="宋体"/>
          <w:sz w:val="24"/>
          <w:szCs w:val="24"/>
          <w:lang w:bidi="ar"/>
        </w:rPr>
        <w:t>1.电子交易平台生成的开标记录表内容与投标文件中相应内容不一致的，非总价小数点或百分比有明显错位、金额单位明显错误的，以电子交易平台生成的开标记录表为准；因投标人填报失误导致出现总价小数点或百分比有明显错位、金额单位明显错误的</w:t>
      </w:r>
      <w:r>
        <w:rPr>
          <w:rFonts w:hint="eastAsia" w:ascii="宋体" w:hAnsi="宋体"/>
          <w:sz w:val="24"/>
          <w:szCs w:val="24"/>
        </w:rPr>
        <w:t>，按评委认为的合理价格修正总价。</w:t>
      </w:r>
    </w:p>
    <w:p w14:paraId="04A61D01">
      <w:pPr>
        <w:adjustRightInd w:val="0"/>
        <w:snapToGrid w:val="0"/>
        <w:spacing w:line="360" w:lineRule="auto"/>
        <w:ind w:firstLine="426"/>
        <w:rPr>
          <w:rFonts w:hint="eastAsia" w:ascii="宋体" w:hAnsi="宋体"/>
          <w:sz w:val="24"/>
          <w:szCs w:val="24"/>
        </w:rPr>
      </w:pPr>
      <w:r>
        <w:rPr>
          <w:rFonts w:hint="eastAsia" w:ascii="宋体" w:hAnsi="宋体"/>
          <w:sz w:val="24"/>
          <w:szCs w:val="24"/>
        </w:rPr>
        <w:t>2.大写金额和小写金额不一致的，以大写金额为准；</w:t>
      </w:r>
    </w:p>
    <w:p w14:paraId="04A61D02">
      <w:pPr>
        <w:adjustRightInd w:val="0"/>
        <w:snapToGrid w:val="0"/>
        <w:spacing w:line="360" w:lineRule="auto"/>
        <w:ind w:firstLine="426"/>
        <w:rPr>
          <w:rFonts w:hint="eastAsia" w:ascii="宋体" w:hAnsi="宋体"/>
          <w:sz w:val="24"/>
          <w:szCs w:val="24"/>
        </w:rPr>
      </w:pPr>
      <w:r>
        <w:rPr>
          <w:rFonts w:hint="eastAsia" w:ascii="宋体" w:hAnsi="宋体"/>
          <w:sz w:val="24"/>
          <w:szCs w:val="24"/>
        </w:rPr>
        <w:t>3.单价金额小数点或者百分比有明显错位的，以电子交易平台生成的开标记录表的总价为准，并修改单价；</w:t>
      </w:r>
    </w:p>
    <w:p w14:paraId="04A61D03">
      <w:pPr>
        <w:adjustRightInd w:val="0"/>
        <w:snapToGrid w:val="0"/>
        <w:spacing w:line="360" w:lineRule="auto"/>
        <w:ind w:firstLine="426"/>
        <w:rPr>
          <w:rFonts w:hint="eastAsia" w:ascii="宋体" w:hAnsi="宋体"/>
          <w:sz w:val="24"/>
          <w:szCs w:val="24"/>
        </w:rPr>
      </w:pPr>
      <w:r>
        <w:rPr>
          <w:rFonts w:hint="eastAsia" w:ascii="宋体" w:hAnsi="宋体"/>
          <w:sz w:val="24"/>
          <w:szCs w:val="24"/>
        </w:rPr>
        <w:t>4.总价金额与按单价汇总金额不一致的，以单价金额计算结果为准。</w:t>
      </w:r>
    </w:p>
    <w:p w14:paraId="04A61D04">
      <w:pPr>
        <w:adjustRightInd w:val="0"/>
        <w:snapToGrid w:val="0"/>
        <w:spacing w:line="360" w:lineRule="auto"/>
        <w:ind w:firstLine="426"/>
        <w:rPr>
          <w:rFonts w:hint="eastAsia" w:ascii="宋体" w:hAnsi="宋体"/>
          <w:sz w:val="24"/>
          <w:szCs w:val="24"/>
        </w:rPr>
      </w:pPr>
      <w:r>
        <w:rPr>
          <w:rFonts w:hint="eastAsia" w:ascii="宋体" w:hAnsi="宋体"/>
          <w:sz w:val="24"/>
          <w:szCs w:val="24"/>
        </w:rPr>
        <w:t>同时出现两种以上不一致的，按照前款规定的顺序修正。评标委员会应当通过电子交易平台要求投标人对修正后的报价予以确认并对投标人产生约束力。投标人不接受修正或在规定的时间内不予确认的，其投标无效。</w:t>
      </w:r>
    </w:p>
    <w:p w14:paraId="04A61D05">
      <w:pPr>
        <w:pStyle w:val="13"/>
        <w:tabs>
          <w:tab w:val="left" w:pos="630"/>
        </w:tabs>
        <w:adjustRightInd w:val="0"/>
        <w:snapToGrid w:val="0"/>
        <w:spacing w:line="360" w:lineRule="auto"/>
        <w:ind w:firstLine="426"/>
        <w:rPr>
          <w:rFonts w:hint="eastAsia" w:hAnsi="宋体"/>
          <w:b/>
          <w:sz w:val="24"/>
          <w:szCs w:val="24"/>
        </w:rPr>
      </w:pPr>
      <w:r>
        <w:rPr>
          <w:rFonts w:hAnsi="宋体"/>
          <w:b/>
          <w:sz w:val="24"/>
          <w:szCs w:val="24"/>
        </w:rPr>
        <w:t>（</w:t>
      </w:r>
      <w:r>
        <w:rPr>
          <w:rFonts w:hAnsi="宋体" w:cs="宋体"/>
          <w:b/>
          <w:bCs/>
          <w:kern w:val="0"/>
          <w:sz w:val="24"/>
          <w:szCs w:val="24"/>
        </w:rPr>
        <w:t>五）评标原则和评标办法</w:t>
      </w:r>
    </w:p>
    <w:p w14:paraId="04A61D06">
      <w:pPr>
        <w:pStyle w:val="13"/>
        <w:adjustRightInd w:val="0"/>
        <w:snapToGrid w:val="0"/>
        <w:spacing w:line="360" w:lineRule="auto"/>
        <w:ind w:firstLine="426"/>
        <w:rPr>
          <w:rFonts w:hint="eastAsia" w:hAnsi="宋体" w:cs="宋体"/>
          <w:kern w:val="0"/>
          <w:sz w:val="24"/>
          <w:szCs w:val="24"/>
        </w:rPr>
      </w:pPr>
      <w:r>
        <w:rPr>
          <w:rFonts w:hAnsi="宋体" w:cs="宋体"/>
          <w:kern w:val="0"/>
          <w:sz w:val="24"/>
          <w:szCs w:val="24"/>
        </w:rPr>
        <w:t>1.评标委员会必须公平、公正、客观，不带任何倾向性和启发性；不得向外界透露任何与评标有关的内容；任何单位和个人不得干扰、影响评标的正常进行。</w:t>
      </w:r>
    </w:p>
    <w:p w14:paraId="04A61D07">
      <w:pPr>
        <w:pStyle w:val="13"/>
        <w:adjustRightInd w:val="0"/>
        <w:snapToGrid w:val="0"/>
        <w:spacing w:line="360" w:lineRule="auto"/>
        <w:ind w:firstLine="426"/>
        <w:rPr>
          <w:rFonts w:hint="eastAsia" w:hAnsi="宋体" w:cs="宋体"/>
          <w:kern w:val="0"/>
          <w:sz w:val="24"/>
          <w:szCs w:val="24"/>
        </w:rPr>
      </w:pPr>
      <w:r>
        <w:rPr>
          <w:rFonts w:hAnsi="宋体" w:cs="宋体"/>
          <w:kern w:val="0"/>
          <w:sz w:val="24"/>
          <w:szCs w:val="24"/>
        </w:rPr>
        <w:t>2.本项目具体评标内容及评分标准等详见第三章《评标办法》。</w:t>
      </w:r>
    </w:p>
    <w:p w14:paraId="04A61D08">
      <w:pPr>
        <w:snapToGrid w:val="0"/>
        <w:spacing w:line="360" w:lineRule="auto"/>
        <w:ind w:left="426"/>
        <w:outlineLvl w:val="1"/>
        <w:rPr>
          <w:rFonts w:hint="eastAsia" w:ascii="宋体" w:hAnsi="宋体"/>
          <w:b/>
          <w:sz w:val="24"/>
          <w:szCs w:val="24"/>
        </w:rPr>
      </w:pPr>
      <w:bookmarkStart w:id="22" w:name="_Toc127277065"/>
      <w:bookmarkStart w:id="23" w:name="_Toc161130980"/>
      <w:r>
        <w:rPr>
          <w:rFonts w:ascii="宋体" w:hAnsi="宋体"/>
          <w:b/>
          <w:sz w:val="24"/>
          <w:szCs w:val="24"/>
        </w:rPr>
        <w:t>六、合同授予</w:t>
      </w:r>
      <w:bookmarkEnd w:id="22"/>
      <w:bookmarkEnd w:id="23"/>
    </w:p>
    <w:p w14:paraId="04A61D09">
      <w:pPr>
        <w:adjustRightInd w:val="0"/>
        <w:snapToGrid w:val="0"/>
        <w:spacing w:line="360" w:lineRule="auto"/>
        <w:ind w:firstLine="426"/>
        <w:rPr>
          <w:rFonts w:hint="eastAsia" w:ascii="宋体" w:hAnsi="宋体"/>
          <w:b/>
          <w:bCs/>
          <w:sz w:val="24"/>
          <w:szCs w:val="24"/>
        </w:rPr>
      </w:pPr>
      <w:r>
        <w:rPr>
          <w:rFonts w:hint="eastAsia" w:ascii="宋体" w:hAnsi="宋体"/>
          <w:b/>
          <w:bCs/>
          <w:sz w:val="24"/>
          <w:szCs w:val="24"/>
        </w:rPr>
        <w:t>（一）</w:t>
      </w:r>
      <w:r>
        <w:rPr>
          <w:rFonts w:hint="eastAsia" w:ascii="宋体" w:hAnsi="宋体"/>
          <w:b/>
          <w:sz w:val="24"/>
          <w:szCs w:val="24"/>
        </w:rPr>
        <w:t>签订合同</w:t>
      </w:r>
    </w:p>
    <w:p w14:paraId="04A61D0A">
      <w:pPr>
        <w:adjustRightInd w:val="0"/>
        <w:snapToGrid w:val="0"/>
        <w:spacing w:line="360" w:lineRule="auto"/>
        <w:ind w:firstLine="426"/>
        <w:rPr>
          <w:rFonts w:hint="eastAsia" w:ascii="宋体" w:hAnsi="宋体"/>
          <w:sz w:val="24"/>
          <w:szCs w:val="24"/>
        </w:rPr>
      </w:pPr>
      <w:r>
        <w:rPr>
          <w:rFonts w:hint="eastAsia" w:ascii="宋体" w:hAnsi="宋体"/>
          <w:sz w:val="24"/>
          <w:szCs w:val="24"/>
        </w:rPr>
        <w:t>1.招标人与中标人应当在《中标通知书》发出之日起30日内签订合同。</w:t>
      </w:r>
    </w:p>
    <w:p w14:paraId="04A61D0B">
      <w:pPr>
        <w:adjustRightInd w:val="0"/>
        <w:snapToGrid w:val="0"/>
        <w:spacing w:line="360" w:lineRule="auto"/>
        <w:ind w:firstLine="426"/>
        <w:rPr>
          <w:rFonts w:hint="eastAsia" w:ascii="宋体" w:hAnsi="宋体"/>
          <w:sz w:val="24"/>
          <w:szCs w:val="24"/>
        </w:rPr>
      </w:pPr>
      <w:r>
        <w:rPr>
          <w:rFonts w:hint="eastAsia" w:ascii="宋体" w:hAnsi="宋体"/>
          <w:sz w:val="24"/>
          <w:szCs w:val="24"/>
        </w:rPr>
        <w:t>2.中标人拖延、拒签合同的，将被取消中标资格。</w:t>
      </w:r>
    </w:p>
    <w:p w14:paraId="04A61D0C">
      <w:pPr>
        <w:pStyle w:val="13"/>
        <w:adjustRightInd w:val="0"/>
        <w:snapToGrid w:val="0"/>
        <w:spacing w:line="360" w:lineRule="auto"/>
        <w:ind w:firstLine="426"/>
        <w:rPr>
          <w:rFonts w:hint="eastAsia" w:hAnsi="宋体" w:cs="宋体"/>
          <w:b/>
          <w:bCs/>
          <w:kern w:val="0"/>
          <w:sz w:val="24"/>
          <w:szCs w:val="24"/>
        </w:rPr>
      </w:pPr>
      <w:r>
        <w:rPr>
          <w:rFonts w:hAnsi="宋体" w:cs="宋体"/>
          <w:b/>
          <w:bCs/>
          <w:kern w:val="0"/>
          <w:sz w:val="24"/>
          <w:szCs w:val="24"/>
        </w:rPr>
        <w:t>（二）履约保证金</w:t>
      </w:r>
    </w:p>
    <w:p w14:paraId="04A61D0D">
      <w:pPr>
        <w:pStyle w:val="13"/>
        <w:adjustRightInd w:val="0"/>
        <w:snapToGrid w:val="0"/>
        <w:spacing w:line="360" w:lineRule="auto"/>
        <w:ind w:firstLine="426"/>
        <w:rPr>
          <w:rFonts w:hint="eastAsia" w:hAnsi="宋体" w:cs="宋体"/>
          <w:kern w:val="0"/>
          <w:sz w:val="24"/>
          <w:szCs w:val="24"/>
        </w:rPr>
      </w:pPr>
      <w:r>
        <w:rPr>
          <w:rFonts w:hAnsi="宋体" w:cs="宋体"/>
          <w:kern w:val="0"/>
          <w:sz w:val="24"/>
          <w:szCs w:val="24"/>
        </w:rPr>
        <w:t>1.中标人应按招标文件确定的履约保证金金额，向招标人交纳履约保证金。</w:t>
      </w:r>
    </w:p>
    <w:p w14:paraId="04A61D0E">
      <w:pPr>
        <w:spacing w:line="360" w:lineRule="auto"/>
        <w:ind w:firstLine="420"/>
        <w:outlineLvl w:val="3"/>
        <w:rPr>
          <w:rFonts w:hint="eastAsia" w:ascii="宋体" w:hAnsi="宋体" w:cs="宋体"/>
          <w:b/>
          <w:kern w:val="0"/>
          <w:sz w:val="24"/>
          <w:szCs w:val="24"/>
        </w:rPr>
      </w:pPr>
      <w:r>
        <w:rPr>
          <w:rFonts w:ascii="宋体" w:hAnsi="宋体" w:cs="宋体"/>
          <w:kern w:val="0"/>
          <w:sz w:val="24"/>
          <w:szCs w:val="24"/>
        </w:rPr>
        <w:t>2.签订合同后，如中标人不按双方约定履约，则没收其全部履约保证金。</w:t>
      </w:r>
      <w:r>
        <w:rPr>
          <w:rFonts w:hint="eastAsia" w:ascii="宋体" w:hAnsi="宋体" w:cs="宋体"/>
          <w:kern w:val="0"/>
          <w:sz w:val="24"/>
          <w:szCs w:val="24"/>
        </w:rPr>
        <w:t xml:space="preserve">  </w:t>
      </w:r>
      <w:r>
        <w:rPr>
          <w:rFonts w:hint="eastAsia" w:ascii="宋体" w:hAnsi="宋体"/>
          <w:sz w:val="24"/>
          <w:szCs w:val="24"/>
        </w:rPr>
        <w:t xml:space="preserve">                                     </w:t>
      </w:r>
      <w:bookmarkStart w:id="24" w:name="_Toc404342768"/>
    </w:p>
    <w:p w14:paraId="04A61D0F">
      <w:pPr>
        <w:pStyle w:val="3"/>
        <w:jc w:val="left"/>
        <w:rPr>
          <w:rFonts w:hint="eastAsia" w:ascii="宋体" w:hAnsi="宋体" w:eastAsia="宋体" w:cs="宋体"/>
          <w:bCs/>
          <w:kern w:val="0"/>
          <w:sz w:val="24"/>
          <w:szCs w:val="24"/>
        </w:rPr>
      </w:pPr>
      <w:bookmarkStart w:id="25" w:name="_Toc161130981"/>
      <w:r>
        <w:rPr>
          <w:rFonts w:hint="eastAsia" w:ascii="宋体" w:hAnsi="宋体" w:eastAsia="宋体"/>
          <w:sz w:val="24"/>
          <w:szCs w:val="24"/>
        </w:rPr>
        <w:t>七、</w:t>
      </w:r>
      <w:r>
        <w:rPr>
          <w:rFonts w:hint="eastAsia" w:ascii="宋体" w:hAnsi="宋体" w:eastAsia="宋体" w:cs="宋体"/>
          <w:bCs/>
          <w:kern w:val="0"/>
          <w:sz w:val="24"/>
          <w:szCs w:val="24"/>
        </w:rPr>
        <w:t>中标服务费的收费标准</w:t>
      </w:r>
      <w:bookmarkEnd w:id="24"/>
      <w:bookmarkEnd w:id="25"/>
    </w:p>
    <w:p w14:paraId="04A61D10">
      <w:pPr>
        <w:pStyle w:val="10"/>
        <w:snapToGrid w:val="0"/>
        <w:spacing w:line="360" w:lineRule="auto"/>
        <w:ind w:firstLine="480" w:firstLineChars="200"/>
        <w:rPr>
          <w:rFonts w:hint="eastAsia" w:cs="宋体"/>
          <w:kern w:val="0"/>
          <w:sz w:val="24"/>
          <w:szCs w:val="24"/>
        </w:rPr>
      </w:pPr>
      <w:r>
        <w:rPr>
          <w:rFonts w:hint="eastAsia" w:cs="宋体"/>
          <w:kern w:val="0"/>
          <w:sz w:val="24"/>
          <w:szCs w:val="24"/>
        </w:rPr>
        <w:t>1中标方须向招标机构按如下标准和规定交纳中标服务费。</w:t>
      </w:r>
    </w:p>
    <w:p w14:paraId="04A61D11">
      <w:pPr>
        <w:spacing w:line="360" w:lineRule="auto"/>
        <w:jc w:val="center"/>
        <w:rPr>
          <w:rFonts w:hint="eastAsia" w:ascii="宋体" w:hAnsi="宋体"/>
          <w:b/>
          <w:sz w:val="24"/>
          <w:szCs w:val="24"/>
        </w:rPr>
      </w:pPr>
    </w:p>
    <w:p w14:paraId="04A61D12">
      <w:pPr>
        <w:spacing w:line="360" w:lineRule="auto"/>
        <w:jc w:val="center"/>
        <w:rPr>
          <w:rFonts w:hint="eastAsia" w:ascii="宋体" w:hAnsi="宋体"/>
          <w:b/>
          <w:sz w:val="24"/>
          <w:szCs w:val="24"/>
        </w:rPr>
      </w:pPr>
    </w:p>
    <w:p w14:paraId="04A61D13">
      <w:pPr>
        <w:spacing w:line="360" w:lineRule="auto"/>
        <w:jc w:val="center"/>
        <w:rPr>
          <w:rFonts w:hint="eastAsia" w:ascii="宋体" w:hAnsi="宋体"/>
          <w:b/>
          <w:sz w:val="24"/>
          <w:szCs w:val="24"/>
        </w:rPr>
      </w:pPr>
    </w:p>
    <w:p w14:paraId="04A61D14">
      <w:pPr>
        <w:spacing w:line="360" w:lineRule="auto"/>
        <w:jc w:val="center"/>
        <w:rPr>
          <w:rFonts w:ascii="宋体" w:cs="宋体"/>
          <w:kern w:val="0"/>
          <w:szCs w:val="21"/>
        </w:rPr>
      </w:pPr>
      <w:r>
        <w:rPr>
          <w:rFonts w:hint="eastAsia" w:ascii="宋体" w:cs="宋体"/>
          <w:kern w:val="0"/>
          <w:szCs w:val="21"/>
        </w:rPr>
        <w:t>中标服务收费标准</w:t>
      </w:r>
    </w:p>
    <w:p w14:paraId="04A61D15">
      <w:pPr>
        <w:ind w:left="630" w:hanging="630"/>
        <w:rPr>
          <w:rFonts w:ascii="宋体" w:cs="宋体"/>
          <w:kern w:val="0"/>
          <w:szCs w:val="21"/>
        </w:rPr>
      </w:pPr>
    </w:p>
    <w:tbl>
      <w:tblPr>
        <w:tblStyle w:val="21"/>
        <w:tblW w:w="7899" w:type="dxa"/>
        <w:tblInd w:w="6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0"/>
        <w:gridCol w:w="5019"/>
      </w:tblGrid>
      <w:tr w14:paraId="04A61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0" w:type="dxa"/>
            <w:tcBorders>
              <w:top w:val="single" w:color="auto" w:sz="4" w:space="0"/>
              <w:left w:val="single" w:color="auto" w:sz="4" w:space="0"/>
              <w:bottom w:val="single" w:color="auto" w:sz="4" w:space="0"/>
              <w:right w:val="single" w:color="auto" w:sz="4" w:space="0"/>
            </w:tcBorders>
          </w:tcPr>
          <w:p w14:paraId="04A61D16">
            <w:pPr>
              <w:spacing w:line="260" w:lineRule="exact"/>
              <w:rPr>
                <w:rFonts w:ascii="宋体" w:cs="宋体"/>
                <w:kern w:val="0"/>
                <w:szCs w:val="21"/>
              </w:rPr>
            </w:pPr>
            <w:r>
              <w:rPr>
                <w:rFonts w:ascii="宋体" w:cs="宋体"/>
                <w:kern w:val="0"/>
                <w:szCs w:val="21"/>
              </w:rPr>
              <mc:AlternateContent>
                <mc:Choice Requires="wps">
                  <w:drawing>
                    <wp:anchor distT="0" distB="0" distL="113665" distR="113665" simplePos="0" relativeHeight="251659264" behindDoc="0" locked="0" layoutInCell="1" allowOverlap="1">
                      <wp:simplePos x="0" y="0"/>
                      <wp:positionH relativeFrom="column">
                        <wp:posOffset>245110</wp:posOffset>
                      </wp:positionH>
                      <wp:positionV relativeFrom="paragraph">
                        <wp:posOffset>20320</wp:posOffset>
                      </wp:positionV>
                      <wp:extent cx="1528445" cy="815340"/>
                      <wp:effectExtent l="2540" t="4445" r="12065" b="18415"/>
                      <wp:wrapNone/>
                      <wp:docPr id="1" name="直线 5"/>
                      <wp:cNvGraphicFramePr/>
                      <a:graphic xmlns:a="http://schemas.openxmlformats.org/drawingml/2006/main">
                        <a:graphicData uri="http://schemas.microsoft.com/office/word/2010/wordprocessingShape">
                          <wps:wsp>
                            <wps:cNvCnPr/>
                            <wps:spPr>
                              <a:xfrm flipH="1" flipV="1">
                                <a:off x="0" y="0"/>
                                <a:ext cx="1528445" cy="81534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5" o:spid="_x0000_s1026" o:spt="20" style="position:absolute;left:0pt;flip:x y;margin-left:19.3pt;margin-top:1.6pt;height:64.2pt;width:120.35pt;z-index:251659264;mso-width-relative:page;mso-height-relative:page;" filled="f" stroked="t" coordsize="21600,21600" o:gfxdata="UEsDBAoAAAAAAIdO4kAAAAAAAAAAAAAAAAAEAAAAZHJzL1BLAwQUAAAACACHTuJAwhc/ONMAAAAI&#10;AQAADwAAAGRycy9kb3ducmV2LnhtbE2Py07DMBBF90j8gzVI7KjzkJIQ4nRRqR/QgiqWbjzEEfY4&#10;xG5T/p5hBavR6B7dR7e9eSeuuMQpkIJ8k4FAGoKZaFTw9rp/akDEpMloFwgVfGOEbX9/1+nWhJUO&#10;eD2mUbAJxVYrsCnNrZRxsOh13IQZibWPsHid+F1GaRa9srl3ssiySno9ESdYPePO4vB5vHgFrsma&#10;r9OuXt8PhlP2J2epzpV6fMizFxAJb+kPht/6XB167nQOFzJROAVlUzHJtwDBclE/lyDOzJV5BbLv&#10;5P8B/Q9QSwMEFAAAAAgAh07iQPWmyUTwAQAA6AMAAA4AAABkcnMvZTJvRG9jLnhtbK1TS44TMRDd&#10;I3EHy3vSSUhQaKUziwkDCwSRBthXbHe3Jf/k8qSTs3ANVmw4zlyDsjsEGDZZ0AurXJ9X9V6X1zdH&#10;a9hBRdTeNXw2mXKmnPBSu67hnz/dvVhxhgmcBOOdavhJIb/ZPH+2HkKt5r73RqrICMRhPYSG9ymF&#10;uqpQ9MoCTnxQjoKtjxYSXWNXyQgDoVtTzafTV9XgowzRC4VI3u0Y5GfEeA2gb1st1NaLB6tcGlGj&#10;MpCIEvY6IN+UadtWifSxbVElZhpOTFM5qQnZ+3xWmzXUXYTQa3EeAa4Z4QknC9pR0wvUFhKwh6j/&#10;gbJaRI++TRPhbTUSKYoQi9n0iTb3PQRVuJDUGC6i4/+DFR8Ou8i0pE3gzIGlH/749dvj9x9smbUZ&#10;AtaUcut28XzDsIuZ6LGNlrVGh3elNFtfspVjRIsdi8ani8bqmJgg52w5Xy0WS84ExVaz5ctF+QnV&#10;iJirQ8T0VnnLstFwo13WAGo4vMdEU1Dqr5TsNo4NDX+9nGdMoIVsaRHItIFIoetKLXqj5Z02Jldg&#10;7Pa3JrID5KUoX+ZKuH+l5SZbwH7MK6FxXXoF8o2TLJ0CyeXolfA8glWSM6PoUWWLAKFOoM01mdTa&#10;OJogyz0KnK29l6eie/HTApQZz8uaN+zPe6n+/UA3P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C&#10;Fz840wAAAAgBAAAPAAAAAAAAAAEAIAAAACIAAABkcnMvZG93bnJldi54bWxQSwECFAAUAAAACACH&#10;TuJA9abJRPABAADoAwAADgAAAAAAAAABACAAAAAiAQAAZHJzL2Uyb0RvYy54bWxQSwUGAAAAAAYA&#10;BgBZAQAAhAUAAAAA&#10;">
                      <v:fill on="f" focussize="0,0"/>
                      <v:stroke color="#000000" joinstyle="round"/>
                      <v:imagedata o:title=""/>
                      <o:lock v:ext="edit" aspectratio="f"/>
                    </v:line>
                  </w:pict>
                </mc:Fallback>
              </mc:AlternateContent>
            </w:r>
            <w:r>
              <w:rPr>
                <w:rFonts w:ascii="宋体" w:cs="宋体"/>
                <w:kern w:val="0"/>
                <w:szCs w:val="21"/>
              </w:rPr>
              <mc:AlternateContent>
                <mc:Choice Requires="wps">
                  <w:drawing>
                    <wp:anchor distT="0" distB="0" distL="113665" distR="113665" simplePos="0" relativeHeight="251660288" behindDoc="0" locked="0" layoutInCell="0" allowOverlap="1">
                      <wp:simplePos x="0" y="0"/>
                      <wp:positionH relativeFrom="column">
                        <wp:posOffset>-114300</wp:posOffset>
                      </wp:positionH>
                      <wp:positionV relativeFrom="paragraph">
                        <wp:posOffset>-6350</wp:posOffset>
                      </wp:positionV>
                      <wp:extent cx="635" cy="0"/>
                      <wp:effectExtent l="0" t="0" r="0" b="0"/>
                      <wp:wrapNone/>
                      <wp:docPr id="2" name="直线 7"/>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7" o:spid="_x0000_s1026" o:spt="20" style="position:absolute;left:0pt;margin-left:-9pt;margin-top:-0.5pt;height:0pt;width:0.05pt;z-index:251660288;mso-width-relative:page;mso-height-relative:page;" filled="f" stroked="t" coordsize="21600,21600" o:allowincell="f" o:gfxdata="UEsDBAoAAAAAAIdO4kAAAAAAAAAAAAAAAAAEAAAAZHJzL1BLAwQUAAAACACHTuJAa5HTftUAAAAJ&#10;AQAADwAAAGRycy9kb3ducmV2LnhtbE2Py07DMBBF90j8gzVIbKrUTpGghDhdANmxoYDYTuMhiYjH&#10;aew+4OuZigWs5nV159xydfSD2tMU+8AW8rkBRdwE13Nr4fWlzpagYkJ2OAQmC18UYVWdn5VYuHDg&#10;Z9qvU6vEhGOBFrqUxkLr2HTkMc7DSCy3jzB5TDJOrXYTHsTcD3phzLX22LN86HCk+46az/XOW4j1&#10;G23r71kzM+9XbaDF9uHpEa29vMjNHahEx/QnhhO+oEMlTJuwYxfVYCHLl5IlnRqpIsjym1tQm9+F&#10;rkr9P0H1A1BLAwQUAAAACACHTuJAX73cVNsBAADLAwAADgAAAGRycy9lMm9Eb2MueG1srVNLchMx&#10;EN1TxR1U2uNxnEqAKY+ziAkbClwFHKCtz4yq9Cu14rHPwjVYseE4uQYtjeNA2HiRWWhare7X/Z5a&#10;y5u9s2ynEprgO34xm3OmvAjS+L7j37/dvXnHGWbwEmzwquMHhfxm9frVcoytWoQhWKkSIxCP7Rg7&#10;PuQc26ZBMSgHOAtReTrUITnItE19IxOMhO5ss5jPr5sxJBlTEAqRvOvpkB8R0zmAQWsj1DqIe6d8&#10;nlCTspCJEg4mIl/VbrVWIn/RGlVmtuPENNeVipC9LWuzWkLbJ4iDEccW4JwWnnFyYDwVPUGtIQO7&#10;T+Y/KGdEChh0nongmolIVYRYXMyfafN1gKgqF5Ia40l0fDlY8Xm3SczIji848+Dowh9+/Hz49Zu9&#10;LdqMEVsKufWbdNxh3KRCdK+TK3+iwPZVz8NJT7XPTJDz+vKKM/Hob56SYsL8UQXHitFxa3yhCS3s&#10;PmGmQhT6GFLc1rOx4++vFgUOaOY03TWZLlLf6Puai8EaeWesLRmY+u2tTWwH5d7rV+gQ7j9hpcga&#10;cJji6tE0EYMC+cFLlg+RFPH0EHhpwSnJmVX0bopFgNBmMPacSCptPXVQFJ00LNY2yEOVtvrpjmuP&#10;x3ksQ/T3vmY/vcHV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GuR037VAAAACQEAAA8AAAAAAAAA&#10;AQAgAAAAIgAAAGRycy9kb3ducmV2LnhtbFBLAQIUABQAAAAIAIdO4kBfvdxU2wEAAMsDAAAOAAAA&#10;AAAAAAEAIAAAACQBAABkcnMvZTJvRG9jLnhtbFBLBQYAAAAABgAGAFkBAABxBQAAAAA=&#10;">
                      <v:fill on="f" focussize="0,0"/>
                      <v:stroke color="#000000" joinstyle="round"/>
                      <v:imagedata o:title=""/>
                      <o:lock v:ext="edit" aspectratio="f"/>
                    </v:line>
                  </w:pict>
                </mc:Fallback>
              </mc:AlternateContent>
            </w:r>
          </w:p>
          <w:p w14:paraId="04A61D17">
            <w:pPr>
              <w:spacing w:line="260" w:lineRule="exact"/>
              <w:rPr>
                <w:rFonts w:ascii="宋体" w:cs="宋体"/>
                <w:kern w:val="0"/>
                <w:szCs w:val="21"/>
              </w:rPr>
            </w:pPr>
            <w:r>
              <w:rPr>
                <w:rFonts w:hint="eastAsia" w:ascii="宋体" w:cs="宋体"/>
                <w:kern w:val="0"/>
                <w:szCs w:val="21"/>
              </w:rPr>
              <w:t xml:space="preserve">  费　　　　   服务类型</w:t>
            </w:r>
          </w:p>
          <w:p w14:paraId="04A61D18">
            <w:pPr>
              <w:spacing w:line="260" w:lineRule="exact"/>
              <w:ind w:firstLine="1004"/>
              <w:rPr>
                <w:rFonts w:ascii="宋体" w:cs="宋体"/>
                <w:kern w:val="0"/>
                <w:szCs w:val="21"/>
              </w:rPr>
            </w:pPr>
            <w:r>
              <w:rPr>
                <w:rFonts w:ascii="宋体" w:cs="宋体"/>
                <w:kern w:val="0"/>
                <w:szCs w:val="21"/>
              </w:rPr>
              <mc:AlternateContent>
                <mc:Choice Requires="wps">
                  <w:drawing>
                    <wp:anchor distT="0" distB="0" distL="113665" distR="113665" simplePos="0" relativeHeight="251661312" behindDoc="0" locked="0" layoutInCell="1" allowOverlap="1">
                      <wp:simplePos x="0" y="0"/>
                      <wp:positionH relativeFrom="column">
                        <wp:posOffset>-59055</wp:posOffset>
                      </wp:positionH>
                      <wp:positionV relativeFrom="paragraph">
                        <wp:posOffset>29210</wp:posOffset>
                      </wp:positionV>
                      <wp:extent cx="1832610" cy="476250"/>
                      <wp:effectExtent l="1270" t="4445" r="13970" b="14605"/>
                      <wp:wrapNone/>
                      <wp:docPr id="3" name="直线 9"/>
                      <wp:cNvGraphicFramePr/>
                      <a:graphic xmlns:a="http://schemas.openxmlformats.org/drawingml/2006/main">
                        <a:graphicData uri="http://schemas.microsoft.com/office/word/2010/wordprocessingShape">
                          <wps:wsp>
                            <wps:cNvCnPr/>
                            <wps:spPr>
                              <a:xfrm flipH="1" flipV="1">
                                <a:off x="0" y="0"/>
                                <a:ext cx="1832610" cy="47625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9" o:spid="_x0000_s1026" o:spt="20" style="position:absolute;left:0pt;flip:x y;margin-left:-4.65pt;margin-top:2.3pt;height:37.5pt;width:144.3pt;z-index:251661312;mso-width-relative:page;mso-height-relative:page;" filled="f" stroked="t" coordsize="21600,21600" o:gfxdata="UEsDBAoAAAAAAIdO4kAAAAAAAAAAAAAAAAAEAAAAZHJzL1BLAwQUAAAACACHTuJA/EzRFtIAAAAH&#10;AQAADwAAAGRycy9kb3ducmV2LnhtbE2OwW7CMBBE75X6D9ZW6g2c0CoJaTYckPgAaIU4mtiNo9rr&#10;NDaE/n2XU3sczejNazY378TVTHEIhJAvMxCGuqAH6hE+3neLCkRMirRygQzCj4mwaR8fGlXrMNPe&#10;XA+pFwyhWCsEm9JYSxk7a7yKyzAa4u4zTF4ljlMv9aRmhnsnV1lWSK8G4gerRrO1pvs6XDyCq7Lq&#10;+7gt59Ne88vu6CyVOeLzU569gUjmlv7GcNdndWjZ6RwupKNwCIv1Cy8RXgsQXK/Kez4jlOsCZNvI&#10;//7tL1BLAwQUAAAACACHTuJAuYW5j/IBAADoAwAADgAAAGRycy9lMm9Eb2MueG1srVNLjhMxEN0j&#10;cQfLe9JJhoSZVjqzmDCwQBCJz77itrst+SeXJ52chWuwYsNx5hqU3SHAsMmCXljl+ryq97q8uj1Y&#10;w/Yyovau4bPJlDPphG+16xr++dP9i2vOMIFrwXgnG36UyG/Xz5+thlDLue+9aWVkBOKwHkLD+5RC&#10;XVUoemkBJz5IR0Hlo4VE19hVbYSB0K2p5tPpshp8bEP0QiKSdzMG+QkxXgLoldJCbrx4sNKlETVK&#10;A4koYa8D8nWZVikp0gelUCZmGk5MUzmpCdm7fFbrFdRdhNBrcRoBLhnhCScL2lHTM9QGErCHqP+B&#10;slpEj16lifC2GokURYjFbPpEm489BFm4kNQYzqLj/4MV7/fbyHTb8CvOHFj64Y9fvz1+/8FusjZD&#10;wJpS7tw2nm4YtjETPahomTI6vKUl4sX6kq0cI1rsUDQ+njWWh8QEOWfXV/PljOQXFHv5ajlflJ9Q&#10;jYi5OkRMb6S3LBsNN9plDaCG/TtMNAWl/krJbuPY0PCbxXxBmEALqWgRyLSBSKHrSi16o9t7bUyu&#10;wNjt7kxke8hLUb7MlXD/SstNNoD9mFdC47r0EtrXrmXpGEguR6+E5xGsbDkzkh5VtggQ6gTaXJJJ&#10;rY2jCbLco8DZ2vn2WHQvflqAMuNpWfOG/Xkv1b8f6Po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EzRFtIAAAAHAQAADwAAAAAAAAABACAAAAAiAAAAZHJzL2Rvd25yZXYueG1sUEsBAhQAFAAAAAgA&#10;h07iQLmFuY/yAQAA6AMAAA4AAAAAAAAAAQAgAAAAIQEAAGRycy9lMm9Eb2MueG1sUEsFBgAAAAAG&#10;AAYAWQEAAIUFAAAAAA==&#10;">
                      <v:fill on="f" focussize="0,0"/>
                      <v:stroke color="#000000" joinstyle="round"/>
                      <v:imagedata o:title=""/>
                      <o:lock v:ext="edit" aspectratio="f"/>
                    </v:line>
                  </w:pict>
                </mc:Fallback>
              </mc:AlternateContent>
            </w:r>
            <w:r>
              <w:rPr>
                <w:rFonts w:hint="eastAsia" w:ascii="宋体" w:cs="宋体"/>
                <w:kern w:val="0"/>
                <w:szCs w:val="21"/>
              </w:rPr>
              <w:t>率　　　</w:t>
            </w:r>
          </w:p>
          <w:p w14:paraId="04A61D19">
            <w:pPr>
              <w:spacing w:line="260" w:lineRule="exact"/>
              <w:ind w:firstLine="1054"/>
              <w:rPr>
                <w:rFonts w:ascii="宋体" w:cs="宋体"/>
                <w:kern w:val="0"/>
                <w:szCs w:val="21"/>
              </w:rPr>
            </w:pPr>
            <w:r>
              <w:rPr>
                <w:rFonts w:hint="eastAsia" w:ascii="宋体" w:cs="宋体"/>
                <w:kern w:val="0"/>
                <w:szCs w:val="21"/>
              </w:rPr>
              <w:t>　　　</w:t>
            </w:r>
          </w:p>
          <w:p w14:paraId="04A61D1A">
            <w:pPr>
              <w:spacing w:line="260" w:lineRule="exact"/>
              <w:rPr>
                <w:rFonts w:ascii="宋体" w:cs="宋体"/>
                <w:kern w:val="0"/>
                <w:szCs w:val="21"/>
              </w:rPr>
            </w:pPr>
            <w:r>
              <w:rPr>
                <w:rFonts w:hint="eastAsia" w:ascii="宋体" w:cs="宋体"/>
                <w:kern w:val="0"/>
                <w:szCs w:val="21"/>
              </w:rPr>
              <w:t>中标金额（万元）</w:t>
            </w:r>
          </w:p>
        </w:tc>
        <w:tc>
          <w:tcPr>
            <w:tcW w:w="5019" w:type="dxa"/>
            <w:tcBorders>
              <w:top w:val="single" w:color="auto" w:sz="4" w:space="0"/>
              <w:left w:val="single" w:color="auto" w:sz="4" w:space="0"/>
              <w:bottom w:val="single" w:color="auto" w:sz="4" w:space="0"/>
              <w:right w:val="single" w:color="auto" w:sz="4" w:space="0"/>
            </w:tcBorders>
            <w:vAlign w:val="center"/>
          </w:tcPr>
          <w:p w14:paraId="04A61D1B">
            <w:pPr>
              <w:jc w:val="center"/>
              <w:rPr>
                <w:rFonts w:ascii="宋体" w:cs="宋体"/>
                <w:kern w:val="0"/>
                <w:szCs w:val="21"/>
              </w:rPr>
            </w:pPr>
            <w:r>
              <w:rPr>
                <w:rFonts w:hint="eastAsia" w:ascii="宋体" w:cs="宋体"/>
                <w:kern w:val="0"/>
                <w:szCs w:val="21"/>
              </w:rPr>
              <w:t>标的物招标</w:t>
            </w:r>
          </w:p>
        </w:tc>
      </w:tr>
      <w:tr w14:paraId="04A61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0" w:type="dxa"/>
            <w:tcBorders>
              <w:top w:val="single" w:color="auto" w:sz="4" w:space="0"/>
              <w:left w:val="single" w:color="auto" w:sz="4" w:space="0"/>
              <w:bottom w:val="single" w:color="auto" w:sz="4" w:space="0"/>
              <w:right w:val="single" w:color="auto" w:sz="4" w:space="0"/>
            </w:tcBorders>
          </w:tcPr>
          <w:p w14:paraId="04A61D1D">
            <w:pPr>
              <w:jc w:val="center"/>
              <w:rPr>
                <w:rFonts w:ascii="宋体" w:cs="宋体"/>
                <w:kern w:val="0"/>
                <w:szCs w:val="21"/>
              </w:rPr>
            </w:pPr>
            <w:r>
              <w:rPr>
                <w:rFonts w:hint="eastAsia" w:ascii="宋体" w:cs="宋体"/>
                <w:kern w:val="0"/>
                <w:szCs w:val="21"/>
              </w:rPr>
              <w:t>100以下</w:t>
            </w:r>
          </w:p>
        </w:tc>
        <w:tc>
          <w:tcPr>
            <w:tcW w:w="5019" w:type="dxa"/>
            <w:tcBorders>
              <w:top w:val="single" w:color="auto" w:sz="4" w:space="0"/>
              <w:left w:val="single" w:color="auto" w:sz="4" w:space="0"/>
              <w:bottom w:val="single" w:color="auto" w:sz="4" w:space="0"/>
              <w:right w:val="single" w:color="auto" w:sz="4" w:space="0"/>
            </w:tcBorders>
          </w:tcPr>
          <w:p w14:paraId="04A61D1E">
            <w:pPr>
              <w:jc w:val="center"/>
              <w:rPr>
                <w:rFonts w:ascii="宋体" w:cs="宋体"/>
                <w:kern w:val="0"/>
                <w:szCs w:val="21"/>
              </w:rPr>
            </w:pPr>
            <w:r>
              <w:rPr>
                <w:rFonts w:hint="eastAsia" w:ascii="宋体" w:cs="宋体"/>
                <w:kern w:val="0"/>
                <w:szCs w:val="21"/>
              </w:rPr>
              <w:t>0.75%</w:t>
            </w:r>
          </w:p>
        </w:tc>
      </w:tr>
      <w:tr w14:paraId="04A61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0" w:type="dxa"/>
            <w:tcBorders>
              <w:top w:val="single" w:color="auto" w:sz="4" w:space="0"/>
              <w:left w:val="single" w:color="auto" w:sz="4" w:space="0"/>
              <w:bottom w:val="single" w:color="auto" w:sz="4" w:space="0"/>
              <w:right w:val="single" w:color="auto" w:sz="4" w:space="0"/>
            </w:tcBorders>
          </w:tcPr>
          <w:p w14:paraId="04A61D20">
            <w:pPr>
              <w:jc w:val="center"/>
              <w:rPr>
                <w:rFonts w:ascii="宋体" w:cs="宋体"/>
                <w:kern w:val="0"/>
                <w:szCs w:val="21"/>
              </w:rPr>
            </w:pPr>
            <w:r>
              <w:rPr>
                <w:rFonts w:hint="eastAsia" w:ascii="宋体" w:cs="宋体"/>
                <w:kern w:val="0"/>
                <w:szCs w:val="21"/>
              </w:rPr>
              <w:t>100-500</w:t>
            </w:r>
          </w:p>
        </w:tc>
        <w:tc>
          <w:tcPr>
            <w:tcW w:w="5019" w:type="dxa"/>
            <w:tcBorders>
              <w:top w:val="single" w:color="auto" w:sz="4" w:space="0"/>
              <w:left w:val="single" w:color="auto" w:sz="4" w:space="0"/>
              <w:bottom w:val="single" w:color="auto" w:sz="4" w:space="0"/>
              <w:right w:val="single" w:color="auto" w:sz="4" w:space="0"/>
            </w:tcBorders>
          </w:tcPr>
          <w:p w14:paraId="04A61D21">
            <w:pPr>
              <w:jc w:val="center"/>
              <w:rPr>
                <w:rFonts w:ascii="宋体" w:cs="宋体"/>
                <w:kern w:val="0"/>
                <w:szCs w:val="21"/>
              </w:rPr>
            </w:pPr>
            <w:r>
              <w:rPr>
                <w:rFonts w:hint="eastAsia" w:ascii="宋体" w:cs="宋体"/>
                <w:kern w:val="0"/>
                <w:szCs w:val="21"/>
              </w:rPr>
              <w:t>0.55%</w:t>
            </w:r>
          </w:p>
        </w:tc>
      </w:tr>
      <w:tr w14:paraId="04A61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0" w:type="dxa"/>
            <w:tcBorders>
              <w:top w:val="single" w:color="auto" w:sz="4" w:space="0"/>
              <w:left w:val="single" w:color="auto" w:sz="4" w:space="0"/>
              <w:bottom w:val="single" w:color="auto" w:sz="4" w:space="0"/>
              <w:right w:val="single" w:color="auto" w:sz="4" w:space="0"/>
            </w:tcBorders>
          </w:tcPr>
          <w:p w14:paraId="04A61D23">
            <w:pPr>
              <w:jc w:val="center"/>
              <w:rPr>
                <w:rFonts w:ascii="宋体" w:cs="宋体"/>
                <w:kern w:val="0"/>
                <w:szCs w:val="21"/>
              </w:rPr>
            </w:pPr>
            <w:r>
              <w:rPr>
                <w:rFonts w:hint="eastAsia" w:ascii="宋体" w:cs="宋体"/>
                <w:kern w:val="0"/>
                <w:szCs w:val="21"/>
              </w:rPr>
              <w:t>500-1000</w:t>
            </w:r>
          </w:p>
        </w:tc>
        <w:tc>
          <w:tcPr>
            <w:tcW w:w="5019" w:type="dxa"/>
            <w:tcBorders>
              <w:top w:val="single" w:color="auto" w:sz="4" w:space="0"/>
              <w:left w:val="single" w:color="auto" w:sz="4" w:space="0"/>
              <w:bottom w:val="single" w:color="auto" w:sz="4" w:space="0"/>
              <w:right w:val="single" w:color="auto" w:sz="4" w:space="0"/>
            </w:tcBorders>
          </w:tcPr>
          <w:p w14:paraId="04A61D24">
            <w:pPr>
              <w:jc w:val="center"/>
              <w:rPr>
                <w:rFonts w:ascii="宋体" w:cs="宋体"/>
                <w:kern w:val="0"/>
                <w:szCs w:val="21"/>
              </w:rPr>
            </w:pPr>
            <w:r>
              <w:rPr>
                <w:rFonts w:hint="eastAsia" w:ascii="宋体" w:cs="宋体"/>
                <w:kern w:val="0"/>
                <w:szCs w:val="21"/>
              </w:rPr>
              <w:t>0.4%</w:t>
            </w:r>
          </w:p>
        </w:tc>
      </w:tr>
      <w:tr w14:paraId="04A61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0" w:type="dxa"/>
            <w:tcBorders>
              <w:top w:val="single" w:color="auto" w:sz="4" w:space="0"/>
              <w:left w:val="single" w:color="auto" w:sz="4" w:space="0"/>
              <w:bottom w:val="single" w:color="auto" w:sz="4" w:space="0"/>
              <w:right w:val="single" w:color="auto" w:sz="4" w:space="0"/>
            </w:tcBorders>
          </w:tcPr>
          <w:p w14:paraId="04A61D26">
            <w:pPr>
              <w:jc w:val="center"/>
              <w:rPr>
                <w:rFonts w:ascii="宋体" w:cs="宋体"/>
                <w:kern w:val="0"/>
                <w:szCs w:val="21"/>
              </w:rPr>
            </w:pPr>
            <w:r>
              <w:rPr>
                <w:rFonts w:hint="eastAsia" w:ascii="宋体" w:cs="宋体"/>
                <w:kern w:val="0"/>
                <w:szCs w:val="21"/>
              </w:rPr>
              <w:t>1000-5000</w:t>
            </w:r>
          </w:p>
        </w:tc>
        <w:tc>
          <w:tcPr>
            <w:tcW w:w="5019" w:type="dxa"/>
            <w:tcBorders>
              <w:top w:val="single" w:color="auto" w:sz="4" w:space="0"/>
              <w:left w:val="single" w:color="auto" w:sz="4" w:space="0"/>
              <w:bottom w:val="single" w:color="auto" w:sz="4" w:space="0"/>
              <w:right w:val="single" w:color="auto" w:sz="4" w:space="0"/>
            </w:tcBorders>
          </w:tcPr>
          <w:p w14:paraId="04A61D27">
            <w:pPr>
              <w:jc w:val="center"/>
              <w:rPr>
                <w:rFonts w:ascii="宋体" w:cs="宋体"/>
                <w:kern w:val="0"/>
                <w:szCs w:val="21"/>
              </w:rPr>
            </w:pPr>
            <w:r>
              <w:rPr>
                <w:rFonts w:hint="eastAsia" w:ascii="宋体" w:cs="宋体"/>
                <w:kern w:val="0"/>
                <w:szCs w:val="21"/>
              </w:rPr>
              <w:t>0.25%</w:t>
            </w:r>
          </w:p>
        </w:tc>
      </w:tr>
      <w:tr w14:paraId="04A61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0" w:type="dxa"/>
            <w:tcBorders>
              <w:top w:val="single" w:color="auto" w:sz="4" w:space="0"/>
              <w:left w:val="single" w:color="auto" w:sz="4" w:space="0"/>
              <w:bottom w:val="single" w:color="auto" w:sz="4" w:space="0"/>
              <w:right w:val="single" w:color="auto" w:sz="4" w:space="0"/>
            </w:tcBorders>
          </w:tcPr>
          <w:p w14:paraId="04A61D29">
            <w:pPr>
              <w:jc w:val="center"/>
              <w:rPr>
                <w:rFonts w:ascii="宋体" w:cs="宋体"/>
                <w:kern w:val="0"/>
                <w:szCs w:val="21"/>
              </w:rPr>
            </w:pPr>
            <w:r>
              <w:rPr>
                <w:rFonts w:hint="eastAsia" w:ascii="宋体" w:cs="宋体"/>
                <w:kern w:val="0"/>
                <w:szCs w:val="21"/>
              </w:rPr>
              <w:t>5000-10000</w:t>
            </w:r>
          </w:p>
        </w:tc>
        <w:tc>
          <w:tcPr>
            <w:tcW w:w="5019" w:type="dxa"/>
            <w:tcBorders>
              <w:top w:val="single" w:color="auto" w:sz="4" w:space="0"/>
              <w:left w:val="single" w:color="auto" w:sz="4" w:space="0"/>
              <w:bottom w:val="single" w:color="auto" w:sz="4" w:space="0"/>
              <w:right w:val="single" w:color="auto" w:sz="4" w:space="0"/>
            </w:tcBorders>
          </w:tcPr>
          <w:p w14:paraId="04A61D2A">
            <w:pPr>
              <w:jc w:val="center"/>
              <w:rPr>
                <w:rFonts w:ascii="宋体" w:cs="宋体"/>
                <w:kern w:val="0"/>
                <w:szCs w:val="21"/>
              </w:rPr>
            </w:pPr>
            <w:r>
              <w:rPr>
                <w:rFonts w:hint="eastAsia" w:ascii="宋体" w:cs="宋体"/>
                <w:kern w:val="0"/>
                <w:szCs w:val="21"/>
              </w:rPr>
              <w:t>0.125%</w:t>
            </w:r>
          </w:p>
        </w:tc>
      </w:tr>
      <w:tr w14:paraId="04A61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0" w:type="dxa"/>
            <w:tcBorders>
              <w:top w:val="single" w:color="auto" w:sz="4" w:space="0"/>
              <w:left w:val="single" w:color="auto" w:sz="4" w:space="0"/>
              <w:bottom w:val="single" w:color="auto" w:sz="4" w:space="0"/>
              <w:right w:val="single" w:color="auto" w:sz="4" w:space="0"/>
            </w:tcBorders>
          </w:tcPr>
          <w:p w14:paraId="04A61D2C">
            <w:pPr>
              <w:jc w:val="center"/>
              <w:rPr>
                <w:rFonts w:ascii="宋体" w:cs="宋体"/>
                <w:kern w:val="0"/>
                <w:szCs w:val="21"/>
              </w:rPr>
            </w:pPr>
            <w:r>
              <w:rPr>
                <w:rFonts w:hint="eastAsia" w:ascii="宋体" w:cs="宋体"/>
                <w:kern w:val="0"/>
                <w:szCs w:val="21"/>
              </w:rPr>
              <w:t>10000-100000</w:t>
            </w:r>
          </w:p>
        </w:tc>
        <w:tc>
          <w:tcPr>
            <w:tcW w:w="5019" w:type="dxa"/>
            <w:tcBorders>
              <w:top w:val="single" w:color="auto" w:sz="4" w:space="0"/>
              <w:left w:val="single" w:color="auto" w:sz="4" w:space="0"/>
              <w:bottom w:val="single" w:color="auto" w:sz="4" w:space="0"/>
              <w:right w:val="single" w:color="auto" w:sz="4" w:space="0"/>
            </w:tcBorders>
          </w:tcPr>
          <w:p w14:paraId="04A61D2D">
            <w:pPr>
              <w:jc w:val="center"/>
              <w:rPr>
                <w:rFonts w:ascii="宋体" w:cs="宋体"/>
                <w:kern w:val="0"/>
                <w:szCs w:val="21"/>
              </w:rPr>
            </w:pPr>
            <w:r>
              <w:rPr>
                <w:rFonts w:hint="eastAsia" w:ascii="宋体" w:cs="宋体"/>
                <w:kern w:val="0"/>
                <w:szCs w:val="21"/>
              </w:rPr>
              <w:t>0.025%</w:t>
            </w:r>
          </w:p>
        </w:tc>
      </w:tr>
      <w:tr w14:paraId="04A61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0" w:type="dxa"/>
            <w:tcBorders>
              <w:top w:val="single" w:color="auto" w:sz="4" w:space="0"/>
              <w:left w:val="single" w:color="auto" w:sz="4" w:space="0"/>
              <w:bottom w:val="single" w:color="auto" w:sz="4" w:space="0"/>
              <w:right w:val="single" w:color="auto" w:sz="4" w:space="0"/>
            </w:tcBorders>
          </w:tcPr>
          <w:p w14:paraId="04A61D2F">
            <w:pPr>
              <w:jc w:val="center"/>
              <w:rPr>
                <w:rFonts w:ascii="宋体" w:cs="宋体"/>
                <w:kern w:val="0"/>
                <w:szCs w:val="21"/>
              </w:rPr>
            </w:pPr>
            <w:r>
              <w:rPr>
                <w:rFonts w:hint="eastAsia" w:ascii="宋体" w:cs="宋体"/>
                <w:kern w:val="0"/>
                <w:szCs w:val="21"/>
              </w:rPr>
              <w:t>100000以上</w:t>
            </w:r>
          </w:p>
        </w:tc>
        <w:tc>
          <w:tcPr>
            <w:tcW w:w="5019" w:type="dxa"/>
            <w:tcBorders>
              <w:top w:val="single" w:color="auto" w:sz="4" w:space="0"/>
              <w:left w:val="single" w:color="auto" w:sz="4" w:space="0"/>
              <w:bottom w:val="single" w:color="auto" w:sz="4" w:space="0"/>
              <w:right w:val="single" w:color="auto" w:sz="4" w:space="0"/>
            </w:tcBorders>
          </w:tcPr>
          <w:p w14:paraId="04A61D30">
            <w:pPr>
              <w:jc w:val="center"/>
              <w:rPr>
                <w:rFonts w:ascii="宋体" w:cs="宋体"/>
                <w:kern w:val="0"/>
                <w:szCs w:val="21"/>
              </w:rPr>
            </w:pPr>
            <w:r>
              <w:rPr>
                <w:rFonts w:hint="eastAsia" w:ascii="宋体" w:cs="宋体"/>
                <w:kern w:val="0"/>
                <w:szCs w:val="21"/>
              </w:rPr>
              <w:t>0.005%</w:t>
            </w:r>
          </w:p>
        </w:tc>
      </w:tr>
    </w:tbl>
    <w:p w14:paraId="04A61D32">
      <w:pPr>
        <w:rPr>
          <w:rFonts w:ascii="宋体" w:cs="宋体"/>
          <w:kern w:val="0"/>
          <w:szCs w:val="21"/>
        </w:rPr>
      </w:pPr>
    </w:p>
    <w:p w14:paraId="04A61D33">
      <w:pPr>
        <w:ind w:left="630" w:hanging="630"/>
        <w:jc w:val="left"/>
        <w:rPr>
          <w:rFonts w:hint="eastAsia" w:ascii="宋体" w:hAnsi="宋体"/>
          <w:sz w:val="24"/>
          <w:szCs w:val="24"/>
          <w:lang w:bidi="ar"/>
        </w:rPr>
      </w:pPr>
      <w:r>
        <w:rPr>
          <w:rFonts w:hint="eastAsia" w:ascii="宋体" w:hAnsi="宋体"/>
          <w:sz w:val="24"/>
          <w:szCs w:val="24"/>
          <w:lang w:bidi="ar"/>
        </w:rPr>
        <w:t xml:space="preserve">注：中标服务费按差额定率累进法计算收取。例如：某标的物总金额为1000万元，计算中标服务收费额如下： </w:t>
      </w:r>
    </w:p>
    <w:p w14:paraId="04A61D34">
      <w:pPr>
        <w:rPr>
          <w:rFonts w:hint="eastAsia" w:ascii="宋体" w:hAnsi="宋体"/>
          <w:sz w:val="24"/>
          <w:szCs w:val="24"/>
          <w:lang w:bidi="ar"/>
        </w:rPr>
      </w:pPr>
      <w:r>
        <w:rPr>
          <w:rFonts w:hint="eastAsia" w:ascii="宋体" w:hAnsi="宋体"/>
          <w:sz w:val="24"/>
          <w:szCs w:val="24"/>
          <w:lang w:bidi="ar"/>
        </w:rPr>
        <w:t xml:space="preserve">                          100万元×0.75%=0.75万元</w:t>
      </w:r>
    </w:p>
    <w:p w14:paraId="04A61D35">
      <w:pPr>
        <w:jc w:val="center"/>
        <w:rPr>
          <w:rFonts w:hint="eastAsia" w:ascii="宋体" w:hAnsi="宋体"/>
          <w:sz w:val="24"/>
          <w:szCs w:val="24"/>
          <w:lang w:bidi="ar"/>
        </w:rPr>
      </w:pPr>
      <w:r>
        <w:rPr>
          <w:rFonts w:hint="eastAsia" w:ascii="宋体" w:hAnsi="宋体"/>
          <w:sz w:val="24"/>
          <w:szCs w:val="24"/>
          <w:lang w:bidi="ar"/>
        </w:rPr>
        <w:t>（500-100）万元×0.55%=2.2万元</w:t>
      </w:r>
    </w:p>
    <w:p w14:paraId="04A61D36">
      <w:pPr>
        <w:ind w:firstLine="2520"/>
        <w:rPr>
          <w:rFonts w:hint="eastAsia" w:ascii="宋体" w:hAnsi="宋体"/>
          <w:sz w:val="24"/>
          <w:szCs w:val="24"/>
          <w:lang w:bidi="ar"/>
        </w:rPr>
      </w:pPr>
      <w:r>
        <w:rPr>
          <w:rFonts w:hint="eastAsia" w:ascii="宋体" w:hAnsi="宋体"/>
          <w:sz w:val="24"/>
          <w:szCs w:val="24"/>
          <w:lang w:bidi="ar"/>
        </w:rPr>
        <w:t>（1000-500）×0.4%=2万元</w:t>
      </w:r>
    </w:p>
    <w:p w14:paraId="04A61D37">
      <w:pPr>
        <w:jc w:val="center"/>
        <w:rPr>
          <w:rFonts w:hint="eastAsia" w:ascii="宋体" w:hAnsi="宋体"/>
          <w:sz w:val="24"/>
          <w:szCs w:val="24"/>
          <w:lang w:bidi="ar"/>
        </w:rPr>
      </w:pPr>
      <w:r>
        <w:rPr>
          <w:rFonts w:hint="eastAsia" w:ascii="宋体" w:hAnsi="宋体"/>
          <w:sz w:val="24"/>
          <w:szCs w:val="24"/>
          <w:lang w:bidi="ar"/>
        </w:rPr>
        <w:t xml:space="preserve">      合计收费=0.75+2.2+2=4.95（万元）</w:t>
      </w:r>
    </w:p>
    <w:p w14:paraId="04A61D38">
      <w:pPr>
        <w:spacing w:line="360" w:lineRule="auto"/>
        <w:rPr>
          <w:rFonts w:ascii="宋体"/>
          <w:szCs w:val="21"/>
        </w:rPr>
      </w:pPr>
    </w:p>
    <w:p w14:paraId="04A61D39">
      <w:pPr>
        <w:spacing w:line="360" w:lineRule="auto"/>
        <w:rPr>
          <w:rFonts w:ascii="宋体"/>
          <w:szCs w:val="21"/>
        </w:rPr>
      </w:pPr>
    </w:p>
    <w:p w14:paraId="04A61D3A">
      <w:pPr>
        <w:spacing w:line="360" w:lineRule="auto"/>
        <w:rPr>
          <w:rFonts w:hint="eastAsia" w:ascii="宋体" w:hAnsi="宋体"/>
          <w:sz w:val="24"/>
          <w:szCs w:val="24"/>
        </w:rPr>
      </w:pPr>
    </w:p>
    <w:p w14:paraId="04A61D3B">
      <w:pPr>
        <w:spacing w:line="360" w:lineRule="auto"/>
        <w:rPr>
          <w:rFonts w:hint="eastAsia" w:ascii="宋体" w:hAnsi="宋体"/>
          <w:sz w:val="24"/>
          <w:szCs w:val="24"/>
        </w:rPr>
        <w:sectPr>
          <w:pgSz w:w="11907" w:h="16840"/>
          <w:pgMar w:top="1440" w:right="1797" w:bottom="1440" w:left="1797" w:header="567" w:footer="992" w:gutter="0"/>
          <w:cols w:space="720" w:num="1"/>
          <w:docGrid w:type="linesAndChars" w:linePitch="312" w:charSpace="0"/>
        </w:sectPr>
      </w:pPr>
    </w:p>
    <w:p w14:paraId="04A61D3C">
      <w:pPr>
        <w:pStyle w:val="5"/>
        <w:rPr>
          <w:rFonts w:hint="eastAsia" w:ascii="宋体" w:hAnsi="宋体"/>
          <w:kern w:val="0"/>
        </w:rPr>
      </w:pPr>
      <w:bookmarkStart w:id="26" w:name="_Toc441676661"/>
      <w:bookmarkStart w:id="27" w:name="_Toc359873218"/>
      <w:r>
        <w:rPr>
          <w:rFonts w:hint="eastAsia" w:ascii="宋体" w:hAnsi="宋体"/>
          <w:kern w:val="0"/>
        </w:rPr>
        <w:t xml:space="preserve"> </w:t>
      </w:r>
      <w:bookmarkStart w:id="28" w:name="_Toc161130982"/>
      <w:bookmarkStart w:id="29" w:name="_Toc441676660"/>
      <w:r>
        <w:rPr>
          <w:rFonts w:hint="eastAsia" w:ascii="宋体" w:hAnsi="宋体"/>
          <w:kern w:val="0"/>
        </w:rPr>
        <w:t>第四章 采购内容及技术要求</w:t>
      </w:r>
      <w:bookmarkEnd w:id="28"/>
      <w:bookmarkEnd w:id="29"/>
    </w:p>
    <w:p w14:paraId="04A61D3D">
      <w:pPr>
        <w:outlineLvl w:val="1"/>
        <w:rPr>
          <w:rFonts w:hint="eastAsia" w:ascii="宋体" w:hAnsi="宋体" w:cs="宋体"/>
          <w:b/>
          <w:bCs/>
          <w:sz w:val="24"/>
          <w:szCs w:val="24"/>
        </w:rPr>
      </w:pPr>
      <w:bookmarkStart w:id="30" w:name="_Toc161130983"/>
      <w:r>
        <w:rPr>
          <w:rFonts w:hint="eastAsia" w:ascii="宋体" w:hAnsi="宋体" w:cs="宋体"/>
          <w:b/>
          <w:bCs/>
          <w:sz w:val="24"/>
          <w:szCs w:val="24"/>
        </w:rPr>
        <w:t>1.总则</w:t>
      </w:r>
      <w:bookmarkEnd w:id="30"/>
    </w:p>
    <w:p w14:paraId="04A61D3E">
      <w:pPr>
        <w:rPr>
          <w:rFonts w:hint="eastAsia" w:ascii="宋体" w:hAnsi="宋体" w:cs="宋体"/>
          <w:b/>
          <w:bCs/>
          <w:sz w:val="24"/>
          <w:szCs w:val="24"/>
        </w:rPr>
      </w:pPr>
      <w:r>
        <w:rPr>
          <w:rFonts w:hint="eastAsia" w:ascii="宋体" w:hAnsi="宋体" w:cs="宋体"/>
          <w:b/>
          <w:bCs/>
          <w:sz w:val="24"/>
          <w:szCs w:val="24"/>
        </w:rPr>
        <w:t>1.0概述</w:t>
      </w:r>
    </w:p>
    <w:p w14:paraId="04A61D3F">
      <w:pPr>
        <w:rPr>
          <w:rFonts w:hint="eastAsia" w:ascii="宋体" w:hAnsi="宋体"/>
          <w:sz w:val="24"/>
          <w:szCs w:val="24"/>
        </w:rPr>
      </w:pPr>
      <w:r>
        <w:rPr>
          <w:rFonts w:hint="eastAsia" w:ascii="宋体" w:hAnsi="宋体"/>
          <w:sz w:val="24"/>
          <w:szCs w:val="24"/>
        </w:rPr>
        <w:t>1.0.1本技术规格书、仪表数据表及相关附件中的内容构成的招标文件的技术文件对浙江晋巨化工有限公司合成氨装置提质增效设备更新项目提质增效、无样装置新增等项目的设计、文件资料、材料选择、生产装配、备品备件及检验试验等方面提出的最基本要求。</w:t>
      </w:r>
    </w:p>
    <w:p w14:paraId="04A61D40">
      <w:pPr>
        <w:spacing w:line="560" w:lineRule="exact"/>
        <w:rPr>
          <w:rFonts w:hint="eastAsia" w:ascii="宋体" w:hAnsi="宋体"/>
          <w:sz w:val="24"/>
          <w:szCs w:val="24"/>
        </w:rPr>
      </w:pPr>
      <w:r>
        <w:rPr>
          <w:rFonts w:hint="eastAsia" w:ascii="宋体" w:hAnsi="宋体"/>
          <w:sz w:val="24"/>
          <w:szCs w:val="24"/>
        </w:rPr>
        <w:t>1.0.2本次招标采购内容为</w:t>
      </w:r>
    </w:p>
    <w:p w14:paraId="04A61D41">
      <w:pPr>
        <w:tabs>
          <w:tab w:val="left" w:pos="1050"/>
        </w:tabs>
        <w:adjustRightInd w:val="0"/>
        <w:snapToGrid w:val="0"/>
        <w:spacing w:line="360" w:lineRule="auto"/>
        <w:rPr>
          <w:rFonts w:hint="eastAsia" w:ascii="宋体" w:hAnsi="宋体"/>
          <w:sz w:val="24"/>
          <w:szCs w:val="24"/>
        </w:rPr>
      </w:pPr>
      <w:r>
        <w:rPr>
          <w:rFonts w:hint="eastAsia" w:ascii="宋体" w:hAnsi="宋体"/>
          <w:sz w:val="24"/>
          <w:szCs w:val="24"/>
        </w:rPr>
        <w:t>投标人应根据招标文件所提出的采购内容和技术、服务要求，综合考虑，选择具有最佳性价比的产品前来投标。希望投标人以精良的产品、优良的服务和优惠的价格，充分显示贵公司的竞争实力。</w:t>
      </w:r>
    </w:p>
    <w:p w14:paraId="04A61D42">
      <w:pPr>
        <w:adjustRightInd w:val="0"/>
        <w:snapToGrid w:val="0"/>
        <w:spacing w:line="360" w:lineRule="auto"/>
        <w:rPr>
          <w:rFonts w:hint="eastAsia" w:ascii="宋体" w:hAnsi="宋体"/>
          <w:sz w:val="24"/>
          <w:szCs w:val="24"/>
        </w:rPr>
      </w:pPr>
      <w:r>
        <w:rPr>
          <w:rFonts w:hint="eastAsia" w:ascii="宋体" w:hAnsi="宋体"/>
          <w:sz w:val="24"/>
          <w:szCs w:val="24"/>
        </w:rPr>
        <w:t>1.0.3投标人须执行本招标文件所列标准。有矛盾时，按较高标准执行。</w:t>
      </w:r>
    </w:p>
    <w:p w14:paraId="04A61D43">
      <w:pPr>
        <w:adjustRightInd w:val="0"/>
        <w:snapToGrid w:val="0"/>
        <w:spacing w:line="360" w:lineRule="auto"/>
        <w:rPr>
          <w:rFonts w:hint="eastAsia" w:ascii="宋体" w:hAnsi="宋体"/>
          <w:sz w:val="24"/>
          <w:szCs w:val="24"/>
        </w:rPr>
      </w:pPr>
      <w:r>
        <w:rPr>
          <w:rFonts w:hint="eastAsia" w:ascii="宋体" w:hAnsi="宋体"/>
          <w:sz w:val="24"/>
          <w:szCs w:val="24"/>
        </w:rPr>
        <w:t>1.0.4所有文件、图纸及相互通信，均应使用中文。不论在合同谈判及签约后的工程建设期间，中文是主要的工作语言。</w:t>
      </w:r>
    </w:p>
    <w:p w14:paraId="04A61D44">
      <w:pPr>
        <w:adjustRightInd w:val="0"/>
        <w:snapToGrid w:val="0"/>
        <w:spacing w:line="360" w:lineRule="auto"/>
        <w:rPr>
          <w:rFonts w:hint="eastAsia" w:ascii="宋体" w:hAnsi="宋体"/>
          <w:sz w:val="24"/>
          <w:szCs w:val="24"/>
        </w:rPr>
      </w:pPr>
      <w:r>
        <w:rPr>
          <w:rFonts w:hint="eastAsia" w:ascii="宋体" w:hAnsi="宋体"/>
          <w:sz w:val="24"/>
          <w:szCs w:val="24"/>
        </w:rPr>
        <w:t xml:space="preserve">1.0.5投标人须在技术标中明确支付条款和交货期。 </w:t>
      </w:r>
    </w:p>
    <w:p w14:paraId="04A61D45">
      <w:pPr>
        <w:adjustRightInd w:val="0"/>
        <w:snapToGrid w:val="0"/>
        <w:spacing w:line="360" w:lineRule="auto"/>
        <w:rPr>
          <w:rFonts w:hint="eastAsia" w:ascii="宋体" w:hAnsi="宋体"/>
          <w:sz w:val="24"/>
          <w:szCs w:val="24"/>
        </w:rPr>
      </w:pPr>
      <w:r>
        <w:rPr>
          <w:rFonts w:hint="eastAsia" w:ascii="宋体" w:hAnsi="宋体"/>
          <w:sz w:val="24"/>
          <w:szCs w:val="24"/>
        </w:rPr>
        <w:t>1.0.6加*条款为招标文件的主要条款，对主要条款（含条款所有子项）的任何负偏离将导致废标。</w:t>
      </w:r>
    </w:p>
    <w:p w14:paraId="04A61D46">
      <w:pPr>
        <w:adjustRightInd w:val="0"/>
        <w:snapToGrid w:val="0"/>
        <w:spacing w:line="360" w:lineRule="auto"/>
        <w:rPr>
          <w:rFonts w:hint="eastAsia" w:ascii="宋体" w:hAnsi="宋体"/>
          <w:b/>
          <w:bCs/>
          <w:sz w:val="24"/>
          <w:szCs w:val="24"/>
        </w:rPr>
      </w:pPr>
      <w:r>
        <w:rPr>
          <w:rFonts w:hint="eastAsia" w:ascii="宋体" w:hAnsi="宋体"/>
          <w:b/>
          <w:bCs/>
          <w:sz w:val="24"/>
          <w:szCs w:val="24"/>
        </w:rPr>
        <w:t>1.1总体要求</w:t>
      </w:r>
    </w:p>
    <w:p w14:paraId="04A61D47">
      <w:pPr>
        <w:adjustRightInd w:val="0"/>
        <w:snapToGrid w:val="0"/>
        <w:spacing w:line="360" w:lineRule="auto"/>
        <w:rPr>
          <w:rFonts w:hint="eastAsia" w:ascii="宋体" w:hAnsi="宋体"/>
          <w:sz w:val="24"/>
          <w:szCs w:val="24"/>
        </w:rPr>
      </w:pPr>
      <w:r>
        <w:rPr>
          <w:rFonts w:hint="eastAsia" w:ascii="宋体" w:hAnsi="宋体"/>
          <w:sz w:val="24"/>
          <w:szCs w:val="24"/>
        </w:rPr>
        <w:t>1.1.1投标人应承诺供货合同签字直至所供在线分析仪表、分析小屋移交生产之前，应允许招标人对招标的标的物提出有限范围的设计修改（包括型号、工况参数的调整），而不影响合同价。</w:t>
      </w:r>
    </w:p>
    <w:p w14:paraId="04A61D48">
      <w:pPr>
        <w:adjustRightInd w:val="0"/>
        <w:snapToGrid w:val="0"/>
        <w:spacing w:line="360" w:lineRule="auto"/>
        <w:rPr>
          <w:rFonts w:hint="eastAsia" w:ascii="宋体" w:hAnsi="宋体"/>
          <w:sz w:val="24"/>
          <w:szCs w:val="24"/>
        </w:rPr>
      </w:pPr>
      <w:r>
        <w:rPr>
          <w:rFonts w:hint="eastAsia" w:ascii="宋体" w:hAnsi="宋体"/>
          <w:sz w:val="24"/>
          <w:szCs w:val="24"/>
        </w:rPr>
        <w:t>1.1.</w:t>
      </w:r>
      <w:r>
        <w:rPr>
          <w:rFonts w:ascii="宋体" w:hAnsi="宋体"/>
          <w:sz w:val="24"/>
          <w:szCs w:val="24"/>
        </w:rPr>
        <w:t>2</w:t>
      </w:r>
      <w:r>
        <w:rPr>
          <w:rFonts w:hint="eastAsia" w:ascii="宋体" w:hAnsi="宋体"/>
          <w:sz w:val="24"/>
          <w:szCs w:val="24"/>
        </w:rPr>
        <w:t>如果投标文件中的条款、技术规格、数字等出现前后不一致或互相矛盾之处，以对招标人有利的条款、技术规格、数字为准。</w:t>
      </w:r>
    </w:p>
    <w:p w14:paraId="04A61D49">
      <w:pPr>
        <w:adjustRightInd w:val="0"/>
        <w:snapToGrid w:val="0"/>
        <w:spacing w:line="360" w:lineRule="auto"/>
        <w:rPr>
          <w:rFonts w:hint="eastAsia" w:ascii="宋体" w:hAnsi="宋体"/>
          <w:sz w:val="24"/>
          <w:szCs w:val="24"/>
        </w:rPr>
      </w:pPr>
      <w:r>
        <w:rPr>
          <w:rFonts w:hint="eastAsia" w:ascii="宋体" w:hAnsi="宋体"/>
          <w:sz w:val="24"/>
          <w:szCs w:val="24"/>
        </w:rPr>
        <w:t>1.1.</w:t>
      </w:r>
      <w:r>
        <w:rPr>
          <w:rFonts w:ascii="宋体" w:hAnsi="宋体"/>
          <w:sz w:val="24"/>
          <w:szCs w:val="24"/>
        </w:rPr>
        <w:t>3</w:t>
      </w:r>
      <w:r>
        <w:rPr>
          <w:rFonts w:hint="eastAsia" w:ascii="宋体" w:hAnsi="宋体"/>
          <w:sz w:val="24"/>
          <w:szCs w:val="24"/>
        </w:rPr>
        <w:t>投标人应根据工艺条件对在线分析仪表的参数和规格进行复核。当仪表规格与设计不符或设计参数不清楚、设计要求不明确时，投标人应及时以书面形式将情况反馈给招标人，以便及时处理，不得自行更改（如有更改必须事先得到招标方的书面认可）。否则，由此引起的一切后果，均由投标人自己负责。在工艺条件不变的情况下，因投标人设计选型有误，造成招标人无法正常使用的，在质保期内由投标人无偿更换。</w:t>
      </w:r>
    </w:p>
    <w:p w14:paraId="04A61D4A">
      <w:pPr>
        <w:adjustRightInd w:val="0"/>
        <w:snapToGrid w:val="0"/>
        <w:spacing w:line="360" w:lineRule="auto"/>
        <w:rPr>
          <w:rFonts w:hint="eastAsia" w:ascii="宋体" w:hAnsi="宋体"/>
          <w:sz w:val="24"/>
          <w:szCs w:val="24"/>
        </w:rPr>
      </w:pPr>
      <w:r>
        <w:rPr>
          <w:rFonts w:hint="eastAsia" w:ascii="宋体" w:hAnsi="宋体"/>
          <w:sz w:val="24"/>
          <w:szCs w:val="24"/>
        </w:rPr>
        <w:t>1</w:t>
      </w:r>
      <w:r>
        <w:rPr>
          <w:rFonts w:ascii="宋体" w:hAnsi="宋体"/>
          <w:sz w:val="24"/>
          <w:szCs w:val="24"/>
        </w:rPr>
        <w:t>.1.4</w:t>
      </w:r>
      <w:r>
        <w:rPr>
          <w:rFonts w:hint="eastAsia" w:ascii="宋体" w:hAnsi="宋体"/>
          <w:sz w:val="24"/>
          <w:szCs w:val="24"/>
        </w:rPr>
        <w:t>投标人集成的本次招标标的物均应符合招标文件的要求，投标人需严格按照文件要求进行设计选型，承诺所提供的产品通过调试、检验，是完全合格的产品，并保证供货产品是完整的，无论何时发现缺项漏项，投标人都必须无偿补足，并对集成结果的完整性和正确性负完全责任。</w:t>
      </w:r>
    </w:p>
    <w:p w14:paraId="04A61D4B">
      <w:pPr>
        <w:adjustRightInd w:val="0"/>
        <w:snapToGrid w:val="0"/>
        <w:spacing w:line="360" w:lineRule="auto"/>
        <w:rPr>
          <w:rFonts w:hint="eastAsia" w:ascii="宋体" w:hAnsi="宋体"/>
          <w:sz w:val="24"/>
          <w:szCs w:val="24"/>
        </w:rPr>
      </w:pPr>
      <w:r>
        <w:rPr>
          <w:rFonts w:ascii="宋体" w:hAnsi="宋体"/>
          <w:sz w:val="24"/>
          <w:szCs w:val="24"/>
        </w:rPr>
        <w:t>1.1.5</w:t>
      </w:r>
      <w:r>
        <w:rPr>
          <w:rFonts w:hint="eastAsia" w:ascii="宋体" w:hAnsi="宋体"/>
          <w:sz w:val="24"/>
          <w:szCs w:val="24"/>
        </w:rPr>
        <w:t>投标人提供的在线分析系统，包括但不限于以下配置：分析主机、预处理系统、标准样气/载气、机柜或小屋、排放返回装置及其他相关设备组成。系统抵达现场经安装完成后，应能通过简单调试即可投入正常使用。</w:t>
      </w:r>
    </w:p>
    <w:p w14:paraId="04A61D4C">
      <w:pPr>
        <w:adjustRightInd w:val="0"/>
        <w:snapToGrid w:val="0"/>
        <w:spacing w:line="360" w:lineRule="auto"/>
        <w:rPr>
          <w:rFonts w:hint="eastAsia" w:ascii="宋体" w:hAnsi="宋体"/>
          <w:sz w:val="24"/>
          <w:szCs w:val="24"/>
        </w:rPr>
      </w:pPr>
      <w:r>
        <w:rPr>
          <w:rFonts w:hint="eastAsia" w:ascii="宋体" w:hAnsi="宋体"/>
          <w:sz w:val="24"/>
          <w:szCs w:val="24"/>
        </w:rPr>
        <w:t>1</w:t>
      </w:r>
      <w:r>
        <w:rPr>
          <w:rFonts w:ascii="宋体" w:hAnsi="宋体"/>
          <w:sz w:val="24"/>
          <w:szCs w:val="24"/>
        </w:rPr>
        <w:t>.1.6</w:t>
      </w:r>
      <w:r>
        <w:rPr>
          <w:rFonts w:hint="eastAsia" w:ascii="宋体" w:hAnsi="宋体"/>
          <w:sz w:val="24"/>
          <w:szCs w:val="24"/>
        </w:rPr>
        <w:t>偏离或不符合项必须全部体现在偏差表中，招标人不承认投标文件中其他任何地方的偏离，也不负责寻找这些偏离。投标文件中如有偏离，投标人必须提供偏离清单，并充分说明偏离的原因。投标人签署合同后，除了招标人在合同中认可的偏离或替代项外，投标人应全部满足招标文件的要求。</w:t>
      </w:r>
    </w:p>
    <w:p w14:paraId="04A61D4D">
      <w:pPr>
        <w:outlineLvl w:val="1"/>
        <w:rPr>
          <w:rFonts w:hint="eastAsia" w:ascii="宋体" w:hAnsi="宋体" w:cs="宋体"/>
          <w:b/>
          <w:bCs/>
          <w:sz w:val="24"/>
          <w:szCs w:val="24"/>
        </w:rPr>
      </w:pPr>
      <w:bookmarkStart w:id="31" w:name="_Toc161130984"/>
      <w:r>
        <w:rPr>
          <w:rFonts w:ascii="宋体" w:hAnsi="宋体" w:cs="宋体"/>
          <w:b/>
          <w:bCs/>
          <w:sz w:val="24"/>
          <w:szCs w:val="24"/>
        </w:rPr>
        <w:t>2</w:t>
      </w:r>
      <w:r>
        <w:rPr>
          <w:rFonts w:hint="eastAsia" w:ascii="宋体" w:hAnsi="宋体" w:cs="宋体"/>
          <w:b/>
          <w:bCs/>
          <w:sz w:val="24"/>
          <w:szCs w:val="24"/>
        </w:rPr>
        <w:t xml:space="preserve"> 项目信息</w:t>
      </w:r>
      <w:bookmarkEnd w:id="31"/>
    </w:p>
    <w:p w14:paraId="04A61D4E">
      <w:pPr>
        <w:rPr>
          <w:rFonts w:hint="eastAsia" w:ascii="宋体" w:hAnsi="宋体"/>
          <w:sz w:val="24"/>
          <w:szCs w:val="24"/>
        </w:rPr>
      </w:pPr>
      <w:r>
        <w:rPr>
          <w:rFonts w:hint="eastAsia" w:ascii="宋体" w:hAnsi="宋体"/>
          <w:sz w:val="24"/>
          <w:szCs w:val="24"/>
        </w:rPr>
        <w:t>业主名称：浙江晋巨化工有限公司</w:t>
      </w:r>
    </w:p>
    <w:p w14:paraId="04A61D4F">
      <w:pPr>
        <w:outlineLvl w:val="1"/>
        <w:rPr>
          <w:rFonts w:hint="eastAsia" w:ascii="宋体" w:hAnsi="宋体" w:cs="宋体"/>
          <w:b/>
          <w:bCs/>
          <w:color w:val="FF0000"/>
          <w:sz w:val="24"/>
          <w:szCs w:val="24"/>
        </w:rPr>
      </w:pPr>
      <w:bookmarkStart w:id="32" w:name="_Toc161130985"/>
      <w:r>
        <w:rPr>
          <w:rFonts w:ascii="宋体" w:hAnsi="宋体" w:cs="宋体"/>
          <w:b/>
          <w:bCs/>
          <w:color w:val="FF0000"/>
          <w:sz w:val="24"/>
          <w:szCs w:val="24"/>
        </w:rPr>
        <w:t>3</w:t>
      </w:r>
      <w:r>
        <w:rPr>
          <w:rFonts w:hint="eastAsia" w:ascii="宋体" w:hAnsi="宋体" w:cs="宋体"/>
          <w:b/>
          <w:bCs/>
          <w:color w:val="FF0000"/>
          <w:sz w:val="24"/>
          <w:szCs w:val="24"/>
        </w:rPr>
        <w:t xml:space="preserve"> 项目要求</w:t>
      </w:r>
      <w:bookmarkEnd w:id="32"/>
      <w:r>
        <w:rPr>
          <w:rFonts w:hint="eastAsia" w:ascii="宋体" w:hAnsi="宋体" w:cs="宋体"/>
          <w:b/>
          <w:bCs/>
          <w:color w:val="FF0000"/>
          <w:sz w:val="24"/>
          <w:szCs w:val="24"/>
        </w:rPr>
        <w:t xml:space="preserve"> </w:t>
      </w:r>
    </w:p>
    <w:p w14:paraId="04A61D50">
      <w:pPr>
        <w:rPr>
          <w:rFonts w:hint="eastAsia" w:ascii="宋体" w:hAnsi="宋体"/>
          <w:color w:val="FF0000"/>
          <w:sz w:val="24"/>
          <w:szCs w:val="24"/>
        </w:rPr>
      </w:pPr>
      <w:r>
        <w:rPr>
          <w:rFonts w:hint="eastAsia" w:ascii="宋体" w:hAnsi="宋体"/>
          <w:color w:val="FF0000"/>
          <w:sz w:val="24"/>
          <w:szCs w:val="24"/>
        </w:rPr>
        <w:t>供货范围和工作范围</w:t>
      </w:r>
    </w:p>
    <w:p w14:paraId="04A61D51">
      <w:pPr>
        <w:rPr>
          <w:rFonts w:hint="eastAsia" w:ascii="宋体" w:hAnsi="宋体"/>
          <w:color w:val="FF0000"/>
          <w:sz w:val="24"/>
          <w:szCs w:val="24"/>
        </w:rPr>
      </w:pPr>
      <w:r>
        <w:rPr>
          <w:rFonts w:hint="eastAsia" w:ascii="宋体" w:hAnsi="宋体"/>
          <w:color w:val="FF0000"/>
          <w:sz w:val="24"/>
          <w:szCs w:val="24"/>
        </w:rPr>
        <w:t>3.1主要供货范围各装置部新增在线分析仪清单</w:t>
      </w:r>
    </w:p>
    <w:tbl>
      <w:tblPr>
        <w:tblStyle w:val="21"/>
        <w:tblW w:w="100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
        <w:gridCol w:w="614"/>
        <w:gridCol w:w="45"/>
        <w:gridCol w:w="1422"/>
        <w:gridCol w:w="481"/>
        <w:gridCol w:w="3007"/>
        <w:gridCol w:w="1079"/>
        <w:gridCol w:w="900"/>
        <w:gridCol w:w="110"/>
        <w:gridCol w:w="860"/>
        <w:gridCol w:w="67"/>
        <w:gridCol w:w="653"/>
        <w:gridCol w:w="605"/>
        <w:gridCol w:w="120"/>
      </w:tblGrid>
      <w:tr w14:paraId="04A61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0" w:type="dxa"/>
          <w:trHeight w:val="402" w:hRule="atLeast"/>
          <w:jc w:val="center"/>
        </w:trPr>
        <w:tc>
          <w:tcPr>
            <w:tcW w:w="704" w:type="dxa"/>
            <w:gridSpan w:val="2"/>
            <w:vMerge w:val="restart"/>
            <w:vAlign w:val="center"/>
          </w:tcPr>
          <w:p w14:paraId="04A61D52">
            <w:pPr>
              <w:widowControl/>
              <w:jc w:val="center"/>
              <w:rPr>
                <w:rFonts w:ascii="Arial" w:hAnsi="Arial"/>
                <w:kern w:val="0"/>
                <w:szCs w:val="21"/>
              </w:rPr>
            </w:pPr>
            <w:r>
              <w:rPr>
                <w:rFonts w:ascii="Arial" w:hAnsi="Arial"/>
                <w:kern w:val="0"/>
                <w:szCs w:val="21"/>
              </w:rPr>
              <w:t>序号</w:t>
            </w:r>
          </w:p>
        </w:tc>
        <w:tc>
          <w:tcPr>
            <w:tcW w:w="1467" w:type="dxa"/>
            <w:gridSpan w:val="2"/>
            <w:vMerge w:val="restart"/>
            <w:vAlign w:val="center"/>
          </w:tcPr>
          <w:p w14:paraId="04A61D53">
            <w:pPr>
              <w:widowControl/>
              <w:jc w:val="center"/>
              <w:rPr>
                <w:rFonts w:ascii="Arial" w:hAnsi="Arial"/>
                <w:kern w:val="0"/>
                <w:szCs w:val="21"/>
              </w:rPr>
            </w:pPr>
            <w:r>
              <w:rPr>
                <w:rFonts w:ascii="Arial" w:hAnsi="Arial"/>
                <w:kern w:val="0"/>
                <w:szCs w:val="21"/>
              </w:rPr>
              <w:t>位号</w:t>
            </w:r>
          </w:p>
        </w:tc>
        <w:tc>
          <w:tcPr>
            <w:tcW w:w="3488" w:type="dxa"/>
            <w:gridSpan w:val="2"/>
            <w:vMerge w:val="restart"/>
            <w:vAlign w:val="center"/>
          </w:tcPr>
          <w:p w14:paraId="04A61D54">
            <w:pPr>
              <w:widowControl/>
              <w:jc w:val="center"/>
              <w:rPr>
                <w:rFonts w:ascii="Arial" w:hAnsi="Arial"/>
                <w:kern w:val="0"/>
                <w:szCs w:val="21"/>
              </w:rPr>
            </w:pPr>
            <w:r>
              <w:rPr>
                <w:rFonts w:ascii="Arial" w:hAnsi="Arial"/>
                <w:kern w:val="0"/>
                <w:szCs w:val="21"/>
              </w:rPr>
              <w:t>用途</w:t>
            </w:r>
          </w:p>
        </w:tc>
        <w:tc>
          <w:tcPr>
            <w:tcW w:w="1079" w:type="dxa"/>
            <w:vMerge w:val="restart"/>
            <w:vAlign w:val="center"/>
          </w:tcPr>
          <w:p w14:paraId="04A61D55">
            <w:pPr>
              <w:widowControl/>
              <w:jc w:val="center"/>
              <w:rPr>
                <w:rFonts w:ascii="Arial" w:hAnsi="Arial"/>
                <w:kern w:val="0"/>
                <w:szCs w:val="21"/>
              </w:rPr>
            </w:pPr>
            <w:r>
              <w:rPr>
                <w:rFonts w:ascii="Arial" w:hAnsi="Arial"/>
                <w:kern w:val="0"/>
                <w:szCs w:val="21"/>
              </w:rPr>
              <w:t>量程</w:t>
            </w:r>
          </w:p>
        </w:tc>
        <w:tc>
          <w:tcPr>
            <w:tcW w:w="900" w:type="dxa"/>
            <w:vMerge w:val="restart"/>
            <w:vAlign w:val="center"/>
          </w:tcPr>
          <w:p w14:paraId="04A61D56">
            <w:pPr>
              <w:widowControl/>
              <w:jc w:val="center"/>
              <w:rPr>
                <w:rFonts w:ascii="Arial" w:hAnsi="Arial"/>
                <w:kern w:val="0"/>
                <w:szCs w:val="21"/>
              </w:rPr>
            </w:pPr>
            <w:r>
              <w:rPr>
                <w:rFonts w:ascii="Arial" w:hAnsi="Arial"/>
                <w:kern w:val="0"/>
                <w:szCs w:val="21"/>
              </w:rPr>
              <w:t>单位</w:t>
            </w:r>
          </w:p>
        </w:tc>
        <w:tc>
          <w:tcPr>
            <w:tcW w:w="2295" w:type="dxa"/>
            <w:gridSpan w:val="5"/>
            <w:vAlign w:val="center"/>
          </w:tcPr>
          <w:p w14:paraId="04A61D57">
            <w:pPr>
              <w:widowControl/>
              <w:jc w:val="center"/>
              <w:rPr>
                <w:rFonts w:ascii="Arial" w:hAnsi="Arial"/>
                <w:kern w:val="0"/>
                <w:szCs w:val="21"/>
              </w:rPr>
            </w:pPr>
            <w:r>
              <w:rPr>
                <w:rFonts w:ascii="Arial" w:hAnsi="Arial"/>
                <w:kern w:val="0"/>
                <w:szCs w:val="21"/>
              </w:rPr>
              <w:t>报警联锁停车设定值</w:t>
            </w:r>
          </w:p>
        </w:tc>
      </w:tr>
      <w:tr w14:paraId="04A61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0" w:type="dxa"/>
          <w:trHeight w:val="73" w:hRule="atLeast"/>
          <w:jc w:val="center"/>
        </w:trPr>
        <w:tc>
          <w:tcPr>
            <w:tcW w:w="704" w:type="dxa"/>
            <w:gridSpan w:val="2"/>
            <w:vMerge w:val="continue"/>
            <w:vAlign w:val="center"/>
          </w:tcPr>
          <w:p w14:paraId="04A61D59">
            <w:pPr>
              <w:widowControl/>
              <w:jc w:val="left"/>
              <w:rPr>
                <w:rFonts w:ascii="Arial" w:hAnsi="Arial"/>
                <w:kern w:val="0"/>
                <w:szCs w:val="21"/>
              </w:rPr>
            </w:pPr>
          </w:p>
        </w:tc>
        <w:tc>
          <w:tcPr>
            <w:tcW w:w="1467" w:type="dxa"/>
            <w:gridSpan w:val="2"/>
            <w:vMerge w:val="continue"/>
            <w:vAlign w:val="center"/>
          </w:tcPr>
          <w:p w14:paraId="04A61D5A">
            <w:pPr>
              <w:widowControl/>
              <w:jc w:val="left"/>
              <w:rPr>
                <w:rFonts w:ascii="Arial" w:hAnsi="Arial"/>
                <w:kern w:val="0"/>
                <w:szCs w:val="21"/>
              </w:rPr>
            </w:pPr>
          </w:p>
        </w:tc>
        <w:tc>
          <w:tcPr>
            <w:tcW w:w="3488" w:type="dxa"/>
            <w:gridSpan w:val="2"/>
            <w:vMerge w:val="continue"/>
            <w:vAlign w:val="center"/>
          </w:tcPr>
          <w:p w14:paraId="04A61D5B">
            <w:pPr>
              <w:widowControl/>
              <w:jc w:val="left"/>
              <w:rPr>
                <w:rFonts w:ascii="Arial" w:hAnsi="Arial"/>
                <w:kern w:val="0"/>
                <w:szCs w:val="21"/>
              </w:rPr>
            </w:pPr>
          </w:p>
        </w:tc>
        <w:tc>
          <w:tcPr>
            <w:tcW w:w="1079" w:type="dxa"/>
            <w:vMerge w:val="continue"/>
            <w:vAlign w:val="center"/>
          </w:tcPr>
          <w:p w14:paraId="04A61D5C">
            <w:pPr>
              <w:widowControl/>
              <w:jc w:val="left"/>
              <w:rPr>
                <w:rFonts w:ascii="Arial" w:hAnsi="Arial"/>
                <w:kern w:val="0"/>
                <w:szCs w:val="21"/>
              </w:rPr>
            </w:pPr>
          </w:p>
        </w:tc>
        <w:tc>
          <w:tcPr>
            <w:tcW w:w="900" w:type="dxa"/>
            <w:vMerge w:val="continue"/>
            <w:vAlign w:val="center"/>
          </w:tcPr>
          <w:p w14:paraId="04A61D5D">
            <w:pPr>
              <w:widowControl/>
              <w:jc w:val="left"/>
              <w:rPr>
                <w:rFonts w:ascii="Arial" w:hAnsi="Arial"/>
                <w:kern w:val="0"/>
                <w:szCs w:val="21"/>
              </w:rPr>
            </w:pPr>
          </w:p>
        </w:tc>
        <w:tc>
          <w:tcPr>
            <w:tcW w:w="1037" w:type="dxa"/>
            <w:gridSpan w:val="3"/>
            <w:vAlign w:val="center"/>
          </w:tcPr>
          <w:p w14:paraId="04A61D5E">
            <w:pPr>
              <w:widowControl/>
              <w:jc w:val="center"/>
              <w:rPr>
                <w:rFonts w:ascii="Arial" w:hAnsi="Arial"/>
                <w:kern w:val="0"/>
                <w:szCs w:val="21"/>
              </w:rPr>
            </w:pPr>
            <w:r>
              <w:rPr>
                <w:rFonts w:ascii="Arial" w:hAnsi="Arial"/>
                <w:kern w:val="0"/>
                <w:szCs w:val="21"/>
              </w:rPr>
              <w:t>低限</w:t>
            </w:r>
          </w:p>
          <w:p w14:paraId="04A61D5F">
            <w:pPr>
              <w:widowControl/>
              <w:jc w:val="center"/>
              <w:rPr>
                <w:rFonts w:ascii="Arial" w:hAnsi="Arial"/>
                <w:kern w:val="0"/>
                <w:szCs w:val="21"/>
              </w:rPr>
            </w:pPr>
            <w:r>
              <w:rPr>
                <w:rFonts w:ascii="Arial" w:hAnsi="Arial"/>
                <w:kern w:val="0"/>
                <w:szCs w:val="21"/>
              </w:rPr>
              <w:t>报警</w:t>
            </w:r>
          </w:p>
        </w:tc>
        <w:tc>
          <w:tcPr>
            <w:tcW w:w="1258" w:type="dxa"/>
            <w:gridSpan w:val="2"/>
            <w:vAlign w:val="center"/>
          </w:tcPr>
          <w:p w14:paraId="04A61D60">
            <w:pPr>
              <w:widowControl/>
              <w:jc w:val="center"/>
              <w:rPr>
                <w:rFonts w:ascii="Arial" w:hAnsi="Arial"/>
                <w:kern w:val="0"/>
                <w:szCs w:val="21"/>
              </w:rPr>
            </w:pPr>
            <w:r>
              <w:rPr>
                <w:rFonts w:ascii="Arial" w:hAnsi="Arial"/>
                <w:kern w:val="0"/>
                <w:szCs w:val="21"/>
              </w:rPr>
              <w:t>高限</w:t>
            </w:r>
          </w:p>
          <w:p w14:paraId="04A61D61">
            <w:pPr>
              <w:widowControl/>
              <w:jc w:val="center"/>
              <w:rPr>
                <w:rFonts w:ascii="Arial" w:hAnsi="Arial"/>
                <w:kern w:val="0"/>
                <w:szCs w:val="21"/>
              </w:rPr>
            </w:pPr>
            <w:r>
              <w:rPr>
                <w:rFonts w:ascii="Arial" w:hAnsi="Arial"/>
                <w:kern w:val="0"/>
                <w:szCs w:val="21"/>
              </w:rPr>
              <w:t>报警</w:t>
            </w:r>
          </w:p>
        </w:tc>
      </w:tr>
      <w:tr w14:paraId="04A61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0" w:type="dxa"/>
          <w:trHeight w:val="402" w:hRule="atLeast"/>
          <w:jc w:val="center"/>
        </w:trPr>
        <w:tc>
          <w:tcPr>
            <w:tcW w:w="9933" w:type="dxa"/>
            <w:gridSpan w:val="13"/>
            <w:vAlign w:val="center"/>
          </w:tcPr>
          <w:p w14:paraId="04A61D63">
            <w:pPr>
              <w:widowControl/>
              <w:jc w:val="center"/>
              <w:rPr>
                <w:rFonts w:ascii="Arial" w:hAnsi="Arial"/>
                <w:kern w:val="0"/>
                <w:szCs w:val="21"/>
                <w:highlight w:val="yellow"/>
              </w:rPr>
            </w:pPr>
            <w:r>
              <w:rPr>
                <w:rFonts w:ascii="Arial" w:hAnsi="Arial"/>
                <w:kern w:val="0"/>
                <w:szCs w:val="21"/>
                <w:highlight w:val="yellow"/>
              </w:rPr>
              <w:t>气化703装置</w:t>
            </w:r>
          </w:p>
        </w:tc>
      </w:tr>
      <w:tr w14:paraId="04A61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0" w:type="dxa"/>
          <w:trHeight w:val="402" w:hRule="atLeast"/>
          <w:jc w:val="center"/>
        </w:trPr>
        <w:tc>
          <w:tcPr>
            <w:tcW w:w="704" w:type="dxa"/>
            <w:gridSpan w:val="2"/>
            <w:vAlign w:val="center"/>
          </w:tcPr>
          <w:p w14:paraId="04A61D65">
            <w:pPr>
              <w:widowControl/>
              <w:jc w:val="center"/>
              <w:rPr>
                <w:rFonts w:ascii="Arial" w:hAnsi="Arial"/>
                <w:kern w:val="0"/>
                <w:szCs w:val="21"/>
              </w:rPr>
            </w:pPr>
            <w:r>
              <w:rPr>
                <w:rFonts w:ascii="Arial" w:hAnsi="Arial"/>
                <w:kern w:val="0"/>
                <w:szCs w:val="21"/>
              </w:rPr>
              <w:t>1</w:t>
            </w:r>
          </w:p>
        </w:tc>
        <w:tc>
          <w:tcPr>
            <w:tcW w:w="1467" w:type="dxa"/>
            <w:gridSpan w:val="2"/>
            <w:vAlign w:val="center"/>
          </w:tcPr>
          <w:p w14:paraId="04A61D66">
            <w:pPr>
              <w:widowControl/>
              <w:jc w:val="center"/>
              <w:rPr>
                <w:rFonts w:ascii="Arial" w:hAnsi="Arial"/>
                <w:kern w:val="0"/>
                <w:szCs w:val="21"/>
              </w:rPr>
            </w:pPr>
            <w:r>
              <w:rPr>
                <w:rFonts w:ascii="Arial" w:hAnsi="Arial"/>
                <w:kern w:val="0"/>
                <w:szCs w:val="21"/>
              </w:rPr>
              <w:t>AIA-13104</w:t>
            </w:r>
          </w:p>
        </w:tc>
        <w:tc>
          <w:tcPr>
            <w:tcW w:w="3488" w:type="dxa"/>
            <w:gridSpan w:val="2"/>
            <w:vAlign w:val="center"/>
          </w:tcPr>
          <w:p w14:paraId="04A61D67">
            <w:pPr>
              <w:widowControl/>
              <w:jc w:val="center"/>
              <w:rPr>
                <w:rFonts w:ascii="Arial" w:hAnsi="Arial"/>
                <w:kern w:val="0"/>
                <w:szCs w:val="21"/>
              </w:rPr>
            </w:pPr>
            <w:r>
              <w:rPr>
                <w:rFonts w:ascii="Arial" w:hAnsi="Arial"/>
                <w:kern w:val="0"/>
                <w:szCs w:val="21"/>
              </w:rPr>
              <w:t>A气化炉水冷壁汽包PH监测</w:t>
            </w:r>
          </w:p>
        </w:tc>
        <w:tc>
          <w:tcPr>
            <w:tcW w:w="1079" w:type="dxa"/>
            <w:vAlign w:val="center"/>
          </w:tcPr>
          <w:p w14:paraId="04A61D68">
            <w:pPr>
              <w:widowControl/>
              <w:jc w:val="center"/>
              <w:rPr>
                <w:rFonts w:ascii="Arial" w:hAnsi="Arial"/>
                <w:color w:val="000000"/>
                <w:kern w:val="0"/>
                <w:szCs w:val="21"/>
              </w:rPr>
            </w:pPr>
            <w:r>
              <w:rPr>
                <w:rFonts w:ascii="Arial" w:hAnsi="Arial"/>
                <w:color w:val="000000"/>
                <w:kern w:val="0"/>
                <w:szCs w:val="21"/>
              </w:rPr>
              <w:t>0-14</w:t>
            </w:r>
          </w:p>
        </w:tc>
        <w:tc>
          <w:tcPr>
            <w:tcW w:w="900" w:type="dxa"/>
            <w:vAlign w:val="center"/>
          </w:tcPr>
          <w:p w14:paraId="04A61D69">
            <w:pPr>
              <w:widowControl/>
              <w:jc w:val="center"/>
              <w:rPr>
                <w:rFonts w:ascii="Arial" w:hAnsi="Arial"/>
                <w:kern w:val="0"/>
                <w:szCs w:val="21"/>
              </w:rPr>
            </w:pPr>
            <w:r>
              <w:rPr>
                <w:rFonts w:ascii="Arial" w:hAnsi="Arial"/>
                <w:kern w:val="0"/>
                <w:szCs w:val="21"/>
              </w:rPr>
              <w:t>pH</w:t>
            </w:r>
          </w:p>
        </w:tc>
        <w:tc>
          <w:tcPr>
            <w:tcW w:w="1037" w:type="dxa"/>
            <w:gridSpan w:val="3"/>
            <w:vAlign w:val="center"/>
          </w:tcPr>
          <w:p w14:paraId="04A61D6A">
            <w:pPr>
              <w:widowControl/>
              <w:jc w:val="center"/>
              <w:rPr>
                <w:rFonts w:ascii="Arial" w:hAnsi="Arial"/>
                <w:kern w:val="0"/>
                <w:szCs w:val="21"/>
              </w:rPr>
            </w:pPr>
            <w:r>
              <w:rPr>
                <w:rFonts w:ascii="Arial" w:hAnsi="Arial"/>
                <w:kern w:val="0"/>
                <w:szCs w:val="21"/>
              </w:rPr>
              <w:t>8.5</w:t>
            </w:r>
          </w:p>
        </w:tc>
        <w:tc>
          <w:tcPr>
            <w:tcW w:w="1258" w:type="dxa"/>
            <w:gridSpan w:val="2"/>
            <w:vAlign w:val="center"/>
          </w:tcPr>
          <w:p w14:paraId="04A61D6B">
            <w:pPr>
              <w:widowControl/>
              <w:jc w:val="center"/>
              <w:rPr>
                <w:rFonts w:ascii="Arial" w:hAnsi="Arial"/>
                <w:kern w:val="0"/>
                <w:szCs w:val="21"/>
              </w:rPr>
            </w:pPr>
            <w:r>
              <w:rPr>
                <w:rFonts w:ascii="Arial" w:hAnsi="Arial"/>
                <w:kern w:val="0"/>
                <w:szCs w:val="21"/>
              </w:rPr>
              <w:t>11</w:t>
            </w:r>
          </w:p>
        </w:tc>
      </w:tr>
      <w:tr w14:paraId="04A61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0" w:type="dxa"/>
          <w:trHeight w:val="402" w:hRule="atLeast"/>
          <w:jc w:val="center"/>
        </w:trPr>
        <w:tc>
          <w:tcPr>
            <w:tcW w:w="704" w:type="dxa"/>
            <w:gridSpan w:val="2"/>
            <w:vAlign w:val="center"/>
          </w:tcPr>
          <w:p w14:paraId="04A61D6D">
            <w:pPr>
              <w:widowControl/>
              <w:jc w:val="center"/>
              <w:rPr>
                <w:rFonts w:ascii="Arial" w:hAnsi="Arial"/>
                <w:kern w:val="0"/>
                <w:szCs w:val="21"/>
              </w:rPr>
            </w:pPr>
            <w:r>
              <w:rPr>
                <w:rFonts w:ascii="Arial" w:hAnsi="Arial"/>
                <w:kern w:val="0"/>
                <w:szCs w:val="21"/>
              </w:rPr>
              <w:t>2</w:t>
            </w:r>
          </w:p>
        </w:tc>
        <w:tc>
          <w:tcPr>
            <w:tcW w:w="1467" w:type="dxa"/>
            <w:gridSpan w:val="2"/>
            <w:vAlign w:val="center"/>
          </w:tcPr>
          <w:p w14:paraId="04A61D6E">
            <w:pPr>
              <w:widowControl/>
              <w:jc w:val="center"/>
              <w:rPr>
                <w:rFonts w:ascii="Arial" w:hAnsi="Arial"/>
                <w:kern w:val="0"/>
                <w:szCs w:val="21"/>
              </w:rPr>
            </w:pPr>
            <w:r>
              <w:rPr>
                <w:rFonts w:ascii="Arial" w:hAnsi="Arial"/>
                <w:kern w:val="0"/>
                <w:szCs w:val="21"/>
              </w:rPr>
              <w:t>AIA-13204</w:t>
            </w:r>
          </w:p>
        </w:tc>
        <w:tc>
          <w:tcPr>
            <w:tcW w:w="3488" w:type="dxa"/>
            <w:gridSpan w:val="2"/>
            <w:vAlign w:val="center"/>
          </w:tcPr>
          <w:p w14:paraId="04A61D6F">
            <w:pPr>
              <w:widowControl/>
              <w:jc w:val="center"/>
              <w:rPr>
                <w:rFonts w:ascii="Arial" w:hAnsi="Arial"/>
                <w:kern w:val="0"/>
                <w:szCs w:val="21"/>
              </w:rPr>
            </w:pPr>
            <w:r>
              <w:rPr>
                <w:rFonts w:ascii="Arial" w:hAnsi="Arial"/>
                <w:kern w:val="0"/>
                <w:szCs w:val="21"/>
              </w:rPr>
              <w:t>B气化炉水冷壁汽包PH监测</w:t>
            </w:r>
          </w:p>
        </w:tc>
        <w:tc>
          <w:tcPr>
            <w:tcW w:w="1079" w:type="dxa"/>
            <w:vAlign w:val="center"/>
          </w:tcPr>
          <w:p w14:paraId="04A61D70">
            <w:pPr>
              <w:widowControl/>
              <w:jc w:val="center"/>
              <w:rPr>
                <w:rFonts w:ascii="Arial" w:hAnsi="Arial"/>
                <w:color w:val="000000"/>
                <w:kern w:val="0"/>
                <w:szCs w:val="21"/>
              </w:rPr>
            </w:pPr>
            <w:r>
              <w:rPr>
                <w:rFonts w:ascii="Arial" w:hAnsi="Arial"/>
                <w:color w:val="000000"/>
                <w:kern w:val="0"/>
                <w:szCs w:val="21"/>
              </w:rPr>
              <w:t>0-14</w:t>
            </w:r>
          </w:p>
        </w:tc>
        <w:tc>
          <w:tcPr>
            <w:tcW w:w="900" w:type="dxa"/>
            <w:vAlign w:val="center"/>
          </w:tcPr>
          <w:p w14:paraId="04A61D71">
            <w:pPr>
              <w:widowControl/>
              <w:jc w:val="center"/>
              <w:rPr>
                <w:rFonts w:ascii="Arial" w:hAnsi="Arial"/>
                <w:kern w:val="0"/>
                <w:szCs w:val="21"/>
              </w:rPr>
            </w:pPr>
            <w:r>
              <w:rPr>
                <w:rFonts w:ascii="Arial" w:hAnsi="Arial"/>
                <w:kern w:val="0"/>
                <w:szCs w:val="21"/>
              </w:rPr>
              <w:t>pH</w:t>
            </w:r>
          </w:p>
        </w:tc>
        <w:tc>
          <w:tcPr>
            <w:tcW w:w="1037" w:type="dxa"/>
            <w:gridSpan w:val="3"/>
            <w:vAlign w:val="center"/>
          </w:tcPr>
          <w:p w14:paraId="04A61D72">
            <w:pPr>
              <w:widowControl/>
              <w:jc w:val="center"/>
              <w:rPr>
                <w:rFonts w:ascii="Arial" w:hAnsi="Arial"/>
                <w:kern w:val="0"/>
                <w:szCs w:val="21"/>
              </w:rPr>
            </w:pPr>
            <w:r>
              <w:rPr>
                <w:rFonts w:ascii="Arial" w:hAnsi="Arial"/>
                <w:kern w:val="0"/>
                <w:szCs w:val="21"/>
              </w:rPr>
              <w:t>8.5</w:t>
            </w:r>
          </w:p>
        </w:tc>
        <w:tc>
          <w:tcPr>
            <w:tcW w:w="1258" w:type="dxa"/>
            <w:gridSpan w:val="2"/>
            <w:vAlign w:val="center"/>
          </w:tcPr>
          <w:p w14:paraId="04A61D73">
            <w:pPr>
              <w:widowControl/>
              <w:jc w:val="center"/>
              <w:rPr>
                <w:rFonts w:ascii="Arial" w:hAnsi="Arial"/>
                <w:kern w:val="0"/>
                <w:szCs w:val="21"/>
              </w:rPr>
            </w:pPr>
            <w:r>
              <w:rPr>
                <w:rFonts w:ascii="Arial" w:hAnsi="Arial"/>
                <w:kern w:val="0"/>
                <w:szCs w:val="21"/>
              </w:rPr>
              <w:t>11</w:t>
            </w:r>
          </w:p>
        </w:tc>
      </w:tr>
      <w:tr w14:paraId="04A61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0" w:type="dxa"/>
          <w:trHeight w:val="462" w:hRule="atLeast"/>
          <w:jc w:val="center"/>
        </w:trPr>
        <w:tc>
          <w:tcPr>
            <w:tcW w:w="704" w:type="dxa"/>
            <w:gridSpan w:val="2"/>
            <w:vAlign w:val="center"/>
          </w:tcPr>
          <w:p w14:paraId="04A61D75">
            <w:pPr>
              <w:widowControl/>
              <w:jc w:val="center"/>
              <w:rPr>
                <w:rFonts w:ascii="Arial" w:hAnsi="Arial"/>
                <w:kern w:val="0"/>
                <w:szCs w:val="21"/>
              </w:rPr>
            </w:pPr>
            <w:r>
              <w:rPr>
                <w:rFonts w:ascii="Arial" w:hAnsi="Arial"/>
                <w:kern w:val="0"/>
                <w:szCs w:val="21"/>
              </w:rPr>
              <w:t>3</w:t>
            </w:r>
          </w:p>
        </w:tc>
        <w:tc>
          <w:tcPr>
            <w:tcW w:w="1467" w:type="dxa"/>
            <w:gridSpan w:val="2"/>
            <w:vAlign w:val="center"/>
          </w:tcPr>
          <w:p w14:paraId="04A61D76">
            <w:pPr>
              <w:widowControl/>
              <w:jc w:val="center"/>
              <w:rPr>
                <w:rFonts w:ascii="Arial" w:hAnsi="Arial"/>
                <w:kern w:val="0"/>
                <w:szCs w:val="21"/>
              </w:rPr>
            </w:pPr>
            <w:r>
              <w:rPr>
                <w:rFonts w:ascii="Arial" w:hAnsi="Arial"/>
                <w:kern w:val="0"/>
                <w:szCs w:val="21"/>
              </w:rPr>
              <w:t>AIA-13107</w:t>
            </w:r>
          </w:p>
        </w:tc>
        <w:tc>
          <w:tcPr>
            <w:tcW w:w="3488" w:type="dxa"/>
            <w:gridSpan w:val="2"/>
            <w:vAlign w:val="center"/>
          </w:tcPr>
          <w:p w14:paraId="04A61D77">
            <w:pPr>
              <w:widowControl/>
              <w:jc w:val="center"/>
              <w:rPr>
                <w:rFonts w:ascii="Arial" w:hAnsi="Arial"/>
                <w:kern w:val="0"/>
                <w:szCs w:val="21"/>
              </w:rPr>
            </w:pPr>
            <w:r>
              <w:rPr>
                <w:rFonts w:ascii="Arial" w:hAnsi="Arial"/>
                <w:kern w:val="0"/>
                <w:szCs w:val="21"/>
              </w:rPr>
              <w:t>A气化炉废锅汽包PH监测</w:t>
            </w:r>
          </w:p>
        </w:tc>
        <w:tc>
          <w:tcPr>
            <w:tcW w:w="1079" w:type="dxa"/>
            <w:vAlign w:val="center"/>
          </w:tcPr>
          <w:p w14:paraId="04A61D78">
            <w:pPr>
              <w:widowControl/>
              <w:jc w:val="center"/>
              <w:rPr>
                <w:rFonts w:ascii="Arial" w:hAnsi="Arial"/>
                <w:color w:val="000000"/>
                <w:kern w:val="0"/>
                <w:szCs w:val="21"/>
              </w:rPr>
            </w:pPr>
            <w:r>
              <w:rPr>
                <w:rFonts w:ascii="Arial" w:hAnsi="Arial"/>
                <w:color w:val="000000"/>
                <w:kern w:val="0"/>
                <w:szCs w:val="21"/>
              </w:rPr>
              <w:t>0-14</w:t>
            </w:r>
          </w:p>
        </w:tc>
        <w:tc>
          <w:tcPr>
            <w:tcW w:w="900" w:type="dxa"/>
            <w:vAlign w:val="center"/>
          </w:tcPr>
          <w:p w14:paraId="04A61D79">
            <w:pPr>
              <w:widowControl/>
              <w:jc w:val="center"/>
              <w:rPr>
                <w:rFonts w:ascii="Arial" w:hAnsi="Arial"/>
                <w:kern w:val="0"/>
                <w:szCs w:val="21"/>
              </w:rPr>
            </w:pPr>
            <w:r>
              <w:rPr>
                <w:rFonts w:ascii="Arial" w:hAnsi="Arial"/>
                <w:kern w:val="0"/>
                <w:szCs w:val="21"/>
              </w:rPr>
              <w:t>pH</w:t>
            </w:r>
          </w:p>
        </w:tc>
        <w:tc>
          <w:tcPr>
            <w:tcW w:w="1037" w:type="dxa"/>
            <w:gridSpan w:val="3"/>
            <w:vAlign w:val="center"/>
          </w:tcPr>
          <w:p w14:paraId="04A61D7A">
            <w:pPr>
              <w:widowControl/>
              <w:jc w:val="center"/>
              <w:rPr>
                <w:rFonts w:ascii="Arial" w:hAnsi="Arial"/>
                <w:kern w:val="0"/>
                <w:szCs w:val="21"/>
              </w:rPr>
            </w:pPr>
            <w:r>
              <w:rPr>
                <w:rFonts w:ascii="Arial" w:hAnsi="Arial"/>
                <w:kern w:val="0"/>
                <w:szCs w:val="21"/>
              </w:rPr>
              <w:t>8.5</w:t>
            </w:r>
          </w:p>
        </w:tc>
        <w:tc>
          <w:tcPr>
            <w:tcW w:w="1258" w:type="dxa"/>
            <w:gridSpan w:val="2"/>
            <w:vAlign w:val="center"/>
          </w:tcPr>
          <w:p w14:paraId="04A61D7B">
            <w:pPr>
              <w:widowControl/>
              <w:jc w:val="center"/>
              <w:rPr>
                <w:rFonts w:ascii="Arial" w:hAnsi="Arial"/>
                <w:kern w:val="0"/>
                <w:szCs w:val="21"/>
              </w:rPr>
            </w:pPr>
            <w:r>
              <w:rPr>
                <w:rFonts w:ascii="Arial" w:hAnsi="Arial"/>
                <w:kern w:val="0"/>
                <w:szCs w:val="21"/>
              </w:rPr>
              <w:t>11</w:t>
            </w:r>
          </w:p>
        </w:tc>
      </w:tr>
      <w:tr w14:paraId="04A61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0" w:type="dxa"/>
          <w:trHeight w:val="402" w:hRule="atLeast"/>
          <w:jc w:val="center"/>
        </w:trPr>
        <w:tc>
          <w:tcPr>
            <w:tcW w:w="704" w:type="dxa"/>
            <w:gridSpan w:val="2"/>
            <w:vAlign w:val="center"/>
          </w:tcPr>
          <w:p w14:paraId="04A61D7D">
            <w:pPr>
              <w:widowControl/>
              <w:jc w:val="center"/>
              <w:rPr>
                <w:rFonts w:ascii="Arial" w:hAnsi="Arial"/>
                <w:kern w:val="0"/>
                <w:szCs w:val="21"/>
              </w:rPr>
            </w:pPr>
            <w:r>
              <w:rPr>
                <w:rFonts w:ascii="Arial" w:hAnsi="Arial"/>
                <w:kern w:val="0"/>
                <w:szCs w:val="21"/>
              </w:rPr>
              <w:t>4</w:t>
            </w:r>
          </w:p>
        </w:tc>
        <w:tc>
          <w:tcPr>
            <w:tcW w:w="1467" w:type="dxa"/>
            <w:gridSpan w:val="2"/>
            <w:vAlign w:val="center"/>
          </w:tcPr>
          <w:p w14:paraId="04A61D7E">
            <w:pPr>
              <w:widowControl/>
              <w:jc w:val="center"/>
              <w:rPr>
                <w:rFonts w:ascii="Arial" w:hAnsi="Arial"/>
                <w:kern w:val="0"/>
                <w:szCs w:val="21"/>
              </w:rPr>
            </w:pPr>
            <w:r>
              <w:rPr>
                <w:rFonts w:ascii="Arial" w:hAnsi="Arial"/>
                <w:kern w:val="0"/>
                <w:szCs w:val="21"/>
              </w:rPr>
              <w:t>AIA-13207</w:t>
            </w:r>
          </w:p>
        </w:tc>
        <w:tc>
          <w:tcPr>
            <w:tcW w:w="3488" w:type="dxa"/>
            <w:gridSpan w:val="2"/>
            <w:vAlign w:val="center"/>
          </w:tcPr>
          <w:p w14:paraId="04A61D7F">
            <w:pPr>
              <w:widowControl/>
              <w:jc w:val="center"/>
              <w:rPr>
                <w:rFonts w:ascii="Arial" w:hAnsi="Arial"/>
                <w:kern w:val="0"/>
                <w:szCs w:val="21"/>
              </w:rPr>
            </w:pPr>
            <w:r>
              <w:rPr>
                <w:rFonts w:ascii="Arial" w:hAnsi="Arial"/>
                <w:kern w:val="0"/>
                <w:szCs w:val="21"/>
              </w:rPr>
              <w:t>B气化炉废锅汽包PH监测</w:t>
            </w:r>
          </w:p>
        </w:tc>
        <w:tc>
          <w:tcPr>
            <w:tcW w:w="1079" w:type="dxa"/>
            <w:vAlign w:val="center"/>
          </w:tcPr>
          <w:p w14:paraId="04A61D80">
            <w:pPr>
              <w:widowControl/>
              <w:jc w:val="center"/>
              <w:rPr>
                <w:rFonts w:ascii="Arial" w:hAnsi="Arial"/>
                <w:color w:val="000000"/>
                <w:kern w:val="0"/>
                <w:szCs w:val="21"/>
              </w:rPr>
            </w:pPr>
            <w:r>
              <w:rPr>
                <w:rFonts w:ascii="Arial" w:hAnsi="Arial"/>
                <w:color w:val="000000"/>
                <w:kern w:val="0"/>
                <w:szCs w:val="21"/>
              </w:rPr>
              <w:t>0-14</w:t>
            </w:r>
          </w:p>
        </w:tc>
        <w:tc>
          <w:tcPr>
            <w:tcW w:w="900" w:type="dxa"/>
            <w:vAlign w:val="center"/>
          </w:tcPr>
          <w:p w14:paraId="04A61D81">
            <w:pPr>
              <w:widowControl/>
              <w:jc w:val="center"/>
              <w:rPr>
                <w:rFonts w:ascii="Arial" w:hAnsi="Arial"/>
                <w:kern w:val="0"/>
                <w:szCs w:val="21"/>
              </w:rPr>
            </w:pPr>
            <w:r>
              <w:rPr>
                <w:rFonts w:ascii="Arial" w:hAnsi="Arial"/>
                <w:kern w:val="0"/>
                <w:szCs w:val="21"/>
              </w:rPr>
              <w:t>pH</w:t>
            </w:r>
          </w:p>
        </w:tc>
        <w:tc>
          <w:tcPr>
            <w:tcW w:w="1037" w:type="dxa"/>
            <w:gridSpan w:val="3"/>
            <w:vAlign w:val="center"/>
          </w:tcPr>
          <w:p w14:paraId="04A61D82">
            <w:pPr>
              <w:widowControl/>
              <w:jc w:val="center"/>
              <w:rPr>
                <w:rFonts w:ascii="Arial" w:hAnsi="Arial"/>
                <w:kern w:val="0"/>
                <w:szCs w:val="21"/>
              </w:rPr>
            </w:pPr>
            <w:r>
              <w:rPr>
                <w:rFonts w:ascii="Arial" w:hAnsi="Arial"/>
                <w:kern w:val="0"/>
                <w:szCs w:val="21"/>
              </w:rPr>
              <w:t>8.5</w:t>
            </w:r>
          </w:p>
        </w:tc>
        <w:tc>
          <w:tcPr>
            <w:tcW w:w="1258" w:type="dxa"/>
            <w:gridSpan w:val="2"/>
            <w:vAlign w:val="center"/>
          </w:tcPr>
          <w:p w14:paraId="04A61D83">
            <w:pPr>
              <w:widowControl/>
              <w:jc w:val="center"/>
              <w:rPr>
                <w:rFonts w:ascii="Arial" w:hAnsi="Arial"/>
                <w:kern w:val="0"/>
                <w:szCs w:val="21"/>
              </w:rPr>
            </w:pPr>
            <w:r>
              <w:rPr>
                <w:rFonts w:ascii="Arial" w:hAnsi="Arial"/>
                <w:kern w:val="0"/>
                <w:szCs w:val="21"/>
              </w:rPr>
              <w:t>11</w:t>
            </w:r>
          </w:p>
        </w:tc>
      </w:tr>
      <w:tr w14:paraId="04A61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0" w:type="dxa"/>
          <w:trHeight w:val="402" w:hRule="atLeast"/>
          <w:jc w:val="center"/>
        </w:trPr>
        <w:tc>
          <w:tcPr>
            <w:tcW w:w="704" w:type="dxa"/>
            <w:gridSpan w:val="2"/>
            <w:vAlign w:val="center"/>
          </w:tcPr>
          <w:p w14:paraId="04A61D85">
            <w:pPr>
              <w:widowControl/>
              <w:jc w:val="center"/>
              <w:rPr>
                <w:rFonts w:ascii="Arial" w:hAnsi="Arial"/>
                <w:kern w:val="0"/>
                <w:szCs w:val="21"/>
              </w:rPr>
            </w:pPr>
            <w:r>
              <w:rPr>
                <w:rFonts w:ascii="Arial" w:hAnsi="Arial"/>
                <w:kern w:val="0"/>
                <w:szCs w:val="21"/>
              </w:rPr>
              <w:t>5</w:t>
            </w:r>
          </w:p>
        </w:tc>
        <w:tc>
          <w:tcPr>
            <w:tcW w:w="1467" w:type="dxa"/>
            <w:gridSpan w:val="2"/>
            <w:vAlign w:val="center"/>
          </w:tcPr>
          <w:p w14:paraId="04A61D86">
            <w:pPr>
              <w:widowControl/>
              <w:jc w:val="center"/>
              <w:rPr>
                <w:rFonts w:ascii="Arial" w:hAnsi="Arial"/>
                <w:kern w:val="0"/>
                <w:szCs w:val="21"/>
              </w:rPr>
            </w:pPr>
            <w:r>
              <w:rPr>
                <w:rFonts w:ascii="Arial" w:hAnsi="Arial"/>
                <w:kern w:val="0"/>
                <w:szCs w:val="21"/>
              </w:rPr>
              <w:t>13AIA-13102</w:t>
            </w:r>
          </w:p>
        </w:tc>
        <w:tc>
          <w:tcPr>
            <w:tcW w:w="3488" w:type="dxa"/>
            <w:gridSpan w:val="2"/>
            <w:vAlign w:val="center"/>
          </w:tcPr>
          <w:p w14:paraId="04A61D87">
            <w:pPr>
              <w:widowControl/>
              <w:jc w:val="center"/>
              <w:rPr>
                <w:rFonts w:ascii="Arial" w:hAnsi="Arial"/>
                <w:kern w:val="0"/>
                <w:szCs w:val="21"/>
              </w:rPr>
            </w:pPr>
            <w:r>
              <w:rPr>
                <w:rFonts w:ascii="Arial" w:hAnsi="Arial"/>
                <w:kern w:val="0"/>
                <w:szCs w:val="21"/>
              </w:rPr>
              <w:t>A气化炉水冷壁汽包电导率监测</w:t>
            </w:r>
          </w:p>
        </w:tc>
        <w:tc>
          <w:tcPr>
            <w:tcW w:w="1079" w:type="dxa"/>
            <w:vAlign w:val="center"/>
          </w:tcPr>
          <w:p w14:paraId="04A61D88">
            <w:pPr>
              <w:widowControl/>
              <w:jc w:val="center"/>
              <w:rPr>
                <w:rFonts w:ascii="Arial" w:hAnsi="Arial"/>
                <w:color w:val="000000"/>
                <w:kern w:val="0"/>
                <w:szCs w:val="21"/>
              </w:rPr>
            </w:pPr>
            <w:r>
              <w:rPr>
                <w:rFonts w:ascii="Arial" w:hAnsi="Arial"/>
                <w:color w:val="000000"/>
                <w:kern w:val="0"/>
                <w:szCs w:val="21"/>
              </w:rPr>
              <w:t>0~75</w:t>
            </w:r>
          </w:p>
        </w:tc>
        <w:tc>
          <w:tcPr>
            <w:tcW w:w="900" w:type="dxa"/>
            <w:vAlign w:val="center"/>
          </w:tcPr>
          <w:p w14:paraId="04A61D89">
            <w:pPr>
              <w:widowControl/>
              <w:jc w:val="center"/>
              <w:rPr>
                <w:rFonts w:ascii="Arial" w:hAnsi="Arial"/>
                <w:kern w:val="0"/>
                <w:szCs w:val="21"/>
              </w:rPr>
            </w:pPr>
            <w:r>
              <w:rPr>
                <w:rFonts w:ascii="Arial" w:hAnsi="Arial"/>
                <w:kern w:val="0"/>
                <w:szCs w:val="21"/>
              </w:rPr>
              <w:t>μS/cm</w:t>
            </w:r>
          </w:p>
        </w:tc>
        <w:tc>
          <w:tcPr>
            <w:tcW w:w="1037" w:type="dxa"/>
            <w:gridSpan w:val="3"/>
            <w:vAlign w:val="center"/>
          </w:tcPr>
          <w:p w14:paraId="04A61D8A">
            <w:pPr>
              <w:widowControl/>
              <w:jc w:val="center"/>
              <w:rPr>
                <w:rFonts w:ascii="Arial" w:hAnsi="Arial"/>
                <w:kern w:val="0"/>
                <w:szCs w:val="21"/>
              </w:rPr>
            </w:pPr>
          </w:p>
        </w:tc>
        <w:tc>
          <w:tcPr>
            <w:tcW w:w="1258" w:type="dxa"/>
            <w:gridSpan w:val="2"/>
            <w:vAlign w:val="center"/>
          </w:tcPr>
          <w:p w14:paraId="04A61D8B">
            <w:pPr>
              <w:widowControl/>
              <w:jc w:val="center"/>
              <w:rPr>
                <w:rFonts w:ascii="Arial" w:hAnsi="Arial"/>
                <w:kern w:val="0"/>
                <w:szCs w:val="21"/>
              </w:rPr>
            </w:pPr>
            <w:r>
              <w:rPr>
                <w:rFonts w:ascii="Arial" w:hAnsi="Arial"/>
                <w:kern w:val="0"/>
                <w:szCs w:val="21"/>
              </w:rPr>
              <w:t>55</w:t>
            </w:r>
          </w:p>
        </w:tc>
      </w:tr>
      <w:tr w14:paraId="04A61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0" w:type="dxa"/>
          <w:trHeight w:val="402" w:hRule="atLeast"/>
          <w:jc w:val="center"/>
        </w:trPr>
        <w:tc>
          <w:tcPr>
            <w:tcW w:w="704" w:type="dxa"/>
            <w:gridSpan w:val="2"/>
            <w:vAlign w:val="center"/>
          </w:tcPr>
          <w:p w14:paraId="04A61D8D">
            <w:pPr>
              <w:widowControl/>
              <w:jc w:val="center"/>
              <w:rPr>
                <w:rFonts w:ascii="Arial" w:hAnsi="Arial"/>
                <w:kern w:val="0"/>
                <w:szCs w:val="21"/>
              </w:rPr>
            </w:pPr>
            <w:r>
              <w:rPr>
                <w:rFonts w:ascii="Arial" w:hAnsi="Arial"/>
                <w:kern w:val="0"/>
                <w:szCs w:val="21"/>
              </w:rPr>
              <w:t>6</w:t>
            </w:r>
          </w:p>
        </w:tc>
        <w:tc>
          <w:tcPr>
            <w:tcW w:w="1467" w:type="dxa"/>
            <w:gridSpan w:val="2"/>
            <w:vAlign w:val="center"/>
          </w:tcPr>
          <w:p w14:paraId="04A61D8E">
            <w:pPr>
              <w:widowControl/>
              <w:jc w:val="center"/>
              <w:rPr>
                <w:rFonts w:ascii="Arial" w:hAnsi="Arial"/>
                <w:kern w:val="0"/>
                <w:szCs w:val="21"/>
              </w:rPr>
            </w:pPr>
            <w:r>
              <w:rPr>
                <w:rFonts w:ascii="Arial" w:hAnsi="Arial"/>
                <w:kern w:val="0"/>
                <w:szCs w:val="21"/>
              </w:rPr>
              <w:t>13AIA-13202</w:t>
            </w:r>
          </w:p>
        </w:tc>
        <w:tc>
          <w:tcPr>
            <w:tcW w:w="3488" w:type="dxa"/>
            <w:gridSpan w:val="2"/>
            <w:vAlign w:val="center"/>
          </w:tcPr>
          <w:p w14:paraId="04A61D8F">
            <w:pPr>
              <w:widowControl/>
              <w:jc w:val="center"/>
              <w:rPr>
                <w:rFonts w:ascii="Arial" w:hAnsi="Arial"/>
                <w:kern w:val="0"/>
                <w:szCs w:val="21"/>
              </w:rPr>
            </w:pPr>
            <w:r>
              <w:rPr>
                <w:rFonts w:ascii="Arial" w:hAnsi="Arial"/>
                <w:kern w:val="0"/>
                <w:szCs w:val="21"/>
              </w:rPr>
              <w:t>B气化炉水冷壁汽包电导率监测</w:t>
            </w:r>
          </w:p>
        </w:tc>
        <w:tc>
          <w:tcPr>
            <w:tcW w:w="1079" w:type="dxa"/>
            <w:vAlign w:val="center"/>
          </w:tcPr>
          <w:p w14:paraId="04A61D90">
            <w:pPr>
              <w:widowControl/>
              <w:jc w:val="center"/>
              <w:rPr>
                <w:rFonts w:ascii="Arial" w:hAnsi="Arial"/>
                <w:color w:val="000000"/>
                <w:kern w:val="0"/>
                <w:szCs w:val="21"/>
              </w:rPr>
            </w:pPr>
            <w:r>
              <w:rPr>
                <w:rFonts w:ascii="Arial" w:hAnsi="Arial"/>
                <w:color w:val="000000"/>
                <w:kern w:val="0"/>
                <w:szCs w:val="21"/>
              </w:rPr>
              <w:t>0~75</w:t>
            </w:r>
          </w:p>
        </w:tc>
        <w:tc>
          <w:tcPr>
            <w:tcW w:w="900" w:type="dxa"/>
            <w:vAlign w:val="center"/>
          </w:tcPr>
          <w:p w14:paraId="04A61D91">
            <w:pPr>
              <w:widowControl/>
              <w:jc w:val="center"/>
              <w:rPr>
                <w:rFonts w:ascii="Arial" w:hAnsi="Arial"/>
                <w:kern w:val="0"/>
                <w:szCs w:val="21"/>
              </w:rPr>
            </w:pPr>
            <w:r>
              <w:rPr>
                <w:rFonts w:ascii="Arial" w:hAnsi="Arial"/>
                <w:kern w:val="0"/>
                <w:szCs w:val="21"/>
              </w:rPr>
              <w:t>μS/cm</w:t>
            </w:r>
          </w:p>
        </w:tc>
        <w:tc>
          <w:tcPr>
            <w:tcW w:w="1037" w:type="dxa"/>
            <w:gridSpan w:val="3"/>
            <w:vAlign w:val="center"/>
          </w:tcPr>
          <w:p w14:paraId="04A61D92">
            <w:pPr>
              <w:widowControl/>
              <w:jc w:val="center"/>
              <w:rPr>
                <w:rFonts w:ascii="Arial" w:hAnsi="Arial"/>
                <w:kern w:val="0"/>
                <w:szCs w:val="21"/>
              </w:rPr>
            </w:pPr>
          </w:p>
        </w:tc>
        <w:tc>
          <w:tcPr>
            <w:tcW w:w="1258" w:type="dxa"/>
            <w:gridSpan w:val="2"/>
            <w:vAlign w:val="center"/>
          </w:tcPr>
          <w:p w14:paraId="04A61D93">
            <w:pPr>
              <w:widowControl/>
              <w:jc w:val="center"/>
              <w:rPr>
                <w:rFonts w:ascii="Arial" w:hAnsi="Arial"/>
                <w:kern w:val="0"/>
                <w:szCs w:val="21"/>
              </w:rPr>
            </w:pPr>
            <w:r>
              <w:rPr>
                <w:rFonts w:ascii="Arial" w:hAnsi="Arial"/>
                <w:kern w:val="0"/>
                <w:szCs w:val="21"/>
              </w:rPr>
              <w:t>55</w:t>
            </w:r>
          </w:p>
        </w:tc>
      </w:tr>
      <w:tr w14:paraId="04A61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0" w:type="dxa"/>
          <w:trHeight w:val="402" w:hRule="atLeast"/>
          <w:jc w:val="center"/>
        </w:trPr>
        <w:tc>
          <w:tcPr>
            <w:tcW w:w="704" w:type="dxa"/>
            <w:gridSpan w:val="2"/>
            <w:vAlign w:val="center"/>
          </w:tcPr>
          <w:p w14:paraId="04A61D95">
            <w:pPr>
              <w:widowControl/>
              <w:jc w:val="center"/>
              <w:rPr>
                <w:rFonts w:ascii="Arial" w:hAnsi="Arial"/>
                <w:kern w:val="0"/>
                <w:szCs w:val="21"/>
              </w:rPr>
            </w:pPr>
            <w:r>
              <w:rPr>
                <w:rFonts w:ascii="Arial" w:hAnsi="Arial"/>
                <w:kern w:val="0"/>
                <w:szCs w:val="21"/>
              </w:rPr>
              <w:t>7</w:t>
            </w:r>
          </w:p>
        </w:tc>
        <w:tc>
          <w:tcPr>
            <w:tcW w:w="1467" w:type="dxa"/>
            <w:gridSpan w:val="2"/>
            <w:vAlign w:val="center"/>
          </w:tcPr>
          <w:p w14:paraId="04A61D96">
            <w:pPr>
              <w:widowControl/>
              <w:jc w:val="center"/>
              <w:rPr>
                <w:rFonts w:ascii="Arial" w:hAnsi="Arial"/>
                <w:kern w:val="0"/>
                <w:szCs w:val="21"/>
              </w:rPr>
            </w:pPr>
            <w:r>
              <w:rPr>
                <w:rFonts w:ascii="Arial" w:hAnsi="Arial"/>
                <w:kern w:val="0"/>
                <w:szCs w:val="21"/>
              </w:rPr>
              <w:t>13AIA-13105</w:t>
            </w:r>
          </w:p>
        </w:tc>
        <w:tc>
          <w:tcPr>
            <w:tcW w:w="3488" w:type="dxa"/>
            <w:gridSpan w:val="2"/>
            <w:vAlign w:val="center"/>
          </w:tcPr>
          <w:p w14:paraId="04A61D97">
            <w:pPr>
              <w:widowControl/>
              <w:jc w:val="center"/>
              <w:rPr>
                <w:rFonts w:ascii="Arial" w:hAnsi="Arial"/>
                <w:kern w:val="0"/>
                <w:szCs w:val="21"/>
              </w:rPr>
            </w:pPr>
            <w:r>
              <w:rPr>
                <w:rFonts w:ascii="Arial" w:hAnsi="Arial"/>
                <w:kern w:val="0"/>
                <w:szCs w:val="21"/>
              </w:rPr>
              <w:t>A气化炉废锅汽包电导率监测</w:t>
            </w:r>
          </w:p>
        </w:tc>
        <w:tc>
          <w:tcPr>
            <w:tcW w:w="1079" w:type="dxa"/>
            <w:vAlign w:val="center"/>
          </w:tcPr>
          <w:p w14:paraId="04A61D98">
            <w:pPr>
              <w:widowControl/>
              <w:jc w:val="center"/>
              <w:rPr>
                <w:rFonts w:ascii="Arial" w:hAnsi="Arial"/>
                <w:color w:val="000000"/>
                <w:kern w:val="0"/>
                <w:szCs w:val="21"/>
              </w:rPr>
            </w:pPr>
            <w:r>
              <w:rPr>
                <w:rFonts w:ascii="Arial" w:hAnsi="Arial"/>
                <w:color w:val="000000"/>
                <w:kern w:val="0"/>
                <w:szCs w:val="21"/>
              </w:rPr>
              <w:t>0~75</w:t>
            </w:r>
          </w:p>
        </w:tc>
        <w:tc>
          <w:tcPr>
            <w:tcW w:w="900" w:type="dxa"/>
            <w:vAlign w:val="center"/>
          </w:tcPr>
          <w:p w14:paraId="04A61D99">
            <w:pPr>
              <w:widowControl/>
              <w:jc w:val="center"/>
              <w:rPr>
                <w:rFonts w:ascii="Arial" w:hAnsi="Arial"/>
                <w:kern w:val="0"/>
                <w:szCs w:val="21"/>
              </w:rPr>
            </w:pPr>
            <w:r>
              <w:rPr>
                <w:rFonts w:ascii="Arial" w:hAnsi="Arial"/>
                <w:kern w:val="0"/>
                <w:szCs w:val="21"/>
              </w:rPr>
              <w:t>μS/cm</w:t>
            </w:r>
          </w:p>
        </w:tc>
        <w:tc>
          <w:tcPr>
            <w:tcW w:w="1037" w:type="dxa"/>
            <w:gridSpan w:val="3"/>
            <w:vAlign w:val="center"/>
          </w:tcPr>
          <w:p w14:paraId="04A61D9A">
            <w:pPr>
              <w:widowControl/>
              <w:jc w:val="center"/>
              <w:rPr>
                <w:rFonts w:ascii="Arial" w:hAnsi="Arial"/>
                <w:kern w:val="0"/>
                <w:szCs w:val="21"/>
              </w:rPr>
            </w:pPr>
          </w:p>
        </w:tc>
        <w:tc>
          <w:tcPr>
            <w:tcW w:w="1258" w:type="dxa"/>
            <w:gridSpan w:val="2"/>
            <w:vAlign w:val="center"/>
          </w:tcPr>
          <w:p w14:paraId="04A61D9B">
            <w:pPr>
              <w:widowControl/>
              <w:jc w:val="center"/>
              <w:rPr>
                <w:rFonts w:ascii="Arial" w:hAnsi="Arial"/>
                <w:kern w:val="0"/>
                <w:szCs w:val="21"/>
              </w:rPr>
            </w:pPr>
            <w:r>
              <w:rPr>
                <w:rFonts w:ascii="Arial" w:hAnsi="Arial"/>
                <w:kern w:val="0"/>
                <w:szCs w:val="21"/>
              </w:rPr>
              <w:t>55</w:t>
            </w:r>
          </w:p>
        </w:tc>
      </w:tr>
      <w:tr w14:paraId="04A61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0" w:type="dxa"/>
          <w:trHeight w:val="402" w:hRule="atLeast"/>
          <w:jc w:val="center"/>
        </w:trPr>
        <w:tc>
          <w:tcPr>
            <w:tcW w:w="704" w:type="dxa"/>
            <w:gridSpan w:val="2"/>
            <w:vAlign w:val="center"/>
          </w:tcPr>
          <w:p w14:paraId="04A61D9D">
            <w:pPr>
              <w:widowControl/>
              <w:jc w:val="center"/>
              <w:rPr>
                <w:rFonts w:ascii="Arial" w:hAnsi="Arial"/>
                <w:kern w:val="0"/>
                <w:szCs w:val="21"/>
              </w:rPr>
            </w:pPr>
            <w:r>
              <w:rPr>
                <w:rFonts w:ascii="Arial" w:hAnsi="Arial"/>
                <w:kern w:val="0"/>
                <w:szCs w:val="21"/>
              </w:rPr>
              <w:t>8</w:t>
            </w:r>
          </w:p>
        </w:tc>
        <w:tc>
          <w:tcPr>
            <w:tcW w:w="1467" w:type="dxa"/>
            <w:gridSpan w:val="2"/>
            <w:vAlign w:val="center"/>
          </w:tcPr>
          <w:p w14:paraId="04A61D9E">
            <w:pPr>
              <w:widowControl/>
              <w:jc w:val="center"/>
              <w:rPr>
                <w:rFonts w:ascii="Arial" w:hAnsi="Arial"/>
                <w:kern w:val="0"/>
                <w:szCs w:val="21"/>
              </w:rPr>
            </w:pPr>
            <w:r>
              <w:rPr>
                <w:rFonts w:ascii="Arial" w:hAnsi="Arial"/>
                <w:kern w:val="0"/>
                <w:szCs w:val="21"/>
              </w:rPr>
              <w:t>13AIA-13205</w:t>
            </w:r>
          </w:p>
        </w:tc>
        <w:tc>
          <w:tcPr>
            <w:tcW w:w="3488" w:type="dxa"/>
            <w:gridSpan w:val="2"/>
            <w:vAlign w:val="center"/>
          </w:tcPr>
          <w:p w14:paraId="04A61D9F">
            <w:pPr>
              <w:widowControl/>
              <w:jc w:val="center"/>
              <w:rPr>
                <w:rFonts w:ascii="Arial" w:hAnsi="Arial"/>
                <w:kern w:val="0"/>
                <w:szCs w:val="21"/>
              </w:rPr>
            </w:pPr>
            <w:r>
              <w:rPr>
                <w:rFonts w:ascii="Arial" w:hAnsi="Arial"/>
                <w:kern w:val="0"/>
                <w:szCs w:val="21"/>
              </w:rPr>
              <w:t>B气化炉废锅汽包电导率监测</w:t>
            </w:r>
          </w:p>
        </w:tc>
        <w:tc>
          <w:tcPr>
            <w:tcW w:w="1079" w:type="dxa"/>
            <w:vAlign w:val="center"/>
          </w:tcPr>
          <w:p w14:paraId="04A61DA0">
            <w:pPr>
              <w:widowControl/>
              <w:jc w:val="center"/>
              <w:rPr>
                <w:rFonts w:ascii="Arial" w:hAnsi="Arial"/>
                <w:color w:val="000000"/>
                <w:kern w:val="0"/>
                <w:szCs w:val="21"/>
              </w:rPr>
            </w:pPr>
            <w:r>
              <w:rPr>
                <w:rFonts w:ascii="Arial" w:hAnsi="Arial"/>
                <w:color w:val="000000"/>
                <w:kern w:val="0"/>
                <w:szCs w:val="21"/>
              </w:rPr>
              <w:t>0~75</w:t>
            </w:r>
          </w:p>
        </w:tc>
        <w:tc>
          <w:tcPr>
            <w:tcW w:w="900" w:type="dxa"/>
            <w:vAlign w:val="center"/>
          </w:tcPr>
          <w:p w14:paraId="04A61DA1">
            <w:pPr>
              <w:widowControl/>
              <w:jc w:val="center"/>
              <w:rPr>
                <w:rFonts w:ascii="Arial" w:hAnsi="Arial"/>
                <w:kern w:val="0"/>
                <w:szCs w:val="21"/>
              </w:rPr>
            </w:pPr>
            <w:r>
              <w:rPr>
                <w:rFonts w:ascii="Arial" w:hAnsi="Arial"/>
                <w:kern w:val="0"/>
                <w:szCs w:val="21"/>
              </w:rPr>
              <w:t>μS/cm</w:t>
            </w:r>
          </w:p>
        </w:tc>
        <w:tc>
          <w:tcPr>
            <w:tcW w:w="1037" w:type="dxa"/>
            <w:gridSpan w:val="3"/>
            <w:vAlign w:val="center"/>
          </w:tcPr>
          <w:p w14:paraId="04A61DA2">
            <w:pPr>
              <w:widowControl/>
              <w:jc w:val="center"/>
              <w:rPr>
                <w:rFonts w:ascii="Arial" w:hAnsi="Arial"/>
                <w:kern w:val="0"/>
                <w:szCs w:val="21"/>
              </w:rPr>
            </w:pPr>
          </w:p>
        </w:tc>
        <w:tc>
          <w:tcPr>
            <w:tcW w:w="1258" w:type="dxa"/>
            <w:gridSpan w:val="2"/>
            <w:vAlign w:val="center"/>
          </w:tcPr>
          <w:p w14:paraId="04A61DA3">
            <w:pPr>
              <w:widowControl/>
              <w:jc w:val="center"/>
              <w:rPr>
                <w:rFonts w:ascii="Arial" w:hAnsi="Arial"/>
                <w:kern w:val="0"/>
                <w:szCs w:val="21"/>
              </w:rPr>
            </w:pPr>
            <w:r>
              <w:rPr>
                <w:rFonts w:ascii="Arial" w:hAnsi="Arial"/>
                <w:kern w:val="0"/>
                <w:szCs w:val="21"/>
              </w:rPr>
              <w:t>55</w:t>
            </w:r>
          </w:p>
        </w:tc>
      </w:tr>
      <w:tr w14:paraId="04A61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0" w:type="dxa"/>
          <w:trHeight w:val="402" w:hRule="atLeast"/>
          <w:jc w:val="center"/>
        </w:trPr>
        <w:tc>
          <w:tcPr>
            <w:tcW w:w="9933" w:type="dxa"/>
            <w:gridSpan w:val="13"/>
            <w:vAlign w:val="center"/>
          </w:tcPr>
          <w:p w14:paraId="04A61DA5">
            <w:pPr>
              <w:widowControl/>
              <w:jc w:val="center"/>
              <w:rPr>
                <w:rFonts w:ascii="Arial" w:hAnsi="Arial"/>
                <w:color w:val="000000"/>
                <w:kern w:val="0"/>
                <w:szCs w:val="21"/>
              </w:rPr>
            </w:pPr>
            <w:r>
              <w:rPr>
                <w:rFonts w:ascii="Arial" w:hAnsi="Arial"/>
                <w:kern w:val="0"/>
                <w:szCs w:val="21"/>
              </w:rPr>
              <w:t>　　气化705装置</w:t>
            </w:r>
          </w:p>
        </w:tc>
      </w:tr>
      <w:tr w14:paraId="04A61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0" w:type="dxa"/>
          <w:trHeight w:val="402" w:hRule="atLeast"/>
          <w:jc w:val="center"/>
        </w:trPr>
        <w:tc>
          <w:tcPr>
            <w:tcW w:w="704" w:type="dxa"/>
            <w:gridSpan w:val="2"/>
            <w:vAlign w:val="center"/>
          </w:tcPr>
          <w:p w14:paraId="04A61DA7">
            <w:pPr>
              <w:widowControl/>
              <w:jc w:val="center"/>
              <w:rPr>
                <w:rFonts w:ascii="Arial" w:hAnsi="Arial"/>
                <w:kern w:val="0"/>
                <w:szCs w:val="21"/>
              </w:rPr>
            </w:pPr>
            <w:r>
              <w:rPr>
                <w:rFonts w:ascii="Arial" w:hAnsi="Arial"/>
                <w:kern w:val="0"/>
                <w:szCs w:val="21"/>
              </w:rPr>
              <w:t>1</w:t>
            </w:r>
          </w:p>
        </w:tc>
        <w:tc>
          <w:tcPr>
            <w:tcW w:w="1467" w:type="dxa"/>
            <w:gridSpan w:val="2"/>
            <w:vAlign w:val="center"/>
          </w:tcPr>
          <w:p w14:paraId="04A61DA8">
            <w:pPr>
              <w:widowControl/>
              <w:rPr>
                <w:rFonts w:ascii="Arial" w:hAnsi="Arial"/>
                <w:kern w:val="0"/>
                <w:szCs w:val="21"/>
              </w:rPr>
            </w:pPr>
            <w:r>
              <w:rPr>
                <w:rFonts w:ascii="Arial" w:hAnsi="Arial"/>
                <w:kern w:val="0"/>
                <w:szCs w:val="21"/>
              </w:rPr>
              <w:t>713AI_0006</w:t>
            </w:r>
          </w:p>
        </w:tc>
        <w:tc>
          <w:tcPr>
            <w:tcW w:w="3488" w:type="dxa"/>
            <w:gridSpan w:val="2"/>
            <w:vAlign w:val="center"/>
          </w:tcPr>
          <w:p w14:paraId="04A61DA9">
            <w:pPr>
              <w:widowControl/>
              <w:jc w:val="center"/>
              <w:rPr>
                <w:rFonts w:ascii="Arial" w:hAnsi="Arial"/>
                <w:kern w:val="0"/>
                <w:szCs w:val="21"/>
              </w:rPr>
            </w:pPr>
            <w:r>
              <w:rPr>
                <w:rFonts w:ascii="Arial" w:hAnsi="Arial"/>
                <w:kern w:val="0"/>
                <w:szCs w:val="21"/>
              </w:rPr>
              <w:t>高压除氧给水溶解氧在线指示</w:t>
            </w:r>
          </w:p>
        </w:tc>
        <w:tc>
          <w:tcPr>
            <w:tcW w:w="1079" w:type="dxa"/>
            <w:vAlign w:val="center"/>
          </w:tcPr>
          <w:p w14:paraId="04A61DAA">
            <w:pPr>
              <w:widowControl/>
              <w:jc w:val="center"/>
              <w:rPr>
                <w:rFonts w:ascii="Arial" w:hAnsi="Arial"/>
                <w:color w:val="000000"/>
                <w:kern w:val="0"/>
                <w:szCs w:val="21"/>
              </w:rPr>
            </w:pPr>
            <w:r>
              <w:rPr>
                <w:rFonts w:ascii="Arial" w:hAnsi="Arial"/>
                <w:color w:val="000000"/>
                <w:kern w:val="0"/>
                <w:szCs w:val="21"/>
              </w:rPr>
              <w:t>0-200</w:t>
            </w:r>
          </w:p>
        </w:tc>
        <w:tc>
          <w:tcPr>
            <w:tcW w:w="900" w:type="dxa"/>
            <w:vAlign w:val="center"/>
          </w:tcPr>
          <w:p w14:paraId="04A61DAB">
            <w:pPr>
              <w:widowControl/>
              <w:jc w:val="center"/>
              <w:rPr>
                <w:rFonts w:ascii="Arial" w:hAnsi="Arial"/>
                <w:kern w:val="0"/>
                <w:szCs w:val="21"/>
              </w:rPr>
            </w:pPr>
            <w:r>
              <w:rPr>
                <w:rFonts w:ascii="Arial" w:hAnsi="Arial"/>
                <w:kern w:val="0"/>
                <w:szCs w:val="21"/>
              </w:rPr>
              <w:t>ppb</w:t>
            </w:r>
          </w:p>
        </w:tc>
        <w:tc>
          <w:tcPr>
            <w:tcW w:w="1037" w:type="dxa"/>
            <w:gridSpan w:val="3"/>
            <w:vAlign w:val="center"/>
          </w:tcPr>
          <w:p w14:paraId="04A61DAC">
            <w:pPr>
              <w:widowControl/>
              <w:jc w:val="center"/>
              <w:rPr>
                <w:rFonts w:ascii="Arial" w:hAnsi="Arial"/>
                <w:kern w:val="0"/>
                <w:szCs w:val="21"/>
              </w:rPr>
            </w:pPr>
          </w:p>
        </w:tc>
        <w:tc>
          <w:tcPr>
            <w:tcW w:w="1258" w:type="dxa"/>
            <w:gridSpan w:val="2"/>
            <w:vAlign w:val="center"/>
          </w:tcPr>
          <w:p w14:paraId="04A61DAD">
            <w:pPr>
              <w:widowControl/>
              <w:jc w:val="center"/>
              <w:rPr>
                <w:rFonts w:ascii="Arial" w:hAnsi="Arial"/>
                <w:color w:val="000000"/>
                <w:kern w:val="0"/>
                <w:szCs w:val="21"/>
              </w:rPr>
            </w:pPr>
            <w:r>
              <w:rPr>
                <w:rFonts w:ascii="Arial" w:hAnsi="Arial"/>
                <w:color w:val="000000"/>
                <w:kern w:val="0"/>
                <w:szCs w:val="21"/>
              </w:rPr>
              <w:t>12</w:t>
            </w:r>
          </w:p>
        </w:tc>
      </w:tr>
      <w:tr w14:paraId="04A61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0" w:type="dxa"/>
          <w:trHeight w:val="402" w:hRule="atLeast"/>
          <w:jc w:val="center"/>
        </w:trPr>
        <w:tc>
          <w:tcPr>
            <w:tcW w:w="704" w:type="dxa"/>
            <w:gridSpan w:val="2"/>
            <w:vAlign w:val="center"/>
          </w:tcPr>
          <w:p w14:paraId="04A61DAF">
            <w:pPr>
              <w:widowControl/>
              <w:jc w:val="center"/>
              <w:rPr>
                <w:rFonts w:ascii="Arial" w:hAnsi="Arial"/>
                <w:kern w:val="0"/>
                <w:szCs w:val="21"/>
              </w:rPr>
            </w:pPr>
            <w:r>
              <w:rPr>
                <w:rFonts w:ascii="Arial" w:hAnsi="Arial"/>
                <w:kern w:val="0"/>
                <w:szCs w:val="21"/>
              </w:rPr>
              <w:t>2</w:t>
            </w:r>
          </w:p>
        </w:tc>
        <w:tc>
          <w:tcPr>
            <w:tcW w:w="1467" w:type="dxa"/>
            <w:gridSpan w:val="2"/>
            <w:vAlign w:val="center"/>
          </w:tcPr>
          <w:p w14:paraId="04A61DB0">
            <w:pPr>
              <w:widowControl/>
              <w:rPr>
                <w:rFonts w:ascii="Arial" w:hAnsi="Arial"/>
                <w:kern w:val="0"/>
                <w:szCs w:val="21"/>
              </w:rPr>
            </w:pPr>
            <w:r>
              <w:rPr>
                <w:rFonts w:ascii="Arial" w:hAnsi="Arial"/>
                <w:kern w:val="0"/>
                <w:szCs w:val="21"/>
              </w:rPr>
              <w:t>713AI_0007</w:t>
            </w:r>
          </w:p>
        </w:tc>
        <w:tc>
          <w:tcPr>
            <w:tcW w:w="3488" w:type="dxa"/>
            <w:gridSpan w:val="2"/>
            <w:vAlign w:val="center"/>
          </w:tcPr>
          <w:p w14:paraId="04A61DB1">
            <w:pPr>
              <w:widowControl/>
              <w:jc w:val="center"/>
              <w:rPr>
                <w:rFonts w:ascii="Arial" w:hAnsi="Arial"/>
                <w:kern w:val="0"/>
                <w:szCs w:val="21"/>
              </w:rPr>
            </w:pPr>
            <w:r>
              <w:rPr>
                <w:rFonts w:ascii="Arial" w:hAnsi="Arial"/>
                <w:kern w:val="0"/>
                <w:szCs w:val="21"/>
              </w:rPr>
              <w:t>低压除氧给水溶解氧在线指示</w:t>
            </w:r>
          </w:p>
        </w:tc>
        <w:tc>
          <w:tcPr>
            <w:tcW w:w="1079" w:type="dxa"/>
            <w:vAlign w:val="center"/>
          </w:tcPr>
          <w:p w14:paraId="04A61DB2">
            <w:pPr>
              <w:widowControl/>
              <w:jc w:val="center"/>
              <w:rPr>
                <w:rFonts w:ascii="Arial" w:hAnsi="Arial"/>
                <w:color w:val="000000"/>
                <w:kern w:val="0"/>
                <w:szCs w:val="21"/>
              </w:rPr>
            </w:pPr>
            <w:r>
              <w:rPr>
                <w:rFonts w:ascii="Arial" w:hAnsi="Arial"/>
                <w:color w:val="000000"/>
                <w:kern w:val="0"/>
                <w:szCs w:val="21"/>
              </w:rPr>
              <w:t>0-200</w:t>
            </w:r>
          </w:p>
        </w:tc>
        <w:tc>
          <w:tcPr>
            <w:tcW w:w="900" w:type="dxa"/>
            <w:vAlign w:val="center"/>
          </w:tcPr>
          <w:p w14:paraId="04A61DB3">
            <w:pPr>
              <w:widowControl/>
              <w:jc w:val="center"/>
              <w:rPr>
                <w:rFonts w:ascii="Arial" w:hAnsi="Arial"/>
                <w:kern w:val="0"/>
                <w:szCs w:val="21"/>
              </w:rPr>
            </w:pPr>
            <w:r>
              <w:rPr>
                <w:rFonts w:ascii="Arial" w:hAnsi="Arial"/>
                <w:kern w:val="0"/>
                <w:szCs w:val="21"/>
              </w:rPr>
              <w:t>ppb</w:t>
            </w:r>
          </w:p>
        </w:tc>
        <w:tc>
          <w:tcPr>
            <w:tcW w:w="1037" w:type="dxa"/>
            <w:gridSpan w:val="3"/>
            <w:vAlign w:val="center"/>
          </w:tcPr>
          <w:p w14:paraId="04A61DB4">
            <w:pPr>
              <w:widowControl/>
              <w:jc w:val="center"/>
              <w:rPr>
                <w:rFonts w:ascii="Arial" w:hAnsi="Arial"/>
                <w:kern w:val="0"/>
                <w:szCs w:val="21"/>
              </w:rPr>
            </w:pPr>
          </w:p>
        </w:tc>
        <w:tc>
          <w:tcPr>
            <w:tcW w:w="1258" w:type="dxa"/>
            <w:gridSpan w:val="2"/>
            <w:vAlign w:val="center"/>
          </w:tcPr>
          <w:p w14:paraId="04A61DB5">
            <w:pPr>
              <w:widowControl/>
              <w:jc w:val="center"/>
              <w:rPr>
                <w:rFonts w:ascii="Arial" w:hAnsi="Arial"/>
                <w:color w:val="000000"/>
                <w:kern w:val="0"/>
                <w:szCs w:val="21"/>
              </w:rPr>
            </w:pPr>
            <w:r>
              <w:rPr>
                <w:rFonts w:ascii="Arial" w:hAnsi="Arial"/>
                <w:color w:val="000000"/>
                <w:kern w:val="0"/>
                <w:szCs w:val="21"/>
              </w:rPr>
              <w:t>120</w:t>
            </w:r>
          </w:p>
        </w:tc>
      </w:tr>
      <w:tr w14:paraId="04A61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0" w:type="dxa"/>
          <w:trHeight w:val="402" w:hRule="atLeast"/>
          <w:jc w:val="center"/>
        </w:trPr>
        <w:tc>
          <w:tcPr>
            <w:tcW w:w="704" w:type="dxa"/>
            <w:gridSpan w:val="2"/>
            <w:vAlign w:val="center"/>
          </w:tcPr>
          <w:p w14:paraId="04A61DB7">
            <w:pPr>
              <w:widowControl/>
              <w:jc w:val="center"/>
              <w:rPr>
                <w:rFonts w:ascii="Arial" w:hAnsi="Arial"/>
                <w:kern w:val="0"/>
                <w:szCs w:val="21"/>
              </w:rPr>
            </w:pPr>
            <w:r>
              <w:rPr>
                <w:rFonts w:ascii="Arial" w:hAnsi="Arial"/>
                <w:kern w:val="0"/>
                <w:szCs w:val="21"/>
              </w:rPr>
              <w:t>3</w:t>
            </w:r>
          </w:p>
        </w:tc>
        <w:tc>
          <w:tcPr>
            <w:tcW w:w="1467" w:type="dxa"/>
            <w:gridSpan w:val="2"/>
            <w:vAlign w:val="center"/>
          </w:tcPr>
          <w:p w14:paraId="04A61DB8">
            <w:pPr>
              <w:widowControl/>
              <w:rPr>
                <w:rFonts w:ascii="Arial" w:hAnsi="Arial"/>
                <w:kern w:val="0"/>
                <w:szCs w:val="21"/>
              </w:rPr>
            </w:pPr>
            <w:r>
              <w:rPr>
                <w:rFonts w:ascii="Arial" w:hAnsi="Arial"/>
                <w:kern w:val="0"/>
                <w:szCs w:val="21"/>
              </w:rPr>
              <w:t>21AI_0006</w:t>
            </w:r>
          </w:p>
        </w:tc>
        <w:tc>
          <w:tcPr>
            <w:tcW w:w="3488" w:type="dxa"/>
            <w:gridSpan w:val="2"/>
            <w:vAlign w:val="center"/>
          </w:tcPr>
          <w:p w14:paraId="04A61DB9">
            <w:pPr>
              <w:widowControl/>
              <w:jc w:val="center"/>
              <w:rPr>
                <w:rFonts w:ascii="Arial" w:hAnsi="Arial"/>
                <w:kern w:val="0"/>
                <w:szCs w:val="21"/>
              </w:rPr>
            </w:pPr>
            <w:r>
              <w:rPr>
                <w:rFonts w:ascii="Arial" w:hAnsi="Arial"/>
                <w:kern w:val="0"/>
                <w:szCs w:val="21"/>
              </w:rPr>
              <w:t>E-21003给水PH在线指示</w:t>
            </w:r>
          </w:p>
        </w:tc>
        <w:tc>
          <w:tcPr>
            <w:tcW w:w="1079" w:type="dxa"/>
            <w:vAlign w:val="center"/>
          </w:tcPr>
          <w:p w14:paraId="04A61DBA">
            <w:pPr>
              <w:widowControl/>
              <w:jc w:val="center"/>
              <w:rPr>
                <w:rFonts w:ascii="Arial" w:hAnsi="Arial"/>
                <w:color w:val="000000"/>
                <w:kern w:val="0"/>
                <w:szCs w:val="21"/>
              </w:rPr>
            </w:pPr>
            <w:r>
              <w:rPr>
                <w:rFonts w:ascii="Arial" w:hAnsi="Arial"/>
                <w:color w:val="000000"/>
                <w:kern w:val="0"/>
                <w:szCs w:val="21"/>
              </w:rPr>
              <w:t>0-14</w:t>
            </w:r>
          </w:p>
        </w:tc>
        <w:tc>
          <w:tcPr>
            <w:tcW w:w="900" w:type="dxa"/>
            <w:vAlign w:val="center"/>
          </w:tcPr>
          <w:p w14:paraId="04A61DBB">
            <w:pPr>
              <w:widowControl/>
              <w:jc w:val="center"/>
              <w:rPr>
                <w:rFonts w:ascii="Arial" w:hAnsi="Arial"/>
                <w:kern w:val="0"/>
                <w:szCs w:val="21"/>
              </w:rPr>
            </w:pPr>
            <w:r>
              <w:rPr>
                <w:rFonts w:ascii="Arial" w:hAnsi="Arial"/>
                <w:kern w:val="0"/>
                <w:szCs w:val="21"/>
              </w:rPr>
              <w:t>　</w:t>
            </w:r>
          </w:p>
        </w:tc>
        <w:tc>
          <w:tcPr>
            <w:tcW w:w="1037" w:type="dxa"/>
            <w:gridSpan w:val="3"/>
            <w:vAlign w:val="center"/>
          </w:tcPr>
          <w:p w14:paraId="04A61DBC">
            <w:pPr>
              <w:widowControl/>
              <w:jc w:val="center"/>
              <w:rPr>
                <w:rFonts w:ascii="Arial" w:hAnsi="Arial"/>
                <w:kern w:val="0"/>
                <w:szCs w:val="21"/>
              </w:rPr>
            </w:pPr>
            <w:r>
              <w:rPr>
                <w:rFonts w:ascii="Arial" w:hAnsi="Arial"/>
                <w:kern w:val="0"/>
                <w:szCs w:val="21"/>
              </w:rPr>
              <w:t>8.5</w:t>
            </w:r>
          </w:p>
        </w:tc>
        <w:tc>
          <w:tcPr>
            <w:tcW w:w="1258" w:type="dxa"/>
            <w:gridSpan w:val="2"/>
            <w:vAlign w:val="center"/>
          </w:tcPr>
          <w:p w14:paraId="04A61DBD">
            <w:pPr>
              <w:widowControl/>
              <w:jc w:val="center"/>
              <w:rPr>
                <w:rFonts w:ascii="Arial" w:hAnsi="Arial"/>
                <w:color w:val="000000"/>
                <w:kern w:val="0"/>
                <w:szCs w:val="21"/>
              </w:rPr>
            </w:pPr>
            <w:r>
              <w:rPr>
                <w:rFonts w:ascii="Arial" w:hAnsi="Arial"/>
                <w:color w:val="000000"/>
                <w:kern w:val="0"/>
                <w:szCs w:val="21"/>
              </w:rPr>
              <w:t>11.5</w:t>
            </w:r>
          </w:p>
        </w:tc>
      </w:tr>
      <w:tr w14:paraId="04A61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0" w:type="dxa"/>
          <w:trHeight w:val="402" w:hRule="atLeast"/>
          <w:jc w:val="center"/>
        </w:trPr>
        <w:tc>
          <w:tcPr>
            <w:tcW w:w="704" w:type="dxa"/>
            <w:gridSpan w:val="2"/>
            <w:vAlign w:val="center"/>
          </w:tcPr>
          <w:p w14:paraId="04A61DBF">
            <w:pPr>
              <w:widowControl/>
              <w:jc w:val="center"/>
              <w:rPr>
                <w:rFonts w:ascii="Arial" w:hAnsi="Arial"/>
                <w:kern w:val="0"/>
                <w:szCs w:val="21"/>
              </w:rPr>
            </w:pPr>
            <w:r>
              <w:rPr>
                <w:rFonts w:ascii="Arial" w:hAnsi="Arial"/>
                <w:kern w:val="0"/>
                <w:szCs w:val="21"/>
              </w:rPr>
              <w:t>4</w:t>
            </w:r>
          </w:p>
        </w:tc>
        <w:tc>
          <w:tcPr>
            <w:tcW w:w="1467" w:type="dxa"/>
            <w:gridSpan w:val="2"/>
            <w:vAlign w:val="center"/>
          </w:tcPr>
          <w:p w14:paraId="04A61DC0">
            <w:pPr>
              <w:widowControl/>
              <w:rPr>
                <w:rFonts w:ascii="Arial" w:hAnsi="Arial"/>
                <w:kern w:val="0"/>
                <w:szCs w:val="21"/>
              </w:rPr>
            </w:pPr>
            <w:r>
              <w:rPr>
                <w:rFonts w:ascii="Arial" w:hAnsi="Arial"/>
                <w:kern w:val="0"/>
                <w:szCs w:val="21"/>
              </w:rPr>
              <w:t>21AI_0007</w:t>
            </w:r>
          </w:p>
        </w:tc>
        <w:tc>
          <w:tcPr>
            <w:tcW w:w="3488" w:type="dxa"/>
            <w:gridSpan w:val="2"/>
            <w:vAlign w:val="center"/>
          </w:tcPr>
          <w:p w14:paraId="04A61DC1">
            <w:pPr>
              <w:widowControl/>
              <w:jc w:val="center"/>
              <w:rPr>
                <w:rFonts w:ascii="Arial" w:hAnsi="Arial"/>
                <w:kern w:val="0"/>
                <w:szCs w:val="21"/>
              </w:rPr>
            </w:pPr>
            <w:r>
              <w:rPr>
                <w:rFonts w:ascii="Arial" w:hAnsi="Arial"/>
                <w:kern w:val="0"/>
                <w:szCs w:val="21"/>
              </w:rPr>
              <w:t>V-21009给水PH在线指示</w:t>
            </w:r>
          </w:p>
        </w:tc>
        <w:tc>
          <w:tcPr>
            <w:tcW w:w="1079" w:type="dxa"/>
            <w:vAlign w:val="center"/>
          </w:tcPr>
          <w:p w14:paraId="04A61DC2">
            <w:pPr>
              <w:widowControl/>
              <w:jc w:val="center"/>
              <w:rPr>
                <w:rFonts w:ascii="Arial" w:hAnsi="Arial"/>
                <w:color w:val="000000"/>
                <w:kern w:val="0"/>
                <w:szCs w:val="21"/>
              </w:rPr>
            </w:pPr>
            <w:r>
              <w:rPr>
                <w:rFonts w:ascii="Arial" w:hAnsi="Arial"/>
                <w:color w:val="000000"/>
                <w:kern w:val="0"/>
                <w:szCs w:val="21"/>
              </w:rPr>
              <w:t>0-14</w:t>
            </w:r>
          </w:p>
        </w:tc>
        <w:tc>
          <w:tcPr>
            <w:tcW w:w="900" w:type="dxa"/>
            <w:vAlign w:val="center"/>
          </w:tcPr>
          <w:p w14:paraId="04A61DC3">
            <w:pPr>
              <w:widowControl/>
              <w:jc w:val="center"/>
              <w:rPr>
                <w:rFonts w:ascii="Arial" w:hAnsi="Arial"/>
                <w:kern w:val="0"/>
                <w:szCs w:val="21"/>
              </w:rPr>
            </w:pPr>
            <w:r>
              <w:rPr>
                <w:rFonts w:ascii="Arial" w:hAnsi="Arial"/>
                <w:kern w:val="0"/>
                <w:szCs w:val="21"/>
              </w:rPr>
              <w:t>　</w:t>
            </w:r>
          </w:p>
        </w:tc>
        <w:tc>
          <w:tcPr>
            <w:tcW w:w="1037" w:type="dxa"/>
            <w:gridSpan w:val="3"/>
            <w:vAlign w:val="center"/>
          </w:tcPr>
          <w:p w14:paraId="04A61DC4">
            <w:pPr>
              <w:widowControl/>
              <w:jc w:val="center"/>
              <w:rPr>
                <w:rFonts w:ascii="Arial" w:hAnsi="Arial"/>
                <w:kern w:val="0"/>
                <w:szCs w:val="21"/>
              </w:rPr>
            </w:pPr>
            <w:r>
              <w:rPr>
                <w:rFonts w:ascii="Arial" w:hAnsi="Arial"/>
                <w:kern w:val="0"/>
                <w:szCs w:val="21"/>
              </w:rPr>
              <w:t>8.5</w:t>
            </w:r>
          </w:p>
        </w:tc>
        <w:tc>
          <w:tcPr>
            <w:tcW w:w="1258" w:type="dxa"/>
            <w:gridSpan w:val="2"/>
            <w:vAlign w:val="center"/>
          </w:tcPr>
          <w:p w14:paraId="04A61DC5">
            <w:pPr>
              <w:widowControl/>
              <w:jc w:val="center"/>
              <w:rPr>
                <w:rFonts w:ascii="Arial" w:hAnsi="Arial"/>
                <w:color w:val="000000"/>
                <w:kern w:val="0"/>
                <w:szCs w:val="21"/>
              </w:rPr>
            </w:pPr>
            <w:r>
              <w:rPr>
                <w:rFonts w:ascii="Arial" w:hAnsi="Arial"/>
                <w:color w:val="000000"/>
                <w:kern w:val="0"/>
                <w:szCs w:val="21"/>
              </w:rPr>
              <w:t>11.5</w:t>
            </w:r>
          </w:p>
        </w:tc>
      </w:tr>
      <w:tr w14:paraId="04A61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0" w:type="dxa"/>
          <w:trHeight w:val="402" w:hRule="atLeast"/>
          <w:jc w:val="center"/>
        </w:trPr>
        <w:tc>
          <w:tcPr>
            <w:tcW w:w="704" w:type="dxa"/>
            <w:gridSpan w:val="2"/>
            <w:vAlign w:val="center"/>
          </w:tcPr>
          <w:p w14:paraId="04A61DC7">
            <w:pPr>
              <w:widowControl/>
              <w:jc w:val="center"/>
              <w:rPr>
                <w:rFonts w:ascii="Arial" w:hAnsi="Arial"/>
                <w:kern w:val="0"/>
                <w:szCs w:val="21"/>
              </w:rPr>
            </w:pPr>
            <w:r>
              <w:rPr>
                <w:rFonts w:ascii="Arial" w:hAnsi="Arial"/>
                <w:kern w:val="0"/>
                <w:szCs w:val="21"/>
              </w:rPr>
              <w:t>5</w:t>
            </w:r>
          </w:p>
        </w:tc>
        <w:tc>
          <w:tcPr>
            <w:tcW w:w="1467" w:type="dxa"/>
            <w:gridSpan w:val="2"/>
            <w:vAlign w:val="center"/>
          </w:tcPr>
          <w:p w14:paraId="04A61DC8">
            <w:pPr>
              <w:widowControl/>
              <w:rPr>
                <w:rFonts w:ascii="Arial" w:hAnsi="Arial"/>
                <w:kern w:val="0"/>
                <w:szCs w:val="21"/>
              </w:rPr>
            </w:pPr>
            <w:r>
              <w:rPr>
                <w:rFonts w:ascii="Arial" w:hAnsi="Arial"/>
                <w:kern w:val="0"/>
                <w:szCs w:val="21"/>
              </w:rPr>
              <w:t>21AI_0008</w:t>
            </w:r>
          </w:p>
        </w:tc>
        <w:tc>
          <w:tcPr>
            <w:tcW w:w="3488" w:type="dxa"/>
            <w:gridSpan w:val="2"/>
            <w:vAlign w:val="center"/>
          </w:tcPr>
          <w:p w14:paraId="04A61DC9">
            <w:pPr>
              <w:widowControl/>
              <w:jc w:val="center"/>
              <w:rPr>
                <w:rFonts w:ascii="Arial" w:hAnsi="Arial"/>
                <w:kern w:val="0"/>
                <w:szCs w:val="21"/>
              </w:rPr>
            </w:pPr>
            <w:r>
              <w:rPr>
                <w:rFonts w:ascii="Arial" w:hAnsi="Arial"/>
                <w:kern w:val="0"/>
                <w:szCs w:val="21"/>
              </w:rPr>
              <w:t>E-21004给水PH在线指示</w:t>
            </w:r>
          </w:p>
        </w:tc>
        <w:tc>
          <w:tcPr>
            <w:tcW w:w="1079" w:type="dxa"/>
            <w:vAlign w:val="center"/>
          </w:tcPr>
          <w:p w14:paraId="04A61DCA">
            <w:pPr>
              <w:widowControl/>
              <w:jc w:val="center"/>
              <w:rPr>
                <w:rFonts w:ascii="Arial" w:hAnsi="Arial"/>
                <w:color w:val="000000"/>
                <w:kern w:val="0"/>
                <w:szCs w:val="21"/>
              </w:rPr>
            </w:pPr>
            <w:r>
              <w:rPr>
                <w:rFonts w:ascii="Arial" w:hAnsi="Arial"/>
                <w:color w:val="000000"/>
                <w:kern w:val="0"/>
                <w:szCs w:val="21"/>
              </w:rPr>
              <w:t>0-14</w:t>
            </w:r>
          </w:p>
        </w:tc>
        <w:tc>
          <w:tcPr>
            <w:tcW w:w="900" w:type="dxa"/>
            <w:vAlign w:val="center"/>
          </w:tcPr>
          <w:p w14:paraId="04A61DCB">
            <w:pPr>
              <w:widowControl/>
              <w:jc w:val="center"/>
              <w:rPr>
                <w:rFonts w:ascii="Arial" w:hAnsi="Arial"/>
                <w:kern w:val="0"/>
                <w:szCs w:val="21"/>
              </w:rPr>
            </w:pPr>
            <w:r>
              <w:rPr>
                <w:rFonts w:ascii="Arial" w:hAnsi="Arial"/>
                <w:kern w:val="0"/>
                <w:szCs w:val="21"/>
              </w:rPr>
              <w:t>　</w:t>
            </w:r>
          </w:p>
        </w:tc>
        <w:tc>
          <w:tcPr>
            <w:tcW w:w="1037" w:type="dxa"/>
            <w:gridSpan w:val="3"/>
            <w:vAlign w:val="center"/>
          </w:tcPr>
          <w:p w14:paraId="04A61DCC">
            <w:pPr>
              <w:widowControl/>
              <w:jc w:val="center"/>
              <w:rPr>
                <w:rFonts w:ascii="Arial" w:hAnsi="Arial"/>
                <w:kern w:val="0"/>
                <w:szCs w:val="21"/>
              </w:rPr>
            </w:pPr>
            <w:r>
              <w:rPr>
                <w:rFonts w:ascii="Arial" w:hAnsi="Arial"/>
                <w:kern w:val="0"/>
                <w:szCs w:val="21"/>
              </w:rPr>
              <w:t>8.5</w:t>
            </w:r>
          </w:p>
        </w:tc>
        <w:tc>
          <w:tcPr>
            <w:tcW w:w="1258" w:type="dxa"/>
            <w:gridSpan w:val="2"/>
            <w:vAlign w:val="center"/>
          </w:tcPr>
          <w:p w14:paraId="04A61DCD">
            <w:pPr>
              <w:widowControl/>
              <w:jc w:val="center"/>
              <w:rPr>
                <w:rFonts w:ascii="Arial" w:hAnsi="Arial"/>
                <w:color w:val="000000"/>
                <w:kern w:val="0"/>
                <w:szCs w:val="21"/>
              </w:rPr>
            </w:pPr>
            <w:r>
              <w:rPr>
                <w:rFonts w:ascii="Arial" w:hAnsi="Arial"/>
                <w:color w:val="000000"/>
                <w:kern w:val="0"/>
                <w:szCs w:val="21"/>
              </w:rPr>
              <w:t>11.5</w:t>
            </w:r>
          </w:p>
        </w:tc>
      </w:tr>
      <w:tr w14:paraId="04A61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0" w:type="dxa"/>
          <w:trHeight w:val="402" w:hRule="atLeast"/>
          <w:jc w:val="center"/>
        </w:trPr>
        <w:tc>
          <w:tcPr>
            <w:tcW w:w="704" w:type="dxa"/>
            <w:gridSpan w:val="2"/>
            <w:vAlign w:val="center"/>
          </w:tcPr>
          <w:p w14:paraId="04A61DCF">
            <w:pPr>
              <w:widowControl/>
              <w:jc w:val="center"/>
              <w:rPr>
                <w:rFonts w:ascii="Arial" w:hAnsi="Arial"/>
                <w:kern w:val="0"/>
                <w:szCs w:val="21"/>
              </w:rPr>
            </w:pPr>
            <w:r>
              <w:rPr>
                <w:rFonts w:ascii="Arial" w:hAnsi="Arial"/>
                <w:kern w:val="0"/>
                <w:szCs w:val="21"/>
              </w:rPr>
              <w:t>6</w:t>
            </w:r>
          </w:p>
        </w:tc>
        <w:tc>
          <w:tcPr>
            <w:tcW w:w="1467" w:type="dxa"/>
            <w:gridSpan w:val="2"/>
            <w:vAlign w:val="center"/>
          </w:tcPr>
          <w:p w14:paraId="04A61DD0">
            <w:pPr>
              <w:widowControl/>
              <w:rPr>
                <w:rFonts w:ascii="Arial" w:hAnsi="Arial"/>
                <w:kern w:val="0"/>
                <w:szCs w:val="21"/>
              </w:rPr>
            </w:pPr>
            <w:r>
              <w:rPr>
                <w:rFonts w:ascii="Arial" w:hAnsi="Arial"/>
                <w:kern w:val="0"/>
                <w:szCs w:val="21"/>
              </w:rPr>
              <w:t>21AI_0009</w:t>
            </w:r>
          </w:p>
        </w:tc>
        <w:tc>
          <w:tcPr>
            <w:tcW w:w="3488" w:type="dxa"/>
            <w:gridSpan w:val="2"/>
            <w:vAlign w:val="center"/>
          </w:tcPr>
          <w:p w14:paraId="04A61DD1">
            <w:pPr>
              <w:widowControl/>
              <w:jc w:val="center"/>
              <w:rPr>
                <w:rFonts w:ascii="Arial" w:hAnsi="Arial"/>
                <w:kern w:val="0"/>
                <w:szCs w:val="21"/>
              </w:rPr>
            </w:pPr>
            <w:r>
              <w:rPr>
                <w:rFonts w:ascii="Arial" w:hAnsi="Arial"/>
                <w:kern w:val="0"/>
                <w:szCs w:val="21"/>
              </w:rPr>
              <w:t>E-21011给水PH在线指示</w:t>
            </w:r>
          </w:p>
        </w:tc>
        <w:tc>
          <w:tcPr>
            <w:tcW w:w="1079" w:type="dxa"/>
            <w:vAlign w:val="center"/>
          </w:tcPr>
          <w:p w14:paraId="04A61DD2">
            <w:pPr>
              <w:widowControl/>
              <w:jc w:val="center"/>
              <w:rPr>
                <w:rFonts w:ascii="Arial" w:hAnsi="Arial"/>
                <w:color w:val="000000"/>
                <w:kern w:val="0"/>
                <w:szCs w:val="21"/>
              </w:rPr>
            </w:pPr>
            <w:r>
              <w:rPr>
                <w:rFonts w:ascii="Arial" w:hAnsi="Arial"/>
                <w:color w:val="000000"/>
                <w:kern w:val="0"/>
                <w:szCs w:val="21"/>
              </w:rPr>
              <w:t>0-14</w:t>
            </w:r>
          </w:p>
        </w:tc>
        <w:tc>
          <w:tcPr>
            <w:tcW w:w="900" w:type="dxa"/>
            <w:vAlign w:val="center"/>
          </w:tcPr>
          <w:p w14:paraId="04A61DD3">
            <w:pPr>
              <w:widowControl/>
              <w:jc w:val="center"/>
              <w:rPr>
                <w:rFonts w:ascii="Arial" w:hAnsi="Arial"/>
                <w:kern w:val="0"/>
                <w:szCs w:val="21"/>
              </w:rPr>
            </w:pPr>
            <w:r>
              <w:rPr>
                <w:rFonts w:ascii="Arial" w:hAnsi="Arial"/>
                <w:kern w:val="0"/>
                <w:szCs w:val="21"/>
              </w:rPr>
              <w:t>　</w:t>
            </w:r>
          </w:p>
        </w:tc>
        <w:tc>
          <w:tcPr>
            <w:tcW w:w="1037" w:type="dxa"/>
            <w:gridSpan w:val="3"/>
            <w:vAlign w:val="center"/>
          </w:tcPr>
          <w:p w14:paraId="04A61DD4">
            <w:pPr>
              <w:widowControl/>
              <w:jc w:val="center"/>
              <w:rPr>
                <w:rFonts w:ascii="Arial" w:hAnsi="Arial"/>
                <w:kern w:val="0"/>
                <w:szCs w:val="21"/>
              </w:rPr>
            </w:pPr>
            <w:r>
              <w:rPr>
                <w:rFonts w:ascii="Arial" w:hAnsi="Arial"/>
                <w:kern w:val="0"/>
                <w:szCs w:val="21"/>
              </w:rPr>
              <w:t>8.5</w:t>
            </w:r>
          </w:p>
        </w:tc>
        <w:tc>
          <w:tcPr>
            <w:tcW w:w="1258" w:type="dxa"/>
            <w:gridSpan w:val="2"/>
            <w:vAlign w:val="center"/>
          </w:tcPr>
          <w:p w14:paraId="04A61DD5">
            <w:pPr>
              <w:widowControl/>
              <w:jc w:val="center"/>
              <w:rPr>
                <w:rFonts w:ascii="Arial" w:hAnsi="Arial"/>
                <w:color w:val="000000"/>
                <w:kern w:val="0"/>
                <w:szCs w:val="21"/>
              </w:rPr>
            </w:pPr>
            <w:r>
              <w:rPr>
                <w:rFonts w:ascii="Arial" w:hAnsi="Arial"/>
                <w:color w:val="000000"/>
                <w:kern w:val="0"/>
                <w:szCs w:val="21"/>
              </w:rPr>
              <w:t>11.5</w:t>
            </w:r>
          </w:p>
        </w:tc>
      </w:tr>
      <w:tr w14:paraId="04A61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0" w:type="dxa"/>
          <w:trHeight w:val="402" w:hRule="atLeast"/>
          <w:jc w:val="center"/>
        </w:trPr>
        <w:tc>
          <w:tcPr>
            <w:tcW w:w="704" w:type="dxa"/>
            <w:gridSpan w:val="2"/>
            <w:vAlign w:val="center"/>
          </w:tcPr>
          <w:p w14:paraId="04A61DD7">
            <w:pPr>
              <w:widowControl/>
              <w:jc w:val="center"/>
              <w:rPr>
                <w:rFonts w:ascii="Arial" w:hAnsi="Arial"/>
                <w:kern w:val="0"/>
                <w:szCs w:val="21"/>
              </w:rPr>
            </w:pPr>
          </w:p>
        </w:tc>
        <w:tc>
          <w:tcPr>
            <w:tcW w:w="1467" w:type="dxa"/>
            <w:gridSpan w:val="2"/>
            <w:vAlign w:val="center"/>
          </w:tcPr>
          <w:p w14:paraId="04A61DD8">
            <w:pPr>
              <w:widowControl/>
              <w:rPr>
                <w:rFonts w:ascii="Arial" w:hAnsi="Arial"/>
                <w:kern w:val="0"/>
                <w:szCs w:val="21"/>
              </w:rPr>
            </w:pPr>
          </w:p>
        </w:tc>
        <w:tc>
          <w:tcPr>
            <w:tcW w:w="3488" w:type="dxa"/>
            <w:gridSpan w:val="2"/>
            <w:vAlign w:val="center"/>
          </w:tcPr>
          <w:p w14:paraId="04A61DD9">
            <w:pPr>
              <w:widowControl/>
              <w:jc w:val="center"/>
              <w:rPr>
                <w:rFonts w:ascii="Arial" w:hAnsi="Arial"/>
                <w:kern w:val="0"/>
                <w:szCs w:val="21"/>
              </w:rPr>
            </w:pPr>
          </w:p>
        </w:tc>
        <w:tc>
          <w:tcPr>
            <w:tcW w:w="1079" w:type="dxa"/>
            <w:vAlign w:val="center"/>
          </w:tcPr>
          <w:p w14:paraId="04A61DDA">
            <w:pPr>
              <w:widowControl/>
              <w:jc w:val="center"/>
              <w:rPr>
                <w:rFonts w:ascii="Arial" w:hAnsi="Arial"/>
                <w:color w:val="000000"/>
                <w:kern w:val="0"/>
                <w:szCs w:val="21"/>
              </w:rPr>
            </w:pPr>
          </w:p>
        </w:tc>
        <w:tc>
          <w:tcPr>
            <w:tcW w:w="900" w:type="dxa"/>
            <w:vAlign w:val="center"/>
          </w:tcPr>
          <w:p w14:paraId="04A61DDB">
            <w:pPr>
              <w:widowControl/>
              <w:jc w:val="center"/>
              <w:rPr>
                <w:rFonts w:ascii="Arial" w:hAnsi="Arial"/>
                <w:kern w:val="0"/>
                <w:szCs w:val="21"/>
              </w:rPr>
            </w:pPr>
          </w:p>
        </w:tc>
        <w:tc>
          <w:tcPr>
            <w:tcW w:w="1037" w:type="dxa"/>
            <w:gridSpan w:val="3"/>
            <w:vAlign w:val="center"/>
          </w:tcPr>
          <w:p w14:paraId="04A61DDC">
            <w:pPr>
              <w:widowControl/>
              <w:jc w:val="center"/>
              <w:rPr>
                <w:rFonts w:ascii="Arial" w:hAnsi="Arial"/>
                <w:kern w:val="0"/>
                <w:szCs w:val="21"/>
              </w:rPr>
            </w:pPr>
          </w:p>
        </w:tc>
        <w:tc>
          <w:tcPr>
            <w:tcW w:w="1258" w:type="dxa"/>
            <w:gridSpan w:val="2"/>
            <w:vAlign w:val="center"/>
          </w:tcPr>
          <w:p w14:paraId="04A61DDD">
            <w:pPr>
              <w:widowControl/>
              <w:jc w:val="center"/>
              <w:rPr>
                <w:rFonts w:ascii="Arial" w:hAnsi="Arial"/>
                <w:color w:val="000000"/>
                <w:kern w:val="0"/>
                <w:szCs w:val="21"/>
              </w:rPr>
            </w:pPr>
          </w:p>
        </w:tc>
      </w:tr>
      <w:tr w14:paraId="04A61DE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wBefore w:w="90" w:type="dxa"/>
          <w:trHeight w:val="400" w:hRule="atLeast"/>
          <w:jc w:val="center"/>
        </w:trPr>
        <w:tc>
          <w:tcPr>
            <w:tcW w:w="659" w:type="dxa"/>
            <w:gridSpan w:val="2"/>
            <w:tcBorders>
              <w:top w:val="single" w:color="auto" w:sz="4" w:space="0"/>
              <w:left w:val="single" w:color="auto" w:sz="4" w:space="0"/>
              <w:bottom w:val="single" w:color="auto" w:sz="4" w:space="0"/>
              <w:right w:val="single" w:color="auto" w:sz="4" w:space="0"/>
            </w:tcBorders>
            <w:vAlign w:val="center"/>
          </w:tcPr>
          <w:p w14:paraId="04A61DDF">
            <w:pPr>
              <w:widowControl/>
              <w:jc w:val="center"/>
              <w:rPr>
                <w:rFonts w:hint="eastAsia" w:ascii="宋体" w:hAnsi="宋体" w:cs="宋体"/>
                <w:b/>
                <w:bCs/>
                <w:kern w:val="0"/>
                <w:sz w:val="20"/>
                <w:szCs w:val="20"/>
              </w:rPr>
            </w:pPr>
            <w:r>
              <w:rPr>
                <w:rFonts w:hint="eastAsia" w:ascii="宋体" w:hAnsi="宋体" w:cs="宋体"/>
                <w:b/>
                <w:bCs/>
                <w:kern w:val="0"/>
                <w:sz w:val="20"/>
                <w:szCs w:val="20"/>
              </w:rPr>
              <w:t>序号</w:t>
            </w:r>
          </w:p>
        </w:tc>
        <w:tc>
          <w:tcPr>
            <w:tcW w:w="1903" w:type="dxa"/>
            <w:gridSpan w:val="2"/>
            <w:tcBorders>
              <w:top w:val="single" w:color="auto" w:sz="4" w:space="0"/>
              <w:left w:val="nil"/>
              <w:bottom w:val="single" w:color="auto" w:sz="4" w:space="0"/>
              <w:right w:val="single" w:color="auto" w:sz="4" w:space="0"/>
            </w:tcBorders>
            <w:vAlign w:val="center"/>
          </w:tcPr>
          <w:p w14:paraId="04A61DE0">
            <w:pPr>
              <w:widowControl/>
              <w:jc w:val="center"/>
              <w:rPr>
                <w:rFonts w:hint="eastAsia" w:ascii="宋体" w:hAnsi="宋体" w:cs="宋体"/>
                <w:b/>
                <w:bCs/>
                <w:kern w:val="0"/>
                <w:sz w:val="20"/>
                <w:szCs w:val="20"/>
              </w:rPr>
            </w:pPr>
            <w:r>
              <w:rPr>
                <w:rFonts w:hint="eastAsia" w:ascii="宋体" w:hAnsi="宋体" w:cs="宋体"/>
                <w:b/>
                <w:bCs/>
                <w:kern w:val="0"/>
                <w:sz w:val="20"/>
                <w:szCs w:val="20"/>
              </w:rPr>
              <w:t>产品名称</w:t>
            </w:r>
          </w:p>
        </w:tc>
        <w:tc>
          <w:tcPr>
            <w:tcW w:w="5096" w:type="dxa"/>
            <w:gridSpan w:val="4"/>
            <w:tcBorders>
              <w:top w:val="single" w:color="auto" w:sz="4" w:space="0"/>
              <w:left w:val="nil"/>
              <w:bottom w:val="single" w:color="auto" w:sz="4" w:space="0"/>
              <w:right w:val="single" w:color="auto" w:sz="4" w:space="0"/>
            </w:tcBorders>
            <w:vAlign w:val="center"/>
          </w:tcPr>
          <w:p w14:paraId="04A61DE1">
            <w:pPr>
              <w:widowControl/>
              <w:jc w:val="center"/>
              <w:rPr>
                <w:rFonts w:hint="eastAsia" w:ascii="宋体" w:hAnsi="宋体" w:cs="宋体"/>
                <w:b/>
                <w:bCs/>
                <w:kern w:val="0"/>
                <w:sz w:val="20"/>
                <w:szCs w:val="20"/>
              </w:rPr>
            </w:pPr>
            <w:r>
              <w:rPr>
                <w:rFonts w:hint="eastAsia" w:ascii="宋体" w:hAnsi="宋体" w:cs="宋体"/>
                <w:b/>
                <w:bCs/>
                <w:kern w:val="0"/>
                <w:sz w:val="20"/>
                <w:szCs w:val="20"/>
              </w:rPr>
              <w:t>型号、参数</w:t>
            </w:r>
          </w:p>
        </w:tc>
        <w:tc>
          <w:tcPr>
            <w:tcW w:w="860" w:type="dxa"/>
            <w:tcBorders>
              <w:top w:val="single" w:color="auto" w:sz="4" w:space="0"/>
              <w:left w:val="nil"/>
              <w:bottom w:val="single" w:color="auto" w:sz="4" w:space="0"/>
              <w:right w:val="single" w:color="auto" w:sz="4" w:space="0"/>
            </w:tcBorders>
            <w:vAlign w:val="center"/>
          </w:tcPr>
          <w:p w14:paraId="04A61DE2">
            <w:pPr>
              <w:widowControl/>
              <w:jc w:val="center"/>
              <w:rPr>
                <w:rFonts w:hint="eastAsia" w:ascii="宋体" w:hAnsi="宋体" w:cs="宋体"/>
                <w:b/>
                <w:bCs/>
                <w:kern w:val="0"/>
                <w:sz w:val="20"/>
                <w:szCs w:val="20"/>
              </w:rPr>
            </w:pPr>
            <w:r>
              <w:rPr>
                <w:rFonts w:hint="eastAsia" w:ascii="宋体" w:hAnsi="宋体" w:cs="宋体"/>
                <w:b/>
                <w:bCs/>
                <w:kern w:val="0"/>
                <w:sz w:val="20"/>
                <w:szCs w:val="20"/>
              </w:rPr>
              <w:t>生产厂家</w:t>
            </w:r>
          </w:p>
        </w:tc>
        <w:tc>
          <w:tcPr>
            <w:tcW w:w="720" w:type="dxa"/>
            <w:gridSpan w:val="2"/>
            <w:tcBorders>
              <w:top w:val="single" w:color="auto" w:sz="4" w:space="0"/>
              <w:left w:val="nil"/>
              <w:bottom w:val="single" w:color="auto" w:sz="4" w:space="0"/>
              <w:right w:val="single" w:color="auto" w:sz="4" w:space="0"/>
            </w:tcBorders>
            <w:vAlign w:val="center"/>
          </w:tcPr>
          <w:p w14:paraId="04A61DE3">
            <w:pPr>
              <w:widowControl/>
              <w:jc w:val="center"/>
              <w:rPr>
                <w:rFonts w:hint="eastAsia" w:ascii="宋体" w:hAnsi="宋体" w:cs="宋体"/>
                <w:b/>
                <w:bCs/>
                <w:kern w:val="0"/>
                <w:sz w:val="20"/>
                <w:szCs w:val="20"/>
              </w:rPr>
            </w:pPr>
            <w:r>
              <w:rPr>
                <w:rFonts w:hint="eastAsia" w:ascii="宋体" w:hAnsi="宋体" w:cs="宋体"/>
                <w:b/>
                <w:bCs/>
                <w:kern w:val="0"/>
                <w:sz w:val="20"/>
                <w:szCs w:val="20"/>
              </w:rPr>
              <w:t>单位</w:t>
            </w:r>
          </w:p>
        </w:tc>
        <w:tc>
          <w:tcPr>
            <w:tcW w:w="725" w:type="dxa"/>
            <w:gridSpan w:val="2"/>
            <w:tcBorders>
              <w:top w:val="single" w:color="auto" w:sz="4" w:space="0"/>
              <w:left w:val="nil"/>
              <w:bottom w:val="single" w:color="auto" w:sz="4" w:space="0"/>
              <w:right w:val="single" w:color="auto" w:sz="4" w:space="0"/>
            </w:tcBorders>
            <w:vAlign w:val="center"/>
          </w:tcPr>
          <w:p w14:paraId="04A61DE4">
            <w:pPr>
              <w:widowControl/>
              <w:jc w:val="center"/>
              <w:rPr>
                <w:rFonts w:hint="eastAsia" w:ascii="宋体" w:hAnsi="宋体" w:cs="宋体"/>
                <w:b/>
                <w:bCs/>
                <w:kern w:val="0"/>
                <w:sz w:val="20"/>
                <w:szCs w:val="20"/>
              </w:rPr>
            </w:pPr>
            <w:r>
              <w:rPr>
                <w:rFonts w:hint="eastAsia" w:ascii="宋体" w:hAnsi="宋体" w:cs="宋体"/>
                <w:b/>
                <w:bCs/>
                <w:kern w:val="0"/>
                <w:sz w:val="20"/>
                <w:szCs w:val="20"/>
              </w:rPr>
              <w:t>数量</w:t>
            </w:r>
          </w:p>
        </w:tc>
      </w:tr>
      <w:tr w14:paraId="04A61DE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wBefore w:w="90" w:type="dxa"/>
          <w:trHeight w:val="450" w:hRule="atLeast"/>
          <w:jc w:val="center"/>
        </w:trPr>
        <w:tc>
          <w:tcPr>
            <w:tcW w:w="659" w:type="dxa"/>
            <w:gridSpan w:val="2"/>
            <w:tcBorders>
              <w:top w:val="nil"/>
              <w:left w:val="single" w:color="auto" w:sz="4" w:space="0"/>
              <w:bottom w:val="single" w:color="auto" w:sz="4" w:space="0"/>
              <w:right w:val="single" w:color="auto" w:sz="4" w:space="0"/>
            </w:tcBorders>
            <w:vAlign w:val="center"/>
          </w:tcPr>
          <w:p w14:paraId="04A61DE6">
            <w:pPr>
              <w:widowControl/>
              <w:jc w:val="center"/>
              <w:rPr>
                <w:rFonts w:hint="eastAsia" w:ascii="宋体" w:hAnsi="宋体" w:cs="宋体"/>
                <w:b/>
                <w:bCs/>
                <w:kern w:val="0"/>
                <w:sz w:val="20"/>
                <w:szCs w:val="20"/>
              </w:rPr>
            </w:pPr>
            <w:r>
              <w:rPr>
                <w:rFonts w:hint="eastAsia" w:ascii="宋体" w:hAnsi="宋体" w:cs="宋体"/>
                <w:b/>
                <w:bCs/>
                <w:kern w:val="0"/>
                <w:sz w:val="20"/>
                <w:szCs w:val="20"/>
              </w:rPr>
              <w:t>一</w:t>
            </w:r>
          </w:p>
        </w:tc>
        <w:tc>
          <w:tcPr>
            <w:tcW w:w="9304" w:type="dxa"/>
            <w:gridSpan w:val="11"/>
            <w:tcBorders>
              <w:top w:val="single" w:color="auto" w:sz="4" w:space="0"/>
              <w:left w:val="nil"/>
              <w:bottom w:val="single" w:color="auto" w:sz="4" w:space="0"/>
              <w:right w:val="single" w:color="auto" w:sz="4" w:space="0"/>
            </w:tcBorders>
            <w:vAlign w:val="center"/>
          </w:tcPr>
          <w:p w14:paraId="04A61DE7">
            <w:pPr>
              <w:widowControl/>
              <w:jc w:val="left"/>
              <w:rPr>
                <w:rFonts w:hint="eastAsia" w:ascii="宋体" w:hAnsi="宋体" w:cs="宋体"/>
                <w:b/>
                <w:bCs/>
                <w:kern w:val="0"/>
                <w:sz w:val="20"/>
                <w:szCs w:val="20"/>
              </w:rPr>
            </w:pPr>
            <w:r>
              <w:rPr>
                <w:rFonts w:hint="eastAsia" w:ascii="宋体" w:hAnsi="宋体" w:cs="宋体"/>
                <w:b/>
                <w:bCs/>
                <w:kern w:val="0"/>
                <w:sz w:val="20"/>
                <w:szCs w:val="20"/>
              </w:rPr>
              <w:t>在线分析仪</w:t>
            </w:r>
          </w:p>
        </w:tc>
      </w:tr>
      <w:tr w14:paraId="04A61DE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wBefore w:w="90" w:type="dxa"/>
          <w:trHeight w:val="643" w:hRule="atLeast"/>
          <w:jc w:val="center"/>
        </w:trPr>
        <w:tc>
          <w:tcPr>
            <w:tcW w:w="659" w:type="dxa"/>
            <w:gridSpan w:val="2"/>
            <w:tcBorders>
              <w:top w:val="nil"/>
              <w:left w:val="single" w:color="auto" w:sz="4" w:space="0"/>
              <w:bottom w:val="single" w:color="auto" w:sz="4" w:space="0"/>
              <w:right w:val="single" w:color="auto" w:sz="4" w:space="0"/>
            </w:tcBorders>
            <w:vAlign w:val="center"/>
          </w:tcPr>
          <w:p w14:paraId="04A61DE9">
            <w:pPr>
              <w:widowControl/>
              <w:jc w:val="center"/>
              <w:rPr>
                <w:rFonts w:hint="eastAsia" w:ascii="宋体" w:hAnsi="宋体" w:cs="宋体"/>
                <w:kern w:val="0"/>
                <w:sz w:val="20"/>
                <w:szCs w:val="20"/>
              </w:rPr>
            </w:pPr>
            <w:r>
              <w:rPr>
                <w:rFonts w:hint="eastAsia" w:ascii="宋体" w:hAnsi="宋体" w:cs="宋体"/>
                <w:kern w:val="0"/>
                <w:sz w:val="20"/>
                <w:szCs w:val="20"/>
              </w:rPr>
              <w:t>1</w:t>
            </w:r>
          </w:p>
        </w:tc>
        <w:tc>
          <w:tcPr>
            <w:tcW w:w="1903" w:type="dxa"/>
            <w:gridSpan w:val="2"/>
            <w:tcBorders>
              <w:top w:val="nil"/>
              <w:left w:val="nil"/>
              <w:bottom w:val="single" w:color="auto" w:sz="4" w:space="0"/>
              <w:right w:val="single" w:color="auto" w:sz="4" w:space="0"/>
            </w:tcBorders>
            <w:vAlign w:val="center"/>
          </w:tcPr>
          <w:p w14:paraId="04A61DEA">
            <w:pPr>
              <w:widowControl/>
              <w:jc w:val="center"/>
              <w:rPr>
                <w:rFonts w:hint="eastAsia" w:ascii="宋体" w:hAnsi="宋体" w:cs="宋体"/>
                <w:kern w:val="0"/>
                <w:sz w:val="20"/>
                <w:szCs w:val="20"/>
              </w:rPr>
            </w:pPr>
            <w:r>
              <w:rPr>
                <w:rFonts w:hint="eastAsia" w:ascii="宋体" w:hAnsi="宋体" w:cs="宋体"/>
                <w:kern w:val="0"/>
                <w:sz w:val="20"/>
                <w:szCs w:val="20"/>
              </w:rPr>
              <w:t>热导分析仪及附件</w:t>
            </w:r>
          </w:p>
        </w:tc>
        <w:tc>
          <w:tcPr>
            <w:tcW w:w="5096" w:type="dxa"/>
            <w:gridSpan w:val="4"/>
            <w:tcBorders>
              <w:top w:val="nil"/>
              <w:left w:val="nil"/>
              <w:bottom w:val="single" w:color="auto" w:sz="4" w:space="0"/>
              <w:right w:val="single" w:color="auto" w:sz="4" w:space="0"/>
            </w:tcBorders>
            <w:vAlign w:val="center"/>
          </w:tcPr>
          <w:p w14:paraId="04A61DEB">
            <w:pPr>
              <w:widowControl/>
              <w:jc w:val="left"/>
              <w:rPr>
                <w:rFonts w:hint="eastAsia" w:ascii="宋体" w:hAnsi="宋体" w:cs="宋体"/>
                <w:kern w:val="0"/>
                <w:sz w:val="20"/>
                <w:szCs w:val="20"/>
              </w:rPr>
            </w:pPr>
            <w:r>
              <w:rPr>
                <w:rFonts w:hint="eastAsia" w:ascii="宋体" w:hAnsi="宋体" w:cs="宋体"/>
                <w:kern w:val="0"/>
                <w:sz w:val="20"/>
                <w:szCs w:val="20"/>
              </w:rPr>
              <w:t>C6整机，检测器和附件</w:t>
            </w:r>
          </w:p>
        </w:tc>
        <w:tc>
          <w:tcPr>
            <w:tcW w:w="860" w:type="dxa"/>
            <w:tcBorders>
              <w:top w:val="nil"/>
              <w:left w:val="nil"/>
              <w:bottom w:val="single" w:color="auto" w:sz="4" w:space="0"/>
              <w:right w:val="single" w:color="auto" w:sz="4" w:space="0"/>
            </w:tcBorders>
            <w:vAlign w:val="center"/>
          </w:tcPr>
          <w:p w14:paraId="04A61DEC">
            <w:pPr>
              <w:widowControl/>
              <w:jc w:val="center"/>
              <w:rPr>
                <w:rFonts w:hint="eastAsia" w:ascii="宋体" w:hAnsi="宋体" w:cs="宋体"/>
                <w:kern w:val="0"/>
                <w:sz w:val="20"/>
                <w:szCs w:val="20"/>
                <w:highlight w:val="yellow"/>
              </w:rPr>
            </w:pPr>
            <w:r>
              <w:rPr>
                <w:rFonts w:hint="eastAsia" w:ascii="宋体" w:hAnsi="宋体" w:cs="宋体"/>
                <w:kern w:val="0"/>
                <w:sz w:val="20"/>
                <w:szCs w:val="20"/>
                <w:highlight w:val="yellow"/>
              </w:rPr>
              <w:t>西门子</w:t>
            </w:r>
          </w:p>
        </w:tc>
        <w:tc>
          <w:tcPr>
            <w:tcW w:w="720" w:type="dxa"/>
            <w:gridSpan w:val="2"/>
            <w:tcBorders>
              <w:top w:val="nil"/>
              <w:left w:val="nil"/>
              <w:bottom w:val="single" w:color="auto" w:sz="4" w:space="0"/>
              <w:right w:val="single" w:color="auto" w:sz="4" w:space="0"/>
            </w:tcBorders>
            <w:vAlign w:val="center"/>
          </w:tcPr>
          <w:p w14:paraId="04A61DED">
            <w:pPr>
              <w:widowControl/>
              <w:jc w:val="center"/>
              <w:rPr>
                <w:rFonts w:hint="eastAsia" w:ascii="宋体" w:hAnsi="宋体" w:cs="宋体"/>
                <w:kern w:val="0"/>
                <w:sz w:val="20"/>
                <w:szCs w:val="20"/>
              </w:rPr>
            </w:pPr>
            <w:r>
              <w:rPr>
                <w:rFonts w:hint="eastAsia" w:ascii="宋体" w:hAnsi="宋体" w:cs="宋体"/>
                <w:kern w:val="0"/>
                <w:sz w:val="20"/>
                <w:szCs w:val="20"/>
              </w:rPr>
              <w:t>套</w:t>
            </w:r>
          </w:p>
        </w:tc>
        <w:tc>
          <w:tcPr>
            <w:tcW w:w="725" w:type="dxa"/>
            <w:gridSpan w:val="2"/>
            <w:tcBorders>
              <w:top w:val="nil"/>
              <w:left w:val="nil"/>
              <w:bottom w:val="single" w:color="auto" w:sz="4" w:space="0"/>
              <w:right w:val="single" w:color="auto" w:sz="4" w:space="0"/>
            </w:tcBorders>
            <w:vAlign w:val="center"/>
          </w:tcPr>
          <w:p w14:paraId="04A61DEE">
            <w:pPr>
              <w:widowControl/>
              <w:jc w:val="center"/>
              <w:rPr>
                <w:rFonts w:hint="eastAsia" w:ascii="宋体" w:hAnsi="宋体" w:cs="宋体"/>
                <w:kern w:val="0"/>
                <w:sz w:val="20"/>
                <w:szCs w:val="20"/>
              </w:rPr>
            </w:pPr>
            <w:r>
              <w:rPr>
                <w:rFonts w:hint="eastAsia" w:ascii="宋体" w:hAnsi="宋体" w:cs="宋体"/>
                <w:kern w:val="0"/>
                <w:sz w:val="20"/>
                <w:szCs w:val="20"/>
              </w:rPr>
              <w:t xml:space="preserve">1 </w:t>
            </w:r>
          </w:p>
        </w:tc>
      </w:tr>
      <w:tr w14:paraId="04A61DF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wBefore w:w="90" w:type="dxa"/>
          <w:trHeight w:val="643" w:hRule="atLeast"/>
          <w:jc w:val="center"/>
        </w:trPr>
        <w:tc>
          <w:tcPr>
            <w:tcW w:w="659" w:type="dxa"/>
            <w:gridSpan w:val="2"/>
            <w:tcBorders>
              <w:top w:val="nil"/>
              <w:left w:val="single" w:color="auto" w:sz="4" w:space="0"/>
              <w:bottom w:val="single" w:color="auto" w:sz="4" w:space="0"/>
              <w:right w:val="single" w:color="auto" w:sz="4" w:space="0"/>
            </w:tcBorders>
            <w:vAlign w:val="center"/>
          </w:tcPr>
          <w:p w14:paraId="04A61DF0">
            <w:pPr>
              <w:widowControl/>
              <w:jc w:val="center"/>
              <w:rPr>
                <w:rFonts w:hint="eastAsia" w:ascii="宋体" w:hAnsi="宋体" w:cs="宋体"/>
                <w:kern w:val="0"/>
                <w:sz w:val="20"/>
                <w:szCs w:val="20"/>
              </w:rPr>
            </w:pPr>
            <w:r>
              <w:rPr>
                <w:rFonts w:hint="eastAsia" w:ascii="宋体" w:hAnsi="宋体" w:cs="宋体"/>
                <w:kern w:val="0"/>
                <w:sz w:val="20"/>
                <w:szCs w:val="20"/>
              </w:rPr>
              <w:t>2</w:t>
            </w:r>
          </w:p>
        </w:tc>
        <w:tc>
          <w:tcPr>
            <w:tcW w:w="1903" w:type="dxa"/>
            <w:gridSpan w:val="2"/>
            <w:tcBorders>
              <w:top w:val="nil"/>
              <w:left w:val="nil"/>
              <w:bottom w:val="single" w:color="auto" w:sz="4" w:space="0"/>
              <w:right w:val="single" w:color="auto" w:sz="4" w:space="0"/>
            </w:tcBorders>
            <w:vAlign w:val="center"/>
          </w:tcPr>
          <w:p w14:paraId="04A61DF1">
            <w:pPr>
              <w:widowControl/>
              <w:jc w:val="center"/>
              <w:rPr>
                <w:rFonts w:hint="eastAsia" w:ascii="宋体" w:hAnsi="宋体" w:cs="宋体"/>
                <w:kern w:val="0"/>
                <w:sz w:val="20"/>
                <w:szCs w:val="20"/>
              </w:rPr>
            </w:pPr>
            <w:r>
              <w:rPr>
                <w:rFonts w:hint="eastAsia" w:ascii="宋体" w:hAnsi="宋体" w:cs="宋体"/>
                <w:kern w:val="0"/>
                <w:sz w:val="20"/>
                <w:szCs w:val="20"/>
              </w:rPr>
              <w:t>色谱分析仪及备件</w:t>
            </w:r>
          </w:p>
        </w:tc>
        <w:tc>
          <w:tcPr>
            <w:tcW w:w="5096" w:type="dxa"/>
            <w:gridSpan w:val="4"/>
            <w:tcBorders>
              <w:top w:val="nil"/>
              <w:left w:val="nil"/>
              <w:bottom w:val="single" w:color="auto" w:sz="4" w:space="0"/>
              <w:right w:val="single" w:color="auto" w:sz="4" w:space="0"/>
            </w:tcBorders>
            <w:vAlign w:val="center"/>
          </w:tcPr>
          <w:p w14:paraId="04A61DF2">
            <w:pPr>
              <w:widowControl/>
              <w:jc w:val="left"/>
              <w:rPr>
                <w:rFonts w:hint="eastAsia" w:ascii="宋体" w:hAnsi="宋体" w:cs="宋体"/>
                <w:kern w:val="0"/>
                <w:sz w:val="20"/>
                <w:szCs w:val="20"/>
              </w:rPr>
            </w:pPr>
            <w:r>
              <w:rPr>
                <w:rFonts w:hint="eastAsia" w:ascii="宋体" w:hAnsi="宋体" w:cs="宋体"/>
                <w:kern w:val="0"/>
                <w:sz w:val="20"/>
                <w:szCs w:val="20"/>
              </w:rPr>
              <w:t>0-1ppm N2整机 检测器和主板</w:t>
            </w:r>
          </w:p>
        </w:tc>
        <w:tc>
          <w:tcPr>
            <w:tcW w:w="860" w:type="dxa"/>
            <w:tcBorders>
              <w:top w:val="nil"/>
              <w:left w:val="nil"/>
              <w:bottom w:val="single" w:color="auto" w:sz="4" w:space="0"/>
              <w:right w:val="single" w:color="auto" w:sz="4" w:space="0"/>
            </w:tcBorders>
            <w:vAlign w:val="center"/>
          </w:tcPr>
          <w:p w14:paraId="04A61DF3">
            <w:pPr>
              <w:widowControl/>
              <w:jc w:val="center"/>
              <w:rPr>
                <w:rFonts w:hint="eastAsia" w:ascii="宋体" w:hAnsi="宋体" w:cs="宋体"/>
                <w:kern w:val="0"/>
                <w:sz w:val="20"/>
                <w:szCs w:val="20"/>
                <w:highlight w:val="yellow"/>
              </w:rPr>
            </w:pPr>
            <w:r>
              <w:rPr>
                <w:rFonts w:hint="eastAsia" w:ascii="宋体" w:hAnsi="宋体" w:cs="宋体"/>
                <w:kern w:val="0"/>
                <w:sz w:val="20"/>
                <w:szCs w:val="20"/>
                <w:highlight w:val="yellow"/>
              </w:rPr>
              <w:t>艾默生/维美德/仕福梅</w:t>
            </w:r>
            <w:bookmarkStart w:id="94" w:name="_GoBack"/>
            <w:bookmarkEnd w:id="94"/>
          </w:p>
        </w:tc>
        <w:tc>
          <w:tcPr>
            <w:tcW w:w="720" w:type="dxa"/>
            <w:gridSpan w:val="2"/>
            <w:tcBorders>
              <w:top w:val="nil"/>
              <w:left w:val="nil"/>
              <w:bottom w:val="single" w:color="auto" w:sz="4" w:space="0"/>
              <w:right w:val="single" w:color="auto" w:sz="4" w:space="0"/>
            </w:tcBorders>
            <w:vAlign w:val="center"/>
          </w:tcPr>
          <w:p w14:paraId="04A61DF4">
            <w:pPr>
              <w:widowControl/>
              <w:jc w:val="center"/>
              <w:rPr>
                <w:rFonts w:hint="eastAsia" w:ascii="宋体" w:hAnsi="宋体" w:cs="宋体"/>
                <w:kern w:val="0"/>
                <w:sz w:val="20"/>
                <w:szCs w:val="20"/>
              </w:rPr>
            </w:pPr>
            <w:r>
              <w:rPr>
                <w:rFonts w:hint="eastAsia" w:ascii="宋体" w:hAnsi="宋体" w:cs="宋体"/>
                <w:kern w:val="0"/>
                <w:sz w:val="20"/>
                <w:szCs w:val="20"/>
              </w:rPr>
              <w:t>套</w:t>
            </w:r>
          </w:p>
        </w:tc>
        <w:tc>
          <w:tcPr>
            <w:tcW w:w="725" w:type="dxa"/>
            <w:gridSpan w:val="2"/>
            <w:tcBorders>
              <w:top w:val="nil"/>
              <w:left w:val="nil"/>
              <w:bottom w:val="single" w:color="auto" w:sz="4" w:space="0"/>
              <w:right w:val="single" w:color="auto" w:sz="4" w:space="0"/>
            </w:tcBorders>
            <w:vAlign w:val="center"/>
          </w:tcPr>
          <w:p w14:paraId="04A61DF5">
            <w:pPr>
              <w:widowControl/>
              <w:jc w:val="center"/>
              <w:rPr>
                <w:rFonts w:hint="eastAsia" w:ascii="宋体" w:hAnsi="宋体" w:cs="宋体"/>
                <w:kern w:val="0"/>
                <w:sz w:val="20"/>
                <w:szCs w:val="20"/>
              </w:rPr>
            </w:pPr>
            <w:r>
              <w:rPr>
                <w:rFonts w:hint="eastAsia" w:ascii="宋体" w:hAnsi="宋体" w:cs="宋体"/>
                <w:kern w:val="0"/>
                <w:sz w:val="20"/>
                <w:szCs w:val="20"/>
              </w:rPr>
              <w:t xml:space="preserve">1 </w:t>
            </w:r>
          </w:p>
        </w:tc>
      </w:tr>
      <w:tr w14:paraId="04A61DF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wBefore w:w="90" w:type="dxa"/>
          <w:trHeight w:val="643" w:hRule="atLeast"/>
          <w:jc w:val="center"/>
        </w:trPr>
        <w:tc>
          <w:tcPr>
            <w:tcW w:w="659" w:type="dxa"/>
            <w:gridSpan w:val="2"/>
            <w:tcBorders>
              <w:top w:val="nil"/>
              <w:left w:val="single" w:color="auto" w:sz="4" w:space="0"/>
              <w:bottom w:val="single" w:color="auto" w:sz="4" w:space="0"/>
              <w:right w:val="single" w:color="auto" w:sz="4" w:space="0"/>
            </w:tcBorders>
            <w:vAlign w:val="center"/>
          </w:tcPr>
          <w:p w14:paraId="04A61DF7">
            <w:pPr>
              <w:widowControl/>
              <w:jc w:val="center"/>
              <w:rPr>
                <w:rFonts w:hint="eastAsia" w:ascii="宋体" w:hAnsi="宋体" w:cs="宋体"/>
                <w:kern w:val="0"/>
                <w:sz w:val="20"/>
                <w:szCs w:val="20"/>
              </w:rPr>
            </w:pPr>
            <w:r>
              <w:rPr>
                <w:rFonts w:hint="eastAsia" w:ascii="宋体" w:hAnsi="宋体" w:cs="宋体"/>
                <w:kern w:val="0"/>
                <w:sz w:val="20"/>
                <w:szCs w:val="20"/>
              </w:rPr>
              <w:t>二</w:t>
            </w:r>
          </w:p>
        </w:tc>
        <w:tc>
          <w:tcPr>
            <w:tcW w:w="9304" w:type="dxa"/>
            <w:gridSpan w:val="11"/>
            <w:tcBorders>
              <w:top w:val="single" w:color="auto" w:sz="4" w:space="0"/>
              <w:left w:val="nil"/>
              <w:bottom w:val="single" w:color="auto" w:sz="4" w:space="0"/>
              <w:right w:val="single" w:color="auto" w:sz="4" w:space="0"/>
            </w:tcBorders>
            <w:vAlign w:val="center"/>
          </w:tcPr>
          <w:p w14:paraId="04A61DF8">
            <w:pPr>
              <w:widowControl/>
              <w:jc w:val="left"/>
              <w:rPr>
                <w:rFonts w:hint="eastAsia" w:ascii="宋体" w:hAnsi="宋体" w:cs="宋体"/>
                <w:b/>
                <w:bCs/>
                <w:kern w:val="0"/>
                <w:sz w:val="20"/>
                <w:szCs w:val="20"/>
              </w:rPr>
            </w:pPr>
            <w:r>
              <w:rPr>
                <w:rFonts w:hint="eastAsia" w:ascii="宋体" w:hAnsi="宋体" w:cs="宋体"/>
                <w:b/>
                <w:bCs/>
                <w:kern w:val="0"/>
                <w:sz w:val="20"/>
                <w:szCs w:val="20"/>
              </w:rPr>
              <w:t>气化703装置分析仪</w:t>
            </w:r>
          </w:p>
        </w:tc>
      </w:tr>
      <w:tr w14:paraId="04A61E0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wBefore w:w="90" w:type="dxa"/>
          <w:trHeight w:val="910" w:hRule="atLeast"/>
          <w:jc w:val="center"/>
        </w:trPr>
        <w:tc>
          <w:tcPr>
            <w:tcW w:w="659" w:type="dxa"/>
            <w:gridSpan w:val="2"/>
            <w:tcBorders>
              <w:top w:val="nil"/>
              <w:left w:val="single" w:color="auto" w:sz="4" w:space="0"/>
              <w:bottom w:val="single" w:color="auto" w:sz="4" w:space="0"/>
              <w:right w:val="single" w:color="auto" w:sz="4" w:space="0"/>
            </w:tcBorders>
            <w:vAlign w:val="center"/>
          </w:tcPr>
          <w:p w14:paraId="04A61DFA">
            <w:pPr>
              <w:widowControl/>
              <w:jc w:val="center"/>
              <w:rPr>
                <w:rFonts w:hint="eastAsia" w:ascii="宋体" w:hAnsi="宋体" w:cs="宋体"/>
                <w:kern w:val="0"/>
                <w:sz w:val="20"/>
                <w:szCs w:val="20"/>
              </w:rPr>
            </w:pPr>
            <w:r>
              <w:rPr>
                <w:rFonts w:hint="eastAsia" w:ascii="宋体" w:hAnsi="宋体" w:cs="宋体"/>
                <w:kern w:val="0"/>
                <w:sz w:val="20"/>
                <w:szCs w:val="20"/>
              </w:rPr>
              <w:t>1</w:t>
            </w:r>
          </w:p>
        </w:tc>
        <w:tc>
          <w:tcPr>
            <w:tcW w:w="1903" w:type="dxa"/>
            <w:gridSpan w:val="2"/>
            <w:tcBorders>
              <w:top w:val="nil"/>
              <w:left w:val="nil"/>
              <w:bottom w:val="single" w:color="auto" w:sz="4" w:space="0"/>
              <w:right w:val="single" w:color="auto" w:sz="4" w:space="0"/>
            </w:tcBorders>
            <w:vAlign w:val="center"/>
          </w:tcPr>
          <w:p w14:paraId="04A61DFB">
            <w:pPr>
              <w:widowControl/>
              <w:jc w:val="center"/>
              <w:rPr>
                <w:rFonts w:hint="eastAsia" w:ascii="宋体" w:hAnsi="宋体" w:cs="宋体"/>
                <w:kern w:val="0"/>
                <w:sz w:val="20"/>
                <w:szCs w:val="20"/>
              </w:rPr>
            </w:pPr>
            <w:r>
              <w:rPr>
                <w:rFonts w:hint="eastAsia" w:ascii="宋体" w:hAnsi="宋体" w:cs="宋体"/>
                <w:kern w:val="0"/>
                <w:sz w:val="20"/>
                <w:szCs w:val="20"/>
              </w:rPr>
              <w:t>pH测量仪</w:t>
            </w:r>
            <w:r>
              <w:rPr>
                <w:rFonts w:hint="eastAsia" w:ascii="宋体" w:hAnsi="宋体" w:cs="宋体"/>
                <w:kern w:val="0"/>
                <w:sz w:val="20"/>
                <w:szCs w:val="20"/>
              </w:rPr>
              <w:br w:type="textWrapping"/>
            </w:r>
            <w:r>
              <w:rPr>
                <w:rFonts w:hint="eastAsia" w:ascii="宋体" w:hAnsi="宋体" w:cs="宋体"/>
                <w:kern w:val="0"/>
                <w:sz w:val="20"/>
                <w:szCs w:val="20"/>
              </w:rPr>
              <w:t>AIA-13104</w:t>
            </w:r>
          </w:p>
        </w:tc>
        <w:tc>
          <w:tcPr>
            <w:tcW w:w="5096" w:type="dxa"/>
            <w:gridSpan w:val="4"/>
            <w:tcBorders>
              <w:top w:val="nil"/>
              <w:left w:val="nil"/>
              <w:bottom w:val="single" w:color="auto" w:sz="4" w:space="0"/>
              <w:right w:val="single" w:color="auto" w:sz="4" w:space="0"/>
            </w:tcBorders>
            <w:vAlign w:val="center"/>
          </w:tcPr>
          <w:p w14:paraId="04A61DFC">
            <w:pPr>
              <w:widowControl/>
              <w:jc w:val="left"/>
              <w:rPr>
                <w:rFonts w:ascii="Arial" w:hAnsi="Arial"/>
                <w:kern w:val="0"/>
                <w:sz w:val="20"/>
                <w:szCs w:val="20"/>
              </w:rPr>
            </w:pPr>
            <w:r>
              <w:rPr>
                <w:rFonts w:ascii="Arial" w:hAnsi="Arial"/>
                <w:kern w:val="0"/>
                <w:sz w:val="20"/>
                <w:szCs w:val="20"/>
              </w:rPr>
              <w:t>A</w:t>
            </w:r>
            <w:r>
              <w:rPr>
                <w:rFonts w:hint="eastAsia" w:ascii="宋体" w:hAnsi="宋体"/>
                <w:kern w:val="0"/>
                <w:sz w:val="20"/>
                <w:szCs w:val="20"/>
              </w:rPr>
              <w:t>气化炉水冷壁汽包</w:t>
            </w:r>
            <w:r>
              <w:rPr>
                <w:rFonts w:ascii="Arial" w:hAnsi="Arial"/>
                <w:kern w:val="0"/>
                <w:sz w:val="20"/>
                <w:szCs w:val="20"/>
              </w:rPr>
              <w:t>PH</w:t>
            </w:r>
            <w:r>
              <w:rPr>
                <w:rFonts w:hint="eastAsia" w:ascii="宋体" w:hAnsi="宋体"/>
                <w:kern w:val="0"/>
                <w:sz w:val="20"/>
                <w:szCs w:val="20"/>
              </w:rPr>
              <w:t>监测</w:t>
            </w:r>
            <w:r>
              <w:rPr>
                <w:rFonts w:ascii="Arial" w:hAnsi="Arial"/>
                <w:kern w:val="0"/>
                <w:sz w:val="20"/>
                <w:szCs w:val="20"/>
              </w:rPr>
              <w:br w:type="textWrapping"/>
            </w:r>
            <w:r>
              <w:rPr>
                <w:rFonts w:hint="eastAsia" w:ascii="宋体" w:hAnsi="宋体"/>
                <w:kern w:val="0"/>
                <w:sz w:val="20"/>
                <w:szCs w:val="20"/>
              </w:rPr>
              <w:t>含</w:t>
            </w:r>
            <w:r>
              <w:rPr>
                <w:rFonts w:ascii="Arial" w:hAnsi="Arial"/>
                <w:kern w:val="0"/>
                <w:sz w:val="20"/>
                <w:szCs w:val="20"/>
              </w:rPr>
              <w:t>PH</w:t>
            </w:r>
            <w:r>
              <w:rPr>
                <w:rFonts w:hint="eastAsia" w:ascii="宋体" w:hAnsi="宋体"/>
                <w:kern w:val="0"/>
                <w:sz w:val="20"/>
                <w:szCs w:val="20"/>
              </w:rPr>
              <w:t>变送器、隔爆箱、纯水</w:t>
            </w:r>
            <w:r>
              <w:rPr>
                <w:rFonts w:ascii="Arial" w:hAnsi="Arial"/>
                <w:kern w:val="0"/>
                <w:sz w:val="20"/>
                <w:szCs w:val="20"/>
              </w:rPr>
              <w:t>pH/</w:t>
            </w:r>
            <w:r>
              <w:rPr>
                <w:rFonts w:hint="eastAsia" w:ascii="宋体" w:hAnsi="宋体"/>
                <w:kern w:val="0"/>
                <w:sz w:val="20"/>
                <w:szCs w:val="20"/>
              </w:rPr>
              <w:t>温度电极、</w:t>
            </w:r>
            <w:r>
              <w:rPr>
                <w:rFonts w:ascii="Arial" w:hAnsi="Arial"/>
                <w:kern w:val="0"/>
                <w:sz w:val="20"/>
                <w:szCs w:val="20"/>
              </w:rPr>
              <w:t>VP</w:t>
            </w:r>
            <w:r>
              <w:rPr>
                <w:rFonts w:hint="eastAsia" w:ascii="宋体" w:hAnsi="宋体"/>
                <w:kern w:val="0"/>
                <w:sz w:val="20"/>
                <w:szCs w:val="20"/>
              </w:rPr>
              <w:t>电缆</w:t>
            </w:r>
            <w:r>
              <w:rPr>
                <w:rFonts w:ascii="Arial" w:hAnsi="Arial"/>
                <w:kern w:val="0"/>
                <w:sz w:val="20"/>
                <w:szCs w:val="20"/>
              </w:rPr>
              <w:t>5</w:t>
            </w:r>
            <w:r>
              <w:rPr>
                <w:rFonts w:hint="eastAsia" w:ascii="宋体" w:hAnsi="宋体"/>
                <w:kern w:val="0"/>
                <w:sz w:val="20"/>
                <w:szCs w:val="20"/>
              </w:rPr>
              <w:t>米</w:t>
            </w:r>
            <w:r>
              <w:rPr>
                <w:rFonts w:ascii="Arial" w:hAnsi="Arial"/>
                <w:kern w:val="0"/>
                <w:sz w:val="20"/>
                <w:szCs w:val="20"/>
              </w:rPr>
              <w:br w:type="textWrapping"/>
            </w:r>
            <w:r>
              <w:rPr>
                <w:rFonts w:hint="eastAsia" w:ascii="宋体" w:hAnsi="宋体"/>
                <w:kern w:val="0"/>
                <w:sz w:val="20"/>
                <w:szCs w:val="20"/>
              </w:rPr>
              <w:t>量程：0-14</w:t>
            </w:r>
            <w:r>
              <w:rPr>
                <w:rFonts w:ascii="Arial" w:hAnsi="Arial"/>
                <w:kern w:val="0"/>
                <w:sz w:val="20"/>
                <w:szCs w:val="20"/>
              </w:rPr>
              <w:t>pH</w:t>
            </w:r>
            <w:r>
              <w:rPr>
                <w:rFonts w:hint="eastAsia" w:ascii="宋体" w:hAnsi="宋体"/>
                <w:kern w:val="0"/>
                <w:sz w:val="20"/>
                <w:szCs w:val="20"/>
              </w:rPr>
              <w:t>；报警联锁停车设定值：低限8.5，高限11</w:t>
            </w:r>
          </w:p>
        </w:tc>
        <w:tc>
          <w:tcPr>
            <w:tcW w:w="860" w:type="dxa"/>
            <w:tcBorders>
              <w:top w:val="nil"/>
              <w:left w:val="nil"/>
              <w:bottom w:val="single" w:color="auto" w:sz="4" w:space="0"/>
              <w:right w:val="single" w:color="auto" w:sz="4" w:space="0"/>
            </w:tcBorders>
            <w:vAlign w:val="center"/>
          </w:tcPr>
          <w:p w14:paraId="04A61DFD">
            <w:pPr>
              <w:widowControl/>
              <w:jc w:val="center"/>
              <w:rPr>
                <w:rFonts w:hint="eastAsia" w:ascii="宋体" w:hAnsi="宋体" w:cs="宋体"/>
                <w:kern w:val="0"/>
                <w:sz w:val="20"/>
                <w:szCs w:val="20"/>
              </w:rPr>
            </w:pPr>
            <w:r>
              <w:rPr>
                <w:rFonts w:hint="eastAsia" w:ascii="宋体" w:hAnsi="宋体" w:cs="宋体"/>
                <w:kern w:val="0"/>
                <w:sz w:val="20"/>
                <w:szCs w:val="20"/>
              </w:rPr>
              <w:t>锦汐/横河/哈希</w:t>
            </w:r>
          </w:p>
        </w:tc>
        <w:tc>
          <w:tcPr>
            <w:tcW w:w="720" w:type="dxa"/>
            <w:gridSpan w:val="2"/>
            <w:tcBorders>
              <w:top w:val="nil"/>
              <w:left w:val="nil"/>
              <w:bottom w:val="single" w:color="auto" w:sz="4" w:space="0"/>
              <w:right w:val="single" w:color="auto" w:sz="4" w:space="0"/>
            </w:tcBorders>
            <w:vAlign w:val="center"/>
          </w:tcPr>
          <w:p w14:paraId="04A61DFE">
            <w:pPr>
              <w:widowControl/>
              <w:jc w:val="center"/>
              <w:rPr>
                <w:rFonts w:hint="eastAsia" w:ascii="宋体" w:hAnsi="宋体" w:cs="宋体"/>
                <w:kern w:val="0"/>
                <w:sz w:val="20"/>
                <w:szCs w:val="20"/>
              </w:rPr>
            </w:pPr>
            <w:r>
              <w:rPr>
                <w:rFonts w:hint="eastAsia" w:ascii="宋体" w:hAnsi="宋体" w:cs="宋体"/>
                <w:kern w:val="0"/>
                <w:sz w:val="20"/>
                <w:szCs w:val="20"/>
              </w:rPr>
              <w:t>台</w:t>
            </w:r>
          </w:p>
        </w:tc>
        <w:tc>
          <w:tcPr>
            <w:tcW w:w="725" w:type="dxa"/>
            <w:gridSpan w:val="2"/>
            <w:tcBorders>
              <w:top w:val="nil"/>
              <w:left w:val="nil"/>
              <w:bottom w:val="single" w:color="auto" w:sz="4" w:space="0"/>
              <w:right w:val="single" w:color="auto" w:sz="4" w:space="0"/>
            </w:tcBorders>
            <w:vAlign w:val="center"/>
          </w:tcPr>
          <w:p w14:paraId="04A61DFF">
            <w:pPr>
              <w:widowControl/>
              <w:jc w:val="center"/>
              <w:rPr>
                <w:rFonts w:hint="eastAsia" w:ascii="宋体" w:hAnsi="宋体" w:cs="宋体"/>
                <w:kern w:val="0"/>
                <w:sz w:val="20"/>
                <w:szCs w:val="20"/>
              </w:rPr>
            </w:pPr>
            <w:r>
              <w:rPr>
                <w:rFonts w:hint="eastAsia" w:ascii="宋体" w:hAnsi="宋体" w:cs="宋体"/>
                <w:kern w:val="0"/>
                <w:sz w:val="20"/>
                <w:szCs w:val="20"/>
              </w:rPr>
              <w:t xml:space="preserve">1 </w:t>
            </w:r>
          </w:p>
        </w:tc>
      </w:tr>
      <w:tr w14:paraId="04A61E0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wBefore w:w="90" w:type="dxa"/>
          <w:trHeight w:val="910" w:hRule="atLeast"/>
          <w:jc w:val="center"/>
        </w:trPr>
        <w:tc>
          <w:tcPr>
            <w:tcW w:w="659" w:type="dxa"/>
            <w:gridSpan w:val="2"/>
            <w:tcBorders>
              <w:top w:val="nil"/>
              <w:left w:val="single" w:color="auto" w:sz="4" w:space="0"/>
              <w:bottom w:val="single" w:color="auto" w:sz="4" w:space="0"/>
              <w:right w:val="single" w:color="auto" w:sz="4" w:space="0"/>
            </w:tcBorders>
            <w:vAlign w:val="center"/>
          </w:tcPr>
          <w:p w14:paraId="04A61E01">
            <w:pPr>
              <w:widowControl/>
              <w:jc w:val="center"/>
              <w:rPr>
                <w:rFonts w:hint="eastAsia" w:ascii="宋体" w:hAnsi="宋体" w:cs="宋体"/>
                <w:kern w:val="0"/>
                <w:sz w:val="20"/>
                <w:szCs w:val="20"/>
              </w:rPr>
            </w:pPr>
            <w:r>
              <w:rPr>
                <w:rFonts w:hint="eastAsia" w:ascii="宋体" w:hAnsi="宋体" w:cs="宋体"/>
                <w:kern w:val="0"/>
                <w:sz w:val="20"/>
                <w:szCs w:val="20"/>
              </w:rPr>
              <w:t>2</w:t>
            </w:r>
          </w:p>
        </w:tc>
        <w:tc>
          <w:tcPr>
            <w:tcW w:w="1903" w:type="dxa"/>
            <w:gridSpan w:val="2"/>
            <w:tcBorders>
              <w:top w:val="nil"/>
              <w:left w:val="nil"/>
              <w:bottom w:val="single" w:color="auto" w:sz="4" w:space="0"/>
              <w:right w:val="single" w:color="auto" w:sz="4" w:space="0"/>
            </w:tcBorders>
            <w:vAlign w:val="center"/>
          </w:tcPr>
          <w:p w14:paraId="04A61E02">
            <w:pPr>
              <w:widowControl/>
              <w:jc w:val="center"/>
              <w:rPr>
                <w:rFonts w:hint="eastAsia" w:ascii="宋体" w:hAnsi="宋体" w:cs="宋体"/>
                <w:kern w:val="0"/>
                <w:sz w:val="20"/>
                <w:szCs w:val="20"/>
              </w:rPr>
            </w:pPr>
            <w:r>
              <w:rPr>
                <w:rFonts w:hint="eastAsia" w:ascii="宋体" w:hAnsi="宋体" w:cs="宋体"/>
                <w:kern w:val="0"/>
                <w:sz w:val="20"/>
                <w:szCs w:val="20"/>
              </w:rPr>
              <w:t>pH测量仪</w:t>
            </w:r>
            <w:r>
              <w:rPr>
                <w:rFonts w:hint="eastAsia" w:ascii="宋体" w:hAnsi="宋体" w:cs="宋体"/>
                <w:kern w:val="0"/>
                <w:sz w:val="20"/>
                <w:szCs w:val="20"/>
              </w:rPr>
              <w:br w:type="textWrapping"/>
            </w:r>
            <w:r>
              <w:rPr>
                <w:rFonts w:hint="eastAsia" w:ascii="宋体" w:hAnsi="宋体" w:cs="宋体"/>
                <w:kern w:val="0"/>
                <w:sz w:val="20"/>
                <w:szCs w:val="20"/>
              </w:rPr>
              <w:t>AIA-13204</w:t>
            </w:r>
          </w:p>
        </w:tc>
        <w:tc>
          <w:tcPr>
            <w:tcW w:w="5096" w:type="dxa"/>
            <w:gridSpan w:val="4"/>
            <w:tcBorders>
              <w:top w:val="nil"/>
              <w:left w:val="nil"/>
              <w:bottom w:val="single" w:color="auto" w:sz="4" w:space="0"/>
              <w:right w:val="single" w:color="auto" w:sz="4" w:space="0"/>
            </w:tcBorders>
            <w:vAlign w:val="center"/>
          </w:tcPr>
          <w:p w14:paraId="04A61E03">
            <w:pPr>
              <w:widowControl/>
              <w:jc w:val="left"/>
              <w:rPr>
                <w:rFonts w:ascii="Arial" w:hAnsi="Arial"/>
                <w:kern w:val="0"/>
                <w:sz w:val="20"/>
                <w:szCs w:val="20"/>
              </w:rPr>
            </w:pPr>
            <w:r>
              <w:rPr>
                <w:rFonts w:ascii="Arial" w:hAnsi="Arial"/>
                <w:kern w:val="0"/>
                <w:sz w:val="20"/>
                <w:szCs w:val="20"/>
              </w:rPr>
              <w:t>B</w:t>
            </w:r>
            <w:r>
              <w:rPr>
                <w:rFonts w:hint="eastAsia" w:ascii="宋体" w:hAnsi="宋体"/>
                <w:kern w:val="0"/>
                <w:sz w:val="20"/>
                <w:szCs w:val="20"/>
              </w:rPr>
              <w:t>气化炉水冷壁汽包</w:t>
            </w:r>
            <w:r>
              <w:rPr>
                <w:rFonts w:ascii="Arial" w:hAnsi="Arial"/>
                <w:kern w:val="0"/>
                <w:sz w:val="20"/>
                <w:szCs w:val="20"/>
              </w:rPr>
              <w:t>PH</w:t>
            </w:r>
            <w:r>
              <w:rPr>
                <w:rFonts w:hint="eastAsia" w:ascii="宋体" w:hAnsi="宋体"/>
                <w:kern w:val="0"/>
                <w:sz w:val="20"/>
                <w:szCs w:val="20"/>
              </w:rPr>
              <w:t>监测</w:t>
            </w:r>
            <w:r>
              <w:rPr>
                <w:rFonts w:ascii="Arial" w:hAnsi="Arial"/>
                <w:kern w:val="0"/>
                <w:sz w:val="20"/>
                <w:szCs w:val="20"/>
              </w:rPr>
              <w:br w:type="textWrapping"/>
            </w:r>
            <w:r>
              <w:rPr>
                <w:rFonts w:hint="eastAsia" w:ascii="宋体" w:hAnsi="宋体"/>
                <w:kern w:val="0"/>
                <w:sz w:val="20"/>
                <w:szCs w:val="20"/>
              </w:rPr>
              <w:t>含</w:t>
            </w:r>
            <w:r>
              <w:rPr>
                <w:rFonts w:ascii="Arial" w:hAnsi="Arial"/>
                <w:kern w:val="0"/>
                <w:sz w:val="20"/>
                <w:szCs w:val="20"/>
              </w:rPr>
              <w:t>PH</w:t>
            </w:r>
            <w:r>
              <w:rPr>
                <w:rFonts w:hint="eastAsia" w:ascii="宋体" w:hAnsi="宋体"/>
                <w:kern w:val="0"/>
                <w:sz w:val="20"/>
                <w:szCs w:val="20"/>
              </w:rPr>
              <w:t>变送器、隔爆箱、纯水</w:t>
            </w:r>
            <w:r>
              <w:rPr>
                <w:rFonts w:ascii="Arial" w:hAnsi="Arial"/>
                <w:kern w:val="0"/>
                <w:sz w:val="20"/>
                <w:szCs w:val="20"/>
              </w:rPr>
              <w:t>pH/</w:t>
            </w:r>
            <w:r>
              <w:rPr>
                <w:rFonts w:hint="eastAsia" w:ascii="宋体" w:hAnsi="宋体"/>
                <w:kern w:val="0"/>
                <w:sz w:val="20"/>
                <w:szCs w:val="20"/>
              </w:rPr>
              <w:t>温度电极、</w:t>
            </w:r>
            <w:r>
              <w:rPr>
                <w:rFonts w:ascii="Arial" w:hAnsi="Arial"/>
                <w:kern w:val="0"/>
                <w:sz w:val="20"/>
                <w:szCs w:val="20"/>
              </w:rPr>
              <w:t>VP</w:t>
            </w:r>
            <w:r>
              <w:rPr>
                <w:rFonts w:hint="eastAsia" w:ascii="宋体" w:hAnsi="宋体"/>
                <w:kern w:val="0"/>
                <w:sz w:val="20"/>
                <w:szCs w:val="20"/>
              </w:rPr>
              <w:t>电缆</w:t>
            </w:r>
            <w:r>
              <w:rPr>
                <w:rFonts w:ascii="Arial" w:hAnsi="Arial"/>
                <w:kern w:val="0"/>
                <w:sz w:val="20"/>
                <w:szCs w:val="20"/>
              </w:rPr>
              <w:t>5</w:t>
            </w:r>
            <w:r>
              <w:rPr>
                <w:rFonts w:hint="eastAsia" w:ascii="宋体" w:hAnsi="宋体"/>
                <w:kern w:val="0"/>
                <w:sz w:val="20"/>
                <w:szCs w:val="20"/>
              </w:rPr>
              <w:t>米</w:t>
            </w:r>
            <w:r>
              <w:rPr>
                <w:rFonts w:ascii="Arial" w:hAnsi="Arial"/>
                <w:kern w:val="0"/>
                <w:sz w:val="20"/>
                <w:szCs w:val="20"/>
              </w:rPr>
              <w:br w:type="textWrapping"/>
            </w:r>
            <w:r>
              <w:rPr>
                <w:rFonts w:hint="eastAsia" w:ascii="宋体" w:hAnsi="宋体"/>
                <w:kern w:val="0"/>
                <w:sz w:val="20"/>
                <w:szCs w:val="20"/>
              </w:rPr>
              <w:t>量程：</w:t>
            </w:r>
            <w:r>
              <w:rPr>
                <w:rFonts w:ascii="Arial" w:hAnsi="Arial"/>
                <w:kern w:val="0"/>
                <w:sz w:val="20"/>
                <w:szCs w:val="20"/>
              </w:rPr>
              <w:t>0-14pH</w:t>
            </w:r>
            <w:r>
              <w:rPr>
                <w:rFonts w:hint="eastAsia" w:ascii="宋体" w:hAnsi="宋体"/>
                <w:kern w:val="0"/>
                <w:sz w:val="20"/>
                <w:szCs w:val="20"/>
              </w:rPr>
              <w:t>；报警联锁停车设定值：低限</w:t>
            </w:r>
            <w:r>
              <w:rPr>
                <w:rFonts w:ascii="Arial" w:hAnsi="Arial"/>
                <w:kern w:val="0"/>
                <w:sz w:val="20"/>
                <w:szCs w:val="20"/>
              </w:rPr>
              <w:t>8.5</w:t>
            </w:r>
            <w:r>
              <w:rPr>
                <w:rFonts w:hint="eastAsia" w:ascii="宋体" w:hAnsi="宋体"/>
                <w:kern w:val="0"/>
                <w:sz w:val="20"/>
                <w:szCs w:val="20"/>
              </w:rPr>
              <w:t>，高限</w:t>
            </w:r>
            <w:r>
              <w:rPr>
                <w:rFonts w:ascii="Arial" w:hAnsi="Arial"/>
                <w:kern w:val="0"/>
                <w:sz w:val="20"/>
                <w:szCs w:val="20"/>
              </w:rPr>
              <w:t>11</w:t>
            </w:r>
          </w:p>
        </w:tc>
        <w:tc>
          <w:tcPr>
            <w:tcW w:w="860" w:type="dxa"/>
            <w:tcBorders>
              <w:top w:val="nil"/>
              <w:left w:val="nil"/>
              <w:bottom w:val="single" w:color="auto" w:sz="4" w:space="0"/>
              <w:right w:val="single" w:color="auto" w:sz="4" w:space="0"/>
            </w:tcBorders>
            <w:vAlign w:val="center"/>
          </w:tcPr>
          <w:p w14:paraId="04A61E04">
            <w:pPr>
              <w:widowControl/>
              <w:jc w:val="center"/>
              <w:rPr>
                <w:rFonts w:hint="eastAsia" w:ascii="宋体" w:hAnsi="宋体" w:cs="宋体"/>
                <w:kern w:val="0"/>
                <w:sz w:val="20"/>
                <w:szCs w:val="20"/>
              </w:rPr>
            </w:pPr>
            <w:r>
              <w:rPr>
                <w:rFonts w:hint="eastAsia" w:ascii="宋体" w:hAnsi="宋体" w:cs="宋体"/>
                <w:kern w:val="0"/>
                <w:sz w:val="20"/>
                <w:szCs w:val="20"/>
              </w:rPr>
              <w:t>锦汐/横河/哈希</w:t>
            </w:r>
          </w:p>
        </w:tc>
        <w:tc>
          <w:tcPr>
            <w:tcW w:w="720" w:type="dxa"/>
            <w:gridSpan w:val="2"/>
            <w:tcBorders>
              <w:top w:val="nil"/>
              <w:left w:val="nil"/>
              <w:bottom w:val="single" w:color="auto" w:sz="4" w:space="0"/>
              <w:right w:val="single" w:color="auto" w:sz="4" w:space="0"/>
            </w:tcBorders>
            <w:vAlign w:val="center"/>
          </w:tcPr>
          <w:p w14:paraId="04A61E05">
            <w:pPr>
              <w:widowControl/>
              <w:jc w:val="center"/>
              <w:rPr>
                <w:rFonts w:hint="eastAsia" w:ascii="宋体" w:hAnsi="宋体" w:cs="宋体"/>
                <w:kern w:val="0"/>
                <w:sz w:val="20"/>
                <w:szCs w:val="20"/>
              </w:rPr>
            </w:pPr>
            <w:r>
              <w:rPr>
                <w:rFonts w:hint="eastAsia" w:ascii="宋体" w:hAnsi="宋体" w:cs="宋体"/>
                <w:kern w:val="0"/>
                <w:sz w:val="20"/>
                <w:szCs w:val="20"/>
              </w:rPr>
              <w:t>台</w:t>
            </w:r>
          </w:p>
        </w:tc>
        <w:tc>
          <w:tcPr>
            <w:tcW w:w="725" w:type="dxa"/>
            <w:gridSpan w:val="2"/>
            <w:tcBorders>
              <w:top w:val="nil"/>
              <w:left w:val="nil"/>
              <w:bottom w:val="single" w:color="auto" w:sz="4" w:space="0"/>
              <w:right w:val="single" w:color="auto" w:sz="4" w:space="0"/>
            </w:tcBorders>
            <w:vAlign w:val="center"/>
          </w:tcPr>
          <w:p w14:paraId="04A61E06">
            <w:pPr>
              <w:widowControl/>
              <w:jc w:val="center"/>
              <w:rPr>
                <w:rFonts w:hint="eastAsia" w:ascii="宋体" w:hAnsi="宋体" w:cs="宋体"/>
                <w:kern w:val="0"/>
                <w:sz w:val="20"/>
                <w:szCs w:val="20"/>
              </w:rPr>
            </w:pPr>
            <w:r>
              <w:rPr>
                <w:rFonts w:hint="eastAsia" w:ascii="宋体" w:hAnsi="宋体" w:cs="宋体"/>
                <w:kern w:val="0"/>
                <w:sz w:val="20"/>
                <w:szCs w:val="20"/>
              </w:rPr>
              <w:t xml:space="preserve">1 </w:t>
            </w:r>
          </w:p>
        </w:tc>
      </w:tr>
      <w:tr w14:paraId="04A61E0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wBefore w:w="90" w:type="dxa"/>
          <w:trHeight w:val="910" w:hRule="atLeast"/>
          <w:jc w:val="center"/>
        </w:trPr>
        <w:tc>
          <w:tcPr>
            <w:tcW w:w="659" w:type="dxa"/>
            <w:gridSpan w:val="2"/>
            <w:tcBorders>
              <w:top w:val="nil"/>
              <w:left w:val="single" w:color="auto" w:sz="4" w:space="0"/>
              <w:bottom w:val="single" w:color="auto" w:sz="4" w:space="0"/>
              <w:right w:val="single" w:color="auto" w:sz="4" w:space="0"/>
            </w:tcBorders>
            <w:vAlign w:val="center"/>
          </w:tcPr>
          <w:p w14:paraId="04A61E08">
            <w:pPr>
              <w:widowControl/>
              <w:jc w:val="center"/>
              <w:rPr>
                <w:rFonts w:hint="eastAsia" w:ascii="宋体" w:hAnsi="宋体" w:cs="宋体"/>
                <w:kern w:val="0"/>
                <w:sz w:val="20"/>
                <w:szCs w:val="20"/>
              </w:rPr>
            </w:pPr>
            <w:r>
              <w:rPr>
                <w:rFonts w:hint="eastAsia" w:ascii="宋体" w:hAnsi="宋体" w:cs="宋体"/>
                <w:kern w:val="0"/>
                <w:sz w:val="20"/>
                <w:szCs w:val="20"/>
              </w:rPr>
              <w:t>3</w:t>
            </w:r>
          </w:p>
        </w:tc>
        <w:tc>
          <w:tcPr>
            <w:tcW w:w="1903" w:type="dxa"/>
            <w:gridSpan w:val="2"/>
            <w:tcBorders>
              <w:top w:val="nil"/>
              <w:left w:val="nil"/>
              <w:bottom w:val="single" w:color="auto" w:sz="4" w:space="0"/>
              <w:right w:val="single" w:color="auto" w:sz="4" w:space="0"/>
            </w:tcBorders>
            <w:vAlign w:val="center"/>
          </w:tcPr>
          <w:p w14:paraId="04A61E09">
            <w:pPr>
              <w:widowControl/>
              <w:jc w:val="center"/>
              <w:rPr>
                <w:rFonts w:hint="eastAsia" w:ascii="宋体" w:hAnsi="宋体" w:cs="宋体"/>
                <w:kern w:val="0"/>
                <w:sz w:val="20"/>
                <w:szCs w:val="20"/>
              </w:rPr>
            </w:pPr>
            <w:r>
              <w:rPr>
                <w:rFonts w:hint="eastAsia" w:ascii="宋体" w:hAnsi="宋体" w:cs="宋体"/>
                <w:kern w:val="0"/>
                <w:sz w:val="20"/>
                <w:szCs w:val="20"/>
              </w:rPr>
              <w:t>pH测量仪</w:t>
            </w:r>
            <w:r>
              <w:rPr>
                <w:rFonts w:hint="eastAsia" w:ascii="宋体" w:hAnsi="宋体" w:cs="宋体"/>
                <w:kern w:val="0"/>
                <w:sz w:val="20"/>
                <w:szCs w:val="20"/>
              </w:rPr>
              <w:br w:type="textWrapping"/>
            </w:r>
            <w:r>
              <w:rPr>
                <w:rFonts w:hint="eastAsia" w:ascii="宋体" w:hAnsi="宋体" w:cs="宋体"/>
                <w:kern w:val="0"/>
                <w:sz w:val="20"/>
                <w:szCs w:val="20"/>
              </w:rPr>
              <w:t>AIA-13107</w:t>
            </w:r>
          </w:p>
        </w:tc>
        <w:tc>
          <w:tcPr>
            <w:tcW w:w="5096" w:type="dxa"/>
            <w:gridSpan w:val="4"/>
            <w:tcBorders>
              <w:top w:val="nil"/>
              <w:left w:val="nil"/>
              <w:bottom w:val="single" w:color="auto" w:sz="4" w:space="0"/>
              <w:right w:val="single" w:color="auto" w:sz="4" w:space="0"/>
            </w:tcBorders>
            <w:vAlign w:val="center"/>
          </w:tcPr>
          <w:p w14:paraId="04A61E0A">
            <w:pPr>
              <w:widowControl/>
              <w:jc w:val="left"/>
              <w:rPr>
                <w:rFonts w:ascii="Arial" w:hAnsi="Arial"/>
                <w:kern w:val="0"/>
                <w:sz w:val="20"/>
                <w:szCs w:val="20"/>
              </w:rPr>
            </w:pPr>
            <w:r>
              <w:rPr>
                <w:rFonts w:ascii="Arial" w:hAnsi="Arial"/>
                <w:kern w:val="0"/>
                <w:sz w:val="20"/>
                <w:szCs w:val="20"/>
              </w:rPr>
              <w:t>A</w:t>
            </w:r>
            <w:r>
              <w:rPr>
                <w:rFonts w:hint="eastAsia" w:ascii="宋体" w:hAnsi="宋体"/>
                <w:kern w:val="0"/>
                <w:sz w:val="20"/>
                <w:szCs w:val="20"/>
              </w:rPr>
              <w:t>气化炉废锅汽包</w:t>
            </w:r>
            <w:r>
              <w:rPr>
                <w:rFonts w:ascii="Arial" w:hAnsi="Arial"/>
                <w:kern w:val="0"/>
                <w:sz w:val="20"/>
                <w:szCs w:val="20"/>
              </w:rPr>
              <w:t>PH</w:t>
            </w:r>
            <w:r>
              <w:rPr>
                <w:rFonts w:hint="eastAsia" w:ascii="宋体" w:hAnsi="宋体"/>
                <w:kern w:val="0"/>
                <w:sz w:val="20"/>
                <w:szCs w:val="20"/>
              </w:rPr>
              <w:t>监测</w:t>
            </w:r>
            <w:r>
              <w:rPr>
                <w:rFonts w:ascii="Arial" w:hAnsi="Arial"/>
                <w:kern w:val="0"/>
                <w:sz w:val="20"/>
                <w:szCs w:val="20"/>
              </w:rPr>
              <w:br w:type="textWrapping"/>
            </w:r>
            <w:r>
              <w:rPr>
                <w:rFonts w:hint="eastAsia" w:ascii="宋体" w:hAnsi="宋体"/>
                <w:kern w:val="0"/>
                <w:sz w:val="20"/>
                <w:szCs w:val="20"/>
              </w:rPr>
              <w:t>含</w:t>
            </w:r>
            <w:r>
              <w:rPr>
                <w:rFonts w:ascii="Arial" w:hAnsi="Arial"/>
                <w:kern w:val="0"/>
                <w:sz w:val="20"/>
                <w:szCs w:val="20"/>
              </w:rPr>
              <w:t>PH</w:t>
            </w:r>
            <w:r>
              <w:rPr>
                <w:rFonts w:hint="eastAsia" w:ascii="宋体" w:hAnsi="宋体"/>
                <w:kern w:val="0"/>
                <w:sz w:val="20"/>
                <w:szCs w:val="20"/>
              </w:rPr>
              <w:t>变送器、隔爆箱、纯水</w:t>
            </w:r>
            <w:r>
              <w:rPr>
                <w:rFonts w:ascii="Arial" w:hAnsi="Arial"/>
                <w:kern w:val="0"/>
                <w:sz w:val="20"/>
                <w:szCs w:val="20"/>
              </w:rPr>
              <w:t>pH/</w:t>
            </w:r>
            <w:r>
              <w:rPr>
                <w:rFonts w:hint="eastAsia" w:ascii="宋体" w:hAnsi="宋体"/>
                <w:kern w:val="0"/>
                <w:sz w:val="20"/>
                <w:szCs w:val="20"/>
              </w:rPr>
              <w:t>温度电极、</w:t>
            </w:r>
            <w:r>
              <w:rPr>
                <w:rFonts w:ascii="Arial" w:hAnsi="Arial"/>
                <w:kern w:val="0"/>
                <w:sz w:val="20"/>
                <w:szCs w:val="20"/>
              </w:rPr>
              <w:t>VP</w:t>
            </w:r>
            <w:r>
              <w:rPr>
                <w:rFonts w:hint="eastAsia" w:ascii="宋体" w:hAnsi="宋体"/>
                <w:kern w:val="0"/>
                <w:sz w:val="20"/>
                <w:szCs w:val="20"/>
              </w:rPr>
              <w:t>电缆</w:t>
            </w:r>
            <w:r>
              <w:rPr>
                <w:rFonts w:ascii="Arial" w:hAnsi="Arial"/>
                <w:kern w:val="0"/>
                <w:sz w:val="20"/>
                <w:szCs w:val="20"/>
              </w:rPr>
              <w:t>5</w:t>
            </w:r>
            <w:r>
              <w:rPr>
                <w:rFonts w:hint="eastAsia" w:ascii="宋体" w:hAnsi="宋体"/>
                <w:kern w:val="0"/>
                <w:sz w:val="20"/>
                <w:szCs w:val="20"/>
              </w:rPr>
              <w:t>米</w:t>
            </w:r>
            <w:r>
              <w:rPr>
                <w:rFonts w:ascii="Arial" w:hAnsi="Arial"/>
                <w:kern w:val="0"/>
                <w:sz w:val="20"/>
                <w:szCs w:val="20"/>
              </w:rPr>
              <w:br w:type="textWrapping"/>
            </w:r>
            <w:r>
              <w:rPr>
                <w:rFonts w:hint="eastAsia" w:ascii="宋体" w:hAnsi="宋体"/>
                <w:kern w:val="0"/>
                <w:sz w:val="20"/>
                <w:szCs w:val="20"/>
              </w:rPr>
              <w:t>量程：</w:t>
            </w:r>
            <w:r>
              <w:rPr>
                <w:rFonts w:ascii="Arial" w:hAnsi="Arial"/>
                <w:kern w:val="0"/>
                <w:sz w:val="20"/>
                <w:szCs w:val="20"/>
              </w:rPr>
              <w:t>0-14pH</w:t>
            </w:r>
            <w:r>
              <w:rPr>
                <w:rFonts w:hint="eastAsia" w:ascii="宋体" w:hAnsi="宋体"/>
                <w:kern w:val="0"/>
                <w:sz w:val="20"/>
                <w:szCs w:val="20"/>
              </w:rPr>
              <w:t>；报警联锁停车设定值：低限</w:t>
            </w:r>
            <w:r>
              <w:rPr>
                <w:rFonts w:ascii="Arial" w:hAnsi="Arial"/>
                <w:kern w:val="0"/>
                <w:sz w:val="20"/>
                <w:szCs w:val="20"/>
              </w:rPr>
              <w:t>8.5</w:t>
            </w:r>
            <w:r>
              <w:rPr>
                <w:rFonts w:hint="eastAsia" w:ascii="宋体" w:hAnsi="宋体"/>
                <w:kern w:val="0"/>
                <w:sz w:val="20"/>
                <w:szCs w:val="20"/>
              </w:rPr>
              <w:t>，高限</w:t>
            </w:r>
            <w:r>
              <w:rPr>
                <w:rFonts w:ascii="Arial" w:hAnsi="Arial"/>
                <w:kern w:val="0"/>
                <w:sz w:val="20"/>
                <w:szCs w:val="20"/>
              </w:rPr>
              <w:t>11</w:t>
            </w:r>
          </w:p>
        </w:tc>
        <w:tc>
          <w:tcPr>
            <w:tcW w:w="860" w:type="dxa"/>
            <w:tcBorders>
              <w:top w:val="nil"/>
              <w:left w:val="nil"/>
              <w:bottom w:val="single" w:color="auto" w:sz="4" w:space="0"/>
              <w:right w:val="single" w:color="auto" w:sz="4" w:space="0"/>
            </w:tcBorders>
            <w:vAlign w:val="center"/>
          </w:tcPr>
          <w:p w14:paraId="04A61E0B">
            <w:pPr>
              <w:widowControl/>
              <w:jc w:val="center"/>
              <w:rPr>
                <w:rFonts w:hint="eastAsia" w:ascii="宋体" w:hAnsi="宋体" w:cs="宋体"/>
                <w:kern w:val="0"/>
                <w:sz w:val="20"/>
                <w:szCs w:val="20"/>
              </w:rPr>
            </w:pPr>
            <w:r>
              <w:rPr>
                <w:rFonts w:hint="eastAsia" w:ascii="宋体" w:hAnsi="宋体" w:cs="宋体"/>
                <w:kern w:val="0"/>
                <w:sz w:val="20"/>
                <w:szCs w:val="20"/>
              </w:rPr>
              <w:t>锦汐/横河/哈希</w:t>
            </w:r>
          </w:p>
        </w:tc>
        <w:tc>
          <w:tcPr>
            <w:tcW w:w="720" w:type="dxa"/>
            <w:gridSpan w:val="2"/>
            <w:tcBorders>
              <w:top w:val="nil"/>
              <w:left w:val="nil"/>
              <w:bottom w:val="single" w:color="auto" w:sz="4" w:space="0"/>
              <w:right w:val="single" w:color="auto" w:sz="4" w:space="0"/>
            </w:tcBorders>
            <w:vAlign w:val="center"/>
          </w:tcPr>
          <w:p w14:paraId="04A61E0C">
            <w:pPr>
              <w:widowControl/>
              <w:jc w:val="center"/>
              <w:rPr>
                <w:rFonts w:hint="eastAsia" w:ascii="宋体" w:hAnsi="宋体" w:cs="宋体"/>
                <w:kern w:val="0"/>
                <w:sz w:val="20"/>
                <w:szCs w:val="20"/>
              </w:rPr>
            </w:pPr>
            <w:r>
              <w:rPr>
                <w:rFonts w:hint="eastAsia" w:ascii="宋体" w:hAnsi="宋体" w:cs="宋体"/>
                <w:kern w:val="0"/>
                <w:sz w:val="20"/>
                <w:szCs w:val="20"/>
              </w:rPr>
              <w:t>台</w:t>
            </w:r>
          </w:p>
        </w:tc>
        <w:tc>
          <w:tcPr>
            <w:tcW w:w="725" w:type="dxa"/>
            <w:gridSpan w:val="2"/>
            <w:tcBorders>
              <w:top w:val="nil"/>
              <w:left w:val="nil"/>
              <w:bottom w:val="single" w:color="auto" w:sz="4" w:space="0"/>
              <w:right w:val="single" w:color="auto" w:sz="4" w:space="0"/>
            </w:tcBorders>
            <w:vAlign w:val="center"/>
          </w:tcPr>
          <w:p w14:paraId="04A61E0D">
            <w:pPr>
              <w:widowControl/>
              <w:jc w:val="center"/>
              <w:rPr>
                <w:rFonts w:hint="eastAsia" w:ascii="宋体" w:hAnsi="宋体" w:cs="宋体"/>
                <w:kern w:val="0"/>
                <w:sz w:val="20"/>
                <w:szCs w:val="20"/>
              </w:rPr>
            </w:pPr>
            <w:r>
              <w:rPr>
                <w:rFonts w:hint="eastAsia" w:ascii="宋体" w:hAnsi="宋体" w:cs="宋体"/>
                <w:kern w:val="0"/>
                <w:sz w:val="20"/>
                <w:szCs w:val="20"/>
              </w:rPr>
              <w:t xml:space="preserve">1 </w:t>
            </w:r>
          </w:p>
        </w:tc>
      </w:tr>
      <w:tr w14:paraId="04A61E1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wBefore w:w="90" w:type="dxa"/>
          <w:trHeight w:val="910" w:hRule="atLeast"/>
          <w:jc w:val="center"/>
        </w:trPr>
        <w:tc>
          <w:tcPr>
            <w:tcW w:w="659" w:type="dxa"/>
            <w:gridSpan w:val="2"/>
            <w:tcBorders>
              <w:top w:val="nil"/>
              <w:left w:val="single" w:color="auto" w:sz="4" w:space="0"/>
              <w:bottom w:val="single" w:color="auto" w:sz="4" w:space="0"/>
              <w:right w:val="single" w:color="auto" w:sz="4" w:space="0"/>
            </w:tcBorders>
            <w:vAlign w:val="center"/>
          </w:tcPr>
          <w:p w14:paraId="04A61E0F">
            <w:pPr>
              <w:widowControl/>
              <w:jc w:val="center"/>
              <w:rPr>
                <w:rFonts w:hint="eastAsia" w:ascii="宋体" w:hAnsi="宋体" w:cs="宋体"/>
                <w:kern w:val="0"/>
                <w:sz w:val="20"/>
                <w:szCs w:val="20"/>
              </w:rPr>
            </w:pPr>
            <w:r>
              <w:rPr>
                <w:rFonts w:hint="eastAsia" w:ascii="宋体" w:hAnsi="宋体" w:cs="宋体"/>
                <w:kern w:val="0"/>
                <w:sz w:val="20"/>
                <w:szCs w:val="20"/>
              </w:rPr>
              <w:t>4</w:t>
            </w:r>
          </w:p>
        </w:tc>
        <w:tc>
          <w:tcPr>
            <w:tcW w:w="1903" w:type="dxa"/>
            <w:gridSpan w:val="2"/>
            <w:tcBorders>
              <w:top w:val="nil"/>
              <w:left w:val="nil"/>
              <w:bottom w:val="single" w:color="auto" w:sz="4" w:space="0"/>
              <w:right w:val="single" w:color="auto" w:sz="4" w:space="0"/>
            </w:tcBorders>
            <w:vAlign w:val="center"/>
          </w:tcPr>
          <w:p w14:paraId="04A61E10">
            <w:pPr>
              <w:widowControl/>
              <w:jc w:val="center"/>
              <w:rPr>
                <w:rFonts w:hint="eastAsia" w:ascii="宋体" w:hAnsi="宋体" w:cs="宋体"/>
                <w:kern w:val="0"/>
                <w:sz w:val="20"/>
                <w:szCs w:val="20"/>
              </w:rPr>
            </w:pPr>
            <w:r>
              <w:rPr>
                <w:rFonts w:hint="eastAsia" w:ascii="宋体" w:hAnsi="宋体" w:cs="宋体"/>
                <w:kern w:val="0"/>
                <w:sz w:val="20"/>
                <w:szCs w:val="20"/>
              </w:rPr>
              <w:t>pH测量仪</w:t>
            </w:r>
            <w:r>
              <w:rPr>
                <w:rFonts w:hint="eastAsia" w:ascii="宋体" w:hAnsi="宋体" w:cs="宋体"/>
                <w:kern w:val="0"/>
                <w:sz w:val="20"/>
                <w:szCs w:val="20"/>
              </w:rPr>
              <w:br w:type="textWrapping"/>
            </w:r>
            <w:r>
              <w:rPr>
                <w:rFonts w:hint="eastAsia" w:ascii="宋体" w:hAnsi="宋体" w:cs="宋体"/>
                <w:kern w:val="0"/>
                <w:sz w:val="20"/>
                <w:szCs w:val="20"/>
              </w:rPr>
              <w:t>AIA-13207</w:t>
            </w:r>
          </w:p>
        </w:tc>
        <w:tc>
          <w:tcPr>
            <w:tcW w:w="5096" w:type="dxa"/>
            <w:gridSpan w:val="4"/>
            <w:tcBorders>
              <w:top w:val="nil"/>
              <w:left w:val="nil"/>
              <w:bottom w:val="single" w:color="auto" w:sz="4" w:space="0"/>
              <w:right w:val="single" w:color="auto" w:sz="4" w:space="0"/>
            </w:tcBorders>
            <w:vAlign w:val="center"/>
          </w:tcPr>
          <w:p w14:paraId="04A61E11">
            <w:pPr>
              <w:widowControl/>
              <w:jc w:val="left"/>
              <w:rPr>
                <w:rFonts w:ascii="Arial" w:hAnsi="Arial"/>
                <w:kern w:val="0"/>
                <w:sz w:val="20"/>
                <w:szCs w:val="20"/>
              </w:rPr>
            </w:pPr>
            <w:r>
              <w:rPr>
                <w:rFonts w:ascii="Arial" w:hAnsi="Arial"/>
                <w:kern w:val="0"/>
                <w:sz w:val="20"/>
                <w:szCs w:val="20"/>
              </w:rPr>
              <w:t>B</w:t>
            </w:r>
            <w:r>
              <w:rPr>
                <w:rFonts w:hint="eastAsia" w:ascii="宋体" w:hAnsi="宋体"/>
                <w:kern w:val="0"/>
                <w:sz w:val="20"/>
                <w:szCs w:val="20"/>
              </w:rPr>
              <w:t>气化炉废锅汽包</w:t>
            </w:r>
            <w:r>
              <w:rPr>
                <w:rFonts w:ascii="Arial" w:hAnsi="Arial"/>
                <w:kern w:val="0"/>
                <w:sz w:val="20"/>
                <w:szCs w:val="20"/>
              </w:rPr>
              <w:t>PH</w:t>
            </w:r>
            <w:r>
              <w:rPr>
                <w:rFonts w:hint="eastAsia" w:ascii="宋体" w:hAnsi="宋体"/>
                <w:kern w:val="0"/>
                <w:sz w:val="20"/>
                <w:szCs w:val="20"/>
              </w:rPr>
              <w:t>监测</w:t>
            </w:r>
            <w:r>
              <w:rPr>
                <w:rFonts w:ascii="Arial" w:hAnsi="Arial"/>
                <w:kern w:val="0"/>
                <w:sz w:val="20"/>
                <w:szCs w:val="20"/>
              </w:rPr>
              <w:br w:type="textWrapping"/>
            </w:r>
            <w:r>
              <w:rPr>
                <w:rFonts w:hint="eastAsia" w:ascii="宋体" w:hAnsi="宋体"/>
                <w:kern w:val="0"/>
                <w:sz w:val="20"/>
                <w:szCs w:val="20"/>
              </w:rPr>
              <w:t>含</w:t>
            </w:r>
            <w:r>
              <w:rPr>
                <w:rFonts w:ascii="Arial" w:hAnsi="Arial"/>
                <w:kern w:val="0"/>
                <w:sz w:val="20"/>
                <w:szCs w:val="20"/>
              </w:rPr>
              <w:t>PH</w:t>
            </w:r>
            <w:r>
              <w:rPr>
                <w:rFonts w:hint="eastAsia" w:ascii="宋体" w:hAnsi="宋体"/>
                <w:kern w:val="0"/>
                <w:sz w:val="20"/>
                <w:szCs w:val="20"/>
              </w:rPr>
              <w:t>变送器、隔爆箱、纯水</w:t>
            </w:r>
            <w:r>
              <w:rPr>
                <w:rFonts w:ascii="Arial" w:hAnsi="Arial"/>
                <w:kern w:val="0"/>
                <w:sz w:val="20"/>
                <w:szCs w:val="20"/>
              </w:rPr>
              <w:t>pH/</w:t>
            </w:r>
            <w:r>
              <w:rPr>
                <w:rFonts w:hint="eastAsia" w:ascii="宋体" w:hAnsi="宋体"/>
                <w:kern w:val="0"/>
                <w:sz w:val="20"/>
                <w:szCs w:val="20"/>
              </w:rPr>
              <w:t>温度电极、</w:t>
            </w:r>
            <w:r>
              <w:rPr>
                <w:rFonts w:ascii="Arial" w:hAnsi="Arial"/>
                <w:kern w:val="0"/>
                <w:sz w:val="20"/>
                <w:szCs w:val="20"/>
              </w:rPr>
              <w:t>VP</w:t>
            </w:r>
            <w:r>
              <w:rPr>
                <w:rFonts w:hint="eastAsia" w:ascii="宋体" w:hAnsi="宋体"/>
                <w:kern w:val="0"/>
                <w:sz w:val="20"/>
                <w:szCs w:val="20"/>
              </w:rPr>
              <w:t>电缆</w:t>
            </w:r>
            <w:r>
              <w:rPr>
                <w:rFonts w:ascii="Arial" w:hAnsi="Arial"/>
                <w:kern w:val="0"/>
                <w:sz w:val="20"/>
                <w:szCs w:val="20"/>
              </w:rPr>
              <w:t>5</w:t>
            </w:r>
            <w:r>
              <w:rPr>
                <w:rFonts w:hint="eastAsia" w:ascii="宋体" w:hAnsi="宋体"/>
                <w:kern w:val="0"/>
                <w:sz w:val="20"/>
                <w:szCs w:val="20"/>
              </w:rPr>
              <w:t>米</w:t>
            </w:r>
            <w:r>
              <w:rPr>
                <w:rFonts w:hint="eastAsia" w:ascii="宋体" w:hAnsi="宋体"/>
                <w:kern w:val="0"/>
                <w:sz w:val="20"/>
                <w:szCs w:val="20"/>
              </w:rPr>
              <w:br w:type="textWrapping"/>
            </w:r>
            <w:r>
              <w:rPr>
                <w:rFonts w:hint="eastAsia" w:ascii="宋体" w:hAnsi="宋体"/>
                <w:kern w:val="0"/>
                <w:sz w:val="20"/>
                <w:szCs w:val="20"/>
              </w:rPr>
              <w:t>量程：</w:t>
            </w:r>
            <w:r>
              <w:rPr>
                <w:rFonts w:ascii="Arial" w:hAnsi="Arial"/>
                <w:kern w:val="0"/>
                <w:sz w:val="20"/>
                <w:szCs w:val="20"/>
              </w:rPr>
              <w:t>0-14pH</w:t>
            </w:r>
            <w:r>
              <w:rPr>
                <w:rFonts w:hint="eastAsia" w:ascii="宋体" w:hAnsi="宋体"/>
                <w:kern w:val="0"/>
                <w:sz w:val="20"/>
                <w:szCs w:val="20"/>
              </w:rPr>
              <w:t>；报警联锁停车设定值：低限</w:t>
            </w:r>
            <w:r>
              <w:rPr>
                <w:rFonts w:ascii="Arial" w:hAnsi="Arial"/>
                <w:kern w:val="0"/>
                <w:sz w:val="20"/>
                <w:szCs w:val="20"/>
              </w:rPr>
              <w:t>8.5</w:t>
            </w:r>
            <w:r>
              <w:rPr>
                <w:rFonts w:hint="eastAsia" w:ascii="宋体" w:hAnsi="宋体"/>
                <w:kern w:val="0"/>
                <w:sz w:val="20"/>
                <w:szCs w:val="20"/>
              </w:rPr>
              <w:t>，高限</w:t>
            </w:r>
            <w:r>
              <w:rPr>
                <w:rFonts w:ascii="Arial" w:hAnsi="Arial"/>
                <w:kern w:val="0"/>
                <w:sz w:val="20"/>
                <w:szCs w:val="20"/>
              </w:rPr>
              <w:t>11</w:t>
            </w:r>
          </w:p>
        </w:tc>
        <w:tc>
          <w:tcPr>
            <w:tcW w:w="860" w:type="dxa"/>
            <w:tcBorders>
              <w:top w:val="nil"/>
              <w:left w:val="nil"/>
              <w:bottom w:val="single" w:color="auto" w:sz="4" w:space="0"/>
              <w:right w:val="single" w:color="auto" w:sz="4" w:space="0"/>
            </w:tcBorders>
            <w:vAlign w:val="center"/>
          </w:tcPr>
          <w:p w14:paraId="04A61E12">
            <w:pPr>
              <w:widowControl/>
              <w:jc w:val="center"/>
              <w:rPr>
                <w:rFonts w:hint="eastAsia" w:ascii="宋体" w:hAnsi="宋体" w:cs="宋体"/>
                <w:kern w:val="0"/>
                <w:sz w:val="20"/>
                <w:szCs w:val="20"/>
              </w:rPr>
            </w:pPr>
            <w:r>
              <w:rPr>
                <w:rFonts w:hint="eastAsia" w:ascii="宋体" w:hAnsi="宋体" w:cs="宋体"/>
                <w:kern w:val="0"/>
                <w:sz w:val="20"/>
                <w:szCs w:val="20"/>
              </w:rPr>
              <w:t>锦汐/横河/哈希</w:t>
            </w:r>
          </w:p>
        </w:tc>
        <w:tc>
          <w:tcPr>
            <w:tcW w:w="720" w:type="dxa"/>
            <w:gridSpan w:val="2"/>
            <w:tcBorders>
              <w:top w:val="nil"/>
              <w:left w:val="nil"/>
              <w:bottom w:val="single" w:color="auto" w:sz="4" w:space="0"/>
              <w:right w:val="single" w:color="auto" w:sz="4" w:space="0"/>
            </w:tcBorders>
            <w:vAlign w:val="center"/>
          </w:tcPr>
          <w:p w14:paraId="04A61E13">
            <w:pPr>
              <w:widowControl/>
              <w:jc w:val="center"/>
              <w:rPr>
                <w:rFonts w:hint="eastAsia" w:ascii="宋体" w:hAnsi="宋体" w:cs="宋体"/>
                <w:kern w:val="0"/>
                <w:sz w:val="20"/>
                <w:szCs w:val="20"/>
              </w:rPr>
            </w:pPr>
            <w:r>
              <w:rPr>
                <w:rFonts w:hint="eastAsia" w:ascii="宋体" w:hAnsi="宋体" w:cs="宋体"/>
                <w:kern w:val="0"/>
                <w:sz w:val="20"/>
                <w:szCs w:val="20"/>
              </w:rPr>
              <w:t>台</w:t>
            </w:r>
          </w:p>
        </w:tc>
        <w:tc>
          <w:tcPr>
            <w:tcW w:w="725" w:type="dxa"/>
            <w:gridSpan w:val="2"/>
            <w:tcBorders>
              <w:top w:val="nil"/>
              <w:left w:val="nil"/>
              <w:bottom w:val="single" w:color="auto" w:sz="4" w:space="0"/>
              <w:right w:val="single" w:color="auto" w:sz="4" w:space="0"/>
            </w:tcBorders>
            <w:vAlign w:val="center"/>
          </w:tcPr>
          <w:p w14:paraId="04A61E14">
            <w:pPr>
              <w:widowControl/>
              <w:jc w:val="center"/>
              <w:rPr>
                <w:rFonts w:hint="eastAsia" w:ascii="宋体" w:hAnsi="宋体" w:cs="宋体"/>
                <w:kern w:val="0"/>
                <w:sz w:val="20"/>
                <w:szCs w:val="20"/>
              </w:rPr>
            </w:pPr>
            <w:r>
              <w:rPr>
                <w:rFonts w:hint="eastAsia" w:ascii="宋体" w:hAnsi="宋体" w:cs="宋体"/>
                <w:kern w:val="0"/>
                <w:sz w:val="20"/>
                <w:szCs w:val="20"/>
              </w:rPr>
              <w:t xml:space="preserve">1 </w:t>
            </w:r>
          </w:p>
        </w:tc>
      </w:tr>
      <w:tr w14:paraId="04A61E1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wBefore w:w="90" w:type="dxa"/>
          <w:trHeight w:val="910" w:hRule="atLeast"/>
          <w:jc w:val="center"/>
        </w:trPr>
        <w:tc>
          <w:tcPr>
            <w:tcW w:w="659" w:type="dxa"/>
            <w:gridSpan w:val="2"/>
            <w:tcBorders>
              <w:top w:val="nil"/>
              <w:left w:val="single" w:color="auto" w:sz="4" w:space="0"/>
              <w:bottom w:val="single" w:color="auto" w:sz="4" w:space="0"/>
              <w:right w:val="single" w:color="auto" w:sz="4" w:space="0"/>
            </w:tcBorders>
            <w:vAlign w:val="center"/>
          </w:tcPr>
          <w:p w14:paraId="04A61E16">
            <w:pPr>
              <w:widowControl/>
              <w:jc w:val="center"/>
              <w:rPr>
                <w:rFonts w:hint="eastAsia" w:ascii="宋体" w:hAnsi="宋体" w:cs="宋体"/>
                <w:kern w:val="0"/>
                <w:sz w:val="20"/>
                <w:szCs w:val="20"/>
              </w:rPr>
            </w:pPr>
            <w:r>
              <w:rPr>
                <w:rFonts w:hint="eastAsia" w:ascii="宋体" w:hAnsi="宋体" w:cs="宋体"/>
                <w:kern w:val="0"/>
                <w:sz w:val="20"/>
                <w:szCs w:val="20"/>
              </w:rPr>
              <w:t>5</w:t>
            </w:r>
          </w:p>
        </w:tc>
        <w:tc>
          <w:tcPr>
            <w:tcW w:w="1903" w:type="dxa"/>
            <w:gridSpan w:val="2"/>
            <w:tcBorders>
              <w:top w:val="nil"/>
              <w:left w:val="nil"/>
              <w:bottom w:val="single" w:color="auto" w:sz="4" w:space="0"/>
              <w:right w:val="single" w:color="auto" w:sz="4" w:space="0"/>
            </w:tcBorders>
            <w:vAlign w:val="center"/>
          </w:tcPr>
          <w:p w14:paraId="04A61E17">
            <w:pPr>
              <w:widowControl/>
              <w:jc w:val="center"/>
              <w:rPr>
                <w:rFonts w:hint="eastAsia" w:ascii="宋体" w:hAnsi="宋体" w:cs="宋体"/>
                <w:kern w:val="0"/>
                <w:sz w:val="20"/>
                <w:szCs w:val="20"/>
              </w:rPr>
            </w:pPr>
            <w:r>
              <w:rPr>
                <w:rFonts w:hint="eastAsia" w:ascii="宋体" w:hAnsi="宋体" w:cs="宋体"/>
                <w:kern w:val="0"/>
                <w:sz w:val="20"/>
                <w:szCs w:val="20"/>
              </w:rPr>
              <w:t>电导率测量仪</w:t>
            </w:r>
            <w:r>
              <w:rPr>
                <w:rFonts w:hint="eastAsia" w:ascii="宋体" w:hAnsi="宋体" w:cs="宋体"/>
                <w:kern w:val="0"/>
                <w:sz w:val="20"/>
                <w:szCs w:val="20"/>
              </w:rPr>
              <w:br w:type="textWrapping"/>
            </w:r>
            <w:r>
              <w:rPr>
                <w:rFonts w:hint="eastAsia" w:ascii="宋体" w:hAnsi="宋体" w:cs="宋体"/>
                <w:kern w:val="0"/>
                <w:sz w:val="20"/>
                <w:szCs w:val="20"/>
              </w:rPr>
              <w:t>13AIA-13102</w:t>
            </w:r>
          </w:p>
        </w:tc>
        <w:tc>
          <w:tcPr>
            <w:tcW w:w="5096" w:type="dxa"/>
            <w:gridSpan w:val="4"/>
            <w:tcBorders>
              <w:top w:val="nil"/>
              <w:left w:val="nil"/>
              <w:bottom w:val="single" w:color="auto" w:sz="4" w:space="0"/>
              <w:right w:val="single" w:color="auto" w:sz="4" w:space="0"/>
            </w:tcBorders>
            <w:vAlign w:val="center"/>
          </w:tcPr>
          <w:p w14:paraId="04A61E18">
            <w:pPr>
              <w:widowControl/>
              <w:jc w:val="left"/>
              <w:rPr>
                <w:rFonts w:ascii="Arial" w:hAnsi="Arial"/>
                <w:kern w:val="0"/>
                <w:sz w:val="20"/>
                <w:szCs w:val="20"/>
              </w:rPr>
            </w:pPr>
            <w:r>
              <w:rPr>
                <w:rFonts w:ascii="Arial" w:hAnsi="Arial"/>
                <w:kern w:val="0"/>
                <w:sz w:val="20"/>
                <w:szCs w:val="20"/>
              </w:rPr>
              <w:t>A</w:t>
            </w:r>
            <w:r>
              <w:rPr>
                <w:rFonts w:hint="eastAsia" w:ascii="宋体" w:hAnsi="宋体"/>
                <w:kern w:val="0"/>
                <w:sz w:val="20"/>
                <w:szCs w:val="20"/>
              </w:rPr>
              <w:t>气化炉水冷壁汽包电导率监测</w:t>
            </w:r>
            <w:r>
              <w:rPr>
                <w:rFonts w:ascii="Arial" w:hAnsi="Arial"/>
                <w:kern w:val="0"/>
                <w:sz w:val="20"/>
                <w:szCs w:val="20"/>
              </w:rPr>
              <w:br w:type="textWrapping"/>
            </w:r>
            <w:r>
              <w:rPr>
                <w:rFonts w:hint="eastAsia" w:ascii="宋体" w:hAnsi="宋体"/>
                <w:kern w:val="0"/>
                <w:sz w:val="20"/>
                <w:szCs w:val="20"/>
              </w:rPr>
              <w:t>含电导率变送器、隔爆箱、纯水电导率电极，</w:t>
            </w:r>
            <w:r>
              <w:rPr>
                <w:rFonts w:ascii="Arial" w:hAnsi="Arial"/>
                <w:kern w:val="0"/>
                <w:sz w:val="20"/>
                <w:szCs w:val="20"/>
              </w:rPr>
              <w:t>C=0.05</w:t>
            </w:r>
            <w:r>
              <w:rPr>
                <w:rFonts w:ascii="Arial" w:hAnsi="Arial"/>
                <w:kern w:val="0"/>
                <w:sz w:val="20"/>
                <w:szCs w:val="20"/>
              </w:rPr>
              <w:br w:type="textWrapping"/>
            </w:r>
            <w:r>
              <w:rPr>
                <w:rFonts w:hint="eastAsia" w:ascii="宋体" w:hAnsi="宋体"/>
                <w:kern w:val="0"/>
                <w:sz w:val="20"/>
                <w:szCs w:val="20"/>
              </w:rPr>
              <w:t>量程：0-75</w:t>
            </w:r>
            <w:r>
              <w:rPr>
                <w:rFonts w:ascii="Arial" w:hAnsi="Arial"/>
                <w:kern w:val="0"/>
                <w:sz w:val="20"/>
                <w:szCs w:val="20"/>
              </w:rPr>
              <w:t>μS/cm</w:t>
            </w:r>
            <w:r>
              <w:rPr>
                <w:rFonts w:hint="eastAsia" w:ascii="宋体" w:hAnsi="宋体"/>
                <w:kern w:val="0"/>
                <w:sz w:val="20"/>
                <w:szCs w:val="20"/>
              </w:rPr>
              <w:t>；报警联锁停车设定值：高限55</w:t>
            </w:r>
          </w:p>
        </w:tc>
        <w:tc>
          <w:tcPr>
            <w:tcW w:w="860" w:type="dxa"/>
            <w:tcBorders>
              <w:top w:val="nil"/>
              <w:left w:val="nil"/>
              <w:bottom w:val="single" w:color="auto" w:sz="4" w:space="0"/>
              <w:right w:val="single" w:color="auto" w:sz="4" w:space="0"/>
            </w:tcBorders>
            <w:vAlign w:val="center"/>
          </w:tcPr>
          <w:p w14:paraId="04A61E19">
            <w:pPr>
              <w:widowControl/>
              <w:jc w:val="center"/>
              <w:rPr>
                <w:rFonts w:hint="eastAsia" w:ascii="宋体" w:hAnsi="宋体" w:cs="宋体"/>
                <w:kern w:val="0"/>
                <w:sz w:val="20"/>
                <w:szCs w:val="20"/>
              </w:rPr>
            </w:pPr>
            <w:r>
              <w:rPr>
                <w:rFonts w:hint="eastAsia" w:ascii="宋体" w:hAnsi="宋体" w:cs="宋体"/>
                <w:kern w:val="0"/>
                <w:sz w:val="20"/>
                <w:szCs w:val="20"/>
              </w:rPr>
              <w:t>锦汐/横河/哈希</w:t>
            </w:r>
          </w:p>
        </w:tc>
        <w:tc>
          <w:tcPr>
            <w:tcW w:w="720" w:type="dxa"/>
            <w:gridSpan w:val="2"/>
            <w:tcBorders>
              <w:top w:val="nil"/>
              <w:left w:val="nil"/>
              <w:bottom w:val="single" w:color="auto" w:sz="4" w:space="0"/>
              <w:right w:val="single" w:color="auto" w:sz="4" w:space="0"/>
            </w:tcBorders>
            <w:vAlign w:val="center"/>
          </w:tcPr>
          <w:p w14:paraId="04A61E1A">
            <w:pPr>
              <w:widowControl/>
              <w:jc w:val="center"/>
              <w:rPr>
                <w:rFonts w:hint="eastAsia" w:ascii="宋体" w:hAnsi="宋体" w:cs="宋体"/>
                <w:kern w:val="0"/>
                <w:sz w:val="20"/>
                <w:szCs w:val="20"/>
              </w:rPr>
            </w:pPr>
            <w:r>
              <w:rPr>
                <w:rFonts w:hint="eastAsia" w:ascii="宋体" w:hAnsi="宋体" w:cs="宋体"/>
                <w:kern w:val="0"/>
                <w:sz w:val="20"/>
                <w:szCs w:val="20"/>
              </w:rPr>
              <w:t>台</w:t>
            </w:r>
          </w:p>
        </w:tc>
        <w:tc>
          <w:tcPr>
            <w:tcW w:w="725" w:type="dxa"/>
            <w:gridSpan w:val="2"/>
            <w:tcBorders>
              <w:top w:val="nil"/>
              <w:left w:val="nil"/>
              <w:bottom w:val="single" w:color="auto" w:sz="4" w:space="0"/>
              <w:right w:val="single" w:color="auto" w:sz="4" w:space="0"/>
            </w:tcBorders>
            <w:vAlign w:val="center"/>
          </w:tcPr>
          <w:p w14:paraId="04A61E1B">
            <w:pPr>
              <w:widowControl/>
              <w:jc w:val="center"/>
              <w:rPr>
                <w:rFonts w:hint="eastAsia" w:ascii="宋体" w:hAnsi="宋体" w:cs="宋体"/>
                <w:kern w:val="0"/>
                <w:sz w:val="20"/>
                <w:szCs w:val="20"/>
              </w:rPr>
            </w:pPr>
            <w:r>
              <w:rPr>
                <w:rFonts w:hint="eastAsia" w:ascii="宋体" w:hAnsi="宋体" w:cs="宋体"/>
                <w:kern w:val="0"/>
                <w:sz w:val="20"/>
                <w:szCs w:val="20"/>
              </w:rPr>
              <w:t xml:space="preserve">1 </w:t>
            </w:r>
          </w:p>
        </w:tc>
      </w:tr>
      <w:tr w14:paraId="04A61E2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wBefore w:w="90" w:type="dxa"/>
          <w:trHeight w:val="910" w:hRule="atLeast"/>
          <w:jc w:val="center"/>
        </w:trPr>
        <w:tc>
          <w:tcPr>
            <w:tcW w:w="659" w:type="dxa"/>
            <w:gridSpan w:val="2"/>
            <w:tcBorders>
              <w:top w:val="nil"/>
              <w:left w:val="single" w:color="auto" w:sz="4" w:space="0"/>
              <w:bottom w:val="single" w:color="auto" w:sz="4" w:space="0"/>
              <w:right w:val="single" w:color="auto" w:sz="4" w:space="0"/>
            </w:tcBorders>
            <w:vAlign w:val="center"/>
          </w:tcPr>
          <w:p w14:paraId="04A61E1D">
            <w:pPr>
              <w:widowControl/>
              <w:jc w:val="center"/>
              <w:rPr>
                <w:rFonts w:hint="eastAsia" w:ascii="宋体" w:hAnsi="宋体" w:cs="宋体"/>
                <w:kern w:val="0"/>
                <w:sz w:val="20"/>
                <w:szCs w:val="20"/>
              </w:rPr>
            </w:pPr>
            <w:r>
              <w:rPr>
                <w:rFonts w:hint="eastAsia" w:ascii="宋体" w:hAnsi="宋体" w:cs="宋体"/>
                <w:kern w:val="0"/>
                <w:sz w:val="20"/>
                <w:szCs w:val="20"/>
              </w:rPr>
              <w:t>6</w:t>
            </w:r>
          </w:p>
        </w:tc>
        <w:tc>
          <w:tcPr>
            <w:tcW w:w="1903" w:type="dxa"/>
            <w:gridSpan w:val="2"/>
            <w:tcBorders>
              <w:top w:val="nil"/>
              <w:left w:val="nil"/>
              <w:bottom w:val="single" w:color="auto" w:sz="4" w:space="0"/>
              <w:right w:val="single" w:color="auto" w:sz="4" w:space="0"/>
            </w:tcBorders>
            <w:vAlign w:val="center"/>
          </w:tcPr>
          <w:p w14:paraId="04A61E1E">
            <w:pPr>
              <w:widowControl/>
              <w:jc w:val="center"/>
              <w:rPr>
                <w:rFonts w:hint="eastAsia" w:ascii="宋体" w:hAnsi="宋体" w:cs="宋体"/>
                <w:kern w:val="0"/>
                <w:sz w:val="20"/>
                <w:szCs w:val="20"/>
              </w:rPr>
            </w:pPr>
            <w:r>
              <w:rPr>
                <w:rFonts w:hint="eastAsia" w:ascii="宋体" w:hAnsi="宋体" w:cs="宋体"/>
                <w:kern w:val="0"/>
                <w:sz w:val="20"/>
                <w:szCs w:val="20"/>
              </w:rPr>
              <w:t>电导率测量仪</w:t>
            </w:r>
            <w:r>
              <w:rPr>
                <w:rFonts w:hint="eastAsia" w:ascii="宋体" w:hAnsi="宋体" w:cs="宋体"/>
                <w:kern w:val="0"/>
                <w:sz w:val="20"/>
                <w:szCs w:val="20"/>
              </w:rPr>
              <w:br w:type="textWrapping"/>
            </w:r>
            <w:r>
              <w:rPr>
                <w:rFonts w:hint="eastAsia" w:ascii="宋体" w:hAnsi="宋体" w:cs="宋体"/>
                <w:kern w:val="0"/>
                <w:sz w:val="20"/>
                <w:szCs w:val="20"/>
              </w:rPr>
              <w:t>13AIA-13202</w:t>
            </w:r>
          </w:p>
        </w:tc>
        <w:tc>
          <w:tcPr>
            <w:tcW w:w="5096" w:type="dxa"/>
            <w:gridSpan w:val="4"/>
            <w:tcBorders>
              <w:top w:val="nil"/>
              <w:left w:val="nil"/>
              <w:bottom w:val="single" w:color="auto" w:sz="4" w:space="0"/>
              <w:right w:val="single" w:color="auto" w:sz="4" w:space="0"/>
            </w:tcBorders>
            <w:vAlign w:val="center"/>
          </w:tcPr>
          <w:p w14:paraId="04A61E1F">
            <w:pPr>
              <w:widowControl/>
              <w:jc w:val="left"/>
              <w:rPr>
                <w:rFonts w:ascii="Arial" w:hAnsi="Arial"/>
                <w:kern w:val="0"/>
                <w:sz w:val="20"/>
                <w:szCs w:val="20"/>
              </w:rPr>
            </w:pPr>
            <w:r>
              <w:rPr>
                <w:rFonts w:ascii="Arial" w:hAnsi="Arial"/>
                <w:kern w:val="0"/>
                <w:sz w:val="20"/>
                <w:szCs w:val="20"/>
              </w:rPr>
              <w:t>B</w:t>
            </w:r>
            <w:r>
              <w:rPr>
                <w:rFonts w:hint="eastAsia" w:ascii="宋体" w:hAnsi="宋体"/>
                <w:kern w:val="0"/>
                <w:sz w:val="20"/>
                <w:szCs w:val="20"/>
              </w:rPr>
              <w:t>气化炉水冷壁汽包电导率监测</w:t>
            </w:r>
            <w:r>
              <w:rPr>
                <w:rFonts w:ascii="Arial" w:hAnsi="Arial"/>
                <w:kern w:val="0"/>
                <w:sz w:val="20"/>
                <w:szCs w:val="20"/>
              </w:rPr>
              <w:br w:type="textWrapping"/>
            </w:r>
            <w:r>
              <w:rPr>
                <w:rFonts w:hint="eastAsia" w:ascii="宋体" w:hAnsi="宋体"/>
                <w:kern w:val="0"/>
                <w:sz w:val="20"/>
                <w:szCs w:val="20"/>
              </w:rPr>
              <w:t>含电导率变送器、隔爆箱、纯水电导率电极，</w:t>
            </w:r>
            <w:r>
              <w:rPr>
                <w:rFonts w:ascii="Arial" w:hAnsi="Arial"/>
                <w:kern w:val="0"/>
                <w:sz w:val="20"/>
                <w:szCs w:val="20"/>
              </w:rPr>
              <w:t>C=0.05</w:t>
            </w:r>
            <w:r>
              <w:rPr>
                <w:rFonts w:ascii="Arial" w:hAnsi="Arial"/>
                <w:kern w:val="0"/>
                <w:sz w:val="20"/>
                <w:szCs w:val="20"/>
              </w:rPr>
              <w:br w:type="textWrapping"/>
            </w:r>
            <w:r>
              <w:rPr>
                <w:rFonts w:hint="eastAsia" w:ascii="宋体" w:hAnsi="宋体"/>
                <w:kern w:val="0"/>
                <w:sz w:val="20"/>
                <w:szCs w:val="20"/>
              </w:rPr>
              <w:t>量程：</w:t>
            </w:r>
            <w:r>
              <w:rPr>
                <w:rFonts w:ascii="Arial" w:hAnsi="Arial"/>
                <w:kern w:val="0"/>
                <w:sz w:val="20"/>
                <w:szCs w:val="20"/>
              </w:rPr>
              <w:t>0-75μS/cm</w:t>
            </w:r>
            <w:r>
              <w:rPr>
                <w:rFonts w:hint="eastAsia" w:ascii="宋体" w:hAnsi="宋体"/>
                <w:kern w:val="0"/>
                <w:sz w:val="20"/>
                <w:szCs w:val="20"/>
              </w:rPr>
              <w:t>；报警联锁停车设定值：高限</w:t>
            </w:r>
            <w:r>
              <w:rPr>
                <w:rFonts w:ascii="Arial" w:hAnsi="Arial"/>
                <w:kern w:val="0"/>
                <w:sz w:val="20"/>
                <w:szCs w:val="20"/>
              </w:rPr>
              <w:t>55</w:t>
            </w:r>
          </w:p>
        </w:tc>
        <w:tc>
          <w:tcPr>
            <w:tcW w:w="860" w:type="dxa"/>
            <w:tcBorders>
              <w:top w:val="nil"/>
              <w:left w:val="nil"/>
              <w:bottom w:val="single" w:color="auto" w:sz="4" w:space="0"/>
              <w:right w:val="single" w:color="auto" w:sz="4" w:space="0"/>
            </w:tcBorders>
            <w:vAlign w:val="center"/>
          </w:tcPr>
          <w:p w14:paraId="04A61E20">
            <w:pPr>
              <w:widowControl/>
              <w:jc w:val="center"/>
              <w:rPr>
                <w:rFonts w:hint="eastAsia" w:ascii="宋体" w:hAnsi="宋体" w:cs="宋体"/>
                <w:kern w:val="0"/>
                <w:sz w:val="20"/>
                <w:szCs w:val="20"/>
              </w:rPr>
            </w:pPr>
            <w:r>
              <w:rPr>
                <w:rFonts w:hint="eastAsia" w:ascii="宋体" w:hAnsi="宋体" w:cs="宋体"/>
                <w:kern w:val="0"/>
                <w:sz w:val="20"/>
                <w:szCs w:val="20"/>
              </w:rPr>
              <w:t>锦汐/横河/哈希</w:t>
            </w:r>
          </w:p>
        </w:tc>
        <w:tc>
          <w:tcPr>
            <w:tcW w:w="720" w:type="dxa"/>
            <w:gridSpan w:val="2"/>
            <w:tcBorders>
              <w:top w:val="nil"/>
              <w:left w:val="nil"/>
              <w:bottom w:val="single" w:color="auto" w:sz="4" w:space="0"/>
              <w:right w:val="single" w:color="auto" w:sz="4" w:space="0"/>
            </w:tcBorders>
            <w:vAlign w:val="center"/>
          </w:tcPr>
          <w:p w14:paraId="04A61E21">
            <w:pPr>
              <w:widowControl/>
              <w:jc w:val="center"/>
              <w:rPr>
                <w:rFonts w:hint="eastAsia" w:ascii="宋体" w:hAnsi="宋体" w:cs="宋体"/>
                <w:kern w:val="0"/>
                <w:sz w:val="20"/>
                <w:szCs w:val="20"/>
              </w:rPr>
            </w:pPr>
            <w:r>
              <w:rPr>
                <w:rFonts w:hint="eastAsia" w:ascii="宋体" w:hAnsi="宋体" w:cs="宋体"/>
                <w:kern w:val="0"/>
                <w:sz w:val="20"/>
                <w:szCs w:val="20"/>
              </w:rPr>
              <w:t>台</w:t>
            </w:r>
          </w:p>
        </w:tc>
        <w:tc>
          <w:tcPr>
            <w:tcW w:w="725" w:type="dxa"/>
            <w:gridSpan w:val="2"/>
            <w:tcBorders>
              <w:top w:val="nil"/>
              <w:left w:val="nil"/>
              <w:bottom w:val="single" w:color="auto" w:sz="4" w:space="0"/>
              <w:right w:val="single" w:color="auto" w:sz="4" w:space="0"/>
            </w:tcBorders>
            <w:vAlign w:val="center"/>
          </w:tcPr>
          <w:p w14:paraId="04A61E22">
            <w:pPr>
              <w:widowControl/>
              <w:jc w:val="center"/>
              <w:rPr>
                <w:rFonts w:hint="eastAsia" w:ascii="宋体" w:hAnsi="宋体" w:cs="宋体"/>
                <w:kern w:val="0"/>
                <w:sz w:val="20"/>
                <w:szCs w:val="20"/>
              </w:rPr>
            </w:pPr>
            <w:r>
              <w:rPr>
                <w:rFonts w:hint="eastAsia" w:ascii="宋体" w:hAnsi="宋体" w:cs="宋体"/>
                <w:kern w:val="0"/>
                <w:sz w:val="20"/>
                <w:szCs w:val="20"/>
              </w:rPr>
              <w:t xml:space="preserve">1 </w:t>
            </w:r>
          </w:p>
        </w:tc>
      </w:tr>
      <w:tr w14:paraId="04A61E2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wBefore w:w="90" w:type="dxa"/>
          <w:trHeight w:val="910" w:hRule="atLeast"/>
          <w:jc w:val="center"/>
        </w:trPr>
        <w:tc>
          <w:tcPr>
            <w:tcW w:w="659" w:type="dxa"/>
            <w:gridSpan w:val="2"/>
            <w:tcBorders>
              <w:top w:val="nil"/>
              <w:left w:val="single" w:color="auto" w:sz="4" w:space="0"/>
              <w:bottom w:val="single" w:color="auto" w:sz="4" w:space="0"/>
              <w:right w:val="single" w:color="auto" w:sz="4" w:space="0"/>
            </w:tcBorders>
            <w:vAlign w:val="center"/>
          </w:tcPr>
          <w:p w14:paraId="04A61E24">
            <w:pPr>
              <w:widowControl/>
              <w:jc w:val="center"/>
              <w:rPr>
                <w:rFonts w:hint="eastAsia" w:ascii="宋体" w:hAnsi="宋体" w:cs="宋体"/>
                <w:kern w:val="0"/>
                <w:sz w:val="20"/>
                <w:szCs w:val="20"/>
              </w:rPr>
            </w:pPr>
            <w:r>
              <w:rPr>
                <w:rFonts w:hint="eastAsia" w:ascii="宋体" w:hAnsi="宋体" w:cs="宋体"/>
                <w:kern w:val="0"/>
                <w:sz w:val="20"/>
                <w:szCs w:val="20"/>
              </w:rPr>
              <w:t>7</w:t>
            </w:r>
          </w:p>
        </w:tc>
        <w:tc>
          <w:tcPr>
            <w:tcW w:w="1903" w:type="dxa"/>
            <w:gridSpan w:val="2"/>
            <w:tcBorders>
              <w:top w:val="nil"/>
              <w:left w:val="nil"/>
              <w:bottom w:val="single" w:color="auto" w:sz="4" w:space="0"/>
              <w:right w:val="single" w:color="auto" w:sz="4" w:space="0"/>
            </w:tcBorders>
            <w:vAlign w:val="center"/>
          </w:tcPr>
          <w:p w14:paraId="04A61E25">
            <w:pPr>
              <w:widowControl/>
              <w:jc w:val="center"/>
              <w:rPr>
                <w:rFonts w:hint="eastAsia" w:ascii="宋体" w:hAnsi="宋体" w:cs="宋体"/>
                <w:kern w:val="0"/>
                <w:sz w:val="20"/>
                <w:szCs w:val="20"/>
              </w:rPr>
            </w:pPr>
            <w:r>
              <w:rPr>
                <w:rFonts w:hint="eastAsia" w:ascii="宋体" w:hAnsi="宋体" w:cs="宋体"/>
                <w:kern w:val="0"/>
                <w:sz w:val="20"/>
                <w:szCs w:val="20"/>
              </w:rPr>
              <w:t>电导率测量仪13AIA-13105</w:t>
            </w:r>
          </w:p>
        </w:tc>
        <w:tc>
          <w:tcPr>
            <w:tcW w:w="5096" w:type="dxa"/>
            <w:gridSpan w:val="4"/>
            <w:tcBorders>
              <w:top w:val="nil"/>
              <w:left w:val="nil"/>
              <w:bottom w:val="single" w:color="auto" w:sz="4" w:space="0"/>
              <w:right w:val="single" w:color="auto" w:sz="4" w:space="0"/>
            </w:tcBorders>
            <w:vAlign w:val="center"/>
          </w:tcPr>
          <w:p w14:paraId="04A61E26">
            <w:pPr>
              <w:widowControl/>
              <w:jc w:val="left"/>
              <w:rPr>
                <w:rFonts w:ascii="Arial" w:hAnsi="Arial"/>
                <w:kern w:val="0"/>
                <w:sz w:val="20"/>
                <w:szCs w:val="20"/>
              </w:rPr>
            </w:pPr>
            <w:r>
              <w:rPr>
                <w:rFonts w:ascii="Arial" w:hAnsi="Arial"/>
                <w:kern w:val="0"/>
                <w:sz w:val="20"/>
                <w:szCs w:val="20"/>
              </w:rPr>
              <w:t>A</w:t>
            </w:r>
            <w:r>
              <w:rPr>
                <w:rFonts w:hint="eastAsia" w:ascii="宋体" w:hAnsi="宋体"/>
                <w:kern w:val="0"/>
                <w:sz w:val="20"/>
                <w:szCs w:val="20"/>
              </w:rPr>
              <w:t>气化炉废锅汽包电导率监测</w:t>
            </w:r>
            <w:r>
              <w:rPr>
                <w:rFonts w:ascii="Arial" w:hAnsi="Arial"/>
                <w:kern w:val="0"/>
                <w:sz w:val="20"/>
                <w:szCs w:val="20"/>
              </w:rPr>
              <w:br w:type="textWrapping"/>
            </w:r>
            <w:r>
              <w:rPr>
                <w:rFonts w:hint="eastAsia" w:ascii="宋体" w:hAnsi="宋体"/>
                <w:kern w:val="0"/>
                <w:sz w:val="20"/>
                <w:szCs w:val="20"/>
              </w:rPr>
              <w:t>含电导率变送器、隔爆箱、纯水电导率电极，</w:t>
            </w:r>
            <w:r>
              <w:rPr>
                <w:rFonts w:ascii="Arial" w:hAnsi="Arial"/>
                <w:kern w:val="0"/>
                <w:sz w:val="20"/>
                <w:szCs w:val="20"/>
              </w:rPr>
              <w:t>C=0.05</w:t>
            </w:r>
            <w:r>
              <w:rPr>
                <w:rFonts w:ascii="Arial" w:hAnsi="Arial"/>
                <w:kern w:val="0"/>
                <w:sz w:val="20"/>
                <w:szCs w:val="20"/>
              </w:rPr>
              <w:br w:type="textWrapping"/>
            </w:r>
            <w:r>
              <w:rPr>
                <w:rFonts w:hint="eastAsia" w:ascii="宋体" w:hAnsi="宋体"/>
                <w:kern w:val="0"/>
                <w:sz w:val="20"/>
                <w:szCs w:val="20"/>
              </w:rPr>
              <w:t>量程：</w:t>
            </w:r>
            <w:r>
              <w:rPr>
                <w:rFonts w:ascii="Arial" w:hAnsi="Arial"/>
                <w:kern w:val="0"/>
                <w:sz w:val="20"/>
                <w:szCs w:val="20"/>
              </w:rPr>
              <w:t>0-75μS/cm</w:t>
            </w:r>
            <w:r>
              <w:rPr>
                <w:rFonts w:hint="eastAsia" w:ascii="宋体" w:hAnsi="宋体"/>
                <w:kern w:val="0"/>
                <w:sz w:val="20"/>
                <w:szCs w:val="20"/>
              </w:rPr>
              <w:t>；报警联锁停车设定值：高限</w:t>
            </w:r>
            <w:r>
              <w:rPr>
                <w:rFonts w:ascii="Arial" w:hAnsi="Arial"/>
                <w:kern w:val="0"/>
                <w:sz w:val="20"/>
                <w:szCs w:val="20"/>
              </w:rPr>
              <w:t>55</w:t>
            </w:r>
          </w:p>
        </w:tc>
        <w:tc>
          <w:tcPr>
            <w:tcW w:w="860" w:type="dxa"/>
            <w:tcBorders>
              <w:top w:val="nil"/>
              <w:left w:val="nil"/>
              <w:bottom w:val="single" w:color="auto" w:sz="4" w:space="0"/>
              <w:right w:val="single" w:color="auto" w:sz="4" w:space="0"/>
            </w:tcBorders>
            <w:vAlign w:val="center"/>
          </w:tcPr>
          <w:p w14:paraId="04A61E27">
            <w:pPr>
              <w:widowControl/>
              <w:jc w:val="center"/>
              <w:rPr>
                <w:rFonts w:hint="eastAsia" w:ascii="宋体" w:hAnsi="宋体" w:cs="宋体"/>
                <w:kern w:val="0"/>
                <w:sz w:val="20"/>
                <w:szCs w:val="20"/>
              </w:rPr>
            </w:pPr>
            <w:r>
              <w:rPr>
                <w:rFonts w:hint="eastAsia" w:ascii="宋体" w:hAnsi="宋体" w:cs="宋体"/>
                <w:kern w:val="0"/>
                <w:sz w:val="20"/>
                <w:szCs w:val="20"/>
              </w:rPr>
              <w:t>锦汐/横河/哈希</w:t>
            </w:r>
          </w:p>
        </w:tc>
        <w:tc>
          <w:tcPr>
            <w:tcW w:w="720" w:type="dxa"/>
            <w:gridSpan w:val="2"/>
            <w:tcBorders>
              <w:top w:val="nil"/>
              <w:left w:val="nil"/>
              <w:bottom w:val="single" w:color="auto" w:sz="4" w:space="0"/>
              <w:right w:val="single" w:color="auto" w:sz="4" w:space="0"/>
            </w:tcBorders>
            <w:vAlign w:val="center"/>
          </w:tcPr>
          <w:p w14:paraId="04A61E28">
            <w:pPr>
              <w:widowControl/>
              <w:jc w:val="center"/>
              <w:rPr>
                <w:rFonts w:hint="eastAsia" w:ascii="宋体" w:hAnsi="宋体" w:cs="宋体"/>
                <w:kern w:val="0"/>
                <w:sz w:val="20"/>
                <w:szCs w:val="20"/>
              </w:rPr>
            </w:pPr>
            <w:r>
              <w:rPr>
                <w:rFonts w:hint="eastAsia" w:ascii="宋体" w:hAnsi="宋体" w:cs="宋体"/>
                <w:kern w:val="0"/>
                <w:sz w:val="20"/>
                <w:szCs w:val="20"/>
              </w:rPr>
              <w:t>台</w:t>
            </w:r>
          </w:p>
        </w:tc>
        <w:tc>
          <w:tcPr>
            <w:tcW w:w="725" w:type="dxa"/>
            <w:gridSpan w:val="2"/>
            <w:tcBorders>
              <w:top w:val="nil"/>
              <w:left w:val="nil"/>
              <w:bottom w:val="single" w:color="auto" w:sz="4" w:space="0"/>
              <w:right w:val="single" w:color="auto" w:sz="4" w:space="0"/>
            </w:tcBorders>
            <w:vAlign w:val="center"/>
          </w:tcPr>
          <w:p w14:paraId="04A61E29">
            <w:pPr>
              <w:widowControl/>
              <w:jc w:val="center"/>
              <w:rPr>
                <w:rFonts w:hint="eastAsia" w:ascii="宋体" w:hAnsi="宋体" w:cs="宋体"/>
                <w:kern w:val="0"/>
                <w:sz w:val="20"/>
                <w:szCs w:val="20"/>
              </w:rPr>
            </w:pPr>
            <w:r>
              <w:rPr>
                <w:rFonts w:hint="eastAsia" w:ascii="宋体" w:hAnsi="宋体" w:cs="宋体"/>
                <w:kern w:val="0"/>
                <w:sz w:val="20"/>
                <w:szCs w:val="20"/>
              </w:rPr>
              <w:t xml:space="preserve">1 </w:t>
            </w:r>
          </w:p>
        </w:tc>
      </w:tr>
      <w:tr w14:paraId="04A61E3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wBefore w:w="90" w:type="dxa"/>
          <w:trHeight w:val="910" w:hRule="atLeast"/>
          <w:jc w:val="center"/>
        </w:trPr>
        <w:tc>
          <w:tcPr>
            <w:tcW w:w="659" w:type="dxa"/>
            <w:gridSpan w:val="2"/>
            <w:tcBorders>
              <w:top w:val="nil"/>
              <w:left w:val="single" w:color="auto" w:sz="4" w:space="0"/>
              <w:bottom w:val="single" w:color="auto" w:sz="4" w:space="0"/>
              <w:right w:val="single" w:color="auto" w:sz="4" w:space="0"/>
            </w:tcBorders>
            <w:vAlign w:val="center"/>
          </w:tcPr>
          <w:p w14:paraId="04A61E2B">
            <w:pPr>
              <w:widowControl/>
              <w:jc w:val="center"/>
              <w:rPr>
                <w:rFonts w:hint="eastAsia" w:ascii="宋体" w:hAnsi="宋体" w:cs="宋体"/>
                <w:kern w:val="0"/>
                <w:sz w:val="20"/>
                <w:szCs w:val="20"/>
              </w:rPr>
            </w:pPr>
            <w:r>
              <w:rPr>
                <w:rFonts w:hint="eastAsia" w:ascii="宋体" w:hAnsi="宋体" w:cs="宋体"/>
                <w:kern w:val="0"/>
                <w:sz w:val="20"/>
                <w:szCs w:val="20"/>
              </w:rPr>
              <w:t>8</w:t>
            </w:r>
          </w:p>
        </w:tc>
        <w:tc>
          <w:tcPr>
            <w:tcW w:w="1903" w:type="dxa"/>
            <w:gridSpan w:val="2"/>
            <w:tcBorders>
              <w:top w:val="nil"/>
              <w:left w:val="nil"/>
              <w:bottom w:val="single" w:color="auto" w:sz="4" w:space="0"/>
              <w:right w:val="single" w:color="auto" w:sz="4" w:space="0"/>
            </w:tcBorders>
            <w:vAlign w:val="center"/>
          </w:tcPr>
          <w:p w14:paraId="04A61E2C">
            <w:pPr>
              <w:widowControl/>
              <w:jc w:val="center"/>
              <w:rPr>
                <w:rFonts w:hint="eastAsia" w:ascii="宋体" w:hAnsi="宋体" w:cs="宋体"/>
                <w:kern w:val="0"/>
                <w:sz w:val="20"/>
                <w:szCs w:val="20"/>
              </w:rPr>
            </w:pPr>
            <w:r>
              <w:rPr>
                <w:rFonts w:hint="eastAsia" w:ascii="宋体" w:hAnsi="宋体" w:cs="宋体"/>
                <w:kern w:val="0"/>
                <w:sz w:val="20"/>
                <w:szCs w:val="20"/>
              </w:rPr>
              <w:t>电导率测量仪</w:t>
            </w:r>
            <w:r>
              <w:rPr>
                <w:rFonts w:hint="eastAsia" w:ascii="宋体" w:hAnsi="宋体" w:cs="宋体"/>
                <w:kern w:val="0"/>
                <w:sz w:val="20"/>
                <w:szCs w:val="20"/>
              </w:rPr>
              <w:br w:type="textWrapping"/>
            </w:r>
            <w:r>
              <w:rPr>
                <w:rFonts w:hint="eastAsia" w:ascii="宋体" w:hAnsi="宋体" w:cs="宋体"/>
                <w:kern w:val="0"/>
                <w:sz w:val="20"/>
                <w:szCs w:val="20"/>
              </w:rPr>
              <w:t>13AIA-13205</w:t>
            </w:r>
          </w:p>
        </w:tc>
        <w:tc>
          <w:tcPr>
            <w:tcW w:w="5096" w:type="dxa"/>
            <w:gridSpan w:val="4"/>
            <w:tcBorders>
              <w:top w:val="nil"/>
              <w:left w:val="nil"/>
              <w:bottom w:val="single" w:color="auto" w:sz="4" w:space="0"/>
              <w:right w:val="single" w:color="auto" w:sz="4" w:space="0"/>
            </w:tcBorders>
            <w:vAlign w:val="center"/>
          </w:tcPr>
          <w:p w14:paraId="04A61E2D">
            <w:pPr>
              <w:widowControl/>
              <w:jc w:val="left"/>
              <w:rPr>
                <w:rFonts w:ascii="Arial" w:hAnsi="Arial"/>
                <w:kern w:val="0"/>
                <w:sz w:val="20"/>
                <w:szCs w:val="20"/>
              </w:rPr>
            </w:pPr>
            <w:r>
              <w:rPr>
                <w:rFonts w:ascii="Arial" w:hAnsi="Arial"/>
                <w:kern w:val="0"/>
                <w:sz w:val="20"/>
                <w:szCs w:val="20"/>
              </w:rPr>
              <w:t>B</w:t>
            </w:r>
            <w:r>
              <w:rPr>
                <w:rFonts w:hint="eastAsia" w:ascii="宋体" w:hAnsi="宋体"/>
                <w:kern w:val="0"/>
                <w:sz w:val="20"/>
                <w:szCs w:val="20"/>
              </w:rPr>
              <w:t>气化炉废锅汽包电导率监测</w:t>
            </w:r>
            <w:r>
              <w:rPr>
                <w:rFonts w:ascii="Arial" w:hAnsi="Arial"/>
                <w:kern w:val="0"/>
                <w:sz w:val="20"/>
                <w:szCs w:val="20"/>
              </w:rPr>
              <w:br w:type="textWrapping"/>
            </w:r>
            <w:r>
              <w:rPr>
                <w:rFonts w:hint="eastAsia" w:ascii="宋体" w:hAnsi="宋体"/>
                <w:kern w:val="0"/>
                <w:sz w:val="20"/>
                <w:szCs w:val="20"/>
              </w:rPr>
              <w:t>含电导率变送器、隔爆箱、纯水电导率电极，</w:t>
            </w:r>
            <w:r>
              <w:rPr>
                <w:rFonts w:ascii="Arial" w:hAnsi="Arial"/>
                <w:kern w:val="0"/>
                <w:sz w:val="20"/>
                <w:szCs w:val="20"/>
              </w:rPr>
              <w:t>C=0.05</w:t>
            </w:r>
            <w:r>
              <w:rPr>
                <w:rFonts w:ascii="Arial" w:hAnsi="Arial"/>
                <w:kern w:val="0"/>
                <w:sz w:val="20"/>
                <w:szCs w:val="20"/>
              </w:rPr>
              <w:br w:type="textWrapping"/>
            </w:r>
            <w:r>
              <w:rPr>
                <w:rFonts w:hint="eastAsia" w:ascii="宋体" w:hAnsi="宋体"/>
                <w:kern w:val="0"/>
                <w:sz w:val="20"/>
                <w:szCs w:val="20"/>
              </w:rPr>
              <w:t>量程：</w:t>
            </w:r>
            <w:r>
              <w:rPr>
                <w:rFonts w:ascii="Arial" w:hAnsi="Arial"/>
                <w:kern w:val="0"/>
                <w:sz w:val="20"/>
                <w:szCs w:val="20"/>
              </w:rPr>
              <w:t>0-75μS/cm</w:t>
            </w:r>
            <w:r>
              <w:rPr>
                <w:rFonts w:hint="eastAsia" w:ascii="宋体" w:hAnsi="宋体"/>
                <w:kern w:val="0"/>
                <w:sz w:val="20"/>
                <w:szCs w:val="20"/>
              </w:rPr>
              <w:t>；报警联锁停车设定值：高限</w:t>
            </w:r>
            <w:r>
              <w:rPr>
                <w:rFonts w:ascii="Arial" w:hAnsi="Arial"/>
                <w:kern w:val="0"/>
                <w:sz w:val="20"/>
                <w:szCs w:val="20"/>
              </w:rPr>
              <w:t>55</w:t>
            </w:r>
          </w:p>
        </w:tc>
        <w:tc>
          <w:tcPr>
            <w:tcW w:w="860" w:type="dxa"/>
            <w:tcBorders>
              <w:top w:val="nil"/>
              <w:left w:val="nil"/>
              <w:bottom w:val="single" w:color="auto" w:sz="4" w:space="0"/>
              <w:right w:val="single" w:color="auto" w:sz="4" w:space="0"/>
            </w:tcBorders>
            <w:vAlign w:val="center"/>
          </w:tcPr>
          <w:p w14:paraId="04A61E2E">
            <w:pPr>
              <w:widowControl/>
              <w:jc w:val="center"/>
              <w:rPr>
                <w:rFonts w:hint="eastAsia" w:ascii="宋体" w:hAnsi="宋体" w:cs="宋体"/>
                <w:kern w:val="0"/>
                <w:sz w:val="20"/>
                <w:szCs w:val="20"/>
              </w:rPr>
            </w:pPr>
            <w:r>
              <w:rPr>
                <w:rFonts w:hint="eastAsia" w:ascii="宋体" w:hAnsi="宋体" w:cs="宋体"/>
                <w:kern w:val="0"/>
                <w:sz w:val="20"/>
                <w:szCs w:val="20"/>
              </w:rPr>
              <w:t>锦汐/横河/哈希</w:t>
            </w:r>
          </w:p>
        </w:tc>
        <w:tc>
          <w:tcPr>
            <w:tcW w:w="720" w:type="dxa"/>
            <w:gridSpan w:val="2"/>
            <w:tcBorders>
              <w:top w:val="nil"/>
              <w:left w:val="nil"/>
              <w:bottom w:val="single" w:color="auto" w:sz="4" w:space="0"/>
              <w:right w:val="single" w:color="auto" w:sz="4" w:space="0"/>
            </w:tcBorders>
            <w:vAlign w:val="center"/>
          </w:tcPr>
          <w:p w14:paraId="04A61E2F">
            <w:pPr>
              <w:widowControl/>
              <w:jc w:val="center"/>
              <w:rPr>
                <w:rFonts w:hint="eastAsia" w:ascii="宋体" w:hAnsi="宋体" w:cs="宋体"/>
                <w:kern w:val="0"/>
                <w:sz w:val="20"/>
                <w:szCs w:val="20"/>
              </w:rPr>
            </w:pPr>
            <w:r>
              <w:rPr>
                <w:rFonts w:hint="eastAsia" w:ascii="宋体" w:hAnsi="宋体" w:cs="宋体"/>
                <w:kern w:val="0"/>
                <w:sz w:val="20"/>
                <w:szCs w:val="20"/>
              </w:rPr>
              <w:t>台</w:t>
            </w:r>
          </w:p>
        </w:tc>
        <w:tc>
          <w:tcPr>
            <w:tcW w:w="725" w:type="dxa"/>
            <w:gridSpan w:val="2"/>
            <w:tcBorders>
              <w:top w:val="nil"/>
              <w:left w:val="nil"/>
              <w:bottom w:val="single" w:color="auto" w:sz="4" w:space="0"/>
              <w:right w:val="single" w:color="auto" w:sz="4" w:space="0"/>
            </w:tcBorders>
            <w:vAlign w:val="center"/>
          </w:tcPr>
          <w:p w14:paraId="04A61E30">
            <w:pPr>
              <w:widowControl/>
              <w:jc w:val="center"/>
              <w:rPr>
                <w:rFonts w:hint="eastAsia" w:ascii="宋体" w:hAnsi="宋体" w:cs="宋体"/>
                <w:kern w:val="0"/>
                <w:sz w:val="20"/>
                <w:szCs w:val="20"/>
              </w:rPr>
            </w:pPr>
            <w:r>
              <w:rPr>
                <w:rFonts w:hint="eastAsia" w:ascii="宋体" w:hAnsi="宋体" w:cs="宋体"/>
                <w:kern w:val="0"/>
                <w:sz w:val="20"/>
                <w:szCs w:val="20"/>
              </w:rPr>
              <w:t xml:space="preserve">1 </w:t>
            </w:r>
          </w:p>
        </w:tc>
      </w:tr>
      <w:tr w14:paraId="48CC44E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wBefore w:w="90" w:type="dxa"/>
          <w:trHeight w:val="643" w:hRule="atLeast"/>
          <w:jc w:val="center"/>
        </w:trPr>
        <w:tc>
          <w:tcPr>
            <w:tcW w:w="659" w:type="dxa"/>
            <w:gridSpan w:val="2"/>
            <w:tcBorders>
              <w:top w:val="nil"/>
              <w:left w:val="single" w:color="auto" w:sz="4" w:space="0"/>
              <w:bottom w:val="single" w:color="auto" w:sz="4" w:space="0"/>
              <w:right w:val="single" w:color="auto" w:sz="4" w:space="0"/>
            </w:tcBorders>
            <w:vAlign w:val="center"/>
          </w:tcPr>
          <w:p w14:paraId="0633122B">
            <w:pPr>
              <w:widowControl/>
              <w:jc w:val="center"/>
              <w:rPr>
                <w:rFonts w:hint="eastAsia" w:ascii="宋体" w:hAnsi="宋体" w:cs="宋体"/>
                <w:kern w:val="0"/>
                <w:sz w:val="20"/>
                <w:szCs w:val="20"/>
              </w:rPr>
            </w:pPr>
            <w:r>
              <w:rPr>
                <w:rFonts w:hint="eastAsia" w:ascii="宋体" w:hAnsi="宋体" w:cs="宋体"/>
                <w:kern w:val="0"/>
                <w:sz w:val="20"/>
                <w:szCs w:val="20"/>
              </w:rPr>
              <w:t>9</w:t>
            </w:r>
          </w:p>
        </w:tc>
        <w:tc>
          <w:tcPr>
            <w:tcW w:w="1903" w:type="dxa"/>
            <w:gridSpan w:val="2"/>
            <w:tcBorders>
              <w:top w:val="single" w:color="auto" w:sz="4" w:space="0"/>
              <w:left w:val="nil"/>
              <w:bottom w:val="single" w:color="auto" w:sz="4" w:space="0"/>
              <w:right w:val="single" w:color="auto" w:sz="4" w:space="0"/>
            </w:tcBorders>
            <w:vAlign w:val="center"/>
          </w:tcPr>
          <w:p w14:paraId="704CAE6B">
            <w:pPr>
              <w:widowControl/>
              <w:jc w:val="left"/>
              <w:rPr>
                <w:rFonts w:hint="eastAsia" w:ascii="宋体" w:hAnsi="宋体" w:cs="宋体"/>
                <w:b/>
                <w:bCs/>
                <w:kern w:val="0"/>
                <w:sz w:val="20"/>
                <w:szCs w:val="20"/>
              </w:rPr>
            </w:pPr>
            <w:r>
              <w:rPr>
                <w:rFonts w:hint="eastAsia" w:ascii="宋体" w:hAnsi="宋体" w:cs="宋体"/>
                <w:color w:val="000000"/>
                <w:kern w:val="0"/>
                <w:sz w:val="22"/>
                <w:lang w:bidi="ar"/>
              </w:rPr>
              <w:t>预处理单元</w:t>
            </w:r>
          </w:p>
        </w:tc>
        <w:tc>
          <w:tcPr>
            <w:tcW w:w="5096" w:type="dxa"/>
            <w:gridSpan w:val="4"/>
            <w:tcBorders>
              <w:top w:val="single" w:color="auto" w:sz="4" w:space="0"/>
              <w:left w:val="nil"/>
              <w:bottom w:val="single" w:color="auto" w:sz="4" w:space="0"/>
              <w:right w:val="single" w:color="auto" w:sz="4" w:space="0"/>
            </w:tcBorders>
            <w:vAlign w:val="center"/>
          </w:tcPr>
          <w:p w14:paraId="1809E0D0">
            <w:pPr>
              <w:widowControl/>
              <w:jc w:val="left"/>
              <w:rPr>
                <w:rFonts w:hint="eastAsia" w:ascii="宋体" w:hAnsi="宋体" w:cs="宋体"/>
                <w:b/>
                <w:bCs/>
                <w:kern w:val="0"/>
                <w:sz w:val="20"/>
                <w:szCs w:val="20"/>
              </w:rPr>
            </w:pPr>
            <w:r>
              <w:rPr>
                <w:rFonts w:hint="eastAsia" w:ascii="宋体" w:hAnsi="宋体" w:cs="宋体"/>
                <w:color w:val="000000"/>
                <w:kern w:val="0"/>
                <w:sz w:val="22"/>
                <w:lang w:bidi="ar"/>
              </w:rPr>
              <w:t>管阀件</w:t>
            </w:r>
            <w:r>
              <w:rPr>
                <w:rFonts w:ascii="宋体" w:hAnsi="宋体" w:cs="宋体"/>
                <w:color w:val="000000"/>
                <w:kern w:val="0"/>
                <w:sz w:val="22"/>
                <w:lang w:bidi="ar"/>
              </w:rPr>
              <w:t>FITOK</w:t>
            </w:r>
            <w:r>
              <w:rPr>
                <w:rFonts w:hint="eastAsia" w:ascii="宋体" w:hAnsi="宋体" w:cs="宋体"/>
                <w:color w:val="000000"/>
                <w:kern w:val="0"/>
                <w:sz w:val="22"/>
                <w:lang w:bidi="ar"/>
              </w:rPr>
              <w:t>，减压杆及超温关断，双环流量计等</w:t>
            </w:r>
          </w:p>
        </w:tc>
        <w:tc>
          <w:tcPr>
            <w:tcW w:w="860" w:type="dxa"/>
            <w:tcBorders>
              <w:top w:val="single" w:color="auto" w:sz="4" w:space="0"/>
              <w:left w:val="nil"/>
              <w:bottom w:val="single" w:color="auto" w:sz="4" w:space="0"/>
              <w:right w:val="single" w:color="auto" w:sz="4" w:space="0"/>
            </w:tcBorders>
            <w:vAlign w:val="center"/>
          </w:tcPr>
          <w:p w14:paraId="73104DC3">
            <w:pPr>
              <w:widowControl/>
              <w:jc w:val="left"/>
              <w:rPr>
                <w:rFonts w:hint="eastAsia" w:ascii="宋体" w:hAnsi="宋体" w:cs="宋体"/>
                <w:b/>
                <w:bCs/>
                <w:kern w:val="0"/>
                <w:sz w:val="20"/>
                <w:szCs w:val="20"/>
              </w:rPr>
            </w:pPr>
          </w:p>
        </w:tc>
        <w:tc>
          <w:tcPr>
            <w:tcW w:w="720" w:type="dxa"/>
            <w:gridSpan w:val="2"/>
            <w:tcBorders>
              <w:top w:val="single" w:color="auto" w:sz="4" w:space="0"/>
              <w:left w:val="nil"/>
              <w:bottom w:val="single" w:color="auto" w:sz="4" w:space="0"/>
              <w:right w:val="single" w:color="auto" w:sz="4" w:space="0"/>
            </w:tcBorders>
            <w:vAlign w:val="center"/>
          </w:tcPr>
          <w:p w14:paraId="263C13CD">
            <w:pPr>
              <w:widowControl/>
              <w:jc w:val="left"/>
              <w:rPr>
                <w:rFonts w:hint="eastAsia" w:ascii="宋体" w:hAnsi="宋体" w:cs="宋体"/>
                <w:kern w:val="0"/>
                <w:sz w:val="20"/>
                <w:szCs w:val="20"/>
              </w:rPr>
            </w:pPr>
            <w:r>
              <w:rPr>
                <w:rFonts w:hint="eastAsia" w:ascii="宋体" w:hAnsi="宋体" w:cs="宋体"/>
                <w:kern w:val="0"/>
                <w:sz w:val="20"/>
                <w:szCs w:val="20"/>
              </w:rPr>
              <w:t>套</w:t>
            </w:r>
          </w:p>
        </w:tc>
        <w:tc>
          <w:tcPr>
            <w:tcW w:w="725" w:type="dxa"/>
            <w:gridSpan w:val="2"/>
            <w:tcBorders>
              <w:top w:val="single" w:color="auto" w:sz="4" w:space="0"/>
              <w:left w:val="nil"/>
              <w:bottom w:val="single" w:color="auto" w:sz="4" w:space="0"/>
              <w:right w:val="single" w:color="auto" w:sz="4" w:space="0"/>
            </w:tcBorders>
            <w:vAlign w:val="center"/>
          </w:tcPr>
          <w:p w14:paraId="74305AA2">
            <w:pPr>
              <w:widowControl/>
              <w:jc w:val="left"/>
              <w:rPr>
                <w:rFonts w:hint="eastAsia" w:ascii="宋体" w:hAnsi="宋体" w:cs="宋体"/>
                <w:kern w:val="0"/>
                <w:sz w:val="20"/>
                <w:szCs w:val="20"/>
              </w:rPr>
            </w:pPr>
            <w:r>
              <w:rPr>
                <w:rFonts w:hint="eastAsia" w:ascii="宋体" w:hAnsi="宋体" w:cs="宋体"/>
                <w:kern w:val="0"/>
                <w:sz w:val="20"/>
                <w:szCs w:val="20"/>
              </w:rPr>
              <w:t>10</w:t>
            </w:r>
          </w:p>
        </w:tc>
      </w:tr>
      <w:tr w14:paraId="04A61E3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wBefore w:w="90" w:type="dxa"/>
          <w:trHeight w:val="643" w:hRule="atLeast"/>
          <w:jc w:val="center"/>
        </w:trPr>
        <w:tc>
          <w:tcPr>
            <w:tcW w:w="659" w:type="dxa"/>
            <w:gridSpan w:val="2"/>
            <w:tcBorders>
              <w:top w:val="nil"/>
              <w:left w:val="single" w:color="auto" w:sz="4" w:space="0"/>
              <w:bottom w:val="single" w:color="auto" w:sz="4" w:space="0"/>
              <w:right w:val="single" w:color="auto" w:sz="4" w:space="0"/>
            </w:tcBorders>
            <w:vAlign w:val="center"/>
          </w:tcPr>
          <w:p w14:paraId="04A61E32">
            <w:pPr>
              <w:widowControl/>
              <w:jc w:val="center"/>
              <w:rPr>
                <w:rFonts w:hint="eastAsia" w:ascii="宋体" w:hAnsi="宋体" w:cs="宋体"/>
                <w:b/>
                <w:bCs/>
                <w:kern w:val="0"/>
                <w:sz w:val="20"/>
                <w:szCs w:val="20"/>
              </w:rPr>
            </w:pPr>
            <w:r>
              <w:rPr>
                <w:rFonts w:hint="eastAsia" w:ascii="宋体" w:hAnsi="宋体" w:cs="宋体"/>
                <w:b/>
                <w:bCs/>
                <w:kern w:val="0"/>
                <w:sz w:val="20"/>
                <w:szCs w:val="20"/>
              </w:rPr>
              <w:t>三</w:t>
            </w:r>
          </w:p>
        </w:tc>
        <w:tc>
          <w:tcPr>
            <w:tcW w:w="9304" w:type="dxa"/>
            <w:gridSpan w:val="11"/>
            <w:tcBorders>
              <w:top w:val="single" w:color="auto" w:sz="4" w:space="0"/>
              <w:left w:val="nil"/>
              <w:bottom w:val="single" w:color="auto" w:sz="4" w:space="0"/>
              <w:right w:val="single" w:color="auto" w:sz="4" w:space="0"/>
            </w:tcBorders>
            <w:vAlign w:val="center"/>
          </w:tcPr>
          <w:p w14:paraId="04A61E33">
            <w:pPr>
              <w:widowControl/>
              <w:jc w:val="left"/>
              <w:rPr>
                <w:rFonts w:hint="eastAsia" w:ascii="宋体" w:hAnsi="宋体" w:cs="宋体"/>
                <w:b/>
                <w:bCs/>
                <w:kern w:val="0"/>
                <w:sz w:val="20"/>
                <w:szCs w:val="20"/>
              </w:rPr>
            </w:pPr>
            <w:r>
              <w:rPr>
                <w:rFonts w:hint="eastAsia" w:ascii="宋体" w:hAnsi="宋体" w:cs="宋体"/>
                <w:b/>
                <w:bCs/>
                <w:kern w:val="0"/>
                <w:sz w:val="20"/>
                <w:szCs w:val="20"/>
              </w:rPr>
              <w:t>气化705装置分析仪</w:t>
            </w:r>
          </w:p>
        </w:tc>
      </w:tr>
      <w:tr w14:paraId="04A61E3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wBefore w:w="90" w:type="dxa"/>
          <w:trHeight w:val="900" w:hRule="atLeast"/>
          <w:jc w:val="center"/>
        </w:trPr>
        <w:tc>
          <w:tcPr>
            <w:tcW w:w="659" w:type="dxa"/>
            <w:gridSpan w:val="2"/>
            <w:tcBorders>
              <w:top w:val="nil"/>
              <w:left w:val="single" w:color="auto" w:sz="4" w:space="0"/>
              <w:bottom w:val="single" w:color="auto" w:sz="4" w:space="0"/>
              <w:right w:val="single" w:color="auto" w:sz="4" w:space="0"/>
            </w:tcBorders>
            <w:vAlign w:val="center"/>
          </w:tcPr>
          <w:p w14:paraId="04A61E35">
            <w:pPr>
              <w:widowControl/>
              <w:jc w:val="center"/>
              <w:rPr>
                <w:rFonts w:hint="eastAsia" w:ascii="宋体" w:hAnsi="宋体" w:cs="宋体"/>
                <w:kern w:val="0"/>
                <w:sz w:val="20"/>
                <w:szCs w:val="20"/>
              </w:rPr>
            </w:pPr>
            <w:r>
              <w:rPr>
                <w:rFonts w:hint="eastAsia" w:ascii="宋体" w:hAnsi="宋体" w:cs="宋体"/>
                <w:kern w:val="0"/>
                <w:sz w:val="20"/>
                <w:szCs w:val="20"/>
              </w:rPr>
              <w:t>1</w:t>
            </w:r>
          </w:p>
        </w:tc>
        <w:tc>
          <w:tcPr>
            <w:tcW w:w="1903" w:type="dxa"/>
            <w:gridSpan w:val="2"/>
            <w:tcBorders>
              <w:top w:val="nil"/>
              <w:left w:val="nil"/>
              <w:bottom w:val="single" w:color="auto" w:sz="4" w:space="0"/>
              <w:right w:val="single" w:color="auto" w:sz="4" w:space="0"/>
            </w:tcBorders>
            <w:vAlign w:val="center"/>
          </w:tcPr>
          <w:p w14:paraId="04A61E36">
            <w:pPr>
              <w:widowControl/>
              <w:jc w:val="center"/>
              <w:rPr>
                <w:rFonts w:hint="eastAsia" w:ascii="宋体" w:hAnsi="宋体" w:cs="宋体"/>
                <w:kern w:val="0"/>
                <w:sz w:val="20"/>
                <w:szCs w:val="20"/>
              </w:rPr>
            </w:pPr>
            <w:r>
              <w:rPr>
                <w:rFonts w:hint="eastAsia" w:ascii="宋体" w:hAnsi="宋体" w:cs="宋体"/>
                <w:kern w:val="0"/>
                <w:sz w:val="20"/>
                <w:szCs w:val="20"/>
              </w:rPr>
              <w:t>ppb溶解氧测量仪</w:t>
            </w:r>
            <w:r>
              <w:rPr>
                <w:rFonts w:hint="eastAsia" w:ascii="宋体" w:hAnsi="宋体" w:cs="宋体"/>
                <w:kern w:val="0"/>
                <w:sz w:val="20"/>
                <w:szCs w:val="20"/>
              </w:rPr>
              <w:br w:type="textWrapping"/>
            </w:r>
            <w:r>
              <w:rPr>
                <w:rFonts w:hint="eastAsia" w:ascii="宋体" w:hAnsi="宋体" w:cs="宋体"/>
                <w:kern w:val="0"/>
                <w:sz w:val="20"/>
                <w:szCs w:val="20"/>
              </w:rPr>
              <w:t>713AI_0006</w:t>
            </w:r>
          </w:p>
        </w:tc>
        <w:tc>
          <w:tcPr>
            <w:tcW w:w="5096" w:type="dxa"/>
            <w:gridSpan w:val="4"/>
            <w:tcBorders>
              <w:top w:val="nil"/>
              <w:left w:val="nil"/>
              <w:bottom w:val="single" w:color="auto" w:sz="4" w:space="0"/>
              <w:right w:val="single" w:color="auto" w:sz="4" w:space="0"/>
            </w:tcBorders>
            <w:vAlign w:val="center"/>
          </w:tcPr>
          <w:p w14:paraId="04A61E37">
            <w:pPr>
              <w:widowControl/>
              <w:jc w:val="left"/>
              <w:rPr>
                <w:rFonts w:hint="eastAsia" w:ascii="宋体" w:hAnsi="宋体" w:cs="宋体"/>
                <w:kern w:val="0"/>
                <w:sz w:val="20"/>
                <w:szCs w:val="20"/>
              </w:rPr>
            </w:pPr>
            <w:r>
              <w:rPr>
                <w:rFonts w:hint="eastAsia" w:ascii="宋体" w:hAnsi="宋体" w:cs="宋体"/>
                <w:kern w:val="0"/>
                <w:sz w:val="20"/>
                <w:szCs w:val="20"/>
              </w:rPr>
              <w:t>高压除氧给水溶解氧在线指示</w:t>
            </w:r>
            <w:r>
              <w:rPr>
                <w:rFonts w:hint="eastAsia" w:ascii="宋体" w:hAnsi="宋体" w:cs="宋体"/>
                <w:kern w:val="0"/>
                <w:sz w:val="20"/>
                <w:szCs w:val="20"/>
              </w:rPr>
              <w:br w:type="textWrapping"/>
            </w:r>
            <w:r>
              <w:rPr>
                <w:rFonts w:hint="eastAsia" w:ascii="宋体" w:hAnsi="宋体" w:cs="宋体"/>
                <w:kern w:val="0"/>
                <w:sz w:val="20"/>
                <w:szCs w:val="20"/>
              </w:rPr>
              <w:t>含24V变送器、ppb溶解氧传感器、7米专用电缆、隔爆箱</w:t>
            </w:r>
            <w:r>
              <w:rPr>
                <w:rFonts w:hint="eastAsia" w:ascii="宋体" w:hAnsi="宋体" w:cs="宋体"/>
                <w:kern w:val="0"/>
                <w:sz w:val="20"/>
                <w:szCs w:val="20"/>
              </w:rPr>
              <w:br w:type="textWrapping"/>
            </w:r>
            <w:r>
              <w:rPr>
                <w:rFonts w:hint="eastAsia" w:ascii="宋体" w:hAnsi="宋体" w:cs="宋体"/>
                <w:kern w:val="0"/>
                <w:sz w:val="20"/>
                <w:szCs w:val="20"/>
              </w:rPr>
              <w:t>量程：0-200ppb；报警联锁停车设定值：高限12</w:t>
            </w:r>
          </w:p>
        </w:tc>
        <w:tc>
          <w:tcPr>
            <w:tcW w:w="860" w:type="dxa"/>
            <w:tcBorders>
              <w:top w:val="nil"/>
              <w:left w:val="nil"/>
              <w:bottom w:val="single" w:color="auto" w:sz="4" w:space="0"/>
              <w:right w:val="single" w:color="auto" w:sz="4" w:space="0"/>
            </w:tcBorders>
            <w:vAlign w:val="center"/>
          </w:tcPr>
          <w:p w14:paraId="04A61E38">
            <w:pPr>
              <w:widowControl/>
              <w:jc w:val="center"/>
              <w:rPr>
                <w:rFonts w:hint="eastAsia" w:ascii="宋体" w:hAnsi="宋体" w:cs="宋体"/>
                <w:kern w:val="0"/>
                <w:sz w:val="20"/>
                <w:szCs w:val="20"/>
                <w:highlight w:val="yellow"/>
              </w:rPr>
            </w:pPr>
            <w:r>
              <w:rPr>
                <w:rFonts w:hint="eastAsia" w:ascii="宋体" w:hAnsi="宋体" w:cs="宋体"/>
                <w:kern w:val="0"/>
                <w:sz w:val="20"/>
                <w:szCs w:val="20"/>
                <w:highlight w:val="yellow"/>
              </w:rPr>
              <w:t>WTW</w:t>
            </w:r>
          </w:p>
        </w:tc>
        <w:tc>
          <w:tcPr>
            <w:tcW w:w="720" w:type="dxa"/>
            <w:gridSpan w:val="2"/>
            <w:tcBorders>
              <w:top w:val="nil"/>
              <w:left w:val="nil"/>
              <w:bottom w:val="single" w:color="auto" w:sz="4" w:space="0"/>
              <w:right w:val="single" w:color="auto" w:sz="4" w:space="0"/>
            </w:tcBorders>
            <w:vAlign w:val="center"/>
          </w:tcPr>
          <w:p w14:paraId="04A61E39">
            <w:pPr>
              <w:widowControl/>
              <w:jc w:val="center"/>
              <w:rPr>
                <w:rFonts w:hint="eastAsia" w:ascii="宋体" w:hAnsi="宋体" w:cs="宋体"/>
                <w:kern w:val="0"/>
                <w:sz w:val="20"/>
                <w:szCs w:val="20"/>
              </w:rPr>
            </w:pPr>
            <w:r>
              <w:rPr>
                <w:rFonts w:hint="eastAsia" w:ascii="宋体" w:hAnsi="宋体" w:cs="宋体"/>
                <w:kern w:val="0"/>
                <w:sz w:val="20"/>
                <w:szCs w:val="20"/>
              </w:rPr>
              <w:t>台</w:t>
            </w:r>
          </w:p>
        </w:tc>
        <w:tc>
          <w:tcPr>
            <w:tcW w:w="725" w:type="dxa"/>
            <w:gridSpan w:val="2"/>
            <w:tcBorders>
              <w:top w:val="nil"/>
              <w:left w:val="nil"/>
              <w:bottom w:val="single" w:color="auto" w:sz="4" w:space="0"/>
              <w:right w:val="single" w:color="auto" w:sz="4" w:space="0"/>
            </w:tcBorders>
            <w:vAlign w:val="center"/>
          </w:tcPr>
          <w:p w14:paraId="04A61E3A">
            <w:pPr>
              <w:widowControl/>
              <w:jc w:val="center"/>
              <w:rPr>
                <w:rFonts w:hint="eastAsia" w:ascii="宋体" w:hAnsi="宋体" w:cs="宋体"/>
                <w:kern w:val="0"/>
                <w:sz w:val="20"/>
                <w:szCs w:val="20"/>
              </w:rPr>
            </w:pPr>
            <w:r>
              <w:rPr>
                <w:rFonts w:hint="eastAsia" w:ascii="宋体" w:hAnsi="宋体" w:cs="宋体"/>
                <w:kern w:val="0"/>
                <w:sz w:val="20"/>
                <w:szCs w:val="20"/>
              </w:rPr>
              <w:t xml:space="preserve">1 </w:t>
            </w:r>
          </w:p>
        </w:tc>
      </w:tr>
      <w:tr w14:paraId="04A61E4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wBefore w:w="90" w:type="dxa"/>
          <w:trHeight w:val="900" w:hRule="atLeast"/>
          <w:jc w:val="center"/>
        </w:trPr>
        <w:tc>
          <w:tcPr>
            <w:tcW w:w="659" w:type="dxa"/>
            <w:gridSpan w:val="2"/>
            <w:tcBorders>
              <w:top w:val="nil"/>
              <w:left w:val="single" w:color="auto" w:sz="4" w:space="0"/>
              <w:bottom w:val="single" w:color="auto" w:sz="4" w:space="0"/>
              <w:right w:val="single" w:color="auto" w:sz="4" w:space="0"/>
            </w:tcBorders>
            <w:vAlign w:val="center"/>
          </w:tcPr>
          <w:p w14:paraId="04A61E3C">
            <w:pPr>
              <w:widowControl/>
              <w:jc w:val="center"/>
              <w:rPr>
                <w:rFonts w:hint="eastAsia" w:ascii="宋体" w:hAnsi="宋体" w:cs="宋体"/>
                <w:kern w:val="0"/>
                <w:sz w:val="20"/>
                <w:szCs w:val="20"/>
              </w:rPr>
            </w:pPr>
            <w:r>
              <w:rPr>
                <w:rFonts w:hint="eastAsia" w:ascii="宋体" w:hAnsi="宋体" w:cs="宋体"/>
                <w:kern w:val="0"/>
                <w:sz w:val="20"/>
                <w:szCs w:val="20"/>
              </w:rPr>
              <w:t>2</w:t>
            </w:r>
          </w:p>
        </w:tc>
        <w:tc>
          <w:tcPr>
            <w:tcW w:w="1903" w:type="dxa"/>
            <w:gridSpan w:val="2"/>
            <w:tcBorders>
              <w:top w:val="nil"/>
              <w:left w:val="nil"/>
              <w:bottom w:val="single" w:color="auto" w:sz="4" w:space="0"/>
              <w:right w:val="single" w:color="auto" w:sz="4" w:space="0"/>
            </w:tcBorders>
            <w:vAlign w:val="center"/>
          </w:tcPr>
          <w:p w14:paraId="04A61E3D">
            <w:pPr>
              <w:widowControl/>
              <w:jc w:val="center"/>
              <w:rPr>
                <w:rFonts w:hint="eastAsia" w:ascii="宋体" w:hAnsi="宋体" w:cs="宋体"/>
                <w:kern w:val="0"/>
                <w:sz w:val="20"/>
                <w:szCs w:val="20"/>
              </w:rPr>
            </w:pPr>
            <w:r>
              <w:rPr>
                <w:rFonts w:hint="eastAsia" w:ascii="宋体" w:hAnsi="宋体" w:cs="宋体"/>
                <w:kern w:val="0"/>
                <w:sz w:val="20"/>
                <w:szCs w:val="20"/>
              </w:rPr>
              <w:t>ppb溶解氧测量仪</w:t>
            </w:r>
            <w:r>
              <w:rPr>
                <w:rFonts w:hint="eastAsia" w:ascii="宋体" w:hAnsi="宋体" w:cs="宋体"/>
                <w:kern w:val="0"/>
                <w:sz w:val="20"/>
                <w:szCs w:val="20"/>
              </w:rPr>
              <w:br w:type="textWrapping"/>
            </w:r>
            <w:r>
              <w:rPr>
                <w:rFonts w:hint="eastAsia" w:ascii="宋体" w:hAnsi="宋体" w:cs="宋体"/>
                <w:kern w:val="0"/>
                <w:sz w:val="20"/>
                <w:szCs w:val="20"/>
              </w:rPr>
              <w:t>713AI_0007</w:t>
            </w:r>
          </w:p>
        </w:tc>
        <w:tc>
          <w:tcPr>
            <w:tcW w:w="5096" w:type="dxa"/>
            <w:gridSpan w:val="4"/>
            <w:tcBorders>
              <w:top w:val="nil"/>
              <w:left w:val="nil"/>
              <w:bottom w:val="single" w:color="auto" w:sz="4" w:space="0"/>
              <w:right w:val="single" w:color="auto" w:sz="4" w:space="0"/>
            </w:tcBorders>
            <w:vAlign w:val="center"/>
          </w:tcPr>
          <w:p w14:paraId="04A61E3E">
            <w:pPr>
              <w:widowControl/>
              <w:jc w:val="left"/>
              <w:rPr>
                <w:rFonts w:hint="eastAsia" w:ascii="宋体" w:hAnsi="宋体" w:cs="宋体"/>
                <w:kern w:val="0"/>
                <w:sz w:val="20"/>
                <w:szCs w:val="20"/>
              </w:rPr>
            </w:pPr>
            <w:r>
              <w:rPr>
                <w:rFonts w:hint="eastAsia" w:ascii="宋体" w:hAnsi="宋体" w:cs="宋体"/>
                <w:kern w:val="0"/>
                <w:sz w:val="20"/>
                <w:szCs w:val="20"/>
              </w:rPr>
              <w:t>低压除氧给水溶解氧在线指示</w:t>
            </w:r>
            <w:r>
              <w:rPr>
                <w:rFonts w:hint="eastAsia" w:ascii="宋体" w:hAnsi="宋体" w:cs="宋体"/>
                <w:kern w:val="0"/>
                <w:sz w:val="20"/>
                <w:szCs w:val="20"/>
              </w:rPr>
              <w:br w:type="textWrapping"/>
            </w:r>
            <w:r>
              <w:rPr>
                <w:rFonts w:hint="eastAsia" w:ascii="宋体" w:hAnsi="宋体" w:cs="宋体"/>
                <w:kern w:val="0"/>
                <w:sz w:val="20"/>
                <w:szCs w:val="20"/>
              </w:rPr>
              <w:t>含24V变送器、ppb溶解氧传感器、7米专用电缆、隔爆箱</w:t>
            </w:r>
            <w:r>
              <w:rPr>
                <w:rFonts w:hint="eastAsia" w:ascii="宋体" w:hAnsi="宋体" w:cs="宋体"/>
                <w:kern w:val="0"/>
                <w:sz w:val="20"/>
                <w:szCs w:val="20"/>
              </w:rPr>
              <w:br w:type="textWrapping"/>
            </w:r>
            <w:r>
              <w:rPr>
                <w:rFonts w:hint="eastAsia" w:ascii="宋体" w:hAnsi="宋体" w:cs="宋体"/>
                <w:kern w:val="0"/>
                <w:sz w:val="20"/>
                <w:szCs w:val="20"/>
              </w:rPr>
              <w:t>量程：0-200ppb；报警联锁停车设定值：高限120</w:t>
            </w:r>
          </w:p>
        </w:tc>
        <w:tc>
          <w:tcPr>
            <w:tcW w:w="860" w:type="dxa"/>
            <w:tcBorders>
              <w:top w:val="nil"/>
              <w:left w:val="nil"/>
              <w:bottom w:val="single" w:color="auto" w:sz="4" w:space="0"/>
              <w:right w:val="single" w:color="auto" w:sz="4" w:space="0"/>
            </w:tcBorders>
            <w:vAlign w:val="center"/>
          </w:tcPr>
          <w:p w14:paraId="04A61E3F">
            <w:pPr>
              <w:widowControl/>
              <w:jc w:val="center"/>
              <w:rPr>
                <w:rFonts w:hint="eastAsia" w:ascii="宋体" w:hAnsi="宋体" w:cs="宋体"/>
                <w:kern w:val="0"/>
                <w:sz w:val="20"/>
                <w:szCs w:val="20"/>
                <w:highlight w:val="yellow"/>
              </w:rPr>
            </w:pPr>
            <w:r>
              <w:rPr>
                <w:rFonts w:hint="eastAsia" w:ascii="宋体" w:hAnsi="宋体" w:cs="宋体"/>
                <w:kern w:val="0"/>
                <w:sz w:val="20"/>
                <w:szCs w:val="20"/>
                <w:highlight w:val="yellow"/>
              </w:rPr>
              <w:t>WTW</w:t>
            </w:r>
          </w:p>
        </w:tc>
        <w:tc>
          <w:tcPr>
            <w:tcW w:w="720" w:type="dxa"/>
            <w:gridSpan w:val="2"/>
            <w:tcBorders>
              <w:top w:val="nil"/>
              <w:left w:val="nil"/>
              <w:bottom w:val="single" w:color="auto" w:sz="4" w:space="0"/>
              <w:right w:val="single" w:color="auto" w:sz="4" w:space="0"/>
            </w:tcBorders>
            <w:vAlign w:val="center"/>
          </w:tcPr>
          <w:p w14:paraId="04A61E40">
            <w:pPr>
              <w:widowControl/>
              <w:jc w:val="center"/>
              <w:rPr>
                <w:rFonts w:hint="eastAsia" w:ascii="宋体" w:hAnsi="宋体" w:cs="宋体"/>
                <w:kern w:val="0"/>
                <w:sz w:val="20"/>
                <w:szCs w:val="20"/>
              </w:rPr>
            </w:pPr>
            <w:r>
              <w:rPr>
                <w:rFonts w:hint="eastAsia" w:ascii="宋体" w:hAnsi="宋体" w:cs="宋体"/>
                <w:kern w:val="0"/>
                <w:sz w:val="20"/>
                <w:szCs w:val="20"/>
              </w:rPr>
              <w:t>台</w:t>
            </w:r>
          </w:p>
        </w:tc>
        <w:tc>
          <w:tcPr>
            <w:tcW w:w="725" w:type="dxa"/>
            <w:gridSpan w:val="2"/>
            <w:tcBorders>
              <w:top w:val="nil"/>
              <w:left w:val="nil"/>
              <w:bottom w:val="single" w:color="auto" w:sz="4" w:space="0"/>
              <w:right w:val="single" w:color="auto" w:sz="4" w:space="0"/>
            </w:tcBorders>
            <w:vAlign w:val="center"/>
          </w:tcPr>
          <w:p w14:paraId="04A61E41">
            <w:pPr>
              <w:widowControl/>
              <w:jc w:val="center"/>
              <w:rPr>
                <w:rFonts w:hint="eastAsia" w:ascii="宋体" w:hAnsi="宋体" w:cs="宋体"/>
                <w:kern w:val="0"/>
                <w:sz w:val="20"/>
                <w:szCs w:val="20"/>
              </w:rPr>
            </w:pPr>
            <w:r>
              <w:rPr>
                <w:rFonts w:hint="eastAsia" w:ascii="宋体" w:hAnsi="宋体" w:cs="宋体"/>
                <w:kern w:val="0"/>
                <w:sz w:val="20"/>
                <w:szCs w:val="20"/>
              </w:rPr>
              <w:t xml:space="preserve">1 </w:t>
            </w:r>
          </w:p>
        </w:tc>
      </w:tr>
      <w:tr w14:paraId="04A61E4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wBefore w:w="90" w:type="dxa"/>
          <w:trHeight w:val="1090" w:hRule="atLeast"/>
          <w:jc w:val="center"/>
        </w:trPr>
        <w:tc>
          <w:tcPr>
            <w:tcW w:w="659" w:type="dxa"/>
            <w:gridSpan w:val="2"/>
            <w:tcBorders>
              <w:top w:val="nil"/>
              <w:left w:val="single" w:color="auto" w:sz="4" w:space="0"/>
              <w:bottom w:val="single" w:color="auto" w:sz="4" w:space="0"/>
              <w:right w:val="single" w:color="auto" w:sz="4" w:space="0"/>
            </w:tcBorders>
            <w:vAlign w:val="center"/>
          </w:tcPr>
          <w:p w14:paraId="04A61E43">
            <w:pPr>
              <w:widowControl/>
              <w:jc w:val="center"/>
              <w:rPr>
                <w:rFonts w:hint="eastAsia" w:ascii="宋体" w:hAnsi="宋体" w:cs="宋体"/>
                <w:kern w:val="0"/>
                <w:sz w:val="20"/>
                <w:szCs w:val="20"/>
              </w:rPr>
            </w:pPr>
            <w:r>
              <w:rPr>
                <w:rFonts w:hint="eastAsia" w:ascii="宋体" w:hAnsi="宋体" w:cs="宋体"/>
                <w:kern w:val="0"/>
                <w:sz w:val="20"/>
                <w:szCs w:val="20"/>
              </w:rPr>
              <w:t>3</w:t>
            </w:r>
          </w:p>
        </w:tc>
        <w:tc>
          <w:tcPr>
            <w:tcW w:w="1903" w:type="dxa"/>
            <w:gridSpan w:val="2"/>
            <w:tcBorders>
              <w:top w:val="nil"/>
              <w:left w:val="nil"/>
              <w:bottom w:val="single" w:color="auto" w:sz="4" w:space="0"/>
              <w:right w:val="single" w:color="auto" w:sz="4" w:space="0"/>
            </w:tcBorders>
            <w:vAlign w:val="center"/>
          </w:tcPr>
          <w:p w14:paraId="04A61E44">
            <w:pPr>
              <w:widowControl/>
              <w:jc w:val="center"/>
              <w:rPr>
                <w:rFonts w:hint="eastAsia" w:ascii="宋体" w:hAnsi="宋体" w:cs="宋体"/>
                <w:kern w:val="0"/>
                <w:sz w:val="20"/>
                <w:szCs w:val="20"/>
              </w:rPr>
            </w:pPr>
            <w:r>
              <w:rPr>
                <w:rFonts w:hint="eastAsia" w:ascii="宋体" w:hAnsi="宋体" w:cs="宋体"/>
                <w:kern w:val="0"/>
                <w:sz w:val="20"/>
                <w:szCs w:val="20"/>
              </w:rPr>
              <w:t>pH测量仪</w:t>
            </w:r>
            <w:r>
              <w:rPr>
                <w:rFonts w:hint="eastAsia" w:ascii="宋体" w:hAnsi="宋体" w:cs="宋体"/>
                <w:kern w:val="0"/>
                <w:sz w:val="20"/>
                <w:szCs w:val="20"/>
              </w:rPr>
              <w:br w:type="textWrapping"/>
            </w:r>
            <w:r>
              <w:rPr>
                <w:rFonts w:hint="eastAsia" w:ascii="宋体" w:hAnsi="宋体" w:cs="宋体"/>
                <w:kern w:val="0"/>
                <w:sz w:val="20"/>
                <w:szCs w:val="20"/>
              </w:rPr>
              <w:t>21AI_0006</w:t>
            </w:r>
          </w:p>
        </w:tc>
        <w:tc>
          <w:tcPr>
            <w:tcW w:w="5096" w:type="dxa"/>
            <w:gridSpan w:val="4"/>
            <w:tcBorders>
              <w:top w:val="nil"/>
              <w:left w:val="nil"/>
              <w:bottom w:val="single" w:color="auto" w:sz="4" w:space="0"/>
              <w:right w:val="single" w:color="auto" w:sz="4" w:space="0"/>
            </w:tcBorders>
            <w:vAlign w:val="center"/>
          </w:tcPr>
          <w:p w14:paraId="04A61E45">
            <w:pPr>
              <w:widowControl/>
              <w:jc w:val="left"/>
              <w:rPr>
                <w:rFonts w:ascii="Arial" w:hAnsi="Arial"/>
                <w:kern w:val="0"/>
                <w:sz w:val="20"/>
                <w:szCs w:val="20"/>
              </w:rPr>
            </w:pPr>
            <w:r>
              <w:rPr>
                <w:rFonts w:ascii="Arial" w:hAnsi="Arial"/>
                <w:kern w:val="0"/>
                <w:sz w:val="20"/>
                <w:szCs w:val="20"/>
              </w:rPr>
              <w:t>E-21003</w:t>
            </w:r>
            <w:r>
              <w:rPr>
                <w:rFonts w:hint="eastAsia" w:ascii="宋体" w:hAnsi="宋体"/>
                <w:kern w:val="0"/>
                <w:sz w:val="20"/>
                <w:szCs w:val="20"/>
              </w:rPr>
              <w:t>给水</w:t>
            </w:r>
            <w:r>
              <w:rPr>
                <w:rFonts w:ascii="Arial" w:hAnsi="Arial"/>
                <w:kern w:val="0"/>
                <w:sz w:val="20"/>
                <w:szCs w:val="20"/>
              </w:rPr>
              <w:t>PH</w:t>
            </w:r>
            <w:r>
              <w:rPr>
                <w:rFonts w:hint="eastAsia" w:ascii="宋体" w:hAnsi="宋体"/>
                <w:kern w:val="0"/>
                <w:sz w:val="20"/>
                <w:szCs w:val="20"/>
              </w:rPr>
              <w:t>在线指示</w:t>
            </w:r>
            <w:r>
              <w:rPr>
                <w:rFonts w:ascii="Arial" w:hAnsi="Arial"/>
                <w:kern w:val="0"/>
                <w:sz w:val="20"/>
                <w:szCs w:val="20"/>
              </w:rPr>
              <w:br w:type="textWrapping"/>
            </w:r>
            <w:r>
              <w:rPr>
                <w:rFonts w:hint="eastAsia" w:ascii="宋体" w:hAnsi="宋体"/>
                <w:kern w:val="0"/>
                <w:sz w:val="20"/>
                <w:szCs w:val="20"/>
              </w:rPr>
              <w:t>含</w:t>
            </w:r>
            <w:r>
              <w:rPr>
                <w:rFonts w:ascii="Arial" w:hAnsi="Arial"/>
                <w:kern w:val="0"/>
                <w:sz w:val="20"/>
                <w:szCs w:val="20"/>
              </w:rPr>
              <w:t>PH</w:t>
            </w:r>
            <w:r>
              <w:rPr>
                <w:rFonts w:hint="eastAsia" w:ascii="宋体" w:hAnsi="宋体"/>
                <w:kern w:val="0"/>
                <w:sz w:val="20"/>
                <w:szCs w:val="20"/>
              </w:rPr>
              <w:t>变送器、隔爆箱、纯水</w:t>
            </w:r>
            <w:r>
              <w:rPr>
                <w:rFonts w:ascii="Arial" w:hAnsi="Arial"/>
                <w:kern w:val="0"/>
                <w:sz w:val="20"/>
                <w:szCs w:val="20"/>
              </w:rPr>
              <w:t>pH/</w:t>
            </w:r>
            <w:r>
              <w:rPr>
                <w:rFonts w:hint="eastAsia" w:ascii="宋体" w:hAnsi="宋体"/>
                <w:kern w:val="0"/>
                <w:sz w:val="20"/>
                <w:szCs w:val="20"/>
              </w:rPr>
              <w:t>温度电极、</w:t>
            </w:r>
            <w:r>
              <w:rPr>
                <w:rFonts w:ascii="Arial" w:hAnsi="Arial"/>
                <w:kern w:val="0"/>
                <w:sz w:val="20"/>
                <w:szCs w:val="20"/>
              </w:rPr>
              <w:t>VP</w:t>
            </w:r>
            <w:r>
              <w:rPr>
                <w:rFonts w:hint="eastAsia" w:ascii="宋体" w:hAnsi="宋体"/>
                <w:kern w:val="0"/>
                <w:sz w:val="20"/>
                <w:szCs w:val="20"/>
              </w:rPr>
              <w:t>电缆</w:t>
            </w:r>
            <w:r>
              <w:rPr>
                <w:rFonts w:ascii="Arial" w:hAnsi="Arial"/>
                <w:kern w:val="0"/>
                <w:sz w:val="20"/>
                <w:szCs w:val="20"/>
              </w:rPr>
              <w:t>5</w:t>
            </w:r>
            <w:r>
              <w:rPr>
                <w:rFonts w:hint="eastAsia" w:ascii="宋体" w:hAnsi="宋体"/>
                <w:kern w:val="0"/>
                <w:sz w:val="20"/>
                <w:szCs w:val="20"/>
              </w:rPr>
              <w:t>米</w:t>
            </w:r>
            <w:r>
              <w:rPr>
                <w:rFonts w:ascii="Arial" w:hAnsi="Arial"/>
                <w:kern w:val="0"/>
                <w:sz w:val="20"/>
                <w:szCs w:val="20"/>
              </w:rPr>
              <w:br w:type="textWrapping"/>
            </w:r>
            <w:r>
              <w:rPr>
                <w:rFonts w:hint="eastAsia" w:ascii="宋体" w:hAnsi="宋体"/>
                <w:kern w:val="0"/>
                <w:sz w:val="20"/>
                <w:szCs w:val="20"/>
              </w:rPr>
              <w:t>量程：</w:t>
            </w:r>
            <w:r>
              <w:rPr>
                <w:rFonts w:ascii="Arial" w:hAnsi="Arial"/>
                <w:kern w:val="0"/>
                <w:sz w:val="20"/>
                <w:szCs w:val="20"/>
              </w:rPr>
              <w:t>0-14pH</w:t>
            </w:r>
            <w:r>
              <w:rPr>
                <w:rFonts w:hint="eastAsia" w:ascii="宋体" w:hAnsi="宋体"/>
                <w:kern w:val="0"/>
                <w:sz w:val="20"/>
                <w:szCs w:val="20"/>
              </w:rPr>
              <w:t>；报警联锁停车设定值：低限</w:t>
            </w:r>
            <w:r>
              <w:rPr>
                <w:rFonts w:ascii="Arial" w:hAnsi="Arial"/>
                <w:kern w:val="0"/>
                <w:sz w:val="20"/>
                <w:szCs w:val="20"/>
              </w:rPr>
              <w:t>8.5</w:t>
            </w:r>
            <w:r>
              <w:rPr>
                <w:rFonts w:hint="eastAsia" w:ascii="宋体" w:hAnsi="宋体"/>
                <w:kern w:val="0"/>
                <w:sz w:val="20"/>
                <w:szCs w:val="20"/>
              </w:rPr>
              <w:t>，高限</w:t>
            </w:r>
            <w:r>
              <w:rPr>
                <w:rFonts w:ascii="Arial" w:hAnsi="Arial"/>
                <w:kern w:val="0"/>
                <w:sz w:val="20"/>
                <w:szCs w:val="20"/>
              </w:rPr>
              <w:t>11.5</w:t>
            </w:r>
          </w:p>
        </w:tc>
        <w:tc>
          <w:tcPr>
            <w:tcW w:w="860" w:type="dxa"/>
            <w:tcBorders>
              <w:top w:val="nil"/>
              <w:left w:val="nil"/>
              <w:bottom w:val="single" w:color="auto" w:sz="4" w:space="0"/>
              <w:right w:val="single" w:color="auto" w:sz="4" w:space="0"/>
            </w:tcBorders>
            <w:vAlign w:val="center"/>
          </w:tcPr>
          <w:p w14:paraId="04A61E46">
            <w:pPr>
              <w:widowControl/>
              <w:jc w:val="center"/>
              <w:rPr>
                <w:rFonts w:hint="eastAsia" w:ascii="宋体" w:hAnsi="宋体" w:cs="宋体"/>
                <w:kern w:val="0"/>
                <w:sz w:val="20"/>
                <w:szCs w:val="20"/>
              </w:rPr>
            </w:pPr>
            <w:r>
              <w:rPr>
                <w:rFonts w:hint="eastAsia" w:ascii="宋体" w:hAnsi="宋体" w:cs="宋体"/>
                <w:kern w:val="0"/>
                <w:sz w:val="20"/>
                <w:szCs w:val="20"/>
              </w:rPr>
              <w:t>锦汐/横河/哈希</w:t>
            </w:r>
          </w:p>
        </w:tc>
        <w:tc>
          <w:tcPr>
            <w:tcW w:w="720" w:type="dxa"/>
            <w:gridSpan w:val="2"/>
            <w:tcBorders>
              <w:top w:val="nil"/>
              <w:left w:val="nil"/>
              <w:bottom w:val="single" w:color="auto" w:sz="4" w:space="0"/>
              <w:right w:val="single" w:color="auto" w:sz="4" w:space="0"/>
            </w:tcBorders>
            <w:vAlign w:val="center"/>
          </w:tcPr>
          <w:p w14:paraId="04A61E47">
            <w:pPr>
              <w:widowControl/>
              <w:jc w:val="center"/>
              <w:rPr>
                <w:rFonts w:hint="eastAsia" w:ascii="宋体" w:hAnsi="宋体" w:cs="宋体"/>
                <w:kern w:val="0"/>
                <w:sz w:val="20"/>
                <w:szCs w:val="20"/>
              </w:rPr>
            </w:pPr>
            <w:r>
              <w:rPr>
                <w:rFonts w:hint="eastAsia" w:ascii="宋体" w:hAnsi="宋体" w:cs="宋体"/>
                <w:kern w:val="0"/>
                <w:sz w:val="20"/>
                <w:szCs w:val="20"/>
              </w:rPr>
              <w:t>台</w:t>
            </w:r>
          </w:p>
        </w:tc>
        <w:tc>
          <w:tcPr>
            <w:tcW w:w="725" w:type="dxa"/>
            <w:gridSpan w:val="2"/>
            <w:tcBorders>
              <w:top w:val="nil"/>
              <w:left w:val="nil"/>
              <w:bottom w:val="single" w:color="auto" w:sz="4" w:space="0"/>
              <w:right w:val="single" w:color="auto" w:sz="4" w:space="0"/>
            </w:tcBorders>
            <w:vAlign w:val="center"/>
          </w:tcPr>
          <w:p w14:paraId="04A61E48">
            <w:pPr>
              <w:widowControl/>
              <w:jc w:val="center"/>
              <w:rPr>
                <w:rFonts w:hint="eastAsia" w:ascii="宋体" w:hAnsi="宋体" w:cs="宋体"/>
                <w:kern w:val="0"/>
                <w:sz w:val="20"/>
                <w:szCs w:val="20"/>
              </w:rPr>
            </w:pPr>
            <w:r>
              <w:rPr>
                <w:rFonts w:hint="eastAsia" w:ascii="宋体" w:hAnsi="宋体" w:cs="宋体"/>
                <w:kern w:val="0"/>
                <w:sz w:val="20"/>
                <w:szCs w:val="20"/>
              </w:rPr>
              <w:t xml:space="preserve">1 </w:t>
            </w:r>
          </w:p>
        </w:tc>
      </w:tr>
      <w:tr w14:paraId="04A61E5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wBefore w:w="90" w:type="dxa"/>
          <w:trHeight w:val="1080" w:hRule="atLeast"/>
          <w:jc w:val="center"/>
        </w:trPr>
        <w:tc>
          <w:tcPr>
            <w:tcW w:w="659" w:type="dxa"/>
            <w:gridSpan w:val="2"/>
            <w:tcBorders>
              <w:top w:val="nil"/>
              <w:left w:val="single" w:color="auto" w:sz="4" w:space="0"/>
              <w:bottom w:val="single" w:color="auto" w:sz="4" w:space="0"/>
              <w:right w:val="single" w:color="auto" w:sz="4" w:space="0"/>
            </w:tcBorders>
            <w:vAlign w:val="center"/>
          </w:tcPr>
          <w:p w14:paraId="04A61E4A">
            <w:pPr>
              <w:widowControl/>
              <w:jc w:val="center"/>
              <w:rPr>
                <w:rFonts w:hint="eastAsia" w:ascii="宋体" w:hAnsi="宋体" w:cs="宋体"/>
                <w:kern w:val="0"/>
                <w:sz w:val="20"/>
                <w:szCs w:val="20"/>
              </w:rPr>
            </w:pPr>
            <w:r>
              <w:rPr>
                <w:rFonts w:hint="eastAsia" w:ascii="宋体" w:hAnsi="宋体" w:cs="宋体"/>
                <w:kern w:val="0"/>
                <w:sz w:val="20"/>
                <w:szCs w:val="20"/>
              </w:rPr>
              <w:t>4</w:t>
            </w:r>
          </w:p>
        </w:tc>
        <w:tc>
          <w:tcPr>
            <w:tcW w:w="1903" w:type="dxa"/>
            <w:gridSpan w:val="2"/>
            <w:tcBorders>
              <w:top w:val="nil"/>
              <w:left w:val="nil"/>
              <w:bottom w:val="single" w:color="auto" w:sz="4" w:space="0"/>
              <w:right w:val="single" w:color="auto" w:sz="4" w:space="0"/>
            </w:tcBorders>
            <w:vAlign w:val="center"/>
          </w:tcPr>
          <w:p w14:paraId="04A61E4B">
            <w:pPr>
              <w:widowControl/>
              <w:jc w:val="center"/>
              <w:rPr>
                <w:rFonts w:hint="eastAsia" w:ascii="宋体" w:hAnsi="宋体" w:cs="宋体"/>
                <w:kern w:val="0"/>
                <w:sz w:val="20"/>
                <w:szCs w:val="20"/>
              </w:rPr>
            </w:pPr>
            <w:r>
              <w:rPr>
                <w:rFonts w:hint="eastAsia" w:ascii="宋体" w:hAnsi="宋体" w:cs="宋体"/>
                <w:kern w:val="0"/>
                <w:sz w:val="20"/>
                <w:szCs w:val="20"/>
              </w:rPr>
              <w:t>pH测量仪</w:t>
            </w:r>
            <w:r>
              <w:rPr>
                <w:rFonts w:hint="eastAsia" w:ascii="宋体" w:hAnsi="宋体" w:cs="宋体"/>
                <w:kern w:val="0"/>
                <w:sz w:val="20"/>
                <w:szCs w:val="20"/>
              </w:rPr>
              <w:br w:type="textWrapping"/>
            </w:r>
            <w:r>
              <w:rPr>
                <w:rFonts w:hint="eastAsia" w:ascii="宋体" w:hAnsi="宋体" w:cs="宋体"/>
                <w:kern w:val="0"/>
                <w:sz w:val="20"/>
                <w:szCs w:val="20"/>
              </w:rPr>
              <w:t>21AI_0007</w:t>
            </w:r>
          </w:p>
        </w:tc>
        <w:tc>
          <w:tcPr>
            <w:tcW w:w="5096" w:type="dxa"/>
            <w:gridSpan w:val="4"/>
            <w:tcBorders>
              <w:top w:val="nil"/>
              <w:left w:val="nil"/>
              <w:bottom w:val="single" w:color="auto" w:sz="4" w:space="0"/>
              <w:right w:val="single" w:color="auto" w:sz="4" w:space="0"/>
            </w:tcBorders>
            <w:vAlign w:val="center"/>
          </w:tcPr>
          <w:p w14:paraId="04A61E4C">
            <w:pPr>
              <w:widowControl/>
              <w:jc w:val="left"/>
              <w:rPr>
                <w:rFonts w:ascii="Arial" w:hAnsi="Arial"/>
                <w:kern w:val="0"/>
                <w:sz w:val="20"/>
                <w:szCs w:val="20"/>
              </w:rPr>
            </w:pPr>
            <w:r>
              <w:rPr>
                <w:rFonts w:ascii="Arial" w:hAnsi="Arial"/>
                <w:kern w:val="0"/>
                <w:sz w:val="20"/>
                <w:szCs w:val="20"/>
              </w:rPr>
              <w:t>V-21009</w:t>
            </w:r>
            <w:r>
              <w:rPr>
                <w:rFonts w:hint="eastAsia" w:ascii="宋体" w:hAnsi="宋体"/>
                <w:kern w:val="0"/>
                <w:sz w:val="20"/>
                <w:szCs w:val="20"/>
              </w:rPr>
              <w:t>给水</w:t>
            </w:r>
            <w:r>
              <w:rPr>
                <w:rFonts w:ascii="Arial" w:hAnsi="Arial"/>
                <w:kern w:val="0"/>
                <w:sz w:val="20"/>
                <w:szCs w:val="20"/>
              </w:rPr>
              <w:t>PH</w:t>
            </w:r>
            <w:r>
              <w:rPr>
                <w:rFonts w:hint="eastAsia" w:ascii="宋体" w:hAnsi="宋体"/>
                <w:kern w:val="0"/>
                <w:sz w:val="20"/>
                <w:szCs w:val="20"/>
              </w:rPr>
              <w:t>在线指示</w:t>
            </w:r>
            <w:r>
              <w:rPr>
                <w:rFonts w:ascii="Arial" w:hAnsi="Arial"/>
                <w:kern w:val="0"/>
                <w:sz w:val="20"/>
                <w:szCs w:val="20"/>
              </w:rPr>
              <w:br w:type="textWrapping"/>
            </w:r>
            <w:r>
              <w:rPr>
                <w:rFonts w:hint="eastAsia" w:ascii="宋体" w:hAnsi="宋体"/>
                <w:kern w:val="0"/>
                <w:sz w:val="20"/>
                <w:szCs w:val="20"/>
              </w:rPr>
              <w:t>含</w:t>
            </w:r>
            <w:r>
              <w:rPr>
                <w:rFonts w:ascii="Arial" w:hAnsi="Arial"/>
                <w:kern w:val="0"/>
                <w:sz w:val="20"/>
                <w:szCs w:val="20"/>
              </w:rPr>
              <w:t>PH</w:t>
            </w:r>
            <w:r>
              <w:rPr>
                <w:rFonts w:hint="eastAsia" w:ascii="宋体" w:hAnsi="宋体"/>
                <w:kern w:val="0"/>
                <w:sz w:val="20"/>
                <w:szCs w:val="20"/>
              </w:rPr>
              <w:t>变送器、隔爆箱、纯水</w:t>
            </w:r>
            <w:r>
              <w:rPr>
                <w:rFonts w:ascii="Arial" w:hAnsi="Arial"/>
                <w:kern w:val="0"/>
                <w:sz w:val="20"/>
                <w:szCs w:val="20"/>
              </w:rPr>
              <w:t>pH/</w:t>
            </w:r>
            <w:r>
              <w:rPr>
                <w:rFonts w:hint="eastAsia" w:ascii="宋体" w:hAnsi="宋体"/>
                <w:kern w:val="0"/>
                <w:sz w:val="20"/>
                <w:szCs w:val="20"/>
              </w:rPr>
              <w:t>温度电极、</w:t>
            </w:r>
            <w:r>
              <w:rPr>
                <w:rFonts w:ascii="Arial" w:hAnsi="Arial"/>
                <w:kern w:val="0"/>
                <w:sz w:val="20"/>
                <w:szCs w:val="20"/>
              </w:rPr>
              <w:t>VP</w:t>
            </w:r>
            <w:r>
              <w:rPr>
                <w:rFonts w:hint="eastAsia" w:ascii="宋体" w:hAnsi="宋体"/>
                <w:kern w:val="0"/>
                <w:sz w:val="20"/>
                <w:szCs w:val="20"/>
              </w:rPr>
              <w:t>电缆</w:t>
            </w:r>
            <w:r>
              <w:rPr>
                <w:rFonts w:ascii="Arial" w:hAnsi="Arial"/>
                <w:kern w:val="0"/>
                <w:sz w:val="20"/>
                <w:szCs w:val="20"/>
              </w:rPr>
              <w:t>5</w:t>
            </w:r>
            <w:r>
              <w:rPr>
                <w:rFonts w:hint="eastAsia" w:ascii="宋体" w:hAnsi="宋体"/>
                <w:kern w:val="0"/>
                <w:sz w:val="20"/>
                <w:szCs w:val="20"/>
              </w:rPr>
              <w:t>米</w:t>
            </w:r>
            <w:r>
              <w:rPr>
                <w:rFonts w:ascii="Arial" w:hAnsi="Arial"/>
                <w:kern w:val="0"/>
                <w:sz w:val="20"/>
                <w:szCs w:val="20"/>
              </w:rPr>
              <w:br w:type="textWrapping"/>
            </w:r>
            <w:r>
              <w:rPr>
                <w:rFonts w:hint="eastAsia" w:ascii="宋体" w:hAnsi="宋体"/>
                <w:kern w:val="0"/>
                <w:sz w:val="20"/>
                <w:szCs w:val="20"/>
              </w:rPr>
              <w:t>量程：</w:t>
            </w:r>
            <w:r>
              <w:rPr>
                <w:rFonts w:ascii="Arial" w:hAnsi="Arial"/>
                <w:kern w:val="0"/>
                <w:sz w:val="20"/>
                <w:szCs w:val="20"/>
              </w:rPr>
              <w:t>0-14pH</w:t>
            </w:r>
            <w:r>
              <w:rPr>
                <w:rFonts w:hint="eastAsia" w:ascii="宋体" w:hAnsi="宋体"/>
                <w:kern w:val="0"/>
                <w:sz w:val="20"/>
                <w:szCs w:val="20"/>
              </w:rPr>
              <w:t>；报警联锁停车设定值：低限</w:t>
            </w:r>
            <w:r>
              <w:rPr>
                <w:rFonts w:ascii="Arial" w:hAnsi="Arial"/>
                <w:kern w:val="0"/>
                <w:sz w:val="20"/>
                <w:szCs w:val="20"/>
              </w:rPr>
              <w:t>8.5</w:t>
            </w:r>
            <w:r>
              <w:rPr>
                <w:rFonts w:hint="eastAsia" w:ascii="宋体" w:hAnsi="宋体"/>
                <w:kern w:val="0"/>
                <w:sz w:val="20"/>
                <w:szCs w:val="20"/>
              </w:rPr>
              <w:t>，高限</w:t>
            </w:r>
            <w:r>
              <w:rPr>
                <w:rFonts w:ascii="Arial" w:hAnsi="Arial"/>
                <w:kern w:val="0"/>
                <w:sz w:val="20"/>
                <w:szCs w:val="20"/>
              </w:rPr>
              <w:t>11.5</w:t>
            </w:r>
          </w:p>
        </w:tc>
        <w:tc>
          <w:tcPr>
            <w:tcW w:w="860" w:type="dxa"/>
            <w:tcBorders>
              <w:top w:val="nil"/>
              <w:left w:val="nil"/>
              <w:bottom w:val="single" w:color="auto" w:sz="4" w:space="0"/>
              <w:right w:val="single" w:color="auto" w:sz="4" w:space="0"/>
            </w:tcBorders>
            <w:vAlign w:val="center"/>
          </w:tcPr>
          <w:p w14:paraId="04A61E4D">
            <w:pPr>
              <w:widowControl/>
              <w:jc w:val="center"/>
              <w:rPr>
                <w:rFonts w:hint="eastAsia" w:ascii="宋体" w:hAnsi="宋体" w:cs="宋体"/>
                <w:kern w:val="0"/>
                <w:sz w:val="20"/>
                <w:szCs w:val="20"/>
              </w:rPr>
            </w:pPr>
            <w:r>
              <w:rPr>
                <w:rFonts w:hint="eastAsia" w:ascii="宋体" w:hAnsi="宋体" w:cs="宋体"/>
                <w:kern w:val="0"/>
                <w:sz w:val="20"/>
                <w:szCs w:val="20"/>
              </w:rPr>
              <w:t>锦汐/横河/哈希</w:t>
            </w:r>
          </w:p>
        </w:tc>
        <w:tc>
          <w:tcPr>
            <w:tcW w:w="720" w:type="dxa"/>
            <w:gridSpan w:val="2"/>
            <w:tcBorders>
              <w:top w:val="nil"/>
              <w:left w:val="nil"/>
              <w:bottom w:val="single" w:color="auto" w:sz="4" w:space="0"/>
              <w:right w:val="single" w:color="auto" w:sz="4" w:space="0"/>
            </w:tcBorders>
            <w:vAlign w:val="center"/>
          </w:tcPr>
          <w:p w14:paraId="04A61E4E">
            <w:pPr>
              <w:widowControl/>
              <w:jc w:val="center"/>
              <w:rPr>
                <w:rFonts w:hint="eastAsia" w:ascii="宋体" w:hAnsi="宋体" w:cs="宋体"/>
                <w:kern w:val="0"/>
                <w:sz w:val="20"/>
                <w:szCs w:val="20"/>
              </w:rPr>
            </w:pPr>
            <w:r>
              <w:rPr>
                <w:rFonts w:hint="eastAsia" w:ascii="宋体" w:hAnsi="宋体" w:cs="宋体"/>
                <w:kern w:val="0"/>
                <w:sz w:val="20"/>
                <w:szCs w:val="20"/>
              </w:rPr>
              <w:t>台</w:t>
            </w:r>
          </w:p>
        </w:tc>
        <w:tc>
          <w:tcPr>
            <w:tcW w:w="725" w:type="dxa"/>
            <w:gridSpan w:val="2"/>
            <w:tcBorders>
              <w:top w:val="nil"/>
              <w:left w:val="nil"/>
              <w:bottom w:val="single" w:color="auto" w:sz="4" w:space="0"/>
              <w:right w:val="single" w:color="auto" w:sz="4" w:space="0"/>
            </w:tcBorders>
            <w:vAlign w:val="center"/>
          </w:tcPr>
          <w:p w14:paraId="04A61E4F">
            <w:pPr>
              <w:widowControl/>
              <w:jc w:val="center"/>
              <w:rPr>
                <w:rFonts w:hint="eastAsia" w:ascii="宋体" w:hAnsi="宋体" w:cs="宋体"/>
                <w:kern w:val="0"/>
                <w:sz w:val="20"/>
                <w:szCs w:val="20"/>
              </w:rPr>
            </w:pPr>
            <w:r>
              <w:rPr>
                <w:rFonts w:hint="eastAsia" w:ascii="宋体" w:hAnsi="宋体" w:cs="宋体"/>
                <w:kern w:val="0"/>
                <w:sz w:val="20"/>
                <w:szCs w:val="20"/>
              </w:rPr>
              <w:t xml:space="preserve">1 </w:t>
            </w:r>
          </w:p>
        </w:tc>
      </w:tr>
      <w:tr w14:paraId="04A61E5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wBefore w:w="90" w:type="dxa"/>
          <w:trHeight w:val="1040" w:hRule="atLeast"/>
          <w:jc w:val="center"/>
        </w:trPr>
        <w:tc>
          <w:tcPr>
            <w:tcW w:w="659" w:type="dxa"/>
            <w:gridSpan w:val="2"/>
            <w:tcBorders>
              <w:top w:val="nil"/>
              <w:left w:val="single" w:color="auto" w:sz="4" w:space="0"/>
              <w:bottom w:val="single" w:color="auto" w:sz="4" w:space="0"/>
              <w:right w:val="single" w:color="auto" w:sz="4" w:space="0"/>
            </w:tcBorders>
            <w:vAlign w:val="center"/>
          </w:tcPr>
          <w:p w14:paraId="04A61E51">
            <w:pPr>
              <w:widowControl/>
              <w:jc w:val="center"/>
              <w:rPr>
                <w:rFonts w:hint="eastAsia" w:ascii="宋体" w:hAnsi="宋体" w:cs="宋体"/>
                <w:kern w:val="0"/>
                <w:sz w:val="20"/>
                <w:szCs w:val="20"/>
              </w:rPr>
            </w:pPr>
            <w:r>
              <w:rPr>
                <w:rFonts w:hint="eastAsia" w:ascii="宋体" w:hAnsi="宋体" w:cs="宋体"/>
                <w:kern w:val="0"/>
                <w:sz w:val="20"/>
                <w:szCs w:val="20"/>
              </w:rPr>
              <w:t>5</w:t>
            </w:r>
          </w:p>
        </w:tc>
        <w:tc>
          <w:tcPr>
            <w:tcW w:w="1903" w:type="dxa"/>
            <w:gridSpan w:val="2"/>
            <w:tcBorders>
              <w:top w:val="nil"/>
              <w:left w:val="nil"/>
              <w:bottom w:val="single" w:color="auto" w:sz="4" w:space="0"/>
              <w:right w:val="single" w:color="auto" w:sz="4" w:space="0"/>
            </w:tcBorders>
            <w:vAlign w:val="center"/>
          </w:tcPr>
          <w:p w14:paraId="04A61E52">
            <w:pPr>
              <w:widowControl/>
              <w:jc w:val="center"/>
              <w:rPr>
                <w:rFonts w:hint="eastAsia" w:ascii="宋体" w:hAnsi="宋体" w:cs="宋体"/>
                <w:kern w:val="0"/>
                <w:sz w:val="20"/>
                <w:szCs w:val="20"/>
              </w:rPr>
            </w:pPr>
            <w:r>
              <w:rPr>
                <w:rFonts w:hint="eastAsia" w:ascii="宋体" w:hAnsi="宋体" w:cs="宋体"/>
                <w:kern w:val="0"/>
                <w:sz w:val="20"/>
                <w:szCs w:val="20"/>
              </w:rPr>
              <w:t>pH测量仪</w:t>
            </w:r>
            <w:r>
              <w:rPr>
                <w:rFonts w:hint="eastAsia" w:ascii="宋体" w:hAnsi="宋体" w:cs="宋体"/>
                <w:kern w:val="0"/>
                <w:sz w:val="20"/>
                <w:szCs w:val="20"/>
              </w:rPr>
              <w:br w:type="textWrapping"/>
            </w:r>
            <w:r>
              <w:rPr>
                <w:rFonts w:hint="eastAsia" w:ascii="宋体" w:hAnsi="宋体" w:cs="宋体"/>
                <w:kern w:val="0"/>
                <w:sz w:val="20"/>
                <w:szCs w:val="20"/>
              </w:rPr>
              <w:t>21AI_0008</w:t>
            </w:r>
          </w:p>
        </w:tc>
        <w:tc>
          <w:tcPr>
            <w:tcW w:w="5096" w:type="dxa"/>
            <w:gridSpan w:val="4"/>
            <w:tcBorders>
              <w:top w:val="nil"/>
              <w:left w:val="nil"/>
              <w:bottom w:val="single" w:color="auto" w:sz="4" w:space="0"/>
              <w:right w:val="single" w:color="auto" w:sz="4" w:space="0"/>
            </w:tcBorders>
            <w:vAlign w:val="center"/>
          </w:tcPr>
          <w:p w14:paraId="04A61E53">
            <w:pPr>
              <w:widowControl/>
              <w:jc w:val="left"/>
              <w:rPr>
                <w:rFonts w:ascii="Arial" w:hAnsi="Arial"/>
                <w:kern w:val="0"/>
                <w:sz w:val="20"/>
                <w:szCs w:val="20"/>
              </w:rPr>
            </w:pPr>
            <w:r>
              <w:rPr>
                <w:rFonts w:ascii="Arial" w:hAnsi="Arial"/>
                <w:kern w:val="0"/>
                <w:sz w:val="20"/>
                <w:szCs w:val="20"/>
              </w:rPr>
              <w:t>E-21004</w:t>
            </w:r>
            <w:r>
              <w:rPr>
                <w:rFonts w:hint="eastAsia" w:ascii="宋体" w:hAnsi="宋体"/>
                <w:kern w:val="0"/>
                <w:sz w:val="20"/>
                <w:szCs w:val="20"/>
              </w:rPr>
              <w:t>给水</w:t>
            </w:r>
            <w:r>
              <w:rPr>
                <w:rFonts w:ascii="Arial" w:hAnsi="Arial"/>
                <w:kern w:val="0"/>
                <w:sz w:val="20"/>
                <w:szCs w:val="20"/>
              </w:rPr>
              <w:t>PH</w:t>
            </w:r>
            <w:r>
              <w:rPr>
                <w:rFonts w:hint="eastAsia" w:ascii="宋体" w:hAnsi="宋体"/>
                <w:kern w:val="0"/>
                <w:sz w:val="20"/>
                <w:szCs w:val="20"/>
              </w:rPr>
              <w:t>在线指示</w:t>
            </w:r>
            <w:r>
              <w:rPr>
                <w:rFonts w:ascii="Arial" w:hAnsi="Arial"/>
                <w:kern w:val="0"/>
                <w:sz w:val="20"/>
                <w:szCs w:val="20"/>
              </w:rPr>
              <w:br w:type="textWrapping"/>
            </w:r>
            <w:r>
              <w:rPr>
                <w:rFonts w:hint="eastAsia" w:ascii="宋体" w:hAnsi="宋体"/>
                <w:kern w:val="0"/>
                <w:sz w:val="20"/>
                <w:szCs w:val="20"/>
              </w:rPr>
              <w:t>含</w:t>
            </w:r>
            <w:r>
              <w:rPr>
                <w:rFonts w:ascii="Arial" w:hAnsi="Arial"/>
                <w:kern w:val="0"/>
                <w:sz w:val="20"/>
                <w:szCs w:val="20"/>
              </w:rPr>
              <w:t>PH</w:t>
            </w:r>
            <w:r>
              <w:rPr>
                <w:rFonts w:hint="eastAsia" w:ascii="宋体" w:hAnsi="宋体"/>
                <w:kern w:val="0"/>
                <w:sz w:val="20"/>
                <w:szCs w:val="20"/>
              </w:rPr>
              <w:t>变送器、隔爆箱、纯水</w:t>
            </w:r>
            <w:r>
              <w:rPr>
                <w:rFonts w:ascii="Arial" w:hAnsi="Arial"/>
                <w:kern w:val="0"/>
                <w:sz w:val="20"/>
                <w:szCs w:val="20"/>
              </w:rPr>
              <w:t>pH/</w:t>
            </w:r>
            <w:r>
              <w:rPr>
                <w:rFonts w:hint="eastAsia" w:ascii="宋体" w:hAnsi="宋体"/>
                <w:kern w:val="0"/>
                <w:sz w:val="20"/>
                <w:szCs w:val="20"/>
              </w:rPr>
              <w:t>温度电极、</w:t>
            </w:r>
            <w:r>
              <w:rPr>
                <w:rFonts w:ascii="Arial" w:hAnsi="Arial"/>
                <w:kern w:val="0"/>
                <w:sz w:val="20"/>
                <w:szCs w:val="20"/>
              </w:rPr>
              <w:t>VP</w:t>
            </w:r>
            <w:r>
              <w:rPr>
                <w:rFonts w:hint="eastAsia" w:ascii="宋体" w:hAnsi="宋体"/>
                <w:kern w:val="0"/>
                <w:sz w:val="20"/>
                <w:szCs w:val="20"/>
              </w:rPr>
              <w:t>电缆</w:t>
            </w:r>
            <w:r>
              <w:rPr>
                <w:rFonts w:ascii="Arial" w:hAnsi="Arial"/>
                <w:kern w:val="0"/>
                <w:sz w:val="20"/>
                <w:szCs w:val="20"/>
              </w:rPr>
              <w:t>5</w:t>
            </w:r>
            <w:r>
              <w:rPr>
                <w:rFonts w:hint="eastAsia" w:ascii="宋体" w:hAnsi="宋体"/>
                <w:kern w:val="0"/>
                <w:sz w:val="20"/>
                <w:szCs w:val="20"/>
              </w:rPr>
              <w:t>米</w:t>
            </w:r>
            <w:r>
              <w:rPr>
                <w:rFonts w:ascii="Arial" w:hAnsi="Arial"/>
                <w:kern w:val="0"/>
                <w:sz w:val="20"/>
                <w:szCs w:val="20"/>
              </w:rPr>
              <w:br w:type="textWrapping"/>
            </w:r>
            <w:r>
              <w:rPr>
                <w:rFonts w:hint="eastAsia" w:ascii="宋体" w:hAnsi="宋体"/>
                <w:kern w:val="0"/>
                <w:sz w:val="20"/>
                <w:szCs w:val="20"/>
              </w:rPr>
              <w:t>量程：</w:t>
            </w:r>
            <w:r>
              <w:rPr>
                <w:rFonts w:ascii="Arial" w:hAnsi="Arial"/>
                <w:kern w:val="0"/>
                <w:sz w:val="20"/>
                <w:szCs w:val="20"/>
              </w:rPr>
              <w:t>0-14pH</w:t>
            </w:r>
            <w:r>
              <w:rPr>
                <w:rFonts w:hint="eastAsia" w:ascii="宋体" w:hAnsi="宋体"/>
                <w:kern w:val="0"/>
                <w:sz w:val="20"/>
                <w:szCs w:val="20"/>
              </w:rPr>
              <w:t>；报警联锁停车设定值：低限</w:t>
            </w:r>
            <w:r>
              <w:rPr>
                <w:rFonts w:ascii="Arial" w:hAnsi="Arial"/>
                <w:kern w:val="0"/>
                <w:sz w:val="20"/>
                <w:szCs w:val="20"/>
              </w:rPr>
              <w:t>8.5</w:t>
            </w:r>
            <w:r>
              <w:rPr>
                <w:rFonts w:hint="eastAsia" w:ascii="宋体" w:hAnsi="宋体"/>
                <w:kern w:val="0"/>
                <w:sz w:val="20"/>
                <w:szCs w:val="20"/>
              </w:rPr>
              <w:t>，高限</w:t>
            </w:r>
            <w:r>
              <w:rPr>
                <w:rFonts w:ascii="Arial" w:hAnsi="Arial"/>
                <w:kern w:val="0"/>
                <w:sz w:val="20"/>
                <w:szCs w:val="20"/>
              </w:rPr>
              <w:t>11.5</w:t>
            </w:r>
          </w:p>
        </w:tc>
        <w:tc>
          <w:tcPr>
            <w:tcW w:w="860" w:type="dxa"/>
            <w:tcBorders>
              <w:top w:val="nil"/>
              <w:left w:val="nil"/>
              <w:bottom w:val="single" w:color="auto" w:sz="4" w:space="0"/>
              <w:right w:val="single" w:color="auto" w:sz="4" w:space="0"/>
            </w:tcBorders>
            <w:vAlign w:val="center"/>
          </w:tcPr>
          <w:p w14:paraId="04A61E54">
            <w:pPr>
              <w:widowControl/>
              <w:jc w:val="center"/>
              <w:rPr>
                <w:rFonts w:hint="eastAsia" w:ascii="宋体" w:hAnsi="宋体" w:cs="宋体"/>
                <w:kern w:val="0"/>
                <w:sz w:val="20"/>
                <w:szCs w:val="20"/>
              </w:rPr>
            </w:pPr>
            <w:r>
              <w:rPr>
                <w:rFonts w:hint="eastAsia" w:ascii="宋体" w:hAnsi="宋体" w:cs="宋体"/>
                <w:kern w:val="0"/>
                <w:sz w:val="20"/>
                <w:szCs w:val="20"/>
              </w:rPr>
              <w:t>锦汐/横河/哈希</w:t>
            </w:r>
          </w:p>
        </w:tc>
        <w:tc>
          <w:tcPr>
            <w:tcW w:w="720" w:type="dxa"/>
            <w:gridSpan w:val="2"/>
            <w:tcBorders>
              <w:top w:val="nil"/>
              <w:left w:val="nil"/>
              <w:bottom w:val="single" w:color="auto" w:sz="4" w:space="0"/>
              <w:right w:val="single" w:color="auto" w:sz="4" w:space="0"/>
            </w:tcBorders>
            <w:vAlign w:val="center"/>
          </w:tcPr>
          <w:p w14:paraId="04A61E55">
            <w:pPr>
              <w:widowControl/>
              <w:jc w:val="center"/>
              <w:rPr>
                <w:rFonts w:hint="eastAsia" w:ascii="宋体" w:hAnsi="宋体" w:cs="宋体"/>
                <w:kern w:val="0"/>
                <w:sz w:val="20"/>
                <w:szCs w:val="20"/>
              </w:rPr>
            </w:pPr>
            <w:r>
              <w:rPr>
                <w:rFonts w:hint="eastAsia" w:ascii="宋体" w:hAnsi="宋体" w:cs="宋体"/>
                <w:kern w:val="0"/>
                <w:sz w:val="20"/>
                <w:szCs w:val="20"/>
              </w:rPr>
              <w:t>台</w:t>
            </w:r>
          </w:p>
        </w:tc>
        <w:tc>
          <w:tcPr>
            <w:tcW w:w="725" w:type="dxa"/>
            <w:gridSpan w:val="2"/>
            <w:tcBorders>
              <w:top w:val="nil"/>
              <w:left w:val="nil"/>
              <w:bottom w:val="single" w:color="auto" w:sz="4" w:space="0"/>
              <w:right w:val="single" w:color="auto" w:sz="4" w:space="0"/>
            </w:tcBorders>
            <w:vAlign w:val="center"/>
          </w:tcPr>
          <w:p w14:paraId="04A61E56">
            <w:pPr>
              <w:widowControl/>
              <w:jc w:val="center"/>
              <w:rPr>
                <w:rFonts w:hint="eastAsia" w:ascii="宋体" w:hAnsi="宋体" w:cs="宋体"/>
                <w:kern w:val="0"/>
                <w:sz w:val="20"/>
                <w:szCs w:val="20"/>
              </w:rPr>
            </w:pPr>
            <w:r>
              <w:rPr>
                <w:rFonts w:hint="eastAsia" w:ascii="宋体" w:hAnsi="宋体" w:cs="宋体"/>
                <w:kern w:val="0"/>
                <w:sz w:val="20"/>
                <w:szCs w:val="20"/>
              </w:rPr>
              <w:t xml:space="preserve">1 </w:t>
            </w:r>
          </w:p>
        </w:tc>
      </w:tr>
      <w:tr w14:paraId="04A61E5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wBefore w:w="90" w:type="dxa"/>
          <w:trHeight w:val="1090" w:hRule="atLeast"/>
          <w:jc w:val="center"/>
        </w:trPr>
        <w:tc>
          <w:tcPr>
            <w:tcW w:w="659" w:type="dxa"/>
            <w:gridSpan w:val="2"/>
            <w:tcBorders>
              <w:top w:val="nil"/>
              <w:left w:val="single" w:color="auto" w:sz="4" w:space="0"/>
              <w:bottom w:val="single" w:color="auto" w:sz="4" w:space="0"/>
              <w:right w:val="single" w:color="auto" w:sz="4" w:space="0"/>
            </w:tcBorders>
            <w:vAlign w:val="center"/>
          </w:tcPr>
          <w:p w14:paraId="04A61E58">
            <w:pPr>
              <w:widowControl/>
              <w:jc w:val="center"/>
              <w:rPr>
                <w:rFonts w:hint="eastAsia" w:ascii="宋体" w:hAnsi="宋体" w:cs="宋体"/>
                <w:kern w:val="0"/>
                <w:sz w:val="20"/>
                <w:szCs w:val="20"/>
              </w:rPr>
            </w:pPr>
            <w:r>
              <w:rPr>
                <w:rFonts w:hint="eastAsia" w:ascii="宋体" w:hAnsi="宋体" w:cs="宋体"/>
                <w:kern w:val="0"/>
                <w:sz w:val="20"/>
                <w:szCs w:val="20"/>
              </w:rPr>
              <w:t>6</w:t>
            </w:r>
          </w:p>
        </w:tc>
        <w:tc>
          <w:tcPr>
            <w:tcW w:w="1903" w:type="dxa"/>
            <w:gridSpan w:val="2"/>
            <w:tcBorders>
              <w:top w:val="nil"/>
              <w:left w:val="nil"/>
              <w:bottom w:val="single" w:color="auto" w:sz="4" w:space="0"/>
              <w:right w:val="single" w:color="auto" w:sz="4" w:space="0"/>
            </w:tcBorders>
            <w:vAlign w:val="center"/>
          </w:tcPr>
          <w:p w14:paraId="04A61E59">
            <w:pPr>
              <w:widowControl/>
              <w:jc w:val="center"/>
              <w:rPr>
                <w:rFonts w:hint="eastAsia" w:ascii="宋体" w:hAnsi="宋体" w:cs="宋体"/>
                <w:kern w:val="0"/>
                <w:sz w:val="20"/>
                <w:szCs w:val="20"/>
              </w:rPr>
            </w:pPr>
            <w:r>
              <w:rPr>
                <w:rFonts w:hint="eastAsia" w:ascii="宋体" w:hAnsi="宋体" w:cs="宋体"/>
                <w:kern w:val="0"/>
                <w:sz w:val="20"/>
                <w:szCs w:val="20"/>
              </w:rPr>
              <w:t>pH测量仪</w:t>
            </w:r>
            <w:r>
              <w:rPr>
                <w:rFonts w:hint="eastAsia" w:ascii="宋体" w:hAnsi="宋体" w:cs="宋体"/>
                <w:kern w:val="0"/>
                <w:sz w:val="20"/>
                <w:szCs w:val="20"/>
              </w:rPr>
              <w:br w:type="textWrapping"/>
            </w:r>
            <w:r>
              <w:rPr>
                <w:rFonts w:hint="eastAsia" w:ascii="宋体" w:hAnsi="宋体" w:cs="宋体"/>
                <w:kern w:val="0"/>
                <w:sz w:val="20"/>
                <w:szCs w:val="20"/>
              </w:rPr>
              <w:t>21AI_0009</w:t>
            </w:r>
          </w:p>
        </w:tc>
        <w:tc>
          <w:tcPr>
            <w:tcW w:w="5096" w:type="dxa"/>
            <w:gridSpan w:val="4"/>
            <w:tcBorders>
              <w:top w:val="nil"/>
              <w:left w:val="nil"/>
              <w:bottom w:val="single" w:color="auto" w:sz="4" w:space="0"/>
              <w:right w:val="single" w:color="auto" w:sz="4" w:space="0"/>
            </w:tcBorders>
            <w:vAlign w:val="center"/>
          </w:tcPr>
          <w:p w14:paraId="04A61E5A">
            <w:pPr>
              <w:widowControl/>
              <w:jc w:val="left"/>
              <w:rPr>
                <w:rFonts w:ascii="Arial" w:hAnsi="Arial"/>
                <w:kern w:val="0"/>
                <w:sz w:val="20"/>
                <w:szCs w:val="20"/>
              </w:rPr>
            </w:pPr>
            <w:r>
              <w:rPr>
                <w:rFonts w:ascii="Arial" w:hAnsi="Arial"/>
                <w:kern w:val="0"/>
                <w:sz w:val="20"/>
                <w:szCs w:val="20"/>
              </w:rPr>
              <w:t>E-21011</w:t>
            </w:r>
            <w:r>
              <w:rPr>
                <w:rFonts w:hint="eastAsia" w:ascii="宋体" w:hAnsi="宋体"/>
                <w:kern w:val="0"/>
                <w:sz w:val="20"/>
                <w:szCs w:val="20"/>
              </w:rPr>
              <w:t>给水</w:t>
            </w:r>
            <w:r>
              <w:rPr>
                <w:rFonts w:ascii="Arial" w:hAnsi="Arial"/>
                <w:kern w:val="0"/>
                <w:sz w:val="20"/>
                <w:szCs w:val="20"/>
              </w:rPr>
              <w:t>PH</w:t>
            </w:r>
            <w:r>
              <w:rPr>
                <w:rFonts w:hint="eastAsia" w:ascii="宋体" w:hAnsi="宋体"/>
                <w:kern w:val="0"/>
                <w:sz w:val="20"/>
                <w:szCs w:val="20"/>
              </w:rPr>
              <w:t>在线指示</w:t>
            </w:r>
            <w:r>
              <w:rPr>
                <w:rFonts w:ascii="Arial" w:hAnsi="Arial"/>
                <w:kern w:val="0"/>
                <w:sz w:val="20"/>
                <w:szCs w:val="20"/>
              </w:rPr>
              <w:br w:type="textWrapping"/>
            </w:r>
            <w:r>
              <w:rPr>
                <w:rFonts w:hint="eastAsia" w:ascii="宋体" w:hAnsi="宋体"/>
                <w:kern w:val="0"/>
                <w:sz w:val="20"/>
                <w:szCs w:val="20"/>
              </w:rPr>
              <w:t>含</w:t>
            </w:r>
            <w:r>
              <w:rPr>
                <w:rFonts w:ascii="Arial" w:hAnsi="Arial"/>
                <w:kern w:val="0"/>
                <w:sz w:val="20"/>
                <w:szCs w:val="20"/>
              </w:rPr>
              <w:t>PH</w:t>
            </w:r>
            <w:r>
              <w:rPr>
                <w:rFonts w:hint="eastAsia" w:ascii="宋体" w:hAnsi="宋体"/>
                <w:kern w:val="0"/>
                <w:sz w:val="20"/>
                <w:szCs w:val="20"/>
              </w:rPr>
              <w:t>变送器、隔爆箱、纯水</w:t>
            </w:r>
            <w:r>
              <w:rPr>
                <w:rFonts w:ascii="Arial" w:hAnsi="Arial"/>
                <w:kern w:val="0"/>
                <w:sz w:val="20"/>
                <w:szCs w:val="20"/>
              </w:rPr>
              <w:t>pH/</w:t>
            </w:r>
            <w:r>
              <w:rPr>
                <w:rFonts w:hint="eastAsia" w:ascii="宋体" w:hAnsi="宋体"/>
                <w:kern w:val="0"/>
                <w:sz w:val="20"/>
                <w:szCs w:val="20"/>
              </w:rPr>
              <w:t>温度电极、</w:t>
            </w:r>
            <w:r>
              <w:rPr>
                <w:rFonts w:ascii="Arial" w:hAnsi="Arial"/>
                <w:kern w:val="0"/>
                <w:sz w:val="20"/>
                <w:szCs w:val="20"/>
              </w:rPr>
              <w:t>VP</w:t>
            </w:r>
            <w:r>
              <w:rPr>
                <w:rFonts w:hint="eastAsia" w:ascii="宋体" w:hAnsi="宋体"/>
                <w:kern w:val="0"/>
                <w:sz w:val="20"/>
                <w:szCs w:val="20"/>
              </w:rPr>
              <w:t>电缆</w:t>
            </w:r>
            <w:r>
              <w:rPr>
                <w:rFonts w:ascii="Arial" w:hAnsi="Arial"/>
                <w:kern w:val="0"/>
                <w:sz w:val="20"/>
                <w:szCs w:val="20"/>
              </w:rPr>
              <w:t>5</w:t>
            </w:r>
            <w:r>
              <w:rPr>
                <w:rFonts w:hint="eastAsia" w:ascii="宋体" w:hAnsi="宋体"/>
                <w:kern w:val="0"/>
                <w:sz w:val="20"/>
                <w:szCs w:val="20"/>
              </w:rPr>
              <w:t>米</w:t>
            </w:r>
            <w:r>
              <w:rPr>
                <w:rFonts w:ascii="Arial" w:hAnsi="Arial"/>
                <w:kern w:val="0"/>
                <w:sz w:val="20"/>
                <w:szCs w:val="20"/>
              </w:rPr>
              <w:br w:type="textWrapping"/>
            </w:r>
            <w:r>
              <w:rPr>
                <w:rFonts w:hint="eastAsia" w:ascii="宋体" w:hAnsi="宋体"/>
                <w:kern w:val="0"/>
                <w:sz w:val="20"/>
                <w:szCs w:val="20"/>
              </w:rPr>
              <w:t>量程：</w:t>
            </w:r>
            <w:r>
              <w:rPr>
                <w:rFonts w:ascii="Arial" w:hAnsi="Arial"/>
                <w:kern w:val="0"/>
                <w:sz w:val="20"/>
                <w:szCs w:val="20"/>
              </w:rPr>
              <w:t>0-14pH</w:t>
            </w:r>
            <w:r>
              <w:rPr>
                <w:rFonts w:hint="eastAsia" w:ascii="宋体" w:hAnsi="宋体"/>
                <w:kern w:val="0"/>
                <w:sz w:val="20"/>
                <w:szCs w:val="20"/>
              </w:rPr>
              <w:t>；报警联锁停车设定值：低限</w:t>
            </w:r>
            <w:r>
              <w:rPr>
                <w:rFonts w:ascii="Arial" w:hAnsi="Arial"/>
                <w:kern w:val="0"/>
                <w:sz w:val="20"/>
                <w:szCs w:val="20"/>
              </w:rPr>
              <w:t>8.5</w:t>
            </w:r>
            <w:r>
              <w:rPr>
                <w:rFonts w:hint="eastAsia" w:ascii="宋体" w:hAnsi="宋体"/>
                <w:kern w:val="0"/>
                <w:sz w:val="20"/>
                <w:szCs w:val="20"/>
              </w:rPr>
              <w:t>，高限</w:t>
            </w:r>
            <w:r>
              <w:rPr>
                <w:rFonts w:ascii="Arial" w:hAnsi="Arial"/>
                <w:kern w:val="0"/>
                <w:sz w:val="20"/>
                <w:szCs w:val="20"/>
              </w:rPr>
              <w:t>11.5</w:t>
            </w:r>
          </w:p>
        </w:tc>
        <w:tc>
          <w:tcPr>
            <w:tcW w:w="860" w:type="dxa"/>
            <w:tcBorders>
              <w:top w:val="nil"/>
              <w:left w:val="nil"/>
              <w:bottom w:val="single" w:color="auto" w:sz="4" w:space="0"/>
              <w:right w:val="single" w:color="auto" w:sz="4" w:space="0"/>
            </w:tcBorders>
            <w:vAlign w:val="center"/>
          </w:tcPr>
          <w:p w14:paraId="04A61E5B">
            <w:pPr>
              <w:widowControl/>
              <w:jc w:val="center"/>
              <w:rPr>
                <w:rFonts w:hint="eastAsia" w:ascii="宋体" w:hAnsi="宋体" w:cs="宋体"/>
                <w:kern w:val="0"/>
                <w:sz w:val="20"/>
                <w:szCs w:val="20"/>
              </w:rPr>
            </w:pPr>
            <w:r>
              <w:rPr>
                <w:rFonts w:hint="eastAsia" w:ascii="宋体" w:hAnsi="宋体" w:cs="宋体"/>
                <w:kern w:val="0"/>
                <w:sz w:val="20"/>
                <w:szCs w:val="20"/>
              </w:rPr>
              <w:t>锦汐/横河/哈希</w:t>
            </w:r>
          </w:p>
        </w:tc>
        <w:tc>
          <w:tcPr>
            <w:tcW w:w="720" w:type="dxa"/>
            <w:gridSpan w:val="2"/>
            <w:tcBorders>
              <w:top w:val="nil"/>
              <w:left w:val="nil"/>
              <w:bottom w:val="single" w:color="auto" w:sz="4" w:space="0"/>
              <w:right w:val="single" w:color="auto" w:sz="4" w:space="0"/>
            </w:tcBorders>
            <w:vAlign w:val="center"/>
          </w:tcPr>
          <w:p w14:paraId="04A61E5C">
            <w:pPr>
              <w:widowControl/>
              <w:jc w:val="center"/>
              <w:rPr>
                <w:rFonts w:hint="eastAsia" w:ascii="宋体" w:hAnsi="宋体" w:cs="宋体"/>
                <w:kern w:val="0"/>
                <w:sz w:val="20"/>
                <w:szCs w:val="20"/>
              </w:rPr>
            </w:pPr>
            <w:r>
              <w:rPr>
                <w:rFonts w:hint="eastAsia" w:ascii="宋体" w:hAnsi="宋体" w:cs="宋体"/>
                <w:kern w:val="0"/>
                <w:sz w:val="20"/>
                <w:szCs w:val="20"/>
              </w:rPr>
              <w:t>台</w:t>
            </w:r>
          </w:p>
        </w:tc>
        <w:tc>
          <w:tcPr>
            <w:tcW w:w="725" w:type="dxa"/>
            <w:gridSpan w:val="2"/>
            <w:tcBorders>
              <w:top w:val="nil"/>
              <w:left w:val="nil"/>
              <w:bottom w:val="single" w:color="auto" w:sz="4" w:space="0"/>
              <w:right w:val="single" w:color="auto" w:sz="4" w:space="0"/>
            </w:tcBorders>
            <w:vAlign w:val="center"/>
          </w:tcPr>
          <w:p w14:paraId="04A61E5D">
            <w:pPr>
              <w:widowControl/>
              <w:jc w:val="center"/>
              <w:rPr>
                <w:rFonts w:hint="eastAsia" w:ascii="宋体" w:hAnsi="宋体" w:cs="宋体"/>
                <w:kern w:val="0"/>
                <w:sz w:val="20"/>
                <w:szCs w:val="20"/>
              </w:rPr>
            </w:pPr>
            <w:r>
              <w:rPr>
                <w:rFonts w:hint="eastAsia" w:ascii="宋体" w:hAnsi="宋体" w:cs="宋体"/>
                <w:kern w:val="0"/>
                <w:sz w:val="20"/>
                <w:szCs w:val="20"/>
              </w:rPr>
              <w:t xml:space="preserve">1 </w:t>
            </w:r>
          </w:p>
        </w:tc>
      </w:tr>
    </w:tbl>
    <w:p w14:paraId="04A61E5F">
      <w:pPr>
        <w:rPr>
          <w:rFonts w:hint="eastAsia" w:ascii="宋体" w:hAnsi="宋体"/>
          <w:color w:val="FF0000"/>
          <w:sz w:val="24"/>
          <w:szCs w:val="24"/>
        </w:rPr>
      </w:pPr>
    </w:p>
    <w:p w14:paraId="04A61E60">
      <w:pPr>
        <w:rPr>
          <w:rFonts w:hint="eastAsia" w:ascii="宋体" w:hAnsi="宋体"/>
          <w:sz w:val="24"/>
          <w:szCs w:val="24"/>
        </w:rPr>
      </w:pPr>
      <w:r>
        <w:rPr>
          <w:rFonts w:ascii="宋体"/>
          <w:color w:val="FF0000"/>
          <w:sz w:val="22"/>
        </w:rPr>
        <w:t>共计新增</w:t>
      </w:r>
      <w:r>
        <w:rPr>
          <w:rFonts w:hint="eastAsia" w:ascii="宋体"/>
          <w:color w:val="FF0000"/>
          <w:sz w:val="22"/>
        </w:rPr>
        <w:t>在线色谱1台，热导分析仪一台，</w:t>
      </w:r>
      <w:r>
        <w:rPr>
          <w:rFonts w:ascii="宋体"/>
          <w:color w:val="FF0000"/>
          <w:sz w:val="22"/>
        </w:rPr>
        <w:t>在线pH计8台，电导率仪4台，</w:t>
      </w:r>
      <w:r>
        <w:rPr>
          <w:rFonts w:hint="eastAsia" w:ascii="宋体"/>
          <w:color w:val="FF0000"/>
          <w:sz w:val="22"/>
        </w:rPr>
        <w:t>溶解氧两台；</w:t>
      </w:r>
      <w:r>
        <w:rPr>
          <w:rFonts w:ascii="宋体" w:hAnsi="宋体"/>
          <w:sz w:val="24"/>
          <w:szCs w:val="24"/>
        </w:rPr>
        <w:t xml:space="preserve"> </w:t>
      </w:r>
    </w:p>
    <w:p w14:paraId="04A61E61">
      <w:pPr>
        <w:rPr>
          <w:rFonts w:hint="eastAsia" w:ascii="宋体" w:hAnsi="宋体"/>
          <w:sz w:val="24"/>
          <w:szCs w:val="24"/>
        </w:rPr>
      </w:pPr>
      <w:r>
        <w:rPr>
          <w:rFonts w:hint="eastAsia" w:ascii="宋体" w:hAnsi="宋体"/>
          <w:sz w:val="24"/>
          <w:szCs w:val="24"/>
        </w:rPr>
        <w:t>3.2）其他：含施工、监管、运输、材料，以及设计、制造、装备、检查、测试、包装和装载设备材料所需提供的服务。</w:t>
      </w:r>
    </w:p>
    <w:p w14:paraId="04A61E62">
      <w:pPr>
        <w:ind w:firstLine="480" w:firstLineChars="200"/>
        <w:rPr>
          <w:rFonts w:hint="eastAsia" w:ascii="宋体" w:hAnsi="宋体"/>
          <w:sz w:val="24"/>
          <w:szCs w:val="24"/>
        </w:rPr>
      </w:pPr>
      <w:r>
        <w:rPr>
          <w:rFonts w:hint="eastAsia" w:ascii="宋体" w:hAnsi="宋体"/>
          <w:sz w:val="24"/>
          <w:szCs w:val="24"/>
        </w:rPr>
        <w:t>以上均需做分项报价，并体现在投标文件中。</w:t>
      </w:r>
    </w:p>
    <w:p w14:paraId="04A61E63">
      <w:pPr>
        <w:rPr>
          <w:rFonts w:hint="eastAsia" w:ascii="宋体" w:hAnsi="宋体"/>
          <w:sz w:val="24"/>
          <w:szCs w:val="24"/>
        </w:rPr>
      </w:pPr>
      <w:r>
        <w:rPr>
          <w:rFonts w:ascii="宋体" w:hAnsi="宋体"/>
          <w:sz w:val="24"/>
          <w:szCs w:val="24"/>
        </w:rPr>
        <w:t>3.3.</w:t>
      </w:r>
      <w:r>
        <w:rPr>
          <w:rFonts w:hint="eastAsia" w:ascii="宋体" w:hAnsi="宋体"/>
          <w:sz w:val="24"/>
          <w:szCs w:val="24"/>
        </w:rPr>
        <w:t>系统应当基于预制造设计，通过完全组装和调试。应配备：在线分析仪表主机、取样探头、样品根部截止阀、样品预处理系统、自动调校系统、样品吹扫系统、分析仪维护系统、信号接口.</w:t>
      </w:r>
    </w:p>
    <w:p w14:paraId="04A61E64">
      <w:pPr>
        <w:rPr>
          <w:rFonts w:hint="eastAsia" w:ascii="宋体" w:hAnsi="宋体"/>
          <w:sz w:val="24"/>
          <w:szCs w:val="24"/>
        </w:rPr>
      </w:pPr>
      <w:r>
        <w:rPr>
          <w:rFonts w:ascii="宋体" w:hAnsi="宋体"/>
          <w:sz w:val="24"/>
          <w:szCs w:val="24"/>
        </w:rPr>
        <w:t>3.4</w:t>
      </w:r>
      <w:r>
        <w:rPr>
          <w:rFonts w:hint="eastAsia" w:ascii="宋体" w:hAnsi="宋体"/>
          <w:sz w:val="24"/>
          <w:szCs w:val="24"/>
        </w:rPr>
        <w:t>在取样阶段，样品处理系统的设计应能向分析仪提供清洁、有代表性的样品；对于一些高压工况的样品取样，需要在接近取样点处设置前置处理箱，以降低压力并进行过滤。</w:t>
      </w:r>
    </w:p>
    <w:p w14:paraId="04A61E65">
      <w:pPr>
        <w:rPr>
          <w:rFonts w:hint="eastAsia" w:ascii="宋体" w:hAnsi="宋体"/>
          <w:sz w:val="24"/>
          <w:szCs w:val="24"/>
        </w:rPr>
      </w:pPr>
      <w:r>
        <w:rPr>
          <w:rFonts w:ascii="宋体" w:hAnsi="宋体"/>
          <w:sz w:val="24"/>
          <w:szCs w:val="24"/>
        </w:rPr>
        <w:t>3.5</w:t>
      </w:r>
      <w:r>
        <w:rPr>
          <w:rFonts w:hint="eastAsia" w:ascii="宋体" w:hAnsi="宋体"/>
          <w:sz w:val="24"/>
          <w:szCs w:val="24"/>
        </w:rPr>
        <w:t>在线分析仪表主机应配备触摸屏以实现触屏操作，并具有中文菜单，可在主机上直接查看分析结果、报警信息等内容。同时主机应配有通讯接口，为M</w:t>
      </w:r>
      <w:r>
        <w:rPr>
          <w:rFonts w:ascii="宋体" w:hAnsi="宋体"/>
          <w:sz w:val="24"/>
          <w:szCs w:val="24"/>
        </w:rPr>
        <w:t>ODBUS-RS485</w:t>
      </w:r>
      <w:r>
        <w:rPr>
          <w:rFonts w:hint="eastAsia" w:ascii="宋体" w:hAnsi="宋体"/>
          <w:sz w:val="24"/>
          <w:szCs w:val="24"/>
        </w:rPr>
        <w:t>或4</w:t>
      </w:r>
      <w:r>
        <w:rPr>
          <w:rFonts w:ascii="宋体" w:hAnsi="宋体"/>
          <w:sz w:val="24"/>
          <w:szCs w:val="24"/>
        </w:rPr>
        <w:t>~20</w:t>
      </w:r>
      <w:r>
        <w:rPr>
          <w:rFonts w:hint="eastAsia" w:ascii="宋体" w:hAnsi="宋体"/>
          <w:sz w:val="24"/>
          <w:szCs w:val="24"/>
        </w:rPr>
        <w:t>mA模拟量信号。若分析仪需配置分析计算机，则计算机宜设计配置在分析小屋中。</w:t>
      </w:r>
    </w:p>
    <w:p w14:paraId="04A61E66">
      <w:pPr>
        <w:rPr>
          <w:rFonts w:hint="eastAsia" w:ascii="宋体" w:hAnsi="宋体"/>
          <w:sz w:val="24"/>
          <w:szCs w:val="24"/>
        </w:rPr>
      </w:pPr>
      <w:r>
        <w:rPr>
          <w:rFonts w:ascii="宋体" w:hAnsi="宋体"/>
          <w:sz w:val="24"/>
          <w:szCs w:val="24"/>
        </w:rPr>
        <w:t>3.6</w:t>
      </w:r>
      <w:r>
        <w:rPr>
          <w:rFonts w:hint="eastAsia" w:ascii="宋体" w:hAnsi="宋体"/>
          <w:sz w:val="24"/>
          <w:szCs w:val="24"/>
        </w:rPr>
        <w:t>预处理属于在线分析仪投标人供货范围，分析机柜/机柜/小屋的取样管线（含伴热或保冷）的供货、气瓶至分析机柜/小屋管线的供货均应由在线分析仪投标人负责。</w:t>
      </w:r>
    </w:p>
    <w:p w14:paraId="04A61E67">
      <w:pPr>
        <w:rPr>
          <w:rFonts w:hint="eastAsia" w:ascii="宋体" w:hAnsi="宋体"/>
          <w:sz w:val="24"/>
          <w:szCs w:val="24"/>
        </w:rPr>
      </w:pPr>
      <w:r>
        <w:rPr>
          <w:rFonts w:ascii="宋体" w:hAnsi="宋体"/>
          <w:sz w:val="24"/>
          <w:szCs w:val="24"/>
        </w:rPr>
        <w:t>3.7</w:t>
      </w:r>
      <w:r>
        <w:rPr>
          <w:rFonts w:hint="eastAsia" w:ascii="宋体" w:hAnsi="宋体"/>
          <w:sz w:val="24"/>
          <w:szCs w:val="24"/>
        </w:rPr>
        <w:t>分析过程中的样气或尾气原则上均应返回到用户指定的地方，自分析仪至返回点的管线及返回装置的设计及供货应由投标人负责。如放空是不可避免的，则放空大气的放空管应带防雨帽、阻火器。</w:t>
      </w:r>
    </w:p>
    <w:p w14:paraId="04A61E68">
      <w:pPr>
        <w:rPr>
          <w:rFonts w:hint="eastAsia" w:ascii="宋体" w:hAnsi="宋体"/>
          <w:sz w:val="24"/>
          <w:szCs w:val="24"/>
        </w:rPr>
      </w:pPr>
      <w:r>
        <w:rPr>
          <w:rFonts w:ascii="宋体" w:hAnsi="宋体"/>
          <w:sz w:val="24"/>
          <w:szCs w:val="24"/>
        </w:rPr>
        <w:t>3.8</w:t>
      </w:r>
      <w:r>
        <w:rPr>
          <w:rFonts w:hint="eastAsia" w:ascii="宋体" w:hAnsi="宋体"/>
          <w:sz w:val="24"/>
          <w:szCs w:val="24"/>
        </w:rPr>
        <w:t>对于分析系统必须的关键配件，投标人应提供相应的分项报价清单在投标文件中。</w:t>
      </w:r>
    </w:p>
    <w:p w14:paraId="04A61E69">
      <w:pPr>
        <w:rPr>
          <w:rFonts w:hint="eastAsia" w:ascii="宋体" w:hAnsi="宋体"/>
          <w:sz w:val="24"/>
          <w:szCs w:val="24"/>
        </w:rPr>
      </w:pPr>
      <w:r>
        <w:rPr>
          <w:rFonts w:ascii="宋体" w:hAnsi="宋体"/>
          <w:sz w:val="24"/>
          <w:szCs w:val="24"/>
        </w:rPr>
        <w:t>3.9</w:t>
      </w:r>
      <w:r>
        <w:rPr>
          <w:rFonts w:hint="eastAsia" w:ascii="宋体" w:hAnsi="宋体"/>
          <w:sz w:val="24"/>
          <w:szCs w:val="24"/>
        </w:rPr>
        <w:t>在线分析系统在设计配置时，应考虑以下因素：安全、精度、典型过程、重复性、可靠性、效率、工艺质量、材料质量、可维护性、耐久性。</w:t>
      </w:r>
    </w:p>
    <w:p w14:paraId="04A61E6A">
      <w:pPr>
        <w:rPr>
          <w:rFonts w:hint="eastAsia" w:ascii="宋体" w:hAnsi="宋体"/>
          <w:sz w:val="24"/>
          <w:szCs w:val="24"/>
        </w:rPr>
      </w:pPr>
      <w:r>
        <w:rPr>
          <w:rFonts w:ascii="宋体" w:hAnsi="宋体"/>
          <w:sz w:val="24"/>
          <w:szCs w:val="24"/>
        </w:rPr>
        <w:t>3.9</w:t>
      </w:r>
      <w:r>
        <w:rPr>
          <w:rFonts w:hint="eastAsia" w:ascii="宋体" w:hAnsi="宋体"/>
          <w:sz w:val="24"/>
          <w:szCs w:val="24"/>
        </w:rPr>
        <w:t>在线分析系统应被设计成连续运行和无人值守的。</w:t>
      </w:r>
    </w:p>
    <w:p w14:paraId="04A61E6B">
      <w:pPr>
        <w:rPr>
          <w:rFonts w:hint="eastAsia" w:ascii="宋体" w:hAnsi="宋体"/>
          <w:sz w:val="24"/>
          <w:szCs w:val="24"/>
        </w:rPr>
      </w:pPr>
      <w:r>
        <w:rPr>
          <w:rFonts w:ascii="宋体" w:hAnsi="宋体"/>
          <w:sz w:val="24"/>
          <w:szCs w:val="24"/>
        </w:rPr>
        <w:t>3.10</w:t>
      </w:r>
      <w:r>
        <w:rPr>
          <w:rFonts w:hint="eastAsia" w:ascii="宋体" w:hAnsi="宋体"/>
          <w:sz w:val="24"/>
          <w:szCs w:val="24"/>
        </w:rPr>
        <w:t>在线分析系统组分及含量范围应可设计为可调整的，只需要通过简单的标定操作即可完成组分和含量的调整。</w:t>
      </w:r>
    </w:p>
    <w:p w14:paraId="04A61E6C">
      <w:pPr>
        <w:rPr>
          <w:rFonts w:hint="eastAsia" w:ascii="宋体" w:hAnsi="宋体"/>
          <w:sz w:val="24"/>
          <w:szCs w:val="24"/>
        </w:rPr>
      </w:pPr>
      <w:r>
        <w:rPr>
          <w:rFonts w:ascii="宋体" w:hAnsi="宋体"/>
          <w:sz w:val="24"/>
          <w:szCs w:val="24"/>
        </w:rPr>
        <w:t>*3.11</w:t>
      </w:r>
      <w:r>
        <w:rPr>
          <w:rFonts w:hint="eastAsia" w:ascii="宋体" w:hAnsi="宋体"/>
          <w:sz w:val="24"/>
          <w:szCs w:val="24"/>
        </w:rPr>
        <w:t>投标人应提供分析仪和待测组分的调校方法。连续分析仪表的校准除特殊说明外，应当是2点（零点和满量程）校准；气相色谱的校准除特殊说明外，应当是单点校准。</w:t>
      </w:r>
    </w:p>
    <w:p w14:paraId="04A61E6D">
      <w:pPr>
        <w:rPr>
          <w:rFonts w:hint="eastAsia" w:ascii="宋体" w:hAnsi="宋体"/>
          <w:sz w:val="24"/>
          <w:szCs w:val="24"/>
        </w:rPr>
      </w:pPr>
      <w:r>
        <w:rPr>
          <w:rFonts w:ascii="宋体" w:hAnsi="宋体"/>
          <w:sz w:val="24"/>
          <w:szCs w:val="24"/>
        </w:rPr>
        <w:t>3.12</w:t>
      </w:r>
      <w:r>
        <w:rPr>
          <w:rFonts w:hint="eastAsia" w:ascii="宋体" w:hAnsi="宋体"/>
          <w:sz w:val="24"/>
          <w:szCs w:val="24"/>
        </w:rPr>
        <w:t>分析系统的软件应支持自动定量分析过程流体，不需人工干预；其所有编程、控制和输入/输出功能可以在分析系统能直接访问；分析系统操作软件应是最新版本，日后如有更新，投标人应给予免费升级。</w:t>
      </w:r>
    </w:p>
    <w:p w14:paraId="04A61E6E">
      <w:pPr>
        <w:rPr>
          <w:rFonts w:hint="eastAsia" w:ascii="宋体" w:hAnsi="宋体"/>
          <w:sz w:val="24"/>
          <w:szCs w:val="24"/>
        </w:rPr>
      </w:pPr>
      <w:r>
        <w:rPr>
          <w:rFonts w:ascii="宋体" w:hAnsi="宋体"/>
          <w:sz w:val="24"/>
          <w:szCs w:val="24"/>
        </w:rPr>
        <w:t>*3.13</w:t>
      </w:r>
      <w:r>
        <w:rPr>
          <w:rFonts w:hint="eastAsia" w:ascii="宋体" w:hAnsi="宋体"/>
          <w:sz w:val="24"/>
          <w:szCs w:val="24"/>
        </w:rPr>
        <w:t>色谱需要EPC载气电子压力控制器，分析系统应具备自诊断功能，包括但不局限于以下内容：样品流体损失、载体流体错误、仪表空气压力错误、温度控制错误、通讯错误、微处理器错误等，且应具备保持记录的功能，直到技术人员确认。</w:t>
      </w:r>
    </w:p>
    <w:p w14:paraId="04A61E6F">
      <w:pPr>
        <w:rPr>
          <w:rFonts w:hint="eastAsia" w:ascii="宋体" w:hAnsi="宋体"/>
          <w:sz w:val="24"/>
          <w:szCs w:val="24"/>
        </w:rPr>
      </w:pPr>
      <w:r>
        <w:rPr>
          <w:rFonts w:hint="eastAsia" w:ascii="宋体" w:hAnsi="宋体"/>
          <w:sz w:val="24"/>
          <w:szCs w:val="24"/>
        </w:rPr>
        <w:t>3.14 所有分析仪的取样、排放管口过程连接设计宜为法兰形式；长距离的取样管道和排放管道的安装宜为法兰连接或焊接形式连接；</w:t>
      </w:r>
      <w:r>
        <w:rPr>
          <w:rFonts w:hint="eastAsia" w:ascii="宋体" w:hAnsi="宋体"/>
          <w:sz w:val="24"/>
          <w:szCs w:val="24"/>
          <w:highlight w:val="yellow"/>
        </w:rPr>
        <w:t>所有的分析仪，需均以工艺流程管路旁通管安装或取样的形式设计；所有的在线分析取样口在设计的同时宜考虑离线分析人员现场取样的接口。</w:t>
      </w:r>
    </w:p>
    <w:p w14:paraId="04A61E70">
      <w:pPr>
        <w:rPr>
          <w:rFonts w:hint="eastAsia" w:ascii="宋体" w:hAnsi="宋体"/>
          <w:sz w:val="24"/>
          <w:szCs w:val="24"/>
        </w:rPr>
      </w:pPr>
      <w:r>
        <w:rPr>
          <w:rFonts w:ascii="宋体" w:hAnsi="宋体"/>
          <w:sz w:val="24"/>
          <w:szCs w:val="24"/>
        </w:rPr>
        <w:t>3.15</w:t>
      </w:r>
      <w:r>
        <w:rPr>
          <w:rFonts w:hint="eastAsia" w:ascii="宋体" w:hAnsi="宋体"/>
          <w:sz w:val="24"/>
          <w:szCs w:val="24"/>
        </w:rPr>
        <w:t>分析机柜/小屋设计应遵循H</w:t>
      </w:r>
      <w:r>
        <w:rPr>
          <w:rFonts w:ascii="宋体" w:hAnsi="宋体"/>
          <w:sz w:val="24"/>
          <w:szCs w:val="24"/>
        </w:rPr>
        <w:t>G/T20516-2000</w:t>
      </w:r>
      <w:r>
        <w:rPr>
          <w:rFonts w:hint="eastAsia" w:ascii="宋体" w:hAnsi="宋体"/>
          <w:sz w:val="24"/>
          <w:szCs w:val="24"/>
        </w:rPr>
        <w:t>《自动分析器室设计规定》，未涉及部分应参照I</w:t>
      </w:r>
      <w:r>
        <w:rPr>
          <w:rFonts w:ascii="宋体" w:hAnsi="宋体"/>
          <w:sz w:val="24"/>
          <w:szCs w:val="24"/>
        </w:rPr>
        <w:t>EC79-16</w:t>
      </w:r>
      <w:r>
        <w:rPr>
          <w:rFonts w:hint="eastAsia" w:ascii="宋体" w:hAnsi="宋体"/>
          <w:sz w:val="24"/>
          <w:szCs w:val="24"/>
        </w:rPr>
        <w:t>中的规定执行。设计要求紧凑、温湿度可控、抗震、抗电磁干扰。</w:t>
      </w:r>
    </w:p>
    <w:p w14:paraId="04A61E71">
      <w:pPr>
        <w:rPr>
          <w:rFonts w:hint="eastAsia" w:ascii="宋体" w:hAnsi="宋体"/>
          <w:sz w:val="24"/>
          <w:szCs w:val="24"/>
        </w:rPr>
      </w:pPr>
      <w:r>
        <w:rPr>
          <w:rFonts w:ascii="宋体" w:hAnsi="宋体"/>
          <w:sz w:val="24"/>
          <w:szCs w:val="24"/>
        </w:rPr>
        <w:t>3.16</w:t>
      </w:r>
      <w:r>
        <w:rPr>
          <w:rFonts w:hint="eastAsia" w:ascii="宋体" w:hAnsi="宋体"/>
          <w:sz w:val="24"/>
          <w:szCs w:val="24"/>
        </w:rPr>
        <w:t>工作范围</w:t>
      </w:r>
    </w:p>
    <w:p w14:paraId="04A61E72">
      <w:pPr>
        <w:rPr>
          <w:rFonts w:hint="eastAsia" w:ascii="宋体" w:hAnsi="宋体"/>
          <w:sz w:val="24"/>
          <w:szCs w:val="24"/>
        </w:rPr>
      </w:pPr>
      <w:r>
        <w:rPr>
          <w:rFonts w:hint="eastAsia" w:ascii="宋体" w:hAnsi="宋体"/>
          <w:sz w:val="24"/>
          <w:szCs w:val="24"/>
        </w:rPr>
        <w:t>投标方责任</w:t>
      </w:r>
    </w:p>
    <w:p w14:paraId="04A61E73">
      <w:pPr>
        <w:rPr>
          <w:rFonts w:hint="eastAsia" w:ascii="宋体" w:hAnsi="宋体"/>
          <w:sz w:val="24"/>
          <w:szCs w:val="24"/>
        </w:rPr>
      </w:pPr>
      <w:r>
        <w:rPr>
          <w:rFonts w:hint="eastAsia" w:ascii="宋体" w:hAnsi="宋体"/>
          <w:sz w:val="24"/>
          <w:szCs w:val="24"/>
        </w:rPr>
        <w:sym w:font="Wingdings 2" w:char="F0AE"/>
      </w:r>
      <w:r>
        <w:rPr>
          <w:rFonts w:hint="eastAsia" w:ascii="宋体" w:hAnsi="宋体"/>
          <w:sz w:val="24"/>
          <w:szCs w:val="24"/>
        </w:rPr>
        <w:t>分析系统详细的工程设计、制造和供货</w:t>
      </w:r>
    </w:p>
    <w:p w14:paraId="04A61E74">
      <w:pPr>
        <w:rPr>
          <w:rFonts w:hint="eastAsia" w:ascii="宋体" w:hAnsi="宋体"/>
          <w:sz w:val="24"/>
          <w:szCs w:val="24"/>
        </w:rPr>
      </w:pPr>
      <w:r>
        <w:rPr>
          <w:rFonts w:hint="eastAsia" w:ascii="宋体" w:hAnsi="宋体"/>
          <w:sz w:val="24"/>
          <w:szCs w:val="24"/>
        </w:rPr>
        <w:sym w:font="Wingdings 2" w:char="F0AE"/>
      </w:r>
      <w:r>
        <w:rPr>
          <w:rFonts w:hint="eastAsia" w:ascii="宋体" w:hAnsi="宋体"/>
          <w:sz w:val="24"/>
          <w:szCs w:val="24"/>
        </w:rPr>
        <w:t>在整个制造过程中进行质量控制管理</w:t>
      </w:r>
    </w:p>
    <w:p w14:paraId="04A61E75">
      <w:pPr>
        <w:rPr>
          <w:rFonts w:hint="eastAsia" w:ascii="宋体" w:hAnsi="宋体"/>
          <w:sz w:val="24"/>
          <w:szCs w:val="24"/>
        </w:rPr>
      </w:pPr>
      <w:r>
        <w:rPr>
          <w:rFonts w:hint="eastAsia" w:ascii="宋体" w:hAnsi="宋体"/>
          <w:sz w:val="24"/>
          <w:szCs w:val="24"/>
        </w:rPr>
        <w:sym w:font="Wingdings 2" w:char="F0AE"/>
      </w:r>
      <w:r>
        <w:rPr>
          <w:rFonts w:hint="eastAsia" w:ascii="宋体" w:hAnsi="宋体"/>
          <w:sz w:val="24"/>
          <w:szCs w:val="24"/>
        </w:rPr>
        <w:t>参加开工会并预先提供开工会所需的有关文件</w:t>
      </w:r>
    </w:p>
    <w:p w14:paraId="04A61E76">
      <w:pPr>
        <w:rPr>
          <w:rFonts w:hint="eastAsia" w:ascii="宋体" w:hAnsi="宋体"/>
          <w:sz w:val="24"/>
          <w:szCs w:val="24"/>
        </w:rPr>
      </w:pPr>
      <w:r>
        <w:rPr>
          <w:rFonts w:hint="eastAsia" w:ascii="宋体" w:hAnsi="宋体"/>
          <w:sz w:val="24"/>
          <w:szCs w:val="24"/>
        </w:rPr>
        <w:sym w:font="Wingdings 2" w:char="F0AE"/>
      </w:r>
      <w:r>
        <w:rPr>
          <w:rFonts w:hint="eastAsia" w:ascii="宋体" w:hAnsi="宋体"/>
          <w:sz w:val="24"/>
          <w:szCs w:val="24"/>
        </w:rPr>
        <w:t>分析系统的出场验收测试（F</w:t>
      </w:r>
      <w:r>
        <w:rPr>
          <w:rFonts w:ascii="宋体" w:hAnsi="宋体"/>
          <w:sz w:val="24"/>
          <w:szCs w:val="24"/>
        </w:rPr>
        <w:t>AT</w:t>
      </w:r>
      <w:r>
        <w:rPr>
          <w:rFonts w:hint="eastAsia" w:ascii="宋体" w:hAnsi="宋体"/>
          <w:sz w:val="24"/>
          <w:szCs w:val="24"/>
        </w:rPr>
        <w:t>）</w:t>
      </w:r>
    </w:p>
    <w:p w14:paraId="04A61E77">
      <w:pPr>
        <w:rPr>
          <w:rFonts w:hint="eastAsia" w:ascii="宋体" w:hAnsi="宋体"/>
          <w:sz w:val="24"/>
          <w:szCs w:val="24"/>
        </w:rPr>
      </w:pPr>
      <w:r>
        <w:rPr>
          <w:rFonts w:hint="eastAsia" w:ascii="宋体" w:hAnsi="宋体"/>
          <w:sz w:val="24"/>
          <w:szCs w:val="24"/>
        </w:rPr>
        <w:sym w:font="Wingdings 2" w:char="F0AE"/>
      </w:r>
      <w:r>
        <w:rPr>
          <w:rFonts w:hint="eastAsia" w:ascii="宋体" w:hAnsi="宋体"/>
          <w:sz w:val="24"/>
          <w:szCs w:val="24"/>
        </w:rPr>
        <w:t>分析系统的现场验收测试（S</w:t>
      </w:r>
      <w:r>
        <w:rPr>
          <w:rFonts w:ascii="宋体" w:hAnsi="宋体"/>
          <w:sz w:val="24"/>
          <w:szCs w:val="24"/>
        </w:rPr>
        <w:t>AT</w:t>
      </w:r>
      <w:r>
        <w:rPr>
          <w:rFonts w:hint="eastAsia" w:ascii="宋体" w:hAnsi="宋体"/>
          <w:sz w:val="24"/>
          <w:szCs w:val="24"/>
        </w:rPr>
        <w:t>）</w:t>
      </w:r>
    </w:p>
    <w:p w14:paraId="04A61E78">
      <w:pPr>
        <w:rPr>
          <w:rFonts w:hint="eastAsia" w:ascii="宋体" w:hAnsi="宋体"/>
          <w:sz w:val="24"/>
          <w:szCs w:val="24"/>
        </w:rPr>
      </w:pPr>
      <w:r>
        <w:rPr>
          <w:rFonts w:hint="eastAsia" w:ascii="宋体" w:hAnsi="宋体"/>
          <w:sz w:val="24"/>
          <w:szCs w:val="24"/>
        </w:rPr>
        <w:sym w:font="Wingdings 2" w:char="F0AE"/>
      </w:r>
      <w:r>
        <w:rPr>
          <w:rFonts w:hint="eastAsia" w:ascii="宋体" w:hAnsi="宋体"/>
          <w:sz w:val="24"/>
          <w:szCs w:val="24"/>
        </w:rPr>
        <w:t>对包括机柜/小屋在内的所有预处理及分析、排放返回系统的完整性、正确性和安全性负责，对分析仪表安装、调试、设计、联锁和现场服务等工作负责。</w:t>
      </w:r>
    </w:p>
    <w:p w14:paraId="04A61E79">
      <w:pPr>
        <w:rPr>
          <w:rFonts w:hint="eastAsia" w:ascii="宋体" w:hAnsi="宋体"/>
          <w:sz w:val="24"/>
          <w:szCs w:val="24"/>
        </w:rPr>
      </w:pPr>
      <w:r>
        <w:rPr>
          <w:rFonts w:hint="eastAsia" w:ascii="宋体" w:hAnsi="宋体"/>
          <w:sz w:val="24"/>
          <w:szCs w:val="24"/>
        </w:rPr>
        <w:sym w:font="Wingdings 2" w:char="F0AE"/>
      </w:r>
      <w:r>
        <w:rPr>
          <w:rFonts w:hint="eastAsia" w:ascii="宋体" w:hAnsi="宋体"/>
          <w:sz w:val="24"/>
          <w:szCs w:val="24"/>
        </w:rPr>
        <w:t>负责提供提供的标的物所需的相关资质证书</w:t>
      </w:r>
    </w:p>
    <w:p w14:paraId="04A61E7A">
      <w:pPr>
        <w:rPr>
          <w:rFonts w:hint="eastAsia" w:ascii="宋体" w:hAnsi="宋体"/>
          <w:sz w:val="24"/>
          <w:szCs w:val="24"/>
        </w:rPr>
      </w:pPr>
    </w:p>
    <w:p w14:paraId="04A61E7B">
      <w:pPr>
        <w:rPr>
          <w:rFonts w:hint="eastAsia" w:ascii="宋体" w:hAnsi="宋体"/>
          <w:sz w:val="24"/>
          <w:szCs w:val="24"/>
        </w:rPr>
      </w:pPr>
      <w:r>
        <w:rPr>
          <w:rFonts w:ascii="宋体" w:hAnsi="宋体"/>
          <w:sz w:val="24"/>
          <w:szCs w:val="24"/>
        </w:rPr>
        <w:t>3.17</w:t>
      </w:r>
      <w:r>
        <w:rPr>
          <w:rFonts w:hint="eastAsia" w:ascii="宋体" w:hAnsi="宋体"/>
          <w:sz w:val="24"/>
          <w:szCs w:val="24"/>
        </w:rPr>
        <w:t>招标方责任</w:t>
      </w:r>
    </w:p>
    <w:p w14:paraId="04A61E7C">
      <w:pPr>
        <w:rPr>
          <w:rFonts w:hint="eastAsia" w:ascii="宋体" w:hAnsi="宋体"/>
          <w:sz w:val="24"/>
          <w:szCs w:val="24"/>
        </w:rPr>
      </w:pPr>
      <w:r>
        <w:rPr>
          <w:rFonts w:hint="eastAsia" w:ascii="宋体" w:hAnsi="宋体"/>
          <w:sz w:val="24"/>
          <w:szCs w:val="24"/>
        </w:rPr>
        <w:sym w:font="Wingdings 2" w:char="F0AE"/>
      </w:r>
      <w:r>
        <w:rPr>
          <w:rFonts w:hint="eastAsia" w:ascii="宋体" w:hAnsi="宋体"/>
          <w:sz w:val="24"/>
          <w:szCs w:val="24"/>
        </w:rPr>
        <w:t>负责现场施工及开表等工作的配合</w:t>
      </w:r>
    </w:p>
    <w:p w14:paraId="04A61E7D">
      <w:pPr>
        <w:rPr>
          <w:rFonts w:hint="eastAsia" w:ascii="宋体" w:hAnsi="宋体"/>
          <w:sz w:val="24"/>
          <w:szCs w:val="24"/>
        </w:rPr>
      </w:pPr>
      <w:r>
        <w:rPr>
          <w:rFonts w:hint="eastAsia" w:ascii="宋体" w:hAnsi="宋体"/>
          <w:sz w:val="24"/>
          <w:szCs w:val="24"/>
        </w:rPr>
        <w:sym w:font="Wingdings 2" w:char="F0AE"/>
      </w:r>
      <w:r>
        <w:rPr>
          <w:rFonts w:hint="eastAsia" w:ascii="宋体" w:hAnsi="宋体"/>
          <w:sz w:val="24"/>
          <w:szCs w:val="24"/>
        </w:rPr>
        <w:t>负责协调分析主机投标方、集成商及小屋投标方问题处理</w:t>
      </w:r>
    </w:p>
    <w:p w14:paraId="04A61E7E">
      <w:pPr>
        <w:rPr>
          <w:rFonts w:hint="eastAsia" w:ascii="宋体" w:hAnsi="宋体"/>
          <w:sz w:val="24"/>
          <w:szCs w:val="24"/>
        </w:rPr>
      </w:pPr>
      <w:r>
        <w:rPr>
          <w:rFonts w:hint="eastAsia" w:ascii="宋体" w:hAnsi="宋体"/>
          <w:sz w:val="24"/>
          <w:szCs w:val="24"/>
        </w:rPr>
        <w:sym w:font="Wingdings 2" w:char="F0AE"/>
      </w:r>
      <w:r>
        <w:rPr>
          <w:rFonts w:hint="eastAsia" w:ascii="宋体" w:hAnsi="宋体"/>
          <w:sz w:val="24"/>
          <w:szCs w:val="24"/>
        </w:rPr>
        <w:t>给机柜/小屋提供一路仪表电源（U</w:t>
      </w:r>
      <w:r>
        <w:rPr>
          <w:rFonts w:ascii="宋体" w:hAnsi="宋体"/>
          <w:sz w:val="24"/>
          <w:szCs w:val="24"/>
        </w:rPr>
        <w:t>PS</w:t>
      </w:r>
      <w:r>
        <w:rPr>
          <w:rFonts w:hint="eastAsia" w:ascii="宋体" w:hAnsi="宋体"/>
          <w:sz w:val="24"/>
          <w:szCs w:val="24"/>
        </w:rPr>
        <w:t>：2</w:t>
      </w:r>
      <w:r>
        <w:rPr>
          <w:rFonts w:ascii="宋体" w:hAnsi="宋体"/>
          <w:sz w:val="24"/>
          <w:szCs w:val="24"/>
        </w:rPr>
        <w:t>20VAC</w:t>
      </w:r>
      <w:r>
        <w:rPr>
          <w:rFonts w:hint="eastAsia" w:ascii="宋体" w:hAnsi="宋体"/>
          <w:sz w:val="24"/>
          <w:szCs w:val="24"/>
        </w:rPr>
        <w:t>）和一路市电（2</w:t>
      </w:r>
      <w:r>
        <w:rPr>
          <w:rFonts w:ascii="宋体" w:hAnsi="宋体"/>
          <w:sz w:val="24"/>
          <w:szCs w:val="24"/>
        </w:rPr>
        <w:t>20VAC</w:t>
      </w:r>
      <w:r>
        <w:rPr>
          <w:rFonts w:hint="eastAsia" w:ascii="宋体" w:hAnsi="宋体"/>
          <w:sz w:val="24"/>
          <w:szCs w:val="24"/>
        </w:rPr>
        <w:t>），并负责敷设电源电缆至机柜/小屋外部电源（仪表电源及公用电源）接线箱</w:t>
      </w:r>
    </w:p>
    <w:p w14:paraId="04A61E7F">
      <w:pPr>
        <w:rPr>
          <w:rFonts w:hint="eastAsia" w:ascii="宋体" w:hAnsi="宋体"/>
          <w:sz w:val="24"/>
          <w:szCs w:val="24"/>
        </w:rPr>
      </w:pPr>
      <w:r>
        <w:rPr>
          <w:rFonts w:hint="eastAsia" w:ascii="宋体" w:hAnsi="宋体"/>
          <w:sz w:val="24"/>
          <w:szCs w:val="24"/>
        </w:rPr>
        <w:sym w:font="Wingdings 2" w:char="F0AE"/>
      </w:r>
      <w:r>
        <w:rPr>
          <w:rFonts w:hint="eastAsia" w:ascii="宋体" w:hAnsi="宋体"/>
          <w:sz w:val="24"/>
          <w:szCs w:val="24"/>
        </w:rPr>
        <w:t>负责敷设信号电缆至机柜/小屋外部信号接线箱</w:t>
      </w:r>
    </w:p>
    <w:p w14:paraId="04A61E80">
      <w:pPr>
        <w:rPr>
          <w:rFonts w:hint="eastAsia" w:ascii="宋体" w:hAnsi="宋体"/>
          <w:sz w:val="24"/>
          <w:szCs w:val="24"/>
        </w:rPr>
      </w:pPr>
      <w:r>
        <w:rPr>
          <w:rFonts w:hint="eastAsia" w:ascii="宋体" w:hAnsi="宋体"/>
          <w:sz w:val="24"/>
          <w:szCs w:val="24"/>
        </w:rPr>
        <w:t>以上未尽事宜，由双方友好协商解决。</w:t>
      </w:r>
    </w:p>
    <w:p w14:paraId="04A61E81">
      <w:pPr>
        <w:outlineLvl w:val="1"/>
        <w:rPr>
          <w:rFonts w:hint="eastAsia" w:ascii="宋体" w:hAnsi="宋体" w:cs="宋体"/>
          <w:b/>
          <w:bCs/>
          <w:sz w:val="24"/>
          <w:szCs w:val="24"/>
        </w:rPr>
      </w:pPr>
      <w:bookmarkStart w:id="33" w:name="_Toc161130986"/>
      <w:r>
        <w:rPr>
          <w:rFonts w:hint="eastAsia" w:ascii="宋体" w:hAnsi="宋体" w:cs="宋体"/>
          <w:b/>
          <w:bCs/>
          <w:sz w:val="24"/>
          <w:szCs w:val="24"/>
        </w:rPr>
        <w:t>4第三方产品供货说明</w:t>
      </w:r>
      <w:bookmarkEnd w:id="33"/>
    </w:p>
    <w:p w14:paraId="04A61E82">
      <w:pPr>
        <w:rPr>
          <w:rFonts w:hint="eastAsia" w:ascii="宋体" w:hAnsi="宋体"/>
          <w:sz w:val="24"/>
          <w:szCs w:val="24"/>
        </w:rPr>
      </w:pPr>
      <w:r>
        <w:rPr>
          <w:rFonts w:hint="eastAsia" w:ascii="宋体" w:hAnsi="宋体"/>
          <w:sz w:val="24"/>
          <w:szCs w:val="24"/>
        </w:rPr>
        <w:t>包含但不局限于下列清单列表，具体需求可双方友好协商。</w:t>
      </w:r>
    </w:p>
    <w:tbl>
      <w:tblPr>
        <w:tblStyle w:val="21"/>
        <w:tblW w:w="85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17"/>
        <w:gridCol w:w="3096"/>
        <w:gridCol w:w="2716"/>
      </w:tblGrid>
      <w:tr w14:paraId="04A61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7" w:type="dxa"/>
          </w:tcPr>
          <w:p w14:paraId="04A61E83">
            <w:pPr>
              <w:rPr>
                <w:rFonts w:hint="eastAsia" w:ascii="宋体" w:hAnsi="宋体"/>
                <w:sz w:val="24"/>
                <w:szCs w:val="24"/>
              </w:rPr>
            </w:pPr>
            <w:r>
              <w:rPr>
                <w:rFonts w:hint="eastAsia" w:ascii="宋体" w:hAnsi="宋体"/>
                <w:sz w:val="24"/>
                <w:szCs w:val="24"/>
              </w:rPr>
              <w:t>名称</w:t>
            </w:r>
          </w:p>
        </w:tc>
        <w:tc>
          <w:tcPr>
            <w:tcW w:w="3096" w:type="dxa"/>
          </w:tcPr>
          <w:p w14:paraId="04A61E84">
            <w:pPr>
              <w:rPr>
                <w:rFonts w:hint="eastAsia" w:ascii="宋体" w:hAnsi="宋体"/>
                <w:sz w:val="24"/>
                <w:szCs w:val="24"/>
              </w:rPr>
            </w:pPr>
            <w:r>
              <w:rPr>
                <w:rFonts w:hint="eastAsia" w:ascii="宋体" w:hAnsi="宋体"/>
                <w:sz w:val="24"/>
                <w:szCs w:val="24"/>
              </w:rPr>
              <w:t>供货商</w:t>
            </w:r>
          </w:p>
        </w:tc>
        <w:tc>
          <w:tcPr>
            <w:tcW w:w="2716" w:type="dxa"/>
          </w:tcPr>
          <w:p w14:paraId="04A61E85">
            <w:pPr>
              <w:rPr>
                <w:rFonts w:hint="eastAsia" w:ascii="宋体" w:hAnsi="宋体"/>
                <w:sz w:val="24"/>
                <w:szCs w:val="24"/>
              </w:rPr>
            </w:pPr>
            <w:r>
              <w:rPr>
                <w:rFonts w:hint="eastAsia" w:ascii="宋体" w:hAnsi="宋体"/>
                <w:sz w:val="24"/>
                <w:szCs w:val="24"/>
              </w:rPr>
              <w:t>备注</w:t>
            </w:r>
          </w:p>
        </w:tc>
      </w:tr>
      <w:tr w14:paraId="04A61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7" w:type="dxa"/>
          </w:tcPr>
          <w:p w14:paraId="04A61E87">
            <w:pPr>
              <w:rPr>
                <w:rFonts w:hint="eastAsia" w:ascii="宋体" w:hAnsi="宋体"/>
                <w:sz w:val="24"/>
                <w:szCs w:val="24"/>
              </w:rPr>
            </w:pPr>
            <w:r>
              <w:rPr>
                <w:rFonts w:hint="eastAsia" w:ascii="宋体" w:hAnsi="宋体"/>
                <w:sz w:val="24"/>
                <w:szCs w:val="24"/>
              </w:rPr>
              <w:t>管阀件</w:t>
            </w:r>
          </w:p>
        </w:tc>
        <w:tc>
          <w:tcPr>
            <w:tcW w:w="3096" w:type="dxa"/>
          </w:tcPr>
          <w:p w14:paraId="04A61E88">
            <w:pPr>
              <w:rPr>
                <w:rFonts w:hint="eastAsia" w:ascii="宋体" w:hAnsi="宋体"/>
                <w:sz w:val="24"/>
                <w:szCs w:val="24"/>
              </w:rPr>
            </w:pPr>
            <w:r>
              <w:rPr>
                <w:rFonts w:ascii="宋体" w:hAnsi="宋体"/>
                <w:sz w:val="24"/>
                <w:szCs w:val="24"/>
              </w:rPr>
              <w:t>P</w:t>
            </w:r>
            <w:r>
              <w:rPr>
                <w:rFonts w:hint="eastAsia" w:ascii="宋体" w:hAnsi="宋体"/>
                <w:sz w:val="24"/>
                <w:szCs w:val="24"/>
              </w:rPr>
              <w:t>arker</w:t>
            </w:r>
            <w:r>
              <w:rPr>
                <w:rFonts w:ascii="宋体" w:hAnsi="宋体"/>
                <w:sz w:val="24"/>
                <w:szCs w:val="24"/>
              </w:rPr>
              <w:t>/VFK</w:t>
            </w:r>
          </w:p>
        </w:tc>
        <w:tc>
          <w:tcPr>
            <w:tcW w:w="2716" w:type="dxa"/>
          </w:tcPr>
          <w:p w14:paraId="04A61E89">
            <w:pPr>
              <w:rPr>
                <w:rFonts w:hint="eastAsia" w:ascii="宋体" w:hAnsi="宋体"/>
                <w:sz w:val="24"/>
                <w:szCs w:val="24"/>
              </w:rPr>
            </w:pPr>
          </w:p>
        </w:tc>
      </w:tr>
      <w:tr w14:paraId="04A61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7" w:type="dxa"/>
          </w:tcPr>
          <w:p w14:paraId="04A61E8B">
            <w:pPr>
              <w:rPr>
                <w:rFonts w:hint="eastAsia" w:ascii="宋体" w:hAnsi="宋体"/>
                <w:sz w:val="24"/>
                <w:szCs w:val="24"/>
              </w:rPr>
            </w:pPr>
            <w:r>
              <w:rPr>
                <w:rFonts w:hint="eastAsia" w:ascii="宋体" w:hAnsi="宋体"/>
                <w:sz w:val="24"/>
                <w:szCs w:val="24"/>
              </w:rPr>
              <w:t>过滤器</w:t>
            </w:r>
          </w:p>
        </w:tc>
        <w:tc>
          <w:tcPr>
            <w:tcW w:w="3096" w:type="dxa"/>
          </w:tcPr>
          <w:p w14:paraId="04A61E8C">
            <w:pPr>
              <w:rPr>
                <w:rFonts w:hint="eastAsia" w:ascii="宋体" w:hAnsi="宋体"/>
                <w:sz w:val="24"/>
                <w:szCs w:val="24"/>
              </w:rPr>
            </w:pPr>
            <w:r>
              <w:rPr>
                <w:rFonts w:hint="eastAsia" w:ascii="宋体" w:hAnsi="宋体"/>
                <w:sz w:val="24"/>
                <w:szCs w:val="24"/>
              </w:rPr>
              <w:t>Parker/</w:t>
            </w:r>
            <w:r>
              <w:rPr>
                <w:rFonts w:ascii="宋体" w:hAnsi="宋体"/>
                <w:sz w:val="24"/>
                <w:szCs w:val="24"/>
              </w:rPr>
              <w:t>BALTSTON</w:t>
            </w:r>
          </w:p>
        </w:tc>
        <w:tc>
          <w:tcPr>
            <w:tcW w:w="2716" w:type="dxa"/>
          </w:tcPr>
          <w:p w14:paraId="04A61E8D">
            <w:pPr>
              <w:rPr>
                <w:rFonts w:hint="eastAsia" w:ascii="宋体" w:hAnsi="宋体"/>
                <w:sz w:val="24"/>
                <w:szCs w:val="24"/>
              </w:rPr>
            </w:pPr>
          </w:p>
        </w:tc>
      </w:tr>
      <w:tr w14:paraId="04A61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7" w:type="dxa"/>
          </w:tcPr>
          <w:p w14:paraId="04A61E8F">
            <w:pPr>
              <w:rPr>
                <w:rFonts w:hint="eastAsia" w:ascii="宋体" w:hAnsi="宋体"/>
                <w:sz w:val="24"/>
                <w:szCs w:val="24"/>
              </w:rPr>
            </w:pPr>
            <w:r>
              <w:rPr>
                <w:rFonts w:hint="eastAsia" w:ascii="宋体" w:hAnsi="宋体"/>
                <w:sz w:val="24"/>
                <w:szCs w:val="24"/>
              </w:rPr>
              <w:t>仪表风减压阀</w:t>
            </w:r>
          </w:p>
        </w:tc>
        <w:tc>
          <w:tcPr>
            <w:tcW w:w="3096" w:type="dxa"/>
          </w:tcPr>
          <w:p w14:paraId="04A61E90">
            <w:pPr>
              <w:rPr>
                <w:rFonts w:hint="eastAsia" w:ascii="宋体" w:hAnsi="宋体"/>
                <w:sz w:val="24"/>
                <w:szCs w:val="24"/>
              </w:rPr>
            </w:pPr>
            <w:r>
              <w:rPr>
                <w:rFonts w:hint="eastAsia" w:ascii="宋体" w:hAnsi="宋体"/>
                <w:sz w:val="24"/>
                <w:szCs w:val="24"/>
              </w:rPr>
              <w:t>A</w:t>
            </w:r>
            <w:r>
              <w:rPr>
                <w:rFonts w:ascii="宋体" w:hAnsi="宋体"/>
                <w:sz w:val="24"/>
                <w:szCs w:val="24"/>
              </w:rPr>
              <w:t>IRTEC</w:t>
            </w:r>
            <w:r>
              <w:rPr>
                <w:rFonts w:hint="eastAsia" w:ascii="宋体" w:hAnsi="宋体"/>
                <w:sz w:val="24"/>
                <w:szCs w:val="24"/>
              </w:rPr>
              <w:t>/SMC/SNS</w:t>
            </w:r>
          </w:p>
        </w:tc>
        <w:tc>
          <w:tcPr>
            <w:tcW w:w="2716" w:type="dxa"/>
          </w:tcPr>
          <w:p w14:paraId="04A61E91">
            <w:pPr>
              <w:rPr>
                <w:rFonts w:hint="eastAsia" w:ascii="宋体" w:hAnsi="宋体"/>
                <w:sz w:val="24"/>
                <w:szCs w:val="24"/>
              </w:rPr>
            </w:pPr>
          </w:p>
        </w:tc>
      </w:tr>
      <w:tr w14:paraId="04A61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7" w:type="dxa"/>
          </w:tcPr>
          <w:p w14:paraId="04A61E93">
            <w:pPr>
              <w:rPr>
                <w:rFonts w:hint="eastAsia" w:ascii="宋体" w:hAnsi="宋体"/>
                <w:sz w:val="24"/>
                <w:szCs w:val="24"/>
              </w:rPr>
            </w:pPr>
            <w:r>
              <w:rPr>
                <w:rFonts w:hint="eastAsia" w:ascii="宋体" w:hAnsi="宋体"/>
                <w:sz w:val="24"/>
                <w:szCs w:val="24"/>
              </w:rPr>
              <w:t>流量计</w:t>
            </w:r>
          </w:p>
        </w:tc>
        <w:tc>
          <w:tcPr>
            <w:tcW w:w="3096" w:type="dxa"/>
          </w:tcPr>
          <w:p w14:paraId="04A61E94">
            <w:pPr>
              <w:rPr>
                <w:rFonts w:hint="eastAsia" w:ascii="宋体" w:hAnsi="宋体"/>
                <w:sz w:val="24"/>
                <w:szCs w:val="24"/>
              </w:rPr>
            </w:pPr>
            <w:r>
              <w:rPr>
                <w:rFonts w:hint="eastAsia" w:ascii="宋体" w:hAnsi="宋体"/>
                <w:sz w:val="24"/>
                <w:szCs w:val="24"/>
              </w:rPr>
              <w:t>K</w:t>
            </w:r>
            <w:r>
              <w:rPr>
                <w:rFonts w:ascii="宋体" w:hAnsi="宋体"/>
                <w:sz w:val="24"/>
                <w:szCs w:val="24"/>
              </w:rPr>
              <w:t>ROHNE</w:t>
            </w:r>
            <w:r>
              <w:rPr>
                <w:rFonts w:hint="eastAsia" w:ascii="宋体" w:hAnsi="宋体"/>
                <w:sz w:val="24"/>
                <w:szCs w:val="24"/>
              </w:rPr>
              <w:t>/ABB/Yokogawa</w:t>
            </w:r>
          </w:p>
        </w:tc>
        <w:tc>
          <w:tcPr>
            <w:tcW w:w="2716" w:type="dxa"/>
          </w:tcPr>
          <w:p w14:paraId="04A61E95">
            <w:pPr>
              <w:rPr>
                <w:rFonts w:hint="eastAsia" w:ascii="宋体" w:hAnsi="宋体"/>
                <w:sz w:val="24"/>
                <w:szCs w:val="24"/>
              </w:rPr>
            </w:pPr>
          </w:p>
        </w:tc>
      </w:tr>
      <w:tr w14:paraId="04A61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7" w:type="dxa"/>
          </w:tcPr>
          <w:p w14:paraId="04A61E97">
            <w:pPr>
              <w:rPr>
                <w:rFonts w:hint="eastAsia" w:ascii="宋体" w:hAnsi="宋体"/>
                <w:sz w:val="24"/>
                <w:szCs w:val="24"/>
              </w:rPr>
            </w:pPr>
            <w:r>
              <w:rPr>
                <w:rFonts w:hint="eastAsia" w:ascii="宋体" w:hAnsi="宋体"/>
                <w:sz w:val="24"/>
                <w:szCs w:val="24"/>
              </w:rPr>
              <w:t>压力表及接口</w:t>
            </w:r>
          </w:p>
        </w:tc>
        <w:tc>
          <w:tcPr>
            <w:tcW w:w="3096" w:type="dxa"/>
          </w:tcPr>
          <w:p w14:paraId="04A61E98">
            <w:pPr>
              <w:rPr>
                <w:rFonts w:hint="eastAsia" w:ascii="宋体" w:hAnsi="宋体"/>
                <w:sz w:val="24"/>
                <w:szCs w:val="24"/>
              </w:rPr>
            </w:pPr>
            <w:r>
              <w:rPr>
                <w:rFonts w:hint="eastAsia" w:ascii="宋体" w:hAnsi="宋体"/>
                <w:sz w:val="24"/>
                <w:szCs w:val="24"/>
              </w:rPr>
              <w:t>W</w:t>
            </w:r>
            <w:r>
              <w:rPr>
                <w:rFonts w:ascii="宋体" w:hAnsi="宋体"/>
                <w:sz w:val="24"/>
                <w:szCs w:val="24"/>
              </w:rPr>
              <w:t>IKA/</w:t>
            </w:r>
            <w:r>
              <w:rPr>
                <w:rFonts w:hint="eastAsia" w:ascii="宋体" w:hAnsi="宋体"/>
                <w:sz w:val="24"/>
                <w:szCs w:val="24"/>
              </w:rPr>
              <w:t>布莱迪/SMC</w:t>
            </w:r>
          </w:p>
        </w:tc>
        <w:tc>
          <w:tcPr>
            <w:tcW w:w="2716" w:type="dxa"/>
          </w:tcPr>
          <w:p w14:paraId="04A61E99">
            <w:pPr>
              <w:rPr>
                <w:rFonts w:hint="eastAsia" w:ascii="宋体" w:hAnsi="宋体"/>
                <w:sz w:val="24"/>
                <w:szCs w:val="24"/>
              </w:rPr>
            </w:pPr>
          </w:p>
        </w:tc>
      </w:tr>
      <w:tr w14:paraId="04A61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7" w:type="dxa"/>
          </w:tcPr>
          <w:p w14:paraId="04A61E9B">
            <w:pPr>
              <w:rPr>
                <w:rFonts w:hint="eastAsia" w:ascii="宋体" w:hAnsi="宋体"/>
                <w:sz w:val="24"/>
                <w:szCs w:val="24"/>
              </w:rPr>
            </w:pPr>
            <w:r>
              <w:rPr>
                <w:rFonts w:hint="eastAsia" w:ascii="宋体" w:hAnsi="宋体"/>
                <w:sz w:val="24"/>
                <w:szCs w:val="24"/>
              </w:rPr>
              <w:t>防爆电器</w:t>
            </w:r>
          </w:p>
        </w:tc>
        <w:tc>
          <w:tcPr>
            <w:tcW w:w="3096" w:type="dxa"/>
          </w:tcPr>
          <w:p w14:paraId="04A61E9C">
            <w:pPr>
              <w:rPr>
                <w:rFonts w:hint="eastAsia" w:ascii="宋体" w:hAnsi="宋体"/>
                <w:sz w:val="24"/>
                <w:szCs w:val="24"/>
              </w:rPr>
            </w:pPr>
            <w:r>
              <w:rPr>
                <w:rFonts w:hint="eastAsia" w:ascii="宋体" w:hAnsi="宋体"/>
                <w:sz w:val="24"/>
                <w:szCs w:val="24"/>
              </w:rPr>
              <w:t>飞策/华荣/新黎明</w:t>
            </w:r>
          </w:p>
        </w:tc>
        <w:tc>
          <w:tcPr>
            <w:tcW w:w="2716" w:type="dxa"/>
          </w:tcPr>
          <w:p w14:paraId="04A61E9D">
            <w:pPr>
              <w:rPr>
                <w:rFonts w:hint="eastAsia" w:ascii="宋体" w:hAnsi="宋体"/>
                <w:sz w:val="24"/>
                <w:szCs w:val="24"/>
              </w:rPr>
            </w:pPr>
          </w:p>
        </w:tc>
      </w:tr>
      <w:tr w14:paraId="04A61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7" w:type="dxa"/>
          </w:tcPr>
          <w:p w14:paraId="04A61E9F">
            <w:pPr>
              <w:rPr>
                <w:rFonts w:hint="eastAsia" w:ascii="宋体" w:hAnsi="宋体"/>
                <w:sz w:val="24"/>
                <w:szCs w:val="24"/>
              </w:rPr>
            </w:pPr>
            <w:r>
              <w:rPr>
                <w:rFonts w:hint="eastAsia" w:ascii="宋体" w:hAnsi="宋体"/>
                <w:sz w:val="24"/>
                <w:szCs w:val="24"/>
              </w:rPr>
              <w:t>防爆轴流风机</w:t>
            </w:r>
          </w:p>
        </w:tc>
        <w:tc>
          <w:tcPr>
            <w:tcW w:w="3096" w:type="dxa"/>
          </w:tcPr>
          <w:p w14:paraId="04A61EA0">
            <w:pPr>
              <w:rPr>
                <w:rFonts w:hint="eastAsia" w:ascii="宋体" w:hAnsi="宋体"/>
                <w:sz w:val="24"/>
                <w:szCs w:val="24"/>
              </w:rPr>
            </w:pPr>
            <w:r>
              <w:rPr>
                <w:rFonts w:hint="eastAsia" w:ascii="宋体" w:hAnsi="宋体"/>
                <w:sz w:val="24"/>
                <w:szCs w:val="24"/>
              </w:rPr>
              <w:t>无锡康宁/飞策/二工</w:t>
            </w:r>
          </w:p>
        </w:tc>
        <w:tc>
          <w:tcPr>
            <w:tcW w:w="2716" w:type="dxa"/>
          </w:tcPr>
          <w:p w14:paraId="04A61EA1">
            <w:pPr>
              <w:rPr>
                <w:rFonts w:hint="eastAsia" w:ascii="宋体" w:hAnsi="宋体"/>
                <w:sz w:val="24"/>
                <w:szCs w:val="24"/>
              </w:rPr>
            </w:pPr>
          </w:p>
        </w:tc>
      </w:tr>
      <w:tr w14:paraId="04A61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7" w:type="dxa"/>
          </w:tcPr>
          <w:p w14:paraId="04A61EA3">
            <w:pPr>
              <w:rPr>
                <w:rFonts w:hint="eastAsia" w:ascii="宋体" w:hAnsi="宋体"/>
                <w:sz w:val="24"/>
                <w:szCs w:val="24"/>
              </w:rPr>
            </w:pPr>
            <w:r>
              <w:rPr>
                <w:rFonts w:hint="eastAsia" w:ascii="宋体" w:hAnsi="宋体"/>
                <w:sz w:val="24"/>
                <w:szCs w:val="24"/>
              </w:rPr>
              <w:t>防爆空调</w:t>
            </w:r>
          </w:p>
        </w:tc>
        <w:tc>
          <w:tcPr>
            <w:tcW w:w="3096" w:type="dxa"/>
          </w:tcPr>
          <w:p w14:paraId="04A61EA4">
            <w:pPr>
              <w:rPr>
                <w:rFonts w:hint="eastAsia" w:ascii="宋体" w:hAnsi="宋体"/>
                <w:sz w:val="24"/>
                <w:szCs w:val="24"/>
              </w:rPr>
            </w:pPr>
            <w:r>
              <w:rPr>
                <w:rFonts w:hint="eastAsia" w:ascii="宋体" w:hAnsi="宋体"/>
                <w:sz w:val="24"/>
                <w:szCs w:val="24"/>
              </w:rPr>
              <w:t>无锡康宁/南阳一通</w:t>
            </w:r>
          </w:p>
        </w:tc>
        <w:tc>
          <w:tcPr>
            <w:tcW w:w="2716" w:type="dxa"/>
          </w:tcPr>
          <w:p w14:paraId="04A61EA5">
            <w:pPr>
              <w:rPr>
                <w:rFonts w:hint="eastAsia" w:ascii="宋体" w:hAnsi="宋体"/>
                <w:sz w:val="24"/>
                <w:szCs w:val="24"/>
              </w:rPr>
            </w:pPr>
          </w:p>
        </w:tc>
      </w:tr>
      <w:tr w14:paraId="04A61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7" w:type="dxa"/>
          </w:tcPr>
          <w:p w14:paraId="04A61EA7">
            <w:pPr>
              <w:rPr>
                <w:rFonts w:hint="eastAsia" w:ascii="宋体" w:hAnsi="宋体"/>
                <w:sz w:val="24"/>
                <w:szCs w:val="24"/>
              </w:rPr>
            </w:pPr>
            <w:r>
              <w:rPr>
                <w:rFonts w:hint="eastAsia" w:ascii="宋体" w:hAnsi="宋体"/>
                <w:sz w:val="24"/>
                <w:szCs w:val="24"/>
              </w:rPr>
              <w:t>一体化电伴热管缆</w:t>
            </w:r>
          </w:p>
        </w:tc>
        <w:tc>
          <w:tcPr>
            <w:tcW w:w="3096" w:type="dxa"/>
          </w:tcPr>
          <w:p w14:paraId="04A61EA8">
            <w:pPr>
              <w:rPr>
                <w:rFonts w:hint="eastAsia" w:ascii="宋体" w:hAnsi="宋体"/>
                <w:sz w:val="24"/>
                <w:szCs w:val="24"/>
              </w:rPr>
            </w:pPr>
            <w:r>
              <w:rPr>
                <w:rFonts w:hint="eastAsia" w:ascii="宋体" w:hAnsi="宋体"/>
                <w:sz w:val="24"/>
                <w:szCs w:val="24"/>
              </w:rPr>
              <w:t>O</w:t>
            </w:r>
            <w:r>
              <w:rPr>
                <w:rFonts w:ascii="宋体" w:hAnsi="宋体"/>
                <w:sz w:val="24"/>
                <w:szCs w:val="24"/>
              </w:rPr>
              <w:t>’B</w:t>
            </w:r>
            <w:r>
              <w:rPr>
                <w:rFonts w:hint="eastAsia" w:ascii="宋体" w:hAnsi="宋体"/>
                <w:sz w:val="24"/>
                <w:szCs w:val="24"/>
              </w:rPr>
              <w:t>rien</w:t>
            </w:r>
            <w:r>
              <w:rPr>
                <w:rFonts w:ascii="宋体" w:hAnsi="宋体"/>
                <w:sz w:val="24"/>
                <w:szCs w:val="24"/>
              </w:rPr>
              <w:t>/Thermon</w:t>
            </w:r>
            <w:r>
              <w:rPr>
                <w:rFonts w:hint="eastAsia" w:ascii="宋体" w:hAnsi="宋体"/>
                <w:sz w:val="24"/>
                <w:szCs w:val="24"/>
              </w:rPr>
              <w:t>/ Bartec</w:t>
            </w:r>
          </w:p>
        </w:tc>
        <w:tc>
          <w:tcPr>
            <w:tcW w:w="2716" w:type="dxa"/>
          </w:tcPr>
          <w:p w14:paraId="04A61EA9">
            <w:pPr>
              <w:rPr>
                <w:rFonts w:hint="eastAsia" w:ascii="宋体" w:hAnsi="宋体"/>
                <w:sz w:val="24"/>
                <w:szCs w:val="24"/>
              </w:rPr>
            </w:pPr>
          </w:p>
        </w:tc>
      </w:tr>
      <w:tr w14:paraId="04A61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7" w:type="dxa"/>
          </w:tcPr>
          <w:p w14:paraId="04A61EAB">
            <w:pPr>
              <w:rPr>
                <w:rFonts w:hint="eastAsia" w:ascii="宋体" w:hAnsi="宋体"/>
                <w:sz w:val="24"/>
                <w:szCs w:val="24"/>
              </w:rPr>
            </w:pPr>
            <w:r>
              <w:rPr>
                <w:rFonts w:hint="eastAsia" w:ascii="宋体" w:hAnsi="宋体"/>
                <w:sz w:val="24"/>
                <w:szCs w:val="24"/>
              </w:rPr>
              <w:t>样品减压阀</w:t>
            </w:r>
          </w:p>
        </w:tc>
        <w:tc>
          <w:tcPr>
            <w:tcW w:w="3096" w:type="dxa"/>
          </w:tcPr>
          <w:p w14:paraId="04A61EAC">
            <w:pPr>
              <w:rPr>
                <w:rFonts w:hint="eastAsia" w:ascii="宋体" w:hAnsi="宋体"/>
                <w:sz w:val="24"/>
                <w:szCs w:val="24"/>
              </w:rPr>
            </w:pPr>
            <w:r>
              <w:rPr>
                <w:rFonts w:hint="eastAsia" w:ascii="宋体" w:hAnsi="宋体"/>
                <w:sz w:val="24"/>
                <w:szCs w:val="24"/>
              </w:rPr>
              <w:t>G</w:t>
            </w:r>
            <w:r>
              <w:rPr>
                <w:rFonts w:ascii="宋体" w:hAnsi="宋体"/>
                <w:sz w:val="24"/>
                <w:szCs w:val="24"/>
              </w:rPr>
              <w:t>O/PARKER/TECOM</w:t>
            </w:r>
          </w:p>
        </w:tc>
        <w:tc>
          <w:tcPr>
            <w:tcW w:w="2716" w:type="dxa"/>
          </w:tcPr>
          <w:p w14:paraId="04A61EAD">
            <w:pPr>
              <w:rPr>
                <w:rFonts w:hint="eastAsia" w:ascii="宋体" w:hAnsi="宋体"/>
                <w:sz w:val="24"/>
                <w:szCs w:val="24"/>
              </w:rPr>
            </w:pPr>
          </w:p>
        </w:tc>
      </w:tr>
      <w:tr w14:paraId="04A61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7" w:type="dxa"/>
          </w:tcPr>
          <w:p w14:paraId="04A61EAF">
            <w:pPr>
              <w:rPr>
                <w:rFonts w:hint="eastAsia" w:ascii="宋体" w:hAnsi="宋体"/>
                <w:sz w:val="24"/>
                <w:szCs w:val="24"/>
              </w:rPr>
            </w:pPr>
            <w:r>
              <w:rPr>
                <w:rFonts w:hint="eastAsia" w:ascii="宋体" w:hAnsi="宋体"/>
                <w:sz w:val="24"/>
                <w:szCs w:val="24"/>
              </w:rPr>
              <w:t>电加热器</w:t>
            </w:r>
          </w:p>
        </w:tc>
        <w:tc>
          <w:tcPr>
            <w:tcW w:w="3096" w:type="dxa"/>
          </w:tcPr>
          <w:p w14:paraId="04A61EB0">
            <w:pPr>
              <w:rPr>
                <w:rFonts w:hint="eastAsia" w:ascii="宋体" w:hAnsi="宋体"/>
                <w:sz w:val="24"/>
                <w:szCs w:val="24"/>
              </w:rPr>
            </w:pPr>
            <w:r>
              <w:rPr>
                <w:rFonts w:hint="eastAsia" w:ascii="宋体" w:hAnsi="宋体"/>
                <w:sz w:val="24"/>
                <w:szCs w:val="24"/>
              </w:rPr>
              <w:t>Condor</w:t>
            </w:r>
            <w:r>
              <w:rPr>
                <w:rFonts w:ascii="宋体" w:hAnsi="宋体"/>
                <w:sz w:val="24"/>
                <w:szCs w:val="24"/>
              </w:rPr>
              <w:t>/I</w:t>
            </w:r>
            <w:r>
              <w:rPr>
                <w:rFonts w:hint="eastAsia" w:ascii="宋体" w:hAnsi="宋体"/>
                <w:sz w:val="24"/>
                <w:szCs w:val="24"/>
              </w:rPr>
              <w:t>ntertec/Bartec</w:t>
            </w:r>
          </w:p>
        </w:tc>
        <w:tc>
          <w:tcPr>
            <w:tcW w:w="2716" w:type="dxa"/>
          </w:tcPr>
          <w:p w14:paraId="04A61EB1">
            <w:pPr>
              <w:rPr>
                <w:rFonts w:hint="eastAsia" w:ascii="宋体" w:hAnsi="宋体"/>
                <w:sz w:val="24"/>
                <w:szCs w:val="24"/>
              </w:rPr>
            </w:pPr>
          </w:p>
        </w:tc>
      </w:tr>
      <w:tr w14:paraId="04A61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7" w:type="dxa"/>
          </w:tcPr>
          <w:p w14:paraId="04A61EB3">
            <w:pPr>
              <w:rPr>
                <w:rFonts w:hint="eastAsia" w:ascii="宋体" w:hAnsi="宋体"/>
                <w:sz w:val="24"/>
                <w:szCs w:val="24"/>
              </w:rPr>
            </w:pPr>
            <w:r>
              <w:rPr>
                <w:rFonts w:hint="eastAsia" w:ascii="宋体" w:hAnsi="宋体"/>
                <w:sz w:val="24"/>
                <w:szCs w:val="24"/>
              </w:rPr>
              <w:t>钢瓶减压阀</w:t>
            </w:r>
          </w:p>
        </w:tc>
        <w:tc>
          <w:tcPr>
            <w:tcW w:w="3096" w:type="dxa"/>
          </w:tcPr>
          <w:p w14:paraId="04A61EB4">
            <w:pPr>
              <w:rPr>
                <w:rFonts w:hint="eastAsia" w:ascii="宋体" w:hAnsi="宋体"/>
                <w:sz w:val="24"/>
                <w:szCs w:val="24"/>
              </w:rPr>
            </w:pPr>
            <w:r>
              <w:rPr>
                <w:rFonts w:hint="eastAsia" w:ascii="宋体" w:hAnsi="宋体"/>
                <w:sz w:val="24"/>
                <w:szCs w:val="24"/>
              </w:rPr>
              <w:t>A</w:t>
            </w:r>
            <w:r>
              <w:rPr>
                <w:rFonts w:ascii="宋体" w:hAnsi="宋体"/>
                <w:sz w:val="24"/>
                <w:szCs w:val="24"/>
              </w:rPr>
              <w:t>MFLO</w:t>
            </w:r>
            <w:r>
              <w:rPr>
                <w:rFonts w:hint="eastAsia" w:ascii="宋体" w:hAnsi="宋体"/>
                <w:sz w:val="24"/>
                <w:szCs w:val="24"/>
              </w:rPr>
              <w:t>/Parker/Amflow</w:t>
            </w:r>
          </w:p>
        </w:tc>
        <w:tc>
          <w:tcPr>
            <w:tcW w:w="2716" w:type="dxa"/>
          </w:tcPr>
          <w:p w14:paraId="04A61EB5">
            <w:pPr>
              <w:rPr>
                <w:rFonts w:hint="eastAsia" w:ascii="宋体" w:hAnsi="宋体"/>
                <w:sz w:val="24"/>
                <w:szCs w:val="24"/>
              </w:rPr>
            </w:pPr>
          </w:p>
        </w:tc>
      </w:tr>
    </w:tbl>
    <w:p w14:paraId="04A61EB7">
      <w:pPr>
        <w:rPr>
          <w:rFonts w:hint="eastAsia" w:ascii="宋体" w:hAnsi="宋体"/>
          <w:sz w:val="24"/>
          <w:szCs w:val="24"/>
        </w:rPr>
      </w:pPr>
    </w:p>
    <w:p w14:paraId="04A61EB8">
      <w:pPr>
        <w:outlineLvl w:val="1"/>
        <w:rPr>
          <w:rFonts w:hint="eastAsia" w:ascii="宋体" w:hAnsi="宋体" w:cs="宋体"/>
          <w:b/>
          <w:bCs/>
          <w:sz w:val="24"/>
          <w:szCs w:val="24"/>
        </w:rPr>
      </w:pPr>
      <w:bookmarkStart w:id="34" w:name="_Toc161130987"/>
      <w:r>
        <w:rPr>
          <w:rFonts w:hint="eastAsia" w:ascii="宋体" w:hAnsi="宋体" w:cs="宋体"/>
          <w:b/>
          <w:bCs/>
          <w:sz w:val="24"/>
          <w:szCs w:val="24"/>
        </w:rPr>
        <w:t>5标准和规范</w:t>
      </w:r>
      <w:bookmarkEnd w:id="34"/>
    </w:p>
    <w:p w14:paraId="04A61EB9">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投标方样品系统和分析机柜/小屋的设计、制作和安装施工，有关技术文件和图纸，应遵循下述标准和规范（如有更新，则以最新版标准和规范执行）</w:t>
      </w:r>
    </w:p>
    <w:p w14:paraId="04A61EBA">
      <w:pPr>
        <w:rPr>
          <w:rFonts w:hint="eastAsia" w:ascii="宋体" w:hAnsi="宋体"/>
          <w:sz w:val="24"/>
          <w:szCs w:val="24"/>
        </w:rPr>
      </w:pPr>
      <w:r>
        <w:rPr>
          <w:rFonts w:hint="eastAsia" w:ascii="宋体" w:hAnsi="宋体"/>
          <w:sz w:val="24"/>
          <w:szCs w:val="24"/>
        </w:rPr>
        <w:sym w:font="Wingdings 2" w:char="F0AE"/>
      </w:r>
      <w:r>
        <w:rPr>
          <w:rFonts w:hint="eastAsia" w:ascii="宋体" w:hAnsi="宋体"/>
          <w:sz w:val="24"/>
          <w:szCs w:val="24"/>
        </w:rPr>
        <w:t>G</w:t>
      </w:r>
      <w:r>
        <w:rPr>
          <w:rFonts w:ascii="宋体" w:hAnsi="宋体"/>
          <w:sz w:val="24"/>
          <w:szCs w:val="24"/>
        </w:rPr>
        <w:t xml:space="preserve">B 3836.01~12-91  </w:t>
      </w:r>
      <w:r>
        <w:rPr>
          <w:rFonts w:hint="eastAsia" w:ascii="宋体" w:hAnsi="宋体"/>
          <w:sz w:val="24"/>
          <w:szCs w:val="24"/>
        </w:rPr>
        <w:t>爆炸性环境用防爆电气设备</w:t>
      </w:r>
    </w:p>
    <w:p w14:paraId="04A61EBB">
      <w:pPr>
        <w:rPr>
          <w:rFonts w:hint="eastAsia" w:ascii="宋体" w:hAnsi="宋体"/>
          <w:sz w:val="24"/>
          <w:szCs w:val="24"/>
        </w:rPr>
      </w:pPr>
      <w:r>
        <w:rPr>
          <w:rFonts w:hint="eastAsia" w:ascii="宋体" w:hAnsi="宋体"/>
          <w:sz w:val="24"/>
          <w:szCs w:val="24"/>
        </w:rPr>
        <w:sym w:font="Wingdings 2" w:char="F0AE"/>
      </w:r>
      <w:r>
        <w:rPr>
          <w:rFonts w:hint="eastAsia" w:ascii="宋体" w:hAnsi="宋体"/>
          <w:sz w:val="24"/>
          <w:szCs w:val="24"/>
        </w:rPr>
        <w:t>G</w:t>
      </w:r>
      <w:r>
        <w:rPr>
          <w:rFonts w:ascii="宋体" w:hAnsi="宋体"/>
          <w:sz w:val="24"/>
          <w:szCs w:val="24"/>
        </w:rPr>
        <w:t xml:space="preserve">B 50058-92  </w:t>
      </w:r>
      <w:r>
        <w:rPr>
          <w:rFonts w:hint="eastAsia" w:ascii="宋体" w:hAnsi="宋体"/>
          <w:sz w:val="24"/>
          <w:szCs w:val="24"/>
        </w:rPr>
        <w:t>爆炸和火灾危险环境电力装置设计规范</w:t>
      </w:r>
    </w:p>
    <w:p w14:paraId="04A61EBC">
      <w:pPr>
        <w:rPr>
          <w:rFonts w:hint="eastAsia" w:ascii="宋体" w:hAnsi="宋体"/>
          <w:sz w:val="24"/>
          <w:szCs w:val="24"/>
        </w:rPr>
      </w:pPr>
      <w:r>
        <w:rPr>
          <w:rFonts w:hint="eastAsia" w:ascii="宋体" w:hAnsi="宋体"/>
          <w:sz w:val="24"/>
          <w:szCs w:val="24"/>
        </w:rPr>
        <w:sym w:font="Wingdings 2" w:char="F0AE"/>
      </w:r>
      <w:r>
        <w:rPr>
          <w:rFonts w:hint="eastAsia" w:ascii="宋体" w:hAnsi="宋体"/>
          <w:sz w:val="24"/>
          <w:szCs w:val="24"/>
        </w:rPr>
        <w:t>I</w:t>
      </w:r>
      <w:r>
        <w:rPr>
          <w:rFonts w:ascii="宋体" w:hAnsi="宋体"/>
          <w:sz w:val="24"/>
          <w:szCs w:val="24"/>
        </w:rPr>
        <w:t xml:space="preserve">SA PR 12.1  </w:t>
      </w:r>
      <w:r>
        <w:rPr>
          <w:rFonts w:hint="eastAsia" w:ascii="宋体" w:hAnsi="宋体"/>
          <w:sz w:val="24"/>
          <w:szCs w:val="24"/>
        </w:rPr>
        <w:t>危险环境中的电动仪表</w:t>
      </w:r>
    </w:p>
    <w:p w14:paraId="04A61EBD">
      <w:pPr>
        <w:rPr>
          <w:rFonts w:hint="eastAsia" w:ascii="宋体" w:hAnsi="宋体"/>
          <w:sz w:val="24"/>
          <w:szCs w:val="24"/>
        </w:rPr>
      </w:pPr>
      <w:r>
        <w:rPr>
          <w:rFonts w:hint="eastAsia" w:ascii="宋体" w:hAnsi="宋体"/>
          <w:sz w:val="24"/>
          <w:szCs w:val="24"/>
        </w:rPr>
        <w:sym w:font="Wingdings 2" w:char="F0AE"/>
      </w:r>
      <w:r>
        <w:rPr>
          <w:rFonts w:hint="eastAsia" w:ascii="宋体" w:hAnsi="宋体"/>
          <w:sz w:val="24"/>
          <w:szCs w:val="24"/>
        </w:rPr>
        <w:t>I</w:t>
      </w:r>
      <w:r>
        <w:rPr>
          <w:rFonts w:ascii="宋体" w:hAnsi="宋体"/>
          <w:sz w:val="24"/>
          <w:szCs w:val="24"/>
        </w:rPr>
        <w:t xml:space="preserve">SA S 12.4  </w:t>
      </w:r>
      <w:r>
        <w:rPr>
          <w:rFonts w:hint="eastAsia" w:ascii="宋体" w:hAnsi="宋体"/>
          <w:sz w:val="24"/>
          <w:szCs w:val="24"/>
        </w:rPr>
        <w:t>用以降低危险区域等级的仪表吹扫</w:t>
      </w:r>
    </w:p>
    <w:p w14:paraId="04A61EBE">
      <w:pPr>
        <w:rPr>
          <w:rFonts w:hint="eastAsia" w:ascii="宋体" w:hAnsi="宋体"/>
          <w:sz w:val="24"/>
          <w:szCs w:val="24"/>
        </w:rPr>
      </w:pPr>
      <w:r>
        <w:rPr>
          <w:rFonts w:hint="eastAsia" w:ascii="宋体" w:hAnsi="宋体"/>
          <w:sz w:val="24"/>
          <w:szCs w:val="24"/>
        </w:rPr>
        <w:sym w:font="Wingdings 2" w:char="F0AE"/>
      </w:r>
      <w:r>
        <w:rPr>
          <w:rFonts w:hint="eastAsia" w:ascii="宋体" w:hAnsi="宋体"/>
          <w:sz w:val="24"/>
          <w:szCs w:val="24"/>
        </w:rPr>
        <w:t>I</w:t>
      </w:r>
      <w:r>
        <w:rPr>
          <w:rFonts w:ascii="宋体" w:hAnsi="宋体"/>
          <w:sz w:val="24"/>
          <w:szCs w:val="24"/>
        </w:rPr>
        <w:t xml:space="preserve">EC 79  </w:t>
      </w:r>
      <w:r>
        <w:rPr>
          <w:rFonts w:hint="eastAsia" w:ascii="宋体" w:hAnsi="宋体"/>
          <w:sz w:val="24"/>
          <w:szCs w:val="24"/>
        </w:rPr>
        <w:t>用于爆炸性气体环境中的电气设备</w:t>
      </w:r>
    </w:p>
    <w:p w14:paraId="04A61EBF">
      <w:pPr>
        <w:rPr>
          <w:rFonts w:hint="eastAsia" w:ascii="宋体" w:hAnsi="宋体"/>
          <w:sz w:val="24"/>
          <w:szCs w:val="24"/>
        </w:rPr>
      </w:pPr>
      <w:r>
        <w:rPr>
          <w:rFonts w:hint="eastAsia" w:ascii="宋体" w:hAnsi="宋体"/>
          <w:sz w:val="24"/>
          <w:szCs w:val="24"/>
        </w:rPr>
        <w:sym w:font="Wingdings 2" w:char="F0AE"/>
      </w:r>
      <w:r>
        <w:rPr>
          <w:rFonts w:hint="eastAsia" w:ascii="宋体" w:hAnsi="宋体"/>
          <w:sz w:val="24"/>
          <w:szCs w:val="24"/>
        </w:rPr>
        <w:t>H</w:t>
      </w:r>
      <w:r>
        <w:rPr>
          <w:rFonts w:ascii="宋体" w:hAnsi="宋体"/>
          <w:sz w:val="24"/>
          <w:szCs w:val="24"/>
        </w:rPr>
        <w:t xml:space="preserve">G/T 20636~20639-1998  </w:t>
      </w:r>
      <w:r>
        <w:rPr>
          <w:rFonts w:hint="eastAsia" w:ascii="宋体" w:hAnsi="宋体"/>
          <w:sz w:val="24"/>
          <w:szCs w:val="24"/>
        </w:rPr>
        <w:t>化工装置自控工程设计规定</w:t>
      </w:r>
    </w:p>
    <w:p w14:paraId="04A61EC0">
      <w:pPr>
        <w:rPr>
          <w:rFonts w:hint="eastAsia" w:ascii="宋体" w:hAnsi="宋体"/>
          <w:sz w:val="24"/>
          <w:szCs w:val="24"/>
        </w:rPr>
      </w:pPr>
      <w:r>
        <w:rPr>
          <w:rFonts w:hint="eastAsia" w:ascii="宋体" w:hAnsi="宋体"/>
          <w:sz w:val="24"/>
          <w:szCs w:val="24"/>
        </w:rPr>
        <w:sym w:font="Wingdings 2" w:char="F0AE"/>
      </w:r>
      <w:r>
        <w:rPr>
          <w:rFonts w:hint="eastAsia" w:ascii="宋体" w:hAnsi="宋体"/>
          <w:sz w:val="24"/>
          <w:szCs w:val="24"/>
        </w:rPr>
        <w:t>E</w:t>
      </w:r>
      <w:r>
        <w:rPr>
          <w:rFonts w:ascii="宋体" w:hAnsi="宋体"/>
          <w:sz w:val="24"/>
          <w:szCs w:val="24"/>
        </w:rPr>
        <w:t>EMUA N</w:t>
      </w:r>
      <w:r>
        <w:rPr>
          <w:rFonts w:hint="eastAsia" w:ascii="宋体" w:hAnsi="宋体"/>
          <w:sz w:val="24"/>
          <w:szCs w:val="24"/>
        </w:rPr>
        <w:t>o.</w:t>
      </w:r>
      <w:r>
        <w:rPr>
          <w:rFonts w:ascii="宋体" w:hAnsi="宋体"/>
          <w:sz w:val="24"/>
          <w:szCs w:val="24"/>
        </w:rPr>
        <w:t xml:space="preserve">138  </w:t>
      </w:r>
      <w:r>
        <w:rPr>
          <w:rFonts w:hint="eastAsia" w:ascii="宋体" w:hAnsi="宋体"/>
          <w:sz w:val="24"/>
          <w:szCs w:val="24"/>
        </w:rPr>
        <w:t>在线分析仪系统的设计和安装</w:t>
      </w:r>
    </w:p>
    <w:p w14:paraId="04A61EC1">
      <w:pPr>
        <w:rPr>
          <w:rFonts w:hint="eastAsia" w:ascii="宋体" w:hAnsi="宋体"/>
          <w:sz w:val="24"/>
          <w:szCs w:val="24"/>
        </w:rPr>
      </w:pPr>
      <w:r>
        <w:rPr>
          <w:rFonts w:hint="eastAsia" w:ascii="宋体" w:hAnsi="宋体"/>
          <w:sz w:val="24"/>
          <w:szCs w:val="24"/>
        </w:rPr>
        <w:sym w:font="Wingdings 2" w:char="F0AE"/>
      </w:r>
      <w:r>
        <w:rPr>
          <w:rFonts w:hint="eastAsia" w:ascii="宋体" w:hAnsi="宋体"/>
          <w:sz w:val="24"/>
          <w:szCs w:val="24"/>
        </w:rPr>
        <w:t>S</w:t>
      </w:r>
      <w:r>
        <w:rPr>
          <w:rFonts w:ascii="宋体" w:hAnsi="宋体"/>
          <w:sz w:val="24"/>
          <w:szCs w:val="24"/>
        </w:rPr>
        <w:t xml:space="preserve">H/T3006-1999  </w:t>
      </w:r>
      <w:r>
        <w:rPr>
          <w:rFonts w:hint="eastAsia" w:ascii="宋体" w:hAnsi="宋体"/>
          <w:sz w:val="24"/>
          <w:szCs w:val="24"/>
        </w:rPr>
        <w:t>石油化工控制室和自动分析器室设计规范</w:t>
      </w:r>
    </w:p>
    <w:p w14:paraId="04A61EC2">
      <w:pPr>
        <w:rPr>
          <w:rFonts w:hint="eastAsia" w:ascii="宋体" w:hAnsi="宋体"/>
          <w:sz w:val="24"/>
          <w:szCs w:val="24"/>
        </w:rPr>
      </w:pPr>
      <w:r>
        <w:rPr>
          <w:rFonts w:hint="eastAsia" w:ascii="宋体" w:hAnsi="宋体"/>
          <w:sz w:val="24"/>
          <w:szCs w:val="24"/>
        </w:rPr>
        <w:sym w:font="Wingdings 2" w:char="F0AE"/>
      </w:r>
      <w:r>
        <w:rPr>
          <w:rFonts w:hint="eastAsia" w:ascii="宋体" w:hAnsi="宋体"/>
          <w:sz w:val="24"/>
          <w:szCs w:val="24"/>
        </w:rPr>
        <w:t>G</w:t>
      </w:r>
      <w:r>
        <w:rPr>
          <w:rFonts w:ascii="宋体" w:hAnsi="宋体"/>
          <w:sz w:val="24"/>
          <w:szCs w:val="24"/>
        </w:rPr>
        <w:t xml:space="preserve">B50160-92  </w:t>
      </w:r>
      <w:r>
        <w:rPr>
          <w:rFonts w:hint="eastAsia" w:ascii="宋体" w:hAnsi="宋体"/>
          <w:sz w:val="24"/>
          <w:szCs w:val="24"/>
        </w:rPr>
        <w:t>石油化工企业设计防火规范</w:t>
      </w:r>
    </w:p>
    <w:p w14:paraId="04A61EC3">
      <w:pPr>
        <w:rPr>
          <w:rFonts w:hint="eastAsia" w:ascii="宋体" w:hAnsi="宋体"/>
          <w:sz w:val="24"/>
          <w:szCs w:val="24"/>
        </w:rPr>
      </w:pPr>
      <w:r>
        <w:rPr>
          <w:rFonts w:hint="eastAsia" w:ascii="宋体" w:hAnsi="宋体"/>
          <w:sz w:val="24"/>
          <w:szCs w:val="24"/>
        </w:rPr>
        <w:sym w:font="Wingdings 2" w:char="F0AE"/>
      </w:r>
      <w:r>
        <w:rPr>
          <w:rFonts w:hint="eastAsia" w:ascii="宋体" w:hAnsi="宋体"/>
          <w:sz w:val="24"/>
          <w:szCs w:val="24"/>
        </w:rPr>
        <w:t>H</w:t>
      </w:r>
      <w:r>
        <w:rPr>
          <w:rFonts w:ascii="宋体" w:hAnsi="宋体"/>
          <w:sz w:val="24"/>
          <w:szCs w:val="24"/>
        </w:rPr>
        <w:t xml:space="preserve">G20505-2000  </w:t>
      </w:r>
      <w:r>
        <w:rPr>
          <w:rFonts w:hint="eastAsia" w:ascii="宋体" w:hAnsi="宋体"/>
          <w:sz w:val="24"/>
          <w:szCs w:val="24"/>
        </w:rPr>
        <w:t>过程检测和控制系统用文字代号和图形符号</w:t>
      </w:r>
    </w:p>
    <w:p w14:paraId="04A61EC4">
      <w:pPr>
        <w:rPr>
          <w:rFonts w:hint="eastAsia" w:ascii="宋体" w:hAnsi="宋体"/>
          <w:sz w:val="24"/>
          <w:szCs w:val="24"/>
        </w:rPr>
      </w:pPr>
      <w:r>
        <w:rPr>
          <w:rFonts w:hint="eastAsia" w:ascii="宋体" w:hAnsi="宋体"/>
          <w:sz w:val="24"/>
          <w:szCs w:val="24"/>
        </w:rPr>
        <w:sym w:font="Wingdings 2" w:char="F0AE"/>
      </w:r>
      <w:r>
        <w:rPr>
          <w:rFonts w:hint="eastAsia" w:ascii="宋体" w:hAnsi="宋体"/>
          <w:sz w:val="24"/>
          <w:szCs w:val="24"/>
        </w:rPr>
        <w:t>H</w:t>
      </w:r>
      <w:r>
        <w:rPr>
          <w:rFonts w:ascii="宋体" w:hAnsi="宋体"/>
          <w:sz w:val="24"/>
          <w:szCs w:val="24"/>
        </w:rPr>
        <w:t xml:space="preserve">G/T 20416-2000  </w:t>
      </w:r>
      <w:r>
        <w:rPr>
          <w:rFonts w:hint="eastAsia" w:ascii="宋体" w:hAnsi="宋体"/>
          <w:sz w:val="24"/>
          <w:szCs w:val="24"/>
        </w:rPr>
        <w:t>自动分析器室设计规范</w:t>
      </w:r>
    </w:p>
    <w:p w14:paraId="04A61EC5">
      <w:pPr>
        <w:rPr>
          <w:rFonts w:hint="eastAsia" w:ascii="宋体" w:hAnsi="宋体"/>
          <w:sz w:val="24"/>
          <w:szCs w:val="24"/>
        </w:rPr>
      </w:pPr>
      <w:r>
        <w:rPr>
          <w:rFonts w:hint="eastAsia" w:ascii="宋体" w:hAnsi="宋体"/>
          <w:sz w:val="24"/>
          <w:szCs w:val="24"/>
        </w:rPr>
        <w:sym w:font="Wingdings 2" w:char="F0AE"/>
      </w:r>
      <w:r>
        <w:rPr>
          <w:rFonts w:hint="eastAsia" w:ascii="宋体" w:hAnsi="宋体"/>
          <w:sz w:val="24"/>
          <w:szCs w:val="24"/>
        </w:rPr>
        <w:t>S</w:t>
      </w:r>
      <w:r>
        <w:rPr>
          <w:rFonts w:ascii="宋体" w:hAnsi="宋体"/>
          <w:sz w:val="24"/>
          <w:szCs w:val="24"/>
        </w:rPr>
        <w:t xml:space="preserve">H/T 3019-2003  </w:t>
      </w:r>
      <w:r>
        <w:rPr>
          <w:rFonts w:hint="eastAsia" w:ascii="宋体" w:hAnsi="宋体"/>
          <w:sz w:val="24"/>
          <w:szCs w:val="24"/>
        </w:rPr>
        <w:t>石油化工仪表管道线路设计规范</w:t>
      </w:r>
    </w:p>
    <w:p w14:paraId="04A61EC6">
      <w:pPr>
        <w:rPr>
          <w:rFonts w:hint="eastAsia" w:ascii="宋体" w:hAnsi="宋体"/>
          <w:sz w:val="24"/>
          <w:szCs w:val="24"/>
        </w:rPr>
      </w:pPr>
      <w:r>
        <w:rPr>
          <w:rFonts w:hint="eastAsia" w:ascii="宋体" w:hAnsi="宋体"/>
          <w:sz w:val="24"/>
          <w:szCs w:val="24"/>
        </w:rPr>
        <w:sym w:font="Wingdings 2" w:char="F0AE"/>
      </w:r>
      <w:r>
        <w:rPr>
          <w:rFonts w:hint="eastAsia" w:ascii="宋体" w:hAnsi="宋体"/>
          <w:sz w:val="24"/>
          <w:szCs w:val="24"/>
        </w:rPr>
        <w:t>S</w:t>
      </w:r>
      <w:r>
        <w:rPr>
          <w:rFonts w:ascii="宋体" w:hAnsi="宋体"/>
          <w:sz w:val="24"/>
          <w:szCs w:val="24"/>
        </w:rPr>
        <w:t xml:space="preserve">H/T 3081-2003  </w:t>
      </w:r>
      <w:r>
        <w:rPr>
          <w:rFonts w:hint="eastAsia" w:ascii="宋体" w:hAnsi="宋体"/>
          <w:sz w:val="24"/>
          <w:szCs w:val="24"/>
        </w:rPr>
        <w:t>石油化工仪表接地设计规范</w:t>
      </w:r>
    </w:p>
    <w:p w14:paraId="04A61EC7">
      <w:pPr>
        <w:rPr>
          <w:rFonts w:hint="eastAsia" w:ascii="宋体" w:hAnsi="宋体"/>
          <w:sz w:val="24"/>
          <w:szCs w:val="24"/>
        </w:rPr>
      </w:pPr>
      <w:r>
        <w:rPr>
          <w:rFonts w:hint="eastAsia" w:ascii="宋体" w:hAnsi="宋体"/>
          <w:sz w:val="24"/>
          <w:szCs w:val="24"/>
        </w:rPr>
        <w:sym w:font="Wingdings 2" w:char="F0AE"/>
      </w:r>
      <w:r>
        <w:rPr>
          <w:rFonts w:hint="eastAsia" w:ascii="宋体" w:hAnsi="宋体"/>
          <w:sz w:val="24"/>
          <w:szCs w:val="24"/>
        </w:rPr>
        <w:t>S</w:t>
      </w:r>
      <w:r>
        <w:rPr>
          <w:rFonts w:ascii="宋体" w:hAnsi="宋体"/>
          <w:sz w:val="24"/>
          <w:szCs w:val="24"/>
        </w:rPr>
        <w:t xml:space="preserve">H/T 3018-2003  </w:t>
      </w:r>
      <w:r>
        <w:rPr>
          <w:rFonts w:hint="eastAsia" w:ascii="宋体" w:hAnsi="宋体"/>
          <w:sz w:val="24"/>
          <w:szCs w:val="24"/>
        </w:rPr>
        <w:t>石油化工安全仪表系统设计规范</w:t>
      </w:r>
    </w:p>
    <w:p w14:paraId="04A61EC8">
      <w:pPr>
        <w:rPr>
          <w:rFonts w:hint="eastAsia" w:ascii="宋体" w:hAnsi="宋体"/>
          <w:sz w:val="24"/>
          <w:szCs w:val="24"/>
        </w:rPr>
      </w:pPr>
      <w:r>
        <w:rPr>
          <w:rFonts w:hint="eastAsia" w:ascii="宋体" w:hAnsi="宋体"/>
          <w:sz w:val="24"/>
          <w:szCs w:val="24"/>
        </w:rPr>
        <w:sym w:font="Wingdings 2" w:char="F0AE"/>
      </w:r>
      <w:r>
        <w:rPr>
          <w:rFonts w:hint="eastAsia" w:ascii="宋体" w:hAnsi="宋体"/>
          <w:sz w:val="24"/>
          <w:szCs w:val="24"/>
        </w:rPr>
        <w:t>S</w:t>
      </w:r>
      <w:r>
        <w:rPr>
          <w:rFonts w:ascii="宋体" w:hAnsi="宋体"/>
          <w:sz w:val="24"/>
          <w:szCs w:val="24"/>
        </w:rPr>
        <w:t xml:space="preserve">H/T 3063-1999  </w:t>
      </w:r>
      <w:r>
        <w:rPr>
          <w:rFonts w:hint="eastAsia" w:ascii="宋体" w:hAnsi="宋体"/>
          <w:sz w:val="24"/>
          <w:szCs w:val="24"/>
        </w:rPr>
        <w:t>石油化工企业可燃气体检测报警设计规范</w:t>
      </w:r>
    </w:p>
    <w:p w14:paraId="04A61EC9">
      <w:pPr>
        <w:rPr>
          <w:rFonts w:hint="eastAsia" w:ascii="宋体" w:hAnsi="宋体"/>
          <w:sz w:val="24"/>
          <w:szCs w:val="24"/>
        </w:rPr>
      </w:pPr>
      <w:r>
        <w:rPr>
          <w:rFonts w:hint="eastAsia" w:ascii="宋体" w:hAnsi="宋体"/>
          <w:sz w:val="24"/>
          <w:szCs w:val="24"/>
        </w:rPr>
        <w:sym w:font="Wingdings 2" w:char="F0AE"/>
      </w:r>
      <w:r>
        <w:rPr>
          <w:rFonts w:ascii="宋体" w:hAnsi="宋体"/>
          <w:sz w:val="24"/>
          <w:szCs w:val="24"/>
        </w:rPr>
        <w:t xml:space="preserve">GB 50493-2009 </w:t>
      </w:r>
      <w:r>
        <w:rPr>
          <w:rFonts w:hint="eastAsia" w:ascii="宋体" w:hAnsi="宋体"/>
          <w:sz w:val="24"/>
          <w:szCs w:val="24"/>
        </w:rPr>
        <w:t>石油化工可燃气体和有毒气体检测报警设计规范</w:t>
      </w:r>
    </w:p>
    <w:p w14:paraId="04A61ECA">
      <w:pPr>
        <w:rPr>
          <w:rFonts w:hint="eastAsia" w:ascii="宋体" w:hAnsi="宋体"/>
          <w:sz w:val="24"/>
          <w:szCs w:val="24"/>
        </w:rPr>
      </w:pPr>
      <w:r>
        <w:rPr>
          <w:rFonts w:hint="eastAsia" w:ascii="宋体" w:hAnsi="宋体"/>
          <w:sz w:val="24"/>
          <w:szCs w:val="24"/>
        </w:rPr>
        <w:sym w:font="Wingdings 2" w:char="F0AE"/>
      </w:r>
      <w:r>
        <w:rPr>
          <w:rFonts w:ascii="宋体" w:hAnsi="宋体"/>
          <w:sz w:val="24"/>
          <w:szCs w:val="24"/>
        </w:rPr>
        <w:t xml:space="preserve">GB/T 11640 </w:t>
      </w:r>
      <w:r>
        <w:rPr>
          <w:rFonts w:hint="eastAsia" w:ascii="宋体" w:hAnsi="宋体"/>
          <w:sz w:val="24"/>
          <w:szCs w:val="24"/>
        </w:rPr>
        <w:t>铝合金无缝钢瓶</w:t>
      </w:r>
    </w:p>
    <w:p w14:paraId="04A61ECB">
      <w:pPr>
        <w:rPr>
          <w:rFonts w:hint="eastAsia" w:ascii="宋体" w:hAnsi="宋体"/>
          <w:sz w:val="24"/>
          <w:szCs w:val="24"/>
        </w:rPr>
      </w:pPr>
      <w:r>
        <w:rPr>
          <w:rFonts w:hint="eastAsia" w:ascii="宋体" w:hAnsi="宋体"/>
          <w:sz w:val="24"/>
          <w:szCs w:val="24"/>
        </w:rPr>
        <w:sym w:font="Wingdings 2" w:char="F0AE"/>
      </w:r>
    </w:p>
    <w:p w14:paraId="04A61ECC">
      <w:pPr>
        <w:rPr>
          <w:rFonts w:hint="eastAsia" w:ascii="宋体" w:hAnsi="宋体"/>
          <w:sz w:val="24"/>
          <w:szCs w:val="24"/>
        </w:rPr>
      </w:pPr>
    </w:p>
    <w:p w14:paraId="04A61ECD">
      <w:pPr>
        <w:rPr>
          <w:rFonts w:hint="eastAsia" w:ascii="宋体" w:hAnsi="宋体"/>
          <w:b/>
          <w:bCs/>
          <w:sz w:val="24"/>
          <w:szCs w:val="24"/>
        </w:rPr>
      </w:pPr>
      <w:r>
        <w:rPr>
          <w:rFonts w:hint="eastAsia" w:ascii="宋体" w:hAnsi="宋体"/>
          <w:b/>
          <w:bCs/>
          <w:sz w:val="24"/>
          <w:szCs w:val="24"/>
        </w:rPr>
        <w:t>6基础设计数据</w:t>
      </w:r>
    </w:p>
    <w:tbl>
      <w:tblPr>
        <w:tblStyle w:val="21"/>
        <w:tblW w:w="85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3310"/>
        <w:gridCol w:w="2843"/>
      </w:tblGrid>
      <w:tr w14:paraId="04A61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Merge w:val="restart"/>
          </w:tcPr>
          <w:p w14:paraId="04A61ECE">
            <w:pPr>
              <w:jc w:val="center"/>
              <w:rPr>
                <w:rFonts w:hint="eastAsia" w:ascii="宋体" w:hAnsi="宋体"/>
                <w:sz w:val="24"/>
                <w:szCs w:val="24"/>
              </w:rPr>
            </w:pPr>
            <w:r>
              <w:rPr>
                <w:rFonts w:hint="eastAsia" w:ascii="宋体" w:hAnsi="宋体"/>
                <w:sz w:val="24"/>
                <w:szCs w:val="24"/>
              </w:rPr>
              <w:t>环境温度</w:t>
            </w:r>
          </w:p>
        </w:tc>
        <w:tc>
          <w:tcPr>
            <w:tcW w:w="3310" w:type="dxa"/>
          </w:tcPr>
          <w:p w14:paraId="04A61ECF">
            <w:pPr>
              <w:rPr>
                <w:rFonts w:hint="eastAsia" w:ascii="宋体" w:hAnsi="宋体"/>
                <w:sz w:val="24"/>
                <w:szCs w:val="24"/>
              </w:rPr>
            </w:pPr>
            <w:r>
              <w:rPr>
                <w:rFonts w:hint="eastAsia" w:ascii="宋体" w:hAnsi="宋体"/>
                <w:sz w:val="24"/>
                <w:szCs w:val="24"/>
              </w:rPr>
              <w:t>极端最高温度</w:t>
            </w:r>
          </w:p>
        </w:tc>
        <w:tc>
          <w:tcPr>
            <w:tcW w:w="2843" w:type="dxa"/>
          </w:tcPr>
          <w:p w14:paraId="04A61ED0">
            <w:pPr>
              <w:rPr>
                <w:rFonts w:hint="eastAsia" w:ascii="宋体" w:hAnsi="宋体"/>
                <w:sz w:val="24"/>
                <w:szCs w:val="24"/>
              </w:rPr>
            </w:pPr>
            <w:r>
              <w:rPr>
                <w:rFonts w:hint="eastAsia" w:ascii="宋体" w:hAnsi="宋体"/>
                <w:sz w:val="24"/>
                <w:szCs w:val="24"/>
              </w:rPr>
              <w:t>3</w:t>
            </w:r>
            <w:r>
              <w:rPr>
                <w:rFonts w:ascii="宋体" w:hAnsi="宋体"/>
                <w:sz w:val="24"/>
                <w:szCs w:val="24"/>
              </w:rPr>
              <w:t>9.4</w:t>
            </w:r>
            <w:r>
              <w:rPr>
                <w:rFonts w:hint="eastAsia" w:ascii="宋体" w:hAnsi="宋体"/>
                <w:sz w:val="24"/>
                <w:szCs w:val="24"/>
              </w:rPr>
              <w:t>℃</w:t>
            </w:r>
          </w:p>
        </w:tc>
      </w:tr>
      <w:tr w14:paraId="04A61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Merge w:val="continue"/>
          </w:tcPr>
          <w:p w14:paraId="04A61ED2">
            <w:pPr>
              <w:rPr>
                <w:rFonts w:hint="eastAsia" w:ascii="宋体" w:hAnsi="宋体"/>
                <w:sz w:val="24"/>
                <w:szCs w:val="24"/>
              </w:rPr>
            </w:pPr>
          </w:p>
        </w:tc>
        <w:tc>
          <w:tcPr>
            <w:tcW w:w="3310" w:type="dxa"/>
          </w:tcPr>
          <w:p w14:paraId="04A61ED3">
            <w:pPr>
              <w:rPr>
                <w:rFonts w:hint="eastAsia" w:ascii="宋体" w:hAnsi="宋体"/>
                <w:sz w:val="24"/>
                <w:szCs w:val="24"/>
              </w:rPr>
            </w:pPr>
            <w:r>
              <w:rPr>
                <w:rFonts w:hint="eastAsia" w:ascii="宋体" w:hAnsi="宋体"/>
                <w:sz w:val="24"/>
                <w:szCs w:val="24"/>
              </w:rPr>
              <w:t>极端最低温度</w:t>
            </w:r>
          </w:p>
        </w:tc>
        <w:tc>
          <w:tcPr>
            <w:tcW w:w="2843" w:type="dxa"/>
          </w:tcPr>
          <w:p w14:paraId="04A61ED4">
            <w:pPr>
              <w:rPr>
                <w:rFonts w:hint="eastAsia" w:ascii="宋体" w:hAnsi="宋体"/>
                <w:sz w:val="24"/>
                <w:szCs w:val="24"/>
              </w:rPr>
            </w:pPr>
            <w:r>
              <w:rPr>
                <w:rFonts w:hint="eastAsia" w:ascii="宋体" w:hAnsi="宋体"/>
                <w:sz w:val="24"/>
                <w:szCs w:val="24"/>
              </w:rPr>
              <w:t>-</w:t>
            </w:r>
            <w:r>
              <w:rPr>
                <w:rFonts w:ascii="宋体" w:hAnsi="宋体"/>
                <w:sz w:val="24"/>
                <w:szCs w:val="24"/>
              </w:rPr>
              <w:t>10.7</w:t>
            </w:r>
            <w:r>
              <w:rPr>
                <w:rFonts w:hint="eastAsia" w:ascii="宋体" w:hAnsi="宋体"/>
                <w:sz w:val="24"/>
                <w:szCs w:val="24"/>
              </w:rPr>
              <w:t>℃</w:t>
            </w:r>
          </w:p>
        </w:tc>
      </w:tr>
      <w:tr w14:paraId="04A61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14:paraId="04A61ED6">
            <w:pPr>
              <w:rPr>
                <w:rFonts w:hint="eastAsia" w:ascii="宋体" w:hAnsi="宋体"/>
                <w:sz w:val="24"/>
                <w:szCs w:val="24"/>
              </w:rPr>
            </w:pPr>
            <w:r>
              <w:rPr>
                <w:rFonts w:hint="eastAsia" w:ascii="宋体" w:hAnsi="宋体"/>
                <w:sz w:val="24"/>
                <w:szCs w:val="24"/>
              </w:rPr>
              <w:t>湿度</w:t>
            </w:r>
          </w:p>
        </w:tc>
        <w:tc>
          <w:tcPr>
            <w:tcW w:w="3310" w:type="dxa"/>
          </w:tcPr>
          <w:p w14:paraId="04A61ED7">
            <w:pPr>
              <w:rPr>
                <w:rFonts w:hint="eastAsia" w:ascii="宋体" w:hAnsi="宋体"/>
                <w:sz w:val="24"/>
                <w:szCs w:val="24"/>
              </w:rPr>
            </w:pPr>
            <w:r>
              <w:rPr>
                <w:rFonts w:hint="eastAsia" w:ascii="宋体" w:hAnsi="宋体"/>
                <w:sz w:val="24"/>
                <w:szCs w:val="24"/>
              </w:rPr>
              <w:t>最高湿度</w:t>
            </w:r>
          </w:p>
        </w:tc>
        <w:tc>
          <w:tcPr>
            <w:tcW w:w="2843" w:type="dxa"/>
          </w:tcPr>
          <w:p w14:paraId="04A61ED8">
            <w:pPr>
              <w:rPr>
                <w:rFonts w:hint="eastAsia" w:ascii="宋体" w:hAnsi="宋体"/>
                <w:sz w:val="24"/>
                <w:szCs w:val="24"/>
              </w:rPr>
            </w:pPr>
            <w:r>
              <w:rPr>
                <w:rFonts w:hint="eastAsia" w:ascii="宋体" w:hAnsi="宋体"/>
                <w:sz w:val="24"/>
                <w:szCs w:val="24"/>
              </w:rPr>
              <w:t>8</w:t>
            </w:r>
            <w:r>
              <w:rPr>
                <w:rFonts w:ascii="宋体" w:hAnsi="宋体"/>
                <w:sz w:val="24"/>
                <w:szCs w:val="24"/>
              </w:rPr>
              <w:t>1%</w:t>
            </w:r>
          </w:p>
        </w:tc>
      </w:tr>
      <w:tr w14:paraId="04A61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14:paraId="04A61EDA">
            <w:pPr>
              <w:rPr>
                <w:rFonts w:hint="eastAsia" w:ascii="宋体" w:hAnsi="宋体"/>
                <w:sz w:val="24"/>
                <w:szCs w:val="24"/>
              </w:rPr>
            </w:pPr>
            <w:r>
              <w:rPr>
                <w:rFonts w:hint="eastAsia" w:ascii="宋体" w:hAnsi="宋体"/>
                <w:sz w:val="24"/>
                <w:szCs w:val="24"/>
              </w:rPr>
              <w:t>操作条件</w:t>
            </w:r>
          </w:p>
        </w:tc>
        <w:tc>
          <w:tcPr>
            <w:tcW w:w="3310" w:type="dxa"/>
          </w:tcPr>
          <w:p w14:paraId="04A61EDB">
            <w:pPr>
              <w:rPr>
                <w:rFonts w:hint="eastAsia" w:ascii="宋体" w:hAnsi="宋体"/>
                <w:sz w:val="24"/>
                <w:szCs w:val="24"/>
              </w:rPr>
            </w:pPr>
          </w:p>
        </w:tc>
        <w:tc>
          <w:tcPr>
            <w:tcW w:w="2843" w:type="dxa"/>
          </w:tcPr>
          <w:p w14:paraId="04A61EDC">
            <w:pPr>
              <w:rPr>
                <w:rFonts w:hint="eastAsia" w:ascii="宋体" w:hAnsi="宋体"/>
                <w:sz w:val="24"/>
                <w:szCs w:val="24"/>
              </w:rPr>
            </w:pPr>
          </w:p>
        </w:tc>
      </w:tr>
      <w:tr w14:paraId="04A61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14:paraId="04A61EDE">
            <w:pPr>
              <w:rPr>
                <w:rFonts w:hint="eastAsia" w:ascii="宋体" w:hAnsi="宋体"/>
                <w:sz w:val="24"/>
                <w:szCs w:val="24"/>
              </w:rPr>
            </w:pPr>
            <w:r>
              <w:rPr>
                <w:rFonts w:hint="eastAsia" w:ascii="宋体" w:hAnsi="宋体"/>
                <w:sz w:val="24"/>
                <w:szCs w:val="24"/>
              </w:rPr>
              <w:t>仪表供电</w:t>
            </w:r>
          </w:p>
        </w:tc>
        <w:tc>
          <w:tcPr>
            <w:tcW w:w="3310" w:type="dxa"/>
          </w:tcPr>
          <w:p w14:paraId="04A61EDF">
            <w:pPr>
              <w:rPr>
                <w:rFonts w:hint="eastAsia" w:ascii="宋体" w:hAnsi="宋体"/>
                <w:sz w:val="24"/>
                <w:szCs w:val="24"/>
              </w:rPr>
            </w:pPr>
            <w:r>
              <w:rPr>
                <w:rFonts w:hint="eastAsia" w:ascii="宋体" w:hAnsi="宋体"/>
                <w:sz w:val="24"/>
                <w:szCs w:val="24"/>
              </w:rPr>
              <w:t>2</w:t>
            </w:r>
            <w:r>
              <w:rPr>
                <w:rFonts w:ascii="宋体" w:hAnsi="宋体"/>
                <w:sz w:val="24"/>
                <w:szCs w:val="24"/>
              </w:rPr>
              <w:t>20VAC</w:t>
            </w:r>
            <w:r>
              <w:rPr>
                <w:rFonts w:hint="eastAsia" w:ascii="宋体" w:hAnsi="宋体"/>
                <w:sz w:val="24"/>
                <w:szCs w:val="24"/>
              </w:rPr>
              <w:t>±</w:t>
            </w:r>
            <w:r>
              <w:rPr>
                <w:rFonts w:ascii="宋体" w:hAnsi="宋体"/>
                <w:sz w:val="24"/>
                <w:szCs w:val="24"/>
              </w:rPr>
              <w:t>10% 50H</w:t>
            </w:r>
            <w:r>
              <w:rPr>
                <w:rFonts w:hint="eastAsia" w:ascii="宋体" w:hAnsi="宋体"/>
                <w:sz w:val="24"/>
                <w:szCs w:val="24"/>
              </w:rPr>
              <w:t>z±</w:t>
            </w:r>
            <w:r>
              <w:rPr>
                <w:rFonts w:ascii="宋体" w:hAnsi="宋体"/>
                <w:sz w:val="24"/>
                <w:szCs w:val="24"/>
              </w:rPr>
              <w:t>0.5H</w:t>
            </w:r>
            <w:r>
              <w:rPr>
                <w:rFonts w:hint="eastAsia" w:ascii="宋体" w:hAnsi="宋体"/>
                <w:sz w:val="24"/>
                <w:szCs w:val="24"/>
              </w:rPr>
              <w:t>z</w:t>
            </w:r>
          </w:p>
        </w:tc>
        <w:tc>
          <w:tcPr>
            <w:tcW w:w="2843" w:type="dxa"/>
          </w:tcPr>
          <w:p w14:paraId="04A61EE0">
            <w:pPr>
              <w:rPr>
                <w:rFonts w:hint="eastAsia" w:ascii="宋体" w:hAnsi="宋体"/>
                <w:sz w:val="24"/>
                <w:szCs w:val="24"/>
              </w:rPr>
            </w:pPr>
          </w:p>
        </w:tc>
      </w:tr>
      <w:tr w14:paraId="04A61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14:paraId="04A61EE2">
            <w:pPr>
              <w:rPr>
                <w:rFonts w:hint="eastAsia" w:ascii="宋体" w:hAnsi="宋体"/>
                <w:sz w:val="24"/>
                <w:szCs w:val="24"/>
              </w:rPr>
            </w:pPr>
            <w:r>
              <w:rPr>
                <w:rFonts w:hint="eastAsia" w:ascii="宋体" w:hAnsi="宋体"/>
                <w:sz w:val="24"/>
                <w:szCs w:val="24"/>
              </w:rPr>
              <w:t>公用供电</w:t>
            </w:r>
          </w:p>
        </w:tc>
        <w:tc>
          <w:tcPr>
            <w:tcW w:w="3310" w:type="dxa"/>
          </w:tcPr>
          <w:p w14:paraId="04A61EE3">
            <w:pPr>
              <w:rPr>
                <w:rFonts w:hint="eastAsia" w:ascii="宋体" w:hAnsi="宋体"/>
                <w:sz w:val="24"/>
                <w:szCs w:val="24"/>
              </w:rPr>
            </w:pPr>
            <w:r>
              <w:rPr>
                <w:rFonts w:hint="eastAsia" w:ascii="宋体" w:hAnsi="宋体"/>
                <w:sz w:val="24"/>
                <w:szCs w:val="24"/>
              </w:rPr>
              <w:t>2</w:t>
            </w:r>
            <w:r>
              <w:rPr>
                <w:rFonts w:ascii="宋体" w:hAnsi="宋体"/>
                <w:sz w:val="24"/>
                <w:szCs w:val="24"/>
              </w:rPr>
              <w:t>20VAC</w:t>
            </w:r>
            <w:r>
              <w:rPr>
                <w:rFonts w:hint="eastAsia" w:ascii="宋体" w:hAnsi="宋体"/>
                <w:sz w:val="24"/>
                <w:szCs w:val="24"/>
              </w:rPr>
              <w:t>±</w:t>
            </w:r>
            <w:r>
              <w:rPr>
                <w:rFonts w:ascii="宋体" w:hAnsi="宋体"/>
                <w:sz w:val="24"/>
                <w:szCs w:val="24"/>
              </w:rPr>
              <w:t>10% 50H</w:t>
            </w:r>
            <w:r>
              <w:rPr>
                <w:rFonts w:hint="eastAsia" w:ascii="宋体" w:hAnsi="宋体"/>
                <w:sz w:val="24"/>
                <w:szCs w:val="24"/>
              </w:rPr>
              <w:t>z</w:t>
            </w:r>
          </w:p>
        </w:tc>
        <w:tc>
          <w:tcPr>
            <w:tcW w:w="2843" w:type="dxa"/>
          </w:tcPr>
          <w:p w14:paraId="04A61EE4">
            <w:pPr>
              <w:rPr>
                <w:rFonts w:hint="eastAsia" w:ascii="宋体" w:hAnsi="宋体"/>
                <w:sz w:val="24"/>
                <w:szCs w:val="24"/>
              </w:rPr>
            </w:pPr>
          </w:p>
        </w:tc>
      </w:tr>
      <w:tr w14:paraId="04A61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14:paraId="04A61EE6">
            <w:pPr>
              <w:rPr>
                <w:rFonts w:hint="eastAsia" w:ascii="宋体" w:hAnsi="宋体"/>
                <w:sz w:val="24"/>
                <w:szCs w:val="24"/>
              </w:rPr>
            </w:pPr>
            <w:r>
              <w:rPr>
                <w:rFonts w:hint="eastAsia" w:ascii="宋体" w:hAnsi="宋体"/>
                <w:sz w:val="24"/>
                <w:szCs w:val="24"/>
              </w:rPr>
              <w:t>仪表空气</w:t>
            </w:r>
          </w:p>
        </w:tc>
        <w:tc>
          <w:tcPr>
            <w:tcW w:w="3310" w:type="dxa"/>
          </w:tcPr>
          <w:p w14:paraId="04A61EE7">
            <w:pPr>
              <w:rPr>
                <w:rFonts w:hint="eastAsia" w:ascii="宋体" w:hAnsi="宋体"/>
                <w:sz w:val="24"/>
                <w:szCs w:val="24"/>
              </w:rPr>
            </w:pPr>
            <w:r>
              <w:rPr>
                <w:rFonts w:hint="eastAsia" w:ascii="宋体" w:hAnsi="宋体"/>
                <w:sz w:val="24"/>
                <w:szCs w:val="24"/>
              </w:rPr>
              <w:t>0</w:t>
            </w:r>
            <w:r>
              <w:rPr>
                <w:rFonts w:ascii="宋体" w:hAnsi="宋体"/>
                <w:sz w:val="24"/>
                <w:szCs w:val="24"/>
              </w:rPr>
              <w:t>.45~0.6MP</w:t>
            </w:r>
            <w:r>
              <w:rPr>
                <w:rFonts w:hint="eastAsia" w:ascii="宋体" w:hAnsi="宋体"/>
                <w:sz w:val="24"/>
                <w:szCs w:val="24"/>
              </w:rPr>
              <w:t>a</w:t>
            </w:r>
            <w:r>
              <w:rPr>
                <w:rFonts w:ascii="宋体" w:hAnsi="宋体"/>
                <w:sz w:val="24"/>
                <w:szCs w:val="24"/>
              </w:rPr>
              <w:t>G</w:t>
            </w:r>
          </w:p>
        </w:tc>
        <w:tc>
          <w:tcPr>
            <w:tcW w:w="2843" w:type="dxa"/>
          </w:tcPr>
          <w:p w14:paraId="04A61EE8">
            <w:pPr>
              <w:rPr>
                <w:rFonts w:hint="eastAsia" w:ascii="宋体" w:hAnsi="宋体"/>
                <w:sz w:val="24"/>
                <w:szCs w:val="24"/>
              </w:rPr>
            </w:pPr>
            <w:r>
              <w:rPr>
                <w:rFonts w:hint="eastAsia" w:ascii="宋体" w:hAnsi="宋体"/>
                <w:sz w:val="24"/>
                <w:szCs w:val="24"/>
              </w:rPr>
              <w:t>露点-</w:t>
            </w:r>
            <w:r>
              <w:rPr>
                <w:rFonts w:ascii="宋体" w:hAnsi="宋体"/>
                <w:sz w:val="24"/>
                <w:szCs w:val="24"/>
              </w:rPr>
              <w:t>20</w:t>
            </w:r>
            <w:r>
              <w:rPr>
                <w:rFonts w:hint="eastAsia" w:ascii="宋体" w:hAnsi="宋体"/>
                <w:sz w:val="24"/>
                <w:szCs w:val="24"/>
              </w:rPr>
              <w:t>℃</w:t>
            </w:r>
          </w:p>
        </w:tc>
      </w:tr>
      <w:tr w14:paraId="04A61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9" w:type="dxa"/>
            <w:gridSpan w:val="3"/>
          </w:tcPr>
          <w:p w14:paraId="04A61EEA">
            <w:pPr>
              <w:rPr>
                <w:rFonts w:hint="eastAsia" w:ascii="宋体" w:hAnsi="宋体"/>
                <w:sz w:val="24"/>
                <w:szCs w:val="24"/>
              </w:rPr>
            </w:pPr>
            <w:r>
              <w:rPr>
                <w:rFonts w:hint="eastAsia" w:ascii="宋体" w:hAnsi="宋体"/>
                <w:sz w:val="24"/>
                <w:szCs w:val="24"/>
              </w:rPr>
              <w:t>备注：公用工程条件将在开工会确定</w:t>
            </w:r>
          </w:p>
        </w:tc>
      </w:tr>
    </w:tbl>
    <w:p w14:paraId="04A61EEC">
      <w:pPr>
        <w:rPr>
          <w:rFonts w:hint="eastAsia" w:ascii="宋体" w:hAnsi="宋体"/>
          <w:sz w:val="24"/>
          <w:szCs w:val="24"/>
        </w:rPr>
      </w:pPr>
    </w:p>
    <w:p w14:paraId="04A61EED">
      <w:pPr>
        <w:outlineLvl w:val="1"/>
        <w:rPr>
          <w:rFonts w:hint="eastAsia" w:ascii="宋体" w:hAnsi="宋体" w:cs="宋体"/>
          <w:b/>
          <w:bCs/>
          <w:sz w:val="24"/>
          <w:szCs w:val="24"/>
        </w:rPr>
      </w:pPr>
      <w:bookmarkStart w:id="35" w:name="_Toc161130988"/>
      <w:r>
        <w:rPr>
          <w:rFonts w:hint="eastAsia" w:ascii="宋体" w:hAnsi="宋体" w:cs="宋体"/>
          <w:b/>
          <w:bCs/>
          <w:sz w:val="24"/>
          <w:szCs w:val="24"/>
        </w:rPr>
        <w:t>7技术要求</w:t>
      </w:r>
      <w:bookmarkEnd w:id="35"/>
    </w:p>
    <w:p w14:paraId="04A61EEE">
      <w:pPr>
        <w:outlineLvl w:val="1"/>
        <w:rPr>
          <w:rFonts w:hint="eastAsia" w:ascii="宋体" w:hAnsi="宋体"/>
          <w:sz w:val="24"/>
          <w:szCs w:val="24"/>
        </w:rPr>
      </w:pPr>
      <w:r>
        <w:rPr>
          <w:rFonts w:hint="eastAsia" w:ascii="宋体" w:hAnsi="宋体"/>
          <w:sz w:val="24"/>
          <w:szCs w:val="24"/>
        </w:rPr>
        <w:t>7</w:t>
      </w:r>
      <w:r>
        <w:rPr>
          <w:rFonts w:ascii="宋体" w:hAnsi="宋体"/>
          <w:sz w:val="24"/>
          <w:szCs w:val="24"/>
        </w:rPr>
        <w:t>.1</w:t>
      </w:r>
      <w:r>
        <w:rPr>
          <w:rFonts w:hint="eastAsia" w:ascii="宋体" w:hAnsi="宋体"/>
          <w:sz w:val="24"/>
          <w:szCs w:val="24"/>
        </w:rPr>
        <w:t>公用部分：</w:t>
      </w:r>
    </w:p>
    <w:p w14:paraId="04A61EEF">
      <w:pPr>
        <w:rPr>
          <w:rFonts w:hint="eastAsia" w:ascii="宋体" w:hAnsi="宋体"/>
          <w:sz w:val="24"/>
          <w:szCs w:val="24"/>
        </w:rPr>
      </w:pPr>
      <w:r>
        <w:rPr>
          <w:rFonts w:hint="eastAsia" w:ascii="宋体" w:hAnsi="宋体"/>
          <w:sz w:val="24"/>
          <w:szCs w:val="24"/>
        </w:rPr>
        <w:t>供电电源：2</w:t>
      </w:r>
      <w:r>
        <w:rPr>
          <w:rFonts w:ascii="宋体" w:hAnsi="宋体"/>
          <w:sz w:val="24"/>
          <w:szCs w:val="24"/>
        </w:rPr>
        <w:t>20VAC</w:t>
      </w:r>
      <w:r>
        <w:rPr>
          <w:rFonts w:hint="eastAsia" w:ascii="宋体" w:hAnsi="宋体"/>
          <w:sz w:val="24"/>
          <w:szCs w:val="24"/>
        </w:rPr>
        <w:t>±</w:t>
      </w:r>
      <w:r>
        <w:rPr>
          <w:rFonts w:ascii="宋体" w:hAnsi="宋体"/>
          <w:sz w:val="24"/>
          <w:szCs w:val="24"/>
        </w:rPr>
        <w:t>10% 50H</w:t>
      </w:r>
      <w:r>
        <w:rPr>
          <w:rFonts w:hint="eastAsia" w:ascii="宋体" w:hAnsi="宋体"/>
          <w:sz w:val="24"/>
          <w:szCs w:val="24"/>
        </w:rPr>
        <w:t>z±</w:t>
      </w:r>
      <w:r>
        <w:rPr>
          <w:rFonts w:ascii="宋体" w:hAnsi="宋体"/>
          <w:sz w:val="24"/>
          <w:szCs w:val="24"/>
        </w:rPr>
        <w:t>0.5H</w:t>
      </w:r>
      <w:r>
        <w:rPr>
          <w:rFonts w:hint="eastAsia" w:ascii="宋体" w:hAnsi="宋体"/>
          <w:sz w:val="24"/>
          <w:szCs w:val="24"/>
        </w:rPr>
        <w:t>z</w:t>
      </w:r>
    </w:p>
    <w:p w14:paraId="04A61EF0">
      <w:pPr>
        <w:rPr>
          <w:rFonts w:hint="eastAsia" w:ascii="宋体" w:hAnsi="宋体"/>
          <w:sz w:val="24"/>
          <w:szCs w:val="24"/>
        </w:rPr>
      </w:pPr>
      <w:r>
        <w:rPr>
          <w:rFonts w:hint="eastAsia" w:ascii="宋体" w:hAnsi="宋体"/>
          <w:sz w:val="24"/>
          <w:szCs w:val="24"/>
        </w:rPr>
        <w:t>仪表风：阀驱动及空气吹扫，压力0</w:t>
      </w:r>
      <w:r>
        <w:rPr>
          <w:rFonts w:ascii="宋体" w:hAnsi="宋体"/>
          <w:sz w:val="24"/>
          <w:szCs w:val="24"/>
        </w:rPr>
        <w:t>.45~0.6MP</w:t>
      </w:r>
      <w:r>
        <w:rPr>
          <w:rFonts w:hint="eastAsia" w:ascii="宋体" w:hAnsi="宋体"/>
          <w:sz w:val="24"/>
          <w:szCs w:val="24"/>
        </w:rPr>
        <w:t>a</w:t>
      </w:r>
      <w:r>
        <w:rPr>
          <w:rFonts w:ascii="宋体" w:hAnsi="宋体"/>
          <w:sz w:val="24"/>
          <w:szCs w:val="24"/>
        </w:rPr>
        <w:t xml:space="preserve">G </w:t>
      </w:r>
      <w:r>
        <w:rPr>
          <w:rFonts w:hint="eastAsia" w:ascii="宋体" w:hAnsi="宋体"/>
          <w:sz w:val="24"/>
          <w:szCs w:val="24"/>
        </w:rPr>
        <w:t>，含油量少于5ppm，露点小于-</w:t>
      </w:r>
      <w:r>
        <w:rPr>
          <w:rFonts w:ascii="宋体" w:hAnsi="宋体"/>
          <w:sz w:val="24"/>
          <w:szCs w:val="24"/>
        </w:rPr>
        <w:t>20</w:t>
      </w:r>
      <w:r>
        <w:rPr>
          <w:rFonts w:hint="eastAsia" w:ascii="宋体" w:hAnsi="宋体"/>
          <w:sz w:val="24"/>
          <w:szCs w:val="24"/>
        </w:rPr>
        <w:t>℃</w:t>
      </w:r>
    </w:p>
    <w:p w14:paraId="04A61EF1">
      <w:pPr>
        <w:rPr>
          <w:rFonts w:hint="eastAsia" w:ascii="宋体" w:hAnsi="宋体"/>
          <w:sz w:val="24"/>
          <w:szCs w:val="24"/>
        </w:rPr>
      </w:pPr>
      <w:r>
        <w:rPr>
          <w:rFonts w:hint="eastAsia" w:ascii="宋体" w:hAnsi="宋体"/>
          <w:sz w:val="24"/>
          <w:szCs w:val="24"/>
        </w:rPr>
        <w:t>载气和附件要求：纯度≥9</w:t>
      </w:r>
      <w:r>
        <w:rPr>
          <w:rFonts w:ascii="宋体" w:hAnsi="宋体"/>
          <w:sz w:val="24"/>
          <w:szCs w:val="24"/>
        </w:rPr>
        <w:t>9.99%</w:t>
      </w:r>
    </w:p>
    <w:p w14:paraId="04A61EF2">
      <w:pPr>
        <w:rPr>
          <w:rFonts w:hint="eastAsia" w:ascii="宋体" w:hAnsi="宋体"/>
          <w:sz w:val="24"/>
          <w:szCs w:val="24"/>
        </w:rPr>
      </w:pPr>
      <w:r>
        <w:rPr>
          <w:rFonts w:hint="eastAsia" w:ascii="宋体" w:hAnsi="宋体"/>
          <w:sz w:val="24"/>
          <w:szCs w:val="24"/>
        </w:rPr>
        <w:t>7</w:t>
      </w:r>
      <w:r>
        <w:rPr>
          <w:rFonts w:ascii="宋体" w:hAnsi="宋体"/>
          <w:sz w:val="24"/>
          <w:szCs w:val="24"/>
        </w:rPr>
        <w:t>.2</w:t>
      </w:r>
      <w:r>
        <w:rPr>
          <w:rFonts w:hint="eastAsia" w:ascii="宋体" w:hAnsi="宋体"/>
          <w:sz w:val="24"/>
          <w:szCs w:val="24"/>
        </w:rPr>
        <w:t>配管及配线</w:t>
      </w:r>
    </w:p>
    <w:p w14:paraId="04A61EF3">
      <w:pPr>
        <w:rPr>
          <w:rFonts w:hint="eastAsia" w:ascii="宋体" w:hAnsi="宋体"/>
          <w:sz w:val="24"/>
          <w:szCs w:val="24"/>
        </w:rPr>
      </w:pPr>
      <w:r>
        <w:rPr>
          <w:rFonts w:hint="eastAsia" w:ascii="宋体" w:hAnsi="宋体"/>
          <w:sz w:val="24"/>
          <w:szCs w:val="24"/>
        </w:rPr>
        <w:t>7</w:t>
      </w:r>
      <w:r>
        <w:rPr>
          <w:rFonts w:ascii="宋体" w:hAnsi="宋体"/>
          <w:sz w:val="24"/>
          <w:szCs w:val="24"/>
        </w:rPr>
        <w:t>.2.1</w:t>
      </w:r>
      <w:r>
        <w:rPr>
          <w:rFonts w:hint="eastAsia" w:ascii="宋体" w:hAnsi="宋体"/>
          <w:sz w:val="24"/>
          <w:szCs w:val="24"/>
        </w:rPr>
        <w:t>配管</w:t>
      </w:r>
    </w:p>
    <w:p w14:paraId="04A61EF4">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过程分析系统配管原则：管线尽可能简单，交叉点及连接点少。所有Tube管线选用3</w:t>
      </w:r>
      <w:r>
        <w:rPr>
          <w:rFonts w:ascii="宋体" w:hAnsi="宋体"/>
          <w:sz w:val="24"/>
          <w:szCs w:val="24"/>
        </w:rPr>
        <w:t>16</w:t>
      </w:r>
      <w:r>
        <w:rPr>
          <w:rFonts w:hint="eastAsia" w:ascii="宋体" w:hAnsi="宋体"/>
          <w:sz w:val="24"/>
          <w:szCs w:val="24"/>
        </w:rPr>
        <w:t>ss材质，英制管，管接口选用双卡套密封形式连接；所有Pipe管宜选用3</w:t>
      </w:r>
      <w:r>
        <w:rPr>
          <w:rFonts w:ascii="宋体" w:hAnsi="宋体"/>
          <w:sz w:val="24"/>
          <w:szCs w:val="24"/>
        </w:rPr>
        <w:t>04</w:t>
      </w:r>
      <w:r>
        <w:rPr>
          <w:rFonts w:hint="eastAsia" w:ascii="宋体" w:hAnsi="宋体"/>
          <w:sz w:val="24"/>
          <w:szCs w:val="24"/>
        </w:rPr>
        <w:t>ss材质，管接口选用法兰形式连接。</w:t>
      </w:r>
    </w:p>
    <w:p w14:paraId="04A61EF5">
      <w:pPr>
        <w:rPr>
          <w:rFonts w:hint="eastAsia" w:ascii="宋体" w:hAnsi="宋体"/>
          <w:sz w:val="24"/>
          <w:szCs w:val="24"/>
        </w:rPr>
      </w:pPr>
      <w:r>
        <w:rPr>
          <w:rFonts w:hint="eastAsia" w:ascii="宋体" w:hAnsi="宋体"/>
          <w:sz w:val="24"/>
          <w:szCs w:val="24"/>
        </w:rPr>
        <w:t>7</w:t>
      </w:r>
      <w:r>
        <w:rPr>
          <w:rFonts w:ascii="宋体" w:hAnsi="宋体"/>
          <w:sz w:val="24"/>
          <w:szCs w:val="24"/>
        </w:rPr>
        <w:t>.2.2</w:t>
      </w:r>
      <w:r>
        <w:rPr>
          <w:rFonts w:hint="eastAsia" w:ascii="宋体" w:hAnsi="宋体"/>
          <w:sz w:val="24"/>
          <w:szCs w:val="24"/>
        </w:rPr>
        <w:t>配线</w:t>
      </w:r>
    </w:p>
    <w:p w14:paraId="04A61EF6">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所有进出分析机柜/小屋的电源电缆和信号电缆，均通过防爆接线箱来连接。</w:t>
      </w:r>
    </w:p>
    <w:p w14:paraId="04A61EF7">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内部电缆通过汇线槽敷设电缆。</w:t>
      </w:r>
    </w:p>
    <w:p w14:paraId="04A61EF8">
      <w:pPr>
        <w:rPr>
          <w:rFonts w:hint="eastAsia" w:ascii="宋体" w:hAnsi="宋体"/>
          <w:sz w:val="24"/>
          <w:szCs w:val="24"/>
        </w:rPr>
      </w:pPr>
      <w:r>
        <w:rPr>
          <w:rFonts w:hint="eastAsia" w:ascii="宋体" w:hAnsi="宋体"/>
          <w:sz w:val="24"/>
          <w:szCs w:val="24"/>
        </w:rPr>
        <w:t>7</w:t>
      </w:r>
      <w:r>
        <w:rPr>
          <w:rFonts w:ascii="宋体" w:hAnsi="宋体"/>
          <w:sz w:val="24"/>
          <w:szCs w:val="24"/>
        </w:rPr>
        <w:t>.2.3</w:t>
      </w:r>
      <w:r>
        <w:rPr>
          <w:rFonts w:hint="eastAsia" w:ascii="宋体" w:hAnsi="宋体"/>
          <w:sz w:val="24"/>
          <w:szCs w:val="24"/>
        </w:rPr>
        <w:t>接地系统</w:t>
      </w:r>
    </w:p>
    <w:p w14:paraId="04A61EF9">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接地系统分为两个独立回路，一个保护接地，一个屏蔽接地。两个接地系统相互独立。保护接地通过专用电缆，将分析仪表及其他电气设备的保护接地连接到分析机柜/小屋的接地连接板上，并与现场接地回路连接。屏蔽接地用于信号电缆屏蔽层接地，接地方式采用控制室单端接地。</w:t>
      </w:r>
    </w:p>
    <w:p w14:paraId="04A61EFA">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安全接地电阻不大于4Ω。</w:t>
      </w:r>
    </w:p>
    <w:p w14:paraId="04A61EFB">
      <w:pPr>
        <w:rPr>
          <w:rFonts w:hint="eastAsia" w:ascii="宋体" w:hAnsi="宋体"/>
          <w:sz w:val="24"/>
          <w:szCs w:val="24"/>
        </w:rPr>
      </w:pPr>
      <w:r>
        <w:rPr>
          <w:rFonts w:hint="eastAsia" w:ascii="宋体" w:hAnsi="宋体"/>
          <w:sz w:val="24"/>
          <w:szCs w:val="24"/>
        </w:rPr>
        <w:t>7</w:t>
      </w:r>
      <w:r>
        <w:rPr>
          <w:rFonts w:ascii="宋体" w:hAnsi="宋体"/>
          <w:sz w:val="24"/>
          <w:szCs w:val="24"/>
        </w:rPr>
        <w:t>.2.4</w:t>
      </w:r>
      <w:r>
        <w:rPr>
          <w:rFonts w:hint="eastAsia" w:ascii="宋体" w:hAnsi="宋体"/>
          <w:sz w:val="24"/>
          <w:szCs w:val="24"/>
        </w:rPr>
        <w:t>铭牌和标记</w:t>
      </w:r>
    </w:p>
    <w:p w14:paraId="04A61EFC">
      <w:pPr>
        <w:rPr>
          <w:rFonts w:hint="eastAsia" w:ascii="宋体" w:hAnsi="宋体"/>
          <w:sz w:val="24"/>
          <w:szCs w:val="24"/>
        </w:rPr>
      </w:pPr>
      <w:r>
        <w:rPr>
          <w:rFonts w:hint="eastAsia" w:ascii="宋体" w:hAnsi="宋体"/>
          <w:sz w:val="24"/>
          <w:szCs w:val="24"/>
        </w:rPr>
        <w:t>分析机柜/小屋标识</w:t>
      </w:r>
    </w:p>
    <w:p w14:paraId="04A61EFD">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分析机柜/小屋本体门上设有永久性不锈钢铭牌（标明机柜编号、分析仪表位号），同时配有警告性标识，内部设备配有P</w:t>
      </w:r>
      <w:r>
        <w:rPr>
          <w:rFonts w:ascii="宋体" w:hAnsi="宋体"/>
          <w:sz w:val="24"/>
          <w:szCs w:val="24"/>
        </w:rPr>
        <w:t>VC</w:t>
      </w:r>
      <w:r>
        <w:rPr>
          <w:rFonts w:hint="eastAsia" w:ascii="宋体" w:hAnsi="宋体"/>
          <w:sz w:val="24"/>
          <w:szCs w:val="24"/>
        </w:rPr>
        <w:t>标牌。</w:t>
      </w:r>
    </w:p>
    <w:p w14:paraId="04A61EFE">
      <w:pPr>
        <w:rPr>
          <w:rFonts w:hint="eastAsia" w:ascii="宋体" w:hAnsi="宋体"/>
          <w:sz w:val="24"/>
          <w:szCs w:val="24"/>
        </w:rPr>
      </w:pPr>
      <w:r>
        <w:rPr>
          <w:rFonts w:hint="eastAsia" w:ascii="宋体" w:hAnsi="宋体"/>
          <w:sz w:val="24"/>
          <w:szCs w:val="24"/>
        </w:rPr>
        <w:t>样品流路标识</w:t>
      </w:r>
    </w:p>
    <w:p w14:paraId="04A61EFF">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各个分析样品流路在进入分析机柜/小屋前，配有明确的工艺位号/介质名称标识。</w:t>
      </w:r>
    </w:p>
    <w:p w14:paraId="04A61F00">
      <w:pPr>
        <w:rPr>
          <w:rFonts w:hint="eastAsia" w:ascii="宋体" w:hAnsi="宋体"/>
          <w:sz w:val="24"/>
          <w:szCs w:val="24"/>
        </w:rPr>
      </w:pPr>
      <w:r>
        <w:rPr>
          <w:rFonts w:hint="eastAsia" w:ascii="宋体" w:hAnsi="宋体"/>
          <w:sz w:val="24"/>
          <w:szCs w:val="24"/>
        </w:rPr>
        <w:t>分析仪表专用标识</w:t>
      </w:r>
    </w:p>
    <w:p w14:paraId="04A61F01">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采用不锈钢铭牌，包含分析仪表制造厂名称、型号、位号等信息。</w:t>
      </w:r>
    </w:p>
    <w:p w14:paraId="04A61F02">
      <w:pPr>
        <w:rPr>
          <w:rFonts w:hint="eastAsia" w:ascii="宋体" w:hAnsi="宋体"/>
          <w:sz w:val="24"/>
          <w:szCs w:val="24"/>
        </w:rPr>
      </w:pPr>
      <w:r>
        <w:rPr>
          <w:rFonts w:hint="eastAsia" w:ascii="宋体" w:hAnsi="宋体"/>
          <w:sz w:val="24"/>
          <w:szCs w:val="24"/>
        </w:rPr>
        <w:t>电气设备标识</w:t>
      </w:r>
    </w:p>
    <w:p w14:paraId="04A61F03">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所有电气设备包含电源分配箱、接线箱、电源开关、电缆以及接线端子等都应具有相应的铭牌。</w:t>
      </w:r>
    </w:p>
    <w:p w14:paraId="04A61F04">
      <w:pPr>
        <w:rPr>
          <w:rFonts w:hint="eastAsia" w:ascii="宋体" w:hAnsi="宋体"/>
          <w:sz w:val="24"/>
          <w:szCs w:val="24"/>
        </w:rPr>
      </w:pPr>
      <w:r>
        <w:rPr>
          <w:rFonts w:hint="eastAsia" w:ascii="宋体" w:hAnsi="宋体"/>
          <w:sz w:val="24"/>
          <w:szCs w:val="24"/>
        </w:rPr>
        <w:t>样品处理设备标识</w:t>
      </w:r>
    </w:p>
    <w:p w14:paraId="04A61F05">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样品处理箱箱体表面应设有永久性不锈钢铭牌，同时所有进出接口及附属装置均应设置明确标识。</w:t>
      </w:r>
    </w:p>
    <w:p w14:paraId="04A61F06">
      <w:pPr>
        <w:rPr>
          <w:rFonts w:hint="eastAsia" w:ascii="宋体" w:hAnsi="宋体"/>
          <w:sz w:val="24"/>
          <w:szCs w:val="24"/>
        </w:rPr>
      </w:pPr>
    </w:p>
    <w:p w14:paraId="04A61F07">
      <w:pPr>
        <w:outlineLvl w:val="1"/>
        <w:rPr>
          <w:rFonts w:hint="eastAsia" w:ascii="宋体" w:hAnsi="宋体" w:cs="宋体"/>
          <w:b/>
          <w:bCs/>
          <w:sz w:val="24"/>
          <w:szCs w:val="24"/>
        </w:rPr>
      </w:pPr>
      <w:bookmarkStart w:id="36" w:name="_Toc161130989"/>
      <w:r>
        <w:rPr>
          <w:rFonts w:hint="eastAsia" w:ascii="宋体" w:hAnsi="宋体" w:cs="宋体"/>
          <w:b/>
          <w:bCs/>
          <w:sz w:val="24"/>
          <w:szCs w:val="24"/>
        </w:rPr>
        <w:t>8检测标准</w:t>
      </w:r>
      <w:bookmarkEnd w:id="36"/>
    </w:p>
    <w:p w14:paraId="04A61F08">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详见附件仪表采购数据表</w:t>
      </w:r>
    </w:p>
    <w:p w14:paraId="04A61F09">
      <w:pPr>
        <w:rPr>
          <w:rFonts w:hint="eastAsia" w:ascii="宋体" w:hAnsi="宋体"/>
          <w:sz w:val="24"/>
          <w:szCs w:val="24"/>
        </w:rPr>
      </w:pPr>
    </w:p>
    <w:p w14:paraId="04A61F0A">
      <w:pPr>
        <w:outlineLvl w:val="1"/>
        <w:rPr>
          <w:rFonts w:hint="eastAsia" w:ascii="宋体" w:hAnsi="宋体" w:cs="宋体"/>
          <w:b/>
          <w:bCs/>
          <w:sz w:val="24"/>
          <w:szCs w:val="24"/>
        </w:rPr>
      </w:pPr>
      <w:bookmarkStart w:id="37" w:name="_Toc161130990"/>
      <w:r>
        <w:rPr>
          <w:rFonts w:ascii="宋体" w:hAnsi="宋体" w:cs="宋体"/>
          <w:b/>
          <w:bCs/>
          <w:sz w:val="24"/>
          <w:szCs w:val="24"/>
        </w:rPr>
        <w:t>9</w:t>
      </w:r>
      <w:r>
        <w:rPr>
          <w:rFonts w:hint="eastAsia" w:ascii="宋体" w:hAnsi="宋体" w:cs="宋体"/>
          <w:b/>
          <w:bCs/>
          <w:sz w:val="24"/>
          <w:szCs w:val="24"/>
        </w:rPr>
        <w:t>工程服务</w:t>
      </w:r>
      <w:bookmarkEnd w:id="37"/>
    </w:p>
    <w:p w14:paraId="04A61F0B">
      <w:pPr>
        <w:rPr>
          <w:rFonts w:hint="eastAsia" w:ascii="宋体" w:hAnsi="宋体"/>
          <w:sz w:val="24"/>
          <w:szCs w:val="24"/>
        </w:rPr>
      </w:pPr>
      <w:r>
        <w:rPr>
          <w:rFonts w:hint="eastAsia" w:ascii="宋体" w:hAnsi="宋体"/>
          <w:sz w:val="24"/>
          <w:szCs w:val="24"/>
        </w:rPr>
        <w:t>9</w:t>
      </w:r>
      <w:r>
        <w:rPr>
          <w:rFonts w:ascii="宋体" w:hAnsi="宋体"/>
          <w:sz w:val="24"/>
          <w:szCs w:val="24"/>
        </w:rPr>
        <w:t xml:space="preserve">.1 </w:t>
      </w:r>
      <w:r>
        <w:rPr>
          <w:rFonts w:hint="eastAsia" w:ascii="宋体" w:hAnsi="宋体"/>
          <w:sz w:val="24"/>
          <w:szCs w:val="24"/>
        </w:rPr>
        <w:t>开工会</w:t>
      </w:r>
    </w:p>
    <w:p w14:paraId="04A61F0C">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在合同签订后一周内（如有变化双方共同协商），在招标方现场举行开工会。开工会前一周，投标方需预备提供开工会所需有关文件。</w:t>
      </w:r>
    </w:p>
    <w:p w14:paraId="04A61F0D">
      <w:pPr>
        <w:rPr>
          <w:rFonts w:hint="eastAsia" w:ascii="宋体" w:hAnsi="宋体"/>
          <w:sz w:val="24"/>
          <w:szCs w:val="24"/>
        </w:rPr>
      </w:pPr>
      <w:r>
        <w:rPr>
          <w:rFonts w:ascii="宋体" w:hAnsi="宋体"/>
          <w:sz w:val="24"/>
          <w:szCs w:val="24"/>
        </w:rPr>
        <w:t>9.2</w:t>
      </w:r>
      <w:r>
        <w:rPr>
          <w:rFonts w:hint="eastAsia" w:ascii="宋体" w:hAnsi="宋体"/>
          <w:sz w:val="24"/>
          <w:szCs w:val="24"/>
        </w:rPr>
        <w:t>工厂验收测试（F</w:t>
      </w:r>
      <w:r>
        <w:rPr>
          <w:rFonts w:ascii="宋体" w:hAnsi="宋体"/>
          <w:sz w:val="24"/>
          <w:szCs w:val="24"/>
        </w:rPr>
        <w:t>AT</w:t>
      </w:r>
      <w:r>
        <w:rPr>
          <w:rFonts w:hint="eastAsia" w:ascii="宋体" w:hAnsi="宋体"/>
          <w:sz w:val="24"/>
          <w:szCs w:val="24"/>
        </w:rPr>
        <w:t>）</w:t>
      </w:r>
    </w:p>
    <w:p w14:paraId="04A61F0E">
      <w:pPr>
        <w:rPr>
          <w:rFonts w:hint="eastAsia" w:ascii="宋体" w:hAnsi="宋体"/>
          <w:sz w:val="24"/>
          <w:szCs w:val="24"/>
        </w:rPr>
      </w:pPr>
      <w:r>
        <w:rPr>
          <w:rFonts w:ascii="宋体" w:hAnsi="宋体"/>
          <w:sz w:val="24"/>
          <w:szCs w:val="24"/>
        </w:rPr>
        <w:t xml:space="preserve">  </w:t>
      </w:r>
      <w:r>
        <w:rPr>
          <w:rFonts w:hint="eastAsia" w:ascii="宋体" w:hAnsi="宋体"/>
          <w:sz w:val="24"/>
          <w:szCs w:val="24"/>
        </w:rPr>
        <w:t>工厂验收前三周，投标方提交一份完整的产品清单和测试文件，提出验收标准程序及内容，供招标方确认，并提前一周公职招标方到系统集成地参加工厂验收测试。验收是对各种设备的功能和性能进行1</w:t>
      </w:r>
      <w:r>
        <w:rPr>
          <w:rFonts w:ascii="宋体" w:hAnsi="宋体"/>
          <w:sz w:val="24"/>
          <w:szCs w:val="24"/>
        </w:rPr>
        <w:t>00%</w:t>
      </w:r>
      <w:r>
        <w:rPr>
          <w:rFonts w:hint="eastAsia" w:ascii="宋体" w:hAnsi="宋体"/>
          <w:sz w:val="24"/>
          <w:szCs w:val="24"/>
        </w:rPr>
        <w:t>的测试。投标方提供充分的测试用仪器和工具，配备合格的技术人员执行测试和调试任务。验收文件由双方代表共同签字。投标方为验收期间招标方人员的食宿交通提供便利。</w:t>
      </w:r>
    </w:p>
    <w:p w14:paraId="04A61F0F">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投标方应为分析系统进行不低于连续8小时的测试，来测试规范上要求的性能，性能测试应包括但不局限于：零部件的质量与工艺、气密性试验、配置/装配/定位/连接、运行状态稳定性、精度、灵敏度、重复性、样品分离度与结果准确性、响应时间、其他重要性能、报警系统。</w:t>
      </w:r>
    </w:p>
    <w:p w14:paraId="04A61F10">
      <w:pPr>
        <w:rPr>
          <w:rFonts w:hint="eastAsia" w:ascii="宋体" w:hAnsi="宋体"/>
          <w:sz w:val="24"/>
          <w:szCs w:val="24"/>
        </w:rPr>
      </w:pPr>
      <w:r>
        <w:rPr>
          <w:rFonts w:hint="eastAsia" w:ascii="宋体" w:hAnsi="宋体"/>
          <w:sz w:val="24"/>
          <w:szCs w:val="24"/>
        </w:rPr>
        <w:t>9</w:t>
      </w:r>
      <w:r>
        <w:rPr>
          <w:rFonts w:ascii="宋体" w:hAnsi="宋体"/>
          <w:sz w:val="24"/>
          <w:szCs w:val="24"/>
        </w:rPr>
        <w:t>.3</w:t>
      </w:r>
      <w:r>
        <w:rPr>
          <w:rFonts w:hint="eastAsia" w:ascii="宋体" w:hAnsi="宋体"/>
          <w:sz w:val="24"/>
          <w:szCs w:val="24"/>
        </w:rPr>
        <w:t>现场验收测试（S</w:t>
      </w:r>
      <w:r>
        <w:rPr>
          <w:rFonts w:ascii="宋体" w:hAnsi="宋体"/>
          <w:sz w:val="24"/>
          <w:szCs w:val="24"/>
        </w:rPr>
        <w:t>AT</w:t>
      </w:r>
      <w:r>
        <w:rPr>
          <w:rFonts w:hint="eastAsia" w:ascii="宋体" w:hAnsi="宋体"/>
          <w:sz w:val="24"/>
          <w:szCs w:val="24"/>
        </w:rPr>
        <w:t>）</w:t>
      </w:r>
    </w:p>
    <w:p w14:paraId="04A61F11">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开箱验收：在工厂验收结束后，投标方应将设备妥善包装，包装的材料、标记及固定方法达到出口运输的标准，防止运输及露天库存过程中出现损坏或腐蚀现象。设备到货后，投标方应派合格的技术人员与招标方共同开箱验收。</w:t>
      </w:r>
    </w:p>
    <w:p w14:paraId="04A61F12">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SAT</w:t>
      </w:r>
      <w:r>
        <w:rPr>
          <w:rFonts w:hint="eastAsia" w:ascii="宋体" w:hAnsi="宋体"/>
          <w:sz w:val="24"/>
          <w:szCs w:val="24"/>
        </w:rPr>
        <w:t>阶段：系统安装、接线等工作完成后，投标方需派人与招标方共同进行系统检查，并负责完成系统的通电、试运行等工作，随后共同完成系统现场验收测试。系统在投运后，须进行7</w:t>
      </w:r>
      <w:r>
        <w:rPr>
          <w:rFonts w:ascii="宋体" w:hAnsi="宋体"/>
          <w:sz w:val="24"/>
          <w:szCs w:val="24"/>
        </w:rPr>
        <w:t>2</w:t>
      </w:r>
      <w:r>
        <w:rPr>
          <w:rFonts w:hint="eastAsia" w:ascii="宋体" w:hAnsi="宋体"/>
          <w:sz w:val="24"/>
          <w:szCs w:val="24"/>
        </w:rPr>
        <w:t>小时连续无故障运行试验，视为现场验收测试通过。</w:t>
      </w:r>
    </w:p>
    <w:p w14:paraId="04A61F13">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最终系统测试结果在达到系统招标技术文件中的各项要求后，可视为验收通过，方可进行最终验收签字，待投标方将完整的系统及文件资料移交给招标方后由双方代表共同签字。</w:t>
      </w:r>
    </w:p>
    <w:p w14:paraId="04A61F14">
      <w:pPr>
        <w:rPr>
          <w:rFonts w:hint="eastAsia" w:ascii="宋体" w:hAnsi="宋体"/>
          <w:sz w:val="24"/>
          <w:szCs w:val="24"/>
        </w:rPr>
      </w:pPr>
    </w:p>
    <w:p w14:paraId="04A61F15">
      <w:pPr>
        <w:outlineLvl w:val="1"/>
        <w:rPr>
          <w:rFonts w:hint="eastAsia" w:ascii="宋体" w:hAnsi="宋体" w:cs="宋体"/>
          <w:b/>
          <w:bCs/>
          <w:sz w:val="24"/>
          <w:szCs w:val="24"/>
        </w:rPr>
      </w:pPr>
      <w:bookmarkStart w:id="38" w:name="_Toc161130991"/>
      <w:r>
        <w:rPr>
          <w:rFonts w:hint="eastAsia" w:ascii="宋体" w:hAnsi="宋体" w:cs="宋体"/>
          <w:b/>
          <w:bCs/>
          <w:sz w:val="24"/>
          <w:szCs w:val="24"/>
        </w:rPr>
        <w:t>1</w:t>
      </w:r>
      <w:r>
        <w:rPr>
          <w:rFonts w:ascii="宋体" w:hAnsi="宋体" w:cs="宋体"/>
          <w:b/>
          <w:bCs/>
          <w:sz w:val="24"/>
          <w:szCs w:val="24"/>
        </w:rPr>
        <w:t>0</w:t>
      </w:r>
      <w:r>
        <w:rPr>
          <w:rFonts w:hint="eastAsia" w:ascii="宋体" w:hAnsi="宋体" w:cs="宋体"/>
          <w:b/>
          <w:bCs/>
          <w:sz w:val="24"/>
          <w:szCs w:val="24"/>
        </w:rPr>
        <w:t>质量保证</w:t>
      </w:r>
      <w:bookmarkEnd w:id="38"/>
    </w:p>
    <w:p w14:paraId="04A61F16">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整套系统的质量保证期为交货后24个月或开车投用后18个月，二者以先到为准。</w:t>
      </w:r>
    </w:p>
    <w:p w14:paraId="04A61F17">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投标方须严格按照国家、行业相关标准及工厂指标生产、集成本项目所需设备。投标方须严格按照本项目招标人提供的数据设计、组装产品，并为产品的正常运行及各部件的质量性能负责，承诺所提供的产品质量性能能够买组招标方需求。如若招标方在生产使用过程中发现产品性能未能达到协议中说明的标准，视为产品不合格，投标方须为因此产生的问题负责，招标方保留进一步追责的权利。</w:t>
      </w:r>
    </w:p>
    <w:p w14:paraId="04A61F18">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质保期内投标方应承诺免费服务，如有部件故障或非人为因素损坏，视为产品质量问题，投标方须免费为招标方更换，并相对延长设备的质保期。质保期后投标方承诺终身服务，招标方承担服务产生的相应物资材料成本费用。</w:t>
      </w:r>
    </w:p>
    <w:p w14:paraId="04A61F19">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投标方承诺接到招标方故障报修联系后，8小时内提出解决方案，视招标方需求在2</w:t>
      </w:r>
      <w:r>
        <w:rPr>
          <w:rFonts w:ascii="宋体" w:hAnsi="宋体"/>
          <w:sz w:val="24"/>
          <w:szCs w:val="24"/>
        </w:rPr>
        <w:t>4</w:t>
      </w:r>
      <w:r>
        <w:rPr>
          <w:rFonts w:hint="eastAsia" w:ascii="宋体" w:hAnsi="宋体"/>
          <w:sz w:val="24"/>
          <w:szCs w:val="24"/>
        </w:rPr>
        <w:t>小时内安排具有丰富经验的技术工程师抵达招标方项目现场协助处理故障。如无法在规定时间内抵达，须提前通知招标方协商。</w:t>
      </w:r>
    </w:p>
    <w:p w14:paraId="04A61F1A">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投标方须保证系统各部件的备品备件的供应期不少于1</w:t>
      </w:r>
      <w:r>
        <w:rPr>
          <w:rFonts w:ascii="宋体" w:hAnsi="宋体"/>
          <w:sz w:val="24"/>
          <w:szCs w:val="24"/>
        </w:rPr>
        <w:t>0</w:t>
      </w:r>
      <w:r>
        <w:rPr>
          <w:rFonts w:hint="eastAsia" w:ascii="宋体" w:hAnsi="宋体"/>
          <w:sz w:val="24"/>
          <w:szCs w:val="24"/>
        </w:rPr>
        <w:t>年或同型号备品备件退出市场后5年，且所提供的备品备件价格不得高于投标文件中分项报价的单列价格。否则，投标方需提供同性能的备品备件清单供招标方选择，并承诺对所提供的清单中的替代备件型号的性能指标负责。</w:t>
      </w:r>
    </w:p>
    <w:p w14:paraId="04A61F1B">
      <w:pPr>
        <w:rPr>
          <w:rFonts w:hint="eastAsia" w:ascii="宋体" w:hAnsi="宋体"/>
          <w:sz w:val="24"/>
          <w:szCs w:val="24"/>
        </w:rPr>
      </w:pPr>
    </w:p>
    <w:p w14:paraId="04A61F1C">
      <w:pPr>
        <w:outlineLvl w:val="1"/>
        <w:rPr>
          <w:rFonts w:hint="eastAsia" w:ascii="宋体" w:hAnsi="宋体" w:cs="宋体"/>
          <w:b/>
          <w:bCs/>
          <w:sz w:val="24"/>
          <w:szCs w:val="24"/>
        </w:rPr>
      </w:pPr>
      <w:bookmarkStart w:id="39" w:name="_Toc161130992"/>
      <w:r>
        <w:rPr>
          <w:rFonts w:hint="eastAsia" w:ascii="宋体" w:hAnsi="宋体" w:cs="宋体"/>
          <w:b/>
          <w:bCs/>
          <w:sz w:val="24"/>
          <w:szCs w:val="24"/>
        </w:rPr>
        <w:t>1</w:t>
      </w:r>
      <w:r>
        <w:rPr>
          <w:rFonts w:ascii="宋体" w:hAnsi="宋体" w:cs="宋体"/>
          <w:b/>
          <w:bCs/>
          <w:sz w:val="24"/>
          <w:szCs w:val="24"/>
        </w:rPr>
        <w:t>1</w:t>
      </w:r>
      <w:r>
        <w:rPr>
          <w:rFonts w:hint="eastAsia" w:ascii="宋体" w:hAnsi="宋体" w:cs="宋体"/>
          <w:b/>
          <w:bCs/>
          <w:sz w:val="24"/>
          <w:szCs w:val="24"/>
        </w:rPr>
        <w:t>技术服务</w:t>
      </w:r>
      <w:bookmarkEnd w:id="39"/>
    </w:p>
    <w:p w14:paraId="04A61F1D">
      <w:pPr>
        <w:rPr>
          <w:rFonts w:hint="eastAsia" w:ascii="宋体" w:hAnsi="宋体"/>
          <w:sz w:val="24"/>
          <w:szCs w:val="24"/>
        </w:rPr>
      </w:pPr>
      <w:r>
        <w:rPr>
          <w:rFonts w:ascii="宋体" w:hAnsi="宋体"/>
          <w:sz w:val="24"/>
          <w:szCs w:val="24"/>
        </w:rPr>
        <w:t>11.1</w:t>
      </w:r>
      <w:r>
        <w:rPr>
          <w:rFonts w:hint="eastAsia" w:ascii="宋体" w:hAnsi="宋体"/>
          <w:sz w:val="24"/>
          <w:szCs w:val="24"/>
        </w:rPr>
        <w:t>培训</w:t>
      </w:r>
    </w:p>
    <w:p w14:paraId="04A61F1E">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ascii="宋体" w:hAnsi="宋体"/>
          <w:sz w:val="24"/>
          <w:szCs w:val="24"/>
        </w:rPr>
        <w:sym w:font="Wingdings 2" w:char="F0AE"/>
      </w:r>
      <w:r>
        <w:rPr>
          <w:rFonts w:hint="eastAsia" w:ascii="宋体" w:hAnsi="宋体"/>
          <w:sz w:val="24"/>
          <w:szCs w:val="24"/>
        </w:rPr>
        <w:t>用户现场</w:t>
      </w:r>
    </w:p>
    <w:p w14:paraId="04A61F1F">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培训人员：人数布线</w:t>
      </w:r>
    </w:p>
    <w:p w14:paraId="04A61F20">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培训内容：基本原理、开车调试、日常维护/校准标定操作、故障排查等</w:t>
      </w:r>
    </w:p>
    <w:p w14:paraId="04A61F21">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培训时间：1天</w:t>
      </w:r>
    </w:p>
    <w:p w14:paraId="04A61F22">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ascii="宋体" w:hAnsi="宋体"/>
          <w:sz w:val="24"/>
          <w:szCs w:val="24"/>
        </w:rPr>
        <w:sym w:font="Wingdings 2" w:char="F0AE"/>
      </w:r>
      <w:r>
        <w:rPr>
          <w:rFonts w:hint="eastAsia" w:ascii="宋体" w:hAnsi="宋体"/>
          <w:sz w:val="24"/>
          <w:szCs w:val="24"/>
        </w:rPr>
        <w:t>基础培训</w:t>
      </w:r>
    </w:p>
    <w:p w14:paraId="04A61F23">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投标方根据招标方需求，可安排一定时间在仪器调试前，进行分析仪器应用及维护的基础知识培训，招标方参与培训人员不少于4人。</w:t>
      </w:r>
    </w:p>
    <w:p w14:paraId="04A61F24">
      <w:pPr>
        <w:rPr>
          <w:rFonts w:hint="eastAsia" w:ascii="宋体" w:hAnsi="宋体"/>
          <w:sz w:val="24"/>
          <w:szCs w:val="24"/>
        </w:rPr>
      </w:pPr>
      <w:r>
        <w:rPr>
          <w:rFonts w:hint="eastAsia" w:ascii="宋体" w:hAnsi="宋体"/>
          <w:sz w:val="24"/>
          <w:szCs w:val="24"/>
        </w:rPr>
        <w:t>1</w:t>
      </w:r>
      <w:r>
        <w:rPr>
          <w:rFonts w:ascii="宋体" w:hAnsi="宋体"/>
          <w:sz w:val="24"/>
          <w:szCs w:val="24"/>
        </w:rPr>
        <w:t>1.2</w:t>
      </w:r>
      <w:r>
        <w:rPr>
          <w:rFonts w:hint="eastAsia" w:ascii="宋体" w:hAnsi="宋体"/>
          <w:sz w:val="24"/>
          <w:szCs w:val="24"/>
        </w:rPr>
        <w:t>安装指导</w:t>
      </w:r>
    </w:p>
    <w:p w14:paraId="04A61F25">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投标方派经验丰富的工程师前往项目现场进行分析系统的安装指导，招标方应于安装前1</w:t>
      </w:r>
      <w:r>
        <w:rPr>
          <w:rFonts w:ascii="宋体" w:hAnsi="宋体"/>
          <w:sz w:val="24"/>
          <w:szCs w:val="24"/>
        </w:rPr>
        <w:t>5</w:t>
      </w:r>
      <w:r>
        <w:rPr>
          <w:rFonts w:hint="eastAsia" w:ascii="宋体" w:hAnsi="宋体"/>
          <w:sz w:val="24"/>
          <w:szCs w:val="24"/>
        </w:rPr>
        <w:t>天书面通知招标方。</w:t>
      </w:r>
    </w:p>
    <w:p w14:paraId="04A61F26">
      <w:pPr>
        <w:rPr>
          <w:rFonts w:hint="eastAsia" w:ascii="宋体" w:hAnsi="宋体"/>
          <w:sz w:val="24"/>
          <w:szCs w:val="24"/>
        </w:rPr>
      </w:pPr>
      <w:r>
        <w:rPr>
          <w:rFonts w:hint="eastAsia" w:ascii="宋体" w:hAnsi="宋体"/>
          <w:sz w:val="24"/>
          <w:szCs w:val="24"/>
        </w:rPr>
        <w:t>1</w:t>
      </w:r>
      <w:r>
        <w:rPr>
          <w:rFonts w:ascii="宋体" w:hAnsi="宋体"/>
          <w:sz w:val="24"/>
          <w:szCs w:val="24"/>
        </w:rPr>
        <w:t>1.3</w:t>
      </w:r>
      <w:r>
        <w:rPr>
          <w:rFonts w:hint="eastAsia" w:ascii="宋体" w:hAnsi="宋体"/>
          <w:sz w:val="24"/>
          <w:szCs w:val="24"/>
        </w:rPr>
        <w:t>开车维保</w:t>
      </w:r>
    </w:p>
    <w:p w14:paraId="04A61F27">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投标方应派经验丰富的工程师前往现场进行分析系统的现场调试、标定及开车投运维保，招标方应于开车前1</w:t>
      </w:r>
      <w:r>
        <w:rPr>
          <w:rFonts w:ascii="宋体" w:hAnsi="宋体"/>
          <w:sz w:val="24"/>
          <w:szCs w:val="24"/>
        </w:rPr>
        <w:t>5</w:t>
      </w:r>
      <w:r>
        <w:rPr>
          <w:rFonts w:hint="eastAsia" w:ascii="宋体" w:hAnsi="宋体"/>
          <w:sz w:val="24"/>
          <w:szCs w:val="24"/>
        </w:rPr>
        <w:t>天书面通知招标方。</w:t>
      </w:r>
    </w:p>
    <w:p w14:paraId="04A61F28">
      <w:pPr>
        <w:rPr>
          <w:rFonts w:hint="eastAsia" w:ascii="宋体" w:hAnsi="宋体"/>
          <w:sz w:val="24"/>
          <w:szCs w:val="24"/>
        </w:rPr>
      </w:pPr>
    </w:p>
    <w:p w14:paraId="04A61F29">
      <w:pPr>
        <w:rPr>
          <w:rFonts w:hint="eastAsia" w:ascii="宋体" w:hAnsi="宋体"/>
          <w:sz w:val="24"/>
          <w:szCs w:val="24"/>
        </w:rPr>
      </w:pPr>
      <w:r>
        <w:rPr>
          <w:rFonts w:hint="eastAsia" w:ascii="宋体" w:hAnsi="宋体"/>
          <w:sz w:val="24"/>
          <w:szCs w:val="24"/>
        </w:rPr>
        <w:t>1</w:t>
      </w:r>
      <w:r>
        <w:rPr>
          <w:rFonts w:ascii="宋体" w:hAnsi="宋体"/>
          <w:sz w:val="24"/>
          <w:szCs w:val="24"/>
        </w:rPr>
        <w:t>2</w:t>
      </w:r>
      <w:r>
        <w:rPr>
          <w:rFonts w:hint="eastAsia" w:ascii="宋体" w:hAnsi="宋体"/>
          <w:sz w:val="24"/>
          <w:szCs w:val="24"/>
        </w:rPr>
        <w:t>文件资料</w:t>
      </w:r>
    </w:p>
    <w:p w14:paraId="04A61F2A">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投标方应向招标方提交下述文件：</w:t>
      </w:r>
    </w:p>
    <w:p w14:paraId="04A61F2B">
      <w:pPr>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过程分析系统图、分析主机说明书、操作手册等</w:t>
      </w:r>
    </w:p>
    <w:p w14:paraId="04A61F2C">
      <w:pPr>
        <w:rPr>
          <w:rFonts w:hint="eastAsia" w:ascii="宋体" w:hAnsi="宋体" w:cs="Times New Roman"/>
          <w:sz w:val="30"/>
          <w:szCs w:val="30"/>
        </w:rPr>
        <w:sectPr>
          <w:pgSz w:w="11907" w:h="16840"/>
          <w:pgMar w:top="1440" w:right="1797" w:bottom="1440" w:left="1797" w:header="567" w:footer="992" w:gutter="0"/>
          <w:cols w:space="720" w:num="1"/>
          <w:docGrid w:type="linesAndChars" w:linePitch="312" w:charSpace="0"/>
        </w:sect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上述文件图纸纸质版4份，电子版1份，供招标方存档。</w:t>
      </w:r>
    </w:p>
    <w:p w14:paraId="04A61F2D">
      <w:pPr>
        <w:pStyle w:val="5"/>
        <w:rPr>
          <w:rFonts w:hint="eastAsia" w:ascii="宋体" w:hAnsi="宋体"/>
          <w:kern w:val="0"/>
          <w:sz w:val="30"/>
          <w:szCs w:val="30"/>
        </w:rPr>
      </w:pPr>
      <w:bookmarkStart w:id="40" w:name="_Toc161130993"/>
      <w:r>
        <w:rPr>
          <w:rFonts w:hint="eastAsia" w:ascii="宋体" w:hAnsi="宋体" w:cs="Times New Roman"/>
          <w:bCs w:val="0"/>
          <w:sz w:val="30"/>
          <w:szCs w:val="30"/>
        </w:rPr>
        <w:t>第五章   主要商务条款</w:t>
      </w:r>
      <w:bookmarkEnd w:id="26"/>
      <w:bookmarkEnd w:id="27"/>
      <w:bookmarkEnd w:id="40"/>
    </w:p>
    <w:p w14:paraId="04A61F2E">
      <w:pPr>
        <w:pStyle w:val="3"/>
        <w:numPr>
          <w:ilvl w:val="0"/>
          <w:numId w:val="6"/>
        </w:numPr>
        <w:jc w:val="left"/>
        <w:rPr>
          <w:rFonts w:hint="eastAsia" w:ascii="宋体" w:hAnsi="宋体" w:eastAsia="宋体"/>
          <w:sz w:val="24"/>
          <w:szCs w:val="24"/>
        </w:rPr>
      </w:pPr>
      <w:bookmarkStart w:id="41" w:name="_Toc441676662"/>
      <w:bookmarkStart w:id="42" w:name="_Toc161130994"/>
      <w:r>
        <w:rPr>
          <w:rFonts w:hint="eastAsia" w:ascii="宋体" w:hAnsi="宋体" w:eastAsia="宋体"/>
          <w:sz w:val="24"/>
          <w:szCs w:val="24"/>
        </w:rPr>
        <w:t>供货范围：</w:t>
      </w:r>
      <w:bookmarkEnd w:id="41"/>
      <w:bookmarkEnd w:id="42"/>
    </w:p>
    <w:p w14:paraId="04A61F2F">
      <w:pPr>
        <w:rPr>
          <w:rFonts w:hint="eastAsia" w:ascii="宋体" w:hAnsi="宋体" w:cs="宋体"/>
          <w:kern w:val="0"/>
          <w:sz w:val="24"/>
          <w:szCs w:val="24"/>
        </w:rPr>
      </w:pPr>
      <w:r>
        <w:rPr>
          <w:rFonts w:hint="eastAsia" w:ascii="宋体" w:hAnsi="宋体" w:cs="宋体"/>
          <w:kern w:val="0"/>
          <w:sz w:val="24"/>
          <w:szCs w:val="24"/>
        </w:rPr>
        <w:t>1.1招标内容：</w:t>
      </w:r>
    </w:p>
    <w:p w14:paraId="04A61F30">
      <w:pPr>
        <w:spacing w:line="400" w:lineRule="exact"/>
        <w:ind w:firstLine="480" w:firstLineChars="200"/>
        <w:jc w:val="left"/>
        <w:rPr>
          <w:rFonts w:hint="eastAsia" w:ascii="宋体" w:hAnsi="宋体"/>
          <w:b/>
          <w:sz w:val="24"/>
          <w:szCs w:val="24"/>
        </w:rPr>
      </w:pPr>
      <w:r>
        <w:rPr>
          <w:rFonts w:hint="eastAsia" w:ascii="宋体" w:hAnsi="宋体"/>
          <w:b/>
          <w:sz w:val="24"/>
          <w:szCs w:val="24"/>
        </w:rPr>
        <w:t>分析仪表一批</w:t>
      </w:r>
    </w:p>
    <w:p w14:paraId="04A61F31">
      <w:pPr>
        <w:spacing w:line="400" w:lineRule="exact"/>
        <w:jc w:val="left"/>
        <w:rPr>
          <w:rFonts w:hint="eastAsia" w:ascii="宋体" w:hAnsi="宋体" w:cs="宋体"/>
          <w:kern w:val="0"/>
          <w:sz w:val="24"/>
          <w:szCs w:val="24"/>
        </w:rPr>
      </w:pPr>
      <w:r>
        <w:rPr>
          <w:rFonts w:hint="eastAsia" w:ascii="宋体" w:hAnsi="宋体" w:cs="宋体"/>
          <w:kern w:val="0"/>
          <w:sz w:val="24"/>
          <w:szCs w:val="24"/>
        </w:rPr>
        <w:t>1.2报价一律以人民币报价。本项目投标总价包括标的物的设计制造、包装、运输、保险、验收、技术资料、服务等。</w:t>
      </w:r>
    </w:p>
    <w:p w14:paraId="04A61F32">
      <w:pPr>
        <w:spacing w:line="400" w:lineRule="exact"/>
        <w:rPr>
          <w:rFonts w:hint="eastAsia" w:ascii="宋体" w:hAnsi="宋体" w:cs="宋体"/>
          <w:kern w:val="0"/>
          <w:sz w:val="24"/>
          <w:szCs w:val="24"/>
        </w:rPr>
      </w:pPr>
      <w:r>
        <w:rPr>
          <w:rFonts w:hint="eastAsia" w:ascii="宋体" w:hAnsi="宋体" w:cs="宋体"/>
          <w:kern w:val="0"/>
          <w:sz w:val="24"/>
          <w:szCs w:val="24"/>
        </w:rPr>
        <w:t>1.3投标文件中要求对主要的构成进行分项报价；报价单格式详见附件2、3。</w:t>
      </w:r>
    </w:p>
    <w:p w14:paraId="04A61F33">
      <w:pPr>
        <w:spacing w:line="400" w:lineRule="exact"/>
        <w:rPr>
          <w:rFonts w:hint="eastAsia" w:ascii="宋体" w:hAnsi="宋体" w:cs="宋体"/>
          <w:kern w:val="0"/>
          <w:sz w:val="24"/>
          <w:szCs w:val="24"/>
        </w:rPr>
      </w:pPr>
      <w:r>
        <w:rPr>
          <w:rFonts w:hint="eastAsia" w:ascii="宋体" w:hAnsi="宋体" w:cs="宋体"/>
          <w:kern w:val="0"/>
          <w:sz w:val="24"/>
          <w:szCs w:val="24"/>
        </w:rPr>
        <w:t>1.4 按供货清单中的科创名称分别开具发票。同时按清单的公司分别和晋巨公司硫酸厂签字合同。</w:t>
      </w:r>
    </w:p>
    <w:p w14:paraId="04A61F34">
      <w:pPr>
        <w:pStyle w:val="3"/>
        <w:numPr>
          <w:ilvl w:val="0"/>
          <w:numId w:val="6"/>
        </w:numPr>
        <w:jc w:val="left"/>
        <w:rPr>
          <w:rFonts w:hint="eastAsia" w:ascii="宋体" w:hAnsi="宋体" w:eastAsia="宋体"/>
          <w:sz w:val="24"/>
          <w:szCs w:val="24"/>
        </w:rPr>
      </w:pPr>
      <w:bookmarkStart w:id="43" w:name="_Toc161130995"/>
      <w:bookmarkStart w:id="44" w:name="_Toc441676663"/>
      <w:r>
        <w:rPr>
          <w:rFonts w:hint="eastAsia" w:ascii="宋体" w:hAnsi="宋体" w:eastAsia="宋体"/>
          <w:sz w:val="24"/>
          <w:szCs w:val="24"/>
        </w:rPr>
        <w:t>交货</w:t>
      </w:r>
      <w:bookmarkEnd w:id="43"/>
      <w:bookmarkEnd w:id="44"/>
    </w:p>
    <w:p w14:paraId="04A61F35">
      <w:pPr>
        <w:spacing w:line="400" w:lineRule="exact"/>
        <w:ind w:left="420"/>
        <w:jc w:val="left"/>
        <w:rPr>
          <w:rFonts w:hint="eastAsia" w:ascii="宋体" w:hAnsi="宋体" w:cs="宋体"/>
          <w:kern w:val="0"/>
          <w:sz w:val="24"/>
          <w:szCs w:val="24"/>
        </w:rPr>
      </w:pPr>
      <w:r>
        <w:rPr>
          <w:rFonts w:hint="eastAsia" w:ascii="宋体" w:hAnsi="宋体" w:cs="宋体"/>
          <w:kern w:val="0"/>
          <w:sz w:val="24"/>
          <w:szCs w:val="24"/>
        </w:rPr>
        <w:t>2.1收到中标通知书后90天内全部交清。（请报最短交货期）</w:t>
      </w:r>
    </w:p>
    <w:p w14:paraId="04A61F36">
      <w:pPr>
        <w:widowControl/>
        <w:spacing w:before="120" w:line="360" w:lineRule="auto"/>
        <w:ind w:left="119" w:leftChars="57" w:right="119" w:firstLine="360" w:firstLineChars="150"/>
        <w:jc w:val="left"/>
        <w:rPr>
          <w:rFonts w:hint="eastAsia" w:ascii="宋体" w:hAnsi="宋体" w:cs="宋体"/>
          <w:kern w:val="0"/>
          <w:sz w:val="24"/>
          <w:szCs w:val="24"/>
        </w:rPr>
      </w:pPr>
      <w:r>
        <w:rPr>
          <w:rFonts w:hint="eastAsia" w:ascii="宋体" w:hAnsi="宋体" w:cs="宋体"/>
          <w:kern w:val="0"/>
          <w:sz w:val="24"/>
          <w:szCs w:val="24"/>
        </w:rPr>
        <w:t>2.2 交货方式：全部标的物到招标人指定地点为</w:t>
      </w:r>
      <w:r>
        <w:rPr>
          <w:rFonts w:hint="eastAsia" w:ascii="宋体" w:hAnsi="宋体"/>
          <w:b/>
          <w:bCs/>
          <w:sz w:val="24"/>
          <w:szCs w:val="24"/>
          <w:shd w:val="clear" w:color="auto" w:fill="FFF9ED"/>
        </w:rPr>
        <w:t>浙江晋巨化工有限公司（硫酸厂）</w:t>
      </w:r>
      <w:r>
        <w:rPr>
          <w:rFonts w:hint="eastAsia" w:ascii="宋体" w:hAnsi="宋体" w:cs="宋体"/>
          <w:kern w:val="0"/>
          <w:sz w:val="24"/>
          <w:szCs w:val="24"/>
        </w:rPr>
        <w:t>施工现场。</w:t>
      </w:r>
    </w:p>
    <w:p w14:paraId="04A61F37">
      <w:pPr>
        <w:spacing w:line="400" w:lineRule="exact"/>
        <w:ind w:firstLine="600" w:firstLineChars="250"/>
        <w:jc w:val="left"/>
        <w:rPr>
          <w:rFonts w:hint="eastAsia" w:ascii="宋体" w:hAnsi="宋体" w:cs="宋体"/>
          <w:kern w:val="0"/>
          <w:sz w:val="24"/>
          <w:szCs w:val="24"/>
        </w:rPr>
      </w:pPr>
      <w:r>
        <w:rPr>
          <w:rFonts w:hint="eastAsia" w:ascii="宋体" w:hAnsi="宋体" w:cs="宋体"/>
          <w:kern w:val="0"/>
          <w:sz w:val="24"/>
          <w:szCs w:val="24"/>
        </w:rPr>
        <w:t>2.3 包装标准、包装物的供应与回收：按出厂标准，提供标的物运至合同规定的最终目的地所需要的包装，这类包装应采取防潮、防晒、防锈、防腐蚀、防震动及防止其它损坏的必要保护措施，从而保护标的物能够经多次搬运、装卸和长途运输而不被损坏。投标人应承担由于其包装或防护措施不妥而引起标的物锈蚀、损坏和丢失的任何损失的责任或费用。包装物不回收</w:t>
      </w:r>
      <w:r>
        <w:rPr>
          <w:rFonts w:ascii="宋体" w:hAnsi="宋体" w:cs="宋体"/>
          <w:kern w:val="0"/>
          <w:sz w:val="24"/>
          <w:szCs w:val="24"/>
        </w:rPr>
        <w:t>。</w:t>
      </w:r>
      <w:r>
        <w:rPr>
          <w:rFonts w:hint="eastAsia" w:ascii="宋体" w:hAnsi="宋体" w:cs="宋体"/>
          <w:kern w:val="0"/>
          <w:sz w:val="24"/>
          <w:szCs w:val="24"/>
        </w:rPr>
        <w:t>标的物的包装箱内应有设备装箱单及随机资料。</w:t>
      </w:r>
    </w:p>
    <w:p w14:paraId="04A61F38">
      <w:pPr>
        <w:spacing w:line="400" w:lineRule="exact"/>
        <w:ind w:firstLine="600" w:firstLineChars="250"/>
        <w:jc w:val="left"/>
        <w:rPr>
          <w:rFonts w:hint="eastAsia" w:ascii="宋体" w:hAnsi="宋体" w:cs="宋体"/>
          <w:kern w:val="0"/>
          <w:sz w:val="24"/>
          <w:szCs w:val="24"/>
        </w:rPr>
      </w:pPr>
      <w:r>
        <w:rPr>
          <w:rFonts w:hint="eastAsia" w:ascii="宋体" w:hAnsi="宋体" w:cs="宋体"/>
          <w:kern w:val="0"/>
          <w:sz w:val="24"/>
          <w:szCs w:val="24"/>
        </w:rPr>
        <w:t>2.4 投标人提供的产品必须具备适合于长途运输所必须的外包装标识。具体内容参见产品唛头，唛头必须牢固粘贴在外包装显著部位，唛头格式见附件8。</w:t>
      </w:r>
    </w:p>
    <w:p w14:paraId="04A61F39">
      <w:pPr>
        <w:pStyle w:val="3"/>
        <w:numPr>
          <w:ilvl w:val="0"/>
          <w:numId w:val="6"/>
        </w:numPr>
        <w:jc w:val="left"/>
        <w:rPr>
          <w:rFonts w:hint="eastAsia" w:ascii="宋体" w:hAnsi="宋体" w:eastAsia="宋体"/>
          <w:sz w:val="24"/>
          <w:szCs w:val="24"/>
        </w:rPr>
      </w:pPr>
      <w:bookmarkStart w:id="45" w:name="_Toc161130996"/>
      <w:bookmarkStart w:id="46" w:name="_Toc441676664"/>
      <w:r>
        <w:rPr>
          <w:rFonts w:hint="eastAsia" w:ascii="宋体" w:hAnsi="宋体" w:eastAsia="宋体"/>
          <w:sz w:val="24"/>
          <w:szCs w:val="24"/>
        </w:rPr>
        <w:t>货款支付</w:t>
      </w:r>
      <w:bookmarkEnd w:id="45"/>
      <w:bookmarkEnd w:id="46"/>
    </w:p>
    <w:p w14:paraId="04A61F3A">
      <w:pPr>
        <w:widowControl/>
        <w:autoSpaceDE w:val="0"/>
        <w:autoSpaceDN w:val="0"/>
        <w:adjustRightInd w:val="0"/>
        <w:snapToGrid w:val="0"/>
        <w:spacing w:line="360" w:lineRule="auto"/>
        <w:textAlignment w:val="bottom"/>
        <w:rPr>
          <w:rFonts w:hint="eastAsia" w:ascii="宋体" w:hAnsi="宋体"/>
          <w:sz w:val="24"/>
          <w:szCs w:val="24"/>
        </w:rPr>
      </w:pPr>
      <w:r>
        <w:rPr>
          <w:rFonts w:hint="eastAsia" w:ascii="宋体" w:hAnsi="宋体"/>
          <w:sz w:val="24"/>
          <w:szCs w:val="24"/>
        </w:rPr>
        <w:t>3.1 货款支付为银行承兑汇票。</w:t>
      </w:r>
    </w:p>
    <w:p w14:paraId="04A61F3B">
      <w:pPr>
        <w:widowControl/>
        <w:autoSpaceDE w:val="0"/>
        <w:autoSpaceDN w:val="0"/>
        <w:adjustRightInd w:val="0"/>
        <w:snapToGrid w:val="0"/>
        <w:spacing w:line="360" w:lineRule="auto"/>
        <w:textAlignment w:val="bottom"/>
        <w:rPr>
          <w:rFonts w:hint="eastAsia" w:ascii="宋体" w:hAnsi="宋体"/>
          <w:sz w:val="24"/>
          <w:szCs w:val="24"/>
        </w:rPr>
      </w:pPr>
      <w:r>
        <w:rPr>
          <w:rFonts w:hint="eastAsia" w:ascii="宋体" w:hAnsi="宋体"/>
          <w:sz w:val="24"/>
          <w:szCs w:val="24"/>
        </w:rPr>
        <w:t>3.2 履约保证金为合同总金额的10%。</w:t>
      </w:r>
    </w:p>
    <w:p w14:paraId="04A61F3C">
      <w:pPr>
        <w:widowControl/>
        <w:autoSpaceDE w:val="0"/>
        <w:autoSpaceDN w:val="0"/>
        <w:adjustRightInd w:val="0"/>
        <w:snapToGrid w:val="0"/>
        <w:spacing w:line="360" w:lineRule="auto"/>
        <w:textAlignment w:val="bottom"/>
        <w:rPr>
          <w:rFonts w:hint="eastAsia" w:ascii="宋体" w:hAnsi="宋体"/>
          <w:sz w:val="24"/>
          <w:szCs w:val="24"/>
        </w:rPr>
      </w:pPr>
      <w:r>
        <w:rPr>
          <w:rFonts w:hint="eastAsia" w:ascii="宋体" w:hAnsi="宋体"/>
          <w:sz w:val="24"/>
          <w:szCs w:val="24"/>
        </w:rPr>
        <w:t>3.3 技术协议、商务合同签订后，招标人在投标人交纳履约保证金后七个工作日内向投标人支付合同总金额30%的预付款。</w:t>
      </w:r>
    </w:p>
    <w:p w14:paraId="04A61F3D">
      <w:pPr>
        <w:widowControl/>
        <w:autoSpaceDE w:val="0"/>
        <w:autoSpaceDN w:val="0"/>
        <w:adjustRightInd w:val="0"/>
        <w:snapToGrid w:val="0"/>
        <w:spacing w:line="360" w:lineRule="auto"/>
        <w:textAlignment w:val="bottom"/>
        <w:rPr>
          <w:rFonts w:hint="eastAsia" w:ascii="宋体" w:hAnsi="宋体"/>
          <w:sz w:val="24"/>
          <w:szCs w:val="24"/>
        </w:rPr>
      </w:pPr>
      <w:r>
        <w:rPr>
          <w:rFonts w:hint="eastAsia" w:ascii="宋体" w:hAnsi="宋体"/>
          <w:sz w:val="24"/>
          <w:szCs w:val="24"/>
        </w:rPr>
        <w:t>3.4 设备到货经外观、数量等验收且设备安装经装置性能考核合格后，投标人提供全额增值税发票，招标人向投标人支付合同总金额60%的到货款。并无息全额退还履约保证金。</w:t>
      </w:r>
    </w:p>
    <w:p w14:paraId="04A61F3E">
      <w:pPr>
        <w:widowControl/>
        <w:autoSpaceDE w:val="0"/>
        <w:autoSpaceDN w:val="0"/>
        <w:adjustRightInd w:val="0"/>
        <w:snapToGrid w:val="0"/>
        <w:spacing w:line="360" w:lineRule="auto"/>
        <w:textAlignment w:val="bottom"/>
        <w:rPr>
          <w:rFonts w:hint="eastAsia" w:ascii="宋体" w:hAnsi="宋体"/>
          <w:sz w:val="24"/>
          <w:szCs w:val="24"/>
        </w:rPr>
      </w:pPr>
      <w:r>
        <w:rPr>
          <w:rFonts w:hint="eastAsia" w:ascii="宋体" w:hAnsi="宋体"/>
          <w:sz w:val="24"/>
          <w:szCs w:val="24"/>
        </w:rPr>
        <w:t>3.5 合同总金额的10%作为质保金，在质保期满后无质量异议，30天内支付。</w:t>
      </w:r>
    </w:p>
    <w:p w14:paraId="04A61F3F">
      <w:pPr>
        <w:pStyle w:val="3"/>
        <w:numPr>
          <w:ilvl w:val="0"/>
          <w:numId w:val="6"/>
        </w:numPr>
        <w:jc w:val="left"/>
        <w:rPr>
          <w:rFonts w:hint="eastAsia" w:ascii="宋体" w:hAnsi="宋体" w:eastAsia="宋体"/>
          <w:sz w:val="24"/>
          <w:szCs w:val="24"/>
        </w:rPr>
      </w:pPr>
      <w:bookmarkStart w:id="47" w:name="_Toc161130997"/>
      <w:bookmarkStart w:id="48" w:name="_Toc441676665"/>
      <w:r>
        <w:rPr>
          <w:rFonts w:hint="eastAsia" w:ascii="宋体" w:hAnsi="宋体" w:eastAsia="宋体"/>
          <w:sz w:val="24"/>
          <w:szCs w:val="24"/>
        </w:rPr>
        <w:t>质量保证</w:t>
      </w:r>
      <w:bookmarkEnd w:id="47"/>
      <w:bookmarkEnd w:id="48"/>
    </w:p>
    <w:p w14:paraId="04A61F40">
      <w:pPr>
        <w:spacing w:line="360" w:lineRule="auto"/>
        <w:jc w:val="left"/>
        <w:rPr>
          <w:rFonts w:hint="eastAsia" w:ascii="宋体" w:hAnsi="宋体"/>
          <w:sz w:val="24"/>
          <w:szCs w:val="24"/>
        </w:rPr>
      </w:pPr>
      <w:r>
        <w:rPr>
          <w:rFonts w:hint="eastAsia" w:ascii="宋体" w:hAnsi="宋体"/>
          <w:sz w:val="24"/>
          <w:szCs w:val="24"/>
        </w:rPr>
        <w:t>*4.1整套系统的质量保证期为交货后24个月或开车投用后18个月，二者以先到为准。</w:t>
      </w:r>
    </w:p>
    <w:p w14:paraId="04A61F41">
      <w:pPr>
        <w:spacing w:line="360" w:lineRule="auto"/>
        <w:jc w:val="left"/>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 xml:space="preserve">投标方须严格按照国家、行业相关标准及工厂指标生产、集成本项目所需设备。投标方须严格按照本项目招标人提供的数据设计、组装产品，并为产品的正常运行及各部件的质量性能负责，承诺所提供的产品质量性能能够买组招标方需求。如若招标方在生产使用过程中发现产品性能未能达到协议中说明的标准，视为产品不合格，投标方须为因此产生的问题负责，招标方保留进一步追责的权利。 </w:t>
      </w:r>
      <w:r>
        <w:rPr>
          <w:rFonts w:ascii="宋体" w:hAnsi="宋体"/>
          <w:sz w:val="24"/>
          <w:szCs w:val="24"/>
        </w:rPr>
        <w:t xml:space="preserve"> </w:t>
      </w:r>
    </w:p>
    <w:p w14:paraId="04A61F42">
      <w:pPr>
        <w:tabs>
          <w:tab w:val="left" w:pos="8160"/>
          <w:tab w:val="left" w:pos="9840"/>
          <w:tab w:val="left" w:pos="9960"/>
        </w:tabs>
        <w:adjustRightInd w:val="0"/>
        <w:snapToGrid w:val="0"/>
        <w:spacing w:line="360" w:lineRule="auto"/>
        <w:ind w:right="13"/>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投标方须保证系统各部件的备品备件的供应期不少于1</w:t>
      </w:r>
      <w:r>
        <w:rPr>
          <w:rFonts w:ascii="宋体" w:hAnsi="宋体"/>
          <w:sz w:val="24"/>
          <w:szCs w:val="24"/>
        </w:rPr>
        <w:t>0</w:t>
      </w:r>
      <w:r>
        <w:rPr>
          <w:rFonts w:hint="eastAsia" w:ascii="宋体" w:hAnsi="宋体"/>
          <w:sz w:val="24"/>
          <w:szCs w:val="24"/>
        </w:rPr>
        <w:t>年或同型号备品备件退出市场后5年，且所提供的备品备件价格不得高于投标文件中分项报价的单列价格。否则，投标方需提供同性能的备品备件清单供招标方选择，并承诺对所提供的清单中的替代备件型号的性能指标负责</w:t>
      </w:r>
    </w:p>
    <w:p w14:paraId="04A61F43">
      <w:pPr>
        <w:tabs>
          <w:tab w:val="left" w:pos="8160"/>
          <w:tab w:val="left" w:pos="9840"/>
          <w:tab w:val="left" w:pos="9960"/>
        </w:tabs>
        <w:adjustRightInd w:val="0"/>
        <w:snapToGrid w:val="0"/>
        <w:spacing w:line="360" w:lineRule="auto"/>
        <w:ind w:right="13"/>
        <w:rPr>
          <w:rFonts w:hint="eastAsia" w:ascii="宋体" w:hAnsi="宋体"/>
          <w:sz w:val="24"/>
          <w:szCs w:val="24"/>
        </w:rPr>
      </w:pPr>
      <w:r>
        <w:rPr>
          <w:rFonts w:hint="eastAsia" w:ascii="宋体" w:hAnsi="宋体"/>
          <w:sz w:val="24"/>
          <w:szCs w:val="24"/>
        </w:rPr>
        <w:t xml:space="preserve">4.2若对检验中出现的上述事故和原因的看法有矛盾时，该设备、材料将请检验权威机构重新检验，该检验权威机构出具的检验证明作为招标人向投标人索赔或要求投标人更正、修理、更换或补供设备和材料的有效证据。检验所需费用由事故责任方承担。 </w:t>
      </w:r>
    </w:p>
    <w:p w14:paraId="04A61F44">
      <w:pPr>
        <w:tabs>
          <w:tab w:val="left" w:pos="8160"/>
          <w:tab w:val="left" w:pos="9840"/>
          <w:tab w:val="left" w:pos="9960"/>
        </w:tabs>
        <w:adjustRightInd w:val="0"/>
        <w:snapToGrid w:val="0"/>
        <w:spacing w:line="360" w:lineRule="auto"/>
        <w:ind w:right="13"/>
        <w:rPr>
          <w:rFonts w:hint="eastAsia" w:ascii="宋体" w:hAnsi="宋体"/>
          <w:sz w:val="24"/>
          <w:szCs w:val="24"/>
        </w:rPr>
      </w:pPr>
      <w:r>
        <w:rPr>
          <w:rFonts w:hint="eastAsia" w:ascii="宋体" w:hAnsi="宋体"/>
          <w:sz w:val="24"/>
          <w:szCs w:val="24"/>
        </w:rPr>
        <w:t>4.</w:t>
      </w:r>
      <w:r>
        <w:rPr>
          <w:rFonts w:ascii="宋体" w:hAnsi="宋体"/>
          <w:sz w:val="24"/>
          <w:szCs w:val="24"/>
        </w:rPr>
        <w:t>3</w:t>
      </w:r>
      <w:r>
        <w:rPr>
          <w:rFonts w:hint="eastAsia" w:ascii="宋体" w:hAnsi="宋体"/>
          <w:sz w:val="24"/>
          <w:szCs w:val="24"/>
        </w:rPr>
        <w:t>因开箱检验不合格影响工程进度，由此造成招标人的经济损失应由投标人负责赔偿。</w:t>
      </w:r>
    </w:p>
    <w:p w14:paraId="04A61F45">
      <w:r>
        <w:rPr>
          <w:rFonts w:hint="eastAsia"/>
        </w:rPr>
        <w:t>4.</w:t>
      </w:r>
      <w:r>
        <w:t>4</w:t>
      </w:r>
      <w:r>
        <w:rPr>
          <w:rFonts w:hint="eastAsia"/>
        </w:rPr>
        <w:t>投标人提供的产品应不需阶段性的特殊维护。</w:t>
      </w:r>
    </w:p>
    <w:p w14:paraId="04A61F46">
      <w:pPr>
        <w:pStyle w:val="3"/>
        <w:numPr>
          <w:ilvl w:val="0"/>
          <w:numId w:val="6"/>
        </w:numPr>
        <w:jc w:val="left"/>
        <w:rPr>
          <w:rFonts w:hint="eastAsia" w:ascii="宋体" w:hAnsi="宋体" w:eastAsia="宋体"/>
          <w:sz w:val="24"/>
          <w:szCs w:val="24"/>
        </w:rPr>
      </w:pPr>
      <w:bookmarkStart w:id="49" w:name="_Toc441676666"/>
      <w:bookmarkStart w:id="50" w:name="_Toc161130998"/>
      <w:r>
        <w:rPr>
          <w:rFonts w:hint="eastAsia" w:ascii="宋体" w:hAnsi="宋体" w:eastAsia="宋体"/>
          <w:sz w:val="24"/>
          <w:szCs w:val="24"/>
        </w:rPr>
        <w:t>售后服务</w:t>
      </w:r>
      <w:bookmarkEnd w:id="49"/>
      <w:bookmarkEnd w:id="50"/>
    </w:p>
    <w:p w14:paraId="04A61F47">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5.1</w:t>
      </w:r>
      <w:r>
        <w:rPr>
          <w:rFonts w:hint="eastAsia" w:ascii="宋体" w:hAnsi="宋体"/>
          <w:sz w:val="24"/>
          <w:szCs w:val="24"/>
        </w:rPr>
        <w:t>质保期内投标方应承诺免费服务，如有部件故障或非人为因素损坏，视为产品质量问题，投标方须免费为招标方更换，并相对延长设备的质保期。质保期后投标方承诺终身服务，招标方承担服务产生的相应物资材料成本费用。</w:t>
      </w:r>
    </w:p>
    <w:p w14:paraId="04A61F48">
      <w:pPr>
        <w:spacing w:line="400" w:lineRule="exact"/>
        <w:ind w:firstLine="480" w:firstLineChars="200"/>
        <w:rPr>
          <w:rFonts w:hint="eastAsia" w:ascii="宋体" w:hAnsi="宋体"/>
          <w:sz w:val="24"/>
          <w:szCs w:val="24"/>
        </w:rPr>
      </w:pPr>
      <w:r>
        <w:rPr>
          <w:rFonts w:hint="eastAsia" w:ascii="宋体" w:hAnsi="宋体" w:cs="宋体"/>
          <w:kern w:val="0"/>
          <w:sz w:val="24"/>
          <w:szCs w:val="24"/>
        </w:rPr>
        <w:t>5.2</w:t>
      </w:r>
      <w:r>
        <w:rPr>
          <w:rFonts w:hint="eastAsia" w:ascii="宋体" w:hAnsi="宋体"/>
          <w:sz w:val="24"/>
          <w:szCs w:val="24"/>
        </w:rPr>
        <w:t>设备发生故障时，投标人</w:t>
      </w:r>
      <w:r>
        <w:rPr>
          <w:rFonts w:ascii="宋体" w:hAnsi="宋体"/>
          <w:sz w:val="24"/>
          <w:szCs w:val="24"/>
        </w:rPr>
        <w:t>8</w:t>
      </w:r>
      <w:r>
        <w:rPr>
          <w:rFonts w:hint="eastAsia" w:ascii="宋体" w:hAnsi="宋体"/>
          <w:sz w:val="24"/>
          <w:szCs w:val="24"/>
        </w:rPr>
        <w:t>小时内给予书面回复，24小时内携带相应的备品备件赶到现场，提供免费现场服务。当天无法派人到现场抢修的，必须及时与用户协商。</w:t>
      </w:r>
    </w:p>
    <w:p w14:paraId="04A61F49">
      <w:pPr>
        <w:pStyle w:val="3"/>
        <w:numPr>
          <w:ilvl w:val="0"/>
          <w:numId w:val="6"/>
        </w:numPr>
        <w:jc w:val="left"/>
        <w:rPr>
          <w:rFonts w:hint="eastAsia" w:ascii="宋体" w:hAnsi="宋体" w:eastAsia="宋体"/>
          <w:sz w:val="24"/>
          <w:szCs w:val="24"/>
        </w:rPr>
      </w:pPr>
      <w:bookmarkStart w:id="51" w:name="_Toc441676667"/>
      <w:bookmarkStart w:id="52" w:name="_Toc161130999"/>
      <w:r>
        <w:rPr>
          <w:rFonts w:hint="eastAsia" w:ascii="宋体" w:hAnsi="宋体" w:eastAsia="宋体"/>
          <w:sz w:val="24"/>
          <w:szCs w:val="24"/>
        </w:rPr>
        <w:t>验收</w:t>
      </w:r>
      <w:bookmarkEnd w:id="51"/>
      <w:bookmarkEnd w:id="52"/>
    </w:p>
    <w:p w14:paraId="04A61F4A">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 xml:space="preserve">6.1投标人应提供标的物的有效检验文件，经招标人认可后，按合同的性能指标、技术协议、招投标文件一起作为标的物验收标准，验收标准有冲突时，以双方签订合同条款为准。验收中发现标的物达不到验收标准或合同规定的性能指标，投标人必须调整或更换标的物，并且赔偿由此给用户造成的损失。负责无论招标人是否参与监制,均不视为投标人按合同规定应当承当的质量保证的解除,也不免除投标人对合同设备所负的责任和义务。投标人使用不符合设计要求及国家质量标准的材料时，招标人有权要求投标人立即停止使用并予以更换，由此造成的损失全部由投标人承担。 </w:t>
      </w:r>
    </w:p>
    <w:p w14:paraId="04A61F4B">
      <w:pPr>
        <w:pStyle w:val="3"/>
        <w:numPr>
          <w:ilvl w:val="0"/>
          <w:numId w:val="6"/>
        </w:numPr>
        <w:jc w:val="left"/>
        <w:rPr>
          <w:rFonts w:hint="eastAsia" w:ascii="宋体" w:hAnsi="宋体" w:eastAsia="宋体"/>
          <w:sz w:val="24"/>
          <w:szCs w:val="24"/>
        </w:rPr>
      </w:pPr>
      <w:bookmarkStart w:id="53" w:name="_Toc161131000"/>
      <w:bookmarkStart w:id="54" w:name="_Toc441676668"/>
      <w:r>
        <w:rPr>
          <w:rFonts w:hint="eastAsia" w:ascii="宋体" w:hAnsi="宋体" w:eastAsia="宋体"/>
          <w:sz w:val="24"/>
          <w:szCs w:val="24"/>
        </w:rPr>
        <w:t>违约责任</w:t>
      </w:r>
      <w:bookmarkEnd w:id="53"/>
      <w:bookmarkEnd w:id="54"/>
    </w:p>
    <w:p w14:paraId="04A61F4C">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7.1如因投标人自身原因造成逾期交货，交货时间（以实际签收日为准）每推迟一天支付合同总价的</w:t>
      </w:r>
      <w:r>
        <w:rPr>
          <w:rFonts w:hint="eastAsia" w:ascii="宋体" w:hAnsi="宋体" w:cs="宋体"/>
          <w:kern w:val="0"/>
          <w:sz w:val="24"/>
          <w:szCs w:val="24"/>
          <w:u w:val="single"/>
        </w:rPr>
        <w:t xml:space="preserve">  0.5  </w:t>
      </w:r>
      <w:r>
        <w:rPr>
          <w:rFonts w:hint="eastAsia" w:ascii="宋体" w:hAnsi="宋体" w:cs="宋体"/>
          <w:kern w:val="0"/>
          <w:sz w:val="24"/>
          <w:szCs w:val="24"/>
        </w:rPr>
        <w:t>%违约金，违约金累计总金额不超过合同总金额的15%。逾期交货超过</w:t>
      </w:r>
      <w:r>
        <w:rPr>
          <w:rFonts w:hint="eastAsia" w:ascii="宋体" w:hAnsi="宋体" w:cs="宋体"/>
          <w:kern w:val="0"/>
          <w:sz w:val="24"/>
          <w:szCs w:val="24"/>
          <w:u w:val="single"/>
        </w:rPr>
        <w:t xml:space="preserve">15 </w:t>
      </w:r>
      <w:r>
        <w:rPr>
          <w:rFonts w:hint="eastAsia" w:ascii="宋体" w:hAnsi="宋体" w:cs="宋体"/>
          <w:kern w:val="0"/>
          <w:sz w:val="24"/>
          <w:szCs w:val="24"/>
        </w:rPr>
        <w:t>天，视为投标人交货不能，招标人有权终止合同，终止合同后5个工作日内投标人全额返还所有已付款项，并支付违约金30%，且履约保证金不予退还，招标人保留进一步索赔的权利。</w:t>
      </w:r>
    </w:p>
    <w:p w14:paraId="04A61F4D">
      <w:pPr>
        <w:pStyle w:val="5"/>
        <w:rPr>
          <w:rFonts w:hint="eastAsia" w:ascii="宋体" w:hAnsi="宋体"/>
          <w:kern w:val="0"/>
        </w:rPr>
      </w:pPr>
      <w:bookmarkStart w:id="55" w:name="_Toc441676669"/>
      <w:r>
        <w:rPr>
          <w:rFonts w:ascii="宋体" w:hAnsi="宋体"/>
          <w:kern w:val="0"/>
        </w:rPr>
        <w:br w:type="page"/>
      </w:r>
      <w:bookmarkStart w:id="56" w:name="_Toc161131001"/>
      <w:r>
        <w:rPr>
          <w:rFonts w:hint="eastAsia" w:ascii="宋体" w:hAnsi="宋体"/>
          <w:kern w:val="0"/>
        </w:rPr>
        <w:t>第六章    评标办法</w:t>
      </w:r>
      <w:bookmarkEnd w:id="55"/>
      <w:bookmarkEnd w:id="56"/>
    </w:p>
    <w:p w14:paraId="04A61F4E">
      <w:pPr>
        <w:spacing w:line="360" w:lineRule="auto"/>
        <w:ind w:firstLine="420"/>
        <w:rPr>
          <w:rFonts w:hint="eastAsia" w:ascii="宋体" w:hAnsi="宋体" w:cs="宋体"/>
          <w:kern w:val="0"/>
          <w:sz w:val="24"/>
          <w:szCs w:val="24"/>
        </w:rPr>
      </w:pPr>
      <w:r>
        <w:rPr>
          <w:rFonts w:hint="eastAsia" w:ascii="宋体" w:hAnsi="宋体" w:cs="宋体"/>
          <w:kern w:val="0"/>
          <w:sz w:val="24"/>
          <w:szCs w:val="24"/>
        </w:rPr>
        <w:t>根据《中华人民共和国招投标法》等有关法律法规，结合本项目的实际，按照公正、公平、科学、择优的原则选择中标人，特制定本办法。</w:t>
      </w:r>
    </w:p>
    <w:p w14:paraId="04A61F4F">
      <w:pPr>
        <w:pStyle w:val="3"/>
        <w:jc w:val="left"/>
        <w:rPr>
          <w:rFonts w:hint="eastAsia" w:ascii="宋体" w:hAnsi="宋体" w:eastAsia="宋体"/>
          <w:sz w:val="24"/>
          <w:szCs w:val="24"/>
        </w:rPr>
      </w:pPr>
      <w:bookmarkStart w:id="57" w:name="_Toc441676670"/>
      <w:bookmarkStart w:id="58" w:name="_Toc161131002"/>
      <w:r>
        <w:rPr>
          <w:rFonts w:hint="eastAsia" w:ascii="宋体" w:hAnsi="宋体" w:eastAsia="宋体"/>
          <w:sz w:val="24"/>
          <w:szCs w:val="24"/>
        </w:rPr>
        <w:t>1、评标总则</w:t>
      </w:r>
      <w:bookmarkEnd w:id="57"/>
      <w:bookmarkEnd w:id="58"/>
    </w:p>
    <w:p w14:paraId="04A61F50">
      <w:pPr>
        <w:spacing w:line="360" w:lineRule="auto"/>
        <w:rPr>
          <w:rFonts w:hint="eastAsia" w:ascii="宋体" w:hAnsi="宋体" w:cs="宋体"/>
          <w:kern w:val="0"/>
          <w:sz w:val="24"/>
          <w:szCs w:val="24"/>
        </w:rPr>
      </w:pPr>
      <w:r>
        <w:rPr>
          <w:rFonts w:hint="eastAsia" w:ascii="宋体" w:hAnsi="宋体" w:cs="宋体"/>
          <w:b/>
          <w:kern w:val="0"/>
          <w:sz w:val="24"/>
          <w:szCs w:val="24"/>
        </w:rPr>
        <w:t xml:space="preserve">   </w:t>
      </w:r>
      <w:r>
        <w:rPr>
          <w:rFonts w:hint="eastAsia" w:ascii="宋体" w:hAnsi="宋体" w:cs="宋体"/>
          <w:kern w:val="0"/>
          <w:sz w:val="24"/>
          <w:szCs w:val="24"/>
        </w:rPr>
        <w:t>1.1本次招标采用综合评标法，综合评标得分最高者为预中标人。</w:t>
      </w:r>
    </w:p>
    <w:p w14:paraId="04A61F51">
      <w:pPr>
        <w:spacing w:line="360" w:lineRule="auto"/>
        <w:rPr>
          <w:rFonts w:hint="eastAsia" w:ascii="宋体" w:hAnsi="宋体" w:cs="宋体"/>
          <w:kern w:val="0"/>
          <w:sz w:val="24"/>
          <w:szCs w:val="24"/>
        </w:rPr>
      </w:pPr>
      <w:r>
        <w:rPr>
          <w:rFonts w:hint="eastAsia" w:ascii="宋体" w:hAnsi="宋体" w:cs="宋体"/>
          <w:kern w:val="0"/>
          <w:sz w:val="24"/>
          <w:szCs w:val="24"/>
        </w:rPr>
        <w:t xml:space="preserve">   1.2为最大限度地保护当事人的权益，评标委员会应严格按照招标文件的资信、技术、商务要求，对投标文件进行综合分析评价，编制评标报告。</w:t>
      </w:r>
    </w:p>
    <w:p w14:paraId="04A61F52">
      <w:pPr>
        <w:spacing w:line="360" w:lineRule="auto"/>
        <w:rPr>
          <w:rFonts w:hint="eastAsia" w:ascii="宋体" w:hAnsi="宋体" w:cs="宋体"/>
          <w:kern w:val="0"/>
          <w:sz w:val="24"/>
          <w:szCs w:val="24"/>
        </w:rPr>
      </w:pPr>
      <w:r>
        <w:rPr>
          <w:rFonts w:hint="eastAsia" w:ascii="宋体" w:hAnsi="宋体" w:cs="宋体"/>
          <w:kern w:val="0"/>
          <w:sz w:val="24"/>
          <w:szCs w:val="24"/>
        </w:rPr>
        <w:t xml:space="preserve">   1.3评标委员会成员必须严格遵守保密规定，不得泄露评标有关的情况，不得索贿受贿，不得参加影响评标的任何活动。</w:t>
      </w:r>
    </w:p>
    <w:p w14:paraId="04A61F53">
      <w:pPr>
        <w:pStyle w:val="3"/>
        <w:jc w:val="left"/>
        <w:rPr>
          <w:rFonts w:hint="eastAsia" w:ascii="宋体" w:hAnsi="宋体" w:eastAsia="宋体"/>
          <w:sz w:val="24"/>
          <w:szCs w:val="24"/>
        </w:rPr>
      </w:pPr>
      <w:bookmarkStart w:id="59" w:name="_Toc161131003"/>
      <w:bookmarkStart w:id="60" w:name="_Toc441676671"/>
      <w:r>
        <w:rPr>
          <w:rFonts w:hint="eastAsia" w:ascii="宋体" w:hAnsi="宋体" w:eastAsia="宋体"/>
          <w:sz w:val="24"/>
          <w:szCs w:val="24"/>
        </w:rPr>
        <w:t>2、评标组织</w:t>
      </w:r>
      <w:bookmarkEnd w:id="59"/>
      <w:bookmarkEnd w:id="60"/>
    </w:p>
    <w:p w14:paraId="04A61F54">
      <w:pPr>
        <w:spacing w:line="360" w:lineRule="auto"/>
        <w:rPr>
          <w:rFonts w:hint="eastAsia" w:ascii="宋体" w:hAnsi="宋体" w:cs="宋体"/>
          <w:kern w:val="0"/>
          <w:sz w:val="24"/>
          <w:szCs w:val="24"/>
        </w:rPr>
      </w:pPr>
      <w:r>
        <w:rPr>
          <w:rFonts w:hint="eastAsia" w:ascii="宋体" w:hAnsi="宋体" w:cs="宋体"/>
          <w:kern w:val="0"/>
          <w:sz w:val="24"/>
          <w:szCs w:val="24"/>
        </w:rPr>
        <w:t xml:space="preserve">   2.1评标工作由评标委员会负责。评标委员会由招标人的代表和技术、经济、法律等方面的专家组成，成员人数为五人以上单数，其中技术经济类的专家不得少于成员总数的三分之二。</w:t>
      </w:r>
    </w:p>
    <w:p w14:paraId="04A61F55">
      <w:pPr>
        <w:pStyle w:val="3"/>
        <w:jc w:val="left"/>
        <w:rPr>
          <w:rFonts w:hint="eastAsia" w:ascii="宋体" w:hAnsi="宋体" w:eastAsia="宋体"/>
          <w:sz w:val="24"/>
          <w:szCs w:val="24"/>
        </w:rPr>
      </w:pPr>
      <w:bookmarkStart w:id="61" w:name="_Toc161131004"/>
      <w:bookmarkStart w:id="62" w:name="_Toc441676672"/>
      <w:r>
        <w:rPr>
          <w:rFonts w:hint="eastAsia" w:ascii="宋体" w:hAnsi="宋体" w:eastAsia="宋体"/>
          <w:sz w:val="24"/>
          <w:szCs w:val="24"/>
        </w:rPr>
        <w:t>3、评标程序及办法</w:t>
      </w:r>
      <w:bookmarkEnd w:id="61"/>
      <w:bookmarkEnd w:id="62"/>
    </w:p>
    <w:p w14:paraId="04A61F56">
      <w:pPr>
        <w:rPr>
          <w:rFonts w:hint="eastAsia" w:ascii="宋体" w:hAnsi="宋体" w:cs="宋体"/>
          <w:kern w:val="0"/>
          <w:sz w:val="24"/>
          <w:szCs w:val="24"/>
        </w:rPr>
      </w:pPr>
      <w:r>
        <w:rPr>
          <w:rFonts w:hint="eastAsia" w:ascii="宋体" w:hAnsi="宋体" w:cs="宋体"/>
          <w:kern w:val="0"/>
          <w:sz w:val="24"/>
          <w:szCs w:val="24"/>
        </w:rPr>
        <w:t xml:space="preserve">   3.1.评标程序</w:t>
      </w:r>
    </w:p>
    <w:p w14:paraId="04A61F57">
      <w:pPr>
        <w:spacing w:line="360" w:lineRule="auto"/>
        <w:ind w:firstLine="360" w:firstLineChars="150"/>
        <w:rPr>
          <w:rFonts w:hint="eastAsia" w:ascii="宋体" w:hAnsi="宋体" w:cs="宋体"/>
          <w:kern w:val="0"/>
          <w:sz w:val="24"/>
          <w:szCs w:val="24"/>
        </w:rPr>
      </w:pPr>
      <w:r>
        <w:rPr>
          <w:rFonts w:hint="eastAsia" w:ascii="宋体" w:hAnsi="宋体" w:cs="宋体"/>
          <w:kern w:val="0"/>
          <w:sz w:val="24"/>
          <w:szCs w:val="24"/>
        </w:rPr>
        <w:t>3.1.1先开技术资信标，评分结束后再开商务标。</w:t>
      </w:r>
      <w:r>
        <w:rPr>
          <w:rFonts w:ascii="宋体" w:hAnsi="宋体" w:cs="宋体"/>
          <w:kern w:val="0"/>
          <w:sz w:val="24"/>
          <w:szCs w:val="24"/>
        </w:rPr>
        <w:t>开标后，评标委员会首先对投标文件</w:t>
      </w:r>
      <w:r>
        <w:rPr>
          <w:rFonts w:hint="eastAsia" w:ascii="宋体" w:hAnsi="宋体" w:cs="宋体"/>
          <w:kern w:val="0"/>
          <w:sz w:val="24"/>
          <w:szCs w:val="24"/>
        </w:rPr>
        <w:t>的投标人资格</w:t>
      </w:r>
      <w:r>
        <w:rPr>
          <w:rFonts w:ascii="宋体" w:hAnsi="宋体" w:cs="宋体"/>
          <w:kern w:val="0"/>
          <w:sz w:val="24"/>
          <w:szCs w:val="24"/>
        </w:rPr>
        <w:t>进行</w:t>
      </w:r>
      <w:r>
        <w:rPr>
          <w:rFonts w:hint="eastAsia" w:ascii="宋体" w:hAnsi="宋体" w:cs="宋体"/>
          <w:kern w:val="0"/>
          <w:sz w:val="24"/>
          <w:szCs w:val="24"/>
        </w:rPr>
        <w:t>资格</w:t>
      </w:r>
      <w:r>
        <w:rPr>
          <w:rFonts w:ascii="宋体" w:hAnsi="宋体" w:cs="宋体"/>
          <w:kern w:val="0"/>
          <w:sz w:val="24"/>
          <w:szCs w:val="24"/>
        </w:rPr>
        <w:t>审查</w:t>
      </w:r>
      <w:r>
        <w:rPr>
          <w:rFonts w:hint="eastAsia" w:ascii="宋体" w:hAnsi="宋体" w:cs="宋体"/>
          <w:kern w:val="0"/>
          <w:sz w:val="24"/>
          <w:szCs w:val="24"/>
        </w:rPr>
        <w:t>（投标人投标资格见投标人须知前附表第4项）</w:t>
      </w:r>
      <w:r>
        <w:rPr>
          <w:rFonts w:ascii="宋体" w:hAnsi="宋体" w:cs="宋体"/>
          <w:kern w:val="0"/>
          <w:sz w:val="24"/>
          <w:szCs w:val="24"/>
        </w:rPr>
        <w:t>，</w:t>
      </w:r>
      <w:r>
        <w:rPr>
          <w:rFonts w:hint="eastAsia" w:ascii="宋体" w:hAnsi="宋体" w:cs="宋体"/>
          <w:kern w:val="0"/>
          <w:sz w:val="24"/>
          <w:szCs w:val="24"/>
        </w:rPr>
        <w:t>资格审查合格的投标文件进入技术评审</w:t>
      </w:r>
      <w:r>
        <w:rPr>
          <w:rFonts w:ascii="宋体" w:hAnsi="宋体" w:cs="宋体"/>
          <w:kern w:val="0"/>
          <w:sz w:val="24"/>
          <w:szCs w:val="24"/>
        </w:rPr>
        <w:t>。</w:t>
      </w:r>
      <w:r>
        <w:rPr>
          <w:rFonts w:hint="eastAsia" w:ascii="宋体" w:hAnsi="宋体" w:cs="宋体"/>
          <w:kern w:val="0"/>
          <w:sz w:val="24"/>
          <w:szCs w:val="24"/>
        </w:rPr>
        <w:t>技术评审结束后开启商务报价投标文件进行评审，并最终确定中标人。</w:t>
      </w:r>
    </w:p>
    <w:p w14:paraId="04A61F58">
      <w:pPr>
        <w:spacing w:line="360" w:lineRule="auto"/>
        <w:ind w:firstLine="420"/>
        <w:rPr>
          <w:rFonts w:hint="eastAsia" w:ascii="宋体" w:hAnsi="宋体" w:cs="宋体"/>
          <w:kern w:val="0"/>
          <w:sz w:val="24"/>
          <w:szCs w:val="24"/>
        </w:rPr>
      </w:pPr>
      <w:r>
        <w:rPr>
          <w:rFonts w:hint="eastAsia" w:ascii="宋体" w:hAnsi="宋体" w:cs="宋体"/>
          <w:kern w:val="0"/>
          <w:sz w:val="24"/>
          <w:szCs w:val="24"/>
        </w:rPr>
        <w:t>3.1.2凡投标文件的实质性内容和关键格式严重不符合招标文件规定或不响应招标文件要求者，经评标委员会认定作为无效标，予以废除。</w:t>
      </w:r>
    </w:p>
    <w:p w14:paraId="04A61F59">
      <w:pPr>
        <w:spacing w:line="360" w:lineRule="auto"/>
        <w:ind w:firstLine="420"/>
        <w:rPr>
          <w:rFonts w:hint="eastAsia" w:ascii="宋体" w:hAnsi="宋体" w:cs="宋体"/>
          <w:kern w:val="0"/>
          <w:sz w:val="24"/>
          <w:szCs w:val="24"/>
        </w:rPr>
      </w:pPr>
      <w:r>
        <w:rPr>
          <w:rFonts w:hint="eastAsia" w:ascii="宋体" w:hAnsi="宋体" w:cs="宋体"/>
          <w:kern w:val="0"/>
          <w:sz w:val="24"/>
          <w:szCs w:val="24"/>
        </w:rPr>
        <w:t>有下列情形之一，投标文件无效：</w:t>
      </w:r>
    </w:p>
    <w:p w14:paraId="04A61F5A">
      <w:pPr>
        <w:snapToGrid w:val="0"/>
        <w:spacing w:line="360" w:lineRule="auto"/>
        <w:ind w:firstLine="420" w:firstLineChars="200"/>
        <w:rPr>
          <w:rFonts w:ascii="宋体"/>
          <w:b/>
          <w:szCs w:val="21"/>
        </w:rPr>
      </w:pPr>
      <w:r>
        <w:rPr>
          <w:rFonts w:hint="eastAsia" w:ascii="宋体"/>
          <w:b/>
          <w:szCs w:val="21"/>
        </w:rPr>
        <w:t>（1）未按招标文件的规定提交投标保证金的；</w:t>
      </w:r>
    </w:p>
    <w:p w14:paraId="04A61F5B">
      <w:pPr>
        <w:snapToGrid w:val="0"/>
        <w:spacing w:line="360" w:lineRule="auto"/>
        <w:ind w:firstLine="420" w:firstLineChars="200"/>
        <w:rPr>
          <w:rFonts w:ascii="宋体"/>
          <w:b/>
          <w:szCs w:val="21"/>
        </w:rPr>
      </w:pPr>
      <w:r>
        <w:rPr>
          <w:rFonts w:hint="eastAsia" w:ascii="宋体"/>
          <w:b/>
          <w:szCs w:val="21"/>
        </w:rPr>
        <w:t>（2）投标文件未按招标文件要求签字和盖章的；</w:t>
      </w:r>
    </w:p>
    <w:p w14:paraId="04A61F5C">
      <w:pPr>
        <w:snapToGrid w:val="0"/>
        <w:spacing w:line="360" w:lineRule="auto"/>
        <w:ind w:firstLine="420" w:firstLineChars="200"/>
        <w:rPr>
          <w:rFonts w:ascii="宋体"/>
          <w:b/>
          <w:szCs w:val="21"/>
        </w:rPr>
      </w:pPr>
      <w:r>
        <w:rPr>
          <w:rFonts w:hint="eastAsia" w:ascii="宋体"/>
          <w:b/>
          <w:szCs w:val="21"/>
        </w:rPr>
        <w:t>（3）未提供法定代表人授权委托书（投标人代表不是法定代表人）；</w:t>
      </w:r>
    </w:p>
    <w:p w14:paraId="04A61F5D">
      <w:pPr>
        <w:snapToGrid w:val="0"/>
        <w:spacing w:line="360" w:lineRule="auto"/>
        <w:ind w:firstLine="420" w:firstLineChars="200"/>
        <w:rPr>
          <w:rFonts w:ascii="宋体"/>
          <w:b/>
          <w:szCs w:val="21"/>
        </w:rPr>
      </w:pPr>
      <w:r>
        <w:rPr>
          <w:rFonts w:hint="eastAsia" w:ascii="宋体"/>
          <w:b/>
          <w:szCs w:val="21"/>
        </w:rPr>
        <w:t>（4）投标有效期不满足招标文件要求的；</w:t>
      </w:r>
    </w:p>
    <w:p w14:paraId="04A61F5E">
      <w:pPr>
        <w:snapToGrid w:val="0"/>
        <w:spacing w:line="360" w:lineRule="auto"/>
        <w:ind w:firstLine="420" w:firstLineChars="200"/>
        <w:rPr>
          <w:rFonts w:ascii="宋体"/>
          <w:b/>
          <w:szCs w:val="21"/>
        </w:rPr>
      </w:pPr>
      <w:r>
        <w:rPr>
          <w:rFonts w:hint="eastAsia" w:ascii="宋体"/>
          <w:b/>
          <w:szCs w:val="21"/>
        </w:rPr>
        <w:t>（5）以联合体形式进行投标的，在投标文件中未提交联合体协议的；</w:t>
      </w:r>
    </w:p>
    <w:p w14:paraId="04A61F5F">
      <w:pPr>
        <w:snapToGrid w:val="0"/>
        <w:spacing w:line="360" w:lineRule="auto"/>
        <w:ind w:firstLine="420" w:firstLineChars="200"/>
        <w:rPr>
          <w:rFonts w:ascii="宋体"/>
          <w:b/>
          <w:szCs w:val="21"/>
        </w:rPr>
      </w:pPr>
      <w:r>
        <w:rPr>
          <w:rFonts w:hint="eastAsia" w:ascii="宋体"/>
          <w:b/>
          <w:szCs w:val="21"/>
        </w:rPr>
        <w:t>（6）未提供或未如实提供投标货物的技术参数，或者投标文件标明的商务、技术响应与事实不符或虚假投标的；</w:t>
      </w:r>
    </w:p>
    <w:p w14:paraId="04A61F60">
      <w:pPr>
        <w:snapToGrid w:val="0"/>
        <w:spacing w:line="360" w:lineRule="auto"/>
        <w:ind w:firstLine="420" w:firstLineChars="200"/>
        <w:rPr>
          <w:rFonts w:ascii="宋体"/>
          <w:b/>
          <w:szCs w:val="21"/>
        </w:rPr>
      </w:pPr>
      <w:r>
        <w:rPr>
          <w:rFonts w:hint="eastAsia" w:ascii="宋体"/>
          <w:b/>
          <w:szCs w:val="21"/>
        </w:rPr>
        <w:t>（7）未响应招标文件标注“</w:t>
      </w:r>
      <w:r>
        <w:rPr>
          <w:rFonts w:hint="eastAsia" w:ascii="宋体" w:hAnsi="宋体" w:cs="宋体"/>
          <w:szCs w:val="21"/>
        </w:rPr>
        <w:t>*</w:t>
      </w:r>
      <w:r>
        <w:rPr>
          <w:rFonts w:hint="eastAsia" w:ascii="宋体"/>
          <w:b/>
          <w:szCs w:val="21"/>
        </w:rPr>
        <w:t>”的实质性要求的；</w:t>
      </w:r>
    </w:p>
    <w:p w14:paraId="04A61F61">
      <w:pPr>
        <w:snapToGrid w:val="0"/>
        <w:spacing w:line="360" w:lineRule="auto"/>
        <w:ind w:firstLine="420" w:firstLineChars="200"/>
        <w:rPr>
          <w:rFonts w:ascii="宋体"/>
          <w:b/>
          <w:szCs w:val="21"/>
        </w:rPr>
      </w:pPr>
      <w:r>
        <w:rPr>
          <w:rFonts w:hint="eastAsia" w:ascii="宋体"/>
          <w:b/>
          <w:szCs w:val="21"/>
        </w:rPr>
        <w:t>（8）允许偏离的技术、性能指标或者辅助功能发生负偏离达</w:t>
      </w:r>
      <w:r>
        <w:rPr>
          <w:rFonts w:hint="eastAsia" w:ascii="宋体"/>
          <w:b/>
          <w:i/>
          <w:szCs w:val="21"/>
          <w:u w:val="single"/>
        </w:rPr>
        <w:t xml:space="preserve"> </w:t>
      </w:r>
      <w:r>
        <w:rPr>
          <w:rFonts w:hint="eastAsia" w:ascii="宋体"/>
          <w:b/>
          <w:szCs w:val="21"/>
          <w:u w:val="single"/>
        </w:rPr>
        <w:t xml:space="preserve">8 </w:t>
      </w:r>
      <w:r>
        <w:rPr>
          <w:rFonts w:hint="eastAsia" w:ascii="宋体"/>
          <w:b/>
          <w:szCs w:val="21"/>
        </w:rPr>
        <w:t>项（含）以上的；</w:t>
      </w:r>
    </w:p>
    <w:p w14:paraId="04A61F62">
      <w:pPr>
        <w:snapToGrid w:val="0"/>
        <w:spacing w:line="360" w:lineRule="auto"/>
        <w:ind w:firstLine="420" w:firstLineChars="200"/>
        <w:rPr>
          <w:rFonts w:ascii="宋体"/>
          <w:b/>
          <w:szCs w:val="21"/>
        </w:rPr>
      </w:pPr>
      <w:r>
        <w:rPr>
          <w:rFonts w:hint="eastAsia" w:ascii="宋体"/>
          <w:b/>
          <w:szCs w:val="21"/>
        </w:rPr>
        <w:t>（9）投标技术方案不明确，存在一个或一个以上备选（替代）投标方案的；</w:t>
      </w:r>
    </w:p>
    <w:p w14:paraId="04A61F63">
      <w:pPr>
        <w:snapToGrid w:val="0"/>
        <w:spacing w:line="360" w:lineRule="auto"/>
        <w:ind w:firstLine="420" w:firstLineChars="200"/>
        <w:rPr>
          <w:rFonts w:ascii="宋体"/>
          <w:b/>
          <w:szCs w:val="21"/>
        </w:rPr>
      </w:pPr>
      <w:r>
        <w:rPr>
          <w:rFonts w:hint="eastAsia" w:ascii="宋体"/>
          <w:b/>
          <w:szCs w:val="21"/>
        </w:rPr>
        <w:t>（10）投标文件含有招标人不能接受的附加条件的；</w:t>
      </w:r>
    </w:p>
    <w:p w14:paraId="04A61F64">
      <w:pPr>
        <w:snapToGrid w:val="0"/>
        <w:spacing w:line="360" w:lineRule="auto"/>
        <w:ind w:firstLine="420" w:firstLineChars="200"/>
        <w:rPr>
          <w:rFonts w:ascii="宋体"/>
          <w:b/>
          <w:szCs w:val="21"/>
        </w:rPr>
      </w:pPr>
      <w:r>
        <w:rPr>
          <w:rFonts w:hint="eastAsia" w:ascii="宋体"/>
          <w:b/>
          <w:szCs w:val="21"/>
        </w:rPr>
        <w:t>（11）不同投标人的投标文件由同一单位或者个人编制的；</w:t>
      </w:r>
    </w:p>
    <w:p w14:paraId="04A61F65">
      <w:pPr>
        <w:snapToGrid w:val="0"/>
        <w:spacing w:line="360" w:lineRule="auto"/>
        <w:ind w:firstLine="420" w:firstLineChars="200"/>
        <w:rPr>
          <w:rFonts w:ascii="宋体"/>
          <w:b/>
          <w:szCs w:val="21"/>
        </w:rPr>
      </w:pPr>
      <w:r>
        <w:rPr>
          <w:rFonts w:hint="eastAsia" w:ascii="宋体"/>
          <w:b/>
          <w:szCs w:val="21"/>
        </w:rPr>
        <w:t>（12）不同投标人委托同一单位或者个人办理投标事宜的；</w:t>
      </w:r>
    </w:p>
    <w:p w14:paraId="04A61F66">
      <w:pPr>
        <w:snapToGrid w:val="0"/>
        <w:spacing w:line="360" w:lineRule="auto"/>
        <w:ind w:firstLine="420" w:firstLineChars="200"/>
        <w:rPr>
          <w:rFonts w:ascii="宋体"/>
          <w:b/>
          <w:szCs w:val="21"/>
        </w:rPr>
      </w:pPr>
      <w:r>
        <w:rPr>
          <w:rFonts w:hint="eastAsia" w:ascii="宋体"/>
          <w:b/>
          <w:szCs w:val="21"/>
        </w:rPr>
        <w:t>（13）不同投标人的投标文件载明的项目管理成员或者联系人员为同一人的；</w:t>
      </w:r>
    </w:p>
    <w:p w14:paraId="04A61F67">
      <w:pPr>
        <w:snapToGrid w:val="0"/>
        <w:spacing w:line="360" w:lineRule="auto"/>
        <w:ind w:firstLine="420" w:firstLineChars="200"/>
        <w:rPr>
          <w:rFonts w:ascii="宋体"/>
          <w:b/>
          <w:szCs w:val="21"/>
        </w:rPr>
      </w:pPr>
      <w:r>
        <w:rPr>
          <w:rFonts w:hint="eastAsia" w:ascii="宋体"/>
          <w:b/>
          <w:szCs w:val="21"/>
        </w:rPr>
        <w:t>（14）不同投标人的投标文件异常一致或者投标报价呈规律性差异的；</w:t>
      </w:r>
    </w:p>
    <w:p w14:paraId="04A61F68">
      <w:pPr>
        <w:snapToGrid w:val="0"/>
        <w:spacing w:line="360" w:lineRule="auto"/>
        <w:ind w:firstLine="420" w:firstLineChars="200"/>
        <w:rPr>
          <w:rFonts w:ascii="宋体"/>
          <w:b/>
          <w:szCs w:val="21"/>
        </w:rPr>
      </w:pPr>
      <w:r>
        <w:rPr>
          <w:rFonts w:hint="eastAsia" w:ascii="宋体"/>
          <w:b/>
          <w:szCs w:val="21"/>
        </w:rPr>
        <w:t>（15）不同投标人的投标文件相互混装的；</w:t>
      </w:r>
    </w:p>
    <w:p w14:paraId="04A61F69">
      <w:pPr>
        <w:snapToGrid w:val="0"/>
        <w:spacing w:line="360" w:lineRule="auto"/>
        <w:ind w:firstLine="420" w:firstLineChars="200"/>
        <w:rPr>
          <w:rFonts w:ascii="宋体"/>
          <w:b/>
          <w:szCs w:val="21"/>
        </w:rPr>
      </w:pPr>
      <w:r>
        <w:rPr>
          <w:rFonts w:hint="eastAsia" w:ascii="宋体"/>
          <w:b/>
          <w:szCs w:val="21"/>
        </w:rPr>
        <w:t>（16）不同投标人的投标保证金从同一单位或者个人的账户转出的；</w:t>
      </w:r>
    </w:p>
    <w:p w14:paraId="04A61F6A">
      <w:pPr>
        <w:snapToGrid w:val="0"/>
        <w:spacing w:line="360" w:lineRule="auto"/>
        <w:ind w:firstLine="420" w:firstLineChars="200"/>
        <w:rPr>
          <w:rFonts w:ascii="宋体"/>
          <w:b/>
          <w:szCs w:val="21"/>
        </w:rPr>
      </w:pPr>
      <w:r>
        <w:rPr>
          <w:rFonts w:hint="eastAsia" w:ascii="宋体"/>
          <w:b/>
          <w:szCs w:val="21"/>
        </w:rPr>
        <w:t>（17）法律、法规和招标文件规定的其他无效情形。</w:t>
      </w:r>
    </w:p>
    <w:p w14:paraId="04A61F6B">
      <w:pPr>
        <w:snapToGrid w:val="0"/>
        <w:spacing w:line="360" w:lineRule="auto"/>
        <w:ind w:firstLine="420" w:firstLineChars="200"/>
        <w:rPr>
          <w:rFonts w:ascii="宋体"/>
          <w:b/>
          <w:szCs w:val="21"/>
        </w:rPr>
      </w:pPr>
      <w:r>
        <w:rPr>
          <w:rFonts w:hint="eastAsia" w:ascii="宋体"/>
          <w:b/>
          <w:szCs w:val="21"/>
        </w:rPr>
        <w:t>（18）投标报价具有选择性的；</w:t>
      </w:r>
    </w:p>
    <w:p w14:paraId="04A61F6C">
      <w:pPr>
        <w:snapToGrid w:val="0"/>
        <w:spacing w:line="360" w:lineRule="auto"/>
        <w:ind w:firstLine="420" w:firstLineChars="200"/>
        <w:rPr>
          <w:rFonts w:ascii="宋体"/>
          <w:b/>
          <w:szCs w:val="21"/>
        </w:rPr>
      </w:pPr>
      <w:r>
        <w:rPr>
          <w:rFonts w:hint="eastAsia" w:ascii="宋体"/>
          <w:b/>
          <w:szCs w:val="21"/>
        </w:rPr>
        <w:t>（19）不接受按招标文件规定的修正错误原则修正后的报价的；</w:t>
      </w:r>
    </w:p>
    <w:p w14:paraId="04A61F6D">
      <w:pPr>
        <w:snapToGrid w:val="0"/>
        <w:spacing w:line="360" w:lineRule="auto"/>
        <w:ind w:firstLine="420" w:firstLineChars="200"/>
        <w:rPr>
          <w:rFonts w:ascii="宋体"/>
          <w:b/>
          <w:szCs w:val="21"/>
        </w:rPr>
      </w:pPr>
      <w:r>
        <w:rPr>
          <w:rFonts w:hint="eastAsia" w:ascii="宋体"/>
          <w:b/>
          <w:szCs w:val="21"/>
        </w:rPr>
        <w:t>（20）报价明显低于其他通过符合性审查投标人的报价，且投标人不能证明其报价合理性，有可能影响产品质量或者不能诚信履约的。</w:t>
      </w:r>
    </w:p>
    <w:p w14:paraId="04A61F6E">
      <w:pPr>
        <w:spacing w:line="360" w:lineRule="auto"/>
        <w:ind w:firstLine="420"/>
        <w:rPr>
          <w:rFonts w:hint="eastAsia" w:ascii="宋体" w:hAnsi="宋体" w:cs="宋体"/>
          <w:kern w:val="0"/>
          <w:sz w:val="24"/>
          <w:szCs w:val="24"/>
        </w:rPr>
      </w:pPr>
      <w:r>
        <w:rPr>
          <w:rFonts w:hint="eastAsia" w:ascii="宋体" w:hAnsi="宋体" w:cs="宋体"/>
          <w:kern w:val="0"/>
          <w:sz w:val="24"/>
          <w:szCs w:val="24"/>
        </w:rPr>
        <w:t>3.1.3未经评标委员会许可，投标人在投标截止以后提供的资料不得作为评标依据。投标人不得通过补充、修改或撤销投标文件中的部分内容使其成为实质性响应的投标。</w:t>
      </w:r>
    </w:p>
    <w:p w14:paraId="04A61F6F">
      <w:pPr>
        <w:spacing w:line="360" w:lineRule="auto"/>
        <w:ind w:firstLine="420"/>
        <w:rPr>
          <w:rFonts w:hint="eastAsia" w:ascii="宋体" w:hAnsi="宋体" w:cs="宋体"/>
          <w:kern w:val="0"/>
          <w:sz w:val="24"/>
          <w:szCs w:val="24"/>
        </w:rPr>
      </w:pPr>
      <w:r>
        <w:rPr>
          <w:rFonts w:hint="eastAsia" w:ascii="宋体" w:hAnsi="宋体" w:cs="宋体"/>
          <w:kern w:val="0"/>
          <w:sz w:val="24"/>
          <w:szCs w:val="24"/>
        </w:rPr>
        <w:t>3.2评标委员会将根据投标人的技术资信、商务等方面对投标文件进行分析、评议，如有疑问，将对投标人进行询标，投标人要向评标委员会澄清有关问题，并最终以书面形式进行答复。</w:t>
      </w:r>
    </w:p>
    <w:p w14:paraId="04A61F70">
      <w:pPr>
        <w:spacing w:line="360" w:lineRule="auto"/>
        <w:ind w:firstLine="420"/>
        <w:rPr>
          <w:rFonts w:hint="eastAsia" w:ascii="宋体" w:hAnsi="宋体" w:cs="宋体"/>
          <w:kern w:val="0"/>
          <w:sz w:val="24"/>
          <w:szCs w:val="24"/>
        </w:rPr>
      </w:pPr>
      <w:r>
        <w:rPr>
          <w:rFonts w:hint="eastAsia" w:ascii="宋体" w:hAnsi="宋体" w:cs="宋体"/>
          <w:kern w:val="0"/>
          <w:sz w:val="24"/>
          <w:szCs w:val="24"/>
        </w:rPr>
        <w:t>3.3评标委员会以审标、询标情况为依据，对有效的投标文件及投标人就第四条评标细则规定的办法进行评审。</w:t>
      </w:r>
    </w:p>
    <w:p w14:paraId="04A61F71">
      <w:pPr>
        <w:spacing w:line="360" w:lineRule="auto"/>
        <w:rPr>
          <w:rFonts w:hint="eastAsia" w:ascii="宋体" w:hAnsi="宋体" w:cs="宋体"/>
          <w:kern w:val="0"/>
          <w:sz w:val="24"/>
          <w:szCs w:val="24"/>
        </w:rPr>
      </w:pPr>
      <w:r>
        <w:rPr>
          <w:rFonts w:hint="eastAsia" w:ascii="宋体" w:hAnsi="宋体" w:cs="宋体"/>
          <w:kern w:val="0"/>
          <w:sz w:val="24"/>
          <w:szCs w:val="24"/>
        </w:rPr>
        <w:t xml:space="preserve">    3.4技术评审由评标委员会负责对投标文件的技术部分采用记名方式独立评分。投标人的最终技术部分的得分为全体评委有效评分的算术平均值。</w:t>
      </w:r>
    </w:p>
    <w:p w14:paraId="04A61F72">
      <w:pPr>
        <w:spacing w:line="360" w:lineRule="auto"/>
        <w:ind w:firstLine="420"/>
        <w:rPr>
          <w:rFonts w:hint="eastAsia" w:ascii="宋体" w:hAnsi="宋体" w:cs="宋体"/>
          <w:kern w:val="0"/>
          <w:sz w:val="24"/>
          <w:szCs w:val="24"/>
        </w:rPr>
      </w:pPr>
      <w:r>
        <w:rPr>
          <w:rFonts w:hint="eastAsia" w:ascii="宋体" w:hAnsi="宋体" w:cs="宋体"/>
          <w:kern w:val="0"/>
          <w:sz w:val="24"/>
          <w:szCs w:val="24"/>
        </w:rPr>
        <w:t>3.5商务报价评审。商务报价评审应以报价口径范围一致的评标价为依据。评标价应在最终报价的基础上，按照招标文件约定的因素和方法进行计算。凡属招标文件原因造成报价内容和口径不一致的，应按有关规定予以调整。但因投标人自身失误造成的报价差错和遗漏，不得调整。</w:t>
      </w:r>
    </w:p>
    <w:p w14:paraId="04A61F73">
      <w:pPr>
        <w:ind w:firstLine="105" w:firstLineChars="50"/>
        <w:rPr>
          <w:kern w:val="0"/>
        </w:rPr>
      </w:pPr>
      <w:r>
        <w:rPr>
          <w:rFonts w:hint="eastAsia"/>
          <w:kern w:val="0"/>
        </w:rPr>
        <w:t xml:space="preserve"> </w:t>
      </w:r>
      <w:r>
        <w:rPr>
          <w:rFonts w:hint="eastAsia" w:ascii="宋体" w:hAnsi="宋体" w:cs="宋体"/>
          <w:kern w:val="0"/>
          <w:sz w:val="24"/>
          <w:szCs w:val="24"/>
        </w:rPr>
        <w:t xml:space="preserve"> 3.6 商务评审不合格的投标文件不再进入后续报价评审。</w:t>
      </w:r>
    </w:p>
    <w:p w14:paraId="04A61F74">
      <w:pPr>
        <w:spacing w:line="360" w:lineRule="auto"/>
        <w:rPr>
          <w:rFonts w:hint="eastAsia" w:ascii="宋体" w:hAnsi="宋体" w:cs="宋体"/>
          <w:kern w:val="0"/>
          <w:sz w:val="24"/>
          <w:szCs w:val="24"/>
        </w:rPr>
      </w:pPr>
      <w:r>
        <w:rPr>
          <w:rFonts w:hint="eastAsia" w:ascii="宋体" w:hAnsi="宋体" w:cs="宋体"/>
          <w:kern w:val="0"/>
          <w:sz w:val="24"/>
          <w:szCs w:val="24"/>
        </w:rPr>
        <w:t xml:space="preserve">   3.7评标委员会根据评标情况向招标人提出书面评标报告。评标报告由评标委员会起草，评标委员会全体成员应在评标报告上签字认可，评标专家如有保留意见可以在评标报告中阐明。</w:t>
      </w:r>
      <w:r>
        <w:rPr>
          <w:rFonts w:hint="eastAsia" w:ascii="宋体" w:hAnsi="宋体"/>
          <w:sz w:val="24"/>
          <w:szCs w:val="24"/>
        </w:rPr>
        <w:t>评标委员会应在评标报告中</w:t>
      </w:r>
      <w:r>
        <w:rPr>
          <w:rFonts w:hint="eastAsia" w:ascii="宋体" w:hAnsi="宋体"/>
          <w:bCs/>
          <w:sz w:val="24"/>
          <w:szCs w:val="24"/>
        </w:rPr>
        <w:t>按照招标文件规定的人数推荐中标候选人。</w:t>
      </w:r>
    </w:p>
    <w:p w14:paraId="04A61F75">
      <w:pPr>
        <w:pStyle w:val="3"/>
        <w:jc w:val="left"/>
        <w:rPr>
          <w:rFonts w:hint="eastAsia" w:ascii="宋体" w:hAnsi="宋体" w:eastAsia="宋体"/>
          <w:sz w:val="24"/>
          <w:szCs w:val="24"/>
        </w:rPr>
      </w:pPr>
      <w:bookmarkStart w:id="63" w:name="_Toc161131005"/>
      <w:bookmarkStart w:id="64" w:name="_Toc441676673"/>
      <w:r>
        <w:rPr>
          <w:rFonts w:hint="eastAsia" w:ascii="宋体" w:hAnsi="宋体" w:eastAsia="宋体"/>
          <w:sz w:val="24"/>
          <w:szCs w:val="24"/>
        </w:rPr>
        <w:t>4、评标细则</w:t>
      </w:r>
      <w:bookmarkEnd w:id="63"/>
      <w:bookmarkEnd w:id="64"/>
    </w:p>
    <w:p w14:paraId="04A61F76">
      <w:pPr>
        <w:adjustRightInd w:val="0"/>
        <w:snapToGrid w:val="0"/>
        <w:spacing w:line="360" w:lineRule="auto"/>
        <w:ind w:left="2" w:leftChars="1" w:firstLine="480" w:firstLineChars="200"/>
        <w:rPr>
          <w:rFonts w:hint="eastAsia" w:ascii="宋体" w:hAnsi="宋体"/>
          <w:sz w:val="24"/>
          <w:szCs w:val="24"/>
        </w:rPr>
      </w:pPr>
      <w:r>
        <w:rPr>
          <w:rFonts w:ascii="宋体" w:hAnsi="宋体"/>
          <w:sz w:val="24"/>
          <w:szCs w:val="24"/>
        </w:rPr>
        <w:t>在审标、询标及调查考核的基础上，定标委员会按照平等、客观、公正的原则，进行综合分析评定，实质上响应招标文件的要求并有履行合同能力的最高得分的投标人将被确定为中标人。</w:t>
      </w:r>
      <w:r>
        <w:rPr>
          <w:rFonts w:hint="eastAsia" w:ascii="宋体" w:hAnsi="宋体"/>
          <w:sz w:val="24"/>
          <w:szCs w:val="24"/>
        </w:rPr>
        <w:t>（包1）、（包2）分开评分。</w:t>
      </w:r>
    </w:p>
    <w:p w14:paraId="04A61F77">
      <w:pPr>
        <w:snapToGrid w:val="0"/>
        <w:spacing w:line="360" w:lineRule="auto"/>
        <w:ind w:firstLine="465" w:firstLineChars="194"/>
        <w:rPr>
          <w:rFonts w:hint="eastAsia" w:ascii="宋体" w:hAnsi="宋体"/>
          <w:sz w:val="24"/>
          <w:szCs w:val="24"/>
        </w:rPr>
      </w:pPr>
      <w:r>
        <w:rPr>
          <w:rFonts w:hint="eastAsia" w:ascii="宋体" w:hAnsi="宋体"/>
          <w:sz w:val="24"/>
          <w:szCs w:val="24"/>
        </w:rPr>
        <w:t>本次招标评标按技术</w:t>
      </w:r>
      <w:r>
        <w:rPr>
          <w:rFonts w:hint="eastAsia" w:ascii="宋体" w:hAnsi="宋体"/>
          <w:b/>
          <w:sz w:val="24"/>
          <w:szCs w:val="24"/>
        </w:rPr>
        <w:t>100分</w:t>
      </w:r>
      <w:r>
        <w:rPr>
          <w:rFonts w:hint="eastAsia"/>
          <w:b/>
          <w:sz w:val="24"/>
          <w:szCs w:val="24"/>
        </w:rPr>
        <w:t>（占比40%）</w:t>
      </w:r>
      <w:r>
        <w:rPr>
          <w:rFonts w:hint="eastAsia" w:ascii="宋体" w:hAnsi="宋体"/>
          <w:sz w:val="24"/>
          <w:szCs w:val="24"/>
        </w:rPr>
        <w:t>、商务部分</w:t>
      </w:r>
      <w:r>
        <w:rPr>
          <w:rFonts w:hint="eastAsia" w:ascii="宋体" w:hAnsi="宋体"/>
          <w:b/>
          <w:sz w:val="24"/>
          <w:szCs w:val="24"/>
        </w:rPr>
        <w:t>10</w:t>
      </w:r>
      <w:r>
        <w:rPr>
          <w:rFonts w:ascii="宋体" w:hAnsi="宋体"/>
          <w:b/>
          <w:sz w:val="24"/>
          <w:szCs w:val="24"/>
        </w:rPr>
        <w:t>0</w:t>
      </w:r>
      <w:r>
        <w:rPr>
          <w:rFonts w:hint="eastAsia" w:ascii="宋体" w:hAnsi="宋体"/>
          <w:b/>
          <w:sz w:val="24"/>
          <w:szCs w:val="24"/>
        </w:rPr>
        <w:t>分</w:t>
      </w:r>
      <w:r>
        <w:rPr>
          <w:rFonts w:hint="eastAsia"/>
          <w:b/>
          <w:sz w:val="24"/>
          <w:szCs w:val="24"/>
        </w:rPr>
        <w:t>（占比60%）</w:t>
      </w:r>
      <w:r>
        <w:rPr>
          <w:rFonts w:hint="eastAsia" w:ascii="宋体" w:hAnsi="宋体"/>
          <w:sz w:val="24"/>
          <w:szCs w:val="24"/>
        </w:rPr>
        <w:t>二部分评议，满分</w:t>
      </w:r>
      <w:r>
        <w:rPr>
          <w:rFonts w:hint="eastAsia" w:ascii="宋体" w:hAnsi="宋体"/>
          <w:b/>
          <w:sz w:val="24"/>
          <w:szCs w:val="24"/>
        </w:rPr>
        <w:t>100</w:t>
      </w:r>
      <w:r>
        <w:rPr>
          <w:rFonts w:hint="eastAsia" w:ascii="宋体" w:hAnsi="宋体"/>
          <w:sz w:val="24"/>
          <w:szCs w:val="24"/>
        </w:rPr>
        <w:t>分。</w:t>
      </w:r>
    </w:p>
    <w:p w14:paraId="04A61F78">
      <w:pPr>
        <w:rPr>
          <w:b/>
          <w:sz w:val="24"/>
          <w:szCs w:val="24"/>
        </w:rPr>
      </w:pPr>
      <w:r>
        <w:rPr>
          <w:b/>
          <w:sz w:val="24"/>
          <w:szCs w:val="24"/>
        </w:rPr>
        <w:t>4.1</w:t>
      </w:r>
      <w:r>
        <w:rPr>
          <w:rFonts w:hint="eastAsia"/>
          <w:b/>
          <w:sz w:val="24"/>
          <w:szCs w:val="24"/>
        </w:rPr>
        <w:t>资信、</w:t>
      </w:r>
      <w:r>
        <w:rPr>
          <w:b/>
          <w:sz w:val="24"/>
          <w:szCs w:val="24"/>
        </w:rPr>
        <w:t>技术标</w:t>
      </w:r>
      <w:r>
        <w:rPr>
          <w:rFonts w:hint="eastAsia"/>
          <w:b/>
          <w:sz w:val="24"/>
          <w:szCs w:val="24"/>
        </w:rPr>
        <w:t>100</w:t>
      </w:r>
      <w:r>
        <w:rPr>
          <w:b/>
          <w:sz w:val="24"/>
          <w:szCs w:val="24"/>
        </w:rPr>
        <w:t>分</w:t>
      </w:r>
      <w:r>
        <w:rPr>
          <w:rFonts w:hint="eastAsia"/>
          <w:b/>
          <w:sz w:val="24"/>
          <w:szCs w:val="24"/>
        </w:rPr>
        <w:t>（占比40%）</w:t>
      </w:r>
    </w:p>
    <w:tbl>
      <w:tblPr>
        <w:tblStyle w:val="21"/>
        <w:tblW w:w="85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447"/>
        <w:gridCol w:w="2132"/>
        <w:gridCol w:w="2133"/>
      </w:tblGrid>
      <w:tr w14:paraId="04A61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9" w:type="dxa"/>
            <w:gridSpan w:val="4"/>
          </w:tcPr>
          <w:p w14:paraId="04A61F79">
            <w:pPr>
              <w:spacing w:line="360" w:lineRule="auto"/>
              <w:rPr>
                <w:rFonts w:hint="eastAsia" w:ascii="宋体" w:hAnsi="宋体" w:cs="宋体"/>
                <w:kern w:val="0"/>
                <w:sz w:val="24"/>
                <w:szCs w:val="24"/>
              </w:rPr>
            </w:pPr>
            <w:r>
              <w:rPr>
                <w:rFonts w:hint="eastAsia" w:ascii="宋体" w:hAnsi="宋体" w:cs="宋体"/>
                <w:kern w:val="0"/>
                <w:sz w:val="24"/>
                <w:szCs w:val="24"/>
              </w:rPr>
              <w:t>资信评审1</w:t>
            </w:r>
            <w:r>
              <w:rPr>
                <w:rFonts w:ascii="宋体" w:hAnsi="宋体" w:cs="宋体"/>
                <w:kern w:val="0"/>
                <w:sz w:val="24"/>
                <w:szCs w:val="24"/>
              </w:rPr>
              <w:t>0</w:t>
            </w:r>
            <w:r>
              <w:rPr>
                <w:rFonts w:hint="eastAsia" w:ascii="宋体" w:hAnsi="宋体" w:cs="宋体"/>
                <w:kern w:val="0"/>
                <w:sz w:val="24"/>
                <w:szCs w:val="24"/>
              </w:rPr>
              <w:t>分</w:t>
            </w:r>
          </w:p>
        </w:tc>
      </w:tr>
      <w:tr w14:paraId="04A61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14:paraId="04A61F7B">
            <w:pPr>
              <w:spacing w:line="360" w:lineRule="auto"/>
              <w:jc w:val="center"/>
              <w:rPr>
                <w:rFonts w:hint="eastAsia" w:ascii="宋体" w:hAnsi="宋体" w:cs="宋体"/>
                <w:kern w:val="0"/>
                <w:sz w:val="24"/>
                <w:szCs w:val="24"/>
              </w:rPr>
            </w:pPr>
            <w:r>
              <w:rPr>
                <w:rFonts w:hint="eastAsia" w:ascii="宋体" w:hAnsi="宋体" w:cs="宋体"/>
                <w:kern w:val="0"/>
                <w:sz w:val="24"/>
                <w:szCs w:val="24"/>
              </w:rPr>
              <w:t>序号</w:t>
            </w:r>
          </w:p>
        </w:tc>
        <w:tc>
          <w:tcPr>
            <w:tcW w:w="3447" w:type="dxa"/>
          </w:tcPr>
          <w:p w14:paraId="04A61F7C">
            <w:pPr>
              <w:spacing w:line="360" w:lineRule="auto"/>
              <w:jc w:val="center"/>
              <w:rPr>
                <w:rFonts w:hint="eastAsia" w:ascii="宋体" w:hAnsi="宋体" w:cs="宋体"/>
                <w:kern w:val="0"/>
                <w:sz w:val="24"/>
                <w:szCs w:val="24"/>
              </w:rPr>
            </w:pPr>
            <w:r>
              <w:rPr>
                <w:rFonts w:hint="eastAsia" w:ascii="宋体" w:hAnsi="宋体" w:cs="宋体"/>
                <w:kern w:val="0"/>
                <w:sz w:val="24"/>
                <w:szCs w:val="24"/>
              </w:rPr>
              <w:t>内容</w:t>
            </w:r>
          </w:p>
        </w:tc>
        <w:tc>
          <w:tcPr>
            <w:tcW w:w="2132" w:type="dxa"/>
          </w:tcPr>
          <w:p w14:paraId="04A61F7D">
            <w:pPr>
              <w:spacing w:line="360" w:lineRule="auto"/>
              <w:jc w:val="center"/>
              <w:rPr>
                <w:rFonts w:hint="eastAsia" w:ascii="宋体" w:hAnsi="宋体" w:cs="宋体"/>
                <w:kern w:val="0"/>
                <w:sz w:val="24"/>
                <w:szCs w:val="24"/>
              </w:rPr>
            </w:pPr>
            <w:r>
              <w:rPr>
                <w:rFonts w:hint="eastAsia" w:ascii="宋体" w:hAnsi="宋体"/>
                <w:bCs/>
                <w:szCs w:val="21"/>
              </w:rPr>
              <w:t>分值</w:t>
            </w:r>
          </w:p>
        </w:tc>
        <w:tc>
          <w:tcPr>
            <w:tcW w:w="2133" w:type="dxa"/>
          </w:tcPr>
          <w:p w14:paraId="04A61F7E">
            <w:pPr>
              <w:spacing w:line="360" w:lineRule="auto"/>
              <w:rPr>
                <w:rFonts w:hint="eastAsia" w:ascii="宋体" w:hAnsi="宋体" w:cs="宋体"/>
                <w:kern w:val="0"/>
                <w:sz w:val="24"/>
                <w:szCs w:val="24"/>
              </w:rPr>
            </w:pPr>
            <w:r>
              <w:rPr>
                <w:rFonts w:hint="eastAsia" w:ascii="宋体" w:hAnsi="宋体" w:cs="宋体"/>
                <w:kern w:val="0"/>
                <w:sz w:val="24"/>
                <w:szCs w:val="24"/>
              </w:rPr>
              <w:t>备注</w:t>
            </w:r>
          </w:p>
        </w:tc>
      </w:tr>
      <w:tr w14:paraId="04A61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14:paraId="04A61F80">
            <w:pPr>
              <w:spacing w:line="360" w:lineRule="auto"/>
              <w:jc w:val="center"/>
              <w:rPr>
                <w:rFonts w:hint="eastAsia" w:ascii="宋体" w:hAnsi="宋体" w:cs="宋体"/>
                <w:kern w:val="0"/>
                <w:sz w:val="24"/>
                <w:szCs w:val="24"/>
              </w:rPr>
            </w:pPr>
            <w:r>
              <w:rPr>
                <w:rFonts w:hint="eastAsia" w:ascii="宋体" w:hAnsi="宋体" w:cs="宋体"/>
                <w:kern w:val="0"/>
                <w:sz w:val="24"/>
                <w:szCs w:val="24"/>
              </w:rPr>
              <w:t>1</w:t>
            </w:r>
          </w:p>
        </w:tc>
        <w:tc>
          <w:tcPr>
            <w:tcW w:w="3447" w:type="dxa"/>
          </w:tcPr>
          <w:p w14:paraId="04A61F81">
            <w:pPr>
              <w:spacing w:line="360" w:lineRule="auto"/>
              <w:rPr>
                <w:rFonts w:hint="eastAsia" w:ascii="宋体" w:hAnsi="宋体" w:cs="宋体"/>
                <w:kern w:val="0"/>
                <w:sz w:val="24"/>
                <w:szCs w:val="24"/>
              </w:rPr>
            </w:pPr>
            <w:r>
              <w:rPr>
                <w:rFonts w:hint="eastAsia" w:ascii="宋体" w:hAnsi="宋体" w:cs="宋体"/>
                <w:kern w:val="0"/>
                <w:sz w:val="24"/>
                <w:szCs w:val="24"/>
              </w:rPr>
              <w:t>投标人2022-2024年营收</w:t>
            </w:r>
          </w:p>
        </w:tc>
        <w:tc>
          <w:tcPr>
            <w:tcW w:w="2132" w:type="dxa"/>
            <w:vAlign w:val="center"/>
          </w:tcPr>
          <w:p w14:paraId="04A61F82">
            <w:pPr>
              <w:snapToGrid w:val="0"/>
              <w:spacing w:line="360" w:lineRule="auto"/>
              <w:jc w:val="center"/>
              <w:rPr>
                <w:rFonts w:hint="eastAsia" w:ascii="宋体" w:hAnsi="宋体"/>
                <w:bCs/>
                <w:szCs w:val="21"/>
              </w:rPr>
            </w:pPr>
            <w:r>
              <w:rPr>
                <w:rFonts w:hint="eastAsia" w:ascii="宋体" w:hAnsi="宋体"/>
                <w:bCs/>
                <w:szCs w:val="21"/>
              </w:rPr>
              <w:t>0-100分</w:t>
            </w:r>
          </w:p>
          <w:p w14:paraId="04A61F83">
            <w:pPr>
              <w:spacing w:line="360" w:lineRule="auto"/>
              <w:jc w:val="center"/>
              <w:rPr>
                <w:rFonts w:hint="eastAsia" w:ascii="宋体" w:hAnsi="宋体" w:cs="宋体"/>
                <w:kern w:val="0"/>
                <w:sz w:val="24"/>
                <w:szCs w:val="24"/>
              </w:rPr>
            </w:pPr>
            <w:r>
              <w:rPr>
                <w:rFonts w:hint="eastAsia" w:ascii="宋体" w:hAnsi="宋体"/>
                <w:bCs/>
                <w:szCs w:val="21"/>
              </w:rPr>
              <w:t>（权重3.5%）</w:t>
            </w:r>
          </w:p>
        </w:tc>
        <w:tc>
          <w:tcPr>
            <w:tcW w:w="2133" w:type="dxa"/>
          </w:tcPr>
          <w:p w14:paraId="04A61F84">
            <w:pPr>
              <w:spacing w:line="360" w:lineRule="auto"/>
              <w:rPr>
                <w:rFonts w:hint="eastAsia" w:ascii="宋体" w:hAnsi="宋体" w:cs="宋体"/>
                <w:kern w:val="0"/>
                <w:sz w:val="24"/>
                <w:szCs w:val="24"/>
              </w:rPr>
            </w:pPr>
          </w:p>
        </w:tc>
      </w:tr>
      <w:tr w14:paraId="04A61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14:paraId="04A61F86">
            <w:pPr>
              <w:spacing w:line="360" w:lineRule="auto"/>
              <w:jc w:val="center"/>
              <w:rPr>
                <w:rFonts w:hint="eastAsia" w:ascii="宋体" w:hAnsi="宋体" w:cs="宋体"/>
                <w:kern w:val="0"/>
                <w:sz w:val="24"/>
                <w:szCs w:val="24"/>
              </w:rPr>
            </w:pPr>
            <w:r>
              <w:rPr>
                <w:rFonts w:hint="eastAsia" w:ascii="宋体" w:hAnsi="宋体" w:cs="宋体"/>
                <w:kern w:val="0"/>
                <w:sz w:val="24"/>
                <w:szCs w:val="24"/>
              </w:rPr>
              <w:t>2</w:t>
            </w:r>
          </w:p>
        </w:tc>
        <w:tc>
          <w:tcPr>
            <w:tcW w:w="3447" w:type="dxa"/>
          </w:tcPr>
          <w:p w14:paraId="04A61F87">
            <w:pPr>
              <w:spacing w:line="360" w:lineRule="auto"/>
              <w:rPr>
                <w:rFonts w:hint="eastAsia" w:ascii="宋体" w:hAnsi="宋体" w:cs="宋体"/>
                <w:kern w:val="0"/>
                <w:sz w:val="24"/>
                <w:szCs w:val="24"/>
              </w:rPr>
            </w:pPr>
            <w:r>
              <w:rPr>
                <w:rFonts w:hint="eastAsia" w:ascii="宋体" w:hAnsi="宋体" w:cs="宋体"/>
                <w:kern w:val="0"/>
                <w:sz w:val="24"/>
                <w:szCs w:val="24"/>
              </w:rPr>
              <w:t>资证（各类生产许可、强制认证、销售许可、代理授权、专业管理等）、产品品牌知名度、制造商产品的相关认证证书和质量保证措施</w:t>
            </w:r>
          </w:p>
        </w:tc>
        <w:tc>
          <w:tcPr>
            <w:tcW w:w="2132" w:type="dxa"/>
            <w:vAlign w:val="center"/>
          </w:tcPr>
          <w:p w14:paraId="04A61F88">
            <w:pPr>
              <w:spacing w:line="360" w:lineRule="auto"/>
              <w:rPr>
                <w:rFonts w:hint="eastAsia" w:ascii="宋体" w:hAnsi="宋体" w:cs="宋体"/>
                <w:kern w:val="0"/>
                <w:sz w:val="24"/>
                <w:szCs w:val="24"/>
              </w:rPr>
            </w:pPr>
            <w:r>
              <w:rPr>
                <w:rFonts w:hint="eastAsia" w:ascii="宋体" w:hAnsi="宋体" w:cs="宋体"/>
                <w:kern w:val="0"/>
                <w:sz w:val="24"/>
                <w:szCs w:val="24"/>
              </w:rPr>
              <w:t>0-100分</w:t>
            </w:r>
          </w:p>
          <w:p w14:paraId="04A61F89">
            <w:pPr>
              <w:spacing w:line="360" w:lineRule="auto"/>
              <w:rPr>
                <w:rFonts w:hint="eastAsia" w:ascii="宋体" w:hAnsi="宋体" w:cs="宋体"/>
                <w:kern w:val="0"/>
                <w:sz w:val="24"/>
                <w:szCs w:val="24"/>
              </w:rPr>
            </w:pPr>
            <w:r>
              <w:rPr>
                <w:rFonts w:hint="eastAsia" w:ascii="宋体" w:hAnsi="宋体" w:cs="宋体"/>
                <w:kern w:val="0"/>
                <w:sz w:val="24"/>
                <w:szCs w:val="24"/>
              </w:rPr>
              <w:t>（权重10%）</w:t>
            </w:r>
          </w:p>
        </w:tc>
        <w:tc>
          <w:tcPr>
            <w:tcW w:w="2133" w:type="dxa"/>
          </w:tcPr>
          <w:p w14:paraId="04A61F8A">
            <w:pPr>
              <w:spacing w:line="360" w:lineRule="auto"/>
              <w:rPr>
                <w:rFonts w:hint="eastAsia" w:ascii="宋体" w:hAnsi="宋体" w:cs="宋体"/>
                <w:kern w:val="0"/>
                <w:sz w:val="24"/>
                <w:szCs w:val="24"/>
              </w:rPr>
            </w:pPr>
          </w:p>
        </w:tc>
      </w:tr>
      <w:tr w14:paraId="04A61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14:paraId="04A61F8C">
            <w:pPr>
              <w:spacing w:line="360" w:lineRule="auto"/>
              <w:jc w:val="center"/>
              <w:rPr>
                <w:rFonts w:hint="eastAsia" w:ascii="宋体" w:hAnsi="宋体" w:cs="宋体"/>
                <w:kern w:val="0"/>
                <w:sz w:val="24"/>
                <w:szCs w:val="24"/>
              </w:rPr>
            </w:pPr>
            <w:r>
              <w:rPr>
                <w:rFonts w:hint="eastAsia" w:ascii="宋体" w:hAnsi="宋体" w:cs="宋体"/>
                <w:kern w:val="0"/>
                <w:sz w:val="24"/>
                <w:szCs w:val="24"/>
              </w:rPr>
              <w:t>3</w:t>
            </w:r>
          </w:p>
        </w:tc>
        <w:tc>
          <w:tcPr>
            <w:tcW w:w="3447" w:type="dxa"/>
          </w:tcPr>
          <w:p w14:paraId="04A61F8D">
            <w:pPr>
              <w:spacing w:line="360" w:lineRule="auto"/>
              <w:rPr>
                <w:rFonts w:hint="eastAsia" w:ascii="宋体" w:hAnsi="宋体" w:cs="宋体"/>
                <w:kern w:val="0"/>
                <w:sz w:val="24"/>
                <w:szCs w:val="24"/>
              </w:rPr>
            </w:pPr>
            <w:r>
              <w:rPr>
                <w:rFonts w:hint="eastAsia" w:ascii="宋体" w:hAnsi="宋体" w:cs="宋体"/>
                <w:kern w:val="0"/>
                <w:sz w:val="24"/>
                <w:szCs w:val="24"/>
              </w:rPr>
              <w:t>投标设备在大型煤化工或同类行业中的应用业绩、为确保后期分析仪器能够稳定运行，并及时获得运行维护服务，投标单位若具备在线分析仪表运维服务能力，技术资信可予以加分。每提交一份运维服务合同，可获得10分，加分上限为100分。</w:t>
            </w:r>
          </w:p>
        </w:tc>
        <w:tc>
          <w:tcPr>
            <w:tcW w:w="2132" w:type="dxa"/>
            <w:vAlign w:val="center"/>
          </w:tcPr>
          <w:p w14:paraId="04A61F8E">
            <w:pPr>
              <w:spacing w:line="360" w:lineRule="auto"/>
              <w:rPr>
                <w:rFonts w:hint="eastAsia" w:ascii="宋体" w:hAnsi="宋体" w:cs="宋体"/>
                <w:kern w:val="0"/>
                <w:sz w:val="24"/>
                <w:szCs w:val="24"/>
              </w:rPr>
            </w:pPr>
            <w:r>
              <w:rPr>
                <w:rFonts w:hint="eastAsia" w:ascii="宋体" w:hAnsi="宋体" w:cs="宋体"/>
                <w:kern w:val="0"/>
                <w:sz w:val="24"/>
                <w:szCs w:val="24"/>
              </w:rPr>
              <w:t>0-100分</w:t>
            </w:r>
          </w:p>
          <w:p w14:paraId="04A61F8F">
            <w:pPr>
              <w:spacing w:line="360" w:lineRule="auto"/>
              <w:rPr>
                <w:rFonts w:hint="eastAsia" w:ascii="宋体" w:hAnsi="宋体" w:cs="宋体"/>
                <w:kern w:val="0"/>
                <w:sz w:val="24"/>
                <w:szCs w:val="24"/>
              </w:rPr>
            </w:pPr>
            <w:r>
              <w:rPr>
                <w:rFonts w:hint="eastAsia" w:ascii="宋体" w:hAnsi="宋体" w:cs="宋体"/>
                <w:kern w:val="0"/>
                <w:sz w:val="24"/>
                <w:szCs w:val="24"/>
              </w:rPr>
              <w:t>（权重10%）</w:t>
            </w:r>
          </w:p>
        </w:tc>
        <w:tc>
          <w:tcPr>
            <w:tcW w:w="2133" w:type="dxa"/>
          </w:tcPr>
          <w:p w14:paraId="04A61F90">
            <w:pPr>
              <w:spacing w:line="360" w:lineRule="auto"/>
              <w:rPr>
                <w:rFonts w:hint="eastAsia" w:ascii="宋体" w:hAnsi="宋体" w:cs="宋体"/>
                <w:kern w:val="0"/>
                <w:sz w:val="24"/>
                <w:szCs w:val="24"/>
              </w:rPr>
            </w:pPr>
          </w:p>
        </w:tc>
      </w:tr>
      <w:tr w14:paraId="04A61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14:paraId="04A61F92">
            <w:pPr>
              <w:spacing w:line="360" w:lineRule="auto"/>
              <w:jc w:val="center"/>
              <w:rPr>
                <w:rFonts w:hint="eastAsia" w:ascii="宋体" w:hAnsi="宋体" w:cs="宋体"/>
                <w:kern w:val="0"/>
                <w:sz w:val="24"/>
                <w:szCs w:val="24"/>
              </w:rPr>
            </w:pPr>
            <w:r>
              <w:rPr>
                <w:rFonts w:hint="eastAsia" w:ascii="宋体" w:hAnsi="宋体" w:cs="宋体"/>
                <w:kern w:val="0"/>
                <w:sz w:val="24"/>
                <w:szCs w:val="24"/>
              </w:rPr>
              <w:t>4</w:t>
            </w:r>
          </w:p>
        </w:tc>
        <w:tc>
          <w:tcPr>
            <w:tcW w:w="3447" w:type="dxa"/>
          </w:tcPr>
          <w:p w14:paraId="04A61F93">
            <w:pPr>
              <w:spacing w:line="360" w:lineRule="auto"/>
              <w:rPr>
                <w:rFonts w:hint="eastAsia" w:ascii="宋体" w:hAnsi="宋体" w:cs="宋体"/>
                <w:kern w:val="0"/>
                <w:sz w:val="24"/>
                <w:szCs w:val="24"/>
              </w:rPr>
            </w:pPr>
            <w:r>
              <w:rPr>
                <w:rFonts w:hint="eastAsia" w:ascii="宋体" w:hAnsi="宋体" w:cs="宋体"/>
                <w:kern w:val="0"/>
                <w:sz w:val="24"/>
                <w:szCs w:val="24"/>
              </w:rPr>
              <w:t>售后服务承诺和技术服务能力</w:t>
            </w:r>
          </w:p>
        </w:tc>
        <w:tc>
          <w:tcPr>
            <w:tcW w:w="2132" w:type="dxa"/>
            <w:vAlign w:val="center"/>
          </w:tcPr>
          <w:p w14:paraId="04A61F94">
            <w:pPr>
              <w:snapToGrid w:val="0"/>
              <w:spacing w:line="360" w:lineRule="auto"/>
              <w:jc w:val="center"/>
              <w:rPr>
                <w:rFonts w:hint="eastAsia" w:ascii="宋体" w:hAnsi="宋体"/>
                <w:bCs/>
                <w:szCs w:val="21"/>
              </w:rPr>
            </w:pPr>
            <w:r>
              <w:rPr>
                <w:rFonts w:hint="eastAsia" w:ascii="宋体" w:hAnsi="宋体"/>
                <w:bCs/>
                <w:szCs w:val="21"/>
              </w:rPr>
              <w:t>0-100分</w:t>
            </w:r>
          </w:p>
          <w:p w14:paraId="04A61F95">
            <w:pPr>
              <w:spacing w:line="360" w:lineRule="auto"/>
              <w:jc w:val="center"/>
              <w:rPr>
                <w:rFonts w:hint="eastAsia" w:ascii="宋体" w:hAnsi="宋体" w:cs="宋体"/>
                <w:kern w:val="0"/>
                <w:sz w:val="24"/>
                <w:szCs w:val="24"/>
              </w:rPr>
            </w:pPr>
            <w:r>
              <w:rPr>
                <w:rFonts w:hint="eastAsia" w:ascii="宋体" w:hAnsi="宋体"/>
                <w:bCs/>
                <w:szCs w:val="21"/>
              </w:rPr>
              <w:t>（权重10%）</w:t>
            </w:r>
          </w:p>
        </w:tc>
        <w:tc>
          <w:tcPr>
            <w:tcW w:w="2133" w:type="dxa"/>
          </w:tcPr>
          <w:p w14:paraId="04A61F96">
            <w:pPr>
              <w:spacing w:line="360" w:lineRule="auto"/>
              <w:rPr>
                <w:rFonts w:hint="eastAsia" w:ascii="宋体" w:hAnsi="宋体" w:cs="宋体"/>
                <w:kern w:val="0"/>
                <w:sz w:val="24"/>
                <w:szCs w:val="24"/>
              </w:rPr>
            </w:pPr>
          </w:p>
        </w:tc>
      </w:tr>
      <w:tr w14:paraId="04A61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9" w:type="dxa"/>
            <w:gridSpan w:val="4"/>
          </w:tcPr>
          <w:p w14:paraId="04A61F98">
            <w:pPr>
              <w:spacing w:line="360" w:lineRule="auto"/>
              <w:rPr>
                <w:rFonts w:hint="eastAsia" w:ascii="宋体" w:hAnsi="宋体" w:cs="宋体"/>
                <w:kern w:val="0"/>
                <w:sz w:val="24"/>
                <w:szCs w:val="24"/>
              </w:rPr>
            </w:pPr>
            <w:r>
              <w:rPr>
                <w:rFonts w:hint="eastAsia" w:ascii="宋体" w:hAnsi="宋体" w:cs="宋体"/>
                <w:kern w:val="0"/>
                <w:sz w:val="24"/>
                <w:szCs w:val="24"/>
              </w:rPr>
              <w:t>技术标2</w:t>
            </w:r>
            <w:r>
              <w:rPr>
                <w:rFonts w:ascii="宋体" w:hAnsi="宋体" w:cs="宋体"/>
                <w:kern w:val="0"/>
                <w:sz w:val="24"/>
                <w:szCs w:val="24"/>
              </w:rPr>
              <w:t>0</w:t>
            </w:r>
            <w:r>
              <w:rPr>
                <w:rFonts w:hint="eastAsia" w:ascii="宋体" w:hAnsi="宋体" w:cs="宋体"/>
                <w:kern w:val="0"/>
                <w:sz w:val="24"/>
                <w:szCs w:val="24"/>
              </w:rPr>
              <w:t>分</w:t>
            </w:r>
          </w:p>
        </w:tc>
      </w:tr>
      <w:tr w14:paraId="04A61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14:paraId="04A61F9A">
            <w:pPr>
              <w:spacing w:line="360" w:lineRule="auto"/>
              <w:jc w:val="center"/>
              <w:rPr>
                <w:rFonts w:hint="eastAsia" w:ascii="宋体" w:hAnsi="宋体" w:cs="宋体"/>
                <w:kern w:val="0"/>
                <w:sz w:val="24"/>
                <w:szCs w:val="24"/>
              </w:rPr>
            </w:pPr>
            <w:r>
              <w:rPr>
                <w:rFonts w:hint="eastAsia" w:ascii="宋体" w:hAnsi="宋体" w:cs="宋体"/>
                <w:kern w:val="0"/>
                <w:sz w:val="24"/>
                <w:szCs w:val="24"/>
              </w:rPr>
              <w:t>序号</w:t>
            </w:r>
          </w:p>
        </w:tc>
        <w:tc>
          <w:tcPr>
            <w:tcW w:w="3447" w:type="dxa"/>
          </w:tcPr>
          <w:p w14:paraId="04A61F9B">
            <w:pPr>
              <w:spacing w:line="360" w:lineRule="auto"/>
              <w:rPr>
                <w:rFonts w:hint="eastAsia" w:ascii="宋体" w:hAnsi="宋体" w:cs="宋体"/>
                <w:kern w:val="0"/>
                <w:sz w:val="24"/>
                <w:szCs w:val="24"/>
              </w:rPr>
            </w:pPr>
            <w:r>
              <w:rPr>
                <w:rFonts w:hint="eastAsia" w:ascii="宋体" w:hAnsi="宋体" w:cs="宋体"/>
                <w:kern w:val="0"/>
                <w:sz w:val="24"/>
                <w:szCs w:val="24"/>
              </w:rPr>
              <w:t>内容</w:t>
            </w:r>
          </w:p>
        </w:tc>
        <w:tc>
          <w:tcPr>
            <w:tcW w:w="2132" w:type="dxa"/>
          </w:tcPr>
          <w:p w14:paraId="04A61F9C">
            <w:pPr>
              <w:spacing w:line="360" w:lineRule="auto"/>
              <w:jc w:val="center"/>
              <w:rPr>
                <w:rFonts w:hint="eastAsia" w:ascii="宋体" w:hAnsi="宋体" w:cs="宋体"/>
                <w:kern w:val="0"/>
                <w:sz w:val="24"/>
                <w:szCs w:val="24"/>
              </w:rPr>
            </w:pPr>
            <w:r>
              <w:rPr>
                <w:rFonts w:hint="eastAsia" w:ascii="宋体" w:hAnsi="宋体" w:cs="宋体"/>
                <w:kern w:val="0"/>
                <w:sz w:val="24"/>
                <w:szCs w:val="24"/>
              </w:rPr>
              <w:t>评分标准</w:t>
            </w:r>
          </w:p>
        </w:tc>
        <w:tc>
          <w:tcPr>
            <w:tcW w:w="2133" w:type="dxa"/>
          </w:tcPr>
          <w:p w14:paraId="04A61F9D">
            <w:pPr>
              <w:spacing w:line="360" w:lineRule="auto"/>
              <w:rPr>
                <w:rFonts w:hint="eastAsia" w:ascii="宋体" w:hAnsi="宋体" w:cs="宋体"/>
                <w:kern w:val="0"/>
                <w:sz w:val="24"/>
                <w:szCs w:val="24"/>
              </w:rPr>
            </w:pPr>
            <w:r>
              <w:rPr>
                <w:rFonts w:hint="eastAsia" w:ascii="宋体" w:hAnsi="宋体" w:cs="宋体"/>
                <w:kern w:val="0"/>
                <w:sz w:val="24"/>
                <w:szCs w:val="24"/>
              </w:rPr>
              <w:t>备注</w:t>
            </w:r>
          </w:p>
        </w:tc>
      </w:tr>
      <w:tr w14:paraId="04A61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14:paraId="04A61F9F">
            <w:pPr>
              <w:spacing w:line="360" w:lineRule="auto"/>
              <w:jc w:val="center"/>
              <w:rPr>
                <w:rFonts w:hint="eastAsia" w:ascii="宋体" w:hAnsi="宋体" w:cs="宋体"/>
                <w:kern w:val="0"/>
                <w:sz w:val="24"/>
                <w:szCs w:val="24"/>
              </w:rPr>
            </w:pPr>
            <w:r>
              <w:rPr>
                <w:rFonts w:hint="eastAsia" w:ascii="宋体" w:hAnsi="宋体" w:cs="宋体"/>
                <w:kern w:val="0"/>
                <w:sz w:val="24"/>
                <w:szCs w:val="24"/>
              </w:rPr>
              <w:t>1</w:t>
            </w:r>
          </w:p>
        </w:tc>
        <w:tc>
          <w:tcPr>
            <w:tcW w:w="3447" w:type="dxa"/>
          </w:tcPr>
          <w:p w14:paraId="04A61FA0">
            <w:pPr>
              <w:spacing w:line="360" w:lineRule="auto"/>
              <w:rPr>
                <w:rFonts w:hint="eastAsia" w:ascii="宋体" w:hAnsi="宋体" w:cs="宋体"/>
                <w:kern w:val="0"/>
                <w:sz w:val="24"/>
                <w:szCs w:val="24"/>
              </w:rPr>
            </w:pPr>
            <w:r>
              <w:rPr>
                <w:rFonts w:hint="eastAsia" w:ascii="宋体" w:hAnsi="宋体" w:cs="宋体"/>
                <w:kern w:val="0"/>
                <w:sz w:val="24"/>
                <w:szCs w:val="24"/>
              </w:rPr>
              <w:t>小屋材料、硬件配置及性能</w:t>
            </w:r>
          </w:p>
        </w:tc>
        <w:tc>
          <w:tcPr>
            <w:tcW w:w="2132" w:type="dxa"/>
          </w:tcPr>
          <w:p w14:paraId="04A61FA1">
            <w:pPr>
              <w:snapToGrid w:val="0"/>
              <w:spacing w:line="360" w:lineRule="auto"/>
              <w:jc w:val="center"/>
              <w:rPr>
                <w:rFonts w:hint="eastAsia" w:ascii="宋体" w:hAnsi="宋体"/>
                <w:bCs/>
                <w:szCs w:val="21"/>
              </w:rPr>
            </w:pPr>
            <w:r>
              <w:rPr>
                <w:rFonts w:hint="eastAsia" w:ascii="宋体" w:hAnsi="宋体"/>
                <w:bCs/>
                <w:szCs w:val="21"/>
              </w:rPr>
              <w:t>0-100分</w:t>
            </w:r>
          </w:p>
          <w:p w14:paraId="04A61FA2">
            <w:pPr>
              <w:spacing w:line="360" w:lineRule="auto"/>
              <w:jc w:val="center"/>
              <w:rPr>
                <w:rFonts w:hint="eastAsia" w:ascii="宋体" w:hAnsi="宋体" w:cs="宋体"/>
                <w:kern w:val="0"/>
                <w:sz w:val="24"/>
                <w:szCs w:val="24"/>
              </w:rPr>
            </w:pPr>
            <w:r>
              <w:rPr>
                <w:rFonts w:hint="eastAsia" w:ascii="宋体" w:hAnsi="宋体"/>
                <w:bCs/>
                <w:szCs w:val="21"/>
              </w:rPr>
              <w:t>（权重16.5%）</w:t>
            </w:r>
          </w:p>
        </w:tc>
        <w:tc>
          <w:tcPr>
            <w:tcW w:w="2133" w:type="dxa"/>
          </w:tcPr>
          <w:p w14:paraId="04A61FA3">
            <w:pPr>
              <w:spacing w:line="360" w:lineRule="auto"/>
              <w:rPr>
                <w:rFonts w:hint="eastAsia" w:ascii="宋体" w:hAnsi="宋体" w:cs="宋体"/>
                <w:kern w:val="0"/>
                <w:sz w:val="24"/>
                <w:szCs w:val="24"/>
              </w:rPr>
            </w:pPr>
          </w:p>
        </w:tc>
      </w:tr>
      <w:tr w14:paraId="04A61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14:paraId="04A61FA5">
            <w:pPr>
              <w:spacing w:line="360" w:lineRule="auto"/>
              <w:jc w:val="center"/>
              <w:rPr>
                <w:rFonts w:hint="eastAsia" w:ascii="宋体" w:hAnsi="宋体" w:cs="宋体"/>
                <w:kern w:val="0"/>
                <w:sz w:val="24"/>
                <w:szCs w:val="24"/>
              </w:rPr>
            </w:pPr>
            <w:r>
              <w:rPr>
                <w:rFonts w:hint="eastAsia" w:ascii="宋体" w:hAnsi="宋体" w:cs="宋体"/>
                <w:kern w:val="0"/>
                <w:sz w:val="24"/>
                <w:szCs w:val="24"/>
              </w:rPr>
              <w:t>2</w:t>
            </w:r>
          </w:p>
        </w:tc>
        <w:tc>
          <w:tcPr>
            <w:tcW w:w="3447" w:type="dxa"/>
          </w:tcPr>
          <w:p w14:paraId="04A61FA6">
            <w:pPr>
              <w:spacing w:line="360" w:lineRule="auto"/>
              <w:rPr>
                <w:rFonts w:hint="eastAsia" w:ascii="宋体" w:hAnsi="宋体" w:cs="宋体"/>
                <w:kern w:val="0"/>
                <w:sz w:val="24"/>
                <w:szCs w:val="24"/>
              </w:rPr>
            </w:pPr>
            <w:r>
              <w:rPr>
                <w:rFonts w:hint="eastAsia" w:ascii="宋体" w:hAnsi="宋体" w:cs="宋体"/>
                <w:kern w:val="0"/>
                <w:sz w:val="24"/>
                <w:szCs w:val="24"/>
              </w:rPr>
              <w:t>设计布置的合理性</w:t>
            </w:r>
          </w:p>
        </w:tc>
        <w:tc>
          <w:tcPr>
            <w:tcW w:w="2132" w:type="dxa"/>
          </w:tcPr>
          <w:p w14:paraId="04A61FA7">
            <w:pPr>
              <w:snapToGrid w:val="0"/>
              <w:spacing w:line="360" w:lineRule="auto"/>
              <w:jc w:val="center"/>
              <w:rPr>
                <w:rFonts w:hint="eastAsia" w:ascii="宋体" w:hAnsi="宋体"/>
                <w:bCs/>
                <w:szCs w:val="21"/>
              </w:rPr>
            </w:pPr>
            <w:r>
              <w:rPr>
                <w:rFonts w:hint="eastAsia" w:ascii="宋体" w:hAnsi="宋体"/>
                <w:bCs/>
                <w:szCs w:val="21"/>
              </w:rPr>
              <w:t>0-100分</w:t>
            </w:r>
          </w:p>
          <w:p w14:paraId="04A61FA8">
            <w:pPr>
              <w:spacing w:line="360" w:lineRule="auto"/>
              <w:jc w:val="center"/>
              <w:rPr>
                <w:rFonts w:hint="eastAsia" w:ascii="宋体" w:hAnsi="宋体" w:cs="宋体"/>
                <w:kern w:val="0"/>
                <w:sz w:val="24"/>
                <w:szCs w:val="24"/>
              </w:rPr>
            </w:pPr>
            <w:r>
              <w:rPr>
                <w:rFonts w:hint="eastAsia" w:ascii="宋体" w:hAnsi="宋体"/>
                <w:bCs/>
                <w:szCs w:val="21"/>
              </w:rPr>
              <w:t>（权重16.5%）</w:t>
            </w:r>
          </w:p>
        </w:tc>
        <w:tc>
          <w:tcPr>
            <w:tcW w:w="2133" w:type="dxa"/>
          </w:tcPr>
          <w:p w14:paraId="04A61FA9">
            <w:pPr>
              <w:spacing w:line="360" w:lineRule="auto"/>
              <w:rPr>
                <w:rFonts w:hint="eastAsia" w:ascii="宋体" w:hAnsi="宋体" w:cs="宋体"/>
                <w:kern w:val="0"/>
                <w:sz w:val="24"/>
                <w:szCs w:val="24"/>
              </w:rPr>
            </w:pPr>
          </w:p>
        </w:tc>
      </w:tr>
      <w:tr w14:paraId="04A61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14:paraId="04A61FAB">
            <w:pPr>
              <w:spacing w:line="360" w:lineRule="auto"/>
              <w:jc w:val="center"/>
              <w:rPr>
                <w:rFonts w:hint="eastAsia" w:ascii="宋体" w:hAnsi="宋体" w:cs="宋体"/>
                <w:kern w:val="0"/>
                <w:sz w:val="24"/>
                <w:szCs w:val="24"/>
              </w:rPr>
            </w:pPr>
            <w:r>
              <w:rPr>
                <w:rFonts w:hint="eastAsia" w:ascii="宋体" w:hAnsi="宋体" w:cs="宋体"/>
                <w:kern w:val="0"/>
                <w:sz w:val="24"/>
                <w:szCs w:val="24"/>
              </w:rPr>
              <w:t>3</w:t>
            </w:r>
          </w:p>
        </w:tc>
        <w:tc>
          <w:tcPr>
            <w:tcW w:w="3447" w:type="dxa"/>
          </w:tcPr>
          <w:p w14:paraId="04A61FAC">
            <w:pPr>
              <w:spacing w:line="360" w:lineRule="auto"/>
              <w:rPr>
                <w:rFonts w:hint="eastAsia" w:ascii="宋体" w:hAnsi="宋体" w:cs="宋体"/>
                <w:kern w:val="0"/>
                <w:sz w:val="24"/>
                <w:szCs w:val="24"/>
              </w:rPr>
            </w:pPr>
            <w:r>
              <w:rPr>
                <w:rFonts w:hint="eastAsia" w:ascii="宋体" w:hAnsi="宋体" w:cs="宋体"/>
                <w:kern w:val="0"/>
                <w:sz w:val="24"/>
                <w:szCs w:val="24"/>
              </w:rPr>
              <w:t>集成装配能力</w:t>
            </w:r>
          </w:p>
        </w:tc>
        <w:tc>
          <w:tcPr>
            <w:tcW w:w="2132" w:type="dxa"/>
          </w:tcPr>
          <w:p w14:paraId="04A61FAD">
            <w:pPr>
              <w:snapToGrid w:val="0"/>
              <w:spacing w:line="360" w:lineRule="auto"/>
              <w:jc w:val="center"/>
              <w:rPr>
                <w:rFonts w:hint="eastAsia" w:ascii="宋体" w:hAnsi="宋体"/>
                <w:bCs/>
                <w:szCs w:val="21"/>
              </w:rPr>
            </w:pPr>
            <w:r>
              <w:rPr>
                <w:rFonts w:hint="eastAsia" w:ascii="宋体" w:hAnsi="宋体"/>
                <w:bCs/>
                <w:szCs w:val="21"/>
              </w:rPr>
              <w:t>0-100分</w:t>
            </w:r>
          </w:p>
          <w:p w14:paraId="04A61FAE">
            <w:pPr>
              <w:spacing w:line="360" w:lineRule="auto"/>
              <w:jc w:val="center"/>
              <w:rPr>
                <w:rFonts w:hint="eastAsia" w:ascii="宋体" w:hAnsi="宋体" w:cs="宋体"/>
                <w:kern w:val="0"/>
                <w:sz w:val="24"/>
                <w:szCs w:val="24"/>
              </w:rPr>
            </w:pPr>
            <w:r>
              <w:rPr>
                <w:rFonts w:hint="eastAsia" w:ascii="宋体" w:hAnsi="宋体"/>
                <w:bCs/>
                <w:szCs w:val="21"/>
              </w:rPr>
              <w:t>（权重13.5%）</w:t>
            </w:r>
          </w:p>
        </w:tc>
        <w:tc>
          <w:tcPr>
            <w:tcW w:w="2133" w:type="dxa"/>
          </w:tcPr>
          <w:p w14:paraId="04A61FAF">
            <w:pPr>
              <w:spacing w:line="360" w:lineRule="auto"/>
              <w:rPr>
                <w:rFonts w:hint="eastAsia" w:ascii="宋体" w:hAnsi="宋体" w:cs="宋体"/>
                <w:kern w:val="0"/>
                <w:sz w:val="24"/>
                <w:szCs w:val="24"/>
              </w:rPr>
            </w:pPr>
          </w:p>
        </w:tc>
      </w:tr>
      <w:tr w14:paraId="04A61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14:paraId="04A61FB1">
            <w:pPr>
              <w:spacing w:line="360" w:lineRule="auto"/>
              <w:jc w:val="center"/>
              <w:rPr>
                <w:rFonts w:hint="eastAsia" w:ascii="宋体" w:hAnsi="宋体" w:cs="宋体"/>
                <w:kern w:val="0"/>
                <w:sz w:val="24"/>
                <w:szCs w:val="24"/>
              </w:rPr>
            </w:pPr>
            <w:r>
              <w:rPr>
                <w:rFonts w:hint="eastAsia" w:ascii="宋体" w:hAnsi="宋体" w:cs="宋体"/>
                <w:kern w:val="0"/>
                <w:sz w:val="24"/>
                <w:szCs w:val="24"/>
              </w:rPr>
              <w:t>4</w:t>
            </w:r>
          </w:p>
        </w:tc>
        <w:tc>
          <w:tcPr>
            <w:tcW w:w="3447" w:type="dxa"/>
          </w:tcPr>
          <w:p w14:paraId="04A61FB2">
            <w:pPr>
              <w:spacing w:line="360" w:lineRule="auto"/>
              <w:rPr>
                <w:rFonts w:hint="eastAsia" w:ascii="宋体" w:hAnsi="宋体" w:cs="宋体"/>
                <w:kern w:val="0"/>
                <w:sz w:val="24"/>
                <w:szCs w:val="24"/>
              </w:rPr>
            </w:pPr>
            <w:r>
              <w:rPr>
                <w:rFonts w:hint="eastAsia" w:ascii="宋体" w:hAnsi="宋体" w:cs="宋体"/>
                <w:kern w:val="0"/>
                <w:sz w:val="24"/>
                <w:szCs w:val="24"/>
              </w:rPr>
              <w:t>附件及备品备件</w:t>
            </w:r>
          </w:p>
        </w:tc>
        <w:tc>
          <w:tcPr>
            <w:tcW w:w="2132" w:type="dxa"/>
          </w:tcPr>
          <w:p w14:paraId="04A61FB3">
            <w:pPr>
              <w:snapToGrid w:val="0"/>
              <w:spacing w:line="360" w:lineRule="auto"/>
              <w:jc w:val="center"/>
              <w:rPr>
                <w:rFonts w:hint="eastAsia" w:ascii="宋体" w:hAnsi="宋体"/>
                <w:bCs/>
                <w:szCs w:val="21"/>
              </w:rPr>
            </w:pPr>
            <w:r>
              <w:rPr>
                <w:rFonts w:hint="eastAsia" w:ascii="宋体" w:hAnsi="宋体"/>
                <w:bCs/>
                <w:szCs w:val="21"/>
              </w:rPr>
              <w:t>0-100分</w:t>
            </w:r>
          </w:p>
          <w:p w14:paraId="04A61FB4">
            <w:pPr>
              <w:spacing w:line="360" w:lineRule="auto"/>
              <w:jc w:val="center"/>
              <w:rPr>
                <w:rFonts w:hint="eastAsia" w:ascii="宋体" w:hAnsi="宋体" w:cs="宋体"/>
                <w:kern w:val="0"/>
                <w:sz w:val="24"/>
                <w:szCs w:val="24"/>
              </w:rPr>
            </w:pPr>
            <w:r>
              <w:rPr>
                <w:rFonts w:hint="eastAsia" w:ascii="宋体" w:hAnsi="宋体"/>
                <w:bCs/>
                <w:szCs w:val="21"/>
              </w:rPr>
              <w:t>（权重10%）</w:t>
            </w:r>
          </w:p>
        </w:tc>
        <w:tc>
          <w:tcPr>
            <w:tcW w:w="2133" w:type="dxa"/>
          </w:tcPr>
          <w:p w14:paraId="04A61FB5">
            <w:pPr>
              <w:spacing w:line="360" w:lineRule="auto"/>
              <w:rPr>
                <w:rFonts w:hint="eastAsia" w:ascii="宋体" w:hAnsi="宋体" w:cs="宋体"/>
                <w:kern w:val="0"/>
                <w:sz w:val="24"/>
                <w:szCs w:val="24"/>
              </w:rPr>
            </w:pPr>
          </w:p>
        </w:tc>
      </w:tr>
      <w:tr w14:paraId="04A61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14:paraId="04A61FB7">
            <w:pPr>
              <w:spacing w:line="360" w:lineRule="auto"/>
              <w:jc w:val="center"/>
              <w:rPr>
                <w:rFonts w:hint="eastAsia" w:ascii="宋体" w:hAnsi="宋体" w:cs="宋体"/>
                <w:kern w:val="0"/>
                <w:sz w:val="24"/>
                <w:szCs w:val="24"/>
              </w:rPr>
            </w:pPr>
            <w:r>
              <w:rPr>
                <w:rFonts w:hint="eastAsia" w:ascii="宋体" w:hAnsi="宋体" w:cs="宋体"/>
                <w:kern w:val="0"/>
                <w:sz w:val="24"/>
                <w:szCs w:val="24"/>
              </w:rPr>
              <w:t>5</w:t>
            </w:r>
          </w:p>
        </w:tc>
        <w:tc>
          <w:tcPr>
            <w:tcW w:w="3447" w:type="dxa"/>
          </w:tcPr>
          <w:p w14:paraId="04A61FB8">
            <w:pPr>
              <w:spacing w:line="360" w:lineRule="auto"/>
              <w:rPr>
                <w:rFonts w:hint="eastAsia" w:ascii="宋体" w:hAnsi="宋体" w:cs="宋体"/>
                <w:kern w:val="0"/>
                <w:sz w:val="24"/>
                <w:szCs w:val="24"/>
              </w:rPr>
            </w:pPr>
            <w:r>
              <w:rPr>
                <w:rFonts w:hint="eastAsia" w:ascii="宋体" w:hAnsi="宋体" w:cs="宋体"/>
                <w:kern w:val="0"/>
                <w:sz w:val="24"/>
                <w:szCs w:val="24"/>
              </w:rPr>
              <w:t>产品交货期</w:t>
            </w:r>
          </w:p>
        </w:tc>
        <w:tc>
          <w:tcPr>
            <w:tcW w:w="2132" w:type="dxa"/>
          </w:tcPr>
          <w:p w14:paraId="04A61FB9">
            <w:pPr>
              <w:snapToGrid w:val="0"/>
              <w:spacing w:line="360" w:lineRule="auto"/>
              <w:jc w:val="center"/>
              <w:rPr>
                <w:rFonts w:hint="eastAsia" w:ascii="宋体" w:hAnsi="宋体"/>
                <w:bCs/>
                <w:szCs w:val="21"/>
              </w:rPr>
            </w:pPr>
            <w:r>
              <w:rPr>
                <w:rFonts w:hint="eastAsia" w:ascii="宋体" w:hAnsi="宋体"/>
                <w:bCs/>
                <w:szCs w:val="21"/>
              </w:rPr>
              <w:t>0-100分</w:t>
            </w:r>
          </w:p>
          <w:p w14:paraId="04A61FBA">
            <w:pPr>
              <w:spacing w:line="360" w:lineRule="auto"/>
              <w:jc w:val="center"/>
              <w:rPr>
                <w:rFonts w:hint="eastAsia" w:ascii="宋体" w:hAnsi="宋体" w:cs="宋体"/>
                <w:kern w:val="0"/>
                <w:sz w:val="24"/>
                <w:szCs w:val="24"/>
              </w:rPr>
            </w:pPr>
            <w:r>
              <w:rPr>
                <w:rFonts w:hint="eastAsia" w:ascii="宋体" w:hAnsi="宋体"/>
                <w:bCs/>
                <w:szCs w:val="21"/>
              </w:rPr>
              <w:t>（权重10%）</w:t>
            </w:r>
          </w:p>
        </w:tc>
        <w:tc>
          <w:tcPr>
            <w:tcW w:w="2133" w:type="dxa"/>
          </w:tcPr>
          <w:p w14:paraId="04A61FBB">
            <w:pPr>
              <w:spacing w:line="360" w:lineRule="auto"/>
              <w:rPr>
                <w:rFonts w:hint="eastAsia" w:ascii="宋体" w:hAnsi="宋体" w:cs="宋体"/>
                <w:kern w:val="0"/>
                <w:sz w:val="24"/>
                <w:szCs w:val="24"/>
              </w:rPr>
            </w:pPr>
            <w:r>
              <w:rPr>
                <w:rFonts w:hint="eastAsia" w:ascii="宋体" w:hAnsi="宋体" w:cs="宋体"/>
                <w:kern w:val="0"/>
                <w:sz w:val="24"/>
                <w:szCs w:val="24"/>
              </w:rPr>
              <w:t>*超出交货期15天以上的视为废标</w:t>
            </w:r>
          </w:p>
        </w:tc>
      </w:tr>
    </w:tbl>
    <w:p w14:paraId="04A61FBD">
      <w:pPr>
        <w:spacing w:line="360" w:lineRule="auto"/>
        <w:outlineLvl w:val="2"/>
        <w:rPr>
          <w:rFonts w:hint="eastAsia" w:ascii="宋体" w:hAnsi="宋体"/>
          <w:b/>
          <w:sz w:val="24"/>
          <w:szCs w:val="24"/>
        </w:rPr>
      </w:pPr>
    </w:p>
    <w:p w14:paraId="04A61FBE">
      <w:pPr>
        <w:spacing w:line="360" w:lineRule="auto"/>
        <w:ind w:firstLine="240" w:firstLineChars="100"/>
        <w:rPr>
          <w:rFonts w:hint="eastAsia" w:ascii="宋体" w:hAnsi="宋体" w:cs="宋体"/>
          <w:kern w:val="0"/>
          <w:sz w:val="24"/>
          <w:szCs w:val="24"/>
        </w:rPr>
      </w:pPr>
      <w:r>
        <w:rPr>
          <w:rFonts w:hint="eastAsia" w:ascii="宋体" w:hAnsi="宋体" w:cs="宋体"/>
          <w:kern w:val="0"/>
          <w:sz w:val="24"/>
          <w:szCs w:val="24"/>
        </w:rPr>
        <w:t>以上评分结果按四舍五入保留小数2位，投标人的得分为全体评为打分的算数平均值。如投标文件技术评审时，若有5项及以上的一般技术条款（除*废标项的条款外）负偏离，则判定该投标人技术评审不合格，不再进入下一轮评审。</w:t>
      </w:r>
    </w:p>
    <w:p w14:paraId="04A61FBF">
      <w:pPr>
        <w:rPr>
          <w:rFonts w:hint="eastAsia" w:ascii="宋体" w:hAnsi="宋体" w:cs="宋体"/>
          <w:kern w:val="0"/>
          <w:sz w:val="24"/>
          <w:szCs w:val="24"/>
        </w:rPr>
      </w:pPr>
      <w:r>
        <w:rPr>
          <w:rFonts w:hint="eastAsia" w:ascii="宋体" w:hAnsi="宋体" w:cs="宋体"/>
          <w:kern w:val="0"/>
          <w:sz w:val="24"/>
          <w:szCs w:val="24"/>
        </w:rPr>
        <w:t>4.2商务标</w:t>
      </w:r>
      <w:r>
        <w:rPr>
          <w:rFonts w:hint="eastAsia" w:ascii="宋体" w:hAnsi="宋体"/>
          <w:sz w:val="24"/>
          <w:szCs w:val="24"/>
          <w:u w:val="single"/>
        </w:rPr>
        <w:t>100分（占比60%）</w:t>
      </w:r>
    </w:p>
    <w:p w14:paraId="04A61FC0">
      <w:pPr>
        <w:spacing w:line="360" w:lineRule="auto"/>
        <w:ind w:firstLine="120" w:firstLineChars="50"/>
        <w:rPr>
          <w:rFonts w:hint="eastAsia" w:ascii="宋体" w:hAnsi="宋体" w:cs="宋体"/>
          <w:kern w:val="0"/>
          <w:sz w:val="24"/>
          <w:szCs w:val="24"/>
        </w:rPr>
      </w:pPr>
      <w:r>
        <w:rPr>
          <w:rFonts w:hint="eastAsia" w:ascii="宋体" w:hAnsi="宋体" w:cs="宋体"/>
          <w:kern w:val="0"/>
          <w:sz w:val="24"/>
          <w:szCs w:val="24"/>
        </w:rPr>
        <w:t xml:space="preserve">  4.2.1 评标委员会应对通过符合性审查和技术评审的投标文件进行商务标评审，对商务报价的范围、数量、单价、费用组成、总价和结算方式等进行全面审阅和对比分析，找出报价差异的原因及存在的问题。报价评审应以报价口径范围一致的评标价为依据。评标价应在最终报价的基础上，按照招标文件约定的因素和方法进行计算，因投标人自身失误造成多算、少算、漏算的，不得调整。统一以到巨化化工材料有限公司或指定地点为计算依据。 投标报价中，如有以下情况之一的，按商务标评审不合格处理：</w:t>
      </w:r>
    </w:p>
    <w:p w14:paraId="04A61FC1">
      <w:pPr>
        <w:spacing w:line="360" w:lineRule="auto"/>
        <w:ind w:firstLine="120" w:firstLineChars="50"/>
        <w:rPr>
          <w:rFonts w:hint="eastAsia" w:ascii="宋体" w:hAnsi="宋体" w:cs="宋体"/>
          <w:kern w:val="0"/>
          <w:sz w:val="24"/>
          <w:szCs w:val="24"/>
        </w:rPr>
      </w:pPr>
      <w:r>
        <w:rPr>
          <w:rFonts w:hint="eastAsia" w:ascii="宋体" w:hAnsi="宋体" w:cs="宋体"/>
          <w:kern w:val="0"/>
          <w:sz w:val="24"/>
          <w:szCs w:val="24"/>
        </w:rPr>
        <w:t>（1）投标人未按招标文件实质性规定要求进行报价；</w:t>
      </w:r>
    </w:p>
    <w:p w14:paraId="04A61FC2">
      <w:pPr>
        <w:spacing w:line="360" w:lineRule="auto"/>
        <w:ind w:firstLine="120" w:firstLineChars="50"/>
        <w:rPr>
          <w:rFonts w:hint="eastAsia" w:ascii="宋体" w:hAnsi="宋体" w:cs="宋体"/>
          <w:kern w:val="0"/>
          <w:sz w:val="24"/>
          <w:szCs w:val="24"/>
        </w:rPr>
      </w:pPr>
      <w:r>
        <w:rPr>
          <w:rFonts w:hint="eastAsia" w:ascii="宋体" w:hAnsi="宋体" w:cs="宋体"/>
          <w:kern w:val="0"/>
          <w:sz w:val="24"/>
          <w:szCs w:val="24"/>
        </w:rPr>
        <w:t>（2）评标委员会认定属投标人自身原因有重大漏项的。</w:t>
      </w:r>
    </w:p>
    <w:p w14:paraId="04A61FC3">
      <w:pPr>
        <w:spacing w:line="360" w:lineRule="auto"/>
        <w:ind w:firstLine="120" w:firstLineChars="50"/>
        <w:rPr>
          <w:rFonts w:hint="eastAsia" w:ascii="宋体" w:hAnsi="宋体" w:cs="宋体"/>
          <w:kern w:val="0"/>
          <w:sz w:val="24"/>
          <w:szCs w:val="24"/>
        </w:rPr>
      </w:pPr>
      <w:r>
        <w:rPr>
          <w:rFonts w:hint="eastAsia" w:ascii="宋体" w:hAnsi="宋体" w:cs="宋体"/>
          <w:kern w:val="0"/>
          <w:sz w:val="24"/>
          <w:szCs w:val="24"/>
        </w:rPr>
        <w:t>（3）对主要商务条款的负偏离。</w:t>
      </w:r>
    </w:p>
    <w:p w14:paraId="04A61FC4">
      <w:pPr>
        <w:spacing w:line="360" w:lineRule="auto"/>
        <w:ind w:firstLine="120" w:firstLineChars="50"/>
        <w:rPr>
          <w:rFonts w:hint="eastAsia" w:ascii="宋体" w:hAnsi="宋体" w:cs="宋体"/>
          <w:kern w:val="0"/>
          <w:sz w:val="24"/>
          <w:szCs w:val="24"/>
        </w:rPr>
      </w:pPr>
      <w:r>
        <w:rPr>
          <w:rFonts w:ascii="宋体" w:hAnsi="宋体"/>
          <w:sz w:val="24"/>
          <w:szCs w:val="24"/>
        </w:rPr>
        <w:t>商务评审不合格的投标文件不再进入后续报价评审</w:t>
      </w:r>
      <w:r>
        <w:rPr>
          <w:rFonts w:hint="eastAsia" w:ascii="宋体" w:hAnsi="宋体"/>
          <w:sz w:val="24"/>
          <w:szCs w:val="24"/>
        </w:rPr>
        <w:t>。</w:t>
      </w:r>
    </w:p>
    <w:p w14:paraId="04A61FC5">
      <w:pPr>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4.2.2 报价评审。</w:t>
      </w:r>
    </w:p>
    <w:p w14:paraId="04A61FC6">
      <w:pPr>
        <w:spacing w:line="360" w:lineRule="auto"/>
        <w:ind w:firstLine="480" w:firstLineChars="200"/>
        <w:rPr>
          <w:rFonts w:hint="eastAsia" w:ascii="宋体" w:hAnsi="宋体"/>
          <w:sz w:val="24"/>
          <w:szCs w:val="24"/>
        </w:rPr>
      </w:pPr>
      <w:r>
        <w:rPr>
          <w:rFonts w:hint="eastAsia" w:ascii="宋体" w:hAnsi="宋体"/>
          <w:sz w:val="24"/>
          <w:szCs w:val="24"/>
        </w:rPr>
        <w:t>报价评分</w:t>
      </w:r>
      <w:r>
        <w:rPr>
          <w:rFonts w:ascii="宋体" w:hAnsi="宋体"/>
          <w:sz w:val="24"/>
          <w:szCs w:val="24"/>
        </w:rPr>
        <w:t>在投标最终</w:t>
      </w:r>
      <w:r>
        <w:rPr>
          <w:rFonts w:hint="eastAsia" w:ascii="宋体" w:hAnsi="宋体"/>
          <w:sz w:val="24"/>
          <w:szCs w:val="24"/>
        </w:rPr>
        <w:t>总</w:t>
      </w:r>
      <w:r>
        <w:rPr>
          <w:rFonts w:ascii="宋体" w:hAnsi="宋体"/>
          <w:sz w:val="24"/>
          <w:szCs w:val="24"/>
        </w:rPr>
        <w:t>报价的基础上进行报价评分。属投标人失误造成的报价差错、遗漏，不得调整。</w:t>
      </w:r>
    </w:p>
    <w:p w14:paraId="04A61FC7">
      <w:pPr>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4.2.3基准价的确定：</w:t>
      </w:r>
    </w:p>
    <w:p w14:paraId="04A61FC8">
      <w:pPr>
        <w:spacing w:line="360" w:lineRule="auto"/>
        <w:ind w:firstLine="360" w:firstLineChars="150"/>
        <w:rPr>
          <w:rFonts w:hint="eastAsia" w:ascii="宋体" w:hAnsi="宋体" w:cs="宋体"/>
          <w:kern w:val="0"/>
          <w:sz w:val="24"/>
          <w:szCs w:val="24"/>
        </w:rPr>
      </w:pPr>
      <w:r>
        <w:rPr>
          <w:rFonts w:hint="eastAsia" w:ascii="宋体" w:hAnsi="宋体" w:cs="宋体"/>
          <w:kern w:val="0"/>
          <w:sz w:val="24"/>
          <w:szCs w:val="24"/>
        </w:rPr>
        <w:t>（1）当有效投标人数量≥9家：去掉最高价和次高价后，所有有效投标价的算术平均值与次低报价的二次平均值为基准价；</w:t>
      </w:r>
    </w:p>
    <w:p w14:paraId="04A61FC9">
      <w:pPr>
        <w:spacing w:line="360" w:lineRule="auto"/>
        <w:ind w:firstLine="360" w:firstLineChars="150"/>
        <w:rPr>
          <w:rFonts w:hint="eastAsia" w:ascii="宋体" w:hAnsi="宋体" w:cs="宋体"/>
          <w:kern w:val="0"/>
          <w:sz w:val="24"/>
          <w:szCs w:val="24"/>
        </w:rPr>
      </w:pPr>
      <w:r>
        <w:rPr>
          <w:rFonts w:hint="eastAsia" w:ascii="宋体" w:hAnsi="宋体" w:cs="宋体"/>
          <w:kern w:val="0"/>
          <w:sz w:val="24"/>
          <w:szCs w:val="24"/>
        </w:rPr>
        <w:t>（2）当5家≤有效投标人数量＜9家：去掉最高价后所有有效投标价的算术平均值与次低报价的二次平均值为基准价；</w:t>
      </w:r>
    </w:p>
    <w:p w14:paraId="04A61FCA">
      <w:pPr>
        <w:spacing w:line="360" w:lineRule="auto"/>
        <w:ind w:firstLine="360" w:firstLineChars="150"/>
        <w:rPr>
          <w:rFonts w:hint="eastAsia" w:ascii="宋体" w:hAnsi="宋体" w:cs="宋体"/>
          <w:kern w:val="0"/>
          <w:sz w:val="24"/>
          <w:szCs w:val="24"/>
        </w:rPr>
      </w:pPr>
      <w:r>
        <w:rPr>
          <w:rFonts w:hint="eastAsia" w:ascii="宋体" w:hAnsi="宋体" w:cs="宋体"/>
          <w:kern w:val="0"/>
          <w:sz w:val="24"/>
          <w:szCs w:val="24"/>
        </w:rPr>
        <w:t>（3）当3家≤有效投标人数量＜5家当且最高报价≥次高报价×120%时，去除最高报价后所有有效投标价的算术平均值与最低报价的二次平均值为基准价；</w:t>
      </w:r>
    </w:p>
    <w:p w14:paraId="04A61FCB">
      <w:pPr>
        <w:spacing w:line="360" w:lineRule="auto"/>
        <w:ind w:firstLine="360" w:firstLineChars="150"/>
        <w:rPr>
          <w:rFonts w:hint="eastAsia" w:ascii="宋体" w:hAnsi="宋体" w:cs="宋体"/>
          <w:kern w:val="0"/>
          <w:sz w:val="24"/>
          <w:szCs w:val="24"/>
        </w:rPr>
      </w:pPr>
      <w:r>
        <w:rPr>
          <w:rFonts w:hint="eastAsia" w:ascii="宋体" w:hAnsi="宋体" w:cs="宋体"/>
          <w:kern w:val="0"/>
          <w:sz w:val="24"/>
          <w:szCs w:val="24"/>
        </w:rPr>
        <w:t>（4）当3家≤有效投标人数量＜5家且最高报价＜次高报价×120%时，所有有效投标价的算术平均值与次低报价的二次平均值为基准价。</w:t>
      </w:r>
    </w:p>
    <w:p w14:paraId="04A61FCC">
      <w:pPr>
        <w:spacing w:line="360" w:lineRule="auto"/>
        <w:ind w:firstLine="240" w:firstLineChars="100"/>
        <w:rPr>
          <w:rFonts w:ascii="宋体" w:cs="宋体"/>
          <w:sz w:val="24"/>
          <w:szCs w:val="24"/>
        </w:rPr>
      </w:pPr>
      <w:r>
        <w:rPr>
          <w:rFonts w:hint="eastAsia"/>
          <w:sz w:val="24"/>
          <w:szCs w:val="24"/>
        </w:rPr>
        <w:t>*</w:t>
      </w:r>
      <w:r>
        <w:rPr>
          <w:rFonts w:hint="eastAsia" w:ascii="宋体" w:cs="宋体"/>
          <w:sz w:val="24"/>
          <w:szCs w:val="24"/>
        </w:rPr>
        <w:t>投标报价高于最高限价的，其投标文件作否决处理。</w:t>
      </w:r>
    </w:p>
    <w:p w14:paraId="04A61FCD">
      <w:pPr>
        <w:spacing w:line="360" w:lineRule="auto"/>
        <w:ind w:firstLine="360" w:firstLineChars="150"/>
        <w:rPr>
          <w:rFonts w:hint="eastAsia" w:ascii="宋体" w:hAnsi="宋体" w:cs="宋体"/>
          <w:kern w:val="0"/>
          <w:sz w:val="24"/>
          <w:szCs w:val="24"/>
        </w:rPr>
      </w:pPr>
      <w:r>
        <w:rPr>
          <w:rFonts w:hint="eastAsia" w:ascii="宋体" w:hAnsi="宋体" w:cs="宋体"/>
          <w:kern w:val="0"/>
          <w:sz w:val="24"/>
          <w:szCs w:val="24"/>
        </w:rPr>
        <w:t>4.3</w:t>
      </w:r>
      <w:r>
        <w:rPr>
          <w:rFonts w:ascii="宋体" w:hAnsi="宋体"/>
          <w:bCs/>
          <w:sz w:val="24"/>
          <w:szCs w:val="24"/>
        </w:rPr>
        <w:t>根据</w:t>
      </w:r>
      <w:r>
        <w:rPr>
          <w:rFonts w:ascii="宋体" w:hAnsi="宋体"/>
          <w:sz w:val="24"/>
          <w:szCs w:val="24"/>
        </w:rPr>
        <w:t>投标人最终报价与</w:t>
      </w:r>
      <w:r>
        <w:rPr>
          <w:rFonts w:hint="eastAsia" w:ascii="宋体" w:hAnsi="宋体"/>
          <w:sz w:val="24"/>
          <w:szCs w:val="24"/>
        </w:rPr>
        <w:t>基准价</w:t>
      </w:r>
      <w:r>
        <w:rPr>
          <w:rFonts w:ascii="宋体" w:hAnsi="宋体"/>
          <w:sz w:val="24"/>
          <w:szCs w:val="24"/>
        </w:rPr>
        <w:t>值对比，计算出商务报价评分值</w:t>
      </w:r>
      <w:r>
        <w:rPr>
          <w:rFonts w:hint="eastAsia" w:ascii="宋体" w:hAnsi="宋体" w:cs="宋体"/>
          <w:kern w:val="0"/>
          <w:sz w:val="24"/>
          <w:szCs w:val="24"/>
        </w:rPr>
        <w:t>：</w:t>
      </w:r>
    </w:p>
    <w:p w14:paraId="04A61FCE">
      <w:pPr>
        <w:adjustRightInd w:val="0"/>
        <w:snapToGrid w:val="0"/>
        <w:spacing w:line="360" w:lineRule="auto"/>
        <w:ind w:firstLine="480" w:firstLineChars="200"/>
        <w:rPr>
          <w:rFonts w:hint="eastAsia" w:ascii="宋体" w:hAnsi="宋体"/>
          <w:sz w:val="24"/>
          <w:szCs w:val="24"/>
        </w:rPr>
      </w:pPr>
      <w:r>
        <w:rPr>
          <w:rFonts w:hint="eastAsia" w:ascii="宋体" w:hAnsi="宋体" w:cs="宋体"/>
          <w:kern w:val="0"/>
          <w:sz w:val="24"/>
          <w:szCs w:val="24"/>
        </w:rPr>
        <w:t xml:space="preserve">⑴ </w:t>
      </w:r>
      <w:r>
        <w:rPr>
          <w:rFonts w:ascii="宋体" w:hAnsi="宋体"/>
          <w:sz w:val="24"/>
          <w:szCs w:val="24"/>
        </w:rPr>
        <w:t>基准价值得</w:t>
      </w:r>
      <w:r>
        <w:rPr>
          <w:rFonts w:hint="eastAsia" w:ascii="宋体" w:hAnsi="宋体"/>
          <w:sz w:val="24"/>
          <w:szCs w:val="24"/>
          <w:u w:val="single"/>
        </w:rPr>
        <w:t xml:space="preserve"> 100  </w:t>
      </w:r>
      <w:r>
        <w:rPr>
          <w:rFonts w:ascii="宋体" w:hAnsi="宋体"/>
          <w:sz w:val="24"/>
          <w:szCs w:val="24"/>
        </w:rPr>
        <w:t>分；</w:t>
      </w:r>
    </w:p>
    <w:p w14:paraId="04A61FCF">
      <w:pPr>
        <w:adjustRightInd w:val="0"/>
        <w:snapToGrid w:val="0"/>
        <w:spacing w:line="360" w:lineRule="auto"/>
        <w:ind w:firstLine="480" w:firstLineChars="200"/>
        <w:rPr>
          <w:rFonts w:hint="eastAsia" w:ascii="宋体" w:hAnsi="宋体"/>
          <w:sz w:val="24"/>
          <w:szCs w:val="24"/>
        </w:rPr>
      </w:pPr>
      <w:r>
        <w:rPr>
          <w:rFonts w:hint="eastAsia" w:ascii="宋体" w:hAnsi="宋体" w:cs="宋体"/>
          <w:kern w:val="0"/>
          <w:sz w:val="24"/>
          <w:szCs w:val="24"/>
        </w:rPr>
        <w:t xml:space="preserve">⑵ </w:t>
      </w:r>
      <w:r>
        <w:rPr>
          <w:rFonts w:ascii="宋体" w:hAnsi="宋体"/>
          <w:sz w:val="24"/>
          <w:szCs w:val="24"/>
        </w:rPr>
        <w:t>高于基准价的最终报价，每上升 1 个百分点扣 1分；</w:t>
      </w:r>
    </w:p>
    <w:p w14:paraId="04A61FD0">
      <w:pPr>
        <w:adjustRightInd w:val="0"/>
        <w:snapToGrid w:val="0"/>
        <w:spacing w:line="360" w:lineRule="auto"/>
        <w:ind w:firstLine="360" w:firstLineChars="150"/>
        <w:rPr>
          <w:rFonts w:hint="eastAsia" w:ascii="宋体" w:hAnsi="宋体"/>
          <w:sz w:val="24"/>
          <w:szCs w:val="24"/>
        </w:rPr>
      </w:pPr>
      <w:r>
        <w:rPr>
          <w:rFonts w:hint="eastAsia" w:ascii="宋体" w:hAnsi="宋体"/>
          <w:sz w:val="24"/>
          <w:szCs w:val="24"/>
        </w:rPr>
        <w:t>(</w:t>
      </w:r>
      <w:r>
        <w:rPr>
          <w:rFonts w:ascii="宋体" w:hAnsi="宋体"/>
          <w:sz w:val="24"/>
          <w:szCs w:val="24"/>
        </w:rPr>
        <w:t>3)</w:t>
      </w:r>
      <w:r>
        <w:rPr>
          <w:rFonts w:hint="eastAsia" w:ascii="宋体" w:hAnsi="宋体"/>
          <w:sz w:val="24"/>
          <w:szCs w:val="24"/>
        </w:rPr>
        <w:t>低于基准价的最终报价，每下降1个百分点扣0</w:t>
      </w:r>
      <w:r>
        <w:rPr>
          <w:rFonts w:ascii="宋体" w:hAnsi="宋体"/>
          <w:sz w:val="24"/>
          <w:szCs w:val="24"/>
        </w:rPr>
        <w:t>.5</w:t>
      </w:r>
      <w:r>
        <w:rPr>
          <w:rFonts w:hint="eastAsia" w:ascii="宋体" w:hAnsi="宋体"/>
          <w:sz w:val="24"/>
          <w:szCs w:val="24"/>
        </w:rPr>
        <w:t>分；</w:t>
      </w:r>
    </w:p>
    <w:p w14:paraId="04A61FD1">
      <w:pPr>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以上评分保留小数2位；评分不足一个百分点时，</w:t>
      </w:r>
      <w:r>
        <w:rPr>
          <w:rFonts w:ascii="宋体" w:hAnsi="宋体"/>
          <w:sz w:val="24"/>
          <w:szCs w:val="24"/>
        </w:rPr>
        <w:t>使用直线插入法计算，保留二位小数（四舍五入）</w:t>
      </w:r>
      <w:r>
        <w:rPr>
          <w:rFonts w:hint="eastAsia" w:ascii="宋体" w:hAnsi="宋体"/>
          <w:sz w:val="24"/>
          <w:szCs w:val="24"/>
        </w:rPr>
        <w:t>。</w:t>
      </w:r>
    </w:p>
    <w:p w14:paraId="04A61FD2">
      <w:pPr>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4.4各投标人的最后得分是技术和商务报价二部分得分之和。</w:t>
      </w:r>
    </w:p>
    <w:p w14:paraId="04A61FD3">
      <w:pPr>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4.5评标委员会完成评标后，应当向招标人提出书面评标报告，阐明评标委员会对各投标文件的评审和比较意见，并按照得分排列优劣顺序，推荐综合得分最高的投标人为预中标人。</w:t>
      </w:r>
    </w:p>
    <w:p w14:paraId="04A61FD4">
      <w:pPr>
        <w:spacing w:line="360" w:lineRule="auto"/>
        <w:rPr>
          <w:rFonts w:hint="eastAsia" w:ascii="宋体" w:hAnsi="宋体" w:cs="宋体"/>
          <w:kern w:val="0"/>
          <w:sz w:val="24"/>
          <w:szCs w:val="24"/>
        </w:rPr>
      </w:pPr>
      <w:r>
        <w:rPr>
          <w:rFonts w:hint="eastAsia" w:ascii="宋体" w:hAnsi="宋体" w:cs="宋体"/>
          <w:kern w:val="0"/>
          <w:sz w:val="24"/>
          <w:szCs w:val="24"/>
        </w:rPr>
        <w:t xml:space="preserve">    4.</w:t>
      </w:r>
      <w:r>
        <w:rPr>
          <w:rFonts w:ascii="宋体" w:hAnsi="宋体" w:cs="宋体"/>
          <w:kern w:val="0"/>
          <w:sz w:val="24"/>
          <w:szCs w:val="24"/>
        </w:rPr>
        <w:t>6</w:t>
      </w:r>
      <w:r>
        <w:rPr>
          <w:rFonts w:hint="eastAsia" w:ascii="宋体" w:hAnsi="宋体" w:cs="宋体"/>
          <w:kern w:val="0"/>
          <w:sz w:val="24"/>
          <w:szCs w:val="24"/>
        </w:rPr>
        <w:t>招标人根据评标委员会提出的书面评标报告和推荐的预中标人，报巨化招标办公室核准，经公示后确定为中标人，发中标通知书。</w:t>
      </w:r>
    </w:p>
    <w:p w14:paraId="04A61FD5">
      <w:pPr>
        <w:spacing w:line="360" w:lineRule="auto"/>
        <w:rPr>
          <w:rFonts w:hint="eastAsia" w:ascii="宋体" w:hAnsi="宋体"/>
          <w:kern w:val="0"/>
          <w:sz w:val="24"/>
          <w:szCs w:val="24"/>
        </w:rPr>
      </w:pPr>
      <w:r>
        <w:rPr>
          <w:rFonts w:hint="eastAsia" w:ascii="宋体" w:hAnsi="宋体"/>
          <w:kern w:val="0"/>
          <w:sz w:val="24"/>
          <w:szCs w:val="24"/>
        </w:rPr>
        <w:t xml:space="preserve">   </w:t>
      </w:r>
      <w:r>
        <w:rPr>
          <w:rFonts w:ascii="宋体" w:hAnsi="宋体"/>
          <w:kern w:val="0"/>
          <w:sz w:val="24"/>
          <w:szCs w:val="24"/>
        </w:rPr>
        <w:t xml:space="preserve"> </w:t>
      </w:r>
      <w:r>
        <w:rPr>
          <w:rFonts w:hint="eastAsia" w:ascii="宋体" w:hAnsi="宋体"/>
          <w:kern w:val="0"/>
          <w:sz w:val="24"/>
          <w:szCs w:val="24"/>
        </w:rPr>
        <w:t>4.</w:t>
      </w:r>
      <w:r>
        <w:rPr>
          <w:rFonts w:ascii="宋体" w:hAnsi="宋体"/>
          <w:kern w:val="0"/>
          <w:sz w:val="24"/>
          <w:szCs w:val="24"/>
        </w:rPr>
        <w:t>7</w:t>
      </w:r>
      <w:r>
        <w:rPr>
          <w:rFonts w:hint="eastAsia" w:ascii="宋体" w:hAnsi="宋体"/>
          <w:kern w:val="0"/>
          <w:sz w:val="24"/>
          <w:szCs w:val="24"/>
        </w:rPr>
        <w:t>若评标委员会认为本次招标缺乏竞争性时，可否决所有投标。</w:t>
      </w:r>
    </w:p>
    <w:p w14:paraId="04A61FD6">
      <w:pPr>
        <w:spacing w:line="360" w:lineRule="auto"/>
        <w:jc w:val="center"/>
        <w:outlineLvl w:val="0"/>
        <w:rPr>
          <w:rFonts w:hint="eastAsia" w:ascii="宋体" w:hAnsi="宋体"/>
          <w:b/>
          <w:bCs/>
          <w:kern w:val="0"/>
          <w:sz w:val="24"/>
          <w:szCs w:val="24"/>
        </w:rPr>
      </w:pPr>
      <w:bookmarkStart w:id="65" w:name="_Toc161131006"/>
    </w:p>
    <w:p w14:paraId="04A61FD7">
      <w:pPr>
        <w:spacing w:line="360" w:lineRule="auto"/>
        <w:jc w:val="center"/>
        <w:outlineLvl w:val="0"/>
        <w:rPr>
          <w:rFonts w:hint="eastAsia" w:ascii="宋体" w:hAnsi="宋体"/>
          <w:b/>
          <w:bCs/>
          <w:kern w:val="0"/>
          <w:sz w:val="24"/>
          <w:szCs w:val="24"/>
        </w:rPr>
      </w:pPr>
    </w:p>
    <w:p w14:paraId="04A61FD8">
      <w:pPr>
        <w:spacing w:line="360" w:lineRule="auto"/>
        <w:jc w:val="center"/>
        <w:outlineLvl w:val="0"/>
        <w:rPr>
          <w:rFonts w:hint="eastAsia" w:ascii="宋体" w:hAnsi="宋体"/>
          <w:b/>
          <w:bCs/>
          <w:kern w:val="0"/>
          <w:sz w:val="24"/>
          <w:szCs w:val="24"/>
        </w:rPr>
      </w:pPr>
    </w:p>
    <w:p w14:paraId="04A61FD9">
      <w:pPr>
        <w:spacing w:line="360" w:lineRule="auto"/>
        <w:jc w:val="center"/>
        <w:outlineLvl w:val="0"/>
        <w:rPr>
          <w:rFonts w:hint="eastAsia" w:ascii="宋体" w:hAnsi="宋体"/>
          <w:b/>
          <w:bCs/>
          <w:kern w:val="0"/>
          <w:sz w:val="24"/>
          <w:szCs w:val="24"/>
        </w:rPr>
      </w:pPr>
      <w:r>
        <w:rPr>
          <w:rFonts w:hint="eastAsia" w:ascii="宋体" w:hAnsi="宋体"/>
          <w:b/>
          <w:bCs/>
          <w:kern w:val="0"/>
          <w:sz w:val="24"/>
          <w:szCs w:val="24"/>
        </w:rPr>
        <w:t xml:space="preserve">第七章   </w:t>
      </w:r>
      <w:bookmarkStart w:id="66" w:name="投标文件格式"/>
      <w:r>
        <w:rPr>
          <w:rFonts w:hint="eastAsia" w:ascii="宋体" w:hAnsi="宋体"/>
          <w:b/>
          <w:bCs/>
          <w:kern w:val="0"/>
          <w:sz w:val="24"/>
          <w:szCs w:val="24"/>
        </w:rPr>
        <w:t>附件---投标文件格式</w:t>
      </w:r>
      <w:bookmarkEnd w:id="65"/>
      <w:bookmarkEnd w:id="66"/>
    </w:p>
    <w:p w14:paraId="04A61FDA">
      <w:pPr>
        <w:spacing w:line="340" w:lineRule="exact"/>
        <w:outlineLvl w:val="1"/>
        <w:rPr>
          <w:rFonts w:hint="eastAsia" w:ascii="宋体" w:hAnsi="宋体" w:cs="宋体"/>
          <w:b/>
          <w:kern w:val="0"/>
          <w:sz w:val="24"/>
          <w:szCs w:val="24"/>
        </w:rPr>
      </w:pPr>
      <w:bookmarkStart w:id="67" w:name="_Toc161131007"/>
      <w:r>
        <w:rPr>
          <w:rFonts w:hint="eastAsia" w:ascii="宋体" w:hAnsi="宋体" w:cs="宋体"/>
          <w:b/>
          <w:kern w:val="0"/>
          <w:sz w:val="24"/>
          <w:szCs w:val="24"/>
        </w:rPr>
        <w:t>附件1</w:t>
      </w:r>
      <w:bookmarkEnd w:id="67"/>
    </w:p>
    <w:p w14:paraId="04A61FDB">
      <w:pPr>
        <w:spacing w:line="340" w:lineRule="exact"/>
        <w:ind w:firstLine="4440" w:firstLineChars="1850"/>
        <w:rPr>
          <w:rFonts w:hint="eastAsia" w:ascii="宋体" w:hAnsi="宋体" w:cs="宋体"/>
          <w:b/>
          <w:kern w:val="0"/>
          <w:sz w:val="24"/>
          <w:szCs w:val="24"/>
        </w:rPr>
      </w:pPr>
      <w:r>
        <w:rPr>
          <w:rFonts w:hint="eastAsia" w:ascii="宋体" w:hAnsi="宋体"/>
          <w:b/>
          <w:sz w:val="24"/>
          <w:szCs w:val="24"/>
        </w:rPr>
        <w:t>投标函</w:t>
      </w:r>
    </w:p>
    <w:p w14:paraId="04A61FDC">
      <w:pPr>
        <w:spacing w:line="360" w:lineRule="exact"/>
        <w:rPr>
          <w:rFonts w:hint="eastAsia" w:ascii="宋体" w:hAnsi="宋体" w:cs="宋体"/>
          <w:kern w:val="0"/>
          <w:sz w:val="24"/>
          <w:szCs w:val="24"/>
        </w:rPr>
      </w:pPr>
      <w:r>
        <w:rPr>
          <w:rFonts w:hint="eastAsia" w:ascii="宋体" w:hAnsi="宋体" w:cs="宋体"/>
          <w:kern w:val="0"/>
          <w:sz w:val="24"/>
          <w:szCs w:val="24"/>
        </w:rPr>
        <w:t>致：（                ）</w:t>
      </w:r>
    </w:p>
    <w:p w14:paraId="04A61FDD">
      <w:pPr>
        <w:spacing w:line="360" w:lineRule="exact"/>
        <w:ind w:firstLine="480" w:firstLineChars="200"/>
        <w:rPr>
          <w:rFonts w:hint="eastAsia" w:ascii="宋体" w:hAnsi="宋体" w:cs="宋体"/>
          <w:kern w:val="0"/>
          <w:sz w:val="24"/>
          <w:szCs w:val="24"/>
        </w:rPr>
      </w:pPr>
      <w:r>
        <w:rPr>
          <w:rFonts w:hint="eastAsia" w:ascii="宋体" w:hAnsi="宋体" w:cs="宋体"/>
          <w:kern w:val="0"/>
          <w:sz w:val="24"/>
          <w:szCs w:val="24"/>
        </w:rPr>
        <w:t>根据贵方</w:t>
      </w:r>
      <w:r>
        <w:rPr>
          <w:rFonts w:hint="eastAsia" w:ascii="宋体" w:hAnsi="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sz w:val="24"/>
          <w:szCs w:val="24"/>
          <w:u w:val="single"/>
        </w:rPr>
        <w:t xml:space="preserve">   </w:t>
      </w:r>
      <w:r>
        <w:rPr>
          <w:rFonts w:hint="eastAsia" w:ascii="宋体" w:hAnsi="宋体" w:cs="宋体"/>
          <w:kern w:val="0"/>
          <w:sz w:val="24"/>
          <w:szCs w:val="24"/>
        </w:rPr>
        <w:t>项目投标邀请书（招标编号为：</w:t>
      </w:r>
      <w:r>
        <w:rPr>
          <w:rFonts w:hint="eastAsia" w:ascii="宋体" w:hAnsi="宋体" w:cs="宋体"/>
          <w:kern w:val="0"/>
          <w:sz w:val="24"/>
          <w:szCs w:val="24"/>
          <w:u w:val="single"/>
        </w:rPr>
        <w:t xml:space="preserve">            </w:t>
      </w:r>
      <w:r>
        <w:rPr>
          <w:rFonts w:hint="eastAsia" w:ascii="宋体" w:hAnsi="宋体" w:cs="宋体"/>
          <w:kern w:val="0"/>
          <w:sz w:val="24"/>
          <w:szCs w:val="24"/>
        </w:rPr>
        <w:t>），下列签字代表</w:t>
      </w:r>
      <w:r>
        <w:rPr>
          <w:rFonts w:hint="eastAsia" w:ascii="宋体" w:hAnsi="宋体" w:cs="宋体"/>
          <w:kern w:val="0"/>
          <w:sz w:val="24"/>
          <w:szCs w:val="24"/>
          <w:u w:val="single"/>
        </w:rPr>
        <w:t xml:space="preserve">                </w:t>
      </w:r>
      <w:r>
        <w:rPr>
          <w:rFonts w:hint="eastAsia" w:ascii="宋体" w:hAnsi="宋体" w:cs="宋体"/>
          <w:kern w:val="0"/>
          <w:sz w:val="24"/>
          <w:szCs w:val="24"/>
        </w:rPr>
        <w:t>（全名、职务）经正式授权并代表投标方</w:t>
      </w:r>
      <w:r>
        <w:rPr>
          <w:rFonts w:hint="eastAsia" w:ascii="宋体" w:hAnsi="宋体" w:cs="宋体"/>
          <w:kern w:val="0"/>
          <w:sz w:val="24"/>
          <w:szCs w:val="24"/>
          <w:u w:val="single"/>
        </w:rPr>
        <w:t xml:space="preserve">             </w:t>
      </w:r>
      <w:r>
        <w:rPr>
          <w:rFonts w:hint="eastAsia" w:ascii="宋体" w:hAnsi="宋体" w:cs="宋体"/>
          <w:kern w:val="0"/>
          <w:sz w:val="24"/>
          <w:szCs w:val="24"/>
        </w:rPr>
        <w:t>（投标方名称、地址） 提交下述文件正本一份、副本一式四份和电子文档一份。</w:t>
      </w:r>
    </w:p>
    <w:p w14:paraId="04A61FDE">
      <w:pPr>
        <w:numPr>
          <w:ilvl w:val="0"/>
          <w:numId w:val="7"/>
        </w:numPr>
        <w:spacing w:line="360" w:lineRule="exact"/>
        <w:rPr>
          <w:rFonts w:hint="eastAsia" w:ascii="宋体" w:hAnsi="宋体" w:cs="宋体"/>
          <w:kern w:val="0"/>
          <w:sz w:val="24"/>
          <w:szCs w:val="24"/>
        </w:rPr>
      </w:pPr>
      <w:r>
        <w:rPr>
          <w:rFonts w:hint="eastAsia" w:ascii="宋体" w:hAnsi="宋体" w:cs="宋体"/>
          <w:kern w:val="0"/>
          <w:sz w:val="24"/>
          <w:szCs w:val="24"/>
        </w:rPr>
        <w:t>投标一览表；</w:t>
      </w:r>
    </w:p>
    <w:p w14:paraId="04A61FDF">
      <w:pPr>
        <w:numPr>
          <w:ilvl w:val="0"/>
          <w:numId w:val="7"/>
        </w:numPr>
        <w:spacing w:line="360" w:lineRule="exact"/>
        <w:rPr>
          <w:rFonts w:hint="eastAsia" w:ascii="宋体" w:hAnsi="宋体" w:cs="宋体"/>
          <w:kern w:val="0"/>
          <w:sz w:val="24"/>
          <w:szCs w:val="24"/>
          <w:u w:val="single"/>
        </w:rPr>
      </w:pPr>
      <w:r>
        <w:rPr>
          <w:rFonts w:hint="eastAsia" w:ascii="宋体" w:hAnsi="宋体" w:cs="宋体"/>
          <w:kern w:val="0"/>
          <w:sz w:val="24"/>
          <w:szCs w:val="24"/>
        </w:rPr>
        <w:t>分项报价及备件清单；</w:t>
      </w:r>
    </w:p>
    <w:p w14:paraId="04A61FE0">
      <w:pPr>
        <w:numPr>
          <w:ilvl w:val="0"/>
          <w:numId w:val="7"/>
        </w:numPr>
        <w:spacing w:line="360" w:lineRule="exact"/>
        <w:rPr>
          <w:rFonts w:hint="eastAsia" w:ascii="宋体" w:hAnsi="宋体" w:cs="宋体"/>
          <w:kern w:val="0"/>
          <w:sz w:val="24"/>
          <w:szCs w:val="24"/>
          <w:u w:val="single"/>
        </w:rPr>
      </w:pPr>
      <w:r>
        <w:rPr>
          <w:rFonts w:hint="eastAsia" w:ascii="宋体" w:hAnsi="宋体" w:cs="宋体"/>
          <w:kern w:val="0"/>
          <w:sz w:val="24"/>
          <w:szCs w:val="24"/>
        </w:rPr>
        <w:t>标的物说明一览表；</w:t>
      </w:r>
    </w:p>
    <w:p w14:paraId="04A61FE1">
      <w:pPr>
        <w:numPr>
          <w:ilvl w:val="0"/>
          <w:numId w:val="7"/>
        </w:numPr>
        <w:spacing w:line="360" w:lineRule="exact"/>
        <w:rPr>
          <w:rFonts w:hint="eastAsia" w:ascii="宋体" w:hAnsi="宋体" w:cs="宋体"/>
          <w:kern w:val="0"/>
          <w:sz w:val="24"/>
          <w:szCs w:val="24"/>
          <w:u w:val="single"/>
        </w:rPr>
      </w:pPr>
      <w:r>
        <w:rPr>
          <w:rFonts w:hint="eastAsia" w:ascii="宋体" w:hAnsi="宋体" w:cs="宋体"/>
          <w:kern w:val="0"/>
          <w:sz w:val="24"/>
          <w:szCs w:val="24"/>
        </w:rPr>
        <w:t>技术规格的响应；</w:t>
      </w:r>
    </w:p>
    <w:p w14:paraId="04A61FE2">
      <w:pPr>
        <w:numPr>
          <w:ilvl w:val="0"/>
          <w:numId w:val="7"/>
        </w:numPr>
        <w:spacing w:line="360" w:lineRule="exact"/>
        <w:rPr>
          <w:rFonts w:hint="eastAsia" w:ascii="宋体" w:hAnsi="宋体" w:cs="宋体"/>
          <w:kern w:val="0"/>
          <w:sz w:val="24"/>
          <w:szCs w:val="24"/>
          <w:u w:val="single"/>
        </w:rPr>
      </w:pPr>
      <w:r>
        <w:rPr>
          <w:rFonts w:hint="eastAsia" w:ascii="宋体" w:hAnsi="宋体" w:cs="宋体"/>
          <w:kern w:val="0"/>
          <w:sz w:val="24"/>
          <w:szCs w:val="24"/>
        </w:rPr>
        <w:t>商务条款的响应；</w:t>
      </w:r>
    </w:p>
    <w:p w14:paraId="04A61FE3">
      <w:pPr>
        <w:numPr>
          <w:ilvl w:val="0"/>
          <w:numId w:val="7"/>
        </w:numPr>
        <w:spacing w:line="360" w:lineRule="exact"/>
        <w:rPr>
          <w:rFonts w:hint="eastAsia" w:ascii="宋体" w:hAnsi="宋体" w:cs="宋体"/>
          <w:kern w:val="0"/>
          <w:sz w:val="24"/>
          <w:szCs w:val="24"/>
          <w:u w:val="single"/>
        </w:rPr>
      </w:pPr>
      <w:r>
        <w:rPr>
          <w:rFonts w:hint="eastAsia" w:ascii="宋体" w:hAnsi="宋体" w:cs="宋体"/>
          <w:kern w:val="0"/>
          <w:sz w:val="24"/>
          <w:szCs w:val="24"/>
        </w:rPr>
        <w:t>标的物质量保证、售后服务、交货能力及有关承诺；</w:t>
      </w:r>
    </w:p>
    <w:p w14:paraId="04A61FE4">
      <w:pPr>
        <w:numPr>
          <w:ilvl w:val="0"/>
          <w:numId w:val="7"/>
        </w:numPr>
        <w:spacing w:line="360" w:lineRule="exact"/>
        <w:rPr>
          <w:rFonts w:hint="eastAsia" w:ascii="宋体" w:hAnsi="宋体" w:cs="宋体"/>
          <w:kern w:val="0"/>
          <w:sz w:val="24"/>
          <w:szCs w:val="24"/>
          <w:u w:val="single"/>
        </w:rPr>
      </w:pPr>
      <w:r>
        <w:rPr>
          <w:rFonts w:hint="eastAsia" w:ascii="宋体" w:hAnsi="宋体" w:cs="宋体"/>
          <w:kern w:val="0"/>
          <w:sz w:val="24"/>
          <w:szCs w:val="24"/>
        </w:rPr>
        <w:t>标的物验收资料说明；</w:t>
      </w:r>
    </w:p>
    <w:p w14:paraId="04A61FE5">
      <w:pPr>
        <w:numPr>
          <w:ilvl w:val="0"/>
          <w:numId w:val="7"/>
        </w:numPr>
        <w:spacing w:line="360" w:lineRule="exact"/>
        <w:rPr>
          <w:rFonts w:hint="eastAsia" w:ascii="宋体" w:hAnsi="宋体" w:cs="宋体"/>
          <w:kern w:val="0"/>
          <w:sz w:val="24"/>
          <w:szCs w:val="24"/>
          <w:u w:val="single"/>
        </w:rPr>
      </w:pPr>
      <w:r>
        <w:rPr>
          <w:rFonts w:hint="eastAsia" w:ascii="宋体" w:hAnsi="宋体" w:cs="宋体"/>
          <w:kern w:val="0"/>
          <w:sz w:val="24"/>
          <w:szCs w:val="24"/>
        </w:rPr>
        <w:t>按招标文件投标人须知前附表和技术规格要求提供的其它有关文件；</w:t>
      </w:r>
    </w:p>
    <w:p w14:paraId="04A61FE6">
      <w:pPr>
        <w:numPr>
          <w:ilvl w:val="0"/>
          <w:numId w:val="7"/>
        </w:numPr>
        <w:spacing w:line="360" w:lineRule="exact"/>
        <w:rPr>
          <w:rFonts w:hint="eastAsia" w:ascii="宋体" w:hAnsi="宋体" w:cs="宋体"/>
          <w:kern w:val="0"/>
          <w:sz w:val="24"/>
          <w:szCs w:val="24"/>
          <w:u w:val="single"/>
        </w:rPr>
      </w:pPr>
      <w:r>
        <w:rPr>
          <w:rFonts w:hint="eastAsia" w:ascii="宋体" w:hAnsi="宋体" w:cs="宋体"/>
          <w:kern w:val="0"/>
          <w:sz w:val="24"/>
          <w:szCs w:val="24"/>
        </w:rPr>
        <w:t>资格证明文件（营业执照、法人代表授权书、质量管理体系认证证书、使用单位业绩表等）；</w:t>
      </w:r>
    </w:p>
    <w:p w14:paraId="04A61FE7">
      <w:pPr>
        <w:numPr>
          <w:ilvl w:val="0"/>
          <w:numId w:val="7"/>
        </w:numPr>
        <w:spacing w:line="360" w:lineRule="exact"/>
        <w:rPr>
          <w:rFonts w:hint="eastAsia" w:ascii="宋体" w:hAnsi="宋体" w:cs="宋体"/>
          <w:kern w:val="0"/>
          <w:sz w:val="24"/>
          <w:szCs w:val="24"/>
          <w:u w:val="single"/>
        </w:rPr>
      </w:pPr>
      <w:r>
        <w:rPr>
          <w:rFonts w:hint="eastAsia" w:ascii="宋体" w:hAnsi="宋体" w:cs="宋体"/>
          <w:kern w:val="0"/>
          <w:sz w:val="24"/>
          <w:szCs w:val="24"/>
        </w:rPr>
        <w:t>金额为</w:t>
      </w:r>
      <w:r>
        <w:rPr>
          <w:rFonts w:hint="eastAsia" w:ascii="宋体" w:hAnsi="宋体" w:cs="宋体"/>
          <w:kern w:val="0"/>
          <w:sz w:val="24"/>
          <w:szCs w:val="24"/>
          <w:u w:val="single"/>
        </w:rPr>
        <w:t xml:space="preserve">           </w:t>
      </w:r>
      <w:r>
        <w:rPr>
          <w:rFonts w:hint="eastAsia" w:ascii="宋体" w:hAnsi="宋体" w:cs="宋体"/>
          <w:kern w:val="0"/>
          <w:sz w:val="24"/>
          <w:szCs w:val="24"/>
        </w:rPr>
        <w:t>的投标保证金；</w:t>
      </w:r>
    </w:p>
    <w:p w14:paraId="04A61FE8">
      <w:pPr>
        <w:spacing w:line="360" w:lineRule="exact"/>
        <w:rPr>
          <w:rFonts w:hint="eastAsia" w:ascii="宋体" w:hAnsi="宋体" w:cs="宋体"/>
          <w:kern w:val="0"/>
          <w:sz w:val="24"/>
          <w:szCs w:val="24"/>
        </w:rPr>
      </w:pPr>
      <w:r>
        <w:rPr>
          <w:rFonts w:hint="eastAsia" w:ascii="宋体" w:hAnsi="宋体" w:cs="宋体"/>
          <w:kern w:val="0"/>
          <w:sz w:val="24"/>
          <w:szCs w:val="24"/>
        </w:rPr>
        <w:t>根据此函，签字代表宣布同意如下：</w:t>
      </w:r>
    </w:p>
    <w:p w14:paraId="04A61FE9">
      <w:pPr>
        <w:spacing w:line="360" w:lineRule="exact"/>
        <w:rPr>
          <w:rFonts w:hint="eastAsia" w:ascii="宋体" w:hAnsi="宋体" w:cs="宋体"/>
          <w:kern w:val="0"/>
          <w:sz w:val="24"/>
          <w:szCs w:val="24"/>
        </w:rPr>
      </w:pPr>
      <w:r>
        <w:rPr>
          <w:rFonts w:hint="eastAsia" w:ascii="宋体" w:hAnsi="宋体" w:cs="宋体"/>
          <w:kern w:val="0"/>
          <w:sz w:val="24"/>
          <w:szCs w:val="24"/>
        </w:rPr>
        <w:t>1、投标总价为</w:t>
      </w:r>
      <w:r>
        <w:rPr>
          <w:rFonts w:hint="eastAsia" w:ascii="宋体" w:hAnsi="宋体" w:cs="宋体"/>
          <w:kern w:val="0"/>
          <w:sz w:val="24"/>
          <w:szCs w:val="24"/>
          <w:u w:val="single"/>
        </w:rPr>
        <w:t xml:space="preserve">        </w:t>
      </w:r>
      <w:r>
        <w:rPr>
          <w:rFonts w:hint="eastAsia" w:ascii="宋体" w:hAnsi="宋体" w:cs="宋体"/>
          <w:kern w:val="0"/>
          <w:sz w:val="24"/>
          <w:szCs w:val="24"/>
        </w:rPr>
        <w:t xml:space="preserve"> ，即</w:t>
      </w:r>
      <w:r>
        <w:rPr>
          <w:rFonts w:hint="eastAsia" w:ascii="宋体" w:hAnsi="宋体" w:cs="宋体"/>
          <w:kern w:val="0"/>
          <w:sz w:val="24"/>
          <w:szCs w:val="24"/>
          <w:u w:val="single"/>
        </w:rPr>
        <w:t xml:space="preserve">             </w:t>
      </w:r>
      <w:r>
        <w:rPr>
          <w:rFonts w:hint="eastAsia" w:ascii="宋体" w:hAnsi="宋体" w:cs="宋体"/>
          <w:kern w:val="0"/>
          <w:sz w:val="24"/>
          <w:szCs w:val="24"/>
        </w:rPr>
        <w:t xml:space="preserve"> （文字描述）。</w:t>
      </w:r>
    </w:p>
    <w:p w14:paraId="04A61FEA">
      <w:pPr>
        <w:spacing w:line="360" w:lineRule="exact"/>
        <w:rPr>
          <w:rFonts w:hint="eastAsia" w:ascii="宋体" w:hAnsi="宋体" w:cs="宋体"/>
          <w:kern w:val="0"/>
          <w:sz w:val="24"/>
          <w:szCs w:val="24"/>
        </w:rPr>
      </w:pPr>
      <w:r>
        <w:rPr>
          <w:rFonts w:hint="eastAsia" w:ascii="宋体" w:hAnsi="宋体" w:cs="宋体"/>
          <w:kern w:val="0"/>
          <w:sz w:val="24"/>
          <w:szCs w:val="24"/>
        </w:rPr>
        <w:t>2、我们将按招标文件的规定履行合同责任和义务。</w:t>
      </w:r>
    </w:p>
    <w:p w14:paraId="04A61FEB">
      <w:pPr>
        <w:spacing w:line="360" w:lineRule="exact"/>
        <w:rPr>
          <w:rFonts w:hint="eastAsia" w:ascii="宋体" w:hAnsi="宋体" w:cs="宋体"/>
          <w:kern w:val="0"/>
          <w:sz w:val="24"/>
          <w:szCs w:val="24"/>
        </w:rPr>
      </w:pPr>
      <w:r>
        <w:rPr>
          <w:rFonts w:hint="eastAsia" w:ascii="宋体" w:hAnsi="宋体" w:cs="宋体"/>
          <w:kern w:val="0"/>
          <w:sz w:val="24"/>
          <w:szCs w:val="24"/>
        </w:rPr>
        <w:t>3、我们已详细审查全部招标文件，包括修改文件（如有的话）以及全部参考资料和有关附件。我们完全理解并同意放弃对这方面有不明及误解的权利。</w:t>
      </w:r>
    </w:p>
    <w:p w14:paraId="04A61FEC">
      <w:pPr>
        <w:spacing w:line="360" w:lineRule="exact"/>
        <w:rPr>
          <w:rFonts w:hint="eastAsia" w:ascii="宋体" w:hAnsi="宋体" w:cs="宋体"/>
          <w:kern w:val="0"/>
          <w:sz w:val="24"/>
          <w:szCs w:val="24"/>
        </w:rPr>
      </w:pPr>
      <w:r>
        <w:rPr>
          <w:rFonts w:hint="eastAsia" w:ascii="宋体" w:hAnsi="宋体" w:cs="宋体"/>
          <w:kern w:val="0"/>
          <w:sz w:val="24"/>
          <w:szCs w:val="24"/>
        </w:rPr>
        <w:t xml:space="preserve">4、我们同意在投标人须知前附表第12条所述的开标日期起遵循本投标文件的规定，并在投标人须知前附表第5条规定的投标有效期届满之前对我方均具有约束力，而且有可能中标。     </w:t>
      </w:r>
    </w:p>
    <w:p w14:paraId="04A61FED">
      <w:pPr>
        <w:spacing w:line="360" w:lineRule="exact"/>
        <w:rPr>
          <w:rFonts w:hint="eastAsia" w:ascii="宋体" w:hAnsi="宋体" w:cs="宋体"/>
          <w:kern w:val="0"/>
          <w:sz w:val="24"/>
          <w:szCs w:val="24"/>
        </w:rPr>
      </w:pPr>
      <w:r>
        <w:rPr>
          <w:rFonts w:hint="eastAsia" w:ascii="宋体" w:hAnsi="宋体" w:cs="宋体"/>
          <w:kern w:val="0"/>
          <w:sz w:val="24"/>
          <w:szCs w:val="24"/>
        </w:rPr>
        <w:t>5、如果开标后，在投标有效期内撤回投标，我们的投标保证金可被贵方没收。</w:t>
      </w:r>
    </w:p>
    <w:p w14:paraId="04A61FEE">
      <w:pPr>
        <w:spacing w:line="360" w:lineRule="exact"/>
        <w:rPr>
          <w:rFonts w:hint="eastAsia" w:ascii="宋体" w:hAnsi="宋体" w:cs="宋体"/>
          <w:kern w:val="0"/>
          <w:sz w:val="24"/>
          <w:szCs w:val="24"/>
        </w:rPr>
      </w:pPr>
      <w:r>
        <w:rPr>
          <w:rFonts w:hint="eastAsia" w:ascii="宋体" w:hAnsi="宋体" w:cs="宋体"/>
          <w:kern w:val="0"/>
          <w:sz w:val="24"/>
          <w:szCs w:val="24"/>
        </w:rPr>
        <w:t>6、如果贵方要求，我们愿意按照要求进一步提供与投标有关的一切数据或资料。</w:t>
      </w:r>
    </w:p>
    <w:p w14:paraId="04A61FEF">
      <w:pPr>
        <w:spacing w:line="360" w:lineRule="exact"/>
        <w:rPr>
          <w:rFonts w:hint="eastAsia" w:ascii="宋体" w:hAnsi="宋体" w:cs="宋体"/>
          <w:kern w:val="0"/>
          <w:sz w:val="24"/>
          <w:szCs w:val="24"/>
        </w:rPr>
      </w:pPr>
      <w:r>
        <w:rPr>
          <w:rFonts w:hint="eastAsia" w:ascii="宋体" w:hAnsi="宋体" w:cs="宋体"/>
          <w:kern w:val="0"/>
          <w:sz w:val="24"/>
          <w:szCs w:val="24"/>
        </w:rPr>
        <w:t>7、我们完全理解贵方不一定要接受最低价的投标或收到的任何投标。</w:t>
      </w:r>
    </w:p>
    <w:p w14:paraId="04A61FF0">
      <w:pPr>
        <w:rPr>
          <w:rFonts w:hint="eastAsia" w:ascii="宋体" w:hAnsi="宋体" w:cs="宋体"/>
          <w:kern w:val="0"/>
          <w:sz w:val="24"/>
          <w:szCs w:val="24"/>
        </w:rPr>
      </w:pPr>
      <w:r>
        <w:rPr>
          <w:rFonts w:hint="eastAsia" w:ascii="宋体" w:hAnsi="宋体" w:cs="宋体"/>
          <w:kern w:val="0"/>
          <w:sz w:val="24"/>
          <w:szCs w:val="24"/>
        </w:rPr>
        <w:t>8、与本投标有关一切正式往来通讯请寄：</w:t>
      </w:r>
    </w:p>
    <w:p w14:paraId="04A61FF1">
      <w:pPr>
        <w:spacing w:line="360" w:lineRule="exact"/>
        <w:rPr>
          <w:rFonts w:hint="eastAsia" w:ascii="宋体" w:hAnsi="宋体" w:cs="宋体"/>
          <w:kern w:val="0"/>
          <w:sz w:val="24"/>
          <w:szCs w:val="24"/>
        </w:rPr>
      </w:pPr>
      <w:r>
        <w:rPr>
          <w:rFonts w:hint="eastAsia" w:ascii="宋体" w:hAnsi="宋体" w:cs="宋体"/>
          <w:kern w:val="0"/>
          <w:sz w:val="24"/>
          <w:szCs w:val="24"/>
        </w:rPr>
        <w:t>地址：</w:t>
      </w:r>
      <w:r>
        <w:rPr>
          <w:rFonts w:hint="eastAsia" w:ascii="宋体" w:hAnsi="宋体" w:cs="宋体"/>
          <w:kern w:val="0"/>
          <w:sz w:val="24"/>
          <w:szCs w:val="24"/>
          <w:u w:val="single"/>
        </w:rPr>
        <w:t xml:space="preserve">                       </w:t>
      </w:r>
    </w:p>
    <w:p w14:paraId="04A61FF2">
      <w:pPr>
        <w:spacing w:line="360" w:lineRule="exact"/>
        <w:rPr>
          <w:rFonts w:hint="eastAsia" w:ascii="宋体" w:hAnsi="宋体" w:cs="宋体"/>
          <w:kern w:val="0"/>
          <w:sz w:val="24"/>
          <w:szCs w:val="24"/>
        </w:rPr>
      </w:pPr>
      <w:r>
        <w:rPr>
          <w:rFonts w:hint="eastAsia" w:ascii="宋体" w:hAnsi="宋体" w:cs="宋体"/>
          <w:kern w:val="0"/>
          <w:sz w:val="24"/>
          <w:szCs w:val="24"/>
        </w:rPr>
        <w:t>邮编：</w:t>
      </w:r>
      <w:r>
        <w:rPr>
          <w:rFonts w:hint="eastAsia" w:ascii="宋体" w:hAnsi="宋体" w:cs="宋体"/>
          <w:kern w:val="0"/>
          <w:sz w:val="24"/>
          <w:szCs w:val="24"/>
          <w:u w:val="single"/>
        </w:rPr>
        <w:t xml:space="preserve">                       </w:t>
      </w:r>
      <w:r>
        <w:rPr>
          <w:rFonts w:hint="eastAsia" w:ascii="宋体" w:hAnsi="宋体" w:cs="宋体"/>
          <w:kern w:val="0"/>
          <w:sz w:val="24"/>
          <w:szCs w:val="24"/>
        </w:rPr>
        <w:t xml:space="preserve">             </w:t>
      </w:r>
    </w:p>
    <w:p w14:paraId="04A61FF3">
      <w:pPr>
        <w:spacing w:line="360" w:lineRule="exact"/>
        <w:rPr>
          <w:rFonts w:hint="eastAsia" w:ascii="宋体" w:hAnsi="宋体" w:cs="宋体"/>
          <w:kern w:val="0"/>
          <w:sz w:val="24"/>
          <w:szCs w:val="24"/>
        </w:rPr>
      </w:pPr>
      <w:r>
        <w:rPr>
          <w:rFonts w:hint="eastAsia" w:ascii="宋体" w:hAnsi="宋体" w:cs="宋体"/>
          <w:kern w:val="0"/>
          <w:sz w:val="24"/>
          <w:szCs w:val="24"/>
        </w:rPr>
        <w:t>电话：</w:t>
      </w:r>
      <w:r>
        <w:rPr>
          <w:rFonts w:hint="eastAsia" w:ascii="宋体" w:hAnsi="宋体" w:cs="宋体"/>
          <w:kern w:val="0"/>
          <w:sz w:val="24"/>
          <w:szCs w:val="24"/>
          <w:u w:val="single"/>
        </w:rPr>
        <w:t xml:space="preserve">                       </w:t>
      </w:r>
    </w:p>
    <w:p w14:paraId="04A61FF4">
      <w:pPr>
        <w:spacing w:line="360" w:lineRule="exact"/>
        <w:rPr>
          <w:rFonts w:hint="eastAsia" w:ascii="宋体" w:hAnsi="宋体" w:cs="宋体"/>
          <w:kern w:val="0"/>
          <w:sz w:val="24"/>
          <w:szCs w:val="24"/>
        </w:rPr>
      </w:pPr>
      <w:r>
        <w:rPr>
          <w:rFonts w:hint="eastAsia" w:ascii="宋体" w:hAnsi="宋体" w:cs="宋体"/>
          <w:kern w:val="0"/>
          <w:sz w:val="24"/>
          <w:szCs w:val="24"/>
        </w:rPr>
        <w:t>传真：</w:t>
      </w:r>
      <w:r>
        <w:rPr>
          <w:rFonts w:hint="eastAsia" w:ascii="宋体" w:hAnsi="宋体" w:cs="宋体"/>
          <w:kern w:val="0"/>
          <w:sz w:val="24"/>
          <w:szCs w:val="24"/>
          <w:u w:val="single"/>
        </w:rPr>
        <w:t xml:space="preserve">                       </w:t>
      </w:r>
    </w:p>
    <w:p w14:paraId="04A61FF5">
      <w:pPr>
        <w:spacing w:line="360" w:lineRule="exact"/>
        <w:rPr>
          <w:rFonts w:hint="eastAsia" w:ascii="宋体" w:hAnsi="宋体" w:cs="宋体"/>
          <w:kern w:val="0"/>
          <w:sz w:val="24"/>
          <w:szCs w:val="24"/>
        </w:rPr>
      </w:pPr>
      <w:r>
        <w:rPr>
          <w:rFonts w:hint="eastAsia" w:ascii="宋体" w:hAnsi="宋体" w:cs="宋体"/>
          <w:kern w:val="0"/>
          <w:sz w:val="24"/>
          <w:szCs w:val="24"/>
        </w:rPr>
        <w:t>投标方代表姓名、职务（印刷体）：</w:t>
      </w:r>
      <w:r>
        <w:rPr>
          <w:rFonts w:hint="eastAsia" w:ascii="宋体" w:hAnsi="宋体" w:cs="宋体"/>
          <w:kern w:val="0"/>
          <w:sz w:val="24"/>
          <w:szCs w:val="24"/>
          <w:u w:val="single"/>
        </w:rPr>
        <w:t xml:space="preserve">                       </w:t>
      </w:r>
    </w:p>
    <w:p w14:paraId="04A61FF6">
      <w:pPr>
        <w:spacing w:line="360" w:lineRule="exact"/>
        <w:rPr>
          <w:rFonts w:hint="eastAsia" w:ascii="宋体" w:hAnsi="宋体" w:cs="宋体"/>
          <w:kern w:val="0"/>
          <w:sz w:val="24"/>
          <w:szCs w:val="24"/>
        </w:rPr>
      </w:pPr>
      <w:r>
        <w:rPr>
          <w:rFonts w:hint="eastAsia" w:ascii="宋体" w:hAnsi="宋体" w:cs="宋体"/>
          <w:kern w:val="0"/>
          <w:sz w:val="24"/>
          <w:szCs w:val="24"/>
        </w:rPr>
        <w:t>投标人盖章：</w:t>
      </w:r>
      <w:r>
        <w:rPr>
          <w:rFonts w:hint="eastAsia" w:ascii="宋体" w:hAnsi="宋体" w:cs="宋体"/>
          <w:kern w:val="0"/>
          <w:sz w:val="24"/>
          <w:szCs w:val="24"/>
          <w:u w:val="single"/>
        </w:rPr>
        <w:t xml:space="preserve">                         </w:t>
      </w:r>
    </w:p>
    <w:p w14:paraId="04A61FF7">
      <w:pPr>
        <w:spacing w:line="360" w:lineRule="exact"/>
        <w:rPr>
          <w:rFonts w:hint="eastAsia" w:ascii="宋体" w:hAnsi="宋体" w:cs="宋体"/>
          <w:kern w:val="0"/>
          <w:sz w:val="24"/>
          <w:szCs w:val="24"/>
          <w:u w:val="single"/>
        </w:rPr>
      </w:pPr>
      <w:r>
        <w:rPr>
          <w:rFonts w:hint="eastAsia" w:ascii="宋体" w:hAnsi="宋体" w:cs="宋体"/>
          <w:kern w:val="0"/>
          <w:sz w:val="24"/>
          <w:szCs w:val="24"/>
        </w:rPr>
        <w:t>授权代表签字：</w:t>
      </w:r>
      <w:r>
        <w:rPr>
          <w:rFonts w:hint="eastAsia" w:ascii="宋体" w:hAnsi="宋体" w:cs="宋体"/>
          <w:kern w:val="0"/>
          <w:sz w:val="24"/>
          <w:szCs w:val="24"/>
          <w:u w:val="single"/>
        </w:rPr>
        <w:t xml:space="preserve">                       </w:t>
      </w:r>
    </w:p>
    <w:p w14:paraId="04A61FF8">
      <w:pPr>
        <w:spacing w:line="360" w:lineRule="exact"/>
        <w:rPr>
          <w:rFonts w:hint="eastAsia" w:ascii="宋体" w:hAnsi="宋体" w:cs="宋体"/>
          <w:kern w:val="0"/>
          <w:sz w:val="24"/>
          <w:szCs w:val="24"/>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04A61FF9">
      <w:pPr>
        <w:spacing w:line="360" w:lineRule="auto"/>
        <w:outlineLvl w:val="2"/>
        <w:rPr>
          <w:rFonts w:hint="eastAsia" w:ascii="宋体" w:hAnsi="宋体" w:cs="宋体"/>
          <w:b/>
          <w:kern w:val="0"/>
          <w:sz w:val="24"/>
          <w:szCs w:val="24"/>
        </w:rPr>
      </w:pPr>
      <w:bookmarkStart w:id="68" w:name="_Toc161131008"/>
      <w:r>
        <w:rPr>
          <w:rFonts w:hint="eastAsia" w:ascii="宋体" w:hAnsi="宋体" w:cs="宋体"/>
          <w:b/>
          <w:kern w:val="0"/>
          <w:sz w:val="24"/>
          <w:szCs w:val="24"/>
        </w:rPr>
        <w:t>附件2</w:t>
      </w:r>
      <w:bookmarkEnd w:id="68"/>
    </w:p>
    <w:p w14:paraId="04A61FFA">
      <w:pPr>
        <w:pStyle w:val="3"/>
        <w:ind w:left="0"/>
        <w:jc w:val="both"/>
        <w:rPr>
          <w:rFonts w:hint="eastAsia" w:ascii="宋体" w:hAnsi="宋体" w:eastAsia="宋体"/>
          <w:sz w:val="24"/>
          <w:szCs w:val="24"/>
        </w:rPr>
      </w:pPr>
      <w:bookmarkStart w:id="69" w:name="_Toc441676674"/>
      <w:bookmarkStart w:id="70" w:name="_Toc161131009"/>
      <w:r>
        <w:rPr>
          <w:rFonts w:hint="eastAsia" w:ascii="宋体" w:hAnsi="宋体" w:eastAsia="宋体"/>
          <w:sz w:val="24"/>
          <w:szCs w:val="24"/>
        </w:rPr>
        <w:t>开标一览表</w:t>
      </w:r>
      <w:bookmarkEnd w:id="69"/>
      <w:bookmarkEnd w:id="70"/>
    </w:p>
    <w:p w14:paraId="04A61FFB">
      <w:pPr>
        <w:spacing w:line="360" w:lineRule="auto"/>
        <w:rPr>
          <w:rFonts w:hint="eastAsia" w:ascii="宋体" w:hAnsi="宋体" w:cs="宋体"/>
          <w:kern w:val="0"/>
          <w:sz w:val="24"/>
          <w:szCs w:val="24"/>
          <w:u w:val="single"/>
        </w:rPr>
      </w:pPr>
      <w:r>
        <w:rPr>
          <w:rFonts w:hint="eastAsia" w:ascii="宋体" w:hAnsi="宋体" w:cs="宋体"/>
          <w:kern w:val="0"/>
          <w:sz w:val="24"/>
          <w:szCs w:val="24"/>
        </w:rPr>
        <w:t>投标人名称：</w:t>
      </w:r>
      <w:r>
        <w:rPr>
          <w:rFonts w:hint="eastAsia" w:ascii="宋体" w:hAnsi="宋体" w:cs="宋体"/>
          <w:kern w:val="0"/>
          <w:sz w:val="24"/>
          <w:szCs w:val="24"/>
          <w:u w:val="single"/>
        </w:rPr>
        <w:t>　　　　　　　　　　</w:t>
      </w:r>
      <w:r>
        <w:rPr>
          <w:rFonts w:hint="eastAsia" w:ascii="宋体" w:hAnsi="宋体" w:cs="宋体"/>
          <w:kern w:val="0"/>
          <w:sz w:val="24"/>
          <w:szCs w:val="24"/>
        </w:rPr>
        <w:t xml:space="preserve">           　　招标编号：</w:t>
      </w:r>
      <w:r>
        <w:rPr>
          <w:rFonts w:hint="eastAsia" w:ascii="宋体" w:hAnsi="宋体" w:cs="宋体"/>
          <w:kern w:val="0"/>
          <w:sz w:val="24"/>
          <w:szCs w:val="24"/>
          <w:u w:val="single"/>
        </w:rPr>
        <w:t>　　　　　　　　　　</w:t>
      </w:r>
    </w:p>
    <w:tbl>
      <w:tblPr>
        <w:tblStyle w:val="21"/>
        <w:tblW w:w="73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1155"/>
        <w:gridCol w:w="1365"/>
        <w:gridCol w:w="1990"/>
        <w:gridCol w:w="1706"/>
      </w:tblGrid>
      <w:tr w14:paraId="04A62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dxa"/>
          </w:tcPr>
          <w:p w14:paraId="04A61FFC">
            <w:pPr>
              <w:spacing w:line="360" w:lineRule="auto"/>
              <w:rPr>
                <w:rFonts w:hint="eastAsia" w:ascii="宋体" w:hAnsi="宋体" w:cs="宋体"/>
                <w:kern w:val="0"/>
                <w:sz w:val="24"/>
                <w:szCs w:val="24"/>
              </w:rPr>
            </w:pPr>
            <w:r>
              <w:rPr>
                <w:rFonts w:hint="eastAsia" w:ascii="宋体" w:hAnsi="宋体" w:cs="宋体"/>
                <w:kern w:val="0"/>
                <w:sz w:val="24"/>
                <w:szCs w:val="24"/>
              </w:rPr>
              <w:t>产品名称</w:t>
            </w:r>
          </w:p>
        </w:tc>
        <w:tc>
          <w:tcPr>
            <w:tcW w:w="1155" w:type="dxa"/>
          </w:tcPr>
          <w:p w14:paraId="04A61FFD">
            <w:pPr>
              <w:spacing w:line="360" w:lineRule="auto"/>
              <w:rPr>
                <w:rFonts w:hint="eastAsia" w:ascii="宋体" w:hAnsi="宋体" w:cs="宋体"/>
                <w:kern w:val="0"/>
                <w:sz w:val="24"/>
                <w:szCs w:val="24"/>
              </w:rPr>
            </w:pPr>
            <w:r>
              <w:rPr>
                <w:rFonts w:hint="eastAsia" w:ascii="宋体" w:hAnsi="宋体" w:cs="宋体"/>
                <w:kern w:val="0"/>
                <w:sz w:val="24"/>
                <w:szCs w:val="24"/>
              </w:rPr>
              <w:t>投标报价</w:t>
            </w:r>
          </w:p>
        </w:tc>
        <w:tc>
          <w:tcPr>
            <w:tcW w:w="1365" w:type="dxa"/>
          </w:tcPr>
          <w:p w14:paraId="04A61FFE">
            <w:pPr>
              <w:spacing w:line="360" w:lineRule="auto"/>
              <w:rPr>
                <w:rFonts w:hint="eastAsia" w:ascii="宋体" w:hAnsi="宋体" w:cs="宋体"/>
                <w:kern w:val="0"/>
                <w:sz w:val="24"/>
                <w:szCs w:val="24"/>
              </w:rPr>
            </w:pPr>
            <w:r>
              <w:rPr>
                <w:rFonts w:hint="eastAsia" w:ascii="宋体" w:hAnsi="宋体" w:cs="宋体"/>
                <w:kern w:val="0"/>
                <w:sz w:val="24"/>
                <w:szCs w:val="24"/>
              </w:rPr>
              <w:t>投标保证金</w:t>
            </w:r>
          </w:p>
        </w:tc>
        <w:tc>
          <w:tcPr>
            <w:tcW w:w="1990" w:type="dxa"/>
          </w:tcPr>
          <w:p w14:paraId="04A61FFF">
            <w:pPr>
              <w:spacing w:line="360" w:lineRule="auto"/>
              <w:rPr>
                <w:rFonts w:hint="eastAsia" w:ascii="宋体" w:hAnsi="宋体" w:cs="宋体"/>
                <w:kern w:val="0"/>
                <w:sz w:val="24"/>
                <w:szCs w:val="24"/>
              </w:rPr>
            </w:pPr>
            <w:r>
              <w:rPr>
                <w:rFonts w:hint="eastAsia" w:ascii="宋体" w:hAnsi="宋体" w:cs="宋体"/>
                <w:kern w:val="0"/>
                <w:sz w:val="24"/>
                <w:szCs w:val="24"/>
              </w:rPr>
              <w:t>交货期</w:t>
            </w:r>
          </w:p>
        </w:tc>
        <w:tc>
          <w:tcPr>
            <w:tcW w:w="1706" w:type="dxa"/>
          </w:tcPr>
          <w:p w14:paraId="04A62000">
            <w:pPr>
              <w:spacing w:line="360" w:lineRule="auto"/>
              <w:rPr>
                <w:rFonts w:hint="eastAsia" w:ascii="宋体" w:hAnsi="宋体" w:cs="宋体"/>
                <w:kern w:val="0"/>
                <w:sz w:val="24"/>
                <w:szCs w:val="24"/>
              </w:rPr>
            </w:pPr>
            <w:r>
              <w:rPr>
                <w:rFonts w:hint="eastAsia" w:ascii="宋体" w:hAnsi="宋体" w:cs="宋体"/>
                <w:kern w:val="0"/>
                <w:sz w:val="24"/>
                <w:szCs w:val="24"/>
              </w:rPr>
              <w:t>备注</w:t>
            </w:r>
          </w:p>
        </w:tc>
      </w:tr>
      <w:tr w14:paraId="04A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dxa"/>
          </w:tcPr>
          <w:p w14:paraId="04A62002">
            <w:pPr>
              <w:spacing w:line="360" w:lineRule="auto"/>
              <w:rPr>
                <w:rFonts w:hint="eastAsia" w:ascii="宋体" w:hAnsi="宋体" w:cs="宋体"/>
                <w:kern w:val="0"/>
                <w:sz w:val="24"/>
                <w:szCs w:val="24"/>
              </w:rPr>
            </w:pPr>
          </w:p>
        </w:tc>
        <w:tc>
          <w:tcPr>
            <w:tcW w:w="1155" w:type="dxa"/>
          </w:tcPr>
          <w:p w14:paraId="04A62003">
            <w:pPr>
              <w:spacing w:line="360" w:lineRule="auto"/>
              <w:rPr>
                <w:rFonts w:hint="eastAsia" w:ascii="宋体" w:hAnsi="宋体" w:cs="宋体"/>
                <w:kern w:val="0"/>
                <w:sz w:val="24"/>
                <w:szCs w:val="24"/>
              </w:rPr>
            </w:pPr>
          </w:p>
        </w:tc>
        <w:tc>
          <w:tcPr>
            <w:tcW w:w="1365" w:type="dxa"/>
          </w:tcPr>
          <w:p w14:paraId="04A62004">
            <w:pPr>
              <w:spacing w:line="360" w:lineRule="auto"/>
              <w:rPr>
                <w:rFonts w:hint="eastAsia" w:ascii="宋体" w:hAnsi="宋体" w:cs="宋体"/>
                <w:kern w:val="0"/>
                <w:sz w:val="24"/>
                <w:szCs w:val="24"/>
              </w:rPr>
            </w:pPr>
          </w:p>
        </w:tc>
        <w:tc>
          <w:tcPr>
            <w:tcW w:w="1990" w:type="dxa"/>
          </w:tcPr>
          <w:p w14:paraId="04A62005">
            <w:pPr>
              <w:spacing w:line="360" w:lineRule="auto"/>
              <w:rPr>
                <w:rFonts w:hint="eastAsia" w:ascii="宋体" w:hAnsi="宋体" w:cs="宋体"/>
                <w:kern w:val="0"/>
                <w:sz w:val="24"/>
                <w:szCs w:val="24"/>
              </w:rPr>
            </w:pPr>
            <w:r>
              <w:rPr>
                <w:rFonts w:hint="eastAsia" w:ascii="宋体" w:hAnsi="宋体" w:cs="宋体"/>
                <w:kern w:val="0"/>
                <w:sz w:val="24"/>
                <w:szCs w:val="24"/>
              </w:rPr>
              <w:t>★</w:t>
            </w:r>
          </w:p>
        </w:tc>
        <w:tc>
          <w:tcPr>
            <w:tcW w:w="1706" w:type="dxa"/>
          </w:tcPr>
          <w:p w14:paraId="04A62006">
            <w:pPr>
              <w:spacing w:line="360" w:lineRule="auto"/>
              <w:rPr>
                <w:rFonts w:hint="eastAsia" w:ascii="宋体" w:hAnsi="宋体" w:cs="宋体"/>
                <w:kern w:val="0"/>
                <w:sz w:val="24"/>
                <w:szCs w:val="24"/>
              </w:rPr>
            </w:pPr>
          </w:p>
        </w:tc>
      </w:tr>
      <w:tr w14:paraId="04A62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dxa"/>
          </w:tcPr>
          <w:p w14:paraId="04A62008">
            <w:pPr>
              <w:spacing w:line="360" w:lineRule="auto"/>
              <w:rPr>
                <w:rFonts w:hint="eastAsia" w:ascii="宋体" w:hAnsi="宋体" w:cs="宋体"/>
                <w:kern w:val="0"/>
                <w:sz w:val="24"/>
                <w:szCs w:val="24"/>
              </w:rPr>
            </w:pPr>
          </w:p>
        </w:tc>
        <w:tc>
          <w:tcPr>
            <w:tcW w:w="1155" w:type="dxa"/>
          </w:tcPr>
          <w:p w14:paraId="04A62009">
            <w:pPr>
              <w:spacing w:line="360" w:lineRule="auto"/>
              <w:rPr>
                <w:rFonts w:hint="eastAsia" w:ascii="宋体" w:hAnsi="宋体" w:cs="宋体"/>
                <w:kern w:val="0"/>
                <w:sz w:val="24"/>
                <w:szCs w:val="24"/>
              </w:rPr>
            </w:pPr>
          </w:p>
        </w:tc>
        <w:tc>
          <w:tcPr>
            <w:tcW w:w="1365" w:type="dxa"/>
          </w:tcPr>
          <w:p w14:paraId="04A6200A">
            <w:pPr>
              <w:spacing w:line="360" w:lineRule="auto"/>
              <w:rPr>
                <w:rFonts w:hint="eastAsia" w:ascii="宋体" w:hAnsi="宋体" w:cs="宋体"/>
                <w:kern w:val="0"/>
                <w:sz w:val="24"/>
                <w:szCs w:val="24"/>
              </w:rPr>
            </w:pPr>
          </w:p>
        </w:tc>
        <w:tc>
          <w:tcPr>
            <w:tcW w:w="1990" w:type="dxa"/>
          </w:tcPr>
          <w:p w14:paraId="04A6200B">
            <w:pPr>
              <w:spacing w:line="360" w:lineRule="auto"/>
              <w:rPr>
                <w:rFonts w:hint="eastAsia" w:ascii="宋体" w:hAnsi="宋体" w:cs="宋体"/>
                <w:kern w:val="0"/>
                <w:sz w:val="24"/>
                <w:szCs w:val="24"/>
              </w:rPr>
            </w:pPr>
          </w:p>
        </w:tc>
        <w:tc>
          <w:tcPr>
            <w:tcW w:w="1706" w:type="dxa"/>
          </w:tcPr>
          <w:p w14:paraId="04A6200C">
            <w:pPr>
              <w:spacing w:line="360" w:lineRule="auto"/>
              <w:rPr>
                <w:rFonts w:hint="eastAsia" w:ascii="宋体" w:hAnsi="宋体" w:cs="宋体"/>
                <w:kern w:val="0"/>
                <w:sz w:val="24"/>
                <w:szCs w:val="24"/>
              </w:rPr>
            </w:pPr>
          </w:p>
        </w:tc>
      </w:tr>
      <w:tr w14:paraId="04A62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dxa"/>
          </w:tcPr>
          <w:p w14:paraId="04A6200E">
            <w:pPr>
              <w:spacing w:line="360" w:lineRule="auto"/>
              <w:rPr>
                <w:rFonts w:hint="eastAsia" w:ascii="宋体" w:hAnsi="宋体" w:cs="宋体"/>
                <w:kern w:val="0"/>
                <w:sz w:val="24"/>
                <w:szCs w:val="24"/>
              </w:rPr>
            </w:pPr>
          </w:p>
        </w:tc>
        <w:tc>
          <w:tcPr>
            <w:tcW w:w="1155" w:type="dxa"/>
          </w:tcPr>
          <w:p w14:paraId="04A6200F">
            <w:pPr>
              <w:spacing w:line="360" w:lineRule="auto"/>
              <w:rPr>
                <w:rFonts w:hint="eastAsia" w:ascii="宋体" w:hAnsi="宋体" w:cs="宋体"/>
                <w:kern w:val="0"/>
                <w:sz w:val="24"/>
                <w:szCs w:val="24"/>
              </w:rPr>
            </w:pPr>
          </w:p>
        </w:tc>
        <w:tc>
          <w:tcPr>
            <w:tcW w:w="1365" w:type="dxa"/>
          </w:tcPr>
          <w:p w14:paraId="04A62010">
            <w:pPr>
              <w:spacing w:line="360" w:lineRule="auto"/>
              <w:rPr>
                <w:rFonts w:hint="eastAsia" w:ascii="宋体" w:hAnsi="宋体" w:cs="宋体"/>
                <w:kern w:val="0"/>
                <w:sz w:val="24"/>
                <w:szCs w:val="24"/>
              </w:rPr>
            </w:pPr>
          </w:p>
        </w:tc>
        <w:tc>
          <w:tcPr>
            <w:tcW w:w="1990" w:type="dxa"/>
          </w:tcPr>
          <w:p w14:paraId="04A62011">
            <w:pPr>
              <w:spacing w:line="360" w:lineRule="auto"/>
              <w:rPr>
                <w:rFonts w:hint="eastAsia" w:ascii="宋体" w:hAnsi="宋体" w:cs="宋体"/>
                <w:kern w:val="0"/>
                <w:sz w:val="24"/>
                <w:szCs w:val="24"/>
              </w:rPr>
            </w:pPr>
          </w:p>
        </w:tc>
        <w:tc>
          <w:tcPr>
            <w:tcW w:w="1706" w:type="dxa"/>
          </w:tcPr>
          <w:p w14:paraId="04A62012">
            <w:pPr>
              <w:spacing w:line="360" w:lineRule="auto"/>
              <w:rPr>
                <w:rFonts w:hint="eastAsia" w:ascii="宋体" w:hAnsi="宋体" w:cs="宋体"/>
                <w:kern w:val="0"/>
                <w:sz w:val="24"/>
                <w:szCs w:val="24"/>
              </w:rPr>
            </w:pPr>
          </w:p>
        </w:tc>
      </w:tr>
    </w:tbl>
    <w:p w14:paraId="04A62014">
      <w:pPr>
        <w:spacing w:line="360" w:lineRule="auto"/>
        <w:rPr>
          <w:rFonts w:hint="eastAsia" w:ascii="宋体" w:hAnsi="宋体" w:cs="宋体"/>
          <w:kern w:val="0"/>
          <w:sz w:val="24"/>
          <w:szCs w:val="24"/>
        </w:rPr>
      </w:pPr>
      <w:r>
        <w:rPr>
          <w:rFonts w:hint="eastAsia" w:ascii="宋体" w:hAnsi="宋体" w:cs="宋体"/>
          <w:kern w:val="0"/>
          <w:sz w:val="24"/>
          <w:szCs w:val="24"/>
        </w:rPr>
        <w:t xml:space="preserve">★附注： </w:t>
      </w:r>
    </w:p>
    <w:p w14:paraId="04A62015">
      <w:pPr>
        <w:spacing w:line="360" w:lineRule="auto"/>
        <w:rPr>
          <w:rFonts w:hint="eastAsia" w:ascii="宋体" w:hAnsi="宋体" w:cs="宋体"/>
          <w:kern w:val="0"/>
          <w:sz w:val="24"/>
          <w:szCs w:val="24"/>
        </w:rPr>
      </w:pPr>
      <w:r>
        <w:rPr>
          <w:rFonts w:hint="eastAsia" w:ascii="宋体" w:hAnsi="宋体" w:cs="宋体"/>
          <w:kern w:val="0"/>
          <w:sz w:val="24"/>
          <w:szCs w:val="24"/>
        </w:rPr>
        <w:t>注：</w:t>
      </w:r>
      <w:r>
        <w:rPr>
          <w:rFonts w:hint="eastAsia" w:ascii="宋体" w:hAnsi="宋体" w:cs="宋体"/>
          <w:b/>
          <w:kern w:val="0"/>
          <w:sz w:val="24"/>
          <w:szCs w:val="24"/>
        </w:rPr>
        <w:t>此表应按投标人须知前附表中的规定单独封装并与投标保证金收据一同放在商务标中提交。</w:t>
      </w:r>
    </w:p>
    <w:p w14:paraId="04A62016">
      <w:pPr>
        <w:spacing w:line="360" w:lineRule="auto"/>
        <w:rPr>
          <w:rFonts w:hint="eastAsia" w:ascii="宋体" w:hAnsi="宋体"/>
          <w:sz w:val="24"/>
          <w:szCs w:val="24"/>
        </w:rPr>
      </w:pPr>
      <w:r>
        <w:rPr>
          <w:rFonts w:ascii="宋体" w:hAnsi="宋体"/>
          <w:sz w:val="24"/>
          <w:szCs w:val="24"/>
        </w:rPr>
        <w:t>投标人盖章：</w:t>
      </w:r>
      <w:r>
        <w:rPr>
          <w:rFonts w:hint="eastAsia" w:ascii="宋体" w:hAnsi="宋体" w:cs="宋体"/>
          <w:kern w:val="0"/>
          <w:sz w:val="24"/>
          <w:szCs w:val="24"/>
          <w:u w:val="single"/>
        </w:rPr>
        <w:t xml:space="preserve">                           </w:t>
      </w:r>
    </w:p>
    <w:p w14:paraId="04A62017">
      <w:pPr>
        <w:spacing w:line="360" w:lineRule="auto"/>
        <w:rPr>
          <w:rFonts w:hint="eastAsia" w:ascii="宋体" w:hAnsi="宋体"/>
          <w:sz w:val="24"/>
          <w:szCs w:val="24"/>
        </w:rPr>
      </w:pPr>
      <w:r>
        <w:rPr>
          <w:rFonts w:ascii="宋体" w:hAnsi="宋体"/>
          <w:sz w:val="24"/>
          <w:szCs w:val="24"/>
        </w:rPr>
        <w:t>授权代表签字：</w:t>
      </w:r>
      <w:r>
        <w:rPr>
          <w:rFonts w:hint="eastAsia" w:ascii="宋体" w:hAnsi="宋体" w:cs="宋体"/>
          <w:kern w:val="0"/>
          <w:sz w:val="24"/>
          <w:szCs w:val="24"/>
          <w:u w:val="single"/>
        </w:rPr>
        <w:t xml:space="preserve">                         </w:t>
      </w:r>
    </w:p>
    <w:p w14:paraId="04A62018">
      <w:pPr>
        <w:pStyle w:val="5"/>
        <w:outlineLvl w:val="9"/>
        <w:rPr>
          <w:rFonts w:hint="eastAsia" w:ascii="宋体" w:hAnsi="宋体"/>
          <w:b w:val="0"/>
          <w:sz w:val="24"/>
          <w:szCs w:val="24"/>
        </w:rPr>
        <w:sectPr>
          <w:pgSz w:w="11907" w:h="16840"/>
          <w:pgMar w:top="1440" w:right="1797" w:bottom="1440" w:left="1797" w:header="567" w:footer="992" w:gutter="0"/>
          <w:cols w:space="720" w:num="1"/>
          <w:docGrid w:type="linesAndChars" w:linePitch="312" w:charSpace="0"/>
        </w:sectPr>
      </w:pPr>
    </w:p>
    <w:p w14:paraId="04A62019">
      <w:pPr>
        <w:spacing w:line="360" w:lineRule="auto"/>
        <w:rPr>
          <w:rFonts w:hint="eastAsia" w:ascii="宋体" w:hAnsi="宋体"/>
          <w:b/>
          <w:sz w:val="24"/>
          <w:szCs w:val="24"/>
        </w:rPr>
      </w:pPr>
      <w:r>
        <w:rPr>
          <w:rFonts w:hint="eastAsia" w:ascii="宋体" w:hAnsi="宋体"/>
          <w:b/>
          <w:sz w:val="24"/>
          <w:szCs w:val="24"/>
        </w:rPr>
        <w:t>附件3</w:t>
      </w:r>
    </w:p>
    <w:p w14:paraId="04A6201A">
      <w:pPr>
        <w:pStyle w:val="3"/>
        <w:rPr>
          <w:rFonts w:hint="eastAsia" w:ascii="宋体" w:hAnsi="宋体" w:eastAsia="宋体"/>
          <w:sz w:val="24"/>
          <w:szCs w:val="24"/>
        </w:rPr>
      </w:pPr>
      <w:bookmarkStart w:id="71" w:name="_Toc441676675"/>
      <w:bookmarkStart w:id="72" w:name="_Toc161131010"/>
      <w:r>
        <w:rPr>
          <w:rFonts w:ascii="宋体" w:hAnsi="宋体" w:eastAsia="宋体"/>
          <w:sz w:val="24"/>
          <w:szCs w:val="24"/>
        </w:rPr>
        <w:t>投标分项报价表</w:t>
      </w:r>
      <w:r>
        <w:rPr>
          <w:rFonts w:hint="eastAsia" w:ascii="宋体" w:hAnsi="宋体" w:eastAsia="宋体"/>
          <w:sz w:val="24"/>
          <w:szCs w:val="24"/>
        </w:rPr>
        <w:t>2</w:t>
      </w:r>
      <w:bookmarkEnd w:id="71"/>
      <w:bookmarkEnd w:id="72"/>
    </w:p>
    <w:p w14:paraId="04A6201B">
      <w:pPr>
        <w:spacing w:line="360" w:lineRule="auto"/>
        <w:rPr>
          <w:rFonts w:hint="eastAsia" w:ascii="宋体" w:hAnsi="宋体"/>
          <w:sz w:val="24"/>
          <w:szCs w:val="24"/>
          <w:u w:val="single"/>
        </w:rPr>
      </w:pPr>
      <w:r>
        <w:rPr>
          <w:rFonts w:hint="eastAsia" w:ascii="宋体" w:hAnsi="宋体" w:cs="宋体"/>
          <w:b/>
          <w:bCs/>
          <w:kern w:val="0"/>
          <w:sz w:val="24"/>
          <w:szCs w:val="24"/>
        </w:rPr>
        <w:t>投标人名称：</w:t>
      </w:r>
      <w:r>
        <w:rPr>
          <w:rFonts w:hint="eastAsia" w:ascii="宋体" w:hAnsi="宋体" w:cs="宋体"/>
          <w:b/>
          <w:bCs/>
          <w:kern w:val="0"/>
          <w:sz w:val="24"/>
          <w:szCs w:val="24"/>
          <w:u w:val="single"/>
        </w:rPr>
        <w:t xml:space="preserve">                      </w:t>
      </w:r>
      <w:r>
        <w:rPr>
          <w:rFonts w:hint="eastAsia" w:ascii="宋体" w:hAnsi="宋体" w:cs="宋体"/>
          <w:b/>
          <w:bCs/>
          <w:kern w:val="0"/>
          <w:sz w:val="24"/>
          <w:szCs w:val="24"/>
        </w:rPr>
        <w:t xml:space="preserve">    招标编号：</w:t>
      </w:r>
      <w:r>
        <w:rPr>
          <w:rFonts w:hint="eastAsia" w:ascii="宋体" w:hAnsi="宋体" w:cs="宋体"/>
          <w:b/>
          <w:bCs/>
          <w:kern w:val="0"/>
          <w:sz w:val="24"/>
          <w:szCs w:val="24"/>
          <w:u w:val="single"/>
        </w:rPr>
        <w:t xml:space="preserve">                     </w:t>
      </w:r>
      <w:r>
        <w:rPr>
          <w:rFonts w:ascii="宋体" w:hAnsi="宋体"/>
          <w:sz w:val="24"/>
          <w:szCs w:val="24"/>
        </w:rPr>
        <w:t xml:space="preserve"> </w:t>
      </w:r>
    </w:p>
    <w:tbl>
      <w:tblPr>
        <w:tblStyle w:val="21"/>
        <w:tblW w:w="13931" w:type="dxa"/>
        <w:tblInd w:w="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7"/>
        <w:gridCol w:w="1947"/>
        <w:gridCol w:w="851"/>
        <w:gridCol w:w="1417"/>
        <w:gridCol w:w="1276"/>
        <w:gridCol w:w="1276"/>
        <w:gridCol w:w="1984"/>
        <w:gridCol w:w="1701"/>
        <w:gridCol w:w="1418"/>
        <w:gridCol w:w="1134"/>
      </w:tblGrid>
      <w:tr w14:paraId="04A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4" w:hRule="atLeast"/>
        </w:trPr>
        <w:tc>
          <w:tcPr>
            <w:tcW w:w="927" w:type="dxa"/>
            <w:tcBorders>
              <w:bottom w:val="single" w:color="auto" w:sz="4" w:space="0"/>
            </w:tcBorders>
            <w:vAlign w:val="center"/>
          </w:tcPr>
          <w:p w14:paraId="04A6201C">
            <w:pPr>
              <w:snapToGrid w:val="0"/>
              <w:spacing w:line="300" w:lineRule="auto"/>
              <w:jc w:val="center"/>
              <w:rPr>
                <w:rFonts w:hint="eastAsia" w:ascii="宋体" w:hAnsi="宋体"/>
                <w:sz w:val="24"/>
                <w:szCs w:val="24"/>
              </w:rPr>
            </w:pPr>
            <w:r>
              <w:rPr>
                <w:rFonts w:ascii="宋体" w:hAnsi="宋体"/>
                <w:sz w:val="24"/>
                <w:szCs w:val="24"/>
              </w:rPr>
              <w:t>1</w:t>
            </w:r>
          </w:p>
        </w:tc>
        <w:tc>
          <w:tcPr>
            <w:tcW w:w="1947" w:type="dxa"/>
            <w:tcBorders>
              <w:bottom w:val="single" w:color="auto" w:sz="4" w:space="0"/>
            </w:tcBorders>
            <w:vAlign w:val="center"/>
          </w:tcPr>
          <w:p w14:paraId="04A6201D">
            <w:pPr>
              <w:snapToGrid w:val="0"/>
              <w:spacing w:line="300" w:lineRule="auto"/>
              <w:ind w:left="117"/>
              <w:jc w:val="center"/>
              <w:rPr>
                <w:rFonts w:hint="eastAsia" w:ascii="宋体" w:hAnsi="宋体"/>
                <w:sz w:val="24"/>
                <w:szCs w:val="24"/>
              </w:rPr>
            </w:pPr>
            <w:r>
              <w:rPr>
                <w:rFonts w:ascii="宋体" w:hAnsi="宋体"/>
                <w:sz w:val="24"/>
                <w:szCs w:val="24"/>
              </w:rPr>
              <w:t>2</w:t>
            </w:r>
          </w:p>
        </w:tc>
        <w:tc>
          <w:tcPr>
            <w:tcW w:w="851" w:type="dxa"/>
            <w:tcBorders>
              <w:bottom w:val="single" w:color="auto" w:sz="4" w:space="0"/>
            </w:tcBorders>
            <w:vAlign w:val="center"/>
          </w:tcPr>
          <w:p w14:paraId="04A6201E">
            <w:pPr>
              <w:snapToGrid w:val="0"/>
              <w:spacing w:line="300" w:lineRule="auto"/>
              <w:ind w:left="147"/>
              <w:jc w:val="center"/>
              <w:rPr>
                <w:rFonts w:hint="eastAsia" w:ascii="宋体" w:hAnsi="宋体"/>
                <w:sz w:val="24"/>
                <w:szCs w:val="24"/>
              </w:rPr>
            </w:pPr>
            <w:r>
              <w:rPr>
                <w:rFonts w:hint="eastAsia" w:ascii="宋体" w:hAnsi="宋体"/>
                <w:sz w:val="24"/>
                <w:szCs w:val="24"/>
              </w:rPr>
              <w:t>3</w:t>
            </w:r>
          </w:p>
        </w:tc>
        <w:tc>
          <w:tcPr>
            <w:tcW w:w="1417" w:type="dxa"/>
            <w:tcBorders>
              <w:bottom w:val="single" w:color="auto" w:sz="4" w:space="0"/>
            </w:tcBorders>
            <w:vAlign w:val="center"/>
          </w:tcPr>
          <w:p w14:paraId="04A6201F">
            <w:pPr>
              <w:snapToGrid w:val="0"/>
              <w:spacing w:line="300" w:lineRule="auto"/>
              <w:jc w:val="center"/>
              <w:rPr>
                <w:rFonts w:hint="eastAsia" w:ascii="宋体" w:hAnsi="宋体"/>
                <w:sz w:val="24"/>
                <w:szCs w:val="24"/>
              </w:rPr>
            </w:pPr>
            <w:r>
              <w:rPr>
                <w:rFonts w:hint="eastAsia" w:ascii="宋体" w:hAnsi="宋体"/>
                <w:sz w:val="24"/>
                <w:szCs w:val="24"/>
              </w:rPr>
              <w:t>4</w:t>
            </w:r>
          </w:p>
        </w:tc>
        <w:tc>
          <w:tcPr>
            <w:tcW w:w="1276" w:type="dxa"/>
            <w:tcBorders>
              <w:bottom w:val="single" w:color="auto" w:sz="4" w:space="0"/>
            </w:tcBorders>
            <w:vAlign w:val="center"/>
          </w:tcPr>
          <w:p w14:paraId="04A62020">
            <w:pPr>
              <w:snapToGrid w:val="0"/>
              <w:spacing w:line="300" w:lineRule="auto"/>
              <w:jc w:val="center"/>
              <w:rPr>
                <w:rFonts w:hint="eastAsia" w:ascii="宋体" w:hAnsi="宋体"/>
                <w:sz w:val="24"/>
                <w:szCs w:val="24"/>
              </w:rPr>
            </w:pPr>
            <w:r>
              <w:rPr>
                <w:rFonts w:hint="eastAsia" w:ascii="宋体" w:hAnsi="宋体"/>
                <w:sz w:val="24"/>
                <w:szCs w:val="24"/>
              </w:rPr>
              <w:t>5</w:t>
            </w:r>
          </w:p>
        </w:tc>
        <w:tc>
          <w:tcPr>
            <w:tcW w:w="1276" w:type="dxa"/>
            <w:tcBorders>
              <w:bottom w:val="single" w:color="auto" w:sz="4" w:space="0"/>
            </w:tcBorders>
            <w:vAlign w:val="center"/>
          </w:tcPr>
          <w:p w14:paraId="04A62021">
            <w:pPr>
              <w:snapToGrid w:val="0"/>
              <w:spacing w:line="300" w:lineRule="auto"/>
              <w:jc w:val="center"/>
              <w:rPr>
                <w:rFonts w:hint="eastAsia" w:ascii="宋体" w:hAnsi="宋体"/>
                <w:sz w:val="24"/>
                <w:szCs w:val="24"/>
              </w:rPr>
            </w:pPr>
            <w:r>
              <w:rPr>
                <w:rFonts w:hint="eastAsia" w:ascii="宋体" w:hAnsi="宋体"/>
                <w:sz w:val="24"/>
                <w:szCs w:val="24"/>
              </w:rPr>
              <w:t>6</w:t>
            </w:r>
          </w:p>
        </w:tc>
        <w:tc>
          <w:tcPr>
            <w:tcW w:w="1984" w:type="dxa"/>
            <w:tcBorders>
              <w:bottom w:val="single" w:color="auto" w:sz="4" w:space="0"/>
            </w:tcBorders>
            <w:vAlign w:val="center"/>
          </w:tcPr>
          <w:p w14:paraId="04A62022">
            <w:pPr>
              <w:snapToGrid w:val="0"/>
              <w:spacing w:line="300" w:lineRule="auto"/>
              <w:jc w:val="center"/>
              <w:rPr>
                <w:rFonts w:hint="eastAsia" w:ascii="宋体" w:hAnsi="宋体"/>
                <w:sz w:val="24"/>
                <w:szCs w:val="24"/>
              </w:rPr>
            </w:pPr>
            <w:r>
              <w:rPr>
                <w:rFonts w:hint="eastAsia" w:ascii="宋体" w:hAnsi="宋体"/>
                <w:sz w:val="24"/>
                <w:szCs w:val="24"/>
              </w:rPr>
              <w:t>7</w:t>
            </w:r>
          </w:p>
        </w:tc>
        <w:tc>
          <w:tcPr>
            <w:tcW w:w="1701" w:type="dxa"/>
            <w:tcBorders>
              <w:bottom w:val="single" w:color="auto" w:sz="4" w:space="0"/>
            </w:tcBorders>
            <w:vAlign w:val="center"/>
          </w:tcPr>
          <w:p w14:paraId="04A62023">
            <w:pPr>
              <w:snapToGrid w:val="0"/>
              <w:spacing w:line="300" w:lineRule="auto"/>
              <w:ind w:left="147"/>
              <w:jc w:val="center"/>
              <w:rPr>
                <w:rFonts w:hint="eastAsia" w:ascii="宋体" w:hAnsi="宋体"/>
                <w:sz w:val="24"/>
                <w:szCs w:val="24"/>
              </w:rPr>
            </w:pPr>
            <w:r>
              <w:rPr>
                <w:rFonts w:hint="eastAsia" w:ascii="宋体" w:hAnsi="宋体"/>
                <w:sz w:val="24"/>
                <w:szCs w:val="24"/>
              </w:rPr>
              <w:t>8</w:t>
            </w:r>
          </w:p>
        </w:tc>
        <w:tc>
          <w:tcPr>
            <w:tcW w:w="1418" w:type="dxa"/>
            <w:tcBorders>
              <w:bottom w:val="single" w:color="auto" w:sz="4" w:space="0"/>
            </w:tcBorders>
            <w:vAlign w:val="center"/>
          </w:tcPr>
          <w:p w14:paraId="04A62024">
            <w:pPr>
              <w:snapToGrid w:val="0"/>
              <w:spacing w:line="300" w:lineRule="auto"/>
              <w:ind w:left="162"/>
              <w:jc w:val="center"/>
              <w:rPr>
                <w:rFonts w:hint="eastAsia" w:ascii="宋体" w:hAnsi="宋体"/>
                <w:sz w:val="24"/>
                <w:szCs w:val="24"/>
              </w:rPr>
            </w:pPr>
            <w:r>
              <w:rPr>
                <w:rFonts w:hint="eastAsia" w:ascii="宋体" w:hAnsi="宋体"/>
                <w:sz w:val="24"/>
                <w:szCs w:val="24"/>
              </w:rPr>
              <w:t>9</w:t>
            </w:r>
          </w:p>
        </w:tc>
        <w:tc>
          <w:tcPr>
            <w:tcW w:w="1134" w:type="dxa"/>
            <w:tcBorders>
              <w:bottom w:val="single" w:color="auto" w:sz="4" w:space="0"/>
            </w:tcBorders>
            <w:vAlign w:val="center"/>
          </w:tcPr>
          <w:p w14:paraId="04A62025">
            <w:pPr>
              <w:snapToGrid w:val="0"/>
              <w:spacing w:line="300" w:lineRule="auto"/>
              <w:jc w:val="center"/>
              <w:rPr>
                <w:rFonts w:hint="eastAsia" w:ascii="宋体" w:hAnsi="宋体"/>
                <w:sz w:val="24"/>
                <w:szCs w:val="24"/>
              </w:rPr>
            </w:pPr>
            <w:r>
              <w:rPr>
                <w:rFonts w:hint="eastAsia" w:ascii="宋体" w:hAnsi="宋体"/>
                <w:sz w:val="24"/>
                <w:szCs w:val="24"/>
              </w:rPr>
              <w:t>10</w:t>
            </w:r>
          </w:p>
        </w:tc>
      </w:tr>
      <w:tr w14:paraId="04A62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0" w:hRule="atLeast"/>
        </w:trPr>
        <w:tc>
          <w:tcPr>
            <w:tcW w:w="927" w:type="dxa"/>
            <w:vAlign w:val="center"/>
          </w:tcPr>
          <w:p w14:paraId="04A62027">
            <w:pPr>
              <w:jc w:val="center"/>
              <w:rPr>
                <w:rFonts w:hint="eastAsia" w:ascii="宋体" w:hAnsi="宋体"/>
                <w:sz w:val="24"/>
                <w:szCs w:val="24"/>
              </w:rPr>
            </w:pPr>
            <w:r>
              <w:rPr>
                <w:rFonts w:ascii="宋体" w:hAnsi="宋体"/>
                <w:sz w:val="24"/>
                <w:szCs w:val="24"/>
              </w:rPr>
              <w:t>品 目</w:t>
            </w:r>
          </w:p>
          <w:p w14:paraId="04A62028">
            <w:pPr>
              <w:jc w:val="center"/>
              <w:rPr>
                <w:rFonts w:hint="eastAsia" w:ascii="宋体" w:hAnsi="宋体"/>
                <w:sz w:val="24"/>
                <w:szCs w:val="24"/>
              </w:rPr>
            </w:pPr>
            <w:r>
              <w:rPr>
                <w:rFonts w:ascii="宋体" w:hAnsi="宋体"/>
                <w:sz w:val="24"/>
                <w:szCs w:val="24"/>
              </w:rPr>
              <w:t>项 号</w:t>
            </w:r>
          </w:p>
        </w:tc>
        <w:tc>
          <w:tcPr>
            <w:tcW w:w="1947" w:type="dxa"/>
            <w:vAlign w:val="center"/>
          </w:tcPr>
          <w:p w14:paraId="04A62029">
            <w:pPr>
              <w:jc w:val="center"/>
              <w:rPr>
                <w:rFonts w:hint="eastAsia" w:ascii="宋体" w:hAnsi="宋体"/>
                <w:sz w:val="24"/>
                <w:szCs w:val="24"/>
              </w:rPr>
            </w:pPr>
            <w:r>
              <w:rPr>
                <w:rFonts w:ascii="宋体" w:hAnsi="宋体"/>
                <w:sz w:val="24"/>
                <w:szCs w:val="24"/>
              </w:rPr>
              <w:t>标的物名称</w:t>
            </w:r>
          </w:p>
          <w:p w14:paraId="04A6202A">
            <w:pPr>
              <w:jc w:val="center"/>
              <w:rPr>
                <w:rFonts w:hint="eastAsia" w:ascii="宋体" w:hAnsi="宋体"/>
                <w:sz w:val="24"/>
                <w:szCs w:val="24"/>
              </w:rPr>
            </w:pPr>
            <w:r>
              <w:rPr>
                <w:rFonts w:ascii="宋体" w:hAnsi="宋体"/>
                <w:sz w:val="24"/>
                <w:szCs w:val="24"/>
              </w:rPr>
              <w:t>型号规格</w:t>
            </w:r>
          </w:p>
        </w:tc>
        <w:tc>
          <w:tcPr>
            <w:tcW w:w="851" w:type="dxa"/>
            <w:vAlign w:val="center"/>
          </w:tcPr>
          <w:p w14:paraId="04A6202B">
            <w:pPr>
              <w:jc w:val="center"/>
              <w:rPr>
                <w:rFonts w:hint="eastAsia" w:ascii="宋体" w:hAnsi="宋体"/>
                <w:sz w:val="24"/>
                <w:szCs w:val="24"/>
              </w:rPr>
            </w:pPr>
            <w:r>
              <w:rPr>
                <w:rFonts w:ascii="宋体" w:hAnsi="宋体"/>
                <w:sz w:val="24"/>
                <w:szCs w:val="24"/>
              </w:rPr>
              <w:t>数量</w:t>
            </w:r>
          </w:p>
        </w:tc>
        <w:tc>
          <w:tcPr>
            <w:tcW w:w="1417" w:type="dxa"/>
            <w:vAlign w:val="center"/>
          </w:tcPr>
          <w:p w14:paraId="04A6202C">
            <w:pPr>
              <w:jc w:val="center"/>
              <w:rPr>
                <w:rFonts w:hint="eastAsia" w:ascii="宋体" w:hAnsi="宋体"/>
                <w:sz w:val="24"/>
                <w:szCs w:val="24"/>
              </w:rPr>
            </w:pPr>
            <w:r>
              <w:rPr>
                <w:rFonts w:hint="eastAsia" w:ascii="宋体" w:hAnsi="宋体"/>
                <w:sz w:val="24"/>
                <w:szCs w:val="24"/>
              </w:rPr>
              <w:t>分项总价</w:t>
            </w:r>
          </w:p>
        </w:tc>
        <w:tc>
          <w:tcPr>
            <w:tcW w:w="1276" w:type="dxa"/>
            <w:vAlign w:val="center"/>
          </w:tcPr>
          <w:p w14:paraId="04A6202D">
            <w:pPr>
              <w:jc w:val="center"/>
              <w:rPr>
                <w:rFonts w:hint="eastAsia" w:ascii="宋体" w:hAnsi="宋体"/>
                <w:sz w:val="24"/>
                <w:szCs w:val="24"/>
              </w:rPr>
            </w:pPr>
            <w:r>
              <w:rPr>
                <w:rFonts w:ascii="宋体" w:hAnsi="宋体"/>
                <w:sz w:val="24"/>
                <w:szCs w:val="24"/>
              </w:rPr>
              <w:t>包装费及</w:t>
            </w:r>
          </w:p>
          <w:p w14:paraId="04A6202E">
            <w:pPr>
              <w:jc w:val="center"/>
              <w:rPr>
                <w:rFonts w:hint="eastAsia" w:ascii="宋体" w:hAnsi="宋体"/>
                <w:sz w:val="24"/>
                <w:szCs w:val="24"/>
              </w:rPr>
            </w:pPr>
            <w:r>
              <w:rPr>
                <w:rFonts w:ascii="宋体" w:hAnsi="宋体"/>
                <w:sz w:val="24"/>
                <w:szCs w:val="24"/>
              </w:rPr>
              <w:t>运杂费</w:t>
            </w:r>
          </w:p>
        </w:tc>
        <w:tc>
          <w:tcPr>
            <w:tcW w:w="1276" w:type="dxa"/>
            <w:vAlign w:val="center"/>
          </w:tcPr>
          <w:p w14:paraId="04A6202F">
            <w:pPr>
              <w:jc w:val="center"/>
              <w:rPr>
                <w:rFonts w:hint="eastAsia" w:ascii="宋体" w:hAnsi="宋体"/>
                <w:sz w:val="24"/>
                <w:szCs w:val="24"/>
              </w:rPr>
            </w:pPr>
            <w:r>
              <w:rPr>
                <w:rFonts w:ascii="宋体" w:hAnsi="宋体"/>
                <w:sz w:val="24"/>
                <w:szCs w:val="24"/>
              </w:rPr>
              <w:t>运  输</w:t>
            </w:r>
          </w:p>
          <w:p w14:paraId="04A62030">
            <w:pPr>
              <w:jc w:val="center"/>
              <w:rPr>
                <w:rFonts w:hint="eastAsia" w:ascii="宋体" w:hAnsi="宋体"/>
                <w:sz w:val="24"/>
                <w:szCs w:val="24"/>
              </w:rPr>
            </w:pPr>
            <w:r>
              <w:rPr>
                <w:rFonts w:ascii="宋体" w:hAnsi="宋体"/>
                <w:sz w:val="24"/>
                <w:szCs w:val="24"/>
              </w:rPr>
              <w:t>保险费</w:t>
            </w:r>
          </w:p>
        </w:tc>
        <w:tc>
          <w:tcPr>
            <w:tcW w:w="1984" w:type="dxa"/>
            <w:vAlign w:val="center"/>
          </w:tcPr>
          <w:p w14:paraId="04A62031">
            <w:pPr>
              <w:jc w:val="center"/>
              <w:rPr>
                <w:rFonts w:hint="eastAsia" w:ascii="宋体" w:hAnsi="宋体"/>
                <w:sz w:val="24"/>
                <w:szCs w:val="24"/>
              </w:rPr>
            </w:pPr>
            <w:r>
              <w:rPr>
                <w:rFonts w:ascii="宋体" w:hAnsi="宋体"/>
                <w:sz w:val="24"/>
                <w:szCs w:val="24"/>
              </w:rPr>
              <w:t>指导安装调试检验及技术服务费</w:t>
            </w:r>
          </w:p>
        </w:tc>
        <w:tc>
          <w:tcPr>
            <w:tcW w:w="1701" w:type="dxa"/>
            <w:vAlign w:val="center"/>
          </w:tcPr>
          <w:p w14:paraId="04A62032">
            <w:pPr>
              <w:jc w:val="center"/>
              <w:rPr>
                <w:rFonts w:hint="eastAsia" w:ascii="宋体" w:hAnsi="宋体"/>
                <w:sz w:val="24"/>
                <w:szCs w:val="24"/>
              </w:rPr>
            </w:pPr>
            <w:r>
              <w:rPr>
                <w:rFonts w:ascii="宋体" w:hAnsi="宋体"/>
                <w:sz w:val="24"/>
                <w:szCs w:val="24"/>
              </w:rPr>
              <w:t>其它</w:t>
            </w:r>
          </w:p>
        </w:tc>
        <w:tc>
          <w:tcPr>
            <w:tcW w:w="1418" w:type="dxa"/>
            <w:vAlign w:val="center"/>
          </w:tcPr>
          <w:p w14:paraId="04A62033">
            <w:pPr>
              <w:jc w:val="center"/>
              <w:rPr>
                <w:rFonts w:hint="eastAsia" w:ascii="宋体" w:hAnsi="宋体"/>
                <w:sz w:val="24"/>
                <w:szCs w:val="24"/>
              </w:rPr>
            </w:pPr>
            <w:r>
              <w:rPr>
                <w:rFonts w:ascii="宋体" w:hAnsi="宋体"/>
                <w:sz w:val="24"/>
                <w:szCs w:val="24"/>
              </w:rPr>
              <w:t>总价</w:t>
            </w:r>
          </w:p>
        </w:tc>
        <w:tc>
          <w:tcPr>
            <w:tcW w:w="1134" w:type="dxa"/>
            <w:vAlign w:val="center"/>
          </w:tcPr>
          <w:p w14:paraId="04A62034">
            <w:pPr>
              <w:jc w:val="center"/>
              <w:rPr>
                <w:rFonts w:hint="eastAsia" w:ascii="宋体" w:hAnsi="宋体"/>
                <w:sz w:val="24"/>
                <w:szCs w:val="24"/>
              </w:rPr>
            </w:pPr>
            <w:r>
              <w:rPr>
                <w:rFonts w:ascii="宋体" w:hAnsi="宋体"/>
                <w:sz w:val="24"/>
                <w:szCs w:val="24"/>
              </w:rPr>
              <w:t>交货日期</w:t>
            </w:r>
          </w:p>
        </w:tc>
      </w:tr>
      <w:tr w14:paraId="04A62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trPr>
        <w:tc>
          <w:tcPr>
            <w:tcW w:w="927" w:type="dxa"/>
          </w:tcPr>
          <w:p w14:paraId="04A62036">
            <w:pPr>
              <w:snapToGrid w:val="0"/>
              <w:spacing w:after="120" w:line="300" w:lineRule="auto"/>
              <w:rPr>
                <w:rFonts w:hint="eastAsia" w:ascii="宋体" w:hAnsi="宋体"/>
                <w:sz w:val="24"/>
                <w:szCs w:val="24"/>
              </w:rPr>
            </w:pPr>
          </w:p>
        </w:tc>
        <w:tc>
          <w:tcPr>
            <w:tcW w:w="1947" w:type="dxa"/>
          </w:tcPr>
          <w:p w14:paraId="04A62037">
            <w:pPr>
              <w:snapToGrid w:val="0"/>
              <w:spacing w:after="120" w:line="300" w:lineRule="auto"/>
              <w:rPr>
                <w:rFonts w:hint="eastAsia" w:ascii="宋体" w:hAnsi="宋体"/>
                <w:sz w:val="24"/>
                <w:szCs w:val="24"/>
              </w:rPr>
            </w:pPr>
          </w:p>
        </w:tc>
        <w:tc>
          <w:tcPr>
            <w:tcW w:w="851" w:type="dxa"/>
          </w:tcPr>
          <w:p w14:paraId="04A62038">
            <w:pPr>
              <w:snapToGrid w:val="0"/>
              <w:spacing w:after="120" w:line="300" w:lineRule="auto"/>
              <w:rPr>
                <w:rFonts w:hint="eastAsia" w:ascii="宋体" w:hAnsi="宋体"/>
                <w:sz w:val="24"/>
                <w:szCs w:val="24"/>
              </w:rPr>
            </w:pPr>
          </w:p>
        </w:tc>
        <w:tc>
          <w:tcPr>
            <w:tcW w:w="1417" w:type="dxa"/>
          </w:tcPr>
          <w:p w14:paraId="04A62039">
            <w:pPr>
              <w:snapToGrid w:val="0"/>
              <w:spacing w:after="120" w:line="300" w:lineRule="auto"/>
              <w:rPr>
                <w:rFonts w:hint="eastAsia" w:ascii="宋体" w:hAnsi="宋体"/>
                <w:sz w:val="24"/>
                <w:szCs w:val="24"/>
              </w:rPr>
            </w:pPr>
          </w:p>
        </w:tc>
        <w:tc>
          <w:tcPr>
            <w:tcW w:w="1276" w:type="dxa"/>
            <w:vMerge w:val="restart"/>
          </w:tcPr>
          <w:p w14:paraId="04A6203A">
            <w:pPr>
              <w:snapToGrid w:val="0"/>
              <w:spacing w:after="120" w:line="300" w:lineRule="auto"/>
              <w:rPr>
                <w:rFonts w:hint="eastAsia" w:ascii="宋体" w:hAnsi="宋体"/>
                <w:sz w:val="24"/>
                <w:szCs w:val="24"/>
              </w:rPr>
            </w:pPr>
          </w:p>
        </w:tc>
        <w:tc>
          <w:tcPr>
            <w:tcW w:w="1276" w:type="dxa"/>
            <w:vMerge w:val="restart"/>
          </w:tcPr>
          <w:p w14:paraId="04A6203B">
            <w:pPr>
              <w:snapToGrid w:val="0"/>
              <w:spacing w:after="120" w:line="300" w:lineRule="auto"/>
              <w:rPr>
                <w:rFonts w:hint="eastAsia" w:ascii="宋体" w:hAnsi="宋体"/>
                <w:sz w:val="24"/>
                <w:szCs w:val="24"/>
              </w:rPr>
            </w:pPr>
          </w:p>
        </w:tc>
        <w:tc>
          <w:tcPr>
            <w:tcW w:w="1984" w:type="dxa"/>
            <w:vMerge w:val="restart"/>
          </w:tcPr>
          <w:p w14:paraId="04A6203C">
            <w:pPr>
              <w:snapToGrid w:val="0"/>
              <w:spacing w:after="120" w:line="300" w:lineRule="auto"/>
              <w:rPr>
                <w:rFonts w:hint="eastAsia" w:ascii="宋体" w:hAnsi="宋体"/>
                <w:sz w:val="24"/>
                <w:szCs w:val="24"/>
              </w:rPr>
            </w:pPr>
          </w:p>
        </w:tc>
        <w:tc>
          <w:tcPr>
            <w:tcW w:w="1701" w:type="dxa"/>
          </w:tcPr>
          <w:p w14:paraId="04A6203D">
            <w:pPr>
              <w:snapToGrid w:val="0"/>
              <w:spacing w:after="120" w:line="300" w:lineRule="auto"/>
              <w:rPr>
                <w:rFonts w:hint="eastAsia" w:ascii="宋体" w:hAnsi="宋体"/>
                <w:sz w:val="24"/>
                <w:szCs w:val="24"/>
              </w:rPr>
            </w:pPr>
          </w:p>
        </w:tc>
        <w:tc>
          <w:tcPr>
            <w:tcW w:w="1418" w:type="dxa"/>
          </w:tcPr>
          <w:p w14:paraId="04A6203E">
            <w:pPr>
              <w:snapToGrid w:val="0"/>
              <w:spacing w:after="120" w:line="300" w:lineRule="auto"/>
              <w:rPr>
                <w:rFonts w:hint="eastAsia" w:ascii="宋体" w:hAnsi="宋体"/>
                <w:sz w:val="24"/>
                <w:szCs w:val="24"/>
              </w:rPr>
            </w:pPr>
          </w:p>
        </w:tc>
        <w:tc>
          <w:tcPr>
            <w:tcW w:w="1134" w:type="dxa"/>
          </w:tcPr>
          <w:p w14:paraId="04A6203F">
            <w:pPr>
              <w:snapToGrid w:val="0"/>
              <w:spacing w:after="120" w:line="300" w:lineRule="auto"/>
              <w:rPr>
                <w:rFonts w:hint="eastAsia" w:ascii="宋体" w:hAnsi="宋体"/>
                <w:sz w:val="24"/>
                <w:szCs w:val="24"/>
              </w:rPr>
            </w:pPr>
          </w:p>
        </w:tc>
      </w:tr>
      <w:tr w14:paraId="04A62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927" w:type="dxa"/>
          </w:tcPr>
          <w:p w14:paraId="04A62041">
            <w:pPr>
              <w:snapToGrid w:val="0"/>
              <w:spacing w:after="120" w:line="300" w:lineRule="auto"/>
              <w:rPr>
                <w:rFonts w:hint="eastAsia" w:ascii="宋体" w:hAnsi="宋体"/>
                <w:sz w:val="24"/>
                <w:szCs w:val="24"/>
              </w:rPr>
            </w:pPr>
          </w:p>
        </w:tc>
        <w:tc>
          <w:tcPr>
            <w:tcW w:w="1947" w:type="dxa"/>
          </w:tcPr>
          <w:p w14:paraId="04A62042">
            <w:pPr>
              <w:snapToGrid w:val="0"/>
              <w:spacing w:after="120" w:line="300" w:lineRule="auto"/>
              <w:rPr>
                <w:rFonts w:hint="eastAsia" w:ascii="宋体" w:hAnsi="宋体"/>
                <w:sz w:val="24"/>
                <w:szCs w:val="24"/>
              </w:rPr>
            </w:pPr>
          </w:p>
        </w:tc>
        <w:tc>
          <w:tcPr>
            <w:tcW w:w="851" w:type="dxa"/>
          </w:tcPr>
          <w:p w14:paraId="04A62043">
            <w:pPr>
              <w:snapToGrid w:val="0"/>
              <w:spacing w:after="120" w:line="300" w:lineRule="auto"/>
              <w:rPr>
                <w:rFonts w:hint="eastAsia" w:ascii="宋体" w:hAnsi="宋体"/>
                <w:sz w:val="24"/>
                <w:szCs w:val="24"/>
              </w:rPr>
            </w:pPr>
          </w:p>
        </w:tc>
        <w:tc>
          <w:tcPr>
            <w:tcW w:w="1417" w:type="dxa"/>
          </w:tcPr>
          <w:p w14:paraId="04A62044">
            <w:pPr>
              <w:snapToGrid w:val="0"/>
              <w:spacing w:after="120" w:line="300" w:lineRule="auto"/>
              <w:rPr>
                <w:rFonts w:hint="eastAsia" w:ascii="宋体" w:hAnsi="宋体"/>
                <w:sz w:val="24"/>
                <w:szCs w:val="24"/>
              </w:rPr>
            </w:pPr>
          </w:p>
        </w:tc>
        <w:tc>
          <w:tcPr>
            <w:tcW w:w="1276" w:type="dxa"/>
            <w:vMerge w:val="continue"/>
          </w:tcPr>
          <w:p w14:paraId="04A62045">
            <w:pPr>
              <w:snapToGrid w:val="0"/>
              <w:spacing w:after="120" w:line="300" w:lineRule="auto"/>
              <w:rPr>
                <w:rFonts w:hint="eastAsia" w:ascii="宋体" w:hAnsi="宋体"/>
                <w:sz w:val="24"/>
                <w:szCs w:val="24"/>
              </w:rPr>
            </w:pPr>
          </w:p>
        </w:tc>
        <w:tc>
          <w:tcPr>
            <w:tcW w:w="1276" w:type="dxa"/>
            <w:vMerge w:val="continue"/>
          </w:tcPr>
          <w:p w14:paraId="04A62046">
            <w:pPr>
              <w:snapToGrid w:val="0"/>
              <w:spacing w:after="120" w:line="300" w:lineRule="auto"/>
              <w:rPr>
                <w:rFonts w:hint="eastAsia" w:ascii="宋体" w:hAnsi="宋体"/>
                <w:sz w:val="24"/>
                <w:szCs w:val="24"/>
              </w:rPr>
            </w:pPr>
          </w:p>
        </w:tc>
        <w:tc>
          <w:tcPr>
            <w:tcW w:w="1984" w:type="dxa"/>
            <w:vMerge w:val="continue"/>
          </w:tcPr>
          <w:p w14:paraId="04A62047">
            <w:pPr>
              <w:snapToGrid w:val="0"/>
              <w:spacing w:after="120" w:line="300" w:lineRule="auto"/>
              <w:rPr>
                <w:rFonts w:hint="eastAsia" w:ascii="宋体" w:hAnsi="宋体"/>
                <w:sz w:val="24"/>
                <w:szCs w:val="24"/>
              </w:rPr>
            </w:pPr>
          </w:p>
        </w:tc>
        <w:tc>
          <w:tcPr>
            <w:tcW w:w="1701" w:type="dxa"/>
          </w:tcPr>
          <w:p w14:paraId="04A62048">
            <w:pPr>
              <w:snapToGrid w:val="0"/>
              <w:spacing w:after="120" w:line="300" w:lineRule="auto"/>
              <w:rPr>
                <w:rFonts w:hint="eastAsia" w:ascii="宋体" w:hAnsi="宋体"/>
                <w:sz w:val="24"/>
                <w:szCs w:val="24"/>
              </w:rPr>
            </w:pPr>
          </w:p>
        </w:tc>
        <w:tc>
          <w:tcPr>
            <w:tcW w:w="1418" w:type="dxa"/>
          </w:tcPr>
          <w:p w14:paraId="04A62049">
            <w:pPr>
              <w:snapToGrid w:val="0"/>
              <w:spacing w:after="120" w:line="300" w:lineRule="auto"/>
              <w:rPr>
                <w:rFonts w:hint="eastAsia" w:ascii="宋体" w:hAnsi="宋体"/>
                <w:sz w:val="24"/>
                <w:szCs w:val="24"/>
              </w:rPr>
            </w:pPr>
          </w:p>
        </w:tc>
        <w:tc>
          <w:tcPr>
            <w:tcW w:w="1134" w:type="dxa"/>
          </w:tcPr>
          <w:p w14:paraId="04A6204A">
            <w:pPr>
              <w:snapToGrid w:val="0"/>
              <w:spacing w:after="120" w:line="300" w:lineRule="auto"/>
              <w:rPr>
                <w:rFonts w:hint="eastAsia" w:ascii="宋体" w:hAnsi="宋体"/>
                <w:sz w:val="24"/>
                <w:szCs w:val="24"/>
              </w:rPr>
            </w:pPr>
          </w:p>
        </w:tc>
      </w:tr>
      <w:tr w14:paraId="04A62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rPr>
        <w:tc>
          <w:tcPr>
            <w:tcW w:w="927" w:type="dxa"/>
          </w:tcPr>
          <w:p w14:paraId="04A6204C">
            <w:pPr>
              <w:snapToGrid w:val="0"/>
              <w:spacing w:after="120" w:line="300" w:lineRule="auto"/>
              <w:rPr>
                <w:rFonts w:hint="eastAsia" w:ascii="宋体" w:hAnsi="宋体"/>
                <w:sz w:val="24"/>
                <w:szCs w:val="24"/>
              </w:rPr>
            </w:pPr>
          </w:p>
        </w:tc>
        <w:tc>
          <w:tcPr>
            <w:tcW w:w="1947" w:type="dxa"/>
          </w:tcPr>
          <w:p w14:paraId="04A6204D">
            <w:pPr>
              <w:snapToGrid w:val="0"/>
              <w:spacing w:after="120" w:line="300" w:lineRule="auto"/>
              <w:rPr>
                <w:rFonts w:hint="eastAsia" w:ascii="宋体" w:hAnsi="宋体"/>
                <w:sz w:val="24"/>
                <w:szCs w:val="24"/>
              </w:rPr>
            </w:pPr>
          </w:p>
        </w:tc>
        <w:tc>
          <w:tcPr>
            <w:tcW w:w="851" w:type="dxa"/>
          </w:tcPr>
          <w:p w14:paraId="04A6204E">
            <w:pPr>
              <w:snapToGrid w:val="0"/>
              <w:spacing w:after="120" w:line="300" w:lineRule="auto"/>
              <w:rPr>
                <w:rFonts w:hint="eastAsia" w:ascii="宋体" w:hAnsi="宋体"/>
                <w:sz w:val="24"/>
                <w:szCs w:val="24"/>
              </w:rPr>
            </w:pPr>
          </w:p>
        </w:tc>
        <w:tc>
          <w:tcPr>
            <w:tcW w:w="1417" w:type="dxa"/>
          </w:tcPr>
          <w:p w14:paraId="04A6204F">
            <w:pPr>
              <w:snapToGrid w:val="0"/>
              <w:spacing w:after="120" w:line="300" w:lineRule="auto"/>
              <w:rPr>
                <w:rFonts w:hint="eastAsia" w:ascii="宋体" w:hAnsi="宋体"/>
                <w:sz w:val="24"/>
                <w:szCs w:val="24"/>
              </w:rPr>
            </w:pPr>
          </w:p>
        </w:tc>
        <w:tc>
          <w:tcPr>
            <w:tcW w:w="1276" w:type="dxa"/>
            <w:vMerge w:val="continue"/>
          </w:tcPr>
          <w:p w14:paraId="04A62050">
            <w:pPr>
              <w:snapToGrid w:val="0"/>
              <w:spacing w:after="120" w:line="300" w:lineRule="auto"/>
              <w:rPr>
                <w:rFonts w:hint="eastAsia" w:ascii="宋体" w:hAnsi="宋体"/>
                <w:sz w:val="24"/>
                <w:szCs w:val="24"/>
              </w:rPr>
            </w:pPr>
          </w:p>
        </w:tc>
        <w:tc>
          <w:tcPr>
            <w:tcW w:w="1276" w:type="dxa"/>
            <w:vMerge w:val="continue"/>
          </w:tcPr>
          <w:p w14:paraId="04A62051">
            <w:pPr>
              <w:snapToGrid w:val="0"/>
              <w:spacing w:after="120" w:line="300" w:lineRule="auto"/>
              <w:rPr>
                <w:rFonts w:hint="eastAsia" w:ascii="宋体" w:hAnsi="宋体"/>
                <w:sz w:val="24"/>
                <w:szCs w:val="24"/>
              </w:rPr>
            </w:pPr>
          </w:p>
        </w:tc>
        <w:tc>
          <w:tcPr>
            <w:tcW w:w="1984" w:type="dxa"/>
            <w:vMerge w:val="continue"/>
          </w:tcPr>
          <w:p w14:paraId="04A62052">
            <w:pPr>
              <w:snapToGrid w:val="0"/>
              <w:spacing w:after="120" w:line="300" w:lineRule="auto"/>
              <w:rPr>
                <w:rFonts w:hint="eastAsia" w:ascii="宋体" w:hAnsi="宋体"/>
                <w:sz w:val="24"/>
                <w:szCs w:val="24"/>
              </w:rPr>
            </w:pPr>
          </w:p>
        </w:tc>
        <w:tc>
          <w:tcPr>
            <w:tcW w:w="1701" w:type="dxa"/>
          </w:tcPr>
          <w:p w14:paraId="04A62053">
            <w:pPr>
              <w:snapToGrid w:val="0"/>
              <w:spacing w:after="120" w:line="300" w:lineRule="auto"/>
              <w:rPr>
                <w:rFonts w:hint="eastAsia" w:ascii="宋体" w:hAnsi="宋体"/>
                <w:sz w:val="24"/>
                <w:szCs w:val="24"/>
              </w:rPr>
            </w:pPr>
          </w:p>
        </w:tc>
        <w:tc>
          <w:tcPr>
            <w:tcW w:w="1418" w:type="dxa"/>
          </w:tcPr>
          <w:p w14:paraId="04A62054">
            <w:pPr>
              <w:snapToGrid w:val="0"/>
              <w:spacing w:after="120" w:line="300" w:lineRule="auto"/>
              <w:rPr>
                <w:rFonts w:hint="eastAsia" w:ascii="宋体" w:hAnsi="宋体"/>
                <w:sz w:val="24"/>
                <w:szCs w:val="24"/>
              </w:rPr>
            </w:pPr>
          </w:p>
        </w:tc>
        <w:tc>
          <w:tcPr>
            <w:tcW w:w="1134" w:type="dxa"/>
          </w:tcPr>
          <w:p w14:paraId="04A62055">
            <w:pPr>
              <w:snapToGrid w:val="0"/>
              <w:spacing w:after="120" w:line="300" w:lineRule="auto"/>
              <w:rPr>
                <w:rFonts w:hint="eastAsia" w:ascii="宋体" w:hAnsi="宋体"/>
                <w:sz w:val="24"/>
                <w:szCs w:val="24"/>
              </w:rPr>
            </w:pPr>
          </w:p>
        </w:tc>
      </w:tr>
      <w:tr w14:paraId="04A62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rPr>
        <w:tc>
          <w:tcPr>
            <w:tcW w:w="11379" w:type="dxa"/>
            <w:gridSpan w:val="8"/>
          </w:tcPr>
          <w:p w14:paraId="04A62057">
            <w:pPr>
              <w:snapToGrid w:val="0"/>
              <w:spacing w:after="120" w:line="300" w:lineRule="auto"/>
              <w:jc w:val="center"/>
              <w:rPr>
                <w:rFonts w:hint="eastAsia" w:ascii="宋体" w:hAnsi="宋体"/>
                <w:sz w:val="24"/>
                <w:szCs w:val="24"/>
              </w:rPr>
            </w:pPr>
            <w:r>
              <w:rPr>
                <w:rFonts w:hint="eastAsia" w:ascii="宋体" w:hAnsi="宋体"/>
                <w:sz w:val="24"/>
                <w:szCs w:val="24"/>
              </w:rPr>
              <w:t>合计：</w:t>
            </w:r>
          </w:p>
        </w:tc>
        <w:tc>
          <w:tcPr>
            <w:tcW w:w="1418" w:type="dxa"/>
          </w:tcPr>
          <w:p w14:paraId="04A62058">
            <w:pPr>
              <w:snapToGrid w:val="0"/>
              <w:spacing w:after="120" w:line="300" w:lineRule="auto"/>
              <w:rPr>
                <w:rFonts w:hint="eastAsia" w:ascii="宋体" w:hAnsi="宋体"/>
                <w:sz w:val="24"/>
                <w:szCs w:val="24"/>
              </w:rPr>
            </w:pPr>
          </w:p>
        </w:tc>
        <w:tc>
          <w:tcPr>
            <w:tcW w:w="1134" w:type="dxa"/>
          </w:tcPr>
          <w:p w14:paraId="04A62059">
            <w:pPr>
              <w:snapToGrid w:val="0"/>
              <w:spacing w:after="120" w:line="300" w:lineRule="auto"/>
              <w:rPr>
                <w:rFonts w:hint="eastAsia" w:ascii="宋体" w:hAnsi="宋体"/>
                <w:sz w:val="24"/>
                <w:szCs w:val="24"/>
              </w:rPr>
            </w:pPr>
          </w:p>
        </w:tc>
      </w:tr>
    </w:tbl>
    <w:p w14:paraId="04A6205B">
      <w:pPr>
        <w:snapToGrid w:val="0"/>
        <w:spacing w:after="120"/>
        <w:ind w:left="1097" w:leftChars="118" w:hanging="849"/>
        <w:rPr>
          <w:rFonts w:hint="eastAsia" w:ascii="宋体" w:hAnsi="宋体"/>
          <w:sz w:val="24"/>
          <w:szCs w:val="24"/>
        </w:rPr>
      </w:pPr>
      <w:r>
        <w:rPr>
          <w:rFonts w:ascii="宋体" w:hAnsi="宋体"/>
          <w:sz w:val="24"/>
          <w:szCs w:val="24"/>
        </w:rPr>
        <w:t>注：</w:t>
      </w:r>
    </w:p>
    <w:p w14:paraId="04A6205C">
      <w:pPr>
        <w:snapToGrid w:val="0"/>
        <w:spacing w:after="120"/>
        <w:ind w:left="420"/>
        <w:rPr>
          <w:rFonts w:hint="eastAsia" w:ascii="宋体" w:hAnsi="宋体"/>
          <w:sz w:val="24"/>
          <w:szCs w:val="24"/>
        </w:rPr>
      </w:pPr>
      <w:r>
        <w:rPr>
          <w:rFonts w:ascii="宋体" w:hAnsi="宋体"/>
          <w:sz w:val="24"/>
          <w:szCs w:val="24"/>
        </w:rPr>
        <w:t>第</w:t>
      </w:r>
      <w:r>
        <w:rPr>
          <w:rFonts w:hint="eastAsia" w:ascii="宋体" w:hAnsi="宋体"/>
          <w:sz w:val="24"/>
          <w:szCs w:val="24"/>
        </w:rPr>
        <w:t>九</w:t>
      </w:r>
      <w:r>
        <w:rPr>
          <w:rFonts w:ascii="宋体" w:hAnsi="宋体"/>
          <w:sz w:val="24"/>
          <w:szCs w:val="24"/>
        </w:rPr>
        <w:t>栏总价=4</w:t>
      </w:r>
      <w:r>
        <w:rPr>
          <w:rFonts w:hint="eastAsia" w:ascii="宋体" w:hAnsi="宋体"/>
          <w:sz w:val="24"/>
          <w:szCs w:val="24"/>
        </w:rPr>
        <w:t>+</w:t>
      </w:r>
      <w:r>
        <w:rPr>
          <w:rFonts w:ascii="宋体" w:hAnsi="宋体"/>
          <w:sz w:val="24"/>
          <w:szCs w:val="24"/>
        </w:rPr>
        <w:t>5+6+7+8项。如果按单价计算的结果与总价不一致，</w:t>
      </w:r>
      <w:r>
        <w:rPr>
          <w:rFonts w:hint="eastAsia" w:ascii="宋体" w:hAnsi="宋体"/>
          <w:sz w:val="24"/>
          <w:szCs w:val="24"/>
        </w:rPr>
        <w:t>按招标文件16.2条规定处理</w:t>
      </w:r>
      <w:r>
        <w:rPr>
          <w:rFonts w:ascii="宋体" w:hAnsi="宋体"/>
          <w:sz w:val="24"/>
          <w:szCs w:val="24"/>
        </w:rPr>
        <w:t>。</w:t>
      </w:r>
    </w:p>
    <w:p w14:paraId="04A6205D">
      <w:pPr>
        <w:spacing w:line="360" w:lineRule="auto"/>
        <w:rPr>
          <w:rFonts w:hint="eastAsia" w:ascii="宋体" w:hAnsi="宋体"/>
          <w:sz w:val="24"/>
          <w:szCs w:val="24"/>
        </w:rPr>
      </w:pPr>
      <w:r>
        <w:rPr>
          <w:rFonts w:ascii="宋体" w:hAnsi="宋体"/>
          <w:sz w:val="24"/>
          <w:szCs w:val="24"/>
        </w:rPr>
        <w:t>投标人盖章：</w:t>
      </w:r>
      <w:r>
        <w:rPr>
          <w:rFonts w:hint="eastAsia" w:ascii="宋体" w:hAnsi="宋体" w:cs="宋体"/>
          <w:kern w:val="0"/>
          <w:sz w:val="24"/>
          <w:szCs w:val="24"/>
          <w:u w:val="single"/>
        </w:rPr>
        <w:t xml:space="preserve">                         </w:t>
      </w:r>
    </w:p>
    <w:p w14:paraId="04A6205E">
      <w:pPr>
        <w:spacing w:line="360" w:lineRule="auto"/>
        <w:rPr>
          <w:rFonts w:hint="eastAsia" w:ascii="宋体" w:hAnsi="宋体"/>
          <w:sz w:val="24"/>
          <w:szCs w:val="24"/>
        </w:rPr>
      </w:pPr>
      <w:r>
        <w:rPr>
          <w:rFonts w:ascii="宋体" w:hAnsi="宋体"/>
          <w:sz w:val="24"/>
          <w:szCs w:val="24"/>
        </w:rPr>
        <w:t>授权代表签字：</w:t>
      </w:r>
      <w:r>
        <w:rPr>
          <w:rFonts w:hint="eastAsia" w:ascii="宋体" w:hAnsi="宋体" w:cs="宋体"/>
          <w:kern w:val="0"/>
          <w:sz w:val="24"/>
          <w:szCs w:val="24"/>
          <w:u w:val="single"/>
        </w:rPr>
        <w:t xml:space="preserve">                       </w:t>
      </w:r>
    </w:p>
    <w:p w14:paraId="04A6205F">
      <w:pPr>
        <w:jc w:val="center"/>
        <w:rPr>
          <w:rFonts w:hint="eastAsia" w:ascii="宋体" w:hAnsi="宋体"/>
          <w:b/>
          <w:sz w:val="24"/>
          <w:szCs w:val="24"/>
        </w:rPr>
        <w:sectPr>
          <w:pgSz w:w="16840" w:h="11907" w:orient="landscape"/>
          <w:pgMar w:top="1797" w:right="1440" w:bottom="1402" w:left="1440" w:header="567" w:footer="992" w:gutter="0"/>
          <w:pgNumType w:chapStyle="1"/>
          <w:cols w:space="720" w:num="1"/>
          <w:docGrid w:type="lines" w:linePitch="312" w:charSpace="0"/>
        </w:sectPr>
      </w:pPr>
    </w:p>
    <w:p w14:paraId="04A62060">
      <w:pPr>
        <w:jc w:val="left"/>
        <w:rPr>
          <w:rFonts w:hint="eastAsia" w:ascii="宋体" w:hAnsi="宋体"/>
          <w:b/>
          <w:sz w:val="24"/>
          <w:szCs w:val="24"/>
        </w:rPr>
      </w:pPr>
      <w:bookmarkStart w:id="73" w:name="商务差异表"/>
      <w:r>
        <w:rPr>
          <w:rFonts w:ascii="宋体" w:hAnsi="宋体"/>
          <w:sz w:val="24"/>
          <w:szCs w:val="24"/>
        </w:rPr>
        <w:tab/>
      </w:r>
      <w:r>
        <w:rPr>
          <w:rFonts w:ascii="宋体" w:hAnsi="宋体"/>
          <w:b/>
          <w:sz w:val="24"/>
          <w:szCs w:val="24"/>
        </w:rPr>
        <w:t>附件3</w:t>
      </w:r>
      <w:r>
        <w:rPr>
          <w:rFonts w:hint="eastAsia" w:ascii="宋体" w:hAnsi="宋体"/>
          <w:b/>
          <w:sz w:val="24"/>
          <w:szCs w:val="24"/>
        </w:rPr>
        <w:t>-1</w:t>
      </w:r>
    </w:p>
    <w:p w14:paraId="04A62061">
      <w:pPr>
        <w:pStyle w:val="3"/>
        <w:rPr>
          <w:rFonts w:hint="eastAsia" w:ascii="宋体" w:hAnsi="宋体" w:eastAsia="宋体"/>
          <w:sz w:val="24"/>
          <w:szCs w:val="24"/>
        </w:rPr>
      </w:pPr>
      <w:bookmarkStart w:id="74" w:name="_Toc161131011"/>
      <w:bookmarkStart w:id="75" w:name="_Toc441676676"/>
      <w:r>
        <w:rPr>
          <w:rFonts w:ascii="宋体" w:hAnsi="宋体" w:eastAsia="宋体"/>
          <w:sz w:val="24"/>
          <w:szCs w:val="24"/>
        </w:rPr>
        <w:t>商务</w:t>
      </w:r>
      <w:r>
        <w:rPr>
          <w:rFonts w:hint="eastAsia" w:ascii="宋体" w:hAnsi="宋体" w:eastAsia="宋体"/>
          <w:sz w:val="24"/>
          <w:szCs w:val="24"/>
        </w:rPr>
        <w:t>差异</w:t>
      </w:r>
      <w:r>
        <w:rPr>
          <w:rFonts w:ascii="宋体" w:hAnsi="宋体" w:eastAsia="宋体"/>
          <w:sz w:val="24"/>
          <w:szCs w:val="24"/>
        </w:rPr>
        <w:t>表</w:t>
      </w:r>
      <w:bookmarkEnd w:id="74"/>
      <w:bookmarkEnd w:id="75"/>
    </w:p>
    <w:bookmarkEnd w:id="73"/>
    <w:p w14:paraId="04A62062">
      <w:pPr>
        <w:jc w:val="center"/>
        <w:rPr>
          <w:rFonts w:hint="eastAsia" w:ascii="宋体" w:hAnsi="宋体"/>
          <w:sz w:val="24"/>
          <w:szCs w:val="24"/>
        </w:rPr>
      </w:pPr>
    </w:p>
    <w:tbl>
      <w:tblPr>
        <w:tblStyle w:val="21"/>
        <w:tblW w:w="91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2"/>
        <w:gridCol w:w="1373"/>
        <w:gridCol w:w="2112"/>
        <w:gridCol w:w="2976"/>
        <w:gridCol w:w="1373"/>
      </w:tblGrid>
      <w:tr w14:paraId="04A62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exact"/>
        </w:trPr>
        <w:tc>
          <w:tcPr>
            <w:tcW w:w="1282" w:type="dxa"/>
            <w:vAlign w:val="center"/>
          </w:tcPr>
          <w:p w14:paraId="04A62063">
            <w:pPr>
              <w:adjustRightInd w:val="0"/>
              <w:snapToGrid w:val="0"/>
              <w:jc w:val="center"/>
              <w:rPr>
                <w:rFonts w:hint="eastAsia" w:ascii="宋体" w:hAnsi="宋体"/>
                <w:b/>
                <w:sz w:val="24"/>
                <w:szCs w:val="24"/>
              </w:rPr>
            </w:pPr>
            <w:r>
              <w:rPr>
                <w:rFonts w:ascii="宋体" w:hAnsi="宋体"/>
                <w:b/>
                <w:sz w:val="24"/>
                <w:szCs w:val="24"/>
              </w:rPr>
              <w:t>序号</w:t>
            </w:r>
          </w:p>
        </w:tc>
        <w:tc>
          <w:tcPr>
            <w:tcW w:w="1373" w:type="dxa"/>
            <w:vAlign w:val="center"/>
          </w:tcPr>
          <w:p w14:paraId="04A62064">
            <w:pPr>
              <w:adjustRightInd w:val="0"/>
              <w:snapToGrid w:val="0"/>
              <w:jc w:val="center"/>
              <w:rPr>
                <w:rFonts w:hint="eastAsia" w:ascii="宋体" w:hAnsi="宋体"/>
                <w:b/>
                <w:sz w:val="24"/>
                <w:szCs w:val="24"/>
              </w:rPr>
            </w:pPr>
            <w:r>
              <w:rPr>
                <w:rFonts w:ascii="宋体" w:hAnsi="宋体"/>
                <w:b/>
                <w:sz w:val="24"/>
                <w:szCs w:val="24"/>
              </w:rPr>
              <w:t>条款</w:t>
            </w:r>
          </w:p>
        </w:tc>
        <w:tc>
          <w:tcPr>
            <w:tcW w:w="2112" w:type="dxa"/>
            <w:vAlign w:val="center"/>
          </w:tcPr>
          <w:p w14:paraId="04A62065">
            <w:pPr>
              <w:adjustRightInd w:val="0"/>
              <w:snapToGrid w:val="0"/>
              <w:jc w:val="center"/>
              <w:rPr>
                <w:rFonts w:hint="eastAsia" w:ascii="宋体" w:hAnsi="宋体"/>
                <w:b/>
                <w:sz w:val="24"/>
                <w:szCs w:val="24"/>
              </w:rPr>
            </w:pPr>
            <w:r>
              <w:rPr>
                <w:rFonts w:ascii="宋体" w:hAnsi="宋体"/>
                <w:b/>
                <w:sz w:val="24"/>
                <w:szCs w:val="24"/>
              </w:rPr>
              <w:t>招标文件要求</w:t>
            </w:r>
          </w:p>
        </w:tc>
        <w:tc>
          <w:tcPr>
            <w:tcW w:w="2976" w:type="dxa"/>
            <w:vAlign w:val="center"/>
          </w:tcPr>
          <w:p w14:paraId="04A62066">
            <w:pPr>
              <w:adjustRightInd w:val="0"/>
              <w:snapToGrid w:val="0"/>
              <w:jc w:val="center"/>
              <w:rPr>
                <w:rFonts w:hint="eastAsia" w:ascii="宋体" w:hAnsi="宋体"/>
                <w:b/>
                <w:sz w:val="24"/>
                <w:szCs w:val="24"/>
              </w:rPr>
            </w:pPr>
            <w:r>
              <w:rPr>
                <w:rFonts w:ascii="宋体" w:hAnsi="宋体"/>
                <w:b/>
                <w:sz w:val="24"/>
                <w:szCs w:val="24"/>
              </w:rPr>
              <w:t>投标文件响应</w:t>
            </w:r>
          </w:p>
        </w:tc>
        <w:tc>
          <w:tcPr>
            <w:tcW w:w="1373" w:type="dxa"/>
            <w:vAlign w:val="center"/>
          </w:tcPr>
          <w:p w14:paraId="04A62067">
            <w:pPr>
              <w:adjustRightInd w:val="0"/>
              <w:snapToGrid w:val="0"/>
              <w:jc w:val="center"/>
              <w:rPr>
                <w:rFonts w:hint="eastAsia" w:ascii="宋体" w:hAnsi="宋体"/>
                <w:b/>
                <w:sz w:val="24"/>
                <w:szCs w:val="24"/>
              </w:rPr>
            </w:pPr>
            <w:r>
              <w:rPr>
                <w:rFonts w:ascii="宋体" w:hAnsi="宋体"/>
                <w:b/>
                <w:sz w:val="24"/>
                <w:szCs w:val="24"/>
              </w:rPr>
              <w:t>备注</w:t>
            </w:r>
          </w:p>
        </w:tc>
      </w:tr>
      <w:tr w14:paraId="04A62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04A62069">
            <w:pPr>
              <w:jc w:val="center"/>
              <w:rPr>
                <w:rFonts w:hint="eastAsia" w:ascii="宋体" w:hAnsi="宋体"/>
                <w:sz w:val="24"/>
                <w:szCs w:val="24"/>
              </w:rPr>
            </w:pPr>
          </w:p>
        </w:tc>
        <w:tc>
          <w:tcPr>
            <w:tcW w:w="1373" w:type="dxa"/>
            <w:vAlign w:val="center"/>
          </w:tcPr>
          <w:p w14:paraId="04A6206A">
            <w:pPr>
              <w:jc w:val="center"/>
              <w:rPr>
                <w:rFonts w:hint="eastAsia" w:ascii="宋体" w:hAnsi="宋体"/>
                <w:sz w:val="24"/>
                <w:szCs w:val="24"/>
              </w:rPr>
            </w:pPr>
          </w:p>
        </w:tc>
        <w:tc>
          <w:tcPr>
            <w:tcW w:w="2112" w:type="dxa"/>
            <w:vAlign w:val="center"/>
          </w:tcPr>
          <w:p w14:paraId="04A6206B">
            <w:pPr>
              <w:jc w:val="center"/>
              <w:rPr>
                <w:rFonts w:hint="eastAsia" w:ascii="宋体" w:hAnsi="宋体"/>
                <w:sz w:val="24"/>
                <w:szCs w:val="24"/>
              </w:rPr>
            </w:pPr>
          </w:p>
        </w:tc>
        <w:tc>
          <w:tcPr>
            <w:tcW w:w="2976" w:type="dxa"/>
            <w:vAlign w:val="center"/>
          </w:tcPr>
          <w:p w14:paraId="04A6206C">
            <w:pPr>
              <w:jc w:val="center"/>
              <w:rPr>
                <w:rFonts w:hint="eastAsia" w:ascii="宋体" w:hAnsi="宋体"/>
                <w:sz w:val="24"/>
                <w:szCs w:val="24"/>
              </w:rPr>
            </w:pPr>
          </w:p>
        </w:tc>
        <w:tc>
          <w:tcPr>
            <w:tcW w:w="1373" w:type="dxa"/>
            <w:vAlign w:val="center"/>
          </w:tcPr>
          <w:p w14:paraId="04A6206D">
            <w:pPr>
              <w:jc w:val="center"/>
              <w:rPr>
                <w:rFonts w:hint="eastAsia" w:ascii="宋体" w:hAnsi="宋体"/>
                <w:sz w:val="24"/>
                <w:szCs w:val="24"/>
              </w:rPr>
            </w:pPr>
          </w:p>
        </w:tc>
      </w:tr>
      <w:tr w14:paraId="04A62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04A6206F">
            <w:pPr>
              <w:jc w:val="center"/>
              <w:rPr>
                <w:rFonts w:hint="eastAsia" w:ascii="宋体" w:hAnsi="宋体"/>
                <w:sz w:val="24"/>
                <w:szCs w:val="24"/>
              </w:rPr>
            </w:pPr>
          </w:p>
        </w:tc>
        <w:tc>
          <w:tcPr>
            <w:tcW w:w="1373" w:type="dxa"/>
            <w:vAlign w:val="center"/>
          </w:tcPr>
          <w:p w14:paraId="04A62070">
            <w:pPr>
              <w:jc w:val="center"/>
              <w:rPr>
                <w:rFonts w:hint="eastAsia" w:ascii="宋体" w:hAnsi="宋体"/>
                <w:sz w:val="24"/>
                <w:szCs w:val="24"/>
              </w:rPr>
            </w:pPr>
          </w:p>
        </w:tc>
        <w:tc>
          <w:tcPr>
            <w:tcW w:w="2112" w:type="dxa"/>
            <w:vAlign w:val="center"/>
          </w:tcPr>
          <w:p w14:paraId="04A62071">
            <w:pPr>
              <w:jc w:val="center"/>
              <w:rPr>
                <w:rFonts w:hint="eastAsia" w:ascii="宋体" w:hAnsi="宋体"/>
                <w:sz w:val="24"/>
                <w:szCs w:val="24"/>
              </w:rPr>
            </w:pPr>
          </w:p>
        </w:tc>
        <w:tc>
          <w:tcPr>
            <w:tcW w:w="2976" w:type="dxa"/>
            <w:vAlign w:val="center"/>
          </w:tcPr>
          <w:p w14:paraId="04A62072">
            <w:pPr>
              <w:jc w:val="center"/>
              <w:rPr>
                <w:rFonts w:hint="eastAsia" w:ascii="宋体" w:hAnsi="宋体"/>
                <w:sz w:val="24"/>
                <w:szCs w:val="24"/>
              </w:rPr>
            </w:pPr>
          </w:p>
        </w:tc>
        <w:tc>
          <w:tcPr>
            <w:tcW w:w="1373" w:type="dxa"/>
            <w:vAlign w:val="center"/>
          </w:tcPr>
          <w:p w14:paraId="04A62073">
            <w:pPr>
              <w:jc w:val="center"/>
              <w:rPr>
                <w:rFonts w:hint="eastAsia" w:ascii="宋体" w:hAnsi="宋体"/>
                <w:sz w:val="24"/>
                <w:szCs w:val="24"/>
              </w:rPr>
            </w:pPr>
          </w:p>
        </w:tc>
      </w:tr>
      <w:tr w14:paraId="04A62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04A62075">
            <w:pPr>
              <w:jc w:val="center"/>
              <w:rPr>
                <w:rFonts w:hint="eastAsia" w:ascii="宋体" w:hAnsi="宋体"/>
                <w:sz w:val="24"/>
                <w:szCs w:val="24"/>
              </w:rPr>
            </w:pPr>
          </w:p>
        </w:tc>
        <w:tc>
          <w:tcPr>
            <w:tcW w:w="1373" w:type="dxa"/>
            <w:vAlign w:val="center"/>
          </w:tcPr>
          <w:p w14:paraId="04A62076">
            <w:pPr>
              <w:jc w:val="center"/>
              <w:rPr>
                <w:rFonts w:hint="eastAsia" w:ascii="宋体" w:hAnsi="宋体"/>
                <w:sz w:val="24"/>
                <w:szCs w:val="24"/>
              </w:rPr>
            </w:pPr>
          </w:p>
        </w:tc>
        <w:tc>
          <w:tcPr>
            <w:tcW w:w="2112" w:type="dxa"/>
            <w:vAlign w:val="center"/>
          </w:tcPr>
          <w:p w14:paraId="04A62077">
            <w:pPr>
              <w:jc w:val="center"/>
              <w:rPr>
                <w:rFonts w:hint="eastAsia" w:ascii="宋体" w:hAnsi="宋体"/>
                <w:sz w:val="24"/>
                <w:szCs w:val="24"/>
              </w:rPr>
            </w:pPr>
          </w:p>
        </w:tc>
        <w:tc>
          <w:tcPr>
            <w:tcW w:w="2976" w:type="dxa"/>
            <w:vAlign w:val="center"/>
          </w:tcPr>
          <w:p w14:paraId="04A62078">
            <w:pPr>
              <w:jc w:val="center"/>
              <w:rPr>
                <w:rFonts w:hint="eastAsia" w:ascii="宋体" w:hAnsi="宋体"/>
                <w:sz w:val="24"/>
                <w:szCs w:val="24"/>
              </w:rPr>
            </w:pPr>
          </w:p>
        </w:tc>
        <w:tc>
          <w:tcPr>
            <w:tcW w:w="1373" w:type="dxa"/>
            <w:vAlign w:val="center"/>
          </w:tcPr>
          <w:p w14:paraId="04A62079">
            <w:pPr>
              <w:jc w:val="center"/>
              <w:rPr>
                <w:rFonts w:hint="eastAsia" w:ascii="宋体" w:hAnsi="宋体"/>
                <w:sz w:val="24"/>
                <w:szCs w:val="24"/>
              </w:rPr>
            </w:pPr>
          </w:p>
        </w:tc>
      </w:tr>
      <w:tr w14:paraId="04A62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04A6207B">
            <w:pPr>
              <w:jc w:val="center"/>
              <w:rPr>
                <w:rFonts w:hint="eastAsia" w:ascii="宋体" w:hAnsi="宋体"/>
                <w:sz w:val="24"/>
                <w:szCs w:val="24"/>
              </w:rPr>
            </w:pPr>
          </w:p>
        </w:tc>
        <w:tc>
          <w:tcPr>
            <w:tcW w:w="1373" w:type="dxa"/>
            <w:vAlign w:val="center"/>
          </w:tcPr>
          <w:p w14:paraId="04A6207C">
            <w:pPr>
              <w:jc w:val="center"/>
              <w:rPr>
                <w:rFonts w:hint="eastAsia" w:ascii="宋体" w:hAnsi="宋体"/>
                <w:sz w:val="24"/>
                <w:szCs w:val="24"/>
              </w:rPr>
            </w:pPr>
          </w:p>
        </w:tc>
        <w:tc>
          <w:tcPr>
            <w:tcW w:w="2112" w:type="dxa"/>
            <w:vAlign w:val="center"/>
          </w:tcPr>
          <w:p w14:paraId="04A6207D">
            <w:pPr>
              <w:jc w:val="center"/>
              <w:rPr>
                <w:rFonts w:hint="eastAsia" w:ascii="宋体" w:hAnsi="宋体"/>
                <w:sz w:val="24"/>
                <w:szCs w:val="24"/>
              </w:rPr>
            </w:pPr>
          </w:p>
        </w:tc>
        <w:tc>
          <w:tcPr>
            <w:tcW w:w="2976" w:type="dxa"/>
            <w:vAlign w:val="center"/>
          </w:tcPr>
          <w:p w14:paraId="04A6207E">
            <w:pPr>
              <w:jc w:val="center"/>
              <w:rPr>
                <w:rFonts w:hint="eastAsia" w:ascii="宋体" w:hAnsi="宋体"/>
                <w:sz w:val="24"/>
                <w:szCs w:val="24"/>
              </w:rPr>
            </w:pPr>
          </w:p>
        </w:tc>
        <w:tc>
          <w:tcPr>
            <w:tcW w:w="1373" w:type="dxa"/>
            <w:vAlign w:val="center"/>
          </w:tcPr>
          <w:p w14:paraId="04A6207F">
            <w:pPr>
              <w:jc w:val="center"/>
              <w:rPr>
                <w:rFonts w:hint="eastAsia" w:ascii="宋体" w:hAnsi="宋体"/>
                <w:sz w:val="24"/>
                <w:szCs w:val="24"/>
              </w:rPr>
            </w:pPr>
          </w:p>
        </w:tc>
      </w:tr>
      <w:tr w14:paraId="04A62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04A62081">
            <w:pPr>
              <w:jc w:val="center"/>
              <w:rPr>
                <w:rFonts w:hint="eastAsia" w:ascii="宋体" w:hAnsi="宋体"/>
                <w:sz w:val="24"/>
                <w:szCs w:val="24"/>
              </w:rPr>
            </w:pPr>
          </w:p>
        </w:tc>
        <w:tc>
          <w:tcPr>
            <w:tcW w:w="1373" w:type="dxa"/>
            <w:vAlign w:val="center"/>
          </w:tcPr>
          <w:p w14:paraId="04A62082">
            <w:pPr>
              <w:jc w:val="center"/>
              <w:rPr>
                <w:rFonts w:hint="eastAsia" w:ascii="宋体" w:hAnsi="宋体"/>
                <w:sz w:val="24"/>
                <w:szCs w:val="24"/>
              </w:rPr>
            </w:pPr>
          </w:p>
        </w:tc>
        <w:tc>
          <w:tcPr>
            <w:tcW w:w="2112" w:type="dxa"/>
            <w:vAlign w:val="center"/>
          </w:tcPr>
          <w:p w14:paraId="04A62083">
            <w:pPr>
              <w:jc w:val="center"/>
              <w:rPr>
                <w:rFonts w:hint="eastAsia" w:ascii="宋体" w:hAnsi="宋体"/>
                <w:sz w:val="24"/>
                <w:szCs w:val="24"/>
              </w:rPr>
            </w:pPr>
          </w:p>
        </w:tc>
        <w:tc>
          <w:tcPr>
            <w:tcW w:w="2976" w:type="dxa"/>
            <w:vAlign w:val="center"/>
          </w:tcPr>
          <w:p w14:paraId="04A62084">
            <w:pPr>
              <w:jc w:val="center"/>
              <w:rPr>
                <w:rFonts w:hint="eastAsia" w:ascii="宋体" w:hAnsi="宋体"/>
                <w:sz w:val="24"/>
                <w:szCs w:val="24"/>
              </w:rPr>
            </w:pPr>
          </w:p>
        </w:tc>
        <w:tc>
          <w:tcPr>
            <w:tcW w:w="1373" w:type="dxa"/>
            <w:vAlign w:val="center"/>
          </w:tcPr>
          <w:p w14:paraId="04A62085">
            <w:pPr>
              <w:jc w:val="center"/>
              <w:rPr>
                <w:rFonts w:hint="eastAsia" w:ascii="宋体" w:hAnsi="宋体"/>
                <w:sz w:val="24"/>
                <w:szCs w:val="24"/>
              </w:rPr>
            </w:pPr>
          </w:p>
        </w:tc>
      </w:tr>
      <w:tr w14:paraId="04A62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04A62087">
            <w:pPr>
              <w:jc w:val="center"/>
              <w:rPr>
                <w:rFonts w:hint="eastAsia" w:ascii="宋体" w:hAnsi="宋体"/>
                <w:sz w:val="24"/>
                <w:szCs w:val="24"/>
              </w:rPr>
            </w:pPr>
          </w:p>
        </w:tc>
        <w:tc>
          <w:tcPr>
            <w:tcW w:w="1373" w:type="dxa"/>
            <w:vAlign w:val="center"/>
          </w:tcPr>
          <w:p w14:paraId="04A62088">
            <w:pPr>
              <w:jc w:val="center"/>
              <w:rPr>
                <w:rFonts w:hint="eastAsia" w:ascii="宋体" w:hAnsi="宋体"/>
                <w:sz w:val="24"/>
                <w:szCs w:val="24"/>
              </w:rPr>
            </w:pPr>
          </w:p>
        </w:tc>
        <w:tc>
          <w:tcPr>
            <w:tcW w:w="2112" w:type="dxa"/>
            <w:vAlign w:val="center"/>
          </w:tcPr>
          <w:p w14:paraId="04A62089">
            <w:pPr>
              <w:jc w:val="center"/>
              <w:rPr>
                <w:rFonts w:hint="eastAsia" w:ascii="宋体" w:hAnsi="宋体"/>
                <w:sz w:val="24"/>
                <w:szCs w:val="24"/>
              </w:rPr>
            </w:pPr>
          </w:p>
        </w:tc>
        <w:tc>
          <w:tcPr>
            <w:tcW w:w="2976" w:type="dxa"/>
            <w:vAlign w:val="center"/>
          </w:tcPr>
          <w:p w14:paraId="04A6208A">
            <w:pPr>
              <w:jc w:val="center"/>
              <w:rPr>
                <w:rFonts w:hint="eastAsia" w:ascii="宋体" w:hAnsi="宋体"/>
                <w:sz w:val="24"/>
                <w:szCs w:val="24"/>
              </w:rPr>
            </w:pPr>
          </w:p>
        </w:tc>
        <w:tc>
          <w:tcPr>
            <w:tcW w:w="1373" w:type="dxa"/>
            <w:vAlign w:val="center"/>
          </w:tcPr>
          <w:p w14:paraId="04A6208B">
            <w:pPr>
              <w:jc w:val="center"/>
              <w:rPr>
                <w:rFonts w:hint="eastAsia" w:ascii="宋体" w:hAnsi="宋体"/>
                <w:sz w:val="24"/>
                <w:szCs w:val="24"/>
              </w:rPr>
            </w:pPr>
          </w:p>
        </w:tc>
      </w:tr>
      <w:tr w14:paraId="04A62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04A6208D">
            <w:pPr>
              <w:jc w:val="center"/>
              <w:rPr>
                <w:rFonts w:hint="eastAsia" w:ascii="宋体" w:hAnsi="宋体"/>
                <w:sz w:val="24"/>
                <w:szCs w:val="24"/>
              </w:rPr>
            </w:pPr>
          </w:p>
        </w:tc>
        <w:tc>
          <w:tcPr>
            <w:tcW w:w="1373" w:type="dxa"/>
            <w:vAlign w:val="center"/>
          </w:tcPr>
          <w:p w14:paraId="04A6208E">
            <w:pPr>
              <w:jc w:val="center"/>
              <w:rPr>
                <w:rFonts w:hint="eastAsia" w:ascii="宋体" w:hAnsi="宋体"/>
                <w:sz w:val="24"/>
                <w:szCs w:val="24"/>
              </w:rPr>
            </w:pPr>
          </w:p>
        </w:tc>
        <w:tc>
          <w:tcPr>
            <w:tcW w:w="2112" w:type="dxa"/>
            <w:vAlign w:val="center"/>
          </w:tcPr>
          <w:p w14:paraId="04A6208F">
            <w:pPr>
              <w:jc w:val="center"/>
              <w:rPr>
                <w:rFonts w:hint="eastAsia" w:ascii="宋体" w:hAnsi="宋体"/>
                <w:sz w:val="24"/>
                <w:szCs w:val="24"/>
              </w:rPr>
            </w:pPr>
          </w:p>
        </w:tc>
        <w:tc>
          <w:tcPr>
            <w:tcW w:w="2976" w:type="dxa"/>
            <w:vAlign w:val="center"/>
          </w:tcPr>
          <w:p w14:paraId="04A62090">
            <w:pPr>
              <w:jc w:val="center"/>
              <w:rPr>
                <w:rFonts w:hint="eastAsia" w:ascii="宋体" w:hAnsi="宋体"/>
                <w:sz w:val="24"/>
                <w:szCs w:val="24"/>
              </w:rPr>
            </w:pPr>
          </w:p>
        </w:tc>
        <w:tc>
          <w:tcPr>
            <w:tcW w:w="1373" w:type="dxa"/>
            <w:vAlign w:val="center"/>
          </w:tcPr>
          <w:p w14:paraId="04A62091">
            <w:pPr>
              <w:jc w:val="center"/>
              <w:rPr>
                <w:rFonts w:hint="eastAsia" w:ascii="宋体" w:hAnsi="宋体"/>
                <w:sz w:val="24"/>
                <w:szCs w:val="24"/>
              </w:rPr>
            </w:pPr>
          </w:p>
        </w:tc>
      </w:tr>
      <w:tr w14:paraId="04A62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04A62093">
            <w:pPr>
              <w:jc w:val="center"/>
              <w:rPr>
                <w:rFonts w:hint="eastAsia" w:ascii="宋体" w:hAnsi="宋体"/>
                <w:sz w:val="24"/>
                <w:szCs w:val="24"/>
              </w:rPr>
            </w:pPr>
          </w:p>
        </w:tc>
        <w:tc>
          <w:tcPr>
            <w:tcW w:w="1373" w:type="dxa"/>
            <w:vAlign w:val="center"/>
          </w:tcPr>
          <w:p w14:paraId="04A62094">
            <w:pPr>
              <w:jc w:val="center"/>
              <w:rPr>
                <w:rFonts w:hint="eastAsia" w:ascii="宋体" w:hAnsi="宋体"/>
                <w:sz w:val="24"/>
                <w:szCs w:val="24"/>
              </w:rPr>
            </w:pPr>
          </w:p>
        </w:tc>
        <w:tc>
          <w:tcPr>
            <w:tcW w:w="2112" w:type="dxa"/>
            <w:vAlign w:val="center"/>
          </w:tcPr>
          <w:p w14:paraId="04A62095">
            <w:pPr>
              <w:jc w:val="center"/>
              <w:rPr>
                <w:rFonts w:hint="eastAsia" w:ascii="宋体" w:hAnsi="宋体"/>
                <w:sz w:val="24"/>
                <w:szCs w:val="24"/>
              </w:rPr>
            </w:pPr>
          </w:p>
        </w:tc>
        <w:tc>
          <w:tcPr>
            <w:tcW w:w="2976" w:type="dxa"/>
            <w:vAlign w:val="center"/>
          </w:tcPr>
          <w:p w14:paraId="04A62096">
            <w:pPr>
              <w:jc w:val="center"/>
              <w:rPr>
                <w:rFonts w:hint="eastAsia" w:ascii="宋体" w:hAnsi="宋体"/>
                <w:sz w:val="24"/>
                <w:szCs w:val="24"/>
              </w:rPr>
            </w:pPr>
          </w:p>
        </w:tc>
        <w:tc>
          <w:tcPr>
            <w:tcW w:w="1373" w:type="dxa"/>
            <w:vAlign w:val="center"/>
          </w:tcPr>
          <w:p w14:paraId="04A62097">
            <w:pPr>
              <w:jc w:val="center"/>
              <w:rPr>
                <w:rFonts w:hint="eastAsia" w:ascii="宋体" w:hAnsi="宋体"/>
                <w:sz w:val="24"/>
                <w:szCs w:val="24"/>
              </w:rPr>
            </w:pPr>
          </w:p>
        </w:tc>
      </w:tr>
      <w:tr w14:paraId="04A62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04A62099">
            <w:pPr>
              <w:jc w:val="center"/>
              <w:rPr>
                <w:rFonts w:hint="eastAsia" w:ascii="宋体" w:hAnsi="宋体"/>
                <w:sz w:val="24"/>
                <w:szCs w:val="24"/>
              </w:rPr>
            </w:pPr>
          </w:p>
        </w:tc>
        <w:tc>
          <w:tcPr>
            <w:tcW w:w="1373" w:type="dxa"/>
            <w:vAlign w:val="center"/>
          </w:tcPr>
          <w:p w14:paraId="04A6209A">
            <w:pPr>
              <w:jc w:val="center"/>
              <w:rPr>
                <w:rFonts w:hint="eastAsia" w:ascii="宋体" w:hAnsi="宋体"/>
                <w:sz w:val="24"/>
                <w:szCs w:val="24"/>
              </w:rPr>
            </w:pPr>
          </w:p>
        </w:tc>
        <w:tc>
          <w:tcPr>
            <w:tcW w:w="2112" w:type="dxa"/>
            <w:vAlign w:val="center"/>
          </w:tcPr>
          <w:p w14:paraId="04A6209B">
            <w:pPr>
              <w:jc w:val="center"/>
              <w:rPr>
                <w:rFonts w:hint="eastAsia" w:ascii="宋体" w:hAnsi="宋体"/>
                <w:sz w:val="24"/>
                <w:szCs w:val="24"/>
              </w:rPr>
            </w:pPr>
          </w:p>
        </w:tc>
        <w:tc>
          <w:tcPr>
            <w:tcW w:w="2976" w:type="dxa"/>
            <w:vAlign w:val="center"/>
          </w:tcPr>
          <w:p w14:paraId="04A6209C">
            <w:pPr>
              <w:jc w:val="center"/>
              <w:rPr>
                <w:rFonts w:hint="eastAsia" w:ascii="宋体" w:hAnsi="宋体"/>
                <w:sz w:val="24"/>
                <w:szCs w:val="24"/>
              </w:rPr>
            </w:pPr>
          </w:p>
        </w:tc>
        <w:tc>
          <w:tcPr>
            <w:tcW w:w="1373" w:type="dxa"/>
            <w:vAlign w:val="center"/>
          </w:tcPr>
          <w:p w14:paraId="04A6209D">
            <w:pPr>
              <w:jc w:val="center"/>
              <w:rPr>
                <w:rFonts w:hint="eastAsia" w:ascii="宋体" w:hAnsi="宋体"/>
                <w:sz w:val="24"/>
                <w:szCs w:val="24"/>
              </w:rPr>
            </w:pPr>
          </w:p>
        </w:tc>
      </w:tr>
      <w:tr w14:paraId="04A62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04A6209F">
            <w:pPr>
              <w:jc w:val="center"/>
              <w:rPr>
                <w:rFonts w:hint="eastAsia" w:ascii="宋体" w:hAnsi="宋体"/>
                <w:sz w:val="24"/>
                <w:szCs w:val="24"/>
              </w:rPr>
            </w:pPr>
          </w:p>
        </w:tc>
        <w:tc>
          <w:tcPr>
            <w:tcW w:w="1373" w:type="dxa"/>
            <w:vAlign w:val="center"/>
          </w:tcPr>
          <w:p w14:paraId="04A620A0">
            <w:pPr>
              <w:jc w:val="center"/>
              <w:rPr>
                <w:rFonts w:hint="eastAsia" w:ascii="宋体" w:hAnsi="宋体"/>
                <w:sz w:val="24"/>
                <w:szCs w:val="24"/>
              </w:rPr>
            </w:pPr>
          </w:p>
        </w:tc>
        <w:tc>
          <w:tcPr>
            <w:tcW w:w="2112" w:type="dxa"/>
            <w:vAlign w:val="center"/>
          </w:tcPr>
          <w:p w14:paraId="04A620A1">
            <w:pPr>
              <w:jc w:val="center"/>
              <w:rPr>
                <w:rFonts w:hint="eastAsia" w:ascii="宋体" w:hAnsi="宋体"/>
                <w:sz w:val="24"/>
                <w:szCs w:val="24"/>
              </w:rPr>
            </w:pPr>
          </w:p>
        </w:tc>
        <w:tc>
          <w:tcPr>
            <w:tcW w:w="2976" w:type="dxa"/>
            <w:vAlign w:val="center"/>
          </w:tcPr>
          <w:p w14:paraId="04A620A2">
            <w:pPr>
              <w:jc w:val="center"/>
              <w:rPr>
                <w:rFonts w:hint="eastAsia" w:ascii="宋体" w:hAnsi="宋体"/>
                <w:sz w:val="24"/>
                <w:szCs w:val="24"/>
              </w:rPr>
            </w:pPr>
          </w:p>
        </w:tc>
        <w:tc>
          <w:tcPr>
            <w:tcW w:w="1373" w:type="dxa"/>
            <w:vAlign w:val="center"/>
          </w:tcPr>
          <w:p w14:paraId="04A620A3">
            <w:pPr>
              <w:jc w:val="center"/>
              <w:rPr>
                <w:rFonts w:hint="eastAsia" w:ascii="宋体" w:hAnsi="宋体"/>
                <w:sz w:val="24"/>
                <w:szCs w:val="24"/>
              </w:rPr>
            </w:pPr>
          </w:p>
        </w:tc>
      </w:tr>
      <w:tr w14:paraId="04A62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04A620A5">
            <w:pPr>
              <w:jc w:val="center"/>
              <w:rPr>
                <w:rFonts w:hint="eastAsia" w:ascii="宋体" w:hAnsi="宋体"/>
                <w:sz w:val="24"/>
                <w:szCs w:val="24"/>
              </w:rPr>
            </w:pPr>
          </w:p>
        </w:tc>
        <w:tc>
          <w:tcPr>
            <w:tcW w:w="1373" w:type="dxa"/>
            <w:vAlign w:val="center"/>
          </w:tcPr>
          <w:p w14:paraId="04A620A6">
            <w:pPr>
              <w:jc w:val="center"/>
              <w:rPr>
                <w:rFonts w:hint="eastAsia" w:ascii="宋体" w:hAnsi="宋体"/>
                <w:sz w:val="24"/>
                <w:szCs w:val="24"/>
              </w:rPr>
            </w:pPr>
          </w:p>
        </w:tc>
        <w:tc>
          <w:tcPr>
            <w:tcW w:w="2112" w:type="dxa"/>
            <w:vAlign w:val="center"/>
          </w:tcPr>
          <w:p w14:paraId="04A620A7">
            <w:pPr>
              <w:jc w:val="center"/>
              <w:rPr>
                <w:rFonts w:hint="eastAsia" w:ascii="宋体" w:hAnsi="宋体"/>
                <w:sz w:val="24"/>
                <w:szCs w:val="24"/>
              </w:rPr>
            </w:pPr>
          </w:p>
        </w:tc>
        <w:tc>
          <w:tcPr>
            <w:tcW w:w="2976" w:type="dxa"/>
            <w:vAlign w:val="center"/>
          </w:tcPr>
          <w:p w14:paraId="04A620A8">
            <w:pPr>
              <w:jc w:val="center"/>
              <w:rPr>
                <w:rFonts w:hint="eastAsia" w:ascii="宋体" w:hAnsi="宋体"/>
                <w:sz w:val="24"/>
                <w:szCs w:val="24"/>
              </w:rPr>
            </w:pPr>
          </w:p>
        </w:tc>
        <w:tc>
          <w:tcPr>
            <w:tcW w:w="1373" w:type="dxa"/>
            <w:vAlign w:val="center"/>
          </w:tcPr>
          <w:p w14:paraId="04A620A9">
            <w:pPr>
              <w:jc w:val="center"/>
              <w:rPr>
                <w:rFonts w:hint="eastAsia" w:ascii="宋体" w:hAnsi="宋体"/>
                <w:sz w:val="24"/>
                <w:szCs w:val="24"/>
              </w:rPr>
            </w:pPr>
          </w:p>
        </w:tc>
      </w:tr>
      <w:tr w14:paraId="04A62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04A620AB">
            <w:pPr>
              <w:jc w:val="center"/>
              <w:rPr>
                <w:rFonts w:hint="eastAsia" w:ascii="宋体" w:hAnsi="宋体"/>
                <w:sz w:val="24"/>
                <w:szCs w:val="24"/>
              </w:rPr>
            </w:pPr>
          </w:p>
        </w:tc>
        <w:tc>
          <w:tcPr>
            <w:tcW w:w="1373" w:type="dxa"/>
            <w:vAlign w:val="center"/>
          </w:tcPr>
          <w:p w14:paraId="04A620AC">
            <w:pPr>
              <w:jc w:val="center"/>
              <w:rPr>
                <w:rFonts w:hint="eastAsia" w:ascii="宋体" w:hAnsi="宋体"/>
                <w:sz w:val="24"/>
                <w:szCs w:val="24"/>
              </w:rPr>
            </w:pPr>
          </w:p>
        </w:tc>
        <w:tc>
          <w:tcPr>
            <w:tcW w:w="2112" w:type="dxa"/>
            <w:vAlign w:val="center"/>
          </w:tcPr>
          <w:p w14:paraId="04A620AD">
            <w:pPr>
              <w:jc w:val="center"/>
              <w:rPr>
                <w:rFonts w:hint="eastAsia" w:ascii="宋体" w:hAnsi="宋体"/>
                <w:sz w:val="24"/>
                <w:szCs w:val="24"/>
              </w:rPr>
            </w:pPr>
          </w:p>
        </w:tc>
        <w:tc>
          <w:tcPr>
            <w:tcW w:w="2976" w:type="dxa"/>
            <w:vAlign w:val="center"/>
          </w:tcPr>
          <w:p w14:paraId="04A620AE">
            <w:pPr>
              <w:jc w:val="center"/>
              <w:rPr>
                <w:rFonts w:hint="eastAsia" w:ascii="宋体" w:hAnsi="宋体"/>
                <w:sz w:val="24"/>
                <w:szCs w:val="24"/>
              </w:rPr>
            </w:pPr>
          </w:p>
        </w:tc>
        <w:tc>
          <w:tcPr>
            <w:tcW w:w="1373" w:type="dxa"/>
            <w:vAlign w:val="center"/>
          </w:tcPr>
          <w:p w14:paraId="04A620AF">
            <w:pPr>
              <w:jc w:val="center"/>
              <w:rPr>
                <w:rFonts w:hint="eastAsia" w:ascii="宋体" w:hAnsi="宋体"/>
                <w:sz w:val="24"/>
                <w:szCs w:val="24"/>
              </w:rPr>
            </w:pPr>
          </w:p>
        </w:tc>
      </w:tr>
      <w:tr w14:paraId="04A62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04A620B1">
            <w:pPr>
              <w:jc w:val="center"/>
              <w:rPr>
                <w:rFonts w:hint="eastAsia" w:ascii="宋体" w:hAnsi="宋体"/>
                <w:sz w:val="24"/>
                <w:szCs w:val="24"/>
              </w:rPr>
            </w:pPr>
          </w:p>
        </w:tc>
        <w:tc>
          <w:tcPr>
            <w:tcW w:w="1373" w:type="dxa"/>
            <w:vAlign w:val="center"/>
          </w:tcPr>
          <w:p w14:paraId="04A620B2">
            <w:pPr>
              <w:jc w:val="center"/>
              <w:rPr>
                <w:rFonts w:hint="eastAsia" w:ascii="宋体" w:hAnsi="宋体"/>
                <w:sz w:val="24"/>
                <w:szCs w:val="24"/>
              </w:rPr>
            </w:pPr>
          </w:p>
        </w:tc>
        <w:tc>
          <w:tcPr>
            <w:tcW w:w="2112" w:type="dxa"/>
            <w:vAlign w:val="center"/>
          </w:tcPr>
          <w:p w14:paraId="04A620B3">
            <w:pPr>
              <w:jc w:val="center"/>
              <w:rPr>
                <w:rFonts w:hint="eastAsia" w:ascii="宋体" w:hAnsi="宋体"/>
                <w:sz w:val="24"/>
                <w:szCs w:val="24"/>
              </w:rPr>
            </w:pPr>
          </w:p>
        </w:tc>
        <w:tc>
          <w:tcPr>
            <w:tcW w:w="2976" w:type="dxa"/>
            <w:vAlign w:val="center"/>
          </w:tcPr>
          <w:p w14:paraId="04A620B4">
            <w:pPr>
              <w:jc w:val="center"/>
              <w:rPr>
                <w:rFonts w:hint="eastAsia" w:ascii="宋体" w:hAnsi="宋体"/>
                <w:sz w:val="24"/>
                <w:szCs w:val="24"/>
              </w:rPr>
            </w:pPr>
          </w:p>
        </w:tc>
        <w:tc>
          <w:tcPr>
            <w:tcW w:w="1373" w:type="dxa"/>
            <w:vAlign w:val="center"/>
          </w:tcPr>
          <w:p w14:paraId="04A620B5">
            <w:pPr>
              <w:jc w:val="center"/>
              <w:rPr>
                <w:rFonts w:hint="eastAsia" w:ascii="宋体" w:hAnsi="宋体"/>
                <w:sz w:val="24"/>
                <w:szCs w:val="24"/>
              </w:rPr>
            </w:pPr>
          </w:p>
        </w:tc>
      </w:tr>
      <w:tr w14:paraId="04A62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04A620B7">
            <w:pPr>
              <w:jc w:val="center"/>
              <w:rPr>
                <w:rFonts w:hint="eastAsia" w:ascii="宋体" w:hAnsi="宋体"/>
                <w:sz w:val="24"/>
                <w:szCs w:val="24"/>
              </w:rPr>
            </w:pPr>
          </w:p>
        </w:tc>
        <w:tc>
          <w:tcPr>
            <w:tcW w:w="1373" w:type="dxa"/>
            <w:vAlign w:val="center"/>
          </w:tcPr>
          <w:p w14:paraId="04A620B8">
            <w:pPr>
              <w:jc w:val="center"/>
              <w:rPr>
                <w:rFonts w:hint="eastAsia" w:ascii="宋体" w:hAnsi="宋体"/>
                <w:sz w:val="24"/>
                <w:szCs w:val="24"/>
              </w:rPr>
            </w:pPr>
          </w:p>
        </w:tc>
        <w:tc>
          <w:tcPr>
            <w:tcW w:w="2112" w:type="dxa"/>
            <w:vAlign w:val="center"/>
          </w:tcPr>
          <w:p w14:paraId="04A620B9">
            <w:pPr>
              <w:jc w:val="center"/>
              <w:rPr>
                <w:rFonts w:hint="eastAsia" w:ascii="宋体" w:hAnsi="宋体"/>
                <w:sz w:val="24"/>
                <w:szCs w:val="24"/>
              </w:rPr>
            </w:pPr>
          </w:p>
        </w:tc>
        <w:tc>
          <w:tcPr>
            <w:tcW w:w="2976" w:type="dxa"/>
            <w:vAlign w:val="center"/>
          </w:tcPr>
          <w:p w14:paraId="04A620BA">
            <w:pPr>
              <w:jc w:val="center"/>
              <w:rPr>
                <w:rFonts w:hint="eastAsia" w:ascii="宋体" w:hAnsi="宋体"/>
                <w:sz w:val="24"/>
                <w:szCs w:val="24"/>
              </w:rPr>
            </w:pPr>
          </w:p>
        </w:tc>
        <w:tc>
          <w:tcPr>
            <w:tcW w:w="1373" w:type="dxa"/>
            <w:vAlign w:val="center"/>
          </w:tcPr>
          <w:p w14:paraId="04A620BB">
            <w:pPr>
              <w:jc w:val="center"/>
              <w:rPr>
                <w:rFonts w:hint="eastAsia" w:ascii="宋体" w:hAnsi="宋体"/>
                <w:sz w:val="24"/>
                <w:szCs w:val="24"/>
              </w:rPr>
            </w:pPr>
          </w:p>
        </w:tc>
      </w:tr>
    </w:tbl>
    <w:p w14:paraId="04A620BD">
      <w:pPr>
        <w:rPr>
          <w:rFonts w:hint="eastAsia" w:ascii="宋体" w:hAnsi="宋体"/>
          <w:sz w:val="24"/>
          <w:szCs w:val="24"/>
        </w:rPr>
      </w:pPr>
    </w:p>
    <w:p w14:paraId="04A620BE">
      <w:pPr>
        <w:spacing w:line="360" w:lineRule="auto"/>
        <w:rPr>
          <w:rFonts w:hint="eastAsia" w:ascii="宋体" w:hAnsi="宋体"/>
          <w:b/>
          <w:sz w:val="24"/>
          <w:szCs w:val="24"/>
        </w:rPr>
      </w:pPr>
      <w:r>
        <w:rPr>
          <w:rFonts w:ascii="宋体" w:hAnsi="宋体"/>
          <w:b/>
          <w:sz w:val="24"/>
          <w:szCs w:val="24"/>
        </w:rPr>
        <w:t>承诺：</w:t>
      </w:r>
      <w:r>
        <w:rPr>
          <w:rFonts w:hint="eastAsia" w:ascii="宋体" w:hAnsi="宋体"/>
          <w:b/>
          <w:sz w:val="24"/>
          <w:szCs w:val="24"/>
        </w:rPr>
        <w:t>我公司</w:t>
      </w:r>
      <w:r>
        <w:rPr>
          <w:rFonts w:ascii="宋体" w:hAnsi="宋体"/>
          <w:b/>
          <w:sz w:val="24"/>
          <w:szCs w:val="24"/>
        </w:rPr>
        <w:t>商务承诺与招标文件的商务条款、合同条款偏离均已在上表中列出</w:t>
      </w:r>
      <w:r>
        <w:rPr>
          <w:rFonts w:hint="eastAsia" w:ascii="宋体" w:hAnsi="宋体"/>
          <w:b/>
          <w:sz w:val="24"/>
          <w:szCs w:val="24"/>
        </w:rPr>
        <w:t>。我公司已充分理解并接受</w:t>
      </w:r>
      <w:r>
        <w:rPr>
          <w:rFonts w:ascii="宋体" w:hAnsi="宋体"/>
          <w:b/>
          <w:sz w:val="24"/>
          <w:szCs w:val="24"/>
        </w:rPr>
        <w:t>除上表中已列出外，其它条款均无商务上的偏离。</w:t>
      </w:r>
    </w:p>
    <w:p w14:paraId="04A620BF">
      <w:pPr>
        <w:spacing w:line="360" w:lineRule="auto"/>
        <w:rPr>
          <w:rFonts w:hint="eastAsia" w:ascii="宋体" w:hAnsi="宋体"/>
          <w:sz w:val="24"/>
          <w:szCs w:val="24"/>
        </w:rPr>
      </w:pPr>
      <w:r>
        <w:rPr>
          <w:rFonts w:ascii="宋体" w:hAnsi="宋体"/>
          <w:sz w:val="24"/>
          <w:szCs w:val="24"/>
        </w:rPr>
        <w:t>投标人</w:t>
      </w:r>
      <w:r>
        <w:rPr>
          <w:rFonts w:hint="eastAsia" w:ascii="宋体" w:hAnsi="宋体"/>
          <w:sz w:val="24"/>
          <w:szCs w:val="24"/>
        </w:rPr>
        <w:t>盖</w:t>
      </w:r>
      <w:r>
        <w:rPr>
          <w:rFonts w:ascii="宋体" w:hAnsi="宋体"/>
          <w:sz w:val="24"/>
          <w:szCs w:val="24"/>
        </w:rPr>
        <w:t>章：</w:t>
      </w:r>
      <w:r>
        <w:rPr>
          <w:rFonts w:hint="eastAsia" w:ascii="宋体" w:hAnsi="宋体" w:cs="宋体"/>
          <w:kern w:val="0"/>
          <w:sz w:val="24"/>
          <w:szCs w:val="24"/>
          <w:u w:val="single"/>
        </w:rPr>
        <w:t xml:space="preserve">                         </w:t>
      </w:r>
    </w:p>
    <w:p w14:paraId="04A620C0">
      <w:pPr>
        <w:spacing w:line="360" w:lineRule="auto"/>
        <w:rPr>
          <w:rFonts w:hint="eastAsia" w:ascii="宋体" w:hAnsi="宋体"/>
          <w:sz w:val="24"/>
          <w:szCs w:val="24"/>
        </w:rPr>
      </w:pPr>
      <w:r>
        <w:rPr>
          <w:rFonts w:ascii="宋体" w:hAnsi="宋体"/>
          <w:sz w:val="24"/>
          <w:szCs w:val="24"/>
        </w:rPr>
        <w:t>授权代表签字：</w:t>
      </w:r>
      <w:r>
        <w:rPr>
          <w:rFonts w:hint="eastAsia" w:ascii="宋体" w:hAnsi="宋体" w:cs="宋体"/>
          <w:kern w:val="0"/>
          <w:sz w:val="24"/>
          <w:szCs w:val="24"/>
          <w:u w:val="single"/>
        </w:rPr>
        <w:t xml:space="preserve">                       </w:t>
      </w:r>
    </w:p>
    <w:p w14:paraId="04A620C1">
      <w:pPr>
        <w:spacing w:line="360" w:lineRule="auto"/>
        <w:rPr>
          <w:rFonts w:hint="eastAsia" w:ascii="宋体" w:hAnsi="宋体"/>
          <w:sz w:val="24"/>
          <w:szCs w:val="24"/>
        </w:rPr>
      </w:pPr>
      <w:r>
        <w:rPr>
          <w:rFonts w:ascii="宋体" w:hAnsi="宋体"/>
          <w:sz w:val="24"/>
          <w:szCs w:val="24"/>
        </w:rPr>
        <w:t>日    期：</w:t>
      </w:r>
      <w:r>
        <w:rPr>
          <w:rFonts w:hint="eastAsia" w:ascii="宋体" w:hAnsi="宋体" w:cs="宋体"/>
          <w:kern w:val="0"/>
          <w:sz w:val="24"/>
          <w:szCs w:val="24"/>
          <w:u w:val="single"/>
        </w:rPr>
        <w:t xml:space="preserve">                           </w:t>
      </w:r>
    </w:p>
    <w:p w14:paraId="04A620C2">
      <w:pPr>
        <w:snapToGrid w:val="0"/>
        <w:rPr>
          <w:rFonts w:hint="eastAsia" w:ascii="宋体" w:hAnsi="宋体"/>
          <w:sz w:val="24"/>
          <w:szCs w:val="24"/>
        </w:rPr>
      </w:pPr>
    </w:p>
    <w:p w14:paraId="04A620C3">
      <w:pPr>
        <w:snapToGrid w:val="0"/>
        <w:rPr>
          <w:rFonts w:hint="eastAsia" w:ascii="宋体" w:hAnsi="宋体"/>
          <w:sz w:val="24"/>
          <w:szCs w:val="24"/>
        </w:rPr>
      </w:pPr>
    </w:p>
    <w:p w14:paraId="04A620C4">
      <w:pPr>
        <w:snapToGrid w:val="0"/>
        <w:rPr>
          <w:rFonts w:hint="eastAsia" w:ascii="宋体" w:hAnsi="宋体"/>
          <w:sz w:val="24"/>
          <w:szCs w:val="24"/>
        </w:rPr>
      </w:pPr>
    </w:p>
    <w:p w14:paraId="04A620C5">
      <w:pPr>
        <w:snapToGrid w:val="0"/>
        <w:rPr>
          <w:rFonts w:hint="eastAsia" w:ascii="宋体" w:hAnsi="宋体"/>
          <w:sz w:val="24"/>
          <w:szCs w:val="24"/>
        </w:rPr>
      </w:pPr>
    </w:p>
    <w:p w14:paraId="04A620C6">
      <w:pPr>
        <w:snapToGrid w:val="0"/>
        <w:rPr>
          <w:rFonts w:hint="eastAsia" w:ascii="宋体" w:hAnsi="宋体"/>
          <w:sz w:val="24"/>
          <w:szCs w:val="24"/>
        </w:rPr>
      </w:pPr>
    </w:p>
    <w:p w14:paraId="04A620C7">
      <w:pPr>
        <w:snapToGrid w:val="0"/>
        <w:rPr>
          <w:rFonts w:hint="eastAsia" w:ascii="宋体" w:hAnsi="宋体"/>
          <w:sz w:val="24"/>
          <w:szCs w:val="24"/>
        </w:rPr>
      </w:pPr>
    </w:p>
    <w:p w14:paraId="04A620C8">
      <w:pPr>
        <w:snapToGrid w:val="0"/>
        <w:rPr>
          <w:rFonts w:hint="eastAsia" w:ascii="宋体" w:hAnsi="宋体"/>
          <w:sz w:val="24"/>
          <w:szCs w:val="24"/>
        </w:rPr>
      </w:pPr>
    </w:p>
    <w:p w14:paraId="04A620C9">
      <w:pPr>
        <w:snapToGrid w:val="0"/>
        <w:rPr>
          <w:rFonts w:hint="eastAsia" w:ascii="宋体" w:hAnsi="宋体"/>
          <w:sz w:val="24"/>
          <w:szCs w:val="24"/>
        </w:rPr>
      </w:pPr>
    </w:p>
    <w:p w14:paraId="04A620CA">
      <w:pPr>
        <w:snapToGrid w:val="0"/>
        <w:rPr>
          <w:rFonts w:hint="eastAsia" w:ascii="宋体" w:hAnsi="宋体"/>
          <w:sz w:val="24"/>
          <w:szCs w:val="24"/>
        </w:rPr>
      </w:pPr>
    </w:p>
    <w:p w14:paraId="04A620CB">
      <w:pPr>
        <w:jc w:val="left"/>
        <w:rPr>
          <w:rFonts w:hint="eastAsia" w:ascii="宋体" w:hAnsi="宋体"/>
          <w:b/>
          <w:iCs/>
          <w:spacing w:val="20"/>
          <w:sz w:val="24"/>
          <w:szCs w:val="24"/>
        </w:rPr>
      </w:pPr>
      <w:r>
        <w:rPr>
          <w:rFonts w:ascii="宋体" w:hAnsi="宋体"/>
          <w:b/>
          <w:iCs/>
          <w:spacing w:val="20"/>
          <w:sz w:val="24"/>
          <w:szCs w:val="24"/>
        </w:rPr>
        <w:t>附件3-</w:t>
      </w:r>
      <w:r>
        <w:rPr>
          <w:rFonts w:hint="eastAsia" w:ascii="宋体" w:hAnsi="宋体"/>
          <w:b/>
          <w:iCs/>
          <w:spacing w:val="20"/>
          <w:sz w:val="24"/>
          <w:szCs w:val="24"/>
        </w:rPr>
        <w:t>2-1</w:t>
      </w:r>
      <w:r>
        <w:rPr>
          <w:rFonts w:ascii="宋体" w:hAnsi="宋体"/>
          <w:b/>
          <w:iCs/>
          <w:spacing w:val="20"/>
          <w:sz w:val="24"/>
          <w:szCs w:val="24"/>
        </w:rPr>
        <w:t>：</w:t>
      </w:r>
    </w:p>
    <w:p w14:paraId="04A620CC">
      <w:pPr>
        <w:spacing w:line="360" w:lineRule="auto"/>
        <w:jc w:val="center"/>
        <w:rPr>
          <w:rFonts w:hint="eastAsia" w:ascii="宋体" w:hAnsi="宋体"/>
          <w:b/>
          <w:iCs/>
          <w:spacing w:val="20"/>
          <w:sz w:val="24"/>
          <w:szCs w:val="24"/>
        </w:rPr>
      </w:pPr>
    </w:p>
    <w:p w14:paraId="04A620CD">
      <w:pPr>
        <w:spacing w:line="360" w:lineRule="auto"/>
        <w:jc w:val="center"/>
        <w:rPr>
          <w:rFonts w:hint="eastAsia" w:ascii="宋体" w:hAnsi="宋体"/>
          <w:b/>
          <w:iCs/>
          <w:spacing w:val="20"/>
          <w:sz w:val="24"/>
          <w:szCs w:val="24"/>
        </w:rPr>
      </w:pPr>
      <w:r>
        <w:rPr>
          <w:rFonts w:ascii="宋体" w:hAnsi="宋体"/>
          <w:b/>
          <w:iCs/>
          <w:spacing w:val="20"/>
          <w:sz w:val="24"/>
          <w:szCs w:val="24"/>
        </w:rPr>
        <w:t>随机备品备件清单</w:t>
      </w:r>
    </w:p>
    <w:p w14:paraId="04A620CE">
      <w:pPr>
        <w:spacing w:line="360" w:lineRule="auto"/>
        <w:rPr>
          <w:rFonts w:hint="eastAsia" w:ascii="宋体" w:hAnsi="宋体"/>
          <w:iCs/>
          <w:spacing w:val="20"/>
          <w:sz w:val="24"/>
          <w:szCs w:val="24"/>
        </w:rPr>
      </w:pPr>
      <w:r>
        <w:rPr>
          <w:rFonts w:ascii="宋体" w:hAnsi="宋体"/>
          <w:iCs/>
          <w:spacing w:val="20"/>
          <w:sz w:val="24"/>
          <w:szCs w:val="24"/>
        </w:rPr>
        <w:t xml:space="preserve"> 单位：人民币元</w:t>
      </w:r>
    </w:p>
    <w:tbl>
      <w:tblPr>
        <w:tblStyle w:val="21"/>
        <w:tblW w:w="88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2880"/>
        <w:gridCol w:w="1440"/>
        <w:gridCol w:w="1080"/>
        <w:gridCol w:w="1260"/>
        <w:gridCol w:w="1440"/>
      </w:tblGrid>
      <w:tr w14:paraId="04A62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720" w:type="dxa"/>
            <w:vAlign w:val="center"/>
          </w:tcPr>
          <w:p w14:paraId="04A620CF">
            <w:pPr>
              <w:spacing w:line="360" w:lineRule="auto"/>
              <w:jc w:val="center"/>
              <w:rPr>
                <w:rFonts w:hint="eastAsia" w:ascii="宋体" w:hAnsi="宋体"/>
                <w:b/>
                <w:iCs/>
                <w:spacing w:val="20"/>
                <w:sz w:val="24"/>
                <w:szCs w:val="24"/>
              </w:rPr>
            </w:pPr>
            <w:r>
              <w:rPr>
                <w:rFonts w:ascii="宋体" w:hAnsi="宋体"/>
                <w:b/>
                <w:iCs/>
                <w:spacing w:val="20"/>
                <w:sz w:val="24"/>
                <w:szCs w:val="24"/>
              </w:rPr>
              <w:t>序号</w:t>
            </w:r>
          </w:p>
        </w:tc>
        <w:tc>
          <w:tcPr>
            <w:tcW w:w="2880" w:type="dxa"/>
            <w:vAlign w:val="center"/>
          </w:tcPr>
          <w:p w14:paraId="04A620D0">
            <w:pPr>
              <w:spacing w:line="360" w:lineRule="auto"/>
              <w:jc w:val="center"/>
              <w:rPr>
                <w:rFonts w:hint="eastAsia" w:ascii="宋体" w:hAnsi="宋体"/>
                <w:b/>
                <w:iCs/>
                <w:spacing w:val="20"/>
                <w:sz w:val="24"/>
                <w:szCs w:val="24"/>
              </w:rPr>
            </w:pPr>
            <w:r>
              <w:rPr>
                <w:rFonts w:ascii="宋体" w:hAnsi="宋体"/>
                <w:b/>
                <w:iCs/>
                <w:spacing w:val="20"/>
                <w:sz w:val="24"/>
                <w:szCs w:val="24"/>
              </w:rPr>
              <w:t>名称</w:t>
            </w:r>
          </w:p>
        </w:tc>
        <w:tc>
          <w:tcPr>
            <w:tcW w:w="1440" w:type="dxa"/>
            <w:vAlign w:val="center"/>
          </w:tcPr>
          <w:p w14:paraId="04A620D1">
            <w:pPr>
              <w:spacing w:line="360" w:lineRule="auto"/>
              <w:jc w:val="center"/>
              <w:rPr>
                <w:rFonts w:hint="eastAsia" w:ascii="宋体" w:hAnsi="宋体"/>
                <w:b/>
                <w:iCs/>
                <w:spacing w:val="20"/>
                <w:sz w:val="24"/>
                <w:szCs w:val="24"/>
              </w:rPr>
            </w:pPr>
            <w:r>
              <w:rPr>
                <w:rFonts w:ascii="宋体" w:hAnsi="宋体"/>
                <w:b/>
                <w:iCs/>
                <w:spacing w:val="20"/>
                <w:sz w:val="24"/>
                <w:szCs w:val="24"/>
              </w:rPr>
              <w:t>型号</w:t>
            </w:r>
          </w:p>
        </w:tc>
        <w:tc>
          <w:tcPr>
            <w:tcW w:w="1080" w:type="dxa"/>
            <w:vAlign w:val="center"/>
          </w:tcPr>
          <w:p w14:paraId="04A620D2">
            <w:pPr>
              <w:spacing w:line="360" w:lineRule="auto"/>
              <w:jc w:val="center"/>
              <w:rPr>
                <w:rFonts w:hint="eastAsia" w:ascii="宋体" w:hAnsi="宋体"/>
                <w:b/>
                <w:iCs/>
                <w:spacing w:val="20"/>
                <w:sz w:val="24"/>
                <w:szCs w:val="24"/>
              </w:rPr>
            </w:pPr>
            <w:r>
              <w:rPr>
                <w:rFonts w:ascii="宋体" w:hAnsi="宋体"/>
                <w:b/>
                <w:iCs/>
                <w:spacing w:val="20"/>
                <w:sz w:val="24"/>
                <w:szCs w:val="24"/>
              </w:rPr>
              <w:t>数量</w:t>
            </w:r>
          </w:p>
        </w:tc>
        <w:tc>
          <w:tcPr>
            <w:tcW w:w="1260" w:type="dxa"/>
            <w:vAlign w:val="center"/>
          </w:tcPr>
          <w:p w14:paraId="04A620D3">
            <w:pPr>
              <w:spacing w:line="360" w:lineRule="auto"/>
              <w:jc w:val="center"/>
              <w:rPr>
                <w:rFonts w:hint="eastAsia" w:ascii="宋体" w:hAnsi="宋体"/>
                <w:b/>
                <w:iCs/>
                <w:spacing w:val="20"/>
                <w:sz w:val="24"/>
                <w:szCs w:val="24"/>
              </w:rPr>
            </w:pPr>
            <w:r>
              <w:rPr>
                <w:rFonts w:ascii="宋体" w:hAnsi="宋体"/>
                <w:b/>
                <w:iCs/>
                <w:spacing w:val="20"/>
                <w:sz w:val="24"/>
                <w:szCs w:val="24"/>
              </w:rPr>
              <w:t>单价</w:t>
            </w:r>
          </w:p>
        </w:tc>
        <w:tc>
          <w:tcPr>
            <w:tcW w:w="1440" w:type="dxa"/>
            <w:vAlign w:val="center"/>
          </w:tcPr>
          <w:p w14:paraId="04A620D4">
            <w:pPr>
              <w:spacing w:line="360" w:lineRule="auto"/>
              <w:jc w:val="center"/>
              <w:rPr>
                <w:rFonts w:hint="eastAsia" w:ascii="宋体" w:hAnsi="宋体"/>
                <w:b/>
                <w:iCs/>
                <w:spacing w:val="20"/>
                <w:sz w:val="24"/>
                <w:szCs w:val="24"/>
              </w:rPr>
            </w:pPr>
            <w:r>
              <w:rPr>
                <w:rFonts w:ascii="宋体" w:hAnsi="宋体"/>
                <w:b/>
                <w:iCs/>
                <w:spacing w:val="20"/>
                <w:sz w:val="24"/>
                <w:szCs w:val="24"/>
              </w:rPr>
              <w:t>总价</w:t>
            </w:r>
          </w:p>
        </w:tc>
      </w:tr>
      <w:tr w14:paraId="04A62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720" w:type="dxa"/>
          </w:tcPr>
          <w:p w14:paraId="04A620D6">
            <w:pPr>
              <w:spacing w:line="360" w:lineRule="auto"/>
              <w:jc w:val="center"/>
              <w:rPr>
                <w:rFonts w:hint="eastAsia" w:ascii="宋体" w:hAnsi="宋体"/>
                <w:iCs/>
                <w:spacing w:val="20"/>
                <w:sz w:val="24"/>
                <w:szCs w:val="24"/>
              </w:rPr>
            </w:pPr>
          </w:p>
        </w:tc>
        <w:tc>
          <w:tcPr>
            <w:tcW w:w="2880" w:type="dxa"/>
          </w:tcPr>
          <w:p w14:paraId="04A620D7">
            <w:pPr>
              <w:spacing w:line="360" w:lineRule="auto"/>
              <w:rPr>
                <w:rFonts w:hint="eastAsia" w:ascii="宋体" w:hAnsi="宋体"/>
                <w:sz w:val="24"/>
                <w:szCs w:val="24"/>
              </w:rPr>
            </w:pPr>
          </w:p>
        </w:tc>
        <w:tc>
          <w:tcPr>
            <w:tcW w:w="1440" w:type="dxa"/>
          </w:tcPr>
          <w:p w14:paraId="04A620D8">
            <w:pPr>
              <w:spacing w:line="360" w:lineRule="auto"/>
              <w:rPr>
                <w:rFonts w:hint="eastAsia" w:ascii="宋体" w:hAnsi="宋体"/>
                <w:iCs/>
                <w:spacing w:val="20"/>
                <w:sz w:val="24"/>
                <w:szCs w:val="24"/>
              </w:rPr>
            </w:pPr>
          </w:p>
        </w:tc>
        <w:tc>
          <w:tcPr>
            <w:tcW w:w="1080" w:type="dxa"/>
          </w:tcPr>
          <w:p w14:paraId="04A620D9">
            <w:pPr>
              <w:spacing w:line="360" w:lineRule="auto"/>
              <w:jc w:val="center"/>
              <w:rPr>
                <w:rFonts w:hint="eastAsia" w:ascii="宋体" w:hAnsi="宋体"/>
                <w:sz w:val="24"/>
                <w:szCs w:val="24"/>
              </w:rPr>
            </w:pPr>
          </w:p>
        </w:tc>
        <w:tc>
          <w:tcPr>
            <w:tcW w:w="1260" w:type="dxa"/>
          </w:tcPr>
          <w:p w14:paraId="04A620DA">
            <w:pPr>
              <w:spacing w:line="360" w:lineRule="auto"/>
              <w:rPr>
                <w:rFonts w:hint="eastAsia" w:ascii="宋体" w:hAnsi="宋体"/>
                <w:iCs/>
                <w:spacing w:val="20"/>
                <w:sz w:val="24"/>
                <w:szCs w:val="24"/>
              </w:rPr>
            </w:pPr>
          </w:p>
        </w:tc>
        <w:tc>
          <w:tcPr>
            <w:tcW w:w="1440" w:type="dxa"/>
          </w:tcPr>
          <w:p w14:paraId="04A620DB">
            <w:pPr>
              <w:spacing w:line="360" w:lineRule="auto"/>
              <w:jc w:val="center"/>
              <w:rPr>
                <w:rFonts w:hint="eastAsia" w:ascii="宋体" w:hAnsi="宋体"/>
                <w:iCs/>
                <w:spacing w:val="20"/>
                <w:sz w:val="24"/>
                <w:szCs w:val="24"/>
              </w:rPr>
            </w:pPr>
          </w:p>
        </w:tc>
      </w:tr>
      <w:tr w14:paraId="04A62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720" w:type="dxa"/>
          </w:tcPr>
          <w:p w14:paraId="04A620DD">
            <w:pPr>
              <w:spacing w:line="360" w:lineRule="auto"/>
              <w:ind w:firstLine="140" w:firstLineChars="50"/>
              <w:rPr>
                <w:rFonts w:hint="eastAsia" w:ascii="宋体" w:hAnsi="宋体"/>
                <w:iCs/>
                <w:spacing w:val="20"/>
                <w:sz w:val="24"/>
                <w:szCs w:val="24"/>
              </w:rPr>
            </w:pPr>
          </w:p>
        </w:tc>
        <w:tc>
          <w:tcPr>
            <w:tcW w:w="2880" w:type="dxa"/>
          </w:tcPr>
          <w:p w14:paraId="04A620DE">
            <w:pPr>
              <w:spacing w:line="360" w:lineRule="auto"/>
              <w:rPr>
                <w:rFonts w:hint="eastAsia" w:ascii="宋体" w:hAnsi="宋体"/>
                <w:sz w:val="24"/>
                <w:szCs w:val="24"/>
              </w:rPr>
            </w:pPr>
          </w:p>
        </w:tc>
        <w:tc>
          <w:tcPr>
            <w:tcW w:w="1440" w:type="dxa"/>
          </w:tcPr>
          <w:p w14:paraId="04A620DF">
            <w:pPr>
              <w:spacing w:line="360" w:lineRule="auto"/>
              <w:rPr>
                <w:rFonts w:hint="eastAsia" w:ascii="宋体" w:hAnsi="宋体"/>
                <w:iCs/>
                <w:spacing w:val="20"/>
                <w:sz w:val="24"/>
                <w:szCs w:val="24"/>
              </w:rPr>
            </w:pPr>
          </w:p>
        </w:tc>
        <w:tc>
          <w:tcPr>
            <w:tcW w:w="1080" w:type="dxa"/>
          </w:tcPr>
          <w:p w14:paraId="04A620E0">
            <w:pPr>
              <w:spacing w:line="360" w:lineRule="auto"/>
              <w:jc w:val="center"/>
              <w:rPr>
                <w:rFonts w:hint="eastAsia" w:ascii="宋体" w:hAnsi="宋体"/>
                <w:sz w:val="24"/>
                <w:szCs w:val="24"/>
              </w:rPr>
            </w:pPr>
          </w:p>
        </w:tc>
        <w:tc>
          <w:tcPr>
            <w:tcW w:w="1260" w:type="dxa"/>
          </w:tcPr>
          <w:p w14:paraId="04A620E1">
            <w:pPr>
              <w:spacing w:line="360" w:lineRule="auto"/>
              <w:rPr>
                <w:rFonts w:hint="eastAsia" w:ascii="宋体" w:hAnsi="宋体"/>
                <w:iCs/>
                <w:spacing w:val="20"/>
                <w:sz w:val="24"/>
                <w:szCs w:val="24"/>
              </w:rPr>
            </w:pPr>
          </w:p>
        </w:tc>
        <w:tc>
          <w:tcPr>
            <w:tcW w:w="1440" w:type="dxa"/>
          </w:tcPr>
          <w:p w14:paraId="04A620E2">
            <w:pPr>
              <w:spacing w:line="360" w:lineRule="auto"/>
              <w:rPr>
                <w:rFonts w:hint="eastAsia" w:ascii="宋体" w:hAnsi="宋体"/>
                <w:iCs/>
                <w:spacing w:val="20"/>
                <w:sz w:val="24"/>
                <w:szCs w:val="24"/>
              </w:rPr>
            </w:pPr>
          </w:p>
        </w:tc>
      </w:tr>
      <w:tr w14:paraId="04A62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720" w:type="dxa"/>
          </w:tcPr>
          <w:p w14:paraId="04A620E4">
            <w:pPr>
              <w:spacing w:line="360" w:lineRule="auto"/>
              <w:rPr>
                <w:rFonts w:hint="eastAsia" w:ascii="宋体" w:hAnsi="宋体"/>
                <w:iCs/>
                <w:spacing w:val="20"/>
                <w:sz w:val="24"/>
                <w:szCs w:val="24"/>
              </w:rPr>
            </w:pPr>
          </w:p>
        </w:tc>
        <w:tc>
          <w:tcPr>
            <w:tcW w:w="2880" w:type="dxa"/>
          </w:tcPr>
          <w:p w14:paraId="04A620E5">
            <w:pPr>
              <w:spacing w:line="360" w:lineRule="auto"/>
              <w:rPr>
                <w:rFonts w:hint="eastAsia" w:ascii="宋体" w:hAnsi="宋体"/>
                <w:sz w:val="24"/>
                <w:szCs w:val="24"/>
              </w:rPr>
            </w:pPr>
          </w:p>
        </w:tc>
        <w:tc>
          <w:tcPr>
            <w:tcW w:w="1440" w:type="dxa"/>
          </w:tcPr>
          <w:p w14:paraId="04A620E6">
            <w:pPr>
              <w:spacing w:line="360" w:lineRule="auto"/>
              <w:rPr>
                <w:rFonts w:hint="eastAsia" w:ascii="宋体" w:hAnsi="宋体"/>
                <w:iCs/>
                <w:spacing w:val="20"/>
                <w:sz w:val="24"/>
                <w:szCs w:val="24"/>
              </w:rPr>
            </w:pPr>
          </w:p>
        </w:tc>
        <w:tc>
          <w:tcPr>
            <w:tcW w:w="1080" w:type="dxa"/>
          </w:tcPr>
          <w:p w14:paraId="04A620E7">
            <w:pPr>
              <w:spacing w:line="360" w:lineRule="auto"/>
              <w:jc w:val="center"/>
              <w:rPr>
                <w:rFonts w:hint="eastAsia" w:ascii="宋体" w:hAnsi="宋体"/>
                <w:sz w:val="24"/>
                <w:szCs w:val="24"/>
              </w:rPr>
            </w:pPr>
          </w:p>
        </w:tc>
        <w:tc>
          <w:tcPr>
            <w:tcW w:w="1260" w:type="dxa"/>
          </w:tcPr>
          <w:p w14:paraId="04A620E8">
            <w:pPr>
              <w:spacing w:line="360" w:lineRule="auto"/>
              <w:rPr>
                <w:rFonts w:hint="eastAsia" w:ascii="宋体" w:hAnsi="宋体"/>
                <w:iCs/>
                <w:spacing w:val="20"/>
                <w:sz w:val="24"/>
                <w:szCs w:val="24"/>
              </w:rPr>
            </w:pPr>
          </w:p>
        </w:tc>
        <w:tc>
          <w:tcPr>
            <w:tcW w:w="1440" w:type="dxa"/>
          </w:tcPr>
          <w:p w14:paraId="04A620E9">
            <w:pPr>
              <w:spacing w:line="360" w:lineRule="auto"/>
              <w:rPr>
                <w:rFonts w:hint="eastAsia" w:ascii="宋体" w:hAnsi="宋体"/>
                <w:iCs/>
                <w:spacing w:val="20"/>
                <w:sz w:val="24"/>
                <w:szCs w:val="24"/>
              </w:rPr>
            </w:pPr>
          </w:p>
        </w:tc>
      </w:tr>
      <w:tr w14:paraId="04A62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720" w:type="dxa"/>
          </w:tcPr>
          <w:p w14:paraId="04A620EB">
            <w:pPr>
              <w:spacing w:line="360" w:lineRule="auto"/>
              <w:rPr>
                <w:rFonts w:hint="eastAsia" w:ascii="宋体" w:hAnsi="宋体"/>
                <w:iCs/>
                <w:spacing w:val="20"/>
                <w:sz w:val="24"/>
                <w:szCs w:val="24"/>
              </w:rPr>
            </w:pPr>
          </w:p>
        </w:tc>
        <w:tc>
          <w:tcPr>
            <w:tcW w:w="2880" w:type="dxa"/>
          </w:tcPr>
          <w:p w14:paraId="04A620EC">
            <w:pPr>
              <w:spacing w:line="360" w:lineRule="auto"/>
              <w:rPr>
                <w:rFonts w:hint="eastAsia" w:ascii="宋体" w:hAnsi="宋体"/>
                <w:sz w:val="24"/>
                <w:szCs w:val="24"/>
              </w:rPr>
            </w:pPr>
          </w:p>
        </w:tc>
        <w:tc>
          <w:tcPr>
            <w:tcW w:w="1440" w:type="dxa"/>
          </w:tcPr>
          <w:p w14:paraId="04A620ED">
            <w:pPr>
              <w:spacing w:line="360" w:lineRule="auto"/>
              <w:rPr>
                <w:rFonts w:hint="eastAsia" w:ascii="宋体" w:hAnsi="宋体"/>
                <w:iCs/>
                <w:spacing w:val="20"/>
                <w:sz w:val="24"/>
                <w:szCs w:val="24"/>
              </w:rPr>
            </w:pPr>
          </w:p>
        </w:tc>
        <w:tc>
          <w:tcPr>
            <w:tcW w:w="1080" w:type="dxa"/>
          </w:tcPr>
          <w:p w14:paraId="04A620EE">
            <w:pPr>
              <w:spacing w:line="360" w:lineRule="auto"/>
              <w:jc w:val="center"/>
              <w:rPr>
                <w:rFonts w:hint="eastAsia" w:ascii="宋体" w:hAnsi="宋体"/>
                <w:sz w:val="24"/>
                <w:szCs w:val="24"/>
              </w:rPr>
            </w:pPr>
          </w:p>
        </w:tc>
        <w:tc>
          <w:tcPr>
            <w:tcW w:w="1260" w:type="dxa"/>
          </w:tcPr>
          <w:p w14:paraId="04A620EF">
            <w:pPr>
              <w:spacing w:line="360" w:lineRule="auto"/>
              <w:rPr>
                <w:rFonts w:hint="eastAsia" w:ascii="宋体" w:hAnsi="宋体"/>
                <w:iCs/>
                <w:spacing w:val="20"/>
                <w:sz w:val="24"/>
                <w:szCs w:val="24"/>
              </w:rPr>
            </w:pPr>
          </w:p>
        </w:tc>
        <w:tc>
          <w:tcPr>
            <w:tcW w:w="1440" w:type="dxa"/>
          </w:tcPr>
          <w:p w14:paraId="04A620F0">
            <w:pPr>
              <w:spacing w:line="360" w:lineRule="auto"/>
              <w:rPr>
                <w:rFonts w:hint="eastAsia" w:ascii="宋体" w:hAnsi="宋体"/>
                <w:iCs/>
                <w:spacing w:val="20"/>
                <w:sz w:val="24"/>
                <w:szCs w:val="24"/>
              </w:rPr>
            </w:pPr>
          </w:p>
        </w:tc>
      </w:tr>
      <w:tr w14:paraId="04A62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720" w:type="dxa"/>
          </w:tcPr>
          <w:p w14:paraId="04A620F2">
            <w:pPr>
              <w:spacing w:line="360" w:lineRule="auto"/>
              <w:rPr>
                <w:rFonts w:hint="eastAsia" w:ascii="宋体" w:hAnsi="宋体"/>
                <w:iCs/>
                <w:spacing w:val="20"/>
                <w:sz w:val="24"/>
                <w:szCs w:val="24"/>
              </w:rPr>
            </w:pPr>
          </w:p>
        </w:tc>
        <w:tc>
          <w:tcPr>
            <w:tcW w:w="2880" w:type="dxa"/>
          </w:tcPr>
          <w:p w14:paraId="04A620F3">
            <w:pPr>
              <w:spacing w:line="360" w:lineRule="auto"/>
              <w:rPr>
                <w:rFonts w:hint="eastAsia" w:ascii="宋体" w:hAnsi="宋体"/>
                <w:sz w:val="24"/>
                <w:szCs w:val="24"/>
              </w:rPr>
            </w:pPr>
          </w:p>
        </w:tc>
        <w:tc>
          <w:tcPr>
            <w:tcW w:w="1440" w:type="dxa"/>
          </w:tcPr>
          <w:p w14:paraId="04A620F4">
            <w:pPr>
              <w:spacing w:line="360" w:lineRule="auto"/>
              <w:rPr>
                <w:rFonts w:hint="eastAsia" w:ascii="宋体" w:hAnsi="宋体"/>
                <w:iCs/>
                <w:spacing w:val="20"/>
                <w:sz w:val="24"/>
                <w:szCs w:val="24"/>
              </w:rPr>
            </w:pPr>
          </w:p>
        </w:tc>
        <w:tc>
          <w:tcPr>
            <w:tcW w:w="1080" w:type="dxa"/>
          </w:tcPr>
          <w:p w14:paraId="04A620F5">
            <w:pPr>
              <w:spacing w:line="360" w:lineRule="auto"/>
              <w:jc w:val="center"/>
              <w:rPr>
                <w:rFonts w:hint="eastAsia" w:ascii="宋体" w:hAnsi="宋体"/>
                <w:sz w:val="24"/>
                <w:szCs w:val="24"/>
              </w:rPr>
            </w:pPr>
          </w:p>
        </w:tc>
        <w:tc>
          <w:tcPr>
            <w:tcW w:w="1260" w:type="dxa"/>
          </w:tcPr>
          <w:p w14:paraId="04A620F6">
            <w:pPr>
              <w:spacing w:line="360" w:lineRule="auto"/>
              <w:rPr>
                <w:rFonts w:hint="eastAsia" w:ascii="宋体" w:hAnsi="宋体"/>
                <w:iCs/>
                <w:spacing w:val="20"/>
                <w:sz w:val="24"/>
                <w:szCs w:val="24"/>
              </w:rPr>
            </w:pPr>
          </w:p>
        </w:tc>
        <w:tc>
          <w:tcPr>
            <w:tcW w:w="1440" w:type="dxa"/>
          </w:tcPr>
          <w:p w14:paraId="04A620F7">
            <w:pPr>
              <w:spacing w:line="360" w:lineRule="auto"/>
              <w:rPr>
                <w:rFonts w:hint="eastAsia" w:ascii="宋体" w:hAnsi="宋体"/>
                <w:iCs/>
                <w:spacing w:val="20"/>
                <w:sz w:val="24"/>
                <w:szCs w:val="24"/>
              </w:rPr>
            </w:pPr>
          </w:p>
        </w:tc>
      </w:tr>
      <w:tr w14:paraId="04A62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720" w:type="dxa"/>
          </w:tcPr>
          <w:p w14:paraId="04A620F9">
            <w:pPr>
              <w:spacing w:line="360" w:lineRule="auto"/>
              <w:rPr>
                <w:rFonts w:hint="eastAsia" w:ascii="宋体" w:hAnsi="宋体"/>
                <w:iCs/>
                <w:spacing w:val="20"/>
                <w:sz w:val="24"/>
                <w:szCs w:val="24"/>
              </w:rPr>
            </w:pPr>
          </w:p>
        </w:tc>
        <w:tc>
          <w:tcPr>
            <w:tcW w:w="2880" w:type="dxa"/>
          </w:tcPr>
          <w:p w14:paraId="04A620FA">
            <w:pPr>
              <w:spacing w:line="360" w:lineRule="auto"/>
              <w:rPr>
                <w:rFonts w:hint="eastAsia" w:ascii="宋体" w:hAnsi="宋体"/>
                <w:sz w:val="24"/>
                <w:szCs w:val="24"/>
              </w:rPr>
            </w:pPr>
          </w:p>
        </w:tc>
        <w:tc>
          <w:tcPr>
            <w:tcW w:w="1440" w:type="dxa"/>
          </w:tcPr>
          <w:p w14:paraId="04A620FB">
            <w:pPr>
              <w:spacing w:line="360" w:lineRule="auto"/>
              <w:jc w:val="center"/>
              <w:rPr>
                <w:rFonts w:hint="eastAsia" w:ascii="宋体" w:hAnsi="宋体"/>
                <w:sz w:val="24"/>
                <w:szCs w:val="24"/>
              </w:rPr>
            </w:pPr>
          </w:p>
        </w:tc>
        <w:tc>
          <w:tcPr>
            <w:tcW w:w="1080" w:type="dxa"/>
          </w:tcPr>
          <w:p w14:paraId="04A620FC">
            <w:pPr>
              <w:spacing w:line="360" w:lineRule="auto"/>
              <w:jc w:val="center"/>
              <w:rPr>
                <w:rFonts w:hint="eastAsia" w:ascii="宋体" w:hAnsi="宋体"/>
                <w:sz w:val="24"/>
                <w:szCs w:val="24"/>
              </w:rPr>
            </w:pPr>
          </w:p>
        </w:tc>
        <w:tc>
          <w:tcPr>
            <w:tcW w:w="1260" w:type="dxa"/>
          </w:tcPr>
          <w:p w14:paraId="04A620FD">
            <w:pPr>
              <w:spacing w:line="360" w:lineRule="auto"/>
              <w:rPr>
                <w:rFonts w:hint="eastAsia" w:ascii="宋体" w:hAnsi="宋体"/>
                <w:iCs/>
                <w:spacing w:val="20"/>
                <w:sz w:val="24"/>
                <w:szCs w:val="24"/>
              </w:rPr>
            </w:pPr>
          </w:p>
        </w:tc>
        <w:tc>
          <w:tcPr>
            <w:tcW w:w="1440" w:type="dxa"/>
          </w:tcPr>
          <w:p w14:paraId="04A620FE">
            <w:pPr>
              <w:spacing w:line="360" w:lineRule="auto"/>
              <w:rPr>
                <w:rFonts w:hint="eastAsia" w:ascii="宋体" w:hAnsi="宋体"/>
                <w:iCs/>
                <w:spacing w:val="20"/>
                <w:sz w:val="24"/>
                <w:szCs w:val="24"/>
              </w:rPr>
            </w:pPr>
          </w:p>
        </w:tc>
      </w:tr>
      <w:tr w14:paraId="04A62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720" w:type="dxa"/>
          </w:tcPr>
          <w:p w14:paraId="04A62100">
            <w:pPr>
              <w:spacing w:line="360" w:lineRule="auto"/>
              <w:rPr>
                <w:rFonts w:hint="eastAsia" w:ascii="宋体" w:hAnsi="宋体"/>
                <w:iCs/>
                <w:spacing w:val="20"/>
                <w:sz w:val="24"/>
                <w:szCs w:val="24"/>
              </w:rPr>
            </w:pPr>
          </w:p>
        </w:tc>
        <w:tc>
          <w:tcPr>
            <w:tcW w:w="2880" w:type="dxa"/>
          </w:tcPr>
          <w:p w14:paraId="04A62101">
            <w:pPr>
              <w:spacing w:line="360" w:lineRule="auto"/>
              <w:rPr>
                <w:rFonts w:hint="eastAsia" w:ascii="宋体" w:hAnsi="宋体"/>
                <w:sz w:val="24"/>
                <w:szCs w:val="24"/>
              </w:rPr>
            </w:pPr>
          </w:p>
        </w:tc>
        <w:tc>
          <w:tcPr>
            <w:tcW w:w="1440" w:type="dxa"/>
          </w:tcPr>
          <w:p w14:paraId="04A62102">
            <w:pPr>
              <w:spacing w:line="360" w:lineRule="auto"/>
              <w:rPr>
                <w:rFonts w:hint="eastAsia" w:ascii="宋体" w:hAnsi="宋体"/>
                <w:iCs/>
                <w:spacing w:val="20"/>
                <w:sz w:val="24"/>
                <w:szCs w:val="24"/>
              </w:rPr>
            </w:pPr>
          </w:p>
        </w:tc>
        <w:tc>
          <w:tcPr>
            <w:tcW w:w="1080" w:type="dxa"/>
          </w:tcPr>
          <w:p w14:paraId="04A62103">
            <w:pPr>
              <w:spacing w:line="360" w:lineRule="auto"/>
              <w:jc w:val="center"/>
              <w:rPr>
                <w:rFonts w:hint="eastAsia" w:ascii="宋体" w:hAnsi="宋体"/>
                <w:sz w:val="24"/>
                <w:szCs w:val="24"/>
              </w:rPr>
            </w:pPr>
          </w:p>
        </w:tc>
        <w:tc>
          <w:tcPr>
            <w:tcW w:w="1260" w:type="dxa"/>
          </w:tcPr>
          <w:p w14:paraId="04A62104">
            <w:pPr>
              <w:spacing w:line="360" w:lineRule="auto"/>
              <w:rPr>
                <w:rFonts w:hint="eastAsia" w:ascii="宋体" w:hAnsi="宋体"/>
                <w:iCs/>
                <w:spacing w:val="20"/>
                <w:sz w:val="24"/>
                <w:szCs w:val="24"/>
              </w:rPr>
            </w:pPr>
          </w:p>
        </w:tc>
        <w:tc>
          <w:tcPr>
            <w:tcW w:w="1440" w:type="dxa"/>
          </w:tcPr>
          <w:p w14:paraId="04A62105">
            <w:pPr>
              <w:spacing w:line="360" w:lineRule="auto"/>
              <w:rPr>
                <w:rFonts w:hint="eastAsia" w:ascii="宋体" w:hAnsi="宋体"/>
                <w:iCs/>
                <w:spacing w:val="20"/>
                <w:sz w:val="24"/>
                <w:szCs w:val="24"/>
              </w:rPr>
            </w:pPr>
          </w:p>
        </w:tc>
      </w:tr>
      <w:tr w14:paraId="04A62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720" w:type="dxa"/>
          </w:tcPr>
          <w:p w14:paraId="04A62107">
            <w:pPr>
              <w:spacing w:line="360" w:lineRule="auto"/>
              <w:rPr>
                <w:rFonts w:hint="eastAsia" w:ascii="宋体" w:hAnsi="宋体"/>
                <w:iCs/>
                <w:spacing w:val="20"/>
                <w:sz w:val="24"/>
                <w:szCs w:val="24"/>
              </w:rPr>
            </w:pPr>
          </w:p>
        </w:tc>
        <w:tc>
          <w:tcPr>
            <w:tcW w:w="2880" w:type="dxa"/>
          </w:tcPr>
          <w:p w14:paraId="04A62108">
            <w:pPr>
              <w:spacing w:line="360" w:lineRule="auto"/>
              <w:rPr>
                <w:rFonts w:hint="eastAsia" w:ascii="宋体" w:hAnsi="宋体"/>
                <w:sz w:val="24"/>
                <w:szCs w:val="24"/>
              </w:rPr>
            </w:pPr>
          </w:p>
        </w:tc>
        <w:tc>
          <w:tcPr>
            <w:tcW w:w="1440" w:type="dxa"/>
          </w:tcPr>
          <w:p w14:paraId="04A62109">
            <w:pPr>
              <w:spacing w:line="360" w:lineRule="auto"/>
              <w:rPr>
                <w:rFonts w:hint="eastAsia" w:ascii="宋体" w:hAnsi="宋体"/>
                <w:iCs/>
                <w:spacing w:val="20"/>
                <w:sz w:val="24"/>
                <w:szCs w:val="24"/>
              </w:rPr>
            </w:pPr>
          </w:p>
        </w:tc>
        <w:tc>
          <w:tcPr>
            <w:tcW w:w="1080" w:type="dxa"/>
          </w:tcPr>
          <w:p w14:paraId="04A6210A">
            <w:pPr>
              <w:spacing w:line="360" w:lineRule="auto"/>
              <w:jc w:val="center"/>
              <w:rPr>
                <w:rFonts w:hint="eastAsia" w:ascii="宋体" w:hAnsi="宋体"/>
                <w:sz w:val="24"/>
                <w:szCs w:val="24"/>
              </w:rPr>
            </w:pPr>
          </w:p>
        </w:tc>
        <w:tc>
          <w:tcPr>
            <w:tcW w:w="1260" w:type="dxa"/>
          </w:tcPr>
          <w:p w14:paraId="04A6210B">
            <w:pPr>
              <w:spacing w:line="360" w:lineRule="auto"/>
              <w:rPr>
                <w:rFonts w:hint="eastAsia" w:ascii="宋体" w:hAnsi="宋体"/>
                <w:iCs/>
                <w:spacing w:val="20"/>
                <w:sz w:val="24"/>
                <w:szCs w:val="24"/>
              </w:rPr>
            </w:pPr>
          </w:p>
        </w:tc>
        <w:tc>
          <w:tcPr>
            <w:tcW w:w="1440" w:type="dxa"/>
          </w:tcPr>
          <w:p w14:paraId="04A6210C">
            <w:pPr>
              <w:spacing w:line="360" w:lineRule="auto"/>
              <w:rPr>
                <w:rFonts w:hint="eastAsia" w:ascii="宋体" w:hAnsi="宋体"/>
                <w:iCs/>
                <w:spacing w:val="20"/>
                <w:sz w:val="24"/>
                <w:szCs w:val="24"/>
              </w:rPr>
            </w:pPr>
          </w:p>
        </w:tc>
      </w:tr>
      <w:tr w14:paraId="04A62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720" w:type="dxa"/>
          </w:tcPr>
          <w:p w14:paraId="04A6210E">
            <w:pPr>
              <w:spacing w:line="360" w:lineRule="auto"/>
              <w:rPr>
                <w:rFonts w:hint="eastAsia" w:ascii="宋体" w:hAnsi="宋体"/>
                <w:iCs/>
                <w:spacing w:val="20"/>
                <w:sz w:val="24"/>
                <w:szCs w:val="24"/>
              </w:rPr>
            </w:pPr>
          </w:p>
        </w:tc>
        <w:tc>
          <w:tcPr>
            <w:tcW w:w="2880" w:type="dxa"/>
          </w:tcPr>
          <w:p w14:paraId="04A6210F">
            <w:pPr>
              <w:spacing w:line="360" w:lineRule="auto"/>
              <w:rPr>
                <w:rFonts w:hint="eastAsia" w:ascii="宋体" w:hAnsi="宋体"/>
                <w:sz w:val="24"/>
                <w:szCs w:val="24"/>
              </w:rPr>
            </w:pPr>
          </w:p>
        </w:tc>
        <w:tc>
          <w:tcPr>
            <w:tcW w:w="1440" w:type="dxa"/>
          </w:tcPr>
          <w:p w14:paraId="04A62110">
            <w:pPr>
              <w:spacing w:line="360" w:lineRule="auto"/>
              <w:rPr>
                <w:rFonts w:hint="eastAsia" w:ascii="宋体" w:hAnsi="宋体"/>
                <w:iCs/>
                <w:spacing w:val="20"/>
                <w:sz w:val="24"/>
                <w:szCs w:val="24"/>
              </w:rPr>
            </w:pPr>
          </w:p>
        </w:tc>
        <w:tc>
          <w:tcPr>
            <w:tcW w:w="1080" w:type="dxa"/>
          </w:tcPr>
          <w:p w14:paraId="04A62111">
            <w:pPr>
              <w:spacing w:line="360" w:lineRule="auto"/>
              <w:jc w:val="center"/>
              <w:rPr>
                <w:rFonts w:hint="eastAsia" w:ascii="宋体" w:hAnsi="宋体"/>
                <w:sz w:val="24"/>
                <w:szCs w:val="24"/>
              </w:rPr>
            </w:pPr>
          </w:p>
        </w:tc>
        <w:tc>
          <w:tcPr>
            <w:tcW w:w="1260" w:type="dxa"/>
          </w:tcPr>
          <w:p w14:paraId="04A62112">
            <w:pPr>
              <w:spacing w:line="360" w:lineRule="auto"/>
              <w:rPr>
                <w:rFonts w:hint="eastAsia" w:ascii="宋体" w:hAnsi="宋体"/>
                <w:iCs/>
                <w:spacing w:val="20"/>
                <w:sz w:val="24"/>
                <w:szCs w:val="24"/>
              </w:rPr>
            </w:pPr>
          </w:p>
        </w:tc>
        <w:tc>
          <w:tcPr>
            <w:tcW w:w="1440" w:type="dxa"/>
          </w:tcPr>
          <w:p w14:paraId="04A62113">
            <w:pPr>
              <w:spacing w:line="360" w:lineRule="auto"/>
              <w:rPr>
                <w:rFonts w:hint="eastAsia" w:ascii="宋体" w:hAnsi="宋体"/>
                <w:iCs/>
                <w:spacing w:val="20"/>
                <w:sz w:val="24"/>
                <w:szCs w:val="24"/>
              </w:rPr>
            </w:pPr>
          </w:p>
        </w:tc>
      </w:tr>
      <w:tr w14:paraId="04A62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720" w:type="dxa"/>
          </w:tcPr>
          <w:p w14:paraId="04A62115">
            <w:pPr>
              <w:spacing w:line="360" w:lineRule="auto"/>
              <w:rPr>
                <w:rFonts w:hint="eastAsia" w:ascii="宋体" w:hAnsi="宋体"/>
                <w:iCs/>
                <w:spacing w:val="20"/>
                <w:sz w:val="24"/>
                <w:szCs w:val="24"/>
              </w:rPr>
            </w:pPr>
          </w:p>
        </w:tc>
        <w:tc>
          <w:tcPr>
            <w:tcW w:w="2880" w:type="dxa"/>
          </w:tcPr>
          <w:p w14:paraId="04A62116">
            <w:pPr>
              <w:spacing w:line="360" w:lineRule="auto"/>
              <w:rPr>
                <w:rFonts w:hint="eastAsia" w:ascii="宋体" w:hAnsi="宋体"/>
                <w:sz w:val="24"/>
                <w:szCs w:val="24"/>
              </w:rPr>
            </w:pPr>
          </w:p>
        </w:tc>
        <w:tc>
          <w:tcPr>
            <w:tcW w:w="1440" w:type="dxa"/>
          </w:tcPr>
          <w:p w14:paraId="04A62117">
            <w:pPr>
              <w:spacing w:line="360" w:lineRule="auto"/>
              <w:rPr>
                <w:rFonts w:hint="eastAsia" w:ascii="宋体" w:hAnsi="宋体"/>
                <w:iCs/>
                <w:spacing w:val="20"/>
                <w:sz w:val="24"/>
                <w:szCs w:val="24"/>
              </w:rPr>
            </w:pPr>
          </w:p>
        </w:tc>
        <w:tc>
          <w:tcPr>
            <w:tcW w:w="1080" w:type="dxa"/>
          </w:tcPr>
          <w:p w14:paraId="04A62118">
            <w:pPr>
              <w:spacing w:line="360" w:lineRule="auto"/>
              <w:rPr>
                <w:rFonts w:hint="eastAsia" w:ascii="宋体" w:hAnsi="宋体"/>
                <w:iCs/>
                <w:spacing w:val="20"/>
                <w:sz w:val="24"/>
                <w:szCs w:val="24"/>
              </w:rPr>
            </w:pPr>
          </w:p>
        </w:tc>
        <w:tc>
          <w:tcPr>
            <w:tcW w:w="1260" w:type="dxa"/>
          </w:tcPr>
          <w:p w14:paraId="04A62119">
            <w:pPr>
              <w:spacing w:line="360" w:lineRule="auto"/>
              <w:rPr>
                <w:rFonts w:hint="eastAsia" w:ascii="宋体" w:hAnsi="宋体"/>
                <w:iCs/>
                <w:spacing w:val="20"/>
                <w:sz w:val="24"/>
                <w:szCs w:val="24"/>
              </w:rPr>
            </w:pPr>
          </w:p>
        </w:tc>
        <w:tc>
          <w:tcPr>
            <w:tcW w:w="1440" w:type="dxa"/>
          </w:tcPr>
          <w:p w14:paraId="04A6211A">
            <w:pPr>
              <w:spacing w:line="360" w:lineRule="auto"/>
              <w:rPr>
                <w:rFonts w:hint="eastAsia" w:ascii="宋体" w:hAnsi="宋体"/>
                <w:iCs/>
                <w:spacing w:val="20"/>
                <w:sz w:val="24"/>
                <w:szCs w:val="24"/>
              </w:rPr>
            </w:pPr>
          </w:p>
        </w:tc>
      </w:tr>
      <w:tr w14:paraId="04A62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720" w:type="dxa"/>
          </w:tcPr>
          <w:p w14:paraId="04A6211C">
            <w:pPr>
              <w:spacing w:line="360" w:lineRule="auto"/>
              <w:rPr>
                <w:rFonts w:hint="eastAsia" w:ascii="宋体" w:hAnsi="宋体"/>
                <w:iCs/>
                <w:spacing w:val="20"/>
                <w:sz w:val="24"/>
                <w:szCs w:val="24"/>
              </w:rPr>
            </w:pPr>
          </w:p>
        </w:tc>
        <w:tc>
          <w:tcPr>
            <w:tcW w:w="2880" w:type="dxa"/>
          </w:tcPr>
          <w:p w14:paraId="04A6211D">
            <w:pPr>
              <w:spacing w:line="360" w:lineRule="auto"/>
              <w:rPr>
                <w:rFonts w:hint="eastAsia" w:ascii="宋体" w:hAnsi="宋体"/>
                <w:sz w:val="24"/>
                <w:szCs w:val="24"/>
              </w:rPr>
            </w:pPr>
          </w:p>
        </w:tc>
        <w:tc>
          <w:tcPr>
            <w:tcW w:w="1440" w:type="dxa"/>
          </w:tcPr>
          <w:p w14:paraId="04A6211E">
            <w:pPr>
              <w:spacing w:line="360" w:lineRule="auto"/>
              <w:rPr>
                <w:rFonts w:hint="eastAsia" w:ascii="宋体" w:hAnsi="宋体"/>
                <w:iCs/>
                <w:spacing w:val="20"/>
                <w:sz w:val="24"/>
                <w:szCs w:val="24"/>
              </w:rPr>
            </w:pPr>
          </w:p>
        </w:tc>
        <w:tc>
          <w:tcPr>
            <w:tcW w:w="1080" w:type="dxa"/>
          </w:tcPr>
          <w:p w14:paraId="04A6211F">
            <w:pPr>
              <w:spacing w:line="360" w:lineRule="auto"/>
              <w:rPr>
                <w:rFonts w:hint="eastAsia" w:ascii="宋体" w:hAnsi="宋体"/>
                <w:iCs/>
                <w:spacing w:val="20"/>
                <w:sz w:val="24"/>
                <w:szCs w:val="24"/>
              </w:rPr>
            </w:pPr>
          </w:p>
        </w:tc>
        <w:tc>
          <w:tcPr>
            <w:tcW w:w="1260" w:type="dxa"/>
          </w:tcPr>
          <w:p w14:paraId="04A62120">
            <w:pPr>
              <w:spacing w:line="360" w:lineRule="auto"/>
              <w:rPr>
                <w:rFonts w:hint="eastAsia" w:ascii="宋体" w:hAnsi="宋体"/>
                <w:iCs/>
                <w:spacing w:val="20"/>
                <w:sz w:val="24"/>
                <w:szCs w:val="24"/>
              </w:rPr>
            </w:pPr>
          </w:p>
        </w:tc>
        <w:tc>
          <w:tcPr>
            <w:tcW w:w="1440" w:type="dxa"/>
          </w:tcPr>
          <w:p w14:paraId="04A62121">
            <w:pPr>
              <w:spacing w:line="360" w:lineRule="auto"/>
              <w:rPr>
                <w:rFonts w:hint="eastAsia" w:ascii="宋体" w:hAnsi="宋体"/>
                <w:iCs/>
                <w:spacing w:val="20"/>
                <w:sz w:val="24"/>
                <w:szCs w:val="24"/>
              </w:rPr>
            </w:pPr>
          </w:p>
        </w:tc>
      </w:tr>
      <w:tr w14:paraId="04A62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720" w:type="dxa"/>
          </w:tcPr>
          <w:p w14:paraId="04A62123">
            <w:pPr>
              <w:spacing w:line="360" w:lineRule="auto"/>
              <w:rPr>
                <w:rFonts w:hint="eastAsia" w:ascii="宋体" w:hAnsi="宋体"/>
                <w:iCs/>
                <w:spacing w:val="20"/>
                <w:sz w:val="24"/>
                <w:szCs w:val="24"/>
              </w:rPr>
            </w:pPr>
          </w:p>
        </w:tc>
        <w:tc>
          <w:tcPr>
            <w:tcW w:w="2880" w:type="dxa"/>
          </w:tcPr>
          <w:p w14:paraId="04A62124">
            <w:pPr>
              <w:spacing w:line="360" w:lineRule="auto"/>
              <w:rPr>
                <w:rFonts w:hint="eastAsia" w:ascii="宋体" w:hAnsi="宋体"/>
                <w:sz w:val="24"/>
                <w:szCs w:val="24"/>
              </w:rPr>
            </w:pPr>
          </w:p>
        </w:tc>
        <w:tc>
          <w:tcPr>
            <w:tcW w:w="1440" w:type="dxa"/>
          </w:tcPr>
          <w:p w14:paraId="04A62125">
            <w:pPr>
              <w:spacing w:line="360" w:lineRule="auto"/>
              <w:rPr>
                <w:rFonts w:hint="eastAsia" w:ascii="宋体" w:hAnsi="宋体"/>
                <w:iCs/>
                <w:spacing w:val="20"/>
                <w:sz w:val="24"/>
                <w:szCs w:val="24"/>
              </w:rPr>
            </w:pPr>
          </w:p>
        </w:tc>
        <w:tc>
          <w:tcPr>
            <w:tcW w:w="1080" w:type="dxa"/>
          </w:tcPr>
          <w:p w14:paraId="04A62126">
            <w:pPr>
              <w:spacing w:line="360" w:lineRule="auto"/>
              <w:rPr>
                <w:rFonts w:hint="eastAsia" w:ascii="宋体" w:hAnsi="宋体"/>
                <w:iCs/>
                <w:spacing w:val="20"/>
                <w:sz w:val="24"/>
                <w:szCs w:val="24"/>
              </w:rPr>
            </w:pPr>
          </w:p>
        </w:tc>
        <w:tc>
          <w:tcPr>
            <w:tcW w:w="1260" w:type="dxa"/>
          </w:tcPr>
          <w:p w14:paraId="04A62127">
            <w:pPr>
              <w:spacing w:line="360" w:lineRule="auto"/>
              <w:rPr>
                <w:rFonts w:hint="eastAsia" w:ascii="宋体" w:hAnsi="宋体"/>
                <w:iCs/>
                <w:spacing w:val="20"/>
                <w:sz w:val="24"/>
                <w:szCs w:val="24"/>
              </w:rPr>
            </w:pPr>
          </w:p>
        </w:tc>
        <w:tc>
          <w:tcPr>
            <w:tcW w:w="1440" w:type="dxa"/>
          </w:tcPr>
          <w:p w14:paraId="04A62128">
            <w:pPr>
              <w:spacing w:line="360" w:lineRule="auto"/>
              <w:rPr>
                <w:rFonts w:hint="eastAsia" w:ascii="宋体" w:hAnsi="宋体"/>
                <w:iCs/>
                <w:spacing w:val="20"/>
                <w:sz w:val="24"/>
                <w:szCs w:val="24"/>
              </w:rPr>
            </w:pPr>
          </w:p>
        </w:tc>
      </w:tr>
      <w:tr w14:paraId="04A62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720" w:type="dxa"/>
          </w:tcPr>
          <w:p w14:paraId="04A6212A">
            <w:pPr>
              <w:spacing w:line="360" w:lineRule="auto"/>
              <w:rPr>
                <w:rFonts w:hint="eastAsia" w:ascii="宋体" w:hAnsi="宋体"/>
                <w:iCs/>
                <w:spacing w:val="20"/>
                <w:sz w:val="24"/>
                <w:szCs w:val="24"/>
              </w:rPr>
            </w:pPr>
          </w:p>
        </w:tc>
        <w:tc>
          <w:tcPr>
            <w:tcW w:w="2880" w:type="dxa"/>
          </w:tcPr>
          <w:p w14:paraId="04A6212B">
            <w:pPr>
              <w:spacing w:line="360" w:lineRule="auto"/>
              <w:rPr>
                <w:rFonts w:hint="eastAsia" w:ascii="宋体" w:hAnsi="宋体"/>
                <w:sz w:val="24"/>
                <w:szCs w:val="24"/>
              </w:rPr>
            </w:pPr>
          </w:p>
        </w:tc>
        <w:tc>
          <w:tcPr>
            <w:tcW w:w="1440" w:type="dxa"/>
          </w:tcPr>
          <w:p w14:paraId="04A6212C">
            <w:pPr>
              <w:spacing w:line="360" w:lineRule="auto"/>
              <w:rPr>
                <w:rFonts w:hint="eastAsia" w:ascii="宋体" w:hAnsi="宋体"/>
                <w:iCs/>
                <w:spacing w:val="20"/>
                <w:sz w:val="24"/>
                <w:szCs w:val="24"/>
              </w:rPr>
            </w:pPr>
          </w:p>
        </w:tc>
        <w:tc>
          <w:tcPr>
            <w:tcW w:w="1080" w:type="dxa"/>
          </w:tcPr>
          <w:p w14:paraId="04A6212D">
            <w:pPr>
              <w:spacing w:line="360" w:lineRule="auto"/>
              <w:rPr>
                <w:rFonts w:hint="eastAsia" w:ascii="宋体" w:hAnsi="宋体"/>
                <w:iCs/>
                <w:spacing w:val="20"/>
                <w:sz w:val="24"/>
                <w:szCs w:val="24"/>
              </w:rPr>
            </w:pPr>
          </w:p>
        </w:tc>
        <w:tc>
          <w:tcPr>
            <w:tcW w:w="1260" w:type="dxa"/>
          </w:tcPr>
          <w:p w14:paraId="04A6212E">
            <w:pPr>
              <w:spacing w:line="360" w:lineRule="auto"/>
              <w:rPr>
                <w:rFonts w:hint="eastAsia" w:ascii="宋体" w:hAnsi="宋体"/>
                <w:iCs/>
                <w:spacing w:val="20"/>
                <w:sz w:val="24"/>
                <w:szCs w:val="24"/>
              </w:rPr>
            </w:pPr>
          </w:p>
        </w:tc>
        <w:tc>
          <w:tcPr>
            <w:tcW w:w="1440" w:type="dxa"/>
          </w:tcPr>
          <w:p w14:paraId="04A6212F">
            <w:pPr>
              <w:spacing w:line="360" w:lineRule="auto"/>
              <w:rPr>
                <w:rFonts w:hint="eastAsia" w:ascii="宋体" w:hAnsi="宋体"/>
                <w:iCs/>
                <w:spacing w:val="20"/>
                <w:sz w:val="24"/>
                <w:szCs w:val="24"/>
              </w:rPr>
            </w:pPr>
          </w:p>
        </w:tc>
      </w:tr>
      <w:tr w14:paraId="04A62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720" w:type="dxa"/>
          </w:tcPr>
          <w:p w14:paraId="04A62131">
            <w:pPr>
              <w:spacing w:line="360" w:lineRule="auto"/>
              <w:rPr>
                <w:rFonts w:hint="eastAsia" w:ascii="宋体" w:hAnsi="宋体"/>
                <w:iCs/>
                <w:spacing w:val="20"/>
                <w:sz w:val="24"/>
                <w:szCs w:val="24"/>
              </w:rPr>
            </w:pPr>
          </w:p>
        </w:tc>
        <w:tc>
          <w:tcPr>
            <w:tcW w:w="2880" w:type="dxa"/>
          </w:tcPr>
          <w:p w14:paraId="04A62132">
            <w:pPr>
              <w:spacing w:line="360" w:lineRule="auto"/>
              <w:rPr>
                <w:rFonts w:hint="eastAsia" w:ascii="宋体" w:hAnsi="宋体"/>
                <w:sz w:val="24"/>
                <w:szCs w:val="24"/>
              </w:rPr>
            </w:pPr>
          </w:p>
        </w:tc>
        <w:tc>
          <w:tcPr>
            <w:tcW w:w="1440" w:type="dxa"/>
          </w:tcPr>
          <w:p w14:paraId="04A62133">
            <w:pPr>
              <w:spacing w:line="360" w:lineRule="auto"/>
              <w:rPr>
                <w:rFonts w:hint="eastAsia" w:ascii="宋体" w:hAnsi="宋体"/>
                <w:iCs/>
                <w:spacing w:val="20"/>
                <w:sz w:val="24"/>
                <w:szCs w:val="24"/>
              </w:rPr>
            </w:pPr>
          </w:p>
        </w:tc>
        <w:tc>
          <w:tcPr>
            <w:tcW w:w="1080" w:type="dxa"/>
          </w:tcPr>
          <w:p w14:paraId="04A62134">
            <w:pPr>
              <w:spacing w:line="360" w:lineRule="auto"/>
              <w:rPr>
                <w:rFonts w:hint="eastAsia" w:ascii="宋体" w:hAnsi="宋体"/>
                <w:iCs/>
                <w:spacing w:val="20"/>
                <w:sz w:val="24"/>
                <w:szCs w:val="24"/>
              </w:rPr>
            </w:pPr>
          </w:p>
        </w:tc>
        <w:tc>
          <w:tcPr>
            <w:tcW w:w="1260" w:type="dxa"/>
          </w:tcPr>
          <w:p w14:paraId="04A62135">
            <w:pPr>
              <w:spacing w:line="360" w:lineRule="auto"/>
              <w:rPr>
                <w:rFonts w:hint="eastAsia" w:ascii="宋体" w:hAnsi="宋体"/>
                <w:iCs/>
                <w:spacing w:val="20"/>
                <w:sz w:val="24"/>
                <w:szCs w:val="24"/>
              </w:rPr>
            </w:pPr>
          </w:p>
        </w:tc>
        <w:tc>
          <w:tcPr>
            <w:tcW w:w="1440" w:type="dxa"/>
          </w:tcPr>
          <w:p w14:paraId="04A62136">
            <w:pPr>
              <w:spacing w:line="360" w:lineRule="auto"/>
              <w:rPr>
                <w:rFonts w:hint="eastAsia" w:ascii="宋体" w:hAnsi="宋体"/>
                <w:iCs/>
                <w:spacing w:val="20"/>
                <w:sz w:val="24"/>
                <w:szCs w:val="24"/>
              </w:rPr>
            </w:pPr>
          </w:p>
        </w:tc>
      </w:tr>
    </w:tbl>
    <w:p w14:paraId="04A62138">
      <w:pPr>
        <w:spacing w:line="480" w:lineRule="auto"/>
        <w:rPr>
          <w:rFonts w:hint="eastAsia" w:ascii="宋体" w:hAnsi="宋体"/>
          <w:sz w:val="24"/>
          <w:szCs w:val="24"/>
        </w:rPr>
      </w:pPr>
      <w:r>
        <w:rPr>
          <w:rFonts w:ascii="宋体" w:hAnsi="宋体"/>
          <w:sz w:val="24"/>
          <w:szCs w:val="24"/>
        </w:rPr>
        <w:t>投标人（盖章）：</w:t>
      </w:r>
    </w:p>
    <w:p w14:paraId="04A62139">
      <w:pPr>
        <w:spacing w:line="480" w:lineRule="auto"/>
        <w:rPr>
          <w:rFonts w:hint="eastAsia" w:ascii="宋体" w:hAnsi="宋体"/>
          <w:sz w:val="24"/>
          <w:szCs w:val="24"/>
        </w:rPr>
      </w:pPr>
      <w:r>
        <w:rPr>
          <w:rFonts w:ascii="宋体" w:hAnsi="宋体"/>
          <w:sz w:val="24"/>
          <w:szCs w:val="24"/>
        </w:rPr>
        <w:t>授权代表（签字）：</w:t>
      </w:r>
    </w:p>
    <w:p w14:paraId="04A6213A">
      <w:pPr>
        <w:rPr>
          <w:rFonts w:hint="eastAsia" w:ascii="宋体" w:hAnsi="宋体"/>
          <w:sz w:val="24"/>
          <w:szCs w:val="24"/>
        </w:rPr>
      </w:pPr>
    </w:p>
    <w:p w14:paraId="04A6213B">
      <w:pPr>
        <w:snapToGrid w:val="0"/>
        <w:rPr>
          <w:rFonts w:hint="eastAsia" w:ascii="宋体" w:hAnsi="宋体"/>
          <w:sz w:val="24"/>
          <w:szCs w:val="24"/>
        </w:rPr>
      </w:pPr>
    </w:p>
    <w:p w14:paraId="04A6213C">
      <w:pPr>
        <w:jc w:val="left"/>
        <w:rPr>
          <w:rFonts w:hint="eastAsia" w:ascii="宋体" w:hAnsi="宋体"/>
          <w:b/>
          <w:iCs/>
          <w:spacing w:val="20"/>
          <w:sz w:val="24"/>
          <w:szCs w:val="24"/>
        </w:rPr>
      </w:pPr>
      <w:r>
        <w:rPr>
          <w:rFonts w:ascii="宋体" w:hAnsi="宋体"/>
          <w:b/>
          <w:iCs/>
          <w:spacing w:val="20"/>
          <w:sz w:val="24"/>
          <w:szCs w:val="24"/>
        </w:rPr>
        <w:t>附件</w:t>
      </w:r>
      <w:r>
        <w:rPr>
          <w:rFonts w:hint="eastAsia" w:ascii="宋体" w:hAnsi="宋体"/>
          <w:b/>
          <w:iCs/>
          <w:spacing w:val="20"/>
          <w:sz w:val="24"/>
          <w:szCs w:val="24"/>
        </w:rPr>
        <w:t>4</w:t>
      </w:r>
      <w:r>
        <w:rPr>
          <w:rFonts w:ascii="宋体" w:hAnsi="宋体"/>
          <w:b/>
          <w:iCs/>
          <w:spacing w:val="20"/>
          <w:sz w:val="24"/>
          <w:szCs w:val="24"/>
        </w:rPr>
        <w:t>：</w:t>
      </w:r>
    </w:p>
    <w:p w14:paraId="04A6213D">
      <w:pPr>
        <w:pStyle w:val="3"/>
        <w:rPr>
          <w:rFonts w:hint="eastAsia" w:ascii="宋体" w:hAnsi="宋体" w:eastAsia="宋体"/>
          <w:sz w:val="24"/>
          <w:szCs w:val="24"/>
        </w:rPr>
      </w:pPr>
      <w:bookmarkStart w:id="76" w:name="_Toc161131012"/>
      <w:bookmarkStart w:id="77" w:name="_Toc441676677"/>
      <w:r>
        <w:rPr>
          <w:rFonts w:ascii="宋体" w:hAnsi="宋体" w:eastAsia="宋体"/>
          <w:sz w:val="24"/>
          <w:szCs w:val="24"/>
        </w:rPr>
        <w:t>资格、资质证明文件</w:t>
      </w:r>
      <w:bookmarkEnd w:id="76"/>
      <w:bookmarkEnd w:id="77"/>
    </w:p>
    <w:p w14:paraId="04A6213E">
      <w:pPr>
        <w:jc w:val="center"/>
        <w:rPr>
          <w:rFonts w:hint="eastAsia" w:ascii="宋体" w:hAnsi="宋体"/>
          <w:sz w:val="24"/>
          <w:szCs w:val="24"/>
        </w:rPr>
      </w:pPr>
    </w:p>
    <w:p w14:paraId="04A6213F">
      <w:pPr>
        <w:spacing w:line="360" w:lineRule="auto"/>
        <w:jc w:val="left"/>
        <w:rPr>
          <w:rFonts w:hint="eastAsia" w:ascii="宋体" w:hAnsi="宋体"/>
          <w:sz w:val="24"/>
          <w:szCs w:val="24"/>
        </w:rPr>
      </w:pPr>
      <w:r>
        <w:rPr>
          <w:rFonts w:hint="eastAsia" w:ascii="宋体" w:hAnsi="宋体"/>
          <w:sz w:val="24"/>
          <w:szCs w:val="24"/>
        </w:rPr>
        <w:t>A．法人代表授权书</w:t>
      </w:r>
    </w:p>
    <w:p w14:paraId="04A62140">
      <w:pPr>
        <w:spacing w:line="360" w:lineRule="auto"/>
        <w:rPr>
          <w:rFonts w:hint="eastAsia" w:ascii="宋体" w:hAnsi="宋体"/>
          <w:sz w:val="24"/>
          <w:szCs w:val="24"/>
        </w:rPr>
      </w:pPr>
      <w:r>
        <w:rPr>
          <w:rFonts w:ascii="宋体" w:hAnsi="宋体"/>
          <w:sz w:val="24"/>
          <w:szCs w:val="24"/>
        </w:rPr>
        <w:t xml:space="preserve">    本授权书声明：注册于</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rPr>
        <w:t>（地区名称）</w:t>
      </w:r>
      <w:r>
        <w:rPr>
          <w:rFonts w:hint="eastAsia" w:ascii="宋体" w:hAnsi="宋体"/>
          <w:sz w:val="24"/>
          <w:szCs w:val="24"/>
        </w:rPr>
        <w:t xml:space="preserve"> </w:t>
      </w:r>
      <w:r>
        <w:rPr>
          <w:rFonts w:ascii="宋体" w:hAnsi="宋体"/>
          <w:sz w:val="24"/>
          <w:szCs w:val="24"/>
        </w:rPr>
        <w:t xml:space="preserve">的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（公司名称）的</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rPr>
        <w:t>（法人代表姓名、职务）代表本公司授权</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rPr>
        <w:t xml:space="preserve">（单位名称）的在下面签字的 </w:t>
      </w:r>
      <w:r>
        <w:rPr>
          <w:rFonts w:hint="eastAsia" w:ascii="宋体" w:hAnsi="宋体"/>
          <w:sz w:val="24"/>
          <w:szCs w:val="24"/>
          <w:u w:val="single"/>
        </w:rPr>
        <w:t xml:space="preserve">            </w:t>
      </w:r>
      <w:r>
        <w:rPr>
          <w:rFonts w:hint="eastAsia" w:ascii="宋体" w:hAnsi="宋体"/>
          <w:sz w:val="24"/>
          <w:szCs w:val="24"/>
        </w:rPr>
        <w:t>（</w:t>
      </w:r>
      <w:r>
        <w:rPr>
          <w:rFonts w:ascii="宋体" w:hAnsi="宋体"/>
          <w:sz w:val="24"/>
          <w:szCs w:val="24"/>
        </w:rPr>
        <w:t>被授权人的姓名、职务）为本公司的合法代理人，就</w:t>
      </w:r>
      <w:r>
        <w:rPr>
          <w:rFonts w:hint="eastAsia" w:ascii="宋体" w:hAnsi="宋体"/>
          <w:sz w:val="24"/>
          <w:szCs w:val="24"/>
          <w:u w:val="single"/>
        </w:rPr>
        <w:t xml:space="preserve">        &lt;                &gt;</w:t>
      </w:r>
      <w:r>
        <w:rPr>
          <w:rFonts w:ascii="宋体" w:hAnsi="宋体"/>
          <w:sz w:val="24"/>
          <w:szCs w:val="24"/>
        </w:rPr>
        <w:t>（项目名称）投标，以本公司名义处理一切与之有关的事务</w:t>
      </w:r>
      <w:r>
        <w:rPr>
          <w:rFonts w:hint="eastAsia" w:ascii="宋体" w:hAnsi="宋体"/>
          <w:sz w:val="24"/>
          <w:szCs w:val="24"/>
        </w:rPr>
        <w:t>，我公司均予以承认。</w:t>
      </w:r>
    </w:p>
    <w:p w14:paraId="04A62141">
      <w:pPr>
        <w:spacing w:line="360" w:lineRule="auto"/>
        <w:rPr>
          <w:rFonts w:hint="eastAsia" w:ascii="宋体" w:hAnsi="宋体"/>
          <w:sz w:val="24"/>
          <w:szCs w:val="24"/>
        </w:rPr>
      </w:pPr>
      <w:r>
        <w:rPr>
          <w:rFonts w:ascii="宋体" w:hAnsi="宋体"/>
          <w:sz w:val="24"/>
          <w:szCs w:val="24"/>
        </w:rPr>
        <w:t xml:space="preserve">    本授权书于</w:t>
      </w:r>
      <w:r>
        <w:rPr>
          <w:rFonts w:ascii="宋体" w:hAnsi="宋体"/>
          <w:sz w:val="24"/>
          <w:szCs w:val="24"/>
          <w:u w:val="single"/>
        </w:rPr>
        <w:t xml:space="preserve">     </w:t>
      </w:r>
      <w:r>
        <w:rPr>
          <w:rFonts w:ascii="宋体" w:hAnsi="宋体"/>
          <w:sz w:val="24"/>
          <w:szCs w:val="24"/>
        </w:rPr>
        <w:t>年</w:t>
      </w:r>
      <w:r>
        <w:rPr>
          <w:rFonts w:ascii="宋体" w:hAnsi="宋体"/>
          <w:sz w:val="24"/>
          <w:szCs w:val="24"/>
          <w:u w:val="single"/>
        </w:rPr>
        <w:t xml:space="preserve">   </w:t>
      </w:r>
      <w:r>
        <w:rPr>
          <w:rFonts w:ascii="宋体" w:hAnsi="宋体"/>
          <w:sz w:val="24"/>
          <w:szCs w:val="24"/>
        </w:rPr>
        <w:t>月</w:t>
      </w:r>
      <w:r>
        <w:rPr>
          <w:rFonts w:ascii="宋体" w:hAnsi="宋体"/>
          <w:sz w:val="24"/>
          <w:szCs w:val="24"/>
          <w:u w:val="single"/>
        </w:rPr>
        <w:t xml:space="preserve">   </w:t>
      </w:r>
      <w:r>
        <w:rPr>
          <w:rFonts w:ascii="宋体" w:hAnsi="宋体"/>
          <w:sz w:val="24"/>
          <w:szCs w:val="24"/>
        </w:rPr>
        <w:t>日签字生效，特此声明。</w:t>
      </w:r>
    </w:p>
    <w:p w14:paraId="04A62142">
      <w:pPr>
        <w:spacing w:line="360" w:lineRule="auto"/>
        <w:rPr>
          <w:rFonts w:hint="eastAsia" w:ascii="宋体" w:hAnsi="宋体"/>
          <w:sz w:val="24"/>
          <w:szCs w:val="24"/>
        </w:rPr>
      </w:pPr>
      <w:r>
        <w:rPr>
          <w:rFonts w:ascii="宋体" w:hAnsi="宋体"/>
          <w:sz w:val="24"/>
          <w:szCs w:val="24"/>
        </w:rPr>
        <w:t>法人代表签字：</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 xml:space="preserve"> </w:t>
      </w:r>
    </w:p>
    <w:p w14:paraId="04A62143">
      <w:pPr>
        <w:spacing w:line="360" w:lineRule="auto"/>
        <w:rPr>
          <w:rFonts w:hint="eastAsia" w:ascii="宋体" w:hAnsi="宋体"/>
          <w:sz w:val="24"/>
          <w:szCs w:val="24"/>
        </w:rPr>
      </w:pPr>
      <w:r>
        <w:rPr>
          <w:rFonts w:ascii="宋体" w:hAnsi="宋体"/>
          <w:sz w:val="24"/>
          <w:szCs w:val="24"/>
        </w:rPr>
        <w:t>被授权人签字：</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14:paraId="04A62144">
      <w:pPr>
        <w:spacing w:line="360" w:lineRule="auto"/>
        <w:rPr>
          <w:rFonts w:hint="eastAsia" w:ascii="宋体" w:hAnsi="宋体"/>
          <w:sz w:val="24"/>
          <w:szCs w:val="24"/>
        </w:rPr>
      </w:pPr>
      <w:r>
        <w:rPr>
          <w:rFonts w:ascii="宋体" w:hAnsi="宋体"/>
          <w:sz w:val="24"/>
          <w:szCs w:val="24"/>
        </w:rPr>
        <w:t>见证人签字：</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14:paraId="04A62145">
      <w:pPr>
        <w:spacing w:line="360" w:lineRule="auto"/>
        <w:rPr>
          <w:rFonts w:hint="eastAsia" w:ascii="宋体" w:hAnsi="宋体"/>
          <w:sz w:val="24"/>
          <w:szCs w:val="24"/>
        </w:rPr>
      </w:pPr>
      <w:r>
        <w:rPr>
          <w:rFonts w:ascii="宋体" w:hAnsi="宋体"/>
          <w:sz w:val="24"/>
          <w:szCs w:val="24"/>
        </w:rPr>
        <w:t>见证人姓名和职务：</w:t>
      </w:r>
      <w:r>
        <w:rPr>
          <w:rFonts w:ascii="宋体" w:hAnsi="宋体"/>
          <w:sz w:val="24"/>
          <w:szCs w:val="24"/>
          <w:u w:val="single"/>
        </w:rPr>
        <w:t xml:space="preserve">                         </w:t>
      </w:r>
    </w:p>
    <w:p w14:paraId="04A62146">
      <w:pPr>
        <w:spacing w:line="360" w:lineRule="auto"/>
        <w:rPr>
          <w:rFonts w:hint="eastAsia" w:ascii="宋体" w:hAnsi="宋体"/>
          <w:sz w:val="24"/>
          <w:szCs w:val="24"/>
        </w:rPr>
      </w:pPr>
      <w:r>
        <w:rPr>
          <w:rFonts w:ascii="宋体" w:hAnsi="宋体"/>
          <w:sz w:val="24"/>
          <w:szCs w:val="24"/>
        </w:rPr>
        <w:t>见证人单位名称：</w:t>
      </w:r>
      <w:r>
        <w:rPr>
          <w:rFonts w:ascii="宋体" w:hAnsi="宋体"/>
          <w:sz w:val="24"/>
          <w:szCs w:val="24"/>
          <w:u w:val="single"/>
        </w:rPr>
        <w:t xml:space="preserve">                           </w:t>
      </w:r>
    </w:p>
    <w:p w14:paraId="04A62147">
      <w:pPr>
        <w:spacing w:line="360" w:lineRule="auto"/>
        <w:rPr>
          <w:rFonts w:hint="eastAsia" w:ascii="宋体" w:hAnsi="宋体"/>
          <w:sz w:val="24"/>
          <w:szCs w:val="24"/>
        </w:rPr>
      </w:pPr>
      <w:r>
        <w:rPr>
          <w:rFonts w:ascii="宋体" w:hAnsi="宋体"/>
          <w:sz w:val="24"/>
          <w:szCs w:val="24"/>
        </w:rPr>
        <w:t>见证人地址：</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14:paraId="04A62148">
      <w:pPr>
        <w:spacing w:line="360" w:lineRule="auto"/>
        <w:jc w:val="left"/>
        <w:rPr>
          <w:rFonts w:hint="eastAsia" w:ascii="宋体" w:hAnsi="宋体"/>
          <w:sz w:val="24"/>
          <w:szCs w:val="24"/>
        </w:rPr>
      </w:pPr>
      <w:r>
        <w:rPr>
          <w:rFonts w:ascii="宋体" w:hAnsi="宋体"/>
          <w:sz w:val="24"/>
          <w:szCs w:val="24"/>
        </w:rPr>
        <w:t>B．营业执照复印件，加盖公章</w:t>
      </w:r>
      <w:r>
        <w:rPr>
          <w:rFonts w:hint="eastAsia" w:ascii="宋体" w:hAnsi="宋体"/>
          <w:sz w:val="24"/>
          <w:szCs w:val="24"/>
        </w:rPr>
        <w:t>。</w:t>
      </w:r>
    </w:p>
    <w:p w14:paraId="04A62149">
      <w:pPr>
        <w:spacing w:line="360" w:lineRule="auto"/>
        <w:jc w:val="left"/>
        <w:rPr>
          <w:rFonts w:hint="eastAsia" w:ascii="宋体" w:hAnsi="宋体"/>
          <w:sz w:val="24"/>
          <w:szCs w:val="24"/>
        </w:rPr>
      </w:pPr>
      <w:r>
        <w:rPr>
          <w:rFonts w:ascii="宋体" w:hAnsi="宋体"/>
          <w:sz w:val="24"/>
          <w:szCs w:val="24"/>
        </w:rPr>
        <w:t>C．</w:t>
      </w:r>
      <w:r>
        <w:rPr>
          <w:rFonts w:hint="eastAsia" w:ascii="宋体" w:hAnsi="宋体"/>
          <w:sz w:val="24"/>
          <w:szCs w:val="24"/>
        </w:rPr>
        <w:t>资质证书复印件，加盖公章。</w:t>
      </w:r>
    </w:p>
    <w:p w14:paraId="04A6214A">
      <w:pPr>
        <w:spacing w:line="360" w:lineRule="auto"/>
        <w:jc w:val="left"/>
        <w:rPr>
          <w:rFonts w:hint="eastAsia" w:ascii="宋体" w:hAnsi="宋体"/>
          <w:sz w:val="24"/>
          <w:szCs w:val="24"/>
        </w:rPr>
      </w:pPr>
      <w:r>
        <w:rPr>
          <w:rFonts w:ascii="宋体" w:hAnsi="宋体"/>
          <w:sz w:val="24"/>
          <w:szCs w:val="24"/>
        </w:rPr>
        <w:t>D．资信等级证明 复印件，加盖公章</w:t>
      </w:r>
      <w:r>
        <w:rPr>
          <w:rFonts w:hint="eastAsia" w:ascii="宋体" w:hAnsi="宋体"/>
          <w:sz w:val="24"/>
          <w:szCs w:val="24"/>
        </w:rPr>
        <w:t>。</w:t>
      </w:r>
    </w:p>
    <w:p w14:paraId="04A6214B">
      <w:pPr>
        <w:spacing w:line="360" w:lineRule="auto"/>
        <w:jc w:val="left"/>
        <w:rPr>
          <w:rFonts w:hint="eastAsia" w:ascii="宋体" w:hAnsi="宋体"/>
          <w:sz w:val="24"/>
          <w:szCs w:val="24"/>
        </w:rPr>
      </w:pPr>
      <w:r>
        <w:rPr>
          <w:rFonts w:ascii="宋体" w:hAnsi="宋体"/>
          <w:sz w:val="24"/>
          <w:szCs w:val="24"/>
        </w:rPr>
        <w:t>E.</w:t>
      </w:r>
      <w:r>
        <w:rPr>
          <w:rFonts w:hint="eastAsia" w:ascii="宋体" w:hAnsi="宋体"/>
          <w:sz w:val="24"/>
          <w:szCs w:val="24"/>
        </w:rPr>
        <w:t xml:space="preserve"> 工厂简介(包括组织机构、生产能力、设备、厂房、人员等),</w:t>
      </w:r>
      <w:r>
        <w:rPr>
          <w:rFonts w:ascii="宋体" w:hAnsi="宋体"/>
          <w:sz w:val="24"/>
          <w:szCs w:val="24"/>
        </w:rPr>
        <w:t>质量管理和质量保证体系认证证书复印件，加盖公章</w:t>
      </w:r>
      <w:r>
        <w:rPr>
          <w:rFonts w:hint="eastAsia" w:ascii="宋体" w:hAnsi="宋体"/>
          <w:sz w:val="24"/>
          <w:szCs w:val="24"/>
        </w:rPr>
        <w:t>。</w:t>
      </w:r>
    </w:p>
    <w:p w14:paraId="04A6214C">
      <w:pPr>
        <w:spacing w:line="360" w:lineRule="auto"/>
        <w:jc w:val="left"/>
        <w:rPr>
          <w:rFonts w:hint="eastAsia" w:ascii="宋体" w:hAnsi="宋体"/>
          <w:sz w:val="24"/>
          <w:szCs w:val="24"/>
        </w:rPr>
      </w:pPr>
      <w:r>
        <w:rPr>
          <w:rFonts w:hint="eastAsia" w:ascii="宋体" w:hAnsi="宋体"/>
          <w:sz w:val="24"/>
          <w:szCs w:val="24"/>
        </w:rPr>
        <w:t>F. 法人代表身份证复印件。</w:t>
      </w:r>
    </w:p>
    <w:p w14:paraId="04A6214D">
      <w:pPr>
        <w:spacing w:line="360" w:lineRule="auto"/>
        <w:jc w:val="left"/>
        <w:rPr>
          <w:rFonts w:hint="eastAsia" w:ascii="宋体" w:hAnsi="宋体"/>
          <w:sz w:val="24"/>
          <w:szCs w:val="24"/>
        </w:rPr>
      </w:pPr>
      <w:r>
        <w:rPr>
          <w:rFonts w:hint="eastAsia" w:ascii="宋体" w:hAnsi="宋体"/>
          <w:sz w:val="24"/>
          <w:szCs w:val="24"/>
        </w:rPr>
        <w:t>G</w:t>
      </w:r>
      <w:r>
        <w:rPr>
          <w:rFonts w:ascii="宋体" w:hAnsi="宋体"/>
          <w:sz w:val="24"/>
          <w:szCs w:val="24"/>
        </w:rPr>
        <w:t>．资格声明</w:t>
      </w:r>
    </w:p>
    <w:p w14:paraId="04A6214E">
      <w:pPr>
        <w:spacing w:line="360" w:lineRule="auto"/>
        <w:jc w:val="left"/>
        <w:rPr>
          <w:rFonts w:hint="eastAsia" w:ascii="宋体" w:hAnsi="宋体"/>
          <w:sz w:val="24"/>
          <w:szCs w:val="24"/>
        </w:rPr>
      </w:pPr>
      <w:r>
        <w:rPr>
          <w:rFonts w:ascii="宋体" w:hAnsi="宋体"/>
          <w:sz w:val="24"/>
          <w:szCs w:val="24"/>
        </w:rPr>
        <w:t>1．  名称及概况：</w:t>
      </w:r>
    </w:p>
    <w:p w14:paraId="04A6214F">
      <w:pPr>
        <w:spacing w:line="400" w:lineRule="exact"/>
        <w:ind w:firstLine="480" w:firstLineChars="200"/>
        <w:rPr>
          <w:rFonts w:hint="eastAsia" w:ascii="宋体" w:hAnsi="宋体"/>
          <w:sz w:val="24"/>
          <w:szCs w:val="24"/>
          <w:u w:val="single"/>
        </w:rPr>
      </w:pPr>
      <w:r>
        <w:rPr>
          <w:rFonts w:ascii="宋体" w:hAnsi="宋体"/>
          <w:sz w:val="24"/>
          <w:szCs w:val="24"/>
        </w:rPr>
        <w:t>（1）制造商名称：</w:t>
      </w:r>
      <w:r>
        <w:rPr>
          <w:rFonts w:ascii="宋体" w:hAnsi="宋体"/>
          <w:sz w:val="24"/>
          <w:szCs w:val="24"/>
          <w:u w:val="single"/>
        </w:rPr>
        <w:t xml:space="preserve">                                                        </w:t>
      </w:r>
    </w:p>
    <w:p w14:paraId="04A62150">
      <w:pPr>
        <w:spacing w:line="400" w:lineRule="exact"/>
        <w:ind w:firstLine="480" w:firstLineChars="200"/>
        <w:rPr>
          <w:rFonts w:hint="eastAsia" w:ascii="宋体" w:hAnsi="宋体"/>
          <w:sz w:val="24"/>
          <w:szCs w:val="24"/>
          <w:u w:val="single"/>
        </w:rPr>
      </w:pPr>
      <w:r>
        <w:rPr>
          <w:rFonts w:ascii="宋体" w:hAnsi="宋体"/>
          <w:sz w:val="24"/>
          <w:szCs w:val="24"/>
        </w:rPr>
        <w:t>（2）总部地址：</w:t>
      </w:r>
      <w:r>
        <w:rPr>
          <w:rFonts w:ascii="宋体" w:hAnsi="宋体"/>
          <w:sz w:val="24"/>
          <w:szCs w:val="24"/>
          <w:u w:val="single"/>
        </w:rPr>
        <w:t xml:space="preserve">                                                          </w:t>
      </w:r>
    </w:p>
    <w:p w14:paraId="04A62151">
      <w:pPr>
        <w:spacing w:line="400" w:lineRule="exact"/>
        <w:ind w:firstLine="480" w:firstLineChars="200"/>
        <w:rPr>
          <w:rFonts w:hint="eastAsia" w:ascii="宋体" w:hAnsi="宋体"/>
          <w:sz w:val="24"/>
          <w:szCs w:val="24"/>
          <w:u w:val="single"/>
        </w:rPr>
      </w:pPr>
      <w:r>
        <w:rPr>
          <w:rFonts w:ascii="宋体" w:hAnsi="宋体"/>
          <w:sz w:val="24"/>
          <w:szCs w:val="24"/>
        </w:rPr>
        <w:t xml:space="preserve">    电传／传真／电话号码：</w:t>
      </w:r>
      <w:r>
        <w:rPr>
          <w:rFonts w:ascii="宋体" w:hAnsi="宋体"/>
          <w:sz w:val="24"/>
          <w:szCs w:val="24"/>
          <w:u w:val="single"/>
        </w:rPr>
        <w:t xml:space="preserve">                                               </w:t>
      </w:r>
    </w:p>
    <w:p w14:paraId="04A62152">
      <w:pPr>
        <w:spacing w:line="400" w:lineRule="exact"/>
        <w:ind w:firstLine="480" w:firstLineChars="200"/>
        <w:rPr>
          <w:rFonts w:hint="eastAsia" w:ascii="宋体" w:hAnsi="宋体"/>
          <w:sz w:val="24"/>
          <w:szCs w:val="24"/>
          <w:u w:val="single"/>
        </w:rPr>
      </w:pPr>
      <w:r>
        <w:rPr>
          <w:rFonts w:ascii="宋体" w:hAnsi="宋体"/>
          <w:sz w:val="24"/>
          <w:szCs w:val="24"/>
        </w:rPr>
        <w:t>（3）成立和／或注册日期：</w:t>
      </w:r>
      <w:r>
        <w:rPr>
          <w:rFonts w:ascii="宋体" w:hAnsi="宋体"/>
          <w:sz w:val="24"/>
          <w:szCs w:val="24"/>
          <w:u w:val="single"/>
        </w:rPr>
        <w:t xml:space="preserve">                                                </w:t>
      </w:r>
    </w:p>
    <w:p w14:paraId="04A62153">
      <w:pPr>
        <w:spacing w:line="400" w:lineRule="exact"/>
        <w:ind w:firstLine="480" w:firstLineChars="200"/>
        <w:rPr>
          <w:rFonts w:hint="eastAsia" w:ascii="宋体" w:hAnsi="宋体"/>
          <w:sz w:val="24"/>
          <w:szCs w:val="24"/>
          <w:u w:val="single"/>
        </w:rPr>
      </w:pPr>
      <w:r>
        <w:rPr>
          <w:rFonts w:ascii="宋体" w:hAnsi="宋体"/>
          <w:sz w:val="24"/>
          <w:szCs w:val="24"/>
        </w:rPr>
        <w:t>（4）实收资本：</w:t>
      </w:r>
      <w:r>
        <w:rPr>
          <w:rFonts w:ascii="宋体" w:hAnsi="宋体"/>
          <w:sz w:val="24"/>
          <w:szCs w:val="24"/>
          <w:u w:val="single"/>
        </w:rPr>
        <w:t xml:space="preserve">                                                          </w:t>
      </w:r>
    </w:p>
    <w:p w14:paraId="04A62154">
      <w:pPr>
        <w:spacing w:line="400" w:lineRule="exact"/>
        <w:ind w:firstLine="480" w:firstLineChars="200"/>
        <w:rPr>
          <w:rFonts w:hint="eastAsia" w:ascii="宋体" w:hAnsi="宋体"/>
          <w:sz w:val="24"/>
          <w:szCs w:val="24"/>
        </w:rPr>
      </w:pPr>
      <w:r>
        <w:rPr>
          <w:rFonts w:ascii="宋体" w:hAnsi="宋体"/>
          <w:sz w:val="24"/>
          <w:szCs w:val="24"/>
        </w:rPr>
        <w:t>（5）近期资产负债表（到</w:t>
      </w:r>
      <w:r>
        <w:rPr>
          <w:rFonts w:ascii="宋体" w:hAnsi="宋体"/>
          <w:sz w:val="24"/>
          <w:szCs w:val="24"/>
          <w:u w:val="single"/>
        </w:rPr>
        <w:t xml:space="preserve">    </w:t>
      </w:r>
      <w:r>
        <w:rPr>
          <w:rFonts w:ascii="宋体" w:hAnsi="宋体"/>
          <w:sz w:val="24"/>
          <w:szCs w:val="24"/>
        </w:rPr>
        <w:t>年</w:t>
      </w:r>
      <w:r>
        <w:rPr>
          <w:rFonts w:ascii="宋体" w:hAnsi="宋体"/>
          <w:sz w:val="24"/>
          <w:szCs w:val="24"/>
          <w:u w:val="single"/>
        </w:rPr>
        <w:t xml:space="preserve">    </w:t>
      </w:r>
      <w:r>
        <w:rPr>
          <w:rFonts w:ascii="宋体" w:hAnsi="宋体"/>
          <w:sz w:val="24"/>
          <w:szCs w:val="24"/>
        </w:rPr>
        <w:t>月</w:t>
      </w:r>
      <w:r>
        <w:rPr>
          <w:rFonts w:ascii="宋体" w:hAnsi="宋体"/>
          <w:sz w:val="24"/>
          <w:szCs w:val="24"/>
          <w:u w:val="single"/>
        </w:rPr>
        <w:t xml:space="preserve">    </w:t>
      </w:r>
      <w:r>
        <w:rPr>
          <w:rFonts w:ascii="宋体" w:hAnsi="宋体"/>
          <w:sz w:val="24"/>
          <w:szCs w:val="24"/>
        </w:rPr>
        <w:t>日止）</w:t>
      </w:r>
    </w:p>
    <w:p w14:paraId="04A62155">
      <w:pPr>
        <w:spacing w:line="400" w:lineRule="exact"/>
        <w:ind w:firstLine="960" w:firstLineChars="400"/>
        <w:rPr>
          <w:rFonts w:hint="eastAsia" w:ascii="宋体" w:hAnsi="宋体"/>
          <w:sz w:val="24"/>
          <w:szCs w:val="24"/>
          <w:u w:val="single"/>
        </w:rPr>
      </w:pPr>
      <w:r>
        <w:rPr>
          <w:rFonts w:ascii="宋体" w:hAnsi="宋体"/>
          <w:sz w:val="24"/>
          <w:szCs w:val="24"/>
        </w:rPr>
        <w:t>①固定资产：</w:t>
      </w:r>
      <w:r>
        <w:rPr>
          <w:rFonts w:ascii="宋体" w:hAnsi="宋体"/>
          <w:sz w:val="24"/>
          <w:szCs w:val="24"/>
          <w:u w:val="single"/>
        </w:rPr>
        <w:t xml:space="preserve">                                                         </w:t>
      </w:r>
    </w:p>
    <w:p w14:paraId="04A62156">
      <w:pPr>
        <w:spacing w:line="400" w:lineRule="exact"/>
        <w:ind w:firstLine="960" w:firstLineChars="400"/>
        <w:rPr>
          <w:rFonts w:hint="eastAsia" w:ascii="宋体" w:hAnsi="宋体"/>
          <w:sz w:val="24"/>
          <w:szCs w:val="24"/>
          <w:u w:val="single"/>
        </w:rPr>
      </w:pPr>
      <w:r>
        <w:rPr>
          <w:rFonts w:ascii="宋体" w:hAnsi="宋体"/>
          <w:sz w:val="24"/>
          <w:szCs w:val="24"/>
        </w:rPr>
        <w:t>②流动资产：</w:t>
      </w:r>
      <w:r>
        <w:rPr>
          <w:rFonts w:ascii="宋体" w:hAnsi="宋体"/>
          <w:sz w:val="24"/>
          <w:szCs w:val="24"/>
          <w:u w:val="single"/>
        </w:rPr>
        <w:t xml:space="preserve">                                                         </w:t>
      </w:r>
    </w:p>
    <w:p w14:paraId="04A62157">
      <w:pPr>
        <w:spacing w:line="400" w:lineRule="exact"/>
        <w:ind w:firstLine="960" w:firstLineChars="400"/>
        <w:rPr>
          <w:rFonts w:hint="eastAsia" w:ascii="宋体" w:hAnsi="宋体"/>
          <w:sz w:val="24"/>
          <w:szCs w:val="24"/>
          <w:u w:val="single"/>
        </w:rPr>
      </w:pPr>
      <w:r>
        <w:rPr>
          <w:rFonts w:ascii="宋体" w:hAnsi="宋体"/>
          <w:sz w:val="24"/>
          <w:szCs w:val="24"/>
        </w:rPr>
        <w:t>③长期负债：</w:t>
      </w:r>
      <w:r>
        <w:rPr>
          <w:rFonts w:ascii="宋体" w:hAnsi="宋体"/>
          <w:sz w:val="24"/>
          <w:szCs w:val="24"/>
          <w:u w:val="single"/>
        </w:rPr>
        <w:t xml:space="preserve">                                                         </w:t>
      </w:r>
    </w:p>
    <w:p w14:paraId="04A62158">
      <w:pPr>
        <w:spacing w:line="400" w:lineRule="exact"/>
        <w:ind w:firstLine="960" w:firstLineChars="400"/>
        <w:rPr>
          <w:rFonts w:hint="eastAsia" w:ascii="宋体" w:hAnsi="宋体"/>
          <w:sz w:val="24"/>
          <w:szCs w:val="24"/>
          <w:u w:val="single"/>
        </w:rPr>
      </w:pPr>
      <w:r>
        <w:rPr>
          <w:rFonts w:ascii="宋体" w:hAnsi="宋体"/>
          <w:sz w:val="24"/>
          <w:szCs w:val="24"/>
        </w:rPr>
        <w:t>④流动负债：</w:t>
      </w:r>
      <w:r>
        <w:rPr>
          <w:rFonts w:ascii="宋体" w:hAnsi="宋体"/>
          <w:sz w:val="24"/>
          <w:szCs w:val="24"/>
          <w:u w:val="single"/>
        </w:rPr>
        <w:t xml:space="preserve">                                                         </w:t>
      </w:r>
    </w:p>
    <w:p w14:paraId="04A62159">
      <w:pPr>
        <w:spacing w:line="400" w:lineRule="exact"/>
        <w:ind w:firstLine="960" w:firstLineChars="400"/>
        <w:rPr>
          <w:rFonts w:hint="eastAsia" w:ascii="宋体" w:hAnsi="宋体"/>
          <w:sz w:val="24"/>
          <w:szCs w:val="24"/>
          <w:u w:val="single"/>
        </w:rPr>
      </w:pPr>
      <w:r>
        <w:rPr>
          <w:rFonts w:ascii="宋体" w:hAnsi="宋体"/>
          <w:sz w:val="24"/>
          <w:szCs w:val="24"/>
        </w:rPr>
        <w:t>⑤净    值：</w:t>
      </w:r>
      <w:r>
        <w:rPr>
          <w:rFonts w:ascii="宋体" w:hAnsi="宋体"/>
          <w:sz w:val="24"/>
          <w:szCs w:val="24"/>
          <w:u w:val="single"/>
        </w:rPr>
        <w:t xml:space="preserve">                                                         </w:t>
      </w:r>
    </w:p>
    <w:p w14:paraId="04A6215A">
      <w:pPr>
        <w:spacing w:line="400" w:lineRule="exact"/>
        <w:ind w:firstLine="480" w:firstLineChars="200"/>
        <w:rPr>
          <w:rFonts w:hint="eastAsia" w:ascii="宋体" w:hAnsi="宋体"/>
          <w:sz w:val="24"/>
          <w:szCs w:val="24"/>
        </w:rPr>
      </w:pPr>
      <w:r>
        <w:rPr>
          <w:rFonts w:ascii="宋体" w:hAnsi="宋体"/>
          <w:sz w:val="24"/>
          <w:szCs w:val="24"/>
        </w:rPr>
        <w:t>（6）主要负责人姓名（可选填）：</w:t>
      </w:r>
      <w:r>
        <w:rPr>
          <w:rFonts w:ascii="宋体" w:hAnsi="宋体"/>
          <w:sz w:val="24"/>
          <w:szCs w:val="24"/>
          <w:u w:val="single"/>
        </w:rPr>
        <w:t xml:space="preserve">                                           </w:t>
      </w:r>
    </w:p>
    <w:p w14:paraId="04A6215B">
      <w:pPr>
        <w:spacing w:line="400" w:lineRule="exact"/>
        <w:ind w:firstLine="480" w:firstLineChars="200"/>
        <w:rPr>
          <w:rFonts w:hint="eastAsia" w:ascii="宋体" w:hAnsi="宋体"/>
          <w:sz w:val="24"/>
          <w:szCs w:val="24"/>
        </w:rPr>
      </w:pPr>
      <w:r>
        <w:rPr>
          <w:rFonts w:ascii="宋体" w:hAnsi="宋体"/>
          <w:sz w:val="24"/>
          <w:szCs w:val="24"/>
        </w:rPr>
        <w:t>（7）制造商在中国的代表的姓名和地址（如有的话）：</w:t>
      </w:r>
    </w:p>
    <w:p w14:paraId="04A6215C">
      <w:pPr>
        <w:spacing w:line="400" w:lineRule="exact"/>
        <w:rPr>
          <w:rFonts w:hint="eastAsia" w:ascii="宋体" w:hAnsi="宋体"/>
          <w:sz w:val="24"/>
          <w:szCs w:val="24"/>
          <w:u w:val="single"/>
        </w:rPr>
      </w:pPr>
      <w:r>
        <w:rPr>
          <w:rFonts w:ascii="宋体" w:hAnsi="宋体"/>
          <w:sz w:val="24"/>
          <w:szCs w:val="24"/>
        </w:rPr>
        <w:t xml:space="preserve">        </w:t>
      </w:r>
      <w:r>
        <w:rPr>
          <w:rFonts w:ascii="宋体" w:hAnsi="宋体"/>
          <w:sz w:val="24"/>
          <w:szCs w:val="24"/>
          <w:u w:val="single"/>
        </w:rPr>
        <w:t xml:space="preserve">                                                                     </w:t>
      </w:r>
    </w:p>
    <w:p w14:paraId="04A6215D">
      <w:pPr>
        <w:spacing w:line="400" w:lineRule="exact"/>
        <w:rPr>
          <w:rFonts w:hint="eastAsia" w:ascii="宋体" w:hAnsi="宋体"/>
          <w:sz w:val="24"/>
          <w:szCs w:val="24"/>
        </w:rPr>
      </w:pPr>
      <w:r>
        <w:rPr>
          <w:rFonts w:ascii="宋体" w:hAnsi="宋体"/>
          <w:sz w:val="24"/>
          <w:szCs w:val="24"/>
        </w:rPr>
        <w:t>2． （1）关于制造投标标的物的设施及其它情况：</w:t>
      </w:r>
    </w:p>
    <w:p w14:paraId="04A6215E">
      <w:pPr>
        <w:spacing w:line="400" w:lineRule="exact"/>
        <w:rPr>
          <w:rFonts w:hint="eastAsia" w:ascii="宋体" w:hAnsi="宋体"/>
          <w:sz w:val="24"/>
          <w:szCs w:val="24"/>
        </w:rPr>
      </w:pPr>
      <w:r>
        <w:rPr>
          <w:rFonts w:ascii="宋体" w:hAnsi="宋体"/>
          <w:sz w:val="24"/>
          <w:szCs w:val="24"/>
        </w:rPr>
        <w:t xml:space="preserve">     工厂名称地址         生产的项目         年生产能力         职工人数</w:t>
      </w:r>
    </w:p>
    <w:p w14:paraId="04A6215F">
      <w:pPr>
        <w:spacing w:line="400" w:lineRule="exact"/>
        <w:rPr>
          <w:rFonts w:hint="eastAsia" w:ascii="宋体" w:hAnsi="宋体"/>
          <w:sz w:val="24"/>
          <w:szCs w:val="24"/>
          <w:u w:val="single"/>
        </w:rPr>
      </w:pPr>
      <w:r>
        <w:rPr>
          <w:rFonts w:ascii="宋体" w:hAnsi="宋体"/>
          <w:sz w:val="24"/>
          <w:szCs w:val="24"/>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u w:val="single"/>
        </w:rPr>
        <w:t xml:space="preserve">             </w:t>
      </w:r>
    </w:p>
    <w:p w14:paraId="04A62160">
      <w:pPr>
        <w:spacing w:line="400" w:lineRule="exact"/>
        <w:rPr>
          <w:rFonts w:hint="eastAsia" w:ascii="宋体" w:hAnsi="宋体"/>
          <w:sz w:val="24"/>
          <w:szCs w:val="24"/>
        </w:rPr>
      </w:pPr>
      <w:r>
        <w:rPr>
          <w:rFonts w:ascii="宋体" w:hAnsi="宋体"/>
          <w:sz w:val="24"/>
          <w:szCs w:val="24"/>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u w:val="single"/>
        </w:rPr>
        <w:t xml:space="preserve">             </w:t>
      </w:r>
    </w:p>
    <w:p w14:paraId="04A62161">
      <w:pPr>
        <w:spacing w:line="400" w:lineRule="exact"/>
        <w:ind w:firstLine="480" w:firstLineChars="200"/>
        <w:rPr>
          <w:rFonts w:hint="eastAsia" w:ascii="宋体" w:hAnsi="宋体"/>
          <w:sz w:val="24"/>
          <w:szCs w:val="24"/>
        </w:rPr>
      </w:pPr>
      <w:r>
        <w:rPr>
          <w:rFonts w:ascii="宋体" w:hAnsi="宋体"/>
          <w:sz w:val="24"/>
          <w:szCs w:val="24"/>
        </w:rPr>
        <w:t>（2）本制造商不生产，而需从其它制造商购买的主要零部件：</w:t>
      </w:r>
    </w:p>
    <w:p w14:paraId="04A62162">
      <w:pPr>
        <w:spacing w:line="400" w:lineRule="exact"/>
        <w:rPr>
          <w:rFonts w:hint="eastAsia" w:ascii="宋体" w:hAnsi="宋体"/>
          <w:sz w:val="24"/>
          <w:szCs w:val="24"/>
        </w:rPr>
      </w:pPr>
      <w:r>
        <w:rPr>
          <w:rFonts w:ascii="宋体" w:hAnsi="宋体"/>
          <w:sz w:val="24"/>
          <w:szCs w:val="24"/>
        </w:rPr>
        <w:t xml:space="preserve">    制造商名称和地址                   主要零部件名称</w:t>
      </w:r>
    </w:p>
    <w:p w14:paraId="04A62163">
      <w:pPr>
        <w:spacing w:line="400" w:lineRule="exact"/>
        <w:rPr>
          <w:rFonts w:hint="eastAsia" w:ascii="宋体" w:hAnsi="宋体"/>
          <w:sz w:val="24"/>
          <w:szCs w:val="24"/>
          <w:u w:val="single"/>
        </w:rPr>
      </w:pPr>
      <w:r>
        <w:rPr>
          <w:rFonts w:ascii="宋体" w:hAnsi="宋体"/>
          <w:sz w:val="24"/>
          <w:szCs w:val="24"/>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u w:val="single"/>
        </w:rPr>
        <w:t xml:space="preserve">                           </w:t>
      </w:r>
    </w:p>
    <w:p w14:paraId="04A62164">
      <w:pPr>
        <w:spacing w:line="400" w:lineRule="exact"/>
        <w:rPr>
          <w:rFonts w:hint="eastAsia" w:ascii="宋体" w:hAnsi="宋体"/>
          <w:sz w:val="24"/>
          <w:szCs w:val="24"/>
        </w:rPr>
      </w:pPr>
      <w:r>
        <w:rPr>
          <w:rFonts w:ascii="宋体" w:hAnsi="宋体"/>
          <w:sz w:val="24"/>
          <w:szCs w:val="24"/>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u w:val="single"/>
        </w:rPr>
        <w:t xml:space="preserve">                           </w:t>
      </w:r>
    </w:p>
    <w:p w14:paraId="04A62165">
      <w:pPr>
        <w:spacing w:line="400" w:lineRule="exact"/>
        <w:ind w:left="480" w:hanging="480" w:hangingChars="200"/>
        <w:rPr>
          <w:rFonts w:hint="eastAsia" w:ascii="宋体" w:hAnsi="宋体"/>
          <w:sz w:val="24"/>
          <w:szCs w:val="24"/>
        </w:rPr>
      </w:pPr>
      <w:r>
        <w:rPr>
          <w:rFonts w:ascii="宋体" w:hAnsi="宋体"/>
          <w:sz w:val="24"/>
          <w:szCs w:val="24"/>
        </w:rPr>
        <w:t>3． 本制造商生产投标标的物的经验（包括年限、项目业主、额定能力、商业运营的起始日期等）：</w:t>
      </w:r>
    </w:p>
    <w:p w14:paraId="04A62166">
      <w:pPr>
        <w:spacing w:line="400" w:lineRule="exact"/>
        <w:rPr>
          <w:rFonts w:hint="eastAsia" w:ascii="宋体" w:hAnsi="宋体"/>
          <w:sz w:val="24"/>
          <w:szCs w:val="24"/>
          <w:u w:val="single"/>
        </w:rPr>
      </w:pPr>
      <w:r>
        <w:rPr>
          <w:rFonts w:ascii="宋体" w:hAnsi="宋体"/>
          <w:sz w:val="24"/>
          <w:szCs w:val="24"/>
        </w:rPr>
        <w:t xml:space="preserve">    </w:t>
      </w:r>
      <w:r>
        <w:rPr>
          <w:rFonts w:ascii="宋体" w:hAnsi="宋体"/>
          <w:sz w:val="24"/>
          <w:szCs w:val="24"/>
          <w:u w:val="single"/>
        </w:rPr>
        <w:t xml:space="preserve">                                                                        </w:t>
      </w:r>
    </w:p>
    <w:p w14:paraId="04A62167">
      <w:pPr>
        <w:spacing w:line="400" w:lineRule="exact"/>
        <w:rPr>
          <w:rFonts w:hint="eastAsia" w:ascii="宋体" w:hAnsi="宋体"/>
          <w:sz w:val="24"/>
          <w:szCs w:val="24"/>
          <w:u w:val="single"/>
        </w:rPr>
      </w:pPr>
      <w:r>
        <w:rPr>
          <w:rFonts w:ascii="宋体" w:hAnsi="宋体"/>
          <w:sz w:val="24"/>
          <w:szCs w:val="24"/>
        </w:rPr>
        <w:t xml:space="preserve">    </w:t>
      </w:r>
      <w:r>
        <w:rPr>
          <w:rFonts w:ascii="宋体" w:hAnsi="宋体"/>
          <w:sz w:val="24"/>
          <w:szCs w:val="24"/>
          <w:u w:val="single"/>
        </w:rPr>
        <w:t xml:space="preserve">                                                                        </w:t>
      </w:r>
    </w:p>
    <w:p w14:paraId="04A62168">
      <w:pPr>
        <w:rPr>
          <w:rFonts w:hint="eastAsia" w:ascii="宋体" w:hAnsi="宋体"/>
          <w:sz w:val="24"/>
          <w:szCs w:val="24"/>
        </w:rPr>
      </w:pPr>
      <w:r>
        <w:rPr>
          <w:rFonts w:ascii="宋体" w:hAnsi="宋体"/>
          <w:sz w:val="24"/>
          <w:szCs w:val="24"/>
        </w:rPr>
        <w:t>4． 近5年投标标的物主要销售给国内、外主要客户的名称地址：</w:t>
      </w:r>
    </w:p>
    <w:p w14:paraId="04A62169">
      <w:pPr>
        <w:spacing w:line="400" w:lineRule="exact"/>
        <w:rPr>
          <w:rFonts w:hint="eastAsia" w:ascii="宋体" w:hAnsi="宋体"/>
          <w:sz w:val="24"/>
          <w:szCs w:val="24"/>
        </w:rPr>
      </w:pPr>
      <w:r>
        <w:rPr>
          <w:rFonts w:ascii="宋体" w:hAnsi="宋体"/>
          <w:sz w:val="24"/>
          <w:szCs w:val="24"/>
        </w:rPr>
        <w:t xml:space="preserve">    （1）出口销售</w:t>
      </w:r>
    </w:p>
    <w:p w14:paraId="04A6216A">
      <w:pPr>
        <w:pStyle w:val="10"/>
        <w:snapToGrid w:val="0"/>
        <w:spacing w:line="400" w:lineRule="exact"/>
        <w:ind w:firstLine="480" w:firstLineChars="200"/>
        <w:rPr>
          <w:rFonts w:hint="eastAsia"/>
          <w:sz w:val="24"/>
          <w:szCs w:val="24"/>
          <w:u w:val="single"/>
        </w:rPr>
      </w:pPr>
      <w:r>
        <w:rPr>
          <w:sz w:val="24"/>
          <w:szCs w:val="24"/>
        </w:rPr>
        <w:t xml:space="preserve">    </w:t>
      </w:r>
      <w:r>
        <w:rPr>
          <w:i/>
          <w:iCs/>
          <w:sz w:val="24"/>
          <w:szCs w:val="24"/>
          <w:u w:val="single"/>
        </w:rPr>
        <w:t>（名称和地址）</w:t>
      </w:r>
      <w:r>
        <w:rPr>
          <w:sz w:val="24"/>
          <w:szCs w:val="24"/>
          <w:u w:val="single"/>
        </w:rPr>
        <w:t xml:space="preserve">                  </w:t>
      </w:r>
      <w:r>
        <w:rPr>
          <w:sz w:val="24"/>
          <w:szCs w:val="24"/>
        </w:rPr>
        <w:t xml:space="preserve">      </w:t>
      </w:r>
      <w:r>
        <w:rPr>
          <w:i/>
          <w:iCs/>
          <w:sz w:val="24"/>
          <w:szCs w:val="24"/>
          <w:u w:val="single"/>
        </w:rPr>
        <w:t>（销售项目）</w:t>
      </w:r>
      <w:r>
        <w:rPr>
          <w:sz w:val="24"/>
          <w:szCs w:val="24"/>
          <w:u w:val="single"/>
        </w:rPr>
        <w:t xml:space="preserve">                       </w:t>
      </w:r>
    </w:p>
    <w:p w14:paraId="04A6216B">
      <w:pPr>
        <w:spacing w:line="360" w:lineRule="auto"/>
        <w:rPr>
          <w:rFonts w:hint="eastAsia"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（2）国内销售</w:t>
      </w:r>
    </w:p>
    <w:p w14:paraId="04A6216C">
      <w:pPr>
        <w:spacing w:line="360" w:lineRule="auto"/>
        <w:rPr>
          <w:rFonts w:hint="eastAsia" w:ascii="宋体" w:hAnsi="宋体"/>
          <w:sz w:val="24"/>
          <w:szCs w:val="24"/>
        </w:rPr>
      </w:pPr>
      <w:r>
        <w:rPr>
          <w:rFonts w:ascii="宋体" w:hAnsi="宋体"/>
          <w:sz w:val="24"/>
          <w:szCs w:val="24"/>
        </w:rPr>
        <w:t xml:space="preserve">    </w:t>
      </w:r>
      <w:r>
        <w:rPr>
          <w:rFonts w:ascii="宋体" w:hAnsi="宋体"/>
          <w:i/>
          <w:iCs/>
          <w:sz w:val="24"/>
          <w:szCs w:val="24"/>
          <w:u w:val="single"/>
        </w:rPr>
        <w:t>（名称和地址）</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i/>
          <w:iCs/>
          <w:sz w:val="24"/>
          <w:szCs w:val="24"/>
          <w:u w:val="single"/>
        </w:rPr>
        <w:t>（销售项目）</w:t>
      </w:r>
      <w:r>
        <w:rPr>
          <w:rFonts w:ascii="宋体" w:hAnsi="宋体"/>
          <w:sz w:val="24"/>
          <w:szCs w:val="24"/>
          <w:u w:val="single"/>
        </w:rPr>
        <w:t xml:space="preserve">                       </w:t>
      </w:r>
    </w:p>
    <w:p w14:paraId="04A6216D">
      <w:pPr>
        <w:rPr>
          <w:rFonts w:hint="eastAsia" w:ascii="宋体" w:hAnsi="宋体"/>
          <w:sz w:val="24"/>
          <w:szCs w:val="24"/>
        </w:rPr>
      </w:pPr>
      <w:r>
        <w:rPr>
          <w:rFonts w:ascii="宋体" w:hAnsi="宋体"/>
          <w:sz w:val="24"/>
          <w:szCs w:val="24"/>
        </w:rPr>
        <w:t>5． 近5年的年营业额：</w:t>
      </w:r>
    </w:p>
    <w:p w14:paraId="04A6216E">
      <w:pPr>
        <w:spacing w:line="360" w:lineRule="auto"/>
        <w:rPr>
          <w:rFonts w:hint="eastAsia" w:ascii="宋体" w:hAnsi="宋体"/>
          <w:sz w:val="24"/>
          <w:szCs w:val="24"/>
        </w:rPr>
      </w:pPr>
      <w:r>
        <w:rPr>
          <w:rFonts w:ascii="宋体" w:hAnsi="宋体"/>
          <w:sz w:val="24"/>
          <w:szCs w:val="24"/>
        </w:rPr>
        <w:t xml:space="preserve">    年份                国内                出口                总额</w:t>
      </w:r>
    </w:p>
    <w:p w14:paraId="04A6216F">
      <w:pPr>
        <w:spacing w:line="360" w:lineRule="auto"/>
        <w:rPr>
          <w:rFonts w:hint="eastAsia" w:ascii="宋体" w:hAnsi="宋体"/>
          <w:sz w:val="24"/>
          <w:szCs w:val="24"/>
          <w:u w:val="single"/>
        </w:rPr>
      </w:pPr>
      <w:r>
        <w:rPr>
          <w:rFonts w:ascii="宋体" w:hAnsi="宋体"/>
          <w:sz w:val="24"/>
          <w:szCs w:val="24"/>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u w:val="single"/>
        </w:rPr>
        <w:t xml:space="preserve">              </w:t>
      </w:r>
    </w:p>
    <w:p w14:paraId="04A62170">
      <w:pPr>
        <w:spacing w:line="360" w:lineRule="auto"/>
        <w:rPr>
          <w:rFonts w:hint="eastAsia" w:ascii="宋体" w:hAnsi="宋体"/>
          <w:sz w:val="24"/>
          <w:szCs w:val="24"/>
        </w:rPr>
      </w:pPr>
      <w:r>
        <w:rPr>
          <w:rFonts w:ascii="宋体" w:hAnsi="宋体"/>
          <w:sz w:val="24"/>
          <w:szCs w:val="24"/>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u w:val="single"/>
        </w:rPr>
        <w:t xml:space="preserve">              </w:t>
      </w:r>
    </w:p>
    <w:p w14:paraId="04A62171">
      <w:pPr>
        <w:rPr>
          <w:rFonts w:hint="eastAsia" w:ascii="宋体" w:hAnsi="宋体"/>
          <w:sz w:val="24"/>
          <w:szCs w:val="24"/>
        </w:rPr>
      </w:pPr>
      <w:r>
        <w:rPr>
          <w:rFonts w:ascii="宋体" w:hAnsi="宋体"/>
          <w:sz w:val="24"/>
          <w:szCs w:val="24"/>
        </w:rPr>
        <w:t>6． 易损件供应商的名称和地址：</w:t>
      </w:r>
    </w:p>
    <w:p w14:paraId="04A62172">
      <w:pPr>
        <w:spacing w:line="360" w:lineRule="auto"/>
        <w:rPr>
          <w:rFonts w:hint="eastAsia" w:ascii="宋体" w:hAnsi="宋体"/>
          <w:sz w:val="24"/>
          <w:szCs w:val="24"/>
        </w:rPr>
      </w:pPr>
      <w:r>
        <w:rPr>
          <w:rFonts w:ascii="宋体" w:hAnsi="宋体"/>
          <w:sz w:val="24"/>
          <w:szCs w:val="24"/>
        </w:rPr>
        <w:t xml:space="preserve">    部件名称                                供应商</w:t>
      </w:r>
    </w:p>
    <w:p w14:paraId="04A62173">
      <w:pPr>
        <w:spacing w:line="360" w:lineRule="auto"/>
        <w:rPr>
          <w:rFonts w:hint="eastAsia" w:ascii="宋体" w:hAnsi="宋体"/>
          <w:sz w:val="24"/>
          <w:szCs w:val="24"/>
          <w:u w:val="single"/>
        </w:rPr>
      </w:pPr>
      <w:r>
        <w:rPr>
          <w:rFonts w:ascii="宋体" w:hAnsi="宋体"/>
          <w:sz w:val="24"/>
          <w:szCs w:val="24"/>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u w:val="single"/>
        </w:rPr>
        <w:t xml:space="preserve">                                 </w:t>
      </w:r>
    </w:p>
    <w:p w14:paraId="04A62174">
      <w:pPr>
        <w:spacing w:line="360" w:lineRule="auto"/>
        <w:rPr>
          <w:rFonts w:hint="eastAsia" w:ascii="宋体" w:hAnsi="宋体"/>
          <w:sz w:val="24"/>
          <w:szCs w:val="24"/>
        </w:rPr>
      </w:pPr>
      <w:r>
        <w:rPr>
          <w:rFonts w:ascii="宋体" w:hAnsi="宋体"/>
          <w:sz w:val="24"/>
          <w:szCs w:val="24"/>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u w:val="single"/>
        </w:rPr>
        <w:t xml:space="preserve">                                 </w:t>
      </w:r>
    </w:p>
    <w:p w14:paraId="04A62175">
      <w:pPr>
        <w:spacing w:line="360" w:lineRule="auto"/>
        <w:rPr>
          <w:rFonts w:hint="eastAsia" w:ascii="宋体" w:hAnsi="宋体"/>
          <w:sz w:val="24"/>
          <w:szCs w:val="24"/>
        </w:rPr>
      </w:pPr>
      <w:r>
        <w:rPr>
          <w:rFonts w:ascii="宋体" w:hAnsi="宋体"/>
          <w:sz w:val="24"/>
          <w:szCs w:val="24"/>
        </w:rPr>
        <w:t>7． 最近5年直接或通过过贸易公司提供的投标标的物（如有的话）：</w:t>
      </w:r>
    </w:p>
    <w:p w14:paraId="04A62176">
      <w:pPr>
        <w:spacing w:line="360" w:lineRule="auto"/>
        <w:ind w:firstLine="480" w:firstLineChars="200"/>
        <w:rPr>
          <w:rFonts w:hint="eastAsia" w:ascii="宋体" w:hAnsi="宋体"/>
          <w:sz w:val="24"/>
          <w:szCs w:val="24"/>
          <w:u w:val="single"/>
        </w:rPr>
      </w:pPr>
      <w:r>
        <w:rPr>
          <w:rFonts w:ascii="宋体" w:hAnsi="宋体"/>
          <w:sz w:val="24"/>
          <w:szCs w:val="24"/>
        </w:rPr>
        <w:t>合同编号：</w:t>
      </w:r>
      <w:r>
        <w:rPr>
          <w:rFonts w:ascii="宋体" w:hAnsi="宋体"/>
          <w:sz w:val="24"/>
          <w:szCs w:val="24"/>
          <w:u w:val="single"/>
        </w:rPr>
        <w:t xml:space="preserve">                       </w:t>
      </w:r>
    </w:p>
    <w:p w14:paraId="04A62177">
      <w:pPr>
        <w:spacing w:line="360" w:lineRule="auto"/>
        <w:rPr>
          <w:rFonts w:hint="eastAsia" w:ascii="宋体" w:hAnsi="宋体"/>
          <w:sz w:val="24"/>
          <w:szCs w:val="24"/>
          <w:u w:val="single"/>
        </w:rPr>
      </w:pPr>
      <w:r>
        <w:rPr>
          <w:rFonts w:ascii="宋体" w:hAnsi="宋体"/>
          <w:sz w:val="24"/>
          <w:szCs w:val="24"/>
        </w:rPr>
        <w:t xml:space="preserve">    签字日期：</w:t>
      </w:r>
      <w:r>
        <w:rPr>
          <w:rFonts w:ascii="宋体" w:hAnsi="宋体"/>
          <w:sz w:val="24"/>
          <w:szCs w:val="24"/>
          <w:u w:val="single"/>
        </w:rPr>
        <w:t xml:space="preserve">                       </w:t>
      </w:r>
    </w:p>
    <w:p w14:paraId="04A62178">
      <w:pPr>
        <w:spacing w:line="360" w:lineRule="auto"/>
        <w:rPr>
          <w:rFonts w:hint="eastAsia" w:ascii="宋体" w:hAnsi="宋体"/>
          <w:sz w:val="24"/>
          <w:szCs w:val="24"/>
          <w:u w:val="single"/>
        </w:rPr>
      </w:pPr>
      <w:r>
        <w:rPr>
          <w:rFonts w:ascii="宋体" w:hAnsi="宋体"/>
          <w:sz w:val="24"/>
          <w:szCs w:val="24"/>
        </w:rPr>
        <w:t xml:space="preserve">    项目名称：</w:t>
      </w:r>
      <w:r>
        <w:rPr>
          <w:rFonts w:ascii="宋体" w:hAnsi="宋体"/>
          <w:sz w:val="24"/>
          <w:szCs w:val="24"/>
          <w:u w:val="single"/>
        </w:rPr>
        <w:t xml:space="preserve">                        </w:t>
      </w:r>
    </w:p>
    <w:p w14:paraId="04A62179">
      <w:pPr>
        <w:spacing w:line="360" w:lineRule="auto"/>
        <w:rPr>
          <w:rFonts w:hint="eastAsia" w:ascii="宋体" w:hAnsi="宋体"/>
          <w:sz w:val="24"/>
          <w:szCs w:val="24"/>
          <w:u w:val="single"/>
        </w:rPr>
      </w:pPr>
      <w:r>
        <w:rPr>
          <w:rFonts w:ascii="宋体" w:hAnsi="宋体"/>
          <w:sz w:val="24"/>
          <w:szCs w:val="24"/>
        </w:rPr>
        <w:t xml:space="preserve">    数    量：</w:t>
      </w:r>
      <w:r>
        <w:rPr>
          <w:rFonts w:ascii="宋体" w:hAnsi="宋体"/>
          <w:sz w:val="24"/>
          <w:szCs w:val="24"/>
          <w:u w:val="single"/>
        </w:rPr>
        <w:t xml:space="preserve">                        </w:t>
      </w:r>
    </w:p>
    <w:p w14:paraId="04A6217A">
      <w:pPr>
        <w:spacing w:line="360" w:lineRule="auto"/>
        <w:rPr>
          <w:rFonts w:hint="eastAsia" w:ascii="宋体" w:hAnsi="宋体"/>
          <w:sz w:val="24"/>
          <w:szCs w:val="24"/>
          <w:u w:val="single"/>
        </w:rPr>
      </w:pPr>
      <w:r>
        <w:rPr>
          <w:rFonts w:ascii="宋体" w:hAnsi="宋体"/>
          <w:sz w:val="24"/>
          <w:szCs w:val="24"/>
        </w:rPr>
        <w:t xml:space="preserve">    合同金额：</w:t>
      </w:r>
      <w:r>
        <w:rPr>
          <w:rFonts w:ascii="宋体" w:hAnsi="宋体"/>
          <w:sz w:val="24"/>
          <w:szCs w:val="24"/>
          <w:u w:val="single"/>
        </w:rPr>
        <w:t xml:space="preserve">                        </w:t>
      </w:r>
    </w:p>
    <w:p w14:paraId="04A6217B">
      <w:pPr>
        <w:spacing w:line="360" w:lineRule="auto"/>
        <w:rPr>
          <w:rFonts w:hint="eastAsia" w:ascii="宋体" w:hAnsi="宋体"/>
          <w:sz w:val="24"/>
          <w:szCs w:val="24"/>
          <w:u w:val="single"/>
        </w:rPr>
      </w:pPr>
      <w:r>
        <w:rPr>
          <w:rFonts w:ascii="宋体" w:hAnsi="宋体"/>
          <w:sz w:val="24"/>
          <w:szCs w:val="24"/>
        </w:rPr>
        <w:t>8． 有关开户银行的名称和地址：</w:t>
      </w:r>
      <w:r>
        <w:rPr>
          <w:rFonts w:ascii="宋体" w:hAnsi="宋体"/>
          <w:sz w:val="24"/>
          <w:szCs w:val="24"/>
          <w:u w:val="single"/>
        </w:rPr>
        <w:t xml:space="preserve">                                              </w:t>
      </w:r>
    </w:p>
    <w:p w14:paraId="04A6217C">
      <w:pPr>
        <w:spacing w:line="360" w:lineRule="auto"/>
        <w:rPr>
          <w:rFonts w:hint="eastAsia" w:ascii="宋体" w:hAnsi="宋体"/>
          <w:sz w:val="24"/>
          <w:szCs w:val="24"/>
          <w:u w:val="single"/>
        </w:rPr>
      </w:pPr>
      <w:r>
        <w:rPr>
          <w:rFonts w:ascii="宋体" w:hAnsi="宋体"/>
          <w:sz w:val="24"/>
          <w:szCs w:val="24"/>
        </w:rPr>
        <w:t>9． 制造商所属的集团公司（如有的话）：</w:t>
      </w:r>
      <w:r>
        <w:rPr>
          <w:rFonts w:ascii="宋体" w:hAnsi="宋体"/>
          <w:sz w:val="24"/>
          <w:szCs w:val="24"/>
          <w:u w:val="single"/>
        </w:rPr>
        <w:t xml:space="preserve">                                       </w:t>
      </w:r>
    </w:p>
    <w:p w14:paraId="04A6217D">
      <w:pPr>
        <w:spacing w:line="360" w:lineRule="auto"/>
        <w:rPr>
          <w:rFonts w:hint="eastAsia" w:ascii="宋体" w:hAnsi="宋体"/>
          <w:sz w:val="24"/>
          <w:szCs w:val="24"/>
          <w:u w:val="single"/>
        </w:rPr>
      </w:pPr>
      <w:r>
        <w:rPr>
          <w:rFonts w:ascii="宋体" w:hAnsi="宋体"/>
          <w:sz w:val="24"/>
          <w:szCs w:val="24"/>
        </w:rPr>
        <w:t>10．其他情况：</w:t>
      </w:r>
      <w:r>
        <w:rPr>
          <w:rFonts w:ascii="宋体" w:hAnsi="宋体"/>
          <w:sz w:val="24"/>
          <w:szCs w:val="24"/>
          <w:u w:val="single"/>
        </w:rPr>
        <w:t xml:space="preserve">                                                              </w:t>
      </w:r>
    </w:p>
    <w:p w14:paraId="04A6217E">
      <w:pPr>
        <w:spacing w:line="360" w:lineRule="auto"/>
        <w:rPr>
          <w:rFonts w:hint="eastAsia" w:ascii="宋体" w:hAnsi="宋体"/>
          <w:sz w:val="24"/>
          <w:szCs w:val="24"/>
        </w:rPr>
      </w:pPr>
      <w:r>
        <w:rPr>
          <w:rFonts w:ascii="宋体" w:hAnsi="宋体"/>
          <w:sz w:val="24"/>
          <w:szCs w:val="24"/>
        </w:rPr>
        <w:t>兹证明上述声明是真实、正确</w:t>
      </w:r>
      <w:r>
        <w:rPr>
          <w:rFonts w:hint="eastAsia" w:ascii="宋体" w:hAnsi="宋体"/>
          <w:sz w:val="24"/>
          <w:szCs w:val="24"/>
        </w:rPr>
        <w:t>、有效</w:t>
      </w:r>
      <w:r>
        <w:rPr>
          <w:rFonts w:ascii="宋体" w:hAnsi="宋体"/>
          <w:sz w:val="24"/>
          <w:szCs w:val="24"/>
        </w:rPr>
        <w:t>的，并提供了</w:t>
      </w:r>
      <w:r>
        <w:rPr>
          <w:rFonts w:hint="eastAsia" w:ascii="宋体" w:hAnsi="宋体"/>
          <w:sz w:val="24"/>
          <w:szCs w:val="24"/>
        </w:rPr>
        <w:t>所有</w:t>
      </w:r>
      <w:r>
        <w:rPr>
          <w:rFonts w:ascii="宋体" w:hAnsi="宋体"/>
          <w:sz w:val="24"/>
          <w:szCs w:val="24"/>
        </w:rPr>
        <w:t>能提供的</w:t>
      </w:r>
      <w:r>
        <w:rPr>
          <w:rFonts w:hint="eastAsia" w:ascii="宋体" w:hAnsi="宋体"/>
          <w:sz w:val="24"/>
          <w:szCs w:val="24"/>
        </w:rPr>
        <w:t>全部</w:t>
      </w:r>
      <w:r>
        <w:rPr>
          <w:rFonts w:ascii="宋体" w:hAnsi="宋体"/>
          <w:sz w:val="24"/>
          <w:szCs w:val="24"/>
        </w:rPr>
        <w:t>资料和数据，我们同意遵照贵方要求出示有关证明文件。</w:t>
      </w:r>
    </w:p>
    <w:p w14:paraId="04A6217F">
      <w:pPr>
        <w:spacing w:line="360" w:lineRule="auto"/>
        <w:rPr>
          <w:rFonts w:hint="eastAsia" w:ascii="宋体" w:hAnsi="宋体"/>
          <w:sz w:val="24"/>
          <w:szCs w:val="24"/>
        </w:rPr>
      </w:pPr>
      <w:r>
        <w:rPr>
          <w:rFonts w:ascii="宋体" w:hAnsi="宋体"/>
          <w:sz w:val="24"/>
          <w:szCs w:val="24"/>
        </w:rPr>
        <w:t>制 造  商 名 称：</w:t>
      </w:r>
      <w:r>
        <w:rPr>
          <w:rFonts w:ascii="宋体" w:hAnsi="宋体"/>
          <w:sz w:val="24"/>
          <w:szCs w:val="24"/>
          <w:u w:val="single"/>
        </w:rPr>
        <w:t xml:space="preserve">                                          </w:t>
      </w:r>
    </w:p>
    <w:p w14:paraId="04A62180">
      <w:pPr>
        <w:spacing w:line="360" w:lineRule="auto"/>
        <w:rPr>
          <w:rFonts w:hint="eastAsia" w:ascii="宋体" w:hAnsi="宋体"/>
          <w:sz w:val="24"/>
          <w:szCs w:val="24"/>
        </w:rPr>
      </w:pPr>
      <w:r>
        <w:rPr>
          <w:rFonts w:ascii="宋体" w:hAnsi="宋体"/>
          <w:sz w:val="24"/>
          <w:szCs w:val="24"/>
        </w:rPr>
        <w:t>签字人姓名和职务：</w:t>
      </w:r>
      <w:r>
        <w:rPr>
          <w:rFonts w:ascii="宋体" w:hAnsi="宋体"/>
          <w:sz w:val="24"/>
          <w:szCs w:val="24"/>
          <w:u w:val="single"/>
        </w:rPr>
        <w:t xml:space="preserve">                                          </w:t>
      </w:r>
    </w:p>
    <w:p w14:paraId="04A62181">
      <w:pPr>
        <w:spacing w:line="360" w:lineRule="auto"/>
        <w:rPr>
          <w:rFonts w:hint="eastAsia" w:ascii="宋体" w:hAnsi="宋体"/>
          <w:sz w:val="24"/>
          <w:szCs w:val="24"/>
          <w:u w:val="single"/>
        </w:rPr>
      </w:pPr>
      <w:r>
        <w:rPr>
          <w:rFonts w:ascii="宋体" w:hAnsi="宋体"/>
          <w:sz w:val="24"/>
          <w:szCs w:val="24"/>
        </w:rPr>
        <w:t>签 字 人  签  字：</w:t>
      </w:r>
      <w:r>
        <w:rPr>
          <w:rFonts w:ascii="宋体" w:hAnsi="宋体"/>
          <w:sz w:val="24"/>
          <w:szCs w:val="24"/>
          <w:u w:val="single"/>
        </w:rPr>
        <w:t xml:space="preserve">                                          </w:t>
      </w:r>
    </w:p>
    <w:p w14:paraId="04A62182">
      <w:pPr>
        <w:spacing w:line="360" w:lineRule="auto"/>
        <w:rPr>
          <w:rFonts w:hint="eastAsia" w:ascii="宋体" w:hAnsi="宋体"/>
          <w:sz w:val="24"/>
          <w:szCs w:val="24"/>
          <w:u w:val="single"/>
        </w:rPr>
      </w:pPr>
      <w:r>
        <w:rPr>
          <w:rFonts w:ascii="宋体" w:hAnsi="宋体"/>
          <w:sz w:val="24"/>
          <w:szCs w:val="24"/>
        </w:rPr>
        <w:t>签   字  日  期：</w:t>
      </w:r>
      <w:r>
        <w:rPr>
          <w:rFonts w:ascii="宋体" w:hAnsi="宋体"/>
          <w:sz w:val="24"/>
          <w:szCs w:val="24"/>
          <w:u w:val="single"/>
        </w:rPr>
        <w:t xml:space="preserve">                                          </w:t>
      </w:r>
    </w:p>
    <w:p w14:paraId="04A62183">
      <w:pPr>
        <w:spacing w:line="360" w:lineRule="auto"/>
        <w:rPr>
          <w:rFonts w:hint="eastAsia" w:ascii="宋体" w:hAnsi="宋体"/>
          <w:sz w:val="24"/>
          <w:szCs w:val="24"/>
          <w:u w:val="single"/>
        </w:rPr>
      </w:pPr>
      <w:r>
        <w:rPr>
          <w:rFonts w:ascii="宋体" w:hAnsi="宋体"/>
          <w:sz w:val="24"/>
          <w:szCs w:val="24"/>
        </w:rPr>
        <w:t>传           真：</w:t>
      </w:r>
      <w:r>
        <w:rPr>
          <w:rFonts w:ascii="宋体" w:hAnsi="宋体"/>
          <w:sz w:val="24"/>
          <w:szCs w:val="24"/>
          <w:u w:val="single"/>
        </w:rPr>
        <w:t xml:space="preserve">                                          </w:t>
      </w:r>
    </w:p>
    <w:p w14:paraId="04A62184">
      <w:pPr>
        <w:spacing w:line="360" w:lineRule="auto"/>
        <w:rPr>
          <w:rFonts w:hint="eastAsia" w:ascii="宋体" w:hAnsi="宋体"/>
          <w:sz w:val="24"/>
          <w:szCs w:val="24"/>
          <w:u w:val="single"/>
        </w:rPr>
      </w:pPr>
      <w:r>
        <w:rPr>
          <w:rFonts w:ascii="宋体" w:hAnsi="宋体"/>
          <w:sz w:val="24"/>
          <w:szCs w:val="24"/>
        </w:rPr>
        <w:t>电           话：</w:t>
      </w:r>
      <w:r>
        <w:rPr>
          <w:rFonts w:ascii="宋体" w:hAnsi="宋体"/>
          <w:sz w:val="24"/>
          <w:szCs w:val="24"/>
          <w:u w:val="single"/>
        </w:rPr>
        <w:t xml:space="preserve">                                          </w:t>
      </w:r>
    </w:p>
    <w:p w14:paraId="04A62185">
      <w:pPr>
        <w:spacing w:line="360" w:lineRule="auto"/>
        <w:rPr>
          <w:rFonts w:hint="eastAsia" w:ascii="宋体" w:hAnsi="宋体"/>
          <w:sz w:val="24"/>
          <w:szCs w:val="24"/>
          <w:u w:val="single"/>
        </w:rPr>
      </w:pPr>
      <w:r>
        <w:rPr>
          <w:rFonts w:ascii="宋体" w:hAnsi="宋体"/>
          <w:sz w:val="24"/>
          <w:szCs w:val="24"/>
        </w:rPr>
        <w:t xml:space="preserve">电   子  </w:t>
      </w:r>
      <w:r>
        <w:rPr>
          <w:rFonts w:hint="eastAsia" w:ascii="宋体" w:hAnsi="宋体"/>
          <w:sz w:val="24"/>
          <w:szCs w:val="24"/>
        </w:rPr>
        <w:t>邮</w:t>
      </w:r>
      <w:r>
        <w:rPr>
          <w:rFonts w:ascii="宋体" w:hAnsi="宋体"/>
          <w:sz w:val="24"/>
          <w:szCs w:val="24"/>
        </w:rPr>
        <w:t xml:space="preserve">  件：</w:t>
      </w:r>
      <w:r>
        <w:rPr>
          <w:rFonts w:ascii="宋体" w:hAnsi="宋体"/>
          <w:sz w:val="24"/>
          <w:szCs w:val="24"/>
          <w:u w:val="single"/>
        </w:rPr>
        <w:t xml:space="preserve">                                          </w:t>
      </w:r>
    </w:p>
    <w:p w14:paraId="04A62186">
      <w:pPr>
        <w:spacing w:line="360" w:lineRule="auto"/>
        <w:ind w:firstLine="120" w:firstLineChars="50"/>
        <w:rPr>
          <w:rFonts w:hint="eastAsia" w:ascii="宋体" w:hAnsi="宋体"/>
          <w:sz w:val="24"/>
          <w:szCs w:val="24"/>
        </w:rPr>
      </w:pPr>
    </w:p>
    <w:p w14:paraId="04A62187">
      <w:pPr>
        <w:spacing w:line="360" w:lineRule="auto"/>
        <w:ind w:firstLine="120" w:firstLineChars="50"/>
        <w:rPr>
          <w:rFonts w:hint="eastAsia" w:ascii="宋体" w:hAnsi="宋体"/>
          <w:sz w:val="24"/>
          <w:szCs w:val="24"/>
        </w:rPr>
      </w:pPr>
    </w:p>
    <w:p w14:paraId="04A62188">
      <w:pPr>
        <w:spacing w:line="360" w:lineRule="auto"/>
        <w:ind w:firstLine="120" w:firstLineChars="50"/>
        <w:rPr>
          <w:rFonts w:hint="eastAsia" w:ascii="宋体" w:hAnsi="宋体"/>
          <w:sz w:val="24"/>
          <w:szCs w:val="24"/>
        </w:rPr>
      </w:pPr>
    </w:p>
    <w:p w14:paraId="04A62189">
      <w:pPr>
        <w:spacing w:line="360" w:lineRule="auto"/>
        <w:ind w:firstLine="120" w:firstLineChars="50"/>
        <w:rPr>
          <w:rFonts w:hint="eastAsia" w:ascii="宋体" w:hAnsi="宋体"/>
          <w:sz w:val="24"/>
          <w:szCs w:val="24"/>
        </w:rPr>
      </w:pPr>
    </w:p>
    <w:p w14:paraId="04A6218A">
      <w:pPr>
        <w:spacing w:line="360" w:lineRule="auto"/>
        <w:ind w:firstLine="120" w:firstLineChars="50"/>
        <w:rPr>
          <w:rFonts w:hint="eastAsia" w:ascii="宋体" w:hAnsi="宋体"/>
          <w:sz w:val="24"/>
          <w:szCs w:val="24"/>
        </w:rPr>
      </w:pPr>
    </w:p>
    <w:p w14:paraId="04A6218B">
      <w:pPr>
        <w:spacing w:line="360" w:lineRule="auto"/>
        <w:ind w:firstLine="120" w:firstLineChars="50"/>
        <w:rPr>
          <w:rFonts w:hint="eastAsia" w:ascii="宋体" w:hAnsi="宋体"/>
          <w:sz w:val="24"/>
          <w:szCs w:val="24"/>
        </w:rPr>
      </w:pPr>
    </w:p>
    <w:p w14:paraId="04A6218C">
      <w:pPr>
        <w:spacing w:line="360" w:lineRule="auto"/>
        <w:ind w:firstLine="120" w:firstLineChars="50"/>
        <w:rPr>
          <w:rFonts w:hint="eastAsia" w:ascii="宋体" w:hAnsi="宋体"/>
          <w:sz w:val="24"/>
          <w:szCs w:val="24"/>
        </w:rPr>
      </w:pPr>
    </w:p>
    <w:p w14:paraId="04A6218D">
      <w:pPr>
        <w:spacing w:line="360" w:lineRule="auto"/>
        <w:ind w:firstLine="120" w:firstLineChars="50"/>
        <w:rPr>
          <w:rFonts w:hint="eastAsia" w:ascii="宋体" w:hAnsi="宋体"/>
          <w:sz w:val="24"/>
          <w:szCs w:val="24"/>
        </w:rPr>
      </w:pPr>
    </w:p>
    <w:p w14:paraId="04A6218E">
      <w:pPr>
        <w:spacing w:line="360" w:lineRule="auto"/>
        <w:ind w:firstLine="120" w:firstLineChars="50"/>
        <w:rPr>
          <w:rFonts w:hint="eastAsia" w:ascii="宋体" w:hAnsi="宋体"/>
          <w:sz w:val="24"/>
          <w:szCs w:val="24"/>
        </w:rPr>
      </w:pPr>
    </w:p>
    <w:p w14:paraId="04A6218F">
      <w:pPr>
        <w:spacing w:line="360" w:lineRule="auto"/>
        <w:ind w:firstLine="120" w:firstLineChars="50"/>
        <w:rPr>
          <w:rFonts w:hint="eastAsia" w:ascii="宋体" w:hAnsi="宋体"/>
          <w:sz w:val="24"/>
          <w:szCs w:val="24"/>
        </w:rPr>
      </w:pPr>
    </w:p>
    <w:p w14:paraId="04A62190">
      <w:pPr>
        <w:spacing w:line="360" w:lineRule="auto"/>
        <w:ind w:firstLine="120" w:firstLineChars="50"/>
        <w:outlineLvl w:val="0"/>
        <w:rPr>
          <w:rFonts w:hint="eastAsia" w:ascii="宋体" w:hAnsi="宋体" w:cs="宋体"/>
          <w:b/>
          <w:kern w:val="0"/>
          <w:sz w:val="24"/>
          <w:szCs w:val="24"/>
        </w:rPr>
      </w:pPr>
      <w:bookmarkStart w:id="78" w:name="_Toc161131013"/>
      <w:r>
        <w:rPr>
          <w:rFonts w:hint="eastAsia" w:ascii="宋体" w:hAnsi="宋体" w:cs="宋体"/>
          <w:b/>
          <w:kern w:val="0"/>
          <w:sz w:val="24"/>
          <w:szCs w:val="24"/>
        </w:rPr>
        <w:t>附件5</w:t>
      </w:r>
      <w:bookmarkEnd w:id="78"/>
    </w:p>
    <w:p w14:paraId="04A62191">
      <w:pPr>
        <w:pStyle w:val="3"/>
        <w:rPr>
          <w:rFonts w:hint="eastAsia" w:ascii="宋体" w:hAnsi="宋体" w:eastAsia="宋体"/>
          <w:sz w:val="24"/>
          <w:szCs w:val="24"/>
        </w:rPr>
      </w:pPr>
      <w:bookmarkStart w:id="79" w:name="_Toc161131014"/>
      <w:bookmarkStart w:id="80" w:name="_Toc369097108"/>
      <w:bookmarkStart w:id="81" w:name="_Toc441676678"/>
      <w:r>
        <w:rPr>
          <w:rFonts w:hint="eastAsia" w:ascii="宋体" w:hAnsi="宋体" w:eastAsia="宋体"/>
          <w:sz w:val="24"/>
          <w:szCs w:val="24"/>
        </w:rPr>
        <w:t>投标人主要业绩</w:t>
      </w:r>
      <w:bookmarkEnd w:id="79"/>
      <w:bookmarkEnd w:id="80"/>
      <w:bookmarkEnd w:id="81"/>
    </w:p>
    <w:p w14:paraId="04A62192">
      <w:pPr>
        <w:spacing w:line="360" w:lineRule="auto"/>
        <w:ind w:firstLine="420"/>
        <w:rPr>
          <w:rFonts w:hint="eastAsia" w:ascii="宋体" w:hAnsi="宋体" w:cs="宋体"/>
          <w:kern w:val="0"/>
          <w:sz w:val="24"/>
          <w:szCs w:val="24"/>
        </w:rPr>
      </w:pPr>
      <w:r>
        <w:rPr>
          <w:rFonts w:hint="eastAsia" w:ascii="宋体" w:hAnsi="宋体" w:cs="宋体"/>
          <w:kern w:val="0"/>
          <w:sz w:val="24"/>
          <w:szCs w:val="24"/>
        </w:rPr>
        <w:t>主要业绩除招标文件中要求提供的合同清单、合同或中标通知书复印件外（投标时应准备合同或中标通知书原件，供评标委员会核对），同时提供2022-2024年财务报表（资产负债表、利润表、现金流量表，由会计事务所审签），若有作假，取消评标资格。</w:t>
      </w:r>
    </w:p>
    <w:p w14:paraId="04A62193">
      <w:pPr>
        <w:spacing w:line="360" w:lineRule="auto"/>
        <w:rPr>
          <w:rFonts w:hint="eastAsia" w:ascii="宋体" w:hAnsi="宋体" w:cs="宋体"/>
          <w:kern w:val="0"/>
          <w:sz w:val="24"/>
          <w:szCs w:val="24"/>
        </w:rPr>
      </w:pPr>
    </w:p>
    <w:p w14:paraId="04A62194">
      <w:pPr>
        <w:spacing w:line="360" w:lineRule="auto"/>
        <w:outlineLvl w:val="0"/>
        <w:rPr>
          <w:rFonts w:hint="eastAsia" w:ascii="宋体" w:hAnsi="宋体" w:cs="宋体"/>
          <w:b/>
          <w:kern w:val="0"/>
          <w:sz w:val="24"/>
          <w:szCs w:val="24"/>
        </w:rPr>
      </w:pPr>
      <w:bookmarkStart w:id="82" w:name="_Toc161131015"/>
      <w:r>
        <w:rPr>
          <w:rFonts w:ascii="宋体" w:hAnsi="宋体" w:cs="宋体"/>
          <w:b/>
          <w:kern w:val="0"/>
          <w:sz w:val="24"/>
          <w:szCs w:val="24"/>
        </w:rPr>
        <w:t>附件</w:t>
      </w:r>
      <w:r>
        <w:rPr>
          <w:rFonts w:hint="eastAsia" w:ascii="宋体" w:hAnsi="宋体" w:cs="宋体"/>
          <w:b/>
          <w:kern w:val="0"/>
          <w:sz w:val="24"/>
          <w:szCs w:val="24"/>
        </w:rPr>
        <w:t>6</w:t>
      </w:r>
      <w:bookmarkEnd w:id="82"/>
    </w:p>
    <w:p w14:paraId="04A62195">
      <w:pPr>
        <w:pStyle w:val="3"/>
        <w:rPr>
          <w:rFonts w:hint="eastAsia" w:ascii="宋体" w:hAnsi="宋体" w:eastAsia="宋体"/>
          <w:sz w:val="24"/>
          <w:szCs w:val="24"/>
        </w:rPr>
      </w:pPr>
      <w:bookmarkStart w:id="83" w:name="_Toc369097109"/>
      <w:bookmarkStart w:id="84" w:name="_Toc161131016"/>
      <w:bookmarkStart w:id="85" w:name="_Toc441676679"/>
      <w:r>
        <w:rPr>
          <w:rFonts w:hint="eastAsia" w:ascii="宋体" w:hAnsi="宋体" w:eastAsia="宋体"/>
          <w:sz w:val="24"/>
          <w:szCs w:val="24"/>
        </w:rPr>
        <w:t>设备技术规格偏离表，技术响应表</w:t>
      </w:r>
      <w:bookmarkEnd w:id="83"/>
      <w:bookmarkEnd w:id="84"/>
      <w:bookmarkEnd w:id="85"/>
    </w:p>
    <w:tbl>
      <w:tblPr>
        <w:tblStyle w:val="21"/>
        <w:tblW w:w="91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2"/>
        <w:gridCol w:w="1373"/>
        <w:gridCol w:w="2112"/>
        <w:gridCol w:w="2976"/>
        <w:gridCol w:w="1373"/>
      </w:tblGrid>
      <w:tr w14:paraId="04A62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exact"/>
        </w:trPr>
        <w:tc>
          <w:tcPr>
            <w:tcW w:w="1282" w:type="dxa"/>
            <w:vAlign w:val="center"/>
          </w:tcPr>
          <w:p w14:paraId="04A62196">
            <w:pPr>
              <w:adjustRightInd w:val="0"/>
              <w:snapToGrid w:val="0"/>
              <w:jc w:val="center"/>
              <w:rPr>
                <w:rFonts w:hint="eastAsia" w:ascii="宋体" w:hAnsi="宋体"/>
                <w:b/>
                <w:sz w:val="24"/>
                <w:szCs w:val="24"/>
              </w:rPr>
            </w:pPr>
            <w:r>
              <w:rPr>
                <w:rFonts w:ascii="宋体" w:hAnsi="宋体"/>
                <w:b/>
                <w:sz w:val="24"/>
                <w:szCs w:val="24"/>
              </w:rPr>
              <w:t>序号</w:t>
            </w:r>
          </w:p>
        </w:tc>
        <w:tc>
          <w:tcPr>
            <w:tcW w:w="1373" w:type="dxa"/>
            <w:vAlign w:val="center"/>
          </w:tcPr>
          <w:p w14:paraId="04A62197">
            <w:pPr>
              <w:adjustRightInd w:val="0"/>
              <w:snapToGrid w:val="0"/>
              <w:jc w:val="center"/>
              <w:rPr>
                <w:rFonts w:hint="eastAsia" w:ascii="宋体" w:hAnsi="宋体"/>
                <w:b/>
                <w:sz w:val="24"/>
                <w:szCs w:val="24"/>
              </w:rPr>
            </w:pPr>
            <w:r>
              <w:rPr>
                <w:rFonts w:ascii="宋体" w:hAnsi="宋体"/>
                <w:b/>
                <w:sz w:val="24"/>
                <w:szCs w:val="24"/>
              </w:rPr>
              <w:t>条款</w:t>
            </w:r>
          </w:p>
        </w:tc>
        <w:tc>
          <w:tcPr>
            <w:tcW w:w="2112" w:type="dxa"/>
            <w:vAlign w:val="center"/>
          </w:tcPr>
          <w:p w14:paraId="04A62198">
            <w:pPr>
              <w:adjustRightInd w:val="0"/>
              <w:snapToGrid w:val="0"/>
              <w:jc w:val="center"/>
              <w:rPr>
                <w:rFonts w:hint="eastAsia" w:ascii="宋体" w:hAnsi="宋体"/>
                <w:b/>
                <w:sz w:val="24"/>
                <w:szCs w:val="24"/>
              </w:rPr>
            </w:pPr>
            <w:r>
              <w:rPr>
                <w:rFonts w:ascii="宋体" w:hAnsi="宋体"/>
                <w:b/>
                <w:sz w:val="24"/>
                <w:szCs w:val="24"/>
              </w:rPr>
              <w:t>招标文件要求</w:t>
            </w:r>
          </w:p>
        </w:tc>
        <w:tc>
          <w:tcPr>
            <w:tcW w:w="2976" w:type="dxa"/>
            <w:vAlign w:val="center"/>
          </w:tcPr>
          <w:p w14:paraId="04A62199">
            <w:pPr>
              <w:adjustRightInd w:val="0"/>
              <w:snapToGrid w:val="0"/>
              <w:jc w:val="center"/>
              <w:rPr>
                <w:rFonts w:hint="eastAsia" w:ascii="宋体" w:hAnsi="宋体"/>
                <w:b/>
                <w:sz w:val="24"/>
                <w:szCs w:val="24"/>
              </w:rPr>
            </w:pPr>
            <w:r>
              <w:rPr>
                <w:rFonts w:ascii="宋体" w:hAnsi="宋体"/>
                <w:b/>
                <w:sz w:val="24"/>
                <w:szCs w:val="24"/>
              </w:rPr>
              <w:t>投标文件对应</w:t>
            </w:r>
            <w:r>
              <w:rPr>
                <w:rFonts w:hint="eastAsia" w:ascii="宋体" w:hAnsi="宋体"/>
                <w:b/>
                <w:sz w:val="24"/>
                <w:szCs w:val="24"/>
              </w:rPr>
              <w:t>技术数据</w:t>
            </w:r>
          </w:p>
        </w:tc>
        <w:tc>
          <w:tcPr>
            <w:tcW w:w="1373" w:type="dxa"/>
            <w:vAlign w:val="center"/>
          </w:tcPr>
          <w:p w14:paraId="04A6219A">
            <w:pPr>
              <w:adjustRightInd w:val="0"/>
              <w:snapToGrid w:val="0"/>
              <w:jc w:val="center"/>
              <w:rPr>
                <w:rFonts w:hint="eastAsia" w:ascii="宋体" w:hAnsi="宋体"/>
                <w:b/>
                <w:sz w:val="24"/>
                <w:szCs w:val="24"/>
              </w:rPr>
            </w:pPr>
            <w:r>
              <w:rPr>
                <w:rFonts w:ascii="宋体" w:hAnsi="宋体"/>
                <w:b/>
                <w:sz w:val="24"/>
                <w:szCs w:val="24"/>
              </w:rPr>
              <w:t>备注</w:t>
            </w:r>
          </w:p>
        </w:tc>
      </w:tr>
      <w:tr w14:paraId="04A62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04A6219C">
            <w:pPr>
              <w:jc w:val="center"/>
              <w:rPr>
                <w:rFonts w:hint="eastAsia" w:ascii="宋体" w:hAnsi="宋体"/>
                <w:sz w:val="24"/>
                <w:szCs w:val="24"/>
              </w:rPr>
            </w:pPr>
          </w:p>
        </w:tc>
        <w:tc>
          <w:tcPr>
            <w:tcW w:w="1373" w:type="dxa"/>
            <w:vAlign w:val="center"/>
          </w:tcPr>
          <w:p w14:paraId="04A6219D">
            <w:pPr>
              <w:jc w:val="center"/>
              <w:rPr>
                <w:rFonts w:hint="eastAsia" w:ascii="宋体" w:hAnsi="宋体"/>
                <w:sz w:val="24"/>
                <w:szCs w:val="24"/>
              </w:rPr>
            </w:pPr>
          </w:p>
        </w:tc>
        <w:tc>
          <w:tcPr>
            <w:tcW w:w="2112" w:type="dxa"/>
            <w:vAlign w:val="center"/>
          </w:tcPr>
          <w:p w14:paraId="04A6219E">
            <w:pPr>
              <w:jc w:val="center"/>
              <w:rPr>
                <w:rFonts w:hint="eastAsia" w:ascii="宋体" w:hAnsi="宋体"/>
                <w:sz w:val="24"/>
                <w:szCs w:val="24"/>
              </w:rPr>
            </w:pPr>
          </w:p>
        </w:tc>
        <w:tc>
          <w:tcPr>
            <w:tcW w:w="2976" w:type="dxa"/>
            <w:vAlign w:val="center"/>
          </w:tcPr>
          <w:p w14:paraId="04A6219F">
            <w:pPr>
              <w:jc w:val="center"/>
              <w:rPr>
                <w:rFonts w:hint="eastAsia" w:ascii="宋体" w:hAnsi="宋体"/>
                <w:sz w:val="24"/>
                <w:szCs w:val="24"/>
              </w:rPr>
            </w:pPr>
          </w:p>
        </w:tc>
        <w:tc>
          <w:tcPr>
            <w:tcW w:w="1373" w:type="dxa"/>
            <w:vAlign w:val="center"/>
          </w:tcPr>
          <w:p w14:paraId="04A621A0">
            <w:pPr>
              <w:jc w:val="center"/>
              <w:rPr>
                <w:rFonts w:hint="eastAsia" w:ascii="宋体" w:hAnsi="宋体"/>
                <w:sz w:val="24"/>
                <w:szCs w:val="24"/>
              </w:rPr>
            </w:pPr>
          </w:p>
        </w:tc>
      </w:tr>
      <w:tr w14:paraId="04A62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04A621A2">
            <w:pPr>
              <w:jc w:val="center"/>
              <w:rPr>
                <w:rFonts w:hint="eastAsia" w:ascii="宋体" w:hAnsi="宋体"/>
                <w:sz w:val="24"/>
                <w:szCs w:val="24"/>
              </w:rPr>
            </w:pPr>
          </w:p>
        </w:tc>
        <w:tc>
          <w:tcPr>
            <w:tcW w:w="1373" w:type="dxa"/>
            <w:vAlign w:val="center"/>
          </w:tcPr>
          <w:p w14:paraId="04A621A3">
            <w:pPr>
              <w:jc w:val="center"/>
              <w:rPr>
                <w:rFonts w:hint="eastAsia" w:ascii="宋体" w:hAnsi="宋体"/>
                <w:sz w:val="24"/>
                <w:szCs w:val="24"/>
              </w:rPr>
            </w:pPr>
          </w:p>
        </w:tc>
        <w:tc>
          <w:tcPr>
            <w:tcW w:w="2112" w:type="dxa"/>
            <w:vAlign w:val="center"/>
          </w:tcPr>
          <w:p w14:paraId="04A621A4">
            <w:pPr>
              <w:jc w:val="center"/>
              <w:rPr>
                <w:rFonts w:hint="eastAsia" w:ascii="宋体" w:hAnsi="宋体"/>
                <w:sz w:val="24"/>
                <w:szCs w:val="24"/>
              </w:rPr>
            </w:pPr>
          </w:p>
        </w:tc>
        <w:tc>
          <w:tcPr>
            <w:tcW w:w="2976" w:type="dxa"/>
            <w:vAlign w:val="center"/>
          </w:tcPr>
          <w:p w14:paraId="04A621A5">
            <w:pPr>
              <w:jc w:val="center"/>
              <w:rPr>
                <w:rFonts w:hint="eastAsia" w:ascii="宋体" w:hAnsi="宋体"/>
                <w:sz w:val="24"/>
                <w:szCs w:val="24"/>
              </w:rPr>
            </w:pPr>
          </w:p>
        </w:tc>
        <w:tc>
          <w:tcPr>
            <w:tcW w:w="1373" w:type="dxa"/>
            <w:vAlign w:val="center"/>
          </w:tcPr>
          <w:p w14:paraId="04A621A6">
            <w:pPr>
              <w:jc w:val="center"/>
              <w:rPr>
                <w:rFonts w:hint="eastAsia" w:ascii="宋体" w:hAnsi="宋体"/>
                <w:sz w:val="24"/>
                <w:szCs w:val="24"/>
              </w:rPr>
            </w:pPr>
          </w:p>
        </w:tc>
      </w:tr>
    </w:tbl>
    <w:p w14:paraId="04A621A8">
      <w:pPr>
        <w:spacing w:line="360" w:lineRule="auto"/>
        <w:rPr>
          <w:rFonts w:hint="eastAsia" w:ascii="宋体" w:hAnsi="宋体"/>
          <w:b/>
          <w:sz w:val="24"/>
          <w:szCs w:val="24"/>
        </w:rPr>
      </w:pPr>
      <w:r>
        <w:rPr>
          <w:rFonts w:ascii="宋体" w:hAnsi="宋体"/>
          <w:b/>
          <w:sz w:val="24"/>
          <w:szCs w:val="24"/>
        </w:rPr>
        <w:t>我公司承诺：我公司承诺与招标文件的</w:t>
      </w:r>
      <w:r>
        <w:rPr>
          <w:rFonts w:hint="eastAsia" w:ascii="宋体" w:hAnsi="宋体"/>
          <w:b/>
          <w:sz w:val="24"/>
          <w:szCs w:val="24"/>
        </w:rPr>
        <w:t>技术</w:t>
      </w:r>
      <w:r>
        <w:rPr>
          <w:rFonts w:ascii="宋体" w:hAnsi="宋体"/>
          <w:b/>
          <w:sz w:val="24"/>
          <w:szCs w:val="24"/>
        </w:rPr>
        <w:t>条款偏离均已在上表中列出</w:t>
      </w:r>
      <w:r>
        <w:rPr>
          <w:rFonts w:hint="eastAsia" w:ascii="宋体" w:hAnsi="宋体"/>
          <w:b/>
          <w:sz w:val="24"/>
          <w:szCs w:val="24"/>
        </w:rPr>
        <w:t>。我公司已充分理解并接受</w:t>
      </w:r>
      <w:r>
        <w:rPr>
          <w:rFonts w:ascii="宋体" w:hAnsi="宋体"/>
          <w:b/>
          <w:sz w:val="24"/>
          <w:szCs w:val="24"/>
        </w:rPr>
        <w:t>除上表中已列出外，其它条款均无</w:t>
      </w:r>
      <w:r>
        <w:rPr>
          <w:rFonts w:hint="eastAsia" w:ascii="宋体" w:hAnsi="宋体"/>
          <w:b/>
          <w:sz w:val="24"/>
          <w:szCs w:val="24"/>
        </w:rPr>
        <w:t>技术</w:t>
      </w:r>
      <w:r>
        <w:rPr>
          <w:rFonts w:ascii="宋体" w:hAnsi="宋体"/>
          <w:b/>
          <w:sz w:val="24"/>
          <w:szCs w:val="24"/>
        </w:rPr>
        <w:t>上的偏离。</w:t>
      </w:r>
    </w:p>
    <w:p w14:paraId="04A621A9">
      <w:pPr>
        <w:rPr>
          <w:rFonts w:hint="eastAsia" w:ascii="宋体" w:hAnsi="宋体"/>
          <w:sz w:val="24"/>
          <w:szCs w:val="24"/>
        </w:rPr>
      </w:pPr>
    </w:p>
    <w:p w14:paraId="04A621AA">
      <w:pPr>
        <w:spacing w:line="360" w:lineRule="auto"/>
        <w:rPr>
          <w:rFonts w:hint="eastAsia" w:ascii="宋体" w:hAnsi="宋体"/>
          <w:sz w:val="24"/>
          <w:szCs w:val="24"/>
          <w:u w:val="single"/>
        </w:rPr>
      </w:pPr>
      <w:r>
        <w:rPr>
          <w:rFonts w:ascii="宋体" w:hAnsi="宋体"/>
          <w:sz w:val="24"/>
          <w:szCs w:val="24"/>
        </w:rPr>
        <w:t>投标人盖章：</w:t>
      </w:r>
      <w:r>
        <w:rPr>
          <w:rFonts w:hint="eastAsia" w:ascii="宋体" w:hAnsi="宋体"/>
          <w:sz w:val="24"/>
          <w:szCs w:val="24"/>
          <w:u w:val="single"/>
        </w:rPr>
        <w:t xml:space="preserve">                           </w:t>
      </w:r>
    </w:p>
    <w:p w14:paraId="04A621AB">
      <w:pPr>
        <w:spacing w:line="360" w:lineRule="auto"/>
        <w:rPr>
          <w:rFonts w:hint="eastAsia" w:ascii="宋体" w:hAnsi="宋体"/>
          <w:sz w:val="24"/>
          <w:szCs w:val="24"/>
          <w:u w:val="single"/>
        </w:rPr>
      </w:pPr>
      <w:r>
        <w:rPr>
          <w:rFonts w:ascii="宋体" w:hAnsi="宋体"/>
          <w:sz w:val="24"/>
          <w:szCs w:val="24"/>
        </w:rPr>
        <w:t>授权代表签字：</w:t>
      </w:r>
      <w:r>
        <w:rPr>
          <w:rFonts w:hint="eastAsia" w:ascii="宋体" w:hAnsi="宋体"/>
          <w:sz w:val="24"/>
          <w:szCs w:val="24"/>
          <w:u w:val="single"/>
        </w:rPr>
        <w:t xml:space="preserve">                         </w:t>
      </w:r>
    </w:p>
    <w:p w14:paraId="04A621AC">
      <w:pPr>
        <w:spacing w:line="360" w:lineRule="auto"/>
        <w:rPr>
          <w:rFonts w:hint="eastAsia" w:ascii="宋体" w:hAnsi="宋体"/>
          <w:sz w:val="24"/>
          <w:szCs w:val="24"/>
          <w:u w:val="single"/>
        </w:rPr>
      </w:pPr>
      <w:r>
        <w:rPr>
          <w:rFonts w:ascii="宋体" w:hAnsi="宋体"/>
          <w:sz w:val="24"/>
          <w:szCs w:val="24"/>
        </w:rPr>
        <w:t>日    期：</w:t>
      </w:r>
      <w:r>
        <w:rPr>
          <w:rFonts w:hint="eastAsia" w:ascii="宋体" w:hAnsi="宋体"/>
          <w:sz w:val="24"/>
          <w:szCs w:val="24"/>
          <w:u w:val="single"/>
        </w:rPr>
        <w:t xml:space="preserve">                             </w:t>
      </w:r>
    </w:p>
    <w:p w14:paraId="04A621AD">
      <w:pPr>
        <w:spacing w:line="360" w:lineRule="auto"/>
        <w:rPr>
          <w:rFonts w:hint="eastAsia" w:ascii="宋体" w:hAnsi="宋体" w:cs="宋体"/>
          <w:b/>
          <w:kern w:val="0"/>
          <w:sz w:val="24"/>
          <w:szCs w:val="24"/>
        </w:rPr>
      </w:pPr>
    </w:p>
    <w:p w14:paraId="04A621AE">
      <w:pPr>
        <w:spacing w:line="360" w:lineRule="auto"/>
        <w:outlineLvl w:val="0"/>
        <w:rPr>
          <w:rFonts w:hint="eastAsia" w:ascii="宋体" w:hAnsi="宋体" w:cs="宋体"/>
          <w:b/>
          <w:kern w:val="0"/>
          <w:sz w:val="24"/>
          <w:szCs w:val="24"/>
        </w:rPr>
      </w:pPr>
      <w:bookmarkStart w:id="86" w:name="_Toc161131017"/>
      <w:r>
        <w:rPr>
          <w:rFonts w:hint="eastAsia" w:ascii="宋体" w:hAnsi="宋体" w:cs="宋体"/>
          <w:b/>
          <w:kern w:val="0"/>
          <w:sz w:val="24"/>
          <w:szCs w:val="24"/>
        </w:rPr>
        <w:t>附件7</w:t>
      </w:r>
      <w:bookmarkEnd w:id="86"/>
    </w:p>
    <w:p w14:paraId="04A621AF">
      <w:pPr>
        <w:pStyle w:val="3"/>
        <w:rPr>
          <w:rFonts w:hint="eastAsia" w:ascii="宋体" w:hAnsi="宋体" w:eastAsia="宋体"/>
          <w:sz w:val="24"/>
          <w:szCs w:val="24"/>
        </w:rPr>
      </w:pPr>
      <w:bookmarkStart w:id="87" w:name="_Toc369097110"/>
      <w:bookmarkStart w:id="88" w:name="_Toc441676680"/>
      <w:bookmarkStart w:id="89" w:name="_Toc161131018"/>
      <w:r>
        <w:rPr>
          <w:rFonts w:hint="eastAsia" w:ascii="宋体" w:hAnsi="宋体" w:eastAsia="宋体"/>
          <w:sz w:val="24"/>
          <w:szCs w:val="24"/>
        </w:rPr>
        <w:t>投标产品技术规格书及产品样本说明</w:t>
      </w:r>
      <w:bookmarkEnd w:id="87"/>
      <w:bookmarkEnd w:id="88"/>
      <w:bookmarkEnd w:id="89"/>
    </w:p>
    <w:p w14:paraId="04A621B0">
      <w:pPr>
        <w:rPr>
          <w:rFonts w:hint="eastAsia" w:ascii="宋体" w:hAnsi="宋体"/>
          <w:sz w:val="24"/>
          <w:szCs w:val="24"/>
        </w:rPr>
      </w:pPr>
      <w:r>
        <w:rPr>
          <w:rFonts w:hint="eastAsia" w:ascii="宋体" w:hAnsi="宋体"/>
          <w:sz w:val="24"/>
          <w:szCs w:val="24"/>
        </w:rPr>
        <w:t>1、投标产品技术规格书（不允许仅使用样本代替）及产品样品</w:t>
      </w:r>
    </w:p>
    <w:p w14:paraId="04A621B1">
      <w:pPr>
        <w:rPr>
          <w:rFonts w:hint="eastAsia" w:ascii="宋体" w:hAnsi="宋体"/>
          <w:sz w:val="24"/>
          <w:szCs w:val="24"/>
        </w:rPr>
      </w:pPr>
      <w:r>
        <w:rPr>
          <w:rFonts w:hint="eastAsia" w:ascii="宋体" w:hAnsi="宋体"/>
          <w:sz w:val="24"/>
          <w:szCs w:val="24"/>
        </w:rPr>
        <w:t>2、产品的主要技术和质量水平的详细描述。</w:t>
      </w:r>
    </w:p>
    <w:p w14:paraId="04A621B2">
      <w:pPr>
        <w:rPr>
          <w:rFonts w:hint="eastAsia" w:ascii="宋体" w:hAnsi="宋体"/>
          <w:sz w:val="24"/>
          <w:szCs w:val="24"/>
        </w:rPr>
      </w:pPr>
      <w:r>
        <w:rPr>
          <w:rFonts w:hint="eastAsia" w:ascii="宋体" w:hAnsi="宋体"/>
          <w:sz w:val="24"/>
          <w:szCs w:val="24"/>
        </w:rPr>
        <w:t>3、产品验收标准和验收方法。</w:t>
      </w:r>
    </w:p>
    <w:p w14:paraId="04A621B3">
      <w:pPr>
        <w:rPr>
          <w:rFonts w:hint="eastAsia" w:ascii="宋体" w:hAnsi="宋体"/>
          <w:sz w:val="24"/>
          <w:szCs w:val="24"/>
        </w:rPr>
      </w:pPr>
      <w:r>
        <w:rPr>
          <w:rFonts w:hint="eastAsia" w:ascii="宋体" w:hAnsi="宋体"/>
          <w:sz w:val="24"/>
          <w:szCs w:val="24"/>
        </w:rPr>
        <w:t>4、产品质量保证、技术服务和售后服务的内容、措施和承诺及距招标人最近的服务网点的详细介绍。</w:t>
      </w:r>
    </w:p>
    <w:p w14:paraId="04A621B4">
      <w:pPr>
        <w:rPr>
          <w:rFonts w:hint="eastAsia" w:ascii="宋体" w:hAnsi="宋体"/>
          <w:sz w:val="24"/>
          <w:szCs w:val="24"/>
        </w:rPr>
      </w:pPr>
      <w:r>
        <w:rPr>
          <w:rFonts w:hint="eastAsia" w:ascii="宋体" w:hAnsi="宋体"/>
          <w:sz w:val="24"/>
          <w:szCs w:val="24"/>
        </w:rPr>
        <w:t>5、根据招标文件中的要求，需要提供的文件和资料。</w:t>
      </w:r>
    </w:p>
    <w:p w14:paraId="04A621B5">
      <w:pPr>
        <w:rPr>
          <w:rFonts w:hint="eastAsia" w:ascii="宋体" w:hAnsi="宋体"/>
          <w:sz w:val="24"/>
          <w:szCs w:val="24"/>
        </w:rPr>
      </w:pPr>
      <w:r>
        <w:rPr>
          <w:rFonts w:hint="eastAsia" w:ascii="宋体" w:hAnsi="宋体"/>
          <w:sz w:val="24"/>
          <w:szCs w:val="24"/>
        </w:rPr>
        <w:t>6、投标人认为需要提供的其他文件和资料。</w:t>
      </w:r>
    </w:p>
    <w:p w14:paraId="04A621B6">
      <w:pPr>
        <w:rPr>
          <w:rFonts w:hint="eastAsia" w:ascii="宋体" w:hAnsi="宋体"/>
          <w:sz w:val="24"/>
          <w:szCs w:val="24"/>
        </w:rPr>
      </w:pPr>
    </w:p>
    <w:p w14:paraId="04A621B7">
      <w:pPr>
        <w:spacing w:line="360" w:lineRule="auto"/>
        <w:outlineLvl w:val="0"/>
        <w:rPr>
          <w:rFonts w:hint="eastAsia" w:ascii="宋体" w:hAnsi="宋体" w:cs="宋体"/>
          <w:b/>
          <w:kern w:val="0"/>
          <w:sz w:val="24"/>
          <w:szCs w:val="24"/>
        </w:rPr>
      </w:pPr>
      <w:bookmarkStart w:id="90" w:name="_Toc161131019"/>
      <w:r>
        <w:rPr>
          <w:rFonts w:hint="eastAsia" w:ascii="宋体" w:hAnsi="宋体" w:cs="宋体"/>
          <w:b/>
          <w:kern w:val="0"/>
          <w:sz w:val="24"/>
          <w:szCs w:val="24"/>
        </w:rPr>
        <w:t>附件8</w:t>
      </w:r>
      <w:bookmarkEnd w:id="90"/>
      <w:r>
        <w:rPr>
          <w:rFonts w:hint="eastAsia" w:ascii="宋体" w:hAnsi="宋体" w:cs="宋体"/>
          <w:b/>
          <w:kern w:val="0"/>
          <w:sz w:val="24"/>
          <w:szCs w:val="24"/>
        </w:rPr>
        <w:t xml:space="preserve"> </w:t>
      </w:r>
    </w:p>
    <w:p w14:paraId="04A621B8">
      <w:pPr>
        <w:pStyle w:val="3"/>
        <w:rPr>
          <w:rFonts w:hint="eastAsia" w:ascii="宋体" w:hAnsi="宋体" w:eastAsia="宋体"/>
          <w:sz w:val="24"/>
          <w:szCs w:val="24"/>
        </w:rPr>
      </w:pPr>
      <w:bookmarkStart w:id="91" w:name="_Toc161131020"/>
      <w:bookmarkStart w:id="92" w:name="_Toc441676681"/>
      <w:r>
        <w:rPr>
          <w:rFonts w:hint="eastAsia" w:ascii="宋体" w:hAnsi="宋体" w:eastAsia="宋体"/>
          <w:sz w:val="24"/>
          <w:szCs w:val="24"/>
        </w:rPr>
        <w:t>唛  头</w:t>
      </w:r>
      <w:bookmarkEnd w:id="91"/>
      <w:bookmarkEnd w:id="92"/>
    </w:p>
    <w:tbl>
      <w:tblPr>
        <w:tblStyle w:val="21"/>
        <w:tblW w:w="7916" w:type="dxa"/>
        <w:tblInd w:w="720" w:type="dxa"/>
        <w:tblLayout w:type="fixed"/>
        <w:tblCellMar>
          <w:top w:w="0" w:type="dxa"/>
          <w:left w:w="108" w:type="dxa"/>
          <w:bottom w:w="0" w:type="dxa"/>
          <w:right w:w="108" w:type="dxa"/>
        </w:tblCellMar>
      </w:tblPr>
      <w:tblGrid>
        <w:gridCol w:w="3904"/>
        <w:gridCol w:w="1518"/>
        <w:gridCol w:w="2494"/>
      </w:tblGrid>
      <w:tr w14:paraId="04A621BB">
        <w:tblPrEx>
          <w:tblCellMar>
            <w:top w:w="0" w:type="dxa"/>
            <w:left w:w="108" w:type="dxa"/>
            <w:bottom w:w="0" w:type="dxa"/>
            <w:right w:w="108" w:type="dxa"/>
          </w:tblCellMar>
        </w:tblPrEx>
        <w:trPr>
          <w:trHeight w:val="550" w:hRule="atLeast"/>
        </w:trPr>
        <w:tc>
          <w:tcPr>
            <w:tcW w:w="5422" w:type="dxa"/>
            <w:gridSpan w:val="2"/>
            <w:tcBorders>
              <w:top w:val="single" w:color="auto" w:sz="4" w:space="0"/>
              <w:left w:val="single" w:color="auto" w:sz="4" w:space="0"/>
              <w:bottom w:val="single" w:color="auto" w:sz="4" w:space="0"/>
              <w:right w:val="single" w:color="auto" w:sz="4" w:space="0"/>
            </w:tcBorders>
            <w:vAlign w:val="center"/>
          </w:tcPr>
          <w:p w14:paraId="04A621B9">
            <w:pPr>
              <w:rPr>
                <w:rFonts w:hint="eastAsia" w:ascii="宋体" w:hAnsi="宋体" w:cs="宋体"/>
                <w:b/>
                <w:bCs/>
                <w:kern w:val="0"/>
                <w:sz w:val="24"/>
                <w:szCs w:val="24"/>
              </w:rPr>
            </w:pPr>
            <w:r>
              <w:rPr>
                <w:rFonts w:hint="eastAsia" w:ascii="宋体" w:hAnsi="宋体" w:cs="宋体"/>
                <w:b/>
                <w:bCs/>
                <w:kern w:val="0"/>
                <w:sz w:val="24"/>
                <w:szCs w:val="24"/>
              </w:rPr>
              <w:t>发货地址：</w:t>
            </w:r>
          </w:p>
        </w:tc>
        <w:tc>
          <w:tcPr>
            <w:tcW w:w="2494" w:type="dxa"/>
            <w:tcBorders>
              <w:top w:val="single" w:color="auto" w:sz="4" w:space="0"/>
              <w:left w:val="single" w:color="auto" w:sz="4" w:space="0"/>
              <w:bottom w:val="single" w:color="auto" w:sz="4" w:space="0"/>
              <w:right w:val="single" w:color="000000" w:sz="4" w:space="0"/>
            </w:tcBorders>
            <w:vAlign w:val="center"/>
          </w:tcPr>
          <w:p w14:paraId="04A621BA">
            <w:pPr>
              <w:rPr>
                <w:rFonts w:hint="eastAsia" w:ascii="宋体" w:hAnsi="宋体" w:cs="宋体"/>
                <w:b/>
                <w:bCs/>
                <w:kern w:val="0"/>
                <w:sz w:val="24"/>
                <w:szCs w:val="24"/>
              </w:rPr>
            </w:pPr>
            <w:r>
              <w:rPr>
                <w:rFonts w:hint="eastAsia" w:ascii="宋体" w:hAnsi="宋体" w:cs="宋体"/>
                <w:b/>
                <w:bCs/>
                <w:kern w:val="0"/>
                <w:sz w:val="24"/>
                <w:szCs w:val="24"/>
              </w:rPr>
              <w:t>发件人：</w:t>
            </w:r>
          </w:p>
        </w:tc>
      </w:tr>
      <w:tr w14:paraId="04A621BE">
        <w:tblPrEx>
          <w:tblCellMar>
            <w:top w:w="0" w:type="dxa"/>
            <w:left w:w="108" w:type="dxa"/>
            <w:bottom w:w="0" w:type="dxa"/>
            <w:right w:w="108" w:type="dxa"/>
          </w:tblCellMar>
        </w:tblPrEx>
        <w:trPr>
          <w:trHeight w:val="572" w:hRule="atLeast"/>
        </w:trPr>
        <w:tc>
          <w:tcPr>
            <w:tcW w:w="5422" w:type="dxa"/>
            <w:gridSpan w:val="2"/>
            <w:tcBorders>
              <w:top w:val="single" w:color="auto" w:sz="4" w:space="0"/>
              <w:left w:val="single" w:color="auto" w:sz="4" w:space="0"/>
              <w:bottom w:val="single" w:color="auto" w:sz="4" w:space="0"/>
              <w:right w:val="single" w:color="auto" w:sz="4" w:space="0"/>
            </w:tcBorders>
            <w:vAlign w:val="center"/>
          </w:tcPr>
          <w:p w14:paraId="04A621BC">
            <w:pPr>
              <w:rPr>
                <w:rFonts w:hint="eastAsia" w:ascii="宋体" w:hAnsi="宋体" w:cs="宋体"/>
                <w:b/>
                <w:bCs/>
                <w:kern w:val="0"/>
                <w:sz w:val="24"/>
                <w:szCs w:val="24"/>
              </w:rPr>
            </w:pPr>
            <w:r>
              <w:rPr>
                <w:rFonts w:hint="eastAsia" w:ascii="宋体" w:hAnsi="宋体" w:cs="宋体"/>
                <w:b/>
                <w:bCs/>
                <w:kern w:val="0"/>
                <w:sz w:val="24"/>
                <w:szCs w:val="24"/>
              </w:rPr>
              <w:t>收货地址：</w:t>
            </w:r>
          </w:p>
        </w:tc>
        <w:tc>
          <w:tcPr>
            <w:tcW w:w="2494" w:type="dxa"/>
            <w:tcBorders>
              <w:top w:val="single" w:color="auto" w:sz="4" w:space="0"/>
              <w:left w:val="single" w:color="auto" w:sz="4" w:space="0"/>
              <w:bottom w:val="single" w:color="auto" w:sz="4" w:space="0"/>
              <w:right w:val="single" w:color="000000" w:sz="4" w:space="0"/>
            </w:tcBorders>
            <w:vAlign w:val="center"/>
          </w:tcPr>
          <w:p w14:paraId="04A621BD">
            <w:pPr>
              <w:rPr>
                <w:rFonts w:hint="eastAsia" w:ascii="宋体" w:hAnsi="宋体" w:cs="宋体"/>
                <w:b/>
                <w:bCs/>
                <w:kern w:val="0"/>
                <w:sz w:val="24"/>
                <w:szCs w:val="24"/>
              </w:rPr>
            </w:pPr>
            <w:r>
              <w:rPr>
                <w:rFonts w:hint="eastAsia" w:ascii="宋体" w:hAnsi="宋体" w:cs="宋体"/>
                <w:b/>
                <w:bCs/>
                <w:kern w:val="0"/>
                <w:sz w:val="24"/>
                <w:szCs w:val="24"/>
              </w:rPr>
              <w:t>收件人：</w:t>
            </w:r>
          </w:p>
        </w:tc>
      </w:tr>
      <w:tr w14:paraId="04A621C1">
        <w:tblPrEx>
          <w:tblCellMar>
            <w:top w:w="0" w:type="dxa"/>
            <w:left w:w="108" w:type="dxa"/>
            <w:bottom w:w="0" w:type="dxa"/>
            <w:right w:w="108" w:type="dxa"/>
          </w:tblCellMar>
        </w:tblPrEx>
        <w:trPr>
          <w:trHeight w:val="572" w:hRule="atLeast"/>
        </w:trPr>
        <w:tc>
          <w:tcPr>
            <w:tcW w:w="3904" w:type="dxa"/>
            <w:tcBorders>
              <w:top w:val="nil"/>
              <w:left w:val="single" w:color="auto" w:sz="4" w:space="0"/>
              <w:bottom w:val="single" w:color="auto" w:sz="4" w:space="0"/>
              <w:right w:val="single" w:color="auto" w:sz="4" w:space="0"/>
            </w:tcBorders>
            <w:vAlign w:val="center"/>
          </w:tcPr>
          <w:p w14:paraId="04A621BF">
            <w:pPr>
              <w:widowControl/>
              <w:jc w:val="left"/>
              <w:rPr>
                <w:rFonts w:hint="eastAsia" w:ascii="宋体" w:hAnsi="宋体" w:cs="宋体"/>
                <w:b/>
                <w:bCs/>
                <w:kern w:val="0"/>
                <w:sz w:val="24"/>
                <w:szCs w:val="24"/>
              </w:rPr>
            </w:pPr>
            <w:r>
              <w:rPr>
                <w:rFonts w:hint="eastAsia" w:ascii="宋体" w:hAnsi="宋体" w:cs="宋体"/>
                <w:b/>
                <w:bCs/>
                <w:kern w:val="0"/>
                <w:sz w:val="24"/>
                <w:szCs w:val="24"/>
              </w:rPr>
              <w:t>供 应 商：</w:t>
            </w:r>
          </w:p>
        </w:tc>
        <w:tc>
          <w:tcPr>
            <w:tcW w:w="4012" w:type="dxa"/>
            <w:gridSpan w:val="2"/>
            <w:tcBorders>
              <w:top w:val="single" w:color="auto" w:sz="4" w:space="0"/>
              <w:left w:val="nil"/>
              <w:bottom w:val="single" w:color="auto" w:sz="4" w:space="0"/>
              <w:right w:val="single" w:color="auto" w:sz="4" w:space="0"/>
            </w:tcBorders>
            <w:vAlign w:val="center"/>
          </w:tcPr>
          <w:p w14:paraId="04A621C0">
            <w:pPr>
              <w:widowControl/>
              <w:jc w:val="left"/>
              <w:rPr>
                <w:rFonts w:hint="eastAsia" w:ascii="宋体" w:hAnsi="宋体" w:cs="宋体"/>
                <w:b/>
                <w:kern w:val="0"/>
                <w:sz w:val="24"/>
                <w:szCs w:val="24"/>
              </w:rPr>
            </w:pPr>
            <w:r>
              <w:rPr>
                <w:rFonts w:hint="eastAsia" w:ascii="宋体" w:hAnsi="宋体" w:cs="宋体"/>
                <w:b/>
                <w:bCs/>
                <w:kern w:val="0"/>
                <w:sz w:val="24"/>
                <w:szCs w:val="24"/>
              </w:rPr>
              <w:t>产品名称：</w:t>
            </w:r>
          </w:p>
        </w:tc>
      </w:tr>
      <w:tr w14:paraId="04A621C4">
        <w:tblPrEx>
          <w:tblCellMar>
            <w:top w:w="0" w:type="dxa"/>
            <w:left w:w="108" w:type="dxa"/>
            <w:bottom w:w="0" w:type="dxa"/>
            <w:right w:w="108" w:type="dxa"/>
          </w:tblCellMar>
        </w:tblPrEx>
        <w:trPr>
          <w:trHeight w:val="585" w:hRule="atLeast"/>
        </w:trPr>
        <w:tc>
          <w:tcPr>
            <w:tcW w:w="3904" w:type="dxa"/>
            <w:tcBorders>
              <w:top w:val="nil"/>
              <w:left w:val="single" w:color="auto" w:sz="4" w:space="0"/>
              <w:bottom w:val="single" w:color="auto" w:sz="4" w:space="0"/>
              <w:right w:val="single" w:color="auto" w:sz="4" w:space="0"/>
            </w:tcBorders>
            <w:vAlign w:val="center"/>
          </w:tcPr>
          <w:p w14:paraId="04A621C2">
            <w:pPr>
              <w:widowControl/>
              <w:jc w:val="left"/>
              <w:rPr>
                <w:rFonts w:hint="eastAsia" w:ascii="宋体" w:hAnsi="宋体" w:cs="宋体"/>
                <w:b/>
                <w:bCs/>
                <w:kern w:val="0"/>
                <w:sz w:val="24"/>
                <w:szCs w:val="24"/>
              </w:rPr>
            </w:pPr>
            <w:r>
              <w:rPr>
                <w:rFonts w:hint="eastAsia" w:ascii="宋体" w:hAnsi="宋体" w:cs="宋体"/>
                <w:b/>
                <w:bCs/>
                <w:kern w:val="0"/>
                <w:sz w:val="24"/>
                <w:szCs w:val="24"/>
              </w:rPr>
              <w:t>项目名称：</w:t>
            </w:r>
          </w:p>
        </w:tc>
        <w:tc>
          <w:tcPr>
            <w:tcW w:w="4012" w:type="dxa"/>
            <w:gridSpan w:val="2"/>
            <w:tcBorders>
              <w:top w:val="nil"/>
              <w:left w:val="nil"/>
              <w:bottom w:val="single" w:color="auto" w:sz="4" w:space="0"/>
              <w:right w:val="single" w:color="auto" w:sz="4" w:space="0"/>
            </w:tcBorders>
            <w:vAlign w:val="center"/>
          </w:tcPr>
          <w:p w14:paraId="04A621C3">
            <w:pPr>
              <w:widowControl/>
              <w:jc w:val="left"/>
              <w:rPr>
                <w:rFonts w:hint="eastAsia" w:ascii="宋体" w:hAnsi="宋体" w:cs="宋体"/>
                <w:b/>
                <w:bCs/>
                <w:kern w:val="0"/>
                <w:sz w:val="24"/>
                <w:szCs w:val="24"/>
              </w:rPr>
            </w:pPr>
            <w:r>
              <w:rPr>
                <w:rFonts w:hint="eastAsia" w:ascii="宋体" w:hAnsi="宋体" w:cs="宋体"/>
                <w:b/>
                <w:bCs/>
                <w:kern w:val="0"/>
                <w:sz w:val="24"/>
                <w:szCs w:val="24"/>
              </w:rPr>
              <w:t>合 同 号：</w:t>
            </w:r>
          </w:p>
        </w:tc>
      </w:tr>
      <w:tr w14:paraId="04A621C7">
        <w:tblPrEx>
          <w:tblCellMar>
            <w:top w:w="0" w:type="dxa"/>
            <w:left w:w="108" w:type="dxa"/>
            <w:bottom w:w="0" w:type="dxa"/>
            <w:right w:w="108" w:type="dxa"/>
          </w:tblCellMar>
        </w:tblPrEx>
        <w:trPr>
          <w:trHeight w:val="641" w:hRule="atLeast"/>
        </w:trPr>
        <w:tc>
          <w:tcPr>
            <w:tcW w:w="3904" w:type="dxa"/>
            <w:tcBorders>
              <w:top w:val="nil"/>
              <w:left w:val="single" w:color="auto" w:sz="4" w:space="0"/>
              <w:bottom w:val="single" w:color="auto" w:sz="4" w:space="0"/>
              <w:right w:val="single" w:color="auto" w:sz="4" w:space="0"/>
            </w:tcBorders>
            <w:vAlign w:val="center"/>
          </w:tcPr>
          <w:p w14:paraId="04A621C5">
            <w:pPr>
              <w:widowControl/>
              <w:jc w:val="left"/>
              <w:rPr>
                <w:rFonts w:hint="eastAsia" w:ascii="宋体" w:hAnsi="宋体" w:cs="宋体"/>
                <w:b/>
                <w:bCs/>
                <w:kern w:val="0"/>
                <w:sz w:val="24"/>
                <w:szCs w:val="24"/>
              </w:rPr>
            </w:pPr>
            <w:r>
              <w:rPr>
                <w:rFonts w:hint="eastAsia" w:ascii="宋体" w:hAnsi="宋体" w:cs="宋体"/>
                <w:b/>
                <w:bCs/>
                <w:kern w:val="0"/>
                <w:sz w:val="24"/>
                <w:szCs w:val="24"/>
              </w:rPr>
              <w:t>装箱数量：</w:t>
            </w:r>
          </w:p>
        </w:tc>
        <w:tc>
          <w:tcPr>
            <w:tcW w:w="4012" w:type="dxa"/>
            <w:gridSpan w:val="2"/>
            <w:tcBorders>
              <w:top w:val="nil"/>
              <w:left w:val="nil"/>
              <w:bottom w:val="single" w:color="auto" w:sz="4" w:space="0"/>
              <w:right w:val="single" w:color="auto" w:sz="4" w:space="0"/>
            </w:tcBorders>
            <w:vAlign w:val="center"/>
          </w:tcPr>
          <w:p w14:paraId="04A621C6">
            <w:pPr>
              <w:widowControl/>
              <w:jc w:val="left"/>
              <w:rPr>
                <w:rFonts w:hint="eastAsia" w:ascii="宋体" w:hAnsi="宋体" w:cs="宋体"/>
                <w:b/>
                <w:bCs/>
                <w:kern w:val="0"/>
                <w:sz w:val="24"/>
                <w:szCs w:val="24"/>
              </w:rPr>
            </w:pPr>
            <w:r>
              <w:rPr>
                <w:rFonts w:hint="eastAsia" w:ascii="宋体" w:hAnsi="宋体" w:cs="宋体"/>
                <w:b/>
                <w:bCs/>
                <w:kern w:val="0"/>
                <w:sz w:val="24"/>
                <w:szCs w:val="24"/>
              </w:rPr>
              <w:t>箱    号：   第</w:t>
            </w:r>
            <w:r>
              <w:rPr>
                <w:rFonts w:hint="eastAsia" w:ascii="宋体" w:hAnsi="宋体" w:cs="宋体"/>
                <w:b/>
                <w:bCs/>
                <w:kern w:val="0"/>
                <w:sz w:val="24"/>
                <w:szCs w:val="24"/>
                <w:u w:val="single"/>
              </w:rPr>
              <w:t xml:space="preserve">     </w:t>
            </w:r>
            <w:r>
              <w:rPr>
                <w:rFonts w:hint="eastAsia" w:ascii="宋体" w:hAnsi="宋体" w:cs="宋体"/>
                <w:b/>
                <w:bCs/>
                <w:kern w:val="0"/>
                <w:sz w:val="24"/>
                <w:szCs w:val="24"/>
              </w:rPr>
              <w:t>箱共</w:t>
            </w:r>
            <w:r>
              <w:rPr>
                <w:rFonts w:hint="eastAsia" w:ascii="宋体" w:hAnsi="宋体" w:cs="宋体"/>
                <w:b/>
                <w:bCs/>
                <w:kern w:val="0"/>
                <w:sz w:val="24"/>
                <w:szCs w:val="24"/>
                <w:u w:val="single"/>
              </w:rPr>
              <w:t xml:space="preserve">     </w:t>
            </w:r>
            <w:r>
              <w:rPr>
                <w:rFonts w:hint="eastAsia" w:ascii="宋体" w:hAnsi="宋体" w:cs="宋体"/>
                <w:b/>
                <w:bCs/>
                <w:kern w:val="0"/>
                <w:sz w:val="24"/>
                <w:szCs w:val="24"/>
              </w:rPr>
              <w:t>箱</w:t>
            </w:r>
          </w:p>
        </w:tc>
      </w:tr>
      <w:tr w14:paraId="04A621CA">
        <w:tblPrEx>
          <w:tblCellMar>
            <w:top w:w="0" w:type="dxa"/>
            <w:left w:w="108" w:type="dxa"/>
            <w:bottom w:w="0" w:type="dxa"/>
            <w:right w:w="108" w:type="dxa"/>
          </w:tblCellMar>
        </w:tblPrEx>
        <w:trPr>
          <w:trHeight w:val="551" w:hRule="atLeast"/>
        </w:trPr>
        <w:tc>
          <w:tcPr>
            <w:tcW w:w="3904" w:type="dxa"/>
            <w:tcBorders>
              <w:top w:val="single" w:color="auto" w:sz="4" w:space="0"/>
              <w:left w:val="single" w:color="auto" w:sz="4" w:space="0"/>
              <w:bottom w:val="single" w:color="auto" w:sz="4" w:space="0"/>
              <w:right w:val="single" w:color="auto" w:sz="4" w:space="0"/>
            </w:tcBorders>
            <w:vAlign w:val="center"/>
          </w:tcPr>
          <w:p w14:paraId="04A621C8">
            <w:pPr>
              <w:jc w:val="left"/>
              <w:rPr>
                <w:rFonts w:hint="eastAsia" w:ascii="宋体" w:hAnsi="宋体" w:cs="宋体"/>
                <w:b/>
                <w:bCs/>
                <w:kern w:val="0"/>
                <w:sz w:val="24"/>
                <w:szCs w:val="24"/>
              </w:rPr>
            </w:pPr>
          </w:p>
        </w:tc>
        <w:tc>
          <w:tcPr>
            <w:tcW w:w="4012" w:type="dxa"/>
            <w:gridSpan w:val="2"/>
            <w:tcBorders>
              <w:top w:val="single" w:color="auto" w:sz="4" w:space="0"/>
              <w:left w:val="nil"/>
              <w:bottom w:val="single" w:color="auto" w:sz="4" w:space="0"/>
              <w:right w:val="single" w:color="auto" w:sz="4" w:space="0"/>
            </w:tcBorders>
            <w:vAlign w:val="center"/>
          </w:tcPr>
          <w:p w14:paraId="04A621C9">
            <w:pPr>
              <w:jc w:val="left"/>
              <w:rPr>
                <w:rFonts w:hint="eastAsia" w:ascii="宋体" w:hAnsi="宋体" w:cs="宋体"/>
                <w:b/>
                <w:bCs/>
                <w:kern w:val="0"/>
                <w:sz w:val="24"/>
                <w:szCs w:val="24"/>
              </w:rPr>
            </w:pPr>
          </w:p>
        </w:tc>
      </w:tr>
      <w:tr w14:paraId="04A621CD">
        <w:tblPrEx>
          <w:tblCellMar>
            <w:top w:w="0" w:type="dxa"/>
            <w:left w:w="108" w:type="dxa"/>
            <w:bottom w:w="0" w:type="dxa"/>
            <w:right w:w="108" w:type="dxa"/>
          </w:tblCellMar>
        </w:tblPrEx>
        <w:trPr>
          <w:trHeight w:val="551" w:hRule="atLeast"/>
        </w:trPr>
        <w:tc>
          <w:tcPr>
            <w:tcW w:w="3904" w:type="dxa"/>
            <w:tcBorders>
              <w:top w:val="single" w:color="auto" w:sz="4" w:space="0"/>
              <w:left w:val="single" w:color="auto" w:sz="4" w:space="0"/>
              <w:bottom w:val="single" w:color="auto" w:sz="4" w:space="0"/>
              <w:right w:val="single" w:color="auto" w:sz="4" w:space="0"/>
            </w:tcBorders>
            <w:vAlign w:val="center"/>
          </w:tcPr>
          <w:p w14:paraId="04A621CB">
            <w:pPr>
              <w:jc w:val="left"/>
              <w:rPr>
                <w:rFonts w:hint="eastAsia" w:ascii="宋体" w:hAnsi="宋体" w:cs="宋体"/>
                <w:b/>
                <w:bCs/>
                <w:kern w:val="0"/>
                <w:sz w:val="24"/>
                <w:szCs w:val="24"/>
              </w:rPr>
            </w:pPr>
          </w:p>
        </w:tc>
        <w:tc>
          <w:tcPr>
            <w:tcW w:w="4012" w:type="dxa"/>
            <w:gridSpan w:val="2"/>
            <w:tcBorders>
              <w:top w:val="single" w:color="auto" w:sz="4" w:space="0"/>
              <w:left w:val="nil"/>
              <w:bottom w:val="single" w:color="auto" w:sz="4" w:space="0"/>
              <w:right w:val="single" w:color="auto" w:sz="4" w:space="0"/>
            </w:tcBorders>
            <w:vAlign w:val="center"/>
          </w:tcPr>
          <w:p w14:paraId="04A621CC">
            <w:pPr>
              <w:jc w:val="left"/>
              <w:rPr>
                <w:rFonts w:hint="eastAsia" w:ascii="宋体" w:hAnsi="宋体" w:cs="宋体"/>
                <w:b/>
                <w:bCs/>
                <w:kern w:val="0"/>
                <w:sz w:val="24"/>
                <w:szCs w:val="24"/>
              </w:rPr>
            </w:pPr>
          </w:p>
        </w:tc>
      </w:tr>
    </w:tbl>
    <w:p w14:paraId="04A621CE">
      <w:pPr>
        <w:ind w:firstLine="3830" w:firstLineChars="1596"/>
        <w:jc w:val="left"/>
        <w:rPr>
          <w:rFonts w:hint="eastAsia" w:ascii="宋体" w:hAnsi="宋体"/>
          <w:b/>
          <w:bCs/>
          <w:sz w:val="24"/>
          <w:szCs w:val="24"/>
        </w:rPr>
      </w:pPr>
      <w:bookmarkStart w:id="93" w:name="_Hlk148943515"/>
    </w:p>
    <w:bookmarkEnd w:id="93"/>
    <w:p w14:paraId="04A621CF">
      <w:pPr>
        <w:ind w:firstLine="3830" w:firstLineChars="1596"/>
        <w:jc w:val="left"/>
        <w:rPr>
          <w:rFonts w:hint="eastAsia" w:ascii="宋体" w:hAnsi="宋体"/>
          <w:b/>
          <w:bCs/>
          <w:sz w:val="24"/>
          <w:szCs w:val="24"/>
        </w:rPr>
        <w:sectPr>
          <w:pgSz w:w="11906" w:h="16838"/>
          <w:pgMar w:top="1440" w:right="1797" w:bottom="1440" w:left="1797" w:header="851" w:footer="992" w:gutter="0"/>
          <w:cols w:space="720" w:num="1"/>
          <w:docGrid w:type="linesAndChars" w:linePitch="312" w:charSpace="0"/>
        </w:sectPr>
      </w:pPr>
    </w:p>
    <w:p w14:paraId="04A621D0">
      <w:pPr>
        <w:jc w:val="left"/>
        <w:rPr>
          <w:rFonts w:hint="eastAsia" w:ascii="宋体" w:hAnsi="宋体"/>
          <w:b/>
          <w:bCs/>
          <w:sz w:val="24"/>
          <w:szCs w:val="24"/>
        </w:rPr>
      </w:pPr>
    </w:p>
    <w:sectPr>
      <w:pgSz w:w="16838" w:h="11906" w:orient="landscape"/>
      <w:pgMar w:top="1797" w:right="1440" w:bottom="1797" w:left="144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font-weight : 400">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swiss"/>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A621D8">
    <w:pPr>
      <w:pStyle w:val="16"/>
      <w:jc w:val="center"/>
    </w:pPr>
    <w:r>
      <w:rPr>
        <w:vanish/>
        <w:highlight w:val="yellow"/>
      </w:rPr>
      <w:t>&lt;</w:t>
    </w:r>
    <w:r>
      <w:rPr>
        <w:lang w:val="zh-CN"/>
      </w:rPr>
      <w:t xml:space="preserve"> </w:t>
    </w:r>
    <w:r>
      <w:rPr>
        <w:b/>
        <w:sz w:val="24"/>
        <w:szCs w:val="24"/>
      </w:rPr>
      <w:fldChar w:fldCharType="begin"/>
    </w:r>
    <w:r>
      <w:rPr>
        <w:b/>
      </w:rPr>
      <w:instrText xml:space="preserve">PAGE</w:instrText>
    </w:r>
    <w:r>
      <w:rPr>
        <w:b/>
        <w:sz w:val="24"/>
        <w:szCs w:val="24"/>
      </w:rPr>
      <w:fldChar w:fldCharType="separate"/>
    </w:r>
    <w:r>
      <w:rPr>
        <w:b/>
      </w:rPr>
      <w:t>22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48</w:t>
    </w:r>
    <w:r>
      <w:rPr>
        <w:b/>
        <w:sz w:val="24"/>
        <w:szCs w:val="24"/>
      </w:rPr>
      <w:fldChar w:fldCharType="end"/>
    </w:r>
    <w:r>
      <w:rPr>
        <w:vanish/>
        <w:highlight w:val="yellow"/>
      </w:rPr>
      <w:t>&gt;</w:t>
    </w:r>
  </w:p>
  <w:p w14:paraId="04A621D9">
    <w:pPr>
      <w:pStyle w:val="16"/>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A621DC">
    <w:pPr>
      <w:pStyle w:val="16"/>
      <w:jc w:val="center"/>
      <w:rPr>
        <w:b/>
      </w:rPr>
    </w:pPr>
    <w:r>
      <w:rPr>
        <w:rFonts w:hint="eastAsia"/>
        <w:b/>
      </w:rPr>
      <w:t>5-</w:t>
    </w:r>
    <w:r>
      <w:rPr>
        <w:rStyle w:val="25"/>
        <w:rFonts w:hint="eastAsia"/>
        <w:b/>
      </w:rPr>
      <w:t>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A621D7">
    <w:pPr>
      <w:pStyle w:val="17"/>
      <w:rPr>
        <w:rFonts w:hint="eastAsia" w:ascii="微软雅黑" w:hAnsi="微软雅黑" w:eastAsia="微软雅黑" w:cs="宋体"/>
        <w:b/>
        <w:bCs/>
        <w:kern w:val="0"/>
        <w:sz w:val="24"/>
        <w:szCs w:val="24"/>
      </w:rPr>
    </w:pPr>
    <w:r>
      <w:rPr>
        <w:rFonts w:hint="eastAsia" w:ascii="微软雅黑" w:hAnsi="微软雅黑" w:eastAsia="微软雅黑"/>
        <w:b/>
        <w:bCs/>
        <w:sz w:val="24"/>
        <w:szCs w:val="24"/>
      </w:rPr>
      <w:t>浙江巨化化工材料有限公司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A621DA">
    <w:pPr>
      <w:pStyle w:val="17"/>
    </w:pPr>
    <w:r>
      <w:t xml:space="preserve">ZITET              </w:t>
    </w:r>
    <w:r>
      <w:rPr>
        <w:rFonts w:hint="eastAsia"/>
      </w:rPr>
      <w:t xml:space="preserve">  </w:t>
    </w:r>
    <w:r>
      <w:t xml:space="preserve">    </w:t>
    </w:r>
    <w:r>
      <w:rPr>
        <w:rFonts w:hint="eastAsia"/>
      </w:rPr>
      <w:t xml:space="preserve">     </w:t>
    </w:r>
    <w:r>
      <w:t xml:space="preserve">        </w:t>
    </w:r>
    <w:r>
      <w:rPr>
        <w:rFonts w:hint="eastAsia" w:ascii="仿宋_GB2312" w:hAnsi="宋体"/>
      </w:rPr>
      <w:t xml:space="preserve"> 商务条款</w:t>
    </w:r>
    <w:r>
      <w:t xml:space="preserve">    </w:t>
    </w:r>
    <w:r>
      <w:rPr>
        <w:rFonts w:hint="eastAsia"/>
      </w:rPr>
      <w:t xml:space="preserve">        </w:t>
    </w:r>
    <w:r>
      <w:t xml:space="preserve">         IFB No. : 0625-11108016-3 </w:t>
    </w:r>
  </w:p>
  <w:p w14:paraId="04A621DB">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8"/>
    <w:multiLevelType w:val="singleLevel"/>
    <w:tmpl w:val="FFFFFF88"/>
    <w:lvl w:ilvl="0" w:tentative="0">
      <w:start w:val="1"/>
      <w:numFmt w:val="decimal"/>
      <w:pStyle w:val="7"/>
      <w:lvlText w:val="%1."/>
      <w:lvlJc w:val="left"/>
      <w:pPr>
        <w:tabs>
          <w:tab w:val="left" w:pos="360"/>
        </w:tabs>
        <w:ind w:left="360" w:hanging="360"/>
      </w:pPr>
    </w:lvl>
  </w:abstractNum>
  <w:abstractNum w:abstractNumId="1">
    <w:nsid w:val="087E03B2"/>
    <w:multiLevelType w:val="multilevel"/>
    <w:tmpl w:val="087E03B2"/>
    <w:lvl w:ilvl="0" w:tentative="0">
      <w:start w:val="1"/>
      <w:numFmt w:val="decimal"/>
      <w:lvlText w:val="%1、"/>
      <w:lvlJc w:val="left"/>
      <w:pPr>
        <w:ind w:left="420" w:hanging="420"/>
      </w:pPr>
      <w:rPr>
        <w:rFonts w:hint="default"/>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33F1775"/>
    <w:multiLevelType w:val="multilevel"/>
    <w:tmpl w:val="133F1775"/>
    <w:lvl w:ilvl="0" w:tentative="0">
      <w:start w:val="1"/>
      <w:numFmt w:val="japaneseCounting"/>
      <w:lvlText w:val="第%1章"/>
      <w:lvlJc w:val="left"/>
      <w:pPr>
        <w:ind w:left="765" w:hanging="765"/>
      </w:pPr>
      <w:rPr>
        <w:rFonts w:hint="default"/>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69C2B91"/>
    <w:multiLevelType w:val="multilevel"/>
    <w:tmpl w:val="369C2B91"/>
    <w:lvl w:ilvl="0" w:tentative="0">
      <w:start w:val="1"/>
      <w:numFmt w:val="decimal"/>
      <w:lvlText w:val="2.%1"/>
      <w:lvlJc w:val="righ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8D64542"/>
    <w:multiLevelType w:val="multilevel"/>
    <w:tmpl w:val="58D64542"/>
    <w:lvl w:ilvl="0" w:tentative="0">
      <w:start w:val="1"/>
      <w:numFmt w:val="decimal"/>
      <w:lvlText w:val="（%1）"/>
      <w:lvlJc w:val="left"/>
      <w:pPr>
        <w:ind w:left="840" w:hanging="420"/>
      </w:pPr>
      <w:rPr>
        <w:rFonts w:hint="eastAsia" w:ascii="宋体" w:hAnsi="宋体" w:eastAsia="宋体"/>
      </w:rPr>
    </w:lvl>
    <w:lvl w:ilvl="1" w:tentative="0">
      <w:start w:val="1"/>
      <w:numFmt w:val="lowerLetter"/>
      <w:lvlText w:val="%2)"/>
      <w:lvlJc w:val="left"/>
      <w:pPr>
        <w:ind w:left="840" w:hanging="420"/>
      </w:pPr>
    </w:lvl>
    <w:lvl w:ilvl="2" w:tentative="0">
      <w:start w:val="1"/>
      <w:numFmt w:val="decimal"/>
      <w:lvlText w:val="（%3）"/>
      <w:lvlJc w:val="righ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6ADB283E"/>
    <w:multiLevelType w:val="multilevel"/>
    <w:tmpl w:val="6ADB283E"/>
    <w:lvl w:ilvl="0" w:tentative="0">
      <w:start w:val="1"/>
      <w:numFmt w:val="decimal"/>
      <w:lvlText w:val="%1）"/>
      <w:lvlJc w:val="left"/>
      <w:pPr>
        <w:tabs>
          <w:tab w:val="left" w:pos="720"/>
        </w:tabs>
        <w:ind w:left="720" w:hanging="360"/>
      </w:pPr>
      <w:rPr>
        <w:rFonts w:hint="eastAsia"/>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6">
    <w:nsid w:val="7DF576A4"/>
    <w:multiLevelType w:val="multilevel"/>
    <w:tmpl w:val="7DF576A4"/>
    <w:lvl w:ilvl="0" w:tentative="0">
      <w:start w:val="1"/>
      <w:numFmt w:val="decimal"/>
      <w:lvlText w:val="1.%1"/>
      <w:lvlJc w:val="left"/>
      <w:pPr>
        <w:ind w:left="1686" w:hanging="420"/>
      </w:pPr>
      <w:rPr>
        <w:rFonts w:hint="eastAsia"/>
      </w:rPr>
    </w:lvl>
    <w:lvl w:ilvl="1" w:tentative="0">
      <w:start w:val="1"/>
      <w:numFmt w:val="decimal"/>
      <w:lvlText w:val="1.%2"/>
      <w:lvlJc w:val="left"/>
      <w:pPr>
        <w:ind w:left="840" w:hanging="420"/>
      </w:pPr>
      <w:rPr>
        <w:rFonts w:hint="eastAsia" w:ascii="宋体" w:hAnsi="宋体" w:eastAsia="宋体"/>
      </w:rPr>
    </w:lvl>
    <w:lvl w:ilvl="2" w:tentative="0">
      <w:start w:val="1"/>
      <w:numFmt w:val="decimal"/>
      <w:lvlText w:val="（%3）"/>
      <w:lvlJc w:val="left"/>
      <w:pPr>
        <w:ind w:left="1560" w:hanging="720"/>
      </w:pPr>
      <w:rPr>
        <w:rFonts w:hint="default"/>
      </w:rPr>
    </w:lvl>
    <w:lvl w:ilvl="3" w:tentative="0">
      <w:start w:val="1"/>
      <w:numFmt w:val="decimal"/>
      <w:lvlText w:val="%4）"/>
      <w:lvlJc w:val="left"/>
      <w:pPr>
        <w:ind w:left="1620" w:hanging="360"/>
      </w:pPr>
      <w:rPr>
        <w:rFonts w:hint="default"/>
      </w:r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2"/>
  </w:num>
  <w:num w:numId="3">
    <w:abstractNumId w:val="6"/>
  </w:num>
  <w:num w:numId="4">
    <w:abstractNumId w:val="4"/>
  </w:num>
  <w:num w:numId="5">
    <w:abstractNumId w:val="3"/>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footnotePr>
    <w:numRestart w:val="eachPage"/>
  </w:footnotePr>
  <w:endnotePr>
    <w:numRestart w:val="eachSect"/>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3NDA4MjI1MjhlNDI4MzBiMjFiZGM1MThkZTNjMmIifQ=="/>
  </w:docVars>
  <w:rsids>
    <w:rsidRoot w:val="00856EDA"/>
    <w:rsid w:val="000013A1"/>
    <w:rsid w:val="00001B43"/>
    <w:rsid w:val="00010B36"/>
    <w:rsid w:val="00011672"/>
    <w:rsid w:val="00011C5C"/>
    <w:rsid w:val="00012CC3"/>
    <w:rsid w:val="00021FC6"/>
    <w:rsid w:val="000221A8"/>
    <w:rsid w:val="000304B7"/>
    <w:rsid w:val="00034142"/>
    <w:rsid w:val="000404A9"/>
    <w:rsid w:val="00046D9C"/>
    <w:rsid w:val="00050C18"/>
    <w:rsid w:val="00052558"/>
    <w:rsid w:val="00052976"/>
    <w:rsid w:val="00053FB2"/>
    <w:rsid w:val="00064A20"/>
    <w:rsid w:val="000677E5"/>
    <w:rsid w:val="00070EB8"/>
    <w:rsid w:val="00071DA3"/>
    <w:rsid w:val="00075AA9"/>
    <w:rsid w:val="00076259"/>
    <w:rsid w:val="00076DE7"/>
    <w:rsid w:val="000812D8"/>
    <w:rsid w:val="00082B4D"/>
    <w:rsid w:val="00083007"/>
    <w:rsid w:val="00086CE2"/>
    <w:rsid w:val="00086D38"/>
    <w:rsid w:val="000878F5"/>
    <w:rsid w:val="00090D91"/>
    <w:rsid w:val="00094043"/>
    <w:rsid w:val="00094AE7"/>
    <w:rsid w:val="000A2450"/>
    <w:rsid w:val="000B0D10"/>
    <w:rsid w:val="000B37B6"/>
    <w:rsid w:val="000C0BF0"/>
    <w:rsid w:val="000C7CA1"/>
    <w:rsid w:val="000D0DBF"/>
    <w:rsid w:val="000D31B0"/>
    <w:rsid w:val="000D36CA"/>
    <w:rsid w:val="000D393C"/>
    <w:rsid w:val="000D4A5B"/>
    <w:rsid w:val="000D4A7B"/>
    <w:rsid w:val="000D6B4E"/>
    <w:rsid w:val="000E02A2"/>
    <w:rsid w:val="000F1C9F"/>
    <w:rsid w:val="000F40B7"/>
    <w:rsid w:val="000F71D8"/>
    <w:rsid w:val="00106E3D"/>
    <w:rsid w:val="00113BD3"/>
    <w:rsid w:val="00121605"/>
    <w:rsid w:val="00123A23"/>
    <w:rsid w:val="00124CD4"/>
    <w:rsid w:val="001250DF"/>
    <w:rsid w:val="00132CD9"/>
    <w:rsid w:val="00136545"/>
    <w:rsid w:val="001366ED"/>
    <w:rsid w:val="001412B2"/>
    <w:rsid w:val="0014170D"/>
    <w:rsid w:val="00144F9D"/>
    <w:rsid w:val="00147950"/>
    <w:rsid w:val="00151B63"/>
    <w:rsid w:val="00152F38"/>
    <w:rsid w:val="001553F1"/>
    <w:rsid w:val="0015627C"/>
    <w:rsid w:val="00160A9A"/>
    <w:rsid w:val="00161218"/>
    <w:rsid w:val="00167534"/>
    <w:rsid w:val="001701AE"/>
    <w:rsid w:val="00172863"/>
    <w:rsid w:val="001749E3"/>
    <w:rsid w:val="00176049"/>
    <w:rsid w:val="00181485"/>
    <w:rsid w:val="00181797"/>
    <w:rsid w:val="00183CF6"/>
    <w:rsid w:val="00183D5F"/>
    <w:rsid w:val="00186085"/>
    <w:rsid w:val="00186AFD"/>
    <w:rsid w:val="001917CF"/>
    <w:rsid w:val="00196C89"/>
    <w:rsid w:val="00196D24"/>
    <w:rsid w:val="001A07CA"/>
    <w:rsid w:val="001A292C"/>
    <w:rsid w:val="001A7467"/>
    <w:rsid w:val="001A7A8D"/>
    <w:rsid w:val="001B1107"/>
    <w:rsid w:val="001B1DC4"/>
    <w:rsid w:val="001B2441"/>
    <w:rsid w:val="001B3697"/>
    <w:rsid w:val="001B5543"/>
    <w:rsid w:val="001C4D00"/>
    <w:rsid w:val="001C5B4F"/>
    <w:rsid w:val="001C619F"/>
    <w:rsid w:val="001C7270"/>
    <w:rsid w:val="001D060B"/>
    <w:rsid w:val="001D4040"/>
    <w:rsid w:val="001E1E4C"/>
    <w:rsid w:val="001E2A4D"/>
    <w:rsid w:val="001E3F72"/>
    <w:rsid w:val="001E4117"/>
    <w:rsid w:val="001E722E"/>
    <w:rsid w:val="001F2205"/>
    <w:rsid w:val="001F2581"/>
    <w:rsid w:val="001F25AB"/>
    <w:rsid w:val="001F4707"/>
    <w:rsid w:val="002047BE"/>
    <w:rsid w:val="002054C9"/>
    <w:rsid w:val="002156CD"/>
    <w:rsid w:val="002168B7"/>
    <w:rsid w:val="00223806"/>
    <w:rsid w:val="00232321"/>
    <w:rsid w:val="00233288"/>
    <w:rsid w:val="00237403"/>
    <w:rsid w:val="00240455"/>
    <w:rsid w:val="00241BA7"/>
    <w:rsid w:val="00241D0A"/>
    <w:rsid w:val="00242620"/>
    <w:rsid w:val="00244849"/>
    <w:rsid w:val="00247F81"/>
    <w:rsid w:val="0025570A"/>
    <w:rsid w:val="00262F6D"/>
    <w:rsid w:val="002633E1"/>
    <w:rsid w:val="00265D73"/>
    <w:rsid w:val="002726A3"/>
    <w:rsid w:val="00280A33"/>
    <w:rsid w:val="00282451"/>
    <w:rsid w:val="00285A9E"/>
    <w:rsid w:val="00285BD6"/>
    <w:rsid w:val="002901F2"/>
    <w:rsid w:val="0029141E"/>
    <w:rsid w:val="00292749"/>
    <w:rsid w:val="00294A35"/>
    <w:rsid w:val="0029566F"/>
    <w:rsid w:val="002966C6"/>
    <w:rsid w:val="002A0A89"/>
    <w:rsid w:val="002A1706"/>
    <w:rsid w:val="002A36AF"/>
    <w:rsid w:val="002A578E"/>
    <w:rsid w:val="002A5DD8"/>
    <w:rsid w:val="002A72EA"/>
    <w:rsid w:val="002C0BC1"/>
    <w:rsid w:val="002C1CF6"/>
    <w:rsid w:val="002C5BF5"/>
    <w:rsid w:val="002C628F"/>
    <w:rsid w:val="002D7C18"/>
    <w:rsid w:val="002E033E"/>
    <w:rsid w:val="002E2C7A"/>
    <w:rsid w:val="002F0356"/>
    <w:rsid w:val="002F097F"/>
    <w:rsid w:val="002F33CD"/>
    <w:rsid w:val="002F4A54"/>
    <w:rsid w:val="00306F33"/>
    <w:rsid w:val="0030715C"/>
    <w:rsid w:val="00310FF5"/>
    <w:rsid w:val="00311F62"/>
    <w:rsid w:val="00313CA2"/>
    <w:rsid w:val="00314127"/>
    <w:rsid w:val="00320ABC"/>
    <w:rsid w:val="00325884"/>
    <w:rsid w:val="00341F33"/>
    <w:rsid w:val="0034265D"/>
    <w:rsid w:val="00345419"/>
    <w:rsid w:val="00346277"/>
    <w:rsid w:val="00347C95"/>
    <w:rsid w:val="0035426E"/>
    <w:rsid w:val="00354C28"/>
    <w:rsid w:val="00356DFB"/>
    <w:rsid w:val="00357528"/>
    <w:rsid w:val="00362A8F"/>
    <w:rsid w:val="003636E4"/>
    <w:rsid w:val="00366FDE"/>
    <w:rsid w:val="00374D9D"/>
    <w:rsid w:val="00376968"/>
    <w:rsid w:val="00377E1A"/>
    <w:rsid w:val="0038200D"/>
    <w:rsid w:val="003828BB"/>
    <w:rsid w:val="00385DD5"/>
    <w:rsid w:val="00385F69"/>
    <w:rsid w:val="00386208"/>
    <w:rsid w:val="00387C71"/>
    <w:rsid w:val="00390339"/>
    <w:rsid w:val="00394CBD"/>
    <w:rsid w:val="003968CE"/>
    <w:rsid w:val="003A0349"/>
    <w:rsid w:val="003A3F0B"/>
    <w:rsid w:val="003A5C7F"/>
    <w:rsid w:val="003A769F"/>
    <w:rsid w:val="003B00CC"/>
    <w:rsid w:val="003B7ED3"/>
    <w:rsid w:val="003C1913"/>
    <w:rsid w:val="003C6B13"/>
    <w:rsid w:val="003C7AB3"/>
    <w:rsid w:val="003C7E79"/>
    <w:rsid w:val="003D35BC"/>
    <w:rsid w:val="003D527A"/>
    <w:rsid w:val="003D5C50"/>
    <w:rsid w:val="003E218C"/>
    <w:rsid w:val="003E220D"/>
    <w:rsid w:val="003E2CA5"/>
    <w:rsid w:val="003E66E5"/>
    <w:rsid w:val="003E6A5D"/>
    <w:rsid w:val="003F0B02"/>
    <w:rsid w:val="003F356F"/>
    <w:rsid w:val="003F6026"/>
    <w:rsid w:val="003F6C7D"/>
    <w:rsid w:val="003F7A65"/>
    <w:rsid w:val="0040127B"/>
    <w:rsid w:val="00401500"/>
    <w:rsid w:val="00405849"/>
    <w:rsid w:val="00407328"/>
    <w:rsid w:val="00410C42"/>
    <w:rsid w:val="004121C0"/>
    <w:rsid w:val="00416073"/>
    <w:rsid w:val="004235C0"/>
    <w:rsid w:val="004237B4"/>
    <w:rsid w:val="004260F7"/>
    <w:rsid w:val="00426554"/>
    <w:rsid w:val="004267DB"/>
    <w:rsid w:val="00426844"/>
    <w:rsid w:val="00427A31"/>
    <w:rsid w:val="0043020B"/>
    <w:rsid w:val="004321A0"/>
    <w:rsid w:val="00434975"/>
    <w:rsid w:val="00434DD6"/>
    <w:rsid w:val="00434EED"/>
    <w:rsid w:val="00435463"/>
    <w:rsid w:val="004401CF"/>
    <w:rsid w:val="00441D0B"/>
    <w:rsid w:val="00444F1E"/>
    <w:rsid w:val="00445357"/>
    <w:rsid w:val="0044755C"/>
    <w:rsid w:val="0045316D"/>
    <w:rsid w:val="00453389"/>
    <w:rsid w:val="004548F5"/>
    <w:rsid w:val="00471CFA"/>
    <w:rsid w:val="0047222A"/>
    <w:rsid w:val="0047264F"/>
    <w:rsid w:val="00472A9C"/>
    <w:rsid w:val="00475FA2"/>
    <w:rsid w:val="0048217B"/>
    <w:rsid w:val="00484179"/>
    <w:rsid w:val="00486AA3"/>
    <w:rsid w:val="00490360"/>
    <w:rsid w:val="0049628F"/>
    <w:rsid w:val="004964A0"/>
    <w:rsid w:val="00497993"/>
    <w:rsid w:val="004A2171"/>
    <w:rsid w:val="004A417F"/>
    <w:rsid w:val="004A4226"/>
    <w:rsid w:val="004A75E1"/>
    <w:rsid w:val="004B0CD9"/>
    <w:rsid w:val="004B15BC"/>
    <w:rsid w:val="004B7380"/>
    <w:rsid w:val="004C117F"/>
    <w:rsid w:val="004D178C"/>
    <w:rsid w:val="004D2EEC"/>
    <w:rsid w:val="004D69D8"/>
    <w:rsid w:val="004E6273"/>
    <w:rsid w:val="004E6ECA"/>
    <w:rsid w:val="004F3E4D"/>
    <w:rsid w:val="005009C3"/>
    <w:rsid w:val="0050232E"/>
    <w:rsid w:val="005068F6"/>
    <w:rsid w:val="00507034"/>
    <w:rsid w:val="00514255"/>
    <w:rsid w:val="005142FF"/>
    <w:rsid w:val="00520415"/>
    <w:rsid w:val="005243E7"/>
    <w:rsid w:val="00527882"/>
    <w:rsid w:val="005319AC"/>
    <w:rsid w:val="00533D92"/>
    <w:rsid w:val="0053598B"/>
    <w:rsid w:val="00535C09"/>
    <w:rsid w:val="0053644C"/>
    <w:rsid w:val="005449E2"/>
    <w:rsid w:val="00546B07"/>
    <w:rsid w:val="005479B9"/>
    <w:rsid w:val="0055089B"/>
    <w:rsid w:val="00550CCD"/>
    <w:rsid w:val="00552123"/>
    <w:rsid w:val="0055555D"/>
    <w:rsid w:val="00555D1F"/>
    <w:rsid w:val="005618FB"/>
    <w:rsid w:val="00562043"/>
    <w:rsid w:val="00567C7E"/>
    <w:rsid w:val="00573BFE"/>
    <w:rsid w:val="00577E24"/>
    <w:rsid w:val="0058061B"/>
    <w:rsid w:val="0058102E"/>
    <w:rsid w:val="00581508"/>
    <w:rsid w:val="0059008F"/>
    <w:rsid w:val="0059714F"/>
    <w:rsid w:val="005A1FFC"/>
    <w:rsid w:val="005B46D1"/>
    <w:rsid w:val="005B48F3"/>
    <w:rsid w:val="005B4BA1"/>
    <w:rsid w:val="005C2034"/>
    <w:rsid w:val="005D165D"/>
    <w:rsid w:val="005D3895"/>
    <w:rsid w:val="005D56ED"/>
    <w:rsid w:val="005D7463"/>
    <w:rsid w:val="005D7B50"/>
    <w:rsid w:val="005E4596"/>
    <w:rsid w:val="005E6DE3"/>
    <w:rsid w:val="005E7794"/>
    <w:rsid w:val="005F2425"/>
    <w:rsid w:val="005F2F61"/>
    <w:rsid w:val="005F31C3"/>
    <w:rsid w:val="005F346A"/>
    <w:rsid w:val="005F5B7A"/>
    <w:rsid w:val="0060016F"/>
    <w:rsid w:val="0060067F"/>
    <w:rsid w:val="0060280C"/>
    <w:rsid w:val="006030CB"/>
    <w:rsid w:val="00605A74"/>
    <w:rsid w:val="006132A6"/>
    <w:rsid w:val="006161C3"/>
    <w:rsid w:val="006170D7"/>
    <w:rsid w:val="006205B4"/>
    <w:rsid w:val="006225CD"/>
    <w:rsid w:val="0062334E"/>
    <w:rsid w:val="006233C8"/>
    <w:rsid w:val="00624EC3"/>
    <w:rsid w:val="006312A1"/>
    <w:rsid w:val="00631F4E"/>
    <w:rsid w:val="00632703"/>
    <w:rsid w:val="00636012"/>
    <w:rsid w:val="006416C5"/>
    <w:rsid w:val="00645347"/>
    <w:rsid w:val="00647216"/>
    <w:rsid w:val="00651DD9"/>
    <w:rsid w:val="00655A8C"/>
    <w:rsid w:val="00660486"/>
    <w:rsid w:val="00662C82"/>
    <w:rsid w:val="00671347"/>
    <w:rsid w:val="006827F5"/>
    <w:rsid w:val="006902A7"/>
    <w:rsid w:val="00691C5C"/>
    <w:rsid w:val="00695F5A"/>
    <w:rsid w:val="006A00C0"/>
    <w:rsid w:val="006A1ACD"/>
    <w:rsid w:val="006A3174"/>
    <w:rsid w:val="006A440A"/>
    <w:rsid w:val="006A5AD5"/>
    <w:rsid w:val="006A5F09"/>
    <w:rsid w:val="006A6A5E"/>
    <w:rsid w:val="006B2D45"/>
    <w:rsid w:val="006B3DDB"/>
    <w:rsid w:val="006B4B1A"/>
    <w:rsid w:val="006B4B88"/>
    <w:rsid w:val="006D1D5B"/>
    <w:rsid w:val="006D30B6"/>
    <w:rsid w:val="006D4651"/>
    <w:rsid w:val="006E0908"/>
    <w:rsid w:val="006E3586"/>
    <w:rsid w:val="006E35ED"/>
    <w:rsid w:val="006E54FE"/>
    <w:rsid w:val="006F27CF"/>
    <w:rsid w:val="006F774E"/>
    <w:rsid w:val="00701088"/>
    <w:rsid w:val="00702C94"/>
    <w:rsid w:val="0070321F"/>
    <w:rsid w:val="00705334"/>
    <w:rsid w:val="00706172"/>
    <w:rsid w:val="007075DE"/>
    <w:rsid w:val="00710DB2"/>
    <w:rsid w:val="00714A42"/>
    <w:rsid w:val="00721C3A"/>
    <w:rsid w:val="00721D9E"/>
    <w:rsid w:val="007231D5"/>
    <w:rsid w:val="00724696"/>
    <w:rsid w:val="00732348"/>
    <w:rsid w:val="00732465"/>
    <w:rsid w:val="00732698"/>
    <w:rsid w:val="00734193"/>
    <w:rsid w:val="007404BB"/>
    <w:rsid w:val="007415C6"/>
    <w:rsid w:val="007431A4"/>
    <w:rsid w:val="00747144"/>
    <w:rsid w:val="0075391F"/>
    <w:rsid w:val="00761990"/>
    <w:rsid w:val="00761A56"/>
    <w:rsid w:val="00763822"/>
    <w:rsid w:val="00767193"/>
    <w:rsid w:val="007703B3"/>
    <w:rsid w:val="00772728"/>
    <w:rsid w:val="00782132"/>
    <w:rsid w:val="0078297E"/>
    <w:rsid w:val="00782B18"/>
    <w:rsid w:val="00786EC2"/>
    <w:rsid w:val="00787F5E"/>
    <w:rsid w:val="00790395"/>
    <w:rsid w:val="00791E7C"/>
    <w:rsid w:val="00792F18"/>
    <w:rsid w:val="00793344"/>
    <w:rsid w:val="00796E6A"/>
    <w:rsid w:val="007A025E"/>
    <w:rsid w:val="007A110B"/>
    <w:rsid w:val="007A1771"/>
    <w:rsid w:val="007A4B05"/>
    <w:rsid w:val="007A4ED1"/>
    <w:rsid w:val="007B236A"/>
    <w:rsid w:val="007B4483"/>
    <w:rsid w:val="007B5837"/>
    <w:rsid w:val="007C7541"/>
    <w:rsid w:val="007D7D8B"/>
    <w:rsid w:val="007E075A"/>
    <w:rsid w:val="007E3D0F"/>
    <w:rsid w:val="007F52E6"/>
    <w:rsid w:val="00800047"/>
    <w:rsid w:val="00800508"/>
    <w:rsid w:val="0080098C"/>
    <w:rsid w:val="00806D81"/>
    <w:rsid w:val="00806E80"/>
    <w:rsid w:val="00811840"/>
    <w:rsid w:val="008118AA"/>
    <w:rsid w:val="008242E4"/>
    <w:rsid w:val="00824F59"/>
    <w:rsid w:val="00830EC4"/>
    <w:rsid w:val="00834184"/>
    <w:rsid w:val="008425A6"/>
    <w:rsid w:val="008431A9"/>
    <w:rsid w:val="00843D05"/>
    <w:rsid w:val="00846B65"/>
    <w:rsid w:val="008471EC"/>
    <w:rsid w:val="00847268"/>
    <w:rsid w:val="00847A4C"/>
    <w:rsid w:val="00851E1E"/>
    <w:rsid w:val="00853D30"/>
    <w:rsid w:val="008566E7"/>
    <w:rsid w:val="00856EDA"/>
    <w:rsid w:val="00861E47"/>
    <w:rsid w:val="008668ED"/>
    <w:rsid w:val="00885E85"/>
    <w:rsid w:val="008919E1"/>
    <w:rsid w:val="0089271C"/>
    <w:rsid w:val="008A2544"/>
    <w:rsid w:val="008A2ADC"/>
    <w:rsid w:val="008A5379"/>
    <w:rsid w:val="008A5787"/>
    <w:rsid w:val="008B2967"/>
    <w:rsid w:val="008B37AA"/>
    <w:rsid w:val="008B7AA9"/>
    <w:rsid w:val="008C55B8"/>
    <w:rsid w:val="008D1AD7"/>
    <w:rsid w:val="008D5445"/>
    <w:rsid w:val="008E7DC2"/>
    <w:rsid w:val="008F428A"/>
    <w:rsid w:val="00901825"/>
    <w:rsid w:val="00903A76"/>
    <w:rsid w:val="00905878"/>
    <w:rsid w:val="009071C2"/>
    <w:rsid w:val="009079D0"/>
    <w:rsid w:val="00907F90"/>
    <w:rsid w:val="009119AD"/>
    <w:rsid w:val="00911F52"/>
    <w:rsid w:val="009122D1"/>
    <w:rsid w:val="00913C7F"/>
    <w:rsid w:val="0091479A"/>
    <w:rsid w:val="00916147"/>
    <w:rsid w:val="00921239"/>
    <w:rsid w:val="009251D7"/>
    <w:rsid w:val="00925C22"/>
    <w:rsid w:val="00930A0E"/>
    <w:rsid w:val="00930D14"/>
    <w:rsid w:val="0093249A"/>
    <w:rsid w:val="0093342D"/>
    <w:rsid w:val="00933DED"/>
    <w:rsid w:val="009452E9"/>
    <w:rsid w:val="009458A8"/>
    <w:rsid w:val="00945D0C"/>
    <w:rsid w:val="009523AB"/>
    <w:rsid w:val="00954D53"/>
    <w:rsid w:val="00956935"/>
    <w:rsid w:val="00957DCD"/>
    <w:rsid w:val="00962AAD"/>
    <w:rsid w:val="0096360A"/>
    <w:rsid w:val="00964FBD"/>
    <w:rsid w:val="00967B37"/>
    <w:rsid w:val="00971063"/>
    <w:rsid w:val="00976DCA"/>
    <w:rsid w:val="009813BF"/>
    <w:rsid w:val="0098145A"/>
    <w:rsid w:val="009824E7"/>
    <w:rsid w:val="00982C0D"/>
    <w:rsid w:val="00987832"/>
    <w:rsid w:val="00991A19"/>
    <w:rsid w:val="009A29B3"/>
    <w:rsid w:val="009A5E5B"/>
    <w:rsid w:val="009B16A0"/>
    <w:rsid w:val="009B1880"/>
    <w:rsid w:val="009C09FA"/>
    <w:rsid w:val="009C0EA7"/>
    <w:rsid w:val="009C2B6F"/>
    <w:rsid w:val="009C4722"/>
    <w:rsid w:val="009C69E2"/>
    <w:rsid w:val="009C72C3"/>
    <w:rsid w:val="009D32EC"/>
    <w:rsid w:val="009D4C97"/>
    <w:rsid w:val="009D4E00"/>
    <w:rsid w:val="009D6E0A"/>
    <w:rsid w:val="009E1DB1"/>
    <w:rsid w:val="009E5E40"/>
    <w:rsid w:val="009F0467"/>
    <w:rsid w:val="009F0728"/>
    <w:rsid w:val="009F12F4"/>
    <w:rsid w:val="009F21B3"/>
    <w:rsid w:val="009F30C1"/>
    <w:rsid w:val="009F3FB7"/>
    <w:rsid w:val="009F4564"/>
    <w:rsid w:val="009F7D98"/>
    <w:rsid w:val="00A0329C"/>
    <w:rsid w:val="00A0467A"/>
    <w:rsid w:val="00A04D2D"/>
    <w:rsid w:val="00A05F65"/>
    <w:rsid w:val="00A14612"/>
    <w:rsid w:val="00A14F35"/>
    <w:rsid w:val="00A170A1"/>
    <w:rsid w:val="00A17892"/>
    <w:rsid w:val="00A212AF"/>
    <w:rsid w:val="00A22A63"/>
    <w:rsid w:val="00A23BE0"/>
    <w:rsid w:val="00A314BA"/>
    <w:rsid w:val="00A314D0"/>
    <w:rsid w:val="00A35A80"/>
    <w:rsid w:val="00A4012E"/>
    <w:rsid w:val="00A41BCF"/>
    <w:rsid w:val="00A41E86"/>
    <w:rsid w:val="00A41FDE"/>
    <w:rsid w:val="00A42657"/>
    <w:rsid w:val="00A51C57"/>
    <w:rsid w:val="00A52E7B"/>
    <w:rsid w:val="00A54C2A"/>
    <w:rsid w:val="00A569C5"/>
    <w:rsid w:val="00A60A92"/>
    <w:rsid w:val="00A6290F"/>
    <w:rsid w:val="00A6305B"/>
    <w:rsid w:val="00A63E0D"/>
    <w:rsid w:val="00A64492"/>
    <w:rsid w:val="00A6688B"/>
    <w:rsid w:val="00A67F10"/>
    <w:rsid w:val="00A80400"/>
    <w:rsid w:val="00A83D60"/>
    <w:rsid w:val="00A85D2E"/>
    <w:rsid w:val="00A8607F"/>
    <w:rsid w:val="00A86ABC"/>
    <w:rsid w:val="00A86C0A"/>
    <w:rsid w:val="00A90CCF"/>
    <w:rsid w:val="00A932FE"/>
    <w:rsid w:val="00A93315"/>
    <w:rsid w:val="00A969EF"/>
    <w:rsid w:val="00A96D46"/>
    <w:rsid w:val="00AA1FC1"/>
    <w:rsid w:val="00AA6DB9"/>
    <w:rsid w:val="00AB015F"/>
    <w:rsid w:val="00AB0E4B"/>
    <w:rsid w:val="00AB1F2D"/>
    <w:rsid w:val="00AC40FD"/>
    <w:rsid w:val="00AD164F"/>
    <w:rsid w:val="00AD4BDD"/>
    <w:rsid w:val="00AD57B3"/>
    <w:rsid w:val="00AD6DD8"/>
    <w:rsid w:val="00AD747F"/>
    <w:rsid w:val="00AD7A75"/>
    <w:rsid w:val="00AE5094"/>
    <w:rsid w:val="00AE51DC"/>
    <w:rsid w:val="00AE674E"/>
    <w:rsid w:val="00AF050F"/>
    <w:rsid w:val="00AF1F14"/>
    <w:rsid w:val="00AF65FF"/>
    <w:rsid w:val="00AF7A9C"/>
    <w:rsid w:val="00B0391F"/>
    <w:rsid w:val="00B05CA5"/>
    <w:rsid w:val="00B10661"/>
    <w:rsid w:val="00B1178C"/>
    <w:rsid w:val="00B12F7A"/>
    <w:rsid w:val="00B13624"/>
    <w:rsid w:val="00B13BBB"/>
    <w:rsid w:val="00B275EC"/>
    <w:rsid w:val="00B27C2B"/>
    <w:rsid w:val="00B31034"/>
    <w:rsid w:val="00B332E3"/>
    <w:rsid w:val="00B36FE4"/>
    <w:rsid w:val="00B40997"/>
    <w:rsid w:val="00B4612C"/>
    <w:rsid w:val="00B50689"/>
    <w:rsid w:val="00B55B2C"/>
    <w:rsid w:val="00B63733"/>
    <w:rsid w:val="00B64368"/>
    <w:rsid w:val="00B652DD"/>
    <w:rsid w:val="00B6547F"/>
    <w:rsid w:val="00B660D0"/>
    <w:rsid w:val="00B6724F"/>
    <w:rsid w:val="00B724D3"/>
    <w:rsid w:val="00B75890"/>
    <w:rsid w:val="00B76247"/>
    <w:rsid w:val="00B764ED"/>
    <w:rsid w:val="00B77437"/>
    <w:rsid w:val="00B8016E"/>
    <w:rsid w:val="00B82D40"/>
    <w:rsid w:val="00B87222"/>
    <w:rsid w:val="00B87308"/>
    <w:rsid w:val="00B87391"/>
    <w:rsid w:val="00B91261"/>
    <w:rsid w:val="00B9334F"/>
    <w:rsid w:val="00B93B35"/>
    <w:rsid w:val="00BA0BC8"/>
    <w:rsid w:val="00BA208A"/>
    <w:rsid w:val="00BA3344"/>
    <w:rsid w:val="00BA3C08"/>
    <w:rsid w:val="00BA3C92"/>
    <w:rsid w:val="00BA4C52"/>
    <w:rsid w:val="00BA6086"/>
    <w:rsid w:val="00BA7451"/>
    <w:rsid w:val="00BA7663"/>
    <w:rsid w:val="00BB5B96"/>
    <w:rsid w:val="00BC4658"/>
    <w:rsid w:val="00BC6E51"/>
    <w:rsid w:val="00BC7829"/>
    <w:rsid w:val="00BC7B26"/>
    <w:rsid w:val="00BD2F63"/>
    <w:rsid w:val="00BE017C"/>
    <w:rsid w:val="00BE1025"/>
    <w:rsid w:val="00BE236B"/>
    <w:rsid w:val="00BE40B6"/>
    <w:rsid w:val="00BE5127"/>
    <w:rsid w:val="00BE68C8"/>
    <w:rsid w:val="00BE68E7"/>
    <w:rsid w:val="00BE7726"/>
    <w:rsid w:val="00BF27EE"/>
    <w:rsid w:val="00BF31E3"/>
    <w:rsid w:val="00BF5D0C"/>
    <w:rsid w:val="00C00F97"/>
    <w:rsid w:val="00C01B20"/>
    <w:rsid w:val="00C02881"/>
    <w:rsid w:val="00C11E0B"/>
    <w:rsid w:val="00C12697"/>
    <w:rsid w:val="00C17D11"/>
    <w:rsid w:val="00C23486"/>
    <w:rsid w:val="00C23C79"/>
    <w:rsid w:val="00C24346"/>
    <w:rsid w:val="00C348CC"/>
    <w:rsid w:val="00C36556"/>
    <w:rsid w:val="00C36BFD"/>
    <w:rsid w:val="00C3749B"/>
    <w:rsid w:val="00C37E74"/>
    <w:rsid w:val="00C420AC"/>
    <w:rsid w:val="00C43FEC"/>
    <w:rsid w:val="00C43FF5"/>
    <w:rsid w:val="00C446B5"/>
    <w:rsid w:val="00C46F57"/>
    <w:rsid w:val="00C506FA"/>
    <w:rsid w:val="00C514F1"/>
    <w:rsid w:val="00C55122"/>
    <w:rsid w:val="00C5590E"/>
    <w:rsid w:val="00C55DE8"/>
    <w:rsid w:val="00C57925"/>
    <w:rsid w:val="00C60132"/>
    <w:rsid w:val="00C62044"/>
    <w:rsid w:val="00C62291"/>
    <w:rsid w:val="00C62E75"/>
    <w:rsid w:val="00C63506"/>
    <w:rsid w:val="00C641B0"/>
    <w:rsid w:val="00C66260"/>
    <w:rsid w:val="00C70BA6"/>
    <w:rsid w:val="00C74748"/>
    <w:rsid w:val="00C755D0"/>
    <w:rsid w:val="00C762C2"/>
    <w:rsid w:val="00C7695F"/>
    <w:rsid w:val="00C84B90"/>
    <w:rsid w:val="00C8684A"/>
    <w:rsid w:val="00C86C90"/>
    <w:rsid w:val="00C91741"/>
    <w:rsid w:val="00C91E75"/>
    <w:rsid w:val="00C92639"/>
    <w:rsid w:val="00C957F3"/>
    <w:rsid w:val="00CA1006"/>
    <w:rsid w:val="00CA3839"/>
    <w:rsid w:val="00CA45DA"/>
    <w:rsid w:val="00CA4E37"/>
    <w:rsid w:val="00CB131E"/>
    <w:rsid w:val="00CB410A"/>
    <w:rsid w:val="00CC1E94"/>
    <w:rsid w:val="00CC3DA4"/>
    <w:rsid w:val="00CC46F1"/>
    <w:rsid w:val="00CC5F1A"/>
    <w:rsid w:val="00CD21E3"/>
    <w:rsid w:val="00CD2CB4"/>
    <w:rsid w:val="00CD54E9"/>
    <w:rsid w:val="00CD5B3C"/>
    <w:rsid w:val="00CE2149"/>
    <w:rsid w:val="00CE224E"/>
    <w:rsid w:val="00CE4027"/>
    <w:rsid w:val="00CE4C29"/>
    <w:rsid w:val="00CE603D"/>
    <w:rsid w:val="00CF25AF"/>
    <w:rsid w:val="00CF5EDD"/>
    <w:rsid w:val="00CF6528"/>
    <w:rsid w:val="00CF736A"/>
    <w:rsid w:val="00CF73A1"/>
    <w:rsid w:val="00CF795D"/>
    <w:rsid w:val="00D00D3F"/>
    <w:rsid w:val="00D01BE4"/>
    <w:rsid w:val="00D02F99"/>
    <w:rsid w:val="00D07DB7"/>
    <w:rsid w:val="00D109B1"/>
    <w:rsid w:val="00D13312"/>
    <w:rsid w:val="00D34B36"/>
    <w:rsid w:val="00D36466"/>
    <w:rsid w:val="00D36712"/>
    <w:rsid w:val="00D3672F"/>
    <w:rsid w:val="00D3724A"/>
    <w:rsid w:val="00D3744E"/>
    <w:rsid w:val="00D40605"/>
    <w:rsid w:val="00D455CF"/>
    <w:rsid w:val="00D501FF"/>
    <w:rsid w:val="00D55091"/>
    <w:rsid w:val="00D56168"/>
    <w:rsid w:val="00D57B44"/>
    <w:rsid w:val="00D6106D"/>
    <w:rsid w:val="00D65480"/>
    <w:rsid w:val="00D72C9B"/>
    <w:rsid w:val="00D73165"/>
    <w:rsid w:val="00D75C0A"/>
    <w:rsid w:val="00D80A7F"/>
    <w:rsid w:val="00D8166D"/>
    <w:rsid w:val="00D820B2"/>
    <w:rsid w:val="00D83153"/>
    <w:rsid w:val="00D84CE9"/>
    <w:rsid w:val="00D900CA"/>
    <w:rsid w:val="00D930C3"/>
    <w:rsid w:val="00D94AC4"/>
    <w:rsid w:val="00D96740"/>
    <w:rsid w:val="00DA0CB9"/>
    <w:rsid w:val="00DA4D4A"/>
    <w:rsid w:val="00DA54C1"/>
    <w:rsid w:val="00DA6D30"/>
    <w:rsid w:val="00DB1D02"/>
    <w:rsid w:val="00DB5AAA"/>
    <w:rsid w:val="00DB6901"/>
    <w:rsid w:val="00DB6AE3"/>
    <w:rsid w:val="00DB74C4"/>
    <w:rsid w:val="00DC3C75"/>
    <w:rsid w:val="00DC7DCD"/>
    <w:rsid w:val="00DD2B46"/>
    <w:rsid w:val="00DD2BF2"/>
    <w:rsid w:val="00DD3118"/>
    <w:rsid w:val="00DD400D"/>
    <w:rsid w:val="00DF2341"/>
    <w:rsid w:val="00DF3430"/>
    <w:rsid w:val="00E011A0"/>
    <w:rsid w:val="00E04543"/>
    <w:rsid w:val="00E07036"/>
    <w:rsid w:val="00E106A1"/>
    <w:rsid w:val="00E20B05"/>
    <w:rsid w:val="00E21D3A"/>
    <w:rsid w:val="00E23BFF"/>
    <w:rsid w:val="00E27D14"/>
    <w:rsid w:val="00E30EB1"/>
    <w:rsid w:val="00E3705B"/>
    <w:rsid w:val="00E40291"/>
    <w:rsid w:val="00E411EE"/>
    <w:rsid w:val="00E425A9"/>
    <w:rsid w:val="00E45318"/>
    <w:rsid w:val="00E525D9"/>
    <w:rsid w:val="00E541E5"/>
    <w:rsid w:val="00E569FA"/>
    <w:rsid w:val="00E56C9D"/>
    <w:rsid w:val="00E606BF"/>
    <w:rsid w:val="00E61C62"/>
    <w:rsid w:val="00E6241A"/>
    <w:rsid w:val="00E64118"/>
    <w:rsid w:val="00E65478"/>
    <w:rsid w:val="00E66372"/>
    <w:rsid w:val="00E66432"/>
    <w:rsid w:val="00E66AB9"/>
    <w:rsid w:val="00E67556"/>
    <w:rsid w:val="00E740B8"/>
    <w:rsid w:val="00E815D6"/>
    <w:rsid w:val="00E85AE0"/>
    <w:rsid w:val="00E86D7C"/>
    <w:rsid w:val="00E92F87"/>
    <w:rsid w:val="00E94788"/>
    <w:rsid w:val="00E94C94"/>
    <w:rsid w:val="00E94C96"/>
    <w:rsid w:val="00E95128"/>
    <w:rsid w:val="00EA33CF"/>
    <w:rsid w:val="00EA3AA7"/>
    <w:rsid w:val="00EB0FA5"/>
    <w:rsid w:val="00EB1380"/>
    <w:rsid w:val="00EB42B0"/>
    <w:rsid w:val="00EB5520"/>
    <w:rsid w:val="00EB564E"/>
    <w:rsid w:val="00EB631F"/>
    <w:rsid w:val="00EB6591"/>
    <w:rsid w:val="00EB7595"/>
    <w:rsid w:val="00EC0241"/>
    <w:rsid w:val="00EC7F8E"/>
    <w:rsid w:val="00EE177C"/>
    <w:rsid w:val="00EE257F"/>
    <w:rsid w:val="00EE3839"/>
    <w:rsid w:val="00EE61D5"/>
    <w:rsid w:val="00EE7C04"/>
    <w:rsid w:val="00EF0184"/>
    <w:rsid w:val="00EF14AC"/>
    <w:rsid w:val="00EF2536"/>
    <w:rsid w:val="00EF2B0D"/>
    <w:rsid w:val="00EF2CC8"/>
    <w:rsid w:val="00EF3235"/>
    <w:rsid w:val="00EF33CD"/>
    <w:rsid w:val="00EF7745"/>
    <w:rsid w:val="00F000C0"/>
    <w:rsid w:val="00F04AD0"/>
    <w:rsid w:val="00F0611B"/>
    <w:rsid w:val="00F125DB"/>
    <w:rsid w:val="00F127E4"/>
    <w:rsid w:val="00F14B9E"/>
    <w:rsid w:val="00F14D77"/>
    <w:rsid w:val="00F150FC"/>
    <w:rsid w:val="00F20692"/>
    <w:rsid w:val="00F235DF"/>
    <w:rsid w:val="00F26CC8"/>
    <w:rsid w:val="00F32758"/>
    <w:rsid w:val="00F34705"/>
    <w:rsid w:val="00F36B3B"/>
    <w:rsid w:val="00F4342A"/>
    <w:rsid w:val="00F44E8E"/>
    <w:rsid w:val="00F50F4C"/>
    <w:rsid w:val="00F52BBD"/>
    <w:rsid w:val="00F537D5"/>
    <w:rsid w:val="00F56CA8"/>
    <w:rsid w:val="00F573FC"/>
    <w:rsid w:val="00F57787"/>
    <w:rsid w:val="00F578B2"/>
    <w:rsid w:val="00F61062"/>
    <w:rsid w:val="00F61673"/>
    <w:rsid w:val="00F63D64"/>
    <w:rsid w:val="00F662DF"/>
    <w:rsid w:val="00F674DC"/>
    <w:rsid w:val="00F707AC"/>
    <w:rsid w:val="00F70999"/>
    <w:rsid w:val="00F72B93"/>
    <w:rsid w:val="00F72CF2"/>
    <w:rsid w:val="00F7399C"/>
    <w:rsid w:val="00F73E89"/>
    <w:rsid w:val="00F73ED9"/>
    <w:rsid w:val="00F75FEF"/>
    <w:rsid w:val="00F85B7A"/>
    <w:rsid w:val="00F85EFC"/>
    <w:rsid w:val="00F87189"/>
    <w:rsid w:val="00F9139D"/>
    <w:rsid w:val="00F93789"/>
    <w:rsid w:val="00FA39C9"/>
    <w:rsid w:val="00FA4B87"/>
    <w:rsid w:val="00FA6222"/>
    <w:rsid w:val="00FA76A1"/>
    <w:rsid w:val="00FB12B6"/>
    <w:rsid w:val="00FB31DB"/>
    <w:rsid w:val="00FB400B"/>
    <w:rsid w:val="00FC1D77"/>
    <w:rsid w:val="00FC468E"/>
    <w:rsid w:val="00FC4D26"/>
    <w:rsid w:val="00FC766D"/>
    <w:rsid w:val="00FD20F2"/>
    <w:rsid w:val="00FD3656"/>
    <w:rsid w:val="00FD58D7"/>
    <w:rsid w:val="00FD69EA"/>
    <w:rsid w:val="00FD6F6B"/>
    <w:rsid w:val="00FD7C91"/>
    <w:rsid w:val="00FE048F"/>
    <w:rsid w:val="00FE7489"/>
    <w:rsid w:val="00FF5B3A"/>
    <w:rsid w:val="014337F8"/>
    <w:rsid w:val="03FA407B"/>
    <w:rsid w:val="04186B9D"/>
    <w:rsid w:val="0441020D"/>
    <w:rsid w:val="05571F68"/>
    <w:rsid w:val="055E50A5"/>
    <w:rsid w:val="061E2DA6"/>
    <w:rsid w:val="0AAC68B2"/>
    <w:rsid w:val="0B671F05"/>
    <w:rsid w:val="0C921CDD"/>
    <w:rsid w:val="0C9E047D"/>
    <w:rsid w:val="0CCA1272"/>
    <w:rsid w:val="10755811"/>
    <w:rsid w:val="10C83D1A"/>
    <w:rsid w:val="132C0C3C"/>
    <w:rsid w:val="13653AA2"/>
    <w:rsid w:val="13F60B9E"/>
    <w:rsid w:val="181D66D2"/>
    <w:rsid w:val="18737A40"/>
    <w:rsid w:val="19A81F10"/>
    <w:rsid w:val="1B2D759B"/>
    <w:rsid w:val="1B4072CF"/>
    <w:rsid w:val="1BE428CB"/>
    <w:rsid w:val="1C654B13"/>
    <w:rsid w:val="1E3573AC"/>
    <w:rsid w:val="1E9F0ACC"/>
    <w:rsid w:val="22CC1448"/>
    <w:rsid w:val="25455E81"/>
    <w:rsid w:val="2B674404"/>
    <w:rsid w:val="2C206741"/>
    <w:rsid w:val="2D1212D7"/>
    <w:rsid w:val="2DAF3E40"/>
    <w:rsid w:val="2DF81343"/>
    <w:rsid w:val="2EAE2243"/>
    <w:rsid w:val="2EB55793"/>
    <w:rsid w:val="306671AB"/>
    <w:rsid w:val="30680BD2"/>
    <w:rsid w:val="33613E2E"/>
    <w:rsid w:val="344F1ED9"/>
    <w:rsid w:val="3578720D"/>
    <w:rsid w:val="36EA1BBF"/>
    <w:rsid w:val="37CF589A"/>
    <w:rsid w:val="3A734AE9"/>
    <w:rsid w:val="3BFD046C"/>
    <w:rsid w:val="3C395948"/>
    <w:rsid w:val="3E1C07AC"/>
    <w:rsid w:val="41263FC1"/>
    <w:rsid w:val="41F40DFE"/>
    <w:rsid w:val="42220C2D"/>
    <w:rsid w:val="43B05764"/>
    <w:rsid w:val="44623562"/>
    <w:rsid w:val="4540759A"/>
    <w:rsid w:val="47402BAB"/>
    <w:rsid w:val="49066D4B"/>
    <w:rsid w:val="497D01E9"/>
    <w:rsid w:val="49DB7EB5"/>
    <w:rsid w:val="4B38326F"/>
    <w:rsid w:val="4D295C84"/>
    <w:rsid w:val="50F814D6"/>
    <w:rsid w:val="52D96004"/>
    <w:rsid w:val="55E24503"/>
    <w:rsid w:val="5AA434EC"/>
    <w:rsid w:val="5B264E92"/>
    <w:rsid w:val="5B61411C"/>
    <w:rsid w:val="5B944C8D"/>
    <w:rsid w:val="5BCA39A9"/>
    <w:rsid w:val="5DA7681A"/>
    <w:rsid w:val="60A863D4"/>
    <w:rsid w:val="620563E5"/>
    <w:rsid w:val="636C734F"/>
    <w:rsid w:val="63CC09DF"/>
    <w:rsid w:val="64467F4B"/>
    <w:rsid w:val="64485E79"/>
    <w:rsid w:val="65076A02"/>
    <w:rsid w:val="66281CC6"/>
    <w:rsid w:val="66E279CC"/>
    <w:rsid w:val="68077DF9"/>
    <w:rsid w:val="687223BE"/>
    <w:rsid w:val="69E76134"/>
    <w:rsid w:val="6A836272"/>
    <w:rsid w:val="6BB40298"/>
    <w:rsid w:val="6CD97FB6"/>
    <w:rsid w:val="6CEB7CE9"/>
    <w:rsid w:val="6D4318D3"/>
    <w:rsid w:val="6DE37B4C"/>
    <w:rsid w:val="6FD42CB7"/>
    <w:rsid w:val="703929DD"/>
    <w:rsid w:val="71DD446B"/>
    <w:rsid w:val="73CB43D1"/>
    <w:rsid w:val="74844CAB"/>
    <w:rsid w:val="74C13070"/>
    <w:rsid w:val="755C79D6"/>
    <w:rsid w:val="77CA3FBF"/>
    <w:rsid w:val="7D124E1E"/>
    <w:rsid w:val="7D7E7197"/>
    <w:rsid w:val="7FFD3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paragraph" w:styleId="2">
    <w:name w:val="heading 1"/>
    <w:basedOn w:val="1"/>
    <w:next w:val="1"/>
    <w:link w:val="40"/>
    <w:qFormat/>
    <w:uiPriority w:val="0"/>
    <w:pPr>
      <w:keepNext/>
      <w:keepLines/>
      <w:spacing w:before="340" w:after="330" w:line="578" w:lineRule="auto"/>
      <w:outlineLvl w:val="0"/>
    </w:pPr>
    <w:rPr>
      <w:rFonts w:ascii="Times New Roman" w:hAnsi="Times New Roman"/>
      <w:b/>
      <w:bCs/>
      <w:kern w:val="44"/>
      <w:sz w:val="44"/>
      <w:szCs w:val="44"/>
    </w:rPr>
  </w:style>
  <w:style w:type="paragraph" w:styleId="3">
    <w:name w:val="heading 2"/>
    <w:basedOn w:val="4"/>
    <w:next w:val="5"/>
    <w:link w:val="41"/>
    <w:qFormat/>
    <w:uiPriority w:val="0"/>
    <w:pPr>
      <w:spacing w:before="360" w:after="120" w:line="360" w:lineRule="auto"/>
      <w:ind w:left="-5"/>
      <w:jc w:val="center"/>
      <w:outlineLvl w:val="1"/>
    </w:pPr>
    <w:rPr>
      <w:rFonts w:eastAsia="黑体" w:cs="Times New Roman"/>
      <w:b/>
      <w:sz w:val="32"/>
      <w:szCs w:val="20"/>
    </w:rPr>
  </w:style>
  <w:style w:type="paragraph" w:styleId="6">
    <w:name w:val="heading 3"/>
    <w:basedOn w:val="1"/>
    <w:next w:val="1"/>
    <w:qFormat/>
    <w:uiPriority w:val="0"/>
    <w:pPr>
      <w:keepNext/>
      <w:keepLines/>
      <w:spacing w:before="260" w:after="260" w:line="416" w:lineRule="auto"/>
      <w:outlineLvl w:val="2"/>
    </w:pPr>
    <w:rPr>
      <w:b/>
      <w:bCs/>
      <w:sz w:val="32"/>
      <w:szCs w:val="32"/>
    </w:rPr>
  </w:style>
  <w:style w:type="character" w:default="1" w:styleId="23">
    <w:name w:val="Default Paragraph Font"/>
    <w:semiHidden/>
    <w:unhideWhenUsed/>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4">
    <w:name w:val="toa heading"/>
    <w:basedOn w:val="1"/>
    <w:next w:val="1"/>
    <w:semiHidden/>
    <w:qFormat/>
    <w:uiPriority w:val="0"/>
    <w:pPr>
      <w:spacing w:before="120"/>
    </w:pPr>
    <w:rPr>
      <w:rFonts w:ascii="Arial" w:hAnsi="Arial"/>
      <w:sz w:val="24"/>
      <w:szCs w:val="24"/>
    </w:rPr>
  </w:style>
  <w:style w:type="paragraph" w:styleId="5">
    <w:name w:val="Title"/>
    <w:basedOn w:val="1"/>
    <w:link w:val="42"/>
    <w:qFormat/>
    <w:uiPriority w:val="0"/>
    <w:pPr>
      <w:spacing w:before="240" w:after="60"/>
      <w:jc w:val="center"/>
      <w:outlineLvl w:val="0"/>
    </w:pPr>
    <w:rPr>
      <w:rFonts w:ascii="Arial" w:hAnsi="Arial"/>
      <w:b/>
      <w:bCs/>
      <w:sz w:val="32"/>
      <w:szCs w:val="32"/>
    </w:rPr>
  </w:style>
  <w:style w:type="paragraph" w:styleId="7">
    <w:name w:val="List Number"/>
    <w:basedOn w:val="1"/>
    <w:qFormat/>
    <w:uiPriority w:val="0"/>
    <w:pPr>
      <w:widowControl/>
      <w:numPr>
        <w:ilvl w:val="0"/>
        <w:numId w:val="1"/>
      </w:numPr>
      <w:contextualSpacing/>
      <w:jc w:val="left"/>
    </w:pPr>
    <w:rPr>
      <w:rFonts w:ascii="宋体" w:hAnsi="宋体" w:cs="宋体"/>
      <w:kern w:val="0"/>
      <w:sz w:val="24"/>
      <w:szCs w:val="24"/>
    </w:rPr>
  </w:style>
  <w:style w:type="paragraph" w:styleId="8">
    <w:name w:val="Normal Indent"/>
    <w:basedOn w:val="1"/>
    <w:link w:val="43"/>
    <w:qFormat/>
    <w:uiPriority w:val="0"/>
    <w:pPr>
      <w:ind w:firstLine="420"/>
    </w:pPr>
    <w:rPr>
      <w:rFonts w:ascii="Times New Roman" w:hAnsi="Times New Roman" w:eastAsia="仿宋_GB2312"/>
      <w:sz w:val="32"/>
      <w:szCs w:val="20"/>
    </w:rPr>
  </w:style>
  <w:style w:type="paragraph" w:styleId="9">
    <w:name w:val="annotation text"/>
    <w:basedOn w:val="1"/>
    <w:link w:val="44"/>
    <w:qFormat/>
    <w:uiPriority w:val="0"/>
    <w:pPr>
      <w:jc w:val="left"/>
    </w:pPr>
  </w:style>
  <w:style w:type="paragraph" w:styleId="10">
    <w:name w:val="Body Text"/>
    <w:basedOn w:val="1"/>
    <w:link w:val="45"/>
    <w:qFormat/>
    <w:uiPriority w:val="0"/>
    <w:pPr>
      <w:tabs>
        <w:tab w:val="left" w:pos="574"/>
      </w:tabs>
      <w:spacing w:line="288" w:lineRule="auto"/>
    </w:pPr>
    <w:rPr>
      <w:rFonts w:ascii="宋体" w:hAnsi="宋体"/>
      <w:szCs w:val="20"/>
    </w:rPr>
  </w:style>
  <w:style w:type="paragraph" w:styleId="11">
    <w:name w:val="Body Text Indent"/>
    <w:basedOn w:val="1"/>
    <w:link w:val="46"/>
    <w:qFormat/>
    <w:uiPriority w:val="0"/>
    <w:pPr>
      <w:spacing w:after="120"/>
      <w:ind w:left="420" w:leftChars="200"/>
    </w:pPr>
    <w:rPr>
      <w:rFonts w:ascii="Times New Roman" w:hAnsi="Times New Roman" w:eastAsia="仿宋_GB2312"/>
      <w:sz w:val="32"/>
      <w:szCs w:val="20"/>
    </w:rPr>
  </w:style>
  <w:style w:type="paragraph" w:styleId="12">
    <w:name w:val="toc 3"/>
    <w:basedOn w:val="1"/>
    <w:next w:val="1"/>
    <w:unhideWhenUsed/>
    <w:qFormat/>
    <w:uiPriority w:val="39"/>
    <w:pPr>
      <w:widowControl/>
      <w:spacing w:after="100" w:line="276" w:lineRule="auto"/>
      <w:ind w:left="440"/>
      <w:jc w:val="left"/>
    </w:pPr>
    <w:rPr>
      <w:rFonts w:cs="Times New Roman"/>
      <w:kern w:val="0"/>
      <w:sz w:val="22"/>
    </w:rPr>
  </w:style>
  <w:style w:type="paragraph" w:styleId="13">
    <w:name w:val="Plain Text"/>
    <w:basedOn w:val="1"/>
    <w:link w:val="47"/>
    <w:qFormat/>
    <w:uiPriority w:val="99"/>
    <w:rPr>
      <w:rFonts w:ascii="宋体" w:hAnsi="Courier New"/>
      <w:szCs w:val="21"/>
    </w:rPr>
  </w:style>
  <w:style w:type="paragraph" w:styleId="14">
    <w:name w:val="Date"/>
    <w:basedOn w:val="1"/>
    <w:next w:val="1"/>
    <w:link w:val="48"/>
    <w:qFormat/>
    <w:uiPriority w:val="0"/>
    <w:rPr>
      <w:rFonts w:ascii="Times New Roman" w:hAnsi="Times New Roman" w:eastAsia="仿宋_GB2312"/>
      <w:sz w:val="28"/>
      <w:szCs w:val="20"/>
    </w:rPr>
  </w:style>
  <w:style w:type="paragraph" w:styleId="15">
    <w:name w:val="Balloon Text"/>
    <w:basedOn w:val="1"/>
    <w:link w:val="49"/>
    <w:qFormat/>
    <w:uiPriority w:val="0"/>
    <w:rPr>
      <w:rFonts w:ascii="Times New Roman" w:hAnsi="Times New Roman"/>
      <w:sz w:val="18"/>
      <w:szCs w:val="18"/>
    </w:rPr>
  </w:style>
  <w:style w:type="paragraph" w:styleId="16">
    <w:name w:val="footer"/>
    <w:basedOn w:val="1"/>
    <w:link w:val="50"/>
    <w:unhideWhenUsed/>
    <w:qFormat/>
    <w:uiPriority w:val="0"/>
    <w:pPr>
      <w:tabs>
        <w:tab w:val="center" w:pos="4153"/>
        <w:tab w:val="right" w:pos="8306"/>
      </w:tabs>
      <w:snapToGrid w:val="0"/>
      <w:jc w:val="left"/>
    </w:pPr>
    <w:rPr>
      <w:sz w:val="18"/>
      <w:szCs w:val="18"/>
    </w:rPr>
  </w:style>
  <w:style w:type="paragraph" w:styleId="17">
    <w:name w:val="header"/>
    <w:basedOn w:val="1"/>
    <w:link w:val="51"/>
    <w:unhideWhenUsed/>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39"/>
    <w:rPr>
      <w:rFonts w:ascii="Times New Roman" w:hAnsi="Times New Roman"/>
      <w:szCs w:val="24"/>
    </w:rPr>
  </w:style>
  <w:style w:type="paragraph" w:styleId="19">
    <w:name w:val="toc 2"/>
    <w:basedOn w:val="1"/>
    <w:next w:val="1"/>
    <w:qFormat/>
    <w:uiPriority w:val="39"/>
    <w:pPr>
      <w:ind w:left="420" w:leftChars="200"/>
    </w:pPr>
    <w:rPr>
      <w:rFonts w:ascii="Times New Roman" w:hAnsi="Times New Roman"/>
      <w:szCs w:val="24"/>
    </w:rPr>
  </w:style>
  <w:style w:type="paragraph" w:styleId="20">
    <w:name w:val="annotation subject"/>
    <w:basedOn w:val="9"/>
    <w:next w:val="9"/>
    <w:link w:val="52"/>
    <w:qFormat/>
    <w:uiPriority w:val="0"/>
    <w:rPr>
      <w:b/>
      <w:bCs/>
    </w:rPr>
  </w:style>
  <w:style w:type="table" w:styleId="22">
    <w:name w:val="Table Grid"/>
    <w:basedOn w:val="2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qFormat/>
    <w:uiPriority w:val="0"/>
    <w:rPr>
      <w:b/>
      <w:bCs/>
    </w:rPr>
  </w:style>
  <w:style w:type="character" w:styleId="25">
    <w:name w:val="page number"/>
    <w:qFormat/>
    <w:uiPriority w:val="0"/>
  </w:style>
  <w:style w:type="character" w:styleId="26">
    <w:name w:val="FollowedHyperlink"/>
    <w:qFormat/>
    <w:uiPriority w:val="0"/>
    <w:rPr>
      <w:color w:val="800080"/>
      <w:u w:val="single"/>
    </w:rPr>
  </w:style>
  <w:style w:type="character" w:styleId="27">
    <w:name w:val="Emphasis"/>
    <w:basedOn w:val="23"/>
    <w:qFormat/>
    <w:uiPriority w:val="0"/>
    <w:rPr>
      <w:i/>
    </w:rPr>
  </w:style>
  <w:style w:type="character" w:styleId="28">
    <w:name w:val="Hyperlink"/>
    <w:qFormat/>
    <w:uiPriority w:val="99"/>
  </w:style>
  <w:style w:type="character" w:styleId="29">
    <w:name w:val="annotation reference"/>
    <w:qFormat/>
    <w:uiPriority w:val="0"/>
    <w:rPr>
      <w:sz w:val="21"/>
      <w:szCs w:val="21"/>
    </w:rPr>
  </w:style>
  <w:style w:type="paragraph" w:customStyle="1" w:styleId="30">
    <w:name w:val="样式2"/>
    <w:basedOn w:val="1"/>
    <w:link w:val="56"/>
    <w:qFormat/>
    <w:uiPriority w:val="0"/>
    <w:pPr>
      <w:spacing w:before="156" w:beforeLines="50"/>
      <w:ind w:firstLine="400" w:firstLineChars="200"/>
    </w:pPr>
    <w:rPr>
      <w:rFonts w:ascii="宋体" w:hAnsi="宋体"/>
      <w:sz w:val="20"/>
    </w:rPr>
  </w:style>
  <w:style w:type="paragraph" w:customStyle="1" w:styleId="31">
    <w:name w:val="Char Char Char Char"/>
    <w:basedOn w:val="1"/>
    <w:qFormat/>
    <w:uiPriority w:val="0"/>
    <w:rPr>
      <w:rFonts w:ascii="Times New Roman" w:hAnsi="Times New Roman"/>
      <w:szCs w:val="24"/>
    </w:rPr>
  </w:style>
  <w:style w:type="paragraph" w:customStyle="1" w:styleId="32">
    <w:name w:val="Char Char Char Char1"/>
    <w:basedOn w:val="1"/>
    <w:qFormat/>
    <w:uiPriority w:val="0"/>
    <w:rPr>
      <w:rFonts w:ascii="Times New Roman" w:hAnsi="Times New Roman"/>
      <w:szCs w:val="24"/>
    </w:rPr>
  </w:style>
  <w:style w:type="paragraph" w:customStyle="1" w:styleId="33">
    <w:name w:val="_Style 31"/>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34">
    <w:name w:val="传真标题"/>
    <w:basedOn w:val="1"/>
    <w:qFormat/>
    <w:uiPriority w:val="0"/>
    <w:pPr>
      <w:widowControl/>
      <w:spacing w:before="240" w:after="60"/>
      <w:jc w:val="left"/>
    </w:pPr>
    <w:rPr>
      <w:rFonts w:ascii="Times New Roman" w:hAnsi="Times New Roman"/>
      <w:kern w:val="0"/>
      <w:sz w:val="20"/>
      <w:szCs w:val="20"/>
    </w:rPr>
  </w:style>
  <w:style w:type="paragraph" w:customStyle="1" w:styleId="35">
    <w:name w:val="Char Char Char Char Char Char1 Char Char Char Char Char Char Char Char Char"/>
    <w:basedOn w:val="1"/>
    <w:qFormat/>
    <w:uiPriority w:val="0"/>
    <w:pPr>
      <w:adjustRightInd w:val="0"/>
      <w:spacing w:line="360" w:lineRule="auto"/>
    </w:pPr>
    <w:rPr>
      <w:rFonts w:ascii="Times New Roman" w:hAnsi="Times New Roman" w:eastAsia="Times New Roman"/>
      <w:kern w:val="0"/>
      <w:sz w:val="20"/>
      <w:szCs w:val="20"/>
    </w:rPr>
  </w:style>
  <w:style w:type="paragraph" w:customStyle="1" w:styleId="36">
    <w:name w:val="msolistparagraph"/>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37">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styleId="38">
    <w:name w:val="List Paragraph"/>
    <w:basedOn w:val="1"/>
    <w:qFormat/>
    <w:uiPriority w:val="34"/>
    <w:pPr>
      <w:ind w:firstLine="420" w:firstLineChars="200"/>
    </w:pPr>
  </w:style>
  <w:style w:type="paragraph" w:customStyle="1" w:styleId="39">
    <w:name w:val="Char Char Char Char Char Char"/>
    <w:basedOn w:val="1"/>
    <w:qFormat/>
    <w:uiPriority w:val="0"/>
    <w:rPr>
      <w:szCs w:val="24"/>
    </w:rPr>
  </w:style>
  <w:style w:type="character" w:customStyle="1" w:styleId="40">
    <w:name w:val="标题 1 字符"/>
    <w:link w:val="2"/>
    <w:qFormat/>
    <w:uiPriority w:val="0"/>
    <w:rPr>
      <w:rFonts w:eastAsia="宋体"/>
      <w:b/>
      <w:bCs/>
      <w:kern w:val="44"/>
      <w:sz w:val="44"/>
      <w:szCs w:val="44"/>
      <w:lang w:val="en-US" w:eastAsia="zh-CN" w:bidi="ar-SA"/>
    </w:rPr>
  </w:style>
  <w:style w:type="character" w:customStyle="1" w:styleId="41">
    <w:name w:val="标题 2 字符"/>
    <w:link w:val="3"/>
    <w:qFormat/>
    <w:uiPriority w:val="0"/>
    <w:rPr>
      <w:rFonts w:ascii="Arial" w:hAnsi="Arial" w:eastAsia="黑体"/>
      <w:b/>
      <w:kern w:val="2"/>
      <w:sz w:val="32"/>
      <w:lang w:val="en-US" w:eastAsia="zh-CN" w:bidi="ar-SA"/>
    </w:rPr>
  </w:style>
  <w:style w:type="character" w:customStyle="1" w:styleId="42">
    <w:name w:val="标题 字符"/>
    <w:link w:val="5"/>
    <w:qFormat/>
    <w:uiPriority w:val="0"/>
    <w:rPr>
      <w:rFonts w:ascii="Arial" w:hAnsi="Arial" w:eastAsia="宋体" w:cs="Arial"/>
      <w:b/>
      <w:bCs/>
      <w:kern w:val="2"/>
      <w:sz w:val="32"/>
      <w:szCs w:val="32"/>
      <w:lang w:val="en-US" w:eastAsia="zh-CN" w:bidi="ar-SA"/>
    </w:rPr>
  </w:style>
  <w:style w:type="character" w:customStyle="1" w:styleId="43">
    <w:name w:val="正文缩进 字符"/>
    <w:link w:val="8"/>
    <w:qFormat/>
    <w:locked/>
    <w:uiPriority w:val="0"/>
    <w:rPr>
      <w:rFonts w:eastAsia="仿宋_GB2312"/>
      <w:kern w:val="2"/>
      <w:sz w:val="32"/>
      <w:lang w:val="en-US" w:eastAsia="zh-CN" w:bidi="ar-SA"/>
    </w:rPr>
  </w:style>
  <w:style w:type="character" w:customStyle="1" w:styleId="44">
    <w:name w:val="批注文字 字符"/>
    <w:link w:val="9"/>
    <w:qFormat/>
    <w:uiPriority w:val="0"/>
    <w:rPr>
      <w:rFonts w:ascii="Calibri" w:hAnsi="Calibri"/>
      <w:kern w:val="2"/>
      <w:sz w:val="21"/>
      <w:szCs w:val="22"/>
    </w:rPr>
  </w:style>
  <w:style w:type="character" w:customStyle="1" w:styleId="45">
    <w:name w:val="正文文本 字符"/>
    <w:link w:val="10"/>
    <w:qFormat/>
    <w:uiPriority w:val="0"/>
    <w:rPr>
      <w:rFonts w:ascii="宋体" w:hAnsi="宋体" w:eastAsia="宋体"/>
      <w:kern w:val="2"/>
      <w:sz w:val="21"/>
      <w:lang w:val="en-US" w:eastAsia="zh-CN" w:bidi="ar-SA"/>
    </w:rPr>
  </w:style>
  <w:style w:type="character" w:customStyle="1" w:styleId="46">
    <w:name w:val="正文文本缩进 字符"/>
    <w:link w:val="11"/>
    <w:qFormat/>
    <w:uiPriority w:val="0"/>
    <w:rPr>
      <w:rFonts w:eastAsia="仿宋_GB2312"/>
      <w:kern w:val="2"/>
      <w:sz w:val="32"/>
      <w:lang w:val="en-US" w:eastAsia="zh-CN" w:bidi="ar-SA"/>
    </w:rPr>
  </w:style>
  <w:style w:type="character" w:customStyle="1" w:styleId="47">
    <w:name w:val="纯文本 字符"/>
    <w:link w:val="13"/>
    <w:qFormat/>
    <w:uiPriority w:val="99"/>
    <w:rPr>
      <w:rFonts w:ascii="宋体" w:hAnsi="Courier New" w:cs="Courier New"/>
      <w:kern w:val="2"/>
      <w:sz w:val="21"/>
      <w:szCs w:val="21"/>
    </w:rPr>
  </w:style>
  <w:style w:type="character" w:customStyle="1" w:styleId="48">
    <w:name w:val="日期 字符"/>
    <w:link w:val="14"/>
    <w:qFormat/>
    <w:uiPriority w:val="0"/>
    <w:rPr>
      <w:rFonts w:eastAsia="仿宋_GB2312"/>
      <w:kern w:val="2"/>
      <w:sz w:val="28"/>
      <w:lang w:val="en-US" w:eastAsia="zh-CN" w:bidi="ar-SA"/>
    </w:rPr>
  </w:style>
  <w:style w:type="character" w:customStyle="1" w:styleId="49">
    <w:name w:val="批注框文本 字符"/>
    <w:link w:val="15"/>
    <w:qFormat/>
    <w:uiPriority w:val="0"/>
    <w:rPr>
      <w:rFonts w:eastAsia="宋体"/>
      <w:kern w:val="2"/>
      <w:sz w:val="18"/>
      <w:szCs w:val="18"/>
      <w:lang w:val="en-US" w:eastAsia="zh-CN" w:bidi="ar-SA"/>
    </w:rPr>
  </w:style>
  <w:style w:type="character" w:customStyle="1" w:styleId="50">
    <w:name w:val="页脚 字符"/>
    <w:link w:val="16"/>
    <w:qFormat/>
    <w:uiPriority w:val="0"/>
    <w:rPr>
      <w:rFonts w:ascii="Calibri" w:hAnsi="Calibri" w:eastAsia="宋体"/>
      <w:kern w:val="2"/>
      <w:sz w:val="18"/>
      <w:szCs w:val="18"/>
      <w:lang w:val="en-US" w:eastAsia="zh-CN" w:bidi="ar-SA"/>
    </w:rPr>
  </w:style>
  <w:style w:type="character" w:customStyle="1" w:styleId="51">
    <w:name w:val="页眉 字符"/>
    <w:link w:val="17"/>
    <w:qFormat/>
    <w:uiPriority w:val="0"/>
    <w:rPr>
      <w:rFonts w:ascii="Calibri" w:hAnsi="Calibri" w:eastAsia="宋体"/>
      <w:kern w:val="2"/>
      <w:sz w:val="18"/>
      <w:szCs w:val="18"/>
      <w:lang w:val="en-US" w:eastAsia="zh-CN" w:bidi="ar-SA"/>
    </w:rPr>
  </w:style>
  <w:style w:type="character" w:customStyle="1" w:styleId="52">
    <w:name w:val="批注主题 字符"/>
    <w:link w:val="20"/>
    <w:qFormat/>
    <w:uiPriority w:val="0"/>
    <w:rPr>
      <w:rFonts w:ascii="Calibri" w:hAnsi="Calibri"/>
      <w:b/>
      <w:bCs/>
      <w:kern w:val="2"/>
      <w:sz w:val="21"/>
      <w:szCs w:val="22"/>
    </w:rPr>
  </w:style>
  <w:style w:type="character" w:customStyle="1" w:styleId="53">
    <w:name w:val="font21"/>
    <w:basedOn w:val="23"/>
    <w:qFormat/>
    <w:uiPriority w:val="0"/>
    <w:rPr>
      <w:rFonts w:hint="default" w:ascii="Times New Roman" w:hAnsi="Times New Roman" w:cs="Times New Roman"/>
      <w:color w:val="000000"/>
      <w:sz w:val="22"/>
      <w:szCs w:val="22"/>
      <w:u w:val="none"/>
    </w:rPr>
  </w:style>
  <w:style w:type="character" w:customStyle="1" w:styleId="54">
    <w:name w:val="font01"/>
    <w:qFormat/>
    <w:uiPriority w:val="0"/>
    <w:rPr>
      <w:rFonts w:hint="eastAsia" w:ascii="宋体" w:hAnsi="宋体" w:eastAsia="宋体" w:cs="宋体"/>
      <w:color w:val="000000"/>
      <w:sz w:val="22"/>
      <w:szCs w:val="22"/>
      <w:u w:val="none"/>
    </w:rPr>
  </w:style>
  <w:style w:type="character" w:customStyle="1" w:styleId="55">
    <w:name w:val="font31"/>
    <w:basedOn w:val="23"/>
    <w:qFormat/>
    <w:uiPriority w:val="0"/>
    <w:rPr>
      <w:rFonts w:hint="eastAsia" w:ascii="宋体" w:hAnsi="宋体" w:eastAsia="宋体" w:cs="宋体"/>
      <w:color w:val="000000"/>
      <w:sz w:val="22"/>
      <w:szCs w:val="22"/>
      <w:u w:val="none"/>
    </w:rPr>
  </w:style>
  <w:style w:type="character" w:customStyle="1" w:styleId="56">
    <w:name w:val="样式2 字符"/>
    <w:link w:val="30"/>
    <w:qFormat/>
    <w:uiPriority w:val="0"/>
    <w:rPr>
      <w:rFonts w:ascii="宋体" w:hAnsi="宋体"/>
      <w:kern w:val="2"/>
      <w:szCs w:val="22"/>
    </w:rPr>
  </w:style>
  <w:style w:type="character" w:customStyle="1" w:styleId="57">
    <w:name w:val="font11"/>
    <w:qFormat/>
    <w:uiPriority w:val="0"/>
    <w:rPr>
      <w:rFonts w:ascii="宋体" w:hAnsi="宋体" w:eastAsia="宋体" w:cs="宋体"/>
      <w:color w:val="000000"/>
      <w:sz w:val="40"/>
      <w:szCs w:val="40"/>
      <w:u w:val="none"/>
    </w:rPr>
  </w:style>
  <w:style w:type="character" w:customStyle="1" w:styleId="58">
    <w:name w:val="消息标题标签"/>
    <w:qFormat/>
    <w:uiPriority w:val="0"/>
    <w:rPr>
      <w:rFonts w:ascii="Arial" w:hAnsi="Arial"/>
      <w:b/>
      <w:spacing w:val="-4"/>
      <w:sz w:val="18"/>
      <w:lang w:eastAsia="zh-CN"/>
    </w:rPr>
  </w:style>
  <w:style w:type="character" w:customStyle="1" w:styleId="59">
    <w:name w:val="font51"/>
    <w:basedOn w:val="23"/>
    <w:qFormat/>
    <w:uiPriority w:val="0"/>
    <w:rPr>
      <w:rFonts w:hint="default" w:ascii="Times New Roman" w:hAnsi="Times New Roman" w:cs="Times New Roman"/>
      <w:color w:val="000000"/>
      <w:sz w:val="20"/>
      <w:szCs w:val="20"/>
      <w:u w:val="none"/>
    </w:rPr>
  </w:style>
  <w:style w:type="character" w:customStyle="1" w:styleId="60">
    <w:name w:val="font41"/>
    <w:basedOn w:val="23"/>
    <w:qFormat/>
    <w:uiPriority w:val="0"/>
    <w:rPr>
      <w:rFonts w:ascii="font-weight : 400" w:hAnsi="font-weight : 400" w:eastAsia="font-weight : 400" w:cs="font-weight : 400"/>
      <w:color w:val="FF0000"/>
      <w:sz w:val="20"/>
      <w:szCs w:val="20"/>
      <w:u w:val="none"/>
    </w:rPr>
  </w:style>
  <w:style w:type="character" w:customStyle="1" w:styleId="61">
    <w:name w:val="font71"/>
    <w:basedOn w:val="23"/>
    <w:qFormat/>
    <w:uiPriority w:val="0"/>
    <w:rPr>
      <w:rFonts w:hint="default" w:ascii="font-weight : 400" w:hAnsi="font-weight : 400" w:eastAsia="font-weight : 400" w:cs="font-weight : 400"/>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46</Pages>
  <Words>6557</Words>
  <Characters>7311</Characters>
  <Lines>241</Lines>
  <Paragraphs>67</Paragraphs>
  <TotalTime>11</TotalTime>
  <ScaleCrop>false</ScaleCrop>
  <LinksUpToDate>false</LinksUpToDate>
  <CharactersWithSpaces>7640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2024-03-09T05:34:00Z</dcterms:created>
  <dc:creator>薛化军</dc:creator>
  <cp:lastModifiedBy>郑</cp:lastModifiedBy>
  <cp:lastPrinted>2023-11-02T08:16:00Z</cp:lastPrinted>
  <dcterms:modified xsi:type="dcterms:W3CDTF">2025-10-30T00:04:02Z</dcterms:modified>
  <dc:title>招  标  文  件</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D81F515529B14BEF95AB4FE6CCF6A3B4_13</vt:lpwstr>
  </property>
  <property fmtid="{D5CDD505-2E9C-101B-9397-08002B2CF9AE}" pid="4" name="KSOTemplateDocerSaveRecord">
    <vt:lpwstr>eyJoZGlkIjoiNGYzZDczNmVlNzkzYzdlODU2NjIwYTQwNzNlN2Y5YzQiLCJ1c2VySWQiOiI1NjkxMjc2OTEifQ==</vt:lpwstr>
  </property>
</Properties>
</file>