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93FD1">
      <w:pPr>
        <w:jc w:val="center"/>
        <w:rPr>
          <w:rFonts w:ascii="楷体_GB2312" w:eastAsia="楷体_GB2312"/>
          <w:b/>
          <w:sz w:val="48"/>
          <w:szCs w:val="48"/>
        </w:rPr>
      </w:pPr>
    </w:p>
    <w:p w14:paraId="2424C153">
      <w:pPr>
        <w:jc w:val="center"/>
        <w:rPr>
          <w:rFonts w:ascii="楷体_GB2312" w:eastAsia="楷体_GB2312"/>
          <w:b/>
          <w:sz w:val="48"/>
          <w:szCs w:val="48"/>
        </w:rPr>
      </w:pPr>
    </w:p>
    <w:p w14:paraId="551DA8F7">
      <w:pPr>
        <w:spacing w:line="560" w:lineRule="exact"/>
        <w:jc w:val="center"/>
        <w:rPr>
          <w:rFonts w:hint="default" w:ascii="楷体_GB2312" w:eastAsia="楷体_GB2312"/>
          <w:sz w:val="28"/>
          <w:szCs w:val="28"/>
          <w:lang w:val="en-US" w:eastAsia="zh-CN"/>
        </w:rPr>
      </w:pPr>
      <w:r>
        <w:rPr>
          <w:rFonts w:hint="eastAsia" w:ascii="楷体_GB2312" w:eastAsia="楷体_GB2312"/>
          <w:sz w:val="44"/>
          <w:szCs w:val="44"/>
          <w:lang w:val="en-US" w:eastAsia="zh-CN"/>
        </w:rPr>
        <w:t>2026年钢瓶爆破片竞价文件</w:t>
      </w:r>
    </w:p>
    <w:p w14:paraId="6CE0FA99">
      <w:pPr>
        <w:spacing w:line="560" w:lineRule="exact"/>
        <w:ind w:left="2409" w:leftChars="267" w:hanging="1848" w:hangingChars="660"/>
        <w:rPr>
          <w:rFonts w:ascii="楷体_GB2312" w:eastAsia="楷体_GB2312"/>
          <w:sz w:val="28"/>
          <w:szCs w:val="28"/>
        </w:rPr>
      </w:pPr>
    </w:p>
    <w:p w14:paraId="74D527C5">
      <w:pPr>
        <w:spacing w:line="560" w:lineRule="exact"/>
        <w:ind w:left="2409" w:leftChars="267" w:hanging="1848" w:hangingChars="660"/>
        <w:rPr>
          <w:rFonts w:ascii="楷体_GB2312" w:eastAsia="楷体_GB2312"/>
          <w:sz w:val="28"/>
          <w:szCs w:val="28"/>
        </w:rPr>
      </w:pPr>
    </w:p>
    <w:p w14:paraId="2CA80FD5">
      <w:pPr>
        <w:spacing w:line="560" w:lineRule="exact"/>
        <w:ind w:left="2409" w:leftChars="267" w:hanging="1848" w:hangingChars="660"/>
        <w:rPr>
          <w:rFonts w:ascii="楷体_GB2312" w:eastAsia="楷体_GB2312"/>
          <w:sz w:val="28"/>
          <w:szCs w:val="28"/>
        </w:rPr>
      </w:pPr>
      <w:r>
        <w:rPr>
          <w:rFonts w:hint="eastAsia" w:ascii="楷体_GB2312" w:eastAsia="楷体_GB2312"/>
          <w:sz w:val="28"/>
          <w:szCs w:val="28"/>
        </w:rPr>
        <w:t>项 目 名 称：</w:t>
      </w:r>
      <w:r>
        <w:rPr>
          <w:rFonts w:hint="eastAsia" w:ascii="楷体_GB2312" w:hAnsi="宋体" w:eastAsia="楷体_GB2312"/>
          <w:sz w:val="28"/>
          <w:szCs w:val="28"/>
        </w:rPr>
        <w:t>浙江巨程钢瓶有限公司</w:t>
      </w:r>
      <w:r>
        <w:rPr>
          <w:rFonts w:hint="eastAsia" w:ascii="楷体_GB2312" w:eastAsia="楷体_GB2312"/>
          <w:sz w:val="28"/>
          <w:szCs w:val="28"/>
        </w:rPr>
        <w:t>非重复充装钢瓶用爆破片</w:t>
      </w:r>
      <w:r>
        <w:rPr>
          <w:rFonts w:hint="eastAsia" w:ascii="楷体_GB2312" w:hAnsi="宋体" w:eastAsia="楷体_GB2312"/>
          <w:sz w:val="28"/>
          <w:szCs w:val="28"/>
        </w:rPr>
        <w:t>采</w:t>
      </w:r>
      <w:r>
        <w:rPr>
          <w:rFonts w:hint="eastAsia" w:ascii="楷体_GB2312" w:eastAsia="楷体_GB2312"/>
          <w:sz w:val="28"/>
          <w:szCs w:val="28"/>
        </w:rPr>
        <w:t>购</w:t>
      </w:r>
    </w:p>
    <w:p w14:paraId="5F74465B">
      <w:pPr>
        <w:spacing w:line="560" w:lineRule="exact"/>
        <w:ind w:firstLine="555"/>
        <w:rPr>
          <w:rFonts w:ascii="楷体_GB2312" w:hAnsi="宋体" w:eastAsia="楷体_GB2312"/>
          <w:sz w:val="28"/>
          <w:szCs w:val="28"/>
        </w:rPr>
      </w:pPr>
      <w:r>
        <w:rPr>
          <w:rFonts w:hint="eastAsia" w:ascii="楷体_GB2312" w:eastAsia="楷体_GB2312"/>
          <w:spacing w:val="17"/>
          <w:kern w:val="0"/>
          <w:sz w:val="28"/>
          <w:szCs w:val="28"/>
          <w:fitText w:val="1540" w:id="-1941169664"/>
        </w:rPr>
        <w:t>标的物名</w:t>
      </w:r>
      <w:r>
        <w:rPr>
          <w:rFonts w:hint="eastAsia" w:ascii="楷体_GB2312" w:eastAsia="楷体_GB2312"/>
          <w:spacing w:val="2"/>
          <w:kern w:val="0"/>
          <w:sz w:val="28"/>
          <w:szCs w:val="28"/>
          <w:fitText w:val="1540" w:id="-1941169664"/>
        </w:rPr>
        <w:t>称</w:t>
      </w:r>
      <w:r>
        <w:rPr>
          <w:rFonts w:hint="eastAsia" w:ascii="楷体_GB2312" w:eastAsia="楷体_GB2312"/>
          <w:sz w:val="28"/>
          <w:szCs w:val="28"/>
        </w:rPr>
        <w:t>：</w:t>
      </w:r>
      <w:r>
        <w:rPr>
          <w:rFonts w:hint="eastAsia" w:ascii="楷体_GB2312" w:hAnsi="宋体" w:eastAsia="楷体_GB2312"/>
          <w:sz w:val="28"/>
          <w:szCs w:val="28"/>
        </w:rPr>
        <w:t>浙江巨程钢瓶有限公司202</w:t>
      </w:r>
      <w:r>
        <w:rPr>
          <w:rFonts w:hint="eastAsia" w:ascii="楷体_GB2312" w:hAnsi="宋体" w:eastAsia="楷体_GB2312"/>
          <w:sz w:val="28"/>
          <w:szCs w:val="28"/>
          <w:lang w:val="en-US" w:eastAsia="zh-CN"/>
        </w:rPr>
        <w:t>6</w:t>
      </w:r>
      <w:r>
        <w:rPr>
          <w:rFonts w:hint="eastAsia" w:ascii="楷体_GB2312" w:hAnsi="宋体" w:eastAsia="楷体_GB2312"/>
          <w:sz w:val="28"/>
          <w:szCs w:val="28"/>
        </w:rPr>
        <w:t>年</w:t>
      </w:r>
      <w:r>
        <w:rPr>
          <w:rFonts w:hint="eastAsia" w:ascii="楷体_GB2312" w:eastAsia="楷体_GB2312"/>
          <w:sz w:val="28"/>
          <w:szCs w:val="28"/>
        </w:rPr>
        <w:t>非重复充装钢瓶用爆破片</w:t>
      </w:r>
    </w:p>
    <w:p w14:paraId="0724A897">
      <w:pPr>
        <w:spacing w:line="560" w:lineRule="exact"/>
        <w:rPr>
          <w:rFonts w:ascii="楷体_GB2312" w:eastAsia="楷体_GB2312"/>
          <w:sz w:val="28"/>
        </w:rPr>
      </w:pPr>
      <w:r>
        <w:rPr>
          <w:rFonts w:hint="eastAsia" w:ascii="楷体_GB2312" w:eastAsia="楷体_GB2312"/>
          <w:sz w:val="28"/>
        </w:rPr>
        <w:t xml:space="preserve">                 </w:t>
      </w:r>
    </w:p>
    <w:p w14:paraId="50CAFEC9">
      <w:pPr>
        <w:spacing w:line="560" w:lineRule="exact"/>
        <w:rPr>
          <w:rFonts w:ascii="楷体_GB2312" w:eastAsia="楷体_GB2312"/>
          <w:sz w:val="28"/>
        </w:rPr>
      </w:pPr>
    </w:p>
    <w:p w14:paraId="37F9B0F4">
      <w:pPr>
        <w:spacing w:line="560" w:lineRule="exact"/>
        <w:rPr>
          <w:rFonts w:ascii="楷体_GB2312" w:eastAsia="楷体_GB2312"/>
          <w:sz w:val="28"/>
        </w:rPr>
      </w:pPr>
    </w:p>
    <w:p w14:paraId="4AD75E54">
      <w:pPr>
        <w:spacing w:line="560" w:lineRule="exact"/>
        <w:rPr>
          <w:rFonts w:ascii="楷体_GB2312" w:eastAsia="楷体_GB2312"/>
          <w:sz w:val="28"/>
        </w:rPr>
      </w:pPr>
    </w:p>
    <w:p w14:paraId="392065AA">
      <w:pPr>
        <w:spacing w:line="560" w:lineRule="exact"/>
        <w:rPr>
          <w:rFonts w:ascii="楷体_GB2312" w:eastAsia="楷体_GB2312"/>
          <w:sz w:val="28"/>
        </w:rPr>
      </w:pPr>
    </w:p>
    <w:p w14:paraId="50022A7A">
      <w:pPr>
        <w:spacing w:line="560" w:lineRule="exact"/>
        <w:rPr>
          <w:rFonts w:ascii="楷体_GB2312" w:eastAsia="楷体_GB2312"/>
          <w:sz w:val="28"/>
        </w:rPr>
      </w:pPr>
    </w:p>
    <w:p w14:paraId="72055023">
      <w:pPr>
        <w:spacing w:line="560" w:lineRule="exact"/>
        <w:rPr>
          <w:rFonts w:ascii="楷体_GB2312" w:eastAsia="楷体_GB2312"/>
          <w:sz w:val="28"/>
        </w:rPr>
      </w:pPr>
    </w:p>
    <w:p w14:paraId="3CB7BDBE">
      <w:pPr>
        <w:spacing w:line="560" w:lineRule="exact"/>
        <w:rPr>
          <w:rFonts w:ascii="楷体_GB2312" w:eastAsia="楷体_GB2312"/>
          <w:sz w:val="28"/>
        </w:rPr>
      </w:pPr>
    </w:p>
    <w:p w14:paraId="730F5DB8">
      <w:pPr>
        <w:spacing w:line="560" w:lineRule="exact"/>
        <w:rPr>
          <w:rFonts w:ascii="楷体_GB2312" w:eastAsia="楷体_GB2312"/>
          <w:sz w:val="28"/>
        </w:rPr>
      </w:pPr>
    </w:p>
    <w:p w14:paraId="39ACAB25">
      <w:pPr>
        <w:spacing w:line="560" w:lineRule="exact"/>
        <w:rPr>
          <w:rFonts w:ascii="楷体_GB2312" w:eastAsia="楷体_GB2312"/>
          <w:sz w:val="28"/>
        </w:rPr>
      </w:pPr>
    </w:p>
    <w:p w14:paraId="49D5FFF4">
      <w:pPr>
        <w:spacing w:line="560" w:lineRule="exact"/>
        <w:rPr>
          <w:rFonts w:ascii="楷体_GB2312" w:eastAsia="楷体_GB2312"/>
          <w:sz w:val="28"/>
        </w:rPr>
      </w:pPr>
    </w:p>
    <w:p w14:paraId="6F45C197">
      <w:pPr>
        <w:spacing w:line="560" w:lineRule="exact"/>
        <w:rPr>
          <w:rFonts w:ascii="楷体_GB2312" w:eastAsia="楷体_GB2312"/>
          <w:sz w:val="28"/>
        </w:rPr>
      </w:pPr>
    </w:p>
    <w:p w14:paraId="671AF3DC">
      <w:pPr>
        <w:spacing w:line="560" w:lineRule="exact"/>
        <w:jc w:val="center"/>
        <w:rPr>
          <w:rFonts w:ascii="楷体_GB2312" w:eastAsia="楷体_GB2312"/>
          <w:sz w:val="28"/>
          <w:szCs w:val="28"/>
        </w:rPr>
      </w:pPr>
      <w:r>
        <w:rPr>
          <w:rFonts w:hint="eastAsia" w:ascii="楷体_GB2312" w:eastAsia="楷体_GB2312"/>
          <w:sz w:val="28"/>
          <w:szCs w:val="28"/>
        </w:rPr>
        <w:t xml:space="preserve">   </w:t>
      </w:r>
      <w:r>
        <w:rPr>
          <w:rFonts w:hint="eastAsia" w:ascii="楷体_GB2312" w:eastAsia="楷体_GB2312"/>
          <w:sz w:val="28"/>
          <w:szCs w:val="28"/>
          <w:lang w:eastAsia="zh-CN"/>
        </w:rPr>
        <w:t>采购人</w:t>
      </w:r>
      <w:r>
        <w:rPr>
          <w:rFonts w:hint="eastAsia" w:ascii="楷体_GB2312" w:eastAsia="楷体_GB2312"/>
          <w:sz w:val="28"/>
          <w:szCs w:val="28"/>
        </w:rPr>
        <w:t>：</w:t>
      </w:r>
      <w:r>
        <w:rPr>
          <w:rFonts w:hint="eastAsia" w:ascii="楷体_GB2312" w:hAnsi="宋体" w:eastAsia="楷体_GB2312"/>
          <w:sz w:val="28"/>
          <w:szCs w:val="28"/>
        </w:rPr>
        <w:t>浙江巨程钢瓶有限公司</w:t>
      </w:r>
    </w:p>
    <w:p w14:paraId="5BD028C0">
      <w:pPr>
        <w:spacing w:line="560" w:lineRule="exact"/>
        <w:ind w:firstLine="1559" w:firstLineChars="557"/>
        <w:jc w:val="left"/>
        <w:rPr>
          <w:rFonts w:ascii="楷体_GB2312" w:eastAsia="楷体_GB2312"/>
          <w:sz w:val="28"/>
          <w:szCs w:val="28"/>
        </w:rPr>
      </w:pPr>
    </w:p>
    <w:p w14:paraId="7964F3CF">
      <w:pPr>
        <w:spacing w:line="560" w:lineRule="exact"/>
        <w:jc w:val="center"/>
        <w:rPr>
          <w:rFonts w:ascii="楷体_GB2312" w:hAnsi="宋体" w:eastAsia="楷体_GB2312"/>
          <w:sz w:val="28"/>
          <w:szCs w:val="28"/>
        </w:rPr>
        <w:sectPr>
          <w:headerReference r:id="rId3" w:type="default"/>
          <w:footnotePr>
            <w:numRestart w:val="eachPage"/>
          </w:footnotePr>
          <w:endnotePr>
            <w:numRestart w:val="eachSect"/>
          </w:endnotePr>
          <w:pgSz w:w="11907" w:h="16840"/>
          <w:pgMar w:top="1418" w:right="1418" w:bottom="1418" w:left="1644" w:header="851" w:footer="992" w:gutter="0"/>
          <w:pgNumType w:start="1"/>
          <w:cols w:space="720" w:num="1"/>
        </w:sectPr>
      </w:pPr>
      <w:r>
        <w:rPr>
          <w:rFonts w:hint="eastAsia" w:ascii="楷体_GB2312" w:hAnsi="宋体" w:eastAsia="楷体_GB2312"/>
          <w:sz w:val="28"/>
          <w:szCs w:val="28"/>
        </w:rPr>
        <w:t>二</w:t>
      </w:r>
      <w:r>
        <w:rPr>
          <w:rFonts w:hint="eastAsia" w:ascii="楷体_GB2312" w:eastAsia="楷体_GB2312"/>
          <w:kern w:val="0"/>
          <w:sz w:val="28"/>
          <w:szCs w:val="28"/>
        </w:rPr>
        <w:t>O</w:t>
      </w:r>
      <w:r>
        <w:rPr>
          <w:rFonts w:hint="eastAsia" w:ascii="楷体_GB2312" w:hAnsi="宋体" w:eastAsia="楷体_GB2312"/>
          <w:sz w:val="28"/>
          <w:szCs w:val="28"/>
        </w:rPr>
        <w:t>二</w:t>
      </w:r>
      <w:r>
        <w:rPr>
          <w:rFonts w:hint="eastAsia" w:ascii="楷体_GB2312" w:hAnsi="宋体" w:eastAsia="楷体_GB2312"/>
          <w:sz w:val="28"/>
          <w:szCs w:val="28"/>
          <w:lang w:val="en-US" w:eastAsia="zh-CN"/>
        </w:rPr>
        <w:t>五</w:t>
      </w:r>
      <w:r>
        <w:rPr>
          <w:rFonts w:hint="eastAsia" w:ascii="楷体_GB2312" w:hAnsi="宋体" w:eastAsia="楷体_GB2312"/>
          <w:sz w:val="28"/>
          <w:szCs w:val="28"/>
        </w:rPr>
        <w:t>年</w:t>
      </w:r>
      <w:r>
        <w:rPr>
          <w:rFonts w:hint="eastAsia" w:ascii="楷体_GB2312" w:hAnsi="宋体" w:eastAsia="楷体_GB2312"/>
          <w:sz w:val="28"/>
          <w:szCs w:val="28"/>
          <w:lang w:val="en-US" w:eastAsia="zh-CN"/>
        </w:rPr>
        <w:t>十</w:t>
      </w:r>
      <w:r>
        <w:rPr>
          <w:rFonts w:hint="eastAsia" w:ascii="楷体_GB2312" w:hAnsi="宋体" w:eastAsia="楷体_GB2312"/>
          <w:sz w:val="28"/>
          <w:szCs w:val="28"/>
        </w:rPr>
        <w:t>月</w:t>
      </w:r>
    </w:p>
    <w:p w14:paraId="1B9486EE">
      <w:pPr>
        <w:widowControl/>
        <w:spacing w:before="75" w:after="75"/>
        <w:jc w:val="center"/>
        <w:textAlignment w:val="center"/>
        <w:rPr>
          <w:rFonts w:hint="eastAsia" w:ascii="font-size:11pt;" w:hAnsi="font-size:11pt;" w:eastAsia="font-size:11pt;" w:cs="font-size:11pt;"/>
          <w:kern w:val="0"/>
          <w:szCs w:val="21"/>
          <w:lang w:bidi="ar"/>
        </w:rPr>
      </w:pPr>
      <w:r>
        <w:rPr>
          <w:rFonts w:ascii="font-size:11pt;" w:hAnsi="font-size:11pt;" w:eastAsia="font-size:11pt;" w:cs="font-size:11pt;"/>
          <w:b/>
          <w:bCs/>
          <w:kern w:val="0"/>
          <w:sz w:val="30"/>
          <w:szCs w:val="30"/>
          <w:lang w:bidi="ar"/>
        </w:rPr>
        <w:t>第一章   竞价公告</w:t>
      </w:r>
    </w:p>
    <w:p w14:paraId="3F09130F">
      <w:pPr>
        <w:spacing w:line="560" w:lineRule="exact"/>
        <w:ind w:firstLine="420"/>
        <w:rPr>
          <w:rFonts w:ascii="宋体" w:hAnsi="宋体"/>
          <w:kern w:val="144"/>
          <w:szCs w:val="21"/>
        </w:rPr>
      </w:pPr>
      <w:r>
        <w:rPr>
          <w:rFonts w:hint="eastAsia" w:ascii="宋体" w:hAnsi="宋体"/>
          <w:kern w:val="144"/>
          <w:szCs w:val="21"/>
        </w:rPr>
        <w:t>因</w:t>
      </w:r>
      <w:r>
        <w:rPr>
          <w:rFonts w:hint="eastAsia" w:ascii="宋体" w:hAnsi="宋体" w:cs="Tahoma"/>
          <w:color w:val="000000"/>
          <w:szCs w:val="21"/>
          <w:lang w:eastAsia="zh-CN"/>
        </w:rPr>
        <w:t>采购人</w:t>
      </w:r>
      <w:r>
        <w:rPr>
          <w:rFonts w:hint="eastAsia" w:ascii="宋体" w:hAnsi="宋体"/>
          <w:kern w:val="144"/>
          <w:szCs w:val="21"/>
        </w:rPr>
        <w:t>生产需要，</w:t>
      </w:r>
      <w:r>
        <w:rPr>
          <w:rFonts w:hint="eastAsia" w:asciiTheme="minorEastAsia" w:hAnsiTheme="minorEastAsia" w:eastAsiaTheme="minorEastAsia"/>
          <w:kern w:val="144"/>
          <w:szCs w:val="21"/>
        </w:rPr>
        <w:t>对</w:t>
      </w:r>
      <w:r>
        <w:rPr>
          <w:rFonts w:hint="eastAsia" w:ascii="宋体" w:hAnsi="宋体"/>
          <w:kern w:val="144"/>
          <w:szCs w:val="21"/>
        </w:rPr>
        <w:t>202</w:t>
      </w:r>
      <w:r>
        <w:rPr>
          <w:rFonts w:hint="eastAsia" w:ascii="宋体" w:hAnsi="宋体"/>
          <w:kern w:val="144"/>
          <w:szCs w:val="21"/>
          <w:lang w:val="en-US" w:eastAsia="zh-CN"/>
        </w:rPr>
        <w:t>6</w:t>
      </w:r>
      <w:r>
        <w:rPr>
          <w:rFonts w:hint="eastAsia" w:ascii="宋体" w:hAnsi="宋体"/>
          <w:kern w:val="144"/>
          <w:szCs w:val="21"/>
        </w:rPr>
        <w:t>年非重复充装钢瓶用爆破片进行</w:t>
      </w:r>
      <w:r>
        <w:rPr>
          <w:rFonts w:hint="eastAsia" w:ascii="宋体" w:hAnsi="宋体"/>
          <w:kern w:val="144"/>
          <w:szCs w:val="21"/>
          <w:lang w:val="en-US" w:eastAsia="zh-CN"/>
        </w:rPr>
        <w:t>竞价</w:t>
      </w:r>
      <w:r>
        <w:rPr>
          <w:rFonts w:hint="eastAsia" w:ascii="宋体" w:hAnsi="宋体"/>
          <w:kern w:val="144"/>
          <w:szCs w:val="21"/>
        </w:rPr>
        <w:t>采购，现将有关事宜公告如下：</w:t>
      </w:r>
      <w:r>
        <w:rPr>
          <w:rFonts w:ascii="宋体" w:hAnsi="宋体"/>
          <w:kern w:val="144"/>
          <w:szCs w:val="21"/>
        </w:rPr>
        <w:t xml:space="preserve"> </w:t>
      </w:r>
    </w:p>
    <w:p w14:paraId="5A7232A2">
      <w:pPr>
        <w:spacing w:line="560" w:lineRule="exact"/>
        <w:rPr>
          <w:rFonts w:ascii="宋体" w:hAnsi="宋体"/>
          <w:kern w:val="144"/>
          <w:szCs w:val="21"/>
        </w:rPr>
      </w:pPr>
      <w:r>
        <w:rPr>
          <w:rFonts w:hint="eastAsia" w:ascii="宋体" w:hAnsi="宋体"/>
          <w:kern w:val="144"/>
          <w:szCs w:val="21"/>
          <w:lang w:val="en-US" w:eastAsia="zh-CN"/>
        </w:rPr>
        <w:t>1.</w:t>
      </w:r>
      <w:r>
        <w:rPr>
          <w:rFonts w:hint="eastAsia" w:ascii="宋体" w:hAnsi="宋体"/>
          <w:kern w:val="144"/>
          <w:szCs w:val="21"/>
        </w:rPr>
        <w:t>招标内容：非重复充装钢瓶用爆破片；详见招标文件。</w:t>
      </w:r>
    </w:p>
    <w:p w14:paraId="1A3412C5">
      <w:pPr>
        <w:numPr>
          <w:ilvl w:val="0"/>
          <w:numId w:val="0"/>
        </w:numPr>
        <w:spacing w:line="360" w:lineRule="exact"/>
        <w:ind w:leftChars="0"/>
        <w:rPr>
          <w:rFonts w:ascii="宋体" w:hAnsi="宋体"/>
          <w:kern w:val="144"/>
          <w:szCs w:val="21"/>
        </w:rPr>
      </w:pPr>
      <w:r>
        <w:rPr>
          <w:rFonts w:hint="eastAsia" w:ascii="宋体" w:hAnsi="宋体"/>
          <w:kern w:val="144"/>
          <w:szCs w:val="21"/>
          <w:lang w:val="en-US" w:eastAsia="zh-CN"/>
        </w:rPr>
        <w:t>2.</w:t>
      </w:r>
      <w:r>
        <w:rPr>
          <w:rFonts w:hint="eastAsia" w:ascii="宋体" w:hAnsi="宋体"/>
          <w:kern w:val="144"/>
          <w:szCs w:val="21"/>
        </w:rPr>
        <w:t>投标人资格标准及要求：</w:t>
      </w:r>
    </w:p>
    <w:p w14:paraId="5D961512">
      <w:pPr>
        <w:spacing w:line="360" w:lineRule="exact"/>
        <w:rPr>
          <w:rFonts w:ascii="宋体" w:hAnsi="宋体"/>
          <w:kern w:val="144"/>
          <w:szCs w:val="21"/>
        </w:rPr>
      </w:pPr>
      <w:r>
        <w:rPr>
          <w:rFonts w:hint="eastAsia"/>
          <w:szCs w:val="21"/>
          <w:lang w:val="en-US" w:eastAsia="zh-CN"/>
        </w:rPr>
        <w:t>2.1</w:t>
      </w:r>
      <w:r>
        <w:rPr>
          <w:rFonts w:hint="eastAsia" w:ascii="宋体" w:hAnsi="宋体"/>
          <w:kern w:val="144"/>
          <w:szCs w:val="21"/>
        </w:rPr>
        <w:t>投标人为独立法人，取得爆破片制造许可的制造厂家，202</w:t>
      </w:r>
      <w:r>
        <w:rPr>
          <w:rFonts w:hint="eastAsia" w:ascii="宋体" w:hAnsi="宋体"/>
          <w:kern w:val="144"/>
          <w:szCs w:val="21"/>
          <w:lang w:val="en-US" w:eastAsia="zh-CN"/>
        </w:rPr>
        <w:t>4</w:t>
      </w:r>
      <w:r>
        <w:rPr>
          <w:rFonts w:hint="eastAsia" w:ascii="宋体" w:hAnsi="宋体"/>
          <w:kern w:val="144"/>
          <w:szCs w:val="21"/>
        </w:rPr>
        <w:t>年度爆破片销售额</w:t>
      </w:r>
      <w:r>
        <w:rPr>
          <w:rFonts w:hint="eastAsia" w:ascii="宋体" w:hAnsi="宋体"/>
          <w:color w:val="auto"/>
          <w:kern w:val="144"/>
          <w:szCs w:val="21"/>
        </w:rPr>
        <w:t>500</w:t>
      </w:r>
      <w:r>
        <w:rPr>
          <w:rFonts w:hint="eastAsia" w:ascii="宋体" w:hAnsi="宋体"/>
          <w:kern w:val="144"/>
          <w:szCs w:val="21"/>
        </w:rPr>
        <w:t>万以上。投标单位需提供有效的营业执照、制造许可证明、202</w:t>
      </w:r>
      <w:r>
        <w:rPr>
          <w:rFonts w:hint="eastAsia" w:ascii="宋体" w:hAnsi="宋体"/>
          <w:kern w:val="144"/>
          <w:szCs w:val="21"/>
          <w:lang w:val="en-US" w:eastAsia="zh-CN"/>
        </w:rPr>
        <w:t>4</w:t>
      </w:r>
      <w:r>
        <w:rPr>
          <w:rFonts w:hint="eastAsia" w:ascii="宋体" w:hAnsi="宋体"/>
          <w:kern w:val="144"/>
          <w:szCs w:val="21"/>
        </w:rPr>
        <w:t>年爆破片销售额证明（</w:t>
      </w:r>
      <w:r>
        <w:rPr>
          <w:rFonts w:hint="eastAsia" w:ascii="宋体" w:hAnsi="宋体"/>
          <w:kern w:val="144"/>
          <w:szCs w:val="21"/>
          <w:lang w:val="en-US" w:eastAsia="zh-CN"/>
        </w:rPr>
        <w:t>财务审计报告、</w:t>
      </w:r>
      <w:r>
        <w:rPr>
          <w:rFonts w:hint="eastAsia" w:ascii="宋体" w:hAnsi="宋体"/>
          <w:kern w:val="144"/>
          <w:szCs w:val="21"/>
        </w:rPr>
        <w:t>合同</w:t>
      </w:r>
      <w:r>
        <w:rPr>
          <w:rFonts w:hint="eastAsia" w:ascii="宋体" w:hAnsi="宋体"/>
          <w:color w:val="auto"/>
          <w:kern w:val="144"/>
          <w:szCs w:val="21"/>
        </w:rPr>
        <w:t>和发</w:t>
      </w:r>
      <w:r>
        <w:rPr>
          <w:rFonts w:hint="eastAsia" w:ascii="宋体" w:hAnsi="宋体"/>
          <w:kern w:val="144"/>
          <w:szCs w:val="21"/>
        </w:rPr>
        <w:t>票</w:t>
      </w:r>
      <w:r>
        <w:rPr>
          <w:rFonts w:hint="eastAsia" w:ascii="宋体" w:hAnsi="宋体"/>
          <w:kern w:val="144"/>
          <w:szCs w:val="21"/>
          <w:lang w:val="en-US" w:eastAsia="zh-CN"/>
        </w:rPr>
        <w:t>等</w:t>
      </w:r>
      <w:r>
        <w:rPr>
          <w:rFonts w:hint="eastAsia" w:ascii="宋体" w:hAnsi="宋体"/>
          <w:kern w:val="144"/>
          <w:szCs w:val="21"/>
        </w:rPr>
        <w:t>）。</w:t>
      </w:r>
    </w:p>
    <w:p w14:paraId="49917C83">
      <w:pPr>
        <w:adjustRightInd w:val="0"/>
        <w:snapToGrid w:val="0"/>
        <w:spacing w:line="360" w:lineRule="exact"/>
        <w:rPr>
          <w:rFonts w:hAnsi="宋体"/>
        </w:rPr>
      </w:pPr>
      <w:r>
        <w:rPr>
          <w:rFonts w:hint="eastAsia"/>
          <w:szCs w:val="21"/>
          <w:lang w:val="en-US" w:eastAsia="zh-CN"/>
        </w:rPr>
        <w:t>2.2</w:t>
      </w:r>
      <w:r>
        <w:rPr>
          <w:rFonts w:hint="eastAsia" w:hAnsi="宋体"/>
        </w:rPr>
        <w:t>投标人需具有独立订立并履行合同的能力。</w:t>
      </w:r>
    </w:p>
    <w:p w14:paraId="4AD93C3C">
      <w:pPr>
        <w:spacing w:line="360" w:lineRule="exact"/>
        <w:rPr>
          <w:color w:val="000000" w:themeColor="text1"/>
          <w:szCs w:val="21"/>
          <w14:textFill>
            <w14:solidFill>
              <w14:schemeClr w14:val="tx1"/>
            </w14:solidFill>
          </w14:textFill>
        </w:rPr>
      </w:pPr>
      <w:r>
        <w:rPr>
          <w:rFonts w:hint="eastAsia"/>
          <w:szCs w:val="21"/>
          <w:lang w:val="en-US" w:eastAsia="zh-CN"/>
        </w:rPr>
        <w:t>2.3</w:t>
      </w:r>
      <w:r>
        <w:rPr>
          <w:rFonts w:hint="eastAsia"/>
          <w:szCs w:val="21"/>
        </w:rPr>
        <w:t>若</w:t>
      </w:r>
      <w:r>
        <w:rPr>
          <w:rFonts w:hint="eastAsia"/>
          <w:color w:val="000000" w:themeColor="text1"/>
          <w:szCs w:val="21"/>
          <w14:textFill>
            <w14:solidFill>
              <w14:schemeClr w14:val="tx1"/>
            </w14:solidFill>
          </w14:textFill>
        </w:rPr>
        <w:t>非巨程公司合格供应商中标，应按</w:t>
      </w:r>
      <w:r>
        <w:rPr>
          <w:rFonts w:hint="eastAsia"/>
          <w:color w:val="000000" w:themeColor="text1"/>
          <w:szCs w:val="21"/>
          <w:lang w:eastAsia="zh-CN"/>
          <w14:textFill>
            <w14:solidFill>
              <w14:schemeClr w14:val="tx1"/>
            </w14:solidFill>
          </w14:textFill>
        </w:rPr>
        <w:t>采购人</w:t>
      </w:r>
      <w:r>
        <w:rPr>
          <w:rFonts w:hint="eastAsia"/>
          <w:color w:val="000000" w:themeColor="text1"/>
          <w:szCs w:val="21"/>
          <w14:textFill>
            <w14:solidFill>
              <w14:schemeClr w14:val="tx1"/>
            </w14:solidFill>
          </w14:textFill>
        </w:rPr>
        <w:t>的合格供方评审程序进行现场评审、试用合格后方可按本标书规定的中标份额进行供货 。</w:t>
      </w:r>
    </w:p>
    <w:p w14:paraId="14EDDC7F">
      <w:pPr>
        <w:spacing w:line="360" w:lineRule="exact"/>
        <w:rPr>
          <w:rFonts w:ascii="宋体" w:hAnsi="宋体"/>
          <w:kern w:val="144"/>
          <w:szCs w:val="21"/>
        </w:rPr>
      </w:pPr>
      <w:r>
        <w:rPr>
          <w:rFonts w:hint="eastAsia" w:ascii="宋体" w:hAnsi="宋体"/>
          <w:kern w:val="144"/>
          <w:szCs w:val="21"/>
          <w:lang w:val="en-US" w:eastAsia="zh-CN"/>
        </w:rPr>
        <w:t>2.4</w:t>
      </w:r>
      <w:r>
        <w:rPr>
          <w:rFonts w:hint="eastAsia" w:ascii="宋体" w:hAnsi="宋体"/>
          <w:kern w:val="144"/>
          <w:szCs w:val="21"/>
        </w:rPr>
        <w:t>本次竞价不接受联合体投标。</w:t>
      </w:r>
    </w:p>
    <w:p w14:paraId="59319BF9">
      <w:pPr>
        <w:widowControl/>
        <w:spacing w:before="75" w:after="75"/>
        <w:jc w:val="left"/>
        <w:rPr>
          <w:rFonts w:hint="eastAsia" w:ascii="宋体" w:hAnsi="宋体"/>
          <w:kern w:val="144"/>
          <w:szCs w:val="21"/>
        </w:rPr>
      </w:pPr>
      <w:r>
        <w:rPr>
          <w:rFonts w:hint="eastAsia" w:ascii="宋体" w:hAnsi="宋体"/>
          <w:kern w:val="144"/>
          <w:szCs w:val="21"/>
          <w:lang w:val="en-US" w:eastAsia="zh-CN"/>
        </w:rPr>
        <w:t>3.</w:t>
      </w:r>
      <w:r>
        <w:rPr>
          <w:rFonts w:hint="eastAsia" w:ascii="宋体" w:hAnsi="宋体"/>
          <w:kern w:val="144"/>
          <w:szCs w:val="21"/>
        </w:rPr>
        <w:t>报名方式</w:t>
      </w:r>
    </w:p>
    <w:p w14:paraId="07ECFD0C">
      <w:pPr>
        <w:widowControl/>
        <w:spacing w:before="75" w:after="75"/>
        <w:jc w:val="left"/>
        <w:rPr>
          <w:rFonts w:ascii="宋体" w:hAnsi="宋体"/>
          <w:kern w:val="144"/>
          <w:szCs w:val="21"/>
        </w:rPr>
      </w:pPr>
      <w:r>
        <w:rPr>
          <w:rFonts w:hint="eastAsia" w:ascii="宋体" w:hAnsi="宋体"/>
          <w:kern w:val="144"/>
          <w:szCs w:val="21"/>
        </w:rPr>
        <w:t>凡符合上述资格条件且有意参加招标的独立法人，请于202</w:t>
      </w:r>
      <w:r>
        <w:rPr>
          <w:rFonts w:hint="eastAsia" w:ascii="宋体" w:hAnsi="宋体"/>
          <w:kern w:val="144"/>
          <w:szCs w:val="21"/>
          <w:lang w:val="en-US" w:eastAsia="zh-CN"/>
        </w:rPr>
        <w:t>5</w:t>
      </w:r>
      <w:r>
        <w:rPr>
          <w:rFonts w:hint="eastAsia" w:ascii="宋体" w:hAnsi="宋体"/>
          <w:kern w:val="144"/>
          <w:szCs w:val="21"/>
        </w:rPr>
        <w:t>年</w:t>
      </w:r>
      <w:r>
        <w:rPr>
          <w:rFonts w:hint="eastAsia" w:ascii="宋体" w:hAnsi="宋体"/>
          <w:kern w:val="144"/>
          <w:szCs w:val="21"/>
          <w:lang w:val="en-US" w:eastAsia="zh-CN"/>
        </w:rPr>
        <w:t>10</w:t>
      </w:r>
      <w:r>
        <w:rPr>
          <w:rFonts w:hint="eastAsia" w:ascii="宋体" w:hAnsi="宋体"/>
          <w:kern w:val="144"/>
          <w:szCs w:val="21"/>
        </w:rPr>
        <w:t>月</w:t>
      </w:r>
      <w:r>
        <w:rPr>
          <w:rFonts w:hint="eastAsia" w:ascii="宋体" w:hAnsi="宋体"/>
          <w:kern w:val="144"/>
          <w:szCs w:val="21"/>
          <w:lang w:val="en-US" w:eastAsia="zh-CN"/>
        </w:rPr>
        <w:t>23</w:t>
      </w:r>
      <w:r>
        <w:rPr>
          <w:rFonts w:hint="eastAsia" w:ascii="宋体" w:hAnsi="宋体"/>
          <w:kern w:val="144"/>
          <w:szCs w:val="21"/>
        </w:rPr>
        <w:t>日至202</w:t>
      </w:r>
      <w:r>
        <w:rPr>
          <w:rFonts w:hint="eastAsia" w:ascii="宋体" w:hAnsi="宋体"/>
          <w:kern w:val="144"/>
          <w:szCs w:val="21"/>
          <w:lang w:val="en-US" w:eastAsia="zh-CN"/>
        </w:rPr>
        <w:t>5</w:t>
      </w:r>
      <w:r>
        <w:rPr>
          <w:rFonts w:hint="eastAsia" w:ascii="宋体" w:hAnsi="宋体"/>
          <w:kern w:val="144"/>
          <w:szCs w:val="21"/>
        </w:rPr>
        <w:t>年</w:t>
      </w:r>
      <w:r>
        <w:rPr>
          <w:rFonts w:hint="eastAsia" w:ascii="宋体" w:hAnsi="宋体"/>
          <w:kern w:val="144"/>
          <w:szCs w:val="21"/>
          <w:lang w:val="en-US" w:eastAsia="zh-CN"/>
        </w:rPr>
        <w:t>10</w:t>
      </w:r>
      <w:r>
        <w:rPr>
          <w:rFonts w:hint="eastAsia" w:ascii="宋体" w:hAnsi="宋体"/>
          <w:kern w:val="144"/>
          <w:szCs w:val="21"/>
        </w:rPr>
        <w:t>月</w:t>
      </w:r>
      <w:r>
        <w:rPr>
          <w:rFonts w:hint="eastAsia" w:ascii="宋体" w:hAnsi="宋体"/>
          <w:kern w:val="144"/>
          <w:szCs w:val="21"/>
          <w:lang w:val="en-US" w:eastAsia="zh-CN"/>
        </w:rPr>
        <w:t>30</w:t>
      </w:r>
      <w:r>
        <w:rPr>
          <w:rFonts w:hint="eastAsia" w:ascii="宋体" w:hAnsi="宋体"/>
          <w:kern w:val="144"/>
          <w:szCs w:val="21"/>
        </w:rPr>
        <w:t xml:space="preserve">日, </w:t>
      </w:r>
      <w:r>
        <w:rPr>
          <w:rFonts w:hint="eastAsia" w:ascii="宋体" w:hAnsi="宋体" w:cs="宋体"/>
          <w:szCs w:val="21"/>
        </w:rPr>
        <w:t>到巨化数字化招采平台（https://juhua.ccccnet.com/）</w:t>
      </w:r>
      <w:r>
        <w:rPr>
          <w:rFonts w:hint="eastAsia" w:ascii="宋体" w:hAnsi="宋体"/>
          <w:kern w:val="144"/>
          <w:szCs w:val="21"/>
        </w:rPr>
        <w:t>注册、报名、上传资料,并直接下载招标文件，请投标人在</w:t>
      </w:r>
      <w:r>
        <w:rPr>
          <w:rFonts w:hint="eastAsia" w:ascii="宋体" w:hAnsi="宋体" w:cs="宋体"/>
          <w:color w:val="auto"/>
          <w:szCs w:val="21"/>
        </w:rPr>
        <w:t>巨化数字化招采平台</w:t>
      </w:r>
      <w:r>
        <w:rPr>
          <w:rFonts w:hint="eastAsia" w:ascii="宋体" w:hAnsi="宋体"/>
          <w:kern w:val="144"/>
          <w:szCs w:val="21"/>
        </w:rPr>
        <w:t>报价截止时间前进行网上报价，</w:t>
      </w:r>
      <w:r>
        <w:rPr>
          <w:rFonts w:hint="eastAsia" w:ascii="宋体" w:hAnsi="宋体"/>
          <w:b/>
          <w:kern w:val="144"/>
          <w:szCs w:val="21"/>
        </w:rPr>
        <w:t>招标文件、第2.1条所</w:t>
      </w:r>
      <w:bookmarkStart w:id="21" w:name="_GoBack"/>
      <w:bookmarkEnd w:id="21"/>
      <w:r>
        <w:rPr>
          <w:rFonts w:hint="eastAsia" w:ascii="宋体" w:hAnsi="宋体"/>
          <w:b/>
          <w:kern w:val="144"/>
          <w:szCs w:val="21"/>
        </w:rPr>
        <w:t>要求的证明材料、供应商（服务商）承诺书必须上传。</w:t>
      </w:r>
    </w:p>
    <w:p w14:paraId="3F9622DC">
      <w:pPr>
        <w:numPr>
          <w:ilvl w:val="-1"/>
          <w:numId w:val="0"/>
        </w:numPr>
        <w:spacing w:line="360" w:lineRule="exact"/>
        <w:rPr>
          <w:rFonts w:hint="eastAsia" w:cs="宋体" w:asciiTheme="minorEastAsia" w:hAnsiTheme="minorEastAsia" w:eastAsiaTheme="minorEastAsia"/>
          <w:szCs w:val="21"/>
        </w:rPr>
      </w:pPr>
      <w:r>
        <w:rPr>
          <w:rFonts w:hint="eastAsia" w:ascii="宋体" w:hAnsi="宋体" w:cs="宋体"/>
          <w:szCs w:val="21"/>
          <w:lang w:val="en-US" w:eastAsia="zh-CN"/>
        </w:rPr>
        <w:t>4.</w:t>
      </w:r>
      <w:r>
        <w:rPr>
          <w:rFonts w:hint="eastAsia" w:ascii="宋体" w:hAnsi="宋体" w:cs="宋体"/>
          <w:szCs w:val="21"/>
        </w:rPr>
        <w:t>投标</w:t>
      </w:r>
      <w:r>
        <w:rPr>
          <w:rFonts w:hint="eastAsia" w:ascii="宋体" w:hAnsi="宋体"/>
          <w:kern w:val="0"/>
          <w:szCs w:val="21"/>
        </w:rPr>
        <w:t>时需</w:t>
      </w:r>
      <w:r>
        <w:rPr>
          <w:rFonts w:hint="eastAsia" w:ascii="宋体" w:hAnsi="宋体"/>
          <w:szCs w:val="21"/>
        </w:rPr>
        <w:t>交纳</w:t>
      </w:r>
      <w:r>
        <w:rPr>
          <w:rFonts w:hint="eastAsia" w:ascii="宋体" w:hAnsi="宋体" w:cs="宋体"/>
          <w:szCs w:val="21"/>
        </w:rPr>
        <w:t>投标保证金：</w:t>
      </w:r>
      <w:r>
        <w:rPr>
          <w:rFonts w:hint="eastAsia" w:cs="仿宋" w:asciiTheme="minorEastAsia" w:hAnsiTheme="minorEastAsia" w:eastAsiaTheme="minorEastAsia"/>
          <w:color w:val="000000"/>
          <w:kern w:val="0"/>
          <w:szCs w:val="21"/>
        </w:rPr>
        <w:t>人民币</w:t>
      </w:r>
      <w:r>
        <w:rPr>
          <w:rFonts w:hint="eastAsia" w:cs="宋体" w:asciiTheme="minorEastAsia" w:hAnsiTheme="minorEastAsia" w:eastAsiaTheme="minorEastAsia"/>
          <w:b/>
          <w:szCs w:val="21"/>
        </w:rPr>
        <w:t>壹拾万圆整</w:t>
      </w:r>
      <w:r>
        <w:rPr>
          <w:rFonts w:hint="eastAsia" w:cs="宋体" w:asciiTheme="minorEastAsia" w:hAnsiTheme="minorEastAsia" w:eastAsiaTheme="minorEastAsia"/>
          <w:szCs w:val="21"/>
        </w:rPr>
        <w:t>。</w:t>
      </w:r>
    </w:p>
    <w:p w14:paraId="009606CD">
      <w:pPr>
        <w:snapToGrid w:val="0"/>
        <w:spacing w:line="360" w:lineRule="auto"/>
        <w:ind w:firstLine="0"/>
        <w:rPr>
          <w:rFonts w:hint="eastAsia" w:hAnsi="宋体"/>
          <w:szCs w:val="21"/>
          <w:lang w:val="en-US" w:eastAsia="zh-CN"/>
        </w:rPr>
      </w:pPr>
      <w:r>
        <w:t xml:space="preserve"> </w:t>
      </w:r>
      <w:r>
        <w:rPr>
          <w:rFonts w:hint="eastAsia" w:ascii="宋体" w:hAnsi="宋体"/>
          <w:szCs w:val="21"/>
        </w:rPr>
        <w:t>交纳</w:t>
      </w:r>
      <w:r>
        <w:rPr>
          <w:rFonts w:hint="eastAsia" w:hAnsi="宋体"/>
          <w:szCs w:val="21"/>
          <w:lang w:val="en-US" w:eastAsia="zh-CN"/>
        </w:rPr>
        <w:t>形式：电汇；</w:t>
      </w:r>
    </w:p>
    <w:p w14:paraId="732DA11F">
      <w:pPr>
        <w:snapToGrid w:val="0"/>
        <w:spacing w:line="360" w:lineRule="auto"/>
        <w:ind w:firstLine="0"/>
        <w:rPr>
          <w:rFonts w:hint="eastAsia" w:hAnsi="宋体"/>
          <w:szCs w:val="21"/>
          <w:lang w:val="en-US" w:eastAsia="zh-CN"/>
        </w:rPr>
      </w:pPr>
      <w:r>
        <w:rPr>
          <w:rFonts w:hint="eastAsia" w:hAnsi="宋体"/>
          <w:szCs w:val="21"/>
          <w:lang w:val="en-US" w:eastAsia="zh-CN"/>
        </w:rPr>
        <w:t>收款单位：浙江巨程钢瓶有限公司；</w:t>
      </w:r>
    </w:p>
    <w:p w14:paraId="5D69893C">
      <w:pPr>
        <w:snapToGrid w:val="0"/>
        <w:spacing w:line="360" w:lineRule="auto"/>
        <w:ind w:firstLine="0"/>
        <w:rPr>
          <w:rFonts w:hint="eastAsia" w:hAnsi="宋体"/>
          <w:szCs w:val="21"/>
          <w:lang w:val="en-US" w:eastAsia="zh-CN"/>
        </w:rPr>
      </w:pPr>
      <w:r>
        <w:rPr>
          <w:rFonts w:hint="eastAsia" w:hAnsi="宋体"/>
          <w:szCs w:val="21"/>
          <w:lang w:val="en-US" w:eastAsia="zh-CN"/>
        </w:rPr>
        <w:t>开户银行：中国工商银行衢化支行；</w:t>
      </w:r>
    </w:p>
    <w:p w14:paraId="38178B6C">
      <w:pPr>
        <w:snapToGrid w:val="0"/>
        <w:spacing w:line="360" w:lineRule="auto"/>
        <w:ind w:firstLine="0"/>
        <w:rPr>
          <w:rFonts w:hint="default" w:hAnsi="宋体" w:eastAsia="宋体"/>
          <w:szCs w:val="21"/>
          <w:lang w:val="en-US" w:eastAsia="zh-CN"/>
        </w:rPr>
      </w:pPr>
      <w:r>
        <w:rPr>
          <w:rFonts w:hint="eastAsia" w:hAnsi="宋体"/>
          <w:szCs w:val="21"/>
          <w:lang w:val="en-US" w:eastAsia="zh-CN"/>
        </w:rPr>
        <w:t>账号：</w:t>
      </w:r>
      <w:r>
        <w:rPr>
          <w:rFonts w:hint="eastAsia" w:ascii="宋体" w:hAnsi="宋体"/>
          <w:szCs w:val="21"/>
        </w:rPr>
        <w:t>1209280029200131224</w:t>
      </w:r>
    </w:p>
    <w:p w14:paraId="28A49678">
      <w:pPr>
        <w:spacing w:line="360" w:lineRule="exact"/>
        <w:rPr>
          <w:rFonts w:ascii="宋体" w:hAnsi="宋体"/>
          <w:kern w:val="144"/>
          <w:szCs w:val="21"/>
        </w:rPr>
      </w:pPr>
      <w:r>
        <w:rPr>
          <w:rFonts w:hint="eastAsia" w:ascii="宋体" w:hAnsi="宋体"/>
          <w:kern w:val="144"/>
          <w:szCs w:val="21"/>
          <w:lang w:val="en-US" w:eastAsia="zh-CN"/>
        </w:rPr>
        <w:t>5.</w:t>
      </w:r>
      <w:r>
        <w:rPr>
          <w:rFonts w:hint="eastAsia" w:ascii="宋体" w:hAnsi="宋体"/>
          <w:kern w:val="144"/>
          <w:szCs w:val="21"/>
        </w:rPr>
        <w:t>投标截止时间和开标时间：以</w:t>
      </w:r>
      <w:r>
        <w:rPr>
          <w:rFonts w:hint="eastAsia" w:ascii="宋体" w:hAnsi="宋体" w:cs="宋体"/>
          <w:szCs w:val="21"/>
        </w:rPr>
        <w:t>巨化数字化招采平台</w:t>
      </w:r>
      <w:r>
        <w:rPr>
          <w:rFonts w:hint="eastAsia" w:ascii="宋体" w:hAnsi="宋体"/>
          <w:kern w:val="144"/>
          <w:szCs w:val="21"/>
        </w:rPr>
        <w:t>报价截止时间为准。</w:t>
      </w:r>
    </w:p>
    <w:p w14:paraId="5093E2CB">
      <w:pPr>
        <w:spacing w:line="360" w:lineRule="exact"/>
        <w:rPr>
          <w:rFonts w:ascii="宋体" w:hAnsi="宋体"/>
          <w:szCs w:val="21"/>
        </w:rPr>
      </w:pPr>
      <w:r>
        <w:rPr>
          <w:rFonts w:hint="eastAsia" w:ascii="宋体" w:hAnsi="宋体"/>
          <w:kern w:val="144"/>
          <w:szCs w:val="21"/>
          <w:lang w:val="en-US" w:eastAsia="zh-CN"/>
        </w:rPr>
        <w:t>6.</w:t>
      </w:r>
      <w:r>
        <w:rPr>
          <w:rFonts w:hint="eastAsia" w:ascii="宋体" w:hAnsi="宋体"/>
          <w:kern w:val="144"/>
          <w:szCs w:val="21"/>
        </w:rPr>
        <w:t>投标、开标地点：</w:t>
      </w:r>
      <w:r>
        <w:rPr>
          <w:rFonts w:hint="eastAsia" w:ascii="宋体" w:hAnsi="宋体"/>
          <w:szCs w:val="21"/>
        </w:rPr>
        <w:t>浙江巨程钢瓶有限公司</w:t>
      </w:r>
    </w:p>
    <w:p w14:paraId="52A9BFE2">
      <w:pPr>
        <w:spacing w:line="360" w:lineRule="exact"/>
        <w:ind w:firstLine="630" w:firstLineChars="300"/>
        <w:rPr>
          <w:rFonts w:ascii="宋体" w:hAnsi="宋体"/>
          <w:szCs w:val="21"/>
        </w:rPr>
      </w:pPr>
      <w:r>
        <w:rPr>
          <w:rFonts w:hint="eastAsia" w:ascii="宋体" w:hAnsi="宋体"/>
          <w:szCs w:val="21"/>
        </w:rPr>
        <w:t>招标机构：浙江巨程钢瓶有限公司</w:t>
      </w:r>
    </w:p>
    <w:p w14:paraId="60A612B4">
      <w:pPr>
        <w:spacing w:line="360" w:lineRule="exact"/>
        <w:ind w:firstLine="315" w:firstLineChars="150"/>
        <w:rPr>
          <w:rFonts w:ascii="宋体" w:hAnsi="宋体"/>
          <w:szCs w:val="21"/>
        </w:rPr>
      </w:pPr>
      <w:r>
        <w:rPr>
          <w:rFonts w:hint="eastAsia" w:ascii="宋体" w:hAnsi="宋体"/>
          <w:szCs w:val="21"/>
        </w:rPr>
        <w:t>联 系 人：刘军      联系电话：0570-2830135</w:t>
      </w:r>
    </w:p>
    <w:p w14:paraId="59902D43">
      <w:pPr>
        <w:spacing w:line="360" w:lineRule="exact"/>
        <w:ind w:firstLine="315" w:firstLineChars="150"/>
        <w:rPr>
          <w:rFonts w:ascii="宋体" w:hAnsi="宋体"/>
          <w:szCs w:val="21"/>
        </w:rPr>
      </w:pPr>
      <w:r>
        <w:rPr>
          <w:rFonts w:hint="eastAsia" w:ascii="宋体" w:hAnsi="宋体"/>
          <w:szCs w:val="21"/>
        </w:rPr>
        <w:t>电子邮箱：电子邮箱：zjjcgp@126.com</w:t>
      </w:r>
    </w:p>
    <w:p w14:paraId="7CC2D7DA">
      <w:pPr>
        <w:spacing w:line="360" w:lineRule="exact"/>
        <w:ind w:firstLine="315" w:firstLineChars="150"/>
        <w:rPr>
          <w:rFonts w:ascii="宋体" w:hAnsi="宋体"/>
          <w:szCs w:val="21"/>
        </w:rPr>
      </w:pPr>
      <w:r>
        <w:rPr>
          <w:rFonts w:hint="eastAsia" w:ascii="宋体" w:hAnsi="宋体"/>
          <w:szCs w:val="21"/>
        </w:rPr>
        <w:t>地    址：浙江省衢州市衢江区海力大道7号</w:t>
      </w:r>
    </w:p>
    <w:p w14:paraId="035ACA68">
      <w:pPr>
        <w:spacing w:line="360" w:lineRule="exact"/>
        <w:ind w:firstLine="210" w:firstLineChars="100"/>
        <w:rPr>
          <w:rFonts w:ascii="宋体" w:hAnsi="宋体"/>
          <w:szCs w:val="21"/>
        </w:rPr>
      </w:pPr>
      <w:r>
        <w:rPr>
          <w:rFonts w:ascii="宋体" w:hAnsi="宋体"/>
          <w:szCs w:val="21"/>
        </w:rPr>
        <w:t>投诉电话：0570-3091876，投诉邮箱:3091876@juhua.com.cn。</w:t>
      </w:r>
    </w:p>
    <w:p w14:paraId="26D4915C">
      <w:pPr>
        <w:spacing w:line="360" w:lineRule="exact"/>
        <w:rPr>
          <w:rFonts w:ascii="宋体" w:hAnsi="宋体"/>
          <w:szCs w:val="21"/>
        </w:rPr>
      </w:pPr>
    </w:p>
    <w:p w14:paraId="673D36E8">
      <w:pPr>
        <w:spacing w:line="360" w:lineRule="exact"/>
        <w:ind w:left="360"/>
        <w:rPr>
          <w:rFonts w:ascii="宋体" w:hAnsi="宋体"/>
          <w:szCs w:val="21"/>
        </w:rPr>
      </w:pPr>
    </w:p>
    <w:p w14:paraId="3524FBDD">
      <w:pPr>
        <w:pStyle w:val="4"/>
        <w:rPr>
          <w:kern w:val="0"/>
          <w:sz w:val="28"/>
          <w:szCs w:val="28"/>
        </w:rPr>
      </w:pPr>
      <w:r>
        <w:rPr>
          <w:rFonts w:hint="eastAsia" w:ascii="宋体" w:hAnsi="宋体" w:cs="宋体"/>
          <w:kern w:val="0"/>
          <w:szCs w:val="21"/>
        </w:rPr>
        <w:t xml:space="preserve"> </w:t>
      </w:r>
      <w:r>
        <w:rPr>
          <w:rFonts w:ascii="宋体" w:hAnsi="宋体" w:cs="宋体"/>
          <w:kern w:val="0"/>
          <w:szCs w:val="21"/>
        </w:rPr>
        <w:br w:type="page"/>
      </w:r>
    </w:p>
    <w:p w14:paraId="60127FCB">
      <w:pPr>
        <w:snapToGrid w:val="0"/>
        <w:spacing w:line="360" w:lineRule="auto"/>
        <w:jc w:val="center"/>
        <w:rPr>
          <w:b/>
          <w:sz w:val="28"/>
          <w:szCs w:val="28"/>
        </w:rPr>
      </w:pPr>
      <w:bookmarkStart w:id="0" w:name="_Toc53733835"/>
      <w:bookmarkStart w:id="1" w:name="_Toc500208476"/>
      <w:bookmarkStart w:id="2" w:name="_Toc90692903"/>
      <w:bookmarkStart w:id="3" w:name="_Toc362467882"/>
      <w:r>
        <w:rPr>
          <w:rFonts w:hint="eastAsia"/>
          <w:b/>
          <w:kern w:val="0"/>
          <w:sz w:val="28"/>
          <w:szCs w:val="28"/>
        </w:rPr>
        <w:t>第</w:t>
      </w:r>
      <w:r>
        <w:rPr>
          <w:rFonts w:hint="eastAsia"/>
          <w:b/>
          <w:kern w:val="0"/>
          <w:sz w:val="28"/>
          <w:szCs w:val="28"/>
          <w:lang w:val="en-US" w:eastAsia="zh-CN"/>
        </w:rPr>
        <w:t>二</w:t>
      </w:r>
      <w:r>
        <w:rPr>
          <w:rFonts w:hint="eastAsia"/>
          <w:b/>
          <w:kern w:val="0"/>
          <w:sz w:val="28"/>
          <w:szCs w:val="28"/>
        </w:rPr>
        <w:t>章  投标人须知</w:t>
      </w:r>
    </w:p>
    <w:p w14:paraId="01C622A1">
      <w:pPr>
        <w:snapToGrid w:val="0"/>
        <w:spacing w:line="360" w:lineRule="auto"/>
        <w:jc w:val="center"/>
        <w:rPr>
          <w:rFonts w:hAnsi="宋体"/>
          <w:b/>
          <w:szCs w:val="28"/>
        </w:rPr>
      </w:pPr>
      <w:r>
        <w:rPr>
          <w:rFonts w:hint="eastAsia" w:hAnsi="宋体"/>
          <w:b/>
          <w:szCs w:val="28"/>
        </w:rPr>
        <w:t>一、</w:t>
      </w:r>
      <w:r>
        <w:rPr>
          <w:b/>
          <w:szCs w:val="28"/>
        </w:rPr>
        <w:t xml:space="preserve"> </w:t>
      </w:r>
      <w:r>
        <w:rPr>
          <w:rFonts w:hint="eastAsia" w:hAnsi="宋体"/>
          <w:b/>
          <w:szCs w:val="28"/>
        </w:rPr>
        <w:t>投</w:t>
      </w:r>
      <w:r>
        <w:rPr>
          <w:rFonts w:hAnsi="宋体"/>
          <w:b/>
          <w:szCs w:val="28"/>
        </w:rPr>
        <w:t>标</w:t>
      </w:r>
      <w:r>
        <w:rPr>
          <w:rFonts w:hint="eastAsia" w:hAnsi="宋体"/>
          <w:b/>
          <w:szCs w:val="28"/>
        </w:rPr>
        <w:t>报价</w:t>
      </w:r>
    </w:p>
    <w:bookmarkEnd w:id="0"/>
    <w:bookmarkEnd w:id="1"/>
    <w:bookmarkEnd w:id="2"/>
    <w:p w14:paraId="37DFD3B7">
      <w:pPr>
        <w:spacing w:line="360" w:lineRule="auto"/>
        <w:ind w:firstLine="420" w:firstLineChars="200"/>
        <w:rPr>
          <w:rFonts w:ascii="宋体" w:hAnsi="宋体"/>
          <w:szCs w:val="21"/>
        </w:rPr>
      </w:pPr>
      <w:bookmarkStart w:id="4" w:name="_Toc500208477"/>
      <w:r>
        <w:rPr>
          <w:rFonts w:hint="eastAsia" w:ascii="宋体" w:hAnsi="宋体"/>
          <w:szCs w:val="21"/>
        </w:rPr>
        <w:t>1、</w:t>
      </w:r>
      <w:r>
        <w:rPr>
          <w:rFonts w:ascii="宋体" w:hAnsi="宋体"/>
          <w:szCs w:val="21"/>
        </w:rPr>
        <w:t>投标人应在招标文件</w:t>
      </w:r>
      <w:r>
        <w:rPr>
          <w:rFonts w:hint="eastAsia" w:ascii="宋体" w:hAnsi="宋体"/>
          <w:szCs w:val="21"/>
        </w:rPr>
        <w:t>附件1</w:t>
      </w:r>
      <w:r>
        <w:rPr>
          <w:rFonts w:ascii="宋体" w:hAnsi="宋体"/>
          <w:szCs w:val="21"/>
        </w:rPr>
        <w:t>的</w:t>
      </w:r>
      <w:r>
        <w:rPr>
          <w:rFonts w:hint="eastAsia" w:ascii="宋体" w:hAnsi="宋体"/>
          <w:szCs w:val="21"/>
        </w:rPr>
        <w:t>爆破片报价表</w:t>
      </w:r>
      <w:r>
        <w:rPr>
          <w:rFonts w:ascii="宋体" w:hAnsi="宋体"/>
          <w:szCs w:val="21"/>
        </w:rPr>
        <w:t>上写明投标的单价</w:t>
      </w:r>
      <w:r>
        <w:rPr>
          <w:rFonts w:hint="eastAsia" w:ascii="宋体" w:hAnsi="宋体"/>
          <w:szCs w:val="21"/>
        </w:rPr>
        <w:t>（含税）</w:t>
      </w:r>
      <w:r>
        <w:rPr>
          <w:rFonts w:ascii="宋体" w:hAnsi="宋体"/>
          <w:szCs w:val="21"/>
        </w:rPr>
        <w:t>。</w:t>
      </w:r>
      <w:r>
        <w:rPr>
          <w:rFonts w:hint="eastAsia" w:ascii="宋体" w:hAnsi="宋体"/>
          <w:szCs w:val="21"/>
          <w:lang w:eastAsia="zh-CN"/>
        </w:rPr>
        <w:t>采购人</w:t>
      </w:r>
      <w:r>
        <w:rPr>
          <w:rFonts w:ascii="宋体" w:hAnsi="宋体"/>
          <w:szCs w:val="21"/>
        </w:rPr>
        <w:t>不接受任何有选择的报价。报价以人民币元计。</w:t>
      </w:r>
    </w:p>
    <w:p w14:paraId="73DE4551">
      <w:pPr>
        <w:pStyle w:val="5"/>
        <w:adjustRightInd w:val="0"/>
        <w:snapToGrid w:val="0"/>
        <w:spacing w:line="360" w:lineRule="auto"/>
        <w:ind w:firstLine="420" w:firstLineChars="200"/>
        <w:rPr>
          <w:rFonts w:ascii="Times New Roman" w:hAnsi="Times New Roman"/>
          <w:szCs w:val="21"/>
        </w:rPr>
      </w:pPr>
      <w:r>
        <w:rPr>
          <w:rFonts w:ascii="Times New Roman" w:hAnsi="Times New Roman"/>
        </w:rPr>
        <w:t>2</w:t>
      </w:r>
      <w:r>
        <w:rPr>
          <w:rFonts w:hint="eastAsia" w:ascii="Times New Roman" w:hAnsi="Times New Roman"/>
        </w:rPr>
        <w:t>、</w:t>
      </w:r>
      <w:r>
        <w:rPr>
          <w:rFonts w:ascii="Times New Roman"/>
          <w:szCs w:val="21"/>
        </w:rPr>
        <w:t>如大写与小写不符时，以大写为准。</w:t>
      </w:r>
    </w:p>
    <w:p w14:paraId="6D860B59">
      <w:pPr>
        <w:pStyle w:val="5"/>
        <w:adjustRightInd w:val="0"/>
        <w:snapToGrid w:val="0"/>
        <w:spacing w:line="360" w:lineRule="auto"/>
        <w:ind w:firstLine="420" w:firstLineChars="200"/>
        <w:rPr>
          <w:rFonts w:ascii="Times New Roman" w:hAnsi="Times New Roman"/>
          <w:szCs w:val="21"/>
        </w:rPr>
      </w:pPr>
      <w:r>
        <w:rPr>
          <w:rFonts w:ascii="Times New Roman" w:hAnsi="Times New Roman"/>
          <w:szCs w:val="21"/>
        </w:rPr>
        <w:t>3</w:t>
      </w:r>
      <w:r>
        <w:rPr>
          <w:rFonts w:hint="eastAsia" w:ascii="Times New Roman" w:hAnsi="Times New Roman"/>
          <w:szCs w:val="21"/>
        </w:rPr>
        <w:t>、</w:t>
      </w:r>
      <w:r>
        <w:rPr>
          <w:rFonts w:ascii="Times New Roman"/>
          <w:szCs w:val="21"/>
        </w:rPr>
        <w:t>报价内容：投标报价应是招标文件所确定的招标范围内全部货物内容的价格表现。</w:t>
      </w:r>
    </w:p>
    <w:p w14:paraId="26FE687C">
      <w:pPr>
        <w:pStyle w:val="5"/>
        <w:adjustRightInd w:val="0"/>
        <w:snapToGrid w:val="0"/>
        <w:spacing w:line="360" w:lineRule="auto"/>
        <w:ind w:firstLine="315" w:firstLineChars="150"/>
        <w:rPr>
          <w:rFonts w:ascii="Times New Roman"/>
        </w:rPr>
      </w:pPr>
      <w:r>
        <w:rPr>
          <w:rFonts w:ascii="Times New Roman"/>
        </w:rPr>
        <w:t>投标价格表填写时应注意下列要求：</w:t>
      </w:r>
    </w:p>
    <w:p w14:paraId="6B0F935C">
      <w:pPr>
        <w:pStyle w:val="5"/>
        <w:adjustRightInd w:val="0"/>
        <w:snapToGrid w:val="0"/>
        <w:spacing w:line="360" w:lineRule="auto"/>
        <w:ind w:firstLine="315" w:firstLineChars="150"/>
        <w:rPr>
          <w:szCs w:val="21"/>
        </w:rPr>
      </w:pPr>
      <w:r>
        <w:rPr>
          <w:rFonts w:hint="eastAsia"/>
          <w:szCs w:val="21"/>
        </w:rPr>
        <w:t>3.1付款方式（详见商务条款）。</w:t>
      </w:r>
    </w:p>
    <w:p w14:paraId="6BCA1916">
      <w:pPr>
        <w:pStyle w:val="5"/>
        <w:adjustRightInd w:val="0"/>
        <w:snapToGrid w:val="0"/>
        <w:spacing w:line="360" w:lineRule="auto"/>
        <w:ind w:firstLine="315" w:firstLineChars="150"/>
        <w:rPr>
          <w:szCs w:val="21"/>
        </w:rPr>
      </w:pPr>
      <w:r>
        <w:rPr>
          <w:rFonts w:hint="eastAsia"/>
          <w:szCs w:val="21"/>
        </w:rPr>
        <w:t xml:space="preserve">3.2投标人按 </w:t>
      </w:r>
      <w:r>
        <w:rPr>
          <w:rFonts w:hint="eastAsia"/>
          <w:color w:val="000000"/>
          <w:szCs w:val="21"/>
        </w:rPr>
        <w:t>报价单进行报价，</w:t>
      </w:r>
      <w:r>
        <w:rPr>
          <w:rFonts w:hint="eastAsia"/>
          <w:szCs w:val="21"/>
        </w:rPr>
        <w:t>若有差异变化请在报价单备注中说明。</w:t>
      </w:r>
    </w:p>
    <w:p w14:paraId="05CD5730">
      <w:pPr>
        <w:pStyle w:val="5"/>
        <w:adjustRightInd w:val="0"/>
        <w:snapToGrid w:val="0"/>
        <w:spacing w:line="360" w:lineRule="auto"/>
        <w:ind w:firstLine="315" w:firstLineChars="150"/>
        <w:rPr>
          <w:szCs w:val="21"/>
        </w:rPr>
      </w:pPr>
      <w:r>
        <w:rPr>
          <w:rFonts w:hint="eastAsia"/>
          <w:szCs w:val="21"/>
        </w:rPr>
        <w:t>3.3报价要求开标之日起5个工作日内有效，中标后在合同期内有效。</w:t>
      </w:r>
    </w:p>
    <w:p w14:paraId="7D136AE4">
      <w:pPr>
        <w:pStyle w:val="5"/>
        <w:adjustRightInd w:val="0"/>
        <w:snapToGrid w:val="0"/>
        <w:spacing w:line="360" w:lineRule="auto"/>
        <w:ind w:firstLine="315" w:firstLineChars="150"/>
        <w:rPr>
          <w:rFonts w:ascii="Times New Roman"/>
        </w:rPr>
      </w:pPr>
      <w:r>
        <w:rPr>
          <w:rFonts w:hint="eastAsia"/>
          <w:szCs w:val="21"/>
        </w:rPr>
        <w:t>3.4报价</w:t>
      </w:r>
      <w:r>
        <w:rPr>
          <w:szCs w:val="21"/>
        </w:rPr>
        <w:t>截止时间以后不得修改。</w:t>
      </w:r>
      <w:bookmarkEnd w:id="4"/>
      <w:bookmarkStart w:id="5" w:name="_Toc53733846"/>
      <w:bookmarkStart w:id="6" w:name="_Toc500209418"/>
      <w:bookmarkStart w:id="7" w:name="_Toc90692914"/>
      <w:bookmarkStart w:id="8" w:name="_Toc500208484"/>
    </w:p>
    <w:p w14:paraId="66AA56D3">
      <w:pPr>
        <w:adjustRightInd w:val="0"/>
        <w:snapToGrid w:val="0"/>
        <w:spacing w:line="360" w:lineRule="auto"/>
        <w:ind w:firstLine="3238" w:firstLineChars="1542"/>
        <w:rPr>
          <w:rFonts w:hAnsi="宋体"/>
          <w:b/>
          <w:szCs w:val="21"/>
        </w:rPr>
      </w:pPr>
      <w:r>
        <w:rPr>
          <w:rFonts w:hint="eastAsia"/>
          <w:b/>
          <w:szCs w:val="21"/>
        </w:rPr>
        <w:t>二、</w:t>
      </w:r>
      <w:r>
        <w:rPr>
          <w:b/>
          <w:szCs w:val="21"/>
        </w:rPr>
        <w:t xml:space="preserve"> </w:t>
      </w:r>
      <w:r>
        <w:rPr>
          <w:rFonts w:hAnsi="宋体"/>
          <w:b/>
          <w:szCs w:val="21"/>
        </w:rPr>
        <w:t>投标保证金</w:t>
      </w:r>
    </w:p>
    <w:p w14:paraId="4051CDD1">
      <w:pPr>
        <w:snapToGrid w:val="0"/>
        <w:spacing w:line="360" w:lineRule="auto"/>
      </w:pPr>
      <w:bookmarkStart w:id="9" w:name="_Toc53733839"/>
      <w:bookmarkStart w:id="10" w:name="_Toc500208478"/>
      <w:bookmarkStart w:id="11" w:name="_Toc90692907"/>
      <w:r>
        <w:t xml:space="preserve">    1</w:t>
      </w:r>
      <w:r>
        <w:rPr>
          <w:rFonts w:hint="eastAsia"/>
        </w:rPr>
        <w:t>、</w:t>
      </w:r>
      <w:r>
        <w:rPr>
          <w:rFonts w:hAnsi="宋体"/>
        </w:rPr>
        <w:t>投标保证金为</w:t>
      </w:r>
      <w:r>
        <w:rPr>
          <w:rFonts w:hint="eastAsia" w:hAnsi="宋体"/>
          <w:kern w:val="0"/>
          <w:szCs w:val="21"/>
        </w:rPr>
        <w:t>注册</w:t>
      </w:r>
      <w:r>
        <w:rPr>
          <w:rFonts w:hint="eastAsia" w:ascii="宋体" w:hAnsi="宋体"/>
          <w:kern w:val="0"/>
          <w:szCs w:val="21"/>
        </w:rPr>
        <w:t>报名有效</w:t>
      </w:r>
      <w:r>
        <w:rPr>
          <w:rFonts w:hAnsi="宋体"/>
        </w:rPr>
        <w:t>的组成部分之一。</w:t>
      </w:r>
    </w:p>
    <w:p w14:paraId="69257730">
      <w:pPr>
        <w:snapToGrid w:val="0"/>
        <w:spacing w:line="360" w:lineRule="auto"/>
      </w:pPr>
      <w:r>
        <w:t xml:space="preserve">    </w:t>
      </w:r>
      <w:r>
        <w:rPr>
          <w:rFonts w:hint="eastAsia"/>
        </w:rPr>
        <w:t>2、</w:t>
      </w:r>
      <w:r>
        <w:rPr>
          <w:rFonts w:hAnsi="宋体"/>
        </w:rPr>
        <w:t>投标人应向</w:t>
      </w:r>
      <w:r>
        <w:rPr>
          <w:rFonts w:hint="eastAsia" w:hAnsi="宋体"/>
          <w:lang w:eastAsia="zh-CN"/>
        </w:rPr>
        <w:t>采购人</w:t>
      </w:r>
      <w:r>
        <w:rPr>
          <w:rFonts w:hAnsi="宋体"/>
        </w:rPr>
        <w:t>提交</w:t>
      </w:r>
      <w:r>
        <w:rPr>
          <w:rFonts w:hint="eastAsia" w:hAnsi="宋体"/>
        </w:rPr>
        <w:t>招标</w:t>
      </w:r>
      <w:r>
        <w:rPr>
          <w:rFonts w:hAnsi="宋体"/>
        </w:rPr>
        <w:t>中载明金额的投标保证金。</w:t>
      </w:r>
    </w:p>
    <w:p w14:paraId="416C5999">
      <w:pPr>
        <w:snapToGrid w:val="0"/>
        <w:spacing w:line="360" w:lineRule="auto"/>
      </w:pPr>
      <w:r>
        <w:t xml:space="preserve">    3</w:t>
      </w:r>
      <w:r>
        <w:rPr>
          <w:rFonts w:hint="eastAsia"/>
        </w:rPr>
        <w:t>、</w:t>
      </w:r>
      <w:r>
        <w:rPr>
          <w:rFonts w:hAnsi="宋体"/>
        </w:rPr>
        <w:t>投标保证金用于保护本次招标免受投标人的行为而引起的风险。</w:t>
      </w:r>
    </w:p>
    <w:p w14:paraId="4770487D">
      <w:pPr>
        <w:snapToGrid w:val="0"/>
        <w:spacing w:line="360" w:lineRule="auto"/>
        <w:ind w:firstLine="420"/>
        <w:rPr>
          <w:rFonts w:hAnsi="宋体"/>
          <w:b/>
          <w:bCs/>
        </w:rPr>
      </w:pPr>
      <w:r>
        <w:t>4</w:t>
      </w:r>
      <w:r>
        <w:rPr>
          <w:rFonts w:hint="eastAsia"/>
        </w:rPr>
        <w:t>、</w:t>
      </w:r>
      <w:r>
        <w:rPr>
          <w:rFonts w:hAnsi="宋体"/>
        </w:rPr>
        <w:t>投标保证金币种应与投标报价币种相同，可以下列方式提交：</w:t>
      </w:r>
      <w:r>
        <w:t xml:space="preserve"> </w:t>
      </w:r>
      <w:r>
        <w:rPr>
          <w:rFonts w:hint="eastAsia" w:hAnsi="宋体"/>
          <w:b/>
          <w:bCs/>
        </w:rPr>
        <w:t>电汇</w:t>
      </w:r>
    </w:p>
    <w:p w14:paraId="705DB024">
      <w:pPr>
        <w:snapToGrid w:val="0"/>
        <w:spacing w:line="360" w:lineRule="auto"/>
        <w:ind w:firstLine="449" w:firstLineChars="214"/>
      </w:pPr>
      <w:r>
        <w:rPr>
          <w:rFonts w:hint="eastAsia"/>
        </w:rPr>
        <w:t>5、</w:t>
      </w:r>
      <w:r>
        <w:rPr>
          <w:rFonts w:hAnsi="宋体"/>
        </w:rPr>
        <w:t>未按规定提交投标保证金的</w:t>
      </w:r>
      <w:r>
        <w:rPr>
          <w:rFonts w:hint="eastAsia" w:hAnsi="宋体"/>
        </w:rPr>
        <w:t>（人民币</w:t>
      </w:r>
      <w:r>
        <w:rPr>
          <w:rFonts w:hint="eastAsia" w:cs="宋体" w:asciiTheme="minorEastAsia" w:hAnsiTheme="minorEastAsia" w:eastAsiaTheme="minorEastAsia"/>
          <w:b/>
          <w:szCs w:val="21"/>
        </w:rPr>
        <w:t>壹拾万</w:t>
      </w:r>
      <w:r>
        <w:rPr>
          <w:rFonts w:hint="eastAsia" w:hAnsi="宋体"/>
        </w:rPr>
        <w:t>元）投标人</w:t>
      </w:r>
      <w:r>
        <w:rPr>
          <w:rFonts w:hAnsi="宋体"/>
        </w:rPr>
        <w:t>，</w:t>
      </w:r>
      <w:r>
        <w:rPr>
          <w:rFonts w:hint="eastAsia" w:hAnsi="宋体"/>
        </w:rPr>
        <w:t>报价将视为无效报价</w:t>
      </w:r>
      <w:r>
        <w:rPr>
          <w:rFonts w:hAnsi="宋体"/>
        </w:rPr>
        <w:t>。</w:t>
      </w:r>
    </w:p>
    <w:p w14:paraId="40405C70">
      <w:pPr>
        <w:snapToGrid w:val="0"/>
        <w:spacing w:line="360" w:lineRule="auto"/>
        <w:ind w:firstLine="420" w:firstLineChars="200"/>
      </w:pPr>
      <w:r>
        <w:rPr>
          <w:rFonts w:hint="eastAsia"/>
        </w:rPr>
        <w:t xml:space="preserve">6、 </w:t>
      </w:r>
      <w:r>
        <w:rPr>
          <w:rFonts w:hAnsi="宋体"/>
        </w:rPr>
        <w:t>未中标的投标人的投标保证金，将</w:t>
      </w:r>
      <w:r>
        <w:rPr>
          <w:rFonts w:hint="eastAsia" w:hAnsi="宋体"/>
        </w:rPr>
        <w:t>在报价结束并进行公示后10天内</w:t>
      </w:r>
      <w:r>
        <w:rPr>
          <w:rFonts w:hAnsi="宋体"/>
        </w:rPr>
        <w:t>予以无息退还。</w:t>
      </w:r>
    </w:p>
    <w:p w14:paraId="719948B9">
      <w:pPr>
        <w:snapToGrid w:val="0"/>
        <w:spacing w:line="360" w:lineRule="auto"/>
        <w:ind w:firstLine="420" w:firstLineChars="200"/>
        <w:rPr>
          <w:rFonts w:hAnsi="宋体"/>
        </w:rPr>
      </w:pPr>
      <w:r>
        <w:rPr>
          <w:rFonts w:hint="eastAsia"/>
        </w:rPr>
        <w:t>7、</w:t>
      </w:r>
      <w:r>
        <w:rPr>
          <w:rFonts w:hAnsi="宋体"/>
        </w:rPr>
        <w:t>中标的投标人</w:t>
      </w:r>
      <w:r>
        <w:rPr>
          <w:rFonts w:hint="eastAsia" w:hAnsi="宋体"/>
        </w:rPr>
        <w:t>的</w:t>
      </w:r>
      <w:r>
        <w:rPr>
          <w:rFonts w:hAnsi="宋体"/>
        </w:rPr>
        <w:t>投标保证金</w:t>
      </w:r>
      <w:r>
        <w:rPr>
          <w:rFonts w:hint="eastAsia" w:hAnsi="宋体"/>
        </w:rPr>
        <w:t>将转为合同履约保证金，在合同履约完毕后10天内以无息退还。</w:t>
      </w:r>
    </w:p>
    <w:p w14:paraId="561B4483">
      <w:pPr>
        <w:snapToGrid w:val="0"/>
        <w:spacing w:line="360" w:lineRule="auto"/>
        <w:ind w:firstLine="420" w:firstLineChars="200"/>
      </w:pPr>
      <w:r>
        <w:rPr>
          <w:rFonts w:hint="eastAsia"/>
        </w:rPr>
        <w:t>8、</w:t>
      </w:r>
      <w:r>
        <w:rPr>
          <w:rFonts w:hAnsi="宋体"/>
        </w:rPr>
        <w:t>发生以下情况投标保证金将被没收：</w:t>
      </w:r>
    </w:p>
    <w:p w14:paraId="2DE941E2">
      <w:pPr>
        <w:snapToGrid w:val="0"/>
        <w:spacing w:line="360" w:lineRule="auto"/>
        <w:ind w:firstLine="420" w:firstLineChars="200"/>
      </w:pPr>
      <w:r>
        <w:rPr>
          <w:rFonts w:hint="eastAsia"/>
        </w:rPr>
        <w:t>8.1</w:t>
      </w:r>
      <w:r>
        <w:rPr>
          <w:rFonts w:hint="eastAsia" w:hAnsi="宋体"/>
        </w:rPr>
        <w:t>报价</w:t>
      </w:r>
      <w:r>
        <w:rPr>
          <w:rFonts w:hAnsi="宋体"/>
        </w:rPr>
        <w:t>后投标人在投标有效期内撤回投标；</w:t>
      </w:r>
    </w:p>
    <w:p w14:paraId="0DEC8A13">
      <w:pPr>
        <w:snapToGrid w:val="0"/>
        <w:spacing w:line="360" w:lineRule="auto"/>
        <w:ind w:firstLine="420"/>
        <w:rPr>
          <w:rFonts w:hAnsi="宋体"/>
          <w:szCs w:val="21"/>
        </w:rPr>
      </w:pPr>
      <w:r>
        <w:rPr>
          <w:rFonts w:hint="eastAsia"/>
        </w:rPr>
        <w:t>8.2</w:t>
      </w:r>
      <w:r>
        <w:rPr>
          <w:rFonts w:hAnsi="宋体"/>
        </w:rPr>
        <w:t>如果中标方未能做到</w:t>
      </w:r>
      <w:r>
        <w:rPr>
          <w:rFonts w:hAnsi="宋体"/>
          <w:szCs w:val="21"/>
        </w:rPr>
        <w:t>按规定签订合同。</w:t>
      </w:r>
      <w:bookmarkEnd w:id="9"/>
      <w:bookmarkEnd w:id="10"/>
      <w:bookmarkEnd w:id="11"/>
    </w:p>
    <w:p w14:paraId="0792F629">
      <w:pPr>
        <w:snapToGrid w:val="0"/>
        <w:spacing w:line="360" w:lineRule="auto"/>
        <w:ind w:firstLine="420"/>
        <w:rPr>
          <w:rFonts w:hint="default" w:hAnsi="宋体" w:eastAsia="宋体"/>
          <w:szCs w:val="21"/>
          <w:lang w:val="en-US" w:eastAsia="zh-CN"/>
        </w:rPr>
      </w:pPr>
      <w:r>
        <w:rPr>
          <w:rFonts w:hint="eastAsia" w:hAnsi="宋体"/>
          <w:szCs w:val="21"/>
          <w:lang w:val="en-US" w:eastAsia="zh-CN"/>
        </w:rPr>
        <w:t>9、投标保证金：形式：电汇；收款单位：浙江巨程钢瓶有限公司；开户银行：中国工商银行衢化支行；账号：</w:t>
      </w:r>
      <w:r>
        <w:rPr>
          <w:rFonts w:hint="eastAsia" w:ascii="宋体" w:hAnsi="宋体"/>
          <w:szCs w:val="21"/>
        </w:rPr>
        <w:t>1209280029200131224</w:t>
      </w:r>
    </w:p>
    <w:p w14:paraId="7BF3844C">
      <w:pPr>
        <w:snapToGrid w:val="0"/>
        <w:spacing w:line="360" w:lineRule="auto"/>
        <w:ind w:firstLine="420"/>
        <w:rPr>
          <w:rFonts w:hAnsi="宋体"/>
          <w:szCs w:val="21"/>
        </w:rPr>
      </w:pPr>
    </w:p>
    <w:p w14:paraId="52A23B4A">
      <w:pPr>
        <w:pStyle w:val="2"/>
        <w:snapToGrid w:val="0"/>
        <w:spacing w:before="0" w:after="0"/>
        <w:rPr>
          <w:rFonts w:ascii="Times New Roman" w:hAnsi="Times New Roman" w:eastAsia="宋体"/>
          <w:sz w:val="21"/>
          <w:szCs w:val="21"/>
        </w:rPr>
      </w:pPr>
      <w:r>
        <w:rPr>
          <w:rFonts w:hint="eastAsia" w:ascii="Times New Roman" w:hAnsi="宋体" w:eastAsia="宋体"/>
          <w:sz w:val="21"/>
          <w:szCs w:val="21"/>
        </w:rPr>
        <w:t>三、</w:t>
      </w:r>
      <w:r>
        <w:rPr>
          <w:rFonts w:ascii="Times New Roman" w:hAnsi="宋体" w:eastAsia="宋体"/>
          <w:sz w:val="21"/>
          <w:szCs w:val="21"/>
        </w:rPr>
        <w:t>开标</w:t>
      </w:r>
      <w:bookmarkEnd w:id="5"/>
      <w:bookmarkEnd w:id="6"/>
      <w:bookmarkEnd w:id="7"/>
      <w:bookmarkEnd w:id="8"/>
      <w:r>
        <w:rPr>
          <w:rFonts w:ascii="Times New Roman" w:hAnsi="宋体" w:eastAsia="宋体"/>
          <w:sz w:val="21"/>
          <w:szCs w:val="21"/>
        </w:rPr>
        <w:t>、评标</w:t>
      </w:r>
      <w:bookmarkStart w:id="12" w:name="_Toc500208485"/>
      <w:bookmarkStart w:id="13" w:name="_Toc90692915"/>
      <w:bookmarkStart w:id="14" w:name="_Toc53733847"/>
    </w:p>
    <w:bookmarkEnd w:id="12"/>
    <w:bookmarkEnd w:id="13"/>
    <w:bookmarkEnd w:id="14"/>
    <w:p w14:paraId="07BA59E9">
      <w:pPr>
        <w:snapToGrid w:val="0"/>
        <w:spacing w:line="360" w:lineRule="auto"/>
        <w:ind w:firstLine="420" w:firstLineChars="200"/>
        <w:rPr>
          <w:rFonts w:ascii="宋体" w:hAnsi="宋体" w:cs="宋体"/>
          <w:kern w:val="0"/>
          <w:szCs w:val="21"/>
        </w:rPr>
      </w:pPr>
      <w:r>
        <w:rPr>
          <w:rFonts w:hint="eastAsia" w:hAnsi="宋体"/>
          <w:szCs w:val="21"/>
          <w:lang w:eastAsia="zh-CN"/>
        </w:rPr>
        <w:t>采购人</w:t>
      </w:r>
      <w:r>
        <w:rPr>
          <w:rFonts w:hAnsi="宋体"/>
          <w:szCs w:val="21"/>
        </w:rPr>
        <w:t>将根据本次招标采购的特点组建评标委员会，在招标公告中规定的时间</w:t>
      </w:r>
      <w:r>
        <w:rPr>
          <w:rFonts w:hint="eastAsia" w:hAnsi="宋体"/>
          <w:szCs w:val="21"/>
        </w:rPr>
        <w:t>对网上投标文件进行评议，</w:t>
      </w:r>
      <w:r>
        <w:rPr>
          <w:rFonts w:hint="eastAsia" w:ascii="宋体" w:hAnsi="宋体" w:cs="宋体"/>
          <w:kern w:val="0"/>
          <w:szCs w:val="21"/>
        </w:rPr>
        <w:t>确定各投标文件是否合格有效。经过审标，对其投标书中需要进行澄清的问题，将由评标委员会向投标单位进行询标，投标单位应接受询标、澄清；其记录须经投标单位授权代表审阅签字，并应视作标书的补充，对投标单位具有约束力。</w:t>
      </w:r>
    </w:p>
    <w:p w14:paraId="798A583A">
      <w:pPr>
        <w:pStyle w:val="2"/>
        <w:snapToGrid w:val="0"/>
        <w:spacing w:before="0" w:after="0"/>
        <w:ind w:left="0"/>
        <w:rPr>
          <w:rFonts w:ascii="Times New Roman" w:hAnsi="Times New Roman" w:eastAsia="宋体"/>
          <w:sz w:val="21"/>
          <w:szCs w:val="21"/>
        </w:rPr>
      </w:pPr>
      <w:bookmarkStart w:id="15" w:name="_Toc500208495"/>
      <w:bookmarkStart w:id="16" w:name="_Toc90692928"/>
      <w:bookmarkStart w:id="17" w:name="_Toc53733858"/>
      <w:bookmarkStart w:id="18" w:name="_Toc500209420"/>
      <w:r>
        <w:rPr>
          <w:rFonts w:hint="eastAsia" w:ascii="Times New Roman" w:hAnsi="宋体" w:eastAsia="宋体"/>
          <w:sz w:val="21"/>
          <w:szCs w:val="21"/>
        </w:rPr>
        <w:t>四、</w:t>
      </w:r>
      <w:r>
        <w:rPr>
          <w:rFonts w:ascii="Times New Roman" w:hAnsi="Times New Roman" w:eastAsia="宋体"/>
          <w:sz w:val="21"/>
          <w:szCs w:val="21"/>
        </w:rPr>
        <w:t xml:space="preserve"> </w:t>
      </w:r>
      <w:r>
        <w:rPr>
          <w:rFonts w:ascii="Times New Roman" w:hAnsi="宋体" w:eastAsia="宋体"/>
          <w:sz w:val="21"/>
          <w:szCs w:val="21"/>
        </w:rPr>
        <w:t>授予合同</w:t>
      </w:r>
      <w:bookmarkEnd w:id="15"/>
      <w:bookmarkEnd w:id="16"/>
      <w:bookmarkEnd w:id="17"/>
      <w:bookmarkEnd w:id="18"/>
    </w:p>
    <w:p w14:paraId="1CE04696">
      <w:pPr>
        <w:widowControl/>
        <w:adjustRightInd w:val="0"/>
        <w:snapToGrid w:val="0"/>
        <w:spacing w:line="360" w:lineRule="auto"/>
        <w:ind w:left="1"/>
        <w:jc w:val="left"/>
        <w:rPr>
          <w:rFonts w:ascii="宋体" w:hAnsi="宋体"/>
          <w:kern w:val="0"/>
          <w:szCs w:val="21"/>
        </w:rPr>
      </w:pPr>
      <w:r>
        <w:rPr>
          <w:rFonts w:hint="eastAsia" w:ascii="宋体" w:hAnsi="宋体"/>
          <w:kern w:val="0"/>
          <w:szCs w:val="21"/>
        </w:rPr>
        <w:t>1、本次招标中标人确定后，将招标结果公示三天，如无异常情况</w:t>
      </w:r>
      <w:r>
        <w:rPr>
          <w:rFonts w:hint="eastAsia" w:ascii="宋体" w:hAnsi="宋体" w:cs="宋体"/>
          <w:szCs w:val="21"/>
        </w:rPr>
        <w:t>巨化数字化招采平台</w:t>
      </w:r>
      <w:r>
        <w:rPr>
          <w:rFonts w:hint="eastAsia" w:ascii="宋体" w:hAnsi="宋体"/>
          <w:kern w:val="0"/>
          <w:szCs w:val="21"/>
        </w:rPr>
        <w:t>将发出中标（成交）通知书，中标（成交）通知书一经发出即发生法律效力。</w:t>
      </w:r>
    </w:p>
    <w:p w14:paraId="78111426">
      <w:pPr>
        <w:widowControl/>
        <w:adjustRightInd w:val="0"/>
        <w:snapToGrid w:val="0"/>
        <w:spacing w:line="360" w:lineRule="auto"/>
        <w:ind w:left="1"/>
        <w:jc w:val="left"/>
        <w:rPr>
          <w:rFonts w:ascii="宋体" w:hAnsi="宋体"/>
          <w:kern w:val="0"/>
          <w:szCs w:val="21"/>
        </w:rPr>
      </w:pPr>
      <w:r>
        <w:rPr>
          <w:rFonts w:hint="eastAsia" w:ascii="宋体" w:hAnsi="宋体"/>
          <w:kern w:val="0"/>
          <w:szCs w:val="21"/>
        </w:rPr>
        <w:t>2、中标（成交）通知书将作为签订合同的依据。</w:t>
      </w:r>
    </w:p>
    <w:p w14:paraId="48E26C31">
      <w:pPr>
        <w:widowControl/>
        <w:adjustRightInd w:val="0"/>
        <w:snapToGrid w:val="0"/>
        <w:spacing w:line="360" w:lineRule="auto"/>
        <w:ind w:left="1"/>
        <w:jc w:val="left"/>
        <w:rPr>
          <w:rFonts w:ascii="宋体" w:hAnsi="宋体"/>
          <w:kern w:val="0"/>
          <w:szCs w:val="21"/>
        </w:rPr>
      </w:pPr>
      <w:r>
        <w:rPr>
          <w:rFonts w:hint="eastAsia" w:ascii="宋体" w:hAnsi="宋体"/>
          <w:kern w:val="0"/>
          <w:szCs w:val="21"/>
        </w:rPr>
        <w:t>3、中标单位不遵守招标文件或投标书的要约、承诺，擅自修改报价或在接到中标通知书7天内，借故拖延、拒签合同者，取消该单位的中标权，另选其它投标单位中标。</w:t>
      </w:r>
    </w:p>
    <w:p w14:paraId="1165DC75">
      <w:pPr>
        <w:pStyle w:val="4"/>
        <w:spacing w:before="120"/>
        <w:ind w:firstLine="1960" w:firstLineChars="700"/>
        <w:jc w:val="both"/>
        <w:rPr>
          <w:kern w:val="0"/>
          <w:sz w:val="28"/>
          <w:szCs w:val="28"/>
        </w:rPr>
      </w:pPr>
      <w:r>
        <w:rPr>
          <w:rFonts w:hint="eastAsia"/>
          <w:kern w:val="0"/>
          <w:sz w:val="28"/>
          <w:szCs w:val="28"/>
        </w:rPr>
        <w:t>第</w:t>
      </w:r>
      <w:r>
        <w:rPr>
          <w:rFonts w:hint="eastAsia"/>
          <w:kern w:val="0"/>
          <w:sz w:val="28"/>
          <w:szCs w:val="28"/>
          <w:lang w:val="en-US" w:eastAsia="zh-CN"/>
        </w:rPr>
        <w:t>三</w:t>
      </w:r>
      <w:r>
        <w:rPr>
          <w:rFonts w:hint="eastAsia"/>
          <w:kern w:val="0"/>
          <w:sz w:val="28"/>
          <w:szCs w:val="28"/>
        </w:rPr>
        <w:t xml:space="preserve">章  </w:t>
      </w:r>
      <w:r>
        <w:rPr>
          <w:kern w:val="0"/>
          <w:sz w:val="28"/>
          <w:szCs w:val="28"/>
        </w:rPr>
        <w:t>采购内容及技术要求</w:t>
      </w:r>
    </w:p>
    <w:p w14:paraId="5DD1E7B3">
      <w:pPr>
        <w:snapToGrid w:val="0"/>
        <w:spacing w:line="360" w:lineRule="auto"/>
        <w:ind w:firstLine="411" w:firstLineChars="196"/>
      </w:pPr>
      <w:r>
        <w:t>1</w:t>
      </w:r>
      <w:r>
        <w:rPr>
          <w:rFonts w:hint="eastAsia"/>
        </w:rPr>
        <w:t>、</w:t>
      </w:r>
      <w:r>
        <w:t>本次招标采购内容为</w:t>
      </w:r>
      <w:r>
        <w:rPr>
          <w:rFonts w:hint="eastAsia" w:hAnsi="宋体"/>
        </w:rPr>
        <w:t>浙江巨程钢瓶有限公司</w:t>
      </w:r>
      <w:r>
        <w:rPr>
          <w:rFonts w:hint="eastAsia" w:ascii="宋体" w:hAnsi="宋体"/>
          <w:kern w:val="144"/>
          <w:szCs w:val="21"/>
        </w:rPr>
        <w:t>202</w:t>
      </w:r>
      <w:r>
        <w:rPr>
          <w:rFonts w:hint="eastAsia" w:ascii="宋体" w:hAnsi="宋体"/>
          <w:kern w:val="144"/>
          <w:szCs w:val="21"/>
          <w:lang w:val="en-US" w:eastAsia="zh-CN"/>
        </w:rPr>
        <w:t>6</w:t>
      </w:r>
      <w:r>
        <w:rPr>
          <w:rFonts w:hint="eastAsia" w:ascii="宋体" w:hAnsi="宋体"/>
          <w:kern w:val="144"/>
          <w:szCs w:val="21"/>
        </w:rPr>
        <w:t>年生产</w:t>
      </w:r>
      <w:r>
        <w:rPr>
          <w:rFonts w:hint="eastAsia" w:ascii="宋体" w:hAnsi="宋体"/>
          <w:szCs w:val="21"/>
        </w:rPr>
        <w:t>非重复充装钢瓶</w:t>
      </w:r>
      <w:r>
        <w:rPr>
          <w:rFonts w:hint="eastAsia" w:ascii="宋体" w:hAnsi="宋体"/>
          <w:kern w:val="144"/>
          <w:szCs w:val="21"/>
        </w:rPr>
        <w:t>所需</w:t>
      </w:r>
      <w:r>
        <w:rPr>
          <w:rFonts w:hint="eastAsia" w:ascii="宋体" w:hAnsi="宋体"/>
          <w:szCs w:val="21"/>
        </w:rPr>
        <w:t>的爆破片</w:t>
      </w:r>
      <w:r>
        <w:rPr>
          <w:rFonts w:hint="eastAsia"/>
        </w:rPr>
        <w:t>，</w:t>
      </w:r>
      <w:r>
        <w:t>投标人应根据招标文件所提出的采购内容和技术、服务要求</w:t>
      </w:r>
      <w:r>
        <w:rPr>
          <w:rFonts w:hint="eastAsia"/>
        </w:rPr>
        <w:t>参与</w:t>
      </w:r>
      <w:r>
        <w:t>投标。希望投标人以精良的产品、优良的服务和优惠的价格，充分显示贵公司的竞争实力。</w:t>
      </w:r>
    </w:p>
    <w:p w14:paraId="6B1AD0BA">
      <w:pPr>
        <w:pStyle w:val="4"/>
        <w:jc w:val="both"/>
        <w:rPr>
          <w:rFonts w:ascii="宋体" w:hAnsi="宋体"/>
          <w:b w:val="0"/>
          <w:bCs w:val="0"/>
          <w:sz w:val="21"/>
          <w:szCs w:val="21"/>
        </w:rPr>
      </w:pPr>
      <w:r>
        <w:rPr>
          <w:rFonts w:hint="eastAsia" w:ascii="宋体" w:hAnsi="宋体"/>
          <w:b w:val="0"/>
          <w:bCs w:val="0"/>
          <w:sz w:val="21"/>
          <w:szCs w:val="21"/>
        </w:rPr>
        <w:t xml:space="preserve"> 采购</w:t>
      </w:r>
      <w:r>
        <w:rPr>
          <w:rFonts w:hint="eastAsia" w:hAnsi="宋体"/>
          <w:sz w:val="21"/>
          <w:szCs w:val="21"/>
        </w:rPr>
        <w:t>预估</w:t>
      </w:r>
      <w:r>
        <w:rPr>
          <w:rFonts w:hint="eastAsia" w:ascii="宋体" w:hAnsi="宋体"/>
          <w:b w:val="0"/>
          <w:bCs w:val="0"/>
          <w:sz w:val="21"/>
          <w:szCs w:val="21"/>
        </w:rPr>
        <w:t>数量：</w:t>
      </w:r>
    </w:p>
    <w:tbl>
      <w:tblPr>
        <w:tblStyle w:val="10"/>
        <w:tblW w:w="402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0"/>
        <w:gridCol w:w="4066"/>
      </w:tblGrid>
      <w:tr w14:paraId="4043F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039" w:type="pct"/>
            <w:vAlign w:val="center"/>
          </w:tcPr>
          <w:p w14:paraId="219452EE">
            <w:pPr>
              <w:jc w:val="center"/>
              <w:rPr>
                <w:b/>
              </w:rPr>
            </w:pPr>
            <w:r>
              <w:rPr>
                <w:rFonts w:hint="eastAsia"/>
                <w:b/>
              </w:rPr>
              <w:t>物料名称</w:t>
            </w:r>
          </w:p>
        </w:tc>
        <w:tc>
          <w:tcPr>
            <w:tcW w:w="2960" w:type="pct"/>
            <w:vAlign w:val="center"/>
          </w:tcPr>
          <w:p w14:paraId="67E5A5E5">
            <w:pPr>
              <w:jc w:val="center"/>
              <w:rPr>
                <w:b/>
              </w:rPr>
            </w:pPr>
            <w:r>
              <w:rPr>
                <w:rFonts w:hint="eastAsia" w:hAnsi="宋体"/>
                <w:szCs w:val="21"/>
              </w:rPr>
              <w:t>采购预估</w:t>
            </w:r>
            <w:r>
              <w:rPr>
                <w:rFonts w:hint="eastAsia"/>
                <w:b/>
              </w:rPr>
              <w:t>数量</w:t>
            </w:r>
          </w:p>
        </w:tc>
      </w:tr>
      <w:tr w14:paraId="43ACF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039" w:type="pct"/>
            <w:vAlign w:val="center"/>
          </w:tcPr>
          <w:p w14:paraId="3BC8EA90">
            <w:pPr>
              <w:jc w:val="center"/>
              <w:rPr>
                <w:b/>
              </w:rPr>
            </w:pPr>
            <w:r>
              <w:rPr>
                <w:rFonts w:hint="eastAsia"/>
              </w:rPr>
              <w:t>爆破片</w:t>
            </w:r>
          </w:p>
        </w:tc>
        <w:tc>
          <w:tcPr>
            <w:tcW w:w="2960" w:type="pct"/>
            <w:vAlign w:val="center"/>
          </w:tcPr>
          <w:p w14:paraId="397DC6AF">
            <w:pPr>
              <w:jc w:val="center"/>
            </w:pPr>
            <w:r>
              <w:rPr>
                <w:rFonts w:hint="eastAsia"/>
                <w:strike w:val="0"/>
                <w:dstrike w:val="0"/>
                <w:color w:val="auto"/>
                <w:lang w:val="en-US" w:eastAsia="zh-CN"/>
              </w:rPr>
              <w:t>6500000</w:t>
            </w:r>
            <w:r>
              <w:rPr>
                <w:rFonts w:hint="eastAsia"/>
              </w:rPr>
              <w:t>片</w:t>
            </w:r>
          </w:p>
        </w:tc>
      </w:tr>
    </w:tbl>
    <w:p w14:paraId="31BA8746">
      <w:pPr>
        <w:pStyle w:val="22"/>
        <w:tabs>
          <w:tab w:val="left" w:pos="6946"/>
          <w:tab w:val="left" w:pos="9540"/>
        </w:tabs>
        <w:autoSpaceDE w:val="0"/>
        <w:autoSpaceDN w:val="0"/>
        <w:spacing w:line="360" w:lineRule="auto"/>
        <w:textAlignment w:val="bottom"/>
        <w:rPr>
          <w:rFonts w:hAnsi="宋体"/>
          <w:sz w:val="21"/>
          <w:szCs w:val="21"/>
        </w:rPr>
      </w:pPr>
      <w:r>
        <w:rPr>
          <w:rFonts w:hint="eastAsia" w:hAnsi="宋体"/>
          <w:sz w:val="21"/>
          <w:szCs w:val="21"/>
        </w:rPr>
        <w:t>采购的总量为202</w:t>
      </w:r>
      <w:r>
        <w:rPr>
          <w:rFonts w:hint="eastAsia" w:hAnsi="宋体"/>
          <w:sz w:val="21"/>
          <w:szCs w:val="21"/>
          <w:lang w:val="en-US" w:eastAsia="zh-CN"/>
        </w:rPr>
        <w:t>6</w:t>
      </w:r>
      <w:r>
        <w:rPr>
          <w:rFonts w:hint="eastAsia" w:hAnsi="宋体"/>
          <w:sz w:val="21"/>
          <w:szCs w:val="21"/>
        </w:rPr>
        <w:t>年的采购预估量，最终结算数量按实际订单确定。</w:t>
      </w:r>
    </w:p>
    <w:p w14:paraId="36236988">
      <w:pPr>
        <w:snapToGrid w:val="0"/>
        <w:spacing w:line="360" w:lineRule="auto"/>
        <w:ind w:firstLine="411" w:firstLineChars="196"/>
      </w:pPr>
    </w:p>
    <w:p w14:paraId="501C3194">
      <w:pPr>
        <w:adjustRightInd w:val="0"/>
        <w:snapToGrid w:val="0"/>
        <w:spacing w:line="360" w:lineRule="auto"/>
        <w:ind w:firstLine="420" w:firstLineChars="200"/>
        <w:rPr>
          <w:rFonts w:hAnsi="宋体"/>
          <w:szCs w:val="21"/>
        </w:rPr>
      </w:pPr>
      <w:r>
        <w:rPr>
          <w:rFonts w:hint="eastAsia" w:hAnsi="宋体"/>
          <w:szCs w:val="21"/>
        </w:rPr>
        <w:t>2、</w:t>
      </w:r>
      <w:r>
        <w:rPr>
          <w:rFonts w:hAnsi="宋体"/>
          <w:szCs w:val="21"/>
        </w:rPr>
        <w:t>技术</w:t>
      </w:r>
      <w:r>
        <w:rPr>
          <w:rFonts w:hint="eastAsia" w:hAnsi="宋体"/>
          <w:szCs w:val="21"/>
        </w:rPr>
        <w:t>要求：</w:t>
      </w:r>
      <w:r>
        <w:rPr>
          <w:rFonts w:hAnsi="宋体"/>
          <w:szCs w:val="21"/>
        </w:rPr>
        <w:t xml:space="preserve"> </w:t>
      </w:r>
    </w:p>
    <w:p w14:paraId="43A81CCD">
      <w:pPr>
        <w:adjustRightInd w:val="0"/>
        <w:snapToGrid w:val="0"/>
        <w:spacing w:line="360" w:lineRule="auto"/>
        <w:ind w:firstLine="420" w:firstLineChars="200"/>
        <w:rPr>
          <w:rFonts w:hAnsi="宋体"/>
          <w:szCs w:val="21"/>
        </w:rPr>
      </w:pPr>
      <w:r>
        <w:rPr>
          <w:rFonts w:hint="eastAsia" w:hAnsi="宋体"/>
          <w:szCs w:val="21"/>
        </w:rPr>
        <w:t>2.1</w:t>
      </w:r>
      <w:r>
        <w:rPr>
          <w:rFonts w:hint="eastAsia"/>
        </w:rPr>
        <w:t>投标人须按图1标注的尺寸进行生产</w:t>
      </w:r>
    </w:p>
    <w:p w14:paraId="5B011F8D">
      <w:pPr>
        <w:adjustRightInd w:val="0"/>
        <w:snapToGrid w:val="0"/>
        <w:spacing w:line="360" w:lineRule="auto"/>
        <w:ind w:firstLine="420" w:firstLineChars="200"/>
        <w:jc w:val="center"/>
        <w:rPr>
          <w:rFonts w:hAnsi="宋体"/>
          <w:szCs w:val="21"/>
        </w:rPr>
      </w:pPr>
      <w:r>
        <w:rPr>
          <w:rFonts w:hAnsi="宋体"/>
          <w:szCs w:val="21"/>
        </w:rPr>
        <w:drawing>
          <wp:inline distT="0" distB="0" distL="0" distR="0">
            <wp:extent cx="1786255" cy="1219200"/>
            <wp:effectExtent l="19050" t="0" r="3941" b="0"/>
            <wp:docPr id="3" name="图片 1" descr="E:\采购\爆破片技术协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E:\采购\爆破片技术协议.jpg"/>
                    <pic:cNvPicPr>
                      <a:picLocks noChangeAspect="1" noChangeArrowheads="1"/>
                    </pic:cNvPicPr>
                  </pic:nvPicPr>
                  <pic:blipFill>
                    <a:blip r:embed="rId9" cstate="print"/>
                    <a:srcRect/>
                    <a:stretch>
                      <a:fillRect/>
                    </a:stretch>
                  </pic:blipFill>
                  <pic:spPr>
                    <a:xfrm>
                      <a:off x="0" y="0"/>
                      <a:ext cx="1786759" cy="1219200"/>
                    </a:xfrm>
                    <a:prstGeom prst="rect">
                      <a:avLst/>
                    </a:prstGeom>
                    <a:noFill/>
                    <a:ln w="9525">
                      <a:noFill/>
                      <a:miter lim="800000"/>
                      <a:headEnd/>
                      <a:tailEnd/>
                    </a:ln>
                  </pic:spPr>
                </pic:pic>
              </a:graphicData>
            </a:graphic>
          </wp:inline>
        </w:drawing>
      </w:r>
    </w:p>
    <w:p w14:paraId="1E536856">
      <w:pPr>
        <w:adjustRightInd w:val="0"/>
        <w:snapToGrid w:val="0"/>
        <w:spacing w:line="360" w:lineRule="auto"/>
        <w:ind w:firstLine="420" w:firstLineChars="200"/>
        <w:rPr>
          <w:rFonts w:hAnsi="宋体"/>
          <w:szCs w:val="21"/>
        </w:rPr>
      </w:pPr>
      <w:r>
        <w:rPr>
          <w:rFonts w:hint="eastAsia"/>
        </w:rPr>
        <w:t xml:space="preserve">                           图1  爆破片尺寸图</w:t>
      </w:r>
    </w:p>
    <w:p w14:paraId="1DE12B6D">
      <w:pPr>
        <w:widowControl/>
        <w:autoSpaceDE w:val="0"/>
        <w:autoSpaceDN w:val="0"/>
        <w:adjustRightInd w:val="0"/>
        <w:snapToGrid w:val="0"/>
        <w:spacing w:line="360" w:lineRule="auto"/>
        <w:textAlignment w:val="bottom"/>
      </w:pPr>
      <w:r>
        <w:rPr>
          <w:rFonts w:hint="eastAsia"/>
        </w:rPr>
        <w:t xml:space="preserve">    2.2</w:t>
      </w:r>
      <w:r>
        <w:rPr>
          <w:rFonts w:hint="eastAsia"/>
          <w:szCs w:val="21"/>
        </w:rPr>
        <w:t>爆破片技术参数要求如下：</w:t>
      </w:r>
    </w:p>
    <w:tbl>
      <w:tblPr>
        <w:tblStyle w:val="11"/>
        <w:tblpPr w:leftFromText="180" w:rightFromText="180" w:vertAnchor="text" w:horzAnchor="margin" w:tblpXSpec="center" w:tblpY="152"/>
        <w:tblW w:w="686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83"/>
        <w:gridCol w:w="1303"/>
        <w:gridCol w:w="1009"/>
        <w:gridCol w:w="1433"/>
        <w:gridCol w:w="1275"/>
        <w:gridCol w:w="1164"/>
      </w:tblGrid>
      <w:tr w14:paraId="1D03FAD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6" w:hRule="atLeast"/>
        </w:trPr>
        <w:tc>
          <w:tcPr>
            <w:tcW w:w="683" w:type="dxa"/>
            <w:vAlign w:val="center"/>
          </w:tcPr>
          <w:p w14:paraId="79E6585B">
            <w:pPr>
              <w:jc w:val="center"/>
              <w:rPr>
                <w:szCs w:val="21"/>
              </w:rPr>
            </w:pPr>
            <w:r>
              <w:rPr>
                <w:rFonts w:hint="eastAsia"/>
                <w:szCs w:val="21"/>
              </w:rPr>
              <w:t>序</w:t>
            </w:r>
          </w:p>
          <w:p w14:paraId="4F0B9401">
            <w:pPr>
              <w:jc w:val="center"/>
              <w:rPr>
                <w:szCs w:val="21"/>
              </w:rPr>
            </w:pPr>
            <w:r>
              <w:rPr>
                <w:rFonts w:hint="eastAsia"/>
                <w:szCs w:val="21"/>
              </w:rPr>
              <w:t>号</w:t>
            </w:r>
          </w:p>
        </w:tc>
        <w:tc>
          <w:tcPr>
            <w:tcW w:w="1303" w:type="dxa"/>
            <w:vAlign w:val="center"/>
          </w:tcPr>
          <w:p w14:paraId="518D3F4B">
            <w:pPr>
              <w:jc w:val="center"/>
              <w:rPr>
                <w:szCs w:val="21"/>
              </w:rPr>
            </w:pPr>
            <w:r>
              <w:rPr>
                <w:rFonts w:hint="eastAsia"/>
                <w:szCs w:val="21"/>
              </w:rPr>
              <w:t>型号</w:t>
            </w:r>
          </w:p>
        </w:tc>
        <w:tc>
          <w:tcPr>
            <w:tcW w:w="1009" w:type="dxa"/>
            <w:vAlign w:val="center"/>
          </w:tcPr>
          <w:p w14:paraId="1C456EA4">
            <w:pPr>
              <w:jc w:val="center"/>
              <w:rPr>
                <w:szCs w:val="21"/>
              </w:rPr>
            </w:pPr>
            <w:r>
              <w:rPr>
                <w:rFonts w:hint="eastAsia"/>
                <w:szCs w:val="21"/>
              </w:rPr>
              <w:t>公称</w:t>
            </w:r>
          </w:p>
          <w:p w14:paraId="3D47C224">
            <w:pPr>
              <w:jc w:val="center"/>
              <w:rPr>
                <w:szCs w:val="21"/>
              </w:rPr>
            </w:pPr>
            <w:r>
              <w:rPr>
                <w:rFonts w:hint="eastAsia"/>
                <w:szCs w:val="21"/>
              </w:rPr>
              <w:t>通径</w:t>
            </w:r>
          </w:p>
          <w:p w14:paraId="30000E56">
            <w:pPr>
              <w:jc w:val="center"/>
              <w:rPr>
                <w:szCs w:val="21"/>
              </w:rPr>
            </w:pPr>
            <w:r>
              <w:rPr>
                <w:szCs w:val="21"/>
              </w:rPr>
              <w:t>( mm)</w:t>
            </w:r>
          </w:p>
        </w:tc>
        <w:tc>
          <w:tcPr>
            <w:tcW w:w="1433" w:type="dxa"/>
            <w:vAlign w:val="center"/>
          </w:tcPr>
          <w:p w14:paraId="2DC5B6E7">
            <w:pPr>
              <w:jc w:val="center"/>
              <w:rPr>
                <w:szCs w:val="21"/>
              </w:rPr>
            </w:pPr>
            <w:r>
              <w:rPr>
                <w:rFonts w:hint="eastAsia"/>
                <w:szCs w:val="21"/>
              </w:rPr>
              <w:t>额定爆破</w:t>
            </w:r>
          </w:p>
          <w:p w14:paraId="502B0C0C">
            <w:pPr>
              <w:jc w:val="center"/>
              <w:rPr>
                <w:szCs w:val="21"/>
              </w:rPr>
            </w:pPr>
            <w:r>
              <w:rPr>
                <w:rFonts w:hint="eastAsia"/>
                <w:szCs w:val="21"/>
              </w:rPr>
              <w:t>压力</w:t>
            </w:r>
          </w:p>
          <w:p w14:paraId="0C15130A">
            <w:pPr>
              <w:jc w:val="center"/>
              <w:rPr>
                <w:szCs w:val="21"/>
              </w:rPr>
            </w:pPr>
            <w:r>
              <w:rPr>
                <w:rFonts w:hint="eastAsia"/>
                <w:szCs w:val="21"/>
              </w:rPr>
              <w:t>(MPa)</w:t>
            </w:r>
          </w:p>
        </w:tc>
        <w:tc>
          <w:tcPr>
            <w:tcW w:w="1275" w:type="dxa"/>
            <w:vAlign w:val="center"/>
          </w:tcPr>
          <w:p w14:paraId="2C051CB9">
            <w:pPr>
              <w:jc w:val="center"/>
              <w:rPr>
                <w:szCs w:val="21"/>
              </w:rPr>
            </w:pPr>
            <w:r>
              <w:rPr>
                <w:rFonts w:hint="eastAsia"/>
                <w:szCs w:val="21"/>
              </w:rPr>
              <w:t>试验爆破温度</w:t>
            </w:r>
          </w:p>
          <w:p w14:paraId="7357183A">
            <w:pPr>
              <w:jc w:val="center"/>
              <w:rPr>
                <w:szCs w:val="21"/>
              </w:rPr>
            </w:pPr>
            <w:r>
              <w:rPr>
                <w:rFonts w:hint="eastAsia"/>
                <w:szCs w:val="21"/>
              </w:rPr>
              <w:t>(℃)</w:t>
            </w:r>
          </w:p>
        </w:tc>
        <w:tc>
          <w:tcPr>
            <w:tcW w:w="1164" w:type="dxa"/>
            <w:vAlign w:val="center"/>
          </w:tcPr>
          <w:p w14:paraId="771764DE">
            <w:pPr>
              <w:jc w:val="center"/>
              <w:rPr>
                <w:szCs w:val="21"/>
              </w:rPr>
            </w:pPr>
            <w:r>
              <w:rPr>
                <w:rFonts w:hint="eastAsia"/>
                <w:szCs w:val="21"/>
              </w:rPr>
              <w:t>材料</w:t>
            </w:r>
          </w:p>
        </w:tc>
      </w:tr>
      <w:tr w14:paraId="061E1D2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5" w:hRule="atLeast"/>
        </w:trPr>
        <w:tc>
          <w:tcPr>
            <w:tcW w:w="683" w:type="dxa"/>
            <w:vAlign w:val="center"/>
          </w:tcPr>
          <w:p w14:paraId="4C7A2CD4">
            <w:pPr>
              <w:jc w:val="center"/>
              <w:rPr>
                <w:szCs w:val="21"/>
              </w:rPr>
            </w:pPr>
            <w:r>
              <w:rPr>
                <w:szCs w:val="21"/>
              </w:rPr>
              <w:t>1</w:t>
            </w:r>
          </w:p>
        </w:tc>
        <w:tc>
          <w:tcPr>
            <w:tcW w:w="1303" w:type="dxa"/>
            <w:vAlign w:val="center"/>
          </w:tcPr>
          <w:p w14:paraId="4B6F235C">
            <w:pPr>
              <w:jc w:val="center"/>
              <w:rPr>
                <w:szCs w:val="21"/>
              </w:rPr>
            </w:pPr>
            <w:r>
              <w:rPr>
                <w:szCs w:val="21"/>
              </w:rPr>
              <w:t>LC18-3.5</w:t>
            </w:r>
          </w:p>
        </w:tc>
        <w:tc>
          <w:tcPr>
            <w:tcW w:w="1009" w:type="dxa"/>
            <w:vAlign w:val="center"/>
          </w:tcPr>
          <w:p w14:paraId="7B05ECFC">
            <w:pPr>
              <w:jc w:val="center"/>
              <w:rPr>
                <w:szCs w:val="21"/>
              </w:rPr>
            </w:pPr>
            <w:r>
              <w:rPr>
                <w:rFonts w:hint="eastAsia"/>
                <w:szCs w:val="21"/>
              </w:rPr>
              <w:t>φ</w:t>
            </w:r>
            <w:r>
              <w:rPr>
                <w:szCs w:val="21"/>
              </w:rPr>
              <w:t>18</w:t>
            </w:r>
          </w:p>
        </w:tc>
        <w:tc>
          <w:tcPr>
            <w:tcW w:w="1433" w:type="dxa"/>
            <w:vAlign w:val="center"/>
          </w:tcPr>
          <w:p w14:paraId="33CC52D4">
            <w:pPr>
              <w:jc w:val="center"/>
              <w:rPr>
                <w:szCs w:val="21"/>
              </w:rPr>
            </w:pPr>
            <w:r>
              <w:rPr>
                <w:szCs w:val="21"/>
              </w:rPr>
              <w:t>3.</w:t>
            </w:r>
            <w:r>
              <w:rPr>
                <w:rFonts w:hint="eastAsia"/>
                <w:szCs w:val="21"/>
              </w:rPr>
              <w:t>4</w:t>
            </w:r>
            <w:r>
              <w:rPr>
                <w:szCs w:val="21"/>
              </w:rPr>
              <w:t>-3.7</w:t>
            </w:r>
          </w:p>
        </w:tc>
        <w:tc>
          <w:tcPr>
            <w:tcW w:w="1275" w:type="dxa"/>
            <w:vAlign w:val="center"/>
          </w:tcPr>
          <w:p w14:paraId="15228741">
            <w:pPr>
              <w:jc w:val="center"/>
              <w:rPr>
                <w:szCs w:val="21"/>
              </w:rPr>
            </w:pPr>
            <w:r>
              <w:rPr>
                <w:rFonts w:hint="eastAsia"/>
                <w:szCs w:val="21"/>
              </w:rPr>
              <w:t>20</w:t>
            </w:r>
          </w:p>
        </w:tc>
        <w:tc>
          <w:tcPr>
            <w:tcW w:w="1164" w:type="dxa"/>
            <w:vAlign w:val="center"/>
          </w:tcPr>
          <w:p w14:paraId="293C7A19">
            <w:pPr>
              <w:jc w:val="center"/>
              <w:rPr>
                <w:szCs w:val="21"/>
              </w:rPr>
            </w:pPr>
            <w:r>
              <w:rPr>
                <w:rFonts w:hint="eastAsia"/>
                <w:szCs w:val="21"/>
              </w:rPr>
              <w:t>SUS316</w:t>
            </w:r>
          </w:p>
        </w:tc>
      </w:tr>
      <w:tr w14:paraId="7FAB194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9" w:hRule="atLeast"/>
        </w:trPr>
        <w:tc>
          <w:tcPr>
            <w:tcW w:w="683" w:type="dxa"/>
            <w:vAlign w:val="center"/>
          </w:tcPr>
          <w:p w14:paraId="7903D962">
            <w:pPr>
              <w:jc w:val="center"/>
              <w:rPr>
                <w:szCs w:val="21"/>
              </w:rPr>
            </w:pPr>
            <w:r>
              <w:rPr>
                <w:rFonts w:hint="eastAsia"/>
                <w:szCs w:val="21"/>
              </w:rPr>
              <w:t>2</w:t>
            </w:r>
          </w:p>
        </w:tc>
        <w:tc>
          <w:tcPr>
            <w:tcW w:w="1303" w:type="dxa"/>
            <w:vAlign w:val="center"/>
          </w:tcPr>
          <w:p w14:paraId="5F20882F">
            <w:pPr>
              <w:jc w:val="center"/>
              <w:rPr>
                <w:szCs w:val="21"/>
              </w:rPr>
            </w:pPr>
            <w:r>
              <w:rPr>
                <w:szCs w:val="21"/>
              </w:rPr>
              <w:t>LC18-5.0</w:t>
            </w:r>
          </w:p>
        </w:tc>
        <w:tc>
          <w:tcPr>
            <w:tcW w:w="1009" w:type="dxa"/>
            <w:vAlign w:val="center"/>
          </w:tcPr>
          <w:p w14:paraId="4BDE53ED">
            <w:pPr>
              <w:jc w:val="center"/>
              <w:rPr>
                <w:szCs w:val="21"/>
              </w:rPr>
            </w:pPr>
            <w:r>
              <w:rPr>
                <w:rFonts w:hint="eastAsia"/>
                <w:szCs w:val="21"/>
              </w:rPr>
              <w:t>φ</w:t>
            </w:r>
            <w:r>
              <w:rPr>
                <w:szCs w:val="21"/>
              </w:rPr>
              <w:t>18</w:t>
            </w:r>
          </w:p>
        </w:tc>
        <w:tc>
          <w:tcPr>
            <w:tcW w:w="1433" w:type="dxa"/>
            <w:vAlign w:val="center"/>
          </w:tcPr>
          <w:p w14:paraId="278262EE">
            <w:pPr>
              <w:jc w:val="center"/>
              <w:rPr>
                <w:szCs w:val="21"/>
              </w:rPr>
            </w:pPr>
            <w:r>
              <w:rPr>
                <w:rFonts w:hint="eastAsia"/>
                <w:szCs w:val="21"/>
              </w:rPr>
              <w:t>4.5-5.25</w:t>
            </w:r>
          </w:p>
        </w:tc>
        <w:tc>
          <w:tcPr>
            <w:tcW w:w="1275" w:type="dxa"/>
            <w:vAlign w:val="center"/>
          </w:tcPr>
          <w:p w14:paraId="65B33AEF">
            <w:pPr>
              <w:jc w:val="center"/>
              <w:rPr>
                <w:szCs w:val="21"/>
              </w:rPr>
            </w:pPr>
            <w:r>
              <w:rPr>
                <w:rFonts w:hint="eastAsia"/>
                <w:szCs w:val="21"/>
              </w:rPr>
              <w:t>20</w:t>
            </w:r>
          </w:p>
        </w:tc>
        <w:tc>
          <w:tcPr>
            <w:tcW w:w="1164" w:type="dxa"/>
            <w:vAlign w:val="center"/>
          </w:tcPr>
          <w:p w14:paraId="0E5EFB08">
            <w:pPr>
              <w:jc w:val="center"/>
              <w:rPr>
                <w:szCs w:val="21"/>
              </w:rPr>
            </w:pPr>
            <w:r>
              <w:rPr>
                <w:rFonts w:hint="eastAsia"/>
                <w:szCs w:val="21"/>
              </w:rPr>
              <w:t>SUS316</w:t>
            </w:r>
          </w:p>
        </w:tc>
      </w:tr>
      <w:tr w14:paraId="5371E80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9" w:hRule="atLeast"/>
        </w:trPr>
        <w:tc>
          <w:tcPr>
            <w:tcW w:w="683" w:type="dxa"/>
            <w:vAlign w:val="center"/>
          </w:tcPr>
          <w:p w14:paraId="532E0962">
            <w:pPr>
              <w:jc w:val="center"/>
              <w:rPr>
                <w:rFonts w:hint="eastAsia"/>
                <w:szCs w:val="21"/>
              </w:rPr>
            </w:pPr>
            <w:r>
              <w:rPr>
                <w:rFonts w:hint="eastAsia"/>
                <w:szCs w:val="21"/>
              </w:rPr>
              <w:t>备注</w:t>
            </w:r>
          </w:p>
        </w:tc>
        <w:tc>
          <w:tcPr>
            <w:tcW w:w="6184" w:type="dxa"/>
            <w:gridSpan w:val="5"/>
            <w:vAlign w:val="center"/>
          </w:tcPr>
          <w:p w14:paraId="74A877F1">
            <w:pPr>
              <w:jc w:val="center"/>
              <w:rPr>
                <w:rFonts w:hint="eastAsia"/>
                <w:szCs w:val="21"/>
              </w:rPr>
            </w:pPr>
            <w:r>
              <w:rPr>
                <w:rFonts w:hint="eastAsia"/>
                <w:color w:val="auto"/>
                <w:szCs w:val="21"/>
              </w:rPr>
              <w:t>未列明的按订单要求</w:t>
            </w:r>
          </w:p>
        </w:tc>
      </w:tr>
    </w:tbl>
    <w:p w14:paraId="4C7CF4FA"/>
    <w:p w14:paraId="7532A522"/>
    <w:p w14:paraId="0E910573"/>
    <w:p w14:paraId="6F76A279"/>
    <w:p w14:paraId="6A8BE438"/>
    <w:p w14:paraId="0F6B9118"/>
    <w:p w14:paraId="5E51F083"/>
    <w:p w14:paraId="091CC333"/>
    <w:p w14:paraId="3F2E0C41">
      <w:r>
        <w:rPr>
          <w:rFonts w:hint="eastAsia"/>
        </w:rPr>
        <w:t xml:space="preserve"> </w:t>
      </w:r>
    </w:p>
    <w:p w14:paraId="45819E9F">
      <w:pPr>
        <w:rPr>
          <w:rFonts w:hint="eastAsia"/>
        </w:rPr>
      </w:pPr>
      <w:r>
        <w:rPr>
          <w:rFonts w:hint="eastAsia"/>
        </w:rPr>
        <w:t xml:space="preserve">     </w:t>
      </w:r>
    </w:p>
    <w:p w14:paraId="5FB34F48">
      <w:pPr>
        <w:rPr>
          <w:rFonts w:hint="eastAsia"/>
        </w:rPr>
      </w:pPr>
    </w:p>
    <w:p w14:paraId="6EFCC1DE">
      <w:r>
        <w:rPr>
          <w:rFonts w:hint="eastAsia"/>
        </w:rPr>
        <w:t>2.3爆破片的制造与验收应符合TSG ZF003-2011《爆破片装置安全技术监察规程》、 GB/T16918《气瓶用爆破片安全装置》、GB/T17268《工业用非重复充装焊接钢瓶》和本</w:t>
      </w:r>
      <w:r>
        <w:rPr>
          <w:rFonts w:hint="eastAsia"/>
          <w:lang w:val="en-US" w:eastAsia="zh-CN"/>
        </w:rPr>
        <w:t>文件</w:t>
      </w:r>
      <w:r>
        <w:rPr>
          <w:rFonts w:hint="eastAsia"/>
        </w:rPr>
        <w:t>的要求。</w:t>
      </w:r>
    </w:p>
    <w:p w14:paraId="495F21B0">
      <w:pPr>
        <w:widowControl/>
        <w:autoSpaceDE w:val="0"/>
        <w:autoSpaceDN w:val="0"/>
        <w:adjustRightInd w:val="0"/>
        <w:snapToGrid w:val="0"/>
        <w:spacing w:line="360" w:lineRule="auto"/>
        <w:textAlignment w:val="bottom"/>
      </w:pPr>
      <w:r>
        <w:rPr>
          <w:rFonts w:hint="eastAsia"/>
        </w:rPr>
        <w:t>2.4送货时须提供爆破片的批量质量证明书</w:t>
      </w:r>
      <w:r>
        <w:rPr>
          <w:rFonts w:hint="eastAsia"/>
          <w:lang w:eastAsia="zh-CN"/>
        </w:rPr>
        <w:t>、</w:t>
      </w:r>
      <w:r>
        <w:rPr>
          <w:rFonts w:hint="eastAsia"/>
        </w:rPr>
        <w:t>爆破片材料的质量证明书</w:t>
      </w:r>
      <w:r>
        <w:rPr>
          <w:rFonts w:hint="eastAsia"/>
          <w:lang w:val="en-US" w:eastAsia="zh-CN"/>
        </w:rPr>
        <w:t>及复验报告</w:t>
      </w:r>
      <w:r>
        <w:rPr>
          <w:rFonts w:hint="eastAsia"/>
        </w:rPr>
        <w:t>。</w:t>
      </w:r>
    </w:p>
    <w:p w14:paraId="2A80F492">
      <w:pPr>
        <w:widowControl/>
        <w:autoSpaceDE w:val="0"/>
        <w:autoSpaceDN w:val="0"/>
        <w:adjustRightInd w:val="0"/>
        <w:snapToGrid w:val="0"/>
        <w:spacing w:line="360" w:lineRule="auto"/>
        <w:jc w:val="center"/>
        <w:textAlignment w:val="bottom"/>
        <w:rPr>
          <w:rFonts w:hint="eastAsia"/>
          <w:b/>
          <w:kern w:val="0"/>
          <w:sz w:val="28"/>
          <w:szCs w:val="28"/>
        </w:rPr>
      </w:pPr>
    </w:p>
    <w:p w14:paraId="31B746CC">
      <w:pPr>
        <w:widowControl/>
        <w:autoSpaceDE w:val="0"/>
        <w:autoSpaceDN w:val="0"/>
        <w:adjustRightInd w:val="0"/>
        <w:snapToGrid w:val="0"/>
        <w:spacing w:line="360" w:lineRule="auto"/>
        <w:jc w:val="center"/>
        <w:textAlignment w:val="bottom"/>
        <w:rPr>
          <w:b/>
          <w:kern w:val="0"/>
          <w:sz w:val="28"/>
          <w:szCs w:val="28"/>
        </w:rPr>
      </w:pPr>
      <w:r>
        <w:rPr>
          <w:rFonts w:hint="eastAsia"/>
          <w:b/>
          <w:kern w:val="0"/>
          <w:sz w:val="28"/>
          <w:szCs w:val="28"/>
        </w:rPr>
        <w:t>第</w:t>
      </w:r>
      <w:r>
        <w:rPr>
          <w:rFonts w:hint="eastAsia"/>
          <w:b/>
          <w:kern w:val="0"/>
          <w:sz w:val="28"/>
          <w:szCs w:val="28"/>
          <w:lang w:val="en-US" w:eastAsia="zh-CN"/>
        </w:rPr>
        <w:t>四</w:t>
      </w:r>
      <w:r>
        <w:rPr>
          <w:rFonts w:hint="eastAsia"/>
          <w:b/>
          <w:kern w:val="0"/>
          <w:sz w:val="28"/>
          <w:szCs w:val="28"/>
        </w:rPr>
        <w:t xml:space="preserve">章  </w:t>
      </w:r>
      <w:r>
        <w:rPr>
          <w:b/>
          <w:kern w:val="0"/>
          <w:sz w:val="28"/>
          <w:szCs w:val="28"/>
        </w:rPr>
        <w:t>主要商务条款</w:t>
      </w:r>
    </w:p>
    <w:p w14:paraId="6C28F4B5">
      <w:pPr>
        <w:spacing w:line="360" w:lineRule="auto"/>
        <w:ind w:left="-119" w:leftChars="-57" w:firstLine="420" w:firstLineChars="200"/>
        <w:jc w:val="center"/>
        <w:rPr>
          <w:rFonts w:ascii="宋体" w:hAnsi="宋体"/>
          <w:b/>
          <w:szCs w:val="21"/>
        </w:rPr>
      </w:pPr>
    </w:p>
    <w:p w14:paraId="3205FC5F">
      <w:pPr>
        <w:adjustRightInd w:val="0"/>
        <w:snapToGrid w:val="0"/>
        <w:spacing w:line="360" w:lineRule="auto"/>
        <w:ind w:firstLine="420" w:firstLineChars="200"/>
        <w:rPr>
          <w:rFonts w:hAnsi="宋体"/>
          <w:color w:val="FF0000"/>
          <w:szCs w:val="21"/>
        </w:rPr>
      </w:pPr>
      <w:r>
        <w:rPr>
          <w:rFonts w:hint="eastAsia"/>
          <w:szCs w:val="21"/>
          <w:lang w:val="en-US" w:eastAsia="zh-CN"/>
        </w:rPr>
        <w:t>一、</w:t>
      </w:r>
      <w:r>
        <w:rPr>
          <w:szCs w:val="21"/>
        </w:rPr>
        <w:t>招标内容：</w:t>
      </w:r>
      <w:r>
        <w:rPr>
          <w:rFonts w:hint="eastAsia" w:ascii="宋体" w:hAnsi="宋体"/>
          <w:szCs w:val="21"/>
        </w:rPr>
        <w:t>非重复充装钢瓶用爆破片</w:t>
      </w:r>
      <w:r>
        <w:rPr>
          <w:rFonts w:hint="eastAsia" w:hAnsi="宋体"/>
          <w:color w:val="000000"/>
          <w:szCs w:val="21"/>
        </w:rPr>
        <w:t>。</w:t>
      </w:r>
    </w:p>
    <w:p w14:paraId="76728791">
      <w:pPr>
        <w:adjustRightInd w:val="0"/>
        <w:snapToGrid w:val="0"/>
        <w:spacing w:line="360" w:lineRule="auto"/>
        <w:ind w:firstLine="420" w:firstLineChars="200"/>
        <w:rPr>
          <w:szCs w:val="21"/>
        </w:rPr>
      </w:pPr>
      <w:r>
        <w:rPr>
          <w:rFonts w:hint="eastAsia"/>
          <w:szCs w:val="21"/>
          <w:lang w:val="en-US" w:eastAsia="zh-CN"/>
        </w:rPr>
        <w:t>二、</w:t>
      </w:r>
      <w:r>
        <w:rPr>
          <w:rFonts w:hAnsi="宋体"/>
          <w:szCs w:val="21"/>
        </w:rPr>
        <w:t>报价一律以人民币报价</w:t>
      </w:r>
      <w:r>
        <w:rPr>
          <w:rFonts w:hint="eastAsia" w:hAnsi="宋体"/>
          <w:szCs w:val="21"/>
        </w:rPr>
        <w:t>，该报价为货物运送至</w:t>
      </w:r>
      <w:r>
        <w:rPr>
          <w:rFonts w:hint="eastAsia" w:hAnsi="宋体"/>
          <w:szCs w:val="21"/>
          <w:lang w:eastAsia="zh-CN"/>
        </w:rPr>
        <w:t>采购人</w:t>
      </w:r>
      <w:r>
        <w:rPr>
          <w:rFonts w:hint="eastAsia" w:hAnsi="宋体"/>
          <w:szCs w:val="21"/>
          <w:lang w:val="zh-CN"/>
        </w:rPr>
        <w:t>指定地点的到库价</w:t>
      </w:r>
      <w:r>
        <w:rPr>
          <w:rFonts w:hint="eastAsia" w:hAnsi="宋体"/>
          <w:szCs w:val="21"/>
        </w:rPr>
        <w:t>，</w:t>
      </w:r>
      <w:r>
        <w:rPr>
          <w:rFonts w:hAnsi="宋体"/>
          <w:szCs w:val="21"/>
        </w:rPr>
        <w:t>包括货物</w:t>
      </w:r>
      <w:r>
        <w:rPr>
          <w:rFonts w:hint="eastAsia" w:hAnsi="宋体"/>
          <w:szCs w:val="21"/>
        </w:rPr>
        <w:t>、</w:t>
      </w:r>
      <w:r>
        <w:rPr>
          <w:rFonts w:hAnsi="宋体"/>
          <w:szCs w:val="21"/>
        </w:rPr>
        <w:t>运输、验收、技术资料、服务、维护等；</w:t>
      </w:r>
    </w:p>
    <w:p w14:paraId="2BC9C353">
      <w:pPr>
        <w:snapToGrid w:val="0"/>
        <w:spacing w:line="360" w:lineRule="auto"/>
        <w:ind w:firstLine="420" w:firstLineChars="200"/>
        <w:rPr>
          <w:rFonts w:hAnsi="宋体"/>
          <w:szCs w:val="21"/>
        </w:rPr>
      </w:pPr>
      <w:r>
        <w:rPr>
          <w:rFonts w:hint="eastAsia" w:hAnsi="宋体"/>
          <w:szCs w:val="21"/>
          <w:lang w:val="en-US" w:eastAsia="zh-CN"/>
        </w:rPr>
        <w:t>三、</w:t>
      </w:r>
      <w:r>
        <w:rPr>
          <w:rFonts w:hAnsi="宋体"/>
          <w:szCs w:val="21"/>
        </w:rPr>
        <w:t>交货期：</w:t>
      </w:r>
      <w:r>
        <w:rPr>
          <w:rFonts w:hint="eastAsia" w:hAnsi="宋体"/>
          <w:szCs w:val="21"/>
        </w:rPr>
        <w:t>投标人需按</w:t>
      </w:r>
      <w:r>
        <w:rPr>
          <w:rFonts w:hint="eastAsia" w:hAnsi="宋体"/>
          <w:szCs w:val="21"/>
          <w:lang w:eastAsia="zh-CN"/>
        </w:rPr>
        <w:t>采购人</w:t>
      </w:r>
      <w:r>
        <w:rPr>
          <w:rFonts w:hint="eastAsia" w:hAnsi="宋体"/>
          <w:szCs w:val="21"/>
        </w:rPr>
        <w:t>的要求保证一定的库存量，收到</w:t>
      </w:r>
      <w:r>
        <w:rPr>
          <w:rFonts w:hint="eastAsia" w:hAnsi="宋体"/>
          <w:szCs w:val="21"/>
          <w:lang w:eastAsia="zh-CN"/>
        </w:rPr>
        <w:t>采购人</w:t>
      </w:r>
      <w:r>
        <w:rPr>
          <w:rFonts w:hint="eastAsia" w:hAnsi="宋体"/>
          <w:szCs w:val="21"/>
        </w:rPr>
        <w:t>送货通知信息后24小时内送到。</w:t>
      </w:r>
    </w:p>
    <w:p w14:paraId="552AA7F5">
      <w:pPr>
        <w:adjustRightInd w:val="0"/>
        <w:snapToGrid w:val="0"/>
        <w:spacing w:line="360" w:lineRule="auto"/>
        <w:ind w:firstLine="420" w:firstLineChars="200"/>
        <w:rPr>
          <w:rFonts w:hAnsi="宋体"/>
          <w:szCs w:val="21"/>
          <w:lang w:val="zh-CN"/>
        </w:rPr>
      </w:pPr>
      <w:r>
        <w:rPr>
          <w:rFonts w:hint="eastAsia" w:hAnsi="宋体"/>
          <w:bCs/>
          <w:szCs w:val="21"/>
          <w:lang w:val="en-US" w:eastAsia="zh-CN"/>
        </w:rPr>
        <w:t>四、</w:t>
      </w:r>
      <w:r>
        <w:rPr>
          <w:rFonts w:hAnsi="宋体"/>
          <w:bCs/>
          <w:szCs w:val="21"/>
        </w:rPr>
        <w:t>货款支付</w:t>
      </w:r>
      <w:r>
        <w:rPr>
          <w:rFonts w:hint="eastAsia" w:hAnsi="宋体"/>
          <w:szCs w:val="21"/>
          <w:lang w:val="zh-CN"/>
        </w:rPr>
        <w:t>：</w:t>
      </w:r>
    </w:p>
    <w:p w14:paraId="4077DD5B">
      <w:pPr>
        <w:adjustRightInd w:val="0"/>
        <w:snapToGrid w:val="0"/>
        <w:spacing w:line="360" w:lineRule="auto"/>
        <w:ind w:firstLine="413" w:firstLineChars="197"/>
        <w:rPr>
          <w:rFonts w:hAnsi="宋体"/>
          <w:szCs w:val="21"/>
        </w:rPr>
      </w:pPr>
      <w:r>
        <w:rPr>
          <w:rFonts w:hint="eastAsia" w:hAnsi="宋体"/>
          <w:szCs w:val="21"/>
        </w:rPr>
        <w:t>经现场验收、检测合格后，投标人提供全额</w:t>
      </w:r>
      <w:r>
        <w:rPr>
          <w:rFonts w:hAnsi="宋体"/>
          <w:szCs w:val="21"/>
        </w:rPr>
        <w:t>1</w:t>
      </w:r>
      <w:r>
        <w:rPr>
          <w:rFonts w:hint="eastAsia" w:hAnsi="宋体"/>
          <w:szCs w:val="21"/>
        </w:rPr>
        <w:t>3</w:t>
      </w:r>
      <w:r>
        <w:rPr>
          <w:rFonts w:hAnsi="宋体"/>
          <w:szCs w:val="21"/>
        </w:rPr>
        <w:t>%</w:t>
      </w:r>
      <w:r>
        <w:rPr>
          <w:rFonts w:hint="eastAsia" w:hAnsi="宋体"/>
          <w:szCs w:val="21"/>
        </w:rPr>
        <w:t>增值税发票，</w:t>
      </w:r>
      <w:r>
        <w:rPr>
          <w:rFonts w:hint="eastAsia" w:hAnsi="宋体"/>
          <w:szCs w:val="21"/>
          <w:lang w:eastAsia="zh-CN"/>
        </w:rPr>
        <w:t>采购人</w:t>
      </w:r>
      <w:r>
        <w:rPr>
          <w:rFonts w:hint="eastAsia" w:hAnsi="宋体"/>
          <w:szCs w:val="21"/>
        </w:rPr>
        <w:t>收到投标人发票后60天内支付货款，货款支付使用银行电子承兑汇票。</w:t>
      </w:r>
    </w:p>
    <w:p w14:paraId="4EF45E3F">
      <w:pPr>
        <w:snapToGrid w:val="0"/>
        <w:spacing w:line="360" w:lineRule="auto"/>
        <w:ind w:firstLine="420" w:firstLineChars="200"/>
      </w:pPr>
      <w:bookmarkStart w:id="19" w:name="_Toc362467938"/>
      <w:r>
        <w:rPr>
          <w:rFonts w:hint="eastAsia"/>
          <w:lang w:val="en-US" w:eastAsia="zh-CN"/>
        </w:rPr>
        <w:t>五、</w:t>
      </w:r>
      <w:r>
        <w:rPr>
          <w:rFonts w:hint="eastAsia"/>
        </w:rPr>
        <w:t>履约要求及违约责任</w:t>
      </w:r>
      <w:bookmarkEnd w:id="19"/>
      <w:r>
        <w:rPr>
          <w:rFonts w:hint="eastAsia"/>
        </w:rPr>
        <w:t>：</w:t>
      </w:r>
    </w:p>
    <w:p w14:paraId="3322A800">
      <w:pPr>
        <w:snapToGrid w:val="0"/>
        <w:spacing w:line="360" w:lineRule="auto"/>
        <w:ind w:firstLine="420" w:firstLineChars="200"/>
        <w:rPr>
          <w:rFonts w:asciiTheme="minorEastAsia" w:hAnsiTheme="minorEastAsia" w:eastAsiaTheme="minorEastAsia"/>
          <w:szCs w:val="21"/>
        </w:rPr>
      </w:pPr>
      <w:r>
        <w:rPr>
          <w:rFonts w:hint="eastAsia"/>
        </w:rPr>
        <w:t>1</w:t>
      </w:r>
      <w:r>
        <w:rPr>
          <w:rFonts w:hint="eastAsia"/>
          <w:lang w:eastAsia="zh-CN"/>
        </w:rPr>
        <w:t>、</w:t>
      </w:r>
      <w:r>
        <w:rPr>
          <w:rFonts w:hint="eastAsia"/>
        </w:rPr>
        <w:t>中标单位供货前须提供爆破片的型式试验报告。</w:t>
      </w:r>
    </w:p>
    <w:p w14:paraId="6FDF54E5">
      <w:pPr>
        <w:snapToGrid w:val="0"/>
        <w:spacing w:line="360" w:lineRule="auto"/>
        <w:ind w:firstLine="420" w:firstLineChars="200"/>
      </w:pPr>
      <w:r>
        <w:rPr>
          <w:rFonts w:hint="eastAsia" w:asciiTheme="minorEastAsia" w:hAnsiTheme="minorEastAsia" w:eastAsiaTheme="minorEastAsia"/>
          <w:szCs w:val="21"/>
        </w:rPr>
        <w:t>2</w:t>
      </w:r>
      <w:r>
        <w:rPr>
          <w:rFonts w:hint="eastAsia" w:asciiTheme="minorEastAsia" w:hAnsiTheme="minorEastAsia" w:eastAsiaTheme="minorEastAsia"/>
          <w:szCs w:val="21"/>
          <w:lang w:eastAsia="zh-CN"/>
        </w:rPr>
        <w:t>、</w:t>
      </w:r>
      <w:r>
        <w:t>中标单位</w:t>
      </w:r>
      <w:r>
        <w:rPr>
          <w:rFonts w:hint="eastAsia"/>
        </w:rPr>
        <w:t>对爆破片质量负全责，承担因爆破片质量给</w:t>
      </w:r>
      <w:r>
        <w:rPr>
          <w:rFonts w:hint="eastAsia"/>
          <w:lang w:eastAsia="zh-CN"/>
        </w:rPr>
        <w:t>采购人</w:t>
      </w:r>
      <w:r>
        <w:rPr>
          <w:rFonts w:hint="eastAsia"/>
        </w:rPr>
        <w:t>造成的全部损失。</w:t>
      </w:r>
    </w:p>
    <w:p w14:paraId="49EBFCD0">
      <w:pPr>
        <w:snapToGrid w:val="0"/>
        <w:spacing w:line="360" w:lineRule="auto"/>
        <w:ind w:firstLine="420" w:firstLineChars="200"/>
        <w:rPr>
          <w:rFonts w:asciiTheme="minorEastAsia" w:hAnsiTheme="minorEastAsia" w:eastAsiaTheme="minorEastAsia"/>
          <w:szCs w:val="21"/>
        </w:rPr>
      </w:pPr>
      <w:r>
        <w:rPr>
          <w:rFonts w:hint="eastAsia"/>
        </w:rPr>
        <w:t>3</w:t>
      </w:r>
      <w:r>
        <w:rPr>
          <w:rFonts w:hint="eastAsia"/>
          <w:lang w:eastAsia="zh-CN"/>
        </w:rPr>
        <w:t>、</w:t>
      </w:r>
      <w:r>
        <w:rPr>
          <w:rFonts w:hint="eastAsia" w:asciiTheme="minorEastAsia" w:hAnsiTheme="minorEastAsia" w:eastAsiaTheme="minorEastAsia"/>
          <w:szCs w:val="21"/>
        </w:rPr>
        <w:t>爆破片质量未达到第</w:t>
      </w:r>
      <w:r>
        <w:rPr>
          <w:rFonts w:hint="eastAsia" w:asciiTheme="minorEastAsia" w:hAnsiTheme="minorEastAsia" w:eastAsiaTheme="minorEastAsia"/>
          <w:szCs w:val="21"/>
          <w:lang w:val="en-US" w:eastAsia="zh-CN"/>
        </w:rPr>
        <w:t>三</w:t>
      </w:r>
      <w:r>
        <w:rPr>
          <w:rFonts w:hint="eastAsia" w:asciiTheme="minorEastAsia" w:hAnsiTheme="minorEastAsia" w:eastAsiaTheme="minorEastAsia"/>
          <w:szCs w:val="21"/>
        </w:rPr>
        <w:t>章 第2条要求，</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有权对不合格的爆破片进行销毁，若对测试结果有疑问，应接到</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通知后2小时内提出。双方可现场共同取样，并对试验过程进行现场确认。</w:t>
      </w:r>
    </w:p>
    <w:p w14:paraId="60DEE3AC">
      <w:pPr>
        <w:snapToGrid w:val="0"/>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4</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遇不可抗力或其它特殊情况时，如不能按时完成订单请在接到订单或送货计划时说明。</w:t>
      </w:r>
    </w:p>
    <w:p w14:paraId="3CA0B6C9">
      <w:pPr>
        <w:widowControl/>
        <w:autoSpaceDE w:val="0"/>
        <w:autoSpaceDN w:val="0"/>
        <w:adjustRightInd w:val="0"/>
        <w:snapToGrid w:val="0"/>
        <w:spacing w:line="360" w:lineRule="auto"/>
        <w:ind w:firstLine="411" w:firstLineChars="196"/>
        <w:textAlignment w:val="bottom"/>
        <w:rPr>
          <w:rFonts w:asciiTheme="minorEastAsia" w:hAnsiTheme="minorEastAsia" w:eastAsiaTheme="minorEastAsia"/>
          <w:szCs w:val="21"/>
        </w:rPr>
      </w:pPr>
      <w:r>
        <w:rPr>
          <w:rFonts w:hint="eastAsia" w:asciiTheme="minorEastAsia" w:hAnsiTheme="minorEastAsia" w:eastAsiaTheme="minorEastAsia"/>
          <w:szCs w:val="21"/>
        </w:rPr>
        <w:t xml:space="preserve">5 </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以</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实际要货计划为准，如因投标人自身原因延误交货，比需求计划每延迟1小时扣罚1000元。</w:t>
      </w:r>
    </w:p>
    <w:p w14:paraId="78155550">
      <w:pPr>
        <w:widowControl/>
        <w:autoSpaceDE w:val="0"/>
        <w:autoSpaceDN w:val="0"/>
        <w:adjustRightInd w:val="0"/>
        <w:snapToGrid w:val="0"/>
        <w:spacing w:line="360" w:lineRule="auto"/>
        <w:ind w:firstLine="411" w:firstLineChars="196"/>
        <w:textAlignment w:val="bottom"/>
        <w:rPr>
          <w:rFonts w:asciiTheme="minorEastAsia" w:hAnsiTheme="minorEastAsia" w:eastAsiaTheme="minorEastAsia"/>
          <w:szCs w:val="21"/>
        </w:rPr>
      </w:pPr>
      <w:r>
        <w:rPr>
          <w:rFonts w:hint="eastAsia" w:asciiTheme="minorEastAsia" w:hAnsiTheme="minorEastAsia" w:eastAsiaTheme="minorEastAsia"/>
          <w:szCs w:val="21"/>
        </w:rPr>
        <w:t>6</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 xml:space="preserve"> 投标人</w:t>
      </w:r>
      <w:r>
        <w:rPr>
          <w:rFonts w:asciiTheme="minorEastAsia" w:hAnsiTheme="minorEastAsia" w:eastAsiaTheme="minorEastAsia"/>
          <w:szCs w:val="21"/>
        </w:rPr>
        <w:t>应</w:t>
      </w:r>
      <w:r>
        <w:rPr>
          <w:rFonts w:hint="eastAsia" w:asciiTheme="minorEastAsia" w:hAnsiTheme="minorEastAsia" w:eastAsiaTheme="minorEastAsia"/>
          <w:szCs w:val="21"/>
        </w:rPr>
        <w:t>按</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的订单或送货计划要求的数量送货，若因爆破片数量不够影响</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按时出货，每次扣罚投标人2000元。</w:t>
      </w:r>
    </w:p>
    <w:p w14:paraId="550E46B8">
      <w:pPr>
        <w:snapToGrid w:val="0"/>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7</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根据</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客户的投诉和</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技术部门的认定，投标人承担因爆破片质量问题造成的一切经济损失。提出异议期限一个月。</w:t>
      </w:r>
    </w:p>
    <w:p w14:paraId="054ADE1B">
      <w:pPr>
        <w:widowControl/>
        <w:autoSpaceDE w:val="0"/>
        <w:autoSpaceDN w:val="0"/>
        <w:adjustRightInd w:val="0"/>
        <w:snapToGrid w:val="0"/>
        <w:spacing w:line="360" w:lineRule="auto"/>
        <w:textAlignment w:val="bottom"/>
        <w:rPr>
          <w:rFonts w:asciiTheme="minorEastAsia" w:hAnsiTheme="minorEastAsia" w:eastAsiaTheme="minorEastAsia"/>
          <w:szCs w:val="21"/>
        </w:rPr>
      </w:pPr>
      <w:r>
        <w:rPr>
          <w:rFonts w:hint="eastAsia" w:asciiTheme="minorEastAsia" w:hAnsiTheme="minorEastAsia" w:eastAsiaTheme="minorEastAsia"/>
          <w:szCs w:val="21"/>
        </w:rPr>
        <w:t xml:space="preserve">   8</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 xml:space="preserve"> 出现批量质量问题，投标人</w:t>
      </w:r>
      <w:r>
        <w:rPr>
          <w:rFonts w:asciiTheme="minorEastAsia" w:hAnsiTheme="minorEastAsia" w:eastAsiaTheme="minorEastAsia"/>
          <w:szCs w:val="21"/>
        </w:rPr>
        <w:t>应在</w:t>
      </w:r>
      <w:r>
        <w:rPr>
          <w:rFonts w:hint="eastAsia" w:asciiTheme="minorEastAsia" w:hAnsiTheme="minorEastAsia" w:eastAsiaTheme="minorEastAsia"/>
          <w:szCs w:val="21"/>
          <w:lang w:val="en-US" w:eastAsia="zh-CN"/>
        </w:rPr>
        <w:t>24</w:t>
      </w:r>
      <w:r>
        <w:rPr>
          <w:rFonts w:asciiTheme="minorEastAsia" w:hAnsiTheme="minorEastAsia" w:eastAsiaTheme="minorEastAsia"/>
          <w:szCs w:val="21"/>
        </w:rPr>
        <w:t>小时内到达</w:t>
      </w:r>
      <w:r>
        <w:rPr>
          <w:rFonts w:hint="eastAsia" w:asciiTheme="minorEastAsia" w:hAnsiTheme="minorEastAsia" w:eastAsiaTheme="minorEastAsia"/>
          <w:szCs w:val="21"/>
          <w:lang w:eastAsia="zh-CN"/>
        </w:rPr>
        <w:t>采购人</w:t>
      </w:r>
      <w:r>
        <w:rPr>
          <w:rFonts w:asciiTheme="minorEastAsia" w:hAnsiTheme="minorEastAsia" w:eastAsiaTheme="minorEastAsia"/>
          <w:szCs w:val="21"/>
        </w:rPr>
        <w:t>现场提供售后服务等。</w:t>
      </w:r>
    </w:p>
    <w:p w14:paraId="2EEBB315">
      <w:pPr>
        <w:widowControl/>
        <w:autoSpaceDE w:val="0"/>
        <w:autoSpaceDN w:val="0"/>
        <w:adjustRightInd w:val="0"/>
        <w:snapToGrid w:val="0"/>
        <w:spacing w:line="360" w:lineRule="auto"/>
        <w:textAlignment w:val="bottom"/>
        <w:rPr>
          <w:rFonts w:asciiTheme="minorEastAsia" w:hAnsiTheme="minorEastAsia" w:eastAsiaTheme="minorEastAsia"/>
          <w:szCs w:val="21"/>
        </w:rPr>
      </w:pPr>
      <w:r>
        <w:rPr>
          <w:rFonts w:hint="eastAsia" w:asciiTheme="minorEastAsia" w:hAnsiTheme="minorEastAsia" w:eastAsiaTheme="minorEastAsia"/>
          <w:szCs w:val="21"/>
        </w:rPr>
        <w:t xml:space="preserve">   9</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 xml:space="preserve"> </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的入厂验收只是控制手段，</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未检验出的质量问题，由投标人负责</w:t>
      </w:r>
      <w:r>
        <w:rPr>
          <w:rFonts w:asciiTheme="minorEastAsia" w:hAnsiTheme="minorEastAsia" w:eastAsiaTheme="minorEastAsia"/>
          <w:szCs w:val="21"/>
        </w:rPr>
        <w:t>。</w:t>
      </w:r>
    </w:p>
    <w:p w14:paraId="04F2D961">
      <w:pPr>
        <w:widowControl/>
        <w:autoSpaceDE w:val="0"/>
        <w:autoSpaceDN w:val="0"/>
        <w:adjustRightInd w:val="0"/>
        <w:snapToGrid w:val="0"/>
        <w:spacing w:line="360" w:lineRule="auto"/>
        <w:ind w:firstLine="420" w:firstLineChars="200"/>
        <w:textAlignment w:val="bottom"/>
        <w:rPr>
          <w:rFonts w:asciiTheme="minorEastAsia" w:hAnsiTheme="minorEastAsia" w:eastAsiaTheme="minorEastAsia"/>
          <w:szCs w:val="21"/>
        </w:rPr>
      </w:pPr>
      <w:r>
        <w:rPr>
          <w:rFonts w:hint="eastAsia" w:asciiTheme="minorEastAsia" w:hAnsiTheme="minorEastAsia" w:eastAsiaTheme="minorEastAsia"/>
          <w:szCs w:val="21"/>
        </w:rPr>
        <w:t>10</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 xml:space="preserve"> 中标人若不能按《采购订单》和中标价格保证供货，造成</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在其它渠道采购，</w:t>
      </w:r>
      <w:r>
        <w:rPr>
          <w:rFonts w:hint="eastAsia" w:asciiTheme="minorEastAsia" w:hAnsiTheme="minorEastAsia" w:eastAsiaTheme="minorEastAsia"/>
          <w:szCs w:val="21"/>
          <w:lang w:eastAsia="zh-CN"/>
        </w:rPr>
        <w:t>采购人</w:t>
      </w:r>
      <w:r>
        <w:rPr>
          <w:rFonts w:hint="eastAsia" w:asciiTheme="minorEastAsia" w:hAnsiTheme="minorEastAsia" w:eastAsiaTheme="minorEastAsia"/>
          <w:szCs w:val="21"/>
        </w:rPr>
        <w:t>有权没收全部合同履约金。</w:t>
      </w:r>
    </w:p>
    <w:p w14:paraId="63E55ED5">
      <w:pPr>
        <w:snapToGrid w:val="0"/>
        <w:spacing w:line="360" w:lineRule="auto"/>
        <w:ind w:firstLine="415" w:firstLineChars="198"/>
        <w:rPr>
          <w:rFonts w:hAnsi="宋体"/>
          <w:szCs w:val="21"/>
        </w:rPr>
      </w:pPr>
      <w:r>
        <w:rPr>
          <w:rFonts w:hint="eastAsia" w:ascii="宋体" w:hAnsi="宋体" w:cs="宋体"/>
          <w:color w:val="000000"/>
          <w:kern w:val="0"/>
          <w:szCs w:val="21"/>
          <w:shd w:val="clear" w:color="auto" w:fill="FFFFFF"/>
        </w:rPr>
        <w:t>11</w:t>
      </w:r>
      <w:r>
        <w:rPr>
          <w:rFonts w:hint="eastAsia" w:ascii="宋体" w:hAnsi="宋体" w:cs="宋体"/>
          <w:color w:val="000000"/>
          <w:kern w:val="0"/>
          <w:szCs w:val="21"/>
          <w:shd w:val="clear" w:color="auto" w:fill="FFFFFF"/>
          <w:lang w:eastAsia="zh-CN"/>
        </w:rPr>
        <w:t>、</w:t>
      </w:r>
      <w:r>
        <w:rPr>
          <w:rFonts w:hint="eastAsia" w:ascii="宋体" w:hAnsi="宋体" w:cs="宋体"/>
          <w:color w:val="000000"/>
          <w:kern w:val="0"/>
          <w:szCs w:val="21"/>
          <w:shd w:val="clear" w:color="auto" w:fill="FFFFFF"/>
        </w:rPr>
        <w:t>若中标单位出现以下</w:t>
      </w:r>
      <w:r>
        <w:rPr>
          <w:rFonts w:hint="eastAsia" w:hAnsi="宋体"/>
          <w:szCs w:val="21"/>
        </w:rPr>
        <w:t>情况之一的将取消供应商资格：</w:t>
      </w:r>
    </w:p>
    <w:p w14:paraId="3F822A02">
      <w:pPr>
        <w:snapToGrid w:val="0"/>
        <w:spacing w:line="360" w:lineRule="auto"/>
        <w:ind w:firstLine="415" w:firstLineChars="198"/>
        <w:rPr>
          <w:szCs w:val="21"/>
        </w:rPr>
      </w:pPr>
      <w:r>
        <w:rPr>
          <w:rFonts w:hint="eastAsia"/>
          <w:szCs w:val="21"/>
        </w:rPr>
        <w:t>11.1出现质量问题24小时未到现场及时处理的；</w:t>
      </w:r>
    </w:p>
    <w:p w14:paraId="297EAAA3">
      <w:pPr>
        <w:snapToGrid w:val="0"/>
        <w:spacing w:line="360" w:lineRule="auto"/>
        <w:ind w:firstLine="415" w:firstLineChars="198"/>
        <w:rPr>
          <w:szCs w:val="21"/>
        </w:rPr>
      </w:pPr>
      <w:r>
        <w:rPr>
          <w:rFonts w:hint="eastAsia"/>
          <w:szCs w:val="21"/>
        </w:rPr>
        <w:t>11.2因爆破片质量问题给</w:t>
      </w:r>
      <w:r>
        <w:rPr>
          <w:rFonts w:hint="eastAsia"/>
          <w:szCs w:val="21"/>
          <w:lang w:eastAsia="zh-CN"/>
        </w:rPr>
        <w:t>采购人</w:t>
      </w:r>
      <w:r>
        <w:rPr>
          <w:rFonts w:hint="eastAsia"/>
          <w:szCs w:val="21"/>
        </w:rPr>
        <w:t>造成重大影响及损失的。</w:t>
      </w:r>
    </w:p>
    <w:p w14:paraId="5A6AD630">
      <w:pPr>
        <w:widowControl/>
        <w:autoSpaceDE w:val="0"/>
        <w:autoSpaceDN w:val="0"/>
        <w:adjustRightInd w:val="0"/>
        <w:snapToGrid w:val="0"/>
        <w:spacing w:line="360" w:lineRule="auto"/>
        <w:ind w:firstLine="415" w:firstLineChars="198"/>
        <w:textAlignment w:val="bottom"/>
        <w:rPr>
          <w:rFonts w:asciiTheme="minorEastAsia" w:hAnsiTheme="minorEastAsia" w:eastAsiaTheme="minorEastAsia"/>
          <w:szCs w:val="21"/>
        </w:rPr>
      </w:pPr>
    </w:p>
    <w:p w14:paraId="54684FD8">
      <w:pPr>
        <w:widowControl/>
        <w:ind w:firstLine="2800" w:firstLineChars="1000"/>
        <w:rPr>
          <w:b/>
          <w:kern w:val="0"/>
          <w:sz w:val="28"/>
          <w:szCs w:val="28"/>
        </w:rPr>
      </w:pPr>
      <w:bookmarkStart w:id="20" w:name="_Toc511210841"/>
      <w:r>
        <w:rPr>
          <w:rFonts w:hint="eastAsia"/>
          <w:b/>
          <w:kern w:val="0"/>
          <w:sz w:val="28"/>
          <w:szCs w:val="28"/>
        </w:rPr>
        <w:t>第</w:t>
      </w:r>
      <w:r>
        <w:rPr>
          <w:rFonts w:hint="eastAsia"/>
          <w:b/>
          <w:kern w:val="0"/>
          <w:sz w:val="28"/>
          <w:szCs w:val="28"/>
          <w:lang w:val="en-US" w:eastAsia="zh-CN"/>
        </w:rPr>
        <w:t>五</w:t>
      </w:r>
      <w:r>
        <w:rPr>
          <w:rFonts w:hint="eastAsia"/>
          <w:b/>
          <w:kern w:val="0"/>
          <w:sz w:val="28"/>
          <w:szCs w:val="28"/>
        </w:rPr>
        <w:t>章   评标办法</w:t>
      </w:r>
      <w:bookmarkEnd w:id="20"/>
    </w:p>
    <w:p w14:paraId="4B855161">
      <w:pPr>
        <w:widowControl/>
        <w:autoSpaceDE w:val="0"/>
        <w:autoSpaceDN w:val="0"/>
        <w:adjustRightInd w:val="0"/>
        <w:snapToGrid w:val="0"/>
        <w:spacing w:line="360" w:lineRule="auto"/>
        <w:ind w:firstLine="1995" w:firstLineChars="950"/>
        <w:textAlignment w:val="bottom"/>
        <w:rPr>
          <w:rFonts w:ascii="宋体" w:hAnsi="宋体"/>
          <w:b/>
          <w:szCs w:val="21"/>
        </w:rPr>
      </w:pPr>
    </w:p>
    <w:p w14:paraId="508B1528">
      <w:pPr>
        <w:adjustRightInd w:val="0"/>
        <w:snapToGrid w:val="0"/>
        <w:spacing w:line="360" w:lineRule="auto"/>
        <w:ind w:firstLine="420" w:firstLineChars="200"/>
        <w:rPr>
          <w:rFonts w:ascii="宋体" w:hAnsi="宋体"/>
          <w:szCs w:val="21"/>
        </w:rPr>
      </w:pPr>
      <w:r>
        <w:rPr>
          <w:rFonts w:hint="eastAsia" w:ascii="宋体" w:hAnsi="宋体"/>
          <w:szCs w:val="21"/>
        </w:rPr>
        <w:t>1、评标委员会按照平等、客观、公正的原则，进行评定，实质上响应招标文件的要求并有履行合同能力的，取综合报价由低到高前两名的投标人为预中标人。</w:t>
      </w:r>
    </w:p>
    <w:p w14:paraId="3F32668B">
      <w:pPr>
        <w:adjustRightInd w:val="0"/>
        <w:snapToGrid w:val="0"/>
        <w:spacing w:line="360" w:lineRule="auto"/>
        <w:ind w:firstLine="420" w:firstLineChars="200"/>
        <w:rPr>
          <w:rFonts w:ascii="宋体" w:hAnsi="宋体"/>
          <w:szCs w:val="21"/>
        </w:rPr>
      </w:pPr>
      <w:r>
        <w:rPr>
          <w:rFonts w:hint="eastAsia" w:ascii="宋体" w:hAnsi="宋体"/>
          <w:szCs w:val="21"/>
        </w:rPr>
        <w:t>2、评标办法：</w:t>
      </w:r>
    </w:p>
    <w:p w14:paraId="27BCB08B">
      <w:pPr>
        <w:adjustRightInd w:val="0"/>
        <w:snapToGrid w:val="0"/>
        <w:spacing w:line="360" w:lineRule="auto"/>
        <w:ind w:firstLine="420" w:firstLineChars="200"/>
        <w:rPr>
          <w:rFonts w:ascii="宋体" w:hAnsi="宋体"/>
          <w:szCs w:val="21"/>
        </w:rPr>
      </w:pPr>
      <w:r>
        <w:rPr>
          <w:rFonts w:hint="eastAsia" w:ascii="宋体" w:hAnsi="宋体"/>
          <w:szCs w:val="21"/>
        </w:rPr>
        <w:t>推荐报价从低到高前两名的投标人为中标侯选人。中标价格按报价最低的投标人的报价执行。供货数按综合报价由低到高分别为总用量的80%、20%。如报价相同，</w:t>
      </w:r>
      <w:r>
        <w:rPr>
          <w:rFonts w:hint="eastAsia" w:ascii="宋体" w:hAnsi="宋体"/>
          <w:bCs/>
          <w:szCs w:val="21"/>
        </w:rPr>
        <w:t>根据投标人的资质、年度销售额等条件由评标委员会决定</w:t>
      </w:r>
      <w:r>
        <w:rPr>
          <w:rFonts w:hint="eastAsia"/>
          <w:szCs w:val="21"/>
        </w:rPr>
        <w:t>中标侯选</w:t>
      </w:r>
      <w:r>
        <w:rPr>
          <w:rFonts w:hint="eastAsia" w:ascii="宋体" w:hAnsi="宋体"/>
          <w:bCs/>
          <w:szCs w:val="21"/>
        </w:rPr>
        <w:t>人</w:t>
      </w:r>
      <w:r>
        <w:rPr>
          <w:rFonts w:hint="eastAsia" w:ascii="宋体" w:hAnsi="宋体"/>
          <w:szCs w:val="21"/>
        </w:rPr>
        <w:t>。</w:t>
      </w:r>
    </w:p>
    <w:p w14:paraId="35FB95BA">
      <w:pPr>
        <w:adjustRightInd w:val="0"/>
        <w:snapToGrid w:val="0"/>
        <w:spacing w:line="360" w:lineRule="auto"/>
        <w:ind w:firstLine="420" w:firstLineChars="200"/>
        <w:rPr>
          <w:szCs w:val="21"/>
        </w:rPr>
      </w:pPr>
      <w:r>
        <w:rPr>
          <w:rFonts w:hint="eastAsia"/>
          <w:szCs w:val="21"/>
        </w:rPr>
        <w:t>3、若评标委员会认为本次招标缺乏竞争性时，可否决所有投标。</w:t>
      </w:r>
    </w:p>
    <w:p w14:paraId="0C86E313">
      <w:pPr>
        <w:snapToGrid w:val="0"/>
        <w:spacing w:line="360" w:lineRule="auto"/>
        <w:ind w:firstLine="415" w:firstLineChars="198"/>
        <w:rPr>
          <w:szCs w:val="21"/>
        </w:rPr>
      </w:pPr>
      <w:r>
        <w:rPr>
          <w:rFonts w:hint="eastAsia"/>
          <w:szCs w:val="21"/>
        </w:rPr>
        <w:t>4、本次招标时段为202</w:t>
      </w:r>
      <w:r>
        <w:rPr>
          <w:rFonts w:hint="eastAsia"/>
          <w:szCs w:val="21"/>
          <w:lang w:val="en-US" w:eastAsia="zh-CN"/>
        </w:rPr>
        <w:t>6</w:t>
      </w:r>
      <w:r>
        <w:rPr>
          <w:rFonts w:hint="eastAsia"/>
          <w:szCs w:val="21"/>
        </w:rPr>
        <w:t>年全年。合同履行时间内标的物单价按中标价执行，不受原材料市场波动等因素从而调整采购价格。</w:t>
      </w:r>
    </w:p>
    <w:p w14:paraId="53FFEDC3">
      <w:pPr>
        <w:snapToGrid w:val="0"/>
        <w:spacing w:line="360" w:lineRule="auto"/>
        <w:ind w:firstLine="415" w:firstLineChars="198"/>
        <w:rPr>
          <w:szCs w:val="21"/>
        </w:rPr>
      </w:pPr>
    </w:p>
    <w:p w14:paraId="22774EBE">
      <w:pPr>
        <w:snapToGrid w:val="0"/>
        <w:spacing w:line="360" w:lineRule="auto"/>
        <w:ind w:firstLine="415" w:firstLineChars="198"/>
        <w:rPr>
          <w:szCs w:val="21"/>
        </w:rPr>
      </w:pPr>
    </w:p>
    <w:p w14:paraId="68526AE9">
      <w:pPr>
        <w:snapToGrid w:val="0"/>
        <w:spacing w:line="360" w:lineRule="auto"/>
        <w:ind w:firstLine="205" w:firstLineChars="98"/>
        <w:rPr>
          <w:szCs w:val="21"/>
        </w:rPr>
        <w:sectPr>
          <w:headerReference r:id="rId5" w:type="first"/>
          <w:footerReference r:id="rId7" w:type="first"/>
          <w:headerReference r:id="rId4" w:type="default"/>
          <w:footerReference r:id="rId6" w:type="default"/>
          <w:pgSz w:w="11907" w:h="16840"/>
          <w:pgMar w:top="1440" w:right="1797" w:bottom="1440" w:left="1797" w:header="567" w:footer="992" w:gutter="0"/>
          <w:pgNumType w:start="2"/>
          <w:cols w:space="425" w:num="1"/>
          <w:docGrid w:type="linesAndChars" w:linePitch="312" w:charSpace="0"/>
        </w:sectPr>
      </w:pPr>
    </w:p>
    <w:bookmarkEnd w:id="3"/>
    <w:p w14:paraId="0DB70902">
      <w:pPr>
        <w:pStyle w:val="4"/>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第</w:t>
      </w:r>
      <w:r>
        <w:rPr>
          <w:rFonts w:hint="eastAsia" w:asciiTheme="minorEastAsia" w:hAnsiTheme="minorEastAsia" w:eastAsiaTheme="minorEastAsia"/>
          <w:kern w:val="0"/>
          <w:sz w:val="28"/>
          <w:szCs w:val="28"/>
          <w:lang w:val="en-US" w:eastAsia="zh-CN"/>
        </w:rPr>
        <w:t>六</w:t>
      </w:r>
      <w:r>
        <w:rPr>
          <w:rFonts w:hint="eastAsia" w:asciiTheme="minorEastAsia" w:hAnsiTheme="minorEastAsia" w:eastAsiaTheme="minorEastAsia"/>
          <w:kern w:val="0"/>
          <w:sz w:val="28"/>
          <w:szCs w:val="28"/>
        </w:rPr>
        <w:t>章  附件</w:t>
      </w:r>
    </w:p>
    <w:p w14:paraId="185966C9">
      <w:pPr>
        <w:widowControl/>
        <w:jc w:val="left"/>
        <w:rPr>
          <w:szCs w:val="21"/>
        </w:rPr>
      </w:pPr>
    </w:p>
    <w:p w14:paraId="63692DBA">
      <w:pPr>
        <w:widowControl/>
        <w:jc w:val="left"/>
        <w:rPr>
          <w:szCs w:val="21"/>
        </w:rPr>
      </w:pPr>
    </w:p>
    <w:p w14:paraId="7CA5CB63">
      <w:pPr>
        <w:widowControl/>
        <w:jc w:val="left"/>
        <w:rPr>
          <w:szCs w:val="21"/>
        </w:rPr>
      </w:pPr>
    </w:p>
    <w:p w14:paraId="37B4FA8E">
      <w:pPr>
        <w:widowControl/>
        <w:jc w:val="left"/>
        <w:rPr>
          <w:rFonts w:ascii="宋体" w:hAnsi="宋体" w:cs="宋体"/>
          <w:b/>
          <w:bCs/>
          <w:kern w:val="0"/>
          <w:sz w:val="36"/>
          <w:szCs w:val="36"/>
        </w:rPr>
      </w:pPr>
      <w:r>
        <w:rPr>
          <w:rFonts w:hint="eastAsia"/>
          <w:szCs w:val="21"/>
        </w:rPr>
        <w:t xml:space="preserve">附件1：           </w:t>
      </w:r>
      <w:r>
        <w:rPr>
          <w:rFonts w:hint="eastAsia" w:ascii="宋体" w:hAnsi="宋体" w:cs="宋体"/>
          <w:b/>
          <w:bCs/>
          <w:kern w:val="0"/>
          <w:sz w:val="28"/>
          <w:szCs w:val="28"/>
        </w:rPr>
        <w:t>浙江巨程钢瓶有限公司爆破片报价表</w:t>
      </w:r>
    </w:p>
    <w:p w14:paraId="7AAA3897">
      <w:pPr>
        <w:spacing w:line="360" w:lineRule="auto"/>
        <w:rPr>
          <w:b/>
          <w:sz w:val="24"/>
        </w:rPr>
      </w:pPr>
    </w:p>
    <w:tbl>
      <w:tblPr>
        <w:tblStyle w:val="10"/>
        <w:tblW w:w="8846" w:type="dxa"/>
        <w:tblInd w:w="1005" w:type="dxa"/>
        <w:tblLayout w:type="autofit"/>
        <w:tblCellMar>
          <w:top w:w="0" w:type="dxa"/>
          <w:left w:w="108" w:type="dxa"/>
          <w:bottom w:w="0" w:type="dxa"/>
          <w:right w:w="108" w:type="dxa"/>
        </w:tblCellMar>
      </w:tblPr>
      <w:tblGrid>
        <w:gridCol w:w="2474"/>
        <w:gridCol w:w="1584"/>
        <w:gridCol w:w="540"/>
        <w:gridCol w:w="1584"/>
        <w:gridCol w:w="540"/>
        <w:gridCol w:w="1584"/>
        <w:gridCol w:w="540"/>
      </w:tblGrid>
      <w:tr w14:paraId="3FB92E92">
        <w:tblPrEx>
          <w:tblCellMar>
            <w:top w:w="0" w:type="dxa"/>
            <w:left w:w="108" w:type="dxa"/>
            <w:bottom w:w="0" w:type="dxa"/>
            <w:right w:w="108" w:type="dxa"/>
          </w:tblCellMar>
        </w:tblPrEx>
        <w:trPr>
          <w:trHeight w:val="507" w:hRule="atLeast"/>
        </w:trPr>
        <w:tc>
          <w:tcPr>
            <w:tcW w:w="24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ED872A">
            <w:pPr>
              <w:widowControl/>
              <w:jc w:val="center"/>
              <w:rPr>
                <w:rFonts w:ascii="宋体" w:hAnsi="宋体" w:cs="宋体"/>
                <w:color w:val="000000"/>
                <w:kern w:val="0"/>
                <w:sz w:val="22"/>
                <w:szCs w:val="22"/>
              </w:rPr>
            </w:pPr>
            <w:r>
              <w:rPr>
                <w:rFonts w:hint="eastAsia" w:ascii="宋体" w:hAnsi="宋体" w:cs="宋体"/>
                <w:color w:val="000000"/>
                <w:kern w:val="0"/>
                <w:sz w:val="22"/>
                <w:szCs w:val="22"/>
              </w:rPr>
              <w:t>产品名称</w:t>
            </w:r>
          </w:p>
        </w:tc>
        <w:tc>
          <w:tcPr>
            <w:tcW w:w="2124" w:type="dxa"/>
            <w:gridSpan w:val="2"/>
            <w:tcBorders>
              <w:top w:val="single" w:color="auto" w:sz="4" w:space="0"/>
              <w:left w:val="nil"/>
              <w:bottom w:val="single" w:color="auto" w:sz="4" w:space="0"/>
              <w:right w:val="single" w:color="auto" w:sz="4" w:space="0"/>
            </w:tcBorders>
            <w:shd w:val="clear" w:color="auto" w:fill="auto"/>
            <w:noWrap/>
            <w:vAlign w:val="center"/>
          </w:tcPr>
          <w:p w14:paraId="33315AC0">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数量</w:t>
            </w:r>
          </w:p>
        </w:tc>
        <w:tc>
          <w:tcPr>
            <w:tcW w:w="2124" w:type="dxa"/>
            <w:gridSpan w:val="2"/>
            <w:tcBorders>
              <w:top w:val="single" w:color="auto" w:sz="4" w:space="0"/>
              <w:left w:val="nil"/>
              <w:bottom w:val="single" w:color="auto" w:sz="4" w:space="0"/>
              <w:right w:val="single" w:color="auto" w:sz="4" w:space="0"/>
            </w:tcBorders>
            <w:shd w:val="clear" w:color="auto" w:fill="auto"/>
            <w:noWrap/>
            <w:vAlign w:val="center"/>
          </w:tcPr>
          <w:p w14:paraId="145C9740">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单价(</w:t>
            </w:r>
            <w:r>
              <w:rPr>
                <w:rFonts w:hint="eastAsia" w:ascii="宋体" w:hAnsi="宋体" w:cs="宋体"/>
                <w:b/>
                <w:color w:val="000000"/>
                <w:kern w:val="0"/>
                <w:sz w:val="22"/>
                <w:szCs w:val="22"/>
              </w:rPr>
              <w:t>元/片</w:t>
            </w:r>
            <w:r>
              <w:rPr>
                <w:rFonts w:hint="eastAsia" w:ascii="宋体" w:hAnsi="宋体" w:cs="宋体"/>
                <w:color w:val="000000"/>
                <w:kern w:val="0"/>
                <w:sz w:val="22"/>
                <w:szCs w:val="22"/>
              </w:rPr>
              <w:t>)含税</w:t>
            </w:r>
          </w:p>
        </w:tc>
        <w:tc>
          <w:tcPr>
            <w:tcW w:w="2124" w:type="dxa"/>
            <w:gridSpan w:val="2"/>
            <w:tcBorders>
              <w:top w:val="single" w:color="auto" w:sz="4" w:space="0"/>
              <w:left w:val="nil"/>
              <w:bottom w:val="single" w:color="auto" w:sz="4" w:space="0"/>
              <w:right w:val="single" w:color="auto" w:sz="4" w:space="0"/>
            </w:tcBorders>
            <w:shd w:val="clear" w:color="auto" w:fill="auto"/>
            <w:noWrap/>
            <w:vAlign w:val="center"/>
          </w:tcPr>
          <w:p w14:paraId="1B79B460">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总金额含税</w:t>
            </w:r>
          </w:p>
        </w:tc>
      </w:tr>
      <w:tr w14:paraId="7F8609BB">
        <w:tblPrEx>
          <w:tblCellMar>
            <w:top w:w="0" w:type="dxa"/>
            <w:left w:w="108" w:type="dxa"/>
            <w:bottom w:w="0" w:type="dxa"/>
            <w:right w:w="108" w:type="dxa"/>
          </w:tblCellMar>
        </w:tblPrEx>
        <w:trPr>
          <w:trHeight w:val="507" w:hRule="atLeast"/>
        </w:trPr>
        <w:tc>
          <w:tcPr>
            <w:tcW w:w="24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D8D944">
            <w:pPr>
              <w:widowControl/>
              <w:jc w:val="center"/>
              <w:rPr>
                <w:rFonts w:ascii="宋体" w:hAnsi="宋体" w:cs="宋体"/>
                <w:color w:val="000000"/>
                <w:kern w:val="0"/>
                <w:sz w:val="22"/>
                <w:szCs w:val="22"/>
              </w:rPr>
            </w:pPr>
            <w:r>
              <w:rPr>
                <w:rFonts w:hint="eastAsia" w:ascii="宋体" w:hAnsi="宋体" w:cs="宋体"/>
                <w:color w:val="000000"/>
                <w:kern w:val="0"/>
                <w:sz w:val="22"/>
                <w:szCs w:val="22"/>
              </w:rPr>
              <w:t>爆破片</w:t>
            </w:r>
          </w:p>
        </w:tc>
        <w:tc>
          <w:tcPr>
            <w:tcW w:w="2124" w:type="dxa"/>
            <w:gridSpan w:val="2"/>
            <w:tcBorders>
              <w:top w:val="single" w:color="auto" w:sz="4" w:space="0"/>
              <w:left w:val="nil"/>
              <w:bottom w:val="single" w:color="auto" w:sz="4" w:space="0"/>
              <w:right w:val="single" w:color="auto" w:sz="4" w:space="0"/>
            </w:tcBorders>
            <w:shd w:val="clear" w:color="auto" w:fill="auto"/>
            <w:noWrap/>
            <w:vAlign w:val="center"/>
          </w:tcPr>
          <w:p w14:paraId="5D518CAA">
            <w:pPr>
              <w:widowControl/>
              <w:jc w:val="center"/>
              <w:rPr>
                <w:rFonts w:hint="default" w:ascii="宋体" w:hAnsi="宋体" w:eastAsia="宋体" w:cs="宋体"/>
                <w:kern w:val="0"/>
                <w:sz w:val="36"/>
                <w:szCs w:val="36"/>
                <w:lang w:val="en-US" w:eastAsia="zh-CN"/>
              </w:rPr>
            </w:pPr>
            <w:r>
              <w:rPr>
                <w:rFonts w:hint="eastAsia" w:ascii="宋体" w:hAnsi="宋体" w:cs="宋体"/>
                <w:color w:val="auto"/>
                <w:kern w:val="0"/>
                <w:sz w:val="36"/>
                <w:szCs w:val="36"/>
                <w:lang w:val="en-US" w:eastAsia="zh-CN"/>
              </w:rPr>
              <w:t>6500000</w:t>
            </w:r>
          </w:p>
        </w:tc>
        <w:tc>
          <w:tcPr>
            <w:tcW w:w="2124" w:type="dxa"/>
            <w:gridSpan w:val="2"/>
            <w:tcBorders>
              <w:top w:val="single" w:color="auto" w:sz="4" w:space="0"/>
              <w:left w:val="nil"/>
              <w:bottom w:val="single" w:color="auto" w:sz="4" w:space="0"/>
              <w:right w:val="single" w:color="auto" w:sz="4" w:space="0"/>
            </w:tcBorders>
            <w:shd w:val="clear" w:color="auto" w:fill="auto"/>
            <w:noWrap/>
            <w:vAlign w:val="center"/>
          </w:tcPr>
          <w:p w14:paraId="1DFC9C4B">
            <w:pPr>
              <w:widowControl/>
              <w:jc w:val="center"/>
              <w:rPr>
                <w:rFonts w:ascii="宋体" w:hAnsi="宋体" w:cs="宋体"/>
                <w:kern w:val="0"/>
                <w:sz w:val="36"/>
                <w:szCs w:val="36"/>
              </w:rPr>
            </w:pPr>
          </w:p>
        </w:tc>
        <w:tc>
          <w:tcPr>
            <w:tcW w:w="2124" w:type="dxa"/>
            <w:gridSpan w:val="2"/>
            <w:tcBorders>
              <w:top w:val="single" w:color="auto" w:sz="4" w:space="0"/>
              <w:left w:val="nil"/>
              <w:bottom w:val="single" w:color="auto" w:sz="4" w:space="0"/>
              <w:right w:val="single" w:color="auto" w:sz="4" w:space="0"/>
            </w:tcBorders>
            <w:shd w:val="clear" w:color="auto" w:fill="auto"/>
            <w:noWrap/>
            <w:vAlign w:val="center"/>
          </w:tcPr>
          <w:p w14:paraId="53E3010E">
            <w:pPr>
              <w:widowControl/>
              <w:jc w:val="center"/>
              <w:rPr>
                <w:rFonts w:ascii="宋体" w:hAnsi="宋体" w:cs="宋体"/>
                <w:kern w:val="0"/>
                <w:sz w:val="36"/>
                <w:szCs w:val="36"/>
              </w:rPr>
            </w:pPr>
          </w:p>
        </w:tc>
      </w:tr>
      <w:tr w14:paraId="062F76E0">
        <w:tblPrEx>
          <w:tblCellMar>
            <w:top w:w="0" w:type="dxa"/>
            <w:left w:w="108" w:type="dxa"/>
            <w:bottom w:w="0" w:type="dxa"/>
            <w:right w:w="108" w:type="dxa"/>
          </w:tblCellMar>
        </w:tblPrEx>
        <w:trPr>
          <w:gridAfter w:val="1"/>
          <w:wAfter w:w="540" w:type="dxa"/>
          <w:trHeight w:val="355" w:hRule="atLeast"/>
        </w:trPr>
        <w:tc>
          <w:tcPr>
            <w:tcW w:w="4058" w:type="dxa"/>
            <w:gridSpan w:val="2"/>
            <w:tcBorders>
              <w:top w:val="nil"/>
              <w:left w:val="nil"/>
              <w:bottom w:val="nil"/>
              <w:right w:val="nil"/>
            </w:tcBorders>
            <w:shd w:val="clear" w:color="auto" w:fill="auto"/>
            <w:noWrap/>
            <w:vAlign w:val="center"/>
          </w:tcPr>
          <w:p w14:paraId="03930D97">
            <w:pPr>
              <w:widowControl/>
              <w:jc w:val="right"/>
              <w:rPr>
                <w:rFonts w:ascii="宋体" w:hAnsi="宋体" w:cs="宋体"/>
                <w:color w:val="000000"/>
                <w:kern w:val="0"/>
                <w:sz w:val="22"/>
                <w:szCs w:val="22"/>
              </w:rPr>
            </w:pPr>
          </w:p>
          <w:p w14:paraId="7E443DB7">
            <w:pPr>
              <w:widowControl/>
              <w:jc w:val="left"/>
              <w:rPr>
                <w:rFonts w:ascii="宋体" w:hAnsi="宋体" w:cs="宋体"/>
                <w:color w:val="000000"/>
                <w:kern w:val="0"/>
                <w:sz w:val="22"/>
                <w:szCs w:val="22"/>
              </w:rPr>
            </w:pPr>
            <w:r>
              <w:rPr>
                <w:rFonts w:hint="eastAsia" w:ascii="宋体" w:hAnsi="宋体" w:cs="宋体"/>
                <w:color w:val="000000"/>
                <w:kern w:val="0"/>
                <w:sz w:val="22"/>
                <w:szCs w:val="22"/>
              </w:rPr>
              <w:t>报价单位（加盖公章）：</w:t>
            </w:r>
            <w:r>
              <w:rPr>
                <w:rFonts w:hint="eastAsia" w:ascii="宋体" w:hAnsi="宋体" w:cs="宋体"/>
                <w:color w:val="000000"/>
                <w:kern w:val="0"/>
                <w:sz w:val="22"/>
                <w:szCs w:val="22"/>
                <w:u w:val="single"/>
              </w:rPr>
              <w:t xml:space="preserve">                                      </w:t>
            </w:r>
            <w:r>
              <w:rPr>
                <w:rFonts w:hint="eastAsia" w:ascii="宋体" w:hAnsi="宋体" w:cs="宋体"/>
                <w:color w:val="000000"/>
                <w:kern w:val="0"/>
                <w:sz w:val="22"/>
                <w:szCs w:val="22"/>
              </w:rPr>
              <w:t xml:space="preserve"> </w:t>
            </w:r>
          </w:p>
        </w:tc>
        <w:tc>
          <w:tcPr>
            <w:tcW w:w="2124" w:type="dxa"/>
            <w:gridSpan w:val="2"/>
            <w:tcBorders>
              <w:top w:val="nil"/>
              <w:left w:val="nil"/>
              <w:bottom w:val="nil"/>
              <w:right w:val="nil"/>
            </w:tcBorders>
            <w:shd w:val="clear" w:color="auto" w:fill="auto"/>
            <w:noWrap/>
            <w:vAlign w:val="center"/>
          </w:tcPr>
          <w:p w14:paraId="7B45BDD3">
            <w:pPr>
              <w:widowControl/>
              <w:jc w:val="left"/>
              <w:rPr>
                <w:rFonts w:hint="eastAsia" w:ascii="宋体" w:hAnsi="宋体" w:cs="宋体"/>
                <w:color w:val="000000"/>
                <w:kern w:val="0"/>
                <w:sz w:val="22"/>
                <w:szCs w:val="22"/>
              </w:rPr>
            </w:pPr>
          </w:p>
        </w:tc>
        <w:tc>
          <w:tcPr>
            <w:tcW w:w="2124" w:type="dxa"/>
            <w:gridSpan w:val="2"/>
            <w:tcBorders>
              <w:top w:val="nil"/>
              <w:left w:val="nil"/>
              <w:bottom w:val="nil"/>
              <w:right w:val="nil"/>
            </w:tcBorders>
            <w:shd w:val="clear" w:color="auto" w:fill="auto"/>
            <w:noWrap/>
            <w:vAlign w:val="center"/>
          </w:tcPr>
          <w:p w14:paraId="266B2A4D">
            <w:pPr>
              <w:widowControl/>
              <w:jc w:val="left"/>
              <w:rPr>
                <w:rFonts w:hint="eastAsia" w:ascii="宋体" w:hAnsi="宋体" w:cs="宋体"/>
                <w:color w:val="000000"/>
                <w:kern w:val="0"/>
                <w:sz w:val="22"/>
                <w:szCs w:val="22"/>
              </w:rPr>
            </w:pPr>
          </w:p>
        </w:tc>
      </w:tr>
      <w:tr w14:paraId="376A408D">
        <w:tblPrEx>
          <w:tblCellMar>
            <w:top w:w="0" w:type="dxa"/>
            <w:left w:w="108" w:type="dxa"/>
            <w:bottom w:w="0" w:type="dxa"/>
            <w:right w:w="108" w:type="dxa"/>
          </w:tblCellMar>
        </w:tblPrEx>
        <w:trPr>
          <w:gridAfter w:val="1"/>
          <w:wAfter w:w="540" w:type="dxa"/>
          <w:trHeight w:val="355" w:hRule="atLeast"/>
        </w:trPr>
        <w:tc>
          <w:tcPr>
            <w:tcW w:w="4058" w:type="dxa"/>
            <w:gridSpan w:val="2"/>
            <w:tcBorders>
              <w:top w:val="nil"/>
              <w:left w:val="nil"/>
              <w:bottom w:val="nil"/>
              <w:right w:val="nil"/>
            </w:tcBorders>
            <w:shd w:val="clear" w:color="auto" w:fill="auto"/>
            <w:noWrap/>
            <w:vAlign w:val="center"/>
          </w:tcPr>
          <w:p w14:paraId="7B6814B3">
            <w:pPr>
              <w:widowControl/>
              <w:jc w:val="left"/>
              <w:rPr>
                <w:rFonts w:hint="eastAsia" w:ascii="宋体" w:hAnsi="宋体" w:cs="宋体"/>
                <w:color w:val="000000"/>
                <w:kern w:val="0"/>
                <w:sz w:val="22"/>
                <w:szCs w:val="22"/>
              </w:rPr>
            </w:pPr>
          </w:p>
        </w:tc>
        <w:tc>
          <w:tcPr>
            <w:tcW w:w="2124" w:type="dxa"/>
            <w:gridSpan w:val="2"/>
            <w:tcBorders>
              <w:top w:val="nil"/>
              <w:left w:val="nil"/>
              <w:bottom w:val="nil"/>
              <w:right w:val="nil"/>
            </w:tcBorders>
            <w:shd w:val="clear" w:color="auto" w:fill="auto"/>
            <w:noWrap/>
            <w:vAlign w:val="center"/>
          </w:tcPr>
          <w:p w14:paraId="4F77D797">
            <w:pPr>
              <w:widowControl/>
              <w:jc w:val="left"/>
              <w:rPr>
                <w:rFonts w:hint="eastAsia" w:ascii="宋体" w:hAnsi="宋体" w:cs="宋体"/>
                <w:color w:val="000000"/>
                <w:kern w:val="0"/>
                <w:sz w:val="22"/>
                <w:szCs w:val="22"/>
              </w:rPr>
            </w:pPr>
          </w:p>
        </w:tc>
        <w:tc>
          <w:tcPr>
            <w:tcW w:w="2124" w:type="dxa"/>
            <w:gridSpan w:val="2"/>
            <w:tcBorders>
              <w:top w:val="nil"/>
              <w:left w:val="nil"/>
              <w:bottom w:val="nil"/>
              <w:right w:val="nil"/>
            </w:tcBorders>
            <w:shd w:val="clear" w:color="auto" w:fill="auto"/>
            <w:noWrap/>
            <w:vAlign w:val="center"/>
          </w:tcPr>
          <w:p w14:paraId="62D237DD">
            <w:pPr>
              <w:widowControl/>
              <w:jc w:val="left"/>
              <w:rPr>
                <w:rFonts w:hint="eastAsia" w:ascii="宋体" w:hAnsi="宋体" w:cs="宋体"/>
                <w:color w:val="000000"/>
                <w:kern w:val="0"/>
                <w:sz w:val="22"/>
                <w:szCs w:val="22"/>
              </w:rPr>
            </w:pPr>
          </w:p>
        </w:tc>
      </w:tr>
    </w:tbl>
    <w:p w14:paraId="45CAC5C5">
      <w:pPr>
        <w:spacing w:line="360" w:lineRule="auto"/>
        <w:rPr>
          <w:szCs w:val="21"/>
        </w:rPr>
      </w:pPr>
      <w:r>
        <w:rPr>
          <w:rFonts w:hint="eastAsia"/>
          <w:b/>
          <w:sz w:val="24"/>
        </w:rPr>
        <w:t xml:space="preserve">         </w:t>
      </w:r>
      <w:r>
        <w:rPr>
          <w:rFonts w:hint="eastAsia"/>
          <w:szCs w:val="21"/>
        </w:rPr>
        <w:t>报价日期：</w:t>
      </w:r>
      <w:r>
        <w:rPr>
          <w:rFonts w:hint="eastAsia"/>
          <w:szCs w:val="21"/>
          <w:u w:val="single"/>
        </w:rPr>
        <w:t xml:space="preserve">                                            </w:t>
      </w:r>
      <w:r>
        <w:rPr>
          <w:rFonts w:hint="eastAsia"/>
          <w:szCs w:val="21"/>
        </w:rPr>
        <w:t xml:space="preserve">      </w:t>
      </w:r>
    </w:p>
    <w:p w14:paraId="52DB0879">
      <w:pPr>
        <w:spacing w:line="360" w:lineRule="auto"/>
        <w:rPr>
          <w:szCs w:val="21"/>
        </w:rPr>
      </w:pPr>
    </w:p>
    <w:p w14:paraId="4981952F">
      <w:pPr>
        <w:spacing w:line="360" w:lineRule="auto"/>
        <w:rPr>
          <w:szCs w:val="21"/>
        </w:rPr>
      </w:pPr>
    </w:p>
    <w:p w14:paraId="3754DC0B">
      <w:pPr>
        <w:spacing w:line="360" w:lineRule="auto"/>
        <w:rPr>
          <w:szCs w:val="21"/>
        </w:rPr>
      </w:pPr>
    </w:p>
    <w:p w14:paraId="648DCA4B">
      <w:pPr>
        <w:spacing w:line="360" w:lineRule="auto"/>
        <w:rPr>
          <w:szCs w:val="21"/>
        </w:rPr>
      </w:pPr>
    </w:p>
    <w:p w14:paraId="16EC5EE0">
      <w:pPr>
        <w:spacing w:line="360" w:lineRule="auto"/>
        <w:rPr>
          <w:szCs w:val="21"/>
        </w:rPr>
      </w:pPr>
    </w:p>
    <w:p w14:paraId="24FEA383">
      <w:pPr>
        <w:spacing w:line="360" w:lineRule="auto"/>
        <w:rPr>
          <w:szCs w:val="21"/>
        </w:rPr>
      </w:pPr>
    </w:p>
    <w:p w14:paraId="174E1950">
      <w:pPr>
        <w:spacing w:line="360" w:lineRule="auto"/>
        <w:rPr>
          <w:szCs w:val="21"/>
        </w:rPr>
      </w:pPr>
    </w:p>
    <w:p w14:paraId="0BB3C12B">
      <w:pPr>
        <w:spacing w:line="360" w:lineRule="auto"/>
        <w:rPr>
          <w:szCs w:val="21"/>
        </w:rPr>
      </w:pPr>
    </w:p>
    <w:p w14:paraId="27254374">
      <w:pPr>
        <w:spacing w:line="360" w:lineRule="auto"/>
        <w:rPr>
          <w:szCs w:val="21"/>
        </w:rPr>
      </w:pPr>
    </w:p>
    <w:p w14:paraId="4E8B9B3E">
      <w:pPr>
        <w:spacing w:line="360" w:lineRule="auto"/>
        <w:rPr>
          <w:szCs w:val="21"/>
        </w:rPr>
      </w:pPr>
    </w:p>
    <w:p w14:paraId="7520BBD8">
      <w:pPr>
        <w:spacing w:line="360" w:lineRule="auto"/>
        <w:rPr>
          <w:szCs w:val="21"/>
        </w:rPr>
      </w:pPr>
    </w:p>
    <w:p w14:paraId="7BCBB0F0">
      <w:pPr>
        <w:spacing w:line="360" w:lineRule="auto"/>
        <w:rPr>
          <w:szCs w:val="21"/>
        </w:rPr>
      </w:pPr>
    </w:p>
    <w:p w14:paraId="3E32DA91">
      <w:pPr>
        <w:jc w:val="left"/>
      </w:pPr>
    </w:p>
    <w:sectPr>
      <w:pgSz w:w="11906" w:h="16838"/>
      <w:pgMar w:top="1134" w:right="113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ont-size:11pt;">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1219D">
    <w:pPr>
      <w:pStyle w:val="7"/>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p w14:paraId="657023CB">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F440D">
    <w:pPr>
      <w:pStyle w:val="7"/>
      <w:jc w:val="center"/>
      <w:rPr>
        <w:b/>
      </w:rPr>
    </w:pPr>
    <w:r>
      <w:rPr>
        <w:rFonts w:hint="eastAsia"/>
        <w:b/>
      </w:rPr>
      <w:t>5-</w:t>
    </w:r>
    <w:r>
      <w:rPr>
        <w:rStyle w:val="13"/>
        <w:rFonts w:hint="eastAsia"/>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4F152"/>
  <w:p w14:paraId="6A11A490">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F63D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70610">
    <w:pPr>
      <w:pStyle w:val="8"/>
      <w:pBdr>
        <w:bottom w:val="single" w:color="auto" w:sz="6" w:space="0"/>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hint="eastAsia" w:ascii="仿宋_GB2312" w:hAnsi="宋体"/>
        <w:b/>
      </w:rPr>
      <w:t xml:space="preserve"> 商务条款</w:t>
    </w:r>
    <w:r>
      <w:rPr>
        <w:b/>
      </w:rPr>
      <w:t xml:space="preserve">    </w:t>
    </w:r>
    <w:r>
      <w:rPr>
        <w:rFonts w:hint="eastAsia"/>
        <w:b/>
      </w:rPr>
      <w:t xml:space="preserve">        </w:t>
    </w:r>
    <w:r>
      <w:rPr>
        <w:b/>
      </w:rPr>
      <w:t xml:space="preserve">         IFB No. : 0625-11108016-3 </w:t>
    </w:r>
  </w:p>
  <w:p w14:paraId="4E402F3D">
    <w:pPr>
      <w:pStyle w:val="8"/>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3MzkyODY1ZWY0ZWQyOGNhODBkMDIwNGZjNTIwZDkifQ=="/>
  </w:docVars>
  <w:rsids>
    <w:rsidRoot w:val="00750550"/>
    <w:rsid w:val="000033DF"/>
    <w:rsid w:val="000048A4"/>
    <w:rsid w:val="00016CBB"/>
    <w:rsid w:val="00061244"/>
    <w:rsid w:val="000636DE"/>
    <w:rsid w:val="00076BAF"/>
    <w:rsid w:val="00081585"/>
    <w:rsid w:val="000856A2"/>
    <w:rsid w:val="000943B7"/>
    <w:rsid w:val="000956A5"/>
    <w:rsid w:val="00097D9E"/>
    <w:rsid w:val="000C4534"/>
    <w:rsid w:val="000C7B8A"/>
    <w:rsid w:val="000E2937"/>
    <w:rsid w:val="000E30CF"/>
    <w:rsid w:val="000E4D9F"/>
    <w:rsid w:val="000E5164"/>
    <w:rsid w:val="00103DCE"/>
    <w:rsid w:val="00104A1B"/>
    <w:rsid w:val="00106C64"/>
    <w:rsid w:val="00126659"/>
    <w:rsid w:val="00141D4F"/>
    <w:rsid w:val="00174A19"/>
    <w:rsid w:val="00186F2C"/>
    <w:rsid w:val="001912EB"/>
    <w:rsid w:val="001925EA"/>
    <w:rsid w:val="001B24A8"/>
    <w:rsid w:val="001B2916"/>
    <w:rsid w:val="001F5AD9"/>
    <w:rsid w:val="00230118"/>
    <w:rsid w:val="00234CA3"/>
    <w:rsid w:val="00234DBD"/>
    <w:rsid w:val="00271394"/>
    <w:rsid w:val="00273BBD"/>
    <w:rsid w:val="002878B3"/>
    <w:rsid w:val="002A79FA"/>
    <w:rsid w:val="002F6294"/>
    <w:rsid w:val="00317D07"/>
    <w:rsid w:val="00332A17"/>
    <w:rsid w:val="00337835"/>
    <w:rsid w:val="00355E9F"/>
    <w:rsid w:val="0038264C"/>
    <w:rsid w:val="003938BD"/>
    <w:rsid w:val="00397E56"/>
    <w:rsid w:val="003A2BEB"/>
    <w:rsid w:val="003D7996"/>
    <w:rsid w:val="003E311A"/>
    <w:rsid w:val="00412D94"/>
    <w:rsid w:val="004221AD"/>
    <w:rsid w:val="004403BA"/>
    <w:rsid w:val="00450699"/>
    <w:rsid w:val="004854CF"/>
    <w:rsid w:val="004A396E"/>
    <w:rsid w:val="004A65CC"/>
    <w:rsid w:val="004E2771"/>
    <w:rsid w:val="00530E29"/>
    <w:rsid w:val="005447E2"/>
    <w:rsid w:val="00550E1C"/>
    <w:rsid w:val="00566DA5"/>
    <w:rsid w:val="00581BC6"/>
    <w:rsid w:val="00586CC3"/>
    <w:rsid w:val="005B4D7A"/>
    <w:rsid w:val="005C2D93"/>
    <w:rsid w:val="005D0A57"/>
    <w:rsid w:val="005D3033"/>
    <w:rsid w:val="005D480C"/>
    <w:rsid w:val="005D794E"/>
    <w:rsid w:val="005E721C"/>
    <w:rsid w:val="005E78C3"/>
    <w:rsid w:val="005F6F66"/>
    <w:rsid w:val="00601198"/>
    <w:rsid w:val="006114D0"/>
    <w:rsid w:val="006312DD"/>
    <w:rsid w:val="00650D96"/>
    <w:rsid w:val="0065582B"/>
    <w:rsid w:val="00670F3F"/>
    <w:rsid w:val="0067238B"/>
    <w:rsid w:val="006A40DD"/>
    <w:rsid w:val="006A46A3"/>
    <w:rsid w:val="006C029D"/>
    <w:rsid w:val="006E05AC"/>
    <w:rsid w:val="00705BAE"/>
    <w:rsid w:val="00713CBB"/>
    <w:rsid w:val="00742273"/>
    <w:rsid w:val="00750550"/>
    <w:rsid w:val="007618AB"/>
    <w:rsid w:val="00761B5C"/>
    <w:rsid w:val="00764DFF"/>
    <w:rsid w:val="00777E02"/>
    <w:rsid w:val="00781C3A"/>
    <w:rsid w:val="0078282D"/>
    <w:rsid w:val="00792DC1"/>
    <w:rsid w:val="00797634"/>
    <w:rsid w:val="007B3A9A"/>
    <w:rsid w:val="007D74D7"/>
    <w:rsid w:val="007E1356"/>
    <w:rsid w:val="007F28DA"/>
    <w:rsid w:val="0080501A"/>
    <w:rsid w:val="0081535C"/>
    <w:rsid w:val="00822D40"/>
    <w:rsid w:val="008235B3"/>
    <w:rsid w:val="00825989"/>
    <w:rsid w:val="00827133"/>
    <w:rsid w:val="0082781E"/>
    <w:rsid w:val="008333A9"/>
    <w:rsid w:val="00847E7F"/>
    <w:rsid w:val="00865D0A"/>
    <w:rsid w:val="008702D4"/>
    <w:rsid w:val="008709BB"/>
    <w:rsid w:val="008816ED"/>
    <w:rsid w:val="00883542"/>
    <w:rsid w:val="00890793"/>
    <w:rsid w:val="00895C4C"/>
    <w:rsid w:val="0089721C"/>
    <w:rsid w:val="008B6AC5"/>
    <w:rsid w:val="008D507C"/>
    <w:rsid w:val="00906F54"/>
    <w:rsid w:val="009118A9"/>
    <w:rsid w:val="00941829"/>
    <w:rsid w:val="00946BC9"/>
    <w:rsid w:val="00965A69"/>
    <w:rsid w:val="00965D86"/>
    <w:rsid w:val="00973ABD"/>
    <w:rsid w:val="00996CB8"/>
    <w:rsid w:val="009A0189"/>
    <w:rsid w:val="009C1A00"/>
    <w:rsid w:val="009C4328"/>
    <w:rsid w:val="009D5148"/>
    <w:rsid w:val="009D7010"/>
    <w:rsid w:val="009F3E3D"/>
    <w:rsid w:val="009F4129"/>
    <w:rsid w:val="009F442A"/>
    <w:rsid w:val="009F70FE"/>
    <w:rsid w:val="009F7145"/>
    <w:rsid w:val="00A01001"/>
    <w:rsid w:val="00A03F65"/>
    <w:rsid w:val="00A06A6E"/>
    <w:rsid w:val="00A2541B"/>
    <w:rsid w:val="00A40100"/>
    <w:rsid w:val="00A5146D"/>
    <w:rsid w:val="00A83138"/>
    <w:rsid w:val="00A84933"/>
    <w:rsid w:val="00A86A5B"/>
    <w:rsid w:val="00AB383B"/>
    <w:rsid w:val="00AB4A02"/>
    <w:rsid w:val="00AD6C33"/>
    <w:rsid w:val="00AE354B"/>
    <w:rsid w:val="00AF0C70"/>
    <w:rsid w:val="00AF7168"/>
    <w:rsid w:val="00B11626"/>
    <w:rsid w:val="00B30AC8"/>
    <w:rsid w:val="00B32E0F"/>
    <w:rsid w:val="00B34D64"/>
    <w:rsid w:val="00B40505"/>
    <w:rsid w:val="00B77C6E"/>
    <w:rsid w:val="00B9244F"/>
    <w:rsid w:val="00B9648E"/>
    <w:rsid w:val="00BD3677"/>
    <w:rsid w:val="00C271C9"/>
    <w:rsid w:val="00C5499B"/>
    <w:rsid w:val="00C708BD"/>
    <w:rsid w:val="00C73CCB"/>
    <w:rsid w:val="00C81B01"/>
    <w:rsid w:val="00CA0E8F"/>
    <w:rsid w:val="00CC11E7"/>
    <w:rsid w:val="00CF6619"/>
    <w:rsid w:val="00D17958"/>
    <w:rsid w:val="00D43FC7"/>
    <w:rsid w:val="00D6284B"/>
    <w:rsid w:val="00D63EB6"/>
    <w:rsid w:val="00D859A2"/>
    <w:rsid w:val="00DC2DA8"/>
    <w:rsid w:val="00DE7C17"/>
    <w:rsid w:val="00DF1A54"/>
    <w:rsid w:val="00DF4407"/>
    <w:rsid w:val="00E0274B"/>
    <w:rsid w:val="00E1141D"/>
    <w:rsid w:val="00E16D4E"/>
    <w:rsid w:val="00E20140"/>
    <w:rsid w:val="00E270AE"/>
    <w:rsid w:val="00E50150"/>
    <w:rsid w:val="00E5463F"/>
    <w:rsid w:val="00E6742B"/>
    <w:rsid w:val="00E74A28"/>
    <w:rsid w:val="00E84D22"/>
    <w:rsid w:val="00E95886"/>
    <w:rsid w:val="00EC34ED"/>
    <w:rsid w:val="00ED02E7"/>
    <w:rsid w:val="00ED5534"/>
    <w:rsid w:val="00F0182D"/>
    <w:rsid w:val="00F04FF7"/>
    <w:rsid w:val="00F27710"/>
    <w:rsid w:val="00F4400B"/>
    <w:rsid w:val="00F44B81"/>
    <w:rsid w:val="00F55005"/>
    <w:rsid w:val="00F6714E"/>
    <w:rsid w:val="00F712B9"/>
    <w:rsid w:val="00F74A21"/>
    <w:rsid w:val="00FD4721"/>
    <w:rsid w:val="00FF4037"/>
    <w:rsid w:val="00FF414B"/>
    <w:rsid w:val="03525F75"/>
    <w:rsid w:val="038500F8"/>
    <w:rsid w:val="053578FC"/>
    <w:rsid w:val="06384CC8"/>
    <w:rsid w:val="064D1801"/>
    <w:rsid w:val="08CD4CFB"/>
    <w:rsid w:val="094D16B8"/>
    <w:rsid w:val="09D05E45"/>
    <w:rsid w:val="0C5C7E64"/>
    <w:rsid w:val="0D054058"/>
    <w:rsid w:val="0E6B25E0"/>
    <w:rsid w:val="0E9D60B2"/>
    <w:rsid w:val="10C53A71"/>
    <w:rsid w:val="12C10A21"/>
    <w:rsid w:val="13453400"/>
    <w:rsid w:val="13DB3D64"/>
    <w:rsid w:val="13E144D1"/>
    <w:rsid w:val="14B92C92"/>
    <w:rsid w:val="17421667"/>
    <w:rsid w:val="1F8224D7"/>
    <w:rsid w:val="206F24F1"/>
    <w:rsid w:val="22310D53"/>
    <w:rsid w:val="22DD6ECC"/>
    <w:rsid w:val="24512D59"/>
    <w:rsid w:val="24AD25DC"/>
    <w:rsid w:val="25592D3B"/>
    <w:rsid w:val="26C012AB"/>
    <w:rsid w:val="278E7AEF"/>
    <w:rsid w:val="28DE0127"/>
    <w:rsid w:val="2E2E0DE0"/>
    <w:rsid w:val="2E3C1B78"/>
    <w:rsid w:val="2E514EF7"/>
    <w:rsid w:val="3BFC64A2"/>
    <w:rsid w:val="3C40013E"/>
    <w:rsid w:val="3CA82A52"/>
    <w:rsid w:val="3FB4600E"/>
    <w:rsid w:val="405F07C0"/>
    <w:rsid w:val="42CF6EF1"/>
    <w:rsid w:val="42FF3FB4"/>
    <w:rsid w:val="437B23A2"/>
    <w:rsid w:val="43BB34AB"/>
    <w:rsid w:val="44FD14E0"/>
    <w:rsid w:val="48E06069"/>
    <w:rsid w:val="490370AC"/>
    <w:rsid w:val="4BCD7E5B"/>
    <w:rsid w:val="4CDD7C2A"/>
    <w:rsid w:val="4E1753BE"/>
    <w:rsid w:val="54493DF7"/>
    <w:rsid w:val="54815E8F"/>
    <w:rsid w:val="548E5CAE"/>
    <w:rsid w:val="5A236E98"/>
    <w:rsid w:val="5AF70A51"/>
    <w:rsid w:val="5C60666B"/>
    <w:rsid w:val="5CAC3989"/>
    <w:rsid w:val="5CAE15E3"/>
    <w:rsid w:val="5D997B9D"/>
    <w:rsid w:val="5F0B6879"/>
    <w:rsid w:val="5F3F0DBB"/>
    <w:rsid w:val="5F720E9A"/>
    <w:rsid w:val="62A50D92"/>
    <w:rsid w:val="65F65BE7"/>
    <w:rsid w:val="663F5E1A"/>
    <w:rsid w:val="66BE691E"/>
    <w:rsid w:val="695F613F"/>
    <w:rsid w:val="6B6E7FC8"/>
    <w:rsid w:val="6BC24763"/>
    <w:rsid w:val="6CD504C6"/>
    <w:rsid w:val="6CEE3336"/>
    <w:rsid w:val="6E9F2B3A"/>
    <w:rsid w:val="71B82160"/>
    <w:rsid w:val="726A6929"/>
    <w:rsid w:val="72ED3C39"/>
    <w:rsid w:val="72FB5204"/>
    <w:rsid w:val="74675EA7"/>
    <w:rsid w:val="766F7295"/>
    <w:rsid w:val="7BD32074"/>
    <w:rsid w:val="7BF316E6"/>
    <w:rsid w:val="7DDE3AF5"/>
    <w:rsid w:val="7E9051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4"/>
    <w:link w:val="17"/>
    <w:qFormat/>
    <w:uiPriority w:val="0"/>
    <w:pPr>
      <w:spacing w:before="360" w:after="120" w:line="360" w:lineRule="auto"/>
      <w:ind w:left="-5"/>
      <w:jc w:val="center"/>
      <w:outlineLvl w:val="1"/>
    </w:pPr>
    <w:rPr>
      <w:rFonts w:ascii="Arial" w:hAnsi="Arial" w:eastAsia="黑体" w:cs="Times New Roman"/>
      <w:b/>
      <w:sz w:val="32"/>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semiHidden/>
    <w:unhideWhenUsed/>
    <w:qFormat/>
    <w:uiPriority w:val="99"/>
    <w:pPr>
      <w:spacing w:before="120"/>
    </w:pPr>
    <w:rPr>
      <w:rFonts w:asciiTheme="majorHAnsi" w:hAnsiTheme="majorHAnsi" w:cstheme="majorBidi"/>
      <w:sz w:val="24"/>
    </w:rPr>
  </w:style>
  <w:style w:type="paragraph" w:styleId="4">
    <w:name w:val="Title"/>
    <w:basedOn w:val="1"/>
    <w:link w:val="18"/>
    <w:qFormat/>
    <w:uiPriority w:val="0"/>
    <w:pPr>
      <w:spacing w:before="240" w:after="60"/>
      <w:jc w:val="center"/>
      <w:outlineLvl w:val="0"/>
    </w:pPr>
    <w:rPr>
      <w:rFonts w:ascii="Arial" w:hAnsi="Arial" w:cs="Arial"/>
      <w:b/>
      <w:bCs/>
      <w:sz w:val="32"/>
      <w:szCs w:val="32"/>
    </w:rPr>
  </w:style>
  <w:style w:type="paragraph" w:styleId="5">
    <w:name w:val="Body Text"/>
    <w:basedOn w:val="1"/>
    <w:link w:val="19"/>
    <w:qFormat/>
    <w:uiPriority w:val="0"/>
    <w:pPr>
      <w:tabs>
        <w:tab w:val="left" w:pos="574"/>
      </w:tabs>
      <w:spacing w:line="288" w:lineRule="auto"/>
    </w:pPr>
    <w:rPr>
      <w:rFonts w:ascii="宋体" w:hAnsi="宋体"/>
      <w:szCs w:val="20"/>
    </w:rPr>
  </w:style>
  <w:style w:type="paragraph" w:styleId="6">
    <w:name w:val="Balloon Text"/>
    <w:basedOn w:val="1"/>
    <w:link w:val="21"/>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99"/>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标题 2 Char"/>
    <w:basedOn w:val="12"/>
    <w:link w:val="2"/>
    <w:qFormat/>
    <w:uiPriority w:val="0"/>
    <w:rPr>
      <w:rFonts w:ascii="Arial" w:hAnsi="Arial" w:eastAsia="黑体" w:cs="Times New Roman"/>
      <w:b/>
      <w:sz w:val="32"/>
      <w:szCs w:val="20"/>
    </w:rPr>
  </w:style>
  <w:style w:type="character" w:customStyle="1" w:styleId="18">
    <w:name w:val="标题 Char"/>
    <w:basedOn w:val="12"/>
    <w:link w:val="4"/>
    <w:qFormat/>
    <w:uiPriority w:val="0"/>
    <w:rPr>
      <w:rFonts w:ascii="Arial" w:hAnsi="Arial" w:eastAsia="宋体" w:cs="Arial"/>
      <w:b/>
      <w:bCs/>
      <w:sz w:val="32"/>
      <w:szCs w:val="32"/>
    </w:rPr>
  </w:style>
  <w:style w:type="character" w:customStyle="1" w:styleId="19">
    <w:name w:val="正文文本 Char"/>
    <w:basedOn w:val="12"/>
    <w:link w:val="5"/>
    <w:qFormat/>
    <w:uiPriority w:val="0"/>
    <w:rPr>
      <w:rFonts w:ascii="宋体" w:hAnsi="宋体" w:eastAsia="宋体" w:cs="Times New Roman"/>
      <w:szCs w:val="20"/>
    </w:rPr>
  </w:style>
  <w:style w:type="paragraph" w:styleId="20">
    <w:name w:val="List Paragraph"/>
    <w:basedOn w:val="1"/>
    <w:qFormat/>
    <w:uiPriority w:val="34"/>
    <w:pPr>
      <w:ind w:firstLine="420" w:firstLineChars="200"/>
    </w:pPr>
  </w:style>
  <w:style w:type="character" w:customStyle="1" w:styleId="21">
    <w:name w:val="批注框文本 Char"/>
    <w:basedOn w:val="12"/>
    <w:link w:val="6"/>
    <w:semiHidden/>
    <w:qFormat/>
    <w:uiPriority w:val="99"/>
    <w:rPr>
      <w:rFonts w:ascii="Times New Roman" w:hAnsi="Times New Roman" w:eastAsia="宋体" w:cs="Times New Roman"/>
      <w:sz w:val="18"/>
      <w:szCs w:val="18"/>
    </w:rPr>
  </w:style>
  <w:style w:type="paragraph" w:customStyle="1" w:styleId="22">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3028</Words>
  <Characters>3330</Characters>
  <Lines>31</Lines>
  <Paragraphs>8</Paragraphs>
  <TotalTime>245</TotalTime>
  <ScaleCrop>false</ScaleCrop>
  <LinksUpToDate>false</LinksUpToDate>
  <CharactersWithSpaces>3567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2024-09-29T10:24:00Z</dcterms:created>
  <dc:creator>YWGL</dc:creator>
  <cp:lastModifiedBy>花生日记</cp:lastModifiedBy>
  <cp:lastPrinted>2025-09-26T02:41:00Z</cp:lastPrinted>
  <dcterms:modified xsi:type="dcterms:W3CDTF">2025-10-23T07:26:59Z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19B75FC17595466EB9B0E66EE800142B_13</vt:lpwstr>
  </property>
  <property fmtid="{D5CDD505-2E9C-101B-9397-08002B2CF9AE}" pid="4" name="KSOTemplateDocerSaveRecord">
    <vt:lpwstr>eyJoZGlkIjoiZjI3MzkyODY1ZWY0ZWQyOGNhODBkMDIwNGZjNTIwZDkiLCJ1c2VySWQiOiIxMTQ3NTAzNzk1In0=</vt:lpwstr>
  </property>
</Properties>
</file>