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9FBFA"/>
  <w:body>
    <w:p w14:paraId="11433194">
      <w:pPr>
        <w:widowControl/>
        <w:jc w:val="center"/>
        <w:rPr>
          <w:rFonts w:hint="eastAsia" w:ascii="宋体" w:hAnsi="宋体"/>
          <w:b/>
          <w:sz w:val="72"/>
          <w:szCs w:val="72"/>
        </w:rPr>
      </w:pPr>
      <w:bookmarkStart w:id="0" w:name="_Toc19793"/>
      <w:bookmarkStart w:id="1" w:name="_Toc26017"/>
      <w:bookmarkStart w:id="2" w:name="_Toc500208499"/>
      <w:bookmarkStart w:id="3" w:name="_Toc500209421"/>
      <w:bookmarkStart w:id="4" w:name="_Toc359873218"/>
    </w:p>
    <w:p w14:paraId="0EB5F8D6">
      <w:pPr>
        <w:widowControl/>
        <w:jc w:val="center"/>
        <w:rPr>
          <w:rFonts w:hint="eastAsia" w:ascii="宋体" w:hAnsi="宋体"/>
          <w:b/>
          <w:sz w:val="72"/>
          <w:szCs w:val="72"/>
        </w:rPr>
      </w:pPr>
    </w:p>
    <w:p w14:paraId="3DFA8FAF">
      <w:pPr>
        <w:widowControl/>
        <w:jc w:val="center"/>
        <w:rPr>
          <w:rFonts w:ascii="宋体" w:hAnsi="宋体"/>
          <w:b/>
          <w:sz w:val="52"/>
          <w:szCs w:val="52"/>
        </w:rPr>
      </w:pPr>
      <w:r>
        <w:rPr>
          <w:rFonts w:hint="eastAsia" w:ascii="宋体" w:hAnsi="宋体"/>
          <w:b/>
          <w:sz w:val="72"/>
          <w:szCs w:val="72"/>
        </w:rPr>
        <w:t>招标文件</w:t>
      </w:r>
    </w:p>
    <w:p w14:paraId="54978C3B">
      <w:pPr>
        <w:spacing w:line="560" w:lineRule="exact"/>
        <w:jc w:val="left"/>
        <w:rPr>
          <w:rFonts w:ascii="楷体_GB2312" w:eastAsia="楷体_GB2312"/>
          <w:sz w:val="28"/>
          <w:szCs w:val="28"/>
        </w:rPr>
      </w:pPr>
    </w:p>
    <w:p w14:paraId="53EFF93D">
      <w:pPr>
        <w:spacing w:line="560" w:lineRule="exact"/>
        <w:ind w:firstLine="560" w:firstLineChars="200"/>
        <w:jc w:val="left"/>
        <w:rPr>
          <w:rFonts w:ascii="宋体" w:hAnsi="宋体"/>
          <w:sz w:val="28"/>
          <w:szCs w:val="28"/>
        </w:rPr>
      </w:pPr>
    </w:p>
    <w:p w14:paraId="47CF166E">
      <w:pPr>
        <w:spacing w:line="560" w:lineRule="exact"/>
        <w:ind w:firstLine="560" w:firstLineChars="200"/>
        <w:jc w:val="left"/>
        <w:rPr>
          <w:rFonts w:ascii="宋体" w:hAnsi="宋体"/>
          <w:sz w:val="28"/>
          <w:szCs w:val="28"/>
        </w:rPr>
      </w:pPr>
    </w:p>
    <w:p w14:paraId="3B4E0548">
      <w:pPr>
        <w:spacing w:line="560" w:lineRule="exact"/>
        <w:ind w:firstLine="640" w:firstLineChars="200"/>
        <w:jc w:val="left"/>
        <w:rPr>
          <w:rFonts w:ascii="宋体" w:hAnsi="宋体"/>
          <w:sz w:val="32"/>
          <w:szCs w:val="32"/>
        </w:rPr>
      </w:pPr>
      <w:r>
        <w:rPr>
          <w:rFonts w:hint="eastAsia" w:ascii="宋体" w:hAnsi="宋体"/>
          <w:sz w:val="32"/>
          <w:szCs w:val="32"/>
        </w:rPr>
        <w:t>招标编号：NFZB-20250909</w:t>
      </w:r>
    </w:p>
    <w:p w14:paraId="257EB83C">
      <w:pPr>
        <w:spacing w:line="560" w:lineRule="exact"/>
        <w:ind w:firstLine="640" w:firstLineChars="200"/>
        <w:jc w:val="left"/>
        <w:rPr>
          <w:rFonts w:ascii="宋体" w:hAnsi="宋体"/>
          <w:sz w:val="32"/>
          <w:szCs w:val="32"/>
        </w:rPr>
      </w:pPr>
      <w:r>
        <w:rPr>
          <w:rFonts w:ascii="宋体" w:hAnsi="宋体"/>
          <w:sz w:val="32"/>
          <w:szCs w:val="32"/>
        </w:rPr>
        <w:t>项目名称：</w:t>
      </w:r>
      <w:r>
        <w:rPr>
          <w:rFonts w:hint="eastAsia" w:ascii="宋体" w:hAnsi="宋体"/>
          <w:sz w:val="32"/>
          <w:szCs w:val="32"/>
        </w:rPr>
        <w:t>浙江时代锂电材料配套工程（废盐综合利用制离子膜烧碱项目）</w:t>
      </w:r>
    </w:p>
    <w:p w14:paraId="44EF97C5">
      <w:pPr>
        <w:spacing w:line="560" w:lineRule="exact"/>
        <w:ind w:firstLine="708" w:firstLineChars="200"/>
        <w:jc w:val="left"/>
        <w:rPr>
          <w:rFonts w:ascii="宋体" w:hAnsi="宋体"/>
          <w:sz w:val="32"/>
          <w:szCs w:val="32"/>
        </w:rPr>
      </w:pPr>
      <w:r>
        <w:rPr>
          <w:rFonts w:hint="eastAsia" w:ascii="宋体" w:hAnsi="宋体"/>
          <w:spacing w:val="17"/>
          <w:sz w:val="32"/>
          <w:szCs w:val="32"/>
        </w:rPr>
        <w:t>标的物名</w:t>
      </w:r>
      <w:r>
        <w:rPr>
          <w:rFonts w:hint="eastAsia" w:ascii="宋体" w:hAnsi="宋体"/>
          <w:spacing w:val="2"/>
          <w:sz w:val="32"/>
          <w:szCs w:val="32"/>
        </w:rPr>
        <w:t>称</w:t>
      </w:r>
      <w:r>
        <w:rPr>
          <w:rFonts w:hint="eastAsia" w:ascii="宋体" w:hAnsi="宋体"/>
          <w:sz w:val="32"/>
          <w:szCs w:val="32"/>
        </w:rPr>
        <w:t>：离心式氯气压缩机组一台（套）</w:t>
      </w:r>
    </w:p>
    <w:p w14:paraId="741557E2">
      <w:pPr>
        <w:spacing w:line="560" w:lineRule="exact"/>
        <w:jc w:val="left"/>
        <w:rPr>
          <w:rFonts w:ascii="楷体_GB2312" w:eastAsia="楷体_GB2312"/>
          <w:sz w:val="32"/>
          <w:szCs w:val="32"/>
        </w:rPr>
      </w:pPr>
    </w:p>
    <w:p w14:paraId="524C35E3">
      <w:pPr>
        <w:spacing w:line="560" w:lineRule="exact"/>
        <w:jc w:val="left"/>
        <w:rPr>
          <w:rFonts w:ascii="楷体_GB2312" w:eastAsia="楷体_GB2312"/>
          <w:sz w:val="28"/>
        </w:rPr>
      </w:pPr>
    </w:p>
    <w:p w14:paraId="183D5D27">
      <w:pPr>
        <w:spacing w:line="560" w:lineRule="exact"/>
        <w:jc w:val="left"/>
        <w:rPr>
          <w:rFonts w:ascii="楷体_GB2312" w:eastAsia="楷体_GB2312"/>
          <w:sz w:val="28"/>
        </w:rPr>
      </w:pPr>
    </w:p>
    <w:p w14:paraId="6B912AD7">
      <w:pPr>
        <w:spacing w:line="560" w:lineRule="exact"/>
        <w:jc w:val="left"/>
        <w:rPr>
          <w:rFonts w:ascii="楷体_GB2312" w:eastAsia="楷体_GB2312"/>
          <w:sz w:val="28"/>
        </w:rPr>
      </w:pPr>
    </w:p>
    <w:p w14:paraId="215F829C">
      <w:pPr>
        <w:pStyle w:val="153"/>
        <w:ind w:firstLine="600" w:firstLineChars="200"/>
        <w:jc w:val="left"/>
        <w:rPr>
          <w:rFonts w:ascii="宋体" w:hAnsi="宋体"/>
          <w:b/>
          <w:bCs/>
          <w:sz w:val="30"/>
          <w:szCs w:val="30"/>
        </w:rPr>
      </w:pPr>
      <w:r>
        <w:rPr>
          <w:rFonts w:hint="eastAsia" w:ascii="宋体" w:hAnsi="宋体"/>
          <w:sz w:val="30"/>
          <w:szCs w:val="30"/>
        </w:rPr>
        <w:t>招</w:t>
      </w:r>
      <w:r>
        <w:rPr>
          <w:rFonts w:ascii="宋体" w:hAnsi="宋体"/>
          <w:sz w:val="30"/>
          <w:szCs w:val="30"/>
        </w:rPr>
        <w:t xml:space="preserve"> </w:t>
      </w:r>
      <w:r>
        <w:rPr>
          <w:rFonts w:hint="eastAsia" w:ascii="宋体" w:hAnsi="宋体"/>
          <w:sz w:val="30"/>
          <w:szCs w:val="30"/>
        </w:rPr>
        <w:t>标</w:t>
      </w:r>
      <w:r>
        <w:rPr>
          <w:rFonts w:ascii="宋体" w:hAnsi="宋体"/>
          <w:sz w:val="30"/>
          <w:szCs w:val="30"/>
        </w:rPr>
        <w:t xml:space="preserve"> </w:t>
      </w:r>
      <w:r>
        <w:rPr>
          <w:rFonts w:hint="eastAsia" w:ascii="宋体" w:hAnsi="宋体"/>
          <w:sz w:val="30"/>
          <w:szCs w:val="30"/>
        </w:rPr>
        <w:t>人：浙江巨化股份有限公司</w:t>
      </w:r>
    </w:p>
    <w:p w14:paraId="077A982F">
      <w:pPr>
        <w:pStyle w:val="153"/>
        <w:ind w:firstLine="2100" w:firstLineChars="700"/>
        <w:jc w:val="left"/>
        <w:rPr>
          <w:rFonts w:ascii="宋体" w:hAnsi="宋体"/>
          <w:b/>
          <w:bCs/>
          <w:sz w:val="30"/>
          <w:szCs w:val="30"/>
        </w:rPr>
      </w:pPr>
      <w:r>
        <w:rPr>
          <w:rFonts w:hint="eastAsia" w:ascii="宋体" w:hAnsi="宋体"/>
          <w:sz w:val="30"/>
          <w:szCs w:val="30"/>
        </w:rPr>
        <w:t>浙江巨化化工材料有限公司</w:t>
      </w:r>
    </w:p>
    <w:p w14:paraId="7C418AD6">
      <w:pPr>
        <w:pStyle w:val="153"/>
        <w:ind w:firstLine="600" w:firstLineChars="200"/>
        <w:jc w:val="left"/>
        <w:rPr>
          <w:rFonts w:ascii="宋体" w:hAnsi="宋体"/>
          <w:sz w:val="30"/>
          <w:szCs w:val="30"/>
        </w:rPr>
      </w:pPr>
      <w:r>
        <w:rPr>
          <w:rFonts w:hint="eastAsia" w:ascii="宋体" w:hAnsi="宋体"/>
          <w:sz w:val="30"/>
          <w:szCs w:val="30"/>
        </w:rPr>
        <w:t>招标代理：浙江南方工程咨询管理有限公司</w:t>
      </w:r>
    </w:p>
    <w:p w14:paraId="69C1ABEC">
      <w:pPr>
        <w:pStyle w:val="153"/>
        <w:ind w:firstLine="600" w:firstLineChars="200"/>
        <w:jc w:val="left"/>
        <w:rPr>
          <w:rFonts w:ascii="宋体" w:hAnsi="宋体"/>
          <w:b/>
          <w:bCs/>
          <w:sz w:val="30"/>
          <w:szCs w:val="30"/>
        </w:rPr>
      </w:pPr>
      <w:r>
        <w:rPr>
          <w:rFonts w:hint="eastAsia" w:ascii="宋体" w:hAnsi="宋体"/>
          <w:sz w:val="30"/>
          <w:szCs w:val="30"/>
        </w:rPr>
        <w:t>核准机构：巨化招标办公室</w:t>
      </w:r>
    </w:p>
    <w:p w14:paraId="1469C9D1">
      <w:pPr>
        <w:spacing w:line="560" w:lineRule="exact"/>
        <w:jc w:val="left"/>
        <w:rPr>
          <w:rFonts w:ascii="楷体_GB2312" w:eastAsia="楷体_GB2312"/>
          <w:sz w:val="30"/>
          <w:szCs w:val="30"/>
        </w:rPr>
      </w:pPr>
    </w:p>
    <w:p w14:paraId="64BD2267">
      <w:pPr>
        <w:spacing w:line="560" w:lineRule="exact"/>
        <w:jc w:val="center"/>
        <w:rPr>
          <w:rFonts w:ascii="宋体"/>
          <w:sz w:val="30"/>
          <w:szCs w:val="30"/>
        </w:rPr>
      </w:pPr>
      <w:r>
        <w:rPr>
          <w:rFonts w:ascii="宋体" w:hAnsi="宋体"/>
          <w:sz w:val="30"/>
          <w:szCs w:val="30"/>
        </w:rPr>
        <w:t>2</w:t>
      </w:r>
      <w:r>
        <w:rPr>
          <w:rFonts w:ascii="宋体"/>
          <w:sz w:val="30"/>
          <w:szCs w:val="30"/>
        </w:rPr>
        <w:t>0</w:t>
      </w:r>
      <w:r>
        <w:rPr>
          <w:rFonts w:ascii="宋体" w:hAnsi="宋体"/>
          <w:sz w:val="30"/>
          <w:szCs w:val="30"/>
        </w:rPr>
        <w:t>2</w:t>
      </w:r>
      <w:r>
        <w:rPr>
          <w:rFonts w:ascii="宋体"/>
          <w:sz w:val="30"/>
          <w:szCs w:val="30"/>
        </w:rPr>
        <w:t>5</w:t>
      </w:r>
      <w:r>
        <w:rPr>
          <w:rFonts w:hint="eastAsia" w:ascii="宋体" w:hAnsi="宋体"/>
          <w:sz w:val="30"/>
          <w:szCs w:val="30"/>
        </w:rPr>
        <w:t>年</w:t>
      </w:r>
      <w:r>
        <w:rPr>
          <w:rFonts w:hint="eastAsia" w:ascii="宋体" w:hAnsi="宋体"/>
          <w:sz w:val="30"/>
          <w:szCs w:val="30"/>
          <w:lang w:val="en-US" w:eastAsia="zh-CN"/>
        </w:rPr>
        <w:t>10</w:t>
      </w:r>
      <w:r>
        <w:rPr>
          <w:rFonts w:hint="eastAsia" w:ascii="宋体" w:hAnsi="宋体"/>
          <w:sz w:val="30"/>
          <w:szCs w:val="30"/>
        </w:rPr>
        <w:t>月</w:t>
      </w:r>
    </w:p>
    <w:p w14:paraId="3613EBDA">
      <w:pPr>
        <w:jc w:val="left"/>
      </w:pPr>
    </w:p>
    <w:p w14:paraId="7AEDACDD">
      <w:pPr>
        <w:widowControl/>
        <w:jc w:val="left"/>
        <w:sectPr>
          <w:headerReference r:id="rId3" w:type="default"/>
          <w:footerReference r:id="rId4" w:type="default"/>
          <w:pgSz w:w="11907" w:h="16840"/>
          <w:pgMar w:top="1440" w:right="1080" w:bottom="1440" w:left="1080" w:header="851" w:footer="992" w:gutter="0"/>
          <w:pgNumType w:start="1"/>
          <w:cols w:space="720" w:num="1"/>
          <w:docGrid w:linePitch="312" w:charSpace="0"/>
        </w:sectPr>
      </w:pPr>
    </w:p>
    <w:p w14:paraId="7DA1FEB1">
      <w:pPr>
        <w:pStyle w:val="136"/>
        <w:jc w:val="center"/>
        <w:rPr>
          <w:rFonts w:ascii="黑体" w:eastAsia="黑体"/>
          <w:b w:val="0"/>
          <w:color w:val="auto"/>
          <w:sz w:val="32"/>
          <w:szCs w:val="32"/>
        </w:rPr>
      </w:pPr>
      <w:r>
        <w:rPr>
          <w:rFonts w:hint="eastAsia" w:ascii="黑体" w:eastAsia="黑体"/>
          <w:b w:val="0"/>
          <w:color w:val="auto"/>
          <w:sz w:val="32"/>
          <w:szCs w:val="32"/>
          <w:lang w:val="zh-CN"/>
        </w:rPr>
        <w:t>目录</w:t>
      </w:r>
    </w:p>
    <w:p w14:paraId="3CA96EAB">
      <w:pPr>
        <w:pStyle w:val="51"/>
        <w:tabs>
          <w:tab w:val="right" w:leader="dot" w:pos="8303"/>
        </w:tabs>
        <w:jc w:val="center"/>
        <w:rPr>
          <w:rFonts w:eastAsiaTheme="minorEastAsia"/>
          <w:sz w:val="28"/>
          <w:szCs w:val="28"/>
        </w:rPr>
      </w:pPr>
      <w:r>
        <w:rPr>
          <w:rStyle w:val="86"/>
          <w:sz w:val="28"/>
          <w:szCs w:val="28"/>
        </w:rPr>
        <w:fldChar w:fldCharType="begin"/>
      </w:r>
      <w:r>
        <w:rPr>
          <w:rStyle w:val="86"/>
          <w:sz w:val="28"/>
          <w:szCs w:val="28"/>
        </w:rPr>
        <w:instrText xml:space="preserve"> TOC \o "1-3" \h \z \u </w:instrText>
      </w:r>
      <w:r>
        <w:rPr>
          <w:rStyle w:val="86"/>
          <w:sz w:val="28"/>
          <w:szCs w:val="28"/>
        </w:rPr>
        <w:fldChar w:fldCharType="separate"/>
      </w:r>
      <w:r>
        <w:fldChar w:fldCharType="begin"/>
      </w:r>
      <w:r>
        <w:instrText xml:space="preserve"> HYPERLINK \l "_Toc135032165" </w:instrText>
      </w:r>
      <w:r>
        <w:fldChar w:fldCharType="separate"/>
      </w:r>
      <w:r>
        <w:rPr>
          <w:rStyle w:val="86"/>
          <w:rFonts w:hint="eastAsia"/>
          <w:kern w:val="0"/>
          <w:sz w:val="28"/>
          <w:szCs w:val="28"/>
        </w:rPr>
        <w:t>第一章招标公告</w:t>
      </w:r>
      <w:r>
        <w:rPr>
          <w:sz w:val="28"/>
          <w:szCs w:val="28"/>
        </w:rPr>
        <w:tab/>
      </w:r>
      <w:r>
        <w:rPr>
          <w:rFonts w:hint="eastAsia"/>
          <w:sz w:val="28"/>
          <w:szCs w:val="28"/>
          <w:lang w:val="en-US" w:eastAsia="zh-CN"/>
        </w:rPr>
        <w:t>3</w:t>
      </w:r>
      <w:r>
        <w:rPr>
          <w:sz w:val="28"/>
          <w:szCs w:val="28"/>
        </w:rPr>
        <w:fldChar w:fldCharType="end"/>
      </w:r>
    </w:p>
    <w:p w14:paraId="5BC7A198">
      <w:pPr>
        <w:pStyle w:val="51"/>
        <w:tabs>
          <w:tab w:val="right" w:leader="dot" w:pos="8303"/>
        </w:tabs>
        <w:jc w:val="center"/>
        <w:rPr>
          <w:rFonts w:eastAsiaTheme="minorEastAsia"/>
          <w:sz w:val="28"/>
          <w:szCs w:val="28"/>
        </w:rPr>
      </w:pPr>
      <w:r>
        <w:fldChar w:fldCharType="begin"/>
      </w:r>
      <w:r>
        <w:instrText xml:space="preserve"> HYPERLINK \l "_Toc135032166" </w:instrText>
      </w:r>
      <w:r>
        <w:fldChar w:fldCharType="separate"/>
      </w:r>
      <w:r>
        <w:rPr>
          <w:rStyle w:val="86"/>
          <w:rFonts w:hint="eastAsia"/>
          <w:kern w:val="0"/>
          <w:sz w:val="28"/>
          <w:szCs w:val="28"/>
        </w:rPr>
        <w:t>第二章投标人须知前附表</w:t>
      </w:r>
      <w:r>
        <w:rPr>
          <w:sz w:val="28"/>
          <w:szCs w:val="28"/>
        </w:rPr>
        <w:tab/>
      </w:r>
      <w:r>
        <w:rPr>
          <w:sz w:val="28"/>
          <w:szCs w:val="28"/>
        </w:rPr>
        <w:fldChar w:fldCharType="begin"/>
      </w:r>
      <w:r>
        <w:rPr>
          <w:sz w:val="28"/>
          <w:szCs w:val="28"/>
        </w:rPr>
        <w:instrText xml:space="preserve"> PAGEREF _Toc135032166 \h </w:instrText>
      </w:r>
      <w:r>
        <w:rPr>
          <w:sz w:val="28"/>
          <w:szCs w:val="28"/>
        </w:rPr>
        <w:fldChar w:fldCharType="separate"/>
      </w:r>
      <w:r>
        <w:rPr>
          <w:sz w:val="28"/>
          <w:szCs w:val="28"/>
        </w:rPr>
        <w:t>5</w:t>
      </w:r>
      <w:r>
        <w:rPr>
          <w:sz w:val="28"/>
          <w:szCs w:val="28"/>
        </w:rPr>
        <w:fldChar w:fldCharType="end"/>
      </w:r>
      <w:r>
        <w:rPr>
          <w:sz w:val="28"/>
          <w:szCs w:val="28"/>
        </w:rPr>
        <w:fldChar w:fldCharType="end"/>
      </w:r>
    </w:p>
    <w:p w14:paraId="3B561E8F">
      <w:pPr>
        <w:pStyle w:val="51"/>
        <w:tabs>
          <w:tab w:val="right" w:leader="dot" w:pos="8303"/>
        </w:tabs>
        <w:jc w:val="center"/>
        <w:rPr>
          <w:rFonts w:eastAsiaTheme="minorEastAsia"/>
          <w:sz w:val="28"/>
          <w:szCs w:val="28"/>
        </w:rPr>
      </w:pPr>
      <w:r>
        <w:fldChar w:fldCharType="begin"/>
      </w:r>
      <w:r>
        <w:instrText xml:space="preserve"> HYPERLINK \l "_Toc135032167" </w:instrText>
      </w:r>
      <w:r>
        <w:fldChar w:fldCharType="separate"/>
      </w:r>
      <w:r>
        <w:rPr>
          <w:rStyle w:val="86"/>
          <w:rFonts w:hint="eastAsia"/>
          <w:kern w:val="0"/>
          <w:sz w:val="28"/>
          <w:szCs w:val="28"/>
        </w:rPr>
        <w:t>第三章投标人须知</w:t>
      </w:r>
      <w:r>
        <w:rPr>
          <w:sz w:val="28"/>
          <w:szCs w:val="28"/>
        </w:rPr>
        <w:tab/>
      </w:r>
      <w:r>
        <w:rPr>
          <w:sz w:val="28"/>
          <w:szCs w:val="28"/>
        </w:rPr>
        <w:fldChar w:fldCharType="begin"/>
      </w:r>
      <w:r>
        <w:rPr>
          <w:sz w:val="28"/>
          <w:szCs w:val="28"/>
        </w:rPr>
        <w:instrText xml:space="preserve"> PAGEREF _Toc135032167 \h </w:instrText>
      </w:r>
      <w:r>
        <w:rPr>
          <w:sz w:val="28"/>
          <w:szCs w:val="28"/>
        </w:rPr>
        <w:fldChar w:fldCharType="separate"/>
      </w:r>
      <w:r>
        <w:rPr>
          <w:sz w:val="28"/>
          <w:szCs w:val="28"/>
        </w:rPr>
        <w:t>13</w:t>
      </w:r>
      <w:r>
        <w:rPr>
          <w:sz w:val="28"/>
          <w:szCs w:val="28"/>
        </w:rPr>
        <w:fldChar w:fldCharType="end"/>
      </w:r>
      <w:r>
        <w:rPr>
          <w:sz w:val="28"/>
          <w:szCs w:val="28"/>
        </w:rPr>
        <w:fldChar w:fldCharType="end"/>
      </w:r>
    </w:p>
    <w:p w14:paraId="5857FF6D">
      <w:pPr>
        <w:pStyle w:val="51"/>
        <w:tabs>
          <w:tab w:val="right" w:leader="dot" w:pos="8303"/>
        </w:tabs>
        <w:jc w:val="center"/>
        <w:rPr>
          <w:rFonts w:hint="eastAsia" w:eastAsia="宋体"/>
          <w:sz w:val="28"/>
          <w:szCs w:val="28"/>
          <w:lang w:val="en-US" w:eastAsia="zh-CN"/>
        </w:rPr>
      </w:pPr>
      <w:r>
        <w:fldChar w:fldCharType="begin"/>
      </w:r>
      <w:r>
        <w:instrText xml:space="preserve"> HYPERLINK \l "_Toc135032211" </w:instrText>
      </w:r>
      <w:r>
        <w:fldChar w:fldCharType="separate"/>
      </w:r>
      <w:r>
        <w:rPr>
          <w:rStyle w:val="86"/>
          <w:rFonts w:hint="eastAsia"/>
          <w:kern w:val="0"/>
          <w:sz w:val="28"/>
          <w:szCs w:val="28"/>
        </w:rPr>
        <w:t>第四章采购内容及技术要求</w:t>
      </w:r>
      <w:r>
        <w:rPr>
          <w:sz w:val="28"/>
          <w:szCs w:val="28"/>
        </w:rPr>
        <w:tab/>
      </w:r>
      <w:r>
        <w:rPr>
          <w:rFonts w:hint="eastAsia"/>
          <w:sz w:val="28"/>
          <w:szCs w:val="28"/>
          <w:lang w:val="en-US" w:eastAsia="zh-CN"/>
        </w:rPr>
        <w:t>2</w:t>
      </w:r>
      <w:r>
        <w:rPr>
          <w:sz w:val="28"/>
          <w:szCs w:val="28"/>
        </w:rPr>
        <w:fldChar w:fldCharType="end"/>
      </w:r>
      <w:r>
        <w:rPr>
          <w:rFonts w:hint="eastAsia"/>
          <w:sz w:val="28"/>
          <w:szCs w:val="28"/>
          <w:lang w:val="en-US" w:eastAsia="zh-CN"/>
        </w:rPr>
        <w:t>5</w:t>
      </w:r>
    </w:p>
    <w:p w14:paraId="272A7D33">
      <w:pPr>
        <w:pStyle w:val="51"/>
        <w:tabs>
          <w:tab w:val="right" w:leader="dot" w:pos="8303"/>
        </w:tabs>
        <w:jc w:val="center"/>
        <w:rPr>
          <w:rFonts w:hint="eastAsia" w:eastAsia="宋体"/>
          <w:sz w:val="28"/>
          <w:szCs w:val="28"/>
          <w:lang w:val="en-US" w:eastAsia="zh-CN"/>
        </w:rPr>
      </w:pPr>
      <w:r>
        <w:fldChar w:fldCharType="begin"/>
      </w:r>
      <w:r>
        <w:instrText xml:space="preserve"> HYPERLINK \l "_Toc135032212" </w:instrText>
      </w:r>
      <w:r>
        <w:fldChar w:fldCharType="separate"/>
      </w:r>
      <w:r>
        <w:rPr>
          <w:rStyle w:val="86"/>
          <w:rFonts w:hint="eastAsia"/>
          <w:kern w:val="0"/>
          <w:sz w:val="28"/>
          <w:szCs w:val="28"/>
        </w:rPr>
        <w:t>第五章主要商务条款</w:t>
      </w:r>
      <w:r>
        <w:rPr>
          <w:sz w:val="28"/>
          <w:szCs w:val="28"/>
        </w:rPr>
        <w:tab/>
      </w:r>
      <w:r>
        <w:rPr>
          <w:rFonts w:hint="eastAsia"/>
          <w:sz w:val="28"/>
          <w:szCs w:val="28"/>
          <w:lang w:val="en-US" w:eastAsia="zh-CN"/>
        </w:rPr>
        <w:t>5</w:t>
      </w:r>
      <w:r>
        <w:rPr>
          <w:sz w:val="28"/>
          <w:szCs w:val="28"/>
        </w:rPr>
        <w:fldChar w:fldCharType="end"/>
      </w:r>
      <w:r>
        <w:rPr>
          <w:rFonts w:hint="eastAsia"/>
          <w:sz w:val="28"/>
          <w:szCs w:val="28"/>
          <w:lang w:val="en-US" w:eastAsia="zh-CN"/>
        </w:rPr>
        <w:t>5</w:t>
      </w:r>
    </w:p>
    <w:p w14:paraId="2DD17783">
      <w:pPr>
        <w:pStyle w:val="51"/>
        <w:tabs>
          <w:tab w:val="right" w:leader="dot" w:pos="8303"/>
        </w:tabs>
        <w:jc w:val="center"/>
        <w:rPr>
          <w:rFonts w:hint="eastAsia" w:eastAsia="宋体"/>
          <w:sz w:val="28"/>
          <w:szCs w:val="28"/>
          <w:lang w:val="en-US" w:eastAsia="zh-CN"/>
        </w:rPr>
      </w:pPr>
      <w:r>
        <w:fldChar w:fldCharType="begin"/>
      </w:r>
      <w:r>
        <w:instrText xml:space="preserve"> HYPERLINK \l "_Toc135032213" </w:instrText>
      </w:r>
      <w:r>
        <w:fldChar w:fldCharType="separate"/>
      </w:r>
      <w:r>
        <w:rPr>
          <w:rStyle w:val="86"/>
          <w:rFonts w:hint="eastAsia"/>
          <w:kern w:val="0"/>
          <w:sz w:val="28"/>
          <w:szCs w:val="28"/>
        </w:rPr>
        <w:t>第六章评标办法</w:t>
      </w:r>
      <w:r>
        <w:rPr>
          <w:sz w:val="28"/>
          <w:szCs w:val="28"/>
        </w:rPr>
        <w:tab/>
      </w:r>
      <w:r>
        <w:rPr>
          <w:rFonts w:hint="eastAsia"/>
          <w:sz w:val="28"/>
          <w:szCs w:val="28"/>
          <w:lang w:val="en-US" w:eastAsia="zh-CN"/>
        </w:rPr>
        <w:t>5</w:t>
      </w:r>
      <w:r>
        <w:rPr>
          <w:sz w:val="28"/>
          <w:szCs w:val="28"/>
        </w:rPr>
        <w:fldChar w:fldCharType="end"/>
      </w:r>
      <w:r>
        <w:rPr>
          <w:rFonts w:hint="eastAsia"/>
          <w:sz w:val="28"/>
          <w:szCs w:val="28"/>
          <w:lang w:val="en-US" w:eastAsia="zh-CN"/>
        </w:rPr>
        <w:t>9</w:t>
      </w:r>
    </w:p>
    <w:p w14:paraId="0C7B4E81">
      <w:pPr>
        <w:pStyle w:val="51"/>
        <w:tabs>
          <w:tab w:val="right" w:leader="dot" w:pos="8303"/>
        </w:tabs>
        <w:jc w:val="center"/>
        <w:rPr>
          <w:rFonts w:hint="eastAsia" w:eastAsia="宋体"/>
          <w:sz w:val="28"/>
          <w:szCs w:val="28"/>
          <w:lang w:val="en-US" w:eastAsia="zh-CN"/>
        </w:rPr>
      </w:pPr>
      <w:r>
        <w:fldChar w:fldCharType="begin"/>
      </w:r>
      <w:r>
        <w:instrText xml:space="preserve"> HYPERLINK \l "_Toc135032218" </w:instrText>
      </w:r>
      <w:r>
        <w:fldChar w:fldCharType="separate"/>
      </w:r>
      <w:r>
        <w:rPr>
          <w:rStyle w:val="86"/>
          <w:rFonts w:hint="eastAsia"/>
          <w:kern w:val="0"/>
          <w:sz w:val="28"/>
          <w:szCs w:val="28"/>
        </w:rPr>
        <w:t>第七章附件</w:t>
      </w:r>
      <w:r>
        <w:rPr>
          <w:rStyle w:val="86"/>
          <w:kern w:val="0"/>
          <w:sz w:val="28"/>
          <w:szCs w:val="28"/>
        </w:rPr>
        <w:t>---</w:t>
      </w:r>
      <w:r>
        <w:rPr>
          <w:rStyle w:val="86"/>
          <w:rFonts w:hint="eastAsia"/>
          <w:kern w:val="0"/>
          <w:sz w:val="28"/>
          <w:szCs w:val="28"/>
        </w:rPr>
        <w:t>投标文件格式</w:t>
      </w:r>
      <w:r>
        <w:rPr>
          <w:sz w:val="28"/>
          <w:szCs w:val="28"/>
        </w:rPr>
        <w:tab/>
      </w:r>
      <w:r>
        <w:rPr>
          <w:rFonts w:hint="eastAsia"/>
          <w:sz w:val="28"/>
          <w:szCs w:val="28"/>
          <w:lang w:val="en-US" w:eastAsia="zh-CN"/>
        </w:rPr>
        <w:t>6</w:t>
      </w:r>
      <w:r>
        <w:rPr>
          <w:sz w:val="28"/>
          <w:szCs w:val="28"/>
        </w:rPr>
        <w:fldChar w:fldCharType="end"/>
      </w:r>
      <w:r>
        <w:rPr>
          <w:rFonts w:hint="eastAsia"/>
          <w:sz w:val="28"/>
          <w:szCs w:val="28"/>
          <w:lang w:val="en-US" w:eastAsia="zh-CN"/>
        </w:rPr>
        <w:t>3</w:t>
      </w:r>
    </w:p>
    <w:p w14:paraId="53651245">
      <w:pPr>
        <w:pStyle w:val="51"/>
        <w:tabs>
          <w:tab w:val="right" w:leader="dot" w:pos="8303"/>
        </w:tabs>
        <w:jc w:val="center"/>
        <w:rPr>
          <w:sz w:val="28"/>
          <w:szCs w:val="28"/>
        </w:rPr>
      </w:pPr>
      <w:r>
        <w:rPr>
          <w:rStyle w:val="86"/>
          <w:sz w:val="28"/>
          <w:szCs w:val="28"/>
        </w:rPr>
        <w:fldChar w:fldCharType="end"/>
      </w:r>
      <w:bookmarkStart w:id="5" w:name="_Toc359873210"/>
    </w:p>
    <w:p w14:paraId="73F12DD7">
      <w:pPr>
        <w:jc w:val="left"/>
      </w:pPr>
    </w:p>
    <w:p w14:paraId="2052ABD2">
      <w:pPr>
        <w:widowControl/>
        <w:jc w:val="left"/>
        <w:rPr>
          <w:rFonts w:ascii="Arial" w:hAnsi="Arial" w:cs="Arial"/>
          <w:bCs/>
          <w:kern w:val="0"/>
          <w:sz w:val="32"/>
          <w:szCs w:val="32"/>
        </w:rPr>
      </w:pPr>
    </w:p>
    <w:p w14:paraId="5C366E8E">
      <w:pPr>
        <w:widowControl/>
        <w:jc w:val="left"/>
        <w:rPr>
          <w:rFonts w:ascii="Arial" w:hAnsi="Arial" w:cs="Arial"/>
          <w:bCs/>
          <w:kern w:val="0"/>
          <w:sz w:val="32"/>
          <w:szCs w:val="32"/>
        </w:rPr>
      </w:pPr>
      <w:r>
        <w:rPr>
          <w:b/>
          <w:kern w:val="0"/>
        </w:rPr>
        <w:br w:type="page"/>
      </w:r>
    </w:p>
    <w:p w14:paraId="6676835F">
      <w:pPr>
        <w:pStyle w:val="5"/>
        <w:ind w:left="353"/>
        <w:rPr>
          <w:b w:val="0"/>
          <w:kern w:val="0"/>
        </w:rPr>
      </w:pPr>
      <w:bookmarkStart w:id="6" w:name="_Toc135032165"/>
      <w:r>
        <w:rPr>
          <w:rFonts w:hint="eastAsia"/>
          <w:b w:val="0"/>
          <w:kern w:val="0"/>
        </w:rPr>
        <w:t>第一章</w:t>
      </w:r>
      <w:bookmarkEnd w:id="5"/>
      <w:bookmarkEnd w:id="6"/>
      <w:r>
        <w:rPr>
          <w:rFonts w:hint="eastAsia"/>
          <w:b w:val="0"/>
          <w:kern w:val="0"/>
        </w:rPr>
        <w:t xml:space="preserve"> 招标公告</w:t>
      </w:r>
    </w:p>
    <w:p w14:paraId="1128CA5C">
      <w:pPr>
        <w:adjustRightInd w:val="0"/>
        <w:snapToGrid w:val="0"/>
        <w:jc w:val="left"/>
        <w:rPr>
          <w:rFonts w:ascii="宋体" w:hAnsi="宋体"/>
          <w:sz w:val="24"/>
        </w:rPr>
      </w:pPr>
      <w:r>
        <w:rPr>
          <w:rFonts w:ascii="宋体" w:hAnsi="宋体"/>
          <w:b/>
          <w:sz w:val="24"/>
        </w:rPr>
        <w:t>1、招标条件</w:t>
      </w:r>
      <w:permStart w:id="0" w:edGrp="everyone"/>
    </w:p>
    <w:p w14:paraId="299E42C8">
      <w:pPr>
        <w:autoSpaceDN w:val="0"/>
        <w:adjustRightInd w:val="0"/>
        <w:snapToGrid w:val="0"/>
        <w:ind w:firstLine="480" w:firstLineChars="200"/>
        <w:rPr>
          <w:rFonts w:ascii="宋体" w:hAnsi="宋体"/>
          <w:sz w:val="24"/>
        </w:rPr>
      </w:pPr>
      <w:r>
        <w:rPr>
          <w:rFonts w:hint="eastAsia" w:ascii="宋体" w:hAnsi="宋体"/>
          <w:sz w:val="24"/>
        </w:rPr>
        <w:t>浙江时代锂电材料配套工程（废盐综合利用制离子膜烧碱项目）经衢州市智造新城衢州智造新城管理委员会备案，投资项目统一代码为2301-330851-04-02-357227。招标人为浙江巨化股份有限公司、浙江巨化化工材料有限公司，建设资金为国有资金，出资比例为100%，资金来源为自筹，项目已具备招标条件，委托代理机构为浙江南方工程咨询管理有限公司，现就本项目所用离心式氯气压缩机组一台（套）组织公开招标，招标编号：NFZB-20250909。</w:t>
      </w:r>
      <w:permEnd w:id="0"/>
    </w:p>
    <w:p w14:paraId="22874365">
      <w:pPr>
        <w:adjustRightInd w:val="0"/>
        <w:snapToGrid w:val="0"/>
        <w:jc w:val="left"/>
        <w:rPr>
          <w:rFonts w:ascii="宋体" w:hAnsi="宋体"/>
          <w:b/>
          <w:sz w:val="24"/>
        </w:rPr>
      </w:pPr>
      <w:r>
        <w:rPr>
          <w:rFonts w:ascii="宋体" w:hAnsi="宋体"/>
          <w:b/>
          <w:sz w:val="24"/>
        </w:rPr>
        <w:t>2、</w:t>
      </w:r>
      <w:r>
        <w:rPr>
          <w:rFonts w:hint="eastAsia" w:ascii="宋体" w:hAnsi="宋体"/>
          <w:b/>
          <w:sz w:val="24"/>
        </w:rPr>
        <w:t>招标内容：</w:t>
      </w:r>
    </w:p>
    <w:p w14:paraId="007F550C">
      <w:pPr>
        <w:adjustRightInd w:val="0"/>
        <w:snapToGrid w:val="0"/>
        <w:jc w:val="left"/>
        <w:rPr>
          <w:rFonts w:ascii="宋体" w:hAnsi="宋体"/>
          <w:sz w:val="24"/>
        </w:rPr>
      </w:pPr>
      <w:r>
        <w:rPr>
          <w:rFonts w:hint="eastAsia" w:ascii="宋体" w:hAnsi="宋体"/>
          <w:sz w:val="24"/>
        </w:rPr>
        <w:t>浙江时代锂电材料配套工程（废盐综合利用制离子膜烧碱项目）离心式氯气压缩机组一台（套）</w:t>
      </w:r>
      <w:r>
        <w:rPr>
          <w:rFonts w:ascii="宋体" w:hAnsi="宋体"/>
          <w:sz w:val="24"/>
        </w:rPr>
        <w:t>，详见招标文件。</w:t>
      </w:r>
    </w:p>
    <w:p w14:paraId="1590A3A3">
      <w:pPr>
        <w:adjustRightInd w:val="0"/>
        <w:snapToGrid w:val="0"/>
        <w:jc w:val="left"/>
        <w:rPr>
          <w:rFonts w:ascii="宋体" w:hAnsi="宋体"/>
          <w:b/>
          <w:sz w:val="24"/>
        </w:rPr>
      </w:pPr>
      <w:r>
        <w:rPr>
          <w:rFonts w:hint="eastAsia" w:ascii="宋体" w:hAnsi="宋体"/>
          <w:b/>
          <w:sz w:val="24"/>
        </w:rPr>
        <w:t>3、合格投标人的资格要求：</w:t>
      </w:r>
    </w:p>
    <w:p w14:paraId="28D67929">
      <w:pPr>
        <w:autoSpaceDN w:val="0"/>
        <w:adjustRightInd w:val="0"/>
        <w:snapToGrid w:val="0"/>
        <w:ind w:firstLine="480" w:firstLineChars="200"/>
        <w:rPr>
          <w:rFonts w:ascii="宋体" w:hAnsi="宋体"/>
          <w:sz w:val="24"/>
        </w:rPr>
      </w:pPr>
      <w:r>
        <w:rPr>
          <w:rFonts w:hint="eastAsia" w:ascii="宋体" w:hAnsi="宋体"/>
          <w:sz w:val="24"/>
        </w:rPr>
        <w:t>（一）基本资格条件：</w:t>
      </w:r>
    </w:p>
    <w:p w14:paraId="6C5130A7">
      <w:pPr>
        <w:autoSpaceDN w:val="0"/>
        <w:adjustRightInd w:val="0"/>
        <w:snapToGrid w:val="0"/>
        <w:ind w:firstLine="480" w:firstLineChars="200"/>
        <w:rPr>
          <w:rFonts w:ascii="宋体" w:hAnsi="宋体"/>
          <w:sz w:val="24"/>
        </w:rPr>
      </w:pPr>
      <w:r>
        <w:rPr>
          <w:rFonts w:hint="eastAsia" w:ascii="宋体" w:hAnsi="宋体"/>
          <w:sz w:val="24"/>
        </w:rPr>
        <w:t>（1）具有独立法人承担民事责任的能力；</w:t>
      </w:r>
    </w:p>
    <w:p w14:paraId="0141289B">
      <w:pPr>
        <w:autoSpaceDN w:val="0"/>
        <w:adjustRightInd w:val="0"/>
        <w:snapToGrid w:val="0"/>
        <w:ind w:firstLine="480" w:firstLineChars="200"/>
        <w:rPr>
          <w:rFonts w:ascii="宋体" w:hAnsi="宋体"/>
          <w:sz w:val="24"/>
        </w:rPr>
      </w:pPr>
      <w:r>
        <w:rPr>
          <w:rFonts w:hint="eastAsia" w:ascii="宋体" w:hAnsi="宋体"/>
          <w:sz w:val="24"/>
        </w:rPr>
        <w:t>（2）投标人或其拟派项目负责人在投标截止时间未被“信用中国”网站（www.creditchina.gov.cn)列为失信被执行人;</w:t>
      </w:r>
    </w:p>
    <w:p w14:paraId="1A8B3FF3">
      <w:pPr>
        <w:autoSpaceDN w:val="0"/>
        <w:adjustRightInd w:val="0"/>
        <w:snapToGrid w:val="0"/>
        <w:ind w:firstLine="480" w:firstLineChars="200"/>
        <w:rPr>
          <w:rFonts w:ascii="宋体" w:hAnsi="宋体"/>
          <w:sz w:val="24"/>
        </w:rPr>
      </w:pPr>
      <w:r>
        <w:rPr>
          <w:rFonts w:hint="eastAsia" w:ascii="宋体" w:hAnsi="宋体"/>
          <w:sz w:val="24"/>
        </w:rPr>
        <w:t>（3）法律、行政法规规定的其他条件。</w:t>
      </w:r>
    </w:p>
    <w:p w14:paraId="25ADEE81">
      <w:pPr>
        <w:autoSpaceDN w:val="0"/>
        <w:adjustRightInd w:val="0"/>
        <w:snapToGrid w:val="0"/>
        <w:ind w:firstLine="480" w:firstLineChars="200"/>
        <w:rPr>
          <w:rFonts w:ascii="宋体" w:hAnsi="宋体"/>
          <w:sz w:val="24"/>
        </w:rPr>
      </w:pPr>
      <w:r>
        <w:rPr>
          <w:rFonts w:hint="eastAsia" w:ascii="宋体" w:hAnsi="宋体"/>
          <w:sz w:val="24"/>
        </w:rPr>
        <w:t xml:space="preserve">（二）特定条件（投标文件中提供证明材料）： </w:t>
      </w:r>
    </w:p>
    <w:p w14:paraId="262F8DD7">
      <w:pPr>
        <w:autoSpaceDN w:val="0"/>
        <w:adjustRightInd w:val="0"/>
        <w:snapToGrid w:val="0"/>
        <w:ind w:firstLine="480" w:firstLineChars="200"/>
        <w:rPr>
          <w:rFonts w:ascii="宋体" w:hAnsi="宋体"/>
          <w:sz w:val="24"/>
        </w:rPr>
      </w:pPr>
      <w:permStart w:id="1" w:edGrp="everyone"/>
      <w:r>
        <w:rPr>
          <w:rFonts w:hint="eastAsia" w:ascii="宋体" w:hAnsi="宋体"/>
          <w:sz w:val="24"/>
        </w:rPr>
        <w:t>（1）投标人为拟投标的物的制造供应商（进口品牌允许授权代理商参与，同一进口品牌只接受一家代理商）。</w:t>
      </w:r>
    </w:p>
    <w:p w14:paraId="5C39234C">
      <w:pPr>
        <w:autoSpaceDN w:val="0"/>
        <w:adjustRightInd w:val="0"/>
        <w:snapToGrid w:val="0"/>
        <w:ind w:firstLine="480" w:firstLineChars="200"/>
        <w:rPr>
          <w:rFonts w:ascii="宋体" w:hAnsi="宋体"/>
          <w:sz w:val="24"/>
        </w:rPr>
      </w:pPr>
      <w:r>
        <w:rPr>
          <w:rFonts w:hint="eastAsia" w:ascii="宋体" w:hAnsi="宋体"/>
          <w:sz w:val="24"/>
        </w:rPr>
        <w:t>（2）2015年1月1日起至今有具有相同或相似工况的应用业绩（</w:t>
      </w:r>
      <w:r>
        <w:rPr>
          <w:rFonts w:hint="eastAsia"/>
        </w:rPr>
        <w:t>提供合同、发票或技术协议关键页、验收报告等证明文件</w:t>
      </w:r>
      <w:r>
        <w:rPr>
          <w:rFonts w:hint="eastAsia" w:ascii="宋体" w:hAnsi="宋体"/>
          <w:sz w:val="24"/>
        </w:rPr>
        <w:t>）。</w:t>
      </w:r>
    </w:p>
    <w:permEnd w:id="1"/>
    <w:p w14:paraId="5E497795">
      <w:pPr>
        <w:autoSpaceDN w:val="0"/>
        <w:adjustRightInd w:val="0"/>
        <w:snapToGrid w:val="0"/>
        <w:ind w:firstLine="480" w:firstLineChars="200"/>
        <w:rPr>
          <w:rFonts w:ascii="宋体" w:hAnsi="宋体"/>
          <w:sz w:val="24"/>
        </w:rPr>
      </w:pPr>
      <w:r>
        <w:rPr>
          <w:rFonts w:hint="eastAsia" w:ascii="宋体" w:hAnsi="宋体"/>
          <w:sz w:val="24"/>
        </w:rPr>
        <w:t>（三）</w:t>
      </w:r>
      <w:permStart w:id="2" w:edGrp="everyone"/>
      <w:r>
        <w:rPr>
          <w:rFonts w:hint="eastAsia" w:ascii="宋体" w:hAnsi="宋体"/>
          <w:sz w:val="24"/>
        </w:rPr>
        <w:t>本项目不允许联合体投标。</w:t>
      </w:r>
      <w:permEnd w:id="2"/>
    </w:p>
    <w:p w14:paraId="39F12B7D">
      <w:pPr>
        <w:autoSpaceDN w:val="0"/>
        <w:adjustRightInd w:val="0"/>
        <w:snapToGrid w:val="0"/>
        <w:ind w:firstLine="480" w:firstLineChars="200"/>
        <w:rPr>
          <w:rFonts w:ascii="宋体" w:hAnsi="宋体"/>
          <w:sz w:val="24"/>
        </w:rPr>
      </w:pPr>
      <w:r>
        <w:rPr>
          <w:rFonts w:hint="eastAsia" w:ascii="宋体" w:hAnsi="宋体"/>
          <w:sz w:val="24"/>
        </w:rPr>
        <w:t>注：本项目采用资格后审，投标人提供以上证明文件如有虚假、伪造的一律作否决处理。</w:t>
      </w:r>
    </w:p>
    <w:p w14:paraId="2F5A0852">
      <w:pPr>
        <w:autoSpaceDN w:val="0"/>
        <w:adjustRightInd w:val="0"/>
        <w:snapToGrid w:val="0"/>
        <w:rPr>
          <w:rFonts w:ascii="宋体" w:hAnsi="宋体"/>
          <w:sz w:val="24"/>
        </w:rPr>
      </w:pPr>
      <w:r>
        <w:rPr>
          <w:rFonts w:hint="eastAsia" w:ascii="宋体" w:hAnsi="宋体"/>
          <w:b/>
          <w:sz w:val="24"/>
        </w:rPr>
        <w:t>4</w:t>
      </w:r>
      <w:r>
        <w:rPr>
          <w:rFonts w:ascii="宋体" w:hAnsi="宋体"/>
          <w:b/>
          <w:sz w:val="24"/>
        </w:rPr>
        <w:t>、招标文件的获取</w:t>
      </w:r>
    </w:p>
    <w:p w14:paraId="2EA82A8C">
      <w:pPr>
        <w:pStyle w:val="71"/>
        <w:shd w:val="clear" w:color="auto" w:fill="FFFFFF"/>
        <w:spacing w:beforeAutospacing="0" w:afterAutospacing="0"/>
        <w:ind w:firstLine="480"/>
        <w:rPr>
          <w:rFonts w:ascii="微软雅黑" w:hAnsi="微软雅黑" w:eastAsia="微软雅黑" w:cs="微软雅黑"/>
          <w:color w:val="666666"/>
          <w:sz w:val="21"/>
        </w:rPr>
      </w:pPr>
      <w:r>
        <w:rPr>
          <w:rFonts w:hint="eastAsia" w:hAnsi="宋体" w:cs="宋体"/>
          <w:color w:val="666666"/>
          <w:szCs w:val="24"/>
          <w:shd w:val="clear" w:color="auto" w:fill="FFFFFF"/>
        </w:rPr>
        <w:t>1.本项目招标文件和补充（答疑、澄清）、修改文件以网上下载方式获取。</w:t>
      </w:r>
    </w:p>
    <w:p w14:paraId="25C5FB2D">
      <w:pPr>
        <w:pStyle w:val="71"/>
        <w:shd w:val="clear" w:color="auto" w:fill="FFFFFF"/>
        <w:spacing w:beforeAutospacing="0" w:afterAutospacing="0"/>
        <w:ind w:firstLine="480"/>
        <w:rPr>
          <w:rFonts w:ascii="微软雅黑" w:hAnsi="微软雅黑" w:eastAsia="微软雅黑" w:cs="微软雅黑"/>
          <w:color w:val="666666"/>
          <w:sz w:val="21"/>
        </w:rPr>
      </w:pPr>
      <w:r>
        <w:rPr>
          <w:rFonts w:hint="eastAsia" w:hAnsi="宋体" w:cs="宋体"/>
          <w:color w:val="666666"/>
          <w:szCs w:val="24"/>
          <w:shd w:val="clear" w:color="auto" w:fill="FFFFFF"/>
        </w:rPr>
        <w:t>2.招标文件网上下载时间：自招标文件发布之日起至投标截止时间。</w:t>
      </w:r>
    </w:p>
    <w:p w14:paraId="4BB43E74">
      <w:pPr>
        <w:pStyle w:val="71"/>
        <w:shd w:val="clear" w:color="auto" w:fill="FFFFFF"/>
        <w:spacing w:beforeAutospacing="0" w:afterAutospacing="0"/>
        <w:ind w:firstLine="480"/>
        <w:rPr>
          <w:rFonts w:ascii="微软雅黑" w:hAnsi="微软雅黑" w:eastAsia="微软雅黑" w:cs="微软雅黑"/>
          <w:color w:val="666666"/>
          <w:sz w:val="21"/>
        </w:rPr>
      </w:pPr>
      <w:r>
        <w:rPr>
          <w:rFonts w:hint="eastAsia" w:hAnsi="宋体" w:cs="宋体"/>
          <w:color w:val="666666"/>
          <w:szCs w:val="24"/>
          <w:shd w:val="clear" w:color="auto" w:fill="FFFFFF"/>
        </w:rPr>
        <w:t>3.潜在投标人登录衢州市市县一体公共资源交易平台（https://ggzy.qz.gov.cn/）办理投标人信息入库（衢州市级交易平台市场主体信息库，下同）备案事宜。</w:t>
      </w:r>
    </w:p>
    <w:p w14:paraId="634B57B1">
      <w:pPr>
        <w:pStyle w:val="71"/>
        <w:shd w:val="clear" w:color="auto" w:fill="FFFFFF"/>
        <w:spacing w:beforeAutospacing="0" w:afterAutospacing="0"/>
        <w:ind w:firstLine="480"/>
        <w:rPr>
          <w:rFonts w:ascii="微软雅黑" w:hAnsi="微软雅黑" w:eastAsia="微软雅黑" w:cs="微软雅黑"/>
          <w:color w:val="666666"/>
          <w:sz w:val="21"/>
        </w:rPr>
      </w:pPr>
      <w:r>
        <w:rPr>
          <w:rFonts w:hint="eastAsia" w:hAnsi="宋体" w:cs="宋体"/>
          <w:color w:val="666666"/>
          <w:szCs w:val="24"/>
          <w:shd w:val="clear" w:color="auto" w:fill="FFFFFF"/>
        </w:rPr>
        <w:t>3.1未办理企业信息入库的投标人，根据显示界面提示免费注册，填写、上传相关主体信息，带“*”号的必填，填好后“提交”。投标企业同时可申领招投标企业CA证书及电子签章。经公示三天后自动入库。具体操作可参考衢州市企业入库操作手册（投标人）。</w:t>
      </w:r>
    </w:p>
    <w:p w14:paraId="3F42BD90">
      <w:pPr>
        <w:pStyle w:val="71"/>
        <w:shd w:val="clear" w:color="auto" w:fill="FFFFFF"/>
        <w:spacing w:beforeAutospacing="0" w:afterAutospacing="0"/>
        <w:ind w:firstLine="480"/>
        <w:rPr>
          <w:rFonts w:ascii="微软雅黑" w:hAnsi="微软雅黑" w:eastAsia="微软雅黑" w:cs="微软雅黑"/>
          <w:color w:val="666666"/>
          <w:sz w:val="21"/>
        </w:rPr>
      </w:pPr>
      <w:r>
        <w:rPr>
          <w:rFonts w:hint="eastAsia" w:hAnsi="宋体" w:cs="宋体"/>
          <w:color w:val="666666"/>
          <w:szCs w:val="24"/>
          <w:shd w:val="clear" w:color="auto" w:fill="FFFFFF"/>
        </w:rPr>
        <w:t>4.潜在投标人可在衢州市市县一体公共资源交易平台（https://ggzy.qz.gov.cn/）免费下载招标文件及附件。确定参加投标的企业可凭本单位CA数字证书登录衢州市公共资源电子交易系统，按照操作手册在对应模块下载领取。</w:t>
      </w:r>
    </w:p>
    <w:p w14:paraId="0AB69B35">
      <w:pPr>
        <w:pStyle w:val="71"/>
        <w:shd w:val="clear" w:color="auto" w:fill="FFFFFF"/>
        <w:spacing w:beforeAutospacing="0" w:afterAutospacing="0"/>
        <w:ind w:firstLine="480"/>
        <w:rPr>
          <w:rFonts w:ascii="微软雅黑" w:hAnsi="微软雅黑" w:eastAsia="微软雅黑" w:cs="微软雅黑"/>
          <w:color w:val="666666"/>
          <w:sz w:val="21"/>
        </w:rPr>
      </w:pPr>
      <w:r>
        <w:rPr>
          <w:rFonts w:hint="eastAsia" w:hAnsi="宋体" w:cs="宋体"/>
          <w:color w:val="666666"/>
          <w:szCs w:val="24"/>
          <w:shd w:val="clear" w:color="auto" w:fill="FFFFFF"/>
        </w:rPr>
        <w:t>5.潜在投标人对招标文件有疑问的，应通过衢州市公共资源电子交易系统或书面向招标人提出。提交疑问截止日为2025年</w:t>
      </w:r>
      <w:r>
        <w:rPr>
          <w:rFonts w:hint="eastAsia" w:hAnsi="宋体" w:cs="宋体"/>
          <w:color w:val="666666"/>
          <w:szCs w:val="24"/>
          <w:shd w:val="clear" w:color="auto" w:fill="FFFFFF"/>
          <w:lang w:val="en-US" w:eastAsia="zh-CN"/>
        </w:rPr>
        <w:t>11</w:t>
      </w:r>
      <w:r>
        <w:rPr>
          <w:rFonts w:hint="eastAsia" w:hAnsi="宋体" w:cs="宋体"/>
          <w:color w:val="666666"/>
          <w:szCs w:val="24"/>
          <w:shd w:val="clear" w:color="auto" w:fill="FFFFFF"/>
        </w:rPr>
        <w:t>月</w:t>
      </w:r>
      <w:r>
        <w:rPr>
          <w:rFonts w:hint="eastAsia" w:hAnsi="宋体" w:cs="宋体"/>
          <w:color w:val="666666"/>
          <w:szCs w:val="24"/>
          <w:shd w:val="clear" w:color="auto" w:fill="FFFFFF"/>
          <w:lang w:val="en-US" w:eastAsia="zh-CN"/>
        </w:rPr>
        <w:t>2</w:t>
      </w:r>
      <w:r>
        <w:rPr>
          <w:rFonts w:hint="eastAsia" w:hAnsi="宋体" w:cs="宋体"/>
          <w:color w:val="666666"/>
          <w:szCs w:val="24"/>
          <w:shd w:val="clear" w:color="auto" w:fill="FFFFFF"/>
        </w:rPr>
        <w:t>日16:30。招标人将在衢州市市县一体公共资源交易平台上发布补充（答疑、澄清）文件。潜在投标人应自行关注网站公告，招标人不再书面通知。投标人因自身贻误行为导致投标失败的，责任自负。</w:t>
      </w:r>
    </w:p>
    <w:p w14:paraId="27B56BCD">
      <w:pPr>
        <w:adjustRightInd w:val="0"/>
        <w:snapToGrid w:val="0"/>
        <w:jc w:val="left"/>
        <w:rPr>
          <w:rFonts w:ascii="宋体" w:hAnsi="宋体"/>
          <w:b/>
          <w:sz w:val="24"/>
        </w:rPr>
      </w:pPr>
      <w:r>
        <w:rPr>
          <w:rFonts w:ascii="宋体" w:hAnsi="宋体"/>
          <w:b/>
          <w:sz w:val="24"/>
        </w:rPr>
        <w:t>5、投标文件的递交</w:t>
      </w:r>
      <w:r>
        <w:rPr>
          <w:rFonts w:hint="eastAsia" w:ascii="宋体"/>
          <w:b/>
          <w:bCs/>
          <w:shd w:val="clear" w:color="000000" w:fill="FFFFFF"/>
        </w:rPr>
        <w:t>（不见面开标）</w:t>
      </w:r>
    </w:p>
    <w:p w14:paraId="0B8F0011">
      <w:pPr>
        <w:autoSpaceDN w:val="0"/>
        <w:adjustRightInd w:val="0"/>
        <w:snapToGrid w:val="0"/>
        <w:ind w:firstLine="480" w:firstLineChars="200"/>
        <w:rPr>
          <w:rFonts w:ascii="宋体" w:hAnsi="宋体"/>
          <w:sz w:val="24"/>
        </w:rPr>
      </w:pPr>
      <w:r>
        <w:rPr>
          <w:rFonts w:ascii="宋体" w:hAnsi="宋体"/>
          <w:sz w:val="24"/>
        </w:rPr>
        <w:t xml:space="preserve">5.1 </w:t>
      </w:r>
      <w:r>
        <w:rPr>
          <w:rFonts w:ascii="宋体" w:hAnsi="宋体"/>
          <w:b/>
          <w:sz w:val="24"/>
        </w:rPr>
        <w:t>本项目采用网上投标不见面开标形式。</w:t>
      </w:r>
    </w:p>
    <w:p w14:paraId="6F14B663">
      <w:pPr>
        <w:autoSpaceDN w:val="0"/>
        <w:adjustRightInd w:val="0"/>
        <w:snapToGrid w:val="0"/>
        <w:ind w:firstLine="480" w:firstLineChars="200"/>
        <w:rPr>
          <w:rFonts w:ascii="宋体" w:hAnsi="宋体"/>
          <w:sz w:val="24"/>
        </w:rPr>
      </w:pPr>
      <w:r>
        <w:rPr>
          <w:rFonts w:ascii="宋体" w:hAnsi="宋体"/>
          <w:sz w:val="24"/>
        </w:rPr>
        <w:t>5.2 文件递交截止</w:t>
      </w:r>
      <w:r>
        <w:rPr>
          <w:rFonts w:hint="eastAsia" w:ascii="宋体" w:hAnsi="宋体"/>
          <w:sz w:val="24"/>
        </w:rPr>
        <w:t>和开标</w:t>
      </w:r>
      <w:r>
        <w:rPr>
          <w:rFonts w:ascii="宋体" w:hAnsi="宋体"/>
          <w:sz w:val="24"/>
        </w:rPr>
        <w:t>时间为</w:t>
      </w:r>
      <w:permStart w:id="3" w:edGrp="everyone"/>
      <w:r>
        <w:rPr>
          <w:rFonts w:ascii="宋体" w:hAnsi="宋体"/>
          <w:sz w:val="24"/>
        </w:rPr>
        <w:t>202</w:t>
      </w:r>
      <w:r>
        <w:rPr>
          <w:rFonts w:hint="eastAsia" w:ascii="宋体" w:hAnsi="宋体"/>
          <w:sz w:val="24"/>
        </w:rPr>
        <w:t>5</w:t>
      </w:r>
      <w:permEnd w:id="3"/>
      <w:r>
        <w:rPr>
          <w:rFonts w:ascii="宋体" w:hAnsi="宋体"/>
          <w:sz w:val="24"/>
        </w:rPr>
        <w:t>年</w:t>
      </w:r>
      <w:permStart w:id="4" w:edGrp="everyone"/>
      <w:r>
        <w:rPr>
          <w:rFonts w:hint="eastAsia" w:ascii="宋体" w:hAnsi="宋体"/>
          <w:sz w:val="24"/>
          <w:lang w:val="en-US" w:eastAsia="zh-CN"/>
        </w:rPr>
        <w:t>11</w:t>
      </w:r>
      <w:r>
        <w:rPr>
          <w:rFonts w:hint="eastAsia" w:ascii="宋体" w:hAnsi="宋体"/>
          <w:sz w:val="24"/>
        </w:rPr>
        <w:t xml:space="preserve"> </w:t>
      </w:r>
      <w:permEnd w:id="4"/>
      <w:r>
        <w:rPr>
          <w:rFonts w:ascii="宋体" w:hAnsi="宋体"/>
          <w:sz w:val="24"/>
        </w:rPr>
        <w:t>月</w:t>
      </w:r>
      <w:r>
        <w:rPr>
          <w:rFonts w:hint="eastAsia" w:ascii="宋体" w:hAnsi="宋体"/>
          <w:sz w:val="24"/>
          <w:lang w:val="en-US" w:eastAsia="zh-CN"/>
        </w:rPr>
        <w:t>12</w:t>
      </w:r>
      <w:r>
        <w:rPr>
          <w:rFonts w:ascii="宋体" w:hAnsi="宋体"/>
          <w:sz w:val="24"/>
        </w:rPr>
        <w:t>日</w:t>
      </w:r>
      <w:r>
        <w:rPr>
          <w:rFonts w:hint="eastAsia" w:ascii="宋体" w:hAnsi="宋体"/>
          <w:sz w:val="24"/>
        </w:rPr>
        <w:t>9</w:t>
      </w:r>
      <w:r>
        <w:rPr>
          <w:rFonts w:ascii="宋体" w:hAnsi="宋体"/>
          <w:sz w:val="24"/>
        </w:rPr>
        <w:t>时30</w:t>
      </w:r>
      <w:r>
        <w:rPr>
          <w:rFonts w:hint="eastAsia" w:ascii="宋体" w:hAnsi="宋体"/>
          <w:sz w:val="24"/>
        </w:rPr>
        <w:t>分</w:t>
      </w:r>
      <w:r>
        <w:rPr>
          <w:rFonts w:ascii="宋体" w:hAnsi="宋体"/>
          <w:sz w:val="24"/>
        </w:rPr>
        <w:t>00秒。</w:t>
      </w:r>
    </w:p>
    <w:p w14:paraId="322E5CB7">
      <w:pPr>
        <w:autoSpaceDN w:val="0"/>
        <w:adjustRightInd w:val="0"/>
        <w:snapToGrid w:val="0"/>
        <w:ind w:firstLine="480" w:firstLineChars="200"/>
        <w:rPr>
          <w:rFonts w:ascii="宋体" w:hAnsi="宋体"/>
          <w:sz w:val="24"/>
        </w:rPr>
      </w:pPr>
      <w:r>
        <w:rPr>
          <w:rFonts w:hint="eastAsia" w:ascii="宋体" w:hAnsi="宋体"/>
          <w:sz w:val="24"/>
        </w:rPr>
        <w:t>5</w:t>
      </w:r>
      <w:r>
        <w:rPr>
          <w:rFonts w:ascii="宋体" w:hAnsi="宋体"/>
          <w:sz w:val="24"/>
        </w:rPr>
        <w:t>.3</w:t>
      </w:r>
      <w:r>
        <w:rPr>
          <w:rFonts w:hint="eastAsia" w:ascii="宋体" w:hAnsi="宋体"/>
          <w:sz w:val="24"/>
        </w:rPr>
        <w:t>将由投标文件制作工具制作生成的加密电子投标文件在投标截止时间前（以上传完成时间为准）上传至衢州市公共资源电子交易系统（</w:t>
      </w:r>
      <w:r>
        <w:fldChar w:fldCharType="begin"/>
      </w:r>
      <w:r>
        <w:instrText xml:space="preserve"> HYPERLINK "http://ggzy.qz.gov.cn" </w:instrText>
      </w:r>
      <w:r>
        <w:fldChar w:fldCharType="separate"/>
      </w:r>
      <w:r>
        <w:rPr>
          <w:rFonts w:hint="eastAsia"/>
          <w:sz w:val="24"/>
        </w:rPr>
        <w:t>http://ggzy.qz.gov.cn</w:t>
      </w:r>
      <w:r>
        <w:rPr>
          <w:rFonts w:hint="eastAsia"/>
          <w:sz w:val="24"/>
        </w:rPr>
        <w:fldChar w:fldCharType="end"/>
      </w:r>
      <w:r>
        <w:rPr>
          <w:rFonts w:hint="eastAsia" w:ascii="宋体" w:hAnsi="宋体"/>
          <w:sz w:val="24"/>
        </w:rPr>
        <w:t>)。</w:t>
      </w:r>
    </w:p>
    <w:p w14:paraId="388276D6">
      <w:pPr>
        <w:autoSpaceDN w:val="0"/>
        <w:adjustRightInd w:val="0"/>
        <w:snapToGrid w:val="0"/>
        <w:ind w:firstLine="480" w:firstLineChars="200"/>
        <w:rPr>
          <w:rFonts w:ascii="宋体" w:hAnsi="宋体"/>
          <w:sz w:val="24"/>
        </w:rPr>
      </w:pPr>
      <w:r>
        <w:rPr>
          <w:rFonts w:ascii="宋体" w:hAnsi="宋体"/>
          <w:sz w:val="24"/>
        </w:rPr>
        <w:t>5.4</w:t>
      </w:r>
      <w:r>
        <w:rPr>
          <w:rFonts w:hint="eastAsia" w:ascii="宋体" w:hAnsi="宋体"/>
          <w:sz w:val="24"/>
        </w:rPr>
        <w:t>不见面开标大厅网址：</w:t>
      </w:r>
    </w:p>
    <w:p w14:paraId="657FB92D">
      <w:pPr>
        <w:autoSpaceDN w:val="0"/>
        <w:adjustRightInd w:val="0"/>
        <w:snapToGrid w:val="0"/>
        <w:rPr>
          <w:rFonts w:ascii="宋体" w:hAnsi="宋体"/>
          <w:sz w:val="24"/>
        </w:rPr>
      </w:pPr>
      <w:r>
        <w:fldChar w:fldCharType="begin"/>
      </w:r>
      <w:r>
        <w:instrText xml:space="preserve"> HYPERLINK "http://jyzx.ggzy.qz.gov.cn/BidOpening/bidopeninghallaction/hall/login" </w:instrText>
      </w:r>
      <w:r>
        <w:fldChar w:fldCharType="separate"/>
      </w:r>
      <w:r>
        <w:rPr>
          <w:rStyle w:val="86"/>
          <w:rFonts w:ascii="宋体" w:hAnsi="宋体"/>
          <w:sz w:val="24"/>
        </w:rPr>
        <w:t>http://jyzx.ggzy.qz.gov.cn/BidOpening/bidopeninghallaction/hall/login</w:t>
      </w:r>
      <w:r>
        <w:rPr>
          <w:rStyle w:val="86"/>
          <w:rFonts w:ascii="宋体" w:hAnsi="宋体"/>
          <w:sz w:val="24"/>
        </w:rPr>
        <w:fldChar w:fldCharType="end"/>
      </w:r>
    </w:p>
    <w:p w14:paraId="2B7B2F08">
      <w:pPr>
        <w:adjustRightInd w:val="0"/>
        <w:snapToGrid w:val="0"/>
        <w:jc w:val="left"/>
        <w:rPr>
          <w:rFonts w:ascii="宋体" w:hAnsi="宋体"/>
          <w:b/>
          <w:sz w:val="24"/>
        </w:rPr>
      </w:pPr>
      <w:r>
        <w:rPr>
          <w:rFonts w:hint="eastAsia" w:ascii="宋体" w:hAnsi="宋体"/>
          <w:b/>
          <w:sz w:val="24"/>
        </w:rPr>
        <w:t>6</w:t>
      </w:r>
      <w:r>
        <w:rPr>
          <w:rFonts w:ascii="宋体" w:hAnsi="宋体"/>
          <w:b/>
          <w:sz w:val="24"/>
        </w:rPr>
        <w:t>、发布公告的媒介</w:t>
      </w:r>
    </w:p>
    <w:p w14:paraId="01C127BB">
      <w:pPr>
        <w:autoSpaceDN w:val="0"/>
        <w:adjustRightInd w:val="0"/>
        <w:snapToGrid w:val="0"/>
        <w:ind w:firstLine="480" w:firstLineChars="200"/>
        <w:rPr>
          <w:rFonts w:ascii="宋体" w:hAnsi="宋体"/>
          <w:sz w:val="24"/>
        </w:rPr>
      </w:pPr>
      <w:r>
        <w:rPr>
          <w:rFonts w:ascii="宋体" w:hAnsi="宋体"/>
          <w:sz w:val="24"/>
        </w:rPr>
        <w:t>本招标公告在</w:t>
      </w:r>
      <w:r>
        <w:rPr>
          <w:rFonts w:hint="eastAsia" w:ascii="宋体" w:hAnsi="宋体"/>
          <w:sz w:val="24"/>
        </w:rPr>
        <w:t>浙江省公共资源交易服务平台、衢州市市县一体公共资源交易平台</w:t>
      </w:r>
      <w:r>
        <w:rPr>
          <w:rFonts w:ascii="宋体" w:hAnsi="宋体"/>
          <w:sz w:val="24"/>
        </w:rPr>
        <w:t>和</w:t>
      </w:r>
      <w:r>
        <w:rPr>
          <w:rFonts w:hint="eastAsia" w:ascii="宋体" w:hAnsi="宋体"/>
          <w:sz w:val="24"/>
        </w:rPr>
        <w:t>巨化数字化招采平台</w:t>
      </w:r>
      <w:r>
        <w:rPr>
          <w:rFonts w:ascii="宋体" w:hAnsi="宋体"/>
          <w:sz w:val="24"/>
        </w:rPr>
        <w:t>同时发布。</w:t>
      </w:r>
    </w:p>
    <w:p w14:paraId="2A4D5233">
      <w:pPr>
        <w:adjustRightInd w:val="0"/>
        <w:snapToGrid w:val="0"/>
        <w:jc w:val="left"/>
        <w:rPr>
          <w:rFonts w:ascii="宋体" w:hAnsi="宋体"/>
          <w:b/>
          <w:sz w:val="24"/>
        </w:rPr>
      </w:pPr>
      <w:r>
        <w:rPr>
          <w:rFonts w:ascii="宋体" w:hAnsi="宋体"/>
          <w:b/>
          <w:sz w:val="24"/>
        </w:rPr>
        <w:t>7</w:t>
      </w:r>
      <w:r>
        <w:rPr>
          <w:rFonts w:hint="eastAsia" w:ascii="宋体" w:hAnsi="宋体"/>
          <w:b/>
          <w:sz w:val="24"/>
        </w:rPr>
        <w:t>、联系方式：</w:t>
      </w:r>
    </w:p>
    <w:p w14:paraId="7B96E6CE">
      <w:pPr>
        <w:autoSpaceDN w:val="0"/>
        <w:adjustRightInd w:val="0"/>
        <w:snapToGrid w:val="0"/>
        <w:ind w:firstLine="480" w:firstLineChars="200"/>
        <w:rPr>
          <w:rFonts w:ascii="宋体" w:hAnsi="宋体"/>
          <w:sz w:val="24"/>
        </w:rPr>
      </w:pPr>
      <w:r>
        <w:rPr>
          <w:rFonts w:hint="eastAsia" w:ascii="宋体" w:hAnsi="宋体"/>
          <w:sz w:val="24"/>
        </w:rPr>
        <w:t>招 标 人：浙江巨化股份有限公司</w:t>
      </w:r>
    </w:p>
    <w:p w14:paraId="3FB906EA">
      <w:pPr>
        <w:autoSpaceDN w:val="0"/>
        <w:adjustRightInd w:val="0"/>
        <w:snapToGrid w:val="0"/>
        <w:ind w:firstLine="480" w:firstLineChars="200"/>
        <w:rPr>
          <w:rFonts w:ascii="宋体" w:hAnsi="宋体"/>
          <w:sz w:val="24"/>
        </w:rPr>
      </w:pPr>
      <w:r>
        <w:rPr>
          <w:rFonts w:hint="eastAsia" w:ascii="宋体" w:hAnsi="宋体"/>
          <w:sz w:val="24"/>
        </w:rPr>
        <w:t>联系人：徐工  联系电话：0570-3614294</w:t>
      </w:r>
    </w:p>
    <w:p w14:paraId="335B4A3E">
      <w:pPr>
        <w:autoSpaceDN w:val="0"/>
        <w:adjustRightInd w:val="0"/>
        <w:snapToGrid w:val="0"/>
        <w:ind w:firstLine="480" w:firstLineChars="200"/>
        <w:rPr>
          <w:rFonts w:ascii="宋体" w:hAnsi="宋体"/>
          <w:sz w:val="24"/>
        </w:rPr>
      </w:pPr>
      <w:r>
        <w:rPr>
          <w:rFonts w:hint="eastAsia" w:ascii="宋体" w:hAnsi="宋体"/>
          <w:sz w:val="24"/>
        </w:rPr>
        <w:t xml:space="preserve"> 浙江巨化化工材料有限公司</w:t>
      </w:r>
    </w:p>
    <w:p w14:paraId="7222F9F9">
      <w:pPr>
        <w:autoSpaceDN w:val="0"/>
        <w:adjustRightInd w:val="0"/>
        <w:snapToGrid w:val="0"/>
        <w:ind w:firstLine="480" w:firstLineChars="200"/>
        <w:rPr>
          <w:rFonts w:ascii="宋体" w:hAnsi="宋体"/>
          <w:sz w:val="24"/>
        </w:rPr>
      </w:pPr>
      <w:r>
        <w:rPr>
          <w:rFonts w:hint="eastAsia" w:ascii="宋体" w:hAnsi="宋体"/>
          <w:sz w:val="24"/>
        </w:rPr>
        <w:t>联系人：宋工  联系电话：0570-3098765</w:t>
      </w:r>
    </w:p>
    <w:p w14:paraId="4EEDD4DC">
      <w:pPr>
        <w:autoSpaceDN w:val="0"/>
        <w:adjustRightInd w:val="0"/>
        <w:snapToGrid w:val="0"/>
        <w:ind w:firstLine="480" w:firstLineChars="200"/>
        <w:rPr>
          <w:rFonts w:ascii="宋体" w:hAnsi="宋体"/>
          <w:sz w:val="24"/>
        </w:rPr>
      </w:pPr>
      <w:r>
        <w:rPr>
          <w:rFonts w:hint="eastAsia" w:ascii="宋体" w:hAnsi="宋体"/>
          <w:sz w:val="24"/>
        </w:rPr>
        <w:t>招标代理：浙江南方工程咨询管理有限公司</w:t>
      </w:r>
    </w:p>
    <w:p w14:paraId="03D6EC71">
      <w:pPr>
        <w:autoSpaceDN w:val="0"/>
        <w:adjustRightInd w:val="0"/>
        <w:snapToGrid w:val="0"/>
        <w:ind w:firstLine="480" w:firstLineChars="200"/>
        <w:rPr>
          <w:rFonts w:ascii="宋体" w:hAnsi="宋体"/>
          <w:sz w:val="24"/>
        </w:rPr>
      </w:pPr>
      <w:r>
        <w:rPr>
          <w:rFonts w:hint="eastAsia" w:ascii="宋体" w:hAnsi="宋体"/>
          <w:sz w:val="24"/>
        </w:rPr>
        <w:t>联系人：王工 联系电话：</w:t>
      </w:r>
      <w:permStart w:id="5" w:edGrp="everyone"/>
      <w:r>
        <w:rPr>
          <w:rFonts w:hint="eastAsia" w:ascii="宋体" w:hAnsi="宋体"/>
          <w:sz w:val="24"/>
        </w:rPr>
        <w:t>13059721359</w:t>
      </w:r>
    </w:p>
    <w:permEnd w:id="5"/>
    <w:p w14:paraId="2F307C71">
      <w:pPr>
        <w:autoSpaceDN w:val="0"/>
        <w:adjustRightInd w:val="0"/>
        <w:snapToGrid w:val="0"/>
        <w:ind w:firstLine="480" w:firstLineChars="200"/>
        <w:rPr>
          <w:rFonts w:ascii="宋体" w:hAnsi="宋体"/>
          <w:sz w:val="24"/>
        </w:rPr>
      </w:pPr>
      <w:r>
        <w:rPr>
          <w:rFonts w:hint="eastAsia" w:ascii="宋体" w:hAnsi="宋体"/>
          <w:sz w:val="24"/>
        </w:rPr>
        <w:t>地址：浙江省衢州市柯城区衢化街道文昌路99号九州大厦四楼</w:t>
      </w:r>
    </w:p>
    <w:p w14:paraId="1E6677D5">
      <w:pPr>
        <w:widowControl/>
        <w:jc w:val="left"/>
        <w:rPr>
          <w:rFonts w:ascii="Arial" w:hAnsi="Arial" w:cs="Arial"/>
          <w:bCs/>
          <w:kern w:val="0"/>
          <w:sz w:val="32"/>
          <w:szCs w:val="32"/>
        </w:rPr>
      </w:pPr>
      <w:bookmarkStart w:id="7" w:name="_Toc135032166"/>
      <w:r>
        <w:rPr>
          <w:b/>
          <w:kern w:val="0"/>
        </w:rPr>
        <w:br w:type="page"/>
      </w:r>
    </w:p>
    <w:p w14:paraId="08833D1F">
      <w:pPr>
        <w:pStyle w:val="5"/>
        <w:ind w:left="353"/>
        <w:rPr>
          <w:b w:val="0"/>
          <w:kern w:val="0"/>
        </w:rPr>
      </w:pPr>
      <w:r>
        <w:rPr>
          <w:rFonts w:hint="eastAsia"/>
          <w:b w:val="0"/>
          <w:kern w:val="0"/>
        </w:rPr>
        <w:t>第二章 投标人须知前附表</w:t>
      </w:r>
      <w:bookmarkEnd w:id="7"/>
    </w:p>
    <w:tbl>
      <w:tblPr>
        <w:tblStyle w:val="76"/>
        <w:tblW w:w="100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8"/>
        <w:gridCol w:w="1530"/>
        <w:gridCol w:w="7550"/>
      </w:tblGrid>
      <w:tr w14:paraId="44F5A6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988" w:type="dxa"/>
            <w:vAlign w:val="center"/>
          </w:tcPr>
          <w:p w14:paraId="35C25E50">
            <w:pPr>
              <w:jc w:val="center"/>
              <w:rPr>
                <w:rFonts w:ascii="宋体" w:hAnsi="宋体" w:cs="宋体"/>
                <w:b/>
                <w:kern w:val="0"/>
                <w:sz w:val="24"/>
              </w:rPr>
            </w:pPr>
            <w:r>
              <w:rPr>
                <w:rFonts w:hint="eastAsia" w:ascii="宋体" w:hAnsi="宋体" w:cs="宋体"/>
                <w:b/>
                <w:kern w:val="0"/>
                <w:sz w:val="24"/>
              </w:rPr>
              <w:t>项号</w:t>
            </w:r>
          </w:p>
        </w:tc>
        <w:tc>
          <w:tcPr>
            <w:tcW w:w="1530" w:type="dxa"/>
            <w:vAlign w:val="center"/>
          </w:tcPr>
          <w:p w14:paraId="322B0B7C">
            <w:pPr>
              <w:jc w:val="center"/>
              <w:rPr>
                <w:rFonts w:ascii="宋体" w:hAnsi="宋体" w:cs="宋体"/>
                <w:b/>
                <w:kern w:val="0"/>
                <w:sz w:val="24"/>
              </w:rPr>
            </w:pPr>
            <w:r>
              <w:rPr>
                <w:rFonts w:hint="eastAsia" w:ascii="宋体" w:hAnsi="宋体" w:cs="宋体"/>
                <w:b/>
                <w:kern w:val="0"/>
                <w:sz w:val="24"/>
              </w:rPr>
              <w:t>内容</w:t>
            </w:r>
          </w:p>
        </w:tc>
        <w:tc>
          <w:tcPr>
            <w:tcW w:w="7550" w:type="dxa"/>
            <w:vAlign w:val="center"/>
          </w:tcPr>
          <w:p w14:paraId="7B2495C8">
            <w:pPr>
              <w:jc w:val="center"/>
              <w:rPr>
                <w:rFonts w:ascii="宋体" w:hAnsi="宋体" w:cs="宋体"/>
                <w:b/>
                <w:kern w:val="0"/>
                <w:sz w:val="24"/>
              </w:rPr>
            </w:pPr>
            <w:r>
              <w:rPr>
                <w:rFonts w:hint="eastAsia" w:ascii="宋体" w:hAnsi="宋体" w:cs="宋体"/>
                <w:b/>
                <w:kern w:val="0"/>
                <w:sz w:val="24"/>
              </w:rPr>
              <w:t>说明与要求</w:t>
            </w:r>
          </w:p>
        </w:tc>
      </w:tr>
      <w:tr w14:paraId="59291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jc w:val="center"/>
        </w:trPr>
        <w:tc>
          <w:tcPr>
            <w:tcW w:w="988" w:type="dxa"/>
            <w:vAlign w:val="center"/>
          </w:tcPr>
          <w:p w14:paraId="257358F0">
            <w:pPr>
              <w:jc w:val="left"/>
              <w:rPr>
                <w:rFonts w:ascii="宋体" w:hAnsi="宋体" w:cs="宋体"/>
                <w:kern w:val="0"/>
                <w:sz w:val="24"/>
              </w:rPr>
            </w:pPr>
            <w:r>
              <w:rPr>
                <w:rFonts w:hint="eastAsia" w:ascii="宋体" w:hAnsi="宋体" w:cs="宋体"/>
                <w:kern w:val="0"/>
                <w:sz w:val="24"/>
              </w:rPr>
              <w:t>2.1.1</w:t>
            </w:r>
          </w:p>
        </w:tc>
        <w:tc>
          <w:tcPr>
            <w:tcW w:w="1530" w:type="dxa"/>
            <w:tcBorders>
              <w:left w:val="single" w:color="auto" w:sz="4" w:space="0"/>
              <w:right w:val="single" w:color="auto" w:sz="4" w:space="0"/>
            </w:tcBorders>
            <w:vAlign w:val="center"/>
          </w:tcPr>
          <w:p w14:paraId="42AF5A9B">
            <w:pPr>
              <w:spacing w:line="460" w:lineRule="exact"/>
              <w:jc w:val="left"/>
              <w:rPr>
                <w:rFonts w:ascii="宋体" w:hAnsi="宋体" w:cs="宋体"/>
                <w:sz w:val="24"/>
              </w:rPr>
            </w:pPr>
            <w:r>
              <w:rPr>
                <w:rFonts w:hint="eastAsia"/>
                <w:sz w:val="24"/>
              </w:rPr>
              <w:t>项目说明</w:t>
            </w:r>
          </w:p>
        </w:tc>
        <w:tc>
          <w:tcPr>
            <w:tcW w:w="7550" w:type="dxa"/>
            <w:vAlign w:val="center"/>
          </w:tcPr>
          <w:p w14:paraId="73F27221">
            <w:pPr>
              <w:spacing w:line="300" w:lineRule="exact"/>
              <w:jc w:val="left"/>
              <w:rPr>
                <w:rFonts w:ascii="宋体" w:hAnsi="宋体" w:cs="宋体"/>
                <w:sz w:val="24"/>
              </w:rPr>
            </w:pPr>
            <w:r>
              <w:rPr>
                <w:rFonts w:hint="eastAsia"/>
                <w:kern w:val="0"/>
                <w:sz w:val="24"/>
              </w:rPr>
              <w:t>本项目为浙江巨化股份有限公司、浙江巨化化工材料有限公司</w:t>
            </w:r>
            <w:r>
              <w:rPr>
                <w:rFonts w:hint="eastAsia" w:ascii="宋体"/>
                <w:sz w:val="24"/>
              </w:rPr>
              <w:t>浙江时代锂电材料配套工程（废盐综合利用制离子膜烧碱项目）</w:t>
            </w:r>
            <w:r>
              <w:rPr>
                <w:rFonts w:hint="eastAsia"/>
                <w:kern w:val="0"/>
                <w:sz w:val="24"/>
              </w:rPr>
              <w:t>所需离心式氯气压缩机组一台（套）</w:t>
            </w:r>
          </w:p>
        </w:tc>
      </w:tr>
      <w:tr w14:paraId="047E1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2" w:hRule="atLeast"/>
          <w:jc w:val="center"/>
        </w:trPr>
        <w:tc>
          <w:tcPr>
            <w:tcW w:w="988" w:type="dxa"/>
            <w:vAlign w:val="center"/>
          </w:tcPr>
          <w:p w14:paraId="09C84F5D">
            <w:pPr>
              <w:jc w:val="left"/>
              <w:rPr>
                <w:rFonts w:ascii="宋体" w:hAnsi="宋体" w:cs="宋体"/>
                <w:kern w:val="0"/>
                <w:sz w:val="24"/>
              </w:rPr>
            </w:pPr>
            <w:r>
              <w:rPr>
                <w:rFonts w:hint="eastAsia" w:ascii="宋体" w:hAnsi="宋体" w:cs="宋体"/>
                <w:kern w:val="0"/>
                <w:sz w:val="24"/>
              </w:rPr>
              <w:t>2.1.2</w:t>
            </w:r>
          </w:p>
        </w:tc>
        <w:tc>
          <w:tcPr>
            <w:tcW w:w="1530" w:type="dxa"/>
            <w:tcBorders>
              <w:left w:val="single" w:color="auto" w:sz="4" w:space="0"/>
              <w:right w:val="single" w:color="auto" w:sz="4" w:space="0"/>
            </w:tcBorders>
            <w:vAlign w:val="center"/>
          </w:tcPr>
          <w:p w14:paraId="157C83DA">
            <w:pPr>
              <w:jc w:val="left"/>
              <w:rPr>
                <w:rFonts w:ascii="宋体" w:hAnsi="宋体" w:cs="宋体"/>
                <w:sz w:val="24"/>
              </w:rPr>
            </w:pPr>
            <w:r>
              <w:rPr>
                <w:rFonts w:hint="eastAsia" w:ascii="宋体" w:hAnsi="宋体" w:cs="宋体"/>
                <w:sz w:val="24"/>
              </w:rPr>
              <w:t>招标人及招标代理</w:t>
            </w:r>
          </w:p>
        </w:tc>
        <w:tc>
          <w:tcPr>
            <w:tcW w:w="7550" w:type="dxa"/>
            <w:vAlign w:val="center"/>
          </w:tcPr>
          <w:p w14:paraId="22DB9889">
            <w:pPr>
              <w:wordWrap w:val="0"/>
              <w:jc w:val="left"/>
              <w:rPr>
                <w:rFonts w:ascii="宋体"/>
                <w:sz w:val="24"/>
              </w:rPr>
            </w:pPr>
            <w:r>
              <w:rPr>
                <w:rFonts w:ascii="宋体"/>
                <w:b/>
                <w:sz w:val="24"/>
              </w:rPr>
              <w:t>招标人</w:t>
            </w:r>
            <w:r>
              <w:rPr>
                <w:rFonts w:hint="eastAsia" w:ascii="宋体"/>
                <w:b/>
                <w:sz w:val="24"/>
              </w:rPr>
              <w:t>：</w:t>
            </w:r>
            <w:r>
              <w:rPr>
                <w:rFonts w:hint="eastAsia" w:ascii="宋体"/>
                <w:sz w:val="24"/>
              </w:rPr>
              <w:t>浙江巨化股份有限公司、浙江巨化化工材料有限公司</w:t>
            </w:r>
          </w:p>
          <w:p w14:paraId="6A8169DB">
            <w:pPr>
              <w:wordWrap w:val="0"/>
              <w:jc w:val="left"/>
              <w:rPr>
                <w:rFonts w:ascii="宋体"/>
                <w:sz w:val="24"/>
              </w:rPr>
            </w:pPr>
            <w:r>
              <w:rPr>
                <w:rFonts w:hint="eastAsia" w:ascii="宋体"/>
                <w:sz w:val="24"/>
              </w:rPr>
              <w:t>联系人：宋</w:t>
            </w:r>
            <w:r>
              <w:rPr>
                <w:rFonts w:ascii="宋体"/>
                <w:sz w:val="24"/>
              </w:rPr>
              <w:t>工   0570-309</w:t>
            </w:r>
            <w:r>
              <w:rPr>
                <w:rFonts w:hint="eastAsia" w:ascii="宋体"/>
                <w:sz w:val="24"/>
              </w:rPr>
              <w:t>8765</w:t>
            </w:r>
          </w:p>
          <w:p w14:paraId="52B0E43C">
            <w:pPr>
              <w:wordWrap w:val="0"/>
              <w:jc w:val="left"/>
              <w:rPr>
                <w:rFonts w:ascii="宋体"/>
                <w:sz w:val="24"/>
              </w:rPr>
            </w:pPr>
            <w:r>
              <w:rPr>
                <w:rFonts w:hint="eastAsia" w:ascii="宋体"/>
                <w:sz w:val="24"/>
              </w:rPr>
              <w:t>地址：浙江省衢州市花园（巨化公司内）</w:t>
            </w:r>
          </w:p>
          <w:p w14:paraId="0C331257">
            <w:pPr>
              <w:wordWrap w:val="0"/>
              <w:jc w:val="left"/>
              <w:rPr>
                <w:rFonts w:ascii="宋体" w:hAnsi="宋体" w:cs="宋体"/>
                <w:sz w:val="24"/>
              </w:rPr>
            </w:pPr>
            <w:r>
              <w:rPr>
                <w:rFonts w:hint="eastAsia" w:ascii="宋体" w:hAnsi="宋体" w:cs="宋体"/>
                <w:sz w:val="24"/>
              </w:rPr>
              <w:t>招标代理:浙江南方工程咨询管理有限公司</w:t>
            </w:r>
          </w:p>
          <w:p w14:paraId="165F97A5">
            <w:pPr>
              <w:wordWrap w:val="0"/>
              <w:jc w:val="left"/>
              <w:rPr>
                <w:rFonts w:ascii="宋体" w:hAnsi="宋体" w:cs="宋体"/>
                <w:sz w:val="24"/>
              </w:rPr>
            </w:pPr>
            <w:r>
              <w:rPr>
                <w:rFonts w:hint="eastAsia" w:ascii="宋体" w:hAnsi="宋体" w:cs="宋体"/>
                <w:sz w:val="24"/>
              </w:rPr>
              <w:t>联系人：王工  13059721359</w:t>
            </w:r>
          </w:p>
          <w:p w14:paraId="6E3B09C5">
            <w:pPr>
              <w:wordWrap w:val="0"/>
              <w:jc w:val="left"/>
              <w:rPr>
                <w:rFonts w:ascii="宋体" w:hAnsi="宋体" w:cs="宋体"/>
                <w:sz w:val="24"/>
              </w:rPr>
            </w:pPr>
            <w:r>
              <w:rPr>
                <w:rFonts w:hint="eastAsia" w:ascii="宋体" w:hAnsi="宋体" w:cs="宋体"/>
                <w:sz w:val="24"/>
              </w:rPr>
              <w:t>地址：浙江省衢州市柯城区衢化街道文昌路99号九州大厦四楼</w:t>
            </w:r>
          </w:p>
        </w:tc>
      </w:tr>
      <w:tr w14:paraId="05F30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988" w:type="dxa"/>
            <w:vAlign w:val="center"/>
          </w:tcPr>
          <w:p w14:paraId="7F511B2F">
            <w:pPr>
              <w:jc w:val="left"/>
              <w:rPr>
                <w:rFonts w:ascii="宋体" w:hAnsi="宋体" w:cs="宋体"/>
                <w:kern w:val="0"/>
                <w:sz w:val="24"/>
              </w:rPr>
            </w:pPr>
            <w:r>
              <w:rPr>
                <w:rFonts w:hint="eastAsia" w:ascii="宋体" w:hAnsi="宋体" w:cs="宋体"/>
                <w:kern w:val="0"/>
                <w:sz w:val="24"/>
              </w:rPr>
              <w:t>2.1.3</w:t>
            </w:r>
          </w:p>
        </w:tc>
        <w:tc>
          <w:tcPr>
            <w:tcW w:w="1530" w:type="dxa"/>
            <w:tcBorders>
              <w:left w:val="single" w:color="auto" w:sz="4" w:space="0"/>
              <w:right w:val="single" w:color="auto" w:sz="4" w:space="0"/>
            </w:tcBorders>
            <w:vAlign w:val="center"/>
          </w:tcPr>
          <w:p w14:paraId="382EEF36">
            <w:pPr>
              <w:jc w:val="left"/>
              <w:rPr>
                <w:rFonts w:ascii="宋体" w:hAnsi="宋体" w:cs="宋体"/>
                <w:sz w:val="24"/>
              </w:rPr>
            </w:pPr>
            <w:r>
              <w:rPr>
                <w:rFonts w:hint="eastAsia" w:ascii="宋体" w:hAnsi="宋体" w:cs="宋体"/>
                <w:sz w:val="24"/>
              </w:rPr>
              <w:t>项目名称</w:t>
            </w:r>
          </w:p>
        </w:tc>
        <w:tc>
          <w:tcPr>
            <w:tcW w:w="7550" w:type="dxa"/>
            <w:vAlign w:val="center"/>
          </w:tcPr>
          <w:p w14:paraId="29D460BC">
            <w:pPr>
              <w:wordWrap w:val="0"/>
              <w:jc w:val="left"/>
              <w:rPr>
                <w:rFonts w:ascii="宋体" w:hAnsi="宋体" w:cs="宋体"/>
                <w:kern w:val="0"/>
                <w:sz w:val="24"/>
              </w:rPr>
            </w:pPr>
            <w:r>
              <w:rPr>
                <w:rFonts w:hint="eastAsia" w:ascii="宋体" w:hAnsi="宋体" w:cs="宋体"/>
                <w:sz w:val="24"/>
              </w:rPr>
              <w:t>浙江时代锂电材料配套工程（废盐综合利用制离子膜烧碱项目）</w:t>
            </w:r>
          </w:p>
        </w:tc>
      </w:tr>
      <w:tr w14:paraId="36EFE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88" w:type="dxa"/>
            <w:vAlign w:val="center"/>
          </w:tcPr>
          <w:p w14:paraId="30E79887">
            <w:pPr>
              <w:jc w:val="left"/>
              <w:rPr>
                <w:rFonts w:ascii="宋体" w:hAnsi="宋体" w:cs="宋体"/>
                <w:kern w:val="0"/>
                <w:sz w:val="24"/>
              </w:rPr>
            </w:pPr>
            <w:r>
              <w:rPr>
                <w:rFonts w:hint="eastAsia" w:ascii="宋体" w:hAnsi="宋体" w:cs="宋体"/>
                <w:kern w:val="0"/>
                <w:sz w:val="24"/>
              </w:rPr>
              <w:t>2.1.4</w:t>
            </w:r>
          </w:p>
        </w:tc>
        <w:tc>
          <w:tcPr>
            <w:tcW w:w="1530" w:type="dxa"/>
            <w:tcBorders>
              <w:left w:val="single" w:color="auto" w:sz="4" w:space="0"/>
              <w:right w:val="single" w:color="auto" w:sz="4" w:space="0"/>
            </w:tcBorders>
            <w:vAlign w:val="center"/>
          </w:tcPr>
          <w:p w14:paraId="64EAA02C">
            <w:pPr>
              <w:spacing w:line="460" w:lineRule="exact"/>
              <w:jc w:val="left"/>
              <w:rPr>
                <w:rFonts w:ascii="宋体" w:hAnsi="宋体" w:cs="宋体"/>
                <w:sz w:val="24"/>
              </w:rPr>
            </w:pPr>
            <w:r>
              <w:rPr>
                <w:rFonts w:hint="eastAsia"/>
                <w:sz w:val="24"/>
              </w:rPr>
              <w:t>项目地点</w:t>
            </w:r>
          </w:p>
        </w:tc>
        <w:tc>
          <w:tcPr>
            <w:tcW w:w="7550" w:type="dxa"/>
            <w:vAlign w:val="center"/>
          </w:tcPr>
          <w:p w14:paraId="0BECC39B">
            <w:pPr>
              <w:jc w:val="left"/>
              <w:rPr>
                <w:rFonts w:ascii="宋体" w:hAnsi="宋体" w:cs="宋体"/>
                <w:kern w:val="0"/>
                <w:sz w:val="24"/>
              </w:rPr>
            </w:pPr>
            <w:r>
              <w:rPr>
                <w:rFonts w:hint="eastAsia" w:ascii="宋体"/>
                <w:sz w:val="24"/>
              </w:rPr>
              <w:t>浙江巨化股份有限公司</w:t>
            </w:r>
            <w:r>
              <w:rPr>
                <w:rFonts w:ascii="宋体"/>
                <w:sz w:val="24"/>
              </w:rPr>
              <w:t>，浙江省衢州市巨化集团有限公司内。</w:t>
            </w:r>
          </w:p>
        </w:tc>
      </w:tr>
      <w:tr w14:paraId="4B043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88" w:type="dxa"/>
            <w:vAlign w:val="center"/>
          </w:tcPr>
          <w:p w14:paraId="76812238">
            <w:pPr>
              <w:jc w:val="left"/>
              <w:rPr>
                <w:rFonts w:ascii="宋体" w:hAnsi="宋体" w:cs="宋体"/>
                <w:kern w:val="0"/>
                <w:sz w:val="24"/>
              </w:rPr>
            </w:pPr>
            <w:r>
              <w:rPr>
                <w:rFonts w:hint="eastAsia" w:ascii="宋体" w:hAnsi="宋体" w:cs="宋体"/>
                <w:kern w:val="0"/>
                <w:sz w:val="24"/>
              </w:rPr>
              <w:t>2.2.1</w:t>
            </w:r>
          </w:p>
        </w:tc>
        <w:tc>
          <w:tcPr>
            <w:tcW w:w="1530" w:type="dxa"/>
            <w:tcBorders>
              <w:left w:val="single" w:color="auto" w:sz="4" w:space="0"/>
              <w:right w:val="single" w:color="auto" w:sz="4" w:space="0"/>
            </w:tcBorders>
            <w:vAlign w:val="center"/>
          </w:tcPr>
          <w:p w14:paraId="6C4AEB0D">
            <w:pPr>
              <w:jc w:val="left"/>
              <w:rPr>
                <w:rFonts w:ascii="宋体" w:hAnsi="宋体" w:cs="宋体"/>
                <w:sz w:val="24"/>
              </w:rPr>
            </w:pPr>
            <w:r>
              <w:rPr>
                <w:rFonts w:hint="eastAsia" w:ascii="宋体" w:hAnsi="宋体" w:cs="宋体"/>
                <w:sz w:val="24"/>
              </w:rPr>
              <w:t>资金来源</w:t>
            </w:r>
          </w:p>
        </w:tc>
        <w:tc>
          <w:tcPr>
            <w:tcW w:w="7550" w:type="dxa"/>
            <w:vAlign w:val="center"/>
          </w:tcPr>
          <w:p w14:paraId="0E70336C">
            <w:pPr>
              <w:jc w:val="left"/>
              <w:rPr>
                <w:rFonts w:ascii="宋体" w:hAnsi="宋体" w:cs="宋体"/>
                <w:sz w:val="24"/>
              </w:rPr>
            </w:pPr>
            <w:r>
              <w:rPr>
                <w:rFonts w:hint="eastAsia" w:ascii="宋体" w:hAnsi="宋体" w:cs="宋体"/>
                <w:sz w:val="24"/>
              </w:rPr>
              <w:t>100%自筹</w:t>
            </w:r>
          </w:p>
        </w:tc>
      </w:tr>
      <w:tr w14:paraId="6F239C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88" w:type="dxa"/>
            <w:vAlign w:val="center"/>
          </w:tcPr>
          <w:p w14:paraId="32E6F415">
            <w:pPr>
              <w:jc w:val="left"/>
              <w:rPr>
                <w:rFonts w:ascii="宋体" w:hAnsi="宋体" w:cs="宋体"/>
                <w:kern w:val="0"/>
                <w:sz w:val="24"/>
              </w:rPr>
            </w:pPr>
            <w:r>
              <w:rPr>
                <w:rFonts w:hint="eastAsia" w:ascii="宋体" w:hAnsi="宋体" w:cs="宋体"/>
                <w:kern w:val="0"/>
                <w:sz w:val="24"/>
              </w:rPr>
              <w:t>2.2.2</w:t>
            </w:r>
          </w:p>
        </w:tc>
        <w:tc>
          <w:tcPr>
            <w:tcW w:w="1530" w:type="dxa"/>
            <w:tcBorders>
              <w:left w:val="single" w:color="auto" w:sz="4" w:space="0"/>
              <w:right w:val="single" w:color="auto" w:sz="4" w:space="0"/>
            </w:tcBorders>
            <w:vAlign w:val="center"/>
          </w:tcPr>
          <w:p w14:paraId="2D25F911">
            <w:pPr>
              <w:jc w:val="left"/>
              <w:rPr>
                <w:rFonts w:ascii="宋体" w:hAnsi="宋体" w:cs="宋体"/>
                <w:sz w:val="24"/>
              </w:rPr>
            </w:pPr>
            <w:r>
              <w:rPr>
                <w:rFonts w:hint="eastAsia" w:ascii="宋体" w:hAnsi="宋体" w:cs="宋体"/>
                <w:sz w:val="24"/>
              </w:rPr>
              <w:t>出资比例</w:t>
            </w:r>
          </w:p>
        </w:tc>
        <w:tc>
          <w:tcPr>
            <w:tcW w:w="7550" w:type="dxa"/>
            <w:vAlign w:val="center"/>
          </w:tcPr>
          <w:p w14:paraId="0B88C982">
            <w:pPr>
              <w:jc w:val="left"/>
              <w:rPr>
                <w:rFonts w:ascii="宋体" w:hAnsi="宋体" w:cs="宋体"/>
                <w:sz w:val="24"/>
              </w:rPr>
            </w:pPr>
            <w:r>
              <w:rPr>
                <w:rFonts w:hint="eastAsia" w:ascii="宋体" w:hAnsi="宋体" w:cs="宋体"/>
                <w:sz w:val="24"/>
              </w:rPr>
              <w:t>100%国有资金</w:t>
            </w:r>
          </w:p>
        </w:tc>
      </w:tr>
      <w:tr w14:paraId="7068D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988" w:type="dxa"/>
            <w:vAlign w:val="center"/>
          </w:tcPr>
          <w:p w14:paraId="70545879">
            <w:pPr>
              <w:jc w:val="left"/>
              <w:rPr>
                <w:rFonts w:ascii="宋体" w:hAnsi="宋体" w:cs="宋体"/>
                <w:kern w:val="0"/>
                <w:sz w:val="24"/>
              </w:rPr>
            </w:pPr>
            <w:r>
              <w:rPr>
                <w:rFonts w:hint="eastAsia" w:ascii="宋体" w:hAnsi="宋体" w:cs="宋体"/>
                <w:kern w:val="0"/>
                <w:sz w:val="24"/>
              </w:rPr>
              <w:t>2.2.3</w:t>
            </w:r>
          </w:p>
        </w:tc>
        <w:tc>
          <w:tcPr>
            <w:tcW w:w="1530" w:type="dxa"/>
            <w:tcBorders>
              <w:left w:val="single" w:color="auto" w:sz="4" w:space="0"/>
              <w:right w:val="single" w:color="auto" w:sz="4" w:space="0"/>
            </w:tcBorders>
            <w:vAlign w:val="center"/>
          </w:tcPr>
          <w:p w14:paraId="44AD78B5">
            <w:pPr>
              <w:jc w:val="left"/>
              <w:rPr>
                <w:rFonts w:ascii="宋体" w:hAnsi="宋体" w:cs="宋体"/>
                <w:sz w:val="24"/>
              </w:rPr>
            </w:pPr>
            <w:r>
              <w:rPr>
                <w:rFonts w:hint="eastAsia" w:ascii="宋体" w:hAnsi="宋体" w:cs="宋体"/>
                <w:sz w:val="24"/>
              </w:rPr>
              <w:t>资金落实情况</w:t>
            </w:r>
          </w:p>
        </w:tc>
        <w:tc>
          <w:tcPr>
            <w:tcW w:w="7550" w:type="dxa"/>
            <w:vAlign w:val="center"/>
          </w:tcPr>
          <w:p w14:paraId="4F86A430">
            <w:pPr>
              <w:jc w:val="left"/>
              <w:rPr>
                <w:rFonts w:ascii="宋体" w:hAnsi="宋体" w:cs="宋体"/>
                <w:sz w:val="24"/>
              </w:rPr>
            </w:pPr>
            <w:r>
              <w:rPr>
                <w:rFonts w:hint="eastAsia" w:ascii="宋体" w:hAnsi="宋体" w:cs="宋体"/>
                <w:sz w:val="24"/>
              </w:rPr>
              <w:t>100%落实</w:t>
            </w:r>
          </w:p>
        </w:tc>
      </w:tr>
      <w:tr w14:paraId="65988A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88" w:type="dxa"/>
            <w:vAlign w:val="center"/>
          </w:tcPr>
          <w:p w14:paraId="74C6AF3C">
            <w:pPr>
              <w:jc w:val="left"/>
              <w:rPr>
                <w:rFonts w:ascii="宋体" w:hAnsi="宋体" w:cs="宋体"/>
                <w:kern w:val="0"/>
                <w:sz w:val="24"/>
              </w:rPr>
            </w:pPr>
            <w:r>
              <w:rPr>
                <w:rFonts w:hint="eastAsia" w:ascii="宋体" w:hAnsi="宋体" w:cs="宋体"/>
                <w:kern w:val="0"/>
                <w:sz w:val="24"/>
              </w:rPr>
              <w:t>2.3.1</w:t>
            </w:r>
          </w:p>
        </w:tc>
        <w:tc>
          <w:tcPr>
            <w:tcW w:w="1530" w:type="dxa"/>
            <w:tcBorders>
              <w:left w:val="single" w:color="auto" w:sz="4" w:space="0"/>
              <w:right w:val="single" w:color="auto" w:sz="4" w:space="0"/>
            </w:tcBorders>
            <w:vAlign w:val="center"/>
          </w:tcPr>
          <w:p w14:paraId="24C43DC1">
            <w:pPr>
              <w:jc w:val="left"/>
              <w:rPr>
                <w:rFonts w:ascii="宋体" w:hAnsi="宋体" w:cs="宋体"/>
                <w:sz w:val="24"/>
              </w:rPr>
            </w:pPr>
            <w:r>
              <w:rPr>
                <w:rFonts w:hint="eastAsia" w:ascii="宋体" w:hAnsi="宋体" w:cs="宋体"/>
                <w:sz w:val="24"/>
              </w:rPr>
              <w:t>招标范围</w:t>
            </w:r>
          </w:p>
        </w:tc>
        <w:tc>
          <w:tcPr>
            <w:tcW w:w="7550" w:type="dxa"/>
            <w:vAlign w:val="center"/>
          </w:tcPr>
          <w:p w14:paraId="3D4ED7B3">
            <w:pPr>
              <w:jc w:val="left"/>
              <w:rPr>
                <w:rFonts w:ascii="宋体" w:hAnsi="宋体" w:cs="宋体"/>
                <w:sz w:val="24"/>
              </w:rPr>
            </w:pPr>
            <w:r>
              <w:rPr>
                <w:rFonts w:hint="eastAsia" w:ascii="宋体" w:hAnsi="宋体" w:cs="宋体"/>
                <w:sz w:val="24"/>
              </w:rPr>
              <w:t>包括设计、制造、检（试）验，包装运输，指导安装，培训、调试和售后服务。见采购内容及技术要求。</w:t>
            </w:r>
          </w:p>
        </w:tc>
      </w:tr>
      <w:tr w14:paraId="75FD3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88" w:type="dxa"/>
            <w:vAlign w:val="center"/>
          </w:tcPr>
          <w:p w14:paraId="7F64077F">
            <w:pPr>
              <w:jc w:val="left"/>
              <w:rPr>
                <w:rFonts w:ascii="宋体" w:hAnsi="宋体" w:cs="宋体"/>
                <w:kern w:val="0"/>
                <w:sz w:val="24"/>
              </w:rPr>
            </w:pPr>
            <w:r>
              <w:rPr>
                <w:rFonts w:hint="eastAsia" w:ascii="宋体" w:hAnsi="宋体" w:cs="宋体"/>
                <w:kern w:val="0"/>
                <w:sz w:val="24"/>
              </w:rPr>
              <w:t>*2.3.2</w:t>
            </w:r>
          </w:p>
        </w:tc>
        <w:tc>
          <w:tcPr>
            <w:tcW w:w="1530" w:type="dxa"/>
            <w:tcBorders>
              <w:left w:val="single" w:color="auto" w:sz="4" w:space="0"/>
              <w:right w:val="single" w:color="auto" w:sz="4" w:space="0"/>
            </w:tcBorders>
            <w:vAlign w:val="center"/>
          </w:tcPr>
          <w:p w14:paraId="73E8F5D0">
            <w:pPr>
              <w:spacing w:line="460" w:lineRule="exact"/>
              <w:jc w:val="left"/>
              <w:rPr>
                <w:rFonts w:ascii="宋体" w:hAnsi="宋体" w:cs="宋体"/>
                <w:sz w:val="24"/>
              </w:rPr>
            </w:pPr>
            <w:r>
              <w:rPr>
                <w:rFonts w:hint="eastAsia"/>
                <w:sz w:val="24"/>
              </w:rPr>
              <w:t>交货期要求</w:t>
            </w:r>
          </w:p>
        </w:tc>
        <w:tc>
          <w:tcPr>
            <w:tcW w:w="7550" w:type="dxa"/>
            <w:vAlign w:val="center"/>
          </w:tcPr>
          <w:p w14:paraId="64AF1B49">
            <w:pPr>
              <w:spacing w:line="460" w:lineRule="exact"/>
              <w:jc w:val="left"/>
              <w:rPr>
                <w:rFonts w:ascii="宋体" w:hAnsi="宋体" w:cs="宋体"/>
                <w:sz w:val="24"/>
              </w:rPr>
            </w:pPr>
            <w:r>
              <w:rPr>
                <w:rFonts w:hint="eastAsia" w:ascii="宋体" w:hAnsi="宋体"/>
                <w:bCs/>
                <w:sz w:val="24"/>
              </w:rPr>
              <w:t>合同生效后</w:t>
            </w:r>
            <w:r>
              <w:rPr>
                <w:rFonts w:ascii="宋体" w:hAnsi="宋体"/>
                <w:b/>
                <w:sz w:val="24"/>
              </w:rPr>
              <w:t>300个历</w:t>
            </w:r>
            <w:r>
              <w:rPr>
                <w:rFonts w:ascii="宋体" w:hAnsi="宋体"/>
                <w:bCs/>
                <w:sz w:val="24"/>
              </w:rPr>
              <w:t>天内送至</w:t>
            </w:r>
            <w:r>
              <w:rPr>
                <w:rFonts w:hint="eastAsia" w:ascii="宋体" w:hAnsi="宋体" w:cs="宋体"/>
                <w:bCs/>
                <w:kern w:val="0"/>
                <w:sz w:val="24"/>
              </w:rPr>
              <w:t>招标人项目现场，具体送货时间由招标人提前</w:t>
            </w:r>
            <w:r>
              <w:rPr>
                <w:rFonts w:hint="eastAsia" w:ascii="宋体" w:hAnsi="宋体" w:cs="宋体"/>
                <w:bCs/>
                <w:kern w:val="0"/>
                <w:sz w:val="24"/>
                <w:lang w:val="en-US" w:eastAsia="zh-CN"/>
              </w:rPr>
              <w:t>七</w:t>
            </w:r>
            <w:r>
              <w:rPr>
                <w:rFonts w:ascii="宋体" w:hAnsi="宋体" w:cs="宋体"/>
                <w:bCs/>
                <w:kern w:val="0"/>
                <w:sz w:val="24"/>
              </w:rPr>
              <w:t>天通知。</w:t>
            </w:r>
            <w:r>
              <w:rPr>
                <w:rFonts w:hint="eastAsia" w:ascii="宋体"/>
                <w:bCs/>
                <w:sz w:val="24"/>
              </w:rPr>
              <w:t>（投标人请报最短的交货时间，在技术标书中体现）。</w:t>
            </w:r>
          </w:p>
        </w:tc>
      </w:tr>
      <w:tr w14:paraId="1EA37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jc w:val="center"/>
        </w:trPr>
        <w:tc>
          <w:tcPr>
            <w:tcW w:w="988" w:type="dxa"/>
            <w:vAlign w:val="center"/>
          </w:tcPr>
          <w:p w14:paraId="7D203DFC">
            <w:pPr>
              <w:jc w:val="left"/>
              <w:rPr>
                <w:rFonts w:ascii="宋体" w:hAnsi="宋体" w:cs="宋体"/>
                <w:kern w:val="0"/>
                <w:sz w:val="24"/>
              </w:rPr>
            </w:pPr>
            <w:r>
              <w:rPr>
                <w:rFonts w:hint="eastAsia" w:ascii="宋体" w:hAnsi="宋体" w:cs="宋体"/>
                <w:kern w:val="0"/>
                <w:sz w:val="24"/>
              </w:rPr>
              <w:t>2.3.3</w:t>
            </w:r>
          </w:p>
        </w:tc>
        <w:tc>
          <w:tcPr>
            <w:tcW w:w="1530" w:type="dxa"/>
            <w:tcBorders>
              <w:left w:val="single" w:color="auto" w:sz="4" w:space="0"/>
              <w:right w:val="single" w:color="auto" w:sz="4" w:space="0"/>
            </w:tcBorders>
            <w:vAlign w:val="center"/>
          </w:tcPr>
          <w:p w14:paraId="3B2771BF">
            <w:pPr>
              <w:jc w:val="left"/>
              <w:rPr>
                <w:rFonts w:ascii="宋体" w:hAnsi="宋体" w:cs="宋体"/>
                <w:sz w:val="24"/>
              </w:rPr>
            </w:pPr>
            <w:r>
              <w:rPr>
                <w:rFonts w:hint="eastAsia" w:ascii="宋体" w:hAnsi="宋体" w:cs="宋体"/>
                <w:sz w:val="24"/>
              </w:rPr>
              <w:t>质量要求</w:t>
            </w:r>
          </w:p>
        </w:tc>
        <w:tc>
          <w:tcPr>
            <w:tcW w:w="7550" w:type="dxa"/>
            <w:vAlign w:val="center"/>
          </w:tcPr>
          <w:p w14:paraId="45B3D32D">
            <w:pPr>
              <w:jc w:val="left"/>
              <w:rPr>
                <w:rFonts w:ascii="宋体" w:hAnsi="宋体" w:cs="宋体"/>
                <w:sz w:val="24"/>
              </w:rPr>
            </w:pPr>
            <w:r>
              <w:rPr>
                <w:rFonts w:hint="eastAsia" w:ascii="宋体" w:hAnsi="宋体" w:cs="宋体"/>
                <w:sz w:val="24"/>
              </w:rPr>
              <w:t>见采购内容及技术要求</w:t>
            </w:r>
          </w:p>
        </w:tc>
      </w:tr>
      <w:tr w14:paraId="2FE94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0" w:hRule="atLeast"/>
          <w:jc w:val="center"/>
        </w:trPr>
        <w:tc>
          <w:tcPr>
            <w:tcW w:w="988" w:type="dxa"/>
            <w:vMerge w:val="restart"/>
            <w:vAlign w:val="center"/>
          </w:tcPr>
          <w:p w14:paraId="245B2183">
            <w:pPr>
              <w:jc w:val="left"/>
              <w:rPr>
                <w:rFonts w:ascii="宋体" w:hAnsi="宋体" w:cs="宋体"/>
                <w:kern w:val="0"/>
                <w:sz w:val="24"/>
              </w:rPr>
            </w:pPr>
            <w:r>
              <w:rPr>
                <w:rFonts w:hint="eastAsia" w:ascii="宋体" w:hAnsi="宋体" w:cs="宋体"/>
                <w:kern w:val="0"/>
                <w:sz w:val="24"/>
              </w:rPr>
              <w:t>2.4.1</w:t>
            </w:r>
          </w:p>
        </w:tc>
        <w:tc>
          <w:tcPr>
            <w:tcW w:w="1530" w:type="dxa"/>
            <w:tcBorders>
              <w:left w:val="single" w:color="auto" w:sz="4" w:space="0"/>
              <w:right w:val="single" w:color="auto" w:sz="4" w:space="0"/>
            </w:tcBorders>
            <w:vAlign w:val="center"/>
          </w:tcPr>
          <w:p w14:paraId="10A15846">
            <w:pPr>
              <w:jc w:val="left"/>
              <w:rPr>
                <w:rFonts w:ascii="宋体" w:hAnsi="宋体" w:cs="宋体"/>
                <w:sz w:val="24"/>
              </w:rPr>
            </w:pPr>
            <w:r>
              <w:rPr>
                <w:rFonts w:hint="eastAsia" w:ascii="宋体" w:hAnsi="宋体" w:cs="宋体"/>
                <w:sz w:val="24"/>
              </w:rPr>
              <w:t>投标人资</w:t>
            </w:r>
          </w:p>
          <w:p w14:paraId="415D5BEC">
            <w:pPr>
              <w:jc w:val="left"/>
              <w:rPr>
                <w:rFonts w:ascii="宋体" w:hAnsi="宋体" w:cs="宋体"/>
                <w:sz w:val="24"/>
              </w:rPr>
            </w:pPr>
            <w:r>
              <w:rPr>
                <w:rFonts w:hint="eastAsia" w:ascii="宋体" w:hAnsi="宋体" w:cs="宋体"/>
                <w:sz w:val="24"/>
              </w:rPr>
              <w:t>格条件、要求</w:t>
            </w:r>
          </w:p>
        </w:tc>
        <w:tc>
          <w:tcPr>
            <w:tcW w:w="7550" w:type="dxa"/>
            <w:vAlign w:val="center"/>
          </w:tcPr>
          <w:p w14:paraId="631F4E38">
            <w:pPr>
              <w:spacing w:line="460" w:lineRule="exact"/>
              <w:jc w:val="left"/>
              <w:rPr>
                <w:rFonts w:ascii="宋体" w:hAnsi="宋体" w:cs="宋体"/>
                <w:sz w:val="24"/>
              </w:rPr>
            </w:pPr>
            <w:r>
              <w:rPr>
                <w:rFonts w:hint="eastAsia"/>
                <w:sz w:val="24"/>
              </w:rPr>
              <w:t>见招标公告</w:t>
            </w:r>
          </w:p>
        </w:tc>
      </w:tr>
      <w:tr w14:paraId="44071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988" w:type="dxa"/>
            <w:vMerge w:val="continue"/>
            <w:vAlign w:val="center"/>
          </w:tcPr>
          <w:p w14:paraId="2BC880BA">
            <w:pPr>
              <w:rPr>
                <w:rFonts w:ascii="宋体" w:hAnsi="宋体" w:cs="宋体"/>
                <w:sz w:val="24"/>
              </w:rPr>
            </w:pPr>
          </w:p>
        </w:tc>
        <w:tc>
          <w:tcPr>
            <w:tcW w:w="1530" w:type="dxa"/>
            <w:tcBorders>
              <w:left w:val="single" w:color="auto" w:sz="4" w:space="0"/>
              <w:right w:val="single" w:color="auto" w:sz="4" w:space="0"/>
            </w:tcBorders>
            <w:vAlign w:val="center"/>
          </w:tcPr>
          <w:p w14:paraId="4287FA7F">
            <w:pPr>
              <w:jc w:val="left"/>
              <w:rPr>
                <w:rFonts w:ascii="宋体" w:hAnsi="宋体" w:cs="宋体"/>
                <w:sz w:val="24"/>
              </w:rPr>
            </w:pPr>
            <w:r>
              <w:rPr>
                <w:rFonts w:hint="eastAsia" w:ascii="宋体" w:hAnsi="宋体" w:cs="宋体"/>
                <w:sz w:val="24"/>
              </w:rPr>
              <w:t>资质等级和业绩要求</w:t>
            </w:r>
          </w:p>
        </w:tc>
        <w:tc>
          <w:tcPr>
            <w:tcW w:w="7550" w:type="dxa"/>
            <w:vAlign w:val="center"/>
          </w:tcPr>
          <w:p w14:paraId="37BC1078">
            <w:pPr>
              <w:wordWrap w:val="0"/>
              <w:jc w:val="left"/>
              <w:rPr>
                <w:rFonts w:ascii="宋体" w:hAnsi="宋体" w:cs="宋体"/>
                <w:sz w:val="24"/>
              </w:rPr>
            </w:pPr>
            <w:r>
              <w:rPr>
                <w:rFonts w:hint="eastAsia" w:ascii="宋体"/>
                <w:sz w:val="24"/>
              </w:rPr>
              <w:t>见招标公告</w:t>
            </w:r>
          </w:p>
        </w:tc>
      </w:tr>
      <w:tr w14:paraId="682FBA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vAlign w:val="center"/>
          </w:tcPr>
          <w:p w14:paraId="0631C769">
            <w:pPr>
              <w:jc w:val="left"/>
              <w:rPr>
                <w:rFonts w:ascii="宋体" w:hAnsi="宋体" w:cs="宋体"/>
                <w:kern w:val="0"/>
                <w:sz w:val="24"/>
              </w:rPr>
            </w:pPr>
            <w:r>
              <w:rPr>
                <w:rFonts w:hint="eastAsia" w:ascii="宋体" w:hAnsi="宋体" w:cs="宋体"/>
                <w:kern w:val="0"/>
                <w:sz w:val="24"/>
              </w:rPr>
              <w:t>2.4.2</w:t>
            </w:r>
          </w:p>
        </w:tc>
        <w:tc>
          <w:tcPr>
            <w:tcW w:w="1530" w:type="dxa"/>
            <w:tcBorders>
              <w:left w:val="single" w:color="auto" w:sz="4" w:space="0"/>
              <w:right w:val="single" w:color="auto" w:sz="4" w:space="0"/>
            </w:tcBorders>
            <w:vAlign w:val="center"/>
          </w:tcPr>
          <w:p w14:paraId="4BB20D74">
            <w:pPr>
              <w:jc w:val="left"/>
              <w:rPr>
                <w:rFonts w:ascii="宋体" w:hAnsi="宋体" w:cs="宋体"/>
                <w:sz w:val="24"/>
              </w:rPr>
            </w:pPr>
            <w:r>
              <w:rPr>
                <w:rFonts w:hint="eastAsia" w:ascii="宋体" w:hAnsi="宋体" w:cs="宋体"/>
                <w:sz w:val="24"/>
              </w:rPr>
              <w:t>是否接受联合体投标</w:t>
            </w:r>
          </w:p>
        </w:tc>
        <w:tc>
          <w:tcPr>
            <w:tcW w:w="7550" w:type="dxa"/>
            <w:vAlign w:val="center"/>
          </w:tcPr>
          <w:p w14:paraId="616D256F">
            <w:pPr>
              <w:jc w:val="left"/>
              <w:rPr>
                <w:rFonts w:ascii="宋体" w:hAnsi="宋体" w:cs="宋体"/>
                <w:sz w:val="24"/>
              </w:rPr>
            </w:pPr>
            <w:r>
              <w:rPr>
                <w:rFonts w:hint="eastAsia" w:ascii="宋体" w:hAnsi="宋体" w:cs="宋体"/>
                <w:sz w:val="24"/>
              </w:rPr>
              <w:t>不接受联合体投标。</w:t>
            </w:r>
          </w:p>
        </w:tc>
      </w:tr>
      <w:tr w14:paraId="22D9F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988" w:type="dxa"/>
            <w:vAlign w:val="center"/>
          </w:tcPr>
          <w:p w14:paraId="47C7B0F4">
            <w:pPr>
              <w:jc w:val="left"/>
              <w:rPr>
                <w:rFonts w:ascii="宋体" w:hAnsi="宋体" w:cs="宋体"/>
                <w:kern w:val="0"/>
                <w:sz w:val="24"/>
              </w:rPr>
            </w:pPr>
            <w:r>
              <w:rPr>
                <w:rFonts w:hint="eastAsia" w:ascii="宋体" w:hAnsi="宋体" w:cs="宋体"/>
                <w:kern w:val="0"/>
                <w:sz w:val="24"/>
              </w:rPr>
              <w:t>2.5.1</w:t>
            </w:r>
          </w:p>
        </w:tc>
        <w:tc>
          <w:tcPr>
            <w:tcW w:w="1530" w:type="dxa"/>
            <w:tcBorders>
              <w:left w:val="single" w:color="auto" w:sz="4" w:space="0"/>
              <w:right w:val="single" w:color="auto" w:sz="4" w:space="0"/>
            </w:tcBorders>
            <w:vAlign w:val="center"/>
          </w:tcPr>
          <w:p w14:paraId="6DB0EF58">
            <w:pPr>
              <w:spacing w:line="460" w:lineRule="exact"/>
              <w:jc w:val="left"/>
              <w:rPr>
                <w:rFonts w:ascii="宋体" w:hAnsi="宋体" w:cs="宋体"/>
                <w:sz w:val="24"/>
              </w:rPr>
            </w:pPr>
            <w:r>
              <w:rPr>
                <w:rFonts w:hint="eastAsia"/>
                <w:sz w:val="24"/>
              </w:rPr>
              <w:t>踏勘现场</w:t>
            </w:r>
          </w:p>
        </w:tc>
        <w:tc>
          <w:tcPr>
            <w:tcW w:w="7550" w:type="dxa"/>
            <w:vAlign w:val="center"/>
          </w:tcPr>
          <w:p w14:paraId="7DC14249">
            <w:pPr>
              <w:tabs>
                <w:tab w:val="right" w:leader="dot" w:pos="8295"/>
              </w:tabs>
              <w:snapToGrid w:val="0"/>
              <w:spacing w:line="440" w:lineRule="exact"/>
              <w:jc w:val="left"/>
              <w:rPr>
                <w:rFonts w:ascii="宋体" w:hAnsi="宋体" w:cs="宋体"/>
                <w:sz w:val="24"/>
              </w:rPr>
            </w:pPr>
            <w:r>
              <w:rPr>
                <w:rFonts w:hint="eastAsia"/>
                <w:sz w:val="24"/>
              </w:rPr>
              <w:t>不组织，如有需要，潜在投标人可要求现场勘察。</w:t>
            </w:r>
          </w:p>
        </w:tc>
      </w:tr>
      <w:tr w14:paraId="4FD72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vAlign w:val="center"/>
          </w:tcPr>
          <w:p w14:paraId="0981FC51">
            <w:pPr>
              <w:jc w:val="left"/>
              <w:rPr>
                <w:rFonts w:ascii="宋体" w:hAnsi="宋体" w:cs="宋体"/>
                <w:kern w:val="0"/>
                <w:sz w:val="24"/>
              </w:rPr>
            </w:pPr>
            <w:r>
              <w:rPr>
                <w:rFonts w:hint="eastAsia" w:ascii="宋体" w:hAnsi="宋体" w:cs="宋体"/>
                <w:kern w:val="0"/>
                <w:sz w:val="24"/>
              </w:rPr>
              <w:t>2.6.1</w:t>
            </w:r>
          </w:p>
        </w:tc>
        <w:tc>
          <w:tcPr>
            <w:tcW w:w="1530" w:type="dxa"/>
            <w:tcBorders>
              <w:left w:val="single" w:color="auto" w:sz="4" w:space="0"/>
              <w:right w:val="single" w:color="auto" w:sz="4" w:space="0"/>
            </w:tcBorders>
            <w:vAlign w:val="center"/>
          </w:tcPr>
          <w:p w14:paraId="2363842F">
            <w:pPr>
              <w:jc w:val="left"/>
              <w:rPr>
                <w:rFonts w:ascii="宋体" w:hAnsi="宋体" w:cs="宋体"/>
                <w:sz w:val="24"/>
              </w:rPr>
            </w:pPr>
            <w:r>
              <w:rPr>
                <w:rFonts w:hint="eastAsia" w:ascii="宋体" w:hAnsi="宋体" w:cs="宋体"/>
                <w:sz w:val="24"/>
              </w:rPr>
              <w:t>投标人提出疑问的截止时间、上传疑问方式</w:t>
            </w:r>
          </w:p>
        </w:tc>
        <w:tc>
          <w:tcPr>
            <w:tcW w:w="7550" w:type="dxa"/>
            <w:vAlign w:val="center"/>
          </w:tcPr>
          <w:p w14:paraId="52CBAD1F">
            <w:pPr>
              <w:jc w:val="left"/>
              <w:rPr>
                <w:rFonts w:ascii="宋体" w:hAnsi="宋体" w:cs="宋体"/>
                <w:sz w:val="24"/>
              </w:rPr>
            </w:pPr>
            <w:r>
              <w:rPr>
                <w:rFonts w:hint="eastAsia" w:ascii="宋体" w:hAnsi="宋体" w:cs="宋体"/>
                <w:sz w:val="24"/>
              </w:rPr>
              <w:t>1、投标人提出疑问的截止时间：见招标公告。</w:t>
            </w:r>
          </w:p>
          <w:p w14:paraId="0A6D12CF">
            <w:pPr>
              <w:jc w:val="left"/>
              <w:rPr>
                <w:rFonts w:ascii="宋体" w:hAnsi="宋体" w:cs="宋体"/>
                <w:sz w:val="24"/>
              </w:rPr>
            </w:pPr>
            <w:r>
              <w:rPr>
                <w:rFonts w:hint="eastAsia" w:ascii="宋体" w:hAnsi="宋体" w:cs="宋体"/>
                <w:sz w:val="24"/>
              </w:rPr>
              <w:t>2、上传疑问方式：登陆衢州市市县一体公共资源交易平台电子交易系统（</w:t>
            </w:r>
            <w:r>
              <w:fldChar w:fldCharType="begin"/>
            </w:r>
            <w:r>
              <w:instrText xml:space="preserve"> HYPERLINK "http://ggzy.qz.gov.cn/" </w:instrText>
            </w:r>
            <w:r>
              <w:fldChar w:fldCharType="separate"/>
            </w:r>
            <w:r>
              <w:rPr>
                <w:rStyle w:val="86"/>
                <w:rFonts w:hint="eastAsia" w:ascii="宋体" w:hAnsi="宋体" w:cs="宋体"/>
                <w:sz w:val="24"/>
              </w:rPr>
              <w:t>http://ggzy.qz.gov.cn/</w:t>
            </w:r>
            <w:r>
              <w:rPr>
                <w:rStyle w:val="86"/>
                <w:rFonts w:hint="eastAsia" w:ascii="宋体" w:hAnsi="宋体" w:cs="宋体"/>
                <w:sz w:val="24"/>
              </w:rPr>
              <w:fldChar w:fldCharType="end"/>
            </w:r>
            <w:r>
              <w:rPr>
                <w:rFonts w:hint="eastAsia" w:ascii="宋体" w:hAnsi="宋体" w:cs="宋体"/>
                <w:sz w:val="24"/>
              </w:rPr>
              <w:t>）</w:t>
            </w:r>
            <w:r>
              <w:rPr>
                <w:rFonts w:hint="eastAsia" w:ascii="宋体" w:hAnsi="宋体" w:cs="宋体"/>
                <w:sz w:val="24"/>
              </w:rPr>
              <w:sym w:font="Wingdings" w:char="F0E0"/>
            </w:r>
            <w:r>
              <w:rPr>
                <w:rFonts w:hint="eastAsia" w:ascii="宋体" w:hAnsi="宋体" w:cs="宋体"/>
                <w:sz w:val="24"/>
              </w:rPr>
              <w:t xml:space="preserve"> “业务办理”</w:t>
            </w:r>
            <w:r>
              <w:rPr>
                <w:rFonts w:hint="eastAsia" w:ascii="宋体" w:hAnsi="宋体" w:cs="宋体"/>
                <w:sz w:val="24"/>
              </w:rPr>
              <w:sym w:font="Wingdings" w:char="F0E0"/>
            </w:r>
            <w:r>
              <w:rPr>
                <w:rFonts w:hint="eastAsia" w:ascii="宋体" w:hAnsi="宋体" w:cs="宋体"/>
                <w:sz w:val="24"/>
              </w:rPr>
              <w:t>报名</w:t>
            </w:r>
            <w:r>
              <w:rPr>
                <w:rFonts w:hint="eastAsia" w:ascii="宋体" w:hAnsi="宋体" w:cs="宋体"/>
                <w:sz w:val="24"/>
              </w:rPr>
              <w:sym w:font="Wingdings" w:char="F0E0"/>
            </w:r>
            <w:r>
              <w:rPr>
                <w:rFonts w:hint="eastAsia" w:ascii="宋体" w:hAnsi="宋体" w:cs="宋体"/>
                <w:sz w:val="24"/>
              </w:rPr>
              <w:t>提出质疑。</w:t>
            </w:r>
          </w:p>
        </w:tc>
      </w:tr>
      <w:tr w14:paraId="0EB02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vAlign w:val="center"/>
          </w:tcPr>
          <w:p w14:paraId="31CB2CCE">
            <w:pPr>
              <w:jc w:val="left"/>
              <w:rPr>
                <w:rFonts w:ascii="宋体" w:hAnsi="宋体" w:cs="宋体"/>
                <w:kern w:val="0"/>
                <w:sz w:val="24"/>
              </w:rPr>
            </w:pPr>
            <w:r>
              <w:rPr>
                <w:rFonts w:hint="eastAsia" w:ascii="宋体" w:hAnsi="宋体" w:cs="宋体"/>
                <w:kern w:val="0"/>
                <w:sz w:val="24"/>
              </w:rPr>
              <w:t>2.6.2</w:t>
            </w:r>
          </w:p>
        </w:tc>
        <w:tc>
          <w:tcPr>
            <w:tcW w:w="1530" w:type="dxa"/>
            <w:tcBorders>
              <w:left w:val="single" w:color="auto" w:sz="4" w:space="0"/>
              <w:right w:val="single" w:color="auto" w:sz="4" w:space="0"/>
            </w:tcBorders>
            <w:vAlign w:val="center"/>
          </w:tcPr>
          <w:p w14:paraId="69DAAF42">
            <w:pPr>
              <w:jc w:val="left"/>
              <w:rPr>
                <w:rFonts w:ascii="宋体" w:hAnsi="宋体" w:cs="宋体"/>
                <w:sz w:val="24"/>
              </w:rPr>
            </w:pPr>
            <w:r>
              <w:rPr>
                <w:rFonts w:hint="eastAsia" w:ascii="宋体" w:hAnsi="宋体" w:cs="宋体"/>
                <w:sz w:val="24"/>
              </w:rPr>
              <w:t>招标文件的</w:t>
            </w:r>
          </w:p>
          <w:p w14:paraId="6B693596">
            <w:pPr>
              <w:jc w:val="left"/>
              <w:rPr>
                <w:rFonts w:ascii="宋体" w:hAnsi="宋体" w:cs="宋体"/>
                <w:sz w:val="24"/>
              </w:rPr>
            </w:pPr>
            <w:r>
              <w:rPr>
                <w:rFonts w:hint="eastAsia" w:ascii="宋体" w:hAnsi="宋体" w:cs="宋体"/>
                <w:sz w:val="24"/>
              </w:rPr>
              <w:t>澄清、补充、修改的时间及下载网址</w:t>
            </w:r>
          </w:p>
        </w:tc>
        <w:tc>
          <w:tcPr>
            <w:tcW w:w="7550" w:type="dxa"/>
            <w:vAlign w:val="center"/>
          </w:tcPr>
          <w:p w14:paraId="494D67AF">
            <w:pPr>
              <w:ind w:right="241"/>
              <w:jc w:val="left"/>
              <w:rPr>
                <w:rFonts w:ascii="宋体" w:hAnsi="宋体" w:cs="宋体"/>
                <w:sz w:val="24"/>
              </w:rPr>
            </w:pPr>
            <w:r>
              <w:rPr>
                <w:rFonts w:hint="eastAsia" w:ascii="宋体" w:hAnsi="宋体" w:cs="宋体"/>
                <w:sz w:val="24"/>
              </w:rPr>
              <w:t>1、澄清、补充、修改的内容影响投标文件编制的，招标人将在投标截止时间15日前，以电子文件形式上传至电子招投标交易平台供投标人下载，不足15天的，招标人将顺延递交投标文件的截止时间。</w:t>
            </w:r>
          </w:p>
          <w:p w14:paraId="5A8FED8D">
            <w:pPr>
              <w:ind w:right="241"/>
              <w:jc w:val="left"/>
              <w:rPr>
                <w:rFonts w:ascii="宋体" w:hAnsi="宋体" w:cs="宋体"/>
                <w:sz w:val="24"/>
              </w:rPr>
            </w:pPr>
            <w:r>
              <w:rPr>
                <w:rFonts w:hint="eastAsia" w:ascii="宋体" w:hAnsi="宋体" w:cs="宋体"/>
                <w:sz w:val="24"/>
              </w:rPr>
              <w:t>2、澄清、补充、修改的内容不影响投标文件编制的，将在投标文件递交截止时间3天前，以上款相同的形式发布，不足3天的，招标人将顺延递交投标文件的截止时间。</w:t>
            </w:r>
          </w:p>
          <w:p w14:paraId="2AA1E698">
            <w:pPr>
              <w:ind w:right="105"/>
              <w:jc w:val="left"/>
              <w:rPr>
                <w:rFonts w:ascii="宋体" w:hAnsi="宋体" w:cs="宋体"/>
                <w:sz w:val="24"/>
              </w:rPr>
            </w:pPr>
            <w:r>
              <w:rPr>
                <w:rFonts w:hint="eastAsia" w:ascii="宋体" w:hAnsi="宋体" w:cs="宋体"/>
                <w:sz w:val="24"/>
              </w:rPr>
              <w:t>3、下载地址：</w:t>
            </w:r>
            <w:r>
              <w:rPr>
                <w:rFonts w:hint="eastAsia" w:ascii="宋体" w:hAnsi="宋体" w:cs="宋体"/>
                <w:color w:val="000000"/>
                <w:sz w:val="24"/>
                <w:highlight w:val="white"/>
              </w:rPr>
              <w:t>衢州市市县一体公共资源交易平台</w:t>
            </w:r>
          </w:p>
          <w:p w14:paraId="1F396026">
            <w:pPr>
              <w:ind w:right="105"/>
              <w:jc w:val="left"/>
              <w:rPr>
                <w:rFonts w:ascii="宋体" w:hAnsi="宋体" w:cs="宋体"/>
                <w:b/>
                <w:sz w:val="24"/>
              </w:rPr>
            </w:pPr>
            <w:r>
              <w:rPr>
                <w:rFonts w:hint="eastAsia" w:ascii="宋体" w:hAnsi="宋体" w:cs="宋体"/>
                <w:b/>
                <w:sz w:val="24"/>
              </w:rPr>
              <w:t>注：潜在投标人应密切关注衢州市市县一体公共资源交易平台，如有补充文件，投标人必须下载最新补充文件并导入投标文件制作工具，否则制作的电子投标文件将无法开标。</w:t>
            </w:r>
          </w:p>
        </w:tc>
      </w:tr>
      <w:tr w14:paraId="036C4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vAlign w:val="center"/>
          </w:tcPr>
          <w:p w14:paraId="379E310F">
            <w:pPr>
              <w:jc w:val="left"/>
              <w:rPr>
                <w:rFonts w:ascii="宋体" w:hAnsi="宋体" w:cs="宋体"/>
                <w:kern w:val="0"/>
                <w:sz w:val="24"/>
              </w:rPr>
            </w:pPr>
            <w:r>
              <w:rPr>
                <w:rFonts w:hint="eastAsia" w:ascii="宋体" w:hAnsi="宋体" w:cs="宋体"/>
                <w:kern w:val="0"/>
                <w:sz w:val="24"/>
              </w:rPr>
              <w:t>2.7.1</w:t>
            </w:r>
          </w:p>
        </w:tc>
        <w:tc>
          <w:tcPr>
            <w:tcW w:w="1530" w:type="dxa"/>
            <w:tcBorders>
              <w:left w:val="single" w:color="auto" w:sz="4" w:space="0"/>
              <w:right w:val="single" w:color="auto" w:sz="4" w:space="0"/>
            </w:tcBorders>
            <w:vAlign w:val="center"/>
          </w:tcPr>
          <w:p w14:paraId="074E455E">
            <w:pPr>
              <w:jc w:val="left"/>
              <w:rPr>
                <w:rFonts w:ascii="宋体" w:hAnsi="宋体" w:cs="宋体"/>
                <w:sz w:val="24"/>
              </w:rPr>
            </w:pPr>
            <w:r>
              <w:rPr>
                <w:rFonts w:hint="eastAsia" w:ascii="宋体" w:hAnsi="宋体" w:cs="宋体"/>
                <w:sz w:val="24"/>
              </w:rPr>
              <w:t>是否允许分包</w:t>
            </w:r>
          </w:p>
        </w:tc>
        <w:tc>
          <w:tcPr>
            <w:tcW w:w="7550" w:type="dxa"/>
            <w:vAlign w:val="center"/>
          </w:tcPr>
          <w:p w14:paraId="1A5BBB47">
            <w:pPr>
              <w:tabs>
                <w:tab w:val="right" w:leader="dot" w:pos="8295"/>
              </w:tabs>
              <w:snapToGrid w:val="0"/>
              <w:jc w:val="left"/>
              <w:rPr>
                <w:rFonts w:ascii="宋体" w:hAnsi="宋体" w:cs="宋体"/>
                <w:sz w:val="24"/>
              </w:rPr>
            </w:pPr>
            <w:r>
              <w:rPr>
                <w:rFonts w:hint="eastAsia" w:ascii="宋体" w:hAnsi="宋体" w:cs="宋体"/>
                <w:sz w:val="24"/>
              </w:rPr>
              <w:t>☑不允许。</w:t>
            </w:r>
          </w:p>
        </w:tc>
      </w:tr>
      <w:tr w14:paraId="326B6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vAlign w:val="center"/>
          </w:tcPr>
          <w:p w14:paraId="04A07866">
            <w:pPr>
              <w:jc w:val="left"/>
              <w:rPr>
                <w:rFonts w:ascii="宋体" w:hAnsi="宋体" w:cs="宋体"/>
                <w:kern w:val="0"/>
                <w:sz w:val="24"/>
              </w:rPr>
            </w:pPr>
            <w:r>
              <w:rPr>
                <w:rFonts w:hint="eastAsia" w:ascii="宋体" w:hAnsi="宋体" w:cs="宋体"/>
                <w:kern w:val="0"/>
                <w:sz w:val="24"/>
              </w:rPr>
              <w:t>2.8.1</w:t>
            </w:r>
          </w:p>
        </w:tc>
        <w:tc>
          <w:tcPr>
            <w:tcW w:w="1530" w:type="dxa"/>
            <w:tcBorders>
              <w:left w:val="single" w:color="auto" w:sz="4" w:space="0"/>
              <w:right w:val="single" w:color="auto" w:sz="4" w:space="0"/>
            </w:tcBorders>
            <w:vAlign w:val="center"/>
          </w:tcPr>
          <w:p w14:paraId="11E00A84">
            <w:pPr>
              <w:jc w:val="left"/>
              <w:rPr>
                <w:rFonts w:ascii="宋体" w:hAnsi="宋体" w:cs="宋体"/>
                <w:sz w:val="24"/>
              </w:rPr>
            </w:pPr>
            <w:r>
              <w:rPr>
                <w:rFonts w:hint="eastAsia" w:ascii="宋体" w:hAnsi="宋体" w:cs="宋体"/>
                <w:sz w:val="24"/>
              </w:rPr>
              <w:t>构成招标文件的其它资料</w:t>
            </w:r>
          </w:p>
        </w:tc>
        <w:tc>
          <w:tcPr>
            <w:tcW w:w="7550" w:type="dxa"/>
            <w:vAlign w:val="center"/>
          </w:tcPr>
          <w:p w14:paraId="50CACCEE">
            <w:pPr>
              <w:pStyle w:val="59"/>
              <w:tabs>
                <w:tab w:val="right" w:leader="dot" w:pos="8295"/>
              </w:tabs>
              <w:snapToGrid w:val="0"/>
              <w:ind w:left="0" w:leftChars="0"/>
              <w:rPr>
                <w:rFonts w:ascii="宋体" w:hAnsi="宋体" w:cs="宋体"/>
                <w:sz w:val="24"/>
                <w:szCs w:val="24"/>
              </w:rPr>
            </w:pPr>
            <w:r>
              <w:rPr>
                <w:rFonts w:hint="eastAsia" w:ascii="宋体" w:hAnsi="宋体" w:cs="宋体"/>
                <w:sz w:val="24"/>
                <w:szCs w:val="24"/>
              </w:rPr>
              <w:t>澄清、补充文件（如有）。</w:t>
            </w:r>
          </w:p>
        </w:tc>
      </w:tr>
      <w:tr w14:paraId="685BC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vAlign w:val="center"/>
          </w:tcPr>
          <w:p w14:paraId="6EBC0D5D">
            <w:pPr>
              <w:jc w:val="left"/>
              <w:rPr>
                <w:rFonts w:ascii="宋体" w:hAnsi="宋体" w:cs="宋体"/>
                <w:kern w:val="0"/>
                <w:sz w:val="24"/>
              </w:rPr>
            </w:pPr>
            <w:r>
              <w:rPr>
                <w:rFonts w:hint="eastAsia" w:ascii="宋体" w:hAnsi="宋体" w:cs="宋体"/>
                <w:kern w:val="0"/>
                <w:sz w:val="24"/>
              </w:rPr>
              <w:t>2.8.2</w:t>
            </w:r>
          </w:p>
        </w:tc>
        <w:tc>
          <w:tcPr>
            <w:tcW w:w="1530" w:type="dxa"/>
            <w:tcBorders>
              <w:left w:val="single" w:color="auto" w:sz="4" w:space="0"/>
              <w:right w:val="single" w:color="auto" w:sz="4" w:space="0"/>
            </w:tcBorders>
            <w:vAlign w:val="center"/>
          </w:tcPr>
          <w:p w14:paraId="5F71660D">
            <w:pPr>
              <w:jc w:val="left"/>
              <w:rPr>
                <w:rFonts w:ascii="宋体" w:hAnsi="宋体" w:cs="宋体"/>
                <w:sz w:val="24"/>
              </w:rPr>
            </w:pPr>
            <w:r>
              <w:rPr>
                <w:rFonts w:hint="eastAsia" w:ascii="宋体" w:hAnsi="宋体" w:cs="宋体"/>
                <w:sz w:val="24"/>
              </w:rPr>
              <w:t>投标截止时间</w:t>
            </w:r>
          </w:p>
        </w:tc>
        <w:tc>
          <w:tcPr>
            <w:tcW w:w="7550" w:type="dxa"/>
            <w:vAlign w:val="center"/>
          </w:tcPr>
          <w:p w14:paraId="7A2F40B1">
            <w:pPr>
              <w:pStyle w:val="59"/>
              <w:tabs>
                <w:tab w:val="right" w:leader="dot" w:pos="8295"/>
              </w:tabs>
              <w:snapToGrid w:val="0"/>
              <w:ind w:left="0" w:leftChars="0"/>
              <w:jc w:val="left"/>
              <w:rPr>
                <w:rFonts w:ascii="宋体" w:hAnsi="宋体" w:cs="宋体"/>
                <w:sz w:val="24"/>
                <w:szCs w:val="24"/>
              </w:rPr>
            </w:pPr>
            <w:r>
              <w:rPr>
                <w:rFonts w:hint="eastAsia" w:ascii="宋体" w:hAnsi="宋体" w:cs="宋体"/>
                <w:sz w:val="24"/>
                <w:szCs w:val="24"/>
              </w:rPr>
              <w:t>见招标公告</w:t>
            </w:r>
          </w:p>
        </w:tc>
      </w:tr>
      <w:tr w14:paraId="72FE8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vAlign w:val="center"/>
          </w:tcPr>
          <w:p w14:paraId="666F2B96">
            <w:pPr>
              <w:jc w:val="left"/>
              <w:rPr>
                <w:rFonts w:ascii="宋体" w:hAnsi="宋体" w:cs="宋体"/>
                <w:kern w:val="0"/>
                <w:sz w:val="24"/>
              </w:rPr>
            </w:pPr>
            <w:r>
              <w:rPr>
                <w:rFonts w:hint="eastAsia" w:ascii="宋体" w:hAnsi="宋体" w:cs="宋体"/>
                <w:kern w:val="0"/>
                <w:sz w:val="24"/>
              </w:rPr>
              <w:t>2.8.3</w:t>
            </w:r>
          </w:p>
        </w:tc>
        <w:tc>
          <w:tcPr>
            <w:tcW w:w="1530" w:type="dxa"/>
            <w:tcBorders>
              <w:left w:val="single" w:color="auto" w:sz="4" w:space="0"/>
              <w:right w:val="single" w:color="auto" w:sz="4" w:space="0"/>
            </w:tcBorders>
            <w:vAlign w:val="center"/>
          </w:tcPr>
          <w:p w14:paraId="7EF36F57">
            <w:pPr>
              <w:adjustRightInd w:val="0"/>
              <w:snapToGrid w:val="0"/>
              <w:jc w:val="left"/>
              <w:rPr>
                <w:rFonts w:ascii="宋体" w:hAnsi="宋体" w:cs="宋体"/>
                <w:sz w:val="24"/>
              </w:rPr>
            </w:pPr>
            <w:r>
              <w:rPr>
                <w:rFonts w:hint="eastAsia" w:ascii="宋体" w:hAnsi="宋体" w:cs="宋体"/>
                <w:sz w:val="24"/>
              </w:rPr>
              <w:t>投标人确认收到招标文件澄清的时间</w:t>
            </w:r>
          </w:p>
        </w:tc>
        <w:tc>
          <w:tcPr>
            <w:tcW w:w="7550" w:type="dxa"/>
            <w:vAlign w:val="center"/>
          </w:tcPr>
          <w:p w14:paraId="5F02FDA6">
            <w:pPr>
              <w:adjustRightInd w:val="0"/>
              <w:snapToGrid w:val="0"/>
              <w:jc w:val="left"/>
              <w:rPr>
                <w:rFonts w:ascii="宋体" w:hAnsi="宋体" w:cs="宋体"/>
                <w:sz w:val="24"/>
              </w:rPr>
            </w:pPr>
            <w:r>
              <w:rPr>
                <w:rFonts w:hint="eastAsia" w:ascii="宋体" w:hAnsi="宋体" w:cs="宋体"/>
                <w:sz w:val="24"/>
              </w:rPr>
              <w:t>潜在投标人应自行关注衢州市市县一体公共资源交易平台电子交易系统（</w:t>
            </w:r>
            <w:r>
              <w:fldChar w:fldCharType="begin"/>
            </w:r>
            <w:r>
              <w:instrText xml:space="preserve"> HYPERLINK "http://ggzy.qz.gov.cn/" </w:instrText>
            </w:r>
            <w:r>
              <w:fldChar w:fldCharType="separate"/>
            </w:r>
            <w:r>
              <w:rPr>
                <w:rStyle w:val="86"/>
                <w:rFonts w:hint="eastAsia" w:ascii="宋体" w:hAnsi="宋体" w:cs="宋体"/>
                <w:sz w:val="24"/>
              </w:rPr>
              <w:t>http://ggzy.qz.gov.cn/</w:t>
            </w:r>
            <w:r>
              <w:rPr>
                <w:rStyle w:val="86"/>
                <w:rFonts w:hint="eastAsia" w:ascii="宋体" w:hAnsi="宋体" w:cs="宋体"/>
                <w:sz w:val="24"/>
              </w:rPr>
              <w:fldChar w:fldCharType="end"/>
            </w:r>
            <w:r>
              <w:rPr>
                <w:rFonts w:hint="eastAsia" w:ascii="宋体" w:hAnsi="宋体" w:cs="宋体"/>
                <w:sz w:val="24"/>
              </w:rPr>
              <w:t>）公告，招标人不再一一通知。投标人因自身贻误行为导致投标失败的，责任自负。</w:t>
            </w:r>
          </w:p>
        </w:tc>
      </w:tr>
      <w:tr w14:paraId="44D66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988" w:type="dxa"/>
            <w:vAlign w:val="center"/>
          </w:tcPr>
          <w:p w14:paraId="50BF7232">
            <w:pPr>
              <w:jc w:val="left"/>
              <w:rPr>
                <w:rFonts w:ascii="宋体" w:hAnsi="宋体" w:cs="宋体"/>
                <w:kern w:val="0"/>
                <w:sz w:val="24"/>
              </w:rPr>
            </w:pPr>
            <w:r>
              <w:rPr>
                <w:rFonts w:hint="eastAsia" w:ascii="宋体" w:hAnsi="宋体" w:cs="宋体"/>
                <w:kern w:val="0"/>
                <w:sz w:val="24"/>
              </w:rPr>
              <w:t>2.9.1</w:t>
            </w:r>
          </w:p>
        </w:tc>
        <w:tc>
          <w:tcPr>
            <w:tcW w:w="1530" w:type="dxa"/>
            <w:tcBorders>
              <w:left w:val="single" w:color="auto" w:sz="4" w:space="0"/>
              <w:right w:val="single" w:color="auto" w:sz="4" w:space="0"/>
            </w:tcBorders>
            <w:vAlign w:val="center"/>
          </w:tcPr>
          <w:p w14:paraId="5E9B4819">
            <w:pPr>
              <w:adjustRightInd w:val="0"/>
              <w:snapToGrid w:val="0"/>
              <w:jc w:val="left"/>
              <w:rPr>
                <w:rFonts w:ascii="宋体" w:hAnsi="宋体" w:cs="宋体"/>
                <w:sz w:val="24"/>
              </w:rPr>
            </w:pPr>
            <w:r>
              <w:rPr>
                <w:rFonts w:hint="eastAsia" w:ascii="宋体" w:hAnsi="宋体" w:cs="宋体"/>
                <w:sz w:val="24"/>
              </w:rPr>
              <w:t>构成投标文件的其它资料</w:t>
            </w:r>
          </w:p>
        </w:tc>
        <w:tc>
          <w:tcPr>
            <w:tcW w:w="7550" w:type="dxa"/>
            <w:vAlign w:val="center"/>
          </w:tcPr>
          <w:p w14:paraId="15AC550B">
            <w:pPr>
              <w:adjustRightInd w:val="0"/>
              <w:snapToGrid w:val="0"/>
              <w:jc w:val="left"/>
              <w:rPr>
                <w:rFonts w:ascii="宋体" w:hAnsi="宋体" w:cs="宋体"/>
                <w:sz w:val="24"/>
              </w:rPr>
            </w:pPr>
            <w:r>
              <w:rPr>
                <w:rFonts w:hint="eastAsia" w:ascii="宋体" w:hAnsi="宋体" w:cs="宋体"/>
                <w:sz w:val="24"/>
              </w:rPr>
              <w:t>/</w:t>
            </w:r>
          </w:p>
        </w:tc>
      </w:tr>
      <w:tr w14:paraId="707EC9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88" w:type="dxa"/>
            <w:vAlign w:val="center"/>
          </w:tcPr>
          <w:p w14:paraId="5B55E9D9">
            <w:pPr>
              <w:jc w:val="left"/>
              <w:rPr>
                <w:rFonts w:ascii="宋体" w:hAnsi="宋体" w:cs="宋体"/>
                <w:kern w:val="0"/>
                <w:sz w:val="24"/>
              </w:rPr>
            </w:pPr>
            <w:r>
              <w:rPr>
                <w:rFonts w:hint="eastAsia" w:ascii="宋体" w:hAnsi="宋体" w:cs="宋体"/>
                <w:kern w:val="0"/>
                <w:sz w:val="24"/>
              </w:rPr>
              <w:t>2.9.2</w:t>
            </w:r>
          </w:p>
        </w:tc>
        <w:tc>
          <w:tcPr>
            <w:tcW w:w="1530" w:type="dxa"/>
            <w:tcBorders>
              <w:left w:val="single" w:color="auto" w:sz="4" w:space="0"/>
              <w:right w:val="single" w:color="auto" w:sz="4" w:space="0"/>
            </w:tcBorders>
            <w:vAlign w:val="center"/>
          </w:tcPr>
          <w:p w14:paraId="47180FEC">
            <w:pPr>
              <w:spacing w:line="460" w:lineRule="exact"/>
              <w:jc w:val="left"/>
              <w:rPr>
                <w:rFonts w:ascii="宋体" w:hAnsi="宋体" w:cs="宋体"/>
                <w:sz w:val="24"/>
              </w:rPr>
            </w:pPr>
            <w:r>
              <w:rPr>
                <w:rFonts w:hint="eastAsia"/>
                <w:sz w:val="24"/>
              </w:rPr>
              <w:t>最高限价</w:t>
            </w:r>
          </w:p>
        </w:tc>
        <w:tc>
          <w:tcPr>
            <w:tcW w:w="7550" w:type="dxa"/>
            <w:vAlign w:val="center"/>
          </w:tcPr>
          <w:p w14:paraId="660D7B51">
            <w:pPr>
              <w:spacing w:line="460" w:lineRule="exact"/>
              <w:jc w:val="left"/>
              <w:rPr>
                <w:rFonts w:ascii="宋体" w:hAnsi="宋体" w:cs="宋体"/>
                <w:sz w:val="24"/>
              </w:rPr>
            </w:pPr>
            <w:r>
              <w:rPr>
                <w:rFonts w:ascii="宋体"/>
                <w:b/>
                <w:sz w:val="24"/>
              </w:rPr>
              <w:t>*本次投标最高限价为</w:t>
            </w:r>
            <w:r>
              <w:rPr>
                <w:rFonts w:hint="eastAsia" w:ascii="宋体"/>
                <w:b/>
                <w:sz w:val="24"/>
              </w:rPr>
              <w:t>620</w:t>
            </w:r>
            <w:r>
              <w:rPr>
                <w:rFonts w:hint="eastAsia"/>
                <w:b/>
                <w:sz w:val="24"/>
              </w:rPr>
              <w:t>万元人民币，超过最高限价的投标将被否决。</w:t>
            </w:r>
          </w:p>
        </w:tc>
      </w:tr>
      <w:tr w14:paraId="7EF7F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988" w:type="dxa"/>
            <w:vAlign w:val="center"/>
          </w:tcPr>
          <w:p w14:paraId="6D83CA5A">
            <w:pPr>
              <w:jc w:val="left"/>
              <w:rPr>
                <w:rFonts w:ascii="宋体" w:hAnsi="宋体" w:cs="宋体"/>
                <w:kern w:val="0"/>
                <w:sz w:val="24"/>
              </w:rPr>
            </w:pPr>
            <w:r>
              <w:rPr>
                <w:rFonts w:hint="eastAsia" w:ascii="宋体" w:hAnsi="宋体" w:cs="宋体"/>
                <w:kern w:val="0"/>
                <w:sz w:val="24"/>
              </w:rPr>
              <w:t>2.9.3</w:t>
            </w:r>
          </w:p>
        </w:tc>
        <w:tc>
          <w:tcPr>
            <w:tcW w:w="1530" w:type="dxa"/>
            <w:tcBorders>
              <w:left w:val="single" w:color="auto" w:sz="4" w:space="0"/>
              <w:right w:val="single" w:color="auto" w:sz="4" w:space="0"/>
            </w:tcBorders>
            <w:vAlign w:val="center"/>
          </w:tcPr>
          <w:p w14:paraId="0214D499">
            <w:pPr>
              <w:jc w:val="left"/>
              <w:rPr>
                <w:rFonts w:ascii="宋体" w:hAnsi="宋体" w:cs="宋体"/>
                <w:sz w:val="24"/>
              </w:rPr>
            </w:pPr>
            <w:r>
              <w:rPr>
                <w:rFonts w:hint="eastAsia" w:ascii="宋体" w:hAnsi="宋体" w:cs="宋体"/>
                <w:sz w:val="24"/>
              </w:rPr>
              <w:t>投标报价的其他要求</w:t>
            </w:r>
          </w:p>
        </w:tc>
        <w:tc>
          <w:tcPr>
            <w:tcW w:w="7550" w:type="dxa"/>
            <w:vAlign w:val="center"/>
          </w:tcPr>
          <w:p w14:paraId="1E80CCA6">
            <w:pPr>
              <w:jc w:val="left"/>
              <w:rPr>
                <w:rFonts w:ascii="宋体" w:hAnsi="宋体" w:cs="宋体"/>
                <w:b/>
                <w:sz w:val="24"/>
              </w:rPr>
            </w:pPr>
            <w:r>
              <w:rPr>
                <w:rFonts w:hint="eastAsia" w:ascii="宋体" w:hAnsi="宋体" w:cs="宋体"/>
                <w:b/>
                <w:sz w:val="24"/>
              </w:rPr>
              <w:t>/</w:t>
            </w:r>
          </w:p>
        </w:tc>
      </w:tr>
      <w:tr w14:paraId="56C74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988" w:type="dxa"/>
            <w:vAlign w:val="center"/>
          </w:tcPr>
          <w:p w14:paraId="2DBA036B">
            <w:pPr>
              <w:jc w:val="left"/>
              <w:rPr>
                <w:rFonts w:ascii="宋体" w:hAnsi="宋体" w:cs="宋体"/>
                <w:kern w:val="0"/>
                <w:sz w:val="24"/>
              </w:rPr>
            </w:pPr>
            <w:r>
              <w:rPr>
                <w:rFonts w:hint="eastAsia" w:ascii="宋体" w:hAnsi="宋体" w:cs="宋体"/>
                <w:kern w:val="0"/>
                <w:sz w:val="24"/>
              </w:rPr>
              <w:t>2.9.4</w:t>
            </w:r>
          </w:p>
        </w:tc>
        <w:tc>
          <w:tcPr>
            <w:tcW w:w="1530" w:type="dxa"/>
            <w:tcBorders>
              <w:left w:val="single" w:color="auto" w:sz="4" w:space="0"/>
              <w:right w:val="single" w:color="auto" w:sz="4" w:space="0"/>
            </w:tcBorders>
            <w:vAlign w:val="center"/>
          </w:tcPr>
          <w:p w14:paraId="40B12335">
            <w:pPr>
              <w:jc w:val="left"/>
              <w:rPr>
                <w:rFonts w:ascii="宋体" w:hAnsi="宋体" w:cs="宋体"/>
                <w:sz w:val="24"/>
              </w:rPr>
            </w:pPr>
            <w:r>
              <w:rPr>
                <w:rFonts w:hint="eastAsia" w:ascii="宋体" w:hAnsi="宋体" w:cs="宋体"/>
                <w:sz w:val="24"/>
              </w:rPr>
              <w:t>投标有效期</w:t>
            </w:r>
          </w:p>
        </w:tc>
        <w:tc>
          <w:tcPr>
            <w:tcW w:w="7550" w:type="dxa"/>
            <w:vAlign w:val="center"/>
          </w:tcPr>
          <w:p w14:paraId="78626B6F">
            <w:pPr>
              <w:jc w:val="left"/>
              <w:rPr>
                <w:rFonts w:ascii="宋体" w:hAnsi="宋体" w:cs="宋体"/>
                <w:b/>
                <w:sz w:val="24"/>
              </w:rPr>
            </w:pPr>
            <w:r>
              <w:rPr>
                <w:rFonts w:hint="eastAsia" w:ascii="宋体" w:hAnsi="宋体" w:cs="宋体"/>
                <w:b/>
                <w:sz w:val="24"/>
              </w:rPr>
              <w:t>不少于90个日历天（从投标截止之日起算）。</w:t>
            </w:r>
          </w:p>
        </w:tc>
      </w:tr>
      <w:tr w14:paraId="21412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88" w:type="dxa"/>
            <w:vAlign w:val="center"/>
          </w:tcPr>
          <w:p w14:paraId="07DCE84D">
            <w:pPr>
              <w:jc w:val="left"/>
              <w:rPr>
                <w:rFonts w:ascii="宋体" w:hAnsi="宋体" w:cs="宋体"/>
                <w:kern w:val="0"/>
                <w:sz w:val="24"/>
              </w:rPr>
            </w:pPr>
            <w:r>
              <w:rPr>
                <w:rFonts w:hint="eastAsia" w:ascii="宋体" w:hAnsi="宋体" w:cs="宋体"/>
                <w:kern w:val="0"/>
                <w:sz w:val="24"/>
              </w:rPr>
              <w:t>2.10.1</w:t>
            </w:r>
          </w:p>
        </w:tc>
        <w:tc>
          <w:tcPr>
            <w:tcW w:w="1530" w:type="dxa"/>
            <w:tcBorders>
              <w:left w:val="single" w:color="auto" w:sz="4" w:space="0"/>
              <w:right w:val="single" w:color="auto" w:sz="4" w:space="0"/>
            </w:tcBorders>
            <w:vAlign w:val="center"/>
          </w:tcPr>
          <w:p w14:paraId="3F98B748">
            <w:pPr>
              <w:jc w:val="left"/>
              <w:rPr>
                <w:rFonts w:ascii="宋体" w:hAnsi="宋体" w:cs="宋体"/>
                <w:sz w:val="24"/>
              </w:rPr>
            </w:pPr>
            <w:r>
              <w:rPr>
                <w:rFonts w:hint="eastAsia" w:ascii="宋体" w:hAnsi="宋体" w:cs="宋体"/>
                <w:sz w:val="24"/>
              </w:rPr>
              <w:t>投标保证金</w:t>
            </w:r>
          </w:p>
        </w:tc>
        <w:tc>
          <w:tcPr>
            <w:tcW w:w="7550" w:type="dxa"/>
            <w:vAlign w:val="center"/>
          </w:tcPr>
          <w:p w14:paraId="1D6354DD">
            <w:pPr>
              <w:jc w:val="left"/>
              <w:rPr>
                <w:rFonts w:ascii="宋体" w:hAnsi="宋体" w:cs="宋体"/>
                <w:sz w:val="24"/>
              </w:rPr>
            </w:pPr>
            <w:r>
              <w:rPr>
                <w:rFonts w:hint="eastAsia" w:ascii="宋体" w:hAnsi="宋体" w:cs="宋体"/>
                <w:sz w:val="24"/>
              </w:rPr>
              <w:t>本项目交纳投标保证金10万元整。</w:t>
            </w:r>
          </w:p>
          <w:p w14:paraId="0F634C72">
            <w:pPr>
              <w:jc w:val="left"/>
              <w:rPr>
                <w:rFonts w:ascii="宋体" w:hAnsi="宋体" w:cs="宋体"/>
                <w:sz w:val="24"/>
              </w:rPr>
            </w:pPr>
            <w:r>
              <w:rPr>
                <w:rFonts w:hint="eastAsia" w:ascii="宋体" w:hAnsi="宋体" w:cs="宋体"/>
                <w:sz w:val="24"/>
              </w:rPr>
              <w:t>一、投标保证金专户信息如下：</w:t>
            </w:r>
          </w:p>
          <w:p w14:paraId="5C2BEE80">
            <w:pPr>
              <w:jc w:val="left"/>
              <w:rPr>
                <w:rFonts w:ascii="宋体" w:hAnsi="宋体" w:cs="宋体"/>
                <w:sz w:val="24"/>
              </w:rPr>
            </w:pPr>
            <w:r>
              <w:rPr>
                <w:rFonts w:hint="eastAsia" w:ascii="宋体" w:hAnsi="宋体" w:cs="宋体"/>
                <w:sz w:val="24"/>
              </w:rPr>
              <w:t>账户名称：衢州市公共资源交易监督管理办公室；</w:t>
            </w:r>
          </w:p>
          <w:p w14:paraId="63A82318">
            <w:pPr>
              <w:jc w:val="left"/>
              <w:rPr>
                <w:rFonts w:ascii="宋体" w:hAnsi="宋体" w:cs="宋体"/>
                <w:sz w:val="24"/>
              </w:rPr>
            </w:pPr>
            <w:r>
              <w:rPr>
                <w:rFonts w:hint="eastAsia" w:ascii="宋体" w:hAnsi="宋体" w:cs="宋体"/>
                <w:sz w:val="24"/>
              </w:rPr>
              <w:t>开户银行：衢州市工商银行南区支行或中国银行衢州分行；</w:t>
            </w:r>
          </w:p>
          <w:p w14:paraId="2FFF4FB1">
            <w:pPr>
              <w:jc w:val="left"/>
              <w:rPr>
                <w:rFonts w:ascii="宋体" w:hAnsi="宋体" w:cs="宋体"/>
                <w:sz w:val="24"/>
              </w:rPr>
            </w:pPr>
            <w:r>
              <w:rPr>
                <w:rFonts w:hint="eastAsia" w:ascii="宋体" w:hAnsi="宋体" w:cs="宋体"/>
                <w:sz w:val="24"/>
              </w:rPr>
              <w:t>账号：按系统随机分配账号。</w:t>
            </w:r>
          </w:p>
          <w:p w14:paraId="11307C15">
            <w:pPr>
              <w:jc w:val="left"/>
              <w:rPr>
                <w:rFonts w:ascii="宋体" w:hAnsi="宋体" w:cs="宋体"/>
                <w:sz w:val="24"/>
              </w:rPr>
            </w:pPr>
            <w:r>
              <w:rPr>
                <w:rFonts w:hint="eastAsia" w:ascii="宋体" w:hAnsi="宋体" w:cs="宋体"/>
                <w:sz w:val="24"/>
              </w:rPr>
              <w:t>缴纳时间：投标截止时间前，以衢州市市县一体公共资源交易平台电子交易系统确认到账为准（因各银行系统到账时间不同，请提前交纳，否则后果自负）。</w:t>
            </w:r>
          </w:p>
          <w:p w14:paraId="73FAC4D4">
            <w:pPr>
              <w:jc w:val="left"/>
              <w:rPr>
                <w:rFonts w:ascii="宋体" w:hAnsi="宋体" w:cs="宋体"/>
                <w:sz w:val="24"/>
              </w:rPr>
            </w:pPr>
            <w:r>
              <w:rPr>
                <w:rFonts w:hint="eastAsia" w:ascii="宋体" w:hAnsi="宋体" w:cs="宋体"/>
                <w:sz w:val="24"/>
              </w:rPr>
              <w:t>二、缴纳方式</w:t>
            </w:r>
          </w:p>
          <w:p w14:paraId="6A54E56C">
            <w:pPr>
              <w:jc w:val="left"/>
              <w:rPr>
                <w:rFonts w:ascii="宋体" w:hAnsi="宋体" w:cs="宋体"/>
                <w:sz w:val="24"/>
              </w:rPr>
            </w:pPr>
            <w:r>
              <w:rPr>
                <w:rFonts w:hint="eastAsia" w:ascii="宋体" w:hAnsi="宋体" w:cs="宋体"/>
                <w:sz w:val="24"/>
              </w:rPr>
              <w:t>投标人登陆衢州市公共资源电子交易系统—“业务办理”—“缴纳保证金”模块：</w:t>
            </w:r>
          </w:p>
          <w:p w14:paraId="048E7C18">
            <w:pPr>
              <w:jc w:val="left"/>
              <w:rPr>
                <w:rFonts w:ascii="宋体" w:hAnsi="宋体" w:cs="宋体"/>
                <w:sz w:val="24"/>
              </w:rPr>
            </w:pPr>
            <w:r>
              <w:rPr>
                <w:rFonts w:hint="eastAsia" w:ascii="宋体" w:hAnsi="宋体" w:cs="宋体"/>
                <w:sz w:val="24"/>
              </w:rPr>
              <w:t>缴纳方式之一（按项目在线支付）：投标人通过网银（电汇）方式，从</w:t>
            </w:r>
            <w:r>
              <w:rPr>
                <w:rFonts w:hint="eastAsia" w:ascii="宋体" w:hAnsi="宋体" w:cs="宋体"/>
                <w:b/>
                <w:sz w:val="24"/>
                <w:u w:val="single"/>
              </w:rPr>
              <w:t>经系统备案的银行基本账户</w:t>
            </w:r>
            <w:r>
              <w:rPr>
                <w:rFonts w:hint="eastAsia" w:ascii="宋体" w:hAnsi="宋体" w:cs="宋体"/>
                <w:sz w:val="24"/>
              </w:rPr>
              <w:t>汇出，一次性足额缴纳。</w:t>
            </w:r>
          </w:p>
          <w:p w14:paraId="2E47E9A5">
            <w:pPr>
              <w:jc w:val="left"/>
              <w:rPr>
                <w:rFonts w:ascii="宋体" w:hAnsi="宋体" w:cs="宋体"/>
                <w:sz w:val="24"/>
              </w:rPr>
            </w:pPr>
            <w:r>
              <w:rPr>
                <w:rFonts w:hint="eastAsia" w:ascii="宋体" w:hAnsi="宋体" w:cs="宋体"/>
                <w:sz w:val="24"/>
              </w:rPr>
              <w:t>缴纳方式之二（联保资金支付）：联保资金小于项目投标保证金时，按系统提示，从</w:t>
            </w:r>
            <w:r>
              <w:rPr>
                <w:rFonts w:hint="eastAsia" w:ascii="宋体" w:hAnsi="宋体" w:cs="宋体"/>
                <w:b/>
                <w:sz w:val="24"/>
                <w:u w:val="single"/>
              </w:rPr>
              <w:t>经系统备案的银行基本账户</w:t>
            </w:r>
            <w:r>
              <w:rPr>
                <w:rFonts w:hint="eastAsia" w:ascii="宋体" w:hAnsi="宋体" w:cs="宋体"/>
                <w:sz w:val="24"/>
              </w:rPr>
              <w:t>汇出，一次性足额补交差额。申请联保资金请咨询市招投标协会秘书处，联系电话0570-8757610。</w:t>
            </w:r>
          </w:p>
          <w:p w14:paraId="31EE061A">
            <w:pPr>
              <w:jc w:val="left"/>
              <w:rPr>
                <w:rFonts w:ascii="宋体" w:hAnsi="宋体" w:cs="宋体"/>
                <w:sz w:val="24"/>
              </w:rPr>
            </w:pPr>
            <w:r>
              <w:rPr>
                <w:rFonts w:hint="eastAsia" w:ascii="宋体" w:hAnsi="宋体" w:cs="宋体"/>
                <w:sz w:val="24"/>
              </w:rPr>
              <w:t>缴纳方式之三（电子保函）：使用电子保函方式缴纳的，具体操作流程详见《衢州市公共资源交易平台电子保函操作规则（试行）》。投标人须在投标截止时间前，一次性提供不低于招标要求的投标保证金金额的担保，否则视为未缴纳投标保证金。投标保证金缴纳时间以电子保函实际获得时间为准。投标人使用电子保函所遇一切相关问题及相关纠纷，均由投标人与保函出具机构之间自行解决，监管办及交易中心不承担任何责任。</w:t>
            </w:r>
          </w:p>
          <w:p w14:paraId="3E90F2B3">
            <w:pPr>
              <w:tabs>
                <w:tab w:val="right" w:leader="dot" w:pos="8295"/>
              </w:tabs>
              <w:snapToGrid w:val="0"/>
              <w:jc w:val="left"/>
              <w:rPr>
                <w:rFonts w:ascii="宋体" w:hAnsi="宋体" w:cs="宋体"/>
                <w:sz w:val="24"/>
              </w:rPr>
            </w:pPr>
            <w:r>
              <w:rPr>
                <w:rFonts w:hint="eastAsia" w:ascii="宋体" w:hAnsi="宋体" w:cs="宋体"/>
                <w:sz w:val="24"/>
              </w:rPr>
              <w:t>软件公司联系人：郑工，联系电话：13071815370，4009980000。</w:t>
            </w:r>
          </w:p>
          <w:p w14:paraId="6D5A9BCA">
            <w:pPr>
              <w:tabs>
                <w:tab w:val="right" w:leader="dot" w:pos="8295"/>
              </w:tabs>
              <w:snapToGrid w:val="0"/>
              <w:jc w:val="left"/>
              <w:rPr>
                <w:rFonts w:ascii="宋体" w:hAnsi="宋体" w:cs="宋体"/>
                <w:sz w:val="24"/>
              </w:rPr>
            </w:pPr>
            <w:r>
              <w:rPr>
                <w:rFonts w:hint="eastAsia" w:ascii="宋体" w:hAnsi="宋体" w:cs="宋体"/>
                <w:sz w:val="24"/>
              </w:rPr>
              <w:t>保证金室，咨询联系电话：0570-8757613。</w:t>
            </w:r>
          </w:p>
          <w:p w14:paraId="2FD5C2F7">
            <w:pPr>
              <w:jc w:val="left"/>
              <w:rPr>
                <w:rFonts w:ascii="宋体" w:hAnsi="宋体" w:cs="宋体"/>
                <w:sz w:val="24"/>
              </w:rPr>
            </w:pPr>
            <w:r>
              <w:rPr>
                <w:rFonts w:hint="eastAsia" w:ascii="宋体" w:hAnsi="宋体" w:cs="宋体"/>
                <w:sz w:val="24"/>
              </w:rPr>
              <w:t>投标人如有违反法律法规、招标文件和其他相关规定，作不予退还投标保证金处理的，保函出具机构收到《不予退还投标保证金通知单》后5个工作日内将投标保证金担保赔偿款汇入市监管办投标保证金专户。</w:t>
            </w:r>
          </w:p>
          <w:p w14:paraId="4596CF24">
            <w:pPr>
              <w:jc w:val="left"/>
              <w:rPr>
                <w:rFonts w:ascii="宋体" w:hAnsi="宋体" w:cs="宋体"/>
                <w:sz w:val="24"/>
              </w:rPr>
            </w:pPr>
            <w:r>
              <w:rPr>
                <w:rFonts w:hint="eastAsia" w:ascii="宋体" w:hAnsi="宋体" w:cs="宋体"/>
                <w:sz w:val="24"/>
              </w:rPr>
              <w:t>三、投标保证金不予退还的情形：</w:t>
            </w:r>
          </w:p>
          <w:p w14:paraId="7CCFB3B4">
            <w:pPr>
              <w:jc w:val="left"/>
              <w:rPr>
                <w:rFonts w:ascii="宋体" w:hAnsi="宋体" w:cs="宋体"/>
                <w:sz w:val="24"/>
              </w:rPr>
            </w:pPr>
            <w:r>
              <w:rPr>
                <w:rFonts w:hint="eastAsia" w:ascii="宋体" w:hAnsi="宋体" w:cs="宋体"/>
                <w:sz w:val="24"/>
              </w:rPr>
              <w:t>1、投标人在投标有效期内撤销或修改其投标文件。</w:t>
            </w:r>
          </w:p>
          <w:p w14:paraId="3C21A16E">
            <w:pPr>
              <w:jc w:val="left"/>
              <w:rPr>
                <w:rFonts w:ascii="宋体" w:hAnsi="宋体" w:cs="宋体"/>
                <w:sz w:val="24"/>
              </w:rPr>
            </w:pPr>
            <w:r>
              <w:rPr>
                <w:rFonts w:hint="eastAsia" w:ascii="宋体" w:hAnsi="宋体" w:cs="宋体"/>
                <w:sz w:val="24"/>
              </w:rPr>
              <w:t>2、中标人无正当理由不与招标人订立合同，或在签订合同时向招标人提出附加条件，或未按招标文件要求提交履约保证金的。</w:t>
            </w:r>
          </w:p>
          <w:p w14:paraId="730CBB5E">
            <w:pPr>
              <w:jc w:val="left"/>
              <w:rPr>
                <w:rFonts w:ascii="宋体" w:hAnsi="宋体" w:cs="宋体"/>
                <w:sz w:val="24"/>
              </w:rPr>
            </w:pPr>
            <w:r>
              <w:rPr>
                <w:rFonts w:hint="eastAsia" w:ascii="宋体" w:hAnsi="宋体" w:cs="宋体"/>
                <w:sz w:val="24"/>
              </w:rPr>
              <w:t>3、经查实，投标人在投标过程中串通投标或弄虚作假的。</w:t>
            </w:r>
          </w:p>
          <w:p w14:paraId="59A4A373">
            <w:pPr>
              <w:jc w:val="left"/>
              <w:rPr>
                <w:rFonts w:ascii="宋体" w:hAnsi="宋体" w:cs="宋体"/>
                <w:sz w:val="24"/>
              </w:rPr>
            </w:pPr>
            <w:r>
              <w:rPr>
                <w:rFonts w:hint="eastAsia" w:ascii="宋体" w:hAnsi="宋体" w:cs="宋体"/>
                <w:sz w:val="24"/>
              </w:rPr>
              <w:t>出现上述不予退还情形的，招标人告知衢州市监管办登记后，保证金不再退还给投标人。</w:t>
            </w:r>
          </w:p>
        </w:tc>
      </w:tr>
      <w:tr w14:paraId="56FDF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vAlign w:val="center"/>
          </w:tcPr>
          <w:p w14:paraId="53D9F790">
            <w:pPr>
              <w:jc w:val="left"/>
              <w:rPr>
                <w:rFonts w:ascii="宋体" w:hAnsi="宋体" w:cs="宋体"/>
                <w:kern w:val="0"/>
                <w:sz w:val="24"/>
              </w:rPr>
            </w:pPr>
            <w:r>
              <w:rPr>
                <w:rFonts w:hint="eastAsia" w:ascii="宋体" w:hAnsi="宋体" w:cs="宋体"/>
                <w:kern w:val="0"/>
                <w:sz w:val="24"/>
              </w:rPr>
              <w:t>2.10.2</w:t>
            </w:r>
          </w:p>
        </w:tc>
        <w:tc>
          <w:tcPr>
            <w:tcW w:w="1530" w:type="dxa"/>
            <w:tcBorders>
              <w:left w:val="single" w:color="auto" w:sz="4" w:space="0"/>
              <w:right w:val="single" w:color="auto" w:sz="4" w:space="0"/>
            </w:tcBorders>
            <w:vAlign w:val="center"/>
          </w:tcPr>
          <w:p w14:paraId="5326B414">
            <w:pPr>
              <w:jc w:val="left"/>
              <w:rPr>
                <w:rFonts w:ascii="宋体" w:hAnsi="宋体" w:cs="宋体"/>
                <w:sz w:val="24"/>
              </w:rPr>
            </w:pPr>
            <w:r>
              <w:rPr>
                <w:rFonts w:hint="eastAsia" w:ascii="宋体" w:hAnsi="宋体" w:cs="宋体"/>
                <w:sz w:val="24"/>
              </w:rPr>
              <w:t>近年财务状况的年份要求</w:t>
            </w:r>
          </w:p>
        </w:tc>
        <w:tc>
          <w:tcPr>
            <w:tcW w:w="7550" w:type="dxa"/>
            <w:vAlign w:val="center"/>
          </w:tcPr>
          <w:p w14:paraId="644F8E16">
            <w:pPr>
              <w:jc w:val="left"/>
              <w:rPr>
                <w:rFonts w:ascii="宋体" w:hAnsi="宋体" w:cs="宋体"/>
                <w:sz w:val="24"/>
              </w:rPr>
            </w:pPr>
            <w:r>
              <w:rPr>
                <w:rFonts w:hint="eastAsia"/>
                <w:kern w:val="0"/>
                <w:sz w:val="24"/>
              </w:rPr>
              <w:t>提供2022年、2023年、2024年</w:t>
            </w:r>
            <w:r>
              <w:rPr>
                <w:rFonts w:ascii="宋体" w:cs="宋体"/>
                <w:kern w:val="0"/>
                <w:sz w:val="24"/>
              </w:rPr>
              <w:t>财务报表（资产负债表、利润表、现金流量表，由会计事务所审签）。</w:t>
            </w:r>
          </w:p>
        </w:tc>
      </w:tr>
      <w:tr w14:paraId="225EE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vAlign w:val="center"/>
          </w:tcPr>
          <w:p w14:paraId="22858557">
            <w:pPr>
              <w:jc w:val="left"/>
              <w:rPr>
                <w:rFonts w:ascii="宋体" w:hAnsi="宋体" w:cs="宋体"/>
                <w:kern w:val="0"/>
                <w:sz w:val="24"/>
              </w:rPr>
            </w:pPr>
            <w:r>
              <w:rPr>
                <w:rFonts w:hint="eastAsia" w:ascii="宋体" w:hAnsi="宋体" w:cs="宋体"/>
                <w:kern w:val="0"/>
                <w:sz w:val="24"/>
              </w:rPr>
              <w:t>2.11.1</w:t>
            </w:r>
          </w:p>
        </w:tc>
        <w:tc>
          <w:tcPr>
            <w:tcW w:w="1530" w:type="dxa"/>
            <w:tcBorders>
              <w:left w:val="single" w:color="auto" w:sz="4" w:space="0"/>
              <w:right w:val="single" w:color="auto" w:sz="4" w:space="0"/>
            </w:tcBorders>
            <w:vAlign w:val="center"/>
          </w:tcPr>
          <w:p w14:paraId="0D1F6334">
            <w:pPr>
              <w:jc w:val="left"/>
              <w:rPr>
                <w:rFonts w:ascii="宋体" w:hAnsi="宋体" w:cs="宋体"/>
                <w:sz w:val="24"/>
              </w:rPr>
            </w:pPr>
            <w:r>
              <w:rPr>
                <w:rFonts w:hint="eastAsia" w:ascii="宋体" w:hAnsi="宋体" w:cs="宋体"/>
                <w:sz w:val="24"/>
              </w:rPr>
              <w:t>投标文件格式和签字或盖章要求</w:t>
            </w:r>
          </w:p>
        </w:tc>
        <w:tc>
          <w:tcPr>
            <w:tcW w:w="7550" w:type="dxa"/>
            <w:vAlign w:val="center"/>
          </w:tcPr>
          <w:p w14:paraId="61F81363">
            <w:pPr>
              <w:pStyle w:val="179"/>
              <w:numPr>
                <w:ilvl w:val="0"/>
                <w:numId w:val="1"/>
              </w:numPr>
              <w:autoSpaceDE w:val="0"/>
              <w:autoSpaceDN w:val="0"/>
              <w:spacing w:line="360" w:lineRule="auto"/>
              <w:ind w:firstLineChars="0"/>
              <w:jc w:val="left"/>
              <w:rPr>
                <w:sz w:val="24"/>
              </w:rPr>
            </w:pPr>
            <w:r>
              <w:rPr>
                <w:rFonts w:hint="eastAsia"/>
                <w:sz w:val="24"/>
              </w:rPr>
              <w:t>投标人须按《附件---投标人文件格式》的要求递交投标文件。</w:t>
            </w:r>
          </w:p>
          <w:p w14:paraId="4523A9DC">
            <w:pPr>
              <w:pStyle w:val="179"/>
              <w:numPr>
                <w:ilvl w:val="0"/>
                <w:numId w:val="1"/>
              </w:numPr>
              <w:autoSpaceDE w:val="0"/>
              <w:autoSpaceDN w:val="0"/>
              <w:spacing w:line="360" w:lineRule="auto"/>
              <w:ind w:firstLineChars="0"/>
              <w:jc w:val="left"/>
              <w:rPr>
                <w:sz w:val="24"/>
              </w:rPr>
            </w:pPr>
            <w:r>
              <w:rPr>
                <w:rFonts w:hint="eastAsia"/>
                <w:sz w:val="24"/>
              </w:rPr>
              <w:t>电子投标文件签字或盖章要求：在招标文件格式规定的签字和盖章处，投标人必须加盖法定代表人电子章和单位电子公章。</w:t>
            </w:r>
          </w:p>
          <w:p w14:paraId="51FF9030">
            <w:pPr>
              <w:pStyle w:val="179"/>
              <w:numPr>
                <w:ilvl w:val="0"/>
                <w:numId w:val="1"/>
              </w:numPr>
              <w:autoSpaceDE w:val="0"/>
              <w:autoSpaceDN w:val="0"/>
              <w:spacing w:line="360" w:lineRule="auto"/>
              <w:ind w:firstLineChars="0"/>
              <w:jc w:val="left"/>
              <w:rPr>
                <w:sz w:val="24"/>
              </w:rPr>
            </w:pPr>
            <w:r>
              <w:rPr>
                <w:rFonts w:hint="eastAsia"/>
                <w:sz w:val="24"/>
              </w:rPr>
              <w:t>中标人提供的纸质投标文件副本应按招标文件要求签字、盖章。</w:t>
            </w:r>
          </w:p>
        </w:tc>
      </w:tr>
      <w:tr w14:paraId="0CF0D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vAlign w:val="center"/>
          </w:tcPr>
          <w:p w14:paraId="5DEAB009">
            <w:pPr>
              <w:jc w:val="left"/>
              <w:rPr>
                <w:rFonts w:ascii="宋体" w:hAnsi="宋体" w:cs="宋体"/>
                <w:kern w:val="0"/>
                <w:sz w:val="24"/>
              </w:rPr>
            </w:pPr>
            <w:r>
              <w:rPr>
                <w:rFonts w:hint="eastAsia" w:ascii="宋体" w:hAnsi="宋体" w:cs="宋体"/>
                <w:kern w:val="0"/>
                <w:sz w:val="24"/>
              </w:rPr>
              <w:t>2.11.2</w:t>
            </w:r>
          </w:p>
        </w:tc>
        <w:tc>
          <w:tcPr>
            <w:tcW w:w="1530" w:type="dxa"/>
            <w:tcBorders>
              <w:left w:val="single" w:color="auto" w:sz="4" w:space="0"/>
              <w:right w:val="single" w:color="auto" w:sz="4" w:space="0"/>
            </w:tcBorders>
            <w:vAlign w:val="center"/>
          </w:tcPr>
          <w:p w14:paraId="7BCA46D3">
            <w:pPr>
              <w:jc w:val="left"/>
              <w:rPr>
                <w:rFonts w:ascii="宋体" w:hAnsi="宋体" w:cs="宋体"/>
                <w:sz w:val="24"/>
              </w:rPr>
            </w:pPr>
            <w:r>
              <w:rPr>
                <w:rFonts w:hint="eastAsia" w:ascii="宋体" w:hAnsi="宋体" w:cs="宋体"/>
                <w:sz w:val="24"/>
              </w:rPr>
              <w:t>投标文件</w:t>
            </w:r>
          </w:p>
          <w:p w14:paraId="23E9338B">
            <w:pPr>
              <w:jc w:val="left"/>
              <w:rPr>
                <w:rFonts w:ascii="宋体" w:hAnsi="宋体" w:cs="宋体"/>
                <w:sz w:val="24"/>
              </w:rPr>
            </w:pPr>
            <w:r>
              <w:rPr>
                <w:rFonts w:hint="eastAsia" w:ascii="宋体" w:hAnsi="宋体" w:cs="宋体"/>
                <w:sz w:val="24"/>
              </w:rPr>
              <w:t>份数</w:t>
            </w:r>
          </w:p>
        </w:tc>
        <w:tc>
          <w:tcPr>
            <w:tcW w:w="7550" w:type="dxa"/>
            <w:vAlign w:val="center"/>
          </w:tcPr>
          <w:p w14:paraId="11EB2DE7">
            <w:pPr>
              <w:jc w:val="left"/>
              <w:rPr>
                <w:rFonts w:ascii="宋体" w:hAnsi="宋体" w:cs="宋体"/>
                <w:sz w:val="24"/>
              </w:rPr>
            </w:pPr>
            <w:r>
              <w:rPr>
                <w:rFonts w:hint="eastAsia" w:ascii="宋体" w:hAnsi="宋体" w:cs="宋体"/>
                <w:sz w:val="24"/>
              </w:rPr>
              <w:t>投标文件份数：</w:t>
            </w:r>
          </w:p>
          <w:p w14:paraId="3023A56B">
            <w:pPr>
              <w:jc w:val="left"/>
              <w:rPr>
                <w:rFonts w:ascii="宋体" w:hAnsi="宋体" w:cs="宋体"/>
                <w:sz w:val="24"/>
              </w:rPr>
            </w:pPr>
            <w:r>
              <w:rPr>
                <w:rFonts w:hint="eastAsia" w:ascii="宋体" w:hAnsi="宋体" w:cs="宋体"/>
                <w:sz w:val="24"/>
              </w:rPr>
              <w:t>1、加密电子投标文件一份，上传至衢州市公共资源电子交易系统，作为投标文件正本。</w:t>
            </w:r>
          </w:p>
          <w:p w14:paraId="2A425AB8">
            <w:pPr>
              <w:jc w:val="left"/>
              <w:rPr>
                <w:rFonts w:ascii="宋体" w:hAnsi="宋体" w:cs="宋体"/>
                <w:sz w:val="24"/>
              </w:rPr>
            </w:pPr>
            <w:r>
              <w:rPr>
                <w:rFonts w:hint="eastAsia" w:ascii="宋体" w:hAnsi="宋体" w:cs="宋体"/>
                <w:sz w:val="24"/>
              </w:rPr>
              <w:t>2、中标公示结束后，中标人应按招标人要求的份数免费提供纸质投标文件副本，副本必须和衢州市市县一体公共资源交易平台电子交易系统中的加密电子投标文件保持一致。</w:t>
            </w:r>
          </w:p>
        </w:tc>
      </w:tr>
      <w:tr w14:paraId="0D73C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vAlign w:val="center"/>
          </w:tcPr>
          <w:p w14:paraId="0B380B20">
            <w:pPr>
              <w:jc w:val="left"/>
              <w:rPr>
                <w:rFonts w:ascii="宋体" w:hAnsi="宋体" w:cs="宋体"/>
                <w:kern w:val="0"/>
                <w:sz w:val="24"/>
              </w:rPr>
            </w:pPr>
            <w:r>
              <w:rPr>
                <w:rFonts w:hint="eastAsia" w:ascii="宋体" w:hAnsi="宋体" w:cs="宋体"/>
                <w:kern w:val="0"/>
                <w:sz w:val="24"/>
              </w:rPr>
              <w:t>2.12.1</w:t>
            </w:r>
          </w:p>
        </w:tc>
        <w:tc>
          <w:tcPr>
            <w:tcW w:w="1530" w:type="dxa"/>
            <w:tcBorders>
              <w:left w:val="single" w:color="auto" w:sz="4" w:space="0"/>
              <w:right w:val="single" w:color="auto" w:sz="4" w:space="0"/>
            </w:tcBorders>
            <w:vAlign w:val="center"/>
          </w:tcPr>
          <w:p w14:paraId="55D7CD8F">
            <w:pPr>
              <w:jc w:val="left"/>
              <w:rPr>
                <w:rFonts w:ascii="宋体" w:hAnsi="宋体" w:cs="宋体"/>
                <w:kern w:val="0"/>
                <w:sz w:val="24"/>
              </w:rPr>
            </w:pPr>
            <w:r>
              <w:rPr>
                <w:rFonts w:hint="eastAsia" w:ascii="宋体" w:hAnsi="宋体" w:cs="宋体"/>
                <w:kern w:val="0"/>
                <w:sz w:val="24"/>
              </w:rPr>
              <w:t>递交投标文件方式和地点</w:t>
            </w:r>
          </w:p>
        </w:tc>
        <w:tc>
          <w:tcPr>
            <w:tcW w:w="7550" w:type="dxa"/>
            <w:vAlign w:val="center"/>
          </w:tcPr>
          <w:p w14:paraId="1D479EC2">
            <w:pPr>
              <w:jc w:val="left"/>
              <w:rPr>
                <w:rFonts w:ascii="宋体" w:hAnsi="宋体" w:cs="宋体"/>
                <w:kern w:val="0"/>
                <w:sz w:val="24"/>
              </w:rPr>
            </w:pPr>
            <w:r>
              <w:rPr>
                <w:rFonts w:hint="eastAsia" w:ascii="宋体" w:hAnsi="宋体" w:cs="宋体"/>
                <w:kern w:val="0"/>
                <w:sz w:val="24"/>
              </w:rPr>
              <w:t>将由投标文件制作工具制作生成的加密投标文件（.加密标书）在投标截止时间前（以上传完成时间为准）上传至衢州市市县一体公共资源交易平台电子交易系统。</w:t>
            </w:r>
          </w:p>
        </w:tc>
      </w:tr>
      <w:tr w14:paraId="768B2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vAlign w:val="center"/>
          </w:tcPr>
          <w:p w14:paraId="33AC6115">
            <w:pPr>
              <w:jc w:val="left"/>
              <w:rPr>
                <w:rFonts w:ascii="宋体" w:hAnsi="宋体" w:cs="宋体"/>
                <w:kern w:val="0"/>
                <w:sz w:val="24"/>
              </w:rPr>
            </w:pPr>
            <w:r>
              <w:rPr>
                <w:rFonts w:hint="eastAsia" w:ascii="宋体" w:hAnsi="宋体" w:cs="宋体"/>
                <w:kern w:val="0"/>
                <w:sz w:val="24"/>
              </w:rPr>
              <w:t>2.12.2</w:t>
            </w:r>
          </w:p>
        </w:tc>
        <w:tc>
          <w:tcPr>
            <w:tcW w:w="1530" w:type="dxa"/>
            <w:tcBorders>
              <w:left w:val="single" w:color="auto" w:sz="4" w:space="0"/>
              <w:right w:val="single" w:color="auto" w:sz="4" w:space="0"/>
            </w:tcBorders>
            <w:vAlign w:val="center"/>
          </w:tcPr>
          <w:p w14:paraId="499CDC22">
            <w:pPr>
              <w:jc w:val="left"/>
              <w:rPr>
                <w:rFonts w:ascii="宋体" w:hAnsi="宋体" w:cs="宋体"/>
                <w:sz w:val="24"/>
              </w:rPr>
            </w:pPr>
            <w:r>
              <w:rPr>
                <w:rFonts w:hint="eastAsia" w:ascii="宋体" w:hAnsi="宋体" w:cs="宋体"/>
                <w:sz w:val="24"/>
              </w:rPr>
              <w:t>是否退还投标文件</w:t>
            </w:r>
          </w:p>
        </w:tc>
        <w:tc>
          <w:tcPr>
            <w:tcW w:w="7550" w:type="dxa"/>
            <w:vAlign w:val="center"/>
          </w:tcPr>
          <w:p w14:paraId="7960C64D">
            <w:pPr>
              <w:jc w:val="left"/>
              <w:rPr>
                <w:rFonts w:ascii="宋体" w:hAnsi="宋体" w:cs="宋体"/>
                <w:sz w:val="24"/>
              </w:rPr>
            </w:pPr>
            <w:r>
              <w:rPr>
                <w:rFonts w:hint="eastAsia" w:ascii="宋体" w:hAnsi="宋体" w:cs="宋体"/>
                <w:sz w:val="24"/>
              </w:rPr>
              <w:t>否</w:t>
            </w:r>
          </w:p>
        </w:tc>
      </w:tr>
      <w:tr w14:paraId="402D32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88" w:type="dxa"/>
            <w:vAlign w:val="center"/>
          </w:tcPr>
          <w:p w14:paraId="5337510F">
            <w:pPr>
              <w:jc w:val="left"/>
              <w:rPr>
                <w:rFonts w:ascii="宋体" w:hAnsi="宋体" w:cs="宋体"/>
                <w:kern w:val="0"/>
                <w:sz w:val="24"/>
              </w:rPr>
            </w:pPr>
            <w:r>
              <w:rPr>
                <w:rFonts w:hint="eastAsia" w:ascii="宋体" w:hAnsi="宋体" w:cs="宋体"/>
                <w:kern w:val="0"/>
                <w:sz w:val="24"/>
              </w:rPr>
              <w:t>2.12.3</w:t>
            </w:r>
          </w:p>
        </w:tc>
        <w:tc>
          <w:tcPr>
            <w:tcW w:w="1530" w:type="dxa"/>
            <w:tcBorders>
              <w:left w:val="single" w:color="auto" w:sz="4" w:space="0"/>
              <w:right w:val="single" w:color="auto" w:sz="4" w:space="0"/>
            </w:tcBorders>
            <w:vAlign w:val="center"/>
          </w:tcPr>
          <w:p w14:paraId="7FFEB6CB">
            <w:pPr>
              <w:jc w:val="left"/>
              <w:rPr>
                <w:rFonts w:ascii="宋体" w:hAnsi="宋体" w:cs="宋体"/>
                <w:b/>
                <w:bCs/>
                <w:sz w:val="24"/>
              </w:rPr>
            </w:pPr>
            <w:r>
              <w:rPr>
                <w:rFonts w:hint="eastAsia" w:ascii="宋体" w:hAnsi="宋体" w:cs="宋体"/>
                <w:b/>
                <w:bCs/>
                <w:sz w:val="24"/>
              </w:rPr>
              <w:t>投标文件的拒收情形</w:t>
            </w:r>
          </w:p>
        </w:tc>
        <w:tc>
          <w:tcPr>
            <w:tcW w:w="7550" w:type="dxa"/>
            <w:vAlign w:val="center"/>
          </w:tcPr>
          <w:p w14:paraId="5E70C4D2">
            <w:pPr>
              <w:jc w:val="left"/>
              <w:rPr>
                <w:rFonts w:ascii="宋体" w:hAnsi="宋体" w:cs="宋体"/>
                <w:b/>
                <w:bCs/>
                <w:sz w:val="24"/>
              </w:rPr>
            </w:pPr>
            <w:r>
              <w:rPr>
                <w:rFonts w:hint="eastAsia" w:ascii="宋体" w:hAnsi="宋体" w:cs="宋体"/>
                <w:b/>
                <w:bCs/>
                <w:sz w:val="24"/>
              </w:rPr>
              <w:t>加密电子</w:t>
            </w:r>
            <w:r>
              <w:rPr>
                <w:rFonts w:hint="eastAsia" w:ascii="宋体" w:hAnsi="宋体" w:cs="宋体"/>
                <w:b/>
                <w:bCs/>
                <w:kern w:val="0"/>
                <w:sz w:val="24"/>
              </w:rPr>
              <w:t>投标文件（正本投标文件）未加密的；未在投标截止时间前完成上传的；未按规定提交投标保证金的。</w:t>
            </w:r>
          </w:p>
        </w:tc>
      </w:tr>
      <w:tr w14:paraId="7378EB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vAlign w:val="center"/>
          </w:tcPr>
          <w:p w14:paraId="73F0FBA7">
            <w:pPr>
              <w:jc w:val="left"/>
              <w:rPr>
                <w:rFonts w:ascii="宋体" w:hAnsi="宋体" w:cs="宋体"/>
                <w:kern w:val="0"/>
                <w:sz w:val="24"/>
              </w:rPr>
            </w:pPr>
            <w:r>
              <w:rPr>
                <w:rFonts w:hint="eastAsia" w:ascii="宋体" w:hAnsi="宋体" w:cs="宋体"/>
                <w:kern w:val="0"/>
                <w:sz w:val="24"/>
              </w:rPr>
              <w:t>2.13.1</w:t>
            </w:r>
          </w:p>
        </w:tc>
        <w:tc>
          <w:tcPr>
            <w:tcW w:w="1530" w:type="dxa"/>
            <w:tcBorders>
              <w:left w:val="single" w:color="auto" w:sz="4" w:space="0"/>
              <w:right w:val="single" w:color="auto" w:sz="4" w:space="0"/>
            </w:tcBorders>
            <w:vAlign w:val="center"/>
          </w:tcPr>
          <w:p w14:paraId="7790E410">
            <w:pPr>
              <w:jc w:val="left"/>
              <w:rPr>
                <w:rFonts w:ascii="宋体" w:hAnsi="宋体" w:cs="宋体"/>
                <w:kern w:val="0"/>
                <w:sz w:val="24"/>
              </w:rPr>
            </w:pPr>
            <w:r>
              <w:rPr>
                <w:rFonts w:hint="eastAsia" w:ascii="宋体" w:hAnsi="宋体" w:cs="宋体"/>
                <w:kern w:val="0"/>
                <w:sz w:val="24"/>
              </w:rPr>
              <w:t>开标时间、参加开标会议的要求</w:t>
            </w:r>
          </w:p>
        </w:tc>
        <w:tc>
          <w:tcPr>
            <w:tcW w:w="7550" w:type="dxa"/>
            <w:vAlign w:val="center"/>
          </w:tcPr>
          <w:p w14:paraId="630807EF">
            <w:pPr>
              <w:jc w:val="left"/>
              <w:rPr>
                <w:rFonts w:ascii="宋体" w:hAnsi="宋体" w:cs="宋体"/>
                <w:kern w:val="0"/>
                <w:sz w:val="24"/>
              </w:rPr>
            </w:pPr>
            <w:r>
              <w:rPr>
                <w:rFonts w:hint="eastAsia" w:ascii="宋体" w:hAnsi="宋体" w:cs="宋体"/>
                <w:kern w:val="0"/>
                <w:sz w:val="24"/>
              </w:rPr>
              <w:t>一、开标时间：同投标截止时间。</w:t>
            </w:r>
          </w:p>
          <w:p w14:paraId="2F8C7DC2">
            <w:pPr>
              <w:jc w:val="left"/>
              <w:rPr>
                <w:rFonts w:ascii="宋体" w:hAnsi="宋体" w:cs="宋体"/>
                <w:kern w:val="0"/>
                <w:sz w:val="24"/>
              </w:rPr>
            </w:pPr>
            <w:r>
              <w:rPr>
                <w:rFonts w:hint="eastAsia" w:ascii="宋体" w:hAnsi="宋体" w:cs="宋体"/>
                <w:kern w:val="0"/>
                <w:sz w:val="24"/>
              </w:rPr>
              <w:t>二、不见面开标大厅：https://jyzx.ggzy.qz.gov.cn/BidOpening/bidopeninghallaction/hall/login</w:t>
            </w:r>
          </w:p>
          <w:p w14:paraId="02A0EB19">
            <w:pPr>
              <w:jc w:val="left"/>
              <w:rPr>
                <w:rFonts w:ascii="宋体" w:hAnsi="宋体" w:cs="宋体"/>
                <w:kern w:val="0"/>
                <w:sz w:val="24"/>
              </w:rPr>
            </w:pPr>
            <w:r>
              <w:rPr>
                <w:rFonts w:hint="eastAsia" w:ascii="宋体" w:hAnsi="宋体" w:cs="宋体"/>
                <w:kern w:val="0"/>
                <w:sz w:val="24"/>
              </w:rPr>
              <w:t>三、参加开标会议的要求</w:t>
            </w:r>
          </w:p>
          <w:p w14:paraId="7025E574">
            <w:pPr>
              <w:jc w:val="left"/>
              <w:rPr>
                <w:rFonts w:ascii="宋体" w:hAnsi="宋体" w:cs="宋体"/>
                <w:kern w:val="0"/>
                <w:sz w:val="24"/>
              </w:rPr>
            </w:pPr>
            <w:r>
              <w:rPr>
                <w:rFonts w:hint="eastAsia" w:ascii="宋体" w:hAnsi="宋体" w:cs="宋体"/>
                <w:sz w:val="24"/>
              </w:rPr>
              <w:t>开标过程中，投标人参与远程音视频交互的法人代表或授权委托人应始终为同一人，中途不得更换，并能及时响应开标要求。投标人终端操作人员均被视为投标人法人代表或授权委托人，投标人自行承担随意更换人员所导致的一切后果。</w:t>
            </w:r>
          </w:p>
        </w:tc>
      </w:tr>
      <w:tr w14:paraId="1C276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988" w:type="dxa"/>
            <w:vAlign w:val="center"/>
          </w:tcPr>
          <w:p w14:paraId="20179A5B">
            <w:pPr>
              <w:jc w:val="left"/>
              <w:rPr>
                <w:rFonts w:ascii="宋体" w:hAnsi="宋体" w:cs="宋体"/>
                <w:kern w:val="0"/>
                <w:sz w:val="24"/>
              </w:rPr>
            </w:pPr>
            <w:r>
              <w:rPr>
                <w:rFonts w:hint="eastAsia" w:ascii="宋体" w:hAnsi="宋体" w:cs="宋体"/>
                <w:kern w:val="0"/>
                <w:sz w:val="24"/>
              </w:rPr>
              <w:t>2.13.2</w:t>
            </w:r>
          </w:p>
        </w:tc>
        <w:tc>
          <w:tcPr>
            <w:tcW w:w="1530" w:type="dxa"/>
            <w:tcBorders>
              <w:left w:val="single" w:color="auto" w:sz="4" w:space="0"/>
              <w:right w:val="single" w:color="auto" w:sz="4" w:space="0"/>
            </w:tcBorders>
            <w:vAlign w:val="center"/>
          </w:tcPr>
          <w:p w14:paraId="0351D5B2">
            <w:pPr>
              <w:jc w:val="left"/>
              <w:rPr>
                <w:rFonts w:ascii="宋体" w:hAnsi="宋体" w:cs="宋体"/>
                <w:kern w:val="0"/>
                <w:sz w:val="24"/>
              </w:rPr>
            </w:pPr>
            <w:r>
              <w:rPr>
                <w:rFonts w:hint="eastAsia" w:ascii="宋体" w:hAnsi="宋体" w:cs="宋体"/>
                <w:kern w:val="0"/>
                <w:sz w:val="24"/>
              </w:rPr>
              <w:t>开标</w:t>
            </w:r>
          </w:p>
        </w:tc>
        <w:tc>
          <w:tcPr>
            <w:tcW w:w="7550" w:type="dxa"/>
            <w:vAlign w:val="center"/>
          </w:tcPr>
          <w:p w14:paraId="4302DCAB">
            <w:pPr>
              <w:jc w:val="left"/>
              <w:rPr>
                <w:rFonts w:ascii="宋体" w:hAnsi="宋体" w:cs="宋体"/>
                <w:kern w:val="0"/>
                <w:sz w:val="24"/>
              </w:rPr>
            </w:pPr>
            <w:r>
              <w:rPr>
                <w:rFonts w:hint="eastAsia" w:ascii="宋体" w:hAnsi="宋体" w:cs="宋体"/>
                <w:kern w:val="0"/>
                <w:sz w:val="24"/>
              </w:rPr>
              <w:t>一、投标人须准备好加密投标文件的CA数字证书以供开标时远程解密投标文件。</w:t>
            </w:r>
          </w:p>
          <w:p w14:paraId="2C588E01">
            <w:pPr>
              <w:jc w:val="left"/>
              <w:rPr>
                <w:rFonts w:ascii="宋体" w:hAnsi="宋体" w:cs="宋体"/>
                <w:kern w:val="0"/>
                <w:sz w:val="24"/>
              </w:rPr>
            </w:pPr>
            <w:r>
              <w:rPr>
                <w:rFonts w:hint="eastAsia" w:ascii="宋体" w:hAnsi="宋体" w:cs="宋体"/>
                <w:kern w:val="0"/>
                <w:sz w:val="24"/>
              </w:rPr>
              <w:t>二、开标程序</w:t>
            </w:r>
          </w:p>
          <w:p w14:paraId="03F1F2DF">
            <w:pPr>
              <w:jc w:val="left"/>
              <w:rPr>
                <w:rFonts w:ascii="宋体" w:hAnsi="宋体" w:cs="宋体"/>
                <w:kern w:val="0"/>
                <w:sz w:val="24"/>
              </w:rPr>
            </w:pPr>
            <w:r>
              <w:rPr>
                <w:rFonts w:hint="eastAsia" w:ascii="宋体" w:hAnsi="宋体" w:cs="宋体"/>
                <w:kern w:val="0"/>
                <w:sz w:val="24"/>
              </w:rPr>
              <w:t>1、至投标截止时间</w:t>
            </w:r>
          </w:p>
          <w:p w14:paraId="5E7F260D">
            <w:pPr>
              <w:jc w:val="left"/>
              <w:rPr>
                <w:rFonts w:ascii="宋体" w:hAnsi="宋体" w:cs="宋体"/>
                <w:kern w:val="0"/>
                <w:sz w:val="24"/>
              </w:rPr>
            </w:pPr>
            <w:r>
              <w:rPr>
                <w:rFonts w:hint="eastAsia" w:ascii="宋体" w:hAnsi="宋体" w:cs="宋体"/>
                <w:kern w:val="0"/>
                <w:sz w:val="24"/>
              </w:rPr>
              <w:t>招标代理机构宣布开始开标，宣布开标项目名称、招标人代表等有关人员姓名，公布在投标截止时间前受理的投标文件的投标人名称。</w:t>
            </w:r>
          </w:p>
          <w:p w14:paraId="7521674D">
            <w:pPr>
              <w:jc w:val="left"/>
              <w:rPr>
                <w:rFonts w:ascii="宋体" w:hAnsi="宋体" w:cs="宋体"/>
                <w:kern w:val="0"/>
                <w:sz w:val="24"/>
              </w:rPr>
            </w:pPr>
            <w:r>
              <w:rPr>
                <w:rFonts w:hint="eastAsia" w:ascii="宋体" w:hAnsi="宋体" w:cs="宋体"/>
                <w:kern w:val="0"/>
                <w:sz w:val="24"/>
              </w:rPr>
              <w:t>2、投标人解密</w:t>
            </w:r>
          </w:p>
          <w:p w14:paraId="281792C7">
            <w:pPr>
              <w:jc w:val="left"/>
              <w:rPr>
                <w:rFonts w:ascii="宋体" w:hAnsi="宋体" w:cs="宋体"/>
                <w:kern w:val="0"/>
                <w:sz w:val="24"/>
              </w:rPr>
            </w:pPr>
            <w:r>
              <w:rPr>
                <w:rFonts w:hint="eastAsia" w:ascii="宋体" w:hAnsi="宋体" w:cs="宋体"/>
                <w:kern w:val="0"/>
                <w:sz w:val="24"/>
              </w:rPr>
              <w:t>投标人解密时间：招标代理机构宣布开始解密后30分钟以内。投标人解密方式：投标人自行登录衢州市市县一体公共资源交易平台不见面开标大厅</w:t>
            </w:r>
            <w:r>
              <w:rPr>
                <w:rFonts w:hint="eastAsia" w:ascii="宋体" w:hAnsi="宋体" w:cs="宋体"/>
                <w:kern w:val="0"/>
                <w:sz w:val="24"/>
              </w:rPr>
              <w:sym w:font="Wingdings" w:char="F0E0"/>
            </w:r>
            <w:r>
              <w:rPr>
                <w:rFonts w:hint="eastAsia" w:ascii="宋体" w:hAnsi="宋体" w:cs="宋体"/>
                <w:kern w:val="0"/>
                <w:sz w:val="24"/>
              </w:rPr>
              <w:t>我的项目</w:t>
            </w:r>
            <w:r>
              <w:rPr>
                <w:rFonts w:hint="eastAsia" w:ascii="宋体" w:hAnsi="宋体" w:cs="宋体"/>
                <w:kern w:val="0"/>
                <w:sz w:val="24"/>
              </w:rPr>
              <w:sym w:font="Wingdings" w:char="F0E0"/>
            </w:r>
            <w:r>
              <w:rPr>
                <w:rFonts w:hint="eastAsia" w:ascii="宋体" w:hAnsi="宋体" w:cs="宋体"/>
                <w:kern w:val="0"/>
                <w:sz w:val="24"/>
              </w:rPr>
              <w:t>选择标段</w:t>
            </w:r>
            <w:r>
              <w:rPr>
                <w:rFonts w:hint="eastAsia" w:ascii="宋体" w:hAnsi="宋体" w:cs="宋体"/>
                <w:kern w:val="0"/>
                <w:sz w:val="24"/>
              </w:rPr>
              <w:sym w:font="Wingdings" w:char="F0E0"/>
            </w:r>
            <w:r>
              <w:rPr>
                <w:rFonts w:hint="eastAsia" w:ascii="宋体" w:hAnsi="宋体" w:cs="宋体"/>
                <w:kern w:val="0"/>
                <w:sz w:val="24"/>
              </w:rPr>
              <w:t>待招标代理机构开启解密后进行解密操作。</w:t>
            </w:r>
          </w:p>
          <w:p w14:paraId="65ACFD4D">
            <w:pPr>
              <w:jc w:val="left"/>
              <w:rPr>
                <w:rFonts w:ascii="宋体" w:hAnsi="宋体" w:cs="宋体"/>
                <w:kern w:val="0"/>
                <w:sz w:val="24"/>
              </w:rPr>
            </w:pPr>
            <w:r>
              <w:rPr>
                <w:rFonts w:hint="eastAsia" w:ascii="宋体" w:hAnsi="宋体" w:cs="宋体"/>
                <w:kern w:val="0"/>
                <w:sz w:val="24"/>
              </w:rPr>
              <w:t>3、投标人使用生成投标文件的CA数字证书解密投标文件。</w:t>
            </w:r>
          </w:p>
          <w:p w14:paraId="222618D2">
            <w:pPr>
              <w:jc w:val="left"/>
              <w:rPr>
                <w:rFonts w:ascii="宋体" w:hAnsi="宋体" w:cs="宋体"/>
                <w:kern w:val="0"/>
                <w:sz w:val="24"/>
              </w:rPr>
            </w:pPr>
            <w:r>
              <w:rPr>
                <w:rFonts w:hint="eastAsia" w:ascii="宋体" w:hAnsi="宋体" w:cs="宋体"/>
                <w:kern w:val="0"/>
                <w:sz w:val="24"/>
              </w:rPr>
              <w:t>4、投标文件解密完成后，开标系统公布投标单位等内容。</w:t>
            </w:r>
          </w:p>
          <w:p w14:paraId="4506CC6B">
            <w:pPr>
              <w:jc w:val="left"/>
              <w:rPr>
                <w:rFonts w:ascii="宋体" w:hAnsi="宋体" w:cs="宋体"/>
                <w:kern w:val="0"/>
                <w:sz w:val="24"/>
              </w:rPr>
            </w:pPr>
            <w:r>
              <w:rPr>
                <w:rFonts w:hint="eastAsia" w:ascii="宋体" w:hAnsi="宋体" w:cs="宋体"/>
                <w:kern w:val="0"/>
                <w:sz w:val="24"/>
              </w:rPr>
              <w:t>5、投标人确认</w:t>
            </w:r>
          </w:p>
          <w:p w14:paraId="4E2F5C7F">
            <w:pPr>
              <w:jc w:val="left"/>
              <w:rPr>
                <w:rFonts w:ascii="宋体" w:hAnsi="宋体" w:cs="宋体"/>
                <w:kern w:val="0"/>
                <w:sz w:val="24"/>
              </w:rPr>
            </w:pPr>
            <w:r>
              <w:rPr>
                <w:rFonts w:hint="eastAsia" w:ascii="宋体" w:hAnsi="宋体" w:cs="宋体"/>
                <w:kern w:val="0"/>
                <w:sz w:val="24"/>
              </w:rPr>
              <w:t>唱标完成后，投标人可通过衢州市市县一体公共资源交易平台不见面开标大厅系统对唱标结果进行确认，未在开标结束前完成在线确认的投标人，衢州市市县一体公共资源交易平台不见面开标大厅系统将视作自动确认。</w:t>
            </w:r>
          </w:p>
          <w:p w14:paraId="61C9CAC6">
            <w:pPr>
              <w:jc w:val="left"/>
              <w:rPr>
                <w:rFonts w:ascii="宋体" w:hAnsi="宋体" w:cs="宋体"/>
                <w:kern w:val="0"/>
                <w:sz w:val="24"/>
              </w:rPr>
            </w:pPr>
            <w:r>
              <w:rPr>
                <w:rFonts w:hint="eastAsia" w:ascii="宋体" w:hAnsi="宋体" w:cs="宋体"/>
                <w:kern w:val="0"/>
                <w:sz w:val="24"/>
              </w:rPr>
              <w:t>投标人对开标过程有异议的，应通过衢州市市县一体公共资源交易平台不见面开标大厅系统的“开标异议语音提问”或“开标异议文字提问”按钮进行异议，招标人通过衢州市市县一体公共资源交易平台不见面开标大厅系统在线语音或文字答复，投标人提出异议的时间截止至开标结果公布后5分钟；</w:t>
            </w:r>
          </w:p>
          <w:p w14:paraId="7CA4B962">
            <w:pPr>
              <w:jc w:val="left"/>
              <w:rPr>
                <w:rFonts w:ascii="宋体" w:hAnsi="宋体" w:cs="宋体"/>
                <w:kern w:val="0"/>
                <w:sz w:val="24"/>
              </w:rPr>
            </w:pPr>
            <w:r>
              <w:rPr>
                <w:rFonts w:hint="eastAsia" w:ascii="宋体" w:hAnsi="宋体" w:cs="宋体"/>
                <w:kern w:val="0"/>
                <w:sz w:val="24"/>
              </w:rPr>
              <w:t>6、进入评标程序。</w:t>
            </w:r>
          </w:p>
          <w:p w14:paraId="44E206BC">
            <w:pPr>
              <w:jc w:val="left"/>
              <w:rPr>
                <w:rFonts w:ascii="宋体" w:hAnsi="宋体" w:cs="宋体"/>
                <w:kern w:val="0"/>
                <w:sz w:val="24"/>
              </w:rPr>
            </w:pPr>
            <w:r>
              <w:rPr>
                <w:rFonts w:hint="eastAsia" w:ascii="宋体" w:hAnsi="宋体" w:cs="宋体"/>
                <w:kern w:val="0"/>
                <w:sz w:val="24"/>
              </w:rPr>
              <w:t>7、评标结束后，招标代理机构宣布中标候选人，宣布开标会议结束。</w:t>
            </w:r>
          </w:p>
          <w:p w14:paraId="0CF52DC3">
            <w:pPr>
              <w:jc w:val="left"/>
              <w:rPr>
                <w:rFonts w:ascii="宋体" w:hAnsi="宋体" w:cs="宋体"/>
                <w:kern w:val="0"/>
                <w:sz w:val="24"/>
              </w:rPr>
            </w:pPr>
            <w:r>
              <w:rPr>
                <w:rFonts w:hint="eastAsia" w:ascii="宋体" w:hAnsi="宋体" w:cs="宋体"/>
                <w:kern w:val="0"/>
                <w:sz w:val="24"/>
              </w:rPr>
              <w:t>三、开标特别说明</w:t>
            </w:r>
          </w:p>
          <w:p w14:paraId="29CC645A">
            <w:pPr>
              <w:jc w:val="left"/>
              <w:rPr>
                <w:rFonts w:ascii="宋体" w:hAnsi="宋体" w:cs="宋体"/>
                <w:kern w:val="0"/>
                <w:sz w:val="24"/>
              </w:rPr>
            </w:pPr>
            <w:r>
              <w:rPr>
                <w:rFonts w:hint="eastAsia" w:ascii="宋体" w:hAnsi="宋体" w:cs="宋体"/>
                <w:kern w:val="0"/>
                <w:sz w:val="24"/>
              </w:rPr>
              <w:t>1、开标解密使用投标人上传的电子投标文件。</w:t>
            </w:r>
          </w:p>
          <w:p w14:paraId="108E2B75">
            <w:pPr>
              <w:jc w:val="left"/>
              <w:rPr>
                <w:rFonts w:ascii="宋体" w:hAnsi="宋体" w:cs="宋体"/>
                <w:kern w:val="0"/>
                <w:sz w:val="24"/>
              </w:rPr>
            </w:pPr>
            <w:r>
              <w:rPr>
                <w:rFonts w:hint="eastAsia" w:ascii="宋体" w:hAnsi="宋体" w:cs="宋体"/>
                <w:kern w:val="0"/>
                <w:sz w:val="24"/>
              </w:rPr>
              <w:t>2、因投标人原因（包括投标人自主选择的CA证书、计价软件、投标工具等），造成其电子投标文件未解密的，或投标文件解密了，但投标文件无法识别、读取的，视为撤销其投标文件。</w:t>
            </w:r>
          </w:p>
          <w:p w14:paraId="56EBA6C5">
            <w:pPr>
              <w:jc w:val="left"/>
              <w:rPr>
                <w:rFonts w:ascii="宋体" w:hAnsi="宋体" w:cs="宋体"/>
                <w:kern w:val="0"/>
                <w:sz w:val="24"/>
              </w:rPr>
            </w:pPr>
            <w:r>
              <w:rPr>
                <w:rFonts w:hint="eastAsia" w:ascii="宋体" w:hAnsi="宋体" w:cs="宋体"/>
                <w:kern w:val="0"/>
                <w:sz w:val="24"/>
              </w:rPr>
              <w:t>3、部分投标人的电子投标文件无法解密（识别、读取）的，其他投标文件的开标可以继续进行，但最终解密（识别、读取）成功的应不少于3家。</w:t>
            </w:r>
          </w:p>
          <w:p w14:paraId="53673459">
            <w:pPr>
              <w:jc w:val="left"/>
              <w:rPr>
                <w:rFonts w:ascii="宋体" w:hAnsi="宋体" w:cs="宋体"/>
                <w:kern w:val="0"/>
                <w:sz w:val="24"/>
              </w:rPr>
            </w:pPr>
            <w:r>
              <w:rPr>
                <w:rFonts w:hint="eastAsia" w:ascii="宋体" w:hAnsi="宋体" w:cs="宋体"/>
                <w:kern w:val="0"/>
                <w:sz w:val="24"/>
              </w:rPr>
              <w:t>4、投标人必须使用生成电子投标文件的CA数字证书解密电子投标文件。</w:t>
            </w:r>
          </w:p>
        </w:tc>
      </w:tr>
      <w:tr w14:paraId="0B28B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988" w:type="dxa"/>
            <w:vAlign w:val="center"/>
          </w:tcPr>
          <w:p w14:paraId="7070D305">
            <w:pPr>
              <w:jc w:val="left"/>
              <w:rPr>
                <w:rFonts w:ascii="宋体" w:hAnsi="宋体" w:cs="宋体"/>
                <w:kern w:val="0"/>
                <w:sz w:val="24"/>
              </w:rPr>
            </w:pPr>
            <w:r>
              <w:rPr>
                <w:rFonts w:hint="eastAsia" w:ascii="宋体" w:hAnsi="宋体" w:cs="宋体"/>
                <w:kern w:val="0"/>
                <w:sz w:val="24"/>
              </w:rPr>
              <w:t>2.14.1</w:t>
            </w:r>
          </w:p>
        </w:tc>
        <w:tc>
          <w:tcPr>
            <w:tcW w:w="1530" w:type="dxa"/>
            <w:tcBorders>
              <w:left w:val="single" w:color="auto" w:sz="4" w:space="0"/>
              <w:right w:val="single" w:color="auto" w:sz="4" w:space="0"/>
            </w:tcBorders>
            <w:vAlign w:val="center"/>
          </w:tcPr>
          <w:p w14:paraId="3616EDED">
            <w:pPr>
              <w:jc w:val="left"/>
              <w:rPr>
                <w:rFonts w:ascii="宋体" w:hAnsi="宋体" w:cs="宋体"/>
                <w:kern w:val="0"/>
                <w:sz w:val="24"/>
              </w:rPr>
            </w:pPr>
            <w:r>
              <w:rPr>
                <w:rFonts w:hint="eastAsia" w:ascii="宋体" w:hAnsi="宋体" w:cs="宋体"/>
                <w:kern w:val="0"/>
                <w:sz w:val="24"/>
              </w:rPr>
              <w:t>评标委员会</w:t>
            </w:r>
          </w:p>
          <w:p w14:paraId="0E89D205">
            <w:pPr>
              <w:jc w:val="left"/>
              <w:rPr>
                <w:rFonts w:ascii="宋体" w:hAnsi="宋体" w:cs="宋体"/>
                <w:kern w:val="0"/>
                <w:sz w:val="24"/>
              </w:rPr>
            </w:pPr>
            <w:r>
              <w:rPr>
                <w:rFonts w:hint="eastAsia" w:ascii="宋体" w:hAnsi="宋体" w:cs="宋体"/>
                <w:kern w:val="0"/>
                <w:sz w:val="24"/>
              </w:rPr>
              <w:t>的组建</w:t>
            </w:r>
          </w:p>
        </w:tc>
        <w:tc>
          <w:tcPr>
            <w:tcW w:w="7550" w:type="dxa"/>
            <w:vAlign w:val="center"/>
          </w:tcPr>
          <w:p w14:paraId="4141BB59">
            <w:pPr>
              <w:jc w:val="left"/>
              <w:rPr>
                <w:rFonts w:ascii="宋体" w:hAnsi="宋体" w:cs="宋体"/>
                <w:kern w:val="0"/>
                <w:sz w:val="24"/>
              </w:rPr>
            </w:pPr>
            <w:r>
              <w:rPr>
                <w:rFonts w:hint="eastAsia" w:ascii="宋体" w:hAnsi="宋体" w:cs="宋体"/>
                <w:kern w:val="0"/>
                <w:sz w:val="24"/>
              </w:rPr>
              <w:t>1、评标委员会成员构成：共</w:t>
            </w:r>
            <w:r>
              <w:rPr>
                <w:rFonts w:hint="eastAsia" w:ascii="宋体" w:hAnsi="宋体" w:cs="宋体"/>
                <w:kern w:val="0"/>
                <w:sz w:val="24"/>
                <w:u w:val="single"/>
              </w:rPr>
              <w:t xml:space="preserve"> 5</w:t>
            </w:r>
            <w:r>
              <w:rPr>
                <w:rFonts w:hint="eastAsia" w:ascii="宋体" w:hAnsi="宋体" w:cs="宋体"/>
                <w:kern w:val="0"/>
                <w:sz w:val="24"/>
              </w:rPr>
              <w:t>人，其中招标人代表</w:t>
            </w:r>
            <w:r>
              <w:rPr>
                <w:rFonts w:hint="eastAsia" w:ascii="宋体" w:hAnsi="宋体" w:cs="宋体"/>
                <w:kern w:val="0"/>
                <w:sz w:val="24"/>
                <w:u w:val="single"/>
              </w:rPr>
              <w:t xml:space="preserve"> 1 </w:t>
            </w:r>
            <w:r>
              <w:rPr>
                <w:rFonts w:hint="eastAsia" w:ascii="宋体" w:hAnsi="宋体" w:cs="宋体"/>
                <w:kern w:val="0"/>
                <w:sz w:val="24"/>
              </w:rPr>
              <w:t>人，评标专家</w:t>
            </w:r>
            <w:r>
              <w:rPr>
                <w:rFonts w:hint="eastAsia" w:ascii="宋体" w:hAnsi="宋体" w:cs="宋体"/>
                <w:kern w:val="0"/>
                <w:sz w:val="24"/>
                <w:u w:val="single"/>
              </w:rPr>
              <w:t>4</w:t>
            </w:r>
            <w:r>
              <w:rPr>
                <w:rFonts w:hint="eastAsia" w:ascii="宋体" w:hAnsi="宋体" w:cs="宋体"/>
                <w:kern w:val="0"/>
                <w:sz w:val="24"/>
              </w:rPr>
              <w:t>人；</w:t>
            </w:r>
          </w:p>
          <w:p w14:paraId="1F7931A0">
            <w:pPr>
              <w:jc w:val="left"/>
              <w:rPr>
                <w:rFonts w:ascii="宋体" w:hAnsi="宋体" w:cs="宋体"/>
                <w:kern w:val="0"/>
                <w:sz w:val="24"/>
              </w:rPr>
            </w:pPr>
            <w:r>
              <w:rPr>
                <w:rFonts w:hint="eastAsia" w:ascii="宋体" w:hAnsi="宋体" w:cs="宋体"/>
                <w:kern w:val="0"/>
                <w:sz w:val="24"/>
              </w:rPr>
              <w:t>2、评标专家确定方式：依法随机抽取。</w:t>
            </w:r>
          </w:p>
        </w:tc>
      </w:tr>
      <w:tr w14:paraId="29762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988" w:type="dxa"/>
            <w:vAlign w:val="center"/>
          </w:tcPr>
          <w:p w14:paraId="12DF4165">
            <w:pPr>
              <w:jc w:val="left"/>
              <w:rPr>
                <w:rFonts w:ascii="宋体" w:hAnsi="宋体" w:cs="宋体"/>
                <w:kern w:val="0"/>
                <w:sz w:val="24"/>
              </w:rPr>
            </w:pPr>
            <w:r>
              <w:rPr>
                <w:rFonts w:hint="eastAsia" w:ascii="宋体" w:hAnsi="宋体" w:cs="宋体"/>
                <w:kern w:val="0"/>
                <w:sz w:val="24"/>
              </w:rPr>
              <w:t>2.14.2</w:t>
            </w:r>
          </w:p>
        </w:tc>
        <w:tc>
          <w:tcPr>
            <w:tcW w:w="1530" w:type="dxa"/>
            <w:tcBorders>
              <w:left w:val="single" w:color="auto" w:sz="4" w:space="0"/>
              <w:right w:val="single" w:color="auto" w:sz="4" w:space="0"/>
            </w:tcBorders>
            <w:vAlign w:val="center"/>
          </w:tcPr>
          <w:p w14:paraId="036A8663">
            <w:pPr>
              <w:jc w:val="left"/>
              <w:rPr>
                <w:rFonts w:ascii="宋体" w:hAnsi="宋体" w:cs="宋体"/>
                <w:kern w:val="0"/>
                <w:sz w:val="24"/>
              </w:rPr>
            </w:pPr>
            <w:r>
              <w:rPr>
                <w:rFonts w:hint="eastAsia" w:ascii="宋体" w:hAnsi="宋体" w:cs="宋体"/>
                <w:kern w:val="0"/>
                <w:sz w:val="24"/>
              </w:rPr>
              <w:t>评标方法</w:t>
            </w:r>
          </w:p>
        </w:tc>
        <w:tc>
          <w:tcPr>
            <w:tcW w:w="7550" w:type="dxa"/>
            <w:vAlign w:val="center"/>
          </w:tcPr>
          <w:p w14:paraId="386FF29D">
            <w:pPr>
              <w:tabs>
                <w:tab w:val="right" w:leader="dot" w:pos="8295"/>
              </w:tabs>
              <w:snapToGrid w:val="0"/>
              <w:jc w:val="left"/>
              <w:rPr>
                <w:rFonts w:ascii="宋体" w:hAnsi="宋体" w:cs="宋体"/>
                <w:sz w:val="24"/>
              </w:rPr>
            </w:pPr>
            <w:r>
              <w:rPr>
                <w:rFonts w:hint="eastAsia" w:ascii="宋体" w:hAnsi="宋体" w:cs="宋体"/>
                <w:kern w:val="0"/>
                <w:sz w:val="24"/>
              </w:rPr>
              <w:t>见本招标文件第六章“评标办法”。</w:t>
            </w:r>
          </w:p>
        </w:tc>
      </w:tr>
      <w:tr w14:paraId="386E9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988" w:type="dxa"/>
            <w:vAlign w:val="center"/>
          </w:tcPr>
          <w:p w14:paraId="6DC8FD14">
            <w:pPr>
              <w:jc w:val="left"/>
              <w:rPr>
                <w:rFonts w:ascii="宋体" w:hAnsi="宋体" w:cs="宋体"/>
                <w:kern w:val="0"/>
                <w:sz w:val="24"/>
              </w:rPr>
            </w:pPr>
            <w:r>
              <w:rPr>
                <w:rFonts w:hint="eastAsia" w:ascii="宋体" w:hAnsi="宋体" w:cs="宋体"/>
                <w:kern w:val="0"/>
                <w:sz w:val="24"/>
              </w:rPr>
              <w:t>2.14.3</w:t>
            </w:r>
          </w:p>
        </w:tc>
        <w:tc>
          <w:tcPr>
            <w:tcW w:w="1530" w:type="dxa"/>
            <w:tcBorders>
              <w:left w:val="single" w:color="auto" w:sz="4" w:space="0"/>
              <w:right w:val="single" w:color="auto" w:sz="4" w:space="0"/>
            </w:tcBorders>
            <w:vAlign w:val="center"/>
          </w:tcPr>
          <w:p w14:paraId="60BB1DDE">
            <w:pPr>
              <w:jc w:val="left"/>
              <w:rPr>
                <w:rFonts w:ascii="宋体" w:hAnsi="宋体" w:cs="宋体"/>
                <w:sz w:val="24"/>
              </w:rPr>
            </w:pPr>
            <w:r>
              <w:rPr>
                <w:rFonts w:hint="eastAsia" w:ascii="宋体" w:hAnsi="宋体" w:cs="宋体"/>
                <w:sz w:val="24"/>
              </w:rPr>
              <w:t>中标候选人公示媒介</w:t>
            </w:r>
          </w:p>
        </w:tc>
        <w:tc>
          <w:tcPr>
            <w:tcW w:w="7550" w:type="dxa"/>
            <w:vAlign w:val="center"/>
          </w:tcPr>
          <w:p w14:paraId="165ACB1E">
            <w:pPr>
              <w:jc w:val="left"/>
              <w:rPr>
                <w:rFonts w:ascii="宋体" w:hAnsi="宋体" w:cs="宋体"/>
                <w:sz w:val="24"/>
              </w:rPr>
            </w:pPr>
            <w:r>
              <w:rPr>
                <w:rFonts w:hint="eastAsia" w:ascii="宋体" w:hAnsi="宋体" w:cs="宋体"/>
                <w:sz w:val="24"/>
              </w:rPr>
              <w:t>1、浙江省公共资源交易服务平台（</w:t>
            </w:r>
            <w:r>
              <w:rPr>
                <w:rStyle w:val="86"/>
                <w:rFonts w:hint="eastAsia" w:ascii="宋体" w:hAnsi="宋体" w:cs="宋体"/>
                <w:sz w:val="24"/>
              </w:rPr>
              <w:t>http://zjpubservice.zjzwfw.gov.cn/</w:t>
            </w:r>
            <w:r>
              <w:rPr>
                <w:rFonts w:hint="eastAsia" w:ascii="宋体" w:hAnsi="宋体" w:cs="宋体"/>
                <w:sz w:val="24"/>
              </w:rPr>
              <w:t>）</w:t>
            </w:r>
          </w:p>
          <w:p w14:paraId="35D1B764">
            <w:pPr>
              <w:jc w:val="left"/>
              <w:rPr>
                <w:rFonts w:ascii="宋体" w:hAnsi="宋体" w:cs="宋体"/>
                <w:sz w:val="24"/>
              </w:rPr>
            </w:pPr>
            <w:r>
              <w:rPr>
                <w:rFonts w:hint="eastAsia" w:ascii="宋体" w:hAnsi="宋体" w:cs="宋体"/>
                <w:sz w:val="24"/>
              </w:rPr>
              <w:t>2、衢州市市县一体公共资源交易平台（</w:t>
            </w:r>
            <w:r>
              <w:fldChar w:fldCharType="begin"/>
            </w:r>
            <w:r>
              <w:instrText xml:space="preserve"> HYPERLINK "http://ggzy.qz.gov.cn/" </w:instrText>
            </w:r>
            <w:r>
              <w:fldChar w:fldCharType="separate"/>
            </w:r>
            <w:r>
              <w:rPr>
                <w:rStyle w:val="86"/>
                <w:rFonts w:hint="eastAsia" w:ascii="宋体" w:hAnsi="宋体" w:cs="宋体"/>
                <w:sz w:val="24"/>
              </w:rPr>
              <w:t>http://ggzy.qz.gov.cn/</w:t>
            </w:r>
            <w:r>
              <w:rPr>
                <w:rStyle w:val="86"/>
                <w:rFonts w:hint="eastAsia" w:ascii="宋体" w:hAnsi="宋体" w:cs="宋体"/>
                <w:sz w:val="24"/>
              </w:rPr>
              <w:fldChar w:fldCharType="end"/>
            </w:r>
            <w:r>
              <w:rPr>
                <w:rFonts w:hint="eastAsia" w:ascii="宋体" w:hAnsi="宋体" w:cs="宋体"/>
                <w:sz w:val="24"/>
              </w:rPr>
              <w:t>）</w:t>
            </w:r>
          </w:p>
          <w:p w14:paraId="7DDFF498">
            <w:pPr>
              <w:jc w:val="left"/>
              <w:rPr>
                <w:rFonts w:ascii="宋体" w:hAnsi="宋体" w:cs="宋体"/>
                <w:sz w:val="24"/>
              </w:rPr>
            </w:pPr>
            <w:r>
              <w:rPr>
                <w:rFonts w:hint="eastAsia" w:ascii="宋体" w:hAnsi="宋体" w:cs="宋体"/>
                <w:sz w:val="24"/>
              </w:rPr>
              <w:t>3、巨化数字化招采平台（https://juhua.ccccnet.com）</w:t>
            </w:r>
          </w:p>
        </w:tc>
      </w:tr>
      <w:tr w14:paraId="2DFAB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88" w:type="dxa"/>
            <w:vAlign w:val="center"/>
          </w:tcPr>
          <w:p w14:paraId="1FF45EEC">
            <w:pPr>
              <w:jc w:val="left"/>
              <w:rPr>
                <w:rFonts w:ascii="宋体" w:hAnsi="宋体" w:cs="宋体"/>
                <w:kern w:val="0"/>
                <w:sz w:val="24"/>
              </w:rPr>
            </w:pPr>
            <w:r>
              <w:rPr>
                <w:rFonts w:hint="eastAsia" w:ascii="宋体" w:hAnsi="宋体" w:cs="宋体"/>
                <w:kern w:val="0"/>
                <w:sz w:val="24"/>
              </w:rPr>
              <w:t>2.15.1</w:t>
            </w:r>
          </w:p>
        </w:tc>
        <w:tc>
          <w:tcPr>
            <w:tcW w:w="1530" w:type="dxa"/>
            <w:tcBorders>
              <w:left w:val="single" w:color="auto" w:sz="4" w:space="0"/>
              <w:right w:val="single" w:color="auto" w:sz="4" w:space="0"/>
            </w:tcBorders>
            <w:vAlign w:val="center"/>
          </w:tcPr>
          <w:p w14:paraId="02E42AE3">
            <w:pPr>
              <w:jc w:val="left"/>
              <w:rPr>
                <w:rFonts w:ascii="宋体" w:hAnsi="宋体" w:cs="宋体"/>
                <w:kern w:val="0"/>
                <w:sz w:val="24"/>
              </w:rPr>
            </w:pPr>
            <w:r>
              <w:rPr>
                <w:rFonts w:hint="eastAsia" w:ascii="宋体" w:hAnsi="宋体" w:cs="宋体"/>
                <w:kern w:val="0"/>
                <w:sz w:val="24"/>
              </w:rPr>
              <w:t>履约保证金</w:t>
            </w:r>
          </w:p>
        </w:tc>
        <w:tc>
          <w:tcPr>
            <w:tcW w:w="7550" w:type="dxa"/>
            <w:vAlign w:val="center"/>
          </w:tcPr>
          <w:p w14:paraId="374DC1CB">
            <w:pPr>
              <w:jc w:val="left"/>
              <w:rPr>
                <w:rFonts w:ascii="宋体" w:hAnsi="宋体" w:cs="宋体"/>
                <w:kern w:val="0"/>
                <w:sz w:val="24"/>
              </w:rPr>
            </w:pPr>
            <w:r>
              <w:rPr>
                <w:rFonts w:hint="eastAsia" w:ascii="宋体" w:hAnsi="宋体" w:cs="宋体"/>
                <w:kern w:val="0"/>
                <w:sz w:val="24"/>
              </w:rPr>
              <w:t>1、履约保证金的金额：合同总价的10％</w:t>
            </w:r>
          </w:p>
          <w:p w14:paraId="38FB8D51">
            <w:pPr>
              <w:jc w:val="left"/>
              <w:rPr>
                <w:rFonts w:ascii="宋体" w:hAnsi="宋体" w:cs="宋体"/>
                <w:kern w:val="0"/>
                <w:sz w:val="24"/>
              </w:rPr>
            </w:pPr>
            <w:r>
              <w:rPr>
                <w:rFonts w:hint="eastAsia" w:ascii="宋体" w:hAnsi="宋体" w:cs="宋体"/>
                <w:kern w:val="0"/>
                <w:sz w:val="24"/>
              </w:rPr>
              <w:t>2、履约保证金的形式：现金</w:t>
            </w:r>
          </w:p>
          <w:p w14:paraId="441C417C">
            <w:pPr>
              <w:jc w:val="left"/>
              <w:rPr>
                <w:rFonts w:ascii="宋体" w:hAnsi="宋体" w:cs="宋体"/>
                <w:kern w:val="0"/>
                <w:sz w:val="24"/>
              </w:rPr>
            </w:pPr>
            <w:r>
              <w:rPr>
                <w:rFonts w:hint="eastAsia" w:ascii="宋体" w:hAnsi="宋体" w:cs="宋体"/>
                <w:kern w:val="0"/>
                <w:sz w:val="24"/>
              </w:rPr>
              <w:t>3、提交时间：在签订合同的同时。</w:t>
            </w:r>
          </w:p>
        </w:tc>
      </w:tr>
      <w:tr w14:paraId="244F74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88" w:type="dxa"/>
            <w:vAlign w:val="center"/>
          </w:tcPr>
          <w:p w14:paraId="65658D53">
            <w:pPr>
              <w:jc w:val="left"/>
              <w:rPr>
                <w:rFonts w:ascii="宋体" w:hAnsi="宋体" w:cs="宋体"/>
                <w:kern w:val="0"/>
                <w:sz w:val="24"/>
              </w:rPr>
            </w:pPr>
            <w:r>
              <w:rPr>
                <w:rFonts w:hint="eastAsia" w:ascii="宋体" w:hAnsi="宋体" w:cs="宋体"/>
                <w:kern w:val="0"/>
                <w:sz w:val="24"/>
              </w:rPr>
              <w:t>2.15.2</w:t>
            </w:r>
          </w:p>
        </w:tc>
        <w:tc>
          <w:tcPr>
            <w:tcW w:w="1530" w:type="dxa"/>
            <w:tcBorders>
              <w:left w:val="single" w:color="auto" w:sz="4" w:space="0"/>
              <w:right w:val="single" w:color="auto" w:sz="4" w:space="0"/>
            </w:tcBorders>
            <w:vAlign w:val="center"/>
          </w:tcPr>
          <w:p w14:paraId="05F4395C">
            <w:pPr>
              <w:jc w:val="left"/>
              <w:rPr>
                <w:rFonts w:ascii="宋体" w:hAnsi="宋体" w:cs="宋体"/>
                <w:kern w:val="0"/>
                <w:sz w:val="24"/>
              </w:rPr>
            </w:pPr>
            <w:r>
              <w:rPr>
                <w:rFonts w:hint="eastAsia" w:ascii="宋体" w:hAnsi="宋体" w:cs="宋体"/>
                <w:kern w:val="0"/>
                <w:sz w:val="24"/>
              </w:rPr>
              <w:t>不再招标的情形</w:t>
            </w:r>
          </w:p>
        </w:tc>
        <w:tc>
          <w:tcPr>
            <w:tcW w:w="7550" w:type="dxa"/>
            <w:vAlign w:val="center"/>
          </w:tcPr>
          <w:p w14:paraId="1F1EB41B">
            <w:pPr>
              <w:jc w:val="left"/>
              <w:rPr>
                <w:rFonts w:ascii="宋体" w:hAnsi="宋体" w:cs="宋体"/>
                <w:kern w:val="0"/>
                <w:sz w:val="24"/>
              </w:rPr>
            </w:pPr>
            <w:r>
              <w:rPr>
                <w:rFonts w:hint="eastAsia" w:ascii="宋体" w:hAnsi="宋体" w:cs="宋体"/>
                <w:kern w:val="0"/>
                <w:sz w:val="24"/>
              </w:rPr>
              <w:t>重新招标后投标人仍少于3个的，经原审批或核准部门批准后不再进行招标。</w:t>
            </w:r>
          </w:p>
        </w:tc>
      </w:tr>
      <w:tr w14:paraId="18AF92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988" w:type="dxa"/>
            <w:vAlign w:val="center"/>
          </w:tcPr>
          <w:p w14:paraId="4D8E1856">
            <w:pPr>
              <w:jc w:val="left"/>
              <w:rPr>
                <w:rFonts w:ascii="宋体" w:hAnsi="宋体" w:cs="宋体"/>
                <w:kern w:val="0"/>
                <w:sz w:val="24"/>
              </w:rPr>
            </w:pPr>
            <w:r>
              <w:rPr>
                <w:rFonts w:hint="eastAsia" w:ascii="宋体" w:hAnsi="宋体" w:cs="宋体"/>
                <w:kern w:val="0"/>
                <w:sz w:val="24"/>
              </w:rPr>
              <w:t>2.15.3</w:t>
            </w:r>
          </w:p>
        </w:tc>
        <w:tc>
          <w:tcPr>
            <w:tcW w:w="1530" w:type="dxa"/>
            <w:tcBorders>
              <w:left w:val="single" w:color="auto" w:sz="4" w:space="0"/>
              <w:right w:val="single" w:color="auto" w:sz="4" w:space="0"/>
            </w:tcBorders>
            <w:vAlign w:val="center"/>
          </w:tcPr>
          <w:p w14:paraId="34EAA675">
            <w:pPr>
              <w:jc w:val="left"/>
              <w:rPr>
                <w:rFonts w:ascii="宋体" w:hAnsi="宋体" w:cs="宋体"/>
                <w:kern w:val="0"/>
                <w:sz w:val="24"/>
              </w:rPr>
            </w:pPr>
            <w:r>
              <w:rPr>
                <w:rFonts w:hint="eastAsia" w:ascii="宋体" w:hAnsi="宋体" w:cs="宋体"/>
                <w:kern w:val="0"/>
                <w:sz w:val="24"/>
              </w:rPr>
              <w:t>异议与投诉</w:t>
            </w:r>
          </w:p>
        </w:tc>
        <w:tc>
          <w:tcPr>
            <w:tcW w:w="7550" w:type="dxa"/>
            <w:vAlign w:val="center"/>
          </w:tcPr>
          <w:p w14:paraId="0A5AB85F">
            <w:pPr>
              <w:jc w:val="left"/>
              <w:rPr>
                <w:rFonts w:ascii="宋体" w:hAnsi="宋体" w:cs="宋体"/>
                <w:kern w:val="0"/>
                <w:sz w:val="24"/>
              </w:rPr>
            </w:pPr>
            <w:r>
              <w:rPr>
                <w:rFonts w:hint="eastAsia" w:ascii="宋体" w:hAnsi="宋体" w:cs="宋体"/>
                <w:kern w:val="0"/>
                <w:sz w:val="24"/>
              </w:rPr>
              <w:t>一、异议</w:t>
            </w:r>
          </w:p>
          <w:p w14:paraId="644FFB8D">
            <w:pPr>
              <w:jc w:val="left"/>
              <w:rPr>
                <w:rFonts w:ascii="宋体" w:hAnsi="宋体" w:cs="宋体"/>
                <w:kern w:val="0"/>
                <w:sz w:val="24"/>
              </w:rPr>
            </w:pPr>
            <w:r>
              <w:rPr>
                <w:rFonts w:hint="eastAsia" w:ascii="宋体" w:hAnsi="宋体" w:cs="宋体"/>
                <w:kern w:val="0"/>
                <w:sz w:val="24"/>
              </w:rPr>
              <w:t>潜在投标人或者其他利害关系人对招标文件有异议的，应当在投标截止时间10日前以书面形式向招标人或招标代理公司提出。招标人将在收到异议之日起3日内作出书面答复；作出答复前，暂停招标投标活动。</w:t>
            </w:r>
          </w:p>
          <w:p w14:paraId="43D3850F">
            <w:pPr>
              <w:jc w:val="left"/>
              <w:rPr>
                <w:rFonts w:ascii="宋体" w:hAnsi="宋体" w:cs="宋体"/>
                <w:kern w:val="0"/>
                <w:sz w:val="24"/>
              </w:rPr>
            </w:pPr>
            <w:r>
              <w:rPr>
                <w:rFonts w:hint="eastAsia" w:ascii="宋体" w:hAnsi="宋体" w:cs="宋体"/>
                <w:kern w:val="0"/>
                <w:sz w:val="24"/>
              </w:rPr>
              <w:t>（二）投标人认为开标不符合有关规定的，应当在开标现场提出异议。招标人将当场对异议给予处理或者告知处理的办法。异议和答复应记入开标记录或者制作专门记录以存档备查。</w:t>
            </w:r>
          </w:p>
          <w:p w14:paraId="3EFB3110">
            <w:pPr>
              <w:jc w:val="left"/>
              <w:rPr>
                <w:rFonts w:ascii="宋体" w:hAnsi="宋体" w:cs="宋体"/>
                <w:kern w:val="0"/>
                <w:sz w:val="24"/>
              </w:rPr>
            </w:pPr>
            <w:r>
              <w:rPr>
                <w:rFonts w:hint="eastAsia" w:ascii="宋体" w:hAnsi="宋体" w:cs="宋体"/>
                <w:kern w:val="0"/>
                <w:sz w:val="24"/>
              </w:rPr>
              <w:t>（三）投标人及其他利害关系人对评标结果有异议的，应当在中标候选人公示期内以书面形式向招标人或招标代理公司提出。招标人将在收到异议之日起3日内作出书面答复；作出答复前，暂停招标投标活动。</w:t>
            </w:r>
          </w:p>
          <w:p w14:paraId="4EBBC222">
            <w:pPr>
              <w:jc w:val="left"/>
              <w:rPr>
                <w:rFonts w:ascii="宋体" w:hAnsi="宋体" w:cs="宋体"/>
                <w:kern w:val="0"/>
                <w:sz w:val="24"/>
              </w:rPr>
            </w:pPr>
            <w:r>
              <w:rPr>
                <w:rFonts w:hint="eastAsia" w:ascii="宋体" w:hAnsi="宋体" w:cs="宋体"/>
                <w:kern w:val="0"/>
                <w:sz w:val="24"/>
              </w:rPr>
              <w:t>（四）对招标文件、评标结果的异议，提出和答复的形式可通过衢州市市县一体公共资源交易平台电子交易系统或书面形式。</w:t>
            </w:r>
          </w:p>
          <w:p w14:paraId="4738657A">
            <w:pPr>
              <w:jc w:val="left"/>
              <w:rPr>
                <w:rFonts w:ascii="宋体" w:hAnsi="宋体" w:cs="宋体"/>
                <w:kern w:val="0"/>
                <w:sz w:val="24"/>
              </w:rPr>
            </w:pPr>
            <w:r>
              <w:rPr>
                <w:rFonts w:hint="eastAsia" w:ascii="宋体" w:hAnsi="宋体" w:cs="宋体"/>
                <w:kern w:val="0"/>
                <w:sz w:val="24"/>
              </w:rPr>
              <w:t>二、投诉</w:t>
            </w:r>
          </w:p>
          <w:p w14:paraId="64EDD05C">
            <w:pPr>
              <w:jc w:val="left"/>
              <w:rPr>
                <w:rFonts w:ascii="宋体" w:hAnsi="宋体" w:cs="宋体"/>
                <w:kern w:val="0"/>
                <w:sz w:val="24"/>
              </w:rPr>
            </w:pPr>
            <w:r>
              <w:rPr>
                <w:rFonts w:hint="eastAsia" w:ascii="宋体" w:hAnsi="宋体" w:cs="宋体"/>
                <w:kern w:val="0"/>
                <w:sz w:val="24"/>
              </w:rPr>
              <w:t>投标人或者其他利害关系人认为招标投标活动不符合法律、行政法规和招标文件规定的，可以自知道或者应当知道之日起10日内向有关行政监督部门投诉。投诉应当有明确的请求和必要的证明资料，具体要求按《工程建设项目招标投标活动投诉处理办法》规定。就招标文件、开标和评标结果投诉的，应当先向招标人提出异议，异议答复期不计算在前款规定的期限内。</w:t>
            </w:r>
          </w:p>
          <w:p w14:paraId="2AB205BF">
            <w:pPr>
              <w:pStyle w:val="728"/>
              <w:ind w:right="241" w:firstLineChars="200"/>
              <w:jc w:val="left"/>
              <w:rPr>
                <w:rFonts w:cs="宋体"/>
              </w:rPr>
            </w:pPr>
            <w:r>
              <w:rPr>
                <w:rFonts w:hint="eastAsia" w:cs="宋体"/>
              </w:rPr>
              <w:t>三、上述时限最后一日如遇国家法定节假日的，顺延至法定节假日后的第一个工作日。</w:t>
            </w:r>
          </w:p>
        </w:tc>
      </w:tr>
      <w:tr w14:paraId="29A4E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988" w:type="dxa"/>
            <w:vAlign w:val="center"/>
          </w:tcPr>
          <w:p w14:paraId="45144D00">
            <w:pPr>
              <w:tabs>
                <w:tab w:val="right" w:leader="dot" w:pos="8295"/>
              </w:tabs>
              <w:snapToGrid w:val="0"/>
              <w:jc w:val="left"/>
              <w:rPr>
                <w:rFonts w:ascii="宋体" w:hAnsi="宋体" w:cs="宋体"/>
                <w:kern w:val="0"/>
                <w:sz w:val="24"/>
              </w:rPr>
            </w:pPr>
            <w:r>
              <w:rPr>
                <w:rFonts w:hint="eastAsia" w:ascii="宋体" w:hAnsi="宋体" w:cs="宋体"/>
                <w:kern w:val="0"/>
                <w:sz w:val="24"/>
              </w:rPr>
              <w:t>2.15.4</w:t>
            </w:r>
          </w:p>
        </w:tc>
        <w:tc>
          <w:tcPr>
            <w:tcW w:w="1530" w:type="dxa"/>
            <w:tcBorders>
              <w:left w:val="single" w:color="auto" w:sz="4" w:space="0"/>
              <w:right w:val="single" w:color="auto" w:sz="4" w:space="0"/>
            </w:tcBorders>
            <w:vAlign w:val="center"/>
          </w:tcPr>
          <w:p w14:paraId="3394826B">
            <w:pPr>
              <w:tabs>
                <w:tab w:val="right" w:leader="dot" w:pos="8295"/>
              </w:tabs>
              <w:ind w:firstLine="240" w:firstLineChars="100"/>
              <w:jc w:val="left"/>
              <w:rPr>
                <w:rFonts w:ascii="宋体" w:hAnsi="宋体" w:cs="宋体"/>
                <w:kern w:val="0"/>
                <w:sz w:val="24"/>
              </w:rPr>
            </w:pPr>
            <w:r>
              <w:rPr>
                <w:rFonts w:hint="eastAsia" w:ascii="宋体" w:hAnsi="宋体" w:cs="宋体"/>
                <w:kern w:val="0"/>
                <w:sz w:val="24"/>
              </w:rPr>
              <w:t>定标</w:t>
            </w:r>
          </w:p>
        </w:tc>
        <w:tc>
          <w:tcPr>
            <w:tcW w:w="7550" w:type="dxa"/>
            <w:vAlign w:val="center"/>
          </w:tcPr>
          <w:p w14:paraId="77363843">
            <w:pPr>
              <w:tabs>
                <w:tab w:val="right" w:leader="dot" w:pos="8295"/>
              </w:tabs>
              <w:snapToGrid w:val="0"/>
              <w:ind w:firstLine="511"/>
              <w:jc w:val="left"/>
              <w:rPr>
                <w:rFonts w:ascii="宋体" w:hAnsi="宋体" w:cs="宋体"/>
                <w:kern w:val="0"/>
                <w:sz w:val="24"/>
              </w:rPr>
            </w:pPr>
            <w:r>
              <w:rPr>
                <w:rFonts w:hint="eastAsia" w:ascii="宋体" w:hAnsi="宋体" w:cs="宋体"/>
                <w:kern w:val="0"/>
                <w:sz w:val="24"/>
              </w:rPr>
              <w:t>招标人将确定评标委员会推荐的中标候选人为中标人。中标候选人放弃中标、因不可抗力不能履行合同、不按照招标文件要求提交履约保证金，或者被查实存在影响中标结果的违法行为等情形，不符合中标条件的，招标人将重新招标。</w:t>
            </w:r>
          </w:p>
        </w:tc>
      </w:tr>
      <w:tr w14:paraId="00858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jc w:val="center"/>
        </w:trPr>
        <w:tc>
          <w:tcPr>
            <w:tcW w:w="988" w:type="dxa"/>
            <w:vAlign w:val="center"/>
          </w:tcPr>
          <w:p w14:paraId="2578F5C6">
            <w:pPr>
              <w:tabs>
                <w:tab w:val="right" w:leader="dot" w:pos="8295"/>
              </w:tabs>
              <w:snapToGrid w:val="0"/>
              <w:jc w:val="left"/>
              <w:rPr>
                <w:rFonts w:ascii="宋体" w:hAnsi="宋体" w:cs="宋体"/>
                <w:kern w:val="0"/>
                <w:sz w:val="24"/>
              </w:rPr>
            </w:pPr>
            <w:r>
              <w:rPr>
                <w:rFonts w:hint="eastAsia" w:ascii="宋体" w:hAnsi="宋体" w:cs="宋体"/>
                <w:kern w:val="0"/>
                <w:sz w:val="24"/>
              </w:rPr>
              <w:t>2.16.1</w:t>
            </w:r>
          </w:p>
        </w:tc>
        <w:tc>
          <w:tcPr>
            <w:tcW w:w="1530" w:type="dxa"/>
            <w:tcBorders>
              <w:left w:val="single" w:color="auto" w:sz="4" w:space="0"/>
              <w:right w:val="single" w:color="auto" w:sz="4" w:space="0"/>
            </w:tcBorders>
            <w:vAlign w:val="center"/>
          </w:tcPr>
          <w:p w14:paraId="2BB8FAF3">
            <w:pPr>
              <w:tabs>
                <w:tab w:val="right" w:leader="dot" w:pos="8295"/>
              </w:tabs>
              <w:snapToGrid w:val="0"/>
              <w:ind w:firstLine="240" w:firstLineChars="100"/>
              <w:jc w:val="left"/>
              <w:rPr>
                <w:rFonts w:ascii="宋体" w:hAnsi="宋体" w:cs="宋体"/>
                <w:kern w:val="0"/>
                <w:sz w:val="24"/>
              </w:rPr>
            </w:pPr>
            <w:r>
              <w:rPr>
                <w:rFonts w:hint="eastAsia" w:ascii="宋体" w:hAnsi="宋体" w:cs="宋体"/>
                <w:kern w:val="0"/>
                <w:sz w:val="24"/>
              </w:rPr>
              <w:t>解释权</w:t>
            </w:r>
          </w:p>
        </w:tc>
        <w:tc>
          <w:tcPr>
            <w:tcW w:w="7550" w:type="dxa"/>
            <w:vAlign w:val="center"/>
          </w:tcPr>
          <w:p w14:paraId="49641334">
            <w:pPr>
              <w:tabs>
                <w:tab w:val="right" w:leader="dot" w:pos="8295"/>
              </w:tabs>
              <w:snapToGrid w:val="0"/>
              <w:ind w:firstLine="511"/>
              <w:jc w:val="left"/>
              <w:rPr>
                <w:rFonts w:ascii="宋体" w:hAnsi="宋体" w:cs="宋体"/>
                <w:kern w:val="0"/>
                <w:sz w:val="24"/>
              </w:rPr>
            </w:pPr>
            <w:r>
              <w:rPr>
                <w:rFonts w:hint="eastAsia" w:ascii="宋体" w:hAnsi="宋体" w:cs="宋体"/>
                <w:kern w:val="0"/>
                <w:sz w:val="24"/>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邀请书）、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14:paraId="4406D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88" w:type="dxa"/>
            <w:vAlign w:val="center"/>
          </w:tcPr>
          <w:p w14:paraId="14854B10">
            <w:pPr>
              <w:jc w:val="left"/>
              <w:rPr>
                <w:rFonts w:ascii="宋体" w:hAnsi="宋体" w:cs="宋体"/>
                <w:kern w:val="0"/>
                <w:sz w:val="24"/>
              </w:rPr>
            </w:pPr>
            <w:r>
              <w:rPr>
                <w:rFonts w:hint="eastAsia" w:ascii="宋体" w:hAnsi="宋体" w:cs="宋体"/>
                <w:kern w:val="0"/>
                <w:sz w:val="24"/>
              </w:rPr>
              <w:t>2.16.2</w:t>
            </w:r>
          </w:p>
        </w:tc>
        <w:tc>
          <w:tcPr>
            <w:tcW w:w="1530" w:type="dxa"/>
            <w:tcBorders>
              <w:left w:val="single" w:color="auto" w:sz="4" w:space="0"/>
              <w:right w:val="single" w:color="auto" w:sz="4" w:space="0"/>
            </w:tcBorders>
            <w:vAlign w:val="center"/>
          </w:tcPr>
          <w:p w14:paraId="1AFB5600">
            <w:pPr>
              <w:jc w:val="left"/>
              <w:rPr>
                <w:rFonts w:ascii="宋体" w:hAnsi="宋体" w:cs="宋体"/>
                <w:sz w:val="24"/>
              </w:rPr>
            </w:pPr>
            <w:r>
              <w:rPr>
                <w:rFonts w:hint="eastAsia" w:ascii="宋体" w:hAnsi="宋体" w:cs="宋体"/>
                <w:sz w:val="24"/>
              </w:rPr>
              <w:t>知识产权</w:t>
            </w:r>
          </w:p>
        </w:tc>
        <w:tc>
          <w:tcPr>
            <w:tcW w:w="7550" w:type="dxa"/>
            <w:vAlign w:val="center"/>
          </w:tcPr>
          <w:p w14:paraId="0AFDA69B">
            <w:pPr>
              <w:jc w:val="left"/>
              <w:rPr>
                <w:rFonts w:ascii="宋体" w:hAnsi="宋体" w:cs="宋体"/>
                <w:b/>
                <w:kern w:val="144"/>
                <w:sz w:val="24"/>
              </w:rPr>
            </w:pPr>
            <w:r>
              <w:rPr>
                <w:rFonts w:hint="eastAsia" w:ascii="宋体" w:hAnsi="宋体" w:cs="宋体"/>
                <w:sz w:val="24"/>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tc>
      </w:tr>
      <w:tr w14:paraId="54BA0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988" w:type="dxa"/>
            <w:vAlign w:val="center"/>
          </w:tcPr>
          <w:p w14:paraId="64ACB548">
            <w:pPr>
              <w:jc w:val="left"/>
              <w:rPr>
                <w:rFonts w:ascii="宋体" w:hAnsi="宋体" w:cs="宋体"/>
                <w:kern w:val="0"/>
                <w:sz w:val="24"/>
              </w:rPr>
            </w:pPr>
            <w:r>
              <w:rPr>
                <w:rFonts w:hint="eastAsia" w:ascii="宋体" w:hAnsi="宋体" w:cs="宋体"/>
                <w:kern w:val="0"/>
                <w:sz w:val="24"/>
              </w:rPr>
              <w:t>2.16.3</w:t>
            </w:r>
          </w:p>
        </w:tc>
        <w:tc>
          <w:tcPr>
            <w:tcW w:w="1530" w:type="dxa"/>
            <w:tcBorders>
              <w:left w:val="single" w:color="auto" w:sz="4" w:space="0"/>
              <w:right w:val="single" w:color="auto" w:sz="4" w:space="0"/>
            </w:tcBorders>
            <w:vAlign w:val="center"/>
          </w:tcPr>
          <w:p w14:paraId="609C2DBE">
            <w:pPr>
              <w:jc w:val="left"/>
              <w:rPr>
                <w:rFonts w:ascii="宋体" w:hAnsi="宋体" w:cs="宋体"/>
                <w:sz w:val="24"/>
              </w:rPr>
            </w:pPr>
            <w:r>
              <w:rPr>
                <w:rFonts w:hint="eastAsia" w:ascii="宋体" w:hAnsi="宋体" w:cs="宋体"/>
                <w:sz w:val="24"/>
              </w:rPr>
              <w:t>合同签署</w:t>
            </w:r>
          </w:p>
        </w:tc>
        <w:tc>
          <w:tcPr>
            <w:tcW w:w="7550" w:type="dxa"/>
            <w:vAlign w:val="center"/>
          </w:tcPr>
          <w:p w14:paraId="6732E703">
            <w:pPr>
              <w:jc w:val="left"/>
              <w:rPr>
                <w:rFonts w:ascii="宋体" w:hAnsi="宋体" w:cs="宋体"/>
                <w:sz w:val="24"/>
              </w:rPr>
            </w:pPr>
            <w:r>
              <w:rPr>
                <w:rFonts w:hint="eastAsia" w:ascii="宋体" w:hAnsi="宋体" w:cs="宋体"/>
                <w:sz w:val="24"/>
              </w:rPr>
              <w:t>本项目由浙江巨化化工材料有限公司签署合同。</w:t>
            </w:r>
          </w:p>
        </w:tc>
      </w:tr>
      <w:tr w14:paraId="29CC5C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988" w:type="dxa"/>
            <w:vAlign w:val="center"/>
          </w:tcPr>
          <w:p w14:paraId="785FEC95">
            <w:pPr>
              <w:jc w:val="left"/>
              <w:rPr>
                <w:rFonts w:ascii="宋体" w:hAnsi="宋体" w:cs="宋体"/>
                <w:kern w:val="0"/>
                <w:sz w:val="24"/>
              </w:rPr>
            </w:pPr>
            <w:r>
              <w:rPr>
                <w:rFonts w:hint="eastAsia" w:ascii="宋体" w:hAnsi="宋体" w:cs="宋体"/>
                <w:kern w:val="0"/>
                <w:sz w:val="24"/>
              </w:rPr>
              <w:t>2.16.4</w:t>
            </w:r>
          </w:p>
        </w:tc>
        <w:tc>
          <w:tcPr>
            <w:tcW w:w="1530" w:type="dxa"/>
            <w:tcBorders>
              <w:left w:val="single" w:color="auto" w:sz="4" w:space="0"/>
              <w:right w:val="single" w:color="auto" w:sz="4" w:space="0"/>
            </w:tcBorders>
            <w:vAlign w:val="center"/>
          </w:tcPr>
          <w:p w14:paraId="0E3682DE">
            <w:pPr>
              <w:jc w:val="left"/>
              <w:rPr>
                <w:rFonts w:ascii="宋体" w:hAnsi="宋体" w:cs="宋体"/>
                <w:sz w:val="24"/>
              </w:rPr>
            </w:pPr>
            <w:r>
              <w:rPr>
                <w:rFonts w:hint="eastAsia" w:ascii="宋体" w:hAnsi="宋体" w:cs="宋体"/>
                <w:sz w:val="24"/>
              </w:rPr>
              <w:t>监督</w:t>
            </w:r>
          </w:p>
        </w:tc>
        <w:tc>
          <w:tcPr>
            <w:tcW w:w="7550" w:type="dxa"/>
            <w:vAlign w:val="center"/>
          </w:tcPr>
          <w:p w14:paraId="16288C9F">
            <w:pPr>
              <w:jc w:val="left"/>
              <w:rPr>
                <w:rFonts w:ascii="宋体" w:hAnsi="宋体" w:cs="宋体"/>
                <w:sz w:val="24"/>
              </w:rPr>
            </w:pPr>
            <w:r>
              <w:rPr>
                <w:rFonts w:hint="eastAsia" w:ascii="宋体" w:hAnsi="宋体" w:cs="宋体"/>
                <w:sz w:val="24"/>
              </w:rPr>
              <w:t>本项目的招标投标活动及其相关当事人应当接受有管辖权的相关监督部门依法实施的监督。</w:t>
            </w:r>
          </w:p>
        </w:tc>
      </w:tr>
      <w:tr w14:paraId="2B057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jc w:val="center"/>
        </w:trPr>
        <w:tc>
          <w:tcPr>
            <w:tcW w:w="988" w:type="dxa"/>
            <w:vAlign w:val="center"/>
          </w:tcPr>
          <w:p w14:paraId="786E710D">
            <w:pPr>
              <w:jc w:val="left"/>
              <w:rPr>
                <w:rFonts w:ascii="宋体" w:hAnsi="宋体" w:cs="宋体"/>
                <w:kern w:val="0"/>
                <w:sz w:val="24"/>
              </w:rPr>
            </w:pPr>
            <w:r>
              <w:rPr>
                <w:rFonts w:hint="eastAsia" w:ascii="宋体" w:hAnsi="宋体" w:cs="宋体"/>
                <w:kern w:val="0"/>
                <w:sz w:val="24"/>
              </w:rPr>
              <w:t>*2.17.1</w:t>
            </w:r>
          </w:p>
        </w:tc>
        <w:tc>
          <w:tcPr>
            <w:tcW w:w="1530" w:type="dxa"/>
            <w:tcBorders>
              <w:left w:val="single" w:color="auto" w:sz="4" w:space="0"/>
              <w:right w:val="single" w:color="auto" w:sz="4" w:space="0"/>
            </w:tcBorders>
            <w:vAlign w:val="center"/>
          </w:tcPr>
          <w:p w14:paraId="73BD8936">
            <w:pPr>
              <w:jc w:val="left"/>
              <w:rPr>
                <w:rFonts w:ascii="宋体" w:hAnsi="宋体" w:cs="宋体"/>
                <w:b/>
                <w:kern w:val="0"/>
                <w:sz w:val="24"/>
              </w:rPr>
            </w:pPr>
            <w:r>
              <w:rPr>
                <w:rFonts w:hint="eastAsia" w:ascii="宋体" w:hAnsi="宋体" w:cs="宋体"/>
                <w:b/>
                <w:kern w:val="0"/>
                <w:sz w:val="24"/>
              </w:rPr>
              <w:t>特别说明</w:t>
            </w:r>
          </w:p>
        </w:tc>
        <w:tc>
          <w:tcPr>
            <w:tcW w:w="7550" w:type="dxa"/>
            <w:vAlign w:val="center"/>
          </w:tcPr>
          <w:p w14:paraId="33BD9368">
            <w:pPr>
              <w:pStyle w:val="179"/>
              <w:ind w:firstLine="482"/>
              <w:rPr>
                <w:b/>
                <w:kern w:val="144"/>
                <w:sz w:val="24"/>
              </w:rPr>
            </w:pPr>
            <w:r>
              <w:rPr>
                <w:rFonts w:hint="eastAsia"/>
                <w:b/>
                <w:kern w:val="144"/>
                <w:sz w:val="24"/>
              </w:rPr>
              <w:t>本次招标采用资格后审，应按招标文件第三章第三节14条“投标文件的组成”提供相应的资料，否则将会导致投标文件被拒绝。</w:t>
            </w:r>
          </w:p>
        </w:tc>
      </w:tr>
      <w:tr w14:paraId="4514D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988" w:type="dxa"/>
            <w:vAlign w:val="center"/>
          </w:tcPr>
          <w:p w14:paraId="3E0EEB75">
            <w:pPr>
              <w:jc w:val="left"/>
              <w:rPr>
                <w:rFonts w:ascii="宋体" w:hAnsi="宋体" w:cs="宋体"/>
                <w:kern w:val="0"/>
                <w:sz w:val="24"/>
              </w:rPr>
            </w:pPr>
            <w:r>
              <w:rPr>
                <w:rFonts w:hint="eastAsia" w:ascii="宋体" w:hAnsi="宋体" w:cs="宋体"/>
                <w:kern w:val="0"/>
                <w:sz w:val="24"/>
              </w:rPr>
              <w:t>2.17.2</w:t>
            </w:r>
          </w:p>
        </w:tc>
        <w:tc>
          <w:tcPr>
            <w:tcW w:w="1530" w:type="dxa"/>
            <w:tcBorders>
              <w:left w:val="single" w:color="auto" w:sz="4" w:space="0"/>
              <w:right w:val="single" w:color="auto" w:sz="4" w:space="0"/>
            </w:tcBorders>
            <w:vAlign w:val="center"/>
          </w:tcPr>
          <w:p w14:paraId="07B2E333">
            <w:pPr>
              <w:jc w:val="left"/>
              <w:rPr>
                <w:rFonts w:ascii="宋体" w:hAnsi="宋体" w:cs="宋体"/>
                <w:b/>
                <w:kern w:val="0"/>
                <w:sz w:val="24"/>
              </w:rPr>
            </w:pPr>
            <w:r>
              <w:rPr>
                <w:rFonts w:hint="eastAsia" w:ascii="宋体" w:hAnsi="宋体" w:cs="宋体"/>
                <w:b/>
                <w:kern w:val="0"/>
                <w:sz w:val="24"/>
              </w:rPr>
              <w:t>不见面开标特别说明</w:t>
            </w:r>
          </w:p>
        </w:tc>
        <w:tc>
          <w:tcPr>
            <w:tcW w:w="7550" w:type="dxa"/>
            <w:vAlign w:val="center"/>
          </w:tcPr>
          <w:p w14:paraId="0D590562">
            <w:pPr>
              <w:jc w:val="left"/>
              <w:rPr>
                <w:rFonts w:ascii="宋体" w:hAnsi="宋体" w:cs="宋体"/>
                <w:b/>
                <w:kern w:val="144"/>
                <w:sz w:val="24"/>
              </w:rPr>
            </w:pPr>
            <w:r>
              <w:rPr>
                <w:rFonts w:hint="eastAsia" w:ascii="宋体" w:hAnsi="宋体" w:cs="宋体"/>
                <w:b/>
                <w:kern w:val="144"/>
                <w:sz w:val="24"/>
              </w:rPr>
              <w:t>因本项目采用不见面交易模式，故招标人特别说明如下：</w:t>
            </w:r>
          </w:p>
          <w:p w14:paraId="3B8796E9">
            <w:pPr>
              <w:jc w:val="left"/>
              <w:rPr>
                <w:rFonts w:ascii="宋体" w:hAnsi="宋体" w:cs="宋体"/>
                <w:b/>
                <w:kern w:val="144"/>
                <w:sz w:val="24"/>
              </w:rPr>
            </w:pPr>
            <w:r>
              <w:rPr>
                <w:rFonts w:hint="eastAsia" w:ascii="宋体" w:hAnsi="宋体" w:cs="宋体"/>
                <w:b/>
                <w:kern w:val="144"/>
                <w:sz w:val="24"/>
              </w:rPr>
              <w:t>1、不见面开标项目的时间以衢州市市县一体公共资源交易平台不见面开标系统显示的时间为准。</w:t>
            </w:r>
          </w:p>
          <w:p w14:paraId="6CC7B07B">
            <w:pPr>
              <w:jc w:val="left"/>
              <w:rPr>
                <w:rFonts w:ascii="宋体" w:hAnsi="宋体" w:cs="宋体"/>
                <w:b/>
                <w:kern w:val="144"/>
                <w:sz w:val="24"/>
              </w:rPr>
            </w:pPr>
            <w:r>
              <w:rPr>
                <w:rFonts w:hint="eastAsia" w:ascii="宋体" w:hAnsi="宋体" w:cs="宋体"/>
                <w:b/>
                <w:kern w:val="144"/>
                <w:sz w:val="24"/>
              </w:rPr>
              <w:t>2、递交投标文件时，请使用衢州市公共资源交易平台投标文件上传模块中的模拟解密功能，如能正常解密，说明本机满足远程自助解密要求。</w:t>
            </w:r>
          </w:p>
          <w:p w14:paraId="09A53EAB">
            <w:pPr>
              <w:jc w:val="left"/>
              <w:rPr>
                <w:rFonts w:ascii="宋体" w:hAnsi="宋体" w:cs="宋体"/>
                <w:b/>
                <w:kern w:val="144"/>
                <w:sz w:val="24"/>
              </w:rPr>
            </w:pPr>
            <w:r>
              <w:rPr>
                <w:rFonts w:hint="eastAsia" w:ascii="宋体" w:hAnsi="宋体" w:cs="宋体"/>
                <w:b/>
                <w:kern w:val="144"/>
                <w:sz w:val="24"/>
              </w:rPr>
              <w:t>3、投标人通过衢州市公共资源交易平台系统递交的电子投标文件为评标依据。开标当日，投标人不必抵达开标现场，仅需登录衢州市市县一体公共资源交易平台不见面开标系统参加开标会议，并根据需要通过衢州市市县一体公共资源交易平台不见面开标系统与现场招标人进行互动交流、澄清、提异议等活动。</w:t>
            </w:r>
          </w:p>
          <w:p w14:paraId="2E04E12B">
            <w:pPr>
              <w:jc w:val="left"/>
              <w:rPr>
                <w:rFonts w:ascii="宋体" w:hAnsi="宋体" w:cs="宋体"/>
                <w:b/>
                <w:kern w:val="144"/>
                <w:sz w:val="24"/>
              </w:rPr>
            </w:pPr>
            <w:r>
              <w:rPr>
                <w:rFonts w:hint="eastAsia" w:ascii="宋体" w:hAnsi="宋体" w:cs="宋体"/>
                <w:b/>
                <w:kern w:val="144"/>
                <w:sz w:val="24"/>
              </w:rPr>
              <w:t>4、投标文件递交截止时间前，各投标人的授权委托人或法人代表应提前登录衢州市市县一体公共资源交易平台不见面开标系统。</w:t>
            </w:r>
          </w:p>
          <w:p w14:paraId="05B50BE2">
            <w:pPr>
              <w:jc w:val="left"/>
              <w:rPr>
                <w:rFonts w:ascii="宋体" w:hAnsi="宋体" w:cs="宋体"/>
                <w:b/>
                <w:kern w:val="144"/>
                <w:sz w:val="24"/>
              </w:rPr>
            </w:pPr>
            <w:r>
              <w:rPr>
                <w:rFonts w:hint="eastAsia" w:ascii="宋体" w:hAnsi="宋体" w:cs="宋体"/>
                <w:b/>
                <w:kern w:val="144"/>
                <w:sz w:val="24"/>
              </w:rPr>
              <w:t>5、投标文件递交截止时间后，招标人将在系统内公布投标人名单并核验投标保证金递交情况，然后通过开标会议区发出投标文件解密的指令，投标人在各自地点自行实施远程解密（投标人远程解密方法见操作手册, http://ggzy.qz.gov.cn/art/2022/9/25/art_1229684164_58682332.html），投标人解密限定在开标截止时间后30分钟内完成。 因投标人网络与电源不稳定、未按操作手册要求配置软硬件、解密锁发生故障或用错、故意不在要求时限内完成解密等自身原因，导致投标文件在规定时间内未能解密、解密失败或解密超时，视为投标人撤销其投标文件；因招标人原因或衢州市市县一体公共资源交易平台不见面开标系统发生故障，导致无法按时完成投标文件解密或开、评标工作无法进行的，经行政监督部门同意，可根据实际情况相应延迟解密时间或调整开、评标时间。</w:t>
            </w:r>
          </w:p>
          <w:p w14:paraId="5A6F5DD4">
            <w:pPr>
              <w:jc w:val="left"/>
              <w:rPr>
                <w:rFonts w:ascii="宋体" w:hAnsi="宋体" w:cs="宋体"/>
                <w:b/>
                <w:kern w:val="144"/>
                <w:sz w:val="24"/>
              </w:rPr>
            </w:pPr>
            <w:r>
              <w:rPr>
                <w:rFonts w:hint="eastAsia" w:ascii="宋体" w:hAnsi="宋体" w:cs="宋体"/>
                <w:b/>
                <w:kern w:val="144"/>
                <w:sz w:val="24"/>
              </w:rPr>
              <w:t>6、开评标全过程中，各投标人参与远程交互的授权委托人或法人代表应始终为同一个人，中途不得更换，在询标、澄清、提疑、传送文件等特殊情况下需要交互时，投标人一端参与交互的人员均被视为是投标人的授权委托人或法人代表，投标人不得以不承认交互人员的资格或身份等为借口抵赖推脱，投标人自行承担随意更换人员所导致的一切后果。</w:t>
            </w:r>
          </w:p>
          <w:p w14:paraId="2AE3057B">
            <w:pPr>
              <w:jc w:val="left"/>
              <w:rPr>
                <w:rFonts w:ascii="宋体" w:hAnsi="宋体" w:cs="宋体"/>
                <w:b/>
                <w:kern w:val="144"/>
                <w:sz w:val="24"/>
              </w:rPr>
            </w:pPr>
            <w:r>
              <w:rPr>
                <w:rFonts w:hint="eastAsia" w:ascii="宋体" w:hAnsi="宋体" w:cs="宋体"/>
                <w:b/>
                <w:kern w:val="144"/>
                <w:sz w:val="24"/>
              </w:rPr>
              <w:t>7、为顺利实现本项目开评标的远程交互，建议投标人配备的硬件设施有：电脑、高速稳定的网络、电源（不间断）、CA 锁、音视频设备（话筒、耳麦、高清摄像头、音响）等；建议投标人具备的软件设施有：操作系统：windows7、windows8、windows8.1、windows10完整版、浏览器：IE11、文字处理软件：office2007以上完整版。软硬件具体配置要求见操作手册。为保证交互效果，建议投标人选择封闭安静的地点参与远程交互。因投标人自身软硬件配备不齐全或发生故障等问题而导致在交互过程中出现不稳定或中断等情况的，由投标人自行承担后果。</w:t>
            </w:r>
          </w:p>
          <w:p w14:paraId="55694DD6">
            <w:pPr>
              <w:jc w:val="left"/>
              <w:rPr>
                <w:rFonts w:ascii="宋体" w:hAnsi="宋体" w:cs="宋体"/>
                <w:b/>
                <w:kern w:val="144"/>
                <w:sz w:val="24"/>
              </w:rPr>
            </w:pPr>
            <w:r>
              <w:rPr>
                <w:rFonts w:hint="eastAsia" w:ascii="宋体" w:hAnsi="宋体" w:cs="宋体"/>
                <w:b/>
                <w:kern w:val="144"/>
                <w:sz w:val="24"/>
              </w:rPr>
              <w:t>8、特别提醒：本项目招投标全流程均使用衢州市市县一体公共资源交易平台不见面开标系统操作和发布，操作和发布平台为衢州市公共资源交易平台，网址为  http://ggzy.qz.gov.cn/ ，投标文件制作工具软件请在衢州市公共资源交易平台首页“投标制作工具”中下载，投标人使用操作遇到问题时，请及时向软件公司咨询，咨询联系方式为： 0570-3899008 。</w:t>
            </w:r>
          </w:p>
          <w:p w14:paraId="0D971F98">
            <w:pPr>
              <w:jc w:val="left"/>
              <w:rPr>
                <w:rFonts w:ascii="宋体" w:hAnsi="宋体" w:cs="宋体"/>
                <w:b/>
                <w:kern w:val="144"/>
                <w:sz w:val="24"/>
              </w:rPr>
            </w:pPr>
            <w:r>
              <w:rPr>
                <w:rFonts w:hint="eastAsia" w:ascii="宋体" w:hAnsi="宋体" w:cs="宋体"/>
                <w:b/>
                <w:kern w:val="144"/>
                <w:sz w:val="24"/>
              </w:rPr>
              <w:t>9、 出现下列情形导致系统无法正常运行，或者无法保证交易过程的公平、公正和信息安全时，各方招投标活动当事人免责：（一）所涉开标项目电子交易服务系统，因服务器、网络等问题无法正常运行的；（二）系统安全漏洞，计算机病毒，黑客攻击等安全威胁，存在数据泄密、损坏，系统无法运行等严重风险的；（三）电力系统发生故障导致交易系统无法运行的；（四）其他非投标人原因导致开标活动无法正常进行的。</w:t>
            </w:r>
          </w:p>
          <w:p w14:paraId="49FFA141">
            <w:pPr>
              <w:jc w:val="left"/>
              <w:rPr>
                <w:rFonts w:ascii="宋体" w:hAnsi="宋体" w:cs="宋体"/>
                <w:b/>
                <w:kern w:val="144"/>
                <w:sz w:val="24"/>
              </w:rPr>
            </w:pPr>
            <w:r>
              <w:rPr>
                <w:rFonts w:hint="eastAsia" w:ascii="宋体" w:hAnsi="宋体" w:cs="宋体"/>
                <w:b/>
                <w:kern w:val="144"/>
                <w:sz w:val="24"/>
              </w:rPr>
              <w:t>10、出现第9条所列情形，不能及时解决的，应由招标人、监管部门和交易中心及时进行协商。可以采取以下办法处理：（一）项目暂停，系统或网络故障在三个小时内排除并通过可靠测试的，恢复系统运行，继续完成项目开标活动；（二）系统或网络故障在三个小时内未能排除的，已在线解密的，通知投标人代表按照约定时间到开标现场，继续进行开标；未解密的，另行通知不见面开标时间。</w:t>
            </w:r>
          </w:p>
          <w:p w14:paraId="7BA1ADC9">
            <w:pPr>
              <w:jc w:val="left"/>
              <w:rPr>
                <w:rFonts w:ascii="宋体" w:hAnsi="宋体" w:cs="宋体"/>
                <w:b/>
                <w:kern w:val="144"/>
                <w:sz w:val="24"/>
              </w:rPr>
            </w:pPr>
            <w:r>
              <w:rPr>
                <w:rFonts w:hint="eastAsia" w:ascii="宋体" w:hAnsi="宋体" w:cs="宋体"/>
                <w:b/>
                <w:kern w:val="144"/>
                <w:sz w:val="24"/>
              </w:rPr>
              <w:t>11、投标人应妥善保管CA数字证书，确保在有效期内，并保证加密和解密时使用同样的CA，目前不见面开标系统不支持移动CA。出现下列情况的，投标人须重新用数字证书签章加密投标文件，并在投标截止时间之前完成上传到交易系统：（一）数字证书到期后重新续期；（二）数字证书因遗失、损坏、企业信息变更等情况更换新证书。由于数字证书遗失、损坏、更换、续期等情况导致投标文件无法解密，由投标人自行承担责任。</w:t>
            </w:r>
          </w:p>
        </w:tc>
      </w:tr>
    </w:tbl>
    <w:p w14:paraId="487C8419">
      <w:pPr>
        <w:widowControl/>
        <w:jc w:val="left"/>
        <w:rPr>
          <w:rFonts w:ascii="Arial" w:hAnsi="Arial" w:cs="Arial"/>
          <w:bCs/>
          <w:kern w:val="0"/>
          <w:sz w:val="32"/>
          <w:szCs w:val="32"/>
        </w:rPr>
      </w:pPr>
      <w:bookmarkStart w:id="8" w:name="_Toc34808224"/>
      <w:bookmarkStart w:id="9" w:name="_Toc34297320"/>
      <w:r>
        <w:rPr>
          <w:b/>
          <w:kern w:val="0"/>
        </w:rPr>
        <w:br w:type="page"/>
      </w:r>
    </w:p>
    <w:p w14:paraId="32007204">
      <w:pPr>
        <w:pStyle w:val="5"/>
        <w:spacing w:line="440" w:lineRule="exact"/>
        <w:ind w:left="353"/>
        <w:rPr>
          <w:b w:val="0"/>
          <w:kern w:val="0"/>
        </w:rPr>
      </w:pPr>
      <w:bookmarkStart w:id="10" w:name="_Toc135032167"/>
      <w:r>
        <w:rPr>
          <w:rFonts w:hint="eastAsia"/>
          <w:b w:val="0"/>
          <w:kern w:val="0"/>
        </w:rPr>
        <w:t>第三章　投标人须知</w:t>
      </w:r>
      <w:bookmarkEnd w:id="8"/>
      <w:bookmarkEnd w:id="9"/>
      <w:bookmarkEnd w:id="10"/>
    </w:p>
    <w:p w14:paraId="1C54F67B">
      <w:pPr>
        <w:pStyle w:val="3"/>
        <w:spacing w:line="440" w:lineRule="exact"/>
        <w:jc w:val="left"/>
        <w:rPr>
          <w:sz w:val="24"/>
          <w:szCs w:val="24"/>
        </w:rPr>
      </w:pPr>
      <w:bookmarkStart w:id="11" w:name="_Toc34297321"/>
      <w:bookmarkStart w:id="12" w:name="_Toc34808225"/>
      <w:bookmarkStart w:id="13" w:name="_Toc135032168"/>
      <w:r>
        <w:rPr>
          <w:rFonts w:hint="eastAsia"/>
          <w:sz w:val="24"/>
          <w:szCs w:val="24"/>
        </w:rPr>
        <w:t>第一节　　总则</w:t>
      </w:r>
      <w:bookmarkEnd w:id="11"/>
      <w:bookmarkEnd w:id="12"/>
      <w:bookmarkEnd w:id="13"/>
    </w:p>
    <w:p w14:paraId="79F09515">
      <w:pPr>
        <w:pStyle w:val="3"/>
        <w:spacing w:line="440" w:lineRule="exact"/>
        <w:jc w:val="left"/>
        <w:rPr>
          <w:sz w:val="24"/>
          <w:szCs w:val="24"/>
        </w:rPr>
      </w:pPr>
      <w:bookmarkStart w:id="14" w:name="_Toc135032169"/>
      <w:bookmarkStart w:id="15" w:name="_Toc34808226"/>
      <w:bookmarkStart w:id="16" w:name="_Toc34297322"/>
      <w:r>
        <w:rPr>
          <w:sz w:val="24"/>
          <w:szCs w:val="24"/>
        </w:rPr>
        <w:t>1</w:t>
      </w:r>
      <w:r>
        <w:rPr>
          <w:rFonts w:hint="eastAsia"/>
          <w:sz w:val="24"/>
          <w:szCs w:val="24"/>
        </w:rPr>
        <w:t>、适用范围</w:t>
      </w:r>
      <w:bookmarkEnd w:id="14"/>
      <w:bookmarkEnd w:id="15"/>
      <w:bookmarkEnd w:id="16"/>
    </w:p>
    <w:p w14:paraId="7A3C024D">
      <w:pPr>
        <w:spacing w:line="440" w:lineRule="exact"/>
        <w:ind w:firstLine="420"/>
        <w:jc w:val="left"/>
        <w:rPr>
          <w:rFonts w:ascii="宋体" w:cs="宋体"/>
          <w:kern w:val="0"/>
          <w:sz w:val="24"/>
        </w:rPr>
      </w:pPr>
      <w:r>
        <w:rPr>
          <w:rFonts w:ascii="宋体" w:hAnsi="宋体" w:cs="宋体"/>
          <w:kern w:val="0"/>
          <w:sz w:val="24"/>
        </w:rPr>
        <w:t>1.1</w:t>
      </w:r>
      <w:r>
        <w:rPr>
          <w:rFonts w:hint="eastAsia" w:ascii="宋体" w:hAnsi="宋体" w:cs="宋体"/>
          <w:kern w:val="0"/>
          <w:sz w:val="24"/>
        </w:rPr>
        <w:t>本招标文件仅适用于本次招标公告中所叙述项目的招标。</w:t>
      </w:r>
    </w:p>
    <w:p w14:paraId="1A57431D">
      <w:pPr>
        <w:pStyle w:val="3"/>
        <w:spacing w:line="440" w:lineRule="exact"/>
        <w:jc w:val="left"/>
        <w:rPr>
          <w:sz w:val="24"/>
          <w:szCs w:val="24"/>
        </w:rPr>
      </w:pPr>
      <w:bookmarkStart w:id="17" w:name="_Toc135032170"/>
      <w:bookmarkStart w:id="18" w:name="_Toc34297323"/>
      <w:bookmarkStart w:id="19" w:name="_Toc34808227"/>
      <w:r>
        <w:rPr>
          <w:sz w:val="24"/>
          <w:szCs w:val="24"/>
        </w:rPr>
        <w:t>2</w:t>
      </w:r>
      <w:r>
        <w:rPr>
          <w:rFonts w:hint="eastAsia"/>
          <w:sz w:val="24"/>
          <w:szCs w:val="24"/>
        </w:rPr>
        <w:t>、定义</w:t>
      </w:r>
      <w:bookmarkEnd w:id="17"/>
      <w:bookmarkEnd w:id="18"/>
      <w:bookmarkEnd w:id="19"/>
    </w:p>
    <w:p w14:paraId="0D91CB7D">
      <w:pPr>
        <w:spacing w:line="440" w:lineRule="exact"/>
        <w:ind w:firstLine="420"/>
        <w:jc w:val="left"/>
        <w:rPr>
          <w:sz w:val="24"/>
        </w:rPr>
      </w:pPr>
      <w:r>
        <w:rPr>
          <w:rFonts w:hint="eastAsia" w:ascii="宋体" w:cs="宋体"/>
          <w:kern w:val="0"/>
          <w:sz w:val="24"/>
        </w:rPr>
        <w:t>2.1“招标人”</w:t>
      </w:r>
      <w:r>
        <w:rPr>
          <w:rFonts w:hint="eastAsia"/>
          <w:sz w:val="24"/>
        </w:rPr>
        <w:t>系指</w:t>
      </w:r>
      <w:r>
        <w:rPr>
          <w:rFonts w:hint="eastAsia" w:ascii="宋体" w:hAnsi="宋体"/>
          <w:sz w:val="24"/>
        </w:rPr>
        <w:t>浙江巨化股份有限公司</w:t>
      </w:r>
      <w:r>
        <w:rPr>
          <w:rFonts w:hint="eastAsia"/>
          <w:bCs/>
          <w:sz w:val="24"/>
        </w:rPr>
        <w:t>、</w:t>
      </w:r>
      <w:r>
        <w:rPr>
          <w:rFonts w:hint="eastAsia" w:ascii="宋体" w:cs="宋体"/>
          <w:kern w:val="0"/>
          <w:sz w:val="24"/>
        </w:rPr>
        <w:t>浙江巨化化工材料有限公司。“招标代理”系指</w:t>
      </w:r>
      <w:r>
        <w:rPr>
          <w:rFonts w:hint="eastAsia" w:ascii="宋体" w:hAnsi="宋体"/>
          <w:sz w:val="24"/>
        </w:rPr>
        <w:t>浙江南方工程咨询管理有限公司。</w:t>
      </w:r>
    </w:p>
    <w:p w14:paraId="0A16906E">
      <w:pPr>
        <w:spacing w:line="440" w:lineRule="exact"/>
        <w:ind w:firstLine="420"/>
        <w:jc w:val="left"/>
        <w:rPr>
          <w:rFonts w:ascii="宋体" w:cs="宋体"/>
          <w:kern w:val="0"/>
          <w:sz w:val="24"/>
        </w:rPr>
      </w:pPr>
      <w:r>
        <w:rPr>
          <w:rFonts w:ascii="宋体" w:hAnsi="宋体" w:cs="宋体"/>
          <w:kern w:val="0"/>
          <w:sz w:val="24"/>
        </w:rPr>
        <w:t>2.2</w:t>
      </w:r>
      <w:r>
        <w:rPr>
          <w:rFonts w:hint="eastAsia" w:ascii="宋体" w:hAnsi="宋体" w:cs="宋体"/>
          <w:kern w:val="0"/>
          <w:sz w:val="24"/>
        </w:rPr>
        <w:t>“投标人”系指履约信誉好，服务有保证，愿意参加本次投标的专业公司，具备投标人须知前附表第</w:t>
      </w:r>
      <w:r>
        <w:rPr>
          <w:rFonts w:ascii="宋体" w:hAnsi="宋体" w:cs="宋体"/>
          <w:kern w:val="0"/>
          <w:sz w:val="24"/>
        </w:rPr>
        <w:t>2.4</w:t>
      </w:r>
      <w:r>
        <w:rPr>
          <w:rFonts w:hint="eastAsia" w:ascii="宋体" w:hAnsi="宋体" w:cs="宋体"/>
          <w:kern w:val="0"/>
          <w:sz w:val="24"/>
        </w:rPr>
        <w:t>项条件的投标单位。</w:t>
      </w:r>
    </w:p>
    <w:p w14:paraId="4DD19416">
      <w:pPr>
        <w:spacing w:line="440" w:lineRule="exact"/>
        <w:ind w:firstLine="420"/>
        <w:jc w:val="left"/>
        <w:rPr>
          <w:rFonts w:ascii="宋体" w:cs="宋体"/>
          <w:kern w:val="0"/>
          <w:sz w:val="24"/>
        </w:rPr>
      </w:pPr>
      <w:r>
        <w:rPr>
          <w:rFonts w:ascii="宋体" w:hAnsi="宋体" w:cs="宋体"/>
          <w:kern w:val="0"/>
          <w:sz w:val="24"/>
        </w:rPr>
        <w:t>2.3</w:t>
      </w:r>
      <w:r>
        <w:rPr>
          <w:rFonts w:hint="eastAsia" w:ascii="宋体" w:hAnsi="宋体" w:cs="宋体"/>
          <w:kern w:val="0"/>
          <w:sz w:val="24"/>
        </w:rPr>
        <w:t>“投标文件”系指投标人为响应招标文件而编制、递交的文件。</w:t>
      </w:r>
    </w:p>
    <w:p w14:paraId="171C5821">
      <w:pPr>
        <w:spacing w:line="440" w:lineRule="exact"/>
        <w:ind w:firstLine="420"/>
        <w:jc w:val="left"/>
        <w:rPr>
          <w:rFonts w:ascii="宋体" w:cs="宋体"/>
          <w:kern w:val="0"/>
          <w:sz w:val="24"/>
        </w:rPr>
      </w:pPr>
      <w:r>
        <w:rPr>
          <w:rFonts w:ascii="宋体" w:hAnsi="宋体" w:cs="宋体"/>
          <w:kern w:val="0"/>
          <w:sz w:val="24"/>
        </w:rPr>
        <w:t>2.4</w:t>
      </w:r>
      <w:r>
        <w:rPr>
          <w:rFonts w:hint="eastAsia" w:ascii="宋体" w:hAnsi="宋体" w:cs="宋体"/>
          <w:kern w:val="0"/>
          <w:sz w:val="24"/>
        </w:rPr>
        <w:t>“标的物”系指投标人根据中标合同规定须向招标人提供的一切设备、机械、材料、备件、工具、成套技术资料及手册。</w:t>
      </w:r>
    </w:p>
    <w:p w14:paraId="14DA32A2">
      <w:pPr>
        <w:spacing w:line="440" w:lineRule="exact"/>
        <w:ind w:firstLine="420"/>
        <w:jc w:val="left"/>
        <w:rPr>
          <w:rFonts w:ascii="宋体" w:cs="宋体"/>
          <w:kern w:val="0"/>
          <w:sz w:val="24"/>
        </w:rPr>
      </w:pPr>
      <w:r>
        <w:rPr>
          <w:rFonts w:ascii="宋体" w:hAnsi="宋体" w:cs="宋体"/>
          <w:kern w:val="0"/>
          <w:sz w:val="24"/>
        </w:rPr>
        <w:t>2.5</w:t>
      </w:r>
      <w:r>
        <w:rPr>
          <w:rFonts w:hint="eastAsia" w:ascii="宋体" w:hAnsi="宋体" w:cs="宋体"/>
          <w:kern w:val="0"/>
          <w:sz w:val="24"/>
        </w:rPr>
        <w:t>“伴随服务”系指根据中标合同规定投标人承担与供货有关的辅助服务，如运输、保险、安装、调试、提供技术援助、培训、售后服务和合同中规定投标人应承担的其他义务。</w:t>
      </w:r>
    </w:p>
    <w:p w14:paraId="409BE701">
      <w:pPr>
        <w:spacing w:line="440" w:lineRule="exact"/>
        <w:ind w:firstLine="420"/>
        <w:jc w:val="left"/>
        <w:rPr>
          <w:rFonts w:ascii="宋体" w:cs="宋体"/>
          <w:kern w:val="0"/>
          <w:sz w:val="24"/>
        </w:rPr>
      </w:pPr>
      <w:r>
        <w:rPr>
          <w:rFonts w:ascii="宋体" w:hAnsi="宋体" w:cs="宋体"/>
          <w:kern w:val="0"/>
          <w:sz w:val="24"/>
        </w:rPr>
        <w:t>2.6</w:t>
      </w:r>
      <w:r>
        <w:rPr>
          <w:rFonts w:hint="eastAsia" w:ascii="宋体" w:hAnsi="宋体" w:cs="宋体"/>
          <w:kern w:val="0"/>
          <w:sz w:val="24"/>
        </w:rPr>
        <w:t>“实质性内容”或“主要条款”系指招标文件中加“</w:t>
      </w:r>
      <w:r>
        <w:rPr>
          <w:rFonts w:ascii="宋体" w:hAnsi="宋体" w:cs="宋体"/>
          <w:kern w:val="0"/>
          <w:sz w:val="24"/>
        </w:rPr>
        <w:t>*</w:t>
      </w:r>
      <w:r>
        <w:rPr>
          <w:rFonts w:hint="eastAsia" w:ascii="宋体" w:hAnsi="宋体" w:cs="宋体"/>
          <w:kern w:val="0"/>
          <w:sz w:val="24"/>
        </w:rPr>
        <w:t>”条款。</w:t>
      </w:r>
    </w:p>
    <w:p w14:paraId="6F9527B6">
      <w:pPr>
        <w:pStyle w:val="3"/>
        <w:spacing w:line="440" w:lineRule="exact"/>
        <w:jc w:val="left"/>
        <w:rPr>
          <w:sz w:val="24"/>
          <w:szCs w:val="24"/>
        </w:rPr>
      </w:pPr>
      <w:bookmarkStart w:id="20" w:name="_Toc135032171"/>
      <w:bookmarkStart w:id="21" w:name="_Toc34808228"/>
      <w:bookmarkStart w:id="22" w:name="_Toc34297324"/>
      <w:r>
        <w:rPr>
          <w:sz w:val="24"/>
          <w:szCs w:val="24"/>
        </w:rPr>
        <w:t>3</w:t>
      </w:r>
      <w:r>
        <w:rPr>
          <w:rFonts w:hint="eastAsia"/>
          <w:sz w:val="24"/>
          <w:szCs w:val="24"/>
        </w:rPr>
        <w:t>、合格的投标人</w:t>
      </w:r>
      <w:bookmarkEnd w:id="20"/>
      <w:bookmarkEnd w:id="21"/>
      <w:bookmarkEnd w:id="22"/>
    </w:p>
    <w:p w14:paraId="2E69B19E">
      <w:pPr>
        <w:spacing w:line="440" w:lineRule="exact"/>
        <w:ind w:firstLine="420"/>
        <w:jc w:val="left"/>
        <w:rPr>
          <w:rFonts w:ascii="宋体" w:cs="宋体"/>
          <w:kern w:val="0"/>
          <w:sz w:val="24"/>
        </w:rPr>
      </w:pPr>
      <w:r>
        <w:rPr>
          <w:rFonts w:ascii="宋体" w:hAnsi="宋体" w:cs="宋体"/>
          <w:kern w:val="0"/>
          <w:sz w:val="24"/>
        </w:rPr>
        <w:t>3.1</w:t>
      </w:r>
      <w:r>
        <w:rPr>
          <w:rFonts w:hint="eastAsia" w:ascii="宋体" w:hAnsi="宋体" w:cs="宋体"/>
          <w:kern w:val="0"/>
          <w:sz w:val="24"/>
        </w:rPr>
        <w:t>符合</w:t>
      </w:r>
      <w:r>
        <w:rPr>
          <w:rFonts w:ascii="宋体" w:hAnsi="宋体" w:cs="宋体"/>
          <w:kern w:val="0"/>
          <w:sz w:val="24"/>
        </w:rPr>
        <w:t>2.2</w:t>
      </w:r>
      <w:r>
        <w:rPr>
          <w:rFonts w:hint="eastAsia" w:ascii="宋体" w:hAnsi="宋体" w:cs="宋体"/>
          <w:kern w:val="0"/>
          <w:sz w:val="24"/>
        </w:rPr>
        <w:t>条所指的专业公司均为合格的投标人。</w:t>
      </w:r>
    </w:p>
    <w:p w14:paraId="2A87F31D">
      <w:pPr>
        <w:spacing w:line="440" w:lineRule="exact"/>
        <w:ind w:firstLine="420"/>
        <w:jc w:val="left"/>
        <w:rPr>
          <w:rFonts w:ascii="宋体" w:cs="宋体"/>
          <w:kern w:val="0"/>
          <w:sz w:val="24"/>
        </w:rPr>
      </w:pPr>
      <w:r>
        <w:rPr>
          <w:rFonts w:ascii="宋体" w:hAnsi="宋体" w:cs="宋体"/>
          <w:kern w:val="0"/>
          <w:sz w:val="24"/>
        </w:rPr>
        <w:t>3.2</w:t>
      </w:r>
      <w:r>
        <w:rPr>
          <w:rFonts w:hint="eastAsia" w:ascii="宋体" w:hAnsi="宋体" w:cs="宋体"/>
          <w:kern w:val="0"/>
          <w:sz w:val="24"/>
        </w:rPr>
        <w:t>投标人应遵守有关的法律和规章条例。</w:t>
      </w:r>
    </w:p>
    <w:p w14:paraId="06DCF96C">
      <w:pPr>
        <w:pStyle w:val="3"/>
        <w:spacing w:line="440" w:lineRule="exact"/>
        <w:jc w:val="left"/>
        <w:rPr>
          <w:rFonts w:ascii="宋体" w:hAnsi="宋体"/>
          <w:sz w:val="24"/>
          <w:szCs w:val="24"/>
        </w:rPr>
      </w:pPr>
      <w:bookmarkStart w:id="23" w:name="_Toc34297325"/>
      <w:bookmarkStart w:id="24" w:name="_Toc34808229"/>
      <w:bookmarkStart w:id="25" w:name="_Toc135032172"/>
      <w:r>
        <w:rPr>
          <w:rFonts w:ascii="宋体" w:hAnsi="宋体"/>
          <w:sz w:val="24"/>
          <w:szCs w:val="24"/>
        </w:rPr>
        <w:t>4</w:t>
      </w:r>
      <w:r>
        <w:rPr>
          <w:rFonts w:hint="eastAsia" w:ascii="宋体" w:hAnsi="宋体"/>
          <w:sz w:val="24"/>
          <w:szCs w:val="24"/>
        </w:rPr>
        <w:t>、投标资格</w:t>
      </w:r>
      <w:bookmarkEnd w:id="23"/>
      <w:bookmarkEnd w:id="24"/>
      <w:bookmarkEnd w:id="25"/>
    </w:p>
    <w:p w14:paraId="5E4F2E00">
      <w:pPr>
        <w:spacing w:line="440" w:lineRule="exact"/>
        <w:ind w:firstLine="420"/>
        <w:jc w:val="left"/>
        <w:rPr>
          <w:rFonts w:ascii="宋体" w:cs="宋体"/>
          <w:kern w:val="0"/>
          <w:sz w:val="24"/>
        </w:rPr>
      </w:pPr>
      <w:r>
        <w:rPr>
          <w:rFonts w:ascii="宋体" w:hAnsi="宋体" w:cs="宋体"/>
          <w:kern w:val="0"/>
          <w:sz w:val="24"/>
        </w:rPr>
        <w:t>4.1</w:t>
      </w:r>
      <w:r>
        <w:rPr>
          <w:rFonts w:hint="eastAsia" w:ascii="宋体" w:hAnsi="宋体" w:cs="宋体"/>
          <w:kern w:val="0"/>
          <w:sz w:val="24"/>
        </w:rPr>
        <w:t>投标人资质等级要求见前附表所述。</w:t>
      </w:r>
    </w:p>
    <w:p w14:paraId="05F95F24">
      <w:pPr>
        <w:spacing w:line="440" w:lineRule="exact"/>
        <w:ind w:firstLine="420"/>
        <w:jc w:val="left"/>
        <w:rPr>
          <w:rFonts w:ascii="宋体" w:cs="宋体"/>
          <w:kern w:val="0"/>
          <w:sz w:val="24"/>
        </w:rPr>
      </w:pPr>
      <w:r>
        <w:rPr>
          <w:rFonts w:ascii="宋体" w:hAnsi="宋体" w:cs="宋体"/>
          <w:kern w:val="0"/>
          <w:sz w:val="24"/>
        </w:rPr>
        <w:t>4.2</w:t>
      </w:r>
      <w:r>
        <w:rPr>
          <w:rFonts w:hint="eastAsia" w:ascii="宋体" w:hAnsi="宋体" w:cs="宋体"/>
          <w:kern w:val="0"/>
          <w:sz w:val="24"/>
        </w:rPr>
        <w:t>本次招标不允许投标人以联合体形式投标。</w:t>
      </w:r>
    </w:p>
    <w:p w14:paraId="3102D948">
      <w:pPr>
        <w:pStyle w:val="3"/>
        <w:spacing w:line="440" w:lineRule="exact"/>
        <w:jc w:val="left"/>
        <w:rPr>
          <w:sz w:val="24"/>
          <w:szCs w:val="24"/>
        </w:rPr>
      </w:pPr>
      <w:bookmarkStart w:id="26" w:name="_Toc34808230"/>
      <w:bookmarkStart w:id="27" w:name="_Toc135032173"/>
      <w:bookmarkStart w:id="28" w:name="_Toc34297326"/>
      <w:r>
        <w:rPr>
          <w:rFonts w:hint="eastAsia"/>
          <w:sz w:val="24"/>
          <w:szCs w:val="24"/>
        </w:rPr>
        <w:t>５、投标费用</w:t>
      </w:r>
      <w:bookmarkEnd w:id="26"/>
      <w:bookmarkEnd w:id="27"/>
      <w:bookmarkEnd w:id="28"/>
    </w:p>
    <w:p w14:paraId="50D262AB">
      <w:pPr>
        <w:spacing w:line="440" w:lineRule="exact"/>
        <w:ind w:firstLine="420"/>
        <w:jc w:val="left"/>
        <w:rPr>
          <w:rFonts w:ascii="宋体" w:cs="宋体"/>
          <w:kern w:val="0"/>
          <w:sz w:val="24"/>
        </w:rPr>
      </w:pPr>
      <w:r>
        <w:rPr>
          <w:rFonts w:ascii="宋体" w:hAnsi="宋体" w:cs="宋体"/>
          <w:kern w:val="0"/>
          <w:sz w:val="24"/>
        </w:rPr>
        <w:t>5.1</w:t>
      </w:r>
      <w:r>
        <w:rPr>
          <w:rFonts w:hint="eastAsia" w:ascii="宋体" w:hAnsi="宋体" w:cs="宋体"/>
          <w:kern w:val="0"/>
          <w:sz w:val="24"/>
        </w:rPr>
        <w:t>投标人应自行承担其参加投标活动自身发生的所有费用。不论投标的结果如何，招标机构和招标人均无义务和责任承担这些费用。</w:t>
      </w:r>
    </w:p>
    <w:p w14:paraId="49749ABD">
      <w:pPr>
        <w:spacing w:line="440" w:lineRule="exact"/>
        <w:ind w:firstLine="420"/>
        <w:jc w:val="left"/>
        <w:rPr>
          <w:rFonts w:ascii="宋体" w:cs="宋体"/>
          <w:kern w:val="0"/>
          <w:sz w:val="24"/>
        </w:rPr>
      </w:pPr>
      <w:bookmarkStart w:id="29" w:name="_Toc34808231"/>
      <w:bookmarkStart w:id="30" w:name="_Toc34297327"/>
      <w:r>
        <w:rPr>
          <w:rFonts w:hint="eastAsia" w:ascii="宋体" w:cs="宋体"/>
          <w:kern w:val="0"/>
          <w:sz w:val="24"/>
        </w:rPr>
        <w:t>5.2投标人应按中标后签订合同的金额（按采购清单中的数量*单价）交纳中标服务费,按投标报价的金额交纳</w:t>
      </w:r>
      <w:r>
        <w:rPr>
          <w:rFonts w:hint="eastAsia" w:ascii="宋体" w:hAnsi="宋体"/>
          <w:sz w:val="24"/>
        </w:rPr>
        <w:t>公共资源交易中心工程建设项目交易服务费</w:t>
      </w:r>
      <w:r>
        <w:rPr>
          <w:rFonts w:hint="eastAsia" w:ascii="宋体" w:cs="宋体"/>
          <w:kern w:val="0"/>
          <w:sz w:val="24"/>
        </w:rPr>
        <w:t>，具体见3</w:t>
      </w:r>
      <w:r>
        <w:rPr>
          <w:rFonts w:ascii="宋体" w:cs="宋体"/>
          <w:kern w:val="0"/>
          <w:sz w:val="24"/>
        </w:rPr>
        <w:t>7</w:t>
      </w:r>
      <w:r>
        <w:rPr>
          <w:rFonts w:hint="eastAsia" w:ascii="黑体" w:eastAsia="黑体" w:cs="宋体"/>
          <w:b/>
          <w:kern w:val="0"/>
          <w:sz w:val="24"/>
        </w:rPr>
        <w:t>“中标服务费及交易服务费的收费标准”</w:t>
      </w:r>
      <w:r>
        <w:rPr>
          <w:rFonts w:hint="eastAsia" w:ascii="宋体" w:cs="宋体"/>
          <w:kern w:val="0"/>
          <w:sz w:val="24"/>
        </w:rPr>
        <w:t>。</w:t>
      </w:r>
    </w:p>
    <w:p w14:paraId="3F880DA9">
      <w:pPr>
        <w:pStyle w:val="3"/>
        <w:spacing w:line="440" w:lineRule="exact"/>
        <w:jc w:val="left"/>
        <w:rPr>
          <w:sz w:val="24"/>
          <w:szCs w:val="24"/>
        </w:rPr>
      </w:pPr>
      <w:bookmarkStart w:id="31" w:name="_Toc135032174"/>
      <w:r>
        <w:rPr>
          <w:sz w:val="24"/>
          <w:szCs w:val="24"/>
        </w:rPr>
        <w:t>6</w:t>
      </w:r>
      <w:r>
        <w:rPr>
          <w:rFonts w:hint="eastAsia"/>
          <w:sz w:val="24"/>
          <w:szCs w:val="24"/>
        </w:rPr>
        <w:t>、踏勘现场</w:t>
      </w:r>
      <w:bookmarkEnd w:id="29"/>
      <w:bookmarkEnd w:id="30"/>
      <w:bookmarkEnd w:id="31"/>
    </w:p>
    <w:p w14:paraId="304C1BFE">
      <w:pPr>
        <w:spacing w:line="440" w:lineRule="exact"/>
        <w:ind w:firstLine="420"/>
        <w:jc w:val="left"/>
        <w:rPr>
          <w:rFonts w:ascii="宋体" w:cs="宋体"/>
          <w:kern w:val="0"/>
          <w:sz w:val="24"/>
        </w:rPr>
      </w:pPr>
      <w:r>
        <w:rPr>
          <w:rFonts w:ascii="宋体" w:hAnsi="宋体" w:cs="宋体"/>
          <w:kern w:val="0"/>
          <w:sz w:val="24"/>
        </w:rPr>
        <w:t>6.1</w:t>
      </w:r>
      <w:r>
        <w:rPr>
          <w:rFonts w:hint="eastAsia" w:ascii="宋体" w:hAnsi="宋体" w:cs="宋体"/>
          <w:kern w:val="0"/>
          <w:sz w:val="24"/>
        </w:rPr>
        <w:t>投标人对项目现场和周围环境进行踏勘，以获取编制投标文件和签署合同所需的资料。踏勘现场所发生的费用和风险由投标人自行承担。</w:t>
      </w:r>
    </w:p>
    <w:p w14:paraId="28D44A9E">
      <w:pPr>
        <w:spacing w:line="440" w:lineRule="exact"/>
        <w:ind w:firstLine="420"/>
        <w:jc w:val="left"/>
        <w:rPr>
          <w:rFonts w:ascii="宋体" w:cs="宋体"/>
          <w:kern w:val="0"/>
          <w:sz w:val="24"/>
        </w:rPr>
      </w:pPr>
      <w:r>
        <w:rPr>
          <w:rFonts w:ascii="宋体" w:hAnsi="宋体" w:cs="宋体"/>
          <w:kern w:val="0"/>
          <w:sz w:val="24"/>
        </w:rPr>
        <w:t>6.2</w:t>
      </w:r>
      <w:r>
        <w:rPr>
          <w:rFonts w:hint="eastAsia" w:ascii="宋体" w:hAnsi="宋体" w:cs="宋体"/>
          <w:kern w:val="0"/>
          <w:sz w:val="24"/>
        </w:rPr>
        <w:t>招标机构向投标人提供的标的物的资料和数据，是招标机构现有的能使投标人利用的资料。招标机构对投标人由此而作出的推论、理解、结论概不负责。</w:t>
      </w:r>
    </w:p>
    <w:p w14:paraId="50D5156A">
      <w:pPr>
        <w:pStyle w:val="3"/>
        <w:spacing w:line="440" w:lineRule="exact"/>
        <w:jc w:val="left"/>
        <w:rPr>
          <w:sz w:val="24"/>
          <w:szCs w:val="24"/>
        </w:rPr>
      </w:pPr>
      <w:bookmarkStart w:id="32" w:name="_Toc34808232"/>
      <w:bookmarkStart w:id="33" w:name="_Toc135032175"/>
      <w:bookmarkStart w:id="34" w:name="_Toc34297328"/>
      <w:r>
        <w:rPr>
          <w:rFonts w:hint="eastAsia"/>
          <w:sz w:val="24"/>
          <w:szCs w:val="24"/>
        </w:rPr>
        <w:t>第二节　　</w:t>
      </w:r>
      <w:bookmarkStart w:id="35" w:name="招标文件"/>
      <w:r>
        <w:rPr>
          <w:rFonts w:hint="eastAsia"/>
          <w:sz w:val="24"/>
          <w:szCs w:val="24"/>
        </w:rPr>
        <w:t>招标文件</w:t>
      </w:r>
      <w:bookmarkEnd w:id="32"/>
      <w:bookmarkEnd w:id="33"/>
      <w:bookmarkEnd w:id="34"/>
      <w:bookmarkEnd w:id="35"/>
    </w:p>
    <w:p w14:paraId="23DAF0F8">
      <w:pPr>
        <w:pStyle w:val="3"/>
        <w:spacing w:line="440" w:lineRule="exact"/>
        <w:jc w:val="left"/>
        <w:rPr>
          <w:sz w:val="24"/>
          <w:szCs w:val="24"/>
        </w:rPr>
      </w:pPr>
      <w:bookmarkStart w:id="36" w:name="_Toc34808233"/>
      <w:bookmarkStart w:id="37" w:name="_Toc135032176"/>
      <w:bookmarkStart w:id="38" w:name="_Toc34297329"/>
      <w:r>
        <w:rPr>
          <w:sz w:val="24"/>
          <w:szCs w:val="24"/>
        </w:rPr>
        <w:t>7</w:t>
      </w:r>
      <w:r>
        <w:rPr>
          <w:rFonts w:hint="eastAsia"/>
          <w:sz w:val="24"/>
          <w:szCs w:val="24"/>
        </w:rPr>
        <w:t>、招标文件的组成</w:t>
      </w:r>
      <w:bookmarkEnd w:id="36"/>
      <w:bookmarkEnd w:id="37"/>
      <w:bookmarkEnd w:id="38"/>
    </w:p>
    <w:p w14:paraId="10C391E7">
      <w:pPr>
        <w:spacing w:line="440" w:lineRule="exact"/>
        <w:ind w:firstLine="420"/>
        <w:jc w:val="left"/>
        <w:rPr>
          <w:rFonts w:ascii="宋体" w:cs="宋体"/>
          <w:kern w:val="0"/>
          <w:sz w:val="24"/>
        </w:rPr>
      </w:pPr>
      <w:r>
        <w:rPr>
          <w:rFonts w:ascii="宋体" w:hAnsi="宋体" w:cs="宋体"/>
          <w:kern w:val="0"/>
          <w:sz w:val="24"/>
        </w:rPr>
        <w:t>7.1</w:t>
      </w:r>
      <w:r>
        <w:rPr>
          <w:rFonts w:hint="eastAsia" w:ascii="宋体" w:hAnsi="宋体" w:cs="宋体"/>
          <w:kern w:val="0"/>
          <w:sz w:val="24"/>
        </w:rPr>
        <w:t>招标文件用以阐明所需服务、招标投标程序和合同条款。本招标文件由下述部分组成：</w:t>
      </w:r>
    </w:p>
    <w:p w14:paraId="637A5807">
      <w:pPr>
        <w:spacing w:line="440" w:lineRule="exact"/>
        <w:ind w:firstLine="420"/>
        <w:jc w:val="left"/>
        <w:rPr>
          <w:rFonts w:ascii="宋体" w:cs="宋体"/>
          <w:kern w:val="0"/>
          <w:sz w:val="24"/>
        </w:rPr>
      </w:pPr>
      <w:r>
        <w:rPr>
          <w:rFonts w:hint="eastAsia" w:ascii="宋体" w:hAnsi="宋体" w:cs="宋体"/>
          <w:kern w:val="0"/>
          <w:sz w:val="24"/>
        </w:rPr>
        <w:t>⑴招标公告</w:t>
      </w:r>
    </w:p>
    <w:p w14:paraId="6B6B65E7">
      <w:pPr>
        <w:spacing w:line="440" w:lineRule="exact"/>
        <w:ind w:firstLine="420"/>
        <w:jc w:val="left"/>
        <w:rPr>
          <w:rFonts w:ascii="宋体" w:cs="宋体"/>
          <w:kern w:val="0"/>
          <w:sz w:val="24"/>
        </w:rPr>
      </w:pPr>
      <w:r>
        <w:rPr>
          <w:rFonts w:hint="eastAsia" w:ascii="宋体" w:hAnsi="宋体" w:cs="宋体"/>
          <w:kern w:val="0"/>
          <w:sz w:val="24"/>
        </w:rPr>
        <w:t>⑵投标人须知前附表</w:t>
      </w:r>
    </w:p>
    <w:p w14:paraId="2BB55CB4">
      <w:pPr>
        <w:spacing w:line="440" w:lineRule="exact"/>
        <w:ind w:firstLine="420"/>
        <w:jc w:val="left"/>
        <w:rPr>
          <w:rFonts w:ascii="宋体" w:cs="宋体"/>
          <w:kern w:val="0"/>
          <w:sz w:val="24"/>
        </w:rPr>
      </w:pPr>
      <w:r>
        <w:rPr>
          <w:rFonts w:hint="eastAsia" w:ascii="宋体" w:hAnsi="宋体" w:cs="宋体"/>
          <w:kern w:val="0"/>
          <w:sz w:val="24"/>
        </w:rPr>
        <w:t>⑶投标人须知</w:t>
      </w:r>
    </w:p>
    <w:p w14:paraId="1F5BC7A0">
      <w:pPr>
        <w:spacing w:line="440" w:lineRule="exact"/>
        <w:ind w:firstLine="420"/>
        <w:jc w:val="left"/>
        <w:rPr>
          <w:rFonts w:ascii="宋体" w:cs="宋体"/>
          <w:kern w:val="0"/>
          <w:sz w:val="24"/>
        </w:rPr>
      </w:pPr>
      <w:r>
        <w:rPr>
          <w:rFonts w:hint="eastAsia" w:ascii="宋体" w:hAnsi="宋体" w:cs="宋体"/>
          <w:kern w:val="0"/>
          <w:sz w:val="24"/>
        </w:rPr>
        <w:t>⑷采购内容及技术要求</w:t>
      </w:r>
    </w:p>
    <w:p w14:paraId="418FCC1C">
      <w:pPr>
        <w:spacing w:line="440" w:lineRule="exact"/>
        <w:ind w:firstLine="420"/>
        <w:jc w:val="left"/>
        <w:rPr>
          <w:rFonts w:ascii="宋体" w:cs="宋体"/>
          <w:kern w:val="0"/>
          <w:sz w:val="24"/>
        </w:rPr>
      </w:pPr>
      <w:r>
        <w:rPr>
          <w:rFonts w:hint="eastAsia" w:ascii="宋体" w:hAnsi="宋体" w:cs="宋体"/>
          <w:kern w:val="0"/>
          <w:sz w:val="24"/>
        </w:rPr>
        <w:t>⑸主要商务条款</w:t>
      </w:r>
    </w:p>
    <w:p w14:paraId="6731CFA9">
      <w:pPr>
        <w:spacing w:line="440" w:lineRule="exact"/>
        <w:ind w:firstLine="420"/>
        <w:jc w:val="left"/>
        <w:rPr>
          <w:rFonts w:ascii="宋体" w:cs="宋体"/>
          <w:kern w:val="0"/>
          <w:sz w:val="24"/>
        </w:rPr>
      </w:pPr>
      <w:r>
        <w:rPr>
          <w:rFonts w:hint="eastAsia" w:ascii="宋体" w:hAnsi="宋体" w:cs="宋体"/>
          <w:kern w:val="0"/>
          <w:sz w:val="24"/>
        </w:rPr>
        <w:t>⑹评标办法</w:t>
      </w:r>
    </w:p>
    <w:p w14:paraId="28F58854">
      <w:pPr>
        <w:spacing w:line="440" w:lineRule="exact"/>
        <w:ind w:firstLine="420"/>
        <w:jc w:val="left"/>
        <w:rPr>
          <w:rFonts w:ascii="宋体" w:cs="宋体"/>
          <w:kern w:val="0"/>
          <w:sz w:val="24"/>
        </w:rPr>
      </w:pPr>
      <w:r>
        <w:rPr>
          <w:rFonts w:hint="eastAsia" w:ascii="宋体" w:hAnsi="宋体" w:cs="宋体"/>
          <w:kern w:val="0"/>
          <w:sz w:val="24"/>
        </w:rPr>
        <w:t>⑺附件</w:t>
      </w:r>
    </w:p>
    <w:p w14:paraId="099A894F">
      <w:pPr>
        <w:spacing w:line="440" w:lineRule="exact"/>
        <w:ind w:firstLine="420"/>
        <w:jc w:val="left"/>
        <w:rPr>
          <w:rFonts w:ascii="宋体" w:cs="宋体"/>
          <w:kern w:val="0"/>
          <w:sz w:val="24"/>
        </w:rPr>
      </w:pPr>
      <w:r>
        <w:rPr>
          <w:rFonts w:ascii="宋体" w:hAnsi="宋体" w:cs="宋体"/>
          <w:kern w:val="0"/>
          <w:sz w:val="24"/>
        </w:rPr>
        <w:t>7.2</w:t>
      </w:r>
      <w:r>
        <w:rPr>
          <w:rFonts w:hint="eastAsia" w:ascii="宋体" w:hAnsi="宋体" w:cs="宋体"/>
          <w:kern w:val="0"/>
          <w:sz w:val="24"/>
        </w:rPr>
        <w:t>除非有特殊要求，招标文件不单独提供招标标的物使用地的自然环境、气候条件、公用设施等情况，投标人被视为熟悉上述与履行合同有关的一切情况。</w:t>
      </w:r>
    </w:p>
    <w:p w14:paraId="0F3FDB71">
      <w:pPr>
        <w:spacing w:line="440" w:lineRule="exact"/>
        <w:ind w:firstLine="420"/>
        <w:jc w:val="left"/>
        <w:rPr>
          <w:rFonts w:ascii="宋体" w:cs="宋体"/>
          <w:kern w:val="0"/>
          <w:sz w:val="24"/>
        </w:rPr>
      </w:pPr>
      <w:r>
        <w:rPr>
          <w:rFonts w:ascii="宋体" w:hAnsi="宋体" w:cs="宋体"/>
          <w:kern w:val="0"/>
          <w:sz w:val="24"/>
        </w:rPr>
        <w:t>7.3</w:t>
      </w:r>
      <w:r>
        <w:rPr>
          <w:rFonts w:hint="eastAsia" w:ascii="宋体" w:hAnsi="宋体" w:cs="宋体"/>
          <w:kern w:val="0"/>
          <w:sz w:val="24"/>
        </w:rPr>
        <w:t>投标人应认真阅读招标文件中所有的事项、格式、条款和技术规格等。投标人没有按照文件要求提交全部资料，或者没有对招标文件在各方面都做出实质性响应是投标人的风险，并可能导致其投标文件被拒绝或以无效标处理。</w:t>
      </w:r>
    </w:p>
    <w:p w14:paraId="2D670587">
      <w:pPr>
        <w:pStyle w:val="3"/>
        <w:spacing w:line="440" w:lineRule="exact"/>
        <w:jc w:val="left"/>
        <w:rPr>
          <w:sz w:val="24"/>
          <w:szCs w:val="24"/>
        </w:rPr>
      </w:pPr>
      <w:bookmarkStart w:id="39" w:name="_Toc34297330"/>
      <w:bookmarkStart w:id="40" w:name="_Toc135032177"/>
      <w:bookmarkStart w:id="41" w:name="_Toc34808234"/>
      <w:r>
        <w:rPr>
          <w:sz w:val="24"/>
          <w:szCs w:val="24"/>
        </w:rPr>
        <w:t>8</w:t>
      </w:r>
      <w:r>
        <w:rPr>
          <w:rFonts w:hint="eastAsia"/>
          <w:sz w:val="24"/>
          <w:szCs w:val="24"/>
        </w:rPr>
        <w:t>、</w:t>
      </w:r>
      <w:bookmarkStart w:id="42" w:name="招标文件的澄清"/>
      <w:r>
        <w:rPr>
          <w:rFonts w:hint="eastAsia"/>
          <w:sz w:val="24"/>
          <w:szCs w:val="24"/>
        </w:rPr>
        <w:t>招标文件的澄清</w:t>
      </w:r>
      <w:bookmarkEnd w:id="39"/>
      <w:bookmarkEnd w:id="40"/>
      <w:bookmarkEnd w:id="41"/>
      <w:bookmarkEnd w:id="42"/>
    </w:p>
    <w:p w14:paraId="4A269513">
      <w:pPr>
        <w:spacing w:line="440" w:lineRule="exact"/>
        <w:ind w:firstLine="420"/>
        <w:jc w:val="left"/>
        <w:rPr>
          <w:rFonts w:ascii="宋体" w:hAnsi="宋体" w:cs="宋体"/>
          <w:kern w:val="0"/>
          <w:sz w:val="24"/>
        </w:rPr>
      </w:pPr>
      <w:r>
        <w:rPr>
          <w:rFonts w:ascii="宋体" w:hAnsi="宋体" w:cs="宋体"/>
          <w:kern w:val="0"/>
          <w:sz w:val="24"/>
        </w:rPr>
        <w:t>8.1</w:t>
      </w:r>
      <w:r>
        <w:rPr>
          <w:rFonts w:hint="eastAsia" w:ascii="宋体" w:hAnsi="宋体" w:cs="宋体"/>
          <w:kern w:val="0"/>
          <w:sz w:val="24"/>
        </w:rPr>
        <w:t>投标人对招标文件如有疑问，可要求澄清。投标人应当在本招标文件</w:t>
      </w:r>
      <w:r>
        <w:rPr>
          <w:rFonts w:ascii="宋体" w:hAnsi="宋体" w:cs="宋体"/>
          <w:kern w:val="0"/>
          <w:sz w:val="24"/>
        </w:rPr>
        <w:t>“投标人须知前附表”中规定的截止时间前以书面形式（包括信函、电子邮件、传真等，下同）通知到招标机构或登录</w:t>
      </w:r>
      <w:r>
        <w:rPr>
          <w:rFonts w:hint="eastAsia" w:ascii="宋体" w:hAnsi="宋体" w:cs="宋体"/>
          <w:kern w:val="0"/>
          <w:sz w:val="24"/>
        </w:rPr>
        <w:t>衢州市市县一体公共资源交易平台</w:t>
      </w:r>
      <w:r>
        <w:rPr>
          <w:rFonts w:ascii="宋体" w:hAnsi="宋体" w:cs="宋体"/>
          <w:kern w:val="0"/>
          <w:sz w:val="24"/>
        </w:rPr>
        <w:t>电子交易系统提出疑问。</w:t>
      </w:r>
      <w:r>
        <w:rPr>
          <w:rFonts w:hint="eastAsia" w:ascii="宋体" w:hAnsi="宋体" w:cs="宋体"/>
          <w:kern w:val="0"/>
          <w:sz w:val="24"/>
        </w:rPr>
        <w:t>招标机构将澄清以电子文件形式上传至电子招投标交易平台供投标人下载，投标人应自行关注衢州市市县一体公共资源交易平台电子交易系统或衢州市市县一体公共资源交易平台。</w:t>
      </w:r>
    </w:p>
    <w:p w14:paraId="5126F532">
      <w:pPr>
        <w:spacing w:line="440" w:lineRule="exact"/>
        <w:ind w:firstLine="420"/>
        <w:jc w:val="left"/>
        <w:rPr>
          <w:rFonts w:ascii="宋体" w:cs="宋体"/>
          <w:kern w:val="0"/>
          <w:sz w:val="24"/>
        </w:rPr>
      </w:pPr>
      <w:r>
        <w:rPr>
          <w:rFonts w:ascii="宋体" w:hAnsi="宋体" w:cs="宋体"/>
          <w:kern w:val="0"/>
          <w:sz w:val="24"/>
        </w:rPr>
        <w:t>8.2</w:t>
      </w:r>
      <w:r>
        <w:rPr>
          <w:rFonts w:hint="eastAsia" w:ascii="宋体" w:hAnsi="宋体" w:cs="宋体"/>
          <w:kern w:val="0"/>
          <w:sz w:val="24"/>
        </w:rPr>
        <w:t>投标人如发现招标文件及其评标办法中存在含糊不清、自相矛盾、多种含义以及歧视性不公正条款或违法违规等内容时，请在本招标文件“投标人须知前附表”中规定的时间前向招标机构书面反映或登录衢州市市县一体公共资源交易平台电子交易系统反映，逾期不得再对招标文件的条款提出质疑。</w:t>
      </w:r>
    </w:p>
    <w:p w14:paraId="4ED5A8A6">
      <w:pPr>
        <w:pStyle w:val="3"/>
        <w:spacing w:line="440" w:lineRule="exact"/>
        <w:jc w:val="left"/>
        <w:rPr>
          <w:sz w:val="24"/>
          <w:szCs w:val="24"/>
        </w:rPr>
      </w:pPr>
      <w:bookmarkStart w:id="43" w:name="_Toc135032178"/>
      <w:bookmarkStart w:id="44" w:name="_Toc34808235"/>
      <w:bookmarkStart w:id="45" w:name="_Toc34297331"/>
      <w:r>
        <w:rPr>
          <w:sz w:val="24"/>
          <w:szCs w:val="24"/>
        </w:rPr>
        <w:t>9</w:t>
      </w:r>
      <w:r>
        <w:rPr>
          <w:rFonts w:hint="eastAsia"/>
          <w:sz w:val="24"/>
          <w:szCs w:val="24"/>
        </w:rPr>
        <w:t>、招标文件的修改</w:t>
      </w:r>
      <w:bookmarkEnd w:id="43"/>
      <w:bookmarkEnd w:id="44"/>
      <w:bookmarkEnd w:id="45"/>
    </w:p>
    <w:p w14:paraId="0197F209">
      <w:pPr>
        <w:spacing w:line="440" w:lineRule="exact"/>
        <w:ind w:firstLine="420"/>
        <w:jc w:val="left"/>
        <w:rPr>
          <w:rFonts w:ascii="宋体" w:cs="宋体"/>
          <w:kern w:val="0"/>
          <w:sz w:val="24"/>
        </w:rPr>
      </w:pPr>
      <w:r>
        <w:rPr>
          <w:rFonts w:ascii="宋体" w:hAnsi="宋体" w:cs="宋体"/>
          <w:kern w:val="0"/>
          <w:sz w:val="24"/>
        </w:rPr>
        <w:t>9.1</w:t>
      </w:r>
      <w:r>
        <w:rPr>
          <w:rFonts w:hint="eastAsia" w:ascii="宋体" w:hAnsi="宋体" w:cs="宋体"/>
          <w:kern w:val="0"/>
          <w:sz w:val="24"/>
        </w:rPr>
        <w:t>招标机构可主动或依据投标人要求澄清的问题而修改招标文件，并以电子文件形式上传至电子招投标交易平台供投标人下载，投标人应自行关注衢州市市县一体公共资源交易平台电子交易系统，招标人不再一一通知。</w:t>
      </w:r>
    </w:p>
    <w:p w14:paraId="7E0B424C">
      <w:pPr>
        <w:spacing w:line="440" w:lineRule="exact"/>
        <w:ind w:firstLine="420"/>
        <w:jc w:val="left"/>
        <w:rPr>
          <w:rFonts w:ascii="宋体" w:cs="宋体"/>
          <w:kern w:val="0"/>
          <w:sz w:val="24"/>
        </w:rPr>
      </w:pPr>
      <w:r>
        <w:rPr>
          <w:rFonts w:ascii="宋体" w:hAnsi="宋体" w:cs="宋体"/>
          <w:kern w:val="0"/>
          <w:sz w:val="24"/>
        </w:rPr>
        <w:t>9.2</w:t>
      </w:r>
      <w:r>
        <w:rPr>
          <w:rFonts w:hint="eastAsia" w:ascii="宋体" w:hAnsi="宋体" w:cs="宋体"/>
          <w:kern w:val="0"/>
          <w:sz w:val="24"/>
        </w:rPr>
        <w:t>为使投标人在准备投标文件时有合理的时间考虑招标文件的修改，招标机构可酌情推迟投标截止时间和开标时间，投标人应自行关注衢州市市县一体公共资源交易平台电子交易系统，获取最新消息。</w:t>
      </w:r>
    </w:p>
    <w:p w14:paraId="475E40B0">
      <w:pPr>
        <w:spacing w:line="440" w:lineRule="exact"/>
        <w:ind w:firstLine="420"/>
        <w:jc w:val="left"/>
        <w:rPr>
          <w:rFonts w:ascii="宋体" w:cs="宋体"/>
          <w:kern w:val="0"/>
          <w:sz w:val="24"/>
        </w:rPr>
      </w:pPr>
      <w:r>
        <w:rPr>
          <w:rFonts w:ascii="宋体" w:hAnsi="宋体" w:cs="宋体"/>
          <w:kern w:val="0"/>
          <w:sz w:val="24"/>
        </w:rPr>
        <w:t>9.3</w:t>
      </w:r>
      <w:r>
        <w:rPr>
          <w:rFonts w:hint="eastAsia" w:ascii="宋体" w:hAnsi="宋体" w:cs="宋体"/>
          <w:kern w:val="0"/>
          <w:sz w:val="24"/>
        </w:rPr>
        <w:t>招标文件的修改书将构成招标文件的一部分，对投标人有约束力。</w:t>
      </w:r>
    </w:p>
    <w:p w14:paraId="426A009F">
      <w:pPr>
        <w:pStyle w:val="3"/>
        <w:spacing w:line="440" w:lineRule="exact"/>
        <w:jc w:val="left"/>
        <w:rPr>
          <w:sz w:val="24"/>
          <w:szCs w:val="24"/>
        </w:rPr>
      </w:pPr>
      <w:bookmarkStart w:id="46" w:name="_Toc135032179"/>
      <w:bookmarkStart w:id="47" w:name="_Toc34808236"/>
      <w:bookmarkStart w:id="48" w:name="_Toc34297332"/>
      <w:r>
        <w:rPr>
          <w:sz w:val="24"/>
          <w:szCs w:val="24"/>
        </w:rPr>
        <w:t>10</w:t>
      </w:r>
      <w:r>
        <w:rPr>
          <w:rFonts w:hint="eastAsia"/>
          <w:sz w:val="24"/>
          <w:szCs w:val="24"/>
        </w:rPr>
        <w:t>、招标文件的解释权</w:t>
      </w:r>
      <w:bookmarkEnd w:id="46"/>
      <w:bookmarkEnd w:id="47"/>
      <w:bookmarkEnd w:id="48"/>
    </w:p>
    <w:p w14:paraId="7B3C6E29">
      <w:pPr>
        <w:spacing w:line="440" w:lineRule="exact"/>
        <w:ind w:firstLine="420"/>
        <w:jc w:val="left"/>
        <w:rPr>
          <w:rFonts w:ascii="宋体" w:cs="宋体"/>
          <w:kern w:val="0"/>
          <w:sz w:val="24"/>
        </w:rPr>
      </w:pPr>
      <w:bookmarkStart w:id="49" w:name="_Toc34297333"/>
      <w:bookmarkStart w:id="50" w:name="_Toc34808237"/>
      <w:r>
        <w:rPr>
          <w:rFonts w:hint="eastAsia" w:ascii="宋体" w:cs="宋体"/>
          <w:kern w:val="0"/>
          <w:sz w:val="24"/>
        </w:rPr>
        <w:t>10.1招标文件（包括澄清、修改、补充文件、书面答复等）的解释权属本次招标的招标人：浙江巨化化工材料有限公司。</w:t>
      </w:r>
    </w:p>
    <w:p w14:paraId="5D393B4B">
      <w:pPr>
        <w:pStyle w:val="3"/>
        <w:spacing w:line="440" w:lineRule="exact"/>
        <w:jc w:val="left"/>
        <w:rPr>
          <w:sz w:val="24"/>
          <w:szCs w:val="24"/>
        </w:rPr>
      </w:pPr>
      <w:bookmarkStart w:id="51" w:name="_Toc135032180"/>
      <w:r>
        <w:rPr>
          <w:sz w:val="24"/>
          <w:szCs w:val="24"/>
        </w:rPr>
        <w:t>11</w:t>
      </w:r>
      <w:r>
        <w:rPr>
          <w:rFonts w:hint="eastAsia"/>
          <w:sz w:val="24"/>
          <w:szCs w:val="24"/>
        </w:rPr>
        <w:t>、招标文件的效力</w:t>
      </w:r>
      <w:bookmarkEnd w:id="49"/>
      <w:bookmarkEnd w:id="50"/>
      <w:bookmarkEnd w:id="51"/>
    </w:p>
    <w:p w14:paraId="60CAE801">
      <w:pPr>
        <w:spacing w:line="440" w:lineRule="exact"/>
        <w:ind w:firstLine="420"/>
        <w:jc w:val="left"/>
        <w:rPr>
          <w:rFonts w:ascii="宋体" w:cs="宋体"/>
          <w:kern w:val="0"/>
          <w:sz w:val="24"/>
        </w:rPr>
      </w:pPr>
      <w:r>
        <w:rPr>
          <w:rFonts w:ascii="宋体" w:hAnsi="宋体" w:cs="宋体"/>
          <w:kern w:val="0"/>
          <w:sz w:val="24"/>
        </w:rPr>
        <w:t>11.1</w:t>
      </w:r>
      <w:r>
        <w:rPr>
          <w:rFonts w:hint="eastAsia" w:ascii="宋体" w:hAnsi="宋体" w:cs="宋体"/>
          <w:kern w:val="0"/>
          <w:sz w:val="24"/>
        </w:rPr>
        <w:t>招标文件（包括澄清、修改、补充文件、书面答复等）是本次招标和投标的有效依据，也是中标后签订合同的依据，对招投标双方均具有约束力。凡不遵守招标文件规定的投标或对招标文件的实质性内容不响应者，将可能被拒绝或以无效标处理。</w:t>
      </w:r>
    </w:p>
    <w:p w14:paraId="38463A22">
      <w:pPr>
        <w:pStyle w:val="3"/>
        <w:spacing w:line="440" w:lineRule="exact"/>
        <w:jc w:val="left"/>
        <w:rPr>
          <w:sz w:val="24"/>
          <w:szCs w:val="24"/>
        </w:rPr>
      </w:pPr>
      <w:bookmarkStart w:id="52" w:name="_Toc135032181"/>
      <w:bookmarkStart w:id="53" w:name="_Toc34808238"/>
      <w:bookmarkStart w:id="54" w:name="_Toc34297334"/>
      <w:r>
        <w:rPr>
          <w:rFonts w:hint="eastAsia"/>
          <w:sz w:val="24"/>
          <w:szCs w:val="24"/>
        </w:rPr>
        <w:t>第三节　　投标文件的编制</w:t>
      </w:r>
      <w:bookmarkEnd w:id="52"/>
      <w:bookmarkEnd w:id="53"/>
      <w:bookmarkEnd w:id="54"/>
    </w:p>
    <w:p w14:paraId="0F5040F5">
      <w:pPr>
        <w:pStyle w:val="3"/>
        <w:spacing w:line="440" w:lineRule="exact"/>
        <w:jc w:val="left"/>
        <w:rPr>
          <w:sz w:val="24"/>
          <w:szCs w:val="24"/>
        </w:rPr>
      </w:pPr>
      <w:bookmarkStart w:id="55" w:name="_Toc34297335"/>
      <w:bookmarkStart w:id="56" w:name="_Toc135032182"/>
      <w:bookmarkStart w:id="57" w:name="_Toc34808239"/>
      <w:r>
        <w:rPr>
          <w:sz w:val="24"/>
          <w:szCs w:val="24"/>
        </w:rPr>
        <w:t>12</w:t>
      </w:r>
      <w:r>
        <w:rPr>
          <w:rFonts w:hint="eastAsia"/>
          <w:sz w:val="24"/>
          <w:szCs w:val="24"/>
        </w:rPr>
        <w:t>、要求</w:t>
      </w:r>
      <w:bookmarkEnd w:id="55"/>
      <w:bookmarkEnd w:id="56"/>
      <w:bookmarkEnd w:id="57"/>
    </w:p>
    <w:p w14:paraId="17CC384C">
      <w:pPr>
        <w:spacing w:line="440" w:lineRule="exact"/>
        <w:ind w:firstLine="420"/>
        <w:jc w:val="left"/>
        <w:rPr>
          <w:rFonts w:ascii="宋体" w:cs="宋体"/>
          <w:kern w:val="0"/>
          <w:sz w:val="24"/>
        </w:rPr>
      </w:pPr>
      <w:r>
        <w:rPr>
          <w:rFonts w:ascii="宋体" w:hAnsi="宋体" w:cs="宋体"/>
          <w:kern w:val="0"/>
          <w:sz w:val="24"/>
        </w:rPr>
        <w:t>12.1</w:t>
      </w:r>
      <w:r>
        <w:rPr>
          <w:rFonts w:hint="eastAsia" w:ascii="宋体" w:hAnsi="宋体" w:cs="宋体"/>
          <w:kern w:val="0"/>
          <w:sz w:val="24"/>
        </w:rPr>
        <w:t>投标人应仔细阅读招标文件的所有内容，按招标文件的要求提供投标文件，并保证所提供的全部资料的真实性，以使其投标对招标文件做出实质性响应，否则，其投标可能被拒绝。</w:t>
      </w:r>
    </w:p>
    <w:p w14:paraId="74CF9F4B">
      <w:pPr>
        <w:pStyle w:val="3"/>
        <w:spacing w:line="440" w:lineRule="exact"/>
        <w:jc w:val="left"/>
        <w:rPr>
          <w:sz w:val="24"/>
          <w:szCs w:val="24"/>
        </w:rPr>
      </w:pPr>
      <w:bookmarkStart w:id="58" w:name="_Toc34297336"/>
      <w:bookmarkStart w:id="59" w:name="_Toc135032183"/>
      <w:bookmarkStart w:id="60" w:name="_Toc34808240"/>
      <w:r>
        <w:rPr>
          <w:sz w:val="24"/>
          <w:szCs w:val="24"/>
        </w:rPr>
        <w:t>13</w:t>
      </w:r>
      <w:r>
        <w:rPr>
          <w:rFonts w:hint="eastAsia"/>
          <w:sz w:val="24"/>
          <w:szCs w:val="24"/>
        </w:rPr>
        <w:t>、计量单位</w:t>
      </w:r>
      <w:bookmarkEnd w:id="58"/>
      <w:bookmarkEnd w:id="59"/>
      <w:bookmarkEnd w:id="60"/>
    </w:p>
    <w:p w14:paraId="181509E5">
      <w:pPr>
        <w:spacing w:line="440" w:lineRule="exact"/>
        <w:ind w:firstLine="420"/>
        <w:jc w:val="left"/>
        <w:rPr>
          <w:rFonts w:ascii="宋体" w:cs="宋体"/>
          <w:kern w:val="0"/>
          <w:sz w:val="24"/>
        </w:rPr>
      </w:pPr>
      <w:r>
        <w:rPr>
          <w:rFonts w:ascii="宋体" w:hAnsi="宋体" w:cs="宋体"/>
          <w:kern w:val="0"/>
          <w:sz w:val="24"/>
        </w:rPr>
        <w:t>13.1</w:t>
      </w:r>
      <w:r>
        <w:rPr>
          <w:rFonts w:hint="eastAsia" w:ascii="宋体" w:hAnsi="宋体" w:cs="宋体"/>
          <w:kern w:val="0"/>
          <w:sz w:val="24"/>
        </w:rPr>
        <w:t>除在招标文件的技术规格中另有规定外，计量单位应使用中华人民共和国法定计量单位（国际单位制和国家选定的其他计量单位）。</w:t>
      </w:r>
    </w:p>
    <w:p w14:paraId="7E5D1340">
      <w:pPr>
        <w:pStyle w:val="3"/>
        <w:spacing w:line="440" w:lineRule="exact"/>
        <w:jc w:val="left"/>
        <w:rPr>
          <w:sz w:val="24"/>
          <w:szCs w:val="24"/>
        </w:rPr>
      </w:pPr>
      <w:bookmarkStart w:id="61" w:name="_Toc34297337"/>
      <w:bookmarkStart w:id="62" w:name="_Toc135032184"/>
      <w:bookmarkStart w:id="63" w:name="_Toc34808241"/>
      <w:r>
        <w:rPr>
          <w:sz w:val="24"/>
          <w:szCs w:val="24"/>
        </w:rPr>
        <w:t>14</w:t>
      </w:r>
      <w:r>
        <w:rPr>
          <w:rFonts w:hint="eastAsia"/>
          <w:sz w:val="24"/>
          <w:szCs w:val="24"/>
        </w:rPr>
        <w:t>、投标文件的组成</w:t>
      </w:r>
      <w:bookmarkEnd w:id="61"/>
      <w:bookmarkEnd w:id="62"/>
      <w:bookmarkEnd w:id="63"/>
      <w:r>
        <w:rPr>
          <w:rFonts w:hint="eastAsia"/>
          <w:sz w:val="24"/>
          <w:szCs w:val="24"/>
        </w:rPr>
        <w:t>（注意：据此修改投标函）</w:t>
      </w:r>
    </w:p>
    <w:p w14:paraId="58FCA29D">
      <w:pPr>
        <w:spacing w:line="440" w:lineRule="exact"/>
        <w:ind w:firstLine="420"/>
        <w:jc w:val="left"/>
        <w:rPr>
          <w:rFonts w:ascii="宋体" w:cs="宋体"/>
          <w:kern w:val="0"/>
          <w:sz w:val="24"/>
        </w:rPr>
      </w:pPr>
      <w:r>
        <w:rPr>
          <w:rFonts w:ascii="宋体" w:hAnsi="宋体" w:cs="宋体"/>
          <w:kern w:val="0"/>
          <w:sz w:val="24"/>
        </w:rPr>
        <w:t>14.1</w:t>
      </w:r>
      <w:r>
        <w:rPr>
          <w:rFonts w:hint="eastAsia" w:ascii="宋体" w:hAnsi="宋体" w:cs="宋体"/>
          <w:kern w:val="0"/>
          <w:sz w:val="24"/>
        </w:rPr>
        <w:t>商务报价部分</w:t>
      </w:r>
    </w:p>
    <w:p w14:paraId="1F14B257">
      <w:pPr>
        <w:numPr>
          <w:ilvl w:val="1"/>
          <w:numId w:val="2"/>
        </w:numPr>
        <w:tabs>
          <w:tab w:val="left" w:pos="0"/>
        </w:tabs>
        <w:spacing w:line="440" w:lineRule="exact"/>
        <w:ind w:left="420" w:firstLine="0"/>
        <w:jc w:val="left"/>
        <w:rPr>
          <w:rFonts w:ascii="宋体" w:cs="宋体"/>
          <w:kern w:val="0"/>
          <w:sz w:val="24"/>
        </w:rPr>
      </w:pPr>
      <w:r>
        <w:rPr>
          <w:rFonts w:hint="eastAsia" w:ascii="宋体" w:cs="宋体"/>
          <w:kern w:val="0"/>
          <w:sz w:val="24"/>
        </w:rPr>
        <w:t>投标函（附件１）。</w:t>
      </w:r>
    </w:p>
    <w:p w14:paraId="6C6FBF92">
      <w:pPr>
        <w:numPr>
          <w:ilvl w:val="1"/>
          <w:numId w:val="2"/>
        </w:numPr>
        <w:tabs>
          <w:tab w:val="left" w:pos="0"/>
        </w:tabs>
        <w:spacing w:line="440" w:lineRule="exact"/>
        <w:ind w:left="420" w:firstLine="0"/>
        <w:jc w:val="left"/>
        <w:rPr>
          <w:rFonts w:ascii="宋体" w:cs="宋体"/>
          <w:kern w:val="0"/>
          <w:sz w:val="24"/>
        </w:rPr>
      </w:pPr>
      <w:r>
        <w:rPr>
          <w:rFonts w:hint="eastAsia" w:ascii="宋体" w:cs="宋体"/>
          <w:kern w:val="0"/>
          <w:sz w:val="24"/>
        </w:rPr>
        <w:t>开标一览表（附件２）。</w:t>
      </w:r>
    </w:p>
    <w:p w14:paraId="54585EC8">
      <w:pPr>
        <w:numPr>
          <w:ilvl w:val="1"/>
          <w:numId w:val="2"/>
        </w:numPr>
        <w:tabs>
          <w:tab w:val="left" w:pos="0"/>
        </w:tabs>
        <w:spacing w:line="440" w:lineRule="exact"/>
        <w:ind w:left="420" w:firstLine="0"/>
        <w:jc w:val="left"/>
        <w:rPr>
          <w:rFonts w:ascii="宋体" w:cs="宋体"/>
          <w:kern w:val="0"/>
          <w:sz w:val="24"/>
        </w:rPr>
      </w:pPr>
      <w:r>
        <w:rPr>
          <w:rFonts w:hint="eastAsia" w:ascii="宋体" w:cs="宋体"/>
          <w:kern w:val="0"/>
          <w:sz w:val="24"/>
        </w:rPr>
        <w:t>投标分项报价表（附件３-1）。</w:t>
      </w:r>
    </w:p>
    <w:p w14:paraId="3697D99F">
      <w:pPr>
        <w:numPr>
          <w:ilvl w:val="1"/>
          <w:numId w:val="2"/>
        </w:numPr>
        <w:tabs>
          <w:tab w:val="left" w:pos="0"/>
        </w:tabs>
        <w:spacing w:line="440" w:lineRule="exact"/>
        <w:ind w:left="420" w:firstLine="0"/>
        <w:jc w:val="left"/>
        <w:rPr>
          <w:rFonts w:ascii="宋体" w:cs="宋体"/>
          <w:kern w:val="0"/>
          <w:sz w:val="24"/>
        </w:rPr>
      </w:pPr>
      <w:r>
        <w:rPr>
          <w:rFonts w:hint="eastAsia" w:ascii="宋体" w:cs="宋体"/>
          <w:kern w:val="0"/>
          <w:sz w:val="24"/>
        </w:rPr>
        <w:t>商务差异表（附件3-2）。</w:t>
      </w:r>
    </w:p>
    <w:p w14:paraId="66FFF202">
      <w:pPr>
        <w:numPr>
          <w:ilvl w:val="1"/>
          <w:numId w:val="2"/>
        </w:numPr>
        <w:tabs>
          <w:tab w:val="left" w:pos="0"/>
        </w:tabs>
        <w:spacing w:line="440" w:lineRule="exact"/>
        <w:ind w:left="420" w:firstLine="0"/>
        <w:jc w:val="left"/>
        <w:rPr>
          <w:rFonts w:ascii="宋体" w:cs="宋体"/>
          <w:kern w:val="0"/>
          <w:sz w:val="24"/>
        </w:rPr>
      </w:pPr>
      <w:r>
        <w:rPr>
          <w:rFonts w:hint="eastAsia" w:ascii="宋体" w:cs="宋体"/>
          <w:kern w:val="0"/>
          <w:sz w:val="24"/>
        </w:rPr>
        <w:t>主要零部件及外协件、外购件供货厂家的基本情况（附件3</w:t>
      </w:r>
      <w:r>
        <w:rPr>
          <w:rFonts w:ascii="宋体" w:cs="宋体"/>
          <w:kern w:val="0"/>
          <w:sz w:val="24"/>
        </w:rPr>
        <w:t>-3</w:t>
      </w:r>
      <w:r>
        <w:rPr>
          <w:rFonts w:hint="eastAsia" w:ascii="宋体" w:cs="宋体"/>
          <w:kern w:val="0"/>
          <w:sz w:val="24"/>
        </w:rPr>
        <w:t>）</w:t>
      </w:r>
    </w:p>
    <w:p w14:paraId="20657277">
      <w:pPr>
        <w:numPr>
          <w:ilvl w:val="1"/>
          <w:numId w:val="2"/>
        </w:numPr>
        <w:tabs>
          <w:tab w:val="left" w:pos="0"/>
        </w:tabs>
        <w:spacing w:line="440" w:lineRule="exact"/>
        <w:ind w:left="420" w:firstLine="0"/>
        <w:jc w:val="left"/>
        <w:rPr>
          <w:rFonts w:ascii="宋体" w:cs="宋体"/>
          <w:kern w:val="0"/>
          <w:sz w:val="24"/>
        </w:rPr>
      </w:pPr>
      <w:r>
        <w:rPr>
          <w:rFonts w:hint="eastAsia" w:ascii="宋体" w:cs="宋体"/>
          <w:kern w:val="0"/>
          <w:sz w:val="24"/>
        </w:rPr>
        <w:t>优惠条件：投标人承诺给予招标人的其他优惠条款，包括付款条款、培训服务、质量保证期等方面的优惠（请在差异表中列明）。</w:t>
      </w:r>
    </w:p>
    <w:p w14:paraId="5285FF0B">
      <w:pPr>
        <w:spacing w:line="440" w:lineRule="exact"/>
        <w:ind w:firstLine="480" w:firstLineChars="200"/>
        <w:jc w:val="left"/>
        <w:rPr>
          <w:rFonts w:ascii="宋体" w:cs="宋体"/>
          <w:kern w:val="0"/>
          <w:sz w:val="24"/>
        </w:rPr>
      </w:pPr>
      <w:r>
        <w:rPr>
          <w:rFonts w:hint="eastAsia" w:ascii="宋体" w:cs="宋体"/>
          <w:kern w:val="0"/>
          <w:sz w:val="24"/>
        </w:rPr>
        <w:t>14.2资信部分</w:t>
      </w:r>
    </w:p>
    <w:p w14:paraId="25B2D02D">
      <w:pPr>
        <w:spacing w:line="440" w:lineRule="exact"/>
        <w:ind w:firstLine="480" w:firstLineChars="200"/>
        <w:jc w:val="left"/>
        <w:rPr>
          <w:rFonts w:hint="eastAsia" w:ascii="宋体" w:hAnsi="Times New Roman" w:eastAsia="宋体" w:cs="宋体"/>
          <w:kern w:val="0"/>
          <w:sz w:val="24"/>
        </w:rPr>
      </w:pPr>
      <w:r>
        <w:rPr>
          <w:rFonts w:hint="eastAsia" w:ascii="宋体" w:cs="宋体"/>
          <w:kern w:val="0"/>
          <w:sz w:val="24"/>
        </w:rPr>
        <w:t>14.2.1资格、资质证明文件</w:t>
      </w:r>
      <w:r>
        <w:rPr>
          <w:rFonts w:hint="eastAsia" w:ascii="宋体" w:hAnsi="Times New Roman" w:eastAsia="宋体" w:cs="宋体"/>
          <w:kern w:val="0"/>
          <w:sz w:val="24"/>
        </w:rPr>
        <w:t>（附件4）</w:t>
      </w:r>
    </w:p>
    <w:p w14:paraId="04DF96F2">
      <w:pPr>
        <w:spacing w:line="440" w:lineRule="exact"/>
        <w:ind w:firstLine="480" w:firstLineChars="200"/>
        <w:jc w:val="left"/>
        <w:rPr>
          <w:rFonts w:hint="eastAsia" w:ascii="宋体" w:hAnsi="Times New Roman" w:eastAsia="宋体" w:cs="宋体"/>
          <w:kern w:val="0"/>
          <w:sz w:val="24"/>
        </w:rPr>
      </w:pPr>
      <w:r>
        <w:rPr>
          <w:rFonts w:hint="eastAsia" w:ascii="宋体" w:hAnsi="Times New Roman" w:eastAsia="宋体" w:cs="宋体"/>
          <w:kern w:val="0"/>
          <w:sz w:val="24"/>
        </w:rPr>
        <w:t>评分索引表</w:t>
      </w:r>
    </w:p>
    <w:p w14:paraId="442DB132">
      <w:pPr>
        <w:spacing w:line="440" w:lineRule="exact"/>
        <w:ind w:firstLine="480" w:firstLineChars="200"/>
        <w:jc w:val="left"/>
        <w:rPr>
          <w:rFonts w:hint="eastAsia" w:ascii="宋体" w:hAnsi="Times New Roman" w:eastAsia="宋体" w:cs="宋体"/>
          <w:kern w:val="0"/>
          <w:sz w:val="24"/>
        </w:rPr>
      </w:pPr>
      <w:r>
        <w:rPr>
          <w:rFonts w:hint="eastAsia" w:ascii="宋体" w:hAnsi="Times New Roman" w:eastAsia="宋体" w:cs="宋体"/>
          <w:kern w:val="0"/>
          <w:sz w:val="24"/>
        </w:rPr>
        <w:t>投标人资格承诺函</w:t>
      </w:r>
    </w:p>
    <w:p w14:paraId="63F70DB4">
      <w:pPr>
        <w:spacing w:line="440" w:lineRule="exact"/>
        <w:ind w:firstLine="480" w:firstLineChars="200"/>
        <w:jc w:val="left"/>
        <w:rPr>
          <w:rFonts w:hint="eastAsia" w:ascii="宋体" w:cs="宋体"/>
          <w:kern w:val="0"/>
          <w:sz w:val="24"/>
        </w:rPr>
      </w:pPr>
      <w:r>
        <w:rPr>
          <w:rFonts w:hint="eastAsia" w:ascii="宋体" w:hAnsi="Times New Roman" w:eastAsia="宋体" w:cs="宋体"/>
          <w:kern w:val="0"/>
          <w:sz w:val="24"/>
        </w:rPr>
        <w:t>投标声明书</w:t>
      </w:r>
    </w:p>
    <w:p w14:paraId="36DA28B1">
      <w:pPr>
        <w:numPr>
          <w:ilvl w:val="1"/>
          <w:numId w:val="3"/>
        </w:numPr>
        <w:tabs>
          <w:tab w:val="left" w:pos="780"/>
        </w:tabs>
        <w:spacing w:line="440" w:lineRule="exact"/>
        <w:ind w:left="420" w:firstLine="0"/>
        <w:jc w:val="left"/>
        <w:rPr>
          <w:rFonts w:ascii="宋体" w:cs="宋体"/>
          <w:kern w:val="0"/>
          <w:sz w:val="24"/>
        </w:rPr>
      </w:pPr>
      <w:r>
        <w:rPr>
          <w:rFonts w:hint="eastAsia" w:ascii="宋体" w:cs="宋体"/>
          <w:kern w:val="0"/>
          <w:sz w:val="24"/>
        </w:rPr>
        <w:t>法定代表人授权书。</w:t>
      </w:r>
    </w:p>
    <w:p w14:paraId="61628717">
      <w:pPr>
        <w:numPr>
          <w:ilvl w:val="1"/>
          <w:numId w:val="3"/>
        </w:numPr>
        <w:tabs>
          <w:tab w:val="left" w:pos="780"/>
        </w:tabs>
        <w:spacing w:line="440" w:lineRule="exact"/>
        <w:ind w:left="420" w:firstLine="0"/>
        <w:jc w:val="left"/>
        <w:rPr>
          <w:rFonts w:ascii="宋体" w:cs="宋体"/>
          <w:kern w:val="0"/>
          <w:sz w:val="24"/>
        </w:rPr>
      </w:pPr>
      <w:r>
        <w:rPr>
          <w:rFonts w:hint="eastAsia" w:ascii="宋体" w:cs="宋体"/>
          <w:kern w:val="0"/>
          <w:sz w:val="24"/>
        </w:rPr>
        <w:t>投标人营业执照复印件。</w:t>
      </w:r>
    </w:p>
    <w:p w14:paraId="6F83C513">
      <w:pPr>
        <w:numPr>
          <w:ilvl w:val="1"/>
          <w:numId w:val="3"/>
        </w:numPr>
        <w:tabs>
          <w:tab w:val="left" w:pos="780"/>
        </w:tabs>
        <w:spacing w:line="440" w:lineRule="exact"/>
        <w:ind w:left="420" w:firstLine="0"/>
        <w:jc w:val="left"/>
        <w:rPr>
          <w:rFonts w:ascii="宋体" w:cs="宋体"/>
          <w:kern w:val="0"/>
          <w:sz w:val="24"/>
        </w:rPr>
      </w:pPr>
      <w:r>
        <w:rPr>
          <w:rFonts w:hint="eastAsia" w:ascii="宋体" w:cs="宋体"/>
          <w:kern w:val="0"/>
          <w:sz w:val="24"/>
        </w:rPr>
        <w:t>资质证书等相关复印件。</w:t>
      </w:r>
    </w:p>
    <w:p w14:paraId="52CC7AD3">
      <w:pPr>
        <w:numPr>
          <w:ilvl w:val="1"/>
          <w:numId w:val="3"/>
        </w:numPr>
        <w:tabs>
          <w:tab w:val="left" w:pos="780"/>
        </w:tabs>
        <w:spacing w:line="440" w:lineRule="exact"/>
        <w:ind w:left="420" w:firstLine="0"/>
        <w:jc w:val="left"/>
        <w:rPr>
          <w:rFonts w:ascii="宋体" w:cs="宋体"/>
          <w:kern w:val="0"/>
          <w:sz w:val="24"/>
        </w:rPr>
      </w:pPr>
      <w:r>
        <w:rPr>
          <w:rFonts w:hint="eastAsia" w:ascii="宋体" w:cs="宋体"/>
          <w:kern w:val="0"/>
          <w:sz w:val="24"/>
        </w:rPr>
        <w:t>工厂简介（包括组织机构、生产能力、设备、厂房、人员等），质量管理和质量保证体系认证证书复印件。</w:t>
      </w:r>
    </w:p>
    <w:p w14:paraId="16A3BEAA">
      <w:pPr>
        <w:spacing w:line="440" w:lineRule="exact"/>
        <w:ind w:firstLine="480" w:firstLineChars="200"/>
        <w:jc w:val="left"/>
        <w:rPr>
          <w:rFonts w:ascii="宋体" w:hAnsi="宋体" w:cs="宋体"/>
          <w:kern w:val="0"/>
          <w:sz w:val="24"/>
        </w:rPr>
      </w:pPr>
      <w:r>
        <w:rPr>
          <w:rFonts w:ascii="宋体" w:hAnsi="宋体" w:cs="宋体"/>
          <w:kern w:val="0"/>
          <w:sz w:val="24"/>
        </w:rPr>
        <w:t>E、法人代表身份证复印件。</w:t>
      </w:r>
    </w:p>
    <w:p w14:paraId="75B4082D">
      <w:pPr>
        <w:spacing w:line="440" w:lineRule="exact"/>
        <w:ind w:firstLine="480" w:firstLineChars="200"/>
        <w:jc w:val="left"/>
        <w:rPr>
          <w:rFonts w:ascii="宋体" w:cs="宋体"/>
          <w:kern w:val="0"/>
          <w:sz w:val="24"/>
        </w:rPr>
      </w:pPr>
      <w:r>
        <w:rPr>
          <w:rFonts w:hint="eastAsia" w:ascii="宋体" w:cs="宋体"/>
          <w:kern w:val="0"/>
          <w:sz w:val="24"/>
        </w:rPr>
        <w:t>14.2.2投标人主要业绩（附件5）</w:t>
      </w:r>
    </w:p>
    <w:p w14:paraId="1DBDCDCF">
      <w:pPr>
        <w:spacing w:line="440" w:lineRule="exact"/>
        <w:ind w:firstLine="480" w:firstLineChars="200"/>
        <w:jc w:val="left"/>
        <w:rPr>
          <w:rFonts w:ascii="宋体" w:cs="宋体"/>
          <w:kern w:val="0"/>
          <w:sz w:val="24"/>
        </w:rPr>
      </w:pPr>
      <w:r>
        <w:rPr>
          <w:rFonts w:hint="eastAsia" w:ascii="宋体" w:cs="宋体"/>
          <w:kern w:val="0"/>
          <w:sz w:val="24"/>
        </w:rPr>
        <w:t>14.3技术部分</w:t>
      </w:r>
    </w:p>
    <w:p w14:paraId="4B041B0E">
      <w:pPr>
        <w:spacing w:line="440" w:lineRule="exact"/>
        <w:ind w:left="420"/>
        <w:jc w:val="left"/>
        <w:rPr>
          <w:rFonts w:ascii="宋体" w:cs="宋体"/>
          <w:kern w:val="0"/>
          <w:sz w:val="24"/>
        </w:rPr>
      </w:pPr>
      <w:r>
        <w:rPr>
          <w:rFonts w:hint="eastAsia" w:ascii="宋体" w:cs="宋体"/>
          <w:kern w:val="0"/>
          <w:sz w:val="24"/>
        </w:rPr>
        <w:t>14.3.1设备技术要求偏离表，技术响应表，点对点应答（附件6）。</w:t>
      </w:r>
    </w:p>
    <w:p w14:paraId="6503055D">
      <w:pPr>
        <w:spacing w:line="440" w:lineRule="exact"/>
        <w:ind w:left="420"/>
        <w:jc w:val="left"/>
        <w:rPr>
          <w:rFonts w:ascii="宋体" w:cs="宋体"/>
          <w:kern w:val="0"/>
          <w:sz w:val="24"/>
        </w:rPr>
      </w:pPr>
      <w:r>
        <w:rPr>
          <w:rFonts w:hint="eastAsia" w:ascii="宋体" w:cs="宋体"/>
          <w:kern w:val="0"/>
          <w:sz w:val="24"/>
        </w:rPr>
        <w:t>14.3.2投标产品技术规格书（附件7）。</w:t>
      </w:r>
    </w:p>
    <w:p w14:paraId="61DBF6ED">
      <w:pPr>
        <w:spacing w:line="440" w:lineRule="exact"/>
        <w:ind w:left="420"/>
        <w:jc w:val="left"/>
        <w:rPr>
          <w:rFonts w:ascii="宋体" w:cs="宋体"/>
          <w:kern w:val="0"/>
          <w:sz w:val="24"/>
        </w:rPr>
      </w:pPr>
      <w:r>
        <w:rPr>
          <w:rFonts w:ascii="宋体" w:cs="宋体"/>
          <w:kern w:val="0"/>
          <w:sz w:val="24"/>
        </w:rPr>
        <w:t>1</w:t>
      </w:r>
      <w:r>
        <w:rPr>
          <w:rFonts w:hint="eastAsia" w:ascii="宋体" w:cs="宋体"/>
          <w:kern w:val="0"/>
          <w:sz w:val="24"/>
        </w:rPr>
        <w:t>4.3.3供应商（服务商）承诺书（附件</w:t>
      </w:r>
      <w:r>
        <w:rPr>
          <w:rFonts w:ascii="宋体" w:cs="宋体"/>
          <w:kern w:val="0"/>
          <w:sz w:val="24"/>
        </w:rPr>
        <w:t>9</w:t>
      </w:r>
      <w:r>
        <w:rPr>
          <w:rFonts w:hint="eastAsia" w:ascii="宋体" w:cs="宋体"/>
          <w:kern w:val="0"/>
          <w:sz w:val="24"/>
        </w:rPr>
        <w:t>）。</w:t>
      </w:r>
    </w:p>
    <w:p w14:paraId="10C84069">
      <w:pPr>
        <w:spacing w:line="440" w:lineRule="exact"/>
        <w:ind w:left="420"/>
        <w:jc w:val="left"/>
        <w:rPr>
          <w:rFonts w:ascii="宋体" w:cs="宋体"/>
          <w:kern w:val="0"/>
          <w:sz w:val="24"/>
        </w:rPr>
      </w:pPr>
      <w:r>
        <w:rPr>
          <w:rFonts w:ascii="宋体" w:cs="宋体"/>
          <w:kern w:val="0"/>
          <w:sz w:val="24"/>
        </w:rPr>
        <w:t>14.3.4</w:t>
      </w:r>
      <w:r>
        <w:rPr>
          <w:rFonts w:hint="eastAsia" w:ascii="宋体" w:cs="宋体"/>
          <w:kern w:val="0"/>
          <w:sz w:val="24"/>
        </w:rPr>
        <w:t>根据招标文件中的技术要求，需要提供的文件和资料。</w:t>
      </w:r>
    </w:p>
    <w:p w14:paraId="5320BF21">
      <w:pPr>
        <w:spacing w:line="440" w:lineRule="exact"/>
        <w:ind w:left="420"/>
        <w:jc w:val="left"/>
        <w:rPr>
          <w:rFonts w:ascii="宋体" w:cs="宋体"/>
          <w:kern w:val="0"/>
          <w:sz w:val="24"/>
        </w:rPr>
      </w:pPr>
      <w:r>
        <w:rPr>
          <w:rFonts w:ascii="宋体" w:cs="宋体"/>
          <w:kern w:val="0"/>
          <w:sz w:val="24"/>
        </w:rPr>
        <w:t>14.3.5</w:t>
      </w:r>
      <w:r>
        <w:rPr>
          <w:rFonts w:hint="eastAsia" w:ascii="宋体" w:cs="宋体"/>
          <w:kern w:val="0"/>
          <w:sz w:val="24"/>
        </w:rPr>
        <w:t>投标人认为需要提供的其他文件和资料。</w:t>
      </w:r>
    </w:p>
    <w:p w14:paraId="54D0BC13">
      <w:pPr>
        <w:spacing w:line="440" w:lineRule="exact"/>
        <w:ind w:firstLine="480" w:firstLineChars="200"/>
        <w:jc w:val="left"/>
        <w:rPr>
          <w:b/>
          <w:bCs/>
          <w:sz w:val="24"/>
        </w:rPr>
      </w:pPr>
      <w:r>
        <w:rPr>
          <w:rFonts w:ascii="宋体" w:cs="宋体"/>
          <w:bCs/>
          <w:kern w:val="0"/>
          <w:sz w:val="24"/>
        </w:rPr>
        <w:t>1</w:t>
      </w:r>
      <w:r>
        <w:rPr>
          <w:rFonts w:ascii="宋体" w:cs="宋体"/>
          <w:kern w:val="0"/>
          <w:sz w:val="24"/>
        </w:rPr>
        <w:t>4.3.6</w:t>
      </w:r>
      <w:r>
        <w:rPr>
          <w:rFonts w:hint="eastAsia" w:ascii="宋体" w:cs="宋体"/>
          <w:kern w:val="0"/>
          <w:sz w:val="24"/>
        </w:rPr>
        <w:t>附件</w:t>
      </w:r>
      <w:r>
        <w:rPr>
          <w:b/>
          <w:bCs/>
          <w:sz w:val="24"/>
        </w:rPr>
        <w:t xml:space="preserve">3-4  </w:t>
      </w:r>
      <w:r>
        <w:rPr>
          <w:rFonts w:hint="eastAsia"/>
          <w:b/>
          <w:bCs/>
          <w:sz w:val="24"/>
        </w:rPr>
        <w:t>随机备品备件及专用工具清单价格表（含在总价内）</w:t>
      </w:r>
    </w:p>
    <w:p w14:paraId="15ECBBF4">
      <w:pPr>
        <w:spacing w:line="440" w:lineRule="exact"/>
        <w:ind w:firstLine="480" w:firstLineChars="200"/>
        <w:jc w:val="left"/>
        <w:rPr>
          <w:b/>
          <w:bCs/>
          <w:sz w:val="24"/>
        </w:rPr>
      </w:pPr>
      <w:r>
        <w:rPr>
          <w:rFonts w:ascii="宋体" w:cs="宋体"/>
          <w:kern w:val="0"/>
          <w:sz w:val="24"/>
        </w:rPr>
        <w:t>14.3.7</w:t>
      </w:r>
      <w:r>
        <w:rPr>
          <w:rFonts w:hint="eastAsia"/>
          <w:b/>
          <w:bCs/>
          <w:sz w:val="24"/>
        </w:rPr>
        <w:t>附件</w:t>
      </w:r>
      <w:r>
        <w:rPr>
          <w:b/>
          <w:bCs/>
          <w:sz w:val="24"/>
        </w:rPr>
        <w:t xml:space="preserve">3-5 </w:t>
      </w:r>
      <w:r>
        <w:rPr>
          <w:rFonts w:hint="eastAsia"/>
          <w:b/>
          <w:bCs/>
          <w:sz w:val="24"/>
        </w:rPr>
        <w:t>三年用备品备件及耗材价格表（本报价仅供招标人购买参考，不含总报价内）</w:t>
      </w:r>
    </w:p>
    <w:p w14:paraId="57A3EA34">
      <w:pPr>
        <w:spacing w:line="440" w:lineRule="exact"/>
        <w:ind w:firstLine="480" w:firstLineChars="200"/>
        <w:jc w:val="left"/>
        <w:rPr>
          <w:rFonts w:ascii="宋体" w:cs="宋体"/>
          <w:kern w:val="0"/>
          <w:sz w:val="24"/>
        </w:rPr>
      </w:pPr>
      <w:r>
        <w:rPr>
          <w:rFonts w:hint="eastAsia" w:ascii="宋体" w:cs="宋体"/>
          <w:kern w:val="0"/>
          <w:sz w:val="24"/>
        </w:rPr>
        <w:t>14.4若投标人提供虚假的证明材料，一旦发现将拒绝投标人的投标，即使评标中未发现成交后也将取消成交资格，并没收投标保证金和履约保证金。</w:t>
      </w:r>
    </w:p>
    <w:p w14:paraId="64D0BF22">
      <w:pPr>
        <w:spacing w:line="440" w:lineRule="exact"/>
        <w:ind w:firstLine="420"/>
        <w:jc w:val="left"/>
        <w:rPr>
          <w:rFonts w:ascii="宋体" w:cs="宋体"/>
          <w:kern w:val="0"/>
          <w:sz w:val="24"/>
        </w:rPr>
      </w:pPr>
      <w:r>
        <w:rPr>
          <w:rFonts w:ascii="宋体" w:cs="宋体"/>
          <w:kern w:val="0"/>
          <w:sz w:val="24"/>
        </w:rPr>
        <w:t>14.5</w:t>
      </w:r>
      <w:r>
        <w:rPr>
          <w:rFonts w:hint="eastAsia" w:ascii="宋体" w:cs="宋体"/>
          <w:kern w:val="0"/>
          <w:sz w:val="24"/>
        </w:rPr>
        <w:t>有下列情况之一者，投标文件无效：</w:t>
      </w:r>
    </w:p>
    <w:p w14:paraId="3AF4B206">
      <w:pPr>
        <w:numPr>
          <w:ilvl w:val="1"/>
          <w:numId w:val="4"/>
        </w:numPr>
        <w:tabs>
          <w:tab w:val="left" w:pos="0"/>
        </w:tabs>
        <w:spacing w:line="440" w:lineRule="exact"/>
        <w:ind w:left="840" w:hanging="420"/>
        <w:jc w:val="left"/>
        <w:rPr>
          <w:rFonts w:ascii="宋体" w:cs="宋体"/>
          <w:kern w:val="0"/>
          <w:sz w:val="24"/>
        </w:rPr>
      </w:pPr>
      <w:r>
        <w:rPr>
          <w:rFonts w:hint="eastAsia" w:ascii="宋体" w:cs="宋体"/>
          <w:kern w:val="0"/>
          <w:sz w:val="24"/>
        </w:rPr>
        <w:t>未在投标截止时间前完成上传的。</w:t>
      </w:r>
    </w:p>
    <w:p w14:paraId="0CB25523">
      <w:pPr>
        <w:numPr>
          <w:ilvl w:val="1"/>
          <w:numId w:val="4"/>
        </w:numPr>
        <w:tabs>
          <w:tab w:val="left" w:pos="0"/>
        </w:tabs>
        <w:spacing w:line="440" w:lineRule="exact"/>
        <w:ind w:left="840" w:hanging="420"/>
        <w:jc w:val="left"/>
        <w:rPr>
          <w:rFonts w:ascii="宋体" w:cs="宋体"/>
          <w:kern w:val="0"/>
          <w:sz w:val="24"/>
        </w:rPr>
      </w:pPr>
      <w:r>
        <w:rPr>
          <w:rFonts w:hint="eastAsia" w:ascii="宋体" w:cs="宋体"/>
          <w:kern w:val="0"/>
          <w:sz w:val="24"/>
        </w:rPr>
        <w:t>未按招标文件规定提交投标保证金的。</w:t>
      </w:r>
    </w:p>
    <w:p w14:paraId="54CBED04">
      <w:pPr>
        <w:numPr>
          <w:ilvl w:val="1"/>
          <w:numId w:val="4"/>
        </w:numPr>
        <w:tabs>
          <w:tab w:val="left" w:pos="0"/>
        </w:tabs>
        <w:spacing w:line="440" w:lineRule="exact"/>
        <w:ind w:left="840" w:hanging="420"/>
        <w:jc w:val="left"/>
        <w:rPr>
          <w:rFonts w:ascii="宋体" w:cs="宋体"/>
          <w:kern w:val="0"/>
          <w:sz w:val="24"/>
        </w:rPr>
      </w:pPr>
      <w:r>
        <w:rPr>
          <w:rFonts w:hint="eastAsia" w:ascii="宋体" w:cs="宋体"/>
          <w:kern w:val="0"/>
          <w:sz w:val="24"/>
        </w:rPr>
        <w:t>投标文件有效期不足的。</w:t>
      </w:r>
    </w:p>
    <w:p w14:paraId="664B53CF">
      <w:pPr>
        <w:numPr>
          <w:ilvl w:val="1"/>
          <w:numId w:val="4"/>
        </w:numPr>
        <w:tabs>
          <w:tab w:val="left" w:pos="0"/>
        </w:tabs>
        <w:spacing w:line="440" w:lineRule="exact"/>
        <w:ind w:left="426" w:hanging="6"/>
        <w:jc w:val="left"/>
        <w:rPr>
          <w:rFonts w:ascii="宋体" w:cs="宋体"/>
          <w:kern w:val="0"/>
          <w:sz w:val="24"/>
        </w:rPr>
      </w:pPr>
      <w:r>
        <w:rPr>
          <w:rFonts w:hint="eastAsia" w:ascii="宋体" w:cs="宋体"/>
          <w:kern w:val="0"/>
          <w:sz w:val="24"/>
        </w:rPr>
        <w:t>投标人递交两份及以上内容不同的投标文件，未声明其中一份为有效的；或同一投标文件中出现有选择性的报价，未声明以其中一个报价为准的。</w:t>
      </w:r>
    </w:p>
    <w:p w14:paraId="1EED1116">
      <w:pPr>
        <w:numPr>
          <w:ilvl w:val="1"/>
          <w:numId w:val="4"/>
        </w:numPr>
        <w:tabs>
          <w:tab w:val="left" w:pos="0"/>
        </w:tabs>
        <w:spacing w:line="440" w:lineRule="exact"/>
        <w:ind w:left="840" w:hanging="420"/>
        <w:jc w:val="left"/>
        <w:rPr>
          <w:rFonts w:ascii="宋体" w:cs="宋体"/>
          <w:kern w:val="0"/>
          <w:sz w:val="24"/>
        </w:rPr>
      </w:pPr>
      <w:r>
        <w:rPr>
          <w:rFonts w:hint="eastAsia" w:ascii="宋体" w:cs="宋体"/>
          <w:kern w:val="0"/>
          <w:sz w:val="24"/>
        </w:rPr>
        <w:t>存在串标、抬标或弄虚作假情况的。</w:t>
      </w:r>
    </w:p>
    <w:p w14:paraId="106AF6D8">
      <w:pPr>
        <w:numPr>
          <w:ilvl w:val="1"/>
          <w:numId w:val="4"/>
        </w:numPr>
        <w:tabs>
          <w:tab w:val="left" w:pos="0"/>
        </w:tabs>
        <w:spacing w:line="440" w:lineRule="exact"/>
        <w:ind w:left="840" w:hanging="420"/>
        <w:jc w:val="left"/>
        <w:rPr>
          <w:rFonts w:ascii="宋体" w:cs="宋体"/>
          <w:kern w:val="0"/>
          <w:sz w:val="24"/>
        </w:rPr>
      </w:pPr>
      <w:r>
        <w:rPr>
          <w:rFonts w:hint="eastAsia" w:ascii="宋体" w:cs="宋体"/>
          <w:kern w:val="0"/>
          <w:sz w:val="24"/>
        </w:rPr>
        <w:t>加密电子投标文件（正本投标文件）未加密的。</w:t>
      </w:r>
    </w:p>
    <w:p w14:paraId="7F09F0E6">
      <w:pPr>
        <w:numPr>
          <w:ilvl w:val="1"/>
          <w:numId w:val="4"/>
        </w:numPr>
        <w:tabs>
          <w:tab w:val="left" w:pos="0"/>
        </w:tabs>
        <w:spacing w:line="440" w:lineRule="exact"/>
        <w:ind w:left="840" w:hanging="420"/>
        <w:jc w:val="left"/>
        <w:rPr>
          <w:rFonts w:ascii="宋体" w:cs="宋体"/>
          <w:kern w:val="0"/>
          <w:sz w:val="24"/>
        </w:rPr>
      </w:pPr>
      <w:r>
        <w:rPr>
          <w:rFonts w:hint="eastAsia" w:ascii="宋体" w:cs="宋体"/>
          <w:kern w:val="0"/>
          <w:sz w:val="24"/>
        </w:rPr>
        <w:t>其他违反国家有关规定的。</w:t>
      </w:r>
    </w:p>
    <w:p w14:paraId="3A976F75">
      <w:pPr>
        <w:pStyle w:val="3"/>
        <w:spacing w:line="440" w:lineRule="exact"/>
        <w:jc w:val="left"/>
        <w:rPr>
          <w:sz w:val="24"/>
          <w:szCs w:val="24"/>
        </w:rPr>
      </w:pPr>
      <w:bookmarkStart w:id="64" w:name="_Toc34808242"/>
      <w:bookmarkStart w:id="65" w:name="_Toc34297338"/>
      <w:bookmarkStart w:id="66" w:name="_Toc135032185"/>
      <w:r>
        <w:rPr>
          <w:sz w:val="24"/>
          <w:szCs w:val="24"/>
        </w:rPr>
        <w:t>15</w:t>
      </w:r>
      <w:r>
        <w:rPr>
          <w:rFonts w:hint="eastAsia"/>
          <w:sz w:val="24"/>
          <w:szCs w:val="24"/>
        </w:rPr>
        <w:t>、投标文件的格式</w:t>
      </w:r>
      <w:bookmarkEnd w:id="64"/>
      <w:bookmarkEnd w:id="65"/>
      <w:bookmarkEnd w:id="66"/>
    </w:p>
    <w:p w14:paraId="4318E46E">
      <w:pPr>
        <w:spacing w:line="440" w:lineRule="exact"/>
        <w:ind w:firstLine="420"/>
        <w:jc w:val="left"/>
        <w:rPr>
          <w:rFonts w:ascii="宋体" w:cs="宋体"/>
          <w:kern w:val="0"/>
          <w:sz w:val="24"/>
        </w:rPr>
      </w:pPr>
      <w:r>
        <w:rPr>
          <w:rFonts w:ascii="宋体" w:hAnsi="宋体" w:cs="宋体"/>
          <w:kern w:val="0"/>
          <w:sz w:val="24"/>
        </w:rPr>
        <w:t>15.1</w:t>
      </w:r>
      <w:r>
        <w:rPr>
          <w:rFonts w:hint="eastAsia" w:ascii="宋体" w:hAnsi="宋体" w:cs="宋体"/>
          <w:kern w:val="0"/>
          <w:sz w:val="24"/>
        </w:rPr>
        <w:t>投标人应使用招标文件中提供的附表格式。表格如不够用时，可以按同样格式扩展。</w:t>
      </w:r>
    </w:p>
    <w:p w14:paraId="3B1F179F">
      <w:pPr>
        <w:pStyle w:val="3"/>
        <w:spacing w:line="440" w:lineRule="exact"/>
        <w:jc w:val="left"/>
        <w:rPr>
          <w:sz w:val="24"/>
          <w:szCs w:val="24"/>
        </w:rPr>
      </w:pPr>
      <w:bookmarkStart w:id="67" w:name="_Toc34808243"/>
      <w:bookmarkStart w:id="68" w:name="_Toc135032186"/>
      <w:bookmarkStart w:id="69" w:name="_Toc34297339"/>
      <w:r>
        <w:rPr>
          <w:sz w:val="24"/>
          <w:szCs w:val="24"/>
        </w:rPr>
        <w:t>16</w:t>
      </w:r>
      <w:r>
        <w:rPr>
          <w:rFonts w:hint="eastAsia"/>
          <w:sz w:val="24"/>
          <w:szCs w:val="24"/>
        </w:rPr>
        <w:t>、投标报价</w:t>
      </w:r>
      <w:bookmarkEnd w:id="67"/>
      <w:bookmarkEnd w:id="68"/>
      <w:bookmarkEnd w:id="69"/>
    </w:p>
    <w:p w14:paraId="617A10EC">
      <w:pPr>
        <w:spacing w:line="440" w:lineRule="exact"/>
        <w:ind w:firstLine="420"/>
        <w:jc w:val="left"/>
        <w:rPr>
          <w:rFonts w:ascii="宋体" w:cs="宋体"/>
          <w:kern w:val="0"/>
          <w:sz w:val="24"/>
        </w:rPr>
      </w:pPr>
      <w:r>
        <w:rPr>
          <w:rFonts w:ascii="宋体" w:hAnsi="宋体" w:cs="宋体"/>
          <w:kern w:val="0"/>
          <w:sz w:val="24"/>
        </w:rPr>
        <w:t>16.1</w:t>
      </w:r>
      <w:r>
        <w:rPr>
          <w:rFonts w:hint="eastAsia" w:ascii="宋体" w:hAnsi="宋体" w:cs="宋体"/>
          <w:kern w:val="0"/>
          <w:sz w:val="24"/>
        </w:rPr>
        <w:t>投标人应在招标文件所附的投标价格表上写明投标的单价和投标总价。投标人只允许有一个报价，招标机构不接受任何有选择的报价。报价格式按附件</w:t>
      </w:r>
      <w:r>
        <w:rPr>
          <w:rFonts w:ascii="宋体" w:hAnsi="宋体" w:cs="宋体"/>
          <w:kern w:val="0"/>
          <w:sz w:val="24"/>
        </w:rPr>
        <w:t>3</w:t>
      </w:r>
      <w:r>
        <w:rPr>
          <w:rFonts w:hint="eastAsia" w:ascii="宋体" w:hAnsi="宋体" w:cs="宋体"/>
          <w:kern w:val="0"/>
          <w:sz w:val="24"/>
        </w:rPr>
        <w:t>。</w:t>
      </w:r>
    </w:p>
    <w:p w14:paraId="26CC1758">
      <w:pPr>
        <w:spacing w:line="440" w:lineRule="exact"/>
        <w:ind w:firstLine="420"/>
        <w:jc w:val="left"/>
        <w:rPr>
          <w:rFonts w:ascii="宋体" w:cs="宋体"/>
          <w:kern w:val="0"/>
          <w:sz w:val="24"/>
        </w:rPr>
      </w:pPr>
      <w:r>
        <w:rPr>
          <w:rFonts w:ascii="宋体" w:hAnsi="宋体" w:cs="宋体"/>
          <w:kern w:val="0"/>
          <w:sz w:val="24"/>
        </w:rPr>
        <w:t>16.2</w:t>
      </w:r>
      <w:r>
        <w:rPr>
          <w:rFonts w:hint="eastAsia" w:ascii="宋体" w:hAnsi="宋体" w:cs="宋体"/>
          <w:kern w:val="0"/>
          <w:sz w:val="24"/>
        </w:rPr>
        <w:t>如单价与总价不符时，以单价为准，并以此调整总价；大写与小写不符时，以大写为准。若单价、总价、大写有差异时，以大写为准。投标人如不接受对其错误的更正，其投标将被拒绝。</w:t>
      </w:r>
    </w:p>
    <w:p w14:paraId="4C050CDE">
      <w:pPr>
        <w:spacing w:line="440" w:lineRule="exact"/>
        <w:ind w:firstLine="420"/>
        <w:jc w:val="left"/>
        <w:rPr>
          <w:rFonts w:ascii="宋体" w:cs="宋体"/>
          <w:kern w:val="0"/>
          <w:sz w:val="24"/>
        </w:rPr>
      </w:pPr>
      <w:r>
        <w:rPr>
          <w:rFonts w:ascii="宋体" w:hAnsi="宋体" w:cs="宋体"/>
          <w:kern w:val="0"/>
          <w:sz w:val="24"/>
        </w:rPr>
        <w:t>16.3</w:t>
      </w:r>
      <w:r>
        <w:rPr>
          <w:rFonts w:hint="eastAsia" w:ascii="宋体" w:hAnsi="宋体" w:cs="宋体"/>
          <w:kern w:val="0"/>
          <w:sz w:val="24"/>
        </w:rPr>
        <w:t>报价内容：投标报价应是招标文件所确定的招标范围内全部标的物及服务内容的价格。</w:t>
      </w:r>
    </w:p>
    <w:p w14:paraId="74A659F0">
      <w:pPr>
        <w:spacing w:line="440" w:lineRule="exact"/>
        <w:ind w:firstLine="420"/>
        <w:jc w:val="left"/>
        <w:rPr>
          <w:rFonts w:ascii="宋体" w:cs="宋体"/>
          <w:kern w:val="0"/>
          <w:sz w:val="24"/>
        </w:rPr>
      </w:pPr>
      <w:r>
        <w:rPr>
          <w:rFonts w:ascii="宋体" w:hAnsi="宋体" w:cs="宋体"/>
          <w:kern w:val="0"/>
          <w:sz w:val="24"/>
        </w:rPr>
        <w:t>16.4</w:t>
      </w:r>
      <w:r>
        <w:rPr>
          <w:rFonts w:hint="eastAsia" w:ascii="宋体" w:hAnsi="宋体" w:cs="宋体"/>
          <w:kern w:val="0"/>
          <w:sz w:val="24"/>
        </w:rPr>
        <w:t>投标价格填写时应注意下列要求：</w:t>
      </w:r>
    </w:p>
    <w:p w14:paraId="327BA46E">
      <w:pPr>
        <w:spacing w:line="440" w:lineRule="exact"/>
        <w:ind w:firstLine="420"/>
        <w:jc w:val="left"/>
        <w:rPr>
          <w:rFonts w:ascii="宋体" w:cs="宋体"/>
          <w:kern w:val="0"/>
          <w:sz w:val="24"/>
        </w:rPr>
      </w:pPr>
      <w:r>
        <w:rPr>
          <w:rFonts w:hint="eastAsia" w:ascii="宋体" w:hAnsi="宋体" w:cs="宋体"/>
          <w:kern w:val="0"/>
          <w:sz w:val="24"/>
        </w:rPr>
        <w:t>⑴技术规格中特别要求的备品备件、易损件和专用工具的费用。</w:t>
      </w:r>
    </w:p>
    <w:p w14:paraId="1FD711B7">
      <w:pPr>
        <w:spacing w:line="440" w:lineRule="exact"/>
        <w:ind w:firstLine="420"/>
        <w:jc w:val="left"/>
        <w:rPr>
          <w:rFonts w:ascii="宋体" w:cs="宋体"/>
          <w:kern w:val="0"/>
          <w:sz w:val="24"/>
        </w:rPr>
      </w:pPr>
      <w:r>
        <w:rPr>
          <w:rFonts w:hint="eastAsia" w:ascii="宋体" w:hAnsi="宋体" w:cs="宋体"/>
          <w:kern w:val="0"/>
          <w:sz w:val="24"/>
        </w:rPr>
        <w:t>⑵技术规格中特别要求的其他附带服务的费用。</w:t>
      </w:r>
    </w:p>
    <w:p w14:paraId="23426504">
      <w:pPr>
        <w:spacing w:line="440" w:lineRule="exact"/>
        <w:ind w:firstLine="420"/>
        <w:jc w:val="left"/>
        <w:rPr>
          <w:rFonts w:ascii="宋体" w:cs="宋体"/>
          <w:kern w:val="0"/>
          <w:sz w:val="24"/>
        </w:rPr>
      </w:pPr>
      <w:r>
        <w:rPr>
          <w:rFonts w:ascii="宋体" w:hAnsi="宋体" w:cs="宋体"/>
          <w:kern w:val="0"/>
          <w:sz w:val="24"/>
        </w:rPr>
        <w:t>16.5</w:t>
      </w:r>
      <w:r>
        <w:rPr>
          <w:rFonts w:hint="eastAsia" w:ascii="宋体" w:hAnsi="宋体" w:cs="宋体"/>
          <w:kern w:val="0"/>
          <w:sz w:val="24"/>
        </w:rPr>
        <w:t>投标人按上述要求填写报价供评标委员会评审方便，但不限制招标人以其他方式签订合同的权</w:t>
      </w:r>
      <w:r>
        <w:rPr>
          <w:rFonts w:hint="eastAsia" w:ascii="宋体" w:hAnsi="宋体" w:cs="宋体"/>
          <w:kern w:val="0"/>
          <w:sz w:val="24"/>
          <w:lang w:val="en-US" w:eastAsia="zh-CN"/>
        </w:rPr>
        <w:t>利</w:t>
      </w:r>
      <w:bookmarkStart w:id="215" w:name="_GoBack"/>
      <w:bookmarkEnd w:id="215"/>
      <w:r>
        <w:rPr>
          <w:rFonts w:hint="eastAsia" w:ascii="宋体" w:hAnsi="宋体" w:cs="宋体"/>
          <w:kern w:val="0"/>
          <w:sz w:val="24"/>
        </w:rPr>
        <w:t>。</w:t>
      </w:r>
    </w:p>
    <w:p w14:paraId="49A7019A">
      <w:pPr>
        <w:pStyle w:val="3"/>
        <w:spacing w:line="440" w:lineRule="exact"/>
        <w:jc w:val="left"/>
        <w:rPr>
          <w:sz w:val="24"/>
          <w:szCs w:val="24"/>
        </w:rPr>
      </w:pPr>
      <w:bookmarkStart w:id="70" w:name="_Toc34808245"/>
      <w:bookmarkStart w:id="71" w:name="_Toc135032187"/>
      <w:bookmarkStart w:id="72" w:name="_Toc34297341"/>
      <w:r>
        <w:rPr>
          <w:sz w:val="24"/>
          <w:szCs w:val="24"/>
        </w:rPr>
        <w:t>17</w:t>
      </w:r>
      <w:r>
        <w:rPr>
          <w:rFonts w:hint="eastAsia"/>
          <w:sz w:val="24"/>
          <w:szCs w:val="24"/>
        </w:rPr>
        <w:t>、证明标的物的合格性和符合招标文件规定的文件</w:t>
      </w:r>
      <w:bookmarkEnd w:id="70"/>
      <w:bookmarkEnd w:id="71"/>
      <w:bookmarkEnd w:id="72"/>
    </w:p>
    <w:p w14:paraId="38D32D95">
      <w:pPr>
        <w:spacing w:line="440" w:lineRule="exact"/>
        <w:ind w:firstLine="420"/>
        <w:jc w:val="left"/>
        <w:rPr>
          <w:rFonts w:ascii="宋体" w:cs="宋体"/>
          <w:kern w:val="0"/>
          <w:sz w:val="24"/>
        </w:rPr>
      </w:pPr>
      <w:r>
        <w:rPr>
          <w:rFonts w:ascii="宋体" w:hAnsi="宋体" w:cs="宋体"/>
          <w:kern w:val="0"/>
          <w:sz w:val="24"/>
        </w:rPr>
        <w:t>17.1</w:t>
      </w:r>
      <w:r>
        <w:rPr>
          <w:rFonts w:hint="eastAsia" w:ascii="宋体" w:hAnsi="宋体" w:cs="宋体"/>
          <w:kern w:val="0"/>
          <w:sz w:val="24"/>
        </w:rPr>
        <w:t>投标人必须提交证明其有资格进行投标和有能力履行合同的文件，作为投标文件的一部分。</w:t>
      </w:r>
    </w:p>
    <w:p w14:paraId="23177E91">
      <w:pPr>
        <w:numPr>
          <w:ilvl w:val="0"/>
          <w:numId w:val="5"/>
        </w:numPr>
        <w:spacing w:line="440" w:lineRule="exact"/>
        <w:ind w:left="426" w:hanging="6"/>
        <w:jc w:val="left"/>
        <w:rPr>
          <w:rFonts w:ascii="宋体" w:cs="宋体"/>
          <w:kern w:val="0"/>
          <w:sz w:val="24"/>
        </w:rPr>
      </w:pPr>
      <w:r>
        <w:rPr>
          <w:rFonts w:hint="eastAsia" w:ascii="宋体" w:hAnsi="宋体" w:cs="宋体"/>
          <w:kern w:val="0"/>
          <w:sz w:val="24"/>
        </w:rPr>
        <w:t>若投标人提供的标的物及服务不是投标人生产或拥有的，本招标文件有明确指定要求授权的产品则必须得到标的物制造商和技术拥有者向投标人提供该种标的物的正式授权。</w:t>
      </w:r>
    </w:p>
    <w:p w14:paraId="107A2E60">
      <w:pPr>
        <w:numPr>
          <w:ilvl w:val="0"/>
          <w:numId w:val="5"/>
        </w:numPr>
        <w:spacing w:line="440" w:lineRule="exact"/>
        <w:jc w:val="left"/>
        <w:rPr>
          <w:rFonts w:ascii="宋体" w:cs="宋体"/>
          <w:kern w:val="0"/>
          <w:sz w:val="24"/>
        </w:rPr>
      </w:pPr>
      <w:r>
        <w:rPr>
          <w:rFonts w:hint="eastAsia" w:ascii="宋体" w:hAnsi="宋体" w:cs="宋体"/>
          <w:kern w:val="0"/>
          <w:sz w:val="24"/>
        </w:rPr>
        <w:t>投标人具有履行合同所需的财务、技术和生产能力。</w:t>
      </w:r>
    </w:p>
    <w:p w14:paraId="3DAD4F7F">
      <w:pPr>
        <w:numPr>
          <w:ilvl w:val="0"/>
          <w:numId w:val="5"/>
        </w:numPr>
        <w:spacing w:line="440" w:lineRule="exact"/>
        <w:ind w:left="426" w:hanging="6"/>
        <w:jc w:val="left"/>
        <w:rPr>
          <w:rFonts w:ascii="宋体" w:cs="宋体"/>
          <w:kern w:val="0"/>
          <w:sz w:val="24"/>
        </w:rPr>
      </w:pPr>
      <w:r>
        <w:rPr>
          <w:rFonts w:hint="eastAsia" w:ascii="宋体" w:hAnsi="宋体" w:cs="宋体"/>
          <w:kern w:val="0"/>
          <w:sz w:val="24"/>
        </w:rPr>
        <w:t>投标人应有能力履行招标文件中合同条款和技术要求规定的由投标人履行的保养、修理、供应备件和其他技术服务的义务。</w:t>
      </w:r>
    </w:p>
    <w:p w14:paraId="68A4ED69">
      <w:pPr>
        <w:spacing w:line="440" w:lineRule="exact"/>
        <w:ind w:firstLine="420"/>
        <w:jc w:val="left"/>
        <w:rPr>
          <w:rFonts w:ascii="宋体" w:cs="宋体"/>
          <w:kern w:val="0"/>
          <w:sz w:val="24"/>
        </w:rPr>
      </w:pPr>
      <w:r>
        <w:rPr>
          <w:rFonts w:ascii="宋体" w:hAnsi="宋体" w:cs="宋体"/>
          <w:kern w:val="0"/>
          <w:sz w:val="24"/>
        </w:rPr>
        <w:t>17.2</w:t>
      </w:r>
      <w:r>
        <w:rPr>
          <w:rFonts w:hint="eastAsia" w:ascii="宋体" w:hAnsi="宋体" w:cs="宋体"/>
          <w:kern w:val="0"/>
          <w:sz w:val="24"/>
        </w:rPr>
        <w:t>投标人须提交证明文件，证明其拟提供的设备、产品和服务的合格性符合招标文件规定。该证明文件作为投标文件的一部分。</w:t>
      </w:r>
    </w:p>
    <w:p w14:paraId="0515928C">
      <w:pPr>
        <w:spacing w:line="440" w:lineRule="exact"/>
        <w:ind w:firstLine="420"/>
        <w:jc w:val="left"/>
        <w:rPr>
          <w:rFonts w:ascii="宋体" w:cs="宋体"/>
          <w:kern w:val="0"/>
          <w:sz w:val="24"/>
        </w:rPr>
      </w:pPr>
      <w:r>
        <w:rPr>
          <w:rFonts w:ascii="宋体" w:hAnsi="宋体" w:cs="宋体"/>
          <w:kern w:val="0"/>
          <w:sz w:val="24"/>
        </w:rPr>
        <w:t>17.3</w:t>
      </w:r>
      <w:r>
        <w:rPr>
          <w:rFonts w:hint="eastAsia" w:ascii="宋体" w:hAnsi="宋体" w:cs="宋体"/>
          <w:kern w:val="0"/>
          <w:sz w:val="24"/>
        </w:rPr>
        <w:t>证明标的物和服务与招标文件的要求相一致的文件，可以是文字资料、图纸和数据，它包括：</w:t>
      </w:r>
    </w:p>
    <w:p w14:paraId="53887A29">
      <w:pPr>
        <w:spacing w:line="440" w:lineRule="exact"/>
        <w:ind w:firstLine="420"/>
        <w:jc w:val="left"/>
        <w:rPr>
          <w:rFonts w:ascii="宋体" w:cs="宋体"/>
          <w:kern w:val="0"/>
          <w:sz w:val="24"/>
        </w:rPr>
      </w:pPr>
      <w:r>
        <w:rPr>
          <w:rFonts w:hint="eastAsia" w:ascii="宋体" w:hAnsi="宋体" w:cs="宋体"/>
          <w:kern w:val="0"/>
          <w:sz w:val="24"/>
        </w:rPr>
        <w:t>⑴标的物主要技术指标和性能的详细说明。</w:t>
      </w:r>
    </w:p>
    <w:p w14:paraId="2A81FD33">
      <w:pPr>
        <w:spacing w:line="440" w:lineRule="exact"/>
        <w:ind w:firstLine="420"/>
        <w:jc w:val="left"/>
        <w:rPr>
          <w:rFonts w:ascii="宋体" w:cs="宋体"/>
          <w:kern w:val="0"/>
          <w:sz w:val="24"/>
        </w:rPr>
      </w:pPr>
      <w:r>
        <w:rPr>
          <w:rFonts w:hint="eastAsia" w:ascii="宋体" w:hAnsi="宋体" w:cs="宋体"/>
          <w:kern w:val="0"/>
          <w:sz w:val="24"/>
        </w:rPr>
        <w:t>⑵标的物从招标人验收后开始使用在质保期内正常、连续地使用所必须的备件和专用工具清单，包括备件和专用工具的货源及现行价格。</w:t>
      </w:r>
    </w:p>
    <w:p w14:paraId="1E87149C">
      <w:pPr>
        <w:spacing w:line="440" w:lineRule="exact"/>
        <w:ind w:firstLine="420"/>
        <w:jc w:val="left"/>
        <w:rPr>
          <w:rFonts w:ascii="宋体" w:cs="宋体"/>
          <w:kern w:val="0"/>
          <w:sz w:val="24"/>
        </w:rPr>
      </w:pPr>
      <w:r>
        <w:rPr>
          <w:rFonts w:hint="eastAsia" w:ascii="宋体" w:hAnsi="宋体" w:cs="宋体"/>
          <w:kern w:val="0"/>
          <w:sz w:val="24"/>
        </w:rPr>
        <w:t>⑶产品质量检验报告、认证证书等。</w:t>
      </w:r>
    </w:p>
    <w:p w14:paraId="0B19CC14">
      <w:pPr>
        <w:spacing w:line="440" w:lineRule="exact"/>
        <w:ind w:firstLine="420"/>
        <w:jc w:val="left"/>
        <w:rPr>
          <w:rFonts w:ascii="宋体" w:cs="宋体"/>
          <w:kern w:val="0"/>
          <w:sz w:val="24"/>
        </w:rPr>
      </w:pPr>
      <w:r>
        <w:rPr>
          <w:rFonts w:hint="eastAsia" w:ascii="宋体" w:hAnsi="宋体" w:cs="宋体"/>
          <w:kern w:val="0"/>
          <w:sz w:val="24"/>
        </w:rPr>
        <w:t>⑷对照招标文件技术规格，逐条说明所提供标的物和服务已对招标文件的技术规格做出了实质性的响应，并申明与技术规格条文的偏差和例外。特别对有具体参数要求的指标，投标人必须提供所投标的物的具体参数值。否则，评标委员会将不予认可。</w:t>
      </w:r>
    </w:p>
    <w:p w14:paraId="2384D4F7">
      <w:pPr>
        <w:spacing w:line="440" w:lineRule="exact"/>
        <w:ind w:firstLine="420"/>
        <w:jc w:val="left"/>
        <w:rPr>
          <w:rFonts w:ascii="宋体" w:cs="宋体"/>
          <w:kern w:val="0"/>
          <w:sz w:val="24"/>
        </w:rPr>
      </w:pPr>
      <w:r>
        <w:rPr>
          <w:rFonts w:ascii="宋体" w:hAnsi="宋体" w:cs="宋体"/>
          <w:kern w:val="0"/>
          <w:sz w:val="24"/>
        </w:rPr>
        <w:t>17.4</w:t>
      </w:r>
      <w:r>
        <w:rPr>
          <w:rFonts w:hint="eastAsia" w:ascii="宋体" w:hAnsi="宋体" w:cs="宋体"/>
          <w:kern w:val="0"/>
          <w:sz w:val="24"/>
        </w:rPr>
        <w:t>投标人在阐述上述第</w:t>
      </w:r>
      <w:r>
        <w:rPr>
          <w:rFonts w:ascii="宋体" w:hAnsi="宋体" w:cs="宋体"/>
          <w:kern w:val="0"/>
          <w:sz w:val="24"/>
        </w:rPr>
        <w:t>17.3</w:t>
      </w:r>
      <w:r>
        <w:rPr>
          <w:rFonts w:hint="eastAsia" w:ascii="宋体" w:hAnsi="宋体" w:cs="宋体"/>
          <w:kern w:val="0"/>
          <w:sz w:val="24"/>
        </w:rPr>
        <w:t>条时应注意招标文件的技术规格中指出的工艺、材料和设备的标准以及参照的品牌或型号仅起说明作用，并没有任何限制性。投标人在投标中可以选用替代标准、品牌或型号，但这些替代必须在实质上满足或超过招标文件的要求。</w:t>
      </w:r>
    </w:p>
    <w:p w14:paraId="26AD64D7">
      <w:pPr>
        <w:pStyle w:val="3"/>
        <w:spacing w:line="440" w:lineRule="exact"/>
        <w:jc w:val="left"/>
        <w:rPr>
          <w:sz w:val="24"/>
          <w:szCs w:val="24"/>
        </w:rPr>
      </w:pPr>
      <w:bookmarkStart w:id="73" w:name="_Toc34808246"/>
      <w:bookmarkStart w:id="74" w:name="_Toc135032188"/>
      <w:bookmarkStart w:id="75" w:name="_Toc34297342"/>
      <w:r>
        <w:rPr>
          <w:sz w:val="24"/>
          <w:szCs w:val="24"/>
        </w:rPr>
        <w:t>18</w:t>
      </w:r>
      <w:r>
        <w:rPr>
          <w:rFonts w:hint="eastAsia"/>
          <w:sz w:val="24"/>
          <w:szCs w:val="24"/>
        </w:rPr>
        <w:t>、投标保证金</w:t>
      </w:r>
      <w:bookmarkEnd w:id="73"/>
      <w:bookmarkEnd w:id="74"/>
      <w:bookmarkEnd w:id="75"/>
    </w:p>
    <w:p w14:paraId="2123CD14">
      <w:pPr>
        <w:spacing w:line="440" w:lineRule="exact"/>
        <w:ind w:firstLine="420"/>
        <w:jc w:val="left"/>
        <w:rPr>
          <w:rFonts w:ascii="宋体" w:cs="宋体"/>
          <w:kern w:val="0"/>
          <w:sz w:val="24"/>
        </w:rPr>
      </w:pPr>
      <w:bookmarkStart w:id="76" w:name="_Toc34297343"/>
      <w:bookmarkStart w:id="77" w:name="_Toc34808247"/>
      <w:r>
        <w:rPr>
          <w:rFonts w:ascii="宋体" w:cs="宋体"/>
          <w:kern w:val="0"/>
          <w:sz w:val="24"/>
        </w:rPr>
        <w:t>18</w:t>
      </w:r>
      <w:r>
        <w:rPr>
          <w:rFonts w:hint="eastAsia" w:ascii="宋体" w:cs="宋体"/>
          <w:kern w:val="0"/>
          <w:sz w:val="24"/>
        </w:rPr>
        <w:t>.1投标保证金为投标文件的组成部分之一。</w:t>
      </w:r>
    </w:p>
    <w:p w14:paraId="5AB9ABB3">
      <w:pPr>
        <w:spacing w:line="440" w:lineRule="exact"/>
        <w:ind w:firstLine="420"/>
        <w:jc w:val="left"/>
        <w:rPr>
          <w:rFonts w:ascii="宋体" w:cs="宋体"/>
          <w:kern w:val="0"/>
          <w:sz w:val="24"/>
        </w:rPr>
      </w:pPr>
      <w:r>
        <w:rPr>
          <w:rFonts w:ascii="宋体" w:cs="宋体"/>
          <w:kern w:val="0"/>
          <w:sz w:val="24"/>
        </w:rPr>
        <w:t>18.2</w:t>
      </w:r>
      <w:r>
        <w:rPr>
          <w:rFonts w:hint="eastAsia" w:ascii="宋体" w:cs="宋体"/>
          <w:kern w:val="0"/>
          <w:sz w:val="24"/>
        </w:rPr>
        <w:t xml:space="preserve"> 投标人在递交投标文件的同时，应按投标人须知前附表载明的时间、金额、方式缴纳投标保证金。</w:t>
      </w:r>
    </w:p>
    <w:p w14:paraId="3D3781B7">
      <w:pPr>
        <w:spacing w:line="440" w:lineRule="exact"/>
        <w:ind w:firstLine="420"/>
        <w:jc w:val="left"/>
        <w:rPr>
          <w:rFonts w:ascii="宋体" w:cs="宋体"/>
          <w:kern w:val="0"/>
          <w:sz w:val="24"/>
        </w:rPr>
      </w:pPr>
      <w:r>
        <w:rPr>
          <w:rFonts w:ascii="宋体" w:cs="宋体"/>
          <w:kern w:val="0"/>
          <w:sz w:val="24"/>
        </w:rPr>
        <w:t>18.3</w:t>
      </w:r>
      <w:r>
        <w:rPr>
          <w:rFonts w:hint="eastAsia" w:ascii="宋体" w:cs="宋体"/>
          <w:kern w:val="0"/>
          <w:sz w:val="24"/>
        </w:rPr>
        <w:t>投标人不按本章第</w:t>
      </w:r>
      <w:r>
        <w:rPr>
          <w:rFonts w:ascii="宋体" w:cs="宋体"/>
          <w:kern w:val="0"/>
          <w:sz w:val="24"/>
        </w:rPr>
        <w:t>18.2</w:t>
      </w:r>
      <w:r>
        <w:rPr>
          <w:rFonts w:hint="eastAsia" w:ascii="宋体" w:cs="宋体"/>
          <w:kern w:val="0"/>
          <w:sz w:val="24"/>
        </w:rPr>
        <w:t xml:space="preserve"> 项要求提交投标保证金的，其投标文件作否决投标处理。</w:t>
      </w:r>
    </w:p>
    <w:p w14:paraId="129A1C66">
      <w:pPr>
        <w:spacing w:line="440" w:lineRule="exact"/>
        <w:ind w:firstLine="420"/>
        <w:jc w:val="left"/>
        <w:rPr>
          <w:rFonts w:ascii="宋体" w:cs="宋体"/>
          <w:kern w:val="0"/>
          <w:sz w:val="24"/>
        </w:rPr>
      </w:pPr>
      <w:r>
        <w:rPr>
          <w:rFonts w:ascii="宋体" w:cs="宋体"/>
          <w:kern w:val="0"/>
          <w:sz w:val="24"/>
        </w:rPr>
        <w:t>18.4</w:t>
      </w:r>
      <w:r>
        <w:rPr>
          <w:rFonts w:hint="eastAsia" w:ascii="宋体" w:cs="宋体"/>
          <w:kern w:val="0"/>
          <w:sz w:val="24"/>
        </w:rPr>
        <w:t>投标保证金用于保护本次招标免受投标人的行为而引起的风险。</w:t>
      </w:r>
    </w:p>
    <w:p w14:paraId="61A0DBA5">
      <w:pPr>
        <w:spacing w:line="440" w:lineRule="exact"/>
        <w:ind w:firstLine="420"/>
        <w:jc w:val="left"/>
        <w:rPr>
          <w:rFonts w:ascii="宋体" w:cs="宋体"/>
          <w:kern w:val="0"/>
          <w:sz w:val="24"/>
        </w:rPr>
      </w:pPr>
      <w:r>
        <w:rPr>
          <w:rFonts w:ascii="宋体" w:cs="宋体"/>
          <w:kern w:val="0"/>
          <w:sz w:val="24"/>
        </w:rPr>
        <w:t>18.5</w:t>
      </w:r>
      <w:r>
        <w:rPr>
          <w:rFonts w:hint="eastAsia" w:ascii="宋体" w:cs="宋体"/>
          <w:kern w:val="0"/>
          <w:sz w:val="24"/>
        </w:rPr>
        <w:t>投标保证金币种应与投标报价币种相同。</w:t>
      </w:r>
    </w:p>
    <w:p w14:paraId="5F6A2914">
      <w:pPr>
        <w:spacing w:line="440" w:lineRule="exact"/>
        <w:ind w:firstLine="420"/>
        <w:jc w:val="left"/>
        <w:rPr>
          <w:sz w:val="24"/>
        </w:rPr>
      </w:pPr>
      <w:r>
        <w:rPr>
          <w:rFonts w:ascii="宋体" w:cs="宋体"/>
          <w:kern w:val="0"/>
          <w:sz w:val="24"/>
        </w:rPr>
        <w:t>18.6</w:t>
      </w:r>
      <w:r>
        <w:rPr>
          <w:rFonts w:hint="eastAsia"/>
          <w:sz w:val="24"/>
        </w:rPr>
        <w:t>除招标文件规定不予退还保证金的情形外，自中标通知书发出后</w:t>
      </w:r>
      <w:r>
        <w:rPr>
          <w:sz w:val="24"/>
        </w:rPr>
        <w:t>7</w:t>
      </w:r>
      <w:r>
        <w:rPr>
          <w:rFonts w:hint="eastAsia"/>
          <w:sz w:val="24"/>
        </w:rPr>
        <w:t>个工作日内退还未中标单位的投标保证金；自合同签订并上传履约保证金凭据之日起</w:t>
      </w:r>
      <w:r>
        <w:rPr>
          <w:sz w:val="24"/>
        </w:rPr>
        <w:t>7</w:t>
      </w:r>
      <w:r>
        <w:rPr>
          <w:rFonts w:hint="eastAsia"/>
          <w:sz w:val="24"/>
        </w:rPr>
        <w:t>个工作日内退还中标人的投标保证金。</w:t>
      </w:r>
    </w:p>
    <w:p w14:paraId="46B57496">
      <w:pPr>
        <w:spacing w:line="440" w:lineRule="exact"/>
        <w:ind w:firstLine="420"/>
        <w:jc w:val="left"/>
        <w:rPr>
          <w:rFonts w:ascii="宋体" w:cs="宋体"/>
          <w:kern w:val="0"/>
          <w:sz w:val="24"/>
        </w:rPr>
      </w:pPr>
      <w:r>
        <w:rPr>
          <w:rFonts w:ascii="宋体" w:cs="宋体"/>
          <w:kern w:val="0"/>
          <w:sz w:val="24"/>
        </w:rPr>
        <w:t>18.7</w:t>
      </w:r>
      <w:r>
        <w:rPr>
          <w:rFonts w:hint="eastAsia" w:ascii="宋体" w:cs="宋体"/>
          <w:kern w:val="0"/>
          <w:sz w:val="24"/>
        </w:rPr>
        <w:t>发生以下情况投标保证金将被没收：</w:t>
      </w:r>
    </w:p>
    <w:p w14:paraId="60AF5228">
      <w:pPr>
        <w:spacing w:line="440" w:lineRule="exact"/>
        <w:ind w:firstLine="420"/>
        <w:jc w:val="left"/>
        <w:rPr>
          <w:rFonts w:ascii="宋体" w:cs="宋体"/>
          <w:kern w:val="0"/>
          <w:sz w:val="24"/>
        </w:rPr>
      </w:pPr>
      <w:r>
        <w:rPr>
          <w:sz w:val="24"/>
        </w:rPr>
        <w:t>1</w:t>
      </w:r>
      <w:r>
        <w:rPr>
          <w:rFonts w:hint="eastAsia"/>
          <w:sz w:val="24"/>
        </w:rPr>
        <w:t>、投标人在投标有效期内撤销或修改其投标文件。</w:t>
      </w:r>
    </w:p>
    <w:p w14:paraId="1BEBD44D">
      <w:pPr>
        <w:spacing w:line="440" w:lineRule="exact"/>
        <w:ind w:firstLine="420"/>
        <w:jc w:val="left"/>
        <w:rPr>
          <w:rFonts w:ascii="宋体" w:cs="宋体"/>
          <w:kern w:val="0"/>
          <w:sz w:val="24"/>
        </w:rPr>
      </w:pPr>
      <w:r>
        <w:rPr>
          <w:sz w:val="24"/>
        </w:rPr>
        <w:t>2</w:t>
      </w:r>
      <w:r>
        <w:rPr>
          <w:rFonts w:hint="eastAsia"/>
          <w:sz w:val="24"/>
        </w:rPr>
        <w:t>、中标人无正当理由不与招标人订立合同，或在签订合同时向招标人提出附加条件，或未按招标文件要求提交履约保证金的。</w:t>
      </w:r>
    </w:p>
    <w:p w14:paraId="3AF2F246">
      <w:pPr>
        <w:spacing w:line="440" w:lineRule="exact"/>
        <w:ind w:firstLine="420"/>
        <w:jc w:val="left"/>
        <w:rPr>
          <w:sz w:val="24"/>
        </w:rPr>
      </w:pPr>
      <w:r>
        <w:rPr>
          <w:sz w:val="24"/>
        </w:rPr>
        <w:t>3</w:t>
      </w:r>
      <w:r>
        <w:rPr>
          <w:rFonts w:hint="eastAsia"/>
          <w:sz w:val="24"/>
        </w:rPr>
        <w:t>、经查实，投标人在投标过程中串通投标或弄虚作假的。</w:t>
      </w:r>
    </w:p>
    <w:p w14:paraId="433CFD20">
      <w:pPr>
        <w:pStyle w:val="3"/>
        <w:spacing w:line="440" w:lineRule="exact"/>
        <w:jc w:val="left"/>
        <w:rPr>
          <w:sz w:val="24"/>
          <w:szCs w:val="24"/>
        </w:rPr>
      </w:pPr>
      <w:bookmarkStart w:id="78" w:name="_Toc135032189"/>
      <w:r>
        <w:rPr>
          <w:sz w:val="24"/>
          <w:szCs w:val="24"/>
        </w:rPr>
        <w:t>19</w:t>
      </w:r>
      <w:r>
        <w:rPr>
          <w:rFonts w:hint="eastAsia"/>
          <w:sz w:val="24"/>
          <w:szCs w:val="24"/>
        </w:rPr>
        <w:t>、投标有效期</w:t>
      </w:r>
      <w:bookmarkEnd w:id="76"/>
      <w:bookmarkEnd w:id="77"/>
      <w:bookmarkEnd w:id="78"/>
    </w:p>
    <w:p w14:paraId="5535858E">
      <w:pPr>
        <w:spacing w:line="440" w:lineRule="exact"/>
        <w:ind w:firstLine="420"/>
        <w:jc w:val="left"/>
        <w:rPr>
          <w:rFonts w:ascii="宋体" w:cs="宋体"/>
          <w:kern w:val="0"/>
          <w:sz w:val="24"/>
        </w:rPr>
      </w:pPr>
      <w:r>
        <w:rPr>
          <w:rFonts w:ascii="宋体" w:hAnsi="宋体" w:cs="宋体"/>
          <w:kern w:val="0"/>
          <w:sz w:val="24"/>
        </w:rPr>
        <w:t>19.1</w:t>
      </w:r>
      <w:r>
        <w:rPr>
          <w:rFonts w:hint="eastAsia" w:ascii="宋体" w:hAnsi="宋体" w:cs="宋体"/>
          <w:kern w:val="0"/>
          <w:sz w:val="24"/>
        </w:rPr>
        <w:t>投标应自投标人须知前附表中规定的开标日起，并在投标人须知前附表中所述期限内保持有效。投标有效期不足的投标将被视为非实质性响应，并予以拒绝。</w:t>
      </w:r>
    </w:p>
    <w:p w14:paraId="0BEF8D22">
      <w:pPr>
        <w:spacing w:line="440" w:lineRule="exact"/>
        <w:ind w:firstLine="420"/>
        <w:jc w:val="left"/>
        <w:rPr>
          <w:rFonts w:ascii="宋体" w:cs="宋体"/>
          <w:kern w:val="0"/>
          <w:sz w:val="24"/>
        </w:rPr>
      </w:pPr>
      <w:r>
        <w:rPr>
          <w:rFonts w:ascii="宋体" w:hAnsi="宋体" w:cs="宋体"/>
          <w:kern w:val="0"/>
          <w:sz w:val="24"/>
        </w:rPr>
        <w:t>19.2</w:t>
      </w:r>
      <w:r>
        <w:rPr>
          <w:rFonts w:hint="eastAsia" w:ascii="宋体" w:hAnsi="宋体" w:cs="宋体"/>
          <w:kern w:val="0"/>
          <w:sz w:val="24"/>
        </w:rPr>
        <w:t>特殊情况下，招标机构可于投标有效期满之前要求投标人同意延长有效期，要求与答复均应为书面形式。投标人可拒绝上述要求而其投标保证金不被没收。对于同意该要求的投标人，既不要求也不允许其修改投标文件，但将要求其相应延长投标保证金的有效期，有关退还和没收投标保证金的规定在投标有效期的延长期内继续有效。</w:t>
      </w:r>
    </w:p>
    <w:p w14:paraId="188EA3A9">
      <w:pPr>
        <w:pStyle w:val="3"/>
        <w:spacing w:line="440" w:lineRule="exact"/>
        <w:jc w:val="left"/>
        <w:rPr>
          <w:sz w:val="24"/>
          <w:szCs w:val="24"/>
        </w:rPr>
      </w:pPr>
      <w:bookmarkStart w:id="79" w:name="_Toc34808248"/>
      <w:bookmarkStart w:id="80" w:name="_Toc19548227"/>
      <w:bookmarkStart w:id="81" w:name="_Toc34297344"/>
      <w:bookmarkStart w:id="82" w:name="_Toc135032190"/>
      <w:r>
        <w:rPr>
          <w:sz w:val="24"/>
          <w:szCs w:val="24"/>
        </w:rPr>
        <w:t>20</w:t>
      </w:r>
      <w:r>
        <w:rPr>
          <w:rFonts w:hint="eastAsia"/>
          <w:sz w:val="24"/>
          <w:szCs w:val="24"/>
        </w:rPr>
        <w:t>、投标文件的签署及规定</w:t>
      </w:r>
      <w:bookmarkEnd w:id="79"/>
      <w:bookmarkEnd w:id="80"/>
      <w:bookmarkEnd w:id="81"/>
      <w:bookmarkEnd w:id="82"/>
    </w:p>
    <w:p w14:paraId="0D228AD5">
      <w:pPr>
        <w:pStyle w:val="30"/>
        <w:adjustRightInd w:val="0"/>
        <w:snapToGrid w:val="0"/>
        <w:spacing w:line="440" w:lineRule="exact"/>
        <w:ind w:firstLine="480" w:firstLineChars="200"/>
        <w:rPr>
          <w:sz w:val="24"/>
        </w:rPr>
      </w:pPr>
      <w:bookmarkStart w:id="83" w:name="_Toc34297345"/>
      <w:bookmarkStart w:id="84" w:name="_Toc34808249"/>
      <w:r>
        <w:rPr>
          <w:sz w:val="24"/>
        </w:rPr>
        <w:t>20.1、加密电子投标文件一份，上传至衢州市公共资源电子交易系统，作为投标文件正本。</w:t>
      </w:r>
    </w:p>
    <w:p w14:paraId="79ACA5FF">
      <w:pPr>
        <w:pStyle w:val="30"/>
        <w:adjustRightInd w:val="0"/>
        <w:snapToGrid w:val="0"/>
        <w:spacing w:line="440" w:lineRule="exact"/>
        <w:ind w:firstLine="480" w:firstLineChars="200"/>
        <w:rPr>
          <w:sz w:val="24"/>
        </w:rPr>
      </w:pPr>
      <w:r>
        <w:rPr>
          <w:sz w:val="24"/>
        </w:rPr>
        <w:t>20.2、</w:t>
      </w:r>
      <w:r>
        <w:rPr>
          <w:rFonts w:hint="eastAsia"/>
          <w:sz w:val="24"/>
        </w:rPr>
        <w:t>中标公示结束后，中标人应按招标人要求的份数免费提供纸质投标文件副本，副本必须和衢州市市县一体公共资源交易平台电子交易系统中的加密电子投标文件保持一致。</w:t>
      </w:r>
    </w:p>
    <w:p w14:paraId="061A813C">
      <w:pPr>
        <w:pStyle w:val="3"/>
        <w:spacing w:line="440" w:lineRule="exact"/>
        <w:jc w:val="left"/>
        <w:rPr>
          <w:sz w:val="24"/>
          <w:szCs w:val="24"/>
        </w:rPr>
      </w:pPr>
      <w:bookmarkStart w:id="85" w:name="_Toc135032191"/>
      <w:r>
        <w:rPr>
          <w:rFonts w:hint="eastAsia"/>
          <w:sz w:val="24"/>
          <w:szCs w:val="24"/>
        </w:rPr>
        <w:t>第四节    投标文件的递交</w:t>
      </w:r>
      <w:bookmarkEnd w:id="83"/>
      <w:bookmarkEnd w:id="84"/>
      <w:r>
        <w:rPr>
          <w:rFonts w:hint="eastAsia"/>
          <w:sz w:val="24"/>
          <w:szCs w:val="24"/>
        </w:rPr>
        <w:t>和截止时间</w:t>
      </w:r>
      <w:bookmarkEnd w:id="85"/>
    </w:p>
    <w:p w14:paraId="0D2EE15B">
      <w:pPr>
        <w:pStyle w:val="3"/>
        <w:spacing w:line="440" w:lineRule="exact"/>
        <w:jc w:val="left"/>
        <w:rPr>
          <w:sz w:val="24"/>
          <w:szCs w:val="24"/>
        </w:rPr>
      </w:pPr>
      <w:bookmarkStart w:id="86" w:name="_Toc135032192"/>
      <w:r>
        <w:rPr>
          <w:sz w:val="24"/>
          <w:szCs w:val="24"/>
        </w:rPr>
        <w:t>21</w:t>
      </w:r>
      <w:r>
        <w:rPr>
          <w:rFonts w:hint="eastAsia"/>
          <w:sz w:val="24"/>
          <w:szCs w:val="24"/>
        </w:rPr>
        <w:t>、</w:t>
      </w:r>
      <w:r>
        <w:rPr>
          <w:sz w:val="24"/>
          <w:szCs w:val="24"/>
        </w:rPr>
        <w:t xml:space="preserve"> </w:t>
      </w:r>
      <w:r>
        <w:rPr>
          <w:rFonts w:hint="eastAsia"/>
          <w:sz w:val="24"/>
          <w:szCs w:val="24"/>
        </w:rPr>
        <w:t>投标文件的递交</w:t>
      </w:r>
      <w:bookmarkEnd w:id="86"/>
    </w:p>
    <w:p w14:paraId="2F9C0ABB">
      <w:pPr>
        <w:spacing w:line="440" w:lineRule="exact"/>
        <w:ind w:firstLine="420"/>
        <w:jc w:val="left"/>
        <w:rPr>
          <w:rFonts w:ascii="宋体" w:hAnsi="宋体" w:cs="宋体"/>
          <w:kern w:val="0"/>
          <w:sz w:val="24"/>
        </w:rPr>
      </w:pPr>
      <w:r>
        <w:rPr>
          <w:rFonts w:ascii="宋体" w:hAnsi="宋体" w:cs="宋体"/>
          <w:kern w:val="0"/>
          <w:sz w:val="24"/>
        </w:rPr>
        <w:t>21.1 投标人递交投标文件的方式和地点：见投标人须知前附表。</w:t>
      </w:r>
    </w:p>
    <w:p w14:paraId="4A4CFC67">
      <w:pPr>
        <w:spacing w:line="440" w:lineRule="exact"/>
        <w:ind w:firstLine="420"/>
        <w:jc w:val="left"/>
        <w:rPr>
          <w:rFonts w:ascii="宋体" w:hAnsi="宋体" w:cs="宋体"/>
          <w:kern w:val="0"/>
          <w:sz w:val="24"/>
        </w:rPr>
      </w:pPr>
      <w:r>
        <w:rPr>
          <w:rFonts w:ascii="宋体" w:hAnsi="宋体" w:cs="宋体"/>
          <w:kern w:val="0"/>
          <w:sz w:val="24"/>
        </w:rPr>
        <w:t>21.2 除投标人须知前附表另有规定外，投标人所递交的投标文件不予退还。</w:t>
      </w:r>
    </w:p>
    <w:p w14:paraId="452E6FC3">
      <w:pPr>
        <w:spacing w:line="440" w:lineRule="exact"/>
        <w:ind w:firstLine="420"/>
        <w:jc w:val="left"/>
        <w:rPr>
          <w:rFonts w:ascii="宋体" w:hAnsi="宋体" w:cs="宋体"/>
          <w:kern w:val="0"/>
          <w:sz w:val="24"/>
        </w:rPr>
      </w:pPr>
      <w:r>
        <w:rPr>
          <w:rFonts w:ascii="宋体" w:hAnsi="宋体" w:cs="宋体"/>
          <w:kern w:val="0"/>
          <w:sz w:val="24"/>
        </w:rPr>
        <w:t>21.3</w:t>
      </w:r>
      <w:r>
        <w:rPr>
          <w:rFonts w:hint="eastAsia" w:ascii="宋体" w:hAnsi="宋体" w:cs="宋体"/>
          <w:kern w:val="0"/>
          <w:sz w:val="24"/>
        </w:rPr>
        <w:t>投标文件的拒收要求见投标人须知前附表。</w:t>
      </w:r>
    </w:p>
    <w:p w14:paraId="42CFAB3B">
      <w:pPr>
        <w:pStyle w:val="3"/>
        <w:spacing w:line="440" w:lineRule="exact"/>
        <w:jc w:val="left"/>
        <w:rPr>
          <w:sz w:val="24"/>
          <w:szCs w:val="24"/>
        </w:rPr>
      </w:pPr>
      <w:bookmarkStart w:id="87" w:name="_Toc135032193"/>
      <w:bookmarkStart w:id="88" w:name="_Toc19548230"/>
      <w:r>
        <w:rPr>
          <w:rFonts w:hint="eastAsia"/>
          <w:sz w:val="24"/>
          <w:szCs w:val="24"/>
        </w:rPr>
        <w:t>22、递交投标文件的截止时间</w:t>
      </w:r>
      <w:bookmarkEnd w:id="87"/>
      <w:bookmarkEnd w:id="88"/>
    </w:p>
    <w:p w14:paraId="26F80326">
      <w:pPr>
        <w:spacing w:line="440" w:lineRule="exact"/>
        <w:ind w:firstLine="420"/>
        <w:jc w:val="left"/>
        <w:rPr>
          <w:rFonts w:ascii="宋体" w:hAnsi="宋体" w:cs="宋体"/>
          <w:kern w:val="0"/>
          <w:sz w:val="24"/>
        </w:rPr>
      </w:pPr>
      <w:r>
        <w:rPr>
          <w:rFonts w:ascii="宋体" w:hAnsi="宋体" w:cs="宋体"/>
          <w:kern w:val="0"/>
          <w:sz w:val="24"/>
        </w:rPr>
        <w:t>22.1 投标人应在投标人须知前附表规定的投标截止时间前递交投标文件</w:t>
      </w:r>
    </w:p>
    <w:p w14:paraId="41754193">
      <w:pPr>
        <w:spacing w:line="440" w:lineRule="exact"/>
        <w:ind w:firstLine="420"/>
        <w:jc w:val="left"/>
        <w:rPr>
          <w:rFonts w:ascii="宋体" w:hAnsi="宋体" w:cs="宋体"/>
          <w:kern w:val="0"/>
          <w:sz w:val="24"/>
        </w:rPr>
      </w:pPr>
      <w:r>
        <w:rPr>
          <w:rFonts w:ascii="宋体" w:hAnsi="宋体" w:cs="宋体"/>
          <w:kern w:val="0"/>
          <w:sz w:val="24"/>
        </w:rPr>
        <w:t>22.2因招标文件的修改推迟投标截止日期时，则按招标机构修改通知规定的时间递交。</w:t>
      </w:r>
    </w:p>
    <w:p w14:paraId="3BB5C43D">
      <w:pPr>
        <w:pStyle w:val="3"/>
        <w:spacing w:line="440" w:lineRule="exact"/>
        <w:jc w:val="left"/>
        <w:rPr>
          <w:sz w:val="24"/>
          <w:szCs w:val="24"/>
        </w:rPr>
      </w:pPr>
      <w:bookmarkStart w:id="89" w:name="_Toc34297347"/>
      <w:bookmarkStart w:id="90" w:name="_Toc34808251"/>
      <w:bookmarkStart w:id="91" w:name="_Toc135032194"/>
      <w:r>
        <w:rPr>
          <w:sz w:val="24"/>
          <w:szCs w:val="24"/>
        </w:rPr>
        <w:t>23</w:t>
      </w:r>
      <w:r>
        <w:rPr>
          <w:rFonts w:hint="eastAsia"/>
          <w:sz w:val="24"/>
          <w:szCs w:val="24"/>
        </w:rPr>
        <w:t>、迟交的投标文件</w:t>
      </w:r>
      <w:bookmarkEnd w:id="89"/>
      <w:bookmarkEnd w:id="90"/>
      <w:bookmarkEnd w:id="91"/>
    </w:p>
    <w:p w14:paraId="437842CB">
      <w:pPr>
        <w:spacing w:line="440" w:lineRule="exact"/>
        <w:ind w:firstLine="420"/>
        <w:jc w:val="left"/>
        <w:rPr>
          <w:rFonts w:ascii="宋体" w:cs="宋体"/>
          <w:kern w:val="0"/>
          <w:sz w:val="24"/>
        </w:rPr>
      </w:pPr>
      <w:r>
        <w:rPr>
          <w:rFonts w:ascii="宋体" w:hAnsi="宋体" w:cs="宋体"/>
          <w:kern w:val="0"/>
          <w:sz w:val="24"/>
        </w:rPr>
        <w:t>23.1</w:t>
      </w:r>
      <w:r>
        <w:rPr>
          <w:rFonts w:hint="eastAsia" w:ascii="宋体" w:hAnsi="宋体" w:cs="宋体"/>
          <w:kern w:val="0"/>
          <w:sz w:val="24"/>
        </w:rPr>
        <w:t>招标机构有权拒绝在投标截止时间后收到的投标文件。</w:t>
      </w:r>
    </w:p>
    <w:p w14:paraId="53EC0F0E">
      <w:pPr>
        <w:pStyle w:val="3"/>
        <w:spacing w:line="440" w:lineRule="exact"/>
        <w:jc w:val="left"/>
        <w:rPr>
          <w:sz w:val="24"/>
          <w:szCs w:val="24"/>
        </w:rPr>
      </w:pPr>
      <w:bookmarkStart w:id="92" w:name="_Toc135032195"/>
      <w:bookmarkStart w:id="93" w:name="_Toc34808252"/>
      <w:bookmarkStart w:id="94" w:name="_Toc34297348"/>
      <w:r>
        <w:rPr>
          <w:sz w:val="24"/>
          <w:szCs w:val="24"/>
        </w:rPr>
        <w:t>24</w:t>
      </w:r>
      <w:r>
        <w:rPr>
          <w:rFonts w:hint="eastAsia"/>
          <w:sz w:val="24"/>
          <w:szCs w:val="24"/>
        </w:rPr>
        <w:t>、投标文件的修改和撤销</w:t>
      </w:r>
      <w:bookmarkEnd w:id="92"/>
      <w:bookmarkEnd w:id="93"/>
      <w:bookmarkEnd w:id="94"/>
    </w:p>
    <w:p w14:paraId="38B864C6">
      <w:pPr>
        <w:spacing w:line="440" w:lineRule="exact"/>
        <w:ind w:firstLine="420"/>
        <w:jc w:val="left"/>
        <w:rPr>
          <w:rFonts w:ascii="宋体" w:hAnsi="宋体" w:cs="宋体"/>
          <w:kern w:val="0"/>
          <w:sz w:val="24"/>
        </w:rPr>
      </w:pPr>
      <w:r>
        <w:rPr>
          <w:rFonts w:ascii="宋体" w:hAnsi="宋体" w:cs="宋体"/>
          <w:kern w:val="0"/>
          <w:sz w:val="24"/>
        </w:rPr>
        <w:t>24.1</w:t>
      </w:r>
      <w:r>
        <w:rPr>
          <w:rFonts w:hint="eastAsia" w:ascii="宋体" w:hAnsi="宋体" w:cs="宋体"/>
          <w:kern w:val="0"/>
          <w:sz w:val="24"/>
        </w:rPr>
        <w:t>投标人在提交投标文件后可对其投标文件进行修改或撤销</w:t>
      </w:r>
      <w:r>
        <w:rPr>
          <w:rFonts w:ascii="宋体" w:hAnsi="宋体" w:cs="宋体"/>
          <w:kern w:val="0"/>
          <w:sz w:val="24"/>
        </w:rPr>
        <w:t>。</w:t>
      </w:r>
    </w:p>
    <w:p w14:paraId="3A93AAB2">
      <w:pPr>
        <w:spacing w:line="440" w:lineRule="exact"/>
        <w:ind w:firstLine="420"/>
        <w:jc w:val="left"/>
        <w:rPr>
          <w:rFonts w:ascii="宋体" w:hAnsi="宋体" w:cs="宋体"/>
          <w:kern w:val="0"/>
          <w:sz w:val="24"/>
        </w:rPr>
      </w:pPr>
      <w:r>
        <w:rPr>
          <w:rFonts w:ascii="宋体" w:hAnsi="宋体" w:cs="宋体"/>
          <w:kern w:val="0"/>
          <w:sz w:val="24"/>
        </w:rPr>
        <w:t>24.2</w:t>
      </w:r>
      <w:r>
        <w:rPr>
          <w:rFonts w:hint="eastAsia" w:ascii="宋体" w:hAnsi="宋体" w:cs="宋体"/>
          <w:kern w:val="0"/>
          <w:sz w:val="24"/>
        </w:rPr>
        <w:t>招标人须在投标截止时间之前登录到衢州市公共资源交易平台修改或撤销投标文件。</w:t>
      </w:r>
    </w:p>
    <w:p w14:paraId="2F76A7A8">
      <w:pPr>
        <w:spacing w:line="440" w:lineRule="exact"/>
        <w:ind w:firstLine="420"/>
        <w:jc w:val="left"/>
        <w:rPr>
          <w:rFonts w:ascii="宋体" w:cs="宋体"/>
          <w:kern w:val="0"/>
          <w:sz w:val="24"/>
        </w:rPr>
      </w:pPr>
      <w:r>
        <w:rPr>
          <w:rFonts w:ascii="宋体" w:hAnsi="宋体" w:cs="宋体"/>
          <w:kern w:val="0"/>
          <w:sz w:val="24"/>
        </w:rPr>
        <w:t>24.3</w:t>
      </w:r>
      <w:r>
        <w:rPr>
          <w:rFonts w:hint="eastAsia" w:ascii="宋体" w:hAnsi="宋体" w:cs="宋体"/>
          <w:kern w:val="0"/>
          <w:sz w:val="24"/>
        </w:rPr>
        <w:t>投标截止时间以后不得修改投标文件。</w:t>
      </w:r>
    </w:p>
    <w:p w14:paraId="3A376ED7">
      <w:pPr>
        <w:spacing w:line="440" w:lineRule="exact"/>
        <w:ind w:firstLine="420"/>
        <w:jc w:val="left"/>
        <w:rPr>
          <w:rFonts w:ascii="宋体" w:cs="宋体"/>
          <w:kern w:val="0"/>
          <w:sz w:val="24"/>
        </w:rPr>
      </w:pPr>
      <w:r>
        <w:rPr>
          <w:rFonts w:ascii="宋体" w:hAnsi="宋体" w:cs="宋体"/>
          <w:kern w:val="0"/>
          <w:sz w:val="24"/>
        </w:rPr>
        <w:t>24.4</w:t>
      </w:r>
      <w:r>
        <w:rPr>
          <w:rFonts w:hint="eastAsia" w:ascii="宋体" w:hAnsi="宋体" w:cs="宋体"/>
          <w:kern w:val="0"/>
          <w:sz w:val="24"/>
        </w:rPr>
        <w:t>投标人不得在开标时间起至投标文件有效期期满前撤销投标文件。</w:t>
      </w:r>
    </w:p>
    <w:p w14:paraId="188884A1">
      <w:pPr>
        <w:pStyle w:val="3"/>
        <w:spacing w:line="440" w:lineRule="exact"/>
        <w:jc w:val="left"/>
        <w:rPr>
          <w:sz w:val="24"/>
          <w:szCs w:val="24"/>
        </w:rPr>
      </w:pPr>
      <w:bookmarkStart w:id="95" w:name="_Toc34808253"/>
      <w:bookmarkStart w:id="96" w:name="_Toc135032196"/>
      <w:bookmarkStart w:id="97" w:name="_Toc34297349"/>
      <w:r>
        <w:rPr>
          <w:rFonts w:hint="eastAsia"/>
          <w:sz w:val="24"/>
          <w:szCs w:val="24"/>
        </w:rPr>
        <w:t>第五节开标、评标</w:t>
      </w:r>
      <w:bookmarkEnd w:id="95"/>
      <w:bookmarkEnd w:id="96"/>
      <w:bookmarkEnd w:id="97"/>
    </w:p>
    <w:p w14:paraId="1C5B4194">
      <w:pPr>
        <w:pStyle w:val="3"/>
        <w:spacing w:line="440" w:lineRule="exact"/>
        <w:jc w:val="left"/>
        <w:rPr>
          <w:sz w:val="24"/>
          <w:szCs w:val="24"/>
        </w:rPr>
      </w:pPr>
      <w:bookmarkStart w:id="98" w:name="_Toc34297350"/>
      <w:bookmarkStart w:id="99" w:name="_Toc135032197"/>
      <w:bookmarkStart w:id="100" w:name="_Toc34808254"/>
      <w:r>
        <w:rPr>
          <w:sz w:val="24"/>
          <w:szCs w:val="24"/>
        </w:rPr>
        <w:t>25</w:t>
      </w:r>
      <w:r>
        <w:rPr>
          <w:rFonts w:hint="eastAsia"/>
          <w:sz w:val="24"/>
          <w:szCs w:val="24"/>
        </w:rPr>
        <w:t>、开标</w:t>
      </w:r>
      <w:bookmarkEnd w:id="98"/>
      <w:bookmarkEnd w:id="99"/>
      <w:bookmarkEnd w:id="100"/>
    </w:p>
    <w:p w14:paraId="4032BED8">
      <w:pPr>
        <w:pStyle w:val="30"/>
        <w:adjustRightInd w:val="0"/>
        <w:snapToGrid w:val="0"/>
        <w:spacing w:line="440" w:lineRule="exact"/>
        <w:ind w:left="35" w:leftChars="17" w:firstLine="480" w:firstLineChars="200"/>
        <w:rPr>
          <w:sz w:val="24"/>
        </w:rPr>
      </w:pPr>
      <w:bookmarkStart w:id="101" w:name="_Toc34808255"/>
      <w:bookmarkStart w:id="102" w:name="_Toc34297351"/>
      <w:r>
        <w:rPr>
          <w:sz w:val="24"/>
        </w:rPr>
        <w:t>25.1开标时间和地点</w:t>
      </w:r>
    </w:p>
    <w:p w14:paraId="09EB9AD6">
      <w:pPr>
        <w:pStyle w:val="30"/>
        <w:adjustRightInd w:val="0"/>
        <w:snapToGrid w:val="0"/>
        <w:spacing w:line="440" w:lineRule="exact"/>
        <w:ind w:left="35" w:leftChars="17" w:firstLine="480" w:firstLineChars="200"/>
        <w:rPr>
          <w:sz w:val="24"/>
        </w:rPr>
      </w:pPr>
      <w:r>
        <w:rPr>
          <w:sz w:val="24"/>
        </w:rPr>
        <w:t>招标人将于投标人须知前附表规定的时间在</w:t>
      </w:r>
      <w:r>
        <w:rPr>
          <w:rFonts w:hint="eastAsia"/>
          <w:sz w:val="24"/>
        </w:rPr>
        <w:t>衢州市市县一体公共资源交易平台</w:t>
      </w:r>
      <w:r>
        <w:rPr>
          <w:sz w:val="24"/>
        </w:rPr>
        <w:t>不见面开标大厅举行开标会议。投标人法定代表人或委托代理人登录</w:t>
      </w:r>
      <w:r>
        <w:rPr>
          <w:rFonts w:hint="eastAsia"/>
          <w:sz w:val="24"/>
        </w:rPr>
        <w:t>衢州市市县一体公共资源交易平台不见面开标大厅</w:t>
      </w:r>
      <w:r>
        <w:rPr>
          <w:sz w:val="24"/>
        </w:rPr>
        <w:t>参加开标会议。</w:t>
      </w:r>
    </w:p>
    <w:p w14:paraId="74884CC2">
      <w:pPr>
        <w:pStyle w:val="30"/>
        <w:adjustRightInd w:val="0"/>
        <w:snapToGrid w:val="0"/>
        <w:spacing w:line="440" w:lineRule="exact"/>
        <w:ind w:left="35" w:leftChars="17" w:firstLine="480" w:firstLineChars="200"/>
        <w:rPr>
          <w:sz w:val="24"/>
        </w:rPr>
      </w:pPr>
      <w:r>
        <w:rPr>
          <w:sz w:val="24"/>
        </w:rPr>
        <w:t xml:space="preserve">25.2 </w:t>
      </w:r>
      <w:r>
        <w:rPr>
          <w:rFonts w:hint="eastAsia"/>
          <w:sz w:val="24"/>
        </w:rPr>
        <w:t>开标程序</w:t>
      </w:r>
    </w:p>
    <w:p w14:paraId="2D46CA00">
      <w:pPr>
        <w:pStyle w:val="30"/>
        <w:adjustRightInd w:val="0"/>
        <w:snapToGrid w:val="0"/>
        <w:spacing w:line="440" w:lineRule="exact"/>
        <w:ind w:left="35" w:leftChars="17" w:firstLine="480" w:firstLineChars="200"/>
        <w:rPr>
          <w:sz w:val="24"/>
        </w:rPr>
      </w:pPr>
      <w:r>
        <w:rPr>
          <w:rFonts w:hint="eastAsia"/>
          <w:sz w:val="24"/>
        </w:rPr>
        <w:t>见投标人须知前附表。</w:t>
      </w:r>
    </w:p>
    <w:p w14:paraId="2BE32837">
      <w:pPr>
        <w:pStyle w:val="3"/>
        <w:spacing w:line="440" w:lineRule="exact"/>
        <w:jc w:val="left"/>
        <w:rPr>
          <w:sz w:val="24"/>
          <w:szCs w:val="24"/>
        </w:rPr>
      </w:pPr>
      <w:bookmarkStart w:id="103" w:name="_Toc135032198"/>
      <w:r>
        <w:rPr>
          <w:sz w:val="24"/>
          <w:szCs w:val="24"/>
        </w:rPr>
        <w:t>26</w:t>
      </w:r>
      <w:r>
        <w:rPr>
          <w:rFonts w:hint="eastAsia"/>
          <w:sz w:val="24"/>
          <w:szCs w:val="24"/>
        </w:rPr>
        <w:t>、评标委员会</w:t>
      </w:r>
      <w:bookmarkEnd w:id="101"/>
      <w:bookmarkEnd w:id="102"/>
      <w:bookmarkEnd w:id="103"/>
    </w:p>
    <w:p w14:paraId="7DF784FB">
      <w:pPr>
        <w:spacing w:line="440" w:lineRule="exact"/>
        <w:ind w:firstLine="420"/>
        <w:jc w:val="left"/>
        <w:rPr>
          <w:rFonts w:ascii="宋体" w:cs="宋体"/>
          <w:kern w:val="0"/>
          <w:sz w:val="24"/>
        </w:rPr>
      </w:pPr>
      <w:r>
        <w:rPr>
          <w:rFonts w:ascii="宋体" w:hAnsi="宋体" w:cs="宋体"/>
          <w:kern w:val="0"/>
          <w:sz w:val="24"/>
        </w:rPr>
        <w:t>26.1</w:t>
      </w:r>
      <w:r>
        <w:rPr>
          <w:rFonts w:hint="eastAsia" w:ascii="宋体" w:hAnsi="宋体" w:cs="宋体"/>
          <w:kern w:val="0"/>
          <w:sz w:val="24"/>
        </w:rPr>
        <w:t>招标机构将根据本次招标采购的特点组建评标委员会，其成员由技术、经济、法律等方面的专家和业主的代表组成。评标委员会对投标文件进行审查、质疑、评估和比较。</w:t>
      </w:r>
    </w:p>
    <w:p w14:paraId="185C0B53">
      <w:pPr>
        <w:spacing w:line="440" w:lineRule="exact"/>
        <w:ind w:firstLine="420"/>
        <w:jc w:val="left"/>
        <w:rPr>
          <w:rFonts w:ascii="宋体" w:cs="宋体"/>
          <w:kern w:val="0"/>
          <w:sz w:val="24"/>
        </w:rPr>
      </w:pPr>
      <w:r>
        <w:rPr>
          <w:rFonts w:ascii="宋体" w:hAnsi="宋体" w:cs="宋体"/>
          <w:kern w:val="0"/>
          <w:sz w:val="24"/>
        </w:rPr>
        <w:t>26.2</w:t>
      </w:r>
      <w:r>
        <w:rPr>
          <w:rFonts w:hint="eastAsia" w:ascii="宋体" w:hAnsi="宋体" w:cs="宋体"/>
          <w:kern w:val="0"/>
          <w:sz w:val="24"/>
        </w:rPr>
        <w:t>评标期间，投标人法人代表或授权代表须答复评标委员会的询标。</w:t>
      </w:r>
    </w:p>
    <w:p w14:paraId="33724811">
      <w:pPr>
        <w:pStyle w:val="3"/>
        <w:spacing w:line="440" w:lineRule="exact"/>
        <w:jc w:val="left"/>
        <w:rPr>
          <w:sz w:val="24"/>
          <w:szCs w:val="24"/>
        </w:rPr>
      </w:pPr>
      <w:bookmarkStart w:id="104" w:name="_Toc135032199"/>
      <w:bookmarkStart w:id="105" w:name="_Toc34297352"/>
      <w:bookmarkStart w:id="106" w:name="_Toc34808256"/>
      <w:r>
        <w:rPr>
          <w:sz w:val="24"/>
          <w:szCs w:val="24"/>
        </w:rPr>
        <w:t>27</w:t>
      </w:r>
      <w:r>
        <w:rPr>
          <w:rFonts w:hint="eastAsia"/>
          <w:sz w:val="24"/>
          <w:szCs w:val="24"/>
        </w:rPr>
        <w:t>、对投标文件的审查和响应性的确定</w:t>
      </w:r>
      <w:bookmarkEnd w:id="104"/>
      <w:bookmarkEnd w:id="105"/>
      <w:bookmarkEnd w:id="106"/>
    </w:p>
    <w:p w14:paraId="499956CF">
      <w:pPr>
        <w:spacing w:line="440" w:lineRule="exact"/>
        <w:ind w:firstLine="420"/>
        <w:jc w:val="left"/>
        <w:rPr>
          <w:rFonts w:ascii="宋体" w:cs="宋体"/>
          <w:kern w:val="0"/>
          <w:sz w:val="24"/>
        </w:rPr>
      </w:pPr>
      <w:r>
        <w:rPr>
          <w:rFonts w:ascii="宋体" w:hAnsi="宋体" w:cs="宋体"/>
          <w:kern w:val="0"/>
          <w:sz w:val="24"/>
        </w:rPr>
        <w:t>27.1</w:t>
      </w:r>
      <w:r>
        <w:rPr>
          <w:rFonts w:hint="eastAsia" w:ascii="宋体" w:hAnsi="宋体" w:cs="宋体"/>
          <w:kern w:val="0"/>
          <w:sz w:val="24"/>
        </w:rPr>
        <w:t>开标后，评标委员会将组织审查投标文件是否完整、总体编排是否有序、文件签署是否合格、要求的保证金是否已提供、是否有计算错误。</w:t>
      </w:r>
    </w:p>
    <w:p w14:paraId="4936A908">
      <w:pPr>
        <w:spacing w:line="440" w:lineRule="exact"/>
        <w:ind w:firstLine="420"/>
        <w:jc w:val="left"/>
        <w:rPr>
          <w:rFonts w:ascii="宋体" w:cs="宋体"/>
          <w:kern w:val="0"/>
          <w:sz w:val="24"/>
        </w:rPr>
      </w:pPr>
      <w:r>
        <w:rPr>
          <w:rFonts w:ascii="宋体" w:hAnsi="宋体" w:cs="宋体"/>
          <w:kern w:val="0"/>
          <w:sz w:val="24"/>
        </w:rPr>
        <w:t>27.2</w:t>
      </w:r>
      <w:r>
        <w:rPr>
          <w:rFonts w:hint="eastAsia" w:ascii="宋体" w:hAnsi="宋体" w:cs="宋体"/>
          <w:kern w:val="0"/>
          <w:sz w:val="24"/>
        </w:rPr>
        <w:t>在对投标文件进行详细评估之前，评标委员会将依据投标人提供的资格证明文件审查投标人的资质、财务、技术和能力。如果确定投标人无资格履行合同，其投标将被拒绝。</w:t>
      </w:r>
    </w:p>
    <w:p w14:paraId="1ADF8E03">
      <w:pPr>
        <w:spacing w:line="440" w:lineRule="exact"/>
        <w:ind w:firstLine="420"/>
        <w:jc w:val="left"/>
        <w:rPr>
          <w:rFonts w:ascii="宋体" w:cs="宋体"/>
          <w:kern w:val="0"/>
          <w:sz w:val="24"/>
        </w:rPr>
      </w:pPr>
      <w:r>
        <w:rPr>
          <w:rFonts w:ascii="宋体" w:hAnsi="宋体" w:cs="宋体"/>
          <w:kern w:val="0"/>
          <w:sz w:val="24"/>
        </w:rPr>
        <w:t>27.3</w:t>
      </w:r>
      <w:r>
        <w:rPr>
          <w:rFonts w:hint="eastAsia" w:ascii="宋体" w:hAnsi="宋体" w:cs="宋体"/>
          <w:kern w:val="0"/>
          <w:sz w:val="24"/>
        </w:rPr>
        <w:t>评标委员会将确定每一投标是否对招标文件的要求做出了实质性的响应，而没有重大偏离。实质性响应的投标是指投标符合招标文件的所有条款、条件和规定且没有重大偏离或保留。重大偏离或保留系指影响到招标文件规定的供货范围、质量和性能，或限制了招标人的权力和投标人的义务的规定，而纠正这些偏离将影响到其他提交实质性响应投标人的公平竞争地位。</w:t>
      </w:r>
    </w:p>
    <w:p w14:paraId="574CDC74">
      <w:pPr>
        <w:spacing w:line="440" w:lineRule="exact"/>
        <w:ind w:firstLine="420"/>
        <w:jc w:val="left"/>
        <w:rPr>
          <w:rFonts w:ascii="宋体" w:cs="宋体"/>
          <w:kern w:val="0"/>
          <w:sz w:val="24"/>
        </w:rPr>
      </w:pPr>
      <w:r>
        <w:rPr>
          <w:rFonts w:ascii="宋体" w:hAnsi="宋体" w:cs="宋体"/>
          <w:kern w:val="0"/>
          <w:sz w:val="24"/>
        </w:rPr>
        <w:t>27.4</w:t>
      </w:r>
      <w:r>
        <w:rPr>
          <w:rFonts w:hint="eastAsia" w:ascii="宋体" w:hAnsi="宋体" w:cs="宋体"/>
          <w:kern w:val="0"/>
          <w:sz w:val="24"/>
        </w:rPr>
        <w:t>评标委员会判断投标文件的响应性仅基于投标文件本身而不靠外部证据。</w:t>
      </w:r>
    </w:p>
    <w:p w14:paraId="3306567C">
      <w:pPr>
        <w:spacing w:line="440" w:lineRule="exact"/>
        <w:ind w:firstLine="420"/>
        <w:jc w:val="left"/>
        <w:rPr>
          <w:rFonts w:ascii="宋体" w:cs="宋体"/>
          <w:kern w:val="0"/>
          <w:sz w:val="24"/>
        </w:rPr>
      </w:pPr>
      <w:r>
        <w:rPr>
          <w:rFonts w:ascii="宋体" w:hAnsi="宋体" w:cs="宋体"/>
          <w:kern w:val="0"/>
          <w:sz w:val="24"/>
        </w:rPr>
        <w:t>27.5</w:t>
      </w:r>
      <w:r>
        <w:rPr>
          <w:rFonts w:hint="eastAsia" w:ascii="宋体" w:hAnsi="宋体" w:cs="宋体"/>
          <w:kern w:val="0"/>
          <w:sz w:val="24"/>
        </w:rPr>
        <w:t>评标委员会将拒绝未对招标文件做出实质性响应的投标，投标人不能通过增加、修正或撤销不符之处而使其投标成为实质性响应的投标。</w:t>
      </w:r>
    </w:p>
    <w:p w14:paraId="32614C49">
      <w:pPr>
        <w:spacing w:line="440" w:lineRule="exact"/>
        <w:ind w:firstLine="420"/>
        <w:jc w:val="left"/>
        <w:rPr>
          <w:rFonts w:ascii="宋体" w:cs="宋体"/>
          <w:kern w:val="0"/>
          <w:sz w:val="24"/>
        </w:rPr>
      </w:pPr>
      <w:r>
        <w:rPr>
          <w:rFonts w:ascii="宋体" w:hAnsi="宋体" w:cs="宋体"/>
          <w:kern w:val="0"/>
          <w:sz w:val="24"/>
        </w:rPr>
        <w:t>27.6</w:t>
      </w:r>
      <w:r>
        <w:rPr>
          <w:rFonts w:hint="eastAsia" w:ascii="宋体" w:hAnsi="宋体" w:cs="宋体"/>
          <w:kern w:val="0"/>
          <w:sz w:val="24"/>
        </w:rPr>
        <w:t>评标委员会将允许投标人修改投标中不构成重大偏离的微小的、非正规、不一致或不规则的地方。</w:t>
      </w:r>
    </w:p>
    <w:p w14:paraId="70908C16">
      <w:pPr>
        <w:pStyle w:val="3"/>
        <w:spacing w:line="440" w:lineRule="exact"/>
        <w:jc w:val="left"/>
        <w:rPr>
          <w:sz w:val="24"/>
          <w:szCs w:val="24"/>
        </w:rPr>
      </w:pPr>
      <w:bookmarkStart w:id="107" w:name="_Toc135032200"/>
      <w:bookmarkStart w:id="108" w:name="_Toc34808257"/>
      <w:bookmarkStart w:id="109" w:name="_Toc34297353"/>
      <w:r>
        <w:rPr>
          <w:sz w:val="24"/>
          <w:szCs w:val="24"/>
        </w:rPr>
        <w:t>28</w:t>
      </w:r>
      <w:r>
        <w:rPr>
          <w:rFonts w:hint="eastAsia"/>
          <w:sz w:val="24"/>
          <w:szCs w:val="24"/>
        </w:rPr>
        <w:t>、投标文件的澄清</w:t>
      </w:r>
      <w:bookmarkEnd w:id="107"/>
      <w:bookmarkEnd w:id="108"/>
      <w:bookmarkEnd w:id="109"/>
    </w:p>
    <w:p w14:paraId="2D974435">
      <w:pPr>
        <w:spacing w:line="440" w:lineRule="exact"/>
        <w:ind w:firstLine="420"/>
        <w:jc w:val="left"/>
        <w:rPr>
          <w:rFonts w:ascii="宋体" w:cs="宋体"/>
          <w:kern w:val="0"/>
          <w:sz w:val="24"/>
        </w:rPr>
      </w:pPr>
      <w:bookmarkStart w:id="110" w:name="_Toc34808258"/>
      <w:bookmarkStart w:id="111" w:name="_Toc34297354"/>
      <w:r>
        <w:rPr>
          <w:rFonts w:ascii="宋体" w:cs="宋体"/>
          <w:kern w:val="0"/>
          <w:sz w:val="24"/>
        </w:rPr>
        <w:t>28</w:t>
      </w:r>
      <w:r>
        <w:rPr>
          <w:rFonts w:hint="eastAsia" w:ascii="宋体" w:cs="宋体"/>
          <w:kern w:val="0"/>
          <w:sz w:val="24"/>
        </w:rPr>
        <w:t>.1为了有助于对投标文件进行审查、评估和比较，评标委员会有权向投标人质疑，请投标人澄清其投标内容。投标人有责任按照招标人通知的时间，通过衢州市市县一体公共资源交易平台电子交易系统或书面进行答疑和澄清。</w:t>
      </w:r>
    </w:p>
    <w:p w14:paraId="192B7298">
      <w:pPr>
        <w:spacing w:line="440" w:lineRule="exact"/>
        <w:ind w:firstLine="420"/>
        <w:jc w:val="left"/>
        <w:rPr>
          <w:rFonts w:ascii="宋体" w:cs="宋体"/>
          <w:kern w:val="0"/>
          <w:sz w:val="24"/>
        </w:rPr>
      </w:pPr>
      <w:r>
        <w:rPr>
          <w:rFonts w:ascii="宋体" w:cs="宋体"/>
          <w:kern w:val="0"/>
          <w:sz w:val="24"/>
        </w:rPr>
        <w:t>28</w:t>
      </w:r>
      <w:r>
        <w:rPr>
          <w:rFonts w:hint="eastAsia" w:ascii="宋体" w:cs="宋体"/>
          <w:kern w:val="0"/>
          <w:sz w:val="24"/>
        </w:rPr>
        <w:t>.2重要澄清的答复是书面的，但不得对投标内容进行实质性修改。</w:t>
      </w:r>
    </w:p>
    <w:p w14:paraId="56A5E2AD">
      <w:pPr>
        <w:pStyle w:val="3"/>
        <w:spacing w:line="440" w:lineRule="exact"/>
        <w:jc w:val="left"/>
        <w:rPr>
          <w:sz w:val="24"/>
          <w:szCs w:val="24"/>
        </w:rPr>
      </w:pPr>
      <w:bookmarkStart w:id="112" w:name="_Toc135032201"/>
      <w:r>
        <w:rPr>
          <w:sz w:val="24"/>
          <w:szCs w:val="24"/>
        </w:rPr>
        <w:t>29</w:t>
      </w:r>
      <w:r>
        <w:rPr>
          <w:rFonts w:hint="eastAsia"/>
          <w:sz w:val="24"/>
          <w:szCs w:val="24"/>
        </w:rPr>
        <w:t>、对投标文件的评估和比较</w:t>
      </w:r>
      <w:bookmarkEnd w:id="110"/>
      <w:bookmarkEnd w:id="111"/>
      <w:bookmarkEnd w:id="112"/>
    </w:p>
    <w:p w14:paraId="2A917634">
      <w:pPr>
        <w:spacing w:line="440" w:lineRule="exact"/>
        <w:ind w:firstLine="420"/>
        <w:jc w:val="left"/>
        <w:rPr>
          <w:rFonts w:ascii="宋体" w:cs="宋体"/>
          <w:kern w:val="0"/>
          <w:sz w:val="24"/>
        </w:rPr>
      </w:pPr>
      <w:r>
        <w:rPr>
          <w:rFonts w:ascii="宋体" w:hAnsi="宋体" w:cs="宋体"/>
          <w:kern w:val="0"/>
          <w:sz w:val="24"/>
        </w:rPr>
        <w:t>29.1</w:t>
      </w:r>
      <w:r>
        <w:rPr>
          <w:rFonts w:hint="eastAsia" w:ascii="宋体" w:hAnsi="宋体" w:cs="宋体"/>
          <w:kern w:val="0"/>
          <w:sz w:val="24"/>
        </w:rPr>
        <w:t>由评标委员会对各投标文件的全部内容进行审阅，并确定各投标文件是否合格有效。凡是对招标文件的实质性要约内容不作响应的投标，将被视为不合格的投标而不予接受。经过审标，对其投标书中需要进行澄清的问题，将由评标委员会向投标人进行询标，投标人应接受询标、澄清；其记录须经投标人授权代表审阅签字，并应视作标书的补充，对投标单位具有约束力。</w:t>
      </w:r>
    </w:p>
    <w:p w14:paraId="24D52C24">
      <w:pPr>
        <w:spacing w:line="440" w:lineRule="exact"/>
        <w:ind w:firstLine="420"/>
        <w:jc w:val="left"/>
        <w:rPr>
          <w:rFonts w:ascii="宋体" w:cs="宋体"/>
          <w:kern w:val="0"/>
          <w:sz w:val="24"/>
        </w:rPr>
      </w:pPr>
      <w:r>
        <w:rPr>
          <w:rFonts w:ascii="宋体" w:hAnsi="宋体" w:cs="宋体"/>
          <w:kern w:val="0"/>
          <w:sz w:val="24"/>
        </w:rPr>
        <w:t>29.2</w:t>
      </w:r>
      <w:r>
        <w:rPr>
          <w:rFonts w:hint="eastAsia" w:ascii="宋体" w:hAnsi="宋体" w:cs="宋体"/>
          <w:kern w:val="0"/>
          <w:sz w:val="24"/>
        </w:rPr>
        <w:t>在审标、询标及调查考核的基础上，评标委员会按照平等、客观、公平、公正的原则，进行综合分析评定，实质上响应招标文件的要求并有履行合同能力的综合得分最高的投标人将被确定为中标人。</w:t>
      </w:r>
    </w:p>
    <w:p w14:paraId="59190BF0">
      <w:pPr>
        <w:pStyle w:val="3"/>
        <w:spacing w:line="440" w:lineRule="exact"/>
        <w:jc w:val="left"/>
        <w:rPr>
          <w:sz w:val="24"/>
          <w:szCs w:val="24"/>
        </w:rPr>
      </w:pPr>
      <w:bookmarkStart w:id="113" w:name="_Toc34297355"/>
      <w:bookmarkStart w:id="114" w:name="_Toc34808259"/>
      <w:bookmarkStart w:id="115" w:name="_Toc135032202"/>
      <w:r>
        <w:rPr>
          <w:sz w:val="24"/>
          <w:szCs w:val="24"/>
        </w:rPr>
        <w:t>30</w:t>
      </w:r>
      <w:r>
        <w:rPr>
          <w:rFonts w:hint="eastAsia"/>
          <w:sz w:val="24"/>
          <w:szCs w:val="24"/>
        </w:rPr>
        <w:t>、保密</w:t>
      </w:r>
      <w:bookmarkEnd w:id="113"/>
      <w:bookmarkEnd w:id="114"/>
      <w:bookmarkEnd w:id="115"/>
    </w:p>
    <w:p w14:paraId="0C7794AD">
      <w:pPr>
        <w:spacing w:line="440" w:lineRule="exact"/>
        <w:ind w:firstLine="420"/>
        <w:jc w:val="left"/>
        <w:rPr>
          <w:rFonts w:ascii="宋体" w:cs="宋体"/>
          <w:kern w:val="0"/>
          <w:sz w:val="24"/>
        </w:rPr>
      </w:pPr>
      <w:r>
        <w:rPr>
          <w:rFonts w:ascii="宋体" w:hAnsi="宋体" w:cs="宋体"/>
          <w:kern w:val="0"/>
          <w:sz w:val="24"/>
        </w:rPr>
        <w:t>30.1</w:t>
      </w:r>
      <w:r>
        <w:rPr>
          <w:rFonts w:hint="eastAsia" w:ascii="宋体" w:hAnsi="宋体" w:cs="宋体"/>
          <w:kern w:val="0"/>
          <w:sz w:val="24"/>
        </w:rPr>
        <w:t>有关投标文件的审查、澄清、评估和比较以及有关授予合同的意向的一切情况不得透露给任一投标人或与上述评标工作无关的人员。</w:t>
      </w:r>
    </w:p>
    <w:p w14:paraId="6D6952FE">
      <w:pPr>
        <w:pStyle w:val="3"/>
        <w:spacing w:line="440" w:lineRule="exact"/>
        <w:jc w:val="left"/>
        <w:rPr>
          <w:sz w:val="24"/>
          <w:szCs w:val="24"/>
        </w:rPr>
      </w:pPr>
      <w:bookmarkStart w:id="116" w:name="_Toc34808260"/>
      <w:bookmarkStart w:id="117" w:name="_Toc34297356"/>
      <w:bookmarkStart w:id="118" w:name="_Toc135032203"/>
      <w:r>
        <w:rPr>
          <w:sz w:val="24"/>
          <w:szCs w:val="24"/>
        </w:rPr>
        <w:t>31</w:t>
      </w:r>
      <w:r>
        <w:rPr>
          <w:rFonts w:hint="eastAsia"/>
          <w:sz w:val="24"/>
          <w:szCs w:val="24"/>
        </w:rPr>
        <w:t>、投标纪律</w:t>
      </w:r>
      <w:bookmarkEnd w:id="116"/>
      <w:bookmarkEnd w:id="117"/>
      <w:bookmarkEnd w:id="118"/>
    </w:p>
    <w:p w14:paraId="7BB7FD9E">
      <w:pPr>
        <w:spacing w:line="440" w:lineRule="exact"/>
        <w:ind w:firstLine="420"/>
        <w:jc w:val="left"/>
        <w:rPr>
          <w:rFonts w:ascii="宋体" w:cs="宋体"/>
          <w:kern w:val="0"/>
          <w:sz w:val="24"/>
        </w:rPr>
      </w:pPr>
      <w:r>
        <w:rPr>
          <w:rFonts w:ascii="宋体" w:hAnsi="宋体" w:cs="宋体"/>
          <w:kern w:val="0"/>
          <w:sz w:val="24"/>
        </w:rPr>
        <w:t>31.1</w:t>
      </w:r>
      <w:r>
        <w:rPr>
          <w:rFonts w:hint="eastAsia" w:ascii="宋体" w:hAnsi="宋体" w:cs="宋体"/>
          <w:kern w:val="0"/>
          <w:sz w:val="24"/>
        </w:rPr>
        <w:t>投标人不得干扰招标机构的评标活动，否则将废除其投标。</w:t>
      </w:r>
    </w:p>
    <w:p w14:paraId="1D24ADF2">
      <w:pPr>
        <w:pStyle w:val="3"/>
        <w:spacing w:line="440" w:lineRule="exact"/>
        <w:jc w:val="left"/>
        <w:rPr>
          <w:sz w:val="24"/>
          <w:szCs w:val="24"/>
        </w:rPr>
      </w:pPr>
      <w:bookmarkStart w:id="119" w:name="_Toc135032204"/>
      <w:bookmarkStart w:id="120" w:name="_Toc34297357"/>
      <w:bookmarkStart w:id="121" w:name="_Toc34808261"/>
      <w:r>
        <w:rPr>
          <w:rFonts w:hint="eastAsia"/>
          <w:sz w:val="24"/>
          <w:szCs w:val="24"/>
        </w:rPr>
        <w:t>第六节授予合同</w:t>
      </w:r>
      <w:bookmarkEnd w:id="119"/>
      <w:bookmarkEnd w:id="120"/>
      <w:bookmarkEnd w:id="121"/>
    </w:p>
    <w:p w14:paraId="16CC7105">
      <w:pPr>
        <w:pStyle w:val="3"/>
        <w:spacing w:line="440" w:lineRule="exact"/>
        <w:jc w:val="left"/>
        <w:rPr>
          <w:sz w:val="24"/>
          <w:szCs w:val="24"/>
        </w:rPr>
      </w:pPr>
      <w:bookmarkStart w:id="122" w:name="_Toc34808262"/>
      <w:bookmarkStart w:id="123" w:name="_Toc34297358"/>
      <w:bookmarkStart w:id="124" w:name="_Toc135032205"/>
      <w:r>
        <w:rPr>
          <w:sz w:val="24"/>
          <w:szCs w:val="24"/>
        </w:rPr>
        <w:t>32</w:t>
      </w:r>
      <w:r>
        <w:rPr>
          <w:rFonts w:hint="eastAsia"/>
          <w:sz w:val="24"/>
          <w:szCs w:val="24"/>
        </w:rPr>
        <w:t>、资格最终审查</w:t>
      </w:r>
      <w:bookmarkEnd w:id="122"/>
      <w:bookmarkEnd w:id="123"/>
      <w:bookmarkEnd w:id="124"/>
    </w:p>
    <w:p w14:paraId="18630E8A">
      <w:pPr>
        <w:spacing w:line="440" w:lineRule="exact"/>
        <w:ind w:firstLine="420"/>
        <w:jc w:val="left"/>
        <w:rPr>
          <w:rFonts w:ascii="宋体" w:cs="宋体"/>
          <w:kern w:val="0"/>
          <w:sz w:val="24"/>
        </w:rPr>
      </w:pPr>
      <w:r>
        <w:rPr>
          <w:rFonts w:ascii="宋体" w:hAnsi="宋体" w:cs="宋体"/>
          <w:kern w:val="0"/>
          <w:sz w:val="24"/>
        </w:rPr>
        <w:t>32.1</w:t>
      </w:r>
      <w:r>
        <w:rPr>
          <w:rFonts w:hint="eastAsia" w:ascii="宋体" w:hAnsi="宋体" w:cs="宋体"/>
          <w:kern w:val="0"/>
          <w:sz w:val="24"/>
        </w:rPr>
        <w:t>评标委员会将审查最佳投标人的资信、技术等方面的内容，确定其是否能圆满地履行合同。</w:t>
      </w:r>
    </w:p>
    <w:p w14:paraId="45B037F4">
      <w:pPr>
        <w:pStyle w:val="3"/>
        <w:spacing w:line="440" w:lineRule="exact"/>
        <w:jc w:val="left"/>
        <w:rPr>
          <w:sz w:val="24"/>
          <w:szCs w:val="24"/>
        </w:rPr>
      </w:pPr>
      <w:bookmarkStart w:id="125" w:name="_Toc34808263"/>
      <w:bookmarkStart w:id="126" w:name="_Toc34297359"/>
      <w:bookmarkStart w:id="127" w:name="_Toc135032206"/>
      <w:r>
        <w:rPr>
          <w:sz w:val="24"/>
          <w:szCs w:val="24"/>
        </w:rPr>
        <w:t>33</w:t>
      </w:r>
      <w:r>
        <w:rPr>
          <w:rFonts w:hint="eastAsia"/>
          <w:sz w:val="24"/>
          <w:szCs w:val="24"/>
        </w:rPr>
        <w:t>、接受和拒绝任何或所有投标的权力</w:t>
      </w:r>
      <w:bookmarkEnd w:id="125"/>
      <w:bookmarkEnd w:id="126"/>
      <w:bookmarkEnd w:id="127"/>
    </w:p>
    <w:p w14:paraId="45AFCA27">
      <w:pPr>
        <w:spacing w:line="440" w:lineRule="exact"/>
        <w:ind w:firstLine="420"/>
        <w:jc w:val="left"/>
        <w:rPr>
          <w:rFonts w:ascii="宋体" w:cs="宋体"/>
          <w:kern w:val="0"/>
          <w:sz w:val="24"/>
        </w:rPr>
      </w:pPr>
      <w:r>
        <w:rPr>
          <w:sz w:val="24"/>
        </w:rPr>
        <w:t xml:space="preserve">33.1 </w:t>
      </w:r>
      <w:r>
        <w:rPr>
          <w:rFonts w:hint="eastAsia"/>
          <w:sz w:val="24"/>
        </w:rPr>
        <w:t>在特殊情况下，招标机构和招标人保留在授标之前拒绝任何投标以及宣布招标程序无效或拒绝所有投标的权力，且对受影响的投标人不承担任何责任，也无义务向受影响的投标人解释采取这一行动的理由。</w:t>
      </w:r>
    </w:p>
    <w:p w14:paraId="3DB73A88">
      <w:pPr>
        <w:pStyle w:val="3"/>
        <w:spacing w:line="440" w:lineRule="exact"/>
        <w:jc w:val="left"/>
        <w:rPr>
          <w:sz w:val="24"/>
          <w:szCs w:val="24"/>
        </w:rPr>
      </w:pPr>
      <w:bookmarkStart w:id="128" w:name="_Toc34297360"/>
      <w:bookmarkStart w:id="129" w:name="_Toc34808264"/>
      <w:bookmarkStart w:id="130" w:name="_Toc135032207"/>
      <w:r>
        <w:rPr>
          <w:sz w:val="24"/>
          <w:szCs w:val="24"/>
        </w:rPr>
        <w:t>34</w:t>
      </w:r>
      <w:r>
        <w:rPr>
          <w:rFonts w:hint="eastAsia"/>
          <w:sz w:val="24"/>
          <w:szCs w:val="24"/>
        </w:rPr>
        <w:t>、中标通知</w:t>
      </w:r>
      <w:bookmarkEnd w:id="128"/>
      <w:bookmarkEnd w:id="129"/>
      <w:bookmarkEnd w:id="130"/>
    </w:p>
    <w:p w14:paraId="4DB0D52B">
      <w:pPr>
        <w:spacing w:line="440" w:lineRule="exact"/>
        <w:ind w:firstLine="420"/>
        <w:jc w:val="left"/>
        <w:rPr>
          <w:rFonts w:ascii="宋体" w:hAnsi="宋体" w:cs="宋体"/>
          <w:kern w:val="0"/>
          <w:sz w:val="24"/>
        </w:rPr>
      </w:pPr>
      <w:r>
        <w:rPr>
          <w:rFonts w:ascii="宋体" w:hAnsi="宋体" w:cs="宋体"/>
          <w:kern w:val="0"/>
          <w:sz w:val="24"/>
        </w:rPr>
        <w:t>34.1</w:t>
      </w:r>
      <w:r>
        <w:rPr>
          <w:rFonts w:hint="eastAsia" w:ascii="宋体" w:hAnsi="宋体" w:cs="宋体"/>
          <w:kern w:val="0"/>
          <w:sz w:val="24"/>
        </w:rPr>
        <w:t>本次招标中标人确定后，招标机构将以电子和书面形式发出《中标通知书》，发出时间不超过投标有效期。《中标通知书》一经发出即发生法律效力。</w:t>
      </w:r>
    </w:p>
    <w:p w14:paraId="5B2F980F">
      <w:pPr>
        <w:spacing w:line="440" w:lineRule="exact"/>
        <w:ind w:firstLine="420"/>
        <w:jc w:val="left"/>
        <w:rPr>
          <w:rFonts w:ascii="宋体" w:cs="宋体"/>
          <w:kern w:val="0"/>
          <w:sz w:val="24"/>
        </w:rPr>
      </w:pPr>
      <w:r>
        <w:rPr>
          <w:rFonts w:ascii="宋体" w:hAnsi="宋体" w:cs="宋体"/>
          <w:kern w:val="0"/>
          <w:sz w:val="24"/>
        </w:rPr>
        <w:t>34.2</w:t>
      </w:r>
      <w:r>
        <w:rPr>
          <w:rFonts w:hint="eastAsia" w:ascii="宋体" w:hAnsi="宋体" w:cs="宋体"/>
          <w:kern w:val="0"/>
          <w:sz w:val="24"/>
        </w:rPr>
        <w:t>《中标通知书》是合同的一个组成部分。</w:t>
      </w:r>
    </w:p>
    <w:p w14:paraId="1A2E81D8">
      <w:pPr>
        <w:pStyle w:val="3"/>
        <w:spacing w:line="440" w:lineRule="exact"/>
        <w:jc w:val="left"/>
        <w:rPr>
          <w:sz w:val="24"/>
          <w:szCs w:val="24"/>
        </w:rPr>
      </w:pPr>
      <w:bookmarkStart w:id="131" w:name="_Toc34808265"/>
      <w:bookmarkStart w:id="132" w:name="_Toc34297361"/>
      <w:bookmarkStart w:id="133" w:name="_Toc135032208"/>
      <w:r>
        <w:rPr>
          <w:sz w:val="24"/>
          <w:szCs w:val="24"/>
        </w:rPr>
        <w:t>35</w:t>
      </w:r>
      <w:r>
        <w:rPr>
          <w:rFonts w:hint="eastAsia"/>
          <w:sz w:val="24"/>
          <w:szCs w:val="24"/>
        </w:rPr>
        <w:t>、授予合同时变更数量的权力</w:t>
      </w:r>
      <w:bookmarkEnd w:id="131"/>
      <w:bookmarkEnd w:id="132"/>
      <w:bookmarkEnd w:id="133"/>
    </w:p>
    <w:p w14:paraId="2AA94B8A">
      <w:pPr>
        <w:spacing w:line="440" w:lineRule="exact"/>
        <w:ind w:firstLine="420"/>
        <w:jc w:val="left"/>
        <w:rPr>
          <w:rFonts w:ascii="宋体" w:cs="宋体"/>
          <w:kern w:val="0"/>
          <w:sz w:val="24"/>
        </w:rPr>
      </w:pPr>
      <w:r>
        <w:rPr>
          <w:rFonts w:ascii="宋体" w:hAnsi="宋体" w:cs="宋体"/>
          <w:kern w:val="0"/>
          <w:sz w:val="24"/>
        </w:rPr>
        <w:t>35.1</w:t>
      </w:r>
      <w:r>
        <w:rPr>
          <w:rFonts w:hint="eastAsia" w:ascii="宋体" w:hAnsi="宋体" w:cs="宋体"/>
          <w:kern w:val="0"/>
          <w:sz w:val="24"/>
        </w:rPr>
        <w:t>招标机构在授予合同时有权对“招标标的物一览表”中规定的标的物数量和服务予以一定增加或减少。</w:t>
      </w:r>
    </w:p>
    <w:p w14:paraId="6C8F5E9D">
      <w:pPr>
        <w:spacing w:line="440" w:lineRule="exact"/>
        <w:ind w:firstLine="420"/>
        <w:jc w:val="left"/>
        <w:rPr>
          <w:rFonts w:ascii="宋体" w:cs="宋体"/>
          <w:kern w:val="0"/>
          <w:sz w:val="24"/>
        </w:rPr>
      </w:pPr>
      <w:r>
        <w:rPr>
          <w:rFonts w:ascii="宋体" w:hAnsi="宋体" w:cs="宋体"/>
          <w:kern w:val="0"/>
          <w:sz w:val="24"/>
        </w:rPr>
        <w:t>35.2</w:t>
      </w:r>
      <w:r>
        <w:rPr>
          <w:rFonts w:hint="eastAsia" w:ascii="宋体" w:hAnsi="宋体" w:cs="宋体"/>
          <w:kern w:val="0"/>
          <w:sz w:val="24"/>
        </w:rPr>
        <w:t>调整部分的价格结算，按投标价格的单价计算。</w:t>
      </w:r>
    </w:p>
    <w:p w14:paraId="1332FDE2">
      <w:pPr>
        <w:pStyle w:val="3"/>
        <w:spacing w:line="440" w:lineRule="exact"/>
        <w:jc w:val="left"/>
        <w:rPr>
          <w:sz w:val="24"/>
          <w:szCs w:val="24"/>
        </w:rPr>
      </w:pPr>
      <w:bookmarkStart w:id="134" w:name="_Toc34297362"/>
      <w:bookmarkStart w:id="135" w:name="_Toc34808266"/>
      <w:bookmarkStart w:id="136" w:name="_Toc135032209"/>
      <w:r>
        <w:rPr>
          <w:sz w:val="24"/>
          <w:szCs w:val="24"/>
        </w:rPr>
        <w:t>36</w:t>
      </w:r>
      <w:r>
        <w:rPr>
          <w:rFonts w:hint="eastAsia"/>
          <w:sz w:val="24"/>
          <w:szCs w:val="24"/>
        </w:rPr>
        <w:t>、签订合同</w:t>
      </w:r>
      <w:bookmarkEnd w:id="134"/>
      <w:bookmarkEnd w:id="135"/>
      <w:bookmarkEnd w:id="136"/>
    </w:p>
    <w:p w14:paraId="41786AF2">
      <w:pPr>
        <w:spacing w:line="440" w:lineRule="exact"/>
        <w:ind w:firstLine="420"/>
        <w:jc w:val="left"/>
        <w:rPr>
          <w:rFonts w:ascii="宋体" w:cs="宋体"/>
          <w:kern w:val="0"/>
          <w:sz w:val="24"/>
        </w:rPr>
      </w:pPr>
      <w:r>
        <w:rPr>
          <w:rFonts w:ascii="宋体" w:hAnsi="宋体" w:cs="宋体"/>
          <w:kern w:val="0"/>
          <w:sz w:val="24"/>
        </w:rPr>
        <w:t>36.1</w:t>
      </w:r>
      <w:r>
        <w:rPr>
          <w:rFonts w:hint="eastAsia" w:ascii="宋体" w:hAnsi="宋体" w:cs="宋体"/>
          <w:kern w:val="0"/>
          <w:sz w:val="24"/>
        </w:rPr>
        <w:t>招标文件、中标方的投标文件及其澄清文件等，均为签订经济合同的依据。</w:t>
      </w:r>
    </w:p>
    <w:p w14:paraId="606F9905">
      <w:pPr>
        <w:spacing w:line="440" w:lineRule="exact"/>
        <w:ind w:firstLine="420"/>
        <w:jc w:val="left"/>
        <w:rPr>
          <w:rFonts w:ascii="宋体" w:cs="宋体"/>
          <w:kern w:val="0"/>
          <w:sz w:val="24"/>
        </w:rPr>
      </w:pPr>
      <w:r>
        <w:rPr>
          <w:rFonts w:ascii="宋体" w:hAnsi="宋体" w:cs="宋体"/>
          <w:kern w:val="0"/>
          <w:sz w:val="24"/>
        </w:rPr>
        <w:t>36.2</w:t>
      </w:r>
      <w:r>
        <w:rPr>
          <w:rFonts w:hint="eastAsia" w:ascii="宋体" w:hAnsi="宋体" w:cs="宋体"/>
          <w:kern w:val="0"/>
          <w:sz w:val="24"/>
        </w:rPr>
        <w:t>中标方应按《中标通知书》指定的时间、地点与指定人签订合同。不按规定签订合同、不遵守招标文件或投标书的要约、承诺，擅自修改报价或借故拖延、拒签合同者，招标机构将取消该单位的中标权，同时没收其投标保证金，另选其他投标人中标或重新组织招标。</w:t>
      </w:r>
    </w:p>
    <w:p w14:paraId="1CCC3F36">
      <w:pPr>
        <w:spacing w:line="440" w:lineRule="exact"/>
        <w:ind w:firstLine="420"/>
        <w:jc w:val="left"/>
        <w:rPr>
          <w:rFonts w:ascii="宋体" w:cs="宋体"/>
          <w:kern w:val="0"/>
          <w:sz w:val="24"/>
        </w:rPr>
      </w:pPr>
      <w:r>
        <w:rPr>
          <w:rFonts w:ascii="宋体" w:hAnsi="宋体" w:cs="宋体"/>
          <w:kern w:val="0"/>
          <w:sz w:val="24"/>
        </w:rPr>
        <w:t>36.3</w:t>
      </w:r>
      <w:r>
        <w:rPr>
          <w:rFonts w:hint="eastAsia" w:ascii="宋体" w:hAnsi="宋体" w:cs="宋体"/>
          <w:kern w:val="0"/>
          <w:sz w:val="24"/>
        </w:rPr>
        <w:t>签约后，招标结束。招标机构对招标结果不负责解释。</w:t>
      </w:r>
    </w:p>
    <w:p w14:paraId="39CFA8C7">
      <w:pPr>
        <w:pStyle w:val="3"/>
        <w:spacing w:line="440" w:lineRule="exact"/>
        <w:jc w:val="left"/>
        <w:rPr>
          <w:sz w:val="24"/>
          <w:szCs w:val="24"/>
        </w:rPr>
      </w:pPr>
      <w:bookmarkStart w:id="137" w:name="_Toc410904207"/>
      <w:bookmarkStart w:id="138" w:name="_Toc135032210"/>
      <w:r>
        <w:rPr>
          <w:sz w:val="24"/>
          <w:szCs w:val="24"/>
        </w:rPr>
        <w:t>37</w:t>
      </w:r>
      <w:r>
        <w:rPr>
          <w:rFonts w:hint="eastAsia"/>
          <w:sz w:val="24"/>
          <w:szCs w:val="24"/>
        </w:rPr>
        <w:t>、中标服务费及交易服务费的收费标准</w:t>
      </w:r>
      <w:bookmarkEnd w:id="137"/>
      <w:bookmarkEnd w:id="138"/>
    </w:p>
    <w:p w14:paraId="3B0F34FC">
      <w:pPr>
        <w:pStyle w:val="30"/>
        <w:snapToGrid w:val="0"/>
        <w:spacing w:line="440" w:lineRule="exact"/>
        <w:ind w:firstLine="480" w:firstLineChars="200"/>
        <w:rPr>
          <w:sz w:val="24"/>
        </w:rPr>
      </w:pPr>
      <w:r>
        <w:rPr>
          <w:sz w:val="24"/>
        </w:rPr>
        <w:t>37.1中标方须向招标代理机构按如下标准和规定交纳中标服务费。中标服务费的交纳方式：在</w:t>
      </w:r>
      <w:r>
        <w:rPr>
          <w:rFonts w:hint="eastAsia"/>
          <w:sz w:val="24"/>
        </w:rPr>
        <w:t>收到中标通知书、与招标人签订合同前，</w:t>
      </w:r>
      <w:r>
        <w:rPr>
          <w:sz w:val="24"/>
        </w:rPr>
        <w:t>向招标代理机构直接交纳中标服务费。</w:t>
      </w:r>
    </w:p>
    <w:p w14:paraId="6B88AABC">
      <w:pPr>
        <w:spacing w:line="440" w:lineRule="exact"/>
        <w:jc w:val="left"/>
        <w:rPr>
          <w:b/>
          <w:sz w:val="24"/>
        </w:rPr>
      </w:pPr>
      <w:r>
        <w:rPr>
          <w:rFonts w:hint="eastAsia"/>
          <w:b/>
          <w:sz w:val="24"/>
        </w:rPr>
        <w:t>中标服务收费标准</w:t>
      </w:r>
    </w:p>
    <w:p w14:paraId="32A31F15">
      <w:pPr>
        <w:spacing w:line="440" w:lineRule="exact"/>
        <w:ind w:left="630" w:hanging="630"/>
        <w:jc w:val="left"/>
        <w:rPr>
          <w:rFonts w:ascii="宋体" w:hAnsi="宋体"/>
          <w:sz w:val="24"/>
        </w:rPr>
      </w:pP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80"/>
        <w:gridCol w:w="5019"/>
      </w:tblGrid>
      <w:tr w14:paraId="1977AE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7067154D">
            <w:pPr>
              <w:spacing w:line="440" w:lineRule="exact"/>
              <w:jc w:val="center"/>
              <w:rPr>
                <w:rFonts w:ascii="宋体" w:hAnsi="宋体"/>
                <w:b/>
                <w:sz w:val="24"/>
              </w:rPr>
            </w:pPr>
            <w:r>
              <w:rPr>
                <w:sz w:val="24"/>
              </w:rPr>
              <w:pict>
                <v:line id="直接连接符 161" o:spid="_x0000_s1027" o:spt="20" style="position:absolute;left:0pt;margin-left:-9pt;margin-top:-0.5pt;height:0pt;width:0pt;z-index:251659264;mso-width-relative:page;mso-height-relative:page;" coordsize="21600,21600" o:gfxdata="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bR3vb&#10;0gAAAAkBAAAPAAAAAAAAAAEAIAAAACIAAABkcnMvZG93bnJldi54bWxQSwECFAAUAAAACACHTuJA&#10;+baGJu4BAADkAwAADgAAAAAAAAABACAAAAAhAQAAZHJzL2Uyb0RvYy54bWxQSwUGAAAAAAYABgBZ&#10;AQAAgQUAAAAA&#10;">
                  <v:path arrowok="t"/>
                  <v:fill focussize="0,0"/>
                  <v:stroke/>
                  <v:imagedata o:title=""/>
                  <o:lock v:ext="edit"/>
                </v:line>
              </w:pict>
            </w:r>
            <w:r>
              <w:rPr>
                <w:rFonts w:hint="eastAsia" w:ascii="宋体" w:hAnsi="宋体"/>
                <w:b/>
                <w:sz w:val="24"/>
              </w:rPr>
              <w:t>中标金额（万元）</w:t>
            </w:r>
          </w:p>
        </w:tc>
        <w:tc>
          <w:tcPr>
            <w:tcW w:w="5019" w:type="dxa"/>
            <w:tcBorders>
              <w:top w:val="single" w:color="auto" w:sz="4" w:space="0"/>
              <w:left w:val="single" w:color="auto" w:sz="4" w:space="0"/>
              <w:bottom w:val="single" w:color="auto" w:sz="4" w:space="0"/>
              <w:right w:val="single" w:color="auto" w:sz="4" w:space="0"/>
            </w:tcBorders>
            <w:vAlign w:val="center"/>
          </w:tcPr>
          <w:p w14:paraId="6D82B193">
            <w:pPr>
              <w:spacing w:line="440" w:lineRule="exact"/>
              <w:jc w:val="center"/>
              <w:rPr>
                <w:rFonts w:ascii="宋体" w:hAnsi="宋体"/>
                <w:b/>
                <w:sz w:val="24"/>
              </w:rPr>
            </w:pPr>
            <w:r>
              <w:rPr>
                <w:rFonts w:hint="eastAsia" w:ascii="宋体" w:hAnsi="宋体"/>
                <w:b/>
                <w:sz w:val="24"/>
              </w:rPr>
              <w:t>费率</w:t>
            </w:r>
          </w:p>
        </w:tc>
      </w:tr>
      <w:tr w14:paraId="05AC99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4000FDC1">
            <w:pPr>
              <w:spacing w:line="440" w:lineRule="exact"/>
              <w:jc w:val="center"/>
              <w:rPr>
                <w:rFonts w:ascii="宋体" w:hAnsi="宋体"/>
                <w:sz w:val="24"/>
              </w:rPr>
            </w:pPr>
            <w:r>
              <w:rPr>
                <w:rFonts w:ascii="宋体" w:hAnsi="宋体"/>
                <w:sz w:val="24"/>
              </w:rPr>
              <w:t>100以下</w:t>
            </w:r>
          </w:p>
        </w:tc>
        <w:tc>
          <w:tcPr>
            <w:tcW w:w="5019" w:type="dxa"/>
            <w:tcBorders>
              <w:top w:val="single" w:color="auto" w:sz="4" w:space="0"/>
              <w:left w:val="single" w:color="auto" w:sz="4" w:space="0"/>
              <w:bottom w:val="single" w:color="auto" w:sz="4" w:space="0"/>
              <w:right w:val="single" w:color="auto" w:sz="4" w:space="0"/>
            </w:tcBorders>
            <w:vAlign w:val="center"/>
          </w:tcPr>
          <w:p w14:paraId="5FB0A162">
            <w:pPr>
              <w:spacing w:line="440" w:lineRule="exact"/>
              <w:jc w:val="center"/>
              <w:rPr>
                <w:rFonts w:ascii="宋体" w:hAnsi="宋体"/>
                <w:sz w:val="24"/>
              </w:rPr>
            </w:pPr>
            <w:r>
              <w:rPr>
                <w:rFonts w:ascii="宋体" w:hAnsi="宋体"/>
                <w:sz w:val="24"/>
              </w:rPr>
              <w:t>0.75%</w:t>
            </w:r>
          </w:p>
        </w:tc>
      </w:tr>
      <w:tr w14:paraId="597BA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6F5A7B40">
            <w:pPr>
              <w:spacing w:line="440" w:lineRule="exact"/>
              <w:jc w:val="center"/>
              <w:rPr>
                <w:rFonts w:ascii="宋体" w:hAnsi="宋体"/>
                <w:sz w:val="24"/>
              </w:rPr>
            </w:pPr>
            <w:r>
              <w:rPr>
                <w:rFonts w:ascii="宋体" w:hAnsi="宋体"/>
                <w:sz w:val="24"/>
              </w:rPr>
              <w:t>100-500</w:t>
            </w:r>
          </w:p>
        </w:tc>
        <w:tc>
          <w:tcPr>
            <w:tcW w:w="5019" w:type="dxa"/>
            <w:tcBorders>
              <w:top w:val="single" w:color="auto" w:sz="4" w:space="0"/>
              <w:left w:val="single" w:color="auto" w:sz="4" w:space="0"/>
              <w:bottom w:val="single" w:color="auto" w:sz="4" w:space="0"/>
              <w:right w:val="single" w:color="auto" w:sz="4" w:space="0"/>
            </w:tcBorders>
            <w:vAlign w:val="center"/>
          </w:tcPr>
          <w:p w14:paraId="2CB57186">
            <w:pPr>
              <w:spacing w:line="440" w:lineRule="exact"/>
              <w:jc w:val="center"/>
              <w:rPr>
                <w:rFonts w:ascii="宋体" w:hAnsi="宋体"/>
                <w:sz w:val="24"/>
              </w:rPr>
            </w:pPr>
            <w:r>
              <w:rPr>
                <w:rFonts w:ascii="宋体" w:hAnsi="宋体"/>
                <w:sz w:val="24"/>
              </w:rPr>
              <w:t>0.55%</w:t>
            </w:r>
          </w:p>
        </w:tc>
      </w:tr>
      <w:tr w14:paraId="73255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0D9B345C">
            <w:pPr>
              <w:spacing w:line="440" w:lineRule="exact"/>
              <w:jc w:val="center"/>
              <w:rPr>
                <w:rFonts w:ascii="宋体" w:hAnsi="宋体"/>
                <w:sz w:val="24"/>
              </w:rPr>
            </w:pPr>
            <w:r>
              <w:rPr>
                <w:rFonts w:ascii="宋体" w:hAnsi="宋体"/>
                <w:sz w:val="24"/>
              </w:rPr>
              <w:t>500-1000</w:t>
            </w:r>
          </w:p>
        </w:tc>
        <w:tc>
          <w:tcPr>
            <w:tcW w:w="5019" w:type="dxa"/>
            <w:tcBorders>
              <w:top w:val="single" w:color="auto" w:sz="4" w:space="0"/>
              <w:left w:val="single" w:color="auto" w:sz="4" w:space="0"/>
              <w:bottom w:val="single" w:color="auto" w:sz="4" w:space="0"/>
              <w:right w:val="single" w:color="auto" w:sz="4" w:space="0"/>
            </w:tcBorders>
            <w:vAlign w:val="center"/>
          </w:tcPr>
          <w:p w14:paraId="4411CC36">
            <w:pPr>
              <w:spacing w:line="440" w:lineRule="exact"/>
              <w:jc w:val="center"/>
              <w:rPr>
                <w:rFonts w:ascii="宋体" w:hAnsi="宋体"/>
                <w:sz w:val="24"/>
              </w:rPr>
            </w:pPr>
            <w:r>
              <w:rPr>
                <w:rFonts w:ascii="宋体" w:hAnsi="宋体"/>
                <w:sz w:val="24"/>
              </w:rPr>
              <w:t>0.4%</w:t>
            </w:r>
          </w:p>
        </w:tc>
      </w:tr>
      <w:tr w14:paraId="65FB0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39788CEF">
            <w:pPr>
              <w:spacing w:line="440" w:lineRule="exact"/>
              <w:jc w:val="center"/>
              <w:rPr>
                <w:rFonts w:ascii="宋体" w:hAnsi="宋体"/>
                <w:sz w:val="24"/>
              </w:rPr>
            </w:pPr>
            <w:r>
              <w:rPr>
                <w:rFonts w:ascii="宋体" w:hAnsi="宋体"/>
                <w:sz w:val="24"/>
              </w:rPr>
              <w:t>1000-5000</w:t>
            </w:r>
          </w:p>
        </w:tc>
        <w:tc>
          <w:tcPr>
            <w:tcW w:w="5019" w:type="dxa"/>
            <w:tcBorders>
              <w:top w:val="single" w:color="auto" w:sz="4" w:space="0"/>
              <w:left w:val="single" w:color="auto" w:sz="4" w:space="0"/>
              <w:bottom w:val="single" w:color="auto" w:sz="4" w:space="0"/>
              <w:right w:val="single" w:color="auto" w:sz="4" w:space="0"/>
            </w:tcBorders>
            <w:vAlign w:val="center"/>
          </w:tcPr>
          <w:p w14:paraId="458A54EE">
            <w:pPr>
              <w:spacing w:line="440" w:lineRule="exact"/>
              <w:jc w:val="center"/>
              <w:rPr>
                <w:rFonts w:ascii="宋体" w:hAnsi="宋体"/>
                <w:sz w:val="24"/>
              </w:rPr>
            </w:pPr>
            <w:r>
              <w:rPr>
                <w:rFonts w:ascii="宋体" w:hAnsi="宋体"/>
                <w:sz w:val="24"/>
              </w:rPr>
              <w:t>0.25%</w:t>
            </w:r>
          </w:p>
        </w:tc>
      </w:tr>
      <w:tr w14:paraId="0DA25F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3231E790">
            <w:pPr>
              <w:spacing w:line="440" w:lineRule="exact"/>
              <w:jc w:val="center"/>
              <w:rPr>
                <w:rFonts w:ascii="宋体" w:hAnsi="宋体"/>
                <w:sz w:val="24"/>
              </w:rPr>
            </w:pPr>
            <w:r>
              <w:rPr>
                <w:rFonts w:ascii="宋体" w:hAnsi="宋体"/>
                <w:sz w:val="24"/>
              </w:rPr>
              <w:t>5000-10000</w:t>
            </w:r>
          </w:p>
        </w:tc>
        <w:tc>
          <w:tcPr>
            <w:tcW w:w="5019" w:type="dxa"/>
            <w:tcBorders>
              <w:top w:val="single" w:color="auto" w:sz="4" w:space="0"/>
              <w:left w:val="single" w:color="auto" w:sz="4" w:space="0"/>
              <w:bottom w:val="single" w:color="auto" w:sz="4" w:space="0"/>
              <w:right w:val="single" w:color="auto" w:sz="4" w:space="0"/>
            </w:tcBorders>
            <w:vAlign w:val="center"/>
          </w:tcPr>
          <w:p w14:paraId="7EDBB787">
            <w:pPr>
              <w:spacing w:line="440" w:lineRule="exact"/>
              <w:jc w:val="center"/>
              <w:rPr>
                <w:rFonts w:ascii="宋体" w:hAnsi="宋体"/>
                <w:sz w:val="24"/>
              </w:rPr>
            </w:pPr>
            <w:r>
              <w:rPr>
                <w:rFonts w:ascii="宋体" w:hAnsi="宋体"/>
                <w:sz w:val="24"/>
              </w:rPr>
              <w:t>0.125%</w:t>
            </w:r>
          </w:p>
        </w:tc>
      </w:tr>
      <w:tr w14:paraId="0AFF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67490A98">
            <w:pPr>
              <w:spacing w:line="440" w:lineRule="exact"/>
              <w:jc w:val="center"/>
              <w:rPr>
                <w:rFonts w:ascii="宋体" w:hAnsi="宋体"/>
                <w:sz w:val="24"/>
              </w:rPr>
            </w:pPr>
            <w:r>
              <w:rPr>
                <w:rFonts w:ascii="宋体" w:hAnsi="宋体"/>
                <w:sz w:val="24"/>
              </w:rPr>
              <w:t>10000-100000</w:t>
            </w:r>
          </w:p>
        </w:tc>
        <w:tc>
          <w:tcPr>
            <w:tcW w:w="5019" w:type="dxa"/>
            <w:tcBorders>
              <w:top w:val="single" w:color="auto" w:sz="4" w:space="0"/>
              <w:left w:val="single" w:color="auto" w:sz="4" w:space="0"/>
              <w:bottom w:val="single" w:color="auto" w:sz="4" w:space="0"/>
              <w:right w:val="single" w:color="auto" w:sz="4" w:space="0"/>
            </w:tcBorders>
            <w:vAlign w:val="center"/>
          </w:tcPr>
          <w:p w14:paraId="681C07EC">
            <w:pPr>
              <w:spacing w:line="440" w:lineRule="exact"/>
              <w:jc w:val="center"/>
              <w:rPr>
                <w:rFonts w:ascii="宋体" w:hAnsi="宋体"/>
                <w:sz w:val="24"/>
              </w:rPr>
            </w:pPr>
            <w:r>
              <w:rPr>
                <w:rFonts w:ascii="宋体" w:hAnsi="宋体"/>
                <w:sz w:val="24"/>
              </w:rPr>
              <w:t>0.025%</w:t>
            </w:r>
          </w:p>
        </w:tc>
      </w:tr>
      <w:tr w14:paraId="15B96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80" w:type="dxa"/>
            <w:tcBorders>
              <w:top w:val="single" w:color="auto" w:sz="4" w:space="0"/>
              <w:left w:val="single" w:color="auto" w:sz="4" w:space="0"/>
              <w:bottom w:val="single" w:color="auto" w:sz="4" w:space="0"/>
              <w:right w:val="single" w:color="auto" w:sz="4" w:space="0"/>
            </w:tcBorders>
            <w:vAlign w:val="center"/>
          </w:tcPr>
          <w:p w14:paraId="2AE06D37">
            <w:pPr>
              <w:spacing w:line="440" w:lineRule="exact"/>
              <w:jc w:val="center"/>
              <w:rPr>
                <w:rFonts w:ascii="宋体" w:hAnsi="宋体"/>
                <w:sz w:val="24"/>
              </w:rPr>
            </w:pPr>
            <w:r>
              <w:rPr>
                <w:rFonts w:ascii="宋体" w:hAnsi="宋体"/>
                <w:sz w:val="24"/>
              </w:rPr>
              <w:t>100000以上</w:t>
            </w:r>
          </w:p>
        </w:tc>
        <w:tc>
          <w:tcPr>
            <w:tcW w:w="5019" w:type="dxa"/>
            <w:tcBorders>
              <w:top w:val="single" w:color="auto" w:sz="4" w:space="0"/>
              <w:left w:val="single" w:color="auto" w:sz="4" w:space="0"/>
              <w:bottom w:val="single" w:color="auto" w:sz="4" w:space="0"/>
              <w:right w:val="single" w:color="auto" w:sz="4" w:space="0"/>
            </w:tcBorders>
            <w:vAlign w:val="center"/>
          </w:tcPr>
          <w:p w14:paraId="0FC7CAA2">
            <w:pPr>
              <w:spacing w:line="440" w:lineRule="exact"/>
              <w:jc w:val="center"/>
              <w:rPr>
                <w:rFonts w:ascii="宋体" w:hAnsi="宋体"/>
                <w:sz w:val="24"/>
              </w:rPr>
            </w:pPr>
            <w:r>
              <w:rPr>
                <w:rFonts w:ascii="宋体" w:hAnsi="宋体"/>
                <w:sz w:val="24"/>
              </w:rPr>
              <w:t>0.005%</w:t>
            </w:r>
          </w:p>
        </w:tc>
      </w:tr>
    </w:tbl>
    <w:p w14:paraId="6ACA7294">
      <w:pPr>
        <w:spacing w:line="440" w:lineRule="exact"/>
        <w:rPr>
          <w:rFonts w:ascii="宋体" w:hAnsi="宋体"/>
          <w:sz w:val="24"/>
        </w:rPr>
      </w:pPr>
    </w:p>
    <w:p w14:paraId="2B64A8D9">
      <w:pPr>
        <w:spacing w:line="440" w:lineRule="exact"/>
        <w:ind w:left="630" w:hanging="630"/>
        <w:rPr>
          <w:rFonts w:ascii="宋体" w:hAnsi="宋体"/>
          <w:sz w:val="24"/>
        </w:rPr>
      </w:pPr>
      <w:r>
        <w:rPr>
          <w:rFonts w:hint="eastAsia" w:ascii="宋体" w:hAnsi="宋体"/>
          <w:sz w:val="24"/>
        </w:rPr>
        <w:t>注：中标服务费按差额定率累进法计算收取。例如：某标的物总金额为</w:t>
      </w:r>
      <w:r>
        <w:rPr>
          <w:rFonts w:ascii="宋体" w:hAnsi="宋体"/>
          <w:sz w:val="24"/>
        </w:rPr>
        <w:t>1000万元，计算中标服务收费额如下：</w:t>
      </w:r>
    </w:p>
    <w:p w14:paraId="214F0D45">
      <w:pPr>
        <w:spacing w:line="440" w:lineRule="exact"/>
        <w:jc w:val="center"/>
        <w:rPr>
          <w:rFonts w:ascii="宋体" w:hAnsi="宋体"/>
          <w:sz w:val="24"/>
        </w:rPr>
      </w:pPr>
      <w:r>
        <w:rPr>
          <w:rFonts w:ascii="宋体" w:hAnsi="宋体"/>
          <w:sz w:val="24"/>
        </w:rPr>
        <w:t>100万元×0.75%=0.75万元</w:t>
      </w:r>
    </w:p>
    <w:p w14:paraId="3AFC92E4">
      <w:pPr>
        <w:spacing w:line="440" w:lineRule="exact"/>
        <w:jc w:val="center"/>
        <w:rPr>
          <w:rFonts w:ascii="宋体" w:hAnsi="宋体"/>
          <w:sz w:val="24"/>
        </w:rPr>
      </w:pPr>
      <w:r>
        <w:rPr>
          <w:rFonts w:hint="eastAsia" w:ascii="宋体" w:hAnsi="宋体"/>
          <w:sz w:val="24"/>
        </w:rPr>
        <w:t>（</w:t>
      </w:r>
      <w:r>
        <w:rPr>
          <w:rFonts w:ascii="宋体" w:hAnsi="宋体"/>
          <w:sz w:val="24"/>
        </w:rPr>
        <w:t>500-100）万元×0.55%=2.2万元</w:t>
      </w:r>
    </w:p>
    <w:p w14:paraId="46DC8C5E">
      <w:pPr>
        <w:spacing w:line="440" w:lineRule="exact"/>
        <w:jc w:val="center"/>
        <w:rPr>
          <w:rFonts w:ascii="宋体" w:hAnsi="宋体"/>
          <w:sz w:val="24"/>
        </w:rPr>
      </w:pPr>
      <w:r>
        <w:rPr>
          <w:rFonts w:hint="eastAsia" w:ascii="宋体" w:hAnsi="宋体"/>
          <w:sz w:val="24"/>
        </w:rPr>
        <w:t>（</w:t>
      </w:r>
      <w:r>
        <w:rPr>
          <w:rFonts w:ascii="宋体" w:hAnsi="宋体"/>
          <w:sz w:val="24"/>
        </w:rPr>
        <w:t>1000-500）×0.4%=2万元</w:t>
      </w:r>
    </w:p>
    <w:p w14:paraId="1C4F0187">
      <w:pPr>
        <w:spacing w:line="440" w:lineRule="exact"/>
        <w:jc w:val="center"/>
        <w:rPr>
          <w:rFonts w:ascii="宋体" w:hAnsi="宋体"/>
          <w:sz w:val="24"/>
        </w:rPr>
      </w:pPr>
      <w:r>
        <w:rPr>
          <w:rFonts w:hint="eastAsia" w:ascii="宋体" w:hAnsi="宋体"/>
          <w:sz w:val="24"/>
        </w:rPr>
        <w:t>合计收费</w:t>
      </w:r>
      <w:r>
        <w:rPr>
          <w:rFonts w:ascii="宋体" w:hAnsi="宋体"/>
          <w:sz w:val="24"/>
        </w:rPr>
        <w:t>=0.75+2.2+2=4.95（万元）</w:t>
      </w:r>
    </w:p>
    <w:p w14:paraId="57159A22">
      <w:pPr>
        <w:spacing w:line="440" w:lineRule="exact"/>
        <w:jc w:val="center"/>
        <w:rPr>
          <w:rFonts w:ascii="宋体" w:hAnsi="宋体"/>
          <w:sz w:val="24"/>
        </w:rPr>
      </w:pPr>
    </w:p>
    <w:p w14:paraId="193DFD3B">
      <w:pPr>
        <w:snapToGrid w:val="0"/>
        <w:spacing w:line="440" w:lineRule="exact"/>
        <w:jc w:val="left"/>
        <w:rPr>
          <w:rFonts w:ascii="宋体" w:hAnsi="宋体"/>
          <w:sz w:val="24"/>
        </w:rPr>
      </w:pPr>
      <w:r>
        <w:rPr>
          <w:rFonts w:ascii="宋体" w:hAnsi="宋体"/>
          <w:sz w:val="24"/>
        </w:rPr>
        <w:t xml:space="preserve">37.2 </w:t>
      </w:r>
      <w:r>
        <w:rPr>
          <w:rFonts w:hint="eastAsia" w:ascii="宋体" w:hAnsi="宋体"/>
          <w:sz w:val="24"/>
        </w:rPr>
        <w:t>本招标项目“公共资源交易中心工程建设项目交易服务费”由中标单位根据“衢发改价</w:t>
      </w:r>
      <w:r>
        <w:rPr>
          <w:rFonts w:ascii="宋体" w:hAnsi="宋体"/>
          <w:sz w:val="24"/>
        </w:rPr>
        <w:t>[2018]14号”向</w:t>
      </w:r>
      <w:r>
        <w:rPr>
          <w:rFonts w:hint="eastAsia" w:ascii="宋体" w:hAnsi="宋体"/>
          <w:sz w:val="24"/>
        </w:rPr>
        <w:t>衢州市市县一体公共资源交易平台</w:t>
      </w:r>
      <w:r>
        <w:rPr>
          <w:rFonts w:ascii="宋体" w:hAnsi="宋体"/>
          <w:sz w:val="24"/>
        </w:rPr>
        <w:t>缴纳，收费标准如下（如有调整，则按开标时的</w:t>
      </w:r>
      <w:r>
        <w:rPr>
          <w:rFonts w:hint="eastAsia" w:ascii="宋体" w:hAnsi="宋体"/>
          <w:sz w:val="24"/>
        </w:rPr>
        <w:t>衢州市市县一体公共资源交易平台</w:t>
      </w:r>
      <w:r>
        <w:rPr>
          <w:rFonts w:ascii="宋体" w:hAnsi="宋体"/>
          <w:sz w:val="24"/>
        </w:rPr>
        <w:t>规定执行）：</w:t>
      </w:r>
    </w:p>
    <w:tbl>
      <w:tblPr>
        <w:tblStyle w:val="76"/>
        <w:tblW w:w="8472" w:type="dxa"/>
        <w:tblInd w:w="-1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4361"/>
        <w:gridCol w:w="4111"/>
      </w:tblGrid>
      <w:tr w14:paraId="0E52EF4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single" w:color="auto" w:sz="8" w:space="0"/>
              <w:left w:val="single" w:color="auto" w:sz="8" w:space="0"/>
              <w:bottom w:val="single" w:color="auto" w:sz="8" w:space="0"/>
              <w:right w:val="single" w:color="auto" w:sz="8" w:space="0"/>
            </w:tcBorders>
            <w:tcMar>
              <w:left w:w="108" w:type="dxa"/>
              <w:right w:w="108" w:type="dxa"/>
            </w:tcMar>
            <w:vAlign w:val="center"/>
          </w:tcPr>
          <w:p w14:paraId="25995632">
            <w:pPr>
              <w:spacing w:line="440" w:lineRule="exact"/>
              <w:jc w:val="left"/>
              <w:rPr>
                <w:rFonts w:ascii="宋体" w:hAnsi="宋体"/>
                <w:sz w:val="24"/>
              </w:rPr>
            </w:pPr>
            <w:r>
              <w:rPr>
                <w:rFonts w:hint="eastAsia" w:ascii="宋体" w:hAnsi="宋体"/>
                <w:sz w:val="24"/>
              </w:rPr>
              <w:t>中标价</w:t>
            </w:r>
          </w:p>
        </w:tc>
        <w:tc>
          <w:tcPr>
            <w:tcW w:w="4111" w:type="dxa"/>
            <w:tcBorders>
              <w:top w:val="single" w:color="auto" w:sz="8" w:space="0"/>
              <w:left w:val="nil"/>
              <w:bottom w:val="single" w:color="auto" w:sz="8" w:space="0"/>
              <w:right w:val="single" w:color="auto" w:sz="8" w:space="0"/>
            </w:tcBorders>
            <w:tcMar>
              <w:left w:w="108" w:type="dxa"/>
              <w:right w:w="108" w:type="dxa"/>
            </w:tcMar>
            <w:vAlign w:val="center"/>
          </w:tcPr>
          <w:p w14:paraId="5B4AB053">
            <w:pPr>
              <w:spacing w:line="440" w:lineRule="exact"/>
              <w:jc w:val="left"/>
              <w:rPr>
                <w:rFonts w:ascii="宋体" w:hAnsi="宋体"/>
                <w:sz w:val="24"/>
              </w:rPr>
            </w:pPr>
            <w:r>
              <w:rPr>
                <w:rFonts w:hint="eastAsia" w:ascii="宋体" w:hAnsi="宋体"/>
                <w:sz w:val="24"/>
              </w:rPr>
              <w:t>分档收费标准（元）</w:t>
            </w:r>
          </w:p>
        </w:tc>
      </w:tr>
      <w:tr w14:paraId="0DC011A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21DCA255">
            <w:pPr>
              <w:spacing w:line="440" w:lineRule="exact"/>
              <w:jc w:val="left"/>
              <w:rPr>
                <w:rFonts w:ascii="宋体" w:hAnsi="宋体"/>
                <w:sz w:val="24"/>
              </w:rPr>
            </w:pPr>
            <w:r>
              <w:rPr>
                <w:rFonts w:ascii="宋体" w:hAnsi="宋体"/>
                <w:sz w:val="24"/>
              </w:rPr>
              <w:t>200</w:t>
            </w:r>
            <w:r>
              <w:rPr>
                <w:rFonts w:hint="eastAsia" w:ascii="宋体" w:hAnsi="宋体"/>
                <w:sz w:val="24"/>
              </w:rPr>
              <w:t>万（含）以下</w:t>
            </w:r>
          </w:p>
        </w:tc>
        <w:tc>
          <w:tcPr>
            <w:tcW w:w="4111" w:type="dxa"/>
            <w:tcBorders>
              <w:top w:val="nil"/>
              <w:left w:val="nil"/>
              <w:bottom w:val="single" w:color="auto" w:sz="8" w:space="0"/>
              <w:right w:val="single" w:color="auto" w:sz="8" w:space="0"/>
            </w:tcBorders>
            <w:tcMar>
              <w:left w:w="108" w:type="dxa"/>
              <w:right w:w="108" w:type="dxa"/>
            </w:tcMar>
            <w:vAlign w:val="center"/>
          </w:tcPr>
          <w:p w14:paraId="4CE341F8">
            <w:pPr>
              <w:spacing w:line="440" w:lineRule="exact"/>
              <w:jc w:val="left"/>
              <w:rPr>
                <w:rFonts w:ascii="宋体" w:hAnsi="宋体"/>
                <w:sz w:val="24"/>
              </w:rPr>
            </w:pPr>
            <w:r>
              <w:rPr>
                <w:rFonts w:ascii="宋体" w:hAnsi="宋体"/>
                <w:sz w:val="24"/>
              </w:rPr>
              <w:t>1600</w:t>
            </w:r>
          </w:p>
        </w:tc>
      </w:tr>
      <w:tr w14:paraId="474E597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012CE65B">
            <w:pPr>
              <w:spacing w:line="440" w:lineRule="exact"/>
              <w:jc w:val="left"/>
              <w:rPr>
                <w:rFonts w:ascii="宋体" w:hAnsi="宋体"/>
                <w:sz w:val="24"/>
              </w:rPr>
            </w:pPr>
            <w:r>
              <w:rPr>
                <w:rFonts w:ascii="宋体" w:hAnsi="宋体"/>
                <w:sz w:val="24"/>
              </w:rPr>
              <w:t>200万-500万（含）</w:t>
            </w:r>
          </w:p>
        </w:tc>
        <w:tc>
          <w:tcPr>
            <w:tcW w:w="4111" w:type="dxa"/>
            <w:tcBorders>
              <w:top w:val="nil"/>
              <w:left w:val="nil"/>
              <w:bottom w:val="single" w:color="auto" w:sz="8" w:space="0"/>
              <w:right w:val="single" w:color="auto" w:sz="8" w:space="0"/>
            </w:tcBorders>
            <w:tcMar>
              <w:left w:w="108" w:type="dxa"/>
              <w:right w:w="108" w:type="dxa"/>
            </w:tcMar>
            <w:vAlign w:val="center"/>
          </w:tcPr>
          <w:p w14:paraId="295BF590">
            <w:pPr>
              <w:spacing w:line="440" w:lineRule="exact"/>
              <w:jc w:val="left"/>
              <w:rPr>
                <w:rFonts w:ascii="宋体" w:hAnsi="宋体"/>
                <w:sz w:val="24"/>
              </w:rPr>
            </w:pPr>
            <w:r>
              <w:rPr>
                <w:rFonts w:ascii="宋体" w:hAnsi="宋体"/>
                <w:sz w:val="24"/>
              </w:rPr>
              <w:t>4000</w:t>
            </w:r>
          </w:p>
        </w:tc>
      </w:tr>
      <w:tr w14:paraId="519EED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3483037E">
            <w:pPr>
              <w:spacing w:line="440" w:lineRule="exact"/>
              <w:jc w:val="left"/>
              <w:rPr>
                <w:rFonts w:ascii="宋体" w:hAnsi="宋体"/>
                <w:sz w:val="24"/>
              </w:rPr>
            </w:pPr>
            <w:r>
              <w:rPr>
                <w:rFonts w:ascii="宋体" w:hAnsi="宋体"/>
                <w:sz w:val="24"/>
              </w:rPr>
              <w:t>500万-1000万（含）</w:t>
            </w:r>
          </w:p>
        </w:tc>
        <w:tc>
          <w:tcPr>
            <w:tcW w:w="4111" w:type="dxa"/>
            <w:tcBorders>
              <w:top w:val="nil"/>
              <w:left w:val="nil"/>
              <w:bottom w:val="single" w:color="auto" w:sz="8" w:space="0"/>
              <w:right w:val="single" w:color="auto" w:sz="8" w:space="0"/>
            </w:tcBorders>
            <w:tcMar>
              <w:left w:w="108" w:type="dxa"/>
              <w:right w:w="108" w:type="dxa"/>
            </w:tcMar>
            <w:vAlign w:val="center"/>
          </w:tcPr>
          <w:p w14:paraId="68D13083">
            <w:pPr>
              <w:spacing w:line="440" w:lineRule="exact"/>
              <w:jc w:val="left"/>
              <w:rPr>
                <w:rFonts w:ascii="宋体" w:hAnsi="宋体"/>
                <w:sz w:val="24"/>
              </w:rPr>
            </w:pPr>
            <w:r>
              <w:rPr>
                <w:rFonts w:ascii="宋体" w:hAnsi="宋体"/>
                <w:sz w:val="24"/>
              </w:rPr>
              <w:t>12000</w:t>
            </w:r>
          </w:p>
        </w:tc>
      </w:tr>
      <w:tr w14:paraId="1B5A2D3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4DFBD3D0">
            <w:pPr>
              <w:spacing w:line="440" w:lineRule="exact"/>
              <w:jc w:val="left"/>
              <w:rPr>
                <w:rFonts w:ascii="宋体" w:hAnsi="宋体"/>
                <w:sz w:val="24"/>
              </w:rPr>
            </w:pPr>
            <w:r>
              <w:rPr>
                <w:rFonts w:ascii="宋体" w:hAnsi="宋体"/>
                <w:sz w:val="24"/>
              </w:rPr>
              <w:t>1000万-2000万（含）</w:t>
            </w:r>
          </w:p>
        </w:tc>
        <w:tc>
          <w:tcPr>
            <w:tcW w:w="4111" w:type="dxa"/>
            <w:tcBorders>
              <w:top w:val="nil"/>
              <w:left w:val="nil"/>
              <w:bottom w:val="single" w:color="auto" w:sz="8" w:space="0"/>
              <w:right w:val="single" w:color="auto" w:sz="8" w:space="0"/>
            </w:tcBorders>
            <w:tcMar>
              <w:left w:w="108" w:type="dxa"/>
              <w:right w:w="108" w:type="dxa"/>
            </w:tcMar>
            <w:vAlign w:val="center"/>
          </w:tcPr>
          <w:p w14:paraId="19F70B24">
            <w:pPr>
              <w:spacing w:line="440" w:lineRule="exact"/>
              <w:jc w:val="left"/>
              <w:rPr>
                <w:rFonts w:ascii="宋体" w:hAnsi="宋体"/>
                <w:sz w:val="24"/>
              </w:rPr>
            </w:pPr>
            <w:r>
              <w:rPr>
                <w:rFonts w:ascii="宋体" w:hAnsi="宋体"/>
                <w:sz w:val="24"/>
              </w:rPr>
              <w:t>20000</w:t>
            </w:r>
          </w:p>
        </w:tc>
      </w:tr>
      <w:tr w14:paraId="645E0DB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216B6590">
            <w:pPr>
              <w:spacing w:line="440" w:lineRule="exact"/>
              <w:jc w:val="left"/>
              <w:rPr>
                <w:rFonts w:ascii="宋体" w:hAnsi="宋体"/>
                <w:sz w:val="24"/>
              </w:rPr>
            </w:pPr>
            <w:r>
              <w:rPr>
                <w:rFonts w:ascii="宋体" w:hAnsi="宋体"/>
                <w:sz w:val="24"/>
              </w:rPr>
              <w:t>2000万-5000万（含）</w:t>
            </w:r>
          </w:p>
        </w:tc>
        <w:tc>
          <w:tcPr>
            <w:tcW w:w="4111" w:type="dxa"/>
            <w:tcBorders>
              <w:top w:val="nil"/>
              <w:left w:val="nil"/>
              <w:bottom w:val="single" w:color="auto" w:sz="8" w:space="0"/>
              <w:right w:val="single" w:color="auto" w:sz="8" w:space="0"/>
            </w:tcBorders>
            <w:tcMar>
              <w:left w:w="108" w:type="dxa"/>
              <w:right w:w="108" w:type="dxa"/>
            </w:tcMar>
            <w:vAlign w:val="center"/>
          </w:tcPr>
          <w:p w14:paraId="3A8751BB">
            <w:pPr>
              <w:spacing w:line="440" w:lineRule="exact"/>
              <w:jc w:val="left"/>
              <w:rPr>
                <w:rFonts w:ascii="宋体" w:hAnsi="宋体"/>
                <w:sz w:val="24"/>
              </w:rPr>
            </w:pPr>
            <w:r>
              <w:rPr>
                <w:rFonts w:ascii="宋体" w:hAnsi="宋体"/>
                <w:sz w:val="24"/>
              </w:rPr>
              <w:t>30000</w:t>
            </w:r>
          </w:p>
        </w:tc>
      </w:tr>
      <w:tr w14:paraId="562DB77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7B870DF5">
            <w:pPr>
              <w:spacing w:line="440" w:lineRule="exact"/>
              <w:jc w:val="left"/>
              <w:rPr>
                <w:rFonts w:ascii="宋体" w:hAnsi="宋体"/>
                <w:sz w:val="24"/>
              </w:rPr>
            </w:pPr>
            <w:r>
              <w:rPr>
                <w:rFonts w:ascii="宋体" w:hAnsi="宋体"/>
                <w:sz w:val="24"/>
              </w:rPr>
              <w:t>5000万-1亿（含）</w:t>
            </w:r>
          </w:p>
        </w:tc>
        <w:tc>
          <w:tcPr>
            <w:tcW w:w="4111" w:type="dxa"/>
            <w:tcBorders>
              <w:top w:val="nil"/>
              <w:left w:val="nil"/>
              <w:bottom w:val="single" w:color="auto" w:sz="8" w:space="0"/>
              <w:right w:val="single" w:color="auto" w:sz="8" w:space="0"/>
            </w:tcBorders>
            <w:tcMar>
              <w:left w:w="108" w:type="dxa"/>
              <w:right w:w="108" w:type="dxa"/>
            </w:tcMar>
            <w:vAlign w:val="center"/>
          </w:tcPr>
          <w:p w14:paraId="3275EBEF">
            <w:pPr>
              <w:spacing w:line="440" w:lineRule="exact"/>
              <w:jc w:val="left"/>
              <w:rPr>
                <w:rFonts w:ascii="宋体" w:hAnsi="宋体"/>
                <w:sz w:val="24"/>
              </w:rPr>
            </w:pPr>
            <w:r>
              <w:rPr>
                <w:rFonts w:ascii="宋体" w:hAnsi="宋体"/>
                <w:sz w:val="24"/>
              </w:rPr>
              <w:t>40000</w:t>
            </w:r>
          </w:p>
        </w:tc>
      </w:tr>
      <w:tr w14:paraId="66E7888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69DB3F0F">
            <w:pPr>
              <w:spacing w:line="440" w:lineRule="exact"/>
              <w:jc w:val="left"/>
              <w:rPr>
                <w:rFonts w:ascii="宋体" w:hAnsi="宋体"/>
                <w:sz w:val="24"/>
              </w:rPr>
            </w:pPr>
            <w:r>
              <w:rPr>
                <w:rFonts w:ascii="宋体" w:hAnsi="宋体"/>
                <w:sz w:val="24"/>
              </w:rPr>
              <w:t>1亿-5亿（含）</w:t>
            </w:r>
          </w:p>
        </w:tc>
        <w:tc>
          <w:tcPr>
            <w:tcW w:w="4111" w:type="dxa"/>
            <w:tcBorders>
              <w:top w:val="nil"/>
              <w:left w:val="nil"/>
              <w:bottom w:val="single" w:color="auto" w:sz="8" w:space="0"/>
              <w:right w:val="single" w:color="auto" w:sz="8" w:space="0"/>
            </w:tcBorders>
            <w:tcMar>
              <w:left w:w="108" w:type="dxa"/>
              <w:right w:w="108" w:type="dxa"/>
            </w:tcMar>
            <w:vAlign w:val="center"/>
          </w:tcPr>
          <w:p w14:paraId="5273F181">
            <w:pPr>
              <w:spacing w:line="440" w:lineRule="exact"/>
              <w:jc w:val="left"/>
              <w:rPr>
                <w:rFonts w:ascii="宋体" w:hAnsi="宋体"/>
                <w:sz w:val="24"/>
              </w:rPr>
            </w:pPr>
            <w:r>
              <w:rPr>
                <w:rFonts w:ascii="宋体" w:hAnsi="宋体"/>
                <w:sz w:val="24"/>
              </w:rPr>
              <w:t>60000</w:t>
            </w:r>
          </w:p>
        </w:tc>
      </w:tr>
      <w:tr w14:paraId="5838D2C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8" w:space="0"/>
              <w:right w:val="single" w:color="auto" w:sz="8" w:space="0"/>
            </w:tcBorders>
            <w:tcMar>
              <w:left w:w="108" w:type="dxa"/>
              <w:right w:w="108" w:type="dxa"/>
            </w:tcMar>
            <w:vAlign w:val="center"/>
          </w:tcPr>
          <w:p w14:paraId="23E5D24C">
            <w:pPr>
              <w:spacing w:line="440" w:lineRule="exact"/>
              <w:jc w:val="left"/>
              <w:rPr>
                <w:rFonts w:ascii="宋体" w:hAnsi="宋体"/>
                <w:sz w:val="24"/>
              </w:rPr>
            </w:pPr>
            <w:r>
              <w:rPr>
                <w:rFonts w:ascii="宋体" w:hAnsi="宋体"/>
                <w:sz w:val="24"/>
              </w:rPr>
              <w:t>5亿-10亿（含）</w:t>
            </w:r>
          </w:p>
        </w:tc>
        <w:tc>
          <w:tcPr>
            <w:tcW w:w="4111" w:type="dxa"/>
            <w:tcBorders>
              <w:top w:val="nil"/>
              <w:left w:val="nil"/>
              <w:bottom w:val="single" w:color="auto" w:sz="8" w:space="0"/>
              <w:right w:val="single" w:color="auto" w:sz="8" w:space="0"/>
            </w:tcBorders>
            <w:tcMar>
              <w:left w:w="108" w:type="dxa"/>
              <w:right w:w="108" w:type="dxa"/>
            </w:tcMar>
            <w:vAlign w:val="center"/>
          </w:tcPr>
          <w:p w14:paraId="198B8ADC">
            <w:pPr>
              <w:spacing w:line="440" w:lineRule="exact"/>
              <w:jc w:val="left"/>
              <w:rPr>
                <w:rFonts w:ascii="宋体" w:hAnsi="宋体"/>
                <w:sz w:val="24"/>
              </w:rPr>
            </w:pPr>
            <w:r>
              <w:rPr>
                <w:rFonts w:ascii="宋体" w:hAnsi="宋体"/>
                <w:sz w:val="24"/>
              </w:rPr>
              <w:t>80000</w:t>
            </w:r>
          </w:p>
        </w:tc>
      </w:tr>
      <w:tr w14:paraId="672AF95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4361" w:type="dxa"/>
            <w:tcBorders>
              <w:top w:val="nil"/>
              <w:left w:val="single" w:color="auto" w:sz="8" w:space="0"/>
              <w:bottom w:val="single" w:color="auto" w:sz="4" w:space="0"/>
              <w:right w:val="single" w:color="auto" w:sz="8" w:space="0"/>
            </w:tcBorders>
            <w:tcMar>
              <w:left w:w="108" w:type="dxa"/>
              <w:right w:w="108" w:type="dxa"/>
            </w:tcMar>
            <w:vAlign w:val="center"/>
          </w:tcPr>
          <w:p w14:paraId="1E7FCBD5">
            <w:pPr>
              <w:spacing w:line="440" w:lineRule="exact"/>
              <w:jc w:val="left"/>
              <w:rPr>
                <w:rFonts w:ascii="宋体" w:hAnsi="宋体"/>
                <w:sz w:val="24"/>
              </w:rPr>
            </w:pPr>
            <w:r>
              <w:rPr>
                <w:rFonts w:ascii="宋体" w:hAnsi="宋体"/>
                <w:sz w:val="24"/>
              </w:rPr>
              <w:t>10亿以上</w:t>
            </w:r>
          </w:p>
        </w:tc>
        <w:tc>
          <w:tcPr>
            <w:tcW w:w="4111" w:type="dxa"/>
            <w:tcBorders>
              <w:top w:val="nil"/>
              <w:left w:val="nil"/>
              <w:bottom w:val="single" w:color="auto" w:sz="4" w:space="0"/>
              <w:right w:val="single" w:color="auto" w:sz="8" w:space="0"/>
            </w:tcBorders>
            <w:tcMar>
              <w:left w:w="108" w:type="dxa"/>
              <w:right w:w="108" w:type="dxa"/>
            </w:tcMar>
            <w:vAlign w:val="center"/>
          </w:tcPr>
          <w:p w14:paraId="79B11AD4">
            <w:pPr>
              <w:spacing w:line="440" w:lineRule="exact"/>
              <w:jc w:val="left"/>
              <w:rPr>
                <w:rFonts w:ascii="宋体" w:hAnsi="宋体"/>
                <w:sz w:val="24"/>
              </w:rPr>
            </w:pPr>
            <w:r>
              <w:rPr>
                <w:rFonts w:ascii="宋体" w:hAnsi="宋体"/>
                <w:sz w:val="24"/>
              </w:rPr>
              <w:t>100000</w:t>
            </w:r>
          </w:p>
        </w:tc>
      </w:tr>
      <w:tr w14:paraId="0A7ADFB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28" w:hRule="atLeast"/>
        </w:trPr>
        <w:tc>
          <w:tcPr>
            <w:tcW w:w="8472" w:type="dxa"/>
            <w:gridSpan w:val="2"/>
            <w:tcBorders>
              <w:top w:val="single" w:color="auto" w:sz="4" w:space="0"/>
              <w:left w:val="single" w:color="auto" w:sz="8" w:space="0"/>
              <w:bottom w:val="single" w:color="auto" w:sz="8" w:space="0"/>
              <w:right w:val="single" w:color="auto" w:sz="8" w:space="0"/>
            </w:tcBorders>
            <w:tcMar>
              <w:left w:w="108" w:type="dxa"/>
              <w:right w:w="108" w:type="dxa"/>
            </w:tcMar>
            <w:vAlign w:val="center"/>
          </w:tcPr>
          <w:p w14:paraId="764AAD09">
            <w:pPr>
              <w:spacing w:line="440" w:lineRule="exact"/>
              <w:jc w:val="left"/>
              <w:rPr>
                <w:rFonts w:ascii="宋体" w:hAnsi="宋体"/>
                <w:sz w:val="24"/>
              </w:rPr>
            </w:pPr>
            <w:r>
              <w:rPr>
                <w:rFonts w:hint="eastAsia" w:ascii="宋体" w:hAnsi="宋体"/>
                <w:sz w:val="24"/>
              </w:rPr>
              <w:t>注：</w:t>
            </w:r>
            <w:r>
              <w:rPr>
                <w:rFonts w:ascii="宋体" w:hAnsi="宋体"/>
                <w:sz w:val="24"/>
              </w:rPr>
              <w:t>1、工程总承包项目收费标准上浮15%；</w:t>
            </w:r>
          </w:p>
          <w:p w14:paraId="002D1FE2">
            <w:pPr>
              <w:spacing w:line="440" w:lineRule="exact"/>
              <w:ind w:firstLine="480" w:firstLineChars="200"/>
              <w:jc w:val="left"/>
              <w:rPr>
                <w:rFonts w:ascii="宋体" w:hAnsi="宋体"/>
                <w:sz w:val="24"/>
              </w:rPr>
            </w:pPr>
            <w:r>
              <w:rPr>
                <w:rFonts w:ascii="宋体" w:hAnsi="宋体"/>
                <w:sz w:val="24"/>
              </w:rPr>
              <w:t xml:space="preserve">2 </w:t>
            </w:r>
            <w:r>
              <w:rPr>
                <w:rFonts w:hint="eastAsia" w:ascii="宋体" w:hAnsi="宋体"/>
                <w:sz w:val="24"/>
              </w:rPr>
              <w:t>、按标段（包）进行收费，一次交易收取一次费用；</w:t>
            </w:r>
          </w:p>
          <w:p w14:paraId="5C31CD21">
            <w:pPr>
              <w:spacing w:line="440" w:lineRule="exact"/>
              <w:ind w:firstLine="480" w:firstLineChars="200"/>
              <w:jc w:val="left"/>
              <w:rPr>
                <w:rFonts w:ascii="宋体" w:hAnsi="宋体"/>
                <w:sz w:val="24"/>
              </w:rPr>
            </w:pPr>
            <w:r>
              <w:rPr>
                <w:rFonts w:hint="eastAsia" w:ascii="宋体" w:hAnsi="宋体"/>
                <w:sz w:val="24"/>
              </w:rPr>
              <w:t>3</w:t>
            </w:r>
            <w:r>
              <w:rPr>
                <w:rFonts w:ascii="宋体" w:hAnsi="宋体"/>
                <w:sz w:val="24"/>
              </w:rPr>
              <w:t xml:space="preserve"> </w:t>
            </w:r>
            <w:r>
              <w:rPr>
                <w:rFonts w:hint="eastAsia" w:ascii="宋体" w:hAnsi="宋体"/>
                <w:sz w:val="24"/>
              </w:rPr>
              <w:t>、无具体交易（中标）金额的项目，按照实际工作量协商收费。</w:t>
            </w:r>
          </w:p>
        </w:tc>
      </w:tr>
    </w:tbl>
    <w:p w14:paraId="4596FE7C">
      <w:pPr>
        <w:snapToGrid w:val="0"/>
        <w:spacing w:line="440" w:lineRule="exact"/>
        <w:ind w:firstLine="420"/>
        <w:jc w:val="left"/>
        <w:rPr>
          <w:rFonts w:ascii="宋体" w:hAnsi="宋体"/>
          <w:sz w:val="24"/>
        </w:rPr>
      </w:pPr>
      <w:r>
        <w:rPr>
          <w:rFonts w:hint="eastAsia" w:ascii="宋体" w:hAnsi="宋体"/>
          <w:sz w:val="24"/>
        </w:rPr>
        <w:t>以上两项费用在报价表中无需单列报价子项，由投标人自行在企业运营成本等或各投标单价中列支。</w:t>
      </w:r>
    </w:p>
    <w:p w14:paraId="36ABF7B9">
      <w:pPr>
        <w:widowControl/>
        <w:jc w:val="left"/>
        <w:rPr>
          <w:rFonts w:ascii="Arial" w:hAnsi="Arial" w:cs="Arial"/>
          <w:bCs/>
          <w:kern w:val="0"/>
          <w:sz w:val="32"/>
          <w:szCs w:val="32"/>
        </w:rPr>
      </w:pPr>
      <w:r>
        <w:rPr>
          <w:b/>
          <w:kern w:val="0"/>
        </w:rPr>
        <w:br w:type="page"/>
      </w:r>
    </w:p>
    <w:p w14:paraId="40BCA6FA">
      <w:pPr>
        <w:pStyle w:val="5"/>
        <w:ind w:left="353"/>
        <w:rPr>
          <w:b w:val="0"/>
          <w:kern w:val="0"/>
        </w:rPr>
      </w:pPr>
      <w:r>
        <w:rPr>
          <w:rFonts w:hint="eastAsia"/>
          <w:b w:val="0"/>
          <w:kern w:val="0"/>
        </w:rPr>
        <w:t>第四章 采购内容及技术要求</w:t>
      </w:r>
      <w:bookmarkEnd w:id="0"/>
      <w:bookmarkEnd w:id="1"/>
    </w:p>
    <w:bookmarkEnd w:id="2"/>
    <w:bookmarkEnd w:id="3"/>
    <w:p w14:paraId="3243DF18">
      <w:pPr>
        <w:adjustRightInd w:val="0"/>
        <w:snapToGrid w:val="0"/>
        <w:spacing w:line="360" w:lineRule="auto"/>
        <w:outlineLvl w:val="0"/>
        <w:rPr>
          <w:rFonts w:ascii="宋体" w:hAnsi="宋体"/>
          <w:bCs/>
          <w:sz w:val="28"/>
          <w:szCs w:val="28"/>
        </w:rPr>
      </w:pPr>
      <w:bookmarkStart w:id="139" w:name="_Toc195433156"/>
      <w:bookmarkStart w:id="140" w:name="_Toc3165"/>
      <w:bookmarkStart w:id="141" w:name="_Toc8263"/>
      <w:bookmarkStart w:id="142" w:name="_Toc3580"/>
      <w:bookmarkStart w:id="143" w:name="_Toc143011826"/>
      <w:bookmarkStart w:id="144" w:name="_Toc150539813"/>
      <w:r>
        <w:rPr>
          <w:rFonts w:ascii="宋体" w:hAnsi="宋体"/>
          <w:bCs/>
          <w:sz w:val="28"/>
          <w:szCs w:val="28"/>
        </w:rPr>
        <w:t>1.总则</w:t>
      </w:r>
      <w:bookmarkEnd w:id="139"/>
    </w:p>
    <w:p w14:paraId="71479E9C">
      <w:pPr>
        <w:snapToGrid w:val="0"/>
        <w:spacing w:line="360" w:lineRule="auto"/>
        <w:rPr>
          <w:rFonts w:ascii="宋体" w:hAnsi="宋体" w:cs="宋体"/>
          <w:sz w:val="24"/>
        </w:rPr>
      </w:pPr>
      <w:r>
        <w:rPr>
          <w:rFonts w:ascii="宋体" w:hAnsi="宋体"/>
          <w:b/>
          <w:szCs w:val="21"/>
        </w:rPr>
        <w:t xml:space="preserve"> *</w:t>
      </w:r>
      <w:r>
        <w:rPr>
          <w:rFonts w:hint="eastAsia" w:ascii="宋体" w:hAnsi="宋体" w:cs="宋体"/>
          <w:sz w:val="24"/>
        </w:rPr>
        <w:t>1.1投标标的物须为完整的、全新的未曾使用过的标的物，须提供类似工况（</w:t>
      </w:r>
      <w:r>
        <w:rPr>
          <w:rFonts w:hint="eastAsia" w:ascii="宋体" w:hAnsi="宋体"/>
          <w:sz w:val="24"/>
        </w:rPr>
        <w:t>同时满足：入口氯气体积流量≥5000</w:t>
      </w:r>
      <w:r>
        <w:rPr>
          <w:rFonts w:ascii="宋体" w:hAnsi="宋体"/>
          <w:sz w:val="24"/>
        </w:rPr>
        <w:t xml:space="preserve"> Nm3/h</w:t>
      </w:r>
      <w:r>
        <w:rPr>
          <w:rFonts w:hint="eastAsia" w:ascii="宋体" w:hAnsi="宋体"/>
          <w:sz w:val="24"/>
        </w:rPr>
        <w:t>、氯压机四段出口压力≥0</w:t>
      </w:r>
      <w:r>
        <w:rPr>
          <w:rFonts w:ascii="宋体" w:hAnsi="宋体"/>
          <w:sz w:val="24"/>
        </w:rPr>
        <w:t>.7</w:t>
      </w:r>
      <w:r>
        <w:rPr>
          <w:rFonts w:hint="eastAsia" w:ascii="宋体" w:hAnsi="宋体"/>
          <w:sz w:val="24"/>
        </w:rPr>
        <w:t xml:space="preserve">00MPa </w:t>
      </w:r>
      <w:r>
        <w:rPr>
          <w:rFonts w:ascii="宋体" w:hAnsi="宋体"/>
          <w:sz w:val="24"/>
        </w:rPr>
        <w:t>G</w:t>
      </w:r>
      <w:r>
        <w:rPr>
          <w:rFonts w:hint="eastAsia" w:ascii="宋体" w:hAnsi="宋体"/>
          <w:sz w:val="24"/>
        </w:rPr>
        <w:t>，</w:t>
      </w:r>
      <w:r>
        <w:rPr>
          <w:rFonts w:hint="eastAsia" w:ascii="宋体" w:hAnsi="宋体"/>
          <w:szCs w:val="21"/>
        </w:rPr>
        <w:t>)</w:t>
      </w:r>
      <w:r>
        <w:rPr>
          <w:rFonts w:hint="eastAsia" w:ascii="宋体" w:hAnsi="宋体" w:cs="宋体"/>
          <w:sz w:val="24"/>
        </w:rPr>
        <w:t>的良好的应用业绩(提供合同、技术协议关键页、盖章验收报告等证明材料)。</w:t>
      </w:r>
    </w:p>
    <w:p w14:paraId="4EF48A40">
      <w:pPr>
        <w:snapToGrid w:val="0"/>
        <w:spacing w:line="360" w:lineRule="auto"/>
        <w:rPr>
          <w:rFonts w:ascii="宋体" w:hAnsi="宋体" w:cs="宋体"/>
          <w:sz w:val="24"/>
        </w:rPr>
      </w:pPr>
      <w:r>
        <w:rPr>
          <w:rFonts w:hint="eastAsia" w:ascii="宋体" w:hAnsi="宋体" w:cs="宋体"/>
          <w:sz w:val="24"/>
        </w:rPr>
        <w:t>1.2标的物的零、部件应采用全新优质材料制造，所选用的机械、气动、电气、电子元件应当是先进的、优质的、可靠的标的物。</w:t>
      </w:r>
    </w:p>
    <w:p w14:paraId="21734FFC">
      <w:pPr>
        <w:snapToGrid w:val="0"/>
        <w:spacing w:line="360" w:lineRule="auto"/>
        <w:rPr>
          <w:rFonts w:ascii="宋体" w:hAnsi="宋体" w:cs="宋体"/>
          <w:sz w:val="24"/>
        </w:rPr>
      </w:pPr>
      <w:r>
        <w:rPr>
          <w:rFonts w:hint="eastAsia" w:ascii="宋体" w:hAnsi="宋体" w:cs="宋体"/>
          <w:sz w:val="24"/>
        </w:rPr>
        <w:t>1.3投标标的物必须是投标人的制造厂自行设计、生产、装配并经严格检验、试验合格的标的物。</w:t>
      </w:r>
    </w:p>
    <w:p w14:paraId="3A430D8A">
      <w:pPr>
        <w:snapToGrid w:val="0"/>
        <w:spacing w:line="360" w:lineRule="auto"/>
        <w:rPr>
          <w:rFonts w:ascii="宋体" w:hAnsi="宋体" w:cs="宋体"/>
          <w:sz w:val="24"/>
        </w:rPr>
      </w:pPr>
      <w:r>
        <w:rPr>
          <w:rFonts w:hint="eastAsia" w:ascii="宋体" w:hAnsi="宋体" w:cs="宋体"/>
          <w:sz w:val="24"/>
        </w:rPr>
        <w:t>1.4投标人应保证所供标的物的先进性、可靠性和适用性。</w:t>
      </w:r>
    </w:p>
    <w:p w14:paraId="0DB707C5">
      <w:pPr>
        <w:snapToGrid w:val="0"/>
        <w:spacing w:line="360" w:lineRule="auto"/>
        <w:rPr>
          <w:rFonts w:ascii="宋体" w:hAnsi="宋体" w:cs="宋体"/>
          <w:sz w:val="24"/>
        </w:rPr>
      </w:pPr>
      <w:r>
        <w:rPr>
          <w:rFonts w:hint="eastAsia" w:ascii="宋体" w:hAnsi="宋体" w:cs="宋体"/>
          <w:sz w:val="24"/>
        </w:rPr>
        <w:t>1.5投标人应保证所供标的物完整性和成套性，能保证货物的正常运行和使用。</w:t>
      </w:r>
    </w:p>
    <w:p w14:paraId="383EEA7A">
      <w:pPr>
        <w:snapToGrid w:val="0"/>
        <w:spacing w:line="360" w:lineRule="auto"/>
        <w:rPr>
          <w:rFonts w:ascii="宋体" w:hAnsi="宋体" w:cs="宋体"/>
          <w:sz w:val="24"/>
        </w:rPr>
      </w:pPr>
      <w:r>
        <w:rPr>
          <w:rFonts w:hint="eastAsia" w:ascii="宋体" w:hAnsi="宋体" w:cs="宋体"/>
          <w:sz w:val="24"/>
        </w:rPr>
        <w:t>1.6投标标的物应有完善、可靠的安全保护措施，以防止误操作或意外事故使人员、标的物、工件受损。安全及环保标准应符合中国国家的有关管理规定。</w:t>
      </w:r>
    </w:p>
    <w:p w14:paraId="30EEC814">
      <w:pPr>
        <w:snapToGrid w:val="0"/>
        <w:spacing w:line="360" w:lineRule="auto"/>
        <w:rPr>
          <w:rFonts w:ascii="宋体" w:hAnsi="宋体" w:cs="宋体"/>
          <w:sz w:val="24"/>
        </w:rPr>
      </w:pPr>
      <w:r>
        <w:rPr>
          <w:rFonts w:hint="eastAsia" w:ascii="宋体" w:hAnsi="宋体" w:cs="宋体"/>
          <w:sz w:val="24"/>
        </w:rPr>
        <w:t>1.7投标标的物的零件和仪表计量单位全部采用国际单位制标准(SI)，所有零部件和仪表的设计制造应符合ISO和IEC标准。主机和所有配件、备件应说明基本参数、制造国和制造商名称。</w:t>
      </w:r>
    </w:p>
    <w:p w14:paraId="5C50A289">
      <w:pPr>
        <w:snapToGrid w:val="0"/>
        <w:spacing w:line="360" w:lineRule="auto"/>
        <w:rPr>
          <w:rFonts w:ascii="宋体" w:hAnsi="宋体" w:cs="宋体"/>
          <w:sz w:val="24"/>
        </w:rPr>
      </w:pPr>
      <w:r>
        <w:rPr>
          <w:rFonts w:hint="eastAsia" w:ascii="宋体" w:hAnsi="宋体" w:cs="宋体"/>
          <w:sz w:val="24"/>
        </w:rPr>
        <w:t>1.8投标标的物的金属构件(除装配表面和电镀表面外)都应进行油漆或防腐处理。防腐措施应能保证招标人在正常使用周期内状态良好。</w:t>
      </w:r>
    </w:p>
    <w:p w14:paraId="5C6D1D8C">
      <w:pPr>
        <w:snapToGrid w:val="0"/>
        <w:spacing w:line="360" w:lineRule="auto"/>
        <w:rPr>
          <w:rFonts w:ascii="宋体" w:hAnsi="宋体" w:cs="宋体"/>
          <w:sz w:val="24"/>
        </w:rPr>
      </w:pPr>
      <w:r>
        <w:rPr>
          <w:rFonts w:hint="eastAsia" w:ascii="宋体" w:hAnsi="宋体" w:cs="宋体"/>
          <w:sz w:val="24"/>
        </w:rPr>
        <w:t>1.9招标人在本技术标书中提出了最低限度的技术要求，并未规定所有的技术要求和适用的标准，投标人应提供一套满足本技术标书要求的高质量标的物及其相应服务。对国家有关安全、技术、环保等强制性标准，必须满足其要求。</w:t>
      </w:r>
    </w:p>
    <w:p w14:paraId="5858C38F">
      <w:pPr>
        <w:snapToGrid w:val="0"/>
        <w:spacing w:line="360" w:lineRule="auto"/>
        <w:rPr>
          <w:rFonts w:ascii="宋体" w:hAnsi="宋体" w:cs="宋体"/>
          <w:sz w:val="24"/>
        </w:rPr>
      </w:pPr>
      <w:r>
        <w:rPr>
          <w:rFonts w:hint="eastAsia" w:ascii="宋体" w:hAnsi="宋体" w:cs="宋体"/>
          <w:sz w:val="24"/>
        </w:rPr>
        <w:t>1.10 如未对本技术标书中提出的标准提出偏差，将认为中标人提供的标的物符合规范和标准的要求，偏差（无论多少）都必须清楚地表示在投标文件的差异表中。</w:t>
      </w:r>
    </w:p>
    <w:p w14:paraId="7F81BDF2">
      <w:pPr>
        <w:snapToGrid w:val="0"/>
        <w:spacing w:line="360" w:lineRule="auto"/>
        <w:rPr>
          <w:rFonts w:ascii="宋体" w:hAnsi="宋体" w:cs="宋体"/>
          <w:sz w:val="24"/>
        </w:rPr>
      </w:pPr>
      <w:r>
        <w:rPr>
          <w:rFonts w:hint="eastAsia" w:ascii="宋体" w:hAnsi="宋体" w:cs="宋体"/>
          <w:sz w:val="24"/>
        </w:rPr>
        <w:t>1.11 投标人须执行本招标文件所列标准。有矛盾时，按高标准执行。</w:t>
      </w:r>
    </w:p>
    <w:p w14:paraId="2CAF8D95">
      <w:pPr>
        <w:adjustRightInd w:val="0"/>
        <w:snapToGrid w:val="0"/>
        <w:spacing w:line="360" w:lineRule="auto"/>
        <w:rPr>
          <w:rFonts w:ascii="宋体" w:hAnsi="宋体" w:cs="宋体"/>
          <w:sz w:val="24"/>
        </w:rPr>
      </w:pPr>
      <w:r>
        <w:rPr>
          <w:rFonts w:hint="eastAsia" w:ascii="宋体" w:hAnsi="宋体" w:cs="宋体"/>
          <w:sz w:val="24"/>
        </w:rPr>
        <w:t>12投标人须在技术资信标中明确投标人对支付条款和交货期的响应和承诺。</w:t>
      </w:r>
    </w:p>
    <w:p w14:paraId="7A8AA7B8">
      <w:pPr>
        <w:adjustRightInd w:val="0"/>
        <w:snapToGrid w:val="0"/>
        <w:spacing w:line="360" w:lineRule="auto"/>
        <w:rPr>
          <w:rFonts w:cs="宋体"/>
          <w:sz w:val="24"/>
        </w:rPr>
      </w:pPr>
      <w:r>
        <w:rPr>
          <w:rFonts w:hint="eastAsia" w:cs="宋体"/>
          <w:sz w:val="24"/>
        </w:rPr>
        <w:t>1.13 加*条款为招标文件的主要条款，对主要条款（含条款所有子项）的任何负偏离，将否决其投标。不加*条款为招标文件的一般条款，对一般条款的负偏离超过五项的，将否决其投标。</w:t>
      </w:r>
    </w:p>
    <w:p w14:paraId="0FF76227">
      <w:pPr>
        <w:adjustRightInd w:val="0"/>
        <w:snapToGrid w:val="0"/>
        <w:spacing w:line="360" w:lineRule="auto"/>
        <w:outlineLvl w:val="0"/>
        <w:rPr>
          <w:rFonts w:ascii="宋体" w:hAnsi="宋体"/>
          <w:bCs/>
          <w:sz w:val="28"/>
          <w:szCs w:val="28"/>
        </w:rPr>
      </w:pPr>
      <w:bookmarkStart w:id="145" w:name="_Toc195433157"/>
      <w:r>
        <w:rPr>
          <w:rFonts w:ascii="宋体" w:hAnsi="宋体"/>
          <w:bCs/>
          <w:sz w:val="28"/>
          <w:szCs w:val="28"/>
        </w:rPr>
        <w:t>2.使用环境</w:t>
      </w:r>
      <w:bookmarkEnd w:id="145"/>
    </w:p>
    <w:p w14:paraId="4ADFB4E0">
      <w:pPr>
        <w:autoSpaceDE w:val="0"/>
        <w:autoSpaceDN w:val="0"/>
        <w:adjustRightInd w:val="0"/>
        <w:snapToGrid w:val="0"/>
        <w:spacing w:line="360" w:lineRule="auto"/>
        <w:jc w:val="left"/>
        <w:rPr>
          <w:rFonts w:ascii="宋体" w:hAnsi="宋体" w:cs="宋体"/>
          <w:sz w:val="24"/>
        </w:rPr>
      </w:pPr>
      <w:r>
        <w:rPr>
          <w:rFonts w:hint="eastAsia" w:ascii="宋体" w:hAnsi="宋体" w:cs="宋体"/>
          <w:sz w:val="24"/>
        </w:rPr>
        <w:t>2.1 环境温度：</w:t>
      </w:r>
    </w:p>
    <w:p w14:paraId="37DAE3E6">
      <w:pPr>
        <w:numPr>
          <w:ilvl w:val="0"/>
          <w:numId w:val="6"/>
        </w:numPr>
        <w:autoSpaceDE w:val="0"/>
        <w:autoSpaceDN w:val="0"/>
        <w:adjustRightInd w:val="0"/>
        <w:snapToGrid w:val="0"/>
        <w:spacing w:line="360" w:lineRule="auto"/>
        <w:ind w:firstLine="0"/>
        <w:jc w:val="left"/>
        <w:rPr>
          <w:rFonts w:ascii="宋体" w:hAnsi="宋体" w:cs="宋体"/>
          <w:sz w:val="24"/>
        </w:rPr>
      </w:pPr>
      <w:r>
        <w:rPr>
          <w:rFonts w:hint="eastAsia" w:ascii="宋体" w:hAnsi="宋体" w:cs="宋体"/>
          <w:sz w:val="24"/>
        </w:rPr>
        <w:t>最高气温：45℃；</w:t>
      </w:r>
    </w:p>
    <w:p w14:paraId="6F8CAB89">
      <w:pPr>
        <w:numPr>
          <w:ilvl w:val="0"/>
          <w:numId w:val="6"/>
        </w:numPr>
        <w:autoSpaceDE w:val="0"/>
        <w:autoSpaceDN w:val="0"/>
        <w:adjustRightInd w:val="0"/>
        <w:snapToGrid w:val="0"/>
        <w:spacing w:line="360" w:lineRule="auto"/>
        <w:ind w:firstLine="0"/>
        <w:jc w:val="left"/>
        <w:rPr>
          <w:rFonts w:ascii="宋体" w:hAnsi="宋体" w:cs="宋体"/>
          <w:sz w:val="24"/>
        </w:rPr>
      </w:pPr>
      <w:r>
        <w:rPr>
          <w:rFonts w:hint="eastAsia" w:ascii="宋体" w:hAnsi="宋体" w:cs="宋体"/>
          <w:sz w:val="24"/>
        </w:rPr>
        <w:t>最低气温：-10℃</w:t>
      </w:r>
    </w:p>
    <w:p w14:paraId="06ABF56E">
      <w:pPr>
        <w:autoSpaceDE w:val="0"/>
        <w:autoSpaceDN w:val="0"/>
        <w:adjustRightInd w:val="0"/>
        <w:snapToGrid w:val="0"/>
        <w:spacing w:line="360" w:lineRule="auto"/>
        <w:jc w:val="left"/>
        <w:rPr>
          <w:rFonts w:ascii="宋体" w:hAnsi="宋体" w:cs="宋体"/>
          <w:sz w:val="24"/>
        </w:rPr>
      </w:pPr>
      <w:r>
        <w:rPr>
          <w:rFonts w:hint="eastAsia" w:ascii="宋体" w:hAnsi="宋体" w:cs="宋体"/>
          <w:sz w:val="24"/>
        </w:rPr>
        <w:t>2.2 气象及环境条件</w:t>
      </w:r>
    </w:p>
    <w:p w14:paraId="1ED5C271">
      <w:pPr>
        <w:numPr>
          <w:ilvl w:val="0"/>
          <w:numId w:val="7"/>
        </w:numPr>
        <w:autoSpaceDE w:val="0"/>
        <w:autoSpaceDN w:val="0"/>
        <w:adjustRightInd w:val="0"/>
        <w:snapToGrid w:val="0"/>
        <w:spacing w:line="360" w:lineRule="auto"/>
        <w:ind w:firstLine="0"/>
        <w:jc w:val="left"/>
        <w:rPr>
          <w:rFonts w:ascii="宋体" w:hAnsi="宋体" w:cs="宋体"/>
          <w:sz w:val="24"/>
        </w:rPr>
      </w:pPr>
      <w:r>
        <w:rPr>
          <w:rFonts w:hint="eastAsia" w:ascii="宋体" w:hAnsi="宋体" w:cs="宋体"/>
          <w:sz w:val="24"/>
        </w:rPr>
        <w:t>海拔高度：7</w:t>
      </w:r>
      <w:r>
        <w:rPr>
          <w:rFonts w:ascii="宋体" w:hAnsi="宋体" w:cs="宋体"/>
          <w:sz w:val="24"/>
        </w:rPr>
        <w:t>8</w:t>
      </w:r>
      <w:r>
        <w:rPr>
          <w:rFonts w:hint="eastAsia" w:ascii="宋体" w:hAnsi="宋体" w:cs="宋体"/>
          <w:sz w:val="24"/>
        </w:rPr>
        <w:t>m</w:t>
      </w:r>
    </w:p>
    <w:p w14:paraId="408E70CE">
      <w:pPr>
        <w:numPr>
          <w:ilvl w:val="0"/>
          <w:numId w:val="7"/>
        </w:numPr>
        <w:autoSpaceDE w:val="0"/>
        <w:autoSpaceDN w:val="0"/>
        <w:adjustRightInd w:val="0"/>
        <w:snapToGrid w:val="0"/>
        <w:spacing w:line="360" w:lineRule="auto"/>
        <w:ind w:firstLine="0"/>
        <w:jc w:val="left"/>
        <w:rPr>
          <w:rFonts w:ascii="宋体" w:hAnsi="宋体" w:cs="宋体"/>
          <w:sz w:val="24"/>
        </w:rPr>
      </w:pPr>
      <w:r>
        <w:rPr>
          <w:rFonts w:hint="eastAsia" w:ascii="宋体" w:hAnsi="宋体" w:cs="宋体"/>
          <w:sz w:val="24"/>
        </w:rPr>
        <w:t>地震烈度：6度</w:t>
      </w:r>
    </w:p>
    <w:p w14:paraId="6D6F2D88">
      <w:pPr>
        <w:numPr>
          <w:ilvl w:val="0"/>
          <w:numId w:val="7"/>
        </w:numPr>
        <w:autoSpaceDE w:val="0"/>
        <w:autoSpaceDN w:val="0"/>
        <w:adjustRightInd w:val="0"/>
        <w:snapToGrid w:val="0"/>
        <w:spacing w:line="360" w:lineRule="auto"/>
        <w:ind w:firstLine="0"/>
        <w:jc w:val="left"/>
        <w:rPr>
          <w:rFonts w:ascii="宋体" w:hAnsi="宋体" w:cs="宋体"/>
          <w:sz w:val="24"/>
        </w:rPr>
      </w:pPr>
      <w:r>
        <w:rPr>
          <w:rFonts w:hint="eastAsia" w:ascii="宋体" w:hAnsi="宋体" w:cs="宋体"/>
          <w:sz w:val="24"/>
        </w:rPr>
        <w:t>雷暴日数：57/年</w:t>
      </w:r>
    </w:p>
    <w:p w14:paraId="0573A2B5">
      <w:pPr>
        <w:numPr>
          <w:ilvl w:val="0"/>
          <w:numId w:val="7"/>
        </w:numPr>
        <w:autoSpaceDE w:val="0"/>
        <w:autoSpaceDN w:val="0"/>
        <w:adjustRightInd w:val="0"/>
        <w:snapToGrid w:val="0"/>
        <w:spacing w:line="360" w:lineRule="auto"/>
        <w:ind w:firstLine="0"/>
        <w:jc w:val="left"/>
        <w:rPr>
          <w:rFonts w:ascii="宋体" w:hAnsi="宋体" w:cs="宋体"/>
          <w:sz w:val="24"/>
        </w:rPr>
      </w:pPr>
      <w:r>
        <w:rPr>
          <w:rFonts w:hint="eastAsia" w:ascii="宋体" w:hAnsi="宋体" w:cs="宋体"/>
          <w:sz w:val="24"/>
        </w:rPr>
        <w:t>环境污染：Ⅲ级</w:t>
      </w:r>
    </w:p>
    <w:p w14:paraId="193155F0">
      <w:pPr>
        <w:snapToGrid w:val="0"/>
        <w:spacing w:line="360" w:lineRule="auto"/>
        <w:rPr>
          <w:rFonts w:ascii="宋体" w:hAnsi="宋体"/>
          <w:bCs/>
          <w:szCs w:val="21"/>
        </w:rPr>
      </w:pPr>
    </w:p>
    <w:p w14:paraId="20BCD3DB">
      <w:pPr>
        <w:adjustRightInd w:val="0"/>
        <w:snapToGrid w:val="0"/>
        <w:spacing w:line="360" w:lineRule="auto"/>
        <w:outlineLvl w:val="0"/>
        <w:rPr>
          <w:rFonts w:ascii="宋体" w:hAnsi="宋体"/>
          <w:bCs/>
          <w:sz w:val="28"/>
          <w:szCs w:val="28"/>
        </w:rPr>
      </w:pPr>
      <w:bookmarkStart w:id="146" w:name="_Toc195433158"/>
      <w:r>
        <w:rPr>
          <w:rFonts w:ascii="宋体" w:hAnsi="宋体"/>
          <w:bCs/>
          <w:sz w:val="28"/>
          <w:szCs w:val="28"/>
        </w:rPr>
        <w:t>3.</w:t>
      </w:r>
      <w:r>
        <w:rPr>
          <w:rFonts w:hint="eastAsia" w:ascii="宋体" w:hAnsi="宋体"/>
          <w:bCs/>
          <w:sz w:val="28"/>
          <w:szCs w:val="28"/>
        </w:rPr>
        <w:t>主要</w:t>
      </w:r>
      <w:r>
        <w:rPr>
          <w:rFonts w:ascii="宋体" w:hAnsi="宋体"/>
          <w:bCs/>
          <w:sz w:val="28"/>
          <w:szCs w:val="28"/>
        </w:rPr>
        <w:t>技术规格</w:t>
      </w:r>
      <w:bookmarkEnd w:id="146"/>
    </w:p>
    <w:tbl>
      <w:tblPr>
        <w:tblStyle w:val="77"/>
        <w:tblW w:w="101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2"/>
        <w:gridCol w:w="8136"/>
      </w:tblGrid>
      <w:tr w14:paraId="7B152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4D3412AB">
            <w:pPr>
              <w:spacing w:after="120" w:line="360" w:lineRule="auto"/>
              <w:rPr>
                <w:rFonts w:ascii="宋体" w:hAnsi="宋体" w:cs="宋体"/>
                <w:sz w:val="24"/>
              </w:rPr>
            </w:pPr>
            <w:r>
              <w:rPr>
                <w:rFonts w:hint="eastAsia" w:ascii="宋体" w:hAnsi="宋体" w:cs="宋体"/>
                <w:sz w:val="24"/>
              </w:rPr>
              <w:t>项目代号及名称</w:t>
            </w:r>
          </w:p>
        </w:tc>
        <w:tc>
          <w:tcPr>
            <w:tcW w:w="8136" w:type="dxa"/>
            <w:vAlign w:val="center"/>
          </w:tcPr>
          <w:p w14:paraId="6FD7E18C">
            <w:pPr>
              <w:spacing w:after="120"/>
              <w:jc w:val="center"/>
              <w:rPr>
                <w:rFonts w:ascii="宋体" w:hAnsi="宋体" w:cs="宋体"/>
                <w:sz w:val="24"/>
              </w:rPr>
            </w:pPr>
            <w:r>
              <w:rPr>
                <w:rFonts w:hint="eastAsia" w:ascii="宋体" w:hAnsi="宋体" w:cs="宋体"/>
                <w:sz w:val="24"/>
              </w:rPr>
              <w:t>浙江巨化股份有限公司浙江时代锂电材料配套工程（废盐综合利用制离子膜烧碱项目）</w:t>
            </w:r>
          </w:p>
        </w:tc>
      </w:tr>
      <w:tr w14:paraId="3286F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203299A0">
            <w:pPr>
              <w:spacing w:after="120" w:line="360" w:lineRule="auto"/>
              <w:rPr>
                <w:rFonts w:ascii="宋体" w:hAnsi="宋体" w:cs="宋体"/>
                <w:sz w:val="24"/>
              </w:rPr>
            </w:pPr>
            <w:r>
              <w:rPr>
                <w:rFonts w:hint="eastAsia" w:ascii="宋体" w:hAnsi="宋体" w:cs="宋体"/>
                <w:sz w:val="24"/>
              </w:rPr>
              <w:t>设备位号</w:t>
            </w:r>
          </w:p>
        </w:tc>
        <w:tc>
          <w:tcPr>
            <w:tcW w:w="8136" w:type="dxa"/>
            <w:vAlign w:val="center"/>
          </w:tcPr>
          <w:p w14:paraId="2E382A54">
            <w:pPr>
              <w:spacing w:after="120" w:line="360" w:lineRule="auto"/>
              <w:rPr>
                <w:rFonts w:ascii="宋体" w:hAnsi="宋体" w:cs="宋体"/>
                <w:sz w:val="24"/>
              </w:rPr>
            </w:pPr>
            <w:r>
              <w:rPr>
                <w:rFonts w:hint="eastAsia" w:ascii="宋体" w:hAnsi="宋体" w:cs="宋体"/>
                <w:sz w:val="24"/>
              </w:rPr>
              <w:t>5C-0801</w:t>
            </w:r>
          </w:p>
        </w:tc>
      </w:tr>
      <w:tr w14:paraId="34555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3D7ED6C0">
            <w:pPr>
              <w:spacing w:after="120" w:line="360" w:lineRule="auto"/>
              <w:rPr>
                <w:rFonts w:ascii="宋体" w:hAnsi="宋体" w:cs="宋体"/>
                <w:sz w:val="24"/>
              </w:rPr>
            </w:pPr>
            <w:r>
              <w:rPr>
                <w:rFonts w:hint="eastAsia" w:ascii="宋体" w:hAnsi="宋体" w:cs="宋体"/>
                <w:sz w:val="24"/>
              </w:rPr>
              <w:t>设备名称</w:t>
            </w:r>
          </w:p>
        </w:tc>
        <w:tc>
          <w:tcPr>
            <w:tcW w:w="8136" w:type="dxa"/>
            <w:vAlign w:val="center"/>
          </w:tcPr>
          <w:p w14:paraId="0DA670EC">
            <w:pPr>
              <w:spacing w:after="120" w:line="360" w:lineRule="auto"/>
              <w:rPr>
                <w:rFonts w:ascii="宋体" w:hAnsi="宋体" w:cs="宋体"/>
                <w:sz w:val="24"/>
              </w:rPr>
            </w:pPr>
            <w:r>
              <w:rPr>
                <w:rFonts w:hint="eastAsia" w:ascii="宋体" w:hAnsi="宋体" w:cs="宋体"/>
                <w:sz w:val="24"/>
              </w:rPr>
              <w:t>单轴多级叶轮离心式氯气压缩机</w:t>
            </w:r>
          </w:p>
        </w:tc>
      </w:tr>
      <w:tr w14:paraId="42B81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155AA641">
            <w:pPr>
              <w:spacing w:after="120" w:line="360" w:lineRule="auto"/>
              <w:rPr>
                <w:rFonts w:ascii="宋体" w:hAnsi="宋体" w:cs="宋体"/>
                <w:sz w:val="24"/>
              </w:rPr>
            </w:pPr>
            <w:r>
              <w:rPr>
                <w:rFonts w:hint="eastAsia" w:ascii="宋体" w:hAnsi="宋体" w:cs="宋体"/>
                <w:sz w:val="24"/>
              </w:rPr>
              <w:t>数量</w:t>
            </w:r>
          </w:p>
        </w:tc>
        <w:tc>
          <w:tcPr>
            <w:tcW w:w="8136" w:type="dxa"/>
            <w:vAlign w:val="center"/>
          </w:tcPr>
          <w:p w14:paraId="7C9AE9DC">
            <w:pPr>
              <w:spacing w:after="120" w:line="360" w:lineRule="auto"/>
              <w:rPr>
                <w:rFonts w:ascii="宋体" w:hAnsi="宋体" w:cs="宋体"/>
                <w:sz w:val="24"/>
              </w:rPr>
            </w:pPr>
            <w:r>
              <w:rPr>
                <w:rFonts w:hint="eastAsia" w:ascii="宋体" w:hAnsi="宋体" w:cs="宋体"/>
                <w:sz w:val="24"/>
              </w:rPr>
              <w:t>1台，1开0备</w:t>
            </w:r>
          </w:p>
        </w:tc>
      </w:tr>
      <w:tr w14:paraId="68777B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64FC3D2D">
            <w:pPr>
              <w:spacing w:after="120" w:line="360" w:lineRule="auto"/>
              <w:rPr>
                <w:rFonts w:ascii="宋体" w:hAnsi="宋体" w:cs="宋体"/>
                <w:sz w:val="24"/>
              </w:rPr>
            </w:pPr>
            <w:r>
              <w:rPr>
                <w:rFonts w:hint="eastAsia" w:ascii="宋体" w:hAnsi="宋体" w:cs="宋体"/>
                <w:sz w:val="24"/>
              </w:rPr>
              <w:t>体积流量</w:t>
            </w:r>
          </w:p>
        </w:tc>
        <w:tc>
          <w:tcPr>
            <w:tcW w:w="8136" w:type="dxa"/>
            <w:vAlign w:val="center"/>
          </w:tcPr>
          <w:p w14:paraId="68C7055B">
            <w:pPr>
              <w:spacing w:after="120" w:line="360" w:lineRule="auto"/>
              <w:rPr>
                <w:rFonts w:ascii="宋体" w:hAnsi="宋体" w:cs="宋体"/>
                <w:sz w:val="24"/>
              </w:rPr>
            </w:pPr>
            <w:r>
              <w:rPr>
                <w:rFonts w:hint="eastAsia" w:ascii="宋体" w:hAnsi="宋体" w:cs="宋体"/>
                <w:sz w:val="24"/>
              </w:rPr>
              <w:t>5300 Nm3/h</w:t>
            </w:r>
          </w:p>
        </w:tc>
      </w:tr>
      <w:tr w14:paraId="06E919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789F8AAB">
            <w:pPr>
              <w:spacing w:after="120" w:line="360" w:lineRule="auto"/>
              <w:rPr>
                <w:rFonts w:ascii="宋体" w:hAnsi="宋体" w:cs="宋体"/>
                <w:sz w:val="24"/>
              </w:rPr>
            </w:pPr>
            <w:r>
              <w:rPr>
                <w:rFonts w:hint="eastAsia" w:ascii="宋体" w:hAnsi="宋体" w:cs="宋体"/>
                <w:sz w:val="24"/>
              </w:rPr>
              <w:t>物料组成（进口）</w:t>
            </w:r>
          </w:p>
        </w:tc>
        <w:tc>
          <w:tcPr>
            <w:tcW w:w="8136" w:type="dxa"/>
            <w:vAlign w:val="center"/>
          </w:tcPr>
          <w:p w14:paraId="0E0BB588">
            <w:pPr>
              <w:spacing w:after="120" w:line="360" w:lineRule="auto"/>
              <w:rPr>
                <w:rFonts w:ascii="宋体" w:hAnsi="宋体" w:cs="宋体"/>
                <w:sz w:val="24"/>
              </w:rPr>
            </w:pPr>
            <w:r>
              <w:rPr>
                <w:rFonts w:hint="eastAsia" w:ascii="宋体" w:hAnsi="宋体" w:cs="宋体"/>
                <w:sz w:val="24"/>
              </w:rPr>
              <w:t>Cl</w:t>
            </w:r>
            <w:r>
              <w:rPr>
                <w:rFonts w:hint="eastAsia" w:ascii="宋体" w:hAnsi="宋体" w:cs="宋体"/>
                <w:sz w:val="24"/>
                <w:vertAlign w:val="subscript"/>
              </w:rPr>
              <w:t>2</w:t>
            </w:r>
            <w:r>
              <w:rPr>
                <w:rFonts w:hint="eastAsia" w:ascii="宋体" w:hAnsi="宋体" w:cs="宋体"/>
                <w:sz w:val="24"/>
              </w:rPr>
              <w:t>:≥98 vol%；H</w:t>
            </w:r>
            <w:r>
              <w:rPr>
                <w:rFonts w:hint="eastAsia" w:ascii="宋体" w:hAnsi="宋体" w:cs="宋体"/>
                <w:sz w:val="24"/>
                <w:vertAlign w:val="subscript"/>
              </w:rPr>
              <w:t>2</w:t>
            </w:r>
            <w:r>
              <w:rPr>
                <w:rFonts w:hint="eastAsia" w:ascii="宋体" w:hAnsi="宋体" w:cs="宋体"/>
                <w:sz w:val="24"/>
              </w:rPr>
              <w:t>O≤50ppm；O</w:t>
            </w:r>
            <w:r>
              <w:rPr>
                <w:rFonts w:hint="eastAsia" w:ascii="宋体" w:hAnsi="宋体" w:cs="宋体"/>
                <w:sz w:val="24"/>
                <w:vertAlign w:val="subscript"/>
              </w:rPr>
              <w:t>2</w:t>
            </w:r>
            <w:r>
              <w:rPr>
                <w:rFonts w:hint="eastAsia" w:ascii="宋体" w:hAnsi="宋体" w:cs="宋体"/>
                <w:sz w:val="24"/>
              </w:rPr>
              <w:t>:0.7～1.5%；N</w:t>
            </w:r>
            <w:r>
              <w:rPr>
                <w:rFonts w:hint="eastAsia" w:ascii="宋体" w:hAnsi="宋体" w:cs="宋体"/>
                <w:sz w:val="24"/>
                <w:vertAlign w:val="subscript"/>
              </w:rPr>
              <w:t>2</w:t>
            </w:r>
            <w:r>
              <w:rPr>
                <w:rFonts w:hint="eastAsia" w:ascii="宋体" w:hAnsi="宋体" w:cs="宋体"/>
                <w:sz w:val="24"/>
              </w:rPr>
              <w:t>:0.23～0.35%；H</w:t>
            </w:r>
            <w:r>
              <w:rPr>
                <w:rFonts w:hint="eastAsia" w:ascii="宋体" w:hAnsi="宋体" w:cs="宋体"/>
                <w:sz w:val="24"/>
                <w:vertAlign w:val="subscript"/>
              </w:rPr>
              <w:t>2</w:t>
            </w:r>
            <w:r>
              <w:rPr>
                <w:rFonts w:hint="eastAsia" w:ascii="宋体" w:hAnsi="宋体" w:cs="宋体"/>
                <w:sz w:val="24"/>
              </w:rPr>
              <w:t>:0.07～0.15%</w:t>
            </w:r>
          </w:p>
        </w:tc>
      </w:tr>
      <w:tr w14:paraId="56973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2ED72DFB">
            <w:pPr>
              <w:spacing w:after="120" w:line="360" w:lineRule="auto"/>
              <w:rPr>
                <w:rFonts w:ascii="宋体" w:hAnsi="宋体" w:cs="宋体"/>
                <w:sz w:val="24"/>
              </w:rPr>
            </w:pPr>
            <w:r>
              <w:rPr>
                <w:rFonts w:hint="eastAsia" w:ascii="宋体" w:hAnsi="宋体" w:cs="宋体"/>
                <w:sz w:val="24"/>
              </w:rPr>
              <w:t>进口温度</w:t>
            </w:r>
          </w:p>
        </w:tc>
        <w:tc>
          <w:tcPr>
            <w:tcW w:w="8136" w:type="dxa"/>
            <w:vAlign w:val="center"/>
          </w:tcPr>
          <w:p w14:paraId="440B1554">
            <w:pPr>
              <w:spacing w:after="120" w:line="360" w:lineRule="auto"/>
              <w:rPr>
                <w:rFonts w:ascii="宋体" w:hAnsi="宋体" w:cs="宋体"/>
                <w:sz w:val="24"/>
              </w:rPr>
            </w:pPr>
            <w:r>
              <w:rPr>
                <w:rFonts w:hint="eastAsia" w:ascii="宋体" w:hAnsi="宋体" w:cs="宋体"/>
                <w:sz w:val="24"/>
              </w:rPr>
              <w:t>≤</w:t>
            </w:r>
            <w:r>
              <w:rPr>
                <w:rFonts w:ascii="宋体" w:hAnsi="宋体" w:cs="宋体"/>
                <w:sz w:val="24"/>
              </w:rPr>
              <w:t>25</w:t>
            </w:r>
            <w:r>
              <w:rPr>
                <w:rFonts w:hint="eastAsia" w:ascii="宋体" w:hAnsi="宋体" w:cs="宋体"/>
                <w:sz w:val="24"/>
              </w:rPr>
              <w:t>℃</w:t>
            </w:r>
          </w:p>
        </w:tc>
      </w:tr>
      <w:tr w14:paraId="3395E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0A5E0E3F">
            <w:pPr>
              <w:spacing w:after="120" w:line="360" w:lineRule="auto"/>
              <w:rPr>
                <w:rFonts w:ascii="宋体" w:hAnsi="宋体" w:cs="宋体"/>
                <w:sz w:val="24"/>
              </w:rPr>
            </w:pPr>
            <w:r>
              <w:rPr>
                <w:rFonts w:hint="eastAsia" w:ascii="宋体" w:hAnsi="宋体" w:cs="宋体"/>
                <w:sz w:val="24"/>
              </w:rPr>
              <w:t>进口压力</w:t>
            </w:r>
          </w:p>
        </w:tc>
        <w:tc>
          <w:tcPr>
            <w:tcW w:w="8136" w:type="dxa"/>
            <w:vAlign w:val="center"/>
          </w:tcPr>
          <w:p w14:paraId="58C222F6">
            <w:pPr>
              <w:spacing w:after="120" w:line="360" w:lineRule="auto"/>
              <w:rPr>
                <w:rFonts w:ascii="宋体" w:hAnsi="宋体" w:cs="宋体"/>
                <w:sz w:val="24"/>
              </w:rPr>
            </w:pPr>
            <w:r>
              <w:rPr>
                <w:rFonts w:hint="eastAsia" w:ascii="宋体" w:hAnsi="宋体" w:cs="宋体"/>
                <w:sz w:val="24"/>
              </w:rPr>
              <w:t>0.088 MPa（A）</w:t>
            </w:r>
          </w:p>
        </w:tc>
      </w:tr>
      <w:tr w14:paraId="160B5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008DC250">
            <w:pPr>
              <w:spacing w:after="120" w:line="360" w:lineRule="auto"/>
              <w:rPr>
                <w:rFonts w:ascii="宋体" w:hAnsi="宋体" w:cs="宋体"/>
                <w:sz w:val="24"/>
              </w:rPr>
            </w:pPr>
            <w:r>
              <w:rPr>
                <w:rFonts w:hint="eastAsia" w:ascii="宋体" w:hAnsi="宋体" w:cs="宋体"/>
                <w:sz w:val="24"/>
              </w:rPr>
              <w:t>出口压力</w:t>
            </w:r>
          </w:p>
        </w:tc>
        <w:tc>
          <w:tcPr>
            <w:tcW w:w="8136" w:type="dxa"/>
            <w:vAlign w:val="center"/>
          </w:tcPr>
          <w:p w14:paraId="59719BF2">
            <w:pPr>
              <w:spacing w:after="120" w:line="360" w:lineRule="auto"/>
              <w:rPr>
                <w:rFonts w:ascii="宋体" w:hAnsi="宋体" w:cs="宋体"/>
                <w:sz w:val="24"/>
              </w:rPr>
            </w:pPr>
            <w:r>
              <w:rPr>
                <w:rFonts w:hint="eastAsia" w:ascii="宋体" w:hAnsi="宋体" w:cs="宋体"/>
                <w:sz w:val="24"/>
              </w:rPr>
              <w:t>0.</w:t>
            </w:r>
            <w:r>
              <w:rPr>
                <w:rFonts w:ascii="宋体" w:hAnsi="宋体" w:cs="宋体"/>
                <w:sz w:val="24"/>
              </w:rPr>
              <w:t>8</w:t>
            </w:r>
            <w:r>
              <w:rPr>
                <w:rFonts w:hint="eastAsia" w:ascii="宋体" w:hAnsi="宋体" w:cs="宋体"/>
                <w:sz w:val="24"/>
              </w:rPr>
              <w:t xml:space="preserve"> MPa（A）</w:t>
            </w:r>
          </w:p>
        </w:tc>
      </w:tr>
      <w:tr w14:paraId="0AB98A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32C0CD23">
            <w:pPr>
              <w:spacing w:after="120" w:line="360" w:lineRule="auto"/>
              <w:rPr>
                <w:rFonts w:ascii="宋体" w:hAnsi="宋体" w:cs="宋体"/>
                <w:sz w:val="24"/>
              </w:rPr>
            </w:pPr>
            <w:r>
              <w:rPr>
                <w:rFonts w:hint="eastAsia" w:ascii="宋体" w:hAnsi="宋体" w:cs="宋体"/>
                <w:sz w:val="24"/>
              </w:rPr>
              <w:t>出口气体温度</w:t>
            </w:r>
          </w:p>
        </w:tc>
        <w:tc>
          <w:tcPr>
            <w:tcW w:w="8136" w:type="dxa"/>
            <w:vAlign w:val="center"/>
          </w:tcPr>
          <w:p w14:paraId="632D5096">
            <w:pPr>
              <w:spacing w:after="120" w:line="360" w:lineRule="auto"/>
              <w:rPr>
                <w:rFonts w:ascii="宋体" w:hAnsi="宋体" w:cs="宋体"/>
                <w:sz w:val="24"/>
              </w:rPr>
            </w:pPr>
            <w:r>
              <w:rPr>
                <w:rFonts w:hint="eastAsia" w:ascii="宋体" w:hAnsi="宋体" w:cs="宋体"/>
                <w:sz w:val="24"/>
              </w:rPr>
              <w:t>≤40℃（出口气体温度为压缩机组经过冷却后的温度）</w:t>
            </w:r>
          </w:p>
        </w:tc>
      </w:tr>
      <w:tr w14:paraId="664FC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23DA3DFE">
            <w:pPr>
              <w:spacing w:after="120" w:line="360" w:lineRule="auto"/>
              <w:rPr>
                <w:rFonts w:ascii="宋体" w:hAnsi="宋体" w:cs="宋体"/>
                <w:sz w:val="24"/>
              </w:rPr>
            </w:pPr>
            <w:r>
              <w:rPr>
                <w:rFonts w:hint="eastAsia" w:ascii="宋体" w:hAnsi="宋体" w:cs="宋体"/>
                <w:sz w:val="24"/>
              </w:rPr>
              <w:t>冷却水（工作液）</w:t>
            </w:r>
          </w:p>
        </w:tc>
        <w:tc>
          <w:tcPr>
            <w:tcW w:w="8136" w:type="dxa"/>
            <w:vAlign w:val="center"/>
          </w:tcPr>
          <w:p w14:paraId="5760B1C0">
            <w:pPr>
              <w:spacing w:after="120" w:line="360" w:lineRule="auto"/>
              <w:rPr>
                <w:rFonts w:ascii="宋体" w:hAnsi="宋体" w:cs="宋体"/>
                <w:sz w:val="24"/>
              </w:rPr>
            </w:pPr>
            <w:r>
              <w:rPr>
                <w:rFonts w:hint="eastAsia" w:ascii="宋体" w:hAnsi="宋体" w:cs="宋体"/>
                <w:sz w:val="24"/>
              </w:rPr>
              <w:t>循环水，进水温度3</w:t>
            </w:r>
            <w:r>
              <w:rPr>
                <w:rFonts w:ascii="宋体" w:hAnsi="宋体" w:cs="宋体"/>
                <w:sz w:val="24"/>
              </w:rPr>
              <w:t>3</w:t>
            </w:r>
            <w:r>
              <w:rPr>
                <w:rFonts w:hint="eastAsia" w:ascii="宋体" w:hAnsi="宋体" w:cs="宋体"/>
                <w:sz w:val="24"/>
              </w:rPr>
              <w:t>℃，回水温度37℃。压力0.3MPa（G）</w:t>
            </w:r>
          </w:p>
        </w:tc>
      </w:tr>
      <w:tr w14:paraId="65EED3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7F8C5A8E">
            <w:pPr>
              <w:spacing w:after="120" w:line="360" w:lineRule="auto"/>
              <w:rPr>
                <w:rFonts w:ascii="宋体" w:hAnsi="宋体" w:cs="宋体"/>
                <w:sz w:val="24"/>
              </w:rPr>
            </w:pPr>
            <w:r>
              <w:rPr>
                <w:rFonts w:hint="eastAsia" w:ascii="宋体" w:hAnsi="宋体" w:cs="宋体"/>
                <w:sz w:val="24"/>
              </w:rPr>
              <w:t>压缩机类型</w:t>
            </w:r>
          </w:p>
        </w:tc>
        <w:tc>
          <w:tcPr>
            <w:tcW w:w="8136" w:type="dxa"/>
            <w:vAlign w:val="center"/>
          </w:tcPr>
          <w:p w14:paraId="791B95BF">
            <w:pPr>
              <w:spacing w:after="120" w:line="360" w:lineRule="auto"/>
              <w:rPr>
                <w:rFonts w:ascii="宋体" w:hAnsi="宋体" w:cs="宋体"/>
                <w:sz w:val="24"/>
              </w:rPr>
            </w:pPr>
            <w:r>
              <w:rPr>
                <w:rFonts w:hint="eastAsia" w:ascii="宋体" w:hAnsi="宋体" w:cs="宋体"/>
                <w:sz w:val="24"/>
              </w:rPr>
              <w:t>单轴多级叶轮离心式压缩机</w:t>
            </w:r>
          </w:p>
        </w:tc>
      </w:tr>
      <w:tr w14:paraId="279BC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42697C71">
            <w:pPr>
              <w:spacing w:after="120" w:line="360" w:lineRule="auto"/>
              <w:rPr>
                <w:rFonts w:ascii="宋体" w:hAnsi="宋体" w:cs="宋体"/>
                <w:sz w:val="24"/>
              </w:rPr>
            </w:pPr>
            <w:r>
              <w:rPr>
                <w:rFonts w:hint="eastAsia" w:ascii="宋体" w:hAnsi="宋体" w:cs="宋体"/>
                <w:sz w:val="24"/>
              </w:rPr>
              <w:t>电气</w:t>
            </w:r>
          </w:p>
        </w:tc>
        <w:tc>
          <w:tcPr>
            <w:tcW w:w="8136" w:type="dxa"/>
            <w:vAlign w:val="center"/>
          </w:tcPr>
          <w:p w14:paraId="77A1A1DD">
            <w:pPr>
              <w:spacing w:after="120" w:line="360" w:lineRule="auto"/>
              <w:rPr>
                <w:rFonts w:ascii="宋体" w:hAnsi="宋体" w:cs="宋体"/>
                <w:sz w:val="24"/>
              </w:rPr>
            </w:pPr>
            <w:r>
              <w:rPr>
                <w:rFonts w:hint="eastAsia" w:ascii="宋体" w:hAnsi="宋体" w:cs="宋体"/>
                <w:sz w:val="24"/>
              </w:rPr>
              <w:t>6KV-3P-50HZ，非防爆</w:t>
            </w:r>
          </w:p>
        </w:tc>
      </w:tr>
      <w:tr w14:paraId="15E92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2191406B">
            <w:pPr>
              <w:spacing w:after="120" w:line="360" w:lineRule="auto"/>
              <w:rPr>
                <w:rFonts w:ascii="宋体" w:hAnsi="宋体" w:cs="宋体"/>
                <w:sz w:val="24"/>
              </w:rPr>
            </w:pPr>
            <w:r>
              <w:rPr>
                <w:rFonts w:hint="eastAsia" w:ascii="宋体" w:hAnsi="宋体" w:cs="宋体"/>
                <w:sz w:val="24"/>
              </w:rPr>
              <w:t>安装位置</w:t>
            </w:r>
          </w:p>
        </w:tc>
        <w:tc>
          <w:tcPr>
            <w:tcW w:w="8136" w:type="dxa"/>
            <w:vAlign w:val="center"/>
          </w:tcPr>
          <w:p w14:paraId="7D08F486">
            <w:pPr>
              <w:spacing w:after="120" w:line="360" w:lineRule="auto"/>
              <w:rPr>
                <w:rFonts w:ascii="宋体" w:hAnsi="宋体" w:cs="宋体"/>
                <w:sz w:val="24"/>
              </w:rPr>
            </w:pPr>
            <w:r>
              <w:rPr>
                <w:rFonts w:hint="eastAsia" w:ascii="宋体" w:hAnsi="宋体" w:cs="宋体"/>
                <w:sz w:val="24"/>
              </w:rPr>
              <w:t>厂房内</w:t>
            </w:r>
          </w:p>
        </w:tc>
      </w:tr>
      <w:tr w14:paraId="394B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0700EA60">
            <w:pPr>
              <w:spacing w:after="120" w:line="360" w:lineRule="auto"/>
              <w:rPr>
                <w:rFonts w:ascii="宋体" w:hAnsi="宋体" w:cs="宋体"/>
                <w:sz w:val="24"/>
              </w:rPr>
            </w:pPr>
            <w:r>
              <w:rPr>
                <w:rFonts w:hint="eastAsia" w:ascii="宋体" w:hAnsi="宋体" w:cs="宋体"/>
                <w:sz w:val="24"/>
              </w:rPr>
              <w:t>法兰标准</w:t>
            </w:r>
          </w:p>
        </w:tc>
        <w:tc>
          <w:tcPr>
            <w:tcW w:w="8136" w:type="dxa"/>
            <w:vAlign w:val="center"/>
          </w:tcPr>
          <w:p w14:paraId="4F7EC303">
            <w:pPr>
              <w:spacing w:after="120" w:line="360" w:lineRule="auto"/>
              <w:rPr>
                <w:rFonts w:ascii="宋体" w:hAnsi="宋体" w:cs="宋体"/>
                <w:sz w:val="24"/>
              </w:rPr>
            </w:pPr>
            <w:r>
              <w:rPr>
                <w:rFonts w:hint="eastAsia" w:ascii="宋体" w:hAnsi="宋体" w:cs="宋体"/>
                <w:sz w:val="24"/>
              </w:rPr>
              <w:t>WN/FM  PN25  HG/T 20592-2009（B）</w:t>
            </w:r>
          </w:p>
        </w:tc>
      </w:tr>
      <w:tr w14:paraId="0ED9F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483535CD">
            <w:pPr>
              <w:spacing w:after="120" w:line="360" w:lineRule="auto"/>
              <w:rPr>
                <w:rFonts w:ascii="宋体" w:hAnsi="宋体" w:cs="宋体"/>
                <w:sz w:val="24"/>
              </w:rPr>
            </w:pPr>
            <w:r>
              <w:rPr>
                <w:rFonts w:hint="eastAsia" w:ascii="宋体" w:hAnsi="宋体" w:cs="宋体"/>
                <w:sz w:val="24"/>
              </w:rPr>
              <w:t>各级冷却器器</w:t>
            </w:r>
          </w:p>
        </w:tc>
        <w:tc>
          <w:tcPr>
            <w:tcW w:w="8136" w:type="dxa"/>
            <w:vAlign w:val="center"/>
          </w:tcPr>
          <w:p w14:paraId="3CAF2CA6">
            <w:pPr>
              <w:spacing w:after="120" w:line="360" w:lineRule="auto"/>
              <w:rPr>
                <w:rFonts w:ascii="宋体" w:hAnsi="宋体" w:cs="宋体"/>
                <w:sz w:val="24"/>
              </w:rPr>
            </w:pPr>
            <w:r>
              <w:rPr>
                <w:rFonts w:hint="eastAsia" w:ascii="宋体" w:hAnsi="宋体" w:cs="宋体"/>
                <w:sz w:val="24"/>
              </w:rPr>
              <w:t>配套提供，卧式布置</w:t>
            </w:r>
          </w:p>
        </w:tc>
      </w:tr>
      <w:tr w14:paraId="033642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39095925">
            <w:pPr>
              <w:spacing w:after="120" w:line="360" w:lineRule="auto"/>
              <w:rPr>
                <w:rFonts w:ascii="宋体" w:hAnsi="宋体" w:cs="宋体"/>
                <w:sz w:val="24"/>
              </w:rPr>
            </w:pPr>
            <w:r>
              <w:rPr>
                <w:rFonts w:hint="eastAsia" w:ascii="宋体" w:hAnsi="宋体" w:cs="宋体"/>
                <w:sz w:val="24"/>
              </w:rPr>
              <w:t>撬块提供</w:t>
            </w:r>
          </w:p>
        </w:tc>
        <w:tc>
          <w:tcPr>
            <w:tcW w:w="8136" w:type="dxa"/>
            <w:vAlign w:val="center"/>
          </w:tcPr>
          <w:p w14:paraId="203FF61D">
            <w:pPr>
              <w:spacing w:after="120" w:line="360" w:lineRule="auto"/>
              <w:rPr>
                <w:rFonts w:ascii="宋体" w:hAnsi="宋体" w:cs="宋体"/>
                <w:sz w:val="24"/>
              </w:rPr>
            </w:pPr>
            <w:r>
              <w:rPr>
                <w:rFonts w:hint="eastAsia" w:ascii="宋体" w:hAnsi="宋体" w:cs="宋体"/>
                <w:sz w:val="24"/>
              </w:rPr>
              <w:t>是，压缩机组、油站分别成撬块提供</w:t>
            </w:r>
          </w:p>
        </w:tc>
      </w:tr>
      <w:tr w14:paraId="799F6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780C02FF">
            <w:pPr>
              <w:spacing w:after="120" w:line="360" w:lineRule="auto"/>
              <w:rPr>
                <w:rFonts w:ascii="宋体" w:hAnsi="宋体" w:cs="宋体"/>
                <w:sz w:val="24"/>
              </w:rPr>
            </w:pPr>
            <w:r>
              <w:rPr>
                <w:rFonts w:hint="eastAsia" w:ascii="宋体" w:hAnsi="宋体" w:cs="宋体"/>
                <w:sz w:val="24"/>
              </w:rPr>
              <w:t>控制要求</w:t>
            </w:r>
          </w:p>
        </w:tc>
        <w:tc>
          <w:tcPr>
            <w:tcW w:w="8136" w:type="dxa"/>
            <w:vAlign w:val="center"/>
          </w:tcPr>
          <w:p w14:paraId="738894E5">
            <w:pPr>
              <w:spacing w:line="360" w:lineRule="auto"/>
              <w:rPr>
                <w:rFonts w:ascii="宋体" w:hAnsi="宋体" w:cs="宋体"/>
                <w:sz w:val="24"/>
              </w:rPr>
            </w:pPr>
            <w:r>
              <w:rPr>
                <w:rFonts w:hint="eastAsia" w:ascii="宋体" w:hAnsi="宋体" w:cs="宋体"/>
                <w:sz w:val="24"/>
              </w:rPr>
              <w:t>氯压机防喘振调节控制系统由投标人自行采购PLC实现控制，其他控制及报警联锁由招标人DCS系统实现，投标人提供的PLC系统应符合招标人要求的通讯格式并提供通讯地址表（RS485 Modbus RTU）投标人需提供的设计包括且不限于：</w:t>
            </w:r>
          </w:p>
          <w:p w14:paraId="3D8CD93D">
            <w:pPr>
              <w:spacing w:line="360" w:lineRule="auto"/>
              <w:rPr>
                <w:rFonts w:ascii="宋体" w:hAnsi="宋体" w:cs="宋体"/>
                <w:sz w:val="24"/>
              </w:rPr>
            </w:pPr>
            <w:r>
              <w:rPr>
                <w:rFonts w:hint="eastAsia" w:ascii="宋体" w:hAnsi="宋体" w:cs="宋体"/>
                <w:sz w:val="24"/>
              </w:rPr>
              <w:t>（1）、现场控制柜的指示灯、手自动切换、现场操作按钮与DCS的联系方式与控制逻辑；</w:t>
            </w:r>
          </w:p>
          <w:p w14:paraId="0E3A09F2">
            <w:pPr>
              <w:spacing w:line="360" w:lineRule="auto"/>
              <w:rPr>
                <w:rFonts w:ascii="宋体" w:hAnsi="宋体" w:cs="宋体"/>
                <w:sz w:val="24"/>
              </w:rPr>
            </w:pPr>
            <w:r>
              <w:rPr>
                <w:rFonts w:hint="eastAsia" w:ascii="宋体" w:hAnsi="宋体" w:cs="宋体"/>
                <w:sz w:val="24"/>
              </w:rPr>
              <w:t>（2）、PLC接收DCS什么信号后开始投入防喘振控制，DCS发出信号的条件和逻辑；</w:t>
            </w:r>
          </w:p>
          <w:p w14:paraId="7C1E896F">
            <w:pPr>
              <w:spacing w:line="360" w:lineRule="auto"/>
              <w:rPr>
                <w:rFonts w:ascii="宋体" w:hAnsi="宋体" w:cs="宋体"/>
                <w:sz w:val="24"/>
              </w:rPr>
            </w:pPr>
            <w:r>
              <w:rPr>
                <w:rFonts w:hint="eastAsia" w:ascii="宋体" w:hAnsi="宋体" w:cs="宋体"/>
                <w:sz w:val="24"/>
              </w:rPr>
              <w:t>（3）、PLC系统防喘振控制需要的测量信号采用信号分配器一分二，一路进PLC一路进DCS。信号分配器放现场控制箱由投标人设计采购，提供所有关联信号在PLC现场控制柜端的接线图；</w:t>
            </w:r>
          </w:p>
          <w:p w14:paraId="31794C2C">
            <w:pPr>
              <w:spacing w:line="360" w:lineRule="auto"/>
              <w:rPr>
                <w:rFonts w:ascii="宋体" w:hAnsi="宋体" w:cs="宋体"/>
                <w:sz w:val="24"/>
              </w:rPr>
            </w:pPr>
            <w:r>
              <w:rPr>
                <w:rFonts w:hint="eastAsia" w:ascii="宋体" w:hAnsi="宋体" w:cs="宋体"/>
                <w:sz w:val="24"/>
              </w:rPr>
              <w:t>（4）、通过PLC实现PLC、DCS防喘振阀开度高选控制；</w:t>
            </w:r>
          </w:p>
          <w:p w14:paraId="39F6AE6D">
            <w:pPr>
              <w:spacing w:line="360" w:lineRule="auto"/>
              <w:rPr>
                <w:rFonts w:ascii="宋体" w:hAnsi="宋体" w:cs="宋体"/>
                <w:sz w:val="24"/>
              </w:rPr>
            </w:pPr>
            <w:r>
              <w:rPr>
                <w:rFonts w:hint="eastAsia" w:ascii="宋体" w:hAnsi="宋体" w:cs="宋体"/>
                <w:sz w:val="24"/>
              </w:rPr>
              <w:t>（5）、DCS系统、SIS系统（若有）的组态由招标人负责，投标人配合组态、系统调试；</w:t>
            </w:r>
          </w:p>
        </w:tc>
      </w:tr>
      <w:tr w14:paraId="3B6DD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72" w:type="dxa"/>
            <w:vAlign w:val="center"/>
          </w:tcPr>
          <w:p w14:paraId="410B2560">
            <w:pPr>
              <w:spacing w:after="120" w:line="360" w:lineRule="auto"/>
              <w:rPr>
                <w:rFonts w:ascii="宋体" w:hAnsi="宋体" w:cs="宋体"/>
                <w:sz w:val="24"/>
              </w:rPr>
            </w:pPr>
            <w:r>
              <w:rPr>
                <w:rFonts w:hint="eastAsia" w:ascii="宋体" w:hAnsi="宋体" w:cs="宋体"/>
                <w:sz w:val="24"/>
              </w:rPr>
              <w:t>说明</w:t>
            </w:r>
          </w:p>
        </w:tc>
        <w:tc>
          <w:tcPr>
            <w:tcW w:w="8136" w:type="dxa"/>
            <w:vAlign w:val="center"/>
          </w:tcPr>
          <w:p w14:paraId="55FD8173">
            <w:pPr>
              <w:spacing w:line="360" w:lineRule="auto"/>
              <w:rPr>
                <w:rFonts w:ascii="宋体" w:hAnsi="宋体" w:cs="宋体"/>
                <w:sz w:val="24"/>
              </w:rPr>
            </w:pPr>
            <w:r>
              <w:rPr>
                <w:rFonts w:hint="eastAsia" w:ascii="宋体" w:hAnsi="宋体" w:cs="宋体"/>
                <w:sz w:val="24"/>
              </w:rPr>
              <w:t>（1）压缩机处理能力与12.5万吨/年烧碱配套。</w:t>
            </w:r>
          </w:p>
        </w:tc>
      </w:tr>
    </w:tbl>
    <w:p w14:paraId="7A8A17B5">
      <w:pPr>
        <w:widowControl/>
        <w:autoSpaceDE w:val="0"/>
        <w:autoSpaceDN w:val="0"/>
        <w:adjustRightInd w:val="0"/>
        <w:snapToGrid w:val="0"/>
        <w:spacing w:line="360" w:lineRule="auto"/>
        <w:textAlignment w:val="bottom"/>
        <w:rPr>
          <w:rFonts w:ascii="宋体" w:hAnsi="宋体"/>
          <w:b/>
          <w:bCs/>
        </w:rPr>
      </w:pPr>
    </w:p>
    <w:p w14:paraId="1AC6A6FC">
      <w:pPr>
        <w:adjustRightInd w:val="0"/>
        <w:snapToGrid w:val="0"/>
        <w:spacing w:line="360" w:lineRule="auto"/>
        <w:outlineLvl w:val="0"/>
        <w:rPr>
          <w:rFonts w:asciiTheme="majorEastAsia" w:hAnsiTheme="majorEastAsia" w:eastAsiaTheme="majorEastAsia"/>
          <w:bCs/>
          <w:sz w:val="28"/>
          <w:szCs w:val="28"/>
        </w:rPr>
      </w:pPr>
      <w:bookmarkStart w:id="147" w:name="_Toc195433159"/>
      <w:r>
        <w:rPr>
          <w:rFonts w:asciiTheme="majorEastAsia" w:hAnsiTheme="majorEastAsia" w:eastAsiaTheme="majorEastAsia"/>
          <w:bCs/>
          <w:sz w:val="28"/>
          <w:szCs w:val="28"/>
        </w:rPr>
        <w:t>4.</w:t>
      </w:r>
      <w:r>
        <w:rPr>
          <w:rFonts w:hint="eastAsia" w:asciiTheme="majorEastAsia" w:hAnsiTheme="majorEastAsia" w:eastAsiaTheme="majorEastAsia"/>
          <w:bCs/>
          <w:sz w:val="28"/>
          <w:szCs w:val="28"/>
        </w:rPr>
        <w:t>设计制造检验等要求</w:t>
      </w:r>
      <w:bookmarkEnd w:id="147"/>
    </w:p>
    <w:p w14:paraId="1570CA8F">
      <w:pPr>
        <w:numPr>
          <w:ilvl w:val="0"/>
          <w:numId w:val="8"/>
        </w:numPr>
        <w:spacing w:line="360" w:lineRule="auto"/>
        <w:ind w:left="0" w:firstLine="0"/>
        <w:jc w:val="left"/>
        <w:rPr>
          <w:rFonts w:ascii="宋体" w:hAnsi="宋体" w:cs="宋体"/>
          <w:sz w:val="24"/>
        </w:rPr>
      </w:pPr>
      <w:r>
        <w:rPr>
          <w:rFonts w:hint="eastAsia" w:ascii="宋体" w:hAnsi="宋体" w:cs="宋体"/>
          <w:sz w:val="24"/>
        </w:rPr>
        <w:t>压缩机组</w:t>
      </w:r>
    </w:p>
    <w:p w14:paraId="10DBAB73">
      <w:pPr>
        <w:numPr>
          <w:ilvl w:val="0"/>
          <w:numId w:val="9"/>
        </w:numPr>
        <w:spacing w:line="360" w:lineRule="auto"/>
        <w:ind w:left="420" w:firstLine="0"/>
        <w:jc w:val="left"/>
        <w:rPr>
          <w:rFonts w:ascii="宋体" w:hAnsi="宋体" w:cs="宋体"/>
          <w:sz w:val="24"/>
        </w:rPr>
      </w:pPr>
      <w:r>
        <w:rPr>
          <w:rFonts w:hint="eastAsia" w:ascii="宋体" w:hAnsi="宋体" w:cs="宋体"/>
          <w:sz w:val="24"/>
        </w:rPr>
        <w:t xml:space="preserve"> 机组总体要求</w:t>
      </w:r>
    </w:p>
    <w:p w14:paraId="0B3595CB">
      <w:pPr>
        <w:numPr>
          <w:ilvl w:val="0"/>
          <w:numId w:val="10"/>
        </w:numPr>
        <w:spacing w:line="360" w:lineRule="auto"/>
        <w:ind w:firstLine="0"/>
        <w:jc w:val="left"/>
        <w:rPr>
          <w:rFonts w:ascii="宋体" w:hAnsi="宋体" w:cs="宋体"/>
          <w:sz w:val="24"/>
        </w:rPr>
      </w:pPr>
      <w:r>
        <w:rPr>
          <w:rFonts w:hint="eastAsia" w:ascii="宋体" w:hAnsi="宋体" w:cs="宋体"/>
          <w:sz w:val="24"/>
        </w:rPr>
        <w:t>户内安装，有顶棚，无采暖；</w:t>
      </w:r>
    </w:p>
    <w:p w14:paraId="48FF4DB8">
      <w:pPr>
        <w:pStyle w:val="298"/>
        <w:numPr>
          <w:ilvl w:val="0"/>
          <w:numId w:val="10"/>
        </w:numPr>
        <w:adjustRightInd/>
        <w:spacing w:line="360" w:lineRule="auto"/>
        <w:ind w:left="0" w:firstLine="420" w:firstLineChars="175"/>
        <w:jc w:val="left"/>
        <w:textAlignment w:val="auto"/>
        <w:rPr>
          <w:rFonts w:hAnsi="宋体" w:cs="宋体"/>
        </w:rPr>
      </w:pPr>
      <w:r>
        <w:rPr>
          <w:rFonts w:hint="eastAsia" w:hAnsi="宋体" w:cs="宋体"/>
        </w:rPr>
        <w:t>压缩机和驱动机布置在二楼，润滑油站等辅机布置在一楼，润滑油事故停车高位油箱布置在机组回转轴线上方约6米处。</w:t>
      </w:r>
    </w:p>
    <w:p w14:paraId="356FEC7B">
      <w:pPr>
        <w:numPr>
          <w:ilvl w:val="0"/>
          <w:numId w:val="10"/>
        </w:numPr>
        <w:spacing w:line="360" w:lineRule="auto"/>
        <w:ind w:firstLine="0"/>
        <w:rPr>
          <w:rFonts w:ascii="宋体" w:hAnsi="宋体" w:cs="宋体"/>
          <w:sz w:val="24"/>
        </w:rPr>
      </w:pPr>
      <w:r>
        <w:rPr>
          <w:rFonts w:hint="eastAsia" w:ascii="宋体" w:hAnsi="宋体" w:cs="宋体"/>
          <w:sz w:val="24"/>
        </w:rPr>
        <w:t xml:space="preserve">驱动机型式：电机（4极电机） </w:t>
      </w:r>
    </w:p>
    <w:p w14:paraId="164F5E43">
      <w:pPr>
        <w:numPr>
          <w:ilvl w:val="0"/>
          <w:numId w:val="10"/>
        </w:numPr>
        <w:spacing w:line="360" w:lineRule="auto"/>
        <w:ind w:firstLine="0"/>
        <w:rPr>
          <w:rFonts w:ascii="宋体" w:hAnsi="宋体" w:cs="宋体"/>
          <w:sz w:val="24"/>
        </w:rPr>
      </w:pPr>
      <w:r>
        <w:rPr>
          <w:rFonts w:hint="eastAsia" w:ascii="宋体" w:hAnsi="宋体" w:cs="宋体"/>
          <w:sz w:val="24"/>
        </w:rPr>
        <w:t>旋转方向：带导叶的缸体结构形式从驱动机侧向压缩机看，压缩机转向为逆时针。</w:t>
      </w:r>
    </w:p>
    <w:p w14:paraId="7B730863">
      <w:pPr>
        <w:numPr>
          <w:ilvl w:val="0"/>
          <w:numId w:val="10"/>
        </w:numPr>
        <w:spacing w:line="360" w:lineRule="auto"/>
        <w:ind w:firstLine="0"/>
        <w:rPr>
          <w:rFonts w:ascii="宋体" w:hAnsi="宋体" w:cs="宋体"/>
          <w:sz w:val="24"/>
        </w:rPr>
      </w:pPr>
      <w:r>
        <w:rPr>
          <w:rFonts w:hint="eastAsia" w:ascii="宋体" w:hAnsi="宋体" w:cs="宋体"/>
          <w:sz w:val="24"/>
        </w:rPr>
        <w:t>流量调节方式：防喘振回、增加大回流、小回流设计。</w:t>
      </w:r>
    </w:p>
    <w:p w14:paraId="4DAE4A19">
      <w:pPr>
        <w:pStyle w:val="298"/>
        <w:numPr>
          <w:ilvl w:val="0"/>
          <w:numId w:val="10"/>
        </w:numPr>
        <w:adjustRightInd/>
        <w:spacing w:line="360" w:lineRule="auto"/>
        <w:ind w:left="0" w:firstLine="420" w:firstLineChars="175"/>
        <w:jc w:val="left"/>
        <w:textAlignment w:val="auto"/>
        <w:rPr>
          <w:rFonts w:hAnsi="宋体" w:cs="宋体"/>
        </w:rPr>
      </w:pPr>
      <w:r>
        <w:rPr>
          <w:rFonts w:hint="eastAsia" w:hAnsi="宋体" w:cs="宋体"/>
        </w:rPr>
        <w:t>底座：压缩机组采用公用底座（详细描述：电机、齿轮箱和压缩机公用底座），包括防滑盖板、地脚螺栓、调平垫块和不锈钢垫片，地脚螺栓采用基础贯穿式。底座两端至少对置安装2个接地接线柱。</w:t>
      </w:r>
    </w:p>
    <w:p w14:paraId="55911037">
      <w:pPr>
        <w:numPr>
          <w:ilvl w:val="0"/>
          <w:numId w:val="10"/>
        </w:numPr>
        <w:spacing w:line="360" w:lineRule="auto"/>
        <w:ind w:firstLine="0"/>
        <w:rPr>
          <w:rFonts w:ascii="宋体" w:hAnsi="宋体" w:cs="宋体"/>
          <w:sz w:val="24"/>
        </w:rPr>
      </w:pPr>
      <w:r>
        <w:rPr>
          <w:rFonts w:hint="eastAsia" w:ascii="宋体" w:hAnsi="宋体" w:cs="宋体"/>
          <w:sz w:val="24"/>
        </w:rPr>
        <w:t>联轴器与护罩：</w:t>
      </w:r>
    </w:p>
    <w:p w14:paraId="0D0F4E3A">
      <w:pPr>
        <w:spacing w:line="360" w:lineRule="auto"/>
        <w:ind w:firstLine="960" w:firstLineChars="400"/>
        <w:rPr>
          <w:rFonts w:ascii="宋体" w:hAnsi="宋体" w:cs="宋体"/>
          <w:sz w:val="24"/>
        </w:rPr>
      </w:pPr>
      <w:r>
        <w:rPr>
          <w:rFonts w:hint="eastAsia" w:ascii="宋体" w:hAnsi="宋体" w:cs="宋体"/>
          <w:sz w:val="24"/>
        </w:rPr>
        <w:t>联轴器：膜片式（叠片式）</w:t>
      </w:r>
    </w:p>
    <w:p w14:paraId="6E834BB7">
      <w:pPr>
        <w:spacing w:line="360" w:lineRule="auto"/>
        <w:ind w:firstLine="960" w:firstLineChars="400"/>
        <w:rPr>
          <w:rFonts w:ascii="宋体" w:hAnsi="宋体" w:cs="宋体"/>
          <w:sz w:val="24"/>
        </w:rPr>
      </w:pPr>
      <w:r>
        <w:rPr>
          <w:rFonts w:hint="eastAsia" w:ascii="宋体" w:hAnsi="宋体" w:cs="宋体"/>
          <w:sz w:val="24"/>
        </w:rPr>
        <w:t>护罩：全封闭304材质，高速端为全封闭护罩，低速端为半封闭护罩。</w:t>
      </w:r>
    </w:p>
    <w:p w14:paraId="44DE1C03">
      <w:pPr>
        <w:numPr>
          <w:ilvl w:val="0"/>
          <w:numId w:val="10"/>
        </w:numPr>
        <w:spacing w:line="360" w:lineRule="auto"/>
        <w:ind w:left="0" w:firstLine="420" w:firstLineChars="175"/>
        <w:rPr>
          <w:rFonts w:ascii="宋体" w:hAnsi="宋体" w:cs="宋体"/>
          <w:sz w:val="24"/>
        </w:rPr>
      </w:pPr>
      <w:r>
        <w:rPr>
          <w:rFonts w:hint="eastAsia" w:ascii="宋体" w:hAnsi="宋体" w:cs="宋体"/>
          <w:sz w:val="24"/>
        </w:rPr>
        <w:t>公用底座范围内的全部管线交接到底座边缘，并带有非标配对法兰、螺栓、螺母、垫片（不带标准配对法兰、螺栓、螺母、垫片）。公用底座内的全部仪表，包括接线盒的配线以及至机旁盘的保护管，接到开架式仪表盘（独立于底座）。</w:t>
      </w:r>
    </w:p>
    <w:p w14:paraId="52F5B613">
      <w:pPr>
        <w:numPr>
          <w:ilvl w:val="0"/>
          <w:numId w:val="10"/>
        </w:numPr>
        <w:spacing w:line="360" w:lineRule="auto"/>
        <w:ind w:firstLine="0"/>
        <w:rPr>
          <w:rFonts w:ascii="宋体" w:hAnsi="宋体" w:cs="宋体"/>
          <w:sz w:val="24"/>
        </w:rPr>
      </w:pPr>
      <w:r>
        <w:rPr>
          <w:rFonts w:hint="eastAsia" w:ascii="宋体" w:hAnsi="宋体" w:cs="宋体"/>
          <w:sz w:val="24"/>
        </w:rPr>
        <w:t>压缩机组排烟后汇总至底座边缘，由招标人接至润滑油站排烟风机接口。</w:t>
      </w:r>
    </w:p>
    <w:p w14:paraId="4E3F3AF2">
      <w:pPr>
        <w:numPr>
          <w:ilvl w:val="0"/>
          <w:numId w:val="9"/>
        </w:numPr>
        <w:spacing w:line="360" w:lineRule="auto"/>
        <w:ind w:left="420" w:firstLine="0"/>
        <w:rPr>
          <w:rFonts w:ascii="宋体" w:hAnsi="宋体" w:cs="宋体"/>
          <w:sz w:val="24"/>
        </w:rPr>
      </w:pPr>
      <w:r>
        <w:rPr>
          <w:rFonts w:hint="eastAsia" w:ascii="宋体" w:hAnsi="宋体" w:cs="宋体"/>
          <w:sz w:val="24"/>
        </w:rPr>
        <w:t xml:space="preserve"> 机组结构要求</w:t>
      </w:r>
    </w:p>
    <w:p w14:paraId="119F9792">
      <w:pPr>
        <w:numPr>
          <w:ilvl w:val="0"/>
          <w:numId w:val="11"/>
        </w:numPr>
        <w:spacing w:line="360" w:lineRule="auto"/>
        <w:ind w:firstLine="0"/>
        <w:rPr>
          <w:rFonts w:ascii="宋体" w:hAnsi="宋体" w:cs="宋体"/>
          <w:sz w:val="24"/>
        </w:rPr>
      </w:pPr>
      <w:r>
        <w:rPr>
          <w:rFonts w:hint="eastAsia" w:ascii="宋体" w:hAnsi="宋体" w:cs="宋体"/>
          <w:sz w:val="24"/>
        </w:rPr>
        <w:t>采用水平剖分铸钢机壳，窝壳在隔板上。</w:t>
      </w:r>
    </w:p>
    <w:p w14:paraId="6D3AE44E">
      <w:pPr>
        <w:numPr>
          <w:ilvl w:val="0"/>
          <w:numId w:val="11"/>
        </w:numPr>
        <w:spacing w:line="360" w:lineRule="auto"/>
        <w:ind w:firstLine="0"/>
        <w:rPr>
          <w:rFonts w:ascii="宋体" w:hAnsi="宋体" w:cs="宋体"/>
          <w:sz w:val="24"/>
        </w:rPr>
      </w:pPr>
      <w:r>
        <w:rPr>
          <w:rFonts w:hint="eastAsia" w:ascii="宋体" w:hAnsi="宋体" w:cs="宋体"/>
          <w:sz w:val="24"/>
        </w:rPr>
        <w:t>轴承型式：</w:t>
      </w:r>
    </w:p>
    <w:p w14:paraId="412A5826">
      <w:pPr>
        <w:spacing w:line="360" w:lineRule="auto"/>
        <w:ind w:firstLine="960" w:firstLineChars="400"/>
        <w:rPr>
          <w:rFonts w:ascii="宋体" w:hAnsi="宋体" w:cs="宋体"/>
          <w:sz w:val="24"/>
        </w:rPr>
      </w:pPr>
      <w:r>
        <w:rPr>
          <w:rFonts w:hint="eastAsia" w:ascii="宋体" w:hAnsi="宋体" w:cs="宋体"/>
          <w:sz w:val="24"/>
        </w:rPr>
        <w:t>径向轴承：可倾瓦式，水平剖分，带埋入式测温元件。</w:t>
      </w:r>
    </w:p>
    <w:p w14:paraId="7F7A9B8F">
      <w:pPr>
        <w:spacing w:line="360" w:lineRule="auto"/>
        <w:ind w:firstLine="960" w:firstLineChars="400"/>
        <w:rPr>
          <w:rFonts w:ascii="宋体" w:hAnsi="宋体" w:cs="宋体"/>
          <w:sz w:val="24"/>
        </w:rPr>
      </w:pPr>
      <w:r>
        <w:rPr>
          <w:rFonts w:hint="eastAsia" w:ascii="宋体" w:hAnsi="宋体" w:cs="宋体"/>
          <w:sz w:val="24"/>
        </w:rPr>
        <w:t>推力轴承：金斯博雷式，倾斜瓦块双作用自平衡型，带埋入式测温元件，推力轴承载荷不应超过制造商允许最大载荷的50%。</w:t>
      </w:r>
    </w:p>
    <w:p w14:paraId="5D75E560">
      <w:pPr>
        <w:numPr>
          <w:ilvl w:val="0"/>
          <w:numId w:val="11"/>
        </w:numPr>
        <w:spacing w:line="360" w:lineRule="auto"/>
        <w:ind w:firstLine="0"/>
        <w:rPr>
          <w:rFonts w:ascii="宋体" w:hAnsi="宋体" w:cs="宋体"/>
          <w:sz w:val="24"/>
        </w:rPr>
      </w:pPr>
      <w:r>
        <w:rPr>
          <w:rFonts w:hint="eastAsia" w:ascii="宋体" w:hAnsi="宋体" w:cs="宋体"/>
          <w:sz w:val="24"/>
        </w:rPr>
        <w:t>*轴端密封型式：三腔迷宫式密封，材质哈</w:t>
      </w:r>
      <w:r>
        <w:rPr>
          <w:rFonts w:ascii="宋体" w:hAnsi="宋体" w:cs="宋体"/>
          <w:sz w:val="24"/>
        </w:rPr>
        <w:t>C276或镍</w:t>
      </w:r>
      <w:r>
        <w:rPr>
          <w:rFonts w:hint="eastAsia" w:ascii="宋体" w:hAnsi="宋体" w:cs="宋体"/>
          <w:sz w:val="24"/>
        </w:rPr>
        <w:t>。</w:t>
      </w:r>
    </w:p>
    <w:p w14:paraId="7750D419">
      <w:pPr>
        <w:numPr>
          <w:ilvl w:val="0"/>
          <w:numId w:val="11"/>
        </w:numPr>
        <w:spacing w:line="360" w:lineRule="auto"/>
        <w:ind w:firstLine="0"/>
        <w:rPr>
          <w:rFonts w:ascii="宋体" w:hAnsi="宋体" w:cs="宋体"/>
          <w:sz w:val="24"/>
        </w:rPr>
      </w:pPr>
      <w:r>
        <w:rPr>
          <w:rFonts w:hint="eastAsia" w:ascii="宋体" w:hAnsi="宋体" w:cs="宋体"/>
          <w:sz w:val="24"/>
        </w:rPr>
        <w:t>级间密封、叶轮口圈密封和轴端前置密封为迷宫式，材质</w:t>
      </w:r>
      <w:r>
        <w:rPr>
          <w:rFonts w:ascii="宋体" w:hAnsi="宋体" w:cs="宋体"/>
          <w:sz w:val="24"/>
        </w:rPr>
        <w:t>Cu Zn 37（</w:t>
      </w:r>
      <w:r>
        <w:rPr>
          <w:rFonts w:hint="eastAsia" w:ascii="宋体" w:hAnsi="宋体" w:cs="宋体"/>
          <w:sz w:val="24"/>
        </w:rPr>
        <w:t>黄铜合金</w:t>
      </w:r>
      <w:r>
        <w:rPr>
          <w:rFonts w:ascii="宋体" w:hAnsi="宋体" w:cs="宋体"/>
          <w:sz w:val="24"/>
        </w:rPr>
        <w:t>）</w:t>
      </w:r>
      <w:r>
        <w:rPr>
          <w:rFonts w:hint="eastAsia" w:ascii="宋体" w:hAnsi="宋体" w:cs="宋体"/>
          <w:sz w:val="24"/>
        </w:rPr>
        <w:t>或</w:t>
      </w:r>
      <w:r>
        <w:rPr>
          <w:rFonts w:ascii="宋体" w:hAnsi="宋体" w:cs="宋体"/>
          <w:sz w:val="24"/>
        </w:rPr>
        <w:t>C276或镍</w:t>
      </w:r>
      <w:r>
        <w:rPr>
          <w:rFonts w:hint="eastAsia" w:ascii="宋体" w:hAnsi="宋体" w:cs="宋体"/>
          <w:sz w:val="24"/>
        </w:rPr>
        <w:t>。</w:t>
      </w:r>
    </w:p>
    <w:p w14:paraId="657E4D98">
      <w:pPr>
        <w:numPr>
          <w:ilvl w:val="0"/>
          <w:numId w:val="11"/>
        </w:numPr>
        <w:spacing w:line="360" w:lineRule="auto"/>
        <w:ind w:left="0" w:firstLine="420" w:firstLineChars="175"/>
        <w:rPr>
          <w:rFonts w:ascii="宋体" w:hAnsi="宋体" w:cs="宋体"/>
          <w:sz w:val="24"/>
        </w:rPr>
      </w:pPr>
      <w:r>
        <w:rPr>
          <w:rFonts w:hint="eastAsia" w:ascii="宋体" w:hAnsi="宋体" w:cs="宋体"/>
          <w:sz w:val="24"/>
        </w:rPr>
        <w:t>壳体水压试验按最大工作压力的1.5倍进行，压缩机壳体进出管口最大允许承受的力和力矩执行API617标准。</w:t>
      </w:r>
    </w:p>
    <w:p w14:paraId="6508E6F6">
      <w:pPr>
        <w:numPr>
          <w:ilvl w:val="0"/>
          <w:numId w:val="11"/>
        </w:numPr>
        <w:spacing w:line="360" w:lineRule="auto"/>
        <w:ind w:firstLine="0"/>
        <w:rPr>
          <w:rFonts w:ascii="宋体" w:hAnsi="宋体" w:cs="宋体"/>
          <w:sz w:val="24"/>
        </w:rPr>
      </w:pPr>
      <w:r>
        <w:rPr>
          <w:rFonts w:hint="eastAsia" w:ascii="宋体" w:hAnsi="宋体" w:cs="宋体"/>
          <w:sz w:val="24"/>
        </w:rPr>
        <w:t>平衡管设计应保证密封间隙为原设计值的两倍时仍能维持轴端密封性能。</w:t>
      </w:r>
    </w:p>
    <w:p w14:paraId="41711A17">
      <w:pPr>
        <w:numPr>
          <w:ilvl w:val="0"/>
          <w:numId w:val="11"/>
        </w:numPr>
        <w:spacing w:line="360" w:lineRule="auto"/>
        <w:ind w:firstLine="0"/>
        <w:rPr>
          <w:rFonts w:ascii="宋体" w:hAnsi="宋体" w:cs="宋体"/>
          <w:sz w:val="24"/>
        </w:rPr>
      </w:pPr>
      <w:r>
        <w:rPr>
          <w:rFonts w:hint="eastAsia" w:ascii="宋体" w:hAnsi="宋体" w:cs="宋体"/>
          <w:sz w:val="24"/>
        </w:rPr>
        <w:t>转子部件：</w:t>
      </w:r>
    </w:p>
    <w:p w14:paraId="37E0D444">
      <w:pPr>
        <w:spacing w:line="360" w:lineRule="auto"/>
        <w:ind w:firstLine="960" w:firstLineChars="400"/>
        <w:rPr>
          <w:rFonts w:ascii="宋体" w:hAnsi="宋体" w:cs="宋体"/>
          <w:sz w:val="24"/>
        </w:rPr>
      </w:pPr>
      <w:r>
        <w:rPr>
          <w:rFonts w:hint="eastAsia" w:ascii="宋体" w:hAnsi="宋体" w:cs="宋体"/>
          <w:sz w:val="24"/>
        </w:rPr>
        <w:t>主轴：锻钢轴带不锈钢轴套。</w:t>
      </w:r>
    </w:p>
    <w:p w14:paraId="32E6E4F3">
      <w:pPr>
        <w:spacing w:line="360" w:lineRule="auto"/>
        <w:ind w:firstLine="960" w:firstLineChars="400"/>
        <w:rPr>
          <w:rFonts w:ascii="宋体" w:hAnsi="宋体" w:cs="宋体"/>
          <w:sz w:val="24"/>
        </w:rPr>
      </w:pPr>
      <w:r>
        <w:rPr>
          <w:rFonts w:hint="eastAsia" w:ascii="宋体" w:hAnsi="宋体" w:cs="宋体"/>
          <w:sz w:val="24"/>
        </w:rPr>
        <w:t>叶轮：闭式锻造铣制焊接叶轮。</w:t>
      </w:r>
    </w:p>
    <w:p w14:paraId="65896791">
      <w:pPr>
        <w:spacing w:line="360" w:lineRule="auto"/>
        <w:ind w:firstLine="960" w:firstLineChars="400"/>
        <w:rPr>
          <w:rFonts w:ascii="宋体" w:hAnsi="宋体" w:cs="宋体"/>
          <w:sz w:val="24"/>
        </w:rPr>
      </w:pPr>
      <w:r>
        <w:rPr>
          <w:rFonts w:hint="eastAsia" w:ascii="宋体" w:hAnsi="宋体" w:cs="宋体"/>
          <w:sz w:val="24"/>
        </w:rPr>
        <w:t>单个叶轮超速试验转速：1.15倍最大连续转速。</w:t>
      </w:r>
    </w:p>
    <w:p w14:paraId="15D51AE6">
      <w:pPr>
        <w:spacing w:line="360" w:lineRule="auto"/>
        <w:ind w:firstLine="960" w:firstLineChars="400"/>
        <w:rPr>
          <w:rFonts w:ascii="宋体" w:hAnsi="宋体" w:cs="宋体"/>
          <w:sz w:val="24"/>
        </w:rPr>
      </w:pPr>
      <w:r>
        <w:rPr>
          <w:rFonts w:hint="eastAsia" w:ascii="宋体" w:hAnsi="宋体" w:cs="宋体"/>
          <w:sz w:val="24"/>
        </w:rPr>
        <w:t>转子进行低、高速动平衡，转子动平衡带合同联轴器的安装盘进行，不允许在联轴器上去重，动平衡按API617进行，校核转速不超过最大连续转速。</w:t>
      </w:r>
    </w:p>
    <w:p w14:paraId="27847CB4">
      <w:pPr>
        <w:numPr>
          <w:ilvl w:val="0"/>
          <w:numId w:val="11"/>
        </w:numPr>
        <w:spacing w:line="360" w:lineRule="auto"/>
        <w:ind w:firstLine="0"/>
        <w:rPr>
          <w:rFonts w:ascii="宋体" w:hAnsi="宋体" w:cs="宋体"/>
          <w:sz w:val="24"/>
        </w:rPr>
      </w:pPr>
      <w:r>
        <w:rPr>
          <w:rFonts w:hint="eastAsia" w:ascii="宋体" w:hAnsi="宋体" w:cs="宋体"/>
          <w:sz w:val="24"/>
        </w:rPr>
        <w:t>机组推力盘与主轴的配合形式为：锥面液压安装</w:t>
      </w:r>
    </w:p>
    <w:p w14:paraId="2E43FDF8">
      <w:pPr>
        <w:numPr>
          <w:ilvl w:val="0"/>
          <w:numId w:val="11"/>
        </w:numPr>
        <w:spacing w:line="360" w:lineRule="auto"/>
        <w:ind w:firstLine="0"/>
        <w:rPr>
          <w:rFonts w:ascii="宋体" w:hAnsi="宋体" w:cs="宋体"/>
          <w:sz w:val="24"/>
        </w:rPr>
      </w:pPr>
      <w:r>
        <w:rPr>
          <w:rFonts w:hint="eastAsia" w:ascii="宋体" w:hAnsi="宋体" w:cs="宋体"/>
          <w:sz w:val="24"/>
        </w:rPr>
        <w:t>离心压缩机提供下列配套设备和材料：</w:t>
      </w:r>
    </w:p>
    <w:p w14:paraId="0323EB4B">
      <w:pPr>
        <w:numPr>
          <w:ilvl w:val="0"/>
          <w:numId w:val="12"/>
        </w:numPr>
        <w:spacing w:line="360" w:lineRule="auto"/>
        <w:rPr>
          <w:rFonts w:ascii="宋体" w:hAnsi="宋体" w:cs="宋体"/>
          <w:sz w:val="24"/>
        </w:rPr>
      </w:pPr>
      <w:r>
        <w:rPr>
          <w:rFonts w:hint="eastAsia" w:ascii="宋体" w:hAnsi="宋体" w:cs="宋体"/>
          <w:sz w:val="24"/>
        </w:rPr>
        <w:t>轴振动、轴位移探头：</w:t>
      </w:r>
    </w:p>
    <w:p w14:paraId="767DF074">
      <w:pPr>
        <w:spacing w:line="360" w:lineRule="auto"/>
        <w:ind w:firstLine="960" w:firstLineChars="400"/>
        <w:rPr>
          <w:rFonts w:ascii="宋体" w:hAnsi="宋体" w:cs="宋体"/>
          <w:sz w:val="24"/>
        </w:rPr>
      </w:pPr>
      <w:r>
        <w:rPr>
          <w:rFonts w:hint="eastAsia" w:ascii="宋体" w:hAnsi="宋体" w:cs="宋体"/>
          <w:sz w:val="24"/>
        </w:rPr>
        <w:t>压缩机每个径向轴承部位安装2个（互成90度角）振动探头。</w:t>
      </w:r>
    </w:p>
    <w:p w14:paraId="18452E72">
      <w:pPr>
        <w:spacing w:line="360" w:lineRule="auto"/>
        <w:ind w:firstLine="960" w:firstLineChars="400"/>
        <w:rPr>
          <w:rFonts w:ascii="宋体" w:hAnsi="宋体" w:cs="宋体"/>
          <w:sz w:val="24"/>
        </w:rPr>
      </w:pPr>
      <w:r>
        <w:rPr>
          <w:rFonts w:hint="eastAsia" w:ascii="宋体" w:hAnsi="宋体" w:cs="宋体"/>
          <w:sz w:val="24"/>
        </w:rPr>
        <w:t>压缩机推力轴承侧安装3个轴位移探头。</w:t>
      </w:r>
    </w:p>
    <w:p w14:paraId="5F287754">
      <w:pPr>
        <w:numPr>
          <w:ilvl w:val="0"/>
          <w:numId w:val="12"/>
        </w:numPr>
        <w:spacing w:line="360" w:lineRule="auto"/>
        <w:rPr>
          <w:rFonts w:ascii="宋体" w:hAnsi="宋体" w:cs="宋体"/>
          <w:sz w:val="24"/>
        </w:rPr>
      </w:pPr>
      <w:r>
        <w:rPr>
          <w:rFonts w:hint="eastAsia" w:ascii="宋体" w:hAnsi="宋体" w:cs="宋体"/>
          <w:sz w:val="24"/>
        </w:rPr>
        <w:t>测温元件：</w:t>
      </w:r>
    </w:p>
    <w:p w14:paraId="24A014E4">
      <w:pPr>
        <w:spacing w:line="360" w:lineRule="auto"/>
        <w:ind w:firstLine="960" w:firstLineChars="400"/>
        <w:rPr>
          <w:rFonts w:ascii="宋体" w:hAnsi="宋体" w:cs="宋体"/>
          <w:sz w:val="24"/>
        </w:rPr>
      </w:pPr>
      <w:r>
        <w:rPr>
          <w:rFonts w:hint="eastAsia" w:ascii="宋体" w:hAnsi="宋体" w:cs="宋体"/>
          <w:sz w:val="24"/>
        </w:rPr>
        <w:t>压缩机径向轴承瓦块上埋（Pt100型）双支温度检测元件2个。</w:t>
      </w:r>
    </w:p>
    <w:p w14:paraId="732DFE65">
      <w:pPr>
        <w:spacing w:line="360" w:lineRule="auto"/>
        <w:ind w:firstLine="960" w:firstLineChars="400"/>
        <w:rPr>
          <w:rFonts w:ascii="宋体" w:hAnsi="宋体" w:cs="宋体"/>
          <w:sz w:val="24"/>
        </w:rPr>
      </w:pPr>
      <w:r>
        <w:rPr>
          <w:rFonts w:hint="eastAsia" w:ascii="宋体" w:hAnsi="宋体" w:cs="宋体"/>
          <w:sz w:val="24"/>
        </w:rPr>
        <w:t>压缩机推力轴承主推力面瓦块上埋（Pt100型） 双支温度检测元件2个，副推力面瓦块上埋（Pt100型） 双支温度检测元件2个。</w:t>
      </w:r>
    </w:p>
    <w:p w14:paraId="22255B68">
      <w:pPr>
        <w:numPr>
          <w:ilvl w:val="0"/>
          <w:numId w:val="12"/>
        </w:numPr>
        <w:spacing w:line="360" w:lineRule="auto"/>
        <w:ind w:left="0" w:firstLine="840" w:firstLineChars="350"/>
        <w:rPr>
          <w:rFonts w:ascii="宋体" w:hAnsi="宋体" w:cs="宋体"/>
          <w:sz w:val="24"/>
        </w:rPr>
      </w:pPr>
      <w:r>
        <w:rPr>
          <w:rFonts w:hint="eastAsia" w:ascii="宋体" w:hAnsi="宋体" w:cs="宋体"/>
          <w:sz w:val="24"/>
        </w:rPr>
        <w:t>压缩机入口和出口非标配对法兰、螺栓、螺母和垫片及其它与用户相连接的非标配对法兰、螺栓、螺母、垫片（不带标准配对法兰、螺栓、螺母、垫片）。</w:t>
      </w:r>
    </w:p>
    <w:p w14:paraId="76F65800">
      <w:pPr>
        <w:numPr>
          <w:ilvl w:val="0"/>
          <w:numId w:val="8"/>
        </w:numPr>
        <w:spacing w:line="360" w:lineRule="auto"/>
        <w:ind w:left="0" w:firstLine="0"/>
        <w:rPr>
          <w:rFonts w:ascii="宋体" w:hAnsi="宋体" w:cs="宋体"/>
          <w:sz w:val="24"/>
        </w:rPr>
      </w:pPr>
      <w:r>
        <w:rPr>
          <w:rFonts w:hint="eastAsia" w:ascii="宋体" w:hAnsi="宋体" w:cs="宋体"/>
          <w:sz w:val="24"/>
        </w:rPr>
        <w:t>润滑油系统</w:t>
      </w:r>
    </w:p>
    <w:p w14:paraId="3BD8361D">
      <w:pPr>
        <w:pStyle w:val="800"/>
        <w:numPr>
          <w:ilvl w:val="0"/>
          <w:numId w:val="13"/>
        </w:numPr>
        <w:autoSpaceDE w:val="0"/>
        <w:autoSpaceDN w:val="0"/>
        <w:spacing w:line="360" w:lineRule="auto"/>
        <w:ind w:left="420"/>
        <w:textAlignment w:val="bottom"/>
        <w:rPr>
          <w:rFonts w:hAnsi="宋体" w:cs="宋体"/>
          <w:sz w:val="24"/>
          <w:szCs w:val="24"/>
        </w:rPr>
      </w:pPr>
      <w:r>
        <w:rPr>
          <w:rFonts w:hint="eastAsia" w:hAnsi="宋体" w:cs="宋体"/>
          <w:sz w:val="24"/>
          <w:szCs w:val="24"/>
        </w:rPr>
        <w:t>油系统基本描述</w:t>
      </w:r>
    </w:p>
    <w:p w14:paraId="128CF404">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w:t>
      </w:r>
      <w:r>
        <w:rPr>
          <w:rFonts w:hAnsi="宋体" w:cs="宋体"/>
          <w:sz w:val="24"/>
          <w:szCs w:val="24"/>
        </w:rPr>
        <w:t xml:space="preserve">.2.1.1 </w:t>
      </w:r>
      <w:r>
        <w:rPr>
          <w:rFonts w:hint="eastAsia" w:hAnsi="宋体" w:cs="宋体"/>
          <w:sz w:val="24"/>
          <w:szCs w:val="24"/>
        </w:rPr>
        <w:t>润滑油站的所有设备和仪表，安装在一个底座上并带有地脚螺栓。在底座范围内的电气仪表安装好并配管。所有管线带非标配对法兰接到底座边缘，并带运输用盲板。需招标人连接的所有接口处均需编号，并注明压力等级、公称通径、介质、流量、操作压力、操作温度、材料等；出厂前在所有接管处挂标明用途的不锈钢标识牌。</w:t>
      </w:r>
    </w:p>
    <w:p w14:paraId="61FA067D">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w:t>
      </w:r>
      <w:r>
        <w:rPr>
          <w:rFonts w:hAnsi="宋体" w:cs="宋体"/>
          <w:sz w:val="24"/>
          <w:szCs w:val="24"/>
        </w:rPr>
        <w:t xml:space="preserve">.2.1.2 </w:t>
      </w:r>
      <w:r>
        <w:rPr>
          <w:rFonts w:hint="eastAsia" w:hAnsi="宋体" w:cs="宋体"/>
          <w:sz w:val="24"/>
          <w:szCs w:val="24"/>
        </w:rPr>
        <w:t>润滑油牌号：46#抗氧防锈汽轮机油，且具备较好的氯结合能力。</w:t>
      </w:r>
    </w:p>
    <w:p w14:paraId="705D814D">
      <w:pPr>
        <w:pStyle w:val="800"/>
        <w:numPr>
          <w:ilvl w:val="0"/>
          <w:numId w:val="13"/>
        </w:numPr>
        <w:autoSpaceDE w:val="0"/>
        <w:autoSpaceDN w:val="0"/>
        <w:spacing w:line="360" w:lineRule="auto"/>
        <w:ind w:left="420"/>
        <w:textAlignment w:val="bottom"/>
        <w:rPr>
          <w:rFonts w:hAnsi="宋体" w:cs="宋体"/>
          <w:sz w:val="24"/>
          <w:szCs w:val="24"/>
        </w:rPr>
      </w:pPr>
      <w:r>
        <w:rPr>
          <w:rFonts w:hint="eastAsia" w:hAnsi="宋体" w:cs="宋体"/>
          <w:sz w:val="24"/>
          <w:szCs w:val="24"/>
        </w:rPr>
        <w:t>润滑油站</w:t>
      </w:r>
    </w:p>
    <w:p w14:paraId="13D2085D">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w:t>
      </w:r>
      <w:r>
        <w:rPr>
          <w:rFonts w:hAnsi="宋体" w:cs="宋体"/>
          <w:sz w:val="24"/>
          <w:szCs w:val="24"/>
        </w:rPr>
        <w:t xml:space="preserve">.2.2.1 </w:t>
      </w:r>
      <w:r>
        <w:rPr>
          <w:rFonts w:hint="eastAsia" w:hAnsi="宋体" w:cs="宋体"/>
          <w:sz w:val="24"/>
          <w:szCs w:val="24"/>
        </w:rPr>
        <w:t>润滑油站向下列设备供油：压缩机润滑系统、齿轮箱润滑系统、电动机润滑系统（1000kW及以上电机采用强制油润滑，1000kW以下采用脂润滑）。</w:t>
      </w:r>
    </w:p>
    <w:p w14:paraId="2BBF387D">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w:t>
      </w:r>
      <w:r>
        <w:rPr>
          <w:rFonts w:hAnsi="宋体" w:cs="宋体"/>
          <w:sz w:val="24"/>
          <w:szCs w:val="24"/>
        </w:rPr>
        <w:t xml:space="preserve">.2.2.2 </w:t>
      </w:r>
      <w:r>
        <w:rPr>
          <w:rFonts w:hint="eastAsia" w:hAnsi="宋体" w:cs="宋体"/>
          <w:sz w:val="24"/>
          <w:szCs w:val="24"/>
        </w:rPr>
        <w:t>油箱滞留容量（低于正常运行最低液位之下的总容量）至少为8分钟正常油流量，工作容量（正常运行的最低液位与泵入口损失液位之间的容量）至少为5分钟正常油流量。</w:t>
      </w:r>
    </w:p>
    <w:p w14:paraId="7C55057D">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w:t>
      </w:r>
      <w:r>
        <w:rPr>
          <w:rFonts w:hAnsi="宋体" w:cs="宋体"/>
          <w:sz w:val="24"/>
          <w:szCs w:val="24"/>
        </w:rPr>
        <w:t xml:space="preserve">.2.2.3 </w:t>
      </w:r>
      <w:r>
        <w:rPr>
          <w:rFonts w:hint="eastAsia" w:hAnsi="宋体" w:cs="宋体"/>
          <w:sz w:val="24"/>
          <w:szCs w:val="24"/>
        </w:rPr>
        <w:t>油箱顶部带浸没式铠装自动恒温电加热器。</w:t>
      </w:r>
    </w:p>
    <w:p w14:paraId="7DA70D9A">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w:t>
      </w:r>
      <w:r>
        <w:rPr>
          <w:rFonts w:hAnsi="宋体" w:cs="宋体"/>
          <w:sz w:val="24"/>
          <w:szCs w:val="24"/>
        </w:rPr>
        <w:t xml:space="preserve">.2.2.4 </w:t>
      </w:r>
      <w:r>
        <w:rPr>
          <w:rFonts w:hint="eastAsia" w:hAnsi="宋体" w:cs="宋体"/>
          <w:sz w:val="24"/>
          <w:szCs w:val="24"/>
        </w:rPr>
        <w:t>油箱带有排凝及放空口且配备带排烟风机和除雾器、N2接口、低点带有排放阀。</w:t>
      </w:r>
      <w:r>
        <w:rPr>
          <w:rFonts w:hAnsi="宋体" w:cs="宋体"/>
          <w:sz w:val="24"/>
          <w:szCs w:val="24"/>
        </w:rPr>
        <w:t xml:space="preserve"> </w:t>
      </w:r>
    </w:p>
    <w:p w14:paraId="607FD84C">
      <w:pPr>
        <w:pStyle w:val="800"/>
        <w:tabs>
          <w:tab w:val="left" w:pos="0"/>
        </w:tabs>
        <w:autoSpaceDE w:val="0"/>
        <w:autoSpaceDN w:val="0"/>
        <w:spacing w:line="360" w:lineRule="auto"/>
        <w:textAlignment w:val="bottom"/>
        <w:rPr>
          <w:rFonts w:hAnsi="宋体" w:cs="宋体"/>
          <w:sz w:val="24"/>
          <w:szCs w:val="24"/>
        </w:rPr>
      </w:pPr>
      <w:r>
        <w:rPr>
          <w:rFonts w:hint="eastAsia" w:hAnsi="宋体" w:cs="宋体"/>
          <w:sz w:val="24"/>
          <w:szCs w:val="24"/>
        </w:rPr>
        <w:t xml:space="preserve"> </w:t>
      </w:r>
      <w:r>
        <w:rPr>
          <w:rFonts w:hAnsi="宋体" w:cs="宋体"/>
          <w:sz w:val="24"/>
          <w:szCs w:val="24"/>
        </w:rPr>
        <w:t xml:space="preserve">   </w:t>
      </w:r>
      <w:r>
        <w:rPr>
          <w:rFonts w:hint="eastAsia" w:hAnsi="宋体" w:cs="宋体"/>
          <w:sz w:val="24"/>
          <w:szCs w:val="24"/>
        </w:rPr>
        <w:t>4</w:t>
      </w:r>
      <w:r>
        <w:rPr>
          <w:rFonts w:hAnsi="宋体" w:cs="宋体"/>
          <w:sz w:val="24"/>
          <w:szCs w:val="24"/>
        </w:rPr>
        <w:t xml:space="preserve">.2.2.5 </w:t>
      </w:r>
      <w:r>
        <w:rPr>
          <w:rFonts w:hint="eastAsia" w:hAnsi="宋体" w:cs="宋体"/>
          <w:sz w:val="24"/>
          <w:szCs w:val="24"/>
        </w:rPr>
        <w:t>配套二台120%负荷的卧式螺杆泵，两台泵互为备用；主/辅用油泵采用电机驱动，电机选用高效节能电机，户外式。铠装电缆进线，配电缆密封接头。</w:t>
      </w:r>
    </w:p>
    <w:p w14:paraId="556F8461">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w:t>
      </w:r>
      <w:r>
        <w:rPr>
          <w:rFonts w:hAnsi="宋体" w:cs="宋体"/>
          <w:sz w:val="24"/>
          <w:szCs w:val="24"/>
        </w:rPr>
        <w:t xml:space="preserve">.2.2.6 </w:t>
      </w:r>
      <w:r>
        <w:rPr>
          <w:rFonts w:hint="eastAsia" w:hAnsi="宋体" w:cs="宋体"/>
          <w:sz w:val="24"/>
          <w:szCs w:val="24"/>
        </w:rPr>
        <w:t>主、备油泵采用机械密封，挠性联轴器（带中间隔套）及无火花联轴器护罩。电机的控制应设计为能自动或手动开、停机，用于油泵的开、停车。</w:t>
      </w:r>
    </w:p>
    <w:p w14:paraId="2AB1AB5D">
      <w:pPr>
        <w:pStyle w:val="800"/>
        <w:numPr>
          <w:ilvl w:val="3"/>
          <w:numId w:val="14"/>
        </w:numPr>
        <w:tabs>
          <w:tab w:val="left" w:pos="0"/>
        </w:tabs>
        <w:autoSpaceDE w:val="0"/>
        <w:autoSpaceDN w:val="0"/>
        <w:spacing w:line="360" w:lineRule="auto"/>
        <w:textAlignment w:val="bottom"/>
        <w:rPr>
          <w:rFonts w:hAnsi="宋体" w:cs="宋体"/>
          <w:sz w:val="24"/>
          <w:szCs w:val="24"/>
        </w:rPr>
      </w:pPr>
      <w:r>
        <w:rPr>
          <w:rFonts w:hint="eastAsia" w:hAnsi="宋体" w:cs="宋体"/>
          <w:sz w:val="24"/>
          <w:szCs w:val="24"/>
        </w:rPr>
        <w:t>一台150%负荷双联的管壳式冷却器。</w:t>
      </w:r>
    </w:p>
    <w:p w14:paraId="3B0FD3D3">
      <w:pPr>
        <w:pStyle w:val="800"/>
        <w:numPr>
          <w:ilvl w:val="3"/>
          <w:numId w:val="14"/>
        </w:numPr>
        <w:tabs>
          <w:tab w:val="left" w:pos="0"/>
        </w:tabs>
        <w:autoSpaceDE w:val="0"/>
        <w:autoSpaceDN w:val="0"/>
        <w:spacing w:line="360" w:lineRule="auto"/>
        <w:textAlignment w:val="bottom"/>
        <w:rPr>
          <w:rFonts w:hAnsi="宋体" w:cs="宋体"/>
          <w:sz w:val="24"/>
          <w:szCs w:val="24"/>
        </w:rPr>
      </w:pPr>
      <w:r>
        <w:rPr>
          <w:rFonts w:hint="eastAsia" w:hAnsi="宋体" w:cs="宋体"/>
          <w:sz w:val="24"/>
          <w:szCs w:val="24"/>
        </w:rPr>
        <w:t>一台120%负荷双联的润滑油过滤器，过滤精度为10μm。</w:t>
      </w:r>
    </w:p>
    <w:p w14:paraId="0BA8E1C0">
      <w:pPr>
        <w:pStyle w:val="800"/>
        <w:tabs>
          <w:tab w:val="left" w:pos="0"/>
        </w:tabs>
        <w:autoSpaceDE w:val="0"/>
        <w:autoSpaceDN w:val="0"/>
        <w:spacing w:line="360" w:lineRule="auto"/>
        <w:ind w:firstLine="480" w:firstLineChars="200"/>
        <w:textAlignment w:val="bottom"/>
        <w:rPr>
          <w:rFonts w:hAnsi="宋体" w:cs="宋体"/>
          <w:sz w:val="24"/>
          <w:szCs w:val="24"/>
        </w:rPr>
      </w:pPr>
      <w:r>
        <w:rPr>
          <w:rFonts w:hAnsi="宋体" w:cs="宋体"/>
          <w:sz w:val="24"/>
          <w:szCs w:val="24"/>
        </w:rPr>
        <w:t xml:space="preserve">4.2.2.9 </w:t>
      </w:r>
      <w:r>
        <w:rPr>
          <w:rFonts w:hint="eastAsia" w:hAnsi="宋体" w:cs="宋体"/>
          <w:sz w:val="24"/>
          <w:szCs w:val="24"/>
        </w:rPr>
        <w:t>恒流转换阀：六通阀用于油过滤器的连续流量切换，三通阀用于油冷却器的连续流量切换。</w:t>
      </w:r>
    </w:p>
    <w:p w14:paraId="03F61219">
      <w:pPr>
        <w:pStyle w:val="800"/>
        <w:tabs>
          <w:tab w:val="left" w:pos="0"/>
        </w:tabs>
        <w:autoSpaceDE w:val="0"/>
        <w:autoSpaceDN w:val="0"/>
        <w:spacing w:line="360" w:lineRule="auto"/>
        <w:ind w:firstLine="480" w:firstLineChars="200"/>
        <w:textAlignment w:val="bottom"/>
        <w:rPr>
          <w:rFonts w:hAnsi="宋体" w:cs="宋体"/>
          <w:sz w:val="24"/>
          <w:szCs w:val="24"/>
        </w:rPr>
      </w:pPr>
      <w:r>
        <w:rPr>
          <w:rFonts w:hAnsi="宋体" w:cs="宋体"/>
          <w:sz w:val="24"/>
          <w:szCs w:val="24"/>
        </w:rPr>
        <w:t xml:space="preserve">4.2.2.10 </w:t>
      </w:r>
      <w:r>
        <w:rPr>
          <w:rFonts w:hint="eastAsia" w:hAnsi="宋体" w:cs="宋体"/>
          <w:sz w:val="24"/>
          <w:szCs w:val="24"/>
        </w:rPr>
        <w:t>油站回油系统设计为能适应两个油泵全流量输出时的工况。底座内的回油管应保证回油液面不超过管径的一半。</w:t>
      </w:r>
    </w:p>
    <w:p w14:paraId="1B01DCEC">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w:t>
      </w:r>
      <w:r>
        <w:rPr>
          <w:rFonts w:hAnsi="宋体" w:cs="宋体"/>
          <w:sz w:val="24"/>
          <w:szCs w:val="24"/>
        </w:rPr>
        <w:t xml:space="preserve">.2.2.11 </w:t>
      </w:r>
      <w:r>
        <w:rPr>
          <w:rFonts w:hint="eastAsia" w:hAnsi="宋体" w:cs="宋体"/>
          <w:sz w:val="24"/>
          <w:szCs w:val="24"/>
        </w:rPr>
        <w:t>油箱应提供油净化器接口2个（一出一回）（包括阀门），DN≥40，允许用油净化器将部分油抽出。接口位置应允许油自流至油净化器。连接件应包括虹吸破坏器以防止由于净化器作用使油箱油位降至最低。</w:t>
      </w:r>
    </w:p>
    <w:p w14:paraId="4CBCE437">
      <w:pPr>
        <w:pStyle w:val="800"/>
        <w:tabs>
          <w:tab w:val="left" w:pos="0"/>
        </w:tabs>
        <w:autoSpaceDE w:val="0"/>
        <w:autoSpaceDN w:val="0"/>
        <w:spacing w:line="360" w:lineRule="auto"/>
        <w:ind w:firstLine="480" w:firstLineChars="200"/>
        <w:textAlignment w:val="bottom"/>
        <w:rPr>
          <w:rFonts w:hAnsi="宋体" w:cs="宋体"/>
          <w:sz w:val="24"/>
          <w:szCs w:val="24"/>
        </w:rPr>
      </w:pPr>
      <w:r>
        <w:rPr>
          <w:rFonts w:hAnsi="宋体" w:cs="宋体"/>
          <w:sz w:val="24"/>
          <w:szCs w:val="24"/>
        </w:rPr>
        <w:t xml:space="preserve">4.2.2.12 </w:t>
      </w:r>
      <w:r>
        <w:rPr>
          <w:rFonts w:hint="eastAsia" w:hAnsi="宋体" w:cs="宋体"/>
          <w:sz w:val="24"/>
          <w:szCs w:val="24"/>
        </w:rPr>
        <w:t>油站仪表盘为开架式，单独另外安装，独立于油站底座。仪表架位置应便于操作人员观看。</w:t>
      </w:r>
    </w:p>
    <w:p w14:paraId="196F85CA">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w:t>
      </w:r>
      <w:r>
        <w:rPr>
          <w:rFonts w:hAnsi="宋体" w:cs="宋体"/>
          <w:sz w:val="24"/>
          <w:szCs w:val="24"/>
        </w:rPr>
        <w:t xml:space="preserve">.2.2.13 </w:t>
      </w:r>
      <w:r>
        <w:rPr>
          <w:rFonts w:hint="eastAsia" w:hAnsi="宋体" w:cs="宋体"/>
          <w:sz w:val="24"/>
          <w:szCs w:val="24"/>
        </w:rPr>
        <w:t>油系统配置两个调节阀。泵出口的一次调节阀应满足两台泵同时开启时的通流量。当两台泵同时开启时，如果停下一台，这时调节阀应迅速关小，维持油压在报警以上保证机组连续运行。</w:t>
      </w:r>
    </w:p>
    <w:p w14:paraId="353B5FC1">
      <w:pPr>
        <w:pStyle w:val="800"/>
        <w:tabs>
          <w:tab w:val="left" w:pos="0"/>
        </w:tabs>
        <w:autoSpaceDE w:val="0"/>
        <w:autoSpaceDN w:val="0"/>
        <w:spacing w:line="360" w:lineRule="auto"/>
        <w:ind w:firstLine="480" w:firstLineChars="200"/>
        <w:textAlignment w:val="bottom"/>
        <w:rPr>
          <w:rFonts w:hAnsi="宋体" w:cs="宋体"/>
          <w:sz w:val="24"/>
          <w:szCs w:val="24"/>
        </w:rPr>
      </w:pPr>
      <w:r>
        <w:rPr>
          <w:rFonts w:hAnsi="宋体" w:cs="宋体"/>
          <w:sz w:val="24"/>
          <w:szCs w:val="24"/>
        </w:rPr>
        <w:t xml:space="preserve">4.2.2.14 </w:t>
      </w:r>
      <w:r>
        <w:rPr>
          <w:rFonts w:hint="eastAsia" w:hAnsi="宋体" w:cs="宋体"/>
          <w:sz w:val="24"/>
          <w:szCs w:val="24"/>
        </w:rPr>
        <w:t>一台事故停车高位油箱。带三阀组（单向阀、孔板、截止阀）和回油视镜。要求容积不少于6分钟正常润滑油量，以确保机组安全停车。</w:t>
      </w:r>
    </w:p>
    <w:p w14:paraId="574A0940">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4.2.2.15 油系统连接管线和管件，出厂前管路酸洗、钝化、清理完毕，管路上所有涉及到的阀门材质为不锈钢，连接螺栓采用高强度特氟龙涂覆双头螺栓。</w:t>
      </w:r>
    </w:p>
    <w:p w14:paraId="4CFC37A5">
      <w:pPr>
        <w:pStyle w:val="800"/>
        <w:numPr>
          <w:ilvl w:val="3"/>
          <w:numId w:val="15"/>
        </w:numPr>
        <w:tabs>
          <w:tab w:val="left" w:pos="0"/>
        </w:tabs>
        <w:autoSpaceDE w:val="0"/>
        <w:autoSpaceDN w:val="0"/>
        <w:spacing w:line="360" w:lineRule="auto"/>
        <w:textAlignment w:val="bottom"/>
        <w:rPr>
          <w:rFonts w:hAnsi="宋体" w:cs="宋体"/>
          <w:sz w:val="24"/>
          <w:szCs w:val="24"/>
        </w:rPr>
      </w:pPr>
      <w:r>
        <w:rPr>
          <w:rFonts w:hint="eastAsia" w:hAnsi="宋体" w:cs="宋体"/>
          <w:sz w:val="24"/>
          <w:szCs w:val="24"/>
        </w:rPr>
        <w:t>润滑油系统仪表详见 第6节仪表部分。</w:t>
      </w:r>
    </w:p>
    <w:p w14:paraId="7D60D15A">
      <w:pPr>
        <w:pStyle w:val="800"/>
        <w:numPr>
          <w:ilvl w:val="3"/>
          <w:numId w:val="15"/>
        </w:numPr>
        <w:tabs>
          <w:tab w:val="left" w:pos="0"/>
        </w:tabs>
        <w:autoSpaceDE w:val="0"/>
        <w:autoSpaceDN w:val="0"/>
        <w:spacing w:line="360" w:lineRule="auto"/>
        <w:textAlignment w:val="bottom"/>
        <w:rPr>
          <w:rFonts w:hAnsi="宋体" w:cs="宋体"/>
          <w:sz w:val="24"/>
          <w:szCs w:val="24"/>
        </w:rPr>
      </w:pPr>
      <w:r>
        <w:rPr>
          <w:rFonts w:hint="eastAsia" w:hAnsi="宋体" w:cs="宋体"/>
          <w:sz w:val="24"/>
          <w:szCs w:val="24"/>
        </w:rPr>
        <w:t>油站带有润滑油蓄能器。</w:t>
      </w:r>
    </w:p>
    <w:p w14:paraId="5515C388">
      <w:pPr>
        <w:pStyle w:val="800"/>
        <w:numPr>
          <w:ilvl w:val="3"/>
          <w:numId w:val="15"/>
        </w:numPr>
        <w:tabs>
          <w:tab w:val="left" w:pos="0"/>
        </w:tabs>
        <w:autoSpaceDE w:val="0"/>
        <w:autoSpaceDN w:val="0"/>
        <w:spacing w:line="360" w:lineRule="auto"/>
        <w:textAlignment w:val="bottom"/>
        <w:rPr>
          <w:rFonts w:hAnsi="宋体" w:cs="宋体"/>
          <w:sz w:val="24"/>
          <w:szCs w:val="24"/>
        </w:rPr>
      </w:pPr>
      <w:r>
        <w:rPr>
          <w:rFonts w:hint="eastAsia" w:hAnsi="宋体" w:cs="宋体"/>
          <w:sz w:val="24"/>
          <w:szCs w:val="24"/>
        </w:rPr>
        <w:t>油系统内所有管道焊接全部要求用氩弧焊打底。</w:t>
      </w:r>
    </w:p>
    <w:p w14:paraId="2CC458DE">
      <w:pPr>
        <w:pStyle w:val="800"/>
        <w:tabs>
          <w:tab w:val="left" w:pos="0"/>
        </w:tabs>
        <w:autoSpaceDE w:val="0"/>
        <w:autoSpaceDN w:val="0"/>
        <w:spacing w:line="360" w:lineRule="auto"/>
        <w:ind w:firstLine="480" w:firstLineChars="200"/>
        <w:textAlignment w:val="bottom"/>
        <w:rPr>
          <w:rFonts w:hAnsi="宋体" w:cs="宋体"/>
          <w:sz w:val="24"/>
          <w:szCs w:val="24"/>
        </w:rPr>
      </w:pPr>
      <w:r>
        <w:rPr>
          <w:rFonts w:hAnsi="宋体" w:cs="宋体"/>
          <w:sz w:val="24"/>
          <w:szCs w:val="24"/>
        </w:rPr>
        <w:t>4.2.2.19</w:t>
      </w:r>
      <w:r>
        <w:rPr>
          <w:rFonts w:hAnsi="宋体" w:cs="宋体"/>
          <w:b/>
          <w:sz w:val="24"/>
          <w:szCs w:val="24"/>
        </w:rPr>
        <w:t xml:space="preserve"> *</w:t>
      </w:r>
      <w:r>
        <w:rPr>
          <w:rFonts w:hint="eastAsia" w:hAnsi="宋体" w:cs="宋体"/>
          <w:sz w:val="24"/>
          <w:szCs w:val="24"/>
        </w:rPr>
        <w:t>在油系统中增设一套低油压油泵自动启动连锁调试系统，即在正常运行时，通过手动给一个低油压信号，验证备用泵是否能够自动启动。</w:t>
      </w:r>
    </w:p>
    <w:p w14:paraId="72F3DBCA">
      <w:pPr>
        <w:pStyle w:val="800"/>
        <w:tabs>
          <w:tab w:val="left" w:pos="0"/>
        </w:tabs>
        <w:autoSpaceDE w:val="0"/>
        <w:autoSpaceDN w:val="0"/>
        <w:spacing w:line="360" w:lineRule="auto"/>
        <w:ind w:firstLine="480" w:firstLineChars="200"/>
        <w:textAlignment w:val="bottom"/>
        <w:rPr>
          <w:rFonts w:hAnsi="宋体" w:cs="宋体"/>
          <w:sz w:val="24"/>
          <w:szCs w:val="24"/>
        </w:rPr>
      </w:pPr>
      <w:r>
        <w:rPr>
          <w:rFonts w:hint="eastAsia" w:hAnsi="宋体" w:cs="宋体"/>
          <w:sz w:val="24"/>
          <w:szCs w:val="24"/>
        </w:rPr>
        <w:t>4</w:t>
      </w:r>
      <w:r>
        <w:rPr>
          <w:rFonts w:hAnsi="宋体" w:cs="宋体"/>
          <w:sz w:val="24"/>
          <w:szCs w:val="24"/>
        </w:rPr>
        <w:t xml:space="preserve">.2.2.20 </w:t>
      </w:r>
      <w:r>
        <w:rPr>
          <w:rFonts w:hint="eastAsia" w:hAnsi="宋体" w:cs="宋体"/>
          <w:sz w:val="24"/>
          <w:szCs w:val="24"/>
        </w:rPr>
        <w:t>涉及机组撬块内中标人供货压力管道的设计和安装，应符合《TSG D7006—2020压力管道监督检验规则》的规定，且</w:t>
      </w:r>
      <w:r>
        <w:rPr>
          <w:rFonts w:hAnsi="宋体" w:cs="宋体"/>
          <w:sz w:val="24"/>
          <w:szCs w:val="24"/>
        </w:rPr>
        <w:t>撬块内压力管道要求100%拍片，其他管道拍片比例不少于5%</w:t>
      </w:r>
      <w:r>
        <w:rPr>
          <w:rFonts w:hint="eastAsia" w:hAnsi="宋体" w:cs="宋体"/>
          <w:sz w:val="24"/>
          <w:szCs w:val="24"/>
        </w:rPr>
        <w:t>，随机提供压力管道监检资料。</w:t>
      </w:r>
    </w:p>
    <w:p w14:paraId="139B80CD">
      <w:pPr>
        <w:pStyle w:val="800"/>
        <w:ind w:firstLine="480" w:firstLineChars="200"/>
        <w:rPr>
          <w:rFonts w:hAnsi="宋体" w:cs="宋体"/>
          <w:sz w:val="24"/>
        </w:rPr>
      </w:pPr>
      <w:r>
        <w:rPr>
          <w:rFonts w:hint="eastAsia" w:hAnsi="宋体" w:cs="宋体"/>
          <w:sz w:val="24"/>
          <w:szCs w:val="24"/>
        </w:rPr>
        <w:t>4</w:t>
      </w:r>
      <w:r>
        <w:rPr>
          <w:rFonts w:hAnsi="宋体" w:cs="宋体"/>
          <w:sz w:val="24"/>
          <w:szCs w:val="24"/>
        </w:rPr>
        <w:t xml:space="preserve">.2.2.21 </w:t>
      </w:r>
      <w:r>
        <w:rPr>
          <w:rFonts w:hint="eastAsia" w:hAnsi="宋体" w:cs="宋体"/>
          <w:sz w:val="24"/>
          <w:szCs w:val="24"/>
        </w:rPr>
        <w:t>油</w:t>
      </w:r>
      <w:r>
        <w:rPr>
          <w:rFonts w:hint="eastAsia" w:hAnsi="宋体" w:cs="宋体"/>
          <w:sz w:val="24"/>
        </w:rPr>
        <w:t>路系统只能用气试，禁止用水试验。</w:t>
      </w:r>
    </w:p>
    <w:p w14:paraId="319BA3EB">
      <w:pPr>
        <w:pStyle w:val="800"/>
        <w:tabs>
          <w:tab w:val="left" w:pos="0"/>
        </w:tabs>
        <w:autoSpaceDE w:val="0"/>
        <w:autoSpaceDN w:val="0"/>
        <w:spacing w:line="360" w:lineRule="auto"/>
        <w:ind w:firstLine="480" w:firstLineChars="200"/>
        <w:textAlignment w:val="bottom"/>
        <w:rPr>
          <w:rFonts w:hAnsi="宋体" w:cs="宋体"/>
          <w:sz w:val="24"/>
          <w:szCs w:val="24"/>
        </w:rPr>
      </w:pPr>
    </w:p>
    <w:p w14:paraId="348CA8AD">
      <w:pPr>
        <w:numPr>
          <w:ilvl w:val="0"/>
          <w:numId w:val="8"/>
        </w:numPr>
        <w:spacing w:line="360" w:lineRule="auto"/>
        <w:ind w:left="0" w:firstLine="0"/>
        <w:rPr>
          <w:rFonts w:ascii="宋体" w:hAnsi="宋体" w:cs="宋体"/>
          <w:sz w:val="24"/>
        </w:rPr>
      </w:pPr>
      <w:r>
        <w:rPr>
          <w:rFonts w:hint="eastAsia" w:ascii="宋体" w:hAnsi="宋体" w:cs="宋体"/>
          <w:sz w:val="24"/>
        </w:rPr>
        <w:t>齿轮箱</w:t>
      </w:r>
    </w:p>
    <w:p w14:paraId="3169C07C">
      <w:pPr>
        <w:pStyle w:val="800"/>
        <w:numPr>
          <w:ilvl w:val="0"/>
          <w:numId w:val="16"/>
        </w:numPr>
        <w:tabs>
          <w:tab w:val="left" w:pos="0"/>
        </w:tabs>
        <w:autoSpaceDE w:val="0"/>
        <w:autoSpaceDN w:val="0"/>
        <w:spacing w:line="360" w:lineRule="auto"/>
        <w:ind w:firstLine="0"/>
        <w:textAlignment w:val="bottom"/>
        <w:rPr>
          <w:rFonts w:hAnsi="宋体" w:cs="宋体"/>
          <w:sz w:val="24"/>
          <w:szCs w:val="24"/>
        </w:rPr>
      </w:pPr>
      <w:r>
        <w:rPr>
          <w:rFonts w:hint="eastAsia" w:hAnsi="宋体" w:cs="宋体"/>
          <w:sz w:val="24"/>
          <w:szCs w:val="24"/>
        </w:rPr>
        <w:t>运转方式：连续、增速</w:t>
      </w:r>
    </w:p>
    <w:p w14:paraId="3E4D54EB">
      <w:pPr>
        <w:pStyle w:val="800"/>
        <w:numPr>
          <w:ilvl w:val="0"/>
          <w:numId w:val="16"/>
        </w:numPr>
        <w:tabs>
          <w:tab w:val="left" w:pos="0"/>
        </w:tabs>
        <w:autoSpaceDE w:val="0"/>
        <w:autoSpaceDN w:val="0"/>
        <w:spacing w:line="360" w:lineRule="auto"/>
        <w:ind w:firstLine="0"/>
        <w:textAlignment w:val="bottom"/>
        <w:rPr>
          <w:rFonts w:hAnsi="宋体" w:cs="宋体"/>
          <w:sz w:val="24"/>
          <w:szCs w:val="24"/>
        </w:rPr>
      </w:pPr>
      <w:r>
        <w:rPr>
          <w:rFonts w:hint="eastAsia" w:hAnsi="宋体" w:cs="宋体"/>
          <w:sz w:val="24"/>
          <w:szCs w:val="24"/>
        </w:rPr>
        <w:t xml:space="preserve">齿轮型式：平行轴双斜齿  </w:t>
      </w:r>
    </w:p>
    <w:p w14:paraId="4E236739">
      <w:pPr>
        <w:pStyle w:val="800"/>
        <w:numPr>
          <w:ilvl w:val="0"/>
          <w:numId w:val="16"/>
        </w:numPr>
        <w:tabs>
          <w:tab w:val="left" w:pos="0"/>
        </w:tabs>
        <w:autoSpaceDE w:val="0"/>
        <w:autoSpaceDN w:val="0"/>
        <w:spacing w:line="360" w:lineRule="auto"/>
        <w:ind w:firstLine="0"/>
        <w:textAlignment w:val="bottom"/>
        <w:rPr>
          <w:rFonts w:hAnsi="宋体" w:cs="宋体"/>
          <w:sz w:val="24"/>
          <w:szCs w:val="24"/>
        </w:rPr>
      </w:pPr>
      <w:r>
        <w:rPr>
          <w:rFonts w:hint="eastAsia" w:hAnsi="宋体" w:cs="宋体"/>
          <w:sz w:val="24"/>
          <w:szCs w:val="24"/>
        </w:rPr>
        <w:t>齿形：渐开线齿形</w:t>
      </w:r>
    </w:p>
    <w:p w14:paraId="4489EFE4">
      <w:pPr>
        <w:pStyle w:val="800"/>
        <w:numPr>
          <w:ilvl w:val="0"/>
          <w:numId w:val="16"/>
        </w:numPr>
        <w:tabs>
          <w:tab w:val="left" w:pos="0"/>
        </w:tabs>
        <w:autoSpaceDE w:val="0"/>
        <w:autoSpaceDN w:val="0"/>
        <w:spacing w:line="360" w:lineRule="auto"/>
        <w:ind w:firstLine="0"/>
        <w:textAlignment w:val="bottom"/>
        <w:rPr>
          <w:rFonts w:hAnsi="宋体" w:cs="宋体"/>
          <w:sz w:val="24"/>
          <w:szCs w:val="24"/>
        </w:rPr>
      </w:pPr>
      <w:r>
        <w:rPr>
          <w:rFonts w:hint="eastAsia" w:hAnsi="宋体" w:cs="宋体"/>
          <w:sz w:val="24"/>
          <w:szCs w:val="24"/>
        </w:rPr>
        <w:t>轴端结构形式：输入轴：双键、圆柱；输出轴：圆锥</w:t>
      </w:r>
    </w:p>
    <w:p w14:paraId="023A3326">
      <w:pPr>
        <w:pStyle w:val="800"/>
        <w:numPr>
          <w:ilvl w:val="0"/>
          <w:numId w:val="16"/>
        </w:numPr>
        <w:tabs>
          <w:tab w:val="left" w:pos="0"/>
        </w:tabs>
        <w:autoSpaceDE w:val="0"/>
        <w:autoSpaceDN w:val="0"/>
        <w:spacing w:line="360" w:lineRule="auto"/>
        <w:ind w:firstLine="0"/>
        <w:textAlignment w:val="bottom"/>
        <w:rPr>
          <w:rFonts w:hAnsi="宋体" w:cs="宋体"/>
          <w:sz w:val="24"/>
          <w:szCs w:val="24"/>
        </w:rPr>
      </w:pPr>
      <w:r>
        <w:rPr>
          <w:rFonts w:hint="eastAsia" w:hAnsi="宋体" w:cs="宋体"/>
          <w:sz w:val="24"/>
          <w:szCs w:val="24"/>
        </w:rPr>
        <w:t>轴承形式： 高速轴：径向：可倾瓦轴承；低速轴：径向：圆瓦；推力：固定推力面</w:t>
      </w:r>
    </w:p>
    <w:p w14:paraId="47EBA4B8">
      <w:pPr>
        <w:pStyle w:val="800"/>
        <w:numPr>
          <w:ilvl w:val="0"/>
          <w:numId w:val="16"/>
        </w:numPr>
        <w:tabs>
          <w:tab w:val="left" w:pos="0"/>
        </w:tabs>
        <w:autoSpaceDE w:val="0"/>
        <w:autoSpaceDN w:val="0"/>
        <w:spacing w:line="360" w:lineRule="auto"/>
        <w:ind w:firstLine="0"/>
        <w:textAlignment w:val="bottom"/>
        <w:rPr>
          <w:rFonts w:hAnsi="宋体" w:cs="宋体"/>
          <w:sz w:val="24"/>
          <w:szCs w:val="24"/>
        </w:rPr>
      </w:pPr>
      <w:r>
        <w:rPr>
          <w:rFonts w:hint="eastAsia" w:hAnsi="宋体" w:cs="宋体"/>
          <w:sz w:val="24"/>
          <w:szCs w:val="24"/>
        </w:rPr>
        <w:t>采用手动盘车，中标人提供手动盘车工具。</w:t>
      </w:r>
    </w:p>
    <w:p w14:paraId="2CEEDCB3">
      <w:pPr>
        <w:numPr>
          <w:ilvl w:val="0"/>
          <w:numId w:val="8"/>
        </w:numPr>
        <w:spacing w:line="360" w:lineRule="auto"/>
        <w:ind w:left="420" w:firstLine="0"/>
        <w:rPr>
          <w:rFonts w:ascii="宋体" w:hAnsi="宋体" w:cs="宋体"/>
          <w:sz w:val="24"/>
        </w:rPr>
      </w:pPr>
      <w:r>
        <w:rPr>
          <w:rFonts w:hint="eastAsia" w:ascii="宋体" w:hAnsi="宋体" w:cs="宋体"/>
          <w:sz w:val="24"/>
        </w:rPr>
        <w:t>*各段氯气冷却器（</w:t>
      </w:r>
      <w:r>
        <w:rPr>
          <w:rFonts w:hint="eastAsia" w:ascii="宋体" w:hAnsi="宋体"/>
          <w:sz w:val="24"/>
        </w:rPr>
        <w:t>卧式安装）</w:t>
      </w:r>
    </w:p>
    <w:p w14:paraId="7F361926">
      <w:pPr>
        <w:spacing w:line="360" w:lineRule="auto"/>
        <w:ind w:left="420" w:firstLine="420"/>
        <w:rPr>
          <w:rFonts w:ascii="宋体" w:hAnsi="宋体" w:cs="宋体"/>
          <w:sz w:val="24"/>
        </w:rPr>
      </w:pPr>
      <w:r>
        <w:rPr>
          <w:rFonts w:hint="eastAsia" w:ascii="宋体" w:hAnsi="宋体" w:cs="宋体"/>
          <w:sz w:val="24"/>
        </w:rPr>
        <w:t>各段氯气冷却器全部统一规格，设计压力、设计温度、容积、换热面积、外形尺寸、管口方位、管口尺寸等等均一致,按最高压力等级统一设计。各段氯气冷却器全采用单管板结构，换热管、折流板、定距管、拉杆采用S22053，管板采用Q</w:t>
      </w:r>
      <w:r>
        <w:rPr>
          <w:rFonts w:ascii="宋体" w:hAnsi="宋体" w:cs="宋体"/>
          <w:sz w:val="24"/>
        </w:rPr>
        <w:t>345R+</w:t>
      </w:r>
      <w:r>
        <w:rPr>
          <w:rFonts w:hint="eastAsia" w:ascii="宋体" w:hAnsi="宋体" w:cs="宋体"/>
          <w:sz w:val="24"/>
        </w:rPr>
        <w:t>S22053，壳体采用Q345R材质。所有</w:t>
      </w:r>
      <w:r>
        <w:rPr>
          <w:rFonts w:ascii="宋体" w:hAnsi="宋体"/>
          <w:sz w:val="24"/>
        </w:rPr>
        <w:t>换热管两端各裁去</w:t>
      </w:r>
      <w:r>
        <w:rPr>
          <w:rFonts w:hint="eastAsia" w:ascii="宋体" w:hAnsi="宋体"/>
          <w:sz w:val="24"/>
        </w:rPr>
        <w:t>1</w:t>
      </w:r>
      <w:r>
        <w:rPr>
          <w:rFonts w:ascii="宋体" w:hAnsi="宋体"/>
          <w:sz w:val="24"/>
        </w:rPr>
        <w:t>0cm（注意采购时考虑相应的长度余量），裁口打磨光滑，</w:t>
      </w:r>
      <w:r>
        <w:rPr>
          <w:rFonts w:hint="eastAsia" w:ascii="宋体" w:hAnsi="宋体"/>
          <w:sz w:val="24"/>
        </w:rPr>
        <w:t>换热管与管板采用氩弧焊焊接和贴胀（先焊后胀），要求采用自动保护焊和中频感应加热技术；换热管厂家：“浙江久立特材科技股份有限公司”、“江苏银环精密钢管有限公司”。</w:t>
      </w:r>
      <w:r>
        <w:rPr>
          <w:rFonts w:hint="eastAsia" w:ascii="宋体" w:hAnsi="宋体" w:cs="宋体"/>
          <w:sz w:val="24"/>
        </w:rPr>
        <w:t>氯气冷却器最终施工图需经过甲、乙双方签字确认后方可制作，经打压试验合格后，内部清理干净无异物并进行烘干处理，氯气侧不允许水试，只能用气试，试验完毕，管口封装盲板，内部充氮保护。所有法兰连接螺栓使用双头螺纹高强度特氟龙螺栓，氯气、水、油介质按规范采用不同垫片（不安装在设备上，随设备一起发货）。包装时冷却器壳层需采用标准法兰盖进行氮气密封保护，压力在0</w:t>
      </w:r>
      <w:r>
        <w:rPr>
          <w:rFonts w:ascii="宋体" w:hAnsi="宋体" w:cs="宋体"/>
          <w:sz w:val="24"/>
        </w:rPr>
        <w:t>.5-1</w:t>
      </w:r>
      <w:r>
        <w:rPr>
          <w:rFonts w:hint="eastAsia" w:ascii="宋体" w:hAnsi="宋体" w:cs="宋体"/>
          <w:sz w:val="24"/>
        </w:rPr>
        <w:t>bar，带两只就地压力表，交货时提供氯气侧的露点分析报告</w:t>
      </w:r>
      <w:r>
        <w:rPr>
          <w:rFonts w:ascii="宋体" w:hAnsi="宋体" w:cs="宋体"/>
          <w:sz w:val="24"/>
        </w:rPr>
        <w:t>。</w:t>
      </w:r>
      <w:r>
        <w:rPr>
          <w:rFonts w:hint="eastAsia" w:ascii="宋体" w:hAnsi="宋体"/>
          <w:sz w:val="24"/>
        </w:rPr>
        <w:t>压力容器铭牌材质采用S30408不锈钢。</w:t>
      </w:r>
    </w:p>
    <w:p w14:paraId="0B42CC57">
      <w:pPr>
        <w:spacing w:line="360" w:lineRule="auto"/>
        <w:rPr>
          <w:rFonts w:ascii="宋体" w:hAnsi="宋体" w:cs="宋体"/>
          <w:sz w:val="24"/>
        </w:rPr>
      </w:pPr>
      <w:r>
        <w:rPr>
          <w:rFonts w:hint="eastAsia" w:ascii="宋体" w:hAnsi="宋体" w:cs="宋体"/>
          <w:sz w:val="24"/>
        </w:rPr>
        <w:t>4</w:t>
      </w:r>
      <w:r>
        <w:rPr>
          <w:rFonts w:ascii="宋体" w:hAnsi="宋体" w:cs="宋体"/>
          <w:sz w:val="24"/>
        </w:rPr>
        <w:t>.5</w:t>
      </w:r>
      <w:r>
        <w:rPr>
          <w:rFonts w:hint="eastAsia" w:ascii="宋体" w:hAnsi="宋体" w:cs="宋体"/>
          <w:sz w:val="24"/>
        </w:rPr>
        <w:t>泄漏检测</w:t>
      </w:r>
    </w:p>
    <w:p w14:paraId="373B0AA2">
      <w:pPr>
        <w:spacing w:line="360" w:lineRule="auto"/>
        <w:rPr>
          <w:rFonts w:ascii="宋体" w:hAnsi="宋体" w:cs="宋体"/>
          <w:sz w:val="24"/>
        </w:rPr>
      </w:pPr>
      <w:r>
        <w:rPr>
          <w:rFonts w:ascii="宋体" w:hAnsi="宋体" w:cs="宋体"/>
          <w:sz w:val="24"/>
        </w:rPr>
        <w:t>4.5.1</w:t>
      </w:r>
      <w:r>
        <w:rPr>
          <w:rFonts w:hint="eastAsia" w:ascii="宋体" w:hAnsi="宋体" w:cs="宋体"/>
          <w:sz w:val="24"/>
        </w:rPr>
        <w:t>氯气压缩机出口需配套氯中水含量分析仪，采用激光测量原理，要求成套配置包括减压阀及相关管道。</w:t>
      </w:r>
    </w:p>
    <w:p w14:paraId="2536DD18">
      <w:pPr>
        <w:spacing w:line="360" w:lineRule="auto"/>
        <w:rPr>
          <w:rFonts w:ascii="宋体" w:hAnsi="宋体" w:cs="宋体"/>
          <w:sz w:val="24"/>
        </w:rPr>
      </w:pPr>
      <w:r>
        <w:rPr>
          <w:rFonts w:ascii="宋体" w:hAnsi="宋体" w:cs="宋体"/>
          <w:sz w:val="24"/>
        </w:rPr>
        <w:t>4.5.2</w:t>
      </w:r>
      <w:r>
        <w:rPr>
          <w:rFonts w:hint="eastAsia" w:ascii="宋体" w:hAnsi="宋体" w:cs="宋体"/>
          <w:sz w:val="24"/>
        </w:rPr>
        <w:t>各段中冷器循环水出口需配备在线含氯检测仪。</w:t>
      </w:r>
    </w:p>
    <w:p w14:paraId="656CFFA4">
      <w:pPr>
        <w:spacing w:line="360" w:lineRule="auto"/>
        <w:rPr>
          <w:rFonts w:ascii="宋体" w:hAnsi="宋体" w:cs="宋体"/>
          <w:sz w:val="24"/>
        </w:rPr>
      </w:pPr>
      <w:r>
        <w:rPr>
          <w:rFonts w:hint="eastAsia" w:ascii="宋体" w:hAnsi="宋体" w:cs="宋体"/>
          <w:sz w:val="24"/>
        </w:rPr>
        <w:t>4</w:t>
      </w:r>
      <w:r>
        <w:rPr>
          <w:rFonts w:ascii="宋体" w:hAnsi="宋体" w:cs="宋体"/>
          <w:sz w:val="24"/>
        </w:rPr>
        <w:t>.6</w:t>
      </w:r>
      <w:r>
        <w:rPr>
          <w:rFonts w:hint="eastAsia" w:ascii="宋体" w:hAnsi="宋体" w:cs="宋体"/>
          <w:sz w:val="24"/>
        </w:rPr>
        <w:t xml:space="preserve"> 轴密封相关仪表及减压阀等。</w:t>
      </w:r>
    </w:p>
    <w:p w14:paraId="3FE60106">
      <w:pPr>
        <w:pStyle w:val="800"/>
        <w:tabs>
          <w:tab w:val="left" w:pos="0"/>
        </w:tabs>
        <w:autoSpaceDE w:val="0"/>
        <w:autoSpaceDN w:val="0"/>
        <w:spacing w:line="360" w:lineRule="auto"/>
        <w:ind w:left="420"/>
        <w:textAlignment w:val="bottom"/>
        <w:rPr>
          <w:rFonts w:hAnsi="宋体" w:cs="宋体"/>
          <w:sz w:val="24"/>
        </w:rPr>
      </w:pPr>
    </w:p>
    <w:p w14:paraId="48009C02">
      <w:pPr>
        <w:adjustRightInd w:val="0"/>
        <w:snapToGrid w:val="0"/>
        <w:spacing w:line="360" w:lineRule="auto"/>
        <w:outlineLvl w:val="0"/>
        <w:rPr>
          <w:rFonts w:ascii="宋体" w:hAnsi="宋体"/>
          <w:bCs/>
          <w:sz w:val="28"/>
          <w:szCs w:val="28"/>
        </w:rPr>
      </w:pPr>
      <w:bookmarkStart w:id="148" w:name="_Toc195433160"/>
      <w:r>
        <w:rPr>
          <w:rFonts w:ascii="宋体" w:hAnsi="宋体"/>
          <w:bCs/>
          <w:sz w:val="28"/>
          <w:szCs w:val="28"/>
        </w:rPr>
        <w:t>5.</w:t>
      </w:r>
      <w:r>
        <w:rPr>
          <w:rFonts w:hint="eastAsia" w:ascii="宋体" w:hAnsi="宋体"/>
          <w:bCs/>
          <w:sz w:val="28"/>
          <w:szCs w:val="28"/>
        </w:rPr>
        <w:t>电气部分</w:t>
      </w:r>
      <w:bookmarkEnd w:id="148"/>
    </w:p>
    <w:p w14:paraId="2B3DC474">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电气条件：6KV-3P-50HZ，非防爆</w:t>
      </w:r>
    </w:p>
    <w:p w14:paraId="133F3D17">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*电机要求采用4极电机设计，防腐等级：WF2，温升等级：B，冷却方式：IC611，定额：S1（连续工作制），防护等级：IP55；抗晃电 2.5S</w:t>
      </w:r>
    </w:p>
    <w:p w14:paraId="78F4A334">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电机前后轴承设置注油及排液装置。</w:t>
      </w:r>
    </w:p>
    <w:p w14:paraId="6CF0C785">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*启动及运行要求</w:t>
      </w:r>
    </w:p>
    <w:p w14:paraId="7ADA0CE7">
      <w:pPr>
        <w:autoSpaceDE w:val="0"/>
        <w:autoSpaceDN w:val="0"/>
        <w:adjustRightInd w:val="0"/>
        <w:snapToGrid w:val="0"/>
        <w:spacing w:line="360" w:lineRule="auto"/>
        <w:ind w:firstLine="240" w:firstLineChars="100"/>
        <w:jc w:val="left"/>
        <w:rPr>
          <w:rFonts w:ascii="宋体" w:hAnsi="宋体" w:cs="宋体"/>
          <w:sz w:val="24"/>
        </w:rPr>
      </w:pPr>
      <w:r>
        <w:rPr>
          <w:rFonts w:hint="eastAsia" w:ascii="宋体" w:hAnsi="宋体" w:cs="宋体"/>
          <w:sz w:val="24"/>
        </w:rPr>
        <w:t>启动方式：直接启动</w:t>
      </w:r>
      <w:r>
        <w:rPr>
          <w:rFonts w:ascii="宋体" w:hAnsi="宋体" w:cs="宋体"/>
          <w:sz w:val="24"/>
        </w:rPr>
        <w:t>。</w:t>
      </w:r>
      <w:r>
        <w:rPr>
          <w:rFonts w:hint="eastAsia" w:ascii="宋体" w:hAnsi="宋体" w:cs="宋体"/>
          <w:sz w:val="24"/>
        </w:rPr>
        <w:t>电动机允许在冷态下连续起动二次（二次起动之间电动机应自然停机），或在额定运行后在热态下起动一次。电源频率与额定频率的偏差不超过±2%时,</w:t>
      </w:r>
      <w:r>
        <w:rPr>
          <w:rFonts w:ascii="宋体" w:hAnsi="宋体" w:cs="宋体"/>
          <w:sz w:val="24"/>
        </w:rPr>
        <w:t xml:space="preserve"> </w:t>
      </w:r>
      <w:r>
        <w:rPr>
          <w:rFonts w:hint="eastAsia" w:ascii="宋体" w:hAnsi="宋体" w:cs="宋体"/>
          <w:sz w:val="24"/>
        </w:rPr>
        <w:t>电源电压与额定电压的偏差不超过±5%时,或电压和频率同时出现极限偏差时,</w:t>
      </w:r>
      <w:r>
        <w:rPr>
          <w:rFonts w:ascii="宋体" w:hAnsi="宋体" w:cs="宋体"/>
          <w:sz w:val="24"/>
        </w:rPr>
        <w:t xml:space="preserve"> </w:t>
      </w:r>
      <w:r>
        <w:rPr>
          <w:rFonts w:hint="eastAsia" w:ascii="宋体" w:hAnsi="宋体" w:cs="宋体"/>
          <w:sz w:val="24"/>
        </w:rPr>
        <w:t>电机输出功率应连续保持为额定值，此时，温升按</w:t>
      </w:r>
      <w:r>
        <w:rPr>
          <w:rFonts w:ascii="宋体" w:hAnsi="宋体" w:cs="宋体"/>
          <w:sz w:val="24"/>
        </w:rPr>
        <w:t xml:space="preserve"> B </w:t>
      </w:r>
      <w:r>
        <w:rPr>
          <w:rFonts w:hint="eastAsia" w:ascii="宋体" w:hAnsi="宋体" w:cs="宋体"/>
          <w:sz w:val="24"/>
        </w:rPr>
        <w:t>级（绝缘等级为</w:t>
      </w:r>
      <w:r>
        <w:rPr>
          <w:rFonts w:ascii="宋体" w:hAnsi="宋体" w:cs="宋体"/>
          <w:sz w:val="24"/>
        </w:rPr>
        <w:t xml:space="preserve"> F </w:t>
      </w:r>
      <w:r>
        <w:rPr>
          <w:rFonts w:hint="eastAsia" w:ascii="宋体" w:hAnsi="宋体" w:cs="宋体"/>
          <w:sz w:val="24"/>
        </w:rPr>
        <w:t>级时）考核。当电源电压与额定电压的偏差在-10%～-5%或+5%～+10%，或当电源频率与额定频率的偏差在-5%～-2%或+2%～+3%；或者当电源与频率同时出</w:t>
      </w:r>
      <w:r>
        <w:rPr>
          <w:rFonts w:hint="eastAsia" w:ascii="宋体" w:hAnsi="宋体" w:cs="宋体"/>
          <w:sz w:val="24"/>
          <w:lang w:val="en-US" w:eastAsia="zh-CN"/>
        </w:rPr>
        <w:t>现</w:t>
      </w:r>
      <w:r>
        <w:rPr>
          <w:rFonts w:hint="eastAsia" w:ascii="宋体" w:hAnsi="宋体" w:cs="宋体"/>
          <w:sz w:val="24"/>
        </w:rPr>
        <w:t>偏差时，电机输出功率应连续保证为额定值，此时，温升按 F 级（绝缘等级为 F 级时）考核；电源频率为额定值 50Hz，电机机端电压在 85%额定电压下(≮80%额定电压)，电机应能连续运行 2 分钟而无有害过热；电机在 1.2 倍同步转速下超速运行 2 分钟不产生有害变形。</w:t>
      </w:r>
    </w:p>
    <w:p w14:paraId="7CCA7667">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电机的结构与安装方式</w:t>
      </w:r>
    </w:p>
    <w:p w14:paraId="5F661211">
      <w:pPr>
        <w:pStyle w:val="179"/>
        <w:numPr>
          <w:ilvl w:val="2"/>
          <w:numId w:val="18"/>
        </w:numPr>
        <w:autoSpaceDE w:val="0"/>
        <w:autoSpaceDN w:val="0"/>
        <w:adjustRightInd w:val="0"/>
        <w:snapToGrid w:val="0"/>
        <w:spacing w:line="360" w:lineRule="auto"/>
        <w:ind w:firstLineChars="0"/>
        <w:jc w:val="left"/>
        <w:rPr>
          <w:rFonts w:ascii="宋体" w:hAnsi="宋体" w:cs="宋体"/>
          <w:sz w:val="24"/>
        </w:rPr>
      </w:pPr>
      <w:r>
        <w:rPr>
          <w:rFonts w:hint="eastAsia" w:ascii="宋体" w:hAnsi="宋体" w:cs="宋体"/>
          <w:sz w:val="24"/>
        </w:rPr>
        <w:t>电机为卧式安装，圆柱轴伸。</w:t>
      </w:r>
    </w:p>
    <w:p w14:paraId="449312C3">
      <w:pPr>
        <w:autoSpaceDE w:val="0"/>
        <w:autoSpaceDN w:val="0"/>
        <w:adjustRightInd w:val="0"/>
        <w:snapToGrid w:val="0"/>
        <w:spacing w:line="360" w:lineRule="auto"/>
        <w:ind w:firstLine="240" w:firstLineChars="100"/>
        <w:jc w:val="left"/>
        <w:rPr>
          <w:rFonts w:ascii="宋体" w:hAnsi="宋体" w:cs="宋体"/>
          <w:sz w:val="24"/>
        </w:rPr>
      </w:pPr>
      <w:r>
        <w:rPr>
          <w:rFonts w:ascii="宋体" w:hAnsi="宋体" w:cs="宋体"/>
          <w:sz w:val="24"/>
        </w:rPr>
        <w:t xml:space="preserve">5.5.2 </w:t>
      </w:r>
      <w:r>
        <w:rPr>
          <w:rFonts w:hint="eastAsia" w:ascii="宋体" w:hAnsi="宋体" w:cs="宋体"/>
          <w:sz w:val="24"/>
        </w:rPr>
        <w:t>电动机采用滚动轴承，油脂润滑。</w:t>
      </w:r>
      <w:r>
        <w:rPr>
          <w:rFonts w:ascii="宋体" w:hAnsi="宋体" w:cs="宋体"/>
          <w:sz w:val="24"/>
        </w:rPr>
        <w:t xml:space="preserve"> </w:t>
      </w:r>
    </w:p>
    <w:p w14:paraId="37D8F66F">
      <w:pPr>
        <w:pStyle w:val="179"/>
        <w:numPr>
          <w:ilvl w:val="2"/>
          <w:numId w:val="19"/>
        </w:numPr>
        <w:autoSpaceDE w:val="0"/>
        <w:autoSpaceDN w:val="0"/>
        <w:adjustRightInd w:val="0"/>
        <w:snapToGrid w:val="0"/>
        <w:spacing w:line="360" w:lineRule="auto"/>
        <w:ind w:firstLineChars="0"/>
        <w:jc w:val="left"/>
        <w:rPr>
          <w:rFonts w:ascii="宋体" w:hAnsi="宋体" w:cs="宋体"/>
          <w:sz w:val="24"/>
        </w:rPr>
      </w:pPr>
      <w:r>
        <w:rPr>
          <w:rFonts w:hint="eastAsia" w:ascii="宋体" w:hAnsi="宋体" w:cs="宋体"/>
          <w:sz w:val="24"/>
        </w:rPr>
        <w:t>轴承选用进口原产地优质产品。</w:t>
      </w:r>
    </w:p>
    <w:p w14:paraId="589046BA">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每个轴承上设置 1 个 Pt100 铂热电阻(双支三线制)，并接至独立的测温接线盒。电机轴承报警温度 85℃，停机温度 90℃。信号可远传。</w:t>
      </w:r>
    </w:p>
    <w:p w14:paraId="0C65CFB6">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电机定子绕组埋置 Pt100 铂热电阻(三线制)6支，每相2支，3支工作，3支备用，并设独立的测温接线盒。定子绕组测温报警温度135℃，停机温度145℃。可远传。</w:t>
      </w:r>
    </w:p>
    <w:p w14:paraId="2157A602">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电机带有防冷凝空间加热器，容量按散热计算值，电压为 220VAC、单相,加热器设独立的接线盒。</w:t>
      </w:r>
    </w:p>
    <w:p w14:paraId="2E27FB7A">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电机主接线盒位于电机右侧（从电机轴伸端视之），防护等级为 IP55。</w:t>
      </w:r>
    </w:p>
    <w:p w14:paraId="6A5E566F">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测温接线盒、加热器接线盒、单独进线，与主接线盒同侧。</w:t>
      </w:r>
    </w:p>
    <w:p w14:paraId="563E1B2F">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接线盒内部及外部均有接地螺栓，并应在接地螺栓附近设有接地标志。此标志应保证在电机整个的使用期间内不易磨灭。</w:t>
      </w:r>
    </w:p>
    <w:p w14:paraId="1A79CACC">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出厂时，电机铭牌附近有显示电机磁力中心线位置的指示牌。</w:t>
      </w:r>
    </w:p>
    <w:p w14:paraId="3BDC7249">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出厂时，电机轴伸端面带有显示电机旋转方向的指示牌。</w:t>
      </w:r>
    </w:p>
    <w:p w14:paraId="50486C66">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出厂试验要求</w:t>
      </w:r>
    </w:p>
    <w:p w14:paraId="2C0D48EE">
      <w:pPr>
        <w:autoSpaceDE w:val="0"/>
        <w:autoSpaceDN w:val="0"/>
        <w:adjustRightInd w:val="0"/>
        <w:snapToGrid w:val="0"/>
        <w:spacing w:line="360" w:lineRule="auto"/>
        <w:ind w:firstLine="240" w:firstLineChars="100"/>
        <w:jc w:val="left"/>
        <w:rPr>
          <w:rFonts w:ascii="宋体" w:hAnsi="宋体" w:cs="宋体"/>
          <w:sz w:val="24"/>
        </w:rPr>
      </w:pPr>
      <w:r>
        <w:rPr>
          <w:rFonts w:hint="eastAsia" w:ascii="宋体" w:hAnsi="宋体" w:cs="宋体"/>
          <w:sz w:val="24"/>
        </w:rPr>
        <w:t>5</w:t>
      </w:r>
      <w:r>
        <w:rPr>
          <w:rFonts w:ascii="宋体" w:hAnsi="宋体" w:cs="宋体"/>
          <w:sz w:val="24"/>
        </w:rPr>
        <w:t xml:space="preserve">.16.1 </w:t>
      </w:r>
      <w:r>
        <w:rPr>
          <w:rFonts w:hint="eastAsia" w:ascii="宋体" w:hAnsi="宋体" w:cs="宋体"/>
          <w:sz w:val="24"/>
        </w:rPr>
        <w:t>中标人对电动机进行试验，试验方法及内容严格按照有关标准的规定，且不少于下列内容：直流电阻测量；空载和短路试验；绝缘电阻测量；交流耐压试验；气隙测量；轴电压测量；振动测量；噪声测量；超速试验；相序识别；转子动平衡试验；</w:t>
      </w:r>
    </w:p>
    <w:p w14:paraId="1C1F1B6D">
      <w:pPr>
        <w:pStyle w:val="179"/>
        <w:numPr>
          <w:ilvl w:val="2"/>
          <w:numId w:val="20"/>
        </w:numPr>
        <w:autoSpaceDE w:val="0"/>
        <w:autoSpaceDN w:val="0"/>
        <w:adjustRightInd w:val="0"/>
        <w:snapToGrid w:val="0"/>
        <w:spacing w:line="360" w:lineRule="auto"/>
        <w:ind w:firstLineChars="0"/>
        <w:jc w:val="left"/>
        <w:rPr>
          <w:rFonts w:ascii="宋体" w:hAnsi="宋体" w:cs="宋体"/>
          <w:sz w:val="24"/>
        </w:rPr>
      </w:pPr>
      <w:r>
        <w:rPr>
          <w:rFonts w:hint="eastAsia" w:ascii="宋体" w:hAnsi="宋体" w:cs="宋体"/>
          <w:sz w:val="24"/>
        </w:rPr>
        <w:t xml:space="preserve"> 结构及外观检查试验要求。</w:t>
      </w:r>
    </w:p>
    <w:p w14:paraId="5E93D451">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中标人为招标人提供以下资料：</w:t>
      </w:r>
    </w:p>
    <w:p w14:paraId="45E771E3">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中标人应对不同类型的设备、主要原材料，提供检验资料清单，包括质量证明文件。</w:t>
      </w:r>
    </w:p>
    <w:p w14:paraId="657E44CD">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产品合格证；</w:t>
      </w:r>
    </w:p>
    <w:p w14:paraId="5151A1D3">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材料合格证（主要材料）；</w:t>
      </w:r>
    </w:p>
    <w:p w14:paraId="08E0DA97">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材料入厂检验报告；</w:t>
      </w:r>
    </w:p>
    <w:p w14:paraId="15A49C72">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外观和尺寸检测报告（整机）；</w:t>
      </w:r>
    </w:p>
    <w:p w14:paraId="272C54E3">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出厂提供详细的试验报告；</w:t>
      </w:r>
    </w:p>
    <w:p w14:paraId="3A89FAC2">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启动时间曲线。</w:t>
      </w:r>
    </w:p>
    <w:p w14:paraId="4504C44D">
      <w:pPr>
        <w:numPr>
          <w:ilvl w:val="0"/>
          <w:numId w:val="17"/>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电机推荐选用品牌及要求：</w:t>
      </w:r>
    </w:p>
    <w:p w14:paraId="3EC0F4CE">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卧龙电气南阳防爆集团股份有限公司（南阳集团） （原产地：河南南阳）</w:t>
      </w:r>
    </w:p>
    <w:p w14:paraId="75B260A6">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无锡东元电机有限公司（原产地：无锡）</w:t>
      </w:r>
    </w:p>
    <w:p w14:paraId="5E25DE30">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高压电机要求不低于</w:t>
      </w:r>
      <w:r>
        <w:t>GB 30254-2024</w:t>
      </w:r>
      <w:r>
        <w:rPr>
          <w:rFonts w:hint="eastAsia" w:ascii="宋体" w:hAnsi="宋体" w:cs="宋体"/>
          <w:sz w:val="24"/>
        </w:rPr>
        <w:t>版2级能效标准。</w:t>
      </w:r>
    </w:p>
    <w:p w14:paraId="786FCF94">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低压电机要求不低于</w:t>
      </w:r>
      <w:r>
        <w:t>GB </w:t>
      </w:r>
      <w:r>
        <w:rPr>
          <w:rFonts w:hint="eastAsia"/>
        </w:rPr>
        <w:t>18613</w:t>
      </w:r>
      <w:r>
        <w:t>-20</w:t>
      </w:r>
      <w:r>
        <w:rPr>
          <w:rFonts w:hint="eastAsia"/>
        </w:rPr>
        <w:t>20</w:t>
      </w:r>
      <w:r>
        <w:rPr>
          <w:rFonts w:hint="eastAsia" w:ascii="宋体" w:hAnsi="宋体" w:cs="宋体"/>
          <w:sz w:val="24"/>
        </w:rPr>
        <w:t>版2级能效标准。</w:t>
      </w:r>
    </w:p>
    <w:p w14:paraId="7F3D6300">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要求品牌原产地的电机，不要后来收购、兼并、及控股来的公司。</w:t>
      </w:r>
    </w:p>
    <w:p w14:paraId="501AB323">
      <w:pPr>
        <w:autoSpaceDE w:val="0"/>
        <w:autoSpaceDN w:val="0"/>
        <w:adjustRightInd w:val="0"/>
        <w:snapToGrid w:val="0"/>
        <w:spacing w:line="360" w:lineRule="auto"/>
        <w:ind w:firstLine="480" w:firstLineChars="200"/>
        <w:jc w:val="left"/>
        <w:rPr>
          <w:rFonts w:ascii="宋体" w:hAnsi="宋体" w:cs="宋体"/>
          <w:sz w:val="24"/>
        </w:rPr>
      </w:pPr>
      <w:r>
        <w:rPr>
          <w:rFonts w:ascii="宋体" w:hAnsi="宋体" w:cs="宋体"/>
          <w:sz w:val="24"/>
        </w:rPr>
        <w:t>电机前后轴设置测振装置，数据可远传至DCS显示。</w:t>
      </w:r>
    </w:p>
    <w:p w14:paraId="362F2859">
      <w:pPr>
        <w:adjustRightInd w:val="0"/>
        <w:snapToGrid w:val="0"/>
        <w:spacing w:line="360" w:lineRule="auto"/>
        <w:outlineLvl w:val="0"/>
        <w:rPr>
          <w:rFonts w:ascii="宋体" w:hAnsi="宋体"/>
          <w:bCs/>
          <w:sz w:val="28"/>
          <w:szCs w:val="28"/>
        </w:rPr>
      </w:pPr>
      <w:bookmarkStart w:id="149" w:name="_Toc195433161"/>
      <w:r>
        <w:rPr>
          <w:rFonts w:ascii="宋体" w:hAnsi="宋体"/>
          <w:bCs/>
          <w:sz w:val="28"/>
          <w:szCs w:val="28"/>
        </w:rPr>
        <w:t>6.</w:t>
      </w:r>
      <w:r>
        <w:rPr>
          <w:rFonts w:hint="eastAsia" w:ascii="宋体" w:hAnsi="宋体"/>
          <w:bCs/>
          <w:sz w:val="28"/>
          <w:szCs w:val="28"/>
        </w:rPr>
        <w:t>仪控部分</w:t>
      </w:r>
      <w:bookmarkEnd w:id="149"/>
    </w:p>
    <w:p w14:paraId="2C4307F4">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氯气压缩机成套机组基本控制由PLC防喘振控制系统和DCS系统实现。DCS系统、GDS系统、SIS系统由招标人提供并组态调试，投标人负责完成压缩机组控制及安全联锁方面的设计，对整套机组仪表设计的完整性负责。并提供招标人DCS/SIS/GDS系统组态所需的全部技术资料及要求，包括但不限于仪表数据表、IO列表、PID图、报警联锁逻辑控制图等并配合招标人组态、调试。PLC防喘振控制系统由中标人设计、成套并供货，PLC与DCS两个系统的融合设计由中标人完成，实现压缩机的防喘振控制、性能调节以及调速等控制。</w:t>
      </w:r>
    </w:p>
    <w:p w14:paraId="5AF2AAAF">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润滑油站仪表板独立安装，不在润滑油站底座上，安装的仪表有：压力表；油过滤器差压变送器、接线箱、泵出口压力变送器，配套根部阀。</w:t>
      </w:r>
    </w:p>
    <w:p w14:paraId="136F6641">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压缩机组仪表板独立安装在润滑油进油总管旁，不在压缩机底座上，安装的仪表有：润滑油总管压力表、压力变送器、接线箱。</w:t>
      </w:r>
    </w:p>
    <w:p w14:paraId="5C08C42E">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压缩机厂房内为非爆炸危险区。考虑到介质腐蚀防护等原因，所有模拟量、开关量仪表按 ExdIIBT4 选型设计。</w:t>
      </w:r>
    </w:p>
    <w:p w14:paraId="18B01116">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现场仪表、接线箱防护等级为不低于 IP65。</w:t>
      </w:r>
    </w:p>
    <w:p w14:paraId="6CB3A0A2">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压缩机组联锁不采用单点联锁方式，原则上不选用开关量仪表。</w:t>
      </w:r>
    </w:p>
    <w:p w14:paraId="75CA1437">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所有变送器选用智能型，dIIBT4,4～20mADC 叠加 Hart 通讯信号，并带数字表头。紧固件不低于 304SS。</w:t>
      </w:r>
    </w:p>
    <w:p w14:paraId="41643280">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就地温度指示仪表选用带外保护套管的双金属温度计，刻度盘直径选用 100mm。轴系测温元件选用 Pt100 双支热电阻。</w:t>
      </w:r>
    </w:p>
    <w:p w14:paraId="4F8CFFE9">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就地压力指示仪表，刻度盘直径选用 100mm，采用不锈钢压力表，采用耐振式压力表。</w:t>
      </w:r>
    </w:p>
    <w:p w14:paraId="292110C4">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所有电磁阀采用 ASCO 产品，防爆等级：Ex dIIBT4,24VDC 供电，低功耗（≤4W），带防爆接线盒及端子，材质不低于 304SS。</w:t>
      </w:r>
    </w:p>
    <w:p w14:paraId="430A8F35">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现场接线箱采用增安型，不锈钢材质。接线端子采用菲尼克斯、魏德米勒等品牌。</w:t>
      </w:r>
    </w:p>
    <w:p w14:paraId="3D877129">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工艺气路上的压力、差压变送器使用法兰隔膜式，隔膜采用钽材质。隔膜内充氟油。压力变送器非隔膜安装时配带两阀组。</w:t>
      </w:r>
    </w:p>
    <w:p w14:paraId="34D4982E">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一次连接的导压管及管阀件的材质不低于 S31603，导压管的管径选用φ14x2，</w:t>
      </w:r>
    </w:p>
    <w:p w14:paraId="4E92F676">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采用焊接式活接头连接。</w:t>
      </w:r>
    </w:p>
    <w:p w14:paraId="057C3F24">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轴系仪表至接线箱间的穿线导管采用镀锌管连接。两端采用不锈钢丝编织防爆金属挠性管连接。</w:t>
      </w:r>
    </w:p>
    <w:p w14:paraId="4A1E1995">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考虑到具体使用，仪表接线箱进、出线口不朝上，接线箱按信号类型分类设置。进出线口螺纹为 NPT 螺纹。</w:t>
      </w:r>
    </w:p>
    <w:p w14:paraId="32328761">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插入式铂热电阻都应带外保护套管，采用整体钻孔锥形套管，材质为 S31603 不锈钢，涉氯介质用哈氏 C-276，采用法兰连接，压力等级与配管材料等级规定相同。</w:t>
      </w:r>
    </w:p>
    <w:p w14:paraId="51DD05E1">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孔板流量计采用法兰宽边一体化孔板，内节流件采用哈氏 C-276，取压法兰材质碳钢。</w:t>
      </w:r>
    </w:p>
    <w:p w14:paraId="4959B49E">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w:t>
      </w:r>
      <w:r>
        <w:rPr>
          <w:rFonts w:ascii="宋体" w:hAnsi="宋体" w:cs="宋体"/>
          <w:sz w:val="24"/>
        </w:rPr>
        <w:t>*</w:t>
      </w:r>
      <w:r>
        <w:rPr>
          <w:rFonts w:hint="eastAsia" w:ascii="宋体" w:hAnsi="宋体" w:cs="宋体"/>
          <w:sz w:val="24"/>
        </w:rPr>
        <w:t>流量计（壳体）、阀门应符合 TSG D7006-2020《压力管道监督检验规则》的规定；国内制造商应提供《中华人民共和国特种设备生产许可证》（压力管道元件），国外制造商应提供产品的《特种设备型式试验合格证》；流量计（壳体）应提供《特种设备监督检验证书（压力管道元件制造）》。</w:t>
      </w:r>
    </w:p>
    <w:p w14:paraId="514FE166">
      <w:pPr>
        <w:widowControl/>
        <w:autoSpaceDE w:val="0"/>
        <w:autoSpaceDN w:val="0"/>
        <w:adjustRightInd w:val="0"/>
        <w:snapToGrid w:val="0"/>
        <w:spacing w:line="360" w:lineRule="auto"/>
        <w:textAlignment w:val="bottom"/>
        <w:rPr>
          <w:rFonts w:ascii="宋体" w:hAnsi="宋体" w:cs="宋体"/>
          <w:sz w:val="24"/>
        </w:rPr>
      </w:pPr>
      <w:r>
        <w:rPr>
          <w:rFonts w:hint="eastAsia" w:ascii="宋体" w:hAnsi="宋体" w:cs="宋体"/>
          <w:sz w:val="24"/>
        </w:rPr>
        <w:t xml:space="preserve"> 涉及含氯工艺气的一次仪表的根部阀，指定采用欧氯认证的氯气专用波纹管截止阀，其波纹管及其两端连接端头(环)材质均为HastelloyC-276。</w:t>
      </w:r>
    </w:p>
    <w:p w14:paraId="0286EE79">
      <w:pPr>
        <w:numPr>
          <w:ilvl w:val="0"/>
          <w:numId w:val="21"/>
        </w:numPr>
        <w:tabs>
          <w:tab w:val="clear" w:pos="0"/>
        </w:tabs>
        <w:autoSpaceDE w:val="0"/>
        <w:autoSpaceDN w:val="0"/>
        <w:adjustRightInd w:val="0"/>
        <w:snapToGrid w:val="0"/>
        <w:spacing w:line="360" w:lineRule="auto"/>
        <w:ind w:left="0" w:firstLine="0"/>
        <w:jc w:val="left"/>
        <w:rPr>
          <w:rFonts w:ascii="宋体" w:hAnsi="宋体" w:cs="宋体"/>
          <w:kern w:val="0"/>
          <w:sz w:val="24"/>
        </w:rPr>
      </w:pPr>
      <w:r>
        <w:rPr>
          <w:rFonts w:hint="eastAsia" w:ascii="宋体" w:hAnsi="宋体" w:cs="宋体"/>
          <w:sz w:val="24"/>
        </w:rPr>
        <w:t xml:space="preserve"> 中标人在合同规定的时间内应按合同规定及时派有能力、有经验的工程技术人员配合进行PLC与DCS系统的通讯，DCS/SIS/GDS 组态和调试。</w:t>
      </w:r>
    </w:p>
    <w:p w14:paraId="53D4F270">
      <w:pPr>
        <w:widowControl/>
        <w:autoSpaceDE w:val="0"/>
        <w:autoSpaceDN w:val="0"/>
        <w:adjustRightInd w:val="0"/>
        <w:snapToGrid w:val="0"/>
        <w:spacing w:line="360" w:lineRule="auto"/>
        <w:textAlignment w:val="bottom"/>
        <w:rPr>
          <w:rFonts w:ascii="宋体" w:hAnsi="宋体" w:cs="宋体"/>
          <w:kern w:val="0"/>
          <w:sz w:val="24"/>
        </w:rPr>
      </w:pPr>
      <w:r>
        <w:rPr>
          <w:rFonts w:hint="eastAsia" w:ascii="宋体" w:hAnsi="宋体" w:cs="宋体"/>
          <w:sz w:val="24"/>
        </w:rPr>
        <w:t xml:space="preserve"> 孔板：引压口DN15法兰连接，采用欧氯认证的氯气专用波纹管截止阀，其波纹管及其两端连接端头(环)材质均为HastelloyC-276。</w:t>
      </w:r>
    </w:p>
    <w:p w14:paraId="6BA5F3D1">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防喘振控制阀要求：</w:t>
      </w:r>
      <w:r>
        <w:rPr>
          <w:rFonts w:hint="eastAsia" w:ascii="宋体" w:hAnsi="宋体" w:cs="宋体"/>
          <w:kern w:val="0"/>
          <w:sz w:val="24"/>
        </w:rPr>
        <w:t>泄漏等级V级，配装附件:空气过滤减压阀、智能电气阀门定位器采用阀门同品牌或azbil品牌，定位器带HART协议带阀位反馈(dIIBT4)，电磁阀采用ASCO品牌 24V DC供电、低功耗、dIIBT4，全开、全关限位开关dIIBT4，手轮，配对法兰及连接紧固件。</w:t>
      </w:r>
    </w:p>
    <w:p w14:paraId="3A5DD3A6">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PLC防喘振系统设计原则：</w:t>
      </w:r>
    </w:p>
    <w:p w14:paraId="4580657F">
      <w:pPr>
        <w:numPr>
          <w:ilvl w:val="0"/>
          <w:numId w:val="22"/>
        </w:numPr>
        <w:autoSpaceDE w:val="0"/>
        <w:autoSpaceDN w:val="0"/>
        <w:adjustRightInd w:val="0"/>
        <w:snapToGrid w:val="0"/>
        <w:spacing w:line="360" w:lineRule="auto"/>
        <w:ind w:firstLine="0"/>
        <w:jc w:val="left"/>
        <w:rPr>
          <w:rFonts w:ascii="宋体" w:hAnsi="宋体" w:cs="宋体"/>
          <w:sz w:val="24"/>
        </w:rPr>
      </w:pPr>
      <w:r>
        <w:rPr>
          <w:rFonts w:hint="eastAsia" w:ascii="宋体" w:hAnsi="宋体" w:cs="宋体"/>
          <w:sz w:val="24"/>
        </w:rPr>
        <w:t>报警联锁系统逻辑设计为故障安全型。</w:t>
      </w:r>
    </w:p>
    <w:p w14:paraId="440F06C8">
      <w:pPr>
        <w:numPr>
          <w:ilvl w:val="0"/>
          <w:numId w:val="22"/>
        </w:numPr>
        <w:autoSpaceDE w:val="0"/>
        <w:autoSpaceDN w:val="0"/>
        <w:adjustRightInd w:val="0"/>
        <w:snapToGrid w:val="0"/>
        <w:spacing w:line="360" w:lineRule="auto"/>
        <w:ind w:firstLine="0"/>
        <w:jc w:val="left"/>
        <w:rPr>
          <w:rFonts w:ascii="宋体" w:hAnsi="宋体" w:cs="宋体"/>
          <w:sz w:val="24"/>
        </w:rPr>
      </w:pPr>
      <w:r>
        <w:rPr>
          <w:rFonts w:hint="eastAsia" w:ascii="宋体" w:hAnsi="宋体" w:cs="宋体"/>
          <w:sz w:val="24"/>
        </w:rPr>
        <w:t>每个单点联锁设计软切除开关，切除时记录并报警。</w:t>
      </w:r>
    </w:p>
    <w:p w14:paraId="3BB44A2D">
      <w:pPr>
        <w:numPr>
          <w:ilvl w:val="0"/>
          <w:numId w:val="22"/>
        </w:numPr>
        <w:autoSpaceDE w:val="0"/>
        <w:autoSpaceDN w:val="0"/>
        <w:adjustRightInd w:val="0"/>
        <w:snapToGrid w:val="0"/>
        <w:spacing w:line="360" w:lineRule="auto"/>
        <w:ind w:left="0" w:firstLine="420" w:firstLineChars="175"/>
        <w:jc w:val="left"/>
        <w:rPr>
          <w:rFonts w:ascii="宋体" w:hAnsi="宋体" w:cs="宋体"/>
          <w:sz w:val="24"/>
        </w:rPr>
      </w:pPr>
      <w:r>
        <w:rPr>
          <w:rFonts w:hint="eastAsia" w:ascii="宋体" w:hAnsi="宋体" w:cs="宋体"/>
          <w:sz w:val="24"/>
        </w:rPr>
        <w:t>控制系统与DCS之间的通讯协议为MODBUS，接口：RS485，DCS为主站，通过通讯协议与DCS连接的信号仅用于显示。</w:t>
      </w:r>
    </w:p>
    <w:p w14:paraId="3AD13468">
      <w:pPr>
        <w:numPr>
          <w:ilvl w:val="0"/>
          <w:numId w:val="22"/>
        </w:numPr>
        <w:autoSpaceDE w:val="0"/>
        <w:autoSpaceDN w:val="0"/>
        <w:adjustRightInd w:val="0"/>
        <w:snapToGrid w:val="0"/>
        <w:spacing w:line="360" w:lineRule="auto"/>
        <w:ind w:firstLine="0"/>
        <w:jc w:val="left"/>
        <w:rPr>
          <w:rFonts w:ascii="宋体" w:hAnsi="宋体" w:cs="宋体"/>
          <w:sz w:val="24"/>
        </w:rPr>
      </w:pPr>
      <w:r>
        <w:rPr>
          <w:rFonts w:hint="eastAsia" w:ascii="宋体" w:hAnsi="宋体" w:cs="宋体"/>
          <w:sz w:val="24"/>
        </w:rPr>
        <w:t>控制系统与DCS、SIS、电控间的往来信号，具体内容可在协调会上确定。</w:t>
      </w:r>
    </w:p>
    <w:p w14:paraId="5E3BAC9D">
      <w:pPr>
        <w:numPr>
          <w:ilvl w:val="0"/>
          <w:numId w:val="22"/>
        </w:numPr>
        <w:autoSpaceDE w:val="0"/>
        <w:autoSpaceDN w:val="0"/>
        <w:adjustRightInd w:val="0"/>
        <w:snapToGrid w:val="0"/>
        <w:spacing w:line="360" w:lineRule="auto"/>
        <w:ind w:left="0" w:firstLine="420" w:firstLineChars="175"/>
        <w:jc w:val="left"/>
        <w:rPr>
          <w:rFonts w:ascii="宋体" w:hAnsi="宋体" w:cs="宋体"/>
          <w:sz w:val="24"/>
        </w:rPr>
      </w:pPr>
      <w:r>
        <w:rPr>
          <w:rFonts w:hint="eastAsia" w:ascii="宋体" w:hAnsi="宋体" w:cs="宋体"/>
          <w:sz w:val="24"/>
        </w:rPr>
        <w:t>控制系统I/O卡件备用点数按</w:t>
      </w:r>
      <w:r>
        <w:rPr>
          <w:rFonts w:ascii="宋体" w:hAnsi="宋体" w:cs="宋体"/>
          <w:sz w:val="24"/>
        </w:rPr>
        <w:t>30</w:t>
      </w:r>
      <w:r>
        <w:rPr>
          <w:rFonts w:hint="eastAsia" w:ascii="宋体" w:hAnsi="宋体" w:cs="宋体"/>
          <w:sz w:val="24"/>
        </w:rPr>
        <w:t>%考虑，控制柜内预留20%安装空间，I/O卡槽位的备用空间为</w:t>
      </w:r>
      <w:r>
        <w:rPr>
          <w:rFonts w:ascii="宋体" w:hAnsi="宋体" w:cs="宋体"/>
          <w:sz w:val="24"/>
        </w:rPr>
        <w:t>30</w:t>
      </w:r>
      <w:r>
        <w:rPr>
          <w:rFonts w:hint="eastAsia" w:ascii="宋体" w:hAnsi="宋体" w:cs="宋体"/>
          <w:sz w:val="24"/>
        </w:rPr>
        <w:t>%。</w:t>
      </w:r>
    </w:p>
    <w:p w14:paraId="3A1A413C">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报警</w:t>
      </w:r>
      <w:r>
        <w:rPr>
          <w:rFonts w:hint="eastAsia" w:ascii="宋体" w:hAnsi="宋体" w:cs="宋体"/>
          <w:kern w:val="0"/>
          <w:sz w:val="24"/>
        </w:rPr>
        <w:t>联锁系统逻辑设计为故障安全型。</w:t>
      </w:r>
    </w:p>
    <w:p w14:paraId="4CED2F33">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kern w:val="0"/>
          <w:sz w:val="24"/>
        </w:rPr>
        <w:t xml:space="preserve"> 每个单点联锁设计软切除开关，切除时记录并报警。</w:t>
      </w:r>
    </w:p>
    <w:p w14:paraId="499D2387">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kern w:val="0"/>
          <w:sz w:val="24"/>
        </w:rPr>
        <w:t xml:space="preserve"> 控制系统与DCS之间的通讯协议为MODBUS，接口：RS485，DCS为主站，通过通讯协议与DCS连接的信号仅用于显示。</w:t>
      </w:r>
    </w:p>
    <w:p w14:paraId="79F706B3">
      <w:pPr>
        <w:numPr>
          <w:ilvl w:val="0"/>
          <w:numId w:val="21"/>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kern w:val="0"/>
          <w:sz w:val="24"/>
        </w:rPr>
        <w:t xml:space="preserve"> 控制系统I/O卡件备用点数按</w:t>
      </w:r>
      <w:r>
        <w:rPr>
          <w:rFonts w:ascii="宋体" w:hAnsi="宋体" w:cs="宋体"/>
          <w:kern w:val="0"/>
          <w:sz w:val="24"/>
        </w:rPr>
        <w:t>30</w:t>
      </w:r>
      <w:r>
        <w:rPr>
          <w:rFonts w:hint="eastAsia" w:ascii="宋体" w:hAnsi="宋体" w:cs="宋体"/>
          <w:kern w:val="0"/>
          <w:sz w:val="24"/>
        </w:rPr>
        <w:t>%考虑，控制柜内预留20%安装空间，I/O卡槽位的备用空间为</w:t>
      </w:r>
      <w:r>
        <w:rPr>
          <w:rFonts w:ascii="宋体" w:hAnsi="宋体" w:cs="宋体"/>
          <w:kern w:val="0"/>
          <w:sz w:val="24"/>
        </w:rPr>
        <w:t>30</w:t>
      </w:r>
      <w:r>
        <w:rPr>
          <w:rFonts w:hint="eastAsia" w:ascii="宋体" w:hAnsi="宋体" w:cs="宋体"/>
          <w:kern w:val="0"/>
          <w:sz w:val="24"/>
        </w:rPr>
        <w:t>%。</w:t>
      </w:r>
    </w:p>
    <w:p w14:paraId="17453BA2">
      <w:pPr>
        <w:numPr>
          <w:ilvl w:val="0"/>
          <w:numId w:val="21"/>
        </w:numPr>
        <w:tabs>
          <w:tab w:val="clear" w:pos="0"/>
        </w:tabs>
        <w:autoSpaceDE w:val="0"/>
        <w:autoSpaceDN w:val="0"/>
        <w:adjustRightInd w:val="0"/>
        <w:snapToGrid w:val="0"/>
        <w:spacing w:line="360" w:lineRule="auto"/>
        <w:ind w:left="0" w:firstLine="0"/>
        <w:jc w:val="left"/>
        <w:rPr>
          <w:rFonts w:ascii="宋体" w:hAnsi="宋体" w:cs="宋体"/>
          <w:kern w:val="0"/>
          <w:sz w:val="24"/>
        </w:rPr>
      </w:pPr>
      <w:r>
        <w:rPr>
          <w:rFonts w:hint="eastAsia" w:ascii="宋体" w:hAnsi="宋体" w:cs="宋体"/>
          <w:kern w:val="0"/>
          <w:sz w:val="24"/>
        </w:rPr>
        <w:t xml:space="preserve"> 现场控制柜采用304不锈钢材质外壳及正压保护设计</w:t>
      </w:r>
    </w:p>
    <w:p w14:paraId="1860ACA9">
      <w:pPr>
        <w:adjustRightInd w:val="0"/>
        <w:snapToGrid w:val="0"/>
        <w:spacing w:line="360" w:lineRule="auto"/>
        <w:outlineLvl w:val="0"/>
        <w:rPr>
          <w:rFonts w:ascii="宋体" w:hAnsi="宋体"/>
          <w:bCs/>
          <w:sz w:val="28"/>
          <w:szCs w:val="28"/>
        </w:rPr>
      </w:pPr>
      <w:bookmarkStart w:id="150" w:name="_Toc195433162"/>
      <w:r>
        <w:rPr>
          <w:rFonts w:ascii="宋体" w:hAnsi="宋体"/>
          <w:bCs/>
          <w:sz w:val="28"/>
          <w:szCs w:val="28"/>
        </w:rPr>
        <w:t>7.供货要求</w:t>
      </w:r>
      <w:bookmarkEnd w:id="150"/>
    </w:p>
    <w:p w14:paraId="72474DFE">
      <w:pPr>
        <w:numPr>
          <w:ilvl w:val="0"/>
          <w:numId w:val="23"/>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供货范围：离心式氯气压缩机组一台套，包含离心压缩机、润滑油系统、齿轮箱、随机备品备件、随机专用工具以及防喘振控制系统控制方案，大回流、小回流等等。</w:t>
      </w:r>
    </w:p>
    <w:p w14:paraId="33C9A877">
      <w:pPr>
        <w:numPr>
          <w:ilvl w:val="0"/>
          <w:numId w:val="23"/>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离心压缩机安装指导、组态调试指导、培训等。</w:t>
      </w:r>
    </w:p>
    <w:p w14:paraId="31B8BA78">
      <w:pPr>
        <w:numPr>
          <w:ilvl w:val="0"/>
          <w:numId w:val="23"/>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离心压缩机</w:t>
      </w:r>
    </w:p>
    <w:tbl>
      <w:tblPr>
        <w:tblStyle w:val="76"/>
        <w:tblW w:w="10023" w:type="dxa"/>
        <w:tblInd w:w="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3046"/>
        <w:gridCol w:w="425"/>
        <w:gridCol w:w="425"/>
        <w:gridCol w:w="4746"/>
      </w:tblGrid>
      <w:tr w14:paraId="338F0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6DEFB3B4">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序号</w:t>
            </w:r>
          </w:p>
        </w:tc>
        <w:tc>
          <w:tcPr>
            <w:tcW w:w="3046" w:type="dxa"/>
          </w:tcPr>
          <w:p w14:paraId="1B3B769E">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名称</w:t>
            </w:r>
          </w:p>
        </w:tc>
        <w:tc>
          <w:tcPr>
            <w:tcW w:w="850" w:type="dxa"/>
            <w:gridSpan w:val="2"/>
          </w:tcPr>
          <w:p w14:paraId="3E9639B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数量</w:t>
            </w:r>
          </w:p>
        </w:tc>
        <w:tc>
          <w:tcPr>
            <w:tcW w:w="4746" w:type="dxa"/>
          </w:tcPr>
          <w:p w14:paraId="650140E6">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备注</w:t>
            </w:r>
          </w:p>
        </w:tc>
      </w:tr>
      <w:tr w14:paraId="297A7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Align w:val="center"/>
          </w:tcPr>
          <w:p w14:paraId="2041B282">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vAlign w:val="center"/>
          </w:tcPr>
          <w:p w14:paraId="6727AB64">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压缩机本体</w:t>
            </w:r>
          </w:p>
        </w:tc>
        <w:tc>
          <w:tcPr>
            <w:tcW w:w="425" w:type="dxa"/>
            <w:vAlign w:val="center"/>
          </w:tcPr>
          <w:p w14:paraId="1A8474C1">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vAlign w:val="center"/>
          </w:tcPr>
          <w:p w14:paraId="4D1CCE6E">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24CB7436">
            <w:pPr>
              <w:widowControl/>
              <w:autoSpaceDE w:val="0"/>
              <w:autoSpaceDN w:val="0"/>
              <w:adjustRightInd w:val="0"/>
              <w:snapToGrid w:val="0"/>
              <w:spacing w:line="360" w:lineRule="auto"/>
              <w:textAlignment w:val="bottom"/>
              <w:rPr>
                <w:rFonts w:ascii="宋体" w:hAnsi="宋体" w:cs="宋体"/>
                <w:sz w:val="21"/>
                <w:szCs w:val="21"/>
              </w:rPr>
            </w:pPr>
          </w:p>
        </w:tc>
      </w:tr>
      <w:tr w14:paraId="72869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restart"/>
          </w:tcPr>
          <w:p w14:paraId="1B5C16BF">
            <w:pPr>
              <w:widowControl/>
              <w:autoSpaceDE w:val="0"/>
              <w:autoSpaceDN w:val="0"/>
              <w:adjustRightInd w:val="0"/>
              <w:snapToGrid w:val="0"/>
              <w:spacing w:line="360" w:lineRule="auto"/>
              <w:textAlignment w:val="bottom"/>
              <w:rPr>
                <w:rFonts w:ascii="宋体" w:hAnsi="宋体" w:cs="宋体"/>
                <w:sz w:val="21"/>
                <w:szCs w:val="21"/>
              </w:rPr>
            </w:pPr>
          </w:p>
        </w:tc>
        <w:tc>
          <w:tcPr>
            <w:tcW w:w="3046" w:type="dxa"/>
          </w:tcPr>
          <w:p w14:paraId="71CDD689">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定子</w:t>
            </w:r>
          </w:p>
        </w:tc>
        <w:tc>
          <w:tcPr>
            <w:tcW w:w="425" w:type="dxa"/>
          </w:tcPr>
          <w:p w14:paraId="09F58CC4">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6B522426">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615FA2C7">
            <w:pPr>
              <w:widowControl/>
              <w:autoSpaceDE w:val="0"/>
              <w:autoSpaceDN w:val="0"/>
              <w:adjustRightInd w:val="0"/>
              <w:snapToGrid w:val="0"/>
              <w:spacing w:line="360" w:lineRule="auto"/>
              <w:textAlignment w:val="bottom"/>
              <w:rPr>
                <w:rFonts w:ascii="宋体" w:hAnsi="宋体" w:cs="宋体"/>
                <w:sz w:val="21"/>
                <w:szCs w:val="21"/>
              </w:rPr>
            </w:pPr>
          </w:p>
        </w:tc>
      </w:tr>
      <w:tr w14:paraId="7CB2B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31229310">
            <w:pPr>
              <w:widowControl/>
              <w:numPr>
                <w:ilvl w:val="2"/>
                <w:numId w:val="25"/>
              </w:numPr>
              <w:autoSpaceDE w:val="0"/>
              <w:autoSpaceDN w:val="0"/>
              <w:adjustRightInd w:val="0"/>
              <w:snapToGrid w:val="0"/>
              <w:spacing w:line="360" w:lineRule="auto"/>
              <w:ind w:left="0" w:firstLine="0"/>
              <w:textAlignment w:val="bottom"/>
              <w:rPr>
                <w:rFonts w:ascii="宋体" w:hAnsi="宋体" w:cs="宋体"/>
                <w:sz w:val="21"/>
                <w:szCs w:val="21"/>
              </w:rPr>
            </w:pPr>
          </w:p>
        </w:tc>
        <w:tc>
          <w:tcPr>
            <w:tcW w:w="3046" w:type="dxa"/>
          </w:tcPr>
          <w:p w14:paraId="30FD79DA">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转子</w:t>
            </w:r>
          </w:p>
        </w:tc>
        <w:tc>
          <w:tcPr>
            <w:tcW w:w="425" w:type="dxa"/>
          </w:tcPr>
          <w:p w14:paraId="1046002C">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506569B8">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362E7675">
            <w:pPr>
              <w:widowControl/>
              <w:autoSpaceDE w:val="0"/>
              <w:autoSpaceDN w:val="0"/>
              <w:adjustRightInd w:val="0"/>
              <w:snapToGrid w:val="0"/>
              <w:spacing w:line="360" w:lineRule="auto"/>
              <w:textAlignment w:val="bottom"/>
              <w:rPr>
                <w:rFonts w:ascii="宋体" w:hAnsi="宋体" w:cs="宋体"/>
                <w:sz w:val="21"/>
                <w:szCs w:val="21"/>
              </w:rPr>
            </w:pPr>
          </w:p>
        </w:tc>
      </w:tr>
      <w:tr w14:paraId="711AD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581F7667">
            <w:pPr>
              <w:widowControl/>
              <w:numPr>
                <w:ilvl w:val="2"/>
                <w:numId w:val="25"/>
              </w:numPr>
              <w:autoSpaceDE w:val="0"/>
              <w:autoSpaceDN w:val="0"/>
              <w:adjustRightInd w:val="0"/>
              <w:snapToGrid w:val="0"/>
              <w:spacing w:line="360" w:lineRule="auto"/>
              <w:ind w:left="0" w:firstLine="0"/>
              <w:textAlignment w:val="bottom"/>
              <w:rPr>
                <w:rFonts w:ascii="宋体" w:hAnsi="宋体" w:cs="宋体"/>
                <w:sz w:val="21"/>
                <w:szCs w:val="21"/>
              </w:rPr>
            </w:pPr>
          </w:p>
        </w:tc>
        <w:tc>
          <w:tcPr>
            <w:tcW w:w="3046" w:type="dxa"/>
          </w:tcPr>
          <w:p w14:paraId="6ECED1F3">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支撑轴承</w:t>
            </w:r>
          </w:p>
        </w:tc>
        <w:tc>
          <w:tcPr>
            <w:tcW w:w="425" w:type="dxa"/>
          </w:tcPr>
          <w:p w14:paraId="05491E69">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2 </w:t>
            </w:r>
          </w:p>
        </w:tc>
        <w:tc>
          <w:tcPr>
            <w:tcW w:w="425" w:type="dxa"/>
          </w:tcPr>
          <w:p w14:paraId="07E18FF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0136DF2F">
            <w:pPr>
              <w:widowControl/>
              <w:autoSpaceDE w:val="0"/>
              <w:autoSpaceDN w:val="0"/>
              <w:adjustRightInd w:val="0"/>
              <w:snapToGrid w:val="0"/>
              <w:spacing w:line="360" w:lineRule="auto"/>
              <w:textAlignment w:val="bottom"/>
              <w:rPr>
                <w:rFonts w:ascii="宋体" w:hAnsi="宋体" w:cs="宋体"/>
                <w:sz w:val="21"/>
                <w:szCs w:val="21"/>
              </w:rPr>
            </w:pPr>
          </w:p>
        </w:tc>
      </w:tr>
      <w:tr w14:paraId="40001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688D9416">
            <w:pPr>
              <w:widowControl/>
              <w:numPr>
                <w:ilvl w:val="2"/>
                <w:numId w:val="25"/>
              </w:numPr>
              <w:autoSpaceDE w:val="0"/>
              <w:autoSpaceDN w:val="0"/>
              <w:adjustRightInd w:val="0"/>
              <w:snapToGrid w:val="0"/>
              <w:spacing w:line="360" w:lineRule="auto"/>
              <w:ind w:left="0" w:firstLine="0"/>
              <w:textAlignment w:val="bottom"/>
              <w:rPr>
                <w:rFonts w:ascii="宋体" w:hAnsi="宋体" w:cs="宋体"/>
                <w:sz w:val="21"/>
                <w:szCs w:val="21"/>
              </w:rPr>
            </w:pPr>
          </w:p>
        </w:tc>
        <w:tc>
          <w:tcPr>
            <w:tcW w:w="3046" w:type="dxa"/>
          </w:tcPr>
          <w:p w14:paraId="45ACA12E">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推力轴承</w:t>
            </w:r>
          </w:p>
        </w:tc>
        <w:tc>
          <w:tcPr>
            <w:tcW w:w="425" w:type="dxa"/>
          </w:tcPr>
          <w:p w14:paraId="563B7507">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46B013B4">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05702A76">
            <w:pPr>
              <w:widowControl/>
              <w:autoSpaceDE w:val="0"/>
              <w:autoSpaceDN w:val="0"/>
              <w:adjustRightInd w:val="0"/>
              <w:snapToGrid w:val="0"/>
              <w:spacing w:line="360" w:lineRule="auto"/>
              <w:textAlignment w:val="bottom"/>
              <w:rPr>
                <w:rFonts w:ascii="宋体" w:hAnsi="宋体" w:cs="宋体"/>
                <w:sz w:val="21"/>
                <w:szCs w:val="21"/>
              </w:rPr>
            </w:pPr>
          </w:p>
        </w:tc>
      </w:tr>
      <w:tr w14:paraId="43F40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5FFBF676">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39958B1A">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底座</w:t>
            </w:r>
          </w:p>
        </w:tc>
        <w:tc>
          <w:tcPr>
            <w:tcW w:w="425" w:type="dxa"/>
          </w:tcPr>
          <w:p w14:paraId="542B2F57">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3F45C74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76170103">
            <w:pPr>
              <w:widowControl/>
              <w:autoSpaceDE w:val="0"/>
              <w:autoSpaceDN w:val="0"/>
              <w:adjustRightInd w:val="0"/>
              <w:snapToGrid w:val="0"/>
              <w:spacing w:line="360" w:lineRule="auto"/>
              <w:textAlignment w:val="bottom"/>
              <w:rPr>
                <w:rFonts w:ascii="宋体" w:hAnsi="宋体" w:cs="宋体"/>
                <w:sz w:val="21"/>
                <w:szCs w:val="21"/>
              </w:rPr>
            </w:pPr>
          </w:p>
        </w:tc>
      </w:tr>
      <w:tr w14:paraId="12CEB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54BE4A92">
            <w:pPr>
              <w:widowControl/>
              <w:autoSpaceDE w:val="0"/>
              <w:autoSpaceDN w:val="0"/>
              <w:adjustRightInd w:val="0"/>
              <w:snapToGrid w:val="0"/>
              <w:spacing w:line="360" w:lineRule="auto"/>
              <w:textAlignment w:val="bottom"/>
              <w:rPr>
                <w:rFonts w:ascii="宋体" w:hAnsi="宋体" w:cs="宋体"/>
                <w:sz w:val="21"/>
                <w:szCs w:val="21"/>
              </w:rPr>
            </w:pPr>
          </w:p>
        </w:tc>
        <w:tc>
          <w:tcPr>
            <w:tcW w:w="3046" w:type="dxa"/>
          </w:tcPr>
          <w:p w14:paraId="2EA992C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驱动机、变速机、压缩机联合底座</w:t>
            </w:r>
          </w:p>
        </w:tc>
        <w:tc>
          <w:tcPr>
            <w:tcW w:w="425" w:type="dxa"/>
          </w:tcPr>
          <w:p w14:paraId="1C3FC8D0">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228C2F8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vAlign w:val="center"/>
          </w:tcPr>
          <w:p w14:paraId="6FABC54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含地脚螺栓、调整螺钉、螺母、垫片、接地座组</w:t>
            </w:r>
          </w:p>
        </w:tc>
      </w:tr>
      <w:tr w14:paraId="66B60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2B16DE97">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500C3FD2">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联轴器</w:t>
            </w:r>
          </w:p>
        </w:tc>
        <w:tc>
          <w:tcPr>
            <w:tcW w:w="425" w:type="dxa"/>
          </w:tcPr>
          <w:p w14:paraId="7AB52603">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00243B43">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41C96290">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叠片/膜片</w:t>
            </w:r>
          </w:p>
        </w:tc>
      </w:tr>
      <w:tr w14:paraId="363E2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763F54EF">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1B25297E">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联轴器护罩</w:t>
            </w:r>
          </w:p>
        </w:tc>
        <w:tc>
          <w:tcPr>
            <w:tcW w:w="425" w:type="dxa"/>
          </w:tcPr>
          <w:p w14:paraId="07BFC53C">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3033702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23F22C50">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304</w:t>
            </w:r>
          </w:p>
        </w:tc>
      </w:tr>
      <w:tr w14:paraId="29EDC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13F38884">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4BBC779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润滑油管路</w:t>
            </w:r>
          </w:p>
        </w:tc>
        <w:tc>
          <w:tcPr>
            <w:tcW w:w="425" w:type="dxa"/>
          </w:tcPr>
          <w:p w14:paraId="1C2C6AB9">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073F1159">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55A477D0">
            <w:pPr>
              <w:widowControl/>
              <w:autoSpaceDE w:val="0"/>
              <w:autoSpaceDN w:val="0"/>
              <w:adjustRightInd w:val="0"/>
              <w:snapToGrid w:val="0"/>
              <w:spacing w:line="360" w:lineRule="auto"/>
              <w:textAlignment w:val="bottom"/>
              <w:rPr>
                <w:rFonts w:ascii="宋体" w:hAnsi="宋体" w:cs="宋体"/>
                <w:sz w:val="21"/>
                <w:szCs w:val="21"/>
              </w:rPr>
            </w:pPr>
          </w:p>
        </w:tc>
      </w:tr>
      <w:tr w14:paraId="3D346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143DDB23">
            <w:pPr>
              <w:widowControl/>
              <w:autoSpaceDE w:val="0"/>
              <w:autoSpaceDN w:val="0"/>
              <w:adjustRightInd w:val="0"/>
              <w:snapToGrid w:val="0"/>
              <w:spacing w:line="360" w:lineRule="auto"/>
              <w:textAlignment w:val="bottom"/>
              <w:rPr>
                <w:rFonts w:ascii="宋体" w:hAnsi="宋体" w:cs="宋体"/>
                <w:sz w:val="21"/>
                <w:szCs w:val="21"/>
              </w:rPr>
            </w:pPr>
          </w:p>
        </w:tc>
        <w:tc>
          <w:tcPr>
            <w:tcW w:w="3046" w:type="dxa"/>
          </w:tcPr>
          <w:p w14:paraId="00F6469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底座范围内油管路</w:t>
            </w:r>
          </w:p>
        </w:tc>
        <w:tc>
          <w:tcPr>
            <w:tcW w:w="425" w:type="dxa"/>
          </w:tcPr>
          <w:p w14:paraId="0259FAA1">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0088E655">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09C2C96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即机旁油管路</w:t>
            </w:r>
          </w:p>
        </w:tc>
      </w:tr>
      <w:tr w14:paraId="2B255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Align w:val="center"/>
          </w:tcPr>
          <w:p w14:paraId="74F33728">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336B922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所有与用户连接的法兰、螺栓、螺母、垫片</w:t>
            </w:r>
          </w:p>
        </w:tc>
        <w:tc>
          <w:tcPr>
            <w:tcW w:w="425" w:type="dxa"/>
            <w:vAlign w:val="center"/>
          </w:tcPr>
          <w:p w14:paraId="7DFEC3CE">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0</w:t>
            </w:r>
          </w:p>
        </w:tc>
        <w:tc>
          <w:tcPr>
            <w:tcW w:w="425" w:type="dxa"/>
            <w:vAlign w:val="center"/>
          </w:tcPr>
          <w:p w14:paraId="07CE1773">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vAlign w:val="center"/>
          </w:tcPr>
          <w:p w14:paraId="70625B88">
            <w:pPr>
              <w:widowControl/>
              <w:autoSpaceDE w:val="0"/>
              <w:autoSpaceDN w:val="0"/>
              <w:adjustRightInd w:val="0"/>
              <w:snapToGrid w:val="0"/>
              <w:spacing w:line="360" w:lineRule="auto"/>
              <w:textAlignment w:val="bottom"/>
              <w:rPr>
                <w:rFonts w:ascii="宋体" w:hAnsi="宋体" w:cs="宋体"/>
                <w:sz w:val="21"/>
                <w:szCs w:val="21"/>
              </w:rPr>
            </w:pPr>
          </w:p>
        </w:tc>
      </w:tr>
      <w:tr w14:paraId="34286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19E0BA69">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080BFF02">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轴端密封</w:t>
            </w:r>
          </w:p>
        </w:tc>
        <w:tc>
          <w:tcPr>
            <w:tcW w:w="425" w:type="dxa"/>
          </w:tcPr>
          <w:p w14:paraId="28B939BE">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47744C19">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269E3C71">
            <w:pPr>
              <w:widowControl/>
              <w:autoSpaceDE w:val="0"/>
              <w:autoSpaceDN w:val="0"/>
              <w:adjustRightInd w:val="0"/>
              <w:snapToGrid w:val="0"/>
              <w:spacing w:line="360" w:lineRule="auto"/>
              <w:textAlignment w:val="bottom"/>
              <w:rPr>
                <w:rFonts w:ascii="宋体" w:hAnsi="宋体" w:cs="宋体"/>
                <w:sz w:val="21"/>
                <w:szCs w:val="21"/>
              </w:rPr>
            </w:pPr>
            <w:r>
              <w:rPr>
                <w:rFonts w:ascii="宋体" w:hAnsi="宋体" w:cs="宋体"/>
                <w:sz w:val="21"/>
                <w:szCs w:val="21"/>
              </w:rPr>
              <w:t>C276</w:t>
            </w:r>
          </w:p>
        </w:tc>
      </w:tr>
      <w:tr w14:paraId="57D69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restart"/>
            <w:vAlign w:val="center"/>
          </w:tcPr>
          <w:p w14:paraId="512C3431">
            <w:pPr>
              <w:widowControl/>
              <w:autoSpaceDE w:val="0"/>
              <w:autoSpaceDN w:val="0"/>
              <w:adjustRightInd w:val="0"/>
              <w:snapToGrid w:val="0"/>
              <w:spacing w:line="360" w:lineRule="auto"/>
              <w:textAlignment w:val="bottom"/>
              <w:rPr>
                <w:rFonts w:ascii="宋体" w:hAnsi="宋体" w:cs="宋体"/>
                <w:sz w:val="21"/>
                <w:szCs w:val="21"/>
              </w:rPr>
            </w:pPr>
          </w:p>
        </w:tc>
        <w:tc>
          <w:tcPr>
            <w:tcW w:w="3046" w:type="dxa"/>
          </w:tcPr>
          <w:p w14:paraId="68F53CC8">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迷宫密封</w:t>
            </w:r>
          </w:p>
        </w:tc>
        <w:tc>
          <w:tcPr>
            <w:tcW w:w="425" w:type="dxa"/>
          </w:tcPr>
          <w:p w14:paraId="49B4744B">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713A937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5B8EAE9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碳钢+C276</w:t>
            </w:r>
          </w:p>
        </w:tc>
      </w:tr>
      <w:tr w14:paraId="3C2FA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31506434">
            <w:pPr>
              <w:widowControl/>
              <w:autoSpaceDE w:val="0"/>
              <w:autoSpaceDN w:val="0"/>
              <w:adjustRightInd w:val="0"/>
              <w:snapToGrid w:val="0"/>
              <w:spacing w:line="360" w:lineRule="auto"/>
              <w:textAlignment w:val="bottom"/>
              <w:rPr>
                <w:rFonts w:ascii="宋体" w:hAnsi="宋体" w:cs="宋体"/>
                <w:sz w:val="21"/>
                <w:szCs w:val="21"/>
              </w:rPr>
            </w:pPr>
          </w:p>
        </w:tc>
        <w:tc>
          <w:tcPr>
            <w:tcW w:w="3046" w:type="dxa"/>
          </w:tcPr>
          <w:p w14:paraId="4D4F9EE6">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轴端密封控制盘</w:t>
            </w:r>
          </w:p>
        </w:tc>
        <w:tc>
          <w:tcPr>
            <w:tcW w:w="425" w:type="dxa"/>
          </w:tcPr>
          <w:p w14:paraId="7ABB3A66">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5EB1AB36">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7E3C64F9">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密封气系统内管路、管件、阀门、垫片等 1套。所有与氯气接触的阀门全部采用欧氯认证的液氯专用波纹管截止阀，其波纹管及其两端连接端头(环)材质均为</w:t>
            </w:r>
          </w:p>
          <w:p w14:paraId="77CB66B5">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HastelloyC-276。</w:t>
            </w:r>
          </w:p>
        </w:tc>
      </w:tr>
      <w:tr w14:paraId="59F8C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vAlign w:val="center"/>
          </w:tcPr>
          <w:p w14:paraId="2D72534E">
            <w:pPr>
              <w:widowControl/>
              <w:autoSpaceDE w:val="0"/>
              <w:autoSpaceDN w:val="0"/>
              <w:adjustRightInd w:val="0"/>
              <w:snapToGrid w:val="0"/>
              <w:spacing w:line="360" w:lineRule="auto"/>
              <w:textAlignment w:val="bottom"/>
              <w:rPr>
                <w:rFonts w:ascii="宋体" w:hAnsi="宋体" w:cs="宋体"/>
                <w:sz w:val="21"/>
                <w:szCs w:val="21"/>
              </w:rPr>
            </w:pPr>
          </w:p>
        </w:tc>
        <w:tc>
          <w:tcPr>
            <w:tcW w:w="3046" w:type="dxa"/>
            <w:vAlign w:val="center"/>
          </w:tcPr>
          <w:p w14:paraId="3A7BB2D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控制盘至压缩机间连接管路</w:t>
            </w:r>
          </w:p>
        </w:tc>
        <w:tc>
          <w:tcPr>
            <w:tcW w:w="425" w:type="dxa"/>
            <w:vAlign w:val="center"/>
          </w:tcPr>
          <w:p w14:paraId="43377E33">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vAlign w:val="center"/>
          </w:tcPr>
          <w:p w14:paraId="713B50D2">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vAlign w:val="center"/>
          </w:tcPr>
          <w:p w14:paraId="34BE0049">
            <w:pPr>
              <w:widowControl/>
              <w:autoSpaceDE w:val="0"/>
              <w:autoSpaceDN w:val="0"/>
              <w:adjustRightInd w:val="0"/>
              <w:snapToGrid w:val="0"/>
              <w:spacing w:line="360" w:lineRule="auto"/>
              <w:textAlignment w:val="bottom"/>
              <w:rPr>
                <w:rFonts w:ascii="宋体" w:hAnsi="宋体" w:cs="宋体"/>
                <w:sz w:val="21"/>
                <w:szCs w:val="21"/>
              </w:rPr>
            </w:pPr>
          </w:p>
        </w:tc>
      </w:tr>
      <w:tr w14:paraId="4D9752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1BB92B61">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4F64C05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驱动机（电机）</w:t>
            </w:r>
          </w:p>
        </w:tc>
        <w:tc>
          <w:tcPr>
            <w:tcW w:w="425" w:type="dxa"/>
          </w:tcPr>
          <w:p w14:paraId="0C93D3B4">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1F98E604">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30231706">
            <w:pPr>
              <w:widowControl/>
              <w:autoSpaceDE w:val="0"/>
              <w:autoSpaceDN w:val="0"/>
              <w:adjustRightInd w:val="0"/>
              <w:snapToGrid w:val="0"/>
              <w:spacing w:line="360" w:lineRule="auto"/>
              <w:textAlignment w:val="bottom"/>
              <w:rPr>
                <w:rFonts w:ascii="宋体" w:hAnsi="宋体" w:cs="宋体"/>
                <w:sz w:val="21"/>
                <w:szCs w:val="21"/>
              </w:rPr>
            </w:pPr>
          </w:p>
        </w:tc>
      </w:tr>
      <w:tr w14:paraId="64753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581E3F72">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2E78C298">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一次仪表</w:t>
            </w:r>
          </w:p>
        </w:tc>
        <w:tc>
          <w:tcPr>
            <w:tcW w:w="425" w:type="dxa"/>
          </w:tcPr>
          <w:p w14:paraId="662FE460">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4A22DC02">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69ED5AD7">
            <w:pPr>
              <w:widowControl/>
              <w:autoSpaceDE w:val="0"/>
              <w:autoSpaceDN w:val="0"/>
              <w:adjustRightInd w:val="0"/>
              <w:snapToGrid w:val="0"/>
              <w:spacing w:line="360" w:lineRule="auto"/>
              <w:textAlignment w:val="bottom"/>
              <w:rPr>
                <w:rFonts w:ascii="宋体" w:hAnsi="宋体" w:cs="宋体"/>
                <w:sz w:val="21"/>
                <w:szCs w:val="21"/>
              </w:rPr>
            </w:pPr>
          </w:p>
        </w:tc>
      </w:tr>
      <w:tr w14:paraId="26880F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6B9A51F6">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7D0A214A">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防喘振控制系统</w:t>
            </w:r>
          </w:p>
        </w:tc>
        <w:tc>
          <w:tcPr>
            <w:tcW w:w="425" w:type="dxa"/>
          </w:tcPr>
          <w:p w14:paraId="437760B1">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3697721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01AC1EE2">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进PLC控制，其它控制进DCS</w:t>
            </w:r>
          </w:p>
        </w:tc>
      </w:tr>
      <w:tr w14:paraId="6F6B8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73B4CCC8">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73C11CA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电控</w:t>
            </w:r>
          </w:p>
        </w:tc>
        <w:tc>
          <w:tcPr>
            <w:tcW w:w="425" w:type="dxa"/>
          </w:tcPr>
          <w:p w14:paraId="7F6BEEAE">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0 </w:t>
            </w:r>
          </w:p>
        </w:tc>
        <w:tc>
          <w:tcPr>
            <w:tcW w:w="425" w:type="dxa"/>
          </w:tcPr>
          <w:p w14:paraId="1CDDEB9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24F1CB67">
            <w:pPr>
              <w:widowControl/>
              <w:autoSpaceDE w:val="0"/>
              <w:autoSpaceDN w:val="0"/>
              <w:adjustRightInd w:val="0"/>
              <w:snapToGrid w:val="0"/>
              <w:spacing w:line="360" w:lineRule="auto"/>
              <w:textAlignment w:val="bottom"/>
              <w:rPr>
                <w:rFonts w:ascii="宋体" w:hAnsi="宋体" w:cs="宋体"/>
                <w:sz w:val="21"/>
                <w:szCs w:val="21"/>
              </w:rPr>
            </w:pPr>
          </w:p>
        </w:tc>
      </w:tr>
      <w:tr w14:paraId="35A2F8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46504556">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550426A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备品备件</w:t>
            </w:r>
          </w:p>
        </w:tc>
        <w:tc>
          <w:tcPr>
            <w:tcW w:w="425" w:type="dxa"/>
          </w:tcPr>
          <w:p w14:paraId="3AFC0A2E">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1F6050B9">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7F15A24D">
            <w:pPr>
              <w:widowControl/>
              <w:autoSpaceDE w:val="0"/>
              <w:autoSpaceDN w:val="0"/>
              <w:adjustRightInd w:val="0"/>
              <w:snapToGrid w:val="0"/>
              <w:spacing w:line="360" w:lineRule="auto"/>
              <w:textAlignment w:val="bottom"/>
              <w:rPr>
                <w:rFonts w:ascii="宋体" w:hAnsi="宋体" w:cs="宋体"/>
                <w:sz w:val="21"/>
                <w:szCs w:val="21"/>
              </w:rPr>
            </w:pPr>
          </w:p>
        </w:tc>
      </w:tr>
      <w:tr w14:paraId="09A980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402C56EB">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20AE545A">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专用工具</w:t>
            </w:r>
          </w:p>
        </w:tc>
        <w:tc>
          <w:tcPr>
            <w:tcW w:w="425" w:type="dxa"/>
          </w:tcPr>
          <w:p w14:paraId="4ED39503">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7CAD2B7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7CCC9641">
            <w:pPr>
              <w:widowControl/>
              <w:autoSpaceDE w:val="0"/>
              <w:autoSpaceDN w:val="0"/>
              <w:adjustRightInd w:val="0"/>
              <w:snapToGrid w:val="0"/>
              <w:spacing w:line="360" w:lineRule="auto"/>
              <w:textAlignment w:val="bottom"/>
              <w:rPr>
                <w:rFonts w:ascii="宋体" w:hAnsi="宋体" w:cs="宋体"/>
                <w:sz w:val="21"/>
                <w:szCs w:val="21"/>
              </w:rPr>
            </w:pPr>
          </w:p>
        </w:tc>
      </w:tr>
      <w:tr w14:paraId="7671F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465F25D5">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538DAFF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进气总管过滤器</w:t>
            </w:r>
          </w:p>
        </w:tc>
        <w:tc>
          <w:tcPr>
            <w:tcW w:w="425" w:type="dxa"/>
          </w:tcPr>
          <w:p w14:paraId="20DB05FF">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Pr>
          <w:p w14:paraId="5DE82C9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个</w:t>
            </w:r>
          </w:p>
        </w:tc>
        <w:tc>
          <w:tcPr>
            <w:tcW w:w="4746" w:type="dxa"/>
          </w:tcPr>
          <w:p w14:paraId="34A94CB7">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T型直通（壳体无缝三通），焊接连接，过滤精度：70目，压力等级Class150。用于压缩机组一段入口，进气滤网材质HC276。带差压变送器。</w:t>
            </w:r>
          </w:p>
        </w:tc>
      </w:tr>
      <w:tr w14:paraId="478F8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atLeast"/>
        </w:trPr>
        <w:tc>
          <w:tcPr>
            <w:tcW w:w="1381" w:type="dxa"/>
          </w:tcPr>
          <w:p w14:paraId="1DAE0DCA">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17EECC9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一段出口氯气冷却器</w:t>
            </w:r>
          </w:p>
        </w:tc>
        <w:tc>
          <w:tcPr>
            <w:tcW w:w="425" w:type="dxa"/>
          </w:tcPr>
          <w:p w14:paraId="3E4DC804">
            <w:pPr>
              <w:widowControl/>
              <w:autoSpaceDE w:val="0"/>
              <w:autoSpaceDN w:val="0"/>
              <w:adjustRightInd w:val="0"/>
              <w:snapToGrid w:val="0"/>
              <w:spacing w:line="360" w:lineRule="auto"/>
              <w:jc w:val="right"/>
              <w:textAlignment w:val="bottom"/>
              <w:rPr>
                <w:rFonts w:ascii="宋体" w:hAnsi="宋体" w:cs="宋体"/>
                <w:sz w:val="21"/>
                <w:szCs w:val="21"/>
              </w:rPr>
            </w:pPr>
            <w:r>
              <w:rPr>
                <w:rFonts w:ascii="宋体" w:hAnsi="宋体" w:cs="宋体"/>
                <w:sz w:val="21"/>
                <w:szCs w:val="21"/>
              </w:rPr>
              <w:t>1</w:t>
            </w:r>
            <w:r>
              <w:rPr>
                <w:rFonts w:hint="eastAsia" w:ascii="宋体" w:hAnsi="宋体" w:cs="宋体"/>
                <w:sz w:val="21"/>
                <w:szCs w:val="21"/>
              </w:rPr>
              <w:t xml:space="preserve"> </w:t>
            </w:r>
          </w:p>
        </w:tc>
        <w:tc>
          <w:tcPr>
            <w:tcW w:w="425" w:type="dxa"/>
          </w:tcPr>
          <w:p w14:paraId="4D5ADF35">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vMerge w:val="restart"/>
          </w:tcPr>
          <w:p w14:paraId="40550A5E">
            <w:pPr>
              <w:widowControl/>
              <w:autoSpaceDE w:val="0"/>
              <w:autoSpaceDN w:val="0"/>
              <w:adjustRightInd w:val="0"/>
              <w:snapToGrid w:val="0"/>
              <w:spacing w:line="440" w:lineRule="exact"/>
              <w:textAlignment w:val="bottom"/>
              <w:rPr>
                <w:rFonts w:ascii="宋体" w:hAnsi="宋体" w:cs="宋体"/>
                <w:sz w:val="21"/>
                <w:szCs w:val="21"/>
              </w:rPr>
            </w:pPr>
            <w:r>
              <w:rPr>
                <w:rFonts w:hint="eastAsia" w:ascii="宋体" w:hAnsi="宋体" w:cs="宋体"/>
                <w:sz w:val="21"/>
                <w:szCs w:val="21"/>
              </w:rPr>
              <w:t>气走壳，水走管，管束S22053，壳体碳钢，单管板，管板材质Q</w:t>
            </w:r>
            <w:r>
              <w:rPr>
                <w:rFonts w:ascii="宋体" w:hAnsi="宋体" w:cs="宋体"/>
                <w:sz w:val="21"/>
                <w:szCs w:val="21"/>
              </w:rPr>
              <w:t>345R+</w:t>
            </w:r>
            <w:r>
              <w:rPr>
                <w:rFonts w:hint="eastAsia" w:ascii="宋体" w:hAnsi="宋体" w:cs="宋体"/>
                <w:sz w:val="21"/>
                <w:szCs w:val="21"/>
              </w:rPr>
              <w:t>S</w:t>
            </w:r>
            <w:r>
              <w:rPr>
                <w:rFonts w:ascii="宋体" w:hAnsi="宋体" w:cs="宋体"/>
                <w:sz w:val="21"/>
                <w:szCs w:val="21"/>
              </w:rPr>
              <w:t>22053</w:t>
            </w:r>
            <w:r>
              <w:rPr>
                <w:rFonts w:hint="eastAsia" w:ascii="宋体" w:hAnsi="宋体" w:cs="宋体"/>
                <w:sz w:val="21"/>
                <w:szCs w:val="21"/>
              </w:rPr>
              <w:t>。</w:t>
            </w:r>
            <w:r>
              <w:rPr>
                <w:sz w:val="21"/>
                <w:szCs w:val="21"/>
              </w:rPr>
              <w:t>管板与列管第一道焊缝完成后，需安排气压试漏及氦质谱检漏；卧式布置的中冷器如需增设弹簧底座，由投标人提供。</w:t>
            </w:r>
          </w:p>
        </w:tc>
      </w:tr>
      <w:tr w14:paraId="575F5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381" w:type="dxa"/>
          </w:tcPr>
          <w:p w14:paraId="32B7B388">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51B91B85">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二段出口氯气冷却器</w:t>
            </w:r>
          </w:p>
        </w:tc>
        <w:tc>
          <w:tcPr>
            <w:tcW w:w="425" w:type="dxa"/>
          </w:tcPr>
          <w:p w14:paraId="61306AEF">
            <w:pPr>
              <w:widowControl/>
              <w:autoSpaceDE w:val="0"/>
              <w:autoSpaceDN w:val="0"/>
              <w:adjustRightInd w:val="0"/>
              <w:snapToGrid w:val="0"/>
              <w:spacing w:line="360" w:lineRule="auto"/>
              <w:jc w:val="right"/>
              <w:textAlignment w:val="bottom"/>
              <w:rPr>
                <w:rFonts w:ascii="宋体" w:hAnsi="宋体" w:cs="宋体"/>
                <w:sz w:val="21"/>
                <w:szCs w:val="21"/>
              </w:rPr>
            </w:pPr>
            <w:r>
              <w:rPr>
                <w:rFonts w:ascii="宋体" w:hAnsi="宋体" w:cs="宋体"/>
                <w:sz w:val="21"/>
                <w:szCs w:val="21"/>
              </w:rPr>
              <w:t>1</w:t>
            </w:r>
            <w:r>
              <w:rPr>
                <w:rFonts w:hint="eastAsia" w:ascii="宋体" w:hAnsi="宋体" w:cs="宋体"/>
                <w:sz w:val="21"/>
                <w:szCs w:val="21"/>
              </w:rPr>
              <w:t xml:space="preserve"> </w:t>
            </w:r>
          </w:p>
        </w:tc>
        <w:tc>
          <w:tcPr>
            <w:tcW w:w="425" w:type="dxa"/>
          </w:tcPr>
          <w:p w14:paraId="6157F1FE">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vMerge w:val="continue"/>
          </w:tcPr>
          <w:p w14:paraId="38B54AD9">
            <w:pPr>
              <w:widowControl/>
              <w:autoSpaceDE w:val="0"/>
              <w:autoSpaceDN w:val="0"/>
              <w:adjustRightInd w:val="0"/>
              <w:snapToGrid w:val="0"/>
              <w:spacing w:line="360" w:lineRule="auto"/>
              <w:textAlignment w:val="bottom"/>
              <w:rPr>
                <w:rFonts w:ascii="宋体" w:hAnsi="宋体" w:cs="宋体"/>
                <w:sz w:val="21"/>
                <w:szCs w:val="21"/>
              </w:rPr>
            </w:pPr>
          </w:p>
        </w:tc>
      </w:tr>
      <w:tr w14:paraId="549CF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1381" w:type="dxa"/>
          </w:tcPr>
          <w:p w14:paraId="37F0AECC">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22A2CA56">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三段出口氯气冷却器</w:t>
            </w:r>
          </w:p>
        </w:tc>
        <w:tc>
          <w:tcPr>
            <w:tcW w:w="425" w:type="dxa"/>
          </w:tcPr>
          <w:p w14:paraId="379123D8">
            <w:pPr>
              <w:widowControl/>
              <w:autoSpaceDE w:val="0"/>
              <w:autoSpaceDN w:val="0"/>
              <w:adjustRightInd w:val="0"/>
              <w:snapToGrid w:val="0"/>
              <w:spacing w:line="360" w:lineRule="auto"/>
              <w:jc w:val="right"/>
              <w:textAlignment w:val="bottom"/>
              <w:rPr>
                <w:rFonts w:ascii="宋体" w:hAnsi="宋体" w:cs="宋体"/>
                <w:sz w:val="21"/>
                <w:szCs w:val="21"/>
              </w:rPr>
            </w:pPr>
            <w:r>
              <w:rPr>
                <w:rFonts w:ascii="宋体" w:hAnsi="宋体" w:cs="宋体"/>
                <w:sz w:val="21"/>
                <w:szCs w:val="21"/>
              </w:rPr>
              <w:t>1</w:t>
            </w:r>
            <w:r>
              <w:rPr>
                <w:rFonts w:hint="eastAsia" w:ascii="宋体" w:hAnsi="宋体" w:cs="宋体"/>
                <w:sz w:val="21"/>
                <w:szCs w:val="21"/>
              </w:rPr>
              <w:t xml:space="preserve"> </w:t>
            </w:r>
          </w:p>
        </w:tc>
        <w:tc>
          <w:tcPr>
            <w:tcW w:w="425" w:type="dxa"/>
          </w:tcPr>
          <w:p w14:paraId="3493BF5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vMerge w:val="continue"/>
          </w:tcPr>
          <w:p w14:paraId="38C2BD22">
            <w:pPr>
              <w:widowControl/>
              <w:autoSpaceDE w:val="0"/>
              <w:autoSpaceDN w:val="0"/>
              <w:adjustRightInd w:val="0"/>
              <w:snapToGrid w:val="0"/>
              <w:spacing w:line="360" w:lineRule="auto"/>
              <w:textAlignment w:val="bottom"/>
              <w:rPr>
                <w:rFonts w:ascii="宋体" w:hAnsi="宋体" w:cs="宋体"/>
                <w:sz w:val="21"/>
                <w:szCs w:val="21"/>
              </w:rPr>
            </w:pPr>
          </w:p>
        </w:tc>
      </w:tr>
      <w:tr w14:paraId="52959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trPr>
        <w:tc>
          <w:tcPr>
            <w:tcW w:w="1381" w:type="dxa"/>
          </w:tcPr>
          <w:p w14:paraId="2AD5DCF0">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5F85607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四段出口氯气冷却器</w:t>
            </w:r>
          </w:p>
        </w:tc>
        <w:tc>
          <w:tcPr>
            <w:tcW w:w="425" w:type="dxa"/>
          </w:tcPr>
          <w:p w14:paraId="4C8D4EA8">
            <w:pPr>
              <w:widowControl/>
              <w:autoSpaceDE w:val="0"/>
              <w:autoSpaceDN w:val="0"/>
              <w:adjustRightInd w:val="0"/>
              <w:snapToGrid w:val="0"/>
              <w:spacing w:line="360" w:lineRule="auto"/>
              <w:jc w:val="right"/>
              <w:textAlignment w:val="bottom"/>
              <w:rPr>
                <w:rFonts w:ascii="宋体" w:hAnsi="宋体" w:cs="宋体"/>
                <w:sz w:val="21"/>
                <w:szCs w:val="21"/>
              </w:rPr>
            </w:pPr>
            <w:r>
              <w:rPr>
                <w:rFonts w:ascii="宋体" w:hAnsi="宋体" w:cs="宋体"/>
                <w:sz w:val="21"/>
                <w:szCs w:val="21"/>
              </w:rPr>
              <w:t>1</w:t>
            </w:r>
          </w:p>
        </w:tc>
        <w:tc>
          <w:tcPr>
            <w:tcW w:w="425" w:type="dxa"/>
          </w:tcPr>
          <w:p w14:paraId="7804C4C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vMerge w:val="continue"/>
          </w:tcPr>
          <w:p w14:paraId="02D10DCA">
            <w:pPr>
              <w:widowControl/>
              <w:autoSpaceDE w:val="0"/>
              <w:autoSpaceDN w:val="0"/>
              <w:adjustRightInd w:val="0"/>
              <w:snapToGrid w:val="0"/>
              <w:spacing w:line="360" w:lineRule="auto"/>
              <w:textAlignment w:val="bottom"/>
              <w:rPr>
                <w:rFonts w:ascii="宋体" w:hAnsi="宋体" w:cs="宋体"/>
                <w:sz w:val="21"/>
                <w:szCs w:val="21"/>
              </w:rPr>
            </w:pPr>
          </w:p>
        </w:tc>
      </w:tr>
      <w:tr w14:paraId="78601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5BC8DAD9">
            <w:pPr>
              <w:widowControl/>
              <w:numPr>
                <w:ilvl w:val="0"/>
                <w:numId w:val="24"/>
              </w:numPr>
              <w:autoSpaceDE w:val="0"/>
              <w:autoSpaceDN w:val="0"/>
              <w:adjustRightInd w:val="0"/>
              <w:snapToGrid w:val="0"/>
              <w:spacing w:line="360" w:lineRule="auto"/>
              <w:textAlignment w:val="bottom"/>
              <w:rPr>
                <w:rFonts w:ascii="宋体" w:hAnsi="宋体" w:cs="宋体"/>
                <w:sz w:val="21"/>
                <w:szCs w:val="21"/>
              </w:rPr>
            </w:pPr>
          </w:p>
        </w:tc>
        <w:tc>
          <w:tcPr>
            <w:tcW w:w="3046" w:type="dxa"/>
          </w:tcPr>
          <w:p w14:paraId="36658EE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氯中水含量分析仪</w:t>
            </w:r>
          </w:p>
        </w:tc>
        <w:tc>
          <w:tcPr>
            <w:tcW w:w="425" w:type="dxa"/>
          </w:tcPr>
          <w:p w14:paraId="058686F4">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 xml:space="preserve">1 </w:t>
            </w:r>
          </w:p>
        </w:tc>
        <w:tc>
          <w:tcPr>
            <w:tcW w:w="425" w:type="dxa"/>
          </w:tcPr>
          <w:p w14:paraId="3727EF9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46" w:type="dxa"/>
          </w:tcPr>
          <w:p w14:paraId="74B99555">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采用激光测量原理</w:t>
            </w:r>
          </w:p>
        </w:tc>
      </w:tr>
    </w:tbl>
    <w:p w14:paraId="134B70B9">
      <w:pPr>
        <w:widowControl/>
        <w:autoSpaceDE w:val="0"/>
        <w:autoSpaceDN w:val="0"/>
        <w:snapToGrid w:val="0"/>
        <w:spacing w:line="360" w:lineRule="auto"/>
        <w:textAlignment w:val="bottom"/>
        <w:rPr>
          <w:rFonts w:ascii="宋体" w:hAnsi="宋体" w:cs="宋体"/>
          <w:sz w:val="24"/>
        </w:rPr>
      </w:pPr>
    </w:p>
    <w:p w14:paraId="2243D863">
      <w:pPr>
        <w:numPr>
          <w:ilvl w:val="0"/>
          <w:numId w:val="23"/>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润滑油系统</w:t>
      </w:r>
    </w:p>
    <w:tbl>
      <w:tblPr>
        <w:tblStyle w:val="76"/>
        <w:tblW w:w="9982" w:type="dxa"/>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1"/>
        <w:gridCol w:w="3019"/>
        <w:gridCol w:w="425"/>
        <w:gridCol w:w="425"/>
        <w:gridCol w:w="4732"/>
      </w:tblGrid>
      <w:tr w14:paraId="0FDA9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275E2672">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序号</w:t>
            </w:r>
          </w:p>
        </w:tc>
        <w:tc>
          <w:tcPr>
            <w:tcW w:w="3019" w:type="dxa"/>
          </w:tcPr>
          <w:p w14:paraId="590FDC53">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名称</w:t>
            </w:r>
          </w:p>
        </w:tc>
        <w:tc>
          <w:tcPr>
            <w:tcW w:w="850" w:type="dxa"/>
            <w:gridSpan w:val="2"/>
          </w:tcPr>
          <w:p w14:paraId="0E28D02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数量</w:t>
            </w:r>
          </w:p>
        </w:tc>
        <w:tc>
          <w:tcPr>
            <w:tcW w:w="4732" w:type="dxa"/>
          </w:tcPr>
          <w:p w14:paraId="4447FCE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备注</w:t>
            </w:r>
          </w:p>
        </w:tc>
      </w:tr>
      <w:tr w14:paraId="66DE6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Align w:val="center"/>
          </w:tcPr>
          <w:p w14:paraId="0EB10BB3">
            <w:pPr>
              <w:widowControl/>
              <w:numPr>
                <w:ilvl w:val="0"/>
                <w:numId w:val="26"/>
              </w:numPr>
              <w:autoSpaceDE w:val="0"/>
              <w:autoSpaceDN w:val="0"/>
              <w:adjustRightInd w:val="0"/>
              <w:snapToGrid w:val="0"/>
              <w:spacing w:line="360" w:lineRule="auto"/>
              <w:textAlignment w:val="bottom"/>
              <w:rPr>
                <w:rFonts w:ascii="宋体" w:hAnsi="宋体" w:cs="宋体"/>
                <w:sz w:val="21"/>
                <w:szCs w:val="21"/>
              </w:rPr>
            </w:pPr>
          </w:p>
        </w:tc>
        <w:tc>
          <w:tcPr>
            <w:tcW w:w="3019" w:type="dxa"/>
            <w:vAlign w:val="center"/>
          </w:tcPr>
          <w:p w14:paraId="6EBE05E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润滑油站</w:t>
            </w:r>
          </w:p>
        </w:tc>
        <w:tc>
          <w:tcPr>
            <w:tcW w:w="425" w:type="dxa"/>
            <w:tcBorders>
              <w:right w:val="nil"/>
            </w:tcBorders>
            <w:vAlign w:val="center"/>
          </w:tcPr>
          <w:p w14:paraId="5F6E53BB">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vAlign w:val="center"/>
          </w:tcPr>
          <w:p w14:paraId="27C0FAC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4E309775">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包括地脚螺栓、螺母、垫片</w:t>
            </w:r>
          </w:p>
        </w:tc>
      </w:tr>
      <w:tr w14:paraId="316EE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restart"/>
          </w:tcPr>
          <w:p w14:paraId="0F16C7B4">
            <w:pPr>
              <w:widowControl/>
              <w:autoSpaceDE w:val="0"/>
              <w:autoSpaceDN w:val="0"/>
              <w:adjustRightInd w:val="0"/>
              <w:snapToGrid w:val="0"/>
              <w:spacing w:line="360" w:lineRule="auto"/>
              <w:textAlignment w:val="bottom"/>
              <w:rPr>
                <w:rFonts w:ascii="宋体" w:hAnsi="宋体" w:cs="宋体"/>
                <w:sz w:val="21"/>
                <w:szCs w:val="21"/>
              </w:rPr>
            </w:pPr>
          </w:p>
        </w:tc>
        <w:tc>
          <w:tcPr>
            <w:tcW w:w="3019" w:type="dxa"/>
          </w:tcPr>
          <w:p w14:paraId="690A0BB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润滑和控制油油箱</w:t>
            </w:r>
          </w:p>
        </w:tc>
        <w:tc>
          <w:tcPr>
            <w:tcW w:w="425" w:type="dxa"/>
            <w:tcBorders>
              <w:right w:val="nil"/>
            </w:tcBorders>
          </w:tcPr>
          <w:p w14:paraId="61983580">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1CBC6E83">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7B2EF2E7">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电加热器</w:t>
            </w:r>
          </w:p>
        </w:tc>
      </w:tr>
      <w:tr w14:paraId="5F300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01275F95">
            <w:pPr>
              <w:widowControl/>
              <w:autoSpaceDE w:val="0"/>
              <w:autoSpaceDN w:val="0"/>
              <w:adjustRightInd w:val="0"/>
              <w:snapToGrid w:val="0"/>
              <w:spacing w:line="360" w:lineRule="auto"/>
              <w:textAlignment w:val="bottom"/>
              <w:rPr>
                <w:rFonts w:ascii="宋体" w:hAnsi="宋体" w:cs="宋体"/>
                <w:sz w:val="21"/>
                <w:szCs w:val="21"/>
              </w:rPr>
            </w:pPr>
          </w:p>
        </w:tc>
        <w:tc>
          <w:tcPr>
            <w:tcW w:w="3019" w:type="dxa"/>
          </w:tcPr>
          <w:p w14:paraId="73148A17">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主油泵</w:t>
            </w:r>
          </w:p>
        </w:tc>
        <w:tc>
          <w:tcPr>
            <w:tcW w:w="425" w:type="dxa"/>
            <w:tcBorders>
              <w:right w:val="nil"/>
            </w:tcBorders>
          </w:tcPr>
          <w:p w14:paraId="718F3329">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35A3C845">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68060906">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 xml:space="preserve">螺杆泵   </w:t>
            </w:r>
          </w:p>
        </w:tc>
      </w:tr>
      <w:tr w14:paraId="5C847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4472D447">
            <w:pPr>
              <w:widowControl/>
              <w:autoSpaceDE w:val="0"/>
              <w:autoSpaceDN w:val="0"/>
              <w:adjustRightInd w:val="0"/>
              <w:snapToGrid w:val="0"/>
              <w:spacing w:line="360" w:lineRule="auto"/>
              <w:textAlignment w:val="bottom"/>
              <w:rPr>
                <w:rFonts w:ascii="宋体" w:hAnsi="宋体" w:cs="宋体"/>
                <w:sz w:val="21"/>
                <w:szCs w:val="21"/>
              </w:rPr>
            </w:pPr>
          </w:p>
        </w:tc>
        <w:tc>
          <w:tcPr>
            <w:tcW w:w="3019" w:type="dxa"/>
          </w:tcPr>
          <w:p w14:paraId="764592E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主油泵用驱动机</w:t>
            </w:r>
          </w:p>
        </w:tc>
        <w:tc>
          <w:tcPr>
            <w:tcW w:w="425" w:type="dxa"/>
            <w:tcBorders>
              <w:right w:val="nil"/>
            </w:tcBorders>
          </w:tcPr>
          <w:p w14:paraId="2FCF35A4">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6C5C3F6A">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21E8DC8A">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 xml:space="preserve">电机    </w:t>
            </w:r>
          </w:p>
        </w:tc>
      </w:tr>
      <w:tr w14:paraId="473BF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1B79A618">
            <w:pPr>
              <w:widowControl/>
              <w:autoSpaceDE w:val="0"/>
              <w:autoSpaceDN w:val="0"/>
              <w:adjustRightInd w:val="0"/>
              <w:snapToGrid w:val="0"/>
              <w:spacing w:line="360" w:lineRule="auto"/>
              <w:textAlignment w:val="bottom"/>
              <w:rPr>
                <w:rFonts w:ascii="宋体" w:hAnsi="宋体" w:cs="宋体"/>
                <w:sz w:val="21"/>
                <w:szCs w:val="21"/>
              </w:rPr>
            </w:pPr>
          </w:p>
        </w:tc>
        <w:tc>
          <w:tcPr>
            <w:tcW w:w="3019" w:type="dxa"/>
          </w:tcPr>
          <w:p w14:paraId="7088B1D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辅助油泵</w:t>
            </w:r>
          </w:p>
        </w:tc>
        <w:tc>
          <w:tcPr>
            <w:tcW w:w="425" w:type="dxa"/>
            <w:tcBorders>
              <w:right w:val="nil"/>
            </w:tcBorders>
          </w:tcPr>
          <w:p w14:paraId="0CBC2373">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1D885FE3">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0399F37F">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 xml:space="preserve">螺杆泵    </w:t>
            </w:r>
          </w:p>
        </w:tc>
      </w:tr>
      <w:tr w14:paraId="59CDC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4D5DAC08">
            <w:pPr>
              <w:widowControl/>
              <w:autoSpaceDE w:val="0"/>
              <w:autoSpaceDN w:val="0"/>
              <w:adjustRightInd w:val="0"/>
              <w:snapToGrid w:val="0"/>
              <w:spacing w:line="360" w:lineRule="auto"/>
              <w:textAlignment w:val="bottom"/>
              <w:rPr>
                <w:rFonts w:ascii="宋体" w:hAnsi="宋体" w:cs="宋体"/>
                <w:sz w:val="21"/>
                <w:szCs w:val="21"/>
              </w:rPr>
            </w:pPr>
          </w:p>
        </w:tc>
        <w:tc>
          <w:tcPr>
            <w:tcW w:w="3019" w:type="dxa"/>
          </w:tcPr>
          <w:p w14:paraId="2AF4DE3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辅助油泵用驱动机</w:t>
            </w:r>
          </w:p>
        </w:tc>
        <w:tc>
          <w:tcPr>
            <w:tcW w:w="425" w:type="dxa"/>
            <w:tcBorders>
              <w:right w:val="nil"/>
            </w:tcBorders>
          </w:tcPr>
          <w:p w14:paraId="6D87DB61">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46395D5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4631EBF3">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 xml:space="preserve">电机    </w:t>
            </w:r>
          </w:p>
        </w:tc>
      </w:tr>
      <w:tr w14:paraId="3B83D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72B76819">
            <w:pPr>
              <w:widowControl/>
              <w:autoSpaceDE w:val="0"/>
              <w:autoSpaceDN w:val="0"/>
              <w:adjustRightInd w:val="0"/>
              <w:snapToGrid w:val="0"/>
              <w:spacing w:line="360" w:lineRule="auto"/>
              <w:textAlignment w:val="bottom"/>
              <w:rPr>
                <w:rFonts w:ascii="宋体" w:hAnsi="宋体" w:cs="宋体"/>
                <w:sz w:val="21"/>
                <w:szCs w:val="21"/>
              </w:rPr>
            </w:pPr>
          </w:p>
        </w:tc>
        <w:tc>
          <w:tcPr>
            <w:tcW w:w="3019" w:type="dxa"/>
          </w:tcPr>
          <w:p w14:paraId="25B7839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泵前粗滤器</w:t>
            </w:r>
          </w:p>
        </w:tc>
        <w:tc>
          <w:tcPr>
            <w:tcW w:w="425" w:type="dxa"/>
            <w:tcBorders>
              <w:right w:val="nil"/>
            </w:tcBorders>
          </w:tcPr>
          <w:p w14:paraId="54F51DF3">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2</w:t>
            </w:r>
          </w:p>
        </w:tc>
        <w:tc>
          <w:tcPr>
            <w:tcW w:w="425" w:type="dxa"/>
            <w:tcBorders>
              <w:left w:val="nil"/>
            </w:tcBorders>
          </w:tcPr>
          <w:p w14:paraId="2866818F">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2C0363A9">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主辅油泵</w:t>
            </w:r>
          </w:p>
        </w:tc>
      </w:tr>
      <w:tr w14:paraId="075E8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27D1811B">
            <w:pPr>
              <w:widowControl/>
              <w:autoSpaceDE w:val="0"/>
              <w:autoSpaceDN w:val="0"/>
              <w:adjustRightInd w:val="0"/>
              <w:snapToGrid w:val="0"/>
              <w:spacing w:line="360" w:lineRule="auto"/>
              <w:textAlignment w:val="bottom"/>
              <w:rPr>
                <w:rFonts w:ascii="宋体" w:hAnsi="宋体" w:cs="宋体"/>
                <w:sz w:val="21"/>
                <w:szCs w:val="21"/>
              </w:rPr>
            </w:pPr>
          </w:p>
        </w:tc>
        <w:tc>
          <w:tcPr>
            <w:tcW w:w="3019" w:type="dxa"/>
          </w:tcPr>
          <w:p w14:paraId="121895C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双联油冷却器（含恒流转换阀）</w:t>
            </w:r>
          </w:p>
        </w:tc>
        <w:tc>
          <w:tcPr>
            <w:tcW w:w="425" w:type="dxa"/>
            <w:tcBorders>
              <w:right w:val="nil"/>
            </w:tcBorders>
          </w:tcPr>
          <w:p w14:paraId="567C8E96">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4D6FA9D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2B9BCC0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 xml:space="preserve">管壳式 </w:t>
            </w:r>
          </w:p>
        </w:tc>
      </w:tr>
      <w:tr w14:paraId="629D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vMerge w:val="continue"/>
          </w:tcPr>
          <w:p w14:paraId="00818850">
            <w:pPr>
              <w:widowControl/>
              <w:autoSpaceDE w:val="0"/>
              <w:autoSpaceDN w:val="0"/>
              <w:adjustRightInd w:val="0"/>
              <w:snapToGrid w:val="0"/>
              <w:spacing w:line="360" w:lineRule="auto"/>
              <w:textAlignment w:val="bottom"/>
              <w:rPr>
                <w:rFonts w:ascii="宋体" w:hAnsi="宋体" w:cs="宋体"/>
                <w:sz w:val="21"/>
                <w:szCs w:val="21"/>
              </w:rPr>
            </w:pPr>
          </w:p>
        </w:tc>
        <w:tc>
          <w:tcPr>
            <w:tcW w:w="3019" w:type="dxa"/>
          </w:tcPr>
          <w:p w14:paraId="0BAD90E9">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双联油过滤器（含恒流转换阀）</w:t>
            </w:r>
          </w:p>
        </w:tc>
        <w:tc>
          <w:tcPr>
            <w:tcW w:w="425" w:type="dxa"/>
            <w:tcBorders>
              <w:right w:val="nil"/>
            </w:tcBorders>
          </w:tcPr>
          <w:p w14:paraId="1CC29A5B">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5331418A">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3105B89F">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合成纤维滤芯</w:t>
            </w:r>
          </w:p>
        </w:tc>
      </w:tr>
      <w:tr w14:paraId="7B49F6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4660238B">
            <w:pPr>
              <w:widowControl/>
              <w:numPr>
                <w:ilvl w:val="0"/>
                <w:numId w:val="26"/>
              </w:numPr>
              <w:autoSpaceDE w:val="0"/>
              <w:autoSpaceDN w:val="0"/>
              <w:adjustRightInd w:val="0"/>
              <w:snapToGrid w:val="0"/>
              <w:spacing w:line="360" w:lineRule="auto"/>
              <w:textAlignment w:val="bottom"/>
              <w:rPr>
                <w:rFonts w:ascii="宋体" w:hAnsi="宋体" w:cs="宋体"/>
                <w:sz w:val="21"/>
                <w:szCs w:val="21"/>
              </w:rPr>
            </w:pPr>
          </w:p>
        </w:tc>
        <w:tc>
          <w:tcPr>
            <w:tcW w:w="3019" w:type="dxa"/>
          </w:tcPr>
          <w:p w14:paraId="6B544970">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油站内部的管路、管件、阀门</w:t>
            </w:r>
          </w:p>
        </w:tc>
        <w:tc>
          <w:tcPr>
            <w:tcW w:w="425" w:type="dxa"/>
            <w:tcBorders>
              <w:right w:val="nil"/>
            </w:tcBorders>
          </w:tcPr>
          <w:p w14:paraId="5C9E7A13">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613E2C4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7DF9D4DC">
            <w:pPr>
              <w:widowControl/>
              <w:autoSpaceDE w:val="0"/>
              <w:autoSpaceDN w:val="0"/>
              <w:adjustRightInd w:val="0"/>
              <w:snapToGrid w:val="0"/>
              <w:spacing w:line="360" w:lineRule="auto"/>
              <w:textAlignment w:val="bottom"/>
              <w:rPr>
                <w:rFonts w:ascii="宋体" w:hAnsi="宋体" w:cs="宋体"/>
                <w:sz w:val="21"/>
                <w:szCs w:val="21"/>
              </w:rPr>
            </w:pPr>
          </w:p>
        </w:tc>
      </w:tr>
      <w:tr w14:paraId="162C79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2D063D30">
            <w:pPr>
              <w:widowControl/>
              <w:numPr>
                <w:ilvl w:val="0"/>
                <w:numId w:val="26"/>
              </w:numPr>
              <w:autoSpaceDE w:val="0"/>
              <w:autoSpaceDN w:val="0"/>
              <w:adjustRightInd w:val="0"/>
              <w:snapToGrid w:val="0"/>
              <w:spacing w:line="360" w:lineRule="auto"/>
              <w:textAlignment w:val="bottom"/>
              <w:rPr>
                <w:rFonts w:ascii="宋体" w:hAnsi="宋体" w:cs="宋体"/>
                <w:sz w:val="21"/>
                <w:szCs w:val="21"/>
              </w:rPr>
            </w:pPr>
          </w:p>
        </w:tc>
        <w:tc>
          <w:tcPr>
            <w:tcW w:w="3019" w:type="dxa"/>
          </w:tcPr>
          <w:p w14:paraId="316CABAA">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高位油箱</w:t>
            </w:r>
          </w:p>
        </w:tc>
        <w:tc>
          <w:tcPr>
            <w:tcW w:w="425" w:type="dxa"/>
            <w:tcBorders>
              <w:right w:val="nil"/>
            </w:tcBorders>
          </w:tcPr>
          <w:p w14:paraId="0D293A42">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3E6C0D4F">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4B46E048">
            <w:pPr>
              <w:widowControl/>
              <w:autoSpaceDE w:val="0"/>
              <w:autoSpaceDN w:val="0"/>
              <w:adjustRightInd w:val="0"/>
              <w:snapToGrid w:val="0"/>
              <w:spacing w:line="360" w:lineRule="auto"/>
              <w:textAlignment w:val="bottom"/>
              <w:rPr>
                <w:rFonts w:ascii="宋体" w:hAnsi="宋体" w:cs="宋体"/>
                <w:sz w:val="21"/>
                <w:szCs w:val="21"/>
              </w:rPr>
            </w:pPr>
          </w:p>
        </w:tc>
      </w:tr>
      <w:tr w14:paraId="6B22A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2E0B4109">
            <w:pPr>
              <w:widowControl/>
              <w:numPr>
                <w:ilvl w:val="0"/>
                <w:numId w:val="26"/>
              </w:numPr>
              <w:autoSpaceDE w:val="0"/>
              <w:autoSpaceDN w:val="0"/>
              <w:adjustRightInd w:val="0"/>
              <w:snapToGrid w:val="0"/>
              <w:spacing w:line="360" w:lineRule="auto"/>
              <w:textAlignment w:val="bottom"/>
              <w:rPr>
                <w:rFonts w:ascii="宋体" w:hAnsi="宋体" w:cs="宋体"/>
                <w:sz w:val="21"/>
                <w:szCs w:val="21"/>
              </w:rPr>
            </w:pPr>
          </w:p>
        </w:tc>
        <w:tc>
          <w:tcPr>
            <w:tcW w:w="3019" w:type="dxa"/>
          </w:tcPr>
          <w:p w14:paraId="04CCBA2F">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三阀组</w:t>
            </w:r>
          </w:p>
        </w:tc>
        <w:tc>
          <w:tcPr>
            <w:tcW w:w="425" w:type="dxa"/>
            <w:tcBorders>
              <w:right w:val="nil"/>
            </w:tcBorders>
          </w:tcPr>
          <w:p w14:paraId="4C4CF724">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5F3D442F">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1CE24B75">
            <w:pPr>
              <w:widowControl/>
              <w:autoSpaceDE w:val="0"/>
              <w:autoSpaceDN w:val="0"/>
              <w:adjustRightInd w:val="0"/>
              <w:snapToGrid w:val="0"/>
              <w:spacing w:line="360" w:lineRule="auto"/>
              <w:textAlignment w:val="bottom"/>
              <w:rPr>
                <w:rFonts w:ascii="宋体" w:hAnsi="宋体" w:cs="宋体"/>
                <w:sz w:val="21"/>
                <w:szCs w:val="21"/>
              </w:rPr>
            </w:pPr>
          </w:p>
        </w:tc>
      </w:tr>
      <w:tr w14:paraId="2BDEF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5C1B133E">
            <w:pPr>
              <w:widowControl/>
              <w:numPr>
                <w:ilvl w:val="0"/>
                <w:numId w:val="26"/>
              </w:numPr>
              <w:autoSpaceDE w:val="0"/>
              <w:autoSpaceDN w:val="0"/>
              <w:adjustRightInd w:val="0"/>
              <w:snapToGrid w:val="0"/>
              <w:spacing w:line="360" w:lineRule="auto"/>
              <w:textAlignment w:val="bottom"/>
              <w:rPr>
                <w:rFonts w:ascii="宋体" w:hAnsi="宋体" w:cs="宋体"/>
                <w:sz w:val="21"/>
                <w:szCs w:val="21"/>
              </w:rPr>
            </w:pPr>
          </w:p>
        </w:tc>
        <w:tc>
          <w:tcPr>
            <w:tcW w:w="3019" w:type="dxa"/>
          </w:tcPr>
          <w:p w14:paraId="1A8A6E05">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回油视镜</w:t>
            </w:r>
          </w:p>
        </w:tc>
        <w:tc>
          <w:tcPr>
            <w:tcW w:w="425" w:type="dxa"/>
            <w:tcBorders>
              <w:right w:val="nil"/>
            </w:tcBorders>
          </w:tcPr>
          <w:p w14:paraId="6E5EA1F7">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33105775">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4CFF72B8">
            <w:pPr>
              <w:widowControl/>
              <w:autoSpaceDE w:val="0"/>
              <w:autoSpaceDN w:val="0"/>
              <w:adjustRightInd w:val="0"/>
              <w:snapToGrid w:val="0"/>
              <w:spacing w:line="360" w:lineRule="auto"/>
              <w:textAlignment w:val="bottom"/>
              <w:rPr>
                <w:rFonts w:ascii="宋体" w:hAnsi="宋体" w:cs="宋体"/>
                <w:sz w:val="21"/>
                <w:szCs w:val="21"/>
              </w:rPr>
            </w:pPr>
          </w:p>
        </w:tc>
      </w:tr>
      <w:tr w14:paraId="78779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7B8A070A">
            <w:pPr>
              <w:widowControl/>
              <w:numPr>
                <w:ilvl w:val="0"/>
                <w:numId w:val="26"/>
              </w:numPr>
              <w:autoSpaceDE w:val="0"/>
              <w:autoSpaceDN w:val="0"/>
              <w:adjustRightInd w:val="0"/>
              <w:snapToGrid w:val="0"/>
              <w:spacing w:line="360" w:lineRule="auto"/>
              <w:textAlignment w:val="bottom"/>
              <w:rPr>
                <w:rFonts w:ascii="宋体" w:hAnsi="宋体" w:cs="宋体"/>
                <w:sz w:val="21"/>
                <w:szCs w:val="21"/>
              </w:rPr>
            </w:pPr>
          </w:p>
        </w:tc>
        <w:tc>
          <w:tcPr>
            <w:tcW w:w="3019" w:type="dxa"/>
          </w:tcPr>
          <w:p w14:paraId="623EC216">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润滑油蓄能器</w:t>
            </w:r>
          </w:p>
        </w:tc>
        <w:tc>
          <w:tcPr>
            <w:tcW w:w="425" w:type="dxa"/>
            <w:tcBorders>
              <w:right w:val="nil"/>
            </w:tcBorders>
          </w:tcPr>
          <w:p w14:paraId="3D0729FC">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7FF4C80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526ECDE6">
            <w:pPr>
              <w:widowControl/>
              <w:autoSpaceDE w:val="0"/>
              <w:autoSpaceDN w:val="0"/>
              <w:adjustRightInd w:val="0"/>
              <w:snapToGrid w:val="0"/>
              <w:spacing w:line="360" w:lineRule="auto"/>
              <w:textAlignment w:val="bottom"/>
              <w:rPr>
                <w:rFonts w:ascii="宋体" w:hAnsi="宋体" w:cs="宋体"/>
                <w:sz w:val="21"/>
                <w:szCs w:val="21"/>
              </w:rPr>
            </w:pPr>
          </w:p>
        </w:tc>
      </w:tr>
      <w:tr w14:paraId="4F57E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798F7586">
            <w:pPr>
              <w:widowControl/>
              <w:numPr>
                <w:ilvl w:val="0"/>
                <w:numId w:val="26"/>
              </w:numPr>
              <w:autoSpaceDE w:val="0"/>
              <w:autoSpaceDN w:val="0"/>
              <w:adjustRightInd w:val="0"/>
              <w:snapToGrid w:val="0"/>
              <w:spacing w:line="360" w:lineRule="auto"/>
              <w:textAlignment w:val="bottom"/>
              <w:rPr>
                <w:rFonts w:ascii="宋体" w:hAnsi="宋体" w:cs="宋体"/>
                <w:sz w:val="21"/>
                <w:szCs w:val="21"/>
              </w:rPr>
            </w:pPr>
          </w:p>
        </w:tc>
        <w:tc>
          <w:tcPr>
            <w:tcW w:w="3019" w:type="dxa"/>
          </w:tcPr>
          <w:p w14:paraId="794C41C9">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排烟风机（带电机和油雾分离器）</w:t>
            </w:r>
          </w:p>
        </w:tc>
        <w:tc>
          <w:tcPr>
            <w:tcW w:w="425" w:type="dxa"/>
            <w:tcBorders>
              <w:right w:val="nil"/>
            </w:tcBorders>
          </w:tcPr>
          <w:p w14:paraId="3F73BB65">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2AFAC95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26AD7487">
            <w:pPr>
              <w:widowControl/>
              <w:autoSpaceDE w:val="0"/>
              <w:autoSpaceDN w:val="0"/>
              <w:adjustRightInd w:val="0"/>
              <w:snapToGrid w:val="0"/>
              <w:spacing w:line="360" w:lineRule="auto"/>
              <w:textAlignment w:val="bottom"/>
              <w:rPr>
                <w:rFonts w:ascii="宋体" w:hAnsi="宋体" w:cs="宋体"/>
                <w:sz w:val="21"/>
                <w:szCs w:val="21"/>
              </w:rPr>
            </w:pPr>
          </w:p>
        </w:tc>
      </w:tr>
      <w:tr w14:paraId="7D444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6B4F4203">
            <w:pPr>
              <w:widowControl/>
              <w:numPr>
                <w:ilvl w:val="0"/>
                <w:numId w:val="26"/>
              </w:numPr>
              <w:autoSpaceDE w:val="0"/>
              <w:autoSpaceDN w:val="0"/>
              <w:adjustRightInd w:val="0"/>
              <w:snapToGrid w:val="0"/>
              <w:spacing w:line="360" w:lineRule="auto"/>
              <w:textAlignment w:val="bottom"/>
              <w:rPr>
                <w:rFonts w:ascii="宋体" w:hAnsi="宋体" w:cs="宋体"/>
                <w:sz w:val="21"/>
                <w:szCs w:val="21"/>
              </w:rPr>
            </w:pPr>
          </w:p>
        </w:tc>
        <w:tc>
          <w:tcPr>
            <w:tcW w:w="3019" w:type="dxa"/>
          </w:tcPr>
          <w:p w14:paraId="335EABF7">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带温控阀</w:t>
            </w:r>
          </w:p>
        </w:tc>
        <w:tc>
          <w:tcPr>
            <w:tcW w:w="425" w:type="dxa"/>
            <w:tcBorders>
              <w:right w:val="nil"/>
            </w:tcBorders>
          </w:tcPr>
          <w:p w14:paraId="31F950E9">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04E7BA97">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5085B0FB">
            <w:pPr>
              <w:widowControl/>
              <w:autoSpaceDE w:val="0"/>
              <w:autoSpaceDN w:val="0"/>
              <w:adjustRightInd w:val="0"/>
              <w:snapToGrid w:val="0"/>
              <w:spacing w:line="360" w:lineRule="auto"/>
              <w:textAlignment w:val="bottom"/>
              <w:rPr>
                <w:rFonts w:ascii="宋体" w:hAnsi="宋体" w:cs="宋体"/>
                <w:sz w:val="21"/>
                <w:szCs w:val="21"/>
              </w:rPr>
            </w:pPr>
          </w:p>
        </w:tc>
      </w:tr>
    </w:tbl>
    <w:p w14:paraId="4817FDFD">
      <w:pPr>
        <w:numPr>
          <w:ilvl w:val="0"/>
          <w:numId w:val="23"/>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齿轮箱</w:t>
      </w:r>
    </w:p>
    <w:tbl>
      <w:tblPr>
        <w:tblStyle w:val="76"/>
        <w:tblW w:w="9969" w:type="dxa"/>
        <w:tblInd w:w="1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3019"/>
        <w:gridCol w:w="425"/>
        <w:gridCol w:w="425"/>
        <w:gridCol w:w="4732"/>
      </w:tblGrid>
      <w:tr w14:paraId="0413DE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tcPr>
          <w:p w14:paraId="66A37B5A">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序号</w:t>
            </w:r>
          </w:p>
        </w:tc>
        <w:tc>
          <w:tcPr>
            <w:tcW w:w="3019" w:type="dxa"/>
          </w:tcPr>
          <w:p w14:paraId="798E1047">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名称</w:t>
            </w:r>
          </w:p>
        </w:tc>
        <w:tc>
          <w:tcPr>
            <w:tcW w:w="850" w:type="dxa"/>
            <w:gridSpan w:val="2"/>
          </w:tcPr>
          <w:p w14:paraId="5705E644">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数量</w:t>
            </w:r>
          </w:p>
        </w:tc>
        <w:tc>
          <w:tcPr>
            <w:tcW w:w="4732" w:type="dxa"/>
          </w:tcPr>
          <w:p w14:paraId="601A9FE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备注</w:t>
            </w:r>
          </w:p>
        </w:tc>
      </w:tr>
      <w:tr w14:paraId="7D5C1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68" w:type="dxa"/>
          </w:tcPr>
          <w:p w14:paraId="0AAA3896">
            <w:pPr>
              <w:widowControl/>
              <w:numPr>
                <w:ilvl w:val="0"/>
                <w:numId w:val="27"/>
              </w:numPr>
              <w:autoSpaceDE w:val="0"/>
              <w:autoSpaceDN w:val="0"/>
              <w:adjustRightInd w:val="0"/>
              <w:snapToGrid w:val="0"/>
              <w:spacing w:line="360" w:lineRule="auto"/>
              <w:textAlignment w:val="bottom"/>
              <w:rPr>
                <w:rFonts w:ascii="宋体" w:hAnsi="宋体" w:cs="宋体"/>
                <w:sz w:val="21"/>
                <w:szCs w:val="21"/>
              </w:rPr>
            </w:pPr>
          </w:p>
        </w:tc>
        <w:tc>
          <w:tcPr>
            <w:tcW w:w="3019" w:type="dxa"/>
          </w:tcPr>
          <w:p w14:paraId="1FA82897">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齿轮箱</w:t>
            </w:r>
          </w:p>
        </w:tc>
        <w:tc>
          <w:tcPr>
            <w:tcW w:w="425" w:type="dxa"/>
            <w:tcBorders>
              <w:right w:val="nil"/>
            </w:tcBorders>
          </w:tcPr>
          <w:p w14:paraId="3371FCA0">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425" w:type="dxa"/>
            <w:tcBorders>
              <w:left w:val="nil"/>
            </w:tcBorders>
          </w:tcPr>
          <w:p w14:paraId="7D5B682E">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4732" w:type="dxa"/>
          </w:tcPr>
          <w:p w14:paraId="69A8F766">
            <w:pPr>
              <w:widowControl/>
              <w:autoSpaceDE w:val="0"/>
              <w:autoSpaceDN w:val="0"/>
              <w:adjustRightInd w:val="0"/>
              <w:snapToGrid w:val="0"/>
              <w:spacing w:line="360" w:lineRule="auto"/>
              <w:textAlignment w:val="bottom"/>
              <w:rPr>
                <w:rFonts w:ascii="宋体" w:hAnsi="宋体" w:cs="宋体"/>
                <w:sz w:val="21"/>
                <w:szCs w:val="21"/>
              </w:rPr>
            </w:pPr>
          </w:p>
        </w:tc>
      </w:tr>
    </w:tbl>
    <w:p w14:paraId="0CCAFB6F">
      <w:pPr>
        <w:numPr>
          <w:ilvl w:val="0"/>
          <w:numId w:val="23"/>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随机备品备件清单</w:t>
      </w: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6"/>
        <w:gridCol w:w="2631"/>
        <w:gridCol w:w="636"/>
        <w:gridCol w:w="4673"/>
      </w:tblGrid>
      <w:tr w14:paraId="2547F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Align w:val="center"/>
          </w:tcPr>
          <w:p w14:paraId="1DD3A59F">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部位</w:t>
            </w:r>
          </w:p>
        </w:tc>
        <w:tc>
          <w:tcPr>
            <w:tcW w:w="0" w:type="auto"/>
            <w:vAlign w:val="center"/>
          </w:tcPr>
          <w:p w14:paraId="6437350B">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名称</w:t>
            </w:r>
          </w:p>
        </w:tc>
        <w:tc>
          <w:tcPr>
            <w:tcW w:w="0" w:type="auto"/>
            <w:vAlign w:val="center"/>
          </w:tcPr>
          <w:p w14:paraId="58E79491">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数量</w:t>
            </w:r>
          </w:p>
        </w:tc>
        <w:tc>
          <w:tcPr>
            <w:tcW w:w="4673" w:type="dxa"/>
            <w:vAlign w:val="center"/>
          </w:tcPr>
          <w:p w14:paraId="0BA9E69E">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备注</w:t>
            </w:r>
          </w:p>
        </w:tc>
      </w:tr>
      <w:tr w14:paraId="170BD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vAlign w:val="center"/>
          </w:tcPr>
          <w:p w14:paraId="46CECC9B">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离心压缩机</w:t>
            </w:r>
          </w:p>
        </w:tc>
        <w:tc>
          <w:tcPr>
            <w:tcW w:w="0" w:type="auto"/>
            <w:vAlign w:val="center"/>
          </w:tcPr>
          <w:p w14:paraId="4A5C2097">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压缩机支撑轴承瓦块</w:t>
            </w:r>
          </w:p>
        </w:tc>
        <w:tc>
          <w:tcPr>
            <w:tcW w:w="0" w:type="auto"/>
            <w:vAlign w:val="center"/>
          </w:tcPr>
          <w:p w14:paraId="7E671A70">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76E76A90">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不含铂热电阻</w:t>
            </w:r>
          </w:p>
        </w:tc>
      </w:tr>
      <w:tr w14:paraId="46FAA7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vAlign w:val="center"/>
          </w:tcPr>
          <w:p w14:paraId="0DEFDDF4">
            <w:pPr>
              <w:widowControl/>
              <w:autoSpaceDE w:val="0"/>
              <w:autoSpaceDN w:val="0"/>
              <w:adjustRightInd w:val="0"/>
              <w:snapToGrid w:val="0"/>
              <w:spacing w:line="360" w:lineRule="auto"/>
              <w:jc w:val="center"/>
              <w:textAlignment w:val="bottom"/>
              <w:rPr>
                <w:rFonts w:ascii="宋体" w:hAnsi="宋体" w:cs="宋体"/>
                <w:sz w:val="21"/>
                <w:szCs w:val="21"/>
              </w:rPr>
            </w:pPr>
          </w:p>
        </w:tc>
        <w:tc>
          <w:tcPr>
            <w:tcW w:w="0" w:type="auto"/>
            <w:vAlign w:val="center"/>
          </w:tcPr>
          <w:p w14:paraId="3B137A74">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压缩机推力轴承瓦块</w:t>
            </w:r>
          </w:p>
        </w:tc>
        <w:tc>
          <w:tcPr>
            <w:tcW w:w="0" w:type="auto"/>
            <w:vAlign w:val="center"/>
          </w:tcPr>
          <w:p w14:paraId="118F749F">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0895BF07">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不含铂热电阻</w:t>
            </w:r>
          </w:p>
        </w:tc>
      </w:tr>
      <w:tr w14:paraId="4BB3E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vAlign w:val="center"/>
          </w:tcPr>
          <w:p w14:paraId="6F3BD4F2">
            <w:pPr>
              <w:widowControl/>
              <w:autoSpaceDE w:val="0"/>
              <w:autoSpaceDN w:val="0"/>
              <w:adjustRightInd w:val="0"/>
              <w:snapToGrid w:val="0"/>
              <w:spacing w:line="360" w:lineRule="auto"/>
              <w:jc w:val="center"/>
              <w:textAlignment w:val="bottom"/>
              <w:rPr>
                <w:rFonts w:ascii="宋体" w:hAnsi="宋体" w:cs="宋体"/>
                <w:sz w:val="21"/>
                <w:szCs w:val="21"/>
              </w:rPr>
            </w:pPr>
          </w:p>
        </w:tc>
        <w:tc>
          <w:tcPr>
            <w:tcW w:w="0" w:type="auto"/>
            <w:vAlign w:val="center"/>
          </w:tcPr>
          <w:p w14:paraId="06E588BA">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“O”型圈</w:t>
            </w:r>
          </w:p>
        </w:tc>
        <w:tc>
          <w:tcPr>
            <w:tcW w:w="0" w:type="auto"/>
            <w:vAlign w:val="center"/>
          </w:tcPr>
          <w:p w14:paraId="19AF201A">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5ACF59C0">
            <w:pPr>
              <w:widowControl/>
              <w:autoSpaceDE w:val="0"/>
              <w:autoSpaceDN w:val="0"/>
              <w:adjustRightInd w:val="0"/>
              <w:snapToGrid w:val="0"/>
              <w:spacing w:line="360" w:lineRule="auto"/>
              <w:jc w:val="center"/>
              <w:textAlignment w:val="bottom"/>
              <w:rPr>
                <w:rFonts w:ascii="宋体" w:hAnsi="宋体" w:cs="宋体"/>
                <w:sz w:val="21"/>
                <w:szCs w:val="21"/>
              </w:rPr>
            </w:pPr>
          </w:p>
        </w:tc>
      </w:tr>
      <w:tr w14:paraId="6A43CE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vAlign w:val="center"/>
          </w:tcPr>
          <w:p w14:paraId="7E7A75DD">
            <w:pPr>
              <w:widowControl/>
              <w:autoSpaceDE w:val="0"/>
              <w:autoSpaceDN w:val="0"/>
              <w:adjustRightInd w:val="0"/>
              <w:snapToGrid w:val="0"/>
              <w:spacing w:line="360" w:lineRule="auto"/>
              <w:jc w:val="center"/>
              <w:textAlignment w:val="bottom"/>
              <w:rPr>
                <w:rFonts w:ascii="宋体" w:hAnsi="宋体" w:cs="宋体"/>
                <w:sz w:val="21"/>
                <w:szCs w:val="21"/>
              </w:rPr>
            </w:pPr>
          </w:p>
        </w:tc>
        <w:tc>
          <w:tcPr>
            <w:tcW w:w="0" w:type="auto"/>
            <w:vAlign w:val="center"/>
          </w:tcPr>
          <w:p w14:paraId="4CD31A28">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轴端迷宫密封</w:t>
            </w:r>
          </w:p>
        </w:tc>
        <w:tc>
          <w:tcPr>
            <w:tcW w:w="0" w:type="auto"/>
            <w:vAlign w:val="center"/>
          </w:tcPr>
          <w:p w14:paraId="7E444569">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47509A0F">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三腔迷宫式密封</w:t>
            </w:r>
          </w:p>
        </w:tc>
      </w:tr>
      <w:tr w14:paraId="720F79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vAlign w:val="center"/>
          </w:tcPr>
          <w:p w14:paraId="0DBC2BDE">
            <w:pPr>
              <w:widowControl/>
              <w:autoSpaceDE w:val="0"/>
              <w:autoSpaceDN w:val="0"/>
              <w:adjustRightInd w:val="0"/>
              <w:snapToGrid w:val="0"/>
              <w:spacing w:line="360" w:lineRule="auto"/>
              <w:jc w:val="center"/>
              <w:textAlignment w:val="bottom"/>
              <w:rPr>
                <w:rFonts w:ascii="宋体" w:hAnsi="宋体" w:cs="宋体"/>
                <w:sz w:val="21"/>
                <w:szCs w:val="21"/>
              </w:rPr>
            </w:pPr>
          </w:p>
        </w:tc>
        <w:tc>
          <w:tcPr>
            <w:tcW w:w="0" w:type="auto"/>
            <w:vAlign w:val="center"/>
          </w:tcPr>
          <w:p w14:paraId="7AF958AD">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级间迷宫密封</w:t>
            </w:r>
          </w:p>
        </w:tc>
        <w:tc>
          <w:tcPr>
            <w:tcW w:w="0" w:type="auto"/>
            <w:vAlign w:val="center"/>
          </w:tcPr>
          <w:p w14:paraId="3D7AA2DE">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5B404E34">
            <w:pPr>
              <w:widowControl/>
              <w:autoSpaceDE w:val="0"/>
              <w:autoSpaceDN w:val="0"/>
              <w:adjustRightInd w:val="0"/>
              <w:snapToGrid w:val="0"/>
              <w:spacing w:line="360" w:lineRule="auto"/>
              <w:jc w:val="center"/>
              <w:textAlignment w:val="bottom"/>
              <w:rPr>
                <w:rFonts w:ascii="宋体" w:hAnsi="宋体" w:cs="宋体"/>
                <w:sz w:val="21"/>
                <w:szCs w:val="21"/>
              </w:rPr>
            </w:pPr>
          </w:p>
        </w:tc>
      </w:tr>
      <w:tr w14:paraId="55071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vAlign w:val="center"/>
          </w:tcPr>
          <w:p w14:paraId="50B9A7DD">
            <w:pPr>
              <w:widowControl/>
              <w:autoSpaceDE w:val="0"/>
              <w:autoSpaceDN w:val="0"/>
              <w:adjustRightInd w:val="0"/>
              <w:snapToGrid w:val="0"/>
              <w:spacing w:line="360" w:lineRule="auto"/>
              <w:jc w:val="center"/>
              <w:textAlignment w:val="bottom"/>
              <w:rPr>
                <w:rFonts w:ascii="宋体" w:hAnsi="宋体" w:cs="宋体"/>
                <w:sz w:val="21"/>
                <w:szCs w:val="21"/>
              </w:rPr>
            </w:pPr>
          </w:p>
        </w:tc>
        <w:tc>
          <w:tcPr>
            <w:tcW w:w="0" w:type="auto"/>
            <w:vAlign w:val="center"/>
          </w:tcPr>
          <w:p w14:paraId="05609A17">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口圈迷宫密封</w:t>
            </w:r>
          </w:p>
        </w:tc>
        <w:tc>
          <w:tcPr>
            <w:tcW w:w="0" w:type="auto"/>
            <w:vAlign w:val="center"/>
          </w:tcPr>
          <w:p w14:paraId="565061F4">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055C6157">
            <w:pPr>
              <w:widowControl/>
              <w:autoSpaceDE w:val="0"/>
              <w:autoSpaceDN w:val="0"/>
              <w:adjustRightInd w:val="0"/>
              <w:snapToGrid w:val="0"/>
              <w:spacing w:line="360" w:lineRule="auto"/>
              <w:jc w:val="center"/>
              <w:textAlignment w:val="bottom"/>
              <w:rPr>
                <w:rFonts w:ascii="宋体" w:hAnsi="宋体" w:cs="宋体"/>
                <w:sz w:val="21"/>
                <w:szCs w:val="21"/>
              </w:rPr>
            </w:pPr>
          </w:p>
        </w:tc>
      </w:tr>
      <w:tr w14:paraId="10754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vAlign w:val="center"/>
          </w:tcPr>
          <w:p w14:paraId="4BBD2245">
            <w:pPr>
              <w:widowControl/>
              <w:autoSpaceDE w:val="0"/>
              <w:autoSpaceDN w:val="0"/>
              <w:adjustRightInd w:val="0"/>
              <w:snapToGrid w:val="0"/>
              <w:spacing w:line="360" w:lineRule="auto"/>
              <w:jc w:val="center"/>
              <w:textAlignment w:val="bottom"/>
              <w:rPr>
                <w:rFonts w:ascii="宋体" w:hAnsi="宋体" w:cs="宋体"/>
                <w:sz w:val="21"/>
                <w:szCs w:val="21"/>
              </w:rPr>
            </w:pPr>
          </w:p>
        </w:tc>
        <w:tc>
          <w:tcPr>
            <w:tcW w:w="0" w:type="auto"/>
            <w:vAlign w:val="center"/>
          </w:tcPr>
          <w:p w14:paraId="2D0EBF7C">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平衡盘迷宫密封</w:t>
            </w:r>
          </w:p>
        </w:tc>
        <w:tc>
          <w:tcPr>
            <w:tcW w:w="0" w:type="auto"/>
            <w:vAlign w:val="center"/>
          </w:tcPr>
          <w:p w14:paraId="1299D8B5">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7E274FA5">
            <w:pPr>
              <w:widowControl/>
              <w:autoSpaceDE w:val="0"/>
              <w:autoSpaceDN w:val="0"/>
              <w:adjustRightInd w:val="0"/>
              <w:snapToGrid w:val="0"/>
              <w:spacing w:line="360" w:lineRule="auto"/>
              <w:jc w:val="center"/>
              <w:textAlignment w:val="bottom"/>
              <w:rPr>
                <w:rFonts w:ascii="宋体" w:hAnsi="宋体" w:cs="宋体"/>
                <w:sz w:val="21"/>
                <w:szCs w:val="21"/>
              </w:rPr>
            </w:pPr>
          </w:p>
        </w:tc>
      </w:tr>
      <w:tr w14:paraId="34005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vAlign w:val="center"/>
          </w:tcPr>
          <w:p w14:paraId="58AA8E51">
            <w:pPr>
              <w:widowControl/>
              <w:autoSpaceDE w:val="0"/>
              <w:autoSpaceDN w:val="0"/>
              <w:adjustRightInd w:val="0"/>
              <w:snapToGrid w:val="0"/>
              <w:spacing w:line="360" w:lineRule="auto"/>
              <w:jc w:val="center"/>
              <w:textAlignment w:val="bottom"/>
              <w:rPr>
                <w:rFonts w:ascii="宋体" w:hAnsi="宋体" w:cs="宋体"/>
                <w:sz w:val="21"/>
                <w:szCs w:val="21"/>
              </w:rPr>
            </w:pPr>
          </w:p>
        </w:tc>
        <w:tc>
          <w:tcPr>
            <w:tcW w:w="0" w:type="auto"/>
            <w:vAlign w:val="center"/>
          </w:tcPr>
          <w:p w14:paraId="1AE5F26F">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油迷宫密封</w:t>
            </w:r>
          </w:p>
        </w:tc>
        <w:tc>
          <w:tcPr>
            <w:tcW w:w="0" w:type="auto"/>
            <w:vAlign w:val="center"/>
          </w:tcPr>
          <w:p w14:paraId="4C1A04A1">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1C131E28">
            <w:pPr>
              <w:widowControl/>
              <w:autoSpaceDE w:val="0"/>
              <w:autoSpaceDN w:val="0"/>
              <w:adjustRightInd w:val="0"/>
              <w:snapToGrid w:val="0"/>
              <w:spacing w:line="360" w:lineRule="auto"/>
              <w:jc w:val="center"/>
              <w:textAlignment w:val="bottom"/>
              <w:rPr>
                <w:rFonts w:ascii="宋体" w:hAnsi="宋体" w:cs="宋体"/>
                <w:sz w:val="21"/>
                <w:szCs w:val="21"/>
              </w:rPr>
            </w:pPr>
          </w:p>
        </w:tc>
      </w:tr>
      <w:tr w14:paraId="5391A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vAlign w:val="center"/>
          </w:tcPr>
          <w:p w14:paraId="5E6D6705">
            <w:pPr>
              <w:widowControl/>
              <w:autoSpaceDE w:val="0"/>
              <w:autoSpaceDN w:val="0"/>
              <w:adjustRightInd w:val="0"/>
              <w:snapToGrid w:val="0"/>
              <w:spacing w:line="360" w:lineRule="auto"/>
              <w:jc w:val="center"/>
              <w:textAlignment w:val="bottom"/>
              <w:rPr>
                <w:rFonts w:ascii="宋体" w:hAnsi="宋体" w:cs="宋体"/>
                <w:sz w:val="21"/>
                <w:szCs w:val="21"/>
              </w:rPr>
            </w:pPr>
          </w:p>
        </w:tc>
        <w:tc>
          <w:tcPr>
            <w:tcW w:w="0" w:type="auto"/>
            <w:vAlign w:val="center"/>
          </w:tcPr>
          <w:p w14:paraId="5B80AB76">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中分面螺栓、螺母</w:t>
            </w:r>
          </w:p>
        </w:tc>
        <w:tc>
          <w:tcPr>
            <w:tcW w:w="0" w:type="auto"/>
            <w:vAlign w:val="center"/>
          </w:tcPr>
          <w:p w14:paraId="77ED5468">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w:t>
            </w:r>
          </w:p>
        </w:tc>
        <w:tc>
          <w:tcPr>
            <w:tcW w:w="4673" w:type="dxa"/>
            <w:vAlign w:val="center"/>
          </w:tcPr>
          <w:p w14:paraId="2D410AF1">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每种规格至少2件</w:t>
            </w:r>
          </w:p>
        </w:tc>
      </w:tr>
      <w:tr w14:paraId="1F139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vAlign w:val="center"/>
          </w:tcPr>
          <w:p w14:paraId="7AABF7CA">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润滑油系统</w:t>
            </w:r>
          </w:p>
        </w:tc>
        <w:tc>
          <w:tcPr>
            <w:tcW w:w="0" w:type="auto"/>
            <w:vAlign w:val="center"/>
          </w:tcPr>
          <w:p w14:paraId="67625C36">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润滑油过滤器芯子</w:t>
            </w:r>
          </w:p>
        </w:tc>
        <w:tc>
          <w:tcPr>
            <w:tcW w:w="0" w:type="auto"/>
            <w:vAlign w:val="center"/>
          </w:tcPr>
          <w:p w14:paraId="5DF156AB">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200%</w:t>
            </w:r>
          </w:p>
        </w:tc>
        <w:tc>
          <w:tcPr>
            <w:tcW w:w="4673" w:type="dxa"/>
            <w:vAlign w:val="center"/>
          </w:tcPr>
          <w:p w14:paraId="09290C8B">
            <w:pPr>
              <w:widowControl/>
              <w:autoSpaceDE w:val="0"/>
              <w:autoSpaceDN w:val="0"/>
              <w:adjustRightInd w:val="0"/>
              <w:snapToGrid w:val="0"/>
              <w:spacing w:line="360" w:lineRule="auto"/>
              <w:jc w:val="center"/>
              <w:textAlignment w:val="bottom"/>
              <w:rPr>
                <w:rFonts w:ascii="宋体" w:hAnsi="宋体" w:cs="宋体"/>
                <w:sz w:val="21"/>
                <w:szCs w:val="21"/>
              </w:rPr>
            </w:pPr>
          </w:p>
        </w:tc>
      </w:tr>
      <w:tr w14:paraId="4B3C65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vAlign w:val="center"/>
          </w:tcPr>
          <w:p w14:paraId="6C7E88B7">
            <w:pPr>
              <w:widowControl/>
              <w:autoSpaceDE w:val="0"/>
              <w:autoSpaceDN w:val="0"/>
              <w:adjustRightInd w:val="0"/>
              <w:snapToGrid w:val="0"/>
              <w:spacing w:line="360" w:lineRule="auto"/>
              <w:jc w:val="center"/>
              <w:textAlignment w:val="bottom"/>
              <w:rPr>
                <w:rFonts w:ascii="宋体" w:hAnsi="宋体" w:cs="宋体"/>
                <w:sz w:val="21"/>
                <w:szCs w:val="21"/>
              </w:rPr>
            </w:pPr>
          </w:p>
        </w:tc>
        <w:tc>
          <w:tcPr>
            <w:tcW w:w="0" w:type="auto"/>
            <w:vAlign w:val="center"/>
          </w:tcPr>
          <w:p w14:paraId="77FDB6E3">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管壳式冷却器用“O”型圈</w:t>
            </w:r>
          </w:p>
        </w:tc>
        <w:tc>
          <w:tcPr>
            <w:tcW w:w="0" w:type="auto"/>
            <w:vAlign w:val="center"/>
          </w:tcPr>
          <w:p w14:paraId="63005AEF">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5C3F8C9A">
            <w:pPr>
              <w:widowControl/>
              <w:autoSpaceDE w:val="0"/>
              <w:autoSpaceDN w:val="0"/>
              <w:adjustRightInd w:val="0"/>
              <w:snapToGrid w:val="0"/>
              <w:spacing w:line="360" w:lineRule="auto"/>
              <w:jc w:val="center"/>
              <w:textAlignment w:val="bottom"/>
              <w:rPr>
                <w:rFonts w:ascii="宋体" w:hAnsi="宋体" w:cs="宋体"/>
                <w:sz w:val="21"/>
                <w:szCs w:val="21"/>
              </w:rPr>
            </w:pPr>
          </w:p>
        </w:tc>
      </w:tr>
      <w:tr w14:paraId="494DB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vAlign w:val="center"/>
          </w:tcPr>
          <w:p w14:paraId="4775F893">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齿轮箱</w:t>
            </w:r>
          </w:p>
        </w:tc>
        <w:tc>
          <w:tcPr>
            <w:tcW w:w="0" w:type="auto"/>
            <w:vAlign w:val="center"/>
          </w:tcPr>
          <w:p w14:paraId="7C69B49F">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支撑轴承瓦块</w:t>
            </w:r>
          </w:p>
        </w:tc>
        <w:tc>
          <w:tcPr>
            <w:tcW w:w="0" w:type="auto"/>
            <w:vAlign w:val="center"/>
          </w:tcPr>
          <w:p w14:paraId="5E0422FA">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5D86E2BA">
            <w:pPr>
              <w:widowControl/>
              <w:autoSpaceDE w:val="0"/>
              <w:autoSpaceDN w:val="0"/>
              <w:adjustRightInd w:val="0"/>
              <w:snapToGrid w:val="0"/>
              <w:spacing w:line="360" w:lineRule="auto"/>
              <w:jc w:val="center"/>
              <w:textAlignment w:val="bottom"/>
              <w:rPr>
                <w:rFonts w:ascii="宋体" w:hAnsi="宋体" w:cs="宋体"/>
                <w:sz w:val="21"/>
                <w:szCs w:val="21"/>
              </w:rPr>
            </w:pPr>
          </w:p>
        </w:tc>
      </w:tr>
      <w:tr w14:paraId="6FDBF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continue"/>
            <w:vAlign w:val="center"/>
          </w:tcPr>
          <w:p w14:paraId="2D037435">
            <w:pPr>
              <w:widowControl/>
              <w:autoSpaceDE w:val="0"/>
              <w:autoSpaceDN w:val="0"/>
              <w:adjustRightInd w:val="0"/>
              <w:snapToGrid w:val="0"/>
              <w:spacing w:line="360" w:lineRule="auto"/>
              <w:jc w:val="center"/>
              <w:textAlignment w:val="bottom"/>
              <w:rPr>
                <w:rFonts w:ascii="宋体" w:hAnsi="宋体" w:cs="宋体"/>
                <w:sz w:val="21"/>
                <w:szCs w:val="21"/>
              </w:rPr>
            </w:pPr>
          </w:p>
        </w:tc>
        <w:tc>
          <w:tcPr>
            <w:tcW w:w="0" w:type="auto"/>
            <w:vAlign w:val="center"/>
          </w:tcPr>
          <w:p w14:paraId="0526939E">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推力轴承瓦块</w:t>
            </w:r>
          </w:p>
        </w:tc>
        <w:tc>
          <w:tcPr>
            <w:tcW w:w="0" w:type="auto"/>
            <w:vAlign w:val="center"/>
          </w:tcPr>
          <w:p w14:paraId="0CE2BA8C">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23F6C7F4">
            <w:pPr>
              <w:widowControl/>
              <w:autoSpaceDE w:val="0"/>
              <w:autoSpaceDN w:val="0"/>
              <w:adjustRightInd w:val="0"/>
              <w:snapToGrid w:val="0"/>
              <w:spacing w:line="360" w:lineRule="auto"/>
              <w:jc w:val="center"/>
              <w:textAlignment w:val="bottom"/>
              <w:rPr>
                <w:rFonts w:ascii="宋体" w:hAnsi="宋体" w:cs="宋体"/>
                <w:sz w:val="21"/>
                <w:szCs w:val="21"/>
              </w:rPr>
            </w:pPr>
          </w:p>
        </w:tc>
      </w:tr>
      <w:tr w14:paraId="2C6FD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0" w:type="auto"/>
            <w:vMerge w:val="restart"/>
            <w:vAlign w:val="center"/>
          </w:tcPr>
          <w:p w14:paraId="4F5A880B">
            <w:pPr>
              <w:adjustRightInd w:val="0"/>
              <w:snapToGrid w:val="0"/>
              <w:spacing w:line="360" w:lineRule="auto"/>
              <w:jc w:val="center"/>
              <w:rPr>
                <w:rFonts w:ascii="宋体" w:hAnsi="宋体" w:cs="宋体"/>
                <w:sz w:val="21"/>
                <w:szCs w:val="21"/>
              </w:rPr>
            </w:pPr>
            <w:r>
              <w:rPr>
                <w:rFonts w:hint="eastAsia" w:ascii="宋体" w:hAnsi="宋体" w:cs="宋体"/>
                <w:sz w:val="21"/>
                <w:szCs w:val="21"/>
              </w:rPr>
              <w:t>压力容器</w:t>
            </w:r>
          </w:p>
        </w:tc>
        <w:tc>
          <w:tcPr>
            <w:tcW w:w="0" w:type="auto"/>
            <w:vAlign w:val="center"/>
          </w:tcPr>
          <w:p w14:paraId="079FB843">
            <w:pPr>
              <w:adjustRightInd w:val="0"/>
              <w:snapToGrid w:val="0"/>
              <w:spacing w:line="360" w:lineRule="auto"/>
              <w:jc w:val="center"/>
              <w:rPr>
                <w:rFonts w:ascii="宋体" w:hAnsi="宋体" w:cs="宋体"/>
                <w:sz w:val="21"/>
                <w:szCs w:val="21"/>
              </w:rPr>
            </w:pPr>
            <w:r>
              <w:rPr>
                <w:rFonts w:hint="eastAsia" w:ascii="宋体" w:hAnsi="宋体" w:cs="宋体"/>
                <w:sz w:val="21"/>
                <w:szCs w:val="21"/>
              </w:rPr>
              <w:t>设备垫片（密封件）</w:t>
            </w:r>
          </w:p>
        </w:tc>
        <w:tc>
          <w:tcPr>
            <w:tcW w:w="0" w:type="auto"/>
            <w:vAlign w:val="center"/>
          </w:tcPr>
          <w:p w14:paraId="0C7248C7">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4C5878F7">
            <w:pPr>
              <w:widowControl/>
              <w:autoSpaceDE w:val="0"/>
              <w:autoSpaceDN w:val="0"/>
              <w:adjustRightInd w:val="0"/>
              <w:snapToGrid w:val="0"/>
              <w:spacing w:line="360" w:lineRule="auto"/>
              <w:jc w:val="center"/>
              <w:textAlignment w:val="bottom"/>
              <w:rPr>
                <w:rFonts w:ascii="宋体" w:hAnsi="宋体" w:cs="宋体"/>
                <w:sz w:val="21"/>
                <w:szCs w:val="21"/>
              </w:rPr>
            </w:pPr>
          </w:p>
        </w:tc>
      </w:tr>
      <w:tr w14:paraId="41A41A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0" w:type="auto"/>
            <w:vMerge w:val="continue"/>
            <w:vAlign w:val="center"/>
          </w:tcPr>
          <w:p w14:paraId="12C33510">
            <w:pPr>
              <w:adjustRightInd w:val="0"/>
              <w:snapToGrid w:val="0"/>
              <w:spacing w:line="360" w:lineRule="auto"/>
              <w:jc w:val="center"/>
              <w:rPr>
                <w:rFonts w:ascii="宋体" w:hAnsi="宋体" w:cs="宋体"/>
                <w:sz w:val="21"/>
                <w:szCs w:val="21"/>
              </w:rPr>
            </w:pPr>
          </w:p>
        </w:tc>
        <w:tc>
          <w:tcPr>
            <w:tcW w:w="0" w:type="auto"/>
            <w:vAlign w:val="center"/>
          </w:tcPr>
          <w:p w14:paraId="3016B626">
            <w:pPr>
              <w:adjustRightInd w:val="0"/>
              <w:snapToGrid w:val="0"/>
              <w:spacing w:line="360" w:lineRule="auto"/>
              <w:jc w:val="center"/>
              <w:rPr>
                <w:rFonts w:ascii="宋体" w:hAnsi="宋体" w:cs="宋体"/>
                <w:sz w:val="21"/>
                <w:szCs w:val="21"/>
              </w:rPr>
            </w:pPr>
            <w:r>
              <w:rPr>
                <w:rFonts w:hint="eastAsia" w:ascii="宋体" w:hAnsi="宋体" w:cs="宋体"/>
                <w:sz w:val="21"/>
                <w:szCs w:val="21"/>
              </w:rPr>
              <w:t>接管法兰垫片</w:t>
            </w:r>
          </w:p>
        </w:tc>
        <w:tc>
          <w:tcPr>
            <w:tcW w:w="0" w:type="auto"/>
            <w:vAlign w:val="center"/>
          </w:tcPr>
          <w:p w14:paraId="2A7A8A05">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39A7D92F">
            <w:pPr>
              <w:widowControl/>
              <w:autoSpaceDE w:val="0"/>
              <w:autoSpaceDN w:val="0"/>
              <w:adjustRightInd w:val="0"/>
              <w:snapToGrid w:val="0"/>
              <w:spacing w:line="360" w:lineRule="auto"/>
              <w:jc w:val="center"/>
              <w:textAlignment w:val="bottom"/>
              <w:rPr>
                <w:rFonts w:ascii="宋体" w:hAnsi="宋体" w:cs="宋体"/>
                <w:sz w:val="21"/>
                <w:szCs w:val="21"/>
              </w:rPr>
            </w:pPr>
          </w:p>
        </w:tc>
      </w:tr>
      <w:tr w14:paraId="28184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0" w:type="auto"/>
            <w:vMerge w:val="restart"/>
            <w:vAlign w:val="center"/>
          </w:tcPr>
          <w:p w14:paraId="58F47B06">
            <w:pPr>
              <w:adjustRightInd w:val="0"/>
              <w:snapToGrid w:val="0"/>
              <w:spacing w:line="360" w:lineRule="auto"/>
              <w:jc w:val="center"/>
              <w:rPr>
                <w:rFonts w:ascii="宋体" w:hAnsi="宋体" w:cs="宋体"/>
                <w:sz w:val="21"/>
                <w:szCs w:val="21"/>
              </w:rPr>
            </w:pPr>
            <w:r>
              <w:rPr>
                <w:rFonts w:hint="eastAsia" w:ascii="宋体" w:hAnsi="宋体" w:cs="宋体"/>
                <w:sz w:val="21"/>
                <w:szCs w:val="21"/>
              </w:rPr>
              <w:t>仪表</w:t>
            </w:r>
          </w:p>
        </w:tc>
        <w:tc>
          <w:tcPr>
            <w:tcW w:w="0" w:type="auto"/>
            <w:vAlign w:val="center"/>
          </w:tcPr>
          <w:p w14:paraId="52C96E2D">
            <w:pPr>
              <w:adjustRightInd w:val="0"/>
              <w:snapToGrid w:val="0"/>
              <w:spacing w:line="360" w:lineRule="auto"/>
              <w:jc w:val="center"/>
              <w:rPr>
                <w:rFonts w:ascii="宋体" w:hAnsi="宋体" w:cs="宋体"/>
                <w:sz w:val="21"/>
                <w:szCs w:val="21"/>
              </w:rPr>
            </w:pPr>
            <w:r>
              <w:rPr>
                <w:rFonts w:hint="eastAsia" w:ascii="宋体" w:hAnsi="宋体" w:cs="宋体"/>
                <w:spacing w:val="-2"/>
                <w:sz w:val="21"/>
                <w:szCs w:val="21"/>
              </w:rPr>
              <w:t>埋入式铂热电阻</w:t>
            </w:r>
          </w:p>
        </w:tc>
        <w:tc>
          <w:tcPr>
            <w:tcW w:w="0" w:type="auto"/>
            <w:vAlign w:val="center"/>
          </w:tcPr>
          <w:p w14:paraId="37A549E3">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50%</w:t>
            </w:r>
          </w:p>
        </w:tc>
        <w:tc>
          <w:tcPr>
            <w:tcW w:w="4673" w:type="dxa"/>
            <w:vAlign w:val="center"/>
          </w:tcPr>
          <w:p w14:paraId="3B91E252">
            <w:pPr>
              <w:widowControl/>
              <w:autoSpaceDE w:val="0"/>
              <w:autoSpaceDN w:val="0"/>
              <w:adjustRightInd w:val="0"/>
              <w:snapToGrid w:val="0"/>
              <w:jc w:val="center"/>
              <w:textAlignment w:val="bottom"/>
              <w:rPr>
                <w:rFonts w:ascii="宋体" w:hAnsi="宋体" w:cs="宋体"/>
                <w:sz w:val="21"/>
                <w:szCs w:val="21"/>
              </w:rPr>
            </w:pPr>
            <w:r>
              <w:rPr>
                <w:rFonts w:hint="eastAsia" w:ascii="宋体" w:hAnsi="宋体" w:cs="宋体"/>
                <w:spacing w:val="-2"/>
                <w:sz w:val="21"/>
                <w:szCs w:val="21"/>
              </w:rPr>
              <w:t>每种50%</w:t>
            </w:r>
            <w:r>
              <w:rPr>
                <w:rFonts w:hint="eastAsia" w:ascii="宋体" w:hAnsi="宋体" w:cs="宋体"/>
                <w:spacing w:val="-25"/>
                <w:sz w:val="21"/>
                <w:szCs w:val="21"/>
              </w:rPr>
              <w:t xml:space="preserve"> </w:t>
            </w:r>
            <w:r>
              <w:rPr>
                <w:rFonts w:hint="eastAsia" w:ascii="宋体" w:hAnsi="宋体" w:cs="宋体"/>
                <w:spacing w:val="-2"/>
                <w:sz w:val="21"/>
                <w:szCs w:val="21"/>
              </w:rPr>
              <w:t>，不足一支按一支计算</w:t>
            </w:r>
          </w:p>
        </w:tc>
      </w:tr>
      <w:tr w14:paraId="69397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0" w:type="auto"/>
            <w:vMerge w:val="continue"/>
            <w:vAlign w:val="center"/>
          </w:tcPr>
          <w:p w14:paraId="5FF0672D">
            <w:pPr>
              <w:adjustRightInd w:val="0"/>
              <w:snapToGrid w:val="0"/>
              <w:spacing w:line="360" w:lineRule="auto"/>
              <w:jc w:val="center"/>
              <w:rPr>
                <w:rFonts w:ascii="宋体" w:hAnsi="宋体" w:cs="宋体"/>
                <w:sz w:val="21"/>
                <w:szCs w:val="21"/>
              </w:rPr>
            </w:pPr>
          </w:p>
        </w:tc>
        <w:tc>
          <w:tcPr>
            <w:tcW w:w="0" w:type="auto"/>
            <w:vAlign w:val="center"/>
          </w:tcPr>
          <w:p w14:paraId="620A84C1">
            <w:pPr>
              <w:adjustRightInd w:val="0"/>
              <w:snapToGrid w:val="0"/>
              <w:spacing w:line="360" w:lineRule="auto"/>
              <w:jc w:val="center"/>
              <w:rPr>
                <w:rFonts w:ascii="宋体" w:hAnsi="宋体" w:cs="宋体"/>
                <w:spacing w:val="-2"/>
                <w:sz w:val="21"/>
                <w:szCs w:val="21"/>
              </w:rPr>
            </w:pPr>
            <w:r>
              <w:rPr>
                <w:rFonts w:hint="eastAsia" w:ascii="宋体" w:hAnsi="宋体" w:cs="宋体"/>
                <w:spacing w:val="-1"/>
                <w:sz w:val="21"/>
                <w:szCs w:val="21"/>
              </w:rPr>
              <w:t>振动、位移、键相探头</w:t>
            </w:r>
          </w:p>
        </w:tc>
        <w:tc>
          <w:tcPr>
            <w:tcW w:w="0" w:type="auto"/>
            <w:vAlign w:val="center"/>
          </w:tcPr>
          <w:p w14:paraId="38689A54">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100%</w:t>
            </w:r>
          </w:p>
        </w:tc>
        <w:tc>
          <w:tcPr>
            <w:tcW w:w="4673" w:type="dxa"/>
            <w:vAlign w:val="center"/>
          </w:tcPr>
          <w:p w14:paraId="0DD81C49">
            <w:pPr>
              <w:widowControl/>
              <w:autoSpaceDE w:val="0"/>
              <w:autoSpaceDN w:val="0"/>
              <w:adjustRightInd w:val="0"/>
              <w:snapToGrid w:val="0"/>
              <w:jc w:val="center"/>
              <w:textAlignment w:val="bottom"/>
              <w:rPr>
                <w:rFonts w:ascii="宋体" w:hAnsi="宋体" w:cs="宋体"/>
                <w:spacing w:val="-2"/>
                <w:sz w:val="21"/>
                <w:szCs w:val="21"/>
              </w:rPr>
            </w:pPr>
            <w:r>
              <w:rPr>
                <w:rFonts w:hint="eastAsia" w:ascii="宋体" w:hAnsi="宋体" w:cs="宋体"/>
                <w:spacing w:val="-1"/>
                <w:sz w:val="21"/>
                <w:szCs w:val="21"/>
              </w:rPr>
              <w:t>每种各一套（含探头+前置器+延伸电缆）</w:t>
            </w:r>
          </w:p>
        </w:tc>
      </w:tr>
    </w:tbl>
    <w:p w14:paraId="7DC4E146">
      <w:pPr>
        <w:numPr>
          <w:ilvl w:val="0"/>
          <w:numId w:val="23"/>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随机提供专用工具清单</w:t>
      </w: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2736"/>
        <w:gridCol w:w="321"/>
        <w:gridCol w:w="426"/>
        <w:gridCol w:w="5258"/>
      </w:tblGrid>
      <w:tr w14:paraId="643E9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64D8A90F">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序号</w:t>
            </w:r>
          </w:p>
        </w:tc>
        <w:tc>
          <w:tcPr>
            <w:tcW w:w="0" w:type="auto"/>
          </w:tcPr>
          <w:p w14:paraId="3339B387">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名称</w:t>
            </w:r>
          </w:p>
        </w:tc>
        <w:tc>
          <w:tcPr>
            <w:tcW w:w="0" w:type="auto"/>
            <w:gridSpan w:val="2"/>
          </w:tcPr>
          <w:p w14:paraId="28E6668B">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数量</w:t>
            </w:r>
          </w:p>
        </w:tc>
        <w:tc>
          <w:tcPr>
            <w:tcW w:w="5258" w:type="dxa"/>
          </w:tcPr>
          <w:p w14:paraId="7E58E1FF">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备注</w:t>
            </w:r>
          </w:p>
        </w:tc>
      </w:tr>
      <w:tr w14:paraId="10BBBA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60979D68">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5824DEDF">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转子托架</w:t>
            </w:r>
          </w:p>
        </w:tc>
        <w:tc>
          <w:tcPr>
            <w:tcW w:w="0" w:type="auto"/>
            <w:tcBorders>
              <w:right w:val="single" w:color="auto" w:sz="4" w:space="0"/>
            </w:tcBorders>
          </w:tcPr>
          <w:p w14:paraId="4C77A706">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7CD90EA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32FB7C7A">
            <w:pPr>
              <w:widowControl/>
              <w:autoSpaceDE w:val="0"/>
              <w:autoSpaceDN w:val="0"/>
              <w:adjustRightInd w:val="0"/>
              <w:snapToGrid w:val="0"/>
              <w:spacing w:line="360" w:lineRule="auto"/>
              <w:textAlignment w:val="bottom"/>
              <w:rPr>
                <w:rFonts w:ascii="宋体" w:hAnsi="宋体" w:cs="宋体"/>
                <w:sz w:val="21"/>
                <w:szCs w:val="21"/>
              </w:rPr>
            </w:pPr>
          </w:p>
        </w:tc>
      </w:tr>
      <w:tr w14:paraId="6DAB8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7F9F71F1">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426444F0">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测振、轴位移探头拆装工具</w:t>
            </w:r>
          </w:p>
        </w:tc>
        <w:tc>
          <w:tcPr>
            <w:tcW w:w="0" w:type="auto"/>
            <w:tcBorders>
              <w:right w:val="single" w:color="auto" w:sz="4" w:space="0"/>
            </w:tcBorders>
          </w:tcPr>
          <w:p w14:paraId="190E0DAF">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658466D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219CC3B3">
            <w:pPr>
              <w:widowControl/>
              <w:autoSpaceDE w:val="0"/>
              <w:autoSpaceDN w:val="0"/>
              <w:adjustRightInd w:val="0"/>
              <w:snapToGrid w:val="0"/>
              <w:spacing w:line="360" w:lineRule="auto"/>
              <w:textAlignment w:val="bottom"/>
              <w:rPr>
                <w:rFonts w:ascii="宋体" w:hAnsi="宋体" w:cs="宋体"/>
                <w:sz w:val="21"/>
                <w:szCs w:val="21"/>
              </w:rPr>
            </w:pPr>
          </w:p>
        </w:tc>
      </w:tr>
      <w:tr w14:paraId="681EC9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108A5137">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74A58043">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找正工具</w:t>
            </w:r>
          </w:p>
        </w:tc>
        <w:tc>
          <w:tcPr>
            <w:tcW w:w="0" w:type="auto"/>
            <w:tcBorders>
              <w:right w:val="single" w:color="auto" w:sz="4" w:space="0"/>
            </w:tcBorders>
          </w:tcPr>
          <w:p w14:paraId="03F346D0">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3F538009">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59FD440E">
            <w:pPr>
              <w:widowControl/>
              <w:autoSpaceDE w:val="0"/>
              <w:autoSpaceDN w:val="0"/>
              <w:adjustRightInd w:val="0"/>
              <w:snapToGrid w:val="0"/>
              <w:spacing w:line="360" w:lineRule="auto"/>
              <w:textAlignment w:val="bottom"/>
              <w:rPr>
                <w:rFonts w:ascii="宋体" w:hAnsi="宋体" w:cs="宋体"/>
                <w:sz w:val="21"/>
                <w:szCs w:val="21"/>
              </w:rPr>
            </w:pPr>
          </w:p>
        </w:tc>
      </w:tr>
      <w:tr w14:paraId="67FBA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75E04CE7">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428000A6">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联轴器液压拆装工具</w:t>
            </w:r>
          </w:p>
        </w:tc>
        <w:tc>
          <w:tcPr>
            <w:tcW w:w="0" w:type="auto"/>
            <w:tcBorders>
              <w:right w:val="single" w:color="auto" w:sz="4" w:space="0"/>
            </w:tcBorders>
          </w:tcPr>
          <w:p w14:paraId="58BC4867">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4C92568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19C233F7">
            <w:pPr>
              <w:widowControl/>
              <w:autoSpaceDE w:val="0"/>
              <w:autoSpaceDN w:val="0"/>
              <w:adjustRightInd w:val="0"/>
              <w:snapToGrid w:val="0"/>
              <w:spacing w:line="360" w:lineRule="auto"/>
              <w:textAlignment w:val="bottom"/>
              <w:rPr>
                <w:rFonts w:ascii="宋体" w:hAnsi="宋体" w:cs="宋体"/>
                <w:sz w:val="21"/>
                <w:szCs w:val="21"/>
              </w:rPr>
            </w:pPr>
          </w:p>
        </w:tc>
      </w:tr>
      <w:tr w14:paraId="1502EA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6C770C8F">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094C0398">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低压泵组及其连接件</w:t>
            </w:r>
          </w:p>
        </w:tc>
        <w:tc>
          <w:tcPr>
            <w:tcW w:w="0" w:type="auto"/>
            <w:tcBorders>
              <w:right w:val="single" w:color="auto" w:sz="4" w:space="0"/>
            </w:tcBorders>
          </w:tcPr>
          <w:p w14:paraId="701C68AE">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4D43F717">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0AF800FE">
            <w:pPr>
              <w:widowControl/>
              <w:autoSpaceDE w:val="0"/>
              <w:autoSpaceDN w:val="0"/>
              <w:adjustRightInd w:val="0"/>
              <w:snapToGrid w:val="0"/>
              <w:spacing w:line="360" w:lineRule="auto"/>
              <w:textAlignment w:val="bottom"/>
              <w:rPr>
                <w:rFonts w:ascii="宋体" w:hAnsi="宋体" w:cs="宋体"/>
                <w:sz w:val="21"/>
                <w:szCs w:val="21"/>
              </w:rPr>
            </w:pPr>
          </w:p>
        </w:tc>
      </w:tr>
      <w:tr w14:paraId="3CAEB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5E1ACE92">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0635D3F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高压泵组及其连接件</w:t>
            </w:r>
          </w:p>
        </w:tc>
        <w:tc>
          <w:tcPr>
            <w:tcW w:w="0" w:type="auto"/>
            <w:tcBorders>
              <w:right w:val="single" w:color="auto" w:sz="4" w:space="0"/>
            </w:tcBorders>
          </w:tcPr>
          <w:p w14:paraId="0443D5BB">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5DC03CE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4D94F0AE">
            <w:pPr>
              <w:widowControl/>
              <w:autoSpaceDE w:val="0"/>
              <w:autoSpaceDN w:val="0"/>
              <w:adjustRightInd w:val="0"/>
              <w:snapToGrid w:val="0"/>
              <w:spacing w:line="360" w:lineRule="auto"/>
              <w:textAlignment w:val="bottom"/>
              <w:rPr>
                <w:rFonts w:ascii="宋体" w:hAnsi="宋体" w:cs="宋体"/>
                <w:sz w:val="21"/>
                <w:szCs w:val="21"/>
              </w:rPr>
            </w:pPr>
          </w:p>
        </w:tc>
      </w:tr>
      <w:tr w14:paraId="7A1E9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2DC6CB3A">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0650CEA2">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机壳中分面导杆及螺栓</w:t>
            </w:r>
          </w:p>
        </w:tc>
        <w:tc>
          <w:tcPr>
            <w:tcW w:w="0" w:type="auto"/>
            <w:tcBorders>
              <w:right w:val="single" w:color="auto" w:sz="4" w:space="0"/>
            </w:tcBorders>
          </w:tcPr>
          <w:p w14:paraId="106249A2">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514CB1E1">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4C11BB2B">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在定子中提供</w:t>
            </w:r>
          </w:p>
        </w:tc>
      </w:tr>
      <w:tr w14:paraId="727FDA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1837B807">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2F3504C7">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推力盘液压拆装工具</w:t>
            </w:r>
          </w:p>
        </w:tc>
        <w:tc>
          <w:tcPr>
            <w:tcW w:w="0" w:type="auto"/>
            <w:tcBorders>
              <w:right w:val="single" w:color="auto" w:sz="4" w:space="0"/>
            </w:tcBorders>
          </w:tcPr>
          <w:p w14:paraId="0E0A2985">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6C73F2A6">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6DC1D3E1">
            <w:pPr>
              <w:widowControl/>
              <w:autoSpaceDE w:val="0"/>
              <w:autoSpaceDN w:val="0"/>
              <w:adjustRightInd w:val="0"/>
              <w:snapToGrid w:val="0"/>
              <w:spacing w:line="360" w:lineRule="auto"/>
              <w:textAlignment w:val="bottom"/>
              <w:rPr>
                <w:rFonts w:ascii="宋体" w:hAnsi="宋体" w:cs="宋体"/>
                <w:sz w:val="21"/>
                <w:szCs w:val="21"/>
              </w:rPr>
            </w:pPr>
          </w:p>
        </w:tc>
      </w:tr>
      <w:tr w14:paraId="29E6C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06D32AB3">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5168EC9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拧紧机壳螺栓用扭矩扳手</w:t>
            </w:r>
          </w:p>
        </w:tc>
        <w:tc>
          <w:tcPr>
            <w:tcW w:w="0" w:type="auto"/>
            <w:tcBorders>
              <w:right w:val="single" w:color="auto" w:sz="4" w:space="0"/>
            </w:tcBorders>
          </w:tcPr>
          <w:p w14:paraId="29AB6AAB">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132F0057">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3A2B72D6">
            <w:pPr>
              <w:widowControl/>
              <w:autoSpaceDE w:val="0"/>
              <w:autoSpaceDN w:val="0"/>
              <w:adjustRightInd w:val="0"/>
              <w:snapToGrid w:val="0"/>
              <w:spacing w:line="360" w:lineRule="auto"/>
              <w:textAlignment w:val="bottom"/>
              <w:rPr>
                <w:rFonts w:ascii="宋体" w:hAnsi="宋体" w:cs="宋体"/>
                <w:sz w:val="21"/>
                <w:szCs w:val="21"/>
              </w:rPr>
            </w:pPr>
          </w:p>
        </w:tc>
      </w:tr>
      <w:tr w14:paraId="20C52E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39F304A6">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778C496D">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联轴器螺栓拆装扳手</w:t>
            </w:r>
          </w:p>
        </w:tc>
        <w:tc>
          <w:tcPr>
            <w:tcW w:w="0" w:type="auto"/>
            <w:tcBorders>
              <w:right w:val="single" w:color="auto" w:sz="4" w:space="0"/>
            </w:tcBorders>
          </w:tcPr>
          <w:p w14:paraId="49086724">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7CC6469A">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6BA35FBF">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联轴器厂家带</w:t>
            </w:r>
          </w:p>
        </w:tc>
      </w:tr>
      <w:tr w14:paraId="316E4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1793801F">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591C8C0C">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转子锁轴工装</w:t>
            </w:r>
          </w:p>
        </w:tc>
        <w:tc>
          <w:tcPr>
            <w:tcW w:w="0" w:type="auto"/>
            <w:tcBorders>
              <w:right w:val="single" w:color="auto" w:sz="4" w:space="0"/>
            </w:tcBorders>
          </w:tcPr>
          <w:p w14:paraId="2A3E9FFB">
            <w:pPr>
              <w:widowControl/>
              <w:autoSpaceDE w:val="0"/>
              <w:autoSpaceDN w:val="0"/>
              <w:adjustRightInd w:val="0"/>
              <w:snapToGrid w:val="0"/>
              <w:spacing w:line="360" w:lineRule="auto"/>
              <w:jc w:val="right"/>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118C8F79">
            <w:pPr>
              <w:widowControl/>
              <w:autoSpaceDE w:val="0"/>
              <w:autoSpaceDN w:val="0"/>
              <w:adjustRightInd w:val="0"/>
              <w:snapToGrid w:val="0"/>
              <w:spacing w:line="360" w:lineRule="auto"/>
              <w:textAlignment w:val="bottom"/>
              <w:rPr>
                <w:rFonts w:ascii="宋体" w:hAnsi="宋体" w:cs="宋体"/>
                <w:sz w:val="21"/>
                <w:szCs w:val="21"/>
              </w:rPr>
            </w:pPr>
            <w:r>
              <w:rPr>
                <w:rFonts w:hint="eastAsia" w:ascii="宋体" w:hAnsi="宋体" w:cs="宋体"/>
                <w:sz w:val="21"/>
                <w:szCs w:val="21"/>
              </w:rPr>
              <w:t>套</w:t>
            </w:r>
          </w:p>
        </w:tc>
        <w:tc>
          <w:tcPr>
            <w:tcW w:w="5258" w:type="dxa"/>
          </w:tcPr>
          <w:p w14:paraId="044507E4">
            <w:pPr>
              <w:widowControl/>
              <w:autoSpaceDE w:val="0"/>
              <w:autoSpaceDN w:val="0"/>
              <w:adjustRightInd w:val="0"/>
              <w:snapToGrid w:val="0"/>
              <w:spacing w:line="360" w:lineRule="auto"/>
              <w:textAlignment w:val="bottom"/>
              <w:rPr>
                <w:rFonts w:ascii="宋体" w:hAnsi="宋体" w:cs="宋体"/>
                <w:sz w:val="21"/>
                <w:szCs w:val="21"/>
              </w:rPr>
            </w:pPr>
          </w:p>
        </w:tc>
      </w:tr>
      <w:tr w14:paraId="5A75C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1AC3A531">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15F43694">
            <w:pPr>
              <w:widowControl/>
              <w:autoSpaceDE w:val="0"/>
              <w:autoSpaceDN w:val="0"/>
              <w:adjustRightInd w:val="0"/>
              <w:snapToGrid w:val="0"/>
              <w:spacing w:line="360" w:lineRule="auto"/>
              <w:jc w:val="left"/>
              <w:textAlignment w:val="bottom"/>
              <w:rPr>
                <w:rFonts w:ascii="宋体" w:hAnsi="宋体" w:cs="宋体"/>
                <w:sz w:val="21"/>
                <w:szCs w:val="21"/>
              </w:rPr>
            </w:pPr>
            <w:r>
              <w:rPr>
                <w:rFonts w:hint="eastAsia" w:ascii="宋体" w:hAnsi="宋体" w:cs="宋体"/>
                <w:sz w:val="21"/>
                <w:szCs w:val="21"/>
              </w:rPr>
              <w:t>手动盘车工具</w:t>
            </w:r>
          </w:p>
        </w:tc>
        <w:tc>
          <w:tcPr>
            <w:tcW w:w="0" w:type="auto"/>
            <w:tcBorders>
              <w:right w:val="single" w:color="auto" w:sz="4" w:space="0"/>
            </w:tcBorders>
          </w:tcPr>
          <w:p w14:paraId="48394971">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500282C0">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套</w:t>
            </w:r>
          </w:p>
        </w:tc>
        <w:tc>
          <w:tcPr>
            <w:tcW w:w="5258" w:type="dxa"/>
          </w:tcPr>
          <w:p w14:paraId="22591BE5">
            <w:pPr>
              <w:widowControl/>
              <w:autoSpaceDE w:val="0"/>
              <w:autoSpaceDN w:val="0"/>
              <w:adjustRightInd w:val="0"/>
              <w:snapToGrid w:val="0"/>
              <w:spacing w:line="360" w:lineRule="auto"/>
              <w:jc w:val="center"/>
              <w:textAlignment w:val="bottom"/>
              <w:rPr>
                <w:rFonts w:ascii="宋体" w:hAnsi="宋体" w:cs="宋体"/>
                <w:sz w:val="21"/>
                <w:szCs w:val="21"/>
              </w:rPr>
            </w:pPr>
          </w:p>
        </w:tc>
      </w:tr>
      <w:tr w14:paraId="50451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0" w:type="auto"/>
          </w:tcPr>
          <w:p w14:paraId="7266B5B3">
            <w:pPr>
              <w:widowControl/>
              <w:numPr>
                <w:ilvl w:val="0"/>
                <w:numId w:val="28"/>
              </w:numPr>
              <w:autoSpaceDE w:val="0"/>
              <w:autoSpaceDN w:val="0"/>
              <w:adjustRightInd w:val="0"/>
              <w:snapToGrid w:val="0"/>
              <w:spacing w:line="360" w:lineRule="auto"/>
              <w:ind w:left="0" w:firstLine="0"/>
              <w:jc w:val="center"/>
              <w:textAlignment w:val="bottom"/>
              <w:rPr>
                <w:rFonts w:ascii="宋体" w:hAnsi="宋体" w:cs="宋体"/>
                <w:sz w:val="21"/>
                <w:szCs w:val="21"/>
              </w:rPr>
            </w:pPr>
          </w:p>
        </w:tc>
        <w:tc>
          <w:tcPr>
            <w:tcW w:w="0" w:type="auto"/>
          </w:tcPr>
          <w:p w14:paraId="6D9EB5E4">
            <w:pPr>
              <w:widowControl/>
              <w:autoSpaceDE w:val="0"/>
              <w:autoSpaceDN w:val="0"/>
              <w:adjustRightInd w:val="0"/>
              <w:snapToGrid w:val="0"/>
              <w:spacing w:line="360" w:lineRule="auto"/>
              <w:jc w:val="left"/>
              <w:textAlignment w:val="bottom"/>
              <w:rPr>
                <w:rFonts w:ascii="宋体" w:hAnsi="宋体" w:cs="宋体"/>
                <w:sz w:val="21"/>
                <w:szCs w:val="21"/>
              </w:rPr>
            </w:pPr>
            <w:r>
              <w:rPr>
                <w:rFonts w:hint="eastAsia" w:ascii="宋体" w:hAnsi="宋体" w:cs="宋体"/>
                <w:sz w:val="21"/>
                <w:szCs w:val="21"/>
              </w:rPr>
              <w:t>润滑油蓄能器充气工具</w:t>
            </w:r>
          </w:p>
        </w:tc>
        <w:tc>
          <w:tcPr>
            <w:tcW w:w="0" w:type="auto"/>
            <w:tcBorders>
              <w:right w:val="single" w:color="auto" w:sz="4" w:space="0"/>
            </w:tcBorders>
          </w:tcPr>
          <w:p w14:paraId="7EB71726">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1</w:t>
            </w:r>
          </w:p>
        </w:tc>
        <w:tc>
          <w:tcPr>
            <w:tcW w:w="0" w:type="auto"/>
            <w:tcBorders>
              <w:left w:val="single" w:color="auto" w:sz="4" w:space="0"/>
            </w:tcBorders>
          </w:tcPr>
          <w:p w14:paraId="4BDD3076">
            <w:pPr>
              <w:widowControl/>
              <w:autoSpaceDE w:val="0"/>
              <w:autoSpaceDN w:val="0"/>
              <w:adjustRightInd w:val="0"/>
              <w:snapToGrid w:val="0"/>
              <w:spacing w:line="360" w:lineRule="auto"/>
              <w:jc w:val="center"/>
              <w:textAlignment w:val="bottom"/>
              <w:rPr>
                <w:rFonts w:ascii="宋体" w:hAnsi="宋体" w:cs="宋体"/>
                <w:sz w:val="21"/>
                <w:szCs w:val="21"/>
              </w:rPr>
            </w:pPr>
            <w:r>
              <w:rPr>
                <w:rFonts w:hint="eastAsia" w:ascii="宋体" w:hAnsi="宋体" w:cs="宋体"/>
                <w:sz w:val="21"/>
                <w:szCs w:val="21"/>
              </w:rPr>
              <w:t>套</w:t>
            </w:r>
          </w:p>
        </w:tc>
        <w:tc>
          <w:tcPr>
            <w:tcW w:w="5258" w:type="dxa"/>
          </w:tcPr>
          <w:p w14:paraId="4936CC74">
            <w:pPr>
              <w:widowControl/>
              <w:autoSpaceDE w:val="0"/>
              <w:autoSpaceDN w:val="0"/>
              <w:adjustRightInd w:val="0"/>
              <w:snapToGrid w:val="0"/>
              <w:spacing w:line="360" w:lineRule="auto"/>
              <w:jc w:val="center"/>
              <w:textAlignment w:val="bottom"/>
              <w:rPr>
                <w:rFonts w:ascii="宋体" w:hAnsi="宋体" w:cs="宋体"/>
                <w:sz w:val="21"/>
                <w:szCs w:val="21"/>
              </w:rPr>
            </w:pPr>
          </w:p>
        </w:tc>
      </w:tr>
    </w:tbl>
    <w:p w14:paraId="2FDF89F2">
      <w:pPr>
        <w:numPr>
          <w:ilvl w:val="0"/>
          <w:numId w:val="23"/>
        </w:numPr>
        <w:tabs>
          <w:tab w:val="clear" w:pos="0"/>
        </w:tabs>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主要零部件材质要求</w:t>
      </w:r>
    </w:p>
    <w:tbl>
      <w:tblPr>
        <w:tblStyle w:val="7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66"/>
        <w:gridCol w:w="2106"/>
        <w:gridCol w:w="5986"/>
      </w:tblGrid>
      <w:tr w14:paraId="62D160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Pr>
          <w:p w14:paraId="03D5AE8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cs="宋体"/>
                <w:sz w:val="24"/>
              </w:rPr>
              <w:t>名称</w:t>
            </w:r>
          </w:p>
        </w:tc>
        <w:tc>
          <w:tcPr>
            <w:tcW w:w="0" w:type="auto"/>
            <w:vAlign w:val="center"/>
          </w:tcPr>
          <w:p w14:paraId="4D8A0884">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部位</w:t>
            </w:r>
          </w:p>
        </w:tc>
        <w:tc>
          <w:tcPr>
            <w:tcW w:w="5986" w:type="dxa"/>
            <w:vAlign w:val="center"/>
          </w:tcPr>
          <w:p w14:paraId="297826A4">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材质要求</w:t>
            </w:r>
          </w:p>
        </w:tc>
      </w:tr>
      <w:tr w14:paraId="528B9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14:paraId="387F8FF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压缩机系统</w:t>
            </w:r>
          </w:p>
        </w:tc>
        <w:tc>
          <w:tcPr>
            <w:tcW w:w="0" w:type="auto"/>
            <w:vAlign w:val="center"/>
          </w:tcPr>
          <w:p w14:paraId="027F4EFA">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转子</w:t>
            </w:r>
          </w:p>
        </w:tc>
        <w:tc>
          <w:tcPr>
            <w:tcW w:w="5986" w:type="dxa"/>
            <w:vAlign w:val="center"/>
          </w:tcPr>
          <w:p w14:paraId="15A8E3AC">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投标人优化，保证性能</w:t>
            </w:r>
          </w:p>
        </w:tc>
      </w:tr>
      <w:tr w14:paraId="4062A1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3B391456">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0A7D56DF">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定子</w:t>
            </w:r>
          </w:p>
        </w:tc>
        <w:tc>
          <w:tcPr>
            <w:tcW w:w="5986" w:type="dxa"/>
            <w:vAlign w:val="center"/>
          </w:tcPr>
          <w:p w14:paraId="61FE02F0">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投标人优化，保证性能</w:t>
            </w:r>
          </w:p>
        </w:tc>
      </w:tr>
      <w:tr w14:paraId="27D97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338E881A">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61CE14CA">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底座</w:t>
            </w:r>
          </w:p>
        </w:tc>
        <w:tc>
          <w:tcPr>
            <w:tcW w:w="5986" w:type="dxa"/>
            <w:vAlign w:val="center"/>
          </w:tcPr>
          <w:p w14:paraId="7748B8D6">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Q235和工字钢</w:t>
            </w:r>
          </w:p>
        </w:tc>
      </w:tr>
      <w:tr w14:paraId="58745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775F5F71">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6B0D091D">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进气总管过滤器</w:t>
            </w:r>
          </w:p>
        </w:tc>
        <w:tc>
          <w:tcPr>
            <w:tcW w:w="5986" w:type="dxa"/>
            <w:vAlign w:val="center"/>
          </w:tcPr>
          <w:p w14:paraId="1D81CAF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T型，壳体碳钢，骨架和滤芯HC-276</w:t>
            </w:r>
          </w:p>
        </w:tc>
      </w:tr>
      <w:tr w14:paraId="0DAF1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2109B967">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4149A1F5">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仪表支架</w:t>
            </w:r>
          </w:p>
        </w:tc>
        <w:tc>
          <w:tcPr>
            <w:tcW w:w="5986" w:type="dxa"/>
            <w:vAlign w:val="center"/>
          </w:tcPr>
          <w:p w14:paraId="135C60A7">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整体S30408</w:t>
            </w:r>
          </w:p>
        </w:tc>
      </w:tr>
      <w:tr w14:paraId="19A4D8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restart"/>
            <w:vAlign w:val="center"/>
          </w:tcPr>
          <w:p w14:paraId="3D314EEE">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润滑油系统</w:t>
            </w:r>
          </w:p>
        </w:tc>
        <w:tc>
          <w:tcPr>
            <w:tcW w:w="0" w:type="auto"/>
            <w:vAlign w:val="center"/>
          </w:tcPr>
          <w:p w14:paraId="319503E3">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底座</w:t>
            </w:r>
          </w:p>
        </w:tc>
        <w:tc>
          <w:tcPr>
            <w:tcW w:w="5986" w:type="dxa"/>
            <w:vAlign w:val="center"/>
          </w:tcPr>
          <w:p w14:paraId="2872A3A1">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Q235和工字钢</w:t>
            </w:r>
          </w:p>
        </w:tc>
      </w:tr>
      <w:tr w14:paraId="4C120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56E16141">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208062A9">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油箱（含高位油箱）</w:t>
            </w:r>
          </w:p>
        </w:tc>
        <w:tc>
          <w:tcPr>
            <w:tcW w:w="5986" w:type="dxa"/>
            <w:vAlign w:val="center"/>
          </w:tcPr>
          <w:p w14:paraId="0C135CCE">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整体S30408</w:t>
            </w:r>
          </w:p>
        </w:tc>
      </w:tr>
      <w:tr w14:paraId="32487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6DB7CF01">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13046703">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润滑油管路</w:t>
            </w:r>
          </w:p>
        </w:tc>
        <w:tc>
          <w:tcPr>
            <w:tcW w:w="5986" w:type="dxa"/>
            <w:vAlign w:val="center"/>
          </w:tcPr>
          <w:p w14:paraId="218D59EE">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整体S30408</w:t>
            </w:r>
          </w:p>
        </w:tc>
      </w:tr>
      <w:tr w14:paraId="459C7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248EFD2F">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25EC19C2">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润滑油系统阀门</w:t>
            </w:r>
          </w:p>
        </w:tc>
        <w:tc>
          <w:tcPr>
            <w:tcW w:w="5986" w:type="dxa"/>
            <w:vAlign w:val="center"/>
          </w:tcPr>
          <w:p w14:paraId="0AB24E89">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整体S30408</w:t>
            </w:r>
          </w:p>
        </w:tc>
      </w:tr>
      <w:tr w14:paraId="630B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2F1B274D">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0C3E6754">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润滑油冷却器</w:t>
            </w:r>
          </w:p>
        </w:tc>
        <w:tc>
          <w:tcPr>
            <w:tcW w:w="5986" w:type="dxa"/>
            <w:vAlign w:val="center"/>
          </w:tcPr>
          <w:p w14:paraId="6AC543CF">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整体S30408</w:t>
            </w:r>
          </w:p>
        </w:tc>
      </w:tr>
      <w:tr w14:paraId="306E5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20ECC7FB">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26B4507E">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润滑油过滤器</w:t>
            </w:r>
          </w:p>
        </w:tc>
        <w:tc>
          <w:tcPr>
            <w:tcW w:w="5986" w:type="dxa"/>
            <w:vAlign w:val="center"/>
          </w:tcPr>
          <w:p w14:paraId="7C858C31">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整体S30408</w:t>
            </w:r>
          </w:p>
        </w:tc>
      </w:tr>
      <w:tr w14:paraId="71284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7D8EEEBB">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254EDF4E">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蓄能器</w:t>
            </w:r>
          </w:p>
        </w:tc>
        <w:tc>
          <w:tcPr>
            <w:tcW w:w="5986" w:type="dxa"/>
            <w:vAlign w:val="center"/>
          </w:tcPr>
          <w:p w14:paraId="282EDB5A">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除气囊外其余部件S30408</w:t>
            </w:r>
          </w:p>
        </w:tc>
      </w:tr>
      <w:tr w14:paraId="23287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317AD560">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15AB50EE">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仪表支架</w:t>
            </w:r>
          </w:p>
        </w:tc>
        <w:tc>
          <w:tcPr>
            <w:tcW w:w="5986" w:type="dxa"/>
            <w:vAlign w:val="center"/>
          </w:tcPr>
          <w:p w14:paraId="44CB88D1">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整体S30408</w:t>
            </w:r>
          </w:p>
        </w:tc>
      </w:tr>
      <w:tr w14:paraId="1C14C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Merge w:val="continue"/>
            <w:vAlign w:val="center"/>
          </w:tcPr>
          <w:p w14:paraId="0A1D1CAA">
            <w:pPr>
              <w:widowControl/>
              <w:autoSpaceDE w:val="0"/>
              <w:autoSpaceDN w:val="0"/>
              <w:adjustRightInd w:val="0"/>
              <w:snapToGrid w:val="0"/>
              <w:textAlignment w:val="bottom"/>
              <w:rPr>
                <w:rFonts w:hint="eastAsia" w:ascii="宋体" w:hAnsi="宋体" w:eastAsia="宋体" w:cs="宋体"/>
                <w:szCs w:val="21"/>
              </w:rPr>
            </w:pPr>
          </w:p>
        </w:tc>
        <w:tc>
          <w:tcPr>
            <w:tcW w:w="0" w:type="auto"/>
            <w:vAlign w:val="center"/>
          </w:tcPr>
          <w:p w14:paraId="1922D865">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其他</w:t>
            </w:r>
          </w:p>
        </w:tc>
        <w:tc>
          <w:tcPr>
            <w:tcW w:w="5986" w:type="dxa"/>
            <w:vAlign w:val="center"/>
          </w:tcPr>
          <w:p w14:paraId="4198E9D2">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其他与油接触部位，全部为S30408材质。</w:t>
            </w:r>
          </w:p>
        </w:tc>
      </w:tr>
      <w:tr w14:paraId="0B40B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331B4F7">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冷却系统</w:t>
            </w:r>
          </w:p>
        </w:tc>
        <w:tc>
          <w:tcPr>
            <w:tcW w:w="0" w:type="auto"/>
            <w:vAlign w:val="center"/>
          </w:tcPr>
          <w:p w14:paraId="68680161">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中冷器</w:t>
            </w:r>
          </w:p>
        </w:tc>
        <w:tc>
          <w:tcPr>
            <w:tcW w:w="5986" w:type="dxa"/>
            <w:vAlign w:val="center"/>
          </w:tcPr>
          <w:p w14:paraId="68E77A9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换热管、折流板、定距管为S22053</w:t>
            </w:r>
          </w:p>
          <w:p w14:paraId="4DEF816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管板：Q345R+S22053</w:t>
            </w:r>
          </w:p>
          <w:p w14:paraId="11BCFE30">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筒体：Q345R</w:t>
            </w:r>
          </w:p>
        </w:tc>
      </w:tr>
      <w:tr w14:paraId="7F07E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center"/>
          </w:tcPr>
          <w:p w14:paraId="22A8E96F">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ab/>
            </w:r>
            <w:r>
              <w:rPr>
                <w:rFonts w:hint="eastAsia" w:ascii="宋体" w:hAnsi="宋体" w:eastAsia="宋体" w:cs="宋体"/>
                <w:szCs w:val="21"/>
              </w:rPr>
              <w:t>其他</w:t>
            </w:r>
          </w:p>
        </w:tc>
        <w:tc>
          <w:tcPr>
            <w:tcW w:w="0" w:type="auto"/>
            <w:vAlign w:val="center"/>
          </w:tcPr>
          <w:p w14:paraId="6928F1CD">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防喘振控制阀</w:t>
            </w:r>
          </w:p>
          <w:p w14:paraId="76469B0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大回流控制阀</w:t>
            </w:r>
          </w:p>
          <w:p w14:paraId="2D0AFA38">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 xml:space="preserve">小回流控制阀 </w:t>
            </w:r>
          </w:p>
        </w:tc>
        <w:tc>
          <w:tcPr>
            <w:tcW w:w="5986" w:type="dxa"/>
            <w:vAlign w:val="center"/>
          </w:tcPr>
          <w:p w14:paraId="440AEA76">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阀体:CS或与管道同材质</w:t>
            </w:r>
          </w:p>
          <w:p w14:paraId="16B8B514">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阀芯:316L</w:t>
            </w:r>
          </w:p>
          <w:p w14:paraId="7E876409">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阀门选用 HC276 波纹管密封</w:t>
            </w:r>
          </w:p>
        </w:tc>
      </w:tr>
    </w:tbl>
    <w:p w14:paraId="4C11A9BF">
      <w:pPr>
        <w:numPr>
          <w:ilvl w:val="0"/>
          <w:numId w:val="23"/>
        </w:numPr>
        <w:tabs>
          <w:tab w:val="clear" w:pos="0"/>
        </w:tabs>
        <w:autoSpaceDE w:val="0"/>
        <w:autoSpaceDN w:val="0"/>
        <w:adjustRightInd w:val="0"/>
        <w:snapToGrid w:val="0"/>
        <w:spacing w:line="360" w:lineRule="auto"/>
        <w:ind w:left="0" w:firstLine="0"/>
        <w:jc w:val="left"/>
        <w:rPr>
          <w:rFonts w:ascii="宋体" w:hAnsi="宋体" w:cs="宋体"/>
          <w:sz w:val="24"/>
        </w:rPr>
      </w:pPr>
      <w:r>
        <w:rPr>
          <w:rFonts w:ascii="宋体" w:hAnsi="宋体" w:cs="宋体"/>
          <w:sz w:val="24"/>
        </w:rPr>
        <w:t>*</w:t>
      </w:r>
      <w:r>
        <w:rPr>
          <w:rFonts w:hint="eastAsia" w:ascii="宋体" w:hAnsi="宋体" w:cs="宋体"/>
          <w:sz w:val="24"/>
        </w:rPr>
        <w:t xml:space="preserve"> 主要部件供应商推荐品牌</w:t>
      </w:r>
    </w:p>
    <w:tbl>
      <w:tblPr>
        <w:tblStyle w:val="76"/>
        <w:tblW w:w="96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1664"/>
        <w:gridCol w:w="6407"/>
      </w:tblGrid>
      <w:tr w14:paraId="0A5B2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1555" w:type="dxa"/>
            <w:vAlign w:val="center"/>
          </w:tcPr>
          <w:p w14:paraId="6C686954">
            <w:pPr>
              <w:widowControl/>
              <w:autoSpaceDE w:val="0"/>
              <w:autoSpaceDN w:val="0"/>
              <w:adjustRightInd w:val="0"/>
              <w:snapToGrid w:val="0"/>
              <w:textAlignment w:val="bottom"/>
              <w:rPr>
                <w:rFonts w:ascii="宋体" w:hAnsi="宋体" w:cs="宋体"/>
                <w:sz w:val="24"/>
              </w:rPr>
            </w:pPr>
            <w:bookmarkStart w:id="151" w:name="_Toc195433163"/>
            <w:r>
              <w:rPr>
                <w:rFonts w:hint="eastAsia" w:ascii="宋体" w:hAnsi="宋体" w:cs="宋体"/>
                <w:sz w:val="24"/>
              </w:rPr>
              <w:t>名称</w:t>
            </w:r>
          </w:p>
        </w:tc>
        <w:tc>
          <w:tcPr>
            <w:tcW w:w="1664" w:type="dxa"/>
            <w:vAlign w:val="center"/>
          </w:tcPr>
          <w:p w14:paraId="26A6AE8D">
            <w:pPr>
              <w:widowControl/>
              <w:autoSpaceDE w:val="0"/>
              <w:autoSpaceDN w:val="0"/>
              <w:adjustRightInd w:val="0"/>
              <w:snapToGrid w:val="0"/>
              <w:textAlignment w:val="bottom"/>
              <w:rPr>
                <w:rFonts w:ascii="宋体" w:hAnsi="宋体" w:cs="宋体"/>
                <w:sz w:val="24"/>
              </w:rPr>
            </w:pPr>
            <w:r>
              <w:rPr>
                <w:rFonts w:hint="eastAsia" w:ascii="宋体" w:hAnsi="宋体" w:cs="宋体"/>
                <w:sz w:val="24"/>
              </w:rPr>
              <w:t>规格型号</w:t>
            </w:r>
          </w:p>
        </w:tc>
        <w:tc>
          <w:tcPr>
            <w:tcW w:w="6407" w:type="dxa"/>
            <w:vAlign w:val="center"/>
          </w:tcPr>
          <w:p w14:paraId="7411390F">
            <w:pPr>
              <w:widowControl/>
              <w:autoSpaceDE w:val="0"/>
              <w:autoSpaceDN w:val="0"/>
              <w:adjustRightInd w:val="0"/>
              <w:snapToGrid w:val="0"/>
              <w:textAlignment w:val="bottom"/>
              <w:rPr>
                <w:rFonts w:ascii="宋体" w:hAnsi="宋体" w:cs="宋体"/>
                <w:sz w:val="24"/>
              </w:rPr>
            </w:pPr>
            <w:r>
              <w:rPr>
                <w:rFonts w:hint="eastAsia" w:ascii="宋体" w:hAnsi="宋体" w:cs="宋体"/>
                <w:sz w:val="24"/>
              </w:rPr>
              <w:t>推荐名单</w:t>
            </w:r>
          </w:p>
        </w:tc>
      </w:tr>
      <w:tr w14:paraId="47A83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2F7B44EC">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联轴器</w:t>
            </w:r>
          </w:p>
        </w:tc>
        <w:tc>
          <w:tcPr>
            <w:tcW w:w="1664" w:type="dxa"/>
            <w:vAlign w:val="center"/>
          </w:tcPr>
          <w:p w14:paraId="73461335">
            <w:pPr>
              <w:widowControl/>
              <w:autoSpaceDE w:val="0"/>
              <w:autoSpaceDN w:val="0"/>
              <w:adjustRightInd w:val="0"/>
              <w:snapToGrid w:val="0"/>
              <w:textAlignment w:val="bottom"/>
              <w:rPr>
                <w:rFonts w:hint="eastAsia" w:ascii="宋体" w:hAnsi="宋体" w:eastAsia="宋体" w:cs="宋体"/>
                <w:szCs w:val="21"/>
              </w:rPr>
            </w:pPr>
          </w:p>
        </w:tc>
        <w:tc>
          <w:tcPr>
            <w:tcW w:w="6407" w:type="dxa"/>
            <w:vAlign w:val="center"/>
          </w:tcPr>
          <w:p w14:paraId="6C7C7715">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无锡创明传动工程有限公司</w:t>
            </w:r>
          </w:p>
        </w:tc>
      </w:tr>
      <w:tr w14:paraId="54E29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37FF4471">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电机</w:t>
            </w:r>
          </w:p>
        </w:tc>
        <w:tc>
          <w:tcPr>
            <w:tcW w:w="1664" w:type="dxa"/>
            <w:vAlign w:val="center"/>
          </w:tcPr>
          <w:p w14:paraId="3BE5CDBE">
            <w:pPr>
              <w:widowControl/>
              <w:autoSpaceDE w:val="0"/>
              <w:autoSpaceDN w:val="0"/>
              <w:adjustRightInd w:val="0"/>
              <w:snapToGrid w:val="0"/>
              <w:textAlignment w:val="bottom"/>
              <w:rPr>
                <w:rFonts w:hint="eastAsia" w:ascii="宋体" w:hAnsi="宋体" w:eastAsia="宋体" w:cs="宋体"/>
                <w:szCs w:val="21"/>
              </w:rPr>
            </w:pPr>
          </w:p>
        </w:tc>
        <w:tc>
          <w:tcPr>
            <w:tcW w:w="6407" w:type="dxa"/>
            <w:vAlign w:val="center"/>
          </w:tcPr>
          <w:p w14:paraId="277BA293">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fldChar w:fldCharType="begin"/>
            </w:r>
            <w:r>
              <w:rPr>
                <w:rFonts w:hint="eastAsia" w:ascii="宋体" w:hAnsi="宋体" w:eastAsia="宋体" w:cs="宋体"/>
                <w:szCs w:val="21"/>
              </w:rPr>
              <w:instrText xml:space="preserve"> HYPERLINK "http://www.so.com/link?m=awb/JH4P70KiR3SfPDbPHGDr/CWvM5DLUAncwTGJwhXBxwXI8eDxQnocw3zXQk1QM+GPqIKZG+v4PDy8Orzr0N3GoOQD+QUlTtn7Ljufh0v3AwDYOv1OqOg==" \t "https://www.so.com/_blank" </w:instrText>
            </w:r>
            <w:r>
              <w:rPr>
                <w:rFonts w:hint="eastAsia" w:ascii="宋体" w:hAnsi="宋体" w:eastAsia="宋体" w:cs="宋体"/>
                <w:szCs w:val="21"/>
              </w:rPr>
              <w:fldChar w:fldCharType="separate"/>
            </w:r>
            <w:r>
              <w:rPr>
                <w:rFonts w:hint="eastAsia" w:ascii="宋体" w:hAnsi="宋体" w:eastAsia="宋体" w:cs="宋体"/>
                <w:szCs w:val="21"/>
              </w:rPr>
              <w:t>卧龙电气南阳防爆集团股份有限公司</w:t>
            </w:r>
            <w:r>
              <w:rPr>
                <w:rFonts w:hint="eastAsia" w:ascii="宋体" w:hAnsi="宋体" w:eastAsia="宋体" w:cs="宋体"/>
                <w:szCs w:val="21"/>
              </w:rPr>
              <w:fldChar w:fldCharType="end"/>
            </w:r>
            <w:r>
              <w:rPr>
                <w:rFonts w:hint="eastAsia" w:ascii="宋体" w:hAnsi="宋体" w:eastAsia="宋体" w:cs="宋体"/>
                <w:szCs w:val="21"/>
              </w:rPr>
              <w:t>（南阳集团） 、上海电气集团上海电机厂有限公司、无锡东元电机有限公司</w:t>
            </w:r>
          </w:p>
        </w:tc>
      </w:tr>
      <w:tr w14:paraId="56E0E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1555" w:type="dxa"/>
            <w:vAlign w:val="center"/>
          </w:tcPr>
          <w:p w14:paraId="4E7E7117">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欧氯认证氯气专用波纹管截止阀</w:t>
            </w:r>
          </w:p>
        </w:tc>
        <w:tc>
          <w:tcPr>
            <w:tcW w:w="1664" w:type="dxa"/>
            <w:vAlign w:val="center"/>
          </w:tcPr>
          <w:p w14:paraId="16BD5706">
            <w:pPr>
              <w:widowControl/>
              <w:autoSpaceDE w:val="0"/>
              <w:autoSpaceDN w:val="0"/>
              <w:adjustRightInd w:val="0"/>
              <w:snapToGrid w:val="0"/>
              <w:textAlignment w:val="bottom"/>
              <w:rPr>
                <w:rFonts w:hint="eastAsia" w:ascii="宋体" w:hAnsi="宋体" w:eastAsia="宋体" w:cs="宋体"/>
                <w:szCs w:val="21"/>
              </w:rPr>
            </w:pPr>
          </w:p>
        </w:tc>
        <w:tc>
          <w:tcPr>
            <w:tcW w:w="6407" w:type="dxa"/>
            <w:vAlign w:val="center"/>
          </w:tcPr>
          <w:p w14:paraId="24ED893E">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法国德科（Descote）、德国菲尼克斯（Phoenix）、PROVALVE</w:t>
            </w:r>
          </w:p>
        </w:tc>
      </w:tr>
      <w:tr w14:paraId="4F8ADC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27CCAAE5">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油泵</w:t>
            </w:r>
          </w:p>
        </w:tc>
        <w:tc>
          <w:tcPr>
            <w:tcW w:w="1664" w:type="dxa"/>
            <w:vAlign w:val="center"/>
          </w:tcPr>
          <w:p w14:paraId="62E1B1EE">
            <w:pPr>
              <w:widowControl/>
              <w:autoSpaceDE w:val="0"/>
              <w:autoSpaceDN w:val="0"/>
              <w:adjustRightInd w:val="0"/>
              <w:snapToGrid w:val="0"/>
              <w:textAlignment w:val="bottom"/>
              <w:rPr>
                <w:rFonts w:hint="eastAsia" w:ascii="宋体" w:hAnsi="宋体" w:eastAsia="宋体" w:cs="宋体"/>
                <w:szCs w:val="21"/>
              </w:rPr>
            </w:pPr>
          </w:p>
        </w:tc>
        <w:tc>
          <w:tcPr>
            <w:tcW w:w="6407" w:type="dxa"/>
            <w:vAlign w:val="center"/>
          </w:tcPr>
          <w:p w14:paraId="5B9FA0BA">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天津泵业机械集团有限公司、天津华曼泵业集团、代斯米泵业技术（苏州）有限公司</w:t>
            </w:r>
          </w:p>
        </w:tc>
      </w:tr>
      <w:tr w14:paraId="75061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6D99D1AF">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齿轮箱</w:t>
            </w:r>
          </w:p>
        </w:tc>
        <w:tc>
          <w:tcPr>
            <w:tcW w:w="1664" w:type="dxa"/>
            <w:vAlign w:val="center"/>
          </w:tcPr>
          <w:p w14:paraId="13018602">
            <w:pPr>
              <w:widowControl/>
              <w:autoSpaceDE w:val="0"/>
              <w:autoSpaceDN w:val="0"/>
              <w:adjustRightInd w:val="0"/>
              <w:snapToGrid w:val="0"/>
              <w:textAlignment w:val="bottom"/>
              <w:rPr>
                <w:rFonts w:hint="eastAsia" w:ascii="宋体" w:hAnsi="宋体" w:eastAsia="宋体" w:cs="宋体"/>
                <w:szCs w:val="21"/>
              </w:rPr>
            </w:pPr>
          </w:p>
        </w:tc>
        <w:tc>
          <w:tcPr>
            <w:tcW w:w="6407" w:type="dxa"/>
            <w:vAlign w:val="center"/>
          </w:tcPr>
          <w:p w14:paraId="4636E751">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南京高速齿轮制造有限公司、中国机械总院团郑州机械研究所有限公司</w:t>
            </w:r>
          </w:p>
        </w:tc>
      </w:tr>
      <w:tr w14:paraId="404B3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3CF25C75">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不锈钢耐震压力表</w:t>
            </w:r>
          </w:p>
        </w:tc>
        <w:tc>
          <w:tcPr>
            <w:tcW w:w="1664" w:type="dxa"/>
            <w:vAlign w:val="center"/>
          </w:tcPr>
          <w:p w14:paraId="3064C335">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YTN-100H</w:t>
            </w:r>
          </w:p>
        </w:tc>
        <w:tc>
          <w:tcPr>
            <w:tcW w:w="6407" w:type="dxa"/>
            <w:vAlign w:val="center"/>
          </w:tcPr>
          <w:p w14:paraId="0218E59E">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布莱迪仪器仪表有限公司（北京、重庆工厂）、重庆川仪自动化股份有限公司、西安大华仪表有限公司</w:t>
            </w:r>
          </w:p>
        </w:tc>
      </w:tr>
      <w:tr w14:paraId="69235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4A56ED3E">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双金属温度计</w:t>
            </w:r>
          </w:p>
        </w:tc>
        <w:tc>
          <w:tcPr>
            <w:tcW w:w="1664" w:type="dxa"/>
            <w:vAlign w:val="center"/>
          </w:tcPr>
          <w:p w14:paraId="6349F924">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WSS系列</w:t>
            </w:r>
          </w:p>
        </w:tc>
        <w:tc>
          <w:tcPr>
            <w:tcW w:w="6407" w:type="dxa"/>
            <w:vAlign w:val="center"/>
          </w:tcPr>
          <w:p w14:paraId="2D5AE747">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重庆川仪自动化股份有限公司、中环天仪股份有限公司（天津）、杭州富春江仪表科技有限公司</w:t>
            </w:r>
          </w:p>
        </w:tc>
      </w:tr>
      <w:tr w14:paraId="6F148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514BEFC0">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油站液位计</w:t>
            </w:r>
          </w:p>
        </w:tc>
        <w:tc>
          <w:tcPr>
            <w:tcW w:w="1664" w:type="dxa"/>
            <w:vAlign w:val="center"/>
          </w:tcPr>
          <w:p w14:paraId="0661B54A">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ULB系列磁翻板</w:t>
            </w:r>
          </w:p>
        </w:tc>
        <w:tc>
          <w:tcPr>
            <w:tcW w:w="6407" w:type="dxa"/>
            <w:vAlign w:val="center"/>
          </w:tcPr>
          <w:p w14:paraId="297CB7CD">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上海星申仪表有限公司、信东仪器仪表（苏州）股份有限公司、丹东通博电器（集团）有限公司</w:t>
            </w:r>
          </w:p>
        </w:tc>
      </w:tr>
      <w:tr w14:paraId="3631C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6A69B0DF">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油站液位变送器</w:t>
            </w:r>
          </w:p>
        </w:tc>
        <w:tc>
          <w:tcPr>
            <w:tcW w:w="1664" w:type="dxa"/>
            <w:vAlign w:val="center"/>
          </w:tcPr>
          <w:p w14:paraId="56A06F54">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双法兰式 dIIBT4 带表头 智能型HART</w:t>
            </w:r>
          </w:p>
        </w:tc>
        <w:tc>
          <w:tcPr>
            <w:tcW w:w="6407" w:type="dxa"/>
            <w:vAlign w:val="center"/>
          </w:tcPr>
          <w:p w14:paraId="2B83CAE6">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ROSEMOUNT 3051、 EJA E</w:t>
            </w:r>
          </w:p>
        </w:tc>
      </w:tr>
      <w:tr w14:paraId="7F2DB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05B99406">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压力变送器(介质非工艺气)</w:t>
            </w:r>
          </w:p>
        </w:tc>
        <w:tc>
          <w:tcPr>
            <w:tcW w:w="1664" w:type="dxa"/>
            <w:vAlign w:val="center"/>
          </w:tcPr>
          <w:p w14:paraId="172C4812">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dIIBT4 带表头 智能型HART</w:t>
            </w:r>
          </w:p>
        </w:tc>
        <w:tc>
          <w:tcPr>
            <w:tcW w:w="6407" w:type="dxa"/>
            <w:vAlign w:val="center"/>
          </w:tcPr>
          <w:p w14:paraId="19871758">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ROSEMOUNT3051、 EJA</w:t>
            </w:r>
          </w:p>
        </w:tc>
      </w:tr>
      <w:tr w14:paraId="3872F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2B67B099">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压力变送器(介质工艺气)</w:t>
            </w:r>
          </w:p>
        </w:tc>
        <w:tc>
          <w:tcPr>
            <w:tcW w:w="1664" w:type="dxa"/>
            <w:vAlign w:val="center"/>
          </w:tcPr>
          <w:p w14:paraId="113DE3B5">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dIIBT4 带表头 智能型HART,法兰隔膜式</w:t>
            </w:r>
          </w:p>
        </w:tc>
        <w:tc>
          <w:tcPr>
            <w:tcW w:w="6407" w:type="dxa"/>
            <w:vAlign w:val="center"/>
          </w:tcPr>
          <w:p w14:paraId="0E521AA7">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ROSEMOUNT 3051、 EJA E，钽膜片，填充液氟油。</w:t>
            </w:r>
          </w:p>
        </w:tc>
      </w:tr>
      <w:tr w14:paraId="020C6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556550A3">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差压变送器</w:t>
            </w:r>
          </w:p>
        </w:tc>
        <w:tc>
          <w:tcPr>
            <w:tcW w:w="1664" w:type="dxa"/>
            <w:vAlign w:val="center"/>
          </w:tcPr>
          <w:p w14:paraId="28EFF28C">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dIIBT4 带表头 智能型HART</w:t>
            </w:r>
          </w:p>
        </w:tc>
        <w:tc>
          <w:tcPr>
            <w:tcW w:w="6407" w:type="dxa"/>
            <w:vAlign w:val="center"/>
          </w:tcPr>
          <w:p w14:paraId="001FDECC">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ROSEMOUNT 3051、 EJA E</w:t>
            </w:r>
          </w:p>
        </w:tc>
      </w:tr>
      <w:tr w14:paraId="4C555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01351C74">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插入式铂热电阻</w:t>
            </w:r>
          </w:p>
        </w:tc>
        <w:tc>
          <w:tcPr>
            <w:tcW w:w="1664" w:type="dxa"/>
            <w:vAlign w:val="center"/>
          </w:tcPr>
          <w:p w14:paraId="2A62E28A">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WZPK系列 Pt100</w:t>
            </w:r>
          </w:p>
        </w:tc>
        <w:tc>
          <w:tcPr>
            <w:tcW w:w="6407" w:type="dxa"/>
            <w:vAlign w:val="center"/>
          </w:tcPr>
          <w:p w14:paraId="0698EFE5">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重庆川仪自动化股份有限公司、中环天仪股份有限公司（天津）、沈阳振科仪表有限公司、杭州富春江仪表科技有限公司</w:t>
            </w:r>
          </w:p>
        </w:tc>
      </w:tr>
      <w:tr w14:paraId="1CC7F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66CADA35">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埋入式铂热电阻</w:t>
            </w:r>
          </w:p>
        </w:tc>
        <w:tc>
          <w:tcPr>
            <w:tcW w:w="1664" w:type="dxa"/>
            <w:vAlign w:val="center"/>
          </w:tcPr>
          <w:p w14:paraId="1E2E377C">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Pt100 双支</w:t>
            </w:r>
          </w:p>
        </w:tc>
        <w:tc>
          <w:tcPr>
            <w:tcW w:w="6407" w:type="dxa"/>
            <w:vAlign w:val="center"/>
          </w:tcPr>
          <w:p w14:paraId="21E7BC83">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沈阳振科仪表有限公司、杭州富春江仪表科技有限公司、重庆川仪自动化股份有限公司</w:t>
            </w:r>
          </w:p>
        </w:tc>
      </w:tr>
      <w:tr w14:paraId="03A66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225C052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油站压力调节阀</w:t>
            </w:r>
          </w:p>
        </w:tc>
        <w:tc>
          <w:tcPr>
            <w:tcW w:w="1664" w:type="dxa"/>
            <w:vAlign w:val="center"/>
          </w:tcPr>
          <w:p w14:paraId="1E084DDD">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自力式</w:t>
            </w:r>
          </w:p>
        </w:tc>
        <w:tc>
          <w:tcPr>
            <w:tcW w:w="6407" w:type="dxa"/>
            <w:vAlign w:val="center"/>
          </w:tcPr>
          <w:p w14:paraId="1FC1C50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FISHER、MASONEILAN、SAMSON</w:t>
            </w:r>
          </w:p>
        </w:tc>
      </w:tr>
      <w:tr w14:paraId="64632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27696E31">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温控阀</w:t>
            </w:r>
          </w:p>
        </w:tc>
        <w:tc>
          <w:tcPr>
            <w:tcW w:w="1664" w:type="dxa"/>
            <w:vAlign w:val="center"/>
          </w:tcPr>
          <w:p w14:paraId="04AAB623">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自力式</w:t>
            </w:r>
          </w:p>
        </w:tc>
        <w:tc>
          <w:tcPr>
            <w:tcW w:w="6407" w:type="dxa"/>
            <w:vAlign w:val="center"/>
          </w:tcPr>
          <w:p w14:paraId="633EE9A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AMOT、FPE、SAMSON</w:t>
            </w:r>
          </w:p>
        </w:tc>
      </w:tr>
      <w:tr w14:paraId="29FA57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02A12E74">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防喘振调节阀</w:t>
            </w:r>
          </w:p>
        </w:tc>
        <w:tc>
          <w:tcPr>
            <w:tcW w:w="1664" w:type="dxa"/>
            <w:vAlign w:val="center"/>
          </w:tcPr>
          <w:p w14:paraId="7CB68606">
            <w:pPr>
              <w:widowControl/>
              <w:autoSpaceDE w:val="0"/>
              <w:autoSpaceDN w:val="0"/>
              <w:adjustRightInd w:val="0"/>
              <w:snapToGrid w:val="0"/>
              <w:textAlignment w:val="bottom"/>
              <w:rPr>
                <w:rFonts w:hint="eastAsia" w:ascii="宋体" w:hAnsi="宋体" w:eastAsia="宋体" w:cs="宋体"/>
                <w:szCs w:val="21"/>
              </w:rPr>
            </w:pPr>
          </w:p>
        </w:tc>
        <w:tc>
          <w:tcPr>
            <w:tcW w:w="6407" w:type="dxa"/>
            <w:vAlign w:val="center"/>
          </w:tcPr>
          <w:p w14:paraId="28EA4619">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FISHER、MASONEILAN、SAMSON</w:t>
            </w:r>
          </w:p>
        </w:tc>
      </w:tr>
      <w:tr w14:paraId="68A33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41CDEF2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入口导叶执行机构</w:t>
            </w:r>
          </w:p>
        </w:tc>
        <w:tc>
          <w:tcPr>
            <w:tcW w:w="1664" w:type="dxa"/>
            <w:vAlign w:val="center"/>
          </w:tcPr>
          <w:p w14:paraId="7F035080">
            <w:pPr>
              <w:widowControl/>
              <w:autoSpaceDE w:val="0"/>
              <w:autoSpaceDN w:val="0"/>
              <w:adjustRightInd w:val="0"/>
              <w:snapToGrid w:val="0"/>
              <w:textAlignment w:val="bottom"/>
              <w:rPr>
                <w:rFonts w:hint="eastAsia" w:ascii="宋体" w:hAnsi="宋体" w:eastAsia="宋体" w:cs="宋体"/>
                <w:szCs w:val="21"/>
              </w:rPr>
            </w:pPr>
          </w:p>
        </w:tc>
        <w:tc>
          <w:tcPr>
            <w:tcW w:w="6407" w:type="dxa"/>
            <w:vAlign w:val="center"/>
          </w:tcPr>
          <w:p w14:paraId="62646E61">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ITV/FESTO/ARCA（进口）</w:t>
            </w:r>
          </w:p>
        </w:tc>
      </w:tr>
      <w:tr w14:paraId="43069F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78FDE5BF">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孔板</w:t>
            </w:r>
          </w:p>
        </w:tc>
        <w:tc>
          <w:tcPr>
            <w:tcW w:w="1664" w:type="dxa"/>
            <w:vAlign w:val="center"/>
          </w:tcPr>
          <w:p w14:paraId="1E31E937">
            <w:pPr>
              <w:widowControl/>
              <w:autoSpaceDE w:val="0"/>
              <w:autoSpaceDN w:val="0"/>
              <w:adjustRightInd w:val="0"/>
              <w:snapToGrid w:val="0"/>
              <w:textAlignment w:val="bottom"/>
              <w:rPr>
                <w:rFonts w:hint="eastAsia" w:ascii="宋体" w:hAnsi="宋体" w:eastAsia="宋体" w:cs="宋体"/>
                <w:szCs w:val="21"/>
              </w:rPr>
            </w:pPr>
          </w:p>
        </w:tc>
        <w:tc>
          <w:tcPr>
            <w:tcW w:w="6407" w:type="dxa"/>
            <w:vAlign w:val="center"/>
          </w:tcPr>
          <w:p w14:paraId="1DA0A27F">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温州市捷达石化仪表有限公司、丹东通博电器（集团）有限公司、江阴市神州测控设备有限公 司</w:t>
            </w:r>
          </w:p>
        </w:tc>
      </w:tr>
      <w:tr w14:paraId="46165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30914D22">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振动位移仪表</w:t>
            </w:r>
          </w:p>
        </w:tc>
        <w:tc>
          <w:tcPr>
            <w:tcW w:w="1664" w:type="dxa"/>
            <w:vAlign w:val="center"/>
          </w:tcPr>
          <w:p w14:paraId="7460E4D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探头+延伸电缆+振动位移变送器（输出4~20mA）</w:t>
            </w:r>
          </w:p>
        </w:tc>
        <w:tc>
          <w:tcPr>
            <w:tcW w:w="6407" w:type="dxa"/>
            <w:vAlign w:val="center"/>
          </w:tcPr>
          <w:p w14:paraId="5D2C0E91">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本特利BENTLY</w:t>
            </w:r>
          </w:p>
        </w:tc>
      </w:tr>
      <w:tr w14:paraId="60874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1E985ABA">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水含量分析仪</w:t>
            </w:r>
          </w:p>
        </w:tc>
        <w:tc>
          <w:tcPr>
            <w:tcW w:w="1664" w:type="dxa"/>
            <w:vAlign w:val="center"/>
          </w:tcPr>
          <w:p w14:paraId="525697FA">
            <w:pPr>
              <w:widowControl/>
              <w:autoSpaceDE w:val="0"/>
              <w:autoSpaceDN w:val="0"/>
              <w:adjustRightInd w:val="0"/>
              <w:snapToGrid w:val="0"/>
              <w:textAlignment w:val="bottom"/>
              <w:rPr>
                <w:rFonts w:hint="eastAsia" w:ascii="宋体" w:hAnsi="宋体" w:eastAsia="宋体" w:cs="宋体"/>
                <w:szCs w:val="21"/>
              </w:rPr>
            </w:pPr>
          </w:p>
        </w:tc>
        <w:tc>
          <w:tcPr>
            <w:tcW w:w="6407" w:type="dxa"/>
            <w:vAlign w:val="center"/>
          </w:tcPr>
          <w:p w14:paraId="25C75447">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英国仕富梅Servomex、梅特勒托利多科技（中国）有限公司、聚光科技(杭州)股份有限公司</w:t>
            </w:r>
          </w:p>
        </w:tc>
      </w:tr>
      <w:tr w14:paraId="34CF3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73F67244">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油站和机组底座内仪表安 装材料</w:t>
            </w:r>
          </w:p>
        </w:tc>
        <w:tc>
          <w:tcPr>
            <w:tcW w:w="1664" w:type="dxa"/>
            <w:vAlign w:val="center"/>
          </w:tcPr>
          <w:p w14:paraId="66319A2C">
            <w:pPr>
              <w:widowControl/>
              <w:autoSpaceDE w:val="0"/>
              <w:autoSpaceDN w:val="0"/>
              <w:adjustRightInd w:val="0"/>
              <w:snapToGrid w:val="0"/>
              <w:textAlignment w:val="bottom"/>
              <w:rPr>
                <w:rFonts w:hint="eastAsia" w:ascii="宋体" w:hAnsi="宋体" w:eastAsia="宋体" w:cs="宋体"/>
                <w:szCs w:val="21"/>
              </w:rPr>
            </w:pPr>
          </w:p>
        </w:tc>
        <w:tc>
          <w:tcPr>
            <w:tcW w:w="6407" w:type="dxa"/>
            <w:vAlign w:val="center"/>
          </w:tcPr>
          <w:p w14:paraId="12676AA1">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接线箱：华荣科技股份有限公司、新黎明科技股份有限公司、创正电气股份有限公司，仪表管阀件：国产</w:t>
            </w:r>
          </w:p>
        </w:tc>
      </w:tr>
      <w:tr w14:paraId="6197F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5D5931C8">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PLC控制器</w:t>
            </w:r>
          </w:p>
        </w:tc>
        <w:tc>
          <w:tcPr>
            <w:tcW w:w="1664" w:type="dxa"/>
            <w:vAlign w:val="center"/>
          </w:tcPr>
          <w:p w14:paraId="233EA840">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S7-1500系列</w:t>
            </w:r>
          </w:p>
        </w:tc>
        <w:tc>
          <w:tcPr>
            <w:tcW w:w="6407" w:type="dxa"/>
            <w:vAlign w:val="center"/>
          </w:tcPr>
          <w:p w14:paraId="03F8457B">
            <w:pPr>
              <w:widowControl/>
              <w:autoSpaceDE w:val="0"/>
              <w:autoSpaceDN w:val="0"/>
              <w:adjustRightInd w:val="0"/>
              <w:snapToGrid w:val="0"/>
              <w:textAlignment w:val="bottom"/>
              <w:rPr>
                <w:rFonts w:hint="eastAsia" w:ascii="宋体" w:hAnsi="宋体" w:eastAsia="宋体" w:cs="宋体"/>
                <w:szCs w:val="21"/>
              </w:rPr>
            </w:pPr>
            <w:r>
              <w:rPr>
                <w:rFonts w:hint="eastAsia" w:ascii="宋体" w:hAnsi="宋体" w:eastAsia="宋体" w:cs="宋体"/>
                <w:szCs w:val="21"/>
              </w:rPr>
              <w:t>西门子 触摸屏 西门子15寸户外型</w:t>
            </w:r>
          </w:p>
        </w:tc>
      </w:tr>
      <w:tr w14:paraId="65F27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3DF3CA6B">
            <w:pPr>
              <w:widowControl/>
              <w:autoSpaceDE w:val="0"/>
              <w:autoSpaceDN w:val="0"/>
              <w:adjustRightInd w:val="0"/>
              <w:snapToGrid w:val="0"/>
              <w:textAlignment w:val="bottom"/>
              <w:rPr>
                <w:rFonts w:ascii="宋体" w:hAnsi="宋体" w:cs="宋体"/>
                <w:sz w:val="24"/>
              </w:rPr>
            </w:pPr>
            <w:r>
              <w:rPr>
                <w:rFonts w:hint="eastAsia" w:ascii="宋体" w:hAnsi="宋体" w:cs="宋体"/>
                <w:sz w:val="24"/>
              </w:rPr>
              <w:t>继电器</w:t>
            </w:r>
          </w:p>
        </w:tc>
        <w:tc>
          <w:tcPr>
            <w:tcW w:w="1664" w:type="dxa"/>
            <w:vAlign w:val="center"/>
          </w:tcPr>
          <w:p w14:paraId="1B28E1C0">
            <w:pPr>
              <w:widowControl/>
              <w:autoSpaceDE w:val="0"/>
              <w:autoSpaceDN w:val="0"/>
              <w:adjustRightInd w:val="0"/>
              <w:snapToGrid w:val="0"/>
              <w:textAlignment w:val="bottom"/>
              <w:rPr>
                <w:rFonts w:ascii="宋体" w:hAnsi="宋体" w:cs="宋体"/>
                <w:sz w:val="24"/>
              </w:rPr>
            </w:pPr>
          </w:p>
        </w:tc>
        <w:tc>
          <w:tcPr>
            <w:tcW w:w="6407" w:type="dxa"/>
            <w:vAlign w:val="center"/>
          </w:tcPr>
          <w:p w14:paraId="429B3F53">
            <w:pPr>
              <w:widowControl/>
              <w:autoSpaceDE w:val="0"/>
              <w:autoSpaceDN w:val="0"/>
              <w:adjustRightInd w:val="0"/>
              <w:snapToGrid w:val="0"/>
              <w:textAlignment w:val="bottom"/>
              <w:rPr>
                <w:rFonts w:ascii="宋体" w:hAnsi="宋体" w:cs="宋体"/>
                <w:szCs w:val="21"/>
              </w:rPr>
            </w:pPr>
            <w:r>
              <w:rPr>
                <w:rFonts w:hint="eastAsia" w:ascii="宋体" w:hAnsi="宋体" w:cs="宋体"/>
                <w:szCs w:val="21"/>
              </w:rPr>
              <w:t>OMRON、施耐德</w:t>
            </w:r>
            <w:r>
              <w:rPr>
                <w:rFonts w:ascii="Arial" w:hAnsi="Arial" w:cs="Arial"/>
                <w:sz w:val="20"/>
                <w:szCs w:val="20"/>
                <w:shd w:val="clear" w:color="auto" w:fill="FFFFFF"/>
              </w:rPr>
              <w:t>(</w:t>
            </w:r>
            <w:r>
              <w:rPr>
                <w:rStyle w:val="83"/>
                <w:rFonts w:ascii="Arial" w:hAnsi="Arial" w:cs="Arial"/>
                <w:color w:val="auto"/>
                <w:sz w:val="20"/>
                <w:szCs w:val="20"/>
                <w:shd w:val="clear" w:color="auto" w:fill="FFFFFF"/>
              </w:rPr>
              <w:t>Schneider</w:t>
            </w:r>
            <w:r>
              <w:rPr>
                <w:rFonts w:ascii="Arial" w:hAnsi="Arial" w:cs="Arial"/>
                <w:sz w:val="20"/>
                <w:szCs w:val="20"/>
                <w:shd w:val="clear" w:color="auto" w:fill="FFFFFF"/>
              </w:rPr>
              <w:t> )</w:t>
            </w:r>
            <w:r>
              <w:rPr>
                <w:rFonts w:hint="eastAsia" w:ascii="宋体" w:hAnsi="宋体" w:cs="宋体"/>
                <w:szCs w:val="21"/>
              </w:rPr>
              <w:t>、ABB</w:t>
            </w:r>
          </w:p>
        </w:tc>
      </w:tr>
      <w:tr w14:paraId="0B849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04511DEE">
            <w:pPr>
              <w:widowControl/>
              <w:autoSpaceDE w:val="0"/>
              <w:autoSpaceDN w:val="0"/>
              <w:adjustRightInd w:val="0"/>
              <w:snapToGrid w:val="0"/>
              <w:textAlignment w:val="bottom"/>
              <w:rPr>
                <w:rFonts w:ascii="宋体" w:hAnsi="宋体" w:cs="宋体"/>
                <w:sz w:val="24"/>
              </w:rPr>
            </w:pPr>
            <w:r>
              <w:rPr>
                <w:rFonts w:hint="eastAsia" w:ascii="宋体" w:hAnsi="宋体" w:cs="宋体"/>
                <w:sz w:val="24"/>
              </w:rPr>
              <w:t>断路器</w:t>
            </w:r>
          </w:p>
          <w:p w14:paraId="77086045">
            <w:pPr>
              <w:widowControl/>
              <w:autoSpaceDE w:val="0"/>
              <w:autoSpaceDN w:val="0"/>
              <w:adjustRightInd w:val="0"/>
              <w:snapToGrid w:val="0"/>
              <w:textAlignment w:val="bottom"/>
              <w:rPr>
                <w:rFonts w:ascii="宋体" w:hAnsi="宋体" w:cs="宋体"/>
                <w:sz w:val="24"/>
              </w:rPr>
            </w:pPr>
          </w:p>
        </w:tc>
        <w:tc>
          <w:tcPr>
            <w:tcW w:w="1664" w:type="dxa"/>
            <w:vAlign w:val="center"/>
          </w:tcPr>
          <w:p w14:paraId="5E5CF92A">
            <w:pPr>
              <w:widowControl/>
              <w:autoSpaceDE w:val="0"/>
              <w:autoSpaceDN w:val="0"/>
              <w:adjustRightInd w:val="0"/>
              <w:snapToGrid w:val="0"/>
              <w:textAlignment w:val="bottom"/>
              <w:rPr>
                <w:rFonts w:ascii="宋体" w:hAnsi="宋体" w:cs="宋体"/>
                <w:sz w:val="24"/>
              </w:rPr>
            </w:pPr>
          </w:p>
        </w:tc>
        <w:tc>
          <w:tcPr>
            <w:tcW w:w="6407" w:type="dxa"/>
            <w:vAlign w:val="center"/>
          </w:tcPr>
          <w:p w14:paraId="627A3EFB">
            <w:pPr>
              <w:widowControl/>
              <w:autoSpaceDE w:val="0"/>
              <w:autoSpaceDN w:val="0"/>
              <w:adjustRightInd w:val="0"/>
              <w:snapToGrid w:val="0"/>
              <w:textAlignment w:val="bottom"/>
              <w:rPr>
                <w:rFonts w:ascii="宋体" w:hAnsi="宋体" w:cs="宋体"/>
                <w:szCs w:val="21"/>
              </w:rPr>
            </w:pPr>
            <w:r>
              <w:rPr>
                <w:rFonts w:hint="eastAsia" w:ascii="宋体" w:hAnsi="宋体" w:cs="宋体"/>
                <w:szCs w:val="21"/>
              </w:rPr>
              <w:t>OMRON、施耐德</w:t>
            </w:r>
            <w:r>
              <w:rPr>
                <w:rFonts w:ascii="Arial" w:hAnsi="Arial" w:cs="Arial"/>
                <w:sz w:val="20"/>
                <w:szCs w:val="20"/>
                <w:shd w:val="clear" w:color="auto" w:fill="FFFFFF"/>
              </w:rPr>
              <w:t>(</w:t>
            </w:r>
            <w:r>
              <w:rPr>
                <w:rStyle w:val="83"/>
                <w:rFonts w:ascii="Arial" w:hAnsi="Arial" w:cs="Arial"/>
                <w:color w:val="auto"/>
                <w:sz w:val="20"/>
                <w:szCs w:val="20"/>
                <w:shd w:val="clear" w:color="auto" w:fill="FFFFFF"/>
              </w:rPr>
              <w:t>Schneider</w:t>
            </w:r>
            <w:r>
              <w:rPr>
                <w:rFonts w:ascii="Arial" w:hAnsi="Arial" w:cs="Arial"/>
                <w:sz w:val="20"/>
                <w:szCs w:val="20"/>
                <w:shd w:val="clear" w:color="auto" w:fill="FFFFFF"/>
              </w:rPr>
              <w:t> )</w:t>
            </w:r>
            <w:r>
              <w:rPr>
                <w:rFonts w:hint="eastAsia" w:ascii="宋体" w:hAnsi="宋体" w:cs="宋体"/>
                <w:szCs w:val="21"/>
              </w:rPr>
              <w:t>、ABB</w:t>
            </w:r>
          </w:p>
        </w:tc>
      </w:tr>
      <w:tr w14:paraId="5901A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704B6267">
            <w:pPr>
              <w:widowControl/>
              <w:autoSpaceDE w:val="0"/>
              <w:autoSpaceDN w:val="0"/>
              <w:adjustRightInd w:val="0"/>
              <w:snapToGrid w:val="0"/>
              <w:textAlignment w:val="bottom"/>
              <w:rPr>
                <w:rFonts w:ascii="宋体" w:hAnsi="宋体" w:cs="宋体"/>
                <w:sz w:val="24"/>
              </w:rPr>
            </w:pPr>
            <w:r>
              <w:rPr>
                <w:rFonts w:hint="eastAsia" w:ascii="宋体" w:hAnsi="宋体" w:cs="宋体"/>
                <w:sz w:val="24"/>
              </w:rPr>
              <w:t>端子排</w:t>
            </w:r>
          </w:p>
          <w:p w14:paraId="3F5DD0AB">
            <w:pPr>
              <w:widowControl/>
              <w:autoSpaceDE w:val="0"/>
              <w:autoSpaceDN w:val="0"/>
              <w:adjustRightInd w:val="0"/>
              <w:snapToGrid w:val="0"/>
              <w:textAlignment w:val="bottom"/>
              <w:rPr>
                <w:rFonts w:ascii="宋体" w:hAnsi="宋体" w:cs="宋体"/>
                <w:sz w:val="24"/>
              </w:rPr>
            </w:pPr>
          </w:p>
        </w:tc>
        <w:tc>
          <w:tcPr>
            <w:tcW w:w="1664" w:type="dxa"/>
            <w:vAlign w:val="center"/>
          </w:tcPr>
          <w:p w14:paraId="18C41895">
            <w:pPr>
              <w:widowControl/>
              <w:autoSpaceDE w:val="0"/>
              <w:autoSpaceDN w:val="0"/>
              <w:adjustRightInd w:val="0"/>
              <w:snapToGrid w:val="0"/>
              <w:textAlignment w:val="bottom"/>
              <w:rPr>
                <w:rFonts w:ascii="宋体" w:hAnsi="宋体" w:cs="宋体"/>
                <w:sz w:val="24"/>
              </w:rPr>
            </w:pPr>
          </w:p>
        </w:tc>
        <w:tc>
          <w:tcPr>
            <w:tcW w:w="6407" w:type="dxa"/>
            <w:vAlign w:val="center"/>
          </w:tcPr>
          <w:p w14:paraId="1ABB6A26">
            <w:pPr>
              <w:widowControl/>
              <w:autoSpaceDE w:val="0"/>
              <w:autoSpaceDN w:val="0"/>
              <w:adjustRightInd w:val="0"/>
              <w:snapToGrid w:val="0"/>
              <w:textAlignment w:val="bottom"/>
              <w:rPr>
                <w:rFonts w:ascii="宋体" w:hAnsi="宋体" w:cs="宋体"/>
                <w:szCs w:val="21"/>
              </w:rPr>
            </w:pPr>
            <w:r>
              <w:rPr>
                <w:rFonts w:hint="eastAsia" w:ascii="宋体" w:hAnsi="宋体" w:cs="宋体"/>
                <w:szCs w:val="21"/>
              </w:rPr>
              <w:t>魏德米勒</w:t>
            </w:r>
            <w:r>
              <w:rPr>
                <w:rFonts w:ascii="宋体" w:hAnsi="宋体" w:cs="宋体"/>
                <w:szCs w:val="21"/>
              </w:rPr>
              <w:t>weidmueller</w:t>
            </w:r>
            <w:r>
              <w:rPr>
                <w:rFonts w:hint="eastAsia" w:ascii="宋体" w:hAnsi="宋体" w:cs="宋体"/>
                <w:szCs w:val="21"/>
              </w:rPr>
              <w:t>、菲尼克斯</w:t>
            </w:r>
            <w:r>
              <w:rPr>
                <w:rFonts w:hint="eastAsia" w:ascii="微软雅黑" w:hAnsi="微软雅黑" w:eastAsia="微软雅黑"/>
                <w:szCs w:val="21"/>
                <w:shd w:val="clear" w:color="auto" w:fill="FFFFFF"/>
              </w:rPr>
              <w:t>phoenix</w:t>
            </w:r>
            <w:r>
              <w:rPr>
                <w:rFonts w:hint="eastAsia" w:ascii="宋体" w:hAnsi="宋体" w:cs="宋体"/>
                <w:szCs w:val="21"/>
              </w:rPr>
              <w:t>、</w:t>
            </w:r>
            <w:r>
              <w:rPr>
                <w:rFonts w:ascii="宋体" w:hAnsi="宋体" w:cs="宋体"/>
                <w:bCs/>
                <w:szCs w:val="21"/>
              </w:rPr>
              <w:t>万可</w:t>
            </w:r>
            <w:r>
              <w:rPr>
                <w:rFonts w:hint="eastAsia" w:ascii="宋体" w:hAnsi="宋体" w:cs="宋体"/>
                <w:bCs/>
                <w:szCs w:val="21"/>
              </w:rPr>
              <w:t>W</w:t>
            </w:r>
            <w:r>
              <w:rPr>
                <w:rFonts w:ascii="宋体" w:hAnsi="宋体" w:cs="宋体"/>
                <w:bCs/>
                <w:szCs w:val="21"/>
              </w:rPr>
              <w:t>AGO</w:t>
            </w:r>
          </w:p>
        </w:tc>
      </w:tr>
      <w:tr w14:paraId="6C48F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vAlign w:val="center"/>
          </w:tcPr>
          <w:p w14:paraId="6848A567">
            <w:pPr>
              <w:widowControl/>
              <w:autoSpaceDE w:val="0"/>
              <w:autoSpaceDN w:val="0"/>
              <w:adjustRightInd w:val="0"/>
              <w:snapToGrid w:val="0"/>
              <w:textAlignment w:val="bottom"/>
              <w:rPr>
                <w:rFonts w:ascii="宋体" w:hAnsi="宋体" w:cs="宋体"/>
                <w:sz w:val="24"/>
              </w:rPr>
            </w:pPr>
            <w:r>
              <w:rPr>
                <w:rFonts w:hint="eastAsia" w:ascii="宋体" w:hAnsi="宋体" w:cs="宋体"/>
                <w:sz w:val="24"/>
              </w:rPr>
              <w:t>交换机</w:t>
            </w:r>
          </w:p>
        </w:tc>
        <w:tc>
          <w:tcPr>
            <w:tcW w:w="1664" w:type="dxa"/>
            <w:vAlign w:val="center"/>
          </w:tcPr>
          <w:p w14:paraId="29AD1398">
            <w:pPr>
              <w:widowControl/>
              <w:autoSpaceDE w:val="0"/>
              <w:autoSpaceDN w:val="0"/>
              <w:adjustRightInd w:val="0"/>
              <w:snapToGrid w:val="0"/>
              <w:textAlignment w:val="bottom"/>
              <w:rPr>
                <w:rFonts w:ascii="宋体" w:hAnsi="宋体" w:cs="宋体"/>
                <w:sz w:val="24"/>
              </w:rPr>
            </w:pPr>
          </w:p>
        </w:tc>
        <w:tc>
          <w:tcPr>
            <w:tcW w:w="6407" w:type="dxa"/>
            <w:vAlign w:val="center"/>
          </w:tcPr>
          <w:p w14:paraId="287E3FC4">
            <w:pPr>
              <w:widowControl/>
              <w:autoSpaceDE w:val="0"/>
              <w:autoSpaceDN w:val="0"/>
              <w:adjustRightInd w:val="0"/>
              <w:snapToGrid w:val="0"/>
              <w:textAlignment w:val="bottom"/>
              <w:rPr>
                <w:rFonts w:ascii="宋体" w:hAnsi="宋体" w:cs="宋体"/>
                <w:szCs w:val="21"/>
              </w:rPr>
            </w:pPr>
            <w:r>
              <w:rPr>
                <w:rFonts w:hint="eastAsia" w:ascii="宋体" w:hAnsi="宋体" w:cs="宋体"/>
                <w:szCs w:val="21"/>
              </w:rPr>
              <w:t>魏德米勒</w:t>
            </w:r>
            <w:r>
              <w:rPr>
                <w:rFonts w:ascii="宋体" w:hAnsi="宋体" w:cs="宋体"/>
                <w:szCs w:val="21"/>
              </w:rPr>
              <w:t>weidmueller</w:t>
            </w:r>
            <w:r>
              <w:rPr>
                <w:rFonts w:hint="eastAsia" w:ascii="宋体" w:hAnsi="宋体" w:cs="宋体"/>
                <w:szCs w:val="21"/>
              </w:rPr>
              <w:t>、</w:t>
            </w:r>
            <w:r>
              <w:rPr>
                <w:rFonts w:ascii="Arial" w:hAnsi="Arial" w:cs="Arial"/>
                <w:sz w:val="22"/>
                <w:szCs w:val="22"/>
                <w:shd w:val="clear" w:color="auto" w:fill="FFFFFF"/>
              </w:rPr>
              <w:t>‌</w:t>
            </w:r>
            <w:r>
              <w:rPr>
                <w:rFonts w:ascii="宋体" w:hAnsi="宋体" w:cs="宋体"/>
                <w:bCs/>
                <w:szCs w:val="21"/>
              </w:rPr>
              <w:t>赫思曼</w:t>
            </w:r>
            <w:r>
              <w:rPr>
                <w:rStyle w:val="83"/>
                <w:rFonts w:ascii="Arial" w:hAnsi="Arial" w:cs="Arial"/>
                <w:color w:val="auto"/>
                <w:shd w:val="clear" w:color="auto" w:fill="FFFFFF"/>
              </w:rPr>
              <w:t>hirschmann</w:t>
            </w:r>
            <w:r>
              <w:rPr>
                <w:rFonts w:hint="eastAsia" w:ascii="宋体" w:hAnsi="宋体" w:cs="宋体"/>
                <w:szCs w:val="21"/>
              </w:rPr>
              <w:t>、菲尼克斯</w:t>
            </w:r>
            <w:r>
              <w:rPr>
                <w:rFonts w:hint="eastAsia" w:ascii="微软雅黑" w:hAnsi="微软雅黑" w:eastAsia="微软雅黑"/>
                <w:szCs w:val="21"/>
                <w:shd w:val="clear" w:color="auto" w:fill="FFFFFF"/>
              </w:rPr>
              <w:t>phoenix</w:t>
            </w:r>
          </w:p>
        </w:tc>
      </w:tr>
    </w:tbl>
    <w:p w14:paraId="21AB462C">
      <w:pPr>
        <w:adjustRightInd w:val="0"/>
        <w:snapToGrid w:val="0"/>
        <w:spacing w:line="360" w:lineRule="auto"/>
        <w:outlineLvl w:val="0"/>
        <w:rPr>
          <w:rFonts w:asciiTheme="majorEastAsia" w:hAnsiTheme="majorEastAsia" w:eastAsiaTheme="majorEastAsia"/>
          <w:bCs/>
          <w:sz w:val="28"/>
          <w:szCs w:val="28"/>
        </w:rPr>
      </w:pPr>
    </w:p>
    <w:p w14:paraId="6B39E8BF">
      <w:pPr>
        <w:adjustRightInd w:val="0"/>
        <w:snapToGrid w:val="0"/>
        <w:spacing w:line="360" w:lineRule="auto"/>
        <w:outlineLvl w:val="0"/>
        <w:rPr>
          <w:rFonts w:asciiTheme="majorEastAsia" w:hAnsiTheme="majorEastAsia" w:eastAsiaTheme="majorEastAsia"/>
          <w:bCs/>
          <w:sz w:val="28"/>
          <w:szCs w:val="28"/>
        </w:rPr>
      </w:pPr>
      <w:r>
        <w:rPr>
          <w:rFonts w:asciiTheme="majorEastAsia" w:hAnsiTheme="majorEastAsia" w:eastAsiaTheme="majorEastAsia"/>
          <w:bCs/>
          <w:sz w:val="28"/>
          <w:szCs w:val="28"/>
        </w:rPr>
        <w:t>8.</w:t>
      </w:r>
      <w:bookmarkStart w:id="152" w:name="OLE_LINK3"/>
      <w:r>
        <w:rPr>
          <w:rFonts w:asciiTheme="majorEastAsia" w:hAnsiTheme="majorEastAsia" w:eastAsiaTheme="majorEastAsia"/>
          <w:bCs/>
          <w:sz w:val="28"/>
          <w:szCs w:val="28"/>
        </w:rPr>
        <w:t>设计制造检验标准</w:t>
      </w:r>
      <w:bookmarkEnd w:id="151"/>
    </w:p>
    <w:p w14:paraId="19665D2C">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离心压缩机</w:t>
      </w:r>
      <w:bookmarkEnd w:id="152"/>
      <w:r>
        <w:rPr>
          <w:rFonts w:hint="eastAsia" w:ascii="宋体" w:hAnsi="宋体" w:cs="宋体"/>
          <w:sz w:val="24"/>
        </w:rPr>
        <w:t>：</w:t>
      </w:r>
    </w:p>
    <w:p w14:paraId="08FA9675">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API617-20</w:t>
      </w:r>
      <w:r>
        <w:rPr>
          <w:rFonts w:ascii="宋体" w:hAnsi="宋体" w:cs="宋体"/>
          <w:sz w:val="24"/>
        </w:rPr>
        <w:t>22</w:t>
      </w:r>
      <w:r>
        <w:rPr>
          <w:rFonts w:hint="eastAsia" w:ascii="宋体" w:hAnsi="宋体" w:cs="宋体"/>
          <w:sz w:val="24"/>
        </w:rPr>
        <w:t>《石油、化学和气体工业用轴流、离心压缩机及膨胀机-压缩机》。</w:t>
      </w:r>
    </w:p>
    <w:p w14:paraId="501CF190">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润滑油系统：</w:t>
      </w:r>
    </w:p>
    <w:p w14:paraId="6A60FE5A">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API614-</w:t>
      </w:r>
      <w:r>
        <w:rPr>
          <w:rFonts w:ascii="宋体" w:hAnsi="宋体" w:cs="宋体"/>
          <w:sz w:val="24"/>
        </w:rPr>
        <w:t>2022</w:t>
      </w:r>
      <w:r>
        <w:rPr>
          <w:rFonts w:hint="eastAsia" w:ascii="宋体" w:hAnsi="宋体" w:cs="宋体"/>
          <w:sz w:val="24"/>
        </w:rPr>
        <w:t xml:space="preserve">《润滑、轴密封和控制油系统及辅助设备》。  </w:t>
      </w:r>
    </w:p>
    <w:p w14:paraId="4DBF814F">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TSG 21-2016《压力容器安全技术监察规程》。</w:t>
      </w:r>
    </w:p>
    <w:p w14:paraId="6FD2B899">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旋转泵执行API676-</w:t>
      </w:r>
      <w:r>
        <w:rPr>
          <w:rFonts w:ascii="宋体" w:hAnsi="宋体" w:cs="宋体"/>
          <w:sz w:val="24"/>
        </w:rPr>
        <w:t>2022</w:t>
      </w:r>
      <w:r>
        <w:rPr>
          <w:rFonts w:hint="eastAsia" w:ascii="宋体" w:hAnsi="宋体" w:cs="宋体"/>
          <w:sz w:val="24"/>
        </w:rPr>
        <w:t>《旋转式正排量泵》。</w:t>
      </w:r>
    </w:p>
    <w:p w14:paraId="3BEF0B9E">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压力容器：</w:t>
      </w:r>
    </w:p>
    <w:p w14:paraId="3E720AD1">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GB/T 151-2014《管壳式换热器》（含第1号修改单）。</w:t>
      </w:r>
    </w:p>
    <w:p w14:paraId="36E8BEF3">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GB/T 150.1~GB150.4-20</w:t>
      </w:r>
      <w:r>
        <w:rPr>
          <w:rFonts w:ascii="宋体" w:hAnsi="宋体" w:cs="宋体"/>
          <w:sz w:val="24"/>
        </w:rPr>
        <w:t>24</w:t>
      </w:r>
      <w:r>
        <w:rPr>
          <w:rFonts w:hint="eastAsia" w:ascii="宋体" w:hAnsi="宋体" w:cs="宋体"/>
          <w:sz w:val="24"/>
        </w:rPr>
        <w:t>《压力容器》。</w:t>
      </w:r>
    </w:p>
    <w:p w14:paraId="796546DD">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TSG 21-2016《压力容器安全技术监察规程》。</w:t>
      </w:r>
    </w:p>
    <w:p w14:paraId="1E35E183">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xml:space="preserve">■ </w:t>
      </w:r>
      <w:r>
        <w:rPr>
          <w:rFonts w:ascii="宋体" w:hAnsi="宋体" w:cs="宋体"/>
          <w:bCs/>
          <w:sz w:val="24"/>
        </w:rPr>
        <w:t>NB/T 47042-2014《卧式容器》</w:t>
      </w:r>
      <w:r>
        <w:rPr>
          <w:rFonts w:hint="eastAsia" w:ascii="宋体" w:hAnsi="宋体" w:cs="宋体"/>
          <w:sz w:val="24"/>
        </w:rPr>
        <w:t>。</w:t>
      </w:r>
    </w:p>
    <w:p w14:paraId="0166F019">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xml:space="preserve">■ </w:t>
      </w:r>
      <w:r>
        <w:rPr>
          <w:rFonts w:ascii="宋体" w:hAnsi="宋体" w:cs="宋体"/>
          <w:bCs/>
          <w:sz w:val="24"/>
        </w:rPr>
        <w:t>NB/T 47007-2010（JB/T 4758）《空冷式热交换器》</w:t>
      </w:r>
      <w:r>
        <w:rPr>
          <w:rFonts w:hint="eastAsia" w:ascii="宋体" w:hAnsi="宋体" w:cs="宋体"/>
          <w:sz w:val="24"/>
        </w:rPr>
        <w:t>。</w:t>
      </w:r>
    </w:p>
    <w:p w14:paraId="0CFAA302">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 xml:space="preserve">齿轮箱标准： </w:t>
      </w:r>
    </w:p>
    <w:p w14:paraId="270F0B4C">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xml:space="preserve">■ </w:t>
      </w:r>
      <w:bookmarkStart w:id="153" w:name="OLE_LINK11"/>
      <w:bookmarkStart w:id="154" w:name="OLE_LINK12"/>
      <w:r>
        <w:rPr>
          <w:rFonts w:ascii="宋体" w:hAnsi="宋体" w:cs="宋体"/>
          <w:bCs/>
          <w:sz w:val="24"/>
        </w:rPr>
        <w:t>API STD 613-2021</w:t>
      </w:r>
      <w:r>
        <w:rPr>
          <w:rFonts w:hint="eastAsia" w:ascii="宋体" w:hAnsi="宋体" w:cs="宋体"/>
          <w:sz w:val="24"/>
        </w:rPr>
        <w:t xml:space="preserve"> 《用于石油、化工及气体工业的专用齿轮装置》</w:t>
      </w:r>
      <w:bookmarkEnd w:id="153"/>
      <w:bookmarkEnd w:id="154"/>
      <w:r>
        <w:rPr>
          <w:rFonts w:hint="eastAsia" w:ascii="宋体" w:hAnsi="宋体" w:cs="宋体"/>
          <w:sz w:val="24"/>
        </w:rPr>
        <w:t>。</w:t>
      </w:r>
    </w:p>
    <w:p w14:paraId="45F7F127">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 xml:space="preserve"> 电动机</w:t>
      </w:r>
    </w:p>
    <w:p w14:paraId="79F18639">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GB/T755-2019《旋转电机 定额和性能》。</w:t>
      </w:r>
    </w:p>
    <w:p w14:paraId="3279C56F">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GB3836.1-2021《爆炸性环境 第1部分：设备通用要求》。</w:t>
      </w:r>
    </w:p>
    <w:p w14:paraId="1E0D193F">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GB3836.2-2021《爆炸性环境 第2部分：由隔爆外壳“d” 保护的设备》。</w:t>
      </w:r>
    </w:p>
    <w:p w14:paraId="26F4FA5E">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GB3836.3-2021《爆炸性环境 第3部分：由增安型“e”保护的设备》。</w:t>
      </w:r>
    </w:p>
    <w:p w14:paraId="4687BA67">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GB3836.4-2021《爆炸性环境 第4部分：由本质安全型“i”保护的设备》。</w:t>
      </w:r>
    </w:p>
    <w:p w14:paraId="1F80BA6F">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GB3836.5-2021《爆炸性环境 第5部分：由正压外壳“p”保护的设备》。</w:t>
      </w:r>
    </w:p>
    <w:p w14:paraId="67DEC6FC">
      <w:pPr>
        <w:widowControl/>
        <w:autoSpaceDE w:val="0"/>
        <w:autoSpaceDN w:val="0"/>
        <w:snapToGrid w:val="0"/>
        <w:spacing w:line="360" w:lineRule="auto"/>
        <w:ind w:firstLine="480" w:firstLineChars="200"/>
        <w:textAlignment w:val="bottom"/>
        <w:rPr>
          <w:rFonts w:cs="宋体"/>
          <w:b/>
          <w:bCs/>
          <w:sz w:val="24"/>
        </w:rPr>
      </w:pPr>
      <w:r>
        <w:rPr>
          <w:rFonts w:hint="eastAsia" w:ascii="宋体" w:hAnsi="宋体" w:cs="宋体"/>
          <w:sz w:val="24"/>
        </w:rPr>
        <w:t xml:space="preserve">■ </w:t>
      </w:r>
      <w:bookmarkStart w:id="155" w:name="OLE_LINK13"/>
      <w:bookmarkStart w:id="156" w:name="OLE_LINK14"/>
      <w:r>
        <w:rPr>
          <w:rFonts w:ascii="宋体" w:hAnsi="宋体" w:cs="宋体"/>
          <w:sz w:val="24"/>
        </w:rPr>
        <w:t>GB 30254-2024</w:t>
      </w:r>
      <w:r>
        <w:rPr>
          <w:rFonts w:hint="eastAsia" w:ascii="宋体" w:hAnsi="宋体" w:cs="宋体"/>
          <w:sz w:val="24"/>
        </w:rPr>
        <w:t>《高压三相笼型异步电动机能效定值及能效等级》</w:t>
      </w:r>
      <w:bookmarkEnd w:id="155"/>
      <w:bookmarkEnd w:id="156"/>
      <w:r>
        <w:rPr>
          <w:rFonts w:hint="eastAsia" w:ascii="宋体" w:hAnsi="宋体" w:cs="宋体"/>
          <w:sz w:val="24"/>
        </w:rPr>
        <w:t>。</w:t>
      </w:r>
    </w:p>
    <w:p w14:paraId="26A58E5C">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GB18613-2020《电动机能效限定值及能效等级》</w:t>
      </w:r>
    </w:p>
    <w:p w14:paraId="74B68237">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联轴器：</w:t>
      </w:r>
    </w:p>
    <w:p w14:paraId="5EDBC796">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xml:space="preserve">■ </w:t>
      </w:r>
      <w:bookmarkStart w:id="157" w:name="OLE_LINK16"/>
      <w:bookmarkStart w:id="158" w:name="OLE_LINK15"/>
      <w:r>
        <w:rPr>
          <w:rFonts w:ascii="宋体" w:hAnsi="宋体" w:cs="宋体"/>
          <w:bCs/>
          <w:sz w:val="24"/>
        </w:rPr>
        <w:t>API STD 671-2022</w:t>
      </w:r>
      <w:r>
        <w:rPr>
          <w:rFonts w:hint="eastAsia" w:ascii="宋体" w:hAnsi="宋体" w:cs="宋体"/>
          <w:sz w:val="24"/>
        </w:rPr>
        <w:t>《石油、化学和气体工业用特殊用途联轴器》</w:t>
      </w:r>
      <w:bookmarkEnd w:id="157"/>
      <w:bookmarkEnd w:id="158"/>
      <w:r>
        <w:rPr>
          <w:rFonts w:hint="eastAsia" w:ascii="宋体" w:hAnsi="宋体" w:cs="宋体"/>
          <w:sz w:val="24"/>
        </w:rPr>
        <w:t>。</w:t>
      </w:r>
    </w:p>
    <w:p w14:paraId="420330DD">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非接触式轴位移、轴振动测量系统：</w:t>
      </w:r>
    </w:p>
    <w:p w14:paraId="2C436227">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xml:space="preserve">■ </w:t>
      </w:r>
      <w:bookmarkStart w:id="159" w:name="OLE_LINK17"/>
      <w:bookmarkStart w:id="160" w:name="OLE_LINK18"/>
      <w:r>
        <w:rPr>
          <w:rFonts w:ascii="宋体" w:hAnsi="宋体" w:cs="宋体"/>
          <w:bCs/>
          <w:sz w:val="24"/>
        </w:rPr>
        <w:t>API STD 670-2022</w:t>
      </w:r>
      <w:r>
        <w:rPr>
          <w:rFonts w:hint="eastAsia" w:ascii="宋体" w:hAnsi="宋体" w:cs="宋体"/>
          <w:sz w:val="24"/>
        </w:rPr>
        <w:t>《机组保护系统》</w:t>
      </w:r>
      <w:bookmarkEnd w:id="159"/>
      <w:bookmarkEnd w:id="160"/>
      <w:r>
        <w:rPr>
          <w:rFonts w:hint="eastAsia" w:ascii="宋体" w:hAnsi="宋体" w:cs="宋体"/>
          <w:sz w:val="24"/>
        </w:rPr>
        <w:t>。</w:t>
      </w:r>
    </w:p>
    <w:p w14:paraId="6B5A7CBB">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噪声标准：</w:t>
      </w:r>
    </w:p>
    <w:p w14:paraId="77BF072A">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SH/T3024-2017《石油化工企业环境保护设计规范》。</w:t>
      </w:r>
    </w:p>
    <w:p w14:paraId="0275F506">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电器仪表设备：</w:t>
      </w:r>
    </w:p>
    <w:p w14:paraId="6B7E6523">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API 670-2014《振动、轴位移和轴承温度监测系统》</w:t>
      </w:r>
    </w:p>
    <w:p w14:paraId="5BDF0275">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HG/T 20505-2014《过程检测和控制系统用文字代号和图形符号》</w:t>
      </w:r>
    </w:p>
    <w:p w14:paraId="43CC3A13">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HG/T 20511-2014《信号报警及联锁系统设计规范》</w:t>
      </w:r>
    </w:p>
    <w:p w14:paraId="4022DA63">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SH/T 3005-2016《石油化工自动化仪表选型设计规范》</w:t>
      </w:r>
    </w:p>
    <w:p w14:paraId="4C9C59E2">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GB/T 50770-2013《石油化工安全仪表系统设计规范》</w:t>
      </w:r>
    </w:p>
    <w:p w14:paraId="7D6608BD">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SH/T 3019-2016《石油化工仪表管道线路设计规范》</w:t>
      </w:r>
    </w:p>
    <w:p w14:paraId="419A3BB9">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xml:space="preserve">■ SH/T 3081-2019《石油化工仪表接地设计规范》 </w:t>
      </w:r>
    </w:p>
    <w:p w14:paraId="4F8C30C7">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xml:space="preserve">■ SH/T 3082-2019《石油化工仪表供电设计规范》          </w:t>
      </w:r>
    </w:p>
    <w:p w14:paraId="0E77017A">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xml:space="preserve">■ SH/T 3092-2013《石油化工分散控制系统设计规范》            </w:t>
      </w:r>
    </w:p>
    <w:p w14:paraId="03E57AA3">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xml:space="preserve">■ SHB-Z03-1995《过程用二进制逻辑图》                     </w:t>
      </w:r>
    </w:p>
    <w:p w14:paraId="4684E67C">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xml:space="preserve">■ SHB-Z06-1999《石油化工紧急停车及安全联锁系统设计导则》   </w:t>
      </w:r>
    </w:p>
    <w:p w14:paraId="2DBA8DB8">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xml:space="preserve">■ GB 50058-2014《爆炸危害环境电力装置设计规范》           </w:t>
      </w:r>
    </w:p>
    <w:p w14:paraId="63DF1E26">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xml:space="preserve">■ GB/T 3836.1-2021《爆炸性环境用防爆电气设备  通用要求》  </w:t>
      </w:r>
    </w:p>
    <w:p w14:paraId="7CB53B70">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xml:space="preserve">■ GB/T 3836.2-2021《爆炸性环境用防爆电气设备  隔爆型电气设备“d ”》 </w:t>
      </w:r>
    </w:p>
    <w:p w14:paraId="043FCFFD">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GB/T 3836.3-2021《爆炸性环境用防爆电气设备  增安型电气设备“e ”》</w:t>
      </w:r>
    </w:p>
    <w:p w14:paraId="52ACE5A8">
      <w:pPr>
        <w:widowControl/>
        <w:autoSpaceDE w:val="0"/>
        <w:autoSpaceDN w:val="0"/>
        <w:snapToGrid w:val="0"/>
        <w:spacing w:line="360" w:lineRule="auto"/>
        <w:ind w:firstLine="480"/>
        <w:textAlignment w:val="bottom"/>
        <w:rPr>
          <w:rFonts w:ascii="宋体" w:hAnsi="宋体" w:cs="宋体"/>
          <w:sz w:val="24"/>
        </w:rPr>
      </w:pPr>
      <w:r>
        <w:rPr>
          <w:rFonts w:hint="eastAsia" w:ascii="宋体" w:hAnsi="宋体" w:cs="宋体"/>
          <w:sz w:val="24"/>
        </w:rPr>
        <w:t>■ GB/T 3836.4-2021《爆炸性环境用防爆电气设备  本质安全型电气设备“i ”》</w:t>
      </w:r>
    </w:p>
    <w:p w14:paraId="01AC1C5E">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性能试验标准和规范：</w:t>
      </w:r>
    </w:p>
    <w:p w14:paraId="5EEF02E7">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■ASME-PTC-10-1997《压缩机和排气机的性能测试规范》。</w:t>
      </w:r>
    </w:p>
    <w:p w14:paraId="5C92F8C8">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■JB/T 3165-1999《离心和轴流式鼓风机和压缩机热力性能试验》。</w:t>
      </w:r>
    </w:p>
    <w:p w14:paraId="05EE85DC">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转子动平衡试验标准：</w:t>
      </w:r>
    </w:p>
    <w:p w14:paraId="5EC30103">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API617-2014《石油、化学和气体工业用轴流、离心压缩机及膨胀机-压缩机》。</w:t>
      </w:r>
    </w:p>
    <w:p w14:paraId="415D7DD8">
      <w:pPr>
        <w:widowControl/>
        <w:autoSpaceDE w:val="0"/>
        <w:autoSpaceDN w:val="0"/>
        <w:snapToGrid w:val="0"/>
        <w:spacing w:line="360" w:lineRule="auto"/>
        <w:ind w:firstLine="480" w:firstLineChars="200"/>
        <w:textAlignment w:val="bottom"/>
        <w:rPr>
          <w:rFonts w:ascii="宋体" w:hAnsi="宋体" w:cs="宋体"/>
          <w:sz w:val="24"/>
        </w:rPr>
      </w:pPr>
      <w:r>
        <w:rPr>
          <w:rFonts w:hint="eastAsia" w:ascii="宋体" w:hAnsi="宋体" w:cs="宋体"/>
          <w:sz w:val="24"/>
        </w:rPr>
        <w:t>■ ISO 21940-1-2003《机械振动-刚性转子的平衡质量要求-第一部分：平衡公差的规范和检定》</w:t>
      </w:r>
    </w:p>
    <w:p w14:paraId="76770330">
      <w:pPr>
        <w:widowControl/>
        <w:numPr>
          <w:ilvl w:val="1"/>
          <w:numId w:val="29"/>
        </w:numPr>
        <w:autoSpaceDE w:val="0"/>
        <w:autoSpaceDN w:val="0"/>
        <w:snapToGrid w:val="0"/>
        <w:spacing w:line="360" w:lineRule="auto"/>
        <w:textAlignment w:val="bottom"/>
        <w:rPr>
          <w:rFonts w:ascii="宋体" w:hAnsi="宋体" w:cs="宋体"/>
          <w:sz w:val="24"/>
        </w:rPr>
      </w:pPr>
      <w:r>
        <w:rPr>
          <w:rFonts w:hint="eastAsia" w:ascii="宋体" w:hAnsi="宋体" w:cs="宋体"/>
          <w:sz w:val="24"/>
        </w:rPr>
        <w:t xml:space="preserve">标准优先原则：当不同文件发生矛盾时，其优先原则是： </w:t>
      </w:r>
    </w:p>
    <w:p w14:paraId="1851785B">
      <w:pPr>
        <w:widowControl/>
        <w:numPr>
          <w:ilvl w:val="0"/>
          <w:numId w:val="30"/>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合同后的会议纪要、招投标双方确认后的传真；</w:t>
      </w:r>
    </w:p>
    <w:p w14:paraId="2787DC3A">
      <w:pPr>
        <w:widowControl/>
        <w:numPr>
          <w:ilvl w:val="0"/>
          <w:numId w:val="30"/>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商务合同及技术附件；</w:t>
      </w:r>
    </w:p>
    <w:p w14:paraId="5F8D1841">
      <w:pPr>
        <w:widowControl/>
        <w:numPr>
          <w:ilvl w:val="0"/>
          <w:numId w:val="30"/>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询价文件；</w:t>
      </w:r>
    </w:p>
    <w:p w14:paraId="0796764F">
      <w:pPr>
        <w:widowControl/>
        <w:numPr>
          <w:ilvl w:val="0"/>
          <w:numId w:val="30"/>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API标准和其他标准及规范；</w:t>
      </w:r>
    </w:p>
    <w:p w14:paraId="59D571C1">
      <w:pPr>
        <w:numPr>
          <w:ilvl w:val="0"/>
          <w:numId w:val="30"/>
        </w:numPr>
        <w:autoSpaceDE w:val="0"/>
        <w:autoSpaceDN w:val="0"/>
        <w:adjustRightInd w:val="0"/>
        <w:snapToGrid w:val="0"/>
        <w:spacing w:line="360" w:lineRule="auto"/>
        <w:ind w:firstLine="0"/>
        <w:jc w:val="left"/>
        <w:rPr>
          <w:rFonts w:ascii="宋体" w:hAnsi="宋体" w:cs="宋体"/>
          <w:sz w:val="24"/>
        </w:rPr>
      </w:pPr>
      <w:r>
        <w:rPr>
          <w:rFonts w:hint="eastAsia" w:ascii="宋体" w:hAnsi="宋体" w:cs="宋体"/>
          <w:sz w:val="24"/>
        </w:rPr>
        <w:t>有利于设备安稳长满优运行。</w:t>
      </w:r>
    </w:p>
    <w:p w14:paraId="0790893C">
      <w:pPr>
        <w:adjustRightInd w:val="0"/>
        <w:snapToGrid w:val="0"/>
        <w:spacing w:line="360" w:lineRule="auto"/>
        <w:outlineLvl w:val="0"/>
        <w:rPr>
          <w:rFonts w:asciiTheme="majorEastAsia" w:hAnsiTheme="majorEastAsia" w:eastAsiaTheme="majorEastAsia"/>
          <w:b/>
          <w:bCs/>
          <w:sz w:val="28"/>
          <w:szCs w:val="28"/>
        </w:rPr>
      </w:pPr>
      <w:bookmarkStart w:id="161" w:name="_Toc195433164"/>
      <w:r>
        <w:rPr>
          <w:rFonts w:asciiTheme="majorEastAsia" w:hAnsiTheme="majorEastAsia" w:eastAsiaTheme="majorEastAsia"/>
          <w:b/>
          <w:bCs/>
          <w:sz w:val="28"/>
          <w:szCs w:val="28"/>
        </w:rPr>
        <w:t>9.检测与检验要求</w:t>
      </w:r>
      <w:bookmarkEnd w:id="161"/>
      <w:r>
        <w:rPr>
          <w:rFonts w:asciiTheme="majorEastAsia" w:hAnsiTheme="majorEastAsia" w:eastAsiaTheme="majorEastAsia"/>
          <w:b/>
          <w:bCs/>
          <w:sz w:val="28"/>
          <w:szCs w:val="28"/>
        </w:rPr>
        <w:t xml:space="preserve"> </w:t>
      </w:r>
    </w:p>
    <w:p w14:paraId="432C30B4">
      <w:pPr>
        <w:numPr>
          <w:ilvl w:val="2"/>
          <w:numId w:val="31"/>
        </w:numPr>
        <w:spacing w:line="360" w:lineRule="auto"/>
        <w:rPr>
          <w:rFonts w:ascii="宋体" w:hAnsi="宋体" w:cs="宋体"/>
          <w:sz w:val="24"/>
        </w:rPr>
      </w:pPr>
      <w:r>
        <w:rPr>
          <w:rFonts w:hint="eastAsia" w:ascii="宋体" w:hAnsi="宋体" w:cs="宋体"/>
          <w:sz w:val="24"/>
        </w:rPr>
        <w:t>压缩机组检验项目</w:t>
      </w:r>
    </w:p>
    <w:p w14:paraId="149DB8C6">
      <w:pPr>
        <w:numPr>
          <w:ilvl w:val="0"/>
          <w:numId w:val="32"/>
        </w:numPr>
        <w:snapToGrid w:val="0"/>
        <w:spacing w:line="360" w:lineRule="auto"/>
        <w:ind w:left="420"/>
        <w:jc w:val="left"/>
        <w:rPr>
          <w:rFonts w:ascii="宋体" w:hAnsi="宋体" w:cs="宋体"/>
          <w:sz w:val="24"/>
        </w:rPr>
      </w:pPr>
      <w:r>
        <w:rPr>
          <w:rFonts w:hint="eastAsia" w:ascii="宋体" w:hAnsi="宋体" w:cs="宋体"/>
          <w:sz w:val="24"/>
        </w:rPr>
        <w:t>离心压缩机</w:t>
      </w: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13"/>
        <w:gridCol w:w="7670"/>
      </w:tblGrid>
      <w:tr w14:paraId="6BA8D2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3" w:type="dxa"/>
            <w:vAlign w:val="center"/>
          </w:tcPr>
          <w:p w14:paraId="3C2B4900">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名称</w:t>
            </w:r>
          </w:p>
        </w:tc>
        <w:tc>
          <w:tcPr>
            <w:tcW w:w="7670" w:type="dxa"/>
            <w:vAlign w:val="center"/>
          </w:tcPr>
          <w:p w14:paraId="6E720301">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检查项目</w:t>
            </w:r>
          </w:p>
        </w:tc>
      </w:tr>
      <w:tr w14:paraId="43E15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3" w:type="dxa"/>
            <w:vAlign w:val="center"/>
          </w:tcPr>
          <w:p w14:paraId="2F87A8CB">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壳体</w:t>
            </w:r>
          </w:p>
        </w:tc>
        <w:tc>
          <w:tcPr>
            <w:tcW w:w="7670" w:type="dxa"/>
            <w:vAlign w:val="center"/>
          </w:tcPr>
          <w:p w14:paraId="217BE2D5">
            <w:pPr>
              <w:widowControl/>
              <w:autoSpaceDE w:val="0"/>
              <w:autoSpaceDN w:val="0"/>
              <w:adjustRightInd w:val="0"/>
              <w:snapToGrid w:val="0"/>
              <w:textAlignment w:val="bottom"/>
              <w:rPr>
                <w:rFonts w:ascii="宋体" w:hAnsi="宋体" w:cs="宋体"/>
                <w:sz w:val="24"/>
              </w:rPr>
            </w:pPr>
            <w:r>
              <w:rPr>
                <w:rFonts w:hint="eastAsia" w:ascii="宋体" w:hAnsi="宋体" w:cs="宋体"/>
                <w:sz w:val="24"/>
              </w:rPr>
              <w:t>化学成分、机械性能、焊缝进行X射线探伤（机壳及风筒对接焊缝）、焊缝进行超声波探伤、焊缝进行着色检查</w:t>
            </w:r>
          </w:p>
        </w:tc>
      </w:tr>
      <w:tr w14:paraId="78290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3" w:type="dxa"/>
            <w:vAlign w:val="center"/>
          </w:tcPr>
          <w:p w14:paraId="1BE18981">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隔板</w:t>
            </w:r>
          </w:p>
        </w:tc>
        <w:tc>
          <w:tcPr>
            <w:tcW w:w="7670" w:type="dxa"/>
            <w:vAlign w:val="center"/>
          </w:tcPr>
          <w:p w14:paraId="749DDD97">
            <w:pPr>
              <w:widowControl/>
              <w:autoSpaceDE w:val="0"/>
              <w:autoSpaceDN w:val="0"/>
              <w:adjustRightInd w:val="0"/>
              <w:snapToGrid w:val="0"/>
              <w:textAlignment w:val="bottom"/>
              <w:rPr>
                <w:rFonts w:ascii="宋体" w:hAnsi="宋体" w:cs="宋体"/>
                <w:sz w:val="24"/>
              </w:rPr>
            </w:pPr>
            <w:r>
              <w:rPr>
                <w:rFonts w:hint="eastAsia" w:ascii="宋体" w:hAnsi="宋体" w:cs="宋体"/>
                <w:sz w:val="24"/>
              </w:rPr>
              <w:t>化学成分、机械性能</w:t>
            </w:r>
          </w:p>
        </w:tc>
      </w:tr>
      <w:tr w14:paraId="2D3E1C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3" w:type="dxa"/>
            <w:vAlign w:val="center"/>
          </w:tcPr>
          <w:p w14:paraId="37FF3D23">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主轴</w:t>
            </w:r>
          </w:p>
        </w:tc>
        <w:tc>
          <w:tcPr>
            <w:tcW w:w="7670" w:type="dxa"/>
            <w:vAlign w:val="center"/>
          </w:tcPr>
          <w:p w14:paraId="46466300">
            <w:pPr>
              <w:widowControl/>
              <w:autoSpaceDE w:val="0"/>
              <w:autoSpaceDN w:val="0"/>
              <w:adjustRightInd w:val="0"/>
              <w:snapToGrid w:val="0"/>
              <w:textAlignment w:val="bottom"/>
              <w:rPr>
                <w:rFonts w:ascii="宋体" w:hAnsi="宋体" w:cs="宋体"/>
                <w:sz w:val="24"/>
              </w:rPr>
            </w:pPr>
            <w:r>
              <w:rPr>
                <w:rFonts w:hint="eastAsia" w:ascii="宋体" w:hAnsi="宋体" w:cs="宋体"/>
                <w:sz w:val="24"/>
              </w:rPr>
              <w:t>化学成分、机械性能、超声波探伤、磁粉探伤</w:t>
            </w:r>
          </w:p>
        </w:tc>
      </w:tr>
      <w:tr w14:paraId="1DD37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3" w:type="dxa"/>
            <w:vAlign w:val="center"/>
          </w:tcPr>
          <w:p w14:paraId="4A07D398">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叶轮</w:t>
            </w:r>
          </w:p>
        </w:tc>
        <w:tc>
          <w:tcPr>
            <w:tcW w:w="7670" w:type="dxa"/>
            <w:vAlign w:val="center"/>
          </w:tcPr>
          <w:p w14:paraId="792D1411">
            <w:pPr>
              <w:widowControl/>
              <w:autoSpaceDE w:val="0"/>
              <w:autoSpaceDN w:val="0"/>
              <w:adjustRightInd w:val="0"/>
              <w:snapToGrid w:val="0"/>
              <w:textAlignment w:val="bottom"/>
              <w:rPr>
                <w:rFonts w:ascii="宋体" w:hAnsi="宋体" w:cs="宋体"/>
                <w:sz w:val="24"/>
              </w:rPr>
            </w:pPr>
            <w:r>
              <w:rPr>
                <w:rFonts w:hint="eastAsia" w:ascii="宋体" w:hAnsi="宋体" w:cs="宋体"/>
                <w:sz w:val="24"/>
              </w:rPr>
              <w:t>化学成分、机械性能、超声波探伤、磁粉探伤、着色检查</w:t>
            </w:r>
          </w:p>
        </w:tc>
      </w:tr>
      <w:tr w14:paraId="41FD82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3" w:type="dxa"/>
            <w:vAlign w:val="center"/>
          </w:tcPr>
          <w:p w14:paraId="4D0464BA">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转子</w:t>
            </w:r>
          </w:p>
        </w:tc>
        <w:tc>
          <w:tcPr>
            <w:tcW w:w="7670" w:type="dxa"/>
            <w:vAlign w:val="center"/>
          </w:tcPr>
          <w:p w14:paraId="5E4BC661">
            <w:pPr>
              <w:widowControl/>
              <w:autoSpaceDE w:val="0"/>
              <w:autoSpaceDN w:val="0"/>
              <w:adjustRightInd w:val="0"/>
              <w:snapToGrid w:val="0"/>
              <w:textAlignment w:val="bottom"/>
              <w:rPr>
                <w:rFonts w:ascii="宋体" w:hAnsi="宋体" w:cs="宋体"/>
                <w:sz w:val="24"/>
              </w:rPr>
            </w:pPr>
            <w:r>
              <w:rPr>
                <w:rFonts w:hint="eastAsia" w:ascii="宋体" w:hAnsi="宋体" w:cs="宋体"/>
                <w:sz w:val="24"/>
              </w:rPr>
              <w:t>电跳动检查、机械跳动检查</w:t>
            </w:r>
          </w:p>
        </w:tc>
      </w:tr>
      <w:tr w14:paraId="1EB14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3" w:type="dxa"/>
            <w:vAlign w:val="center"/>
          </w:tcPr>
          <w:p w14:paraId="36AC6514">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主机</w:t>
            </w:r>
          </w:p>
        </w:tc>
        <w:tc>
          <w:tcPr>
            <w:tcW w:w="7670" w:type="dxa"/>
            <w:vAlign w:val="center"/>
          </w:tcPr>
          <w:p w14:paraId="226C5167">
            <w:pPr>
              <w:widowControl/>
              <w:autoSpaceDE w:val="0"/>
              <w:autoSpaceDN w:val="0"/>
              <w:adjustRightInd w:val="0"/>
              <w:snapToGrid w:val="0"/>
              <w:textAlignment w:val="bottom"/>
              <w:rPr>
                <w:rFonts w:ascii="宋体" w:hAnsi="宋体" w:cs="宋体"/>
                <w:sz w:val="24"/>
              </w:rPr>
            </w:pPr>
            <w:r>
              <w:rPr>
                <w:rFonts w:hint="eastAsia" w:ascii="宋体" w:hAnsi="宋体" w:cs="宋体"/>
                <w:sz w:val="24"/>
              </w:rPr>
              <w:t>定子和转子间隙检查、转子轴向串动检查</w:t>
            </w:r>
          </w:p>
        </w:tc>
      </w:tr>
    </w:tbl>
    <w:p w14:paraId="69571D88">
      <w:pPr>
        <w:numPr>
          <w:ilvl w:val="0"/>
          <w:numId w:val="32"/>
        </w:numPr>
        <w:snapToGrid w:val="0"/>
        <w:spacing w:line="360" w:lineRule="auto"/>
        <w:ind w:left="420"/>
        <w:jc w:val="left"/>
        <w:rPr>
          <w:rFonts w:ascii="宋体" w:hAnsi="宋体" w:cs="宋体"/>
          <w:sz w:val="24"/>
        </w:rPr>
      </w:pPr>
      <w:r>
        <w:rPr>
          <w:rFonts w:hint="eastAsia" w:ascii="宋体" w:hAnsi="宋体" w:cs="宋体"/>
          <w:sz w:val="24"/>
        </w:rPr>
        <w:t>润滑油系统</w:t>
      </w:r>
    </w:p>
    <w:tbl>
      <w:tblPr>
        <w:tblStyle w:val="76"/>
        <w:tblW w:w="4903" w:type="pct"/>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2"/>
        <w:gridCol w:w="7718"/>
      </w:tblGrid>
      <w:tr w14:paraId="498B4C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14:paraId="7A4A89AA">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名称</w:t>
            </w:r>
          </w:p>
        </w:tc>
        <w:tc>
          <w:tcPr>
            <w:tcW w:w="3949" w:type="pct"/>
            <w:vAlign w:val="center"/>
          </w:tcPr>
          <w:p w14:paraId="093687AD">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检查项目</w:t>
            </w:r>
          </w:p>
        </w:tc>
      </w:tr>
      <w:tr w14:paraId="7D6C2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14:paraId="17714A78">
            <w:pPr>
              <w:widowControl/>
              <w:autoSpaceDE w:val="0"/>
              <w:autoSpaceDN w:val="0"/>
              <w:adjustRightInd w:val="0"/>
              <w:snapToGrid w:val="0"/>
              <w:textAlignment w:val="bottom"/>
              <w:rPr>
                <w:rFonts w:ascii="宋体" w:hAnsi="宋体" w:cs="宋体"/>
                <w:sz w:val="24"/>
              </w:rPr>
            </w:pPr>
            <w:r>
              <w:rPr>
                <w:rFonts w:hint="eastAsia" w:ascii="宋体" w:hAnsi="宋体" w:cs="宋体"/>
                <w:sz w:val="24"/>
              </w:rPr>
              <w:t>油箱</w:t>
            </w:r>
          </w:p>
        </w:tc>
        <w:tc>
          <w:tcPr>
            <w:tcW w:w="3949" w:type="pct"/>
            <w:vAlign w:val="center"/>
          </w:tcPr>
          <w:p w14:paraId="4ECB8AB4">
            <w:pPr>
              <w:widowControl/>
              <w:autoSpaceDE w:val="0"/>
              <w:autoSpaceDN w:val="0"/>
              <w:adjustRightInd w:val="0"/>
              <w:snapToGrid w:val="0"/>
              <w:textAlignment w:val="bottom"/>
              <w:rPr>
                <w:rFonts w:ascii="宋体" w:hAnsi="宋体" w:cs="宋体"/>
                <w:sz w:val="24"/>
              </w:rPr>
            </w:pPr>
            <w:r>
              <w:rPr>
                <w:rFonts w:hint="eastAsia" w:ascii="宋体" w:hAnsi="宋体" w:cs="宋体"/>
                <w:sz w:val="24"/>
              </w:rPr>
              <w:t>材料一致性检验、尺寸检验、清洁度检验、外观检验</w:t>
            </w:r>
          </w:p>
        </w:tc>
      </w:tr>
      <w:tr w14:paraId="47943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14:paraId="0E474F54">
            <w:pPr>
              <w:widowControl/>
              <w:autoSpaceDE w:val="0"/>
              <w:autoSpaceDN w:val="0"/>
              <w:adjustRightInd w:val="0"/>
              <w:snapToGrid w:val="0"/>
              <w:textAlignment w:val="bottom"/>
              <w:rPr>
                <w:rFonts w:ascii="宋体" w:hAnsi="宋体" w:cs="宋体"/>
                <w:sz w:val="24"/>
              </w:rPr>
            </w:pPr>
            <w:r>
              <w:rPr>
                <w:rFonts w:hint="eastAsia" w:ascii="宋体" w:hAnsi="宋体" w:cs="宋体"/>
                <w:sz w:val="24"/>
              </w:rPr>
              <w:t>高位油箱</w:t>
            </w:r>
          </w:p>
        </w:tc>
        <w:tc>
          <w:tcPr>
            <w:tcW w:w="3949" w:type="pct"/>
            <w:vAlign w:val="center"/>
          </w:tcPr>
          <w:p w14:paraId="32558702">
            <w:pPr>
              <w:widowControl/>
              <w:autoSpaceDE w:val="0"/>
              <w:autoSpaceDN w:val="0"/>
              <w:adjustRightInd w:val="0"/>
              <w:snapToGrid w:val="0"/>
              <w:textAlignment w:val="bottom"/>
              <w:rPr>
                <w:rFonts w:ascii="宋体" w:hAnsi="宋体" w:cs="宋体"/>
                <w:sz w:val="24"/>
              </w:rPr>
            </w:pPr>
            <w:r>
              <w:rPr>
                <w:rFonts w:hint="eastAsia" w:ascii="宋体" w:hAnsi="宋体" w:cs="宋体"/>
                <w:sz w:val="24"/>
              </w:rPr>
              <w:t>材料一致性检验、尺寸检验、清洁度检验、外观检验</w:t>
            </w:r>
          </w:p>
        </w:tc>
      </w:tr>
      <w:tr w14:paraId="6DC6D9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14:paraId="3F3D2B54">
            <w:pPr>
              <w:widowControl/>
              <w:autoSpaceDE w:val="0"/>
              <w:autoSpaceDN w:val="0"/>
              <w:adjustRightInd w:val="0"/>
              <w:snapToGrid w:val="0"/>
              <w:textAlignment w:val="bottom"/>
              <w:rPr>
                <w:rFonts w:ascii="宋体" w:hAnsi="宋体" w:cs="宋体"/>
                <w:sz w:val="24"/>
              </w:rPr>
            </w:pPr>
            <w:r>
              <w:rPr>
                <w:rFonts w:hint="eastAsia" w:ascii="宋体" w:hAnsi="宋体" w:cs="宋体"/>
                <w:sz w:val="24"/>
              </w:rPr>
              <w:t>底座</w:t>
            </w:r>
          </w:p>
        </w:tc>
        <w:tc>
          <w:tcPr>
            <w:tcW w:w="3949" w:type="pct"/>
            <w:vAlign w:val="center"/>
          </w:tcPr>
          <w:p w14:paraId="2A039732">
            <w:pPr>
              <w:widowControl/>
              <w:autoSpaceDE w:val="0"/>
              <w:autoSpaceDN w:val="0"/>
              <w:adjustRightInd w:val="0"/>
              <w:snapToGrid w:val="0"/>
              <w:textAlignment w:val="bottom"/>
              <w:rPr>
                <w:rFonts w:ascii="宋体" w:hAnsi="宋体" w:cs="宋体"/>
                <w:sz w:val="24"/>
              </w:rPr>
            </w:pPr>
            <w:r>
              <w:rPr>
                <w:rFonts w:hint="eastAsia" w:ascii="宋体" w:hAnsi="宋体" w:cs="宋体"/>
                <w:sz w:val="24"/>
              </w:rPr>
              <w:t>材料一致性检验、尺寸检验、外观检验</w:t>
            </w:r>
          </w:p>
        </w:tc>
      </w:tr>
      <w:tr w14:paraId="1634C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14:paraId="63D462E5">
            <w:pPr>
              <w:widowControl/>
              <w:autoSpaceDE w:val="0"/>
              <w:autoSpaceDN w:val="0"/>
              <w:adjustRightInd w:val="0"/>
              <w:snapToGrid w:val="0"/>
              <w:textAlignment w:val="bottom"/>
              <w:rPr>
                <w:rFonts w:ascii="宋体" w:hAnsi="宋体" w:cs="宋体"/>
                <w:sz w:val="24"/>
              </w:rPr>
            </w:pPr>
            <w:r>
              <w:rPr>
                <w:rFonts w:hint="eastAsia" w:ascii="宋体" w:hAnsi="宋体" w:cs="宋体"/>
                <w:sz w:val="24"/>
              </w:rPr>
              <w:t>油冷却器</w:t>
            </w:r>
          </w:p>
        </w:tc>
        <w:tc>
          <w:tcPr>
            <w:tcW w:w="3949" w:type="pct"/>
            <w:vAlign w:val="center"/>
          </w:tcPr>
          <w:p w14:paraId="00E880C9">
            <w:pPr>
              <w:widowControl/>
              <w:autoSpaceDE w:val="0"/>
              <w:autoSpaceDN w:val="0"/>
              <w:adjustRightInd w:val="0"/>
              <w:snapToGrid w:val="0"/>
              <w:textAlignment w:val="bottom"/>
              <w:rPr>
                <w:rFonts w:ascii="宋体" w:hAnsi="宋体" w:cs="宋体"/>
                <w:sz w:val="24"/>
              </w:rPr>
            </w:pPr>
            <w:r>
              <w:rPr>
                <w:rFonts w:hint="eastAsia" w:ascii="宋体" w:hAnsi="宋体" w:cs="宋体"/>
                <w:sz w:val="24"/>
              </w:rPr>
              <w:t>尺寸检验、外观检验、清洁度检验</w:t>
            </w:r>
          </w:p>
        </w:tc>
      </w:tr>
      <w:tr w14:paraId="5F172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14:paraId="54E9645D">
            <w:pPr>
              <w:widowControl/>
              <w:autoSpaceDE w:val="0"/>
              <w:autoSpaceDN w:val="0"/>
              <w:adjustRightInd w:val="0"/>
              <w:snapToGrid w:val="0"/>
              <w:textAlignment w:val="bottom"/>
              <w:rPr>
                <w:rFonts w:ascii="宋体" w:hAnsi="宋体" w:cs="宋体"/>
                <w:sz w:val="24"/>
              </w:rPr>
            </w:pPr>
            <w:r>
              <w:rPr>
                <w:rFonts w:hint="eastAsia" w:ascii="宋体" w:hAnsi="宋体" w:cs="宋体"/>
                <w:sz w:val="24"/>
              </w:rPr>
              <w:t>油过滤器</w:t>
            </w:r>
          </w:p>
        </w:tc>
        <w:tc>
          <w:tcPr>
            <w:tcW w:w="3949" w:type="pct"/>
            <w:vAlign w:val="center"/>
          </w:tcPr>
          <w:p w14:paraId="125731EF">
            <w:pPr>
              <w:widowControl/>
              <w:autoSpaceDE w:val="0"/>
              <w:autoSpaceDN w:val="0"/>
              <w:adjustRightInd w:val="0"/>
              <w:snapToGrid w:val="0"/>
              <w:textAlignment w:val="bottom"/>
              <w:rPr>
                <w:rFonts w:ascii="宋体" w:hAnsi="宋体" w:cs="宋体"/>
                <w:sz w:val="24"/>
              </w:rPr>
            </w:pPr>
            <w:r>
              <w:rPr>
                <w:rFonts w:hint="eastAsia" w:ascii="宋体" w:hAnsi="宋体" w:cs="宋体"/>
                <w:sz w:val="24"/>
              </w:rPr>
              <w:t>尺寸检验、外观检验、清洁度检验</w:t>
            </w:r>
          </w:p>
        </w:tc>
      </w:tr>
      <w:tr w14:paraId="56608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50" w:type="pct"/>
            <w:vAlign w:val="center"/>
          </w:tcPr>
          <w:p w14:paraId="48E70BEA">
            <w:pPr>
              <w:widowControl/>
              <w:autoSpaceDE w:val="0"/>
              <w:autoSpaceDN w:val="0"/>
              <w:adjustRightInd w:val="0"/>
              <w:snapToGrid w:val="0"/>
              <w:textAlignment w:val="bottom"/>
              <w:rPr>
                <w:rFonts w:ascii="宋体" w:hAnsi="宋体" w:cs="宋体"/>
                <w:sz w:val="24"/>
              </w:rPr>
            </w:pPr>
            <w:r>
              <w:rPr>
                <w:rFonts w:hint="eastAsia" w:ascii="宋体" w:hAnsi="宋体" w:cs="宋体"/>
                <w:sz w:val="24"/>
              </w:rPr>
              <w:t>油管路</w:t>
            </w:r>
          </w:p>
        </w:tc>
        <w:tc>
          <w:tcPr>
            <w:tcW w:w="3949" w:type="pct"/>
            <w:vAlign w:val="center"/>
          </w:tcPr>
          <w:p w14:paraId="67285AD2">
            <w:pPr>
              <w:widowControl/>
              <w:autoSpaceDE w:val="0"/>
              <w:autoSpaceDN w:val="0"/>
              <w:adjustRightInd w:val="0"/>
              <w:snapToGrid w:val="0"/>
              <w:textAlignment w:val="bottom"/>
              <w:rPr>
                <w:rFonts w:ascii="宋体" w:hAnsi="宋体" w:cs="宋体"/>
                <w:sz w:val="24"/>
              </w:rPr>
            </w:pPr>
            <w:r>
              <w:rPr>
                <w:rFonts w:hint="eastAsia" w:ascii="宋体" w:hAnsi="宋体" w:cs="宋体"/>
                <w:sz w:val="24"/>
              </w:rPr>
              <w:t>材料一致性检验、尺寸检验、外观检验</w:t>
            </w:r>
          </w:p>
        </w:tc>
      </w:tr>
    </w:tbl>
    <w:p w14:paraId="60CA1718">
      <w:pPr>
        <w:numPr>
          <w:ilvl w:val="0"/>
          <w:numId w:val="32"/>
        </w:numPr>
        <w:snapToGrid w:val="0"/>
        <w:spacing w:line="360" w:lineRule="auto"/>
        <w:ind w:left="420"/>
        <w:jc w:val="left"/>
        <w:rPr>
          <w:rFonts w:ascii="宋体" w:hAnsi="宋体" w:cs="宋体"/>
          <w:sz w:val="24"/>
        </w:rPr>
      </w:pPr>
      <w:r>
        <w:rPr>
          <w:rFonts w:hint="eastAsia" w:ascii="宋体" w:hAnsi="宋体" w:cs="宋体"/>
          <w:sz w:val="24"/>
        </w:rPr>
        <w:t>齿轮箱</w:t>
      </w:r>
    </w:p>
    <w:tbl>
      <w:tblPr>
        <w:tblStyle w:val="76"/>
        <w:tblW w:w="4894" w:type="pct"/>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1"/>
        <w:gridCol w:w="8121"/>
      </w:tblGrid>
      <w:tr w14:paraId="59B43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14:paraId="04EA8630">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名称</w:t>
            </w:r>
          </w:p>
        </w:tc>
        <w:tc>
          <w:tcPr>
            <w:tcW w:w="4163" w:type="pct"/>
            <w:vAlign w:val="center"/>
          </w:tcPr>
          <w:p w14:paraId="55889D8E">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检查项目</w:t>
            </w:r>
          </w:p>
        </w:tc>
      </w:tr>
      <w:tr w14:paraId="6579C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14:paraId="1F1E1487">
            <w:pPr>
              <w:widowControl/>
              <w:autoSpaceDE w:val="0"/>
              <w:autoSpaceDN w:val="0"/>
              <w:adjustRightInd w:val="0"/>
              <w:snapToGrid w:val="0"/>
              <w:textAlignment w:val="bottom"/>
              <w:rPr>
                <w:rFonts w:ascii="宋体" w:hAnsi="宋体" w:cs="宋体"/>
                <w:sz w:val="24"/>
              </w:rPr>
            </w:pPr>
            <w:r>
              <w:rPr>
                <w:rFonts w:hint="eastAsia" w:ascii="宋体" w:hAnsi="宋体" w:cs="宋体"/>
                <w:sz w:val="24"/>
              </w:rPr>
              <w:t>箱体</w:t>
            </w:r>
          </w:p>
        </w:tc>
        <w:tc>
          <w:tcPr>
            <w:tcW w:w="4163" w:type="pct"/>
            <w:vAlign w:val="center"/>
          </w:tcPr>
          <w:p w14:paraId="473BF635">
            <w:pPr>
              <w:widowControl/>
              <w:autoSpaceDE w:val="0"/>
              <w:autoSpaceDN w:val="0"/>
              <w:adjustRightInd w:val="0"/>
              <w:snapToGrid w:val="0"/>
              <w:textAlignment w:val="bottom"/>
              <w:rPr>
                <w:rFonts w:ascii="宋体" w:hAnsi="宋体" w:cs="宋体"/>
                <w:sz w:val="24"/>
              </w:rPr>
            </w:pPr>
            <w:r>
              <w:rPr>
                <w:rFonts w:hint="eastAsia" w:ascii="宋体" w:hAnsi="宋体" w:cs="宋体"/>
                <w:sz w:val="24"/>
              </w:rPr>
              <w:t>化学成分、液体渗透、尺寸检查、组装检查、外观检查</w:t>
            </w:r>
          </w:p>
        </w:tc>
      </w:tr>
      <w:tr w14:paraId="1A9CA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14:paraId="56CDA0B1">
            <w:pPr>
              <w:widowControl/>
              <w:autoSpaceDE w:val="0"/>
              <w:autoSpaceDN w:val="0"/>
              <w:adjustRightInd w:val="0"/>
              <w:snapToGrid w:val="0"/>
              <w:textAlignment w:val="bottom"/>
              <w:rPr>
                <w:rFonts w:ascii="宋体" w:hAnsi="宋体" w:cs="宋体"/>
                <w:sz w:val="24"/>
              </w:rPr>
            </w:pPr>
            <w:r>
              <w:rPr>
                <w:rFonts w:hint="eastAsia" w:ascii="宋体" w:hAnsi="宋体" w:cs="宋体"/>
                <w:sz w:val="24"/>
              </w:rPr>
              <w:t>小齿轮</w:t>
            </w:r>
          </w:p>
        </w:tc>
        <w:tc>
          <w:tcPr>
            <w:tcW w:w="4163" w:type="pct"/>
            <w:vAlign w:val="center"/>
          </w:tcPr>
          <w:p w14:paraId="0EC15654">
            <w:pPr>
              <w:widowControl/>
              <w:autoSpaceDE w:val="0"/>
              <w:autoSpaceDN w:val="0"/>
              <w:adjustRightInd w:val="0"/>
              <w:snapToGrid w:val="0"/>
              <w:textAlignment w:val="bottom"/>
              <w:rPr>
                <w:rFonts w:ascii="宋体" w:hAnsi="宋体" w:cs="宋体"/>
                <w:sz w:val="24"/>
              </w:rPr>
            </w:pPr>
            <w:r>
              <w:rPr>
                <w:rFonts w:hint="eastAsia" w:ascii="宋体" w:hAnsi="宋体" w:cs="宋体"/>
                <w:sz w:val="24"/>
              </w:rPr>
              <w:t>化学成分、机械性能、超声波探伤、磁粉探伤、尺寸检查、组装检查、外观检查</w:t>
            </w:r>
          </w:p>
        </w:tc>
      </w:tr>
      <w:tr w14:paraId="3E19F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14:paraId="06DDF141">
            <w:pPr>
              <w:widowControl/>
              <w:autoSpaceDE w:val="0"/>
              <w:autoSpaceDN w:val="0"/>
              <w:adjustRightInd w:val="0"/>
              <w:snapToGrid w:val="0"/>
              <w:textAlignment w:val="bottom"/>
              <w:rPr>
                <w:rFonts w:ascii="宋体" w:hAnsi="宋体" w:cs="宋体"/>
                <w:sz w:val="24"/>
              </w:rPr>
            </w:pPr>
            <w:r>
              <w:rPr>
                <w:rFonts w:hint="eastAsia" w:ascii="宋体" w:hAnsi="宋体" w:cs="宋体"/>
                <w:sz w:val="24"/>
              </w:rPr>
              <w:t>大齿轮</w:t>
            </w:r>
          </w:p>
        </w:tc>
        <w:tc>
          <w:tcPr>
            <w:tcW w:w="4163" w:type="pct"/>
            <w:vAlign w:val="center"/>
          </w:tcPr>
          <w:p w14:paraId="55508C42">
            <w:pPr>
              <w:widowControl/>
              <w:autoSpaceDE w:val="0"/>
              <w:autoSpaceDN w:val="0"/>
              <w:adjustRightInd w:val="0"/>
              <w:snapToGrid w:val="0"/>
              <w:textAlignment w:val="bottom"/>
              <w:rPr>
                <w:rFonts w:ascii="宋体" w:hAnsi="宋体" w:cs="宋体"/>
                <w:sz w:val="24"/>
              </w:rPr>
            </w:pPr>
            <w:r>
              <w:rPr>
                <w:rFonts w:hint="eastAsia" w:ascii="宋体" w:hAnsi="宋体" w:cs="宋体"/>
                <w:sz w:val="24"/>
              </w:rPr>
              <w:t>化学成分、机械性能、超声波探伤、磁粉探伤、尺寸检查、组装检查、外观检查</w:t>
            </w:r>
          </w:p>
        </w:tc>
      </w:tr>
      <w:tr w14:paraId="3B08A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14:paraId="0DE3A6EC">
            <w:pPr>
              <w:widowControl/>
              <w:autoSpaceDE w:val="0"/>
              <w:autoSpaceDN w:val="0"/>
              <w:adjustRightInd w:val="0"/>
              <w:snapToGrid w:val="0"/>
              <w:textAlignment w:val="bottom"/>
              <w:rPr>
                <w:rFonts w:ascii="宋体" w:hAnsi="宋体" w:cs="宋体"/>
                <w:sz w:val="24"/>
              </w:rPr>
            </w:pPr>
            <w:r>
              <w:rPr>
                <w:rFonts w:hint="eastAsia" w:ascii="宋体" w:hAnsi="宋体" w:cs="宋体"/>
                <w:sz w:val="24"/>
              </w:rPr>
              <w:t>轮轴</w:t>
            </w:r>
          </w:p>
        </w:tc>
        <w:tc>
          <w:tcPr>
            <w:tcW w:w="4163" w:type="pct"/>
            <w:vAlign w:val="center"/>
          </w:tcPr>
          <w:p w14:paraId="08C1D18A">
            <w:pPr>
              <w:widowControl/>
              <w:autoSpaceDE w:val="0"/>
              <w:autoSpaceDN w:val="0"/>
              <w:adjustRightInd w:val="0"/>
              <w:snapToGrid w:val="0"/>
              <w:textAlignment w:val="bottom"/>
              <w:rPr>
                <w:rFonts w:ascii="宋体" w:hAnsi="宋体" w:cs="宋体"/>
                <w:sz w:val="24"/>
              </w:rPr>
            </w:pPr>
            <w:r>
              <w:rPr>
                <w:rFonts w:hint="eastAsia" w:ascii="宋体" w:hAnsi="宋体" w:cs="宋体"/>
                <w:sz w:val="24"/>
              </w:rPr>
              <w:t>化学成分、机械性能、超声波探伤、磁粉探伤、尺寸检查、组装检查、外观检查</w:t>
            </w:r>
          </w:p>
        </w:tc>
      </w:tr>
      <w:tr w14:paraId="2EA50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14:paraId="75E84325">
            <w:pPr>
              <w:widowControl/>
              <w:autoSpaceDE w:val="0"/>
              <w:autoSpaceDN w:val="0"/>
              <w:adjustRightInd w:val="0"/>
              <w:snapToGrid w:val="0"/>
              <w:textAlignment w:val="bottom"/>
              <w:rPr>
                <w:rFonts w:ascii="宋体" w:hAnsi="宋体" w:cs="宋体"/>
                <w:sz w:val="24"/>
              </w:rPr>
            </w:pPr>
            <w:r>
              <w:rPr>
                <w:rFonts w:hint="eastAsia" w:ascii="宋体" w:hAnsi="宋体" w:cs="宋体"/>
                <w:sz w:val="24"/>
              </w:rPr>
              <w:t>轴承体</w:t>
            </w:r>
          </w:p>
        </w:tc>
        <w:tc>
          <w:tcPr>
            <w:tcW w:w="4163" w:type="pct"/>
            <w:vAlign w:val="center"/>
          </w:tcPr>
          <w:p w14:paraId="3526E192">
            <w:pPr>
              <w:widowControl/>
              <w:autoSpaceDE w:val="0"/>
              <w:autoSpaceDN w:val="0"/>
              <w:adjustRightInd w:val="0"/>
              <w:snapToGrid w:val="0"/>
              <w:textAlignment w:val="bottom"/>
              <w:rPr>
                <w:rFonts w:ascii="宋体" w:hAnsi="宋体" w:cs="宋体"/>
                <w:sz w:val="24"/>
              </w:rPr>
            </w:pPr>
            <w:r>
              <w:rPr>
                <w:rFonts w:hint="eastAsia" w:ascii="宋体" w:hAnsi="宋体" w:cs="宋体"/>
                <w:sz w:val="24"/>
              </w:rPr>
              <w:t>化学成分、机械性能、超声波探伤、尺寸检查、组装检查、外观检查</w:t>
            </w:r>
          </w:p>
        </w:tc>
      </w:tr>
      <w:tr w14:paraId="13C097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6" w:type="pct"/>
            <w:vAlign w:val="center"/>
          </w:tcPr>
          <w:p w14:paraId="4C998066">
            <w:pPr>
              <w:widowControl/>
              <w:autoSpaceDE w:val="0"/>
              <w:autoSpaceDN w:val="0"/>
              <w:adjustRightInd w:val="0"/>
              <w:snapToGrid w:val="0"/>
              <w:textAlignment w:val="bottom"/>
              <w:rPr>
                <w:rFonts w:ascii="宋体" w:hAnsi="宋体" w:cs="宋体"/>
                <w:sz w:val="24"/>
              </w:rPr>
            </w:pPr>
            <w:r>
              <w:rPr>
                <w:rFonts w:hint="eastAsia" w:ascii="宋体" w:hAnsi="宋体" w:cs="宋体"/>
                <w:sz w:val="24"/>
              </w:rPr>
              <w:t>齿轮箱组装</w:t>
            </w:r>
          </w:p>
        </w:tc>
        <w:tc>
          <w:tcPr>
            <w:tcW w:w="4163" w:type="pct"/>
            <w:vAlign w:val="center"/>
          </w:tcPr>
          <w:p w14:paraId="5AD69CAB">
            <w:pPr>
              <w:widowControl/>
              <w:autoSpaceDE w:val="0"/>
              <w:autoSpaceDN w:val="0"/>
              <w:adjustRightInd w:val="0"/>
              <w:snapToGrid w:val="0"/>
              <w:textAlignment w:val="bottom"/>
              <w:rPr>
                <w:rFonts w:ascii="宋体" w:hAnsi="宋体" w:cs="宋体"/>
                <w:sz w:val="24"/>
              </w:rPr>
            </w:pPr>
            <w:r>
              <w:rPr>
                <w:rFonts w:hint="eastAsia" w:ascii="宋体" w:hAnsi="宋体" w:cs="宋体"/>
                <w:sz w:val="24"/>
              </w:rPr>
              <w:t>尺寸检查、组装检查、外观检查</w:t>
            </w:r>
          </w:p>
        </w:tc>
      </w:tr>
    </w:tbl>
    <w:p w14:paraId="0B5C6FEA">
      <w:pPr>
        <w:numPr>
          <w:ilvl w:val="0"/>
          <w:numId w:val="32"/>
        </w:numPr>
        <w:snapToGrid w:val="0"/>
        <w:spacing w:line="360" w:lineRule="auto"/>
        <w:ind w:left="420"/>
        <w:jc w:val="left"/>
        <w:rPr>
          <w:rFonts w:ascii="宋体" w:hAnsi="宋体" w:cs="宋体"/>
          <w:sz w:val="24"/>
        </w:rPr>
      </w:pPr>
      <w:r>
        <w:rPr>
          <w:rFonts w:hint="eastAsia" w:ascii="宋体" w:hAnsi="宋体" w:cs="宋体"/>
          <w:sz w:val="24"/>
        </w:rPr>
        <w:t>压力容器</w:t>
      </w:r>
    </w:p>
    <w:tbl>
      <w:tblPr>
        <w:tblStyle w:val="76"/>
        <w:tblW w:w="5007" w:type="pct"/>
        <w:tblInd w:w="4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3"/>
        <w:gridCol w:w="8334"/>
      </w:tblGrid>
      <w:tr w14:paraId="7B89B2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pct"/>
            <w:vAlign w:val="center"/>
          </w:tcPr>
          <w:p w14:paraId="7A106A64">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名称</w:t>
            </w:r>
          </w:p>
        </w:tc>
        <w:tc>
          <w:tcPr>
            <w:tcW w:w="4176" w:type="pct"/>
            <w:vAlign w:val="center"/>
          </w:tcPr>
          <w:p w14:paraId="002D20AD">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检查项目</w:t>
            </w:r>
          </w:p>
        </w:tc>
      </w:tr>
      <w:tr w14:paraId="258953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pct"/>
            <w:vAlign w:val="center"/>
          </w:tcPr>
          <w:p w14:paraId="5F959895">
            <w:pPr>
              <w:widowControl/>
              <w:autoSpaceDE w:val="0"/>
              <w:autoSpaceDN w:val="0"/>
              <w:adjustRightInd w:val="0"/>
              <w:snapToGrid w:val="0"/>
              <w:textAlignment w:val="bottom"/>
              <w:rPr>
                <w:rFonts w:ascii="宋体" w:hAnsi="宋体" w:cs="宋体"/>
                <w:sz w:val="24"/>
              </w:rPr>
            </w:pPr>
            <w:r>
              <w:rPr>
                <w:rFonts w:hint="eastAsia" w:ascii="宋体" w:hAnsi="宋体" w:cs="宋体"/>
                <w:sz w:val="24"/>
              </w:rPr>
              <w:t>壳体</w:t>
            </w:r>
          </w:p>
        </w:tc>
        <w:tc>
          <w:tcPr>
            <w:tcW w:w="4176" w:type="pct"/>
            <w:vAlign w:val="center"/>
          </w:tcPr>
          <w:p w14:paraId="6D7F1983">
            <w:pPr>
              <w:widowControl/>
              <w:autoSpaceDE w:val="0"/>
              <w:autoSpaceDN w:val="0"/>
              <w:adjustRightInd w:val="0"/>
              <w:snapToGrid w:val="0"/>
              <w:textAlignment w:val="bottom"/>
              <w:rPr>
                <w:rFonts w:ascii="宋体" w:hAnsi="宋体" w:cs="宋体"/>
                <w:sz w:val="24"/>
              </w:rPr>
            </w:pPr>
            <w:r>
              <w:rPr>
                <w:rFonts w:hint="eastAsia" w:ascii="宋体" w:hAnsi="宋体" w:cs="宋体"/>
                <w:sz w:val="24"/>
              </w:rPr>
              <w:t>材料检验、下料检验、组对检验、无损检测、外观及几何尺寸、清洁度检验</w:t>
            </w:r>
          </w:p>
        </w:tc>
      </w:tr>
      <w:tr w14:paraId="7C3018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pct"/>
            <w:vAlign w:val="center"/>
          </w:tcPr>
          <w:p w14:paraId="0D1CF20B">
            <w:pPr>
              <w:widowControl/>
              <w:autoSpaceDE w:val="0"/>
              <w:autoSpaceDN w:val="0"/>
              <w:adjustRightInd w:val="0"/>
              <w:snapToGrid w:val="0"/>
              <w:textAlignment w:val="bottom"/>
              <w:rPr>
                <w:rFonts w:ascii="宋体" w:hAnsi="宋体" w:cs="宋体"/>
                <w:sz w:val="24"/>
              </w:rPr>
            </w:pPr>
            <w:r>
              <w:rPr>
                <w:rFonts w:hint="eastAsia" w:ascii="宋体" w:hAnsi="宋体" w:cs="宋体"/>
                <w:sz w:val="24"/>
              </w:rPr>
              <w:t>管束</w:t>
            </w:r>
          </w:p>
        </w:tc>
        <w:tc>
          <w:tcPr>
            <w:tcW w:w="4176" w:type="pct"/>
            <w:vAlign w:val="center"/>
          </w:tcPr>
          <w:p w14:paraId="069B9D26">
            <w:pPr>
              <w:widowControl/>
              <w:autoSpaceDE w:val="0"/>
              <w:autoSpaceDN w:val="0"/>
              <w:adjustRightInd w:val="0"/>
              <w:snapToGrid w:val="0"/>
              <w:textAlignment w:val="bottom"/>
              <w:rPr>
                <w:rFonts w:ascii="宋体" w:hAnsi="宋体" w:cs="宋体"/>
                <w:sz w:val="24"/>
              </w:rPr>
            </w:pPr>
            <w:r>
              <w:rPr>
                <w:rFonts w:hint="eastAsia" w:ascii="宋体" w:hAnsi="宋体" w:cs="宋体"/>
                <w:sz w:val="24"/>
              </w:rPr>
              <w:t>材料检验、下料检验、装配检验、无损检测、外观及几何尺寸、清洁度检验</w:t>
            </w:r>
          </w:p>
        </w:tc>
      </w:tr>
      <w:tr w14:paraId="0E074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pct"/>
            <w:vAlign w:val="center"/>
          </w:tcPr>
          <w:p w14:paraId="732CE4F2">
            <w:pPr>
              <w:widowControl/>
              <w:autoSpaceDE w:val="0"/>
              <w:autoSpaceDN w:val="0"/>
              <w:adjustRightInd w:val="0"/>
              <w:snapToGrid w:val="0"/>
              <w:textAlignment w:val="bottom"/>
              <w:rPr>
                <w:rFonts w:ascii="宋体" w:hAnsi="宋体" w:cs="宋体"/>
                <w:sz w:val="24"/>
              </w:rPr>
            </w:pPr>
            <w:r>
              <w:rPr>
                <w:rFonts w:hint="eastAsia" w:ascii="宋体" w:hAnsi="宋体" w:cs="宋体"/>
                <w:sz w:val="24"/>
              </w:rPr>
              <w:t>水箱</w:t>
            </w:r>
          </w:p>
        </w:tc>
        <w:tc>
          <w:tcPr>
            <w:tcW w:w="4176" w:type="pct"/>
            <w:vAlign w:val="center"/>
          </w:tcPr>
          <w:p w14:paraId="03990B23">
            <w:pPr>
              <w:widowControl/>
              <w:autoSpaceDE w:val="0"/>
              <w:autoSpaceDN w:val="0"/>
              <w:adjustRightInd w:val="0"/>
              <w:snapToGrid w:val="0"/>
              <w:textAlignment w:val="bottom"/>
              <w:rPr>
                <w:rFonts w:ascii="宋体" w:hAnsi="宋体" w:cs="宋体"/>
                <w:sz w:val="24"/>
              </w:rPr>
            </w:pPr>
            <w:r>
              <w:rPr>
                <w:rFonts w:hint="eastAsia" w:ascii="宋体" w:hAnsi="宋体" w:cs="宋体"/>
                <w:sz w:val="24"/>
              </w:rPr>
              <w:t>材料检验、下料检验、组对检验、无损检测、外观及几何尺寸、清洁度检验</w:t>
            </w:r>
          </w:p>
        </w:tc>
      </w:tr>
      <w:tr w14:paraId="153E9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3" w:type="pct"/>
            <w:vAlign w:val="center"/>
          </w:tcPr>
          <w:p w14:paraId="1A78C1EF">
            <w:pPr>
              <w:widowControl/>
              <w:autoSpaceDE w:val="0"/>
              <w:autoSpaceDN w:val="0"/>
              <w:adjustRightInd w:val="0"/>
              <w:snapToGrid w:val="0"/>
              <w:textAlignment w:val="bottom"/>
              <w:rPr>
                <w:rFonts w:ascii="宋体" w:hAnsi="宋体" w:cs="宋体"/>
                <w:sz w:val="24"/>
              </w:rPr>
            </w:pPr>
            <w:r>
              <w:rPr>
                <w:rFonts w:hint="eastAsia" w:ascii="宋体" w:hAnsi="宋体" w:cs="宋体"/>
                <w:sz w:val="24"/>
              </w:rPr>
              <w:t>最终产品</w:t>
            </w:r>
          </w:p>
        </w:tc>
        <w:tc>
          <w:tcPr>
            <w:tcW w:w="4176" w:type="pct"/>
            <w:vAlign w:val="center"/>
          </w:tcPr>
          <w:p w14:paraId="5ADD5B99">
            <w:pPr>
              <w:widowControl/>
              <w:autoSpaceDE w:val="0"/>
              <w:autoSpaceDN w:val="0"/>
              <w:adjustRightInd w:val="0"/>
              <w:snapToGrid w:val="0"/>
              <w:textAlignment w:val="bottom"/>
              <w:rPr>
                <w:rFonts w:ascii="宋体" w:hAnsi="宋体" w:cs="宋体"/>
                <w:sz w:val="24"/>
              </w:rPr>
            </w:pPr>
            <w:r>
              <w:rPr>
                <w:rFonts w:hint="eastAsia" w:ascii="宋体" w:hAnsi="宋体" w:cs="宋体"/>
                <w:sz w:val="24"/>
              </w:rPr>
              <w:t>装配检验、外观及几何尺寸、清洁度检验、防腐检验、包装检验、资料检验</w:t>
            </w:r>
          </w:p>
        </w:tc>
      </w:tr>
    </w:tbl>
    <w:p w14:paraId="2ED88825">
      <w:pPr>
        <w:numPr>
          <w:ilvl w:val="2"/>
          <w:numId w:val="31"/>
        </w:numPr>
        <w:spacing w:line="360" w:lineRule="auto"/>
        <w:rPr>
          <w:rFonts w:ascii="宋体" w:hAnsi="宋体" w:cs="宋体"/>
          <w:sz w:val="24"/>
        </w:rPr>
      </w:pPr>
      <w:r>
        <w:rPr>
          <w:rFonts w:hint="eastAsia" w:ascii="宋体" w:hAnsi="宋体" w:cs="宋体"/>
          <w:sz w:val="24"/>
        </w:rPr>
        <w:t>压缩机组试验项目</w:t>
      </w:r>
    </w:p>
    <w:p w14:paraId="59128ACA">
      <w:pPr>
        <w:numPr>
          <w:ilvl w:val="0"/>
          <w:numId w:val="33"/>
        </w:numPr>
        <w:spacing w:line="360" w:lineRule="auto"/>
        <w:rPr>
          <w:rFonts w:ascii="宋体" w:hAnsi="宋体" w:cs="宋体"/>
          <w:sz w:val="24"/>
        </w:rPr>
      </w:pPr>
      <w:r>
        <w:rPr>
          <w:rFonts w:hint="eastAsia" w:ascii="宋体" w:hAnsi="宋体" w:cs="宋体"/>
          <w:sz w:val="24"/>
        </w:rPr>
        <w:t>离心压缩机</w:t>
      </w:r>
    </w:p>
    <w:p w14:paraId="171157CF">
      <w:pPr>
        <w:widowControl/>
        <w:numPr>
          <w:ilvl w:val="0"/>
          <w:numId w:val="34"/>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试验及用户见证项目：</w:t>
      </w:r>
    </w:p>
    <w:tbl>
      <w:tblPr>
        <w:tblStyle w:val="76"/>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963"/>
        <w:gridCol w:w="1396"/>
        <w:gridCol w:w="1579"/>
      </w:tblGrid>
      <w:tr w14:paraId="14802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963" w:type="dxa"/>
            <w:vMerge w:val="restart"/>
            <w:vAlign w:val="center"/>
          </w:tcPr>
          <w:p w14:paraId="3F4313BC">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名      称</w:t>
            </w:r>
          </w:p>
        </w:tc>
        <w:tc>
          <w:tcPr>
            <w:tcW w:w="2975" w:type="dxa"/>
            <w:gridSpan w:val="2"/>
            <w:vAlign w:val="center"/>
          </w:tcPr>
          <w:p w14:paraId="26FBE938">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要  求</w:t>
            </w:r>
          </w:p>
        </w:tc>
      </w:tr>
      <w:tr w14:paraId="2460F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963" w:type="dxa"/>
            <w:vMerge w:val="continue"/>
            <w:vAlign w:val="center"/>
          </w:tcPr>
          <w:p w14:paraId="3B76E3BF">
            <w:pPr>
              <w:widowControl/>
              <w:autoSpaceDE w:val="0"/>
              <w:autoSpaceDN w:val="0"/>
              <w:adjustRightInd w:val="0"/>
              <w:snapToGrid w:val="0"/>
              <w:textAlignment w:val="bottom"/>
              <w:rPr>
                <w:rFonts w:ascii="宋体" w:hAnsi="宋体" w:cs="宋体"/>
                <w:sz w:val="24"/>
              </w:rPr>
            </w:pPr>
          </w:p>
        </w:tc>
        <w:tc>
          <w:tcPr>
            <w:tcW w:w="1396" w:type="dxa"/>
            <w:vAlign w:val="center"/>
          </w:tcPr>
          <w:p w14:paraId="181EC320">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需要</w:t>
            </w:r>
          </w:p>
        </w:tc>
        <w:tc>
          <w:tcPr>
            <w:tcW w:w="1579" w:type="dxa"/>
            <w:vAlign w:val="center"/>
          </w:tcPr>
          <w:p w14:paraId="077B5648">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招标人见证</w:t>
            </w:r>
          </w:p>
        </w:tc>
      </w:tr>
      <w:tr w14:paraId="25B8A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6891CC9D">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压缩机壳体水压试验</w:t>
            </w:r>
          </w:p>
        </w:tc>
        <w:tc>
          <w:tcPr>
            <w:tcW w:w="1396" w:type="dxa"/>
            <w:vAlign w:val="center"/>
          </w:tcPr>
          <w:p w14:paraId="4E2FB62C">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579" w:type="dxa"/>
            <w:vAlign w:val="center"/>
          </w:tcPr>
          <w:p w14:paraId="1D101FFD">
            <w:pPr>
              <w:widowControl/>
              <w:autoSpaceDE w:val="0"/>
              <w:autoSpaceDN w:val="0"/>
              <w:adjustRightInd w:val="0"/>
              <w:snapToGrid w:val="0"/>
              <w:jc w:val="center"/>
              <w:textAlignment w:val="bottom"/>
              <w:rPr>
                <w:rFonts w:ascii="宋体" w:hAnsi="宋体" w:cs="宋体"/>
                <w:sz w:val="24"/>
              </w:rPr>
            </w:pPr>
          </w:p>
        </w:tc>
      </w:tr>
      <w:tr w14:paraId="398E9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512E095A">
            <w:pPr>
              <w:widowControl/>
              <w:autoSpaceDE w:val="0"/>
              <w:autoSpaceDN w:val="0"/>
              <w:adjustRightInd w:val="0"/>
              <w:snapToGrid w:val="0"/>
              <w:textAlignment w:val="bottom"/>
              <w:rPr>
                <w:rFonts w:ascii="宋体" w:hAnsi="宋体" w:cs="宋体"/>
                <w:sz w:val="24"/>
              </w:rPr>
            </w:pPr>
            <w:r>
              <w:rPr>
                <w:rFonts w:hint="eastAsia" w:ascii="宋体" w:hAnsi="宋体" w:cs="宋体"/>
                <w:sz w:val="24"/>
              </w:rPr>
              <w:t>整机气体泄漏试验</w:t>
            </w:r>
          </w:p>
        </w:tc>
        <w:tc>
          <w:tcPr>
            <w:tcW w:w="1396" w:type="dxa"/>
            <w:vAlign w:val="center"/>
          </w:tcPr>
          <w:p w14:paraId="4A5614E2">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579" w:type="dxa"/>
            <w:vAlign w:val="center"/>
          </w:tcPr>
          <w:p w14:paraId="0C64C035">
            <w:pPr>
              <w:widowControl/>
              <w:autoSpaceDE w:val="0"/>
              <w:autoSpaceDN w:val="0"/>
              <w:adjustRightInd w:val="0"/>
              <w:snapToGrid w:val="0"/>
              <w:jc w:val="center"/>
              <w:textAlignment w:val="bottom"/>
              <w:rPr>
                <w:rFonts w:ascii="宋体" w:hAnsi="宋体" w:cs="宋体"/>
                <w:sz w:val="24"/>
              </w:rPr>
            </w:pPr>
          </w:p>
        </w:tc>
      </w:tr>
      <w:tr w14:paraId="13B54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0129F81C">
            <w:pPr>
              <w:widowControl/>
              <w:autoSpaceDE w:val="0"/>
              <w:autoSpaceDN w:val="0"/>
              <w:adjustRightInd w:val="0"/>
              <w:snapToGrid w:val="0"/>
              <w:textAlignment w:val="bottom"/>
              <w:rPr>
                <w:rFonts w:ascii="宋体" w:hAnsi="宋体" w:cs="宋体"/>
                <w:sz w:val="24"/>
              </w:rPr>
            </w:pPr>
            <w:r>
              <w:rPr>
                <w:rFonts w:hint="eastAsia" w:ascii="宋体" w:hAnsi="宋体" w:cs="宋体"/>
                <w:sz w:val="24"/>
              </w:rPr>
              <w:t>进油总管水压试验，回油总管煤油渗漏试验</w:t>
            </w:r>
          </w:p>
        </w:tc>
        <w:tc>
          <w:tcPr>
            <w:tcW w:w="1396" w:type="dxa"/>
            <w:vAlign w:val="center"/>
          </w:tcPr>
          <w:p w14:paraId="461F391A">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579" w:type="dxa"/>
            <w:vAlign w:val="center"/>
          </w:tcPr>
          <w:p w14:paraId="27B0B1D1">
            <w:pPr>
              <w:widowControl/>
              <w:autoSpaceDE w:val="0"/>
              <w:autoSpaceDN w:val="0"/>
              <w:adjustRightInd w:val="0"/>
              <w:snapToGrid w:val="0"/>
              <w:jc w:val="center"/>
              <w:textAlignment w:val="bottom"/>
              <w:rPr>
                <w:rFonts w:ascii="宋体" w:hAnsi="宋体" w:cs="宋体"/>
                <w:sz w:val="24"/>
              </w:rPr>
            </w:pPr>
          </w:p>
        </w:tc>
      </w:tr>
      <w:tr w14:paraId="1DFF0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47880AAA">
            <w:pPr>
              <w:widowControl/>
              <w:autoSpaceDE w:val="0"/>
              <w:autoSpaceDN w:val="0"/>
              <w:adjustRightInd w:val="0"/>
              <w:snapToGrid w:val="0"/>
              <w:textAlignment w:val="bottom"/>
              <w:rPr>
                <w:rFonts w:ascii="宋体" w:hAnsi="宋体" w:cs="宋体"/>
                <w:sz w:val="24"/>
              </w:rPr>
            </w:pPr>
            <w:r>
              <w:rPr>
                <w:rFonts w:hint="eastAsia" w:ascii="宋体" w:hAnsi="宋体" w:cs="宋体"/>
                <w:sz w:val="24"/>
              </w:rPr>
              <w:t>叶轮超速试验（按API617标准）</w:t>
            </w:r>
          </w:p>
        </w:tc>
        <w:tc>
          <w:tcPr>
            <w:tcW w:w="1396" w:type="dxa"/>
            <w:vAlign w:val="center"/>
          </w:tcPr>
          <w:p w14:paraId="6BD73E1C">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579" w:type="dxa"/>
            <w:vAlign w:val="center"/>
          </w:tcPr>
          <w:p w14:paraId="49DDC995">
            <w:pPr>
              <w:widowControl/>
              <w:autoSpaceDE w:val="0"/>
              <w:autoSpaceDN w:val="0"/>
              <w:adjustRightInd w:val="0"/>
              <w:snapToGrid w:val="0"/>
              <w:jc w:val="center"/>
              <w:textAlignment w:val="bottom"/>
              <w:rPr>
                <w:rFonts w:ascii="宋体" w:hAnsi="宋体" w:cs="宋体"/>
                <w:sz w:val="24"/>
              </w:rPr>
            </w:pPr>
          </w:p>
        </w:tc>
      </w:tr>
      <w:tr w14:paraId="5A293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2CC98098">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压缩机转子低速动平衡试验</w:t>
            </w:r>
          </w:p>
        </w:tc>
        <w:tc>
          <w:tcPr>
            <w:tcW w:w="1396" w:type="dxa"/>
            <w:vAlign w:val="center"/>
          </w:tcPr>
          <w:p w14:paraId="0B45DAA5">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579" w:type="dxa"/>
            <w:vAlign w:val="center"/>
          </w:tcPr>
          <w:p w14:paraId="742F1563">
            <w:pPr>
              <w:widowControl/>
              <w:autoSpaceDE w:val="0"/>
              <w:autoSpaceDN w:val="0"/>
              <w:adjustRightInd w:val="0"/>
              <w:snapToGrid w:val="0"/>
              <w:jc w:val="center"/>
              <w:textAlignment w:val="bottom"/>
              <w:rPr>
                <w:rFonts w:ascii="宋体" w:hAnsi="宋体" w:cs="宋体"/>
                <w:sz w:val="24"/>
              </w:rPr>
            </w:pPr>
          </w:p>
        </w:tc>
      </w:tr>
      <w:tr w14:paraId="56497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625BA23F">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压缩机转子高速动平衡试验</w:t>
            </w:r>
          </w:p>
        </w:tc>
        <w:tc>
          <w:tcPr>
            <w:tcW w:w="1396" w:type="dxa"/>
            <w:vAlign w:val="center"/>
          </w:tcPr>
          <w:p w14:paraId="0F3CEB89">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579" w:type="dxa"/>
            <w:vAlign w:val="center"/>
          </w:tcPr>
          <w:p w14:paraId="38B324CB">
            <w:pPr>
              <w:widowControl/>
              <w:autoSpaceDE w:val="0"/>
              <w:autoSpaceDN w:val="0"/>
              <w:adjustRightInd w:val="0"/>
              <w:snapToGrid w:val="0"/>
              <w:jc w:val="center"/>
              <w:textAlignment w:val="bottom"/>
              <w:rPr>
                <w:rFonts w:ascii="宋体" w:hAnsi="宋体" w:cs="宋体"/>
                <w:sz w:val="24"/>
              </w:rPr>
            </w:pPr>
          </w:p>
        </w:tc>
      </w:tr>
      <w:tr w14:paraId="50EC39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76347600">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压缩机机械运转试验</w:t>
            </w:r>
          </w:p>
        </w:tc>
        <w:tc>
          <w:tcPr>
            <w:tcW w:w="1396" w:type="dxa"/>
            <w:vAlign w:val="center"/>
          </w:tcPr>
          <w:p w14:paraId="780471CE">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579" w:type="dxa"/>
            <w:vAlign w:val="center"/>
          </w:tcPr>
          <w:p w14:paraId="6351EF51">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r>
      <w:tr w14:paraId="3B647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63" w:type="dxa"/>
            <w:vAlign w:val="center"/>
          </w:tcPr>
          <w:p w14:paraId="2214054C">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压缩机机械运转后拆装检验</w:t>
            </w:r>
          </w:p>
        </w:tc>
        <w:tc>
          <w:tcPr>
            <w:tcW w:w="1396" w:type="dxa"/>
            <w:vAlign w:val="center"/>
          </w:tcPr>
          <w:p w14:paraId="19561188">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579" w:type="dxa"/>
            <w:vAlign w:val="center"/>
          </w:tcPr>
          <w:p w14:paraId="3D88D094">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r>
    </w:tbl>
    <w:p w14:paraId="2395E351">
      <w:pPr>
        <w:widowControl/>
        <w:numPr>
          <w:ilvl w:val="0"/>
          <w:numId w:val="34"/>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压缩机在中标人工厂进行机械运转试验，在跳闸转速下运行15分钟，然后在最大连续转速下运转4小时。达到如下要求（在最大连续转速下）：</w:t>
      </w: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9"/>
        <w:gridCol w:w="772"/>
        <w:gridCol w:w="3407"/>
      </w:tblGrid>
      <w:tr w14:paraId="1B994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3067B1A4">
            <w:pPr>
              <w:widowControl/>
              <w:jc w:val="center"/>
              <w:rPr>
                <w:rFonts w:ascii="宋体" w:hAnsi="宋体" w:cs="宋体"/>
                <w:kern w:val="0"/>
                <w:sz w:val="24"/>
              </w:rPr>
            </w:pPr>
            <w:r>
              <w:rPr>
                <w:rFonts w:hint="eastAsia" w:ascii="宋体" w:hAnsi="宋体" w:cs="宋体"/>
                <w:kern w:val="0"/>
                <w:sz w:val="24"/>
              </w:rPr>
              <w:t>项目</w:t>
            </w:r>
          </w:p>
        </w:tc>
        <w:tc>
          <w:tcPr>
            <w:tcW w:w="772" w:type="dxa"/>
          </w:tcPr>
          <w:p w14:paraId="42CB0ECE">
            <w:pPr>
              <w:widowControl/>
              <w:jc w:val="center"/>
              <w:rPr>
                <w:rFonts w:ascii="宋体" w:hAnsi="宋体" w:cs="宋体"/>
                <w:kern w:val="0"/>
                <w:sz w:val="24"/>
              </w:rPr>
            </w:pPr>
            <w:r>
              <w:rPr>
                <w:rFonts w:hint="eastAsia" w:ascii="宋体" w:hAnsi="宋体" w:cs="宋体"/>
                <w:kern w:val="0"/>
                <w:sz w:val="24"/>
              </w:rPr>
              <w:t>单位</w:t>
            </w:r>
          </w:p>
        </w:tc>
        <w:tc>
          <w:tcPr>
            <w:tcW w:w="3407" w:type="dxa"/>
          </w:tcPr>
          <w:p w14:paraId="527AA4E0">
            <w:pPr>
              <w:widowControl/>
              <w:jc w:val="center"/>
              <w:rPr>
                <w:rFonts w:ascii="宋体" w:hAnsi="宋体" w:cs="宋体"/>
                <w:kern w:val="0"/>
                <w:sz w:val="24"/>
              </w:rPr>
            </w:pPr>
            <w:r>
              <w:rPr>
                <w:rFonts w:hint="eastAsia" w:ascii="宋体" w:hAnsi="宋体" w:cs="宋体"/>
                <w:kern w:val="0"/>
                <w:sz w:val="24"/>
              </w:rPr>
              <w:t>压缩机</w:t>
            </w:r>
          </w:p>
        </w:tc>
      </w:tr>
      <w:tr w14:paraId="078BAF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7632DA0C">
            <w:pPr>
              <w:widowControl/>
              <w:jc w:val="left"/>
              <w:rPr>
                <w:rFonts w:ascii="宋体" w:hAnsi="宋体" w:cs="宋体"/>
                <w:kern w:val="0"/>
                <w:sz w:val="24"/>
              </w:rPr>
            </w:pPr>
            <w:r>
              <w:rPr>
                <w:rFonts w:hint="eastAsia" w:ascii="宋体" w:hAnsi="宋体" w:cs="宋体"/>
                <w:kern w:val="0"/>
                <w:sz w:val="24"/>
              </w:rPr>
              <w:t>轴振动</w:t>
            </w:r>
          </w:p>
        </w:tc>
        <w:tc>
          <w:tcPr>
            <w:tcW w:w="772" w:type="dxa"/>
          </w:tcPr>
          <w:p w14:paraId="36F75CDC">
            <w:pPr>
              <w:widowControl/>
              <w:jc w:val="center"/>
              <w:rPr>
                <w:rFonts w:ascii="宋体" w:hAnsi="宋体" w:cs="宋体"/>
                <w:kern w:val="0"/>
                <w:sz w:val="24"/>
              </w:rPr>
            </w:pPr>
            <w:r>
              <w:rPr>
                <w:rFonts w:hint="eastAsia" w:ascii="宋体" w:hAnsi="宋体" w:cs="宋体"/>
                <w:kern w:val="0"/>
                <w:sz w:val="24"/>
              </w:rPr>
              <w:t>μm</w:t>
            </w:r>
          </w:p>
        </w:tc>
        <w:tc>
          <w:tcPr>
            <w:tcW w:w="3407" w:type="dxa"/>
          </w:tcPr>
          <w:p w14:paraId="16FC64E4">
            <w:pPr>
              <w:widowControl/>
              <w:jc w:val="left"/>
              <w:rPr>
                <w:rFonts w:ascii="宋体" w:hAnsi="宋体" w:cs="宋体"/>
                <w:kern w:val="0"/>
                <w:sz w:val="24"/>
              </w:rPr>
            </w:pPr>
            <w:r>
              <w:rPr>
                <w:rFonts w:hint="eastAsia" w:ascii="宋体" w:hAnsi="宋体" w:cs="宋体"/>
                <w:kern w:val="0"/>
                <w:sz w:val="24"/>
              </w:rPr>
              <w:t>≯25.4</w:t>
            </w:r>
          </w:p>
        </w:tc>
      </w:tr>
      <w:tr w14:paraId="6262C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36CE8BBF">
            <w:pPr>
              <w:widowControl/>
              <w:jc w:val="left"/>
              <w:rPr>
                <w:rFonts w:ascii="宋体" w:hAnsi="宋体" w:cs="宋体"/>
                <w:kern w:val="0"/>
                <w:sz w:val="24"/>
              </w:rPr>
            </w:pPr>
            <w:r>
              <w:rPr>
                <w:rFonts w:hint="eastAsia" w:ascii="宋体" w:hAnsi="宋体" w:cs="宋体"/>
                <w:kern w:val="0"/>
                <w:sz w:val="24"/>
              </w:rPr>
              <w:t>轴位移</w:t>
            </w:r>
          </w:p>
        </w:tc>
        <w:tc>
          <w:tcPr>
            <w:tcW w:w="772" w:type="dxa"/>
          </w:tcPr>
          <w:p w14:paraId="53335807">
            <w:pPr>
              <w:widowControl/>
              <w:jc w:val="center"/>
              <w:rPr>
                <w:rFonts w:ascii="宋体" w:hAnsi="宋体" w:cs="宋体"/>
                <w:kern w:val="0"/>
                <w:sz w:val="24"/>
              </w:rPr>
            </w:pPr>
            <w:r>
              <w:rPr>
                <w:rFonts w:hint="eastAsia" w:ascii="宋体" w:hAnsi="宋体" w:cs="宋体"/>
                <w:kern w:val="0"/>
                <w:sz w:val="24"/>
              </w:rPr>
              <w:t>mm</w:t>
            </w:r>
          </w:p>
        </w:tc>
        <w:tc>
          <w:tcPr>
            <w:tcW w:w="3407" w:type="dxa"/>
          </w:tcPr>
          <w:p w14:paraId="6ABF49F7">
            <w:pPr>
              <w:widowControl/>
              <w:jc w:val="left"/>
              <w:rPr>
                <w:rFonts w:ascii="宋体" w:hAnsi="宋体" w:cs="宋体"/>
                <w:kern w:val="0"/>
                <w:sz w:val="24"/>
              </w:rPr>
            </w:pPr>
            <w:r>
              <w:rPr>
                <w:rFonts w:hint="eastAsia" w:ascii="宋体" w:hAnsi="宋体" w:cs="宋体"/>
                <w:kern w:val="0"/>
                <w:sz w:val="24"/>
              </w:rPr>
              <w:t>≯±0.5</w:t>
            </w:r>
          </w:p>
        </w:tc>
      </w:tr>
      <w:tr w14:paraId="46F18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4C5B93A9">
            <w:pPr>
              <w:widowControl/>
              <w:jc w:val="left"/>
              <w:rPr>
                <w:rFonts w:ascii="宋体" w:hAnsi="宋体" w:cs="宋体"/>
                <w:kern w:val="0"/>
                <w:sz w:val="24"/>
              </w:rPr>
            </w:pPr>
            <w:r>
              <w:rPr>
                <w:rFonts w:hint="eastAsia" w:ascii="宋体" w:hAnsi="宋体" w:cs="宋体"/>
                <w:kern w:val="0"/>
                <w:sz w:val="24"/>
              </w:rPr>
              <w:t>径向轴承</w:t>
            </w:r>
          </w:p>
        </w:tc>
        <w:tc>
          <w:tcPr>
            <w:tcW w:w="772" w:type="dxa"/>
          </w:tcPr>
          <w:p w14:paraId="7AF9F8FA">
            <w:pPr>
              <w:widowControl/>
              <w:jc w:val="center"/>
              <w:rPr>
                <w:rFonts w:ascii="宋体" w:hAnsi="宋体" w:cs="宋体"/>
                <w:kern w:val="0"/>
                <w:sz w:val="24"/>
              </w:rPr>
            </w:pPr>
            <w:r>
              <w:rPr>
                <w:rFonts w:hint="eastAsia" w:ascii="宋体" w:hAnsi="宋体" w:cs="宋体"/>
                <w:kern w:val="0"/>
                <w:sz w:val="24"/>
              </w:rPr>
              <w:t>℃</w:t>
            </w:r>
          </w:p>
        </w:tc>
        <w:tc>
          <w:tcPr>
            <w:tcW w:w="3407" w:type="dxa"/>
          </w:tcPr>
          <w:p w14:paraId="3D3DBE86">
            <w:pPr>
              <w:widowControl/>
              <w:jc w:val="left"/>
              <w:rPr>
                <w:rFonts w:ascii="宋体" w:hAnsi="宋体" w:cs="宋体"/>
                <w:kern w:val="0"/>
                <w:sz w:val="24"/>
              </w:rPr>
            </w:pPr>
            <w:r>
              <w:rPr>
                <w:rFonts w:hint="eastAsia" w:ascii="宋体" w:hAnsi="宋体" w:cs="宋体"/>
                <w:kern w:val="0"/>
                <w:sz w:val="24"/>
              </w:rPr>
              <w:t>≯95（</w:t>
            </w:r>
            <w:r>
              <w:rPr>
                <w:rFonts w:hint="eastAsia" w:ascii="宋体" w:hAnsi="宋体" w:cs="宋体"/>
                <w:sz w:val="24"/>
              </w:rPr>
              <w:t>进口油温45±5℃</w:t>
            </w:r>
            <w:r>
              <w:rPr>
                <w:rFonts w:hint="eastAsia" w:ascii="宋体" w:hAnsi="宋体" w:cs="宋体"/>
                <w:kern w:val="0"/>
                <w:sz w:val="24"/>
              </w:rPr>
              <w:t>）</w:t>
            </w:r>
          </w:p>
        </w:tc>
      </w:tr>
      <w:tr w14:paraId="18799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49F58A51">
            <w:pPr>
              <w:widowControl/>
              <w:jc w:val="left"/>
              <w:rPr>
                <w:rFonts w:ascii="宋体" w:hAnsi="宋体" w:cs="宋体"/>
                <w:kern w:val="0"/>
                <w:sz w:val="24"/>
              </w:rPr>
            </w:pPr>
            <w:r>
              <w:rPr>
                <w:rFonts w:hint="eastAsia" w:ascii="宋体" w:hAnsi="宋体" w:cs="宋体"/>
                <w:kern w:val="0"/>
                <w:sz w:val="24"/>
              </w:rPr>
              <w:t>止推轴承</w:t>
            </w:r>
          </w:p>
        </w:tc>
        <w:tc>
          <w:tcPr>
            <w:tcW w:w="772" w:type="dxa"/>
          </w:tcPr>
          <w:p w14:paraId="7440C332">
            <w:pPr>
              <w:widowControl/>
              <w:jc w:val="center"/>
              <w:rPr>
                <w:rFonts w:ascii="宋体" w:hAnsi="宋体" w:cs="宋体"/>
                <w:kern w:val="0"/>
                <w:sz w:val="24"/>
              </w:rPr>
            </w:pPr>
            <w:r>
              <w:rPr>
                <w:rFonts w:hint="eastAsia" w:ascii="宋体" w:hAnsi="宋体" w:cs="宋体"/>
                <w:kern w:val="0"/>
                <w:sz w:val="24"/>
              </w:rPr>
              <w:t>℃</w:t>
            </w:r>
          </w:p>
        </w:tc>
        <w:tc>
          <w:tcPr>
            <w:tcW w:w="3407" w:type="dxa"/>
          </w:tcPr>
          <w:p w14:paraId="4773BB93">
            <w:pPr>
              <w:widowControl/>
              <w:jc w:val="left"/>
              <w:rPr>
                <w:rFonts w:ascii="宋体" w:hAnsi="宋体" w:cs="宋体"/>
                <w:kern w:val="0"/>
                <w:sz w:val="24"/>
              </w:rPr>
            </w:pPr>
            <w:r>
              <w:rPr>
                <w:rFonts w:hint="eastAsia" w:ascii="宋体" w:hAnsi="宋体" w:cs="宋体"/>
                <w:kern w:val="0"/>
                <w:sz w:val="24"/>
              </w:rPr>
              <w:t>≯95（</w:t>
            </w:r>
            <w:r>
              <w:rPr>
                <w:rFonts w:hint="eastAsia" w:ascii="宋体" w:hAnsi="宋体" w:cs="宋体"/>
                <w:sz w:val="24"/>
              </w:rPr>
              <w:t>进口油温45±5℃</w:t>
            </w:r>
            <w:r>
              <w:rPr>
                <w:rFonts w:hint="eastAsia" w:ascii="宋体" w:hAnsi="宋体" w:cs="宋体"/>
                <w:kern w:val="0"/>
                <w:sz w:val="24"/>
              </w:rPr>
              <w:t>）</w:t>
            </w:r>
          </w:p>
        </w:tc>
      </w:tr>
      <w:tr w14:paraId="067142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06E54D4D">
            <w:pPr>
              <w:widowControl/>
              <w:jc w:val="left"/>
              <w:rPr>
                <w:rFonts w:ascii="宋体" w:hAnsi="宋体" w:cs="宋体"/>
                <w:kern w:val="0"/>
                <w:sz w:val="24"/>
              </w:rPr>
            </w:pPr>
            <w:r>
              <w:rPr>
                <w:rFonts w:hint="eastAsia" w:ascii="宋体" w:hAnsi="宋体" w:cs="宋体"/>
                <w:kern w:val="0"/>
                <w:sz w:val="24"/>
              </w:rPr>
              <w:t>径向轴承润滑油温升</w:t>
            </w:r>
          </w:p>
        </w:tc>
        <w:tc>
          <w:tcPr>
            <w:tcW w:w="772" w:type="dxa"/>
          </w:tcPr>
          <w:p w14:paraId="12A756D8">
            <w:pPr>
              <w:widowControl/>
              <w:jc w:val="center"/>
              <w:rPr>
                <w:rFonts w:ascii="宋体" w:hAnsi="宋体" w:cs="宋体"/>
                <w:kern w:val="0"/>
                <w:sz w:val="24"/>
              </w:rPr>
            </w:pPr>
            <w:r>
              <w:rPr>
                <w:rFonts w:hint="eastAsia" w:ascii="宋体" w:hAnsi="宋体" w:cs="宋体"/>
                <w:kern w:val="0"/>
                <w:sz w:val="24"/>
              </w:rPr>
              <w:t>℃</w:t>
            </w:r>
          </w:p>
        </w:tc>
        <w:tc>
          <w:tcPr>
            <w:tcW w:w="3407" w:type="dxa"/>
          </w:tcPr>
          <w:p w14:paraId="636A60C3">
            <w:pPr>
              <w:widowControl/>
              <w:jc w:val="left"/>
              <w:rPr>
                <w:rFonts w:ascii="宋体" w:hAnsi="宋体" w:cs="宋体"/>
                <w:kern w:val="0"/>
                <w:sz w:val="24"/>
              </w:rPr>
            </w:pPr>
            <w:r>
              <w:rPr>
                <w:rFonts w:hint="eastAsia" w:ascii="宋体" w:hAnsi="宋体" w:cs="宋体"/>
                <w:kern w:val="0"/>
                <w:sz w:val="24"/>
              </w:rPr>
              <w:t>≯28</w:t>
            </w:r>
          </w:p>
        </w:tc>
      </w:tr>
      <w:tr w14:paraId="4FDA1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479" w:type="dxa"/>
          </w:tcPr>
          <w:p w14:paraId="067FA5C6">
            <w:pPr>
              <w:widowControl/>
              <w:jc w:val="left"/>
              <w:rPr>
                <w:rFonts w:ascii="宋体" w:hAnsi="宋体" w:cs="宋体"/>
                <w:kern w:val="0"/>
                <w:sz w:val="24"/>
              </w:rPr>
            </w:pPr>
            <w:r>
              <w:rPr>
                <w:rFonts w:hint="eastAsia" w:ascii="宋体" w:hAnsi="宋体" w:cs="宋体"/>
                <w:kern w:val="0"/>
                <w:sz w:val="24"/>
              </w:rPr>
              <w:t>止推轴承润滑油温升</w:t>
            </w:r>
          </w:p>
        </w:tc>
        <w:tc>
          <w:tcPr>
            <w:tcW w:w="772" w:type="dxa"/>
          </w:tcPr>
          <w:p w14:paraId="1D2A0CA6">
            <w:pPr>
              <w:widowControl/>
              <w:jc w:val="center"/>
              <w:rPr>
                <w:rFonts w:ascii="宋体" w:hAnsi="宋体" w:cs="宋体"/>
                <w:kern w:val="0"/>
                <w:sz w:val="24"/>
              </w:rPr>
            </w:pPr>
            <w:r>
              <w:rPr>
                <w:rFonts w:hint="eastAsia" w:ascii="宋体" w:hAnsi="宋体" w:cs="宋体"/>
                <w:kern w:val="0"/>
                <w:sz w:val="24"/>
              </w:rPr>
              <w:t>℃</w:t>
            </w:r>
          </w:p>
        </w:tc>
        <w:tc>
          <w:tcPr>
            <w:tcW w:w="3407" w:type="dxa"/>
          </w:tcPr>
          <w:p w14:paraId="6F935B43">
            <w:pPr>
              <w:widowControl/>
              <w:jc w:val="left"/>
              <w:rPr>
                <w:rFonts w:ascii="宋体" w:hAnsi="宋体" w:cs="宋体"/>
                <w:kern w:val="0"/>
                <w:sz w:val="24"/>
              </w:rPr>
            </w:pPr>
            <w:r>
              <w:rPr>
                <w:rFonts w:hint="eastAsia" w:ascii="宋体" w:hAnsi="宋体" w:cs="宋体"/>
                <w:kern w:val="0"/>
                <w:sz w:val="24"/>
              </w:rPr>
              <w:t>≯28</w:t>
            </w:r>
          </w:p>
        </w:tc>
      </w:tr>
    </w:tbl>
    <w:p w14:paraId="35097512">
      <w:pPr>
        <w:widowControl/>
        <w:numPr>
          <w:ilvl w:val="0"/>
          <w:numId w:val="34"/>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整个机组在招标人现场进行机械运转试验，并提供试车方案，在不超过最大允许排出温度和不发生喘振条件下，吸入大气进行试验并检查油温、振动等情况。</w:t>
      </w:r>
    </w:p>
    <w:p w14:paraId="29C10684">
      <w:pPr>
        <w:widowControl/>
        <w:numPr>
          <w:ilvl w:val="0"/>
          <w:numId w:val="34"/>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现场负荷试车时，投标人、主要配套件分包商（如需要）派人参加，并负责处理因设计制造、配套原因所出现的有关问题，并参加机械运转及试车方案的审定。</w:t>
      </w:r>
    </w:p>
    <w:p w14:paraId="17F292EA">
      <w:pPr>
        <w:numPr>
          <w:ilvl w:val="0"/>
          <w:numId w:val="33"/>
        </w:numPr>
        <w:spacing w:line="360" w:lineRule="auto"/>
        <w:rPr>
          <w:rFonts w:ascii="宋体" w:hAnsi="宋体" w:cs="宋体"/>
          <w:sz w:val="24"/>
        </w:rPr>
      </w:pPr>
      <w:r>
        <w:rPr>
          <w:rFonts w:hint="eastAsia" w:ascii="宋体" w:hAnsi="宋体" w:cs="宋体"/>
          <w:sz w:val="24"/>
        </w:rPr>
        <w:t>润滑油系统</w:t>
      </w:r>
    </w:p>
    <w:tbl>
      <w:tblPr>
        <w:tblStyle w:val="76"/>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85"/>
        <w:gridCol w:w="980"/>
        <w:gridCol w:w="1487"/>
      </w:tblGrid>
      <w:tr w14:paraId="33063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85" w:type="dxa"/>
            <w:vMerge w:val="restart"/>
            <w:vAlign w:val="center"/>
          </w:tcPr>
          <w:p w14:paraId="55F08815">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名    称</w:t>
            </w:r>
          </w:p>
        </w:tc>
        <w:tc>
          <w:tcPr>
            <w:tcW w:w="2467" w:type="dxa"/>
            <w:gridSpan w:val="2"/>
            <w:vAlign w:val="center"/>
          </w:tcPr>
          <w:p w14:paraId="6BC17C2E">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要  求</w:t>
            </w:r>
          </w:p>
        </w:tc>
      </w:tr>
      <w:tr w14:paraId="0DD05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385" w:type="dxa"/>
            <w:vMerge w:val="continue"/>
            <w:vAlign w:val="center"/>
          </w:tcPr>
          <w:p w14:paraId="06E0FCF3">
            <w:pPr>
              <w:widowControl/>
              <w:autoSpaceDE w:val="0"/>
              <w:autoSpaceDN w:val="0"/>
              <w:adjustRightInd w:val="0"/>
              <w:snapToGrid w:val="0"/>
              <w:textAlignment w:val="bottom"/>
              <w:rPr>
                <w:rFonts w:ascii="宋体" w:hAnsi="宋体" w:cs="宋体"/>
                <w:sz w:val="24"/>
              </w:rPr>
            </w:pPr>
          </w:p>
        </w:tc>
        <w:tc>
          <w:tcPr>
            <w:tcW w:w="980" w:type="dxa"/>
            <w:vAlign w:val="center"/>
          </w:tcPr>
          <w:p w14:paraId="1B011062">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需要</w:t>
            </w:r>
          </w:p>
        </w:tc>
        <w:tc>
          <w:tcPr>
            <w:tcW w:w="1487" w:type="dxa"/>
            <w:vAlign w:val="center"/>
          </w:tcPr>
          <w:p w14:paraId="7D3376EC">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招标人见证</w:t>
            </w:r>
          </w:p>
        </w:tc>
      </w:tr>
      <w:tr w14:paraId="1C766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5" w:type="dxa"/>
            <w:vAlign w:val="center"/>
          </w:tcPr>
          <w:p w14:paraId="11E58E4C">
            <w:pPr>
              <w:widowControl/>
              <w:autoSpaceDE w:val="0"/>
              <w:autoSpaceDN w:val="0"/>
              <w:adjustRightInd w:val="0"/>
              <w:snapToGrid w:val="0"/>
              <w:textAlignment w:val="bottom"/>
              <w:rPr>
                <w:rFonts w:ascii="宋体" w:hAnsi="宋体" w:cs="宋体"/>
                <w:sz w:val="24"/>
              </w:rPr>
            </w:pPr>
            <w:r>
              <w:rPr>
                <w:rFonts w:hint="eastAsia" w:ascii="宋体" w:hAnsi="宋体" w:cs="宋体"/>
                <w:sz w:val="24"/>
              </w:rPr>
              <w:t>油箱盛水试验</w:t>
            </w:r>
          </w:p>
        </w:tc>
        <w:tc>
          <w:tcPr>
            <w:tcW w:w="980" w:type="dxa"/>
            <w:vAlign w:val="center"/>
          </w:tcPr>
          <w:p w14:paraId="5A4353C9">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487" w:type="dxa"/>
            <w:vAlign w:val="center"/>
          </w:tcPr>
          <w:p w14:paraId="39AF9157">
            <w:pPr>
              <w:widowControl/>
              <w:autoSpaceDE w:val="0"/>
              <w:autoSpaceDN w:val="0"/>
              <w:adjustRightInd w:val="0"/>
              <w:snapToGrid w:val="0"/>
              <w:jc w:val="center"/>
              <w:textAlignment w:val="bottom"/>
              <w:rPr>
                <w:rFonts w:ascii="宋体" w:hAnsi="宋体" w:cs="宋体"/>
                <w:sz w:val="24"/>
              </w:rPr>
            </w:pPr>
          </w:p>
        </w:tc>
      </w:tr>
      <w:tr w14:paraId="3F739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5" w:type="dxa"/>
            <w:vAlign w:val="center"/>
          </w:tcPr>
          <w:p w14:paraId="0022D2F8">
            <w:pPr>
              <w:widowControl/>
              <w:autoSpaceDE w:val="0"/>
              <w:autoSpaceDN w:val="0"/>
              <w:adjustRightInd w:val="0"/>
              <w:snapToGrid w:val="0"/>
              <w:textAlignment w:val="bottom"/>
              <w:rPr>
                <w:rFonts w:ascii="宋体" w:hAnsi="宋体" w:cs="宋体"/>
                <w:sz w:val="24"/>
              </w:rPr>
            </w:pPr>
            <w:r>
              <w:rPr>
                <w:rFonts w:hint="eastAsia" w:ascii="宋体" w:hAnsi="宋体" w:cs="宋体"/>
                <w:sz w:val="24"/>
              </w:rPr>
              <w:t>高位油箱煤油试验</w:t>
            </w:r>
          </w:p>
        </w:tc>
        <w:tc>
          <w:tcPr>
            <w:tcW w:w="980" w:type="dxa"/>
            <w:vAlign w:val="center"/>
          </w:tcPr>
          <w:p w14:paraId="621C49F5">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487" w:type="dxa"/>
            <w:vAlign w:val="center"/>
          </w:tcPr>
          <w:p w14:paraId="088E76B9">
            <w:pPr>
              <w:widowControl/>
              <w:autoSpaceDE w:val="0"/>
              <w:autoSpaceDN w:val="0"/>
              <w:adjustRightInd w:val="0"/>
              <w:snapToGrid w:val="0"/>
              <w:jc w:val="center"/>
              <w:textAlignment w:val="bottom"/>
              <w:rPr>
                <w:rFonts w:ascii="宋体" w:hAnsi="宋体" w:cs="宋体"/>
                <w:sz w:val="24"/>
              </w:rPr>
            </w:pPr>
          </w:p>
        </w:tc>
      </w:tr>
      <w:tr w14:paraId="4EF141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5" w:type="dxa"/>
            <w:vAlign w:val="center"/>
          </w:tcPr>
          <w:p w14:paraId="61527697">
            <w:pPr>
              <w:widowControl/>
              <w:autoSpaceDE w:val="0"/>
              <w:autoSpaceDN w:val="0"/>
              <w:adjustRightInd w:val="0"/>
              <w:snapToGrid w:val="0"/>
              <w:textAlignment w:val="bottom"/>
              <w:rPr>
                <w:rFonts w:ascii="宋体" w:hAnsi="宋体" w:cs="宋体"/>
                <w:sz w:val="24"/>
              </w:rPr>
            </w:pPr>
            <w:r>
              <w:rPr>
                <w:rFonts w:hint="eastAsia" w:ascii="宋体" w:hAnsi="宋体" w:cs="宋体"/>
                <w:sz w:val="24"/>
              </w:rPr>
              <w:t>油冷却器、油过滤器、油管路水压试验</w:t>
            </w:r>
          </w:p>
        </w:tc>
        <w:tc>
          <w:tcPr>
            <w:tcW w:w="980" w:type="dxa"/>
            <w:vAlign w:val="center"/>
          </w:tcPr>
          <w:p w14:paraId="43D80873">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487" w:type="dxa"/>
            <w:vAlign w:val="center"/>
          </w:tcPr>
          <w:p w14:paraId="458783F0">
            <w:pPr>
              <w:widowControl/>
              <w:autoSpaceDE w:val="0"/>
              <w:autoSpaceDN w:val="0"/>
              <w:adjustRightInd w:val="0"/>
              <w:snapToGrid w:val="0"/>
              <w:jc w:val="center"/>
              <w:textAlignment w:val="bottom"/>
              <w:rPr>
                <w:rFonts w:ascii="宋体" w:hAnsi="宋体" w:cs="宋体"/>
                <w:sz w:val="24"/>
              </w:rPr>
            </w:pPr>
          </w:p>
        </w:tc>
      </w:tr>
      <w:tr w14:paraId="4D307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5" w:type="dxa"/>
            <w:vAlign w:val="center"/>
          </w:tcPr>
          <w:p w14:paraId="18C17397">
            <w:pPr>
              <w:widowControl/>
              <w:autoSpaceDE w:val="0"/>
              <w:autoSpaceDN w:val="0"/>
              <w:adjustRightInd w:val="0"/>
              <w:snapToGrid w:val="0"/>
              <w:textAlignment w:val="bottom"/>
              <w:rPr>
                <w:rFonts w:ascii="宋体" w:hAnsi="宋体" w:cs="宋体"/>
                <w:sz w:val="24"/>
              </w:rPr>
            </w:pPr>
            <w:r>
              <w:rPr>
                <w:rFonts w:hint="eastAsia" w:ascii="宋体" w:hAnsi="宋体" w:cs="宋体"/>
                <w:sz w:val="24"/>
              </w:rPr>
              <w:t>油站功能运转试验</w:t>
            </w:r>
          </w:p>
        </w:tc>
        <w:tc>
          <w:tcPr>
            <w:tcW w:w="980" w:type="dxa"/>
            <w:vAlign w:val="center"/>
          </w:tcPr>
          <w:p w14:paraId="1D880BB8">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c>
          <w:tcPr>
            <w:tcW w:w="1487" w:type="dxa"/>
            <w:vAlign w:val="center"/>
          </w:tcPr>
          <w:p w14:paraId="6DF4A2DE">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w:t>
            </w:r>
          </w:p>
        </w:tc>
      </w:tr>
    </w:tbl>
    <w:p w14:paraId="6C2FEBFB">
      <w:pPr>
        <w:spacing w:line="360" w:lineRule="auto"/>
        <w:rPr>
          <w:rFonts w:ascii="宋体" w:hAnsi="宋体" w:cs="宋体"/>
          <w:sz w:val="24"/>
        </w:rPr>
      </w:pPr>
    </w:p>
    <w:p w14:paraId="08C597A4">
      <w:pPr>
        <w:numPr>
          <w:ilvl w:val="0"/>
          <w:numId w:val="33"/>
        </w:numPr>
        <w:spacing w:line="360" w:lineRule="auto"/>
        <w:rPr>
          <w:rFonts w:ascii="宋体" w:hAnsi="宋体" w:cs="宋体"/>
          <w:sz w:val="24"/>
        </w:rPr>
      </w:pPr>
      <w:r>
        <w:rPr>
          <w:rFonts w:hint="eastAsia" w:ascii="宋体" w:hAnsi="宋体" w:cs="宋体"/>
          <w:sz w:val="24"/>
        </w:rPr>
        <w:t>齿轮箱</w:t>
      </w:r>
    </w:p>
    <w:p w14:paraId="271C43AD">
      <w:pPr>
        <w:widowControl/>
        <w:numPr>
          <w:ilvl w:val="0"/>
          <w:numId w:val="35"/>
        </w:numPr>
        <w:tabs>
          <w:tab w:val="left" w:pos="0"/>
        </w:tabs>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试验及招标人见证项目：</w:t>
      </w:r>
    </w:p>
    <w:tbl>
      <w:tblPr>
        <w:tblStyle w:val="76"/>
        <w:tblW w:w="0" w:type="auto"/>
        <w:tblInd w:w="8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66"/>
        <w:gridCol w:w="1028"/>
        <w:gridCol w:w="2002"/>
      </w:tblGrid>
      <w:tr w14:paraId="12724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66" w:type="dxa"/>
            <w:vMerge w:val="restart"/>
            <w:vAlign w:val="center"/>
          </w:tcPr>
          <w:p w14:paraId="7A958339">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名      称</w:t>
            </w:r>
          </w:p>
        </w:tc>
        <w:tc>
          <w:tcPr>
            <w:tcW w:w="3030" w:type="dxa"/>
            <w:gridSpan w:val="2"/>
            <w:vAlign w:val="center"/>
          </w:tcPr>
          <w:p w14:paraId="1808413D">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要  求</w:t>
            </w:r>
          </w:p>
        </w:tc>
      </w:tr>
      <w:tr w14:paraId="76CFF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766" w:type="dxa"/>
            <w:vMerge w:val="continue"/>
            <w:vAlign w:val="center"/>
          </w:tcPr>
          <w:p w14:paraId="22FA110D">
            <w:pPr>
              <w:widowControl/>
              <w:autoSpaceDE w:val="0"/>
              <w:autoSpaceDN w:val="0"/>
              <w:adjustRightInd w:val="0"/>
              <w:snapToGrid w:val="0"/>
              <w:textAlignment w:val="bottom"/>
              <w:rPr>
                <w:rFonts w:ascii="宋体" w:hAnsi="宋体" w:cs="宋体"/>
                <w:sz w:val="24"/>
              </w:rPr>
            </w:pPr>
          </w:p>
        </w:tc>
        <w:tc>
          <w:tcPr>
            <w:tcW w:w="1028" w:type="dxa"/>
            <w:vAlign w:val="center"/>
          </w:tcPr>
          <w:p w14:paraId="4B22F856">
            <w:pPr>
              <w:widowControl/>
              <w:autoSpaceDE w:val="0"/>
              <w:autoSpaceDN w:val="0"/>
              <w:adjustRightInd w:val="0"/>
              <w:snapToGrid w:val="0"/>
              <w:textAlignment w:val="bottom"/>
              <w:rPr>
                <w:rFonts w:ascii="宋体" w:hAnsi="宋体" w:cs="宋体"/>
                <w:sz w:val="24"/>
              </w:rPr>
            </w:pPr>
            <w:r>
              <w:rPr>
                <w:rFonts w:hint="eastAsia" w:ascii="宋体" w:hAnsi="宋体" w:cs="宋体"/>
                <w:sz w:val="24"/>
              </w:rPr>
              <w:t>需要</w:t>
            </w:r>
          </w:p>
        </w:tc>
        <w:tc>
          <w:tcPr>
            <w:tcW w:w="2002" w:type="dxa"/>
            <w:vAlign w:val="center"/>
          </w:tcPr>
          <w:p w14:paraId="4DAA5190">
            <w:pPr>
              <w:widowControl/>
              <w:autoSpaceDE w:val="0"/>
              <w:autoSpaceDN w:val="0"/>
              <w:adjustRightInd w:val="0"/>
              <w:snapToGrid w:val="0"/>
              <w:textAlignment w:val="bottom"/>
              <w:rPr>
                <w:rFonts w:ascii="宋体" w:hAnsi="宋体" w:cs="宋体"/>
                <w:sz w:val="24"/>
              </w:rPr>
            </w:pPr>
            <w:r>
              <w:rPr>
                <w:rFonts w:hint="eastAsia" w:ascii="宋体" w:hAnsi="宋体" w:cs="宋体"/>
                <w:sz w:val="24"/>
              </w:rPr>
              <w:t>招标人见证</w:t>
            </w:r>
          </w:p>
        </w:tc>
      </w:tr>
      <w:tr w14:paraId="5C2DF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66" w:type="dxa"/>
            <w:vAlign w:val="center"/>
          </w:tcPr>
          <w:p w14:paraId="2302200C">
            <w:pPr>
              <w:widowControl/>
              <w:autoSpaceDE w:val="0"/>
              <w:autoSpaceDN w:val="0"/>
              <w:adjustRightInd w:val="0"/>
              <w:snapToGrid w:val="0"/>
              <w:textAlignment w:val="bottom"/>
              <w:rPr>
                <w:rFonts w:ascii="宋体" w:hAnsi="宋体" w:cs="宋体"/>
                <w:sz w:val="24"/>
              </w:rPr>
            </w:pPr>
            <w:r>
              <w:rPr>
                <w:rFonts w:hint="eastAsia" w:ascii="宋体" w:hAnsi="宋体" w:cs="宋体"/>
                <w:sz w:val="24"/>
              </w:rPr>
              <w:t>齿轮箱转子低速动平衡试验</w:t>
            </w:r>
          </w:p>
        </w:tc>
        <w:tc>
          <w:tcPr>
            <w:tcW w:w="1028" w:type="dxa"/>
            <w:vAlign w:val="center"/>
          </w:tcPr>
          <w:p w14:paraId="6E223A51">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2002" w:type="dxa"/>
            <w:vAlign w:val="center"/>
          </w:tcPr>
          <w:p w14:paraId="2EC1375B">
            <w:pPr>
              <w:widowControl/>
              <w:autoSpaceDE w:val="0"/>
              <w:autoSpaceDN w:val="0"/>
              <w:adjustRightInd w:val="0"/>
              <w:snapToGrid w:val="0"/>
              <w:textAlignment w:val="bottom"/>
              <w:rPr>
                <w:rFonts w:ascii="宋体" w:hAnsi="宋体" w:cs="宋体"/>
                <w:sz w:val="24"/>
              </w:rPr>
            </w:pPr>
          </w:p>
        </w:tc>
      </w:tr>
    </w:tbl>
    <w:p w14:paraId="0177A2E2">
      <w:pPr>
        <w:widowControl/>
        <w:numPr>
          <w:ilvl w:val="0"/>
          <w:numId w:val="35"/>
        </w:numPr>
        <w:tabs>
          <w:tab w:val="left" w:pos="0"/>
        </w:tabs>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机械运转试车</w:t>
      </w:r>
    </w:p>
    <w:p w14:paraId="1300E02C">
      <w:pPr>
        <w:widowControl/>
        <w:numPr>
          <w:ilvl w:val="0"/>
          <w:numId w:val="36"/>
        </w:numPr>
        <w:tabs>
          <w:tab w:val="left" w:pos="0"/>
        </w:tabs>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中标人在试车前，须向招标人提供试车大纲，招标人确认后，方可试车。</w:t>
      </w:r>
    </w:p>
    <w:p w14:paraId="70B2BA3E">
      <w:pPr>
        <w:widowControl/>
        <w:numPr>
          <w:ilvl w:val="0"/>
          <w:numId w:val="36"/>
        </w:numPr>
        <w:tabs>
          <w:tab w:val="left" w:pos="0"/>
        </w:tabs>
        <w:autoSpaceDE w:val="0"/>
        <w:autoSpaceDN w:val="0"/>
        <w:snapToGrid w:val="0"/>
        <w:spacing w:line="360" w:lineRule="auto"/>
        <w:ind w:left="0" w:firstLine="840"/>
        <w:textAlignment w:val="bottom"/>
        <w:rPr>
          <w:rFonts w:ascii="宋体" w:hAnsi="宋体" w:cs="宋体"/>
          <w:sz w:val="24"/>
        </w:rPr>
      </w:pPr>
      <w:r>
        <w:rPr>
          <w:rFonts w:hint="eastAsia" w:ascii="宋体" w:hAnsi="宋体" w:cs="宋体"/>
          <w:sz w:val="24"/>
        </w:rPr>
        <w:t>中标人在齿轮箱试车前1个月以传真方式通知招标人到中标人工厂内参与、见证机械运转试车。轴头带当量载荷（联轴器），在最大连续转速空负荷状态下至少运行4小时。超速试验要求：110 % 最大连续转速（至少15分钟）。振动值不得超过额定转速下振动值的1.5倍。</w:t>
      </w:r>
      <w:bookmarkStart w:id="162" w:name="OLE_LINK9"/>
      <w:bookmarkStart w:id="163" w:name="OLE_LINK8"/>
      <w:bookmarkStart w:id="164" w:name="OLE_LINK5"/>
    </w:p>
    <w:p w14:paraId="3E46B8D3">
      <w:pPr>
        <w:widowControl/>
        <w:numPr>
          <w:ilvl w:val="0"/>
          <w:numId w:val="36"/>
        </w:numPr>
        <w:tabs>
          <w:tab w:val="left" w:pos="0"/>
        </w:tabs>
        <w:autoSpaceDE w:val="0"/>
        <w:autoSpaceDN w:val="0"/>
        <w:snapToGrid w:val="0"/>
        <w:spacing w:line="360" w:lineRule="auto"/>
        <w:ind w:left="840" w:firstLine="0"/>
        <w:jc w:val="left"/>
        <w:textAlignment w:val="bottom"/>
        <w:rPr>
          <w:rFonts w:ascii="宋体" w:hAnsi="宋体" w:cs="宋体"/>
          <w:sz w:val="24"/>
        </w:rPr>
      </w:pPr>
      <w:r>
        <w:rPr>
          <w:rFonts w:hint="eastAsia" w:ascii="宋体" w:hAnsi="宋体" w:cs="宋体"/>
          <w:sz w:val="24"/>
        </w:rPr>
        <w:t>现场试车：齿轮箱在现场与主机一起试车，</w:t>
      </w:r>
      <w:bookmarkEnd w:id="162"/>
      <w:bookmarkEnd w:id="163"/>
      <w:bookmarkEnd w:id="164"/>
      <w:r>
        <w:rPr>
          <w:rFonts w:hint="eastAsia" w:ascii="宋体" w:hAnsi="宋体" w:cs="宋体"/>
          <w:sz w:val="24"/>
        </w:rPr>
        <w:t>在额定转速下连续运行4小时。</w:t>
      </w:r>
    </w:p>
    <w:p w14:paraId="0E56774C">
      <w:pPr>
        <w:numPr>
          <w:ilvl w:val="0"/>
          <w:numId w:val="33"/>
        </w:numPr>
        <w:spacing w:line="360" w:lineRule="auto"/>
        <w:rPr>
          <w:rFonts w:ascii="宋体" w:hAnsi="宋体" w:cs="宋体"/>
          <w:sz w:val="24"/>
        </w:rPr>
      </w:pPr>
      <w:r>
        <w:rPr>
          <w:rFonts w:hint="eastAsia" w:ascii="宋体" w:hAnsi="宋体" w:cs="宋体"/>
          <w:sz w:val="24"/>
        </w:rPr>
        <w:t>压力容器</w:t>
      </w:r>
    </w:p>
    <w:tbl>
      <w:tblPr>
        <w:tblStyle w:val="76"/>
        <w:tblW w:w="0" w:type="auto"/>
        <w:tblInd w:w="6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26"/>
        <w:gridCol w:w="1512"/>
        <w:gridCol w:w="1714"/>
      </w:tblGrid>
      <w:tr w14:paraId="23437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26" w:type="dxa"/>
            <w:vMerge w:val="restart"/>
            <w:vAlign w:val="center"/>
          </w:tcPr>
          <w:p w14:paraId="4BD4C7C3">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名      称</w:t>
            </w:r>
          </w:p>
        </w:tc>
        <w:tc>
          <w:tcPr>
            <w:tcW w:w="3226" w:type="dxa"/>
            <w:gridSpan w:val="2"/>
            <w:vAlign w:val="center"/>
          </w:tcPr>
          <w:p w14:paraId="7A04D9FF">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要  求</w:t>
            </w:r>
          </w:p>
        </w:tc>
      </w:tr>
      <w:tr w14:paraId="7AED9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4626" w:type="dxa"/>
            <w:vMerge w:val="continue"/>
            <w:vAlign w:val="center"/>
          </w:tcPr>
          <w:p w14:paraId="52C9138A">
            <w:pPr>
              <w:widowControl/>
              <w:autoSpaceDE w:val="0"/>
              <w:autoSpaceDN w:val="0"/>
              <w:adjustRightInd w:val="0"/>
              <w:snapToGrid w:val="0"/>
              <w:jc w:val="center"/>
              <w:textAlignment w:val="bottom"/>
              <w:rPr>
                <w:rFonts w:ascii="宋体" w:hAnsi="宋体" w:cs="宋体"/>
                <w:sz w:val="24"/>
              </w:rPr>
            </w:pPr>
          </w:p>
        </w:tc>
        <w:tc>
          <w:tcPr>
            <w:tcW w:w="1512" w:type="dxa"/>
            <w:vAlign w:val="center"/>
          </w:tcPr>
          <w:p w14:paraId="080EF169">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需要</w:t>
            </w:r>
          </w:p>
        </w:tc>
        <w:tc>
          <w:tcPr>
            <w:tcW w:w="1714" w:type="dxa"/>
            <w:vAlign w:val="center"/>
          </w:tcPr>
          <w:p w14:paraId="3F4109DC">
            <w:pPr>
              <w:widowControl/>
              <w:autoSpaceDE w:val="0"/>
              <w:autoSpaceDN w:val="0"/>
              <w:adjustRightInd w:val="0"/>
              <w:snapToGrid w:val="0"/>
              <w:jc w:val="center"/>
              <w:textAlignment w:val="bottom"/>
              <w:rPr>
                <w:rFonts w:ascii="宋体" w:hAnsi="宋体" w:cs="宋体"/>
                <w:sz w:val="24"/>
              </w:rPr>
            </w:pPr>
            <w:r>
              <w:rPr>
                <w:rFonts w:hint="eastAsia" w:ascii="宋体" w:hAnsi="宋体" w:cs="宋体"/>
                <w:sz w:val="24"/>
              </w:rPr>
              <w:t>招标人见证</w:t>
            </w:r>
          </w:p>
        </w:tc>
      </w:tr>
      <w:tr w14:paraId="05CDD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vAlign w:val="center"/>
          </w:tcPr>
          <w:p w14:paraId="3EEBF0FB">
            <w:pPr>
              <w:widowControl/>
              <w:autoSpaceDE w:val="0"/>
              <w:autoSpaceDN w:val="0"/>
              <w:adjustRightInd w:val="0"/>
              <w:snapToGrid w:val="0"/>
              <w:textAlignment w:val="bottom"/>
              <w:rPr>
                <w:rFonts w:ascii="宋体" w:hAnsi="宋体" w:cs="宋体"/>
                <w:sz w:val="24"/>
              </w:rPr>
            </w:pPr>
            <w:r>
              <w:rPr>
                <w:rFonts w:hint="eastAsia" w:ascii="宋体" w:hAnsi="宋体" w:cs="宋体"/>
                <w:sz w:val="24"/>
              </w:rPr>
              <w:t>水压试验(油路系统用气试，禁止用水）</w:t>
            </w:r>
          </w:p>
        </w:tc>
        <w:tc>
          <w:tcPr>
            <w:tcW w:w="1512" w:type="dxa"/>
            <w:vAlign w:val="center"/>
          </w:tcPr>
          <w:p w14:paraId="67998A40">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714" w:type="dxa"/>
            <w:vAlign w:val="center"/>
          </w:tcPr>
          <w:p w14:paraId="07011A78">
            <w:pPr>
              <w:widowControl/>
              <w:autoSpaceDE w:val="0"/>
              <w:autoSpaceDN w:val="0"/>
              <w:adjustRightInd w:val="0"/>
              <w:snapToGrid w:val="0"/>
              <w:textAlignment w:val="bottom"/>
              <w:rPr>
                <w:rFonts w:ascii="宋体" w:hAnsi="宋体" w:cs="宋体"/>
                <w:sz w:val="24"/>
              </w:rPr>
            </w:pPr>
          </w:p>
        </w:tc>
      </w:tr>
      <w:tr w14:paraId="302108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26" w:type="dxa"/>
            <w:vAlign w:val="center"/>
          </w:tcPr>
          <w:p w14:paraId="0D8AE859">
            <w:pPr>
              <w:widowControl/>
              <w:autoSpaceDE w:val="0"/>
              <w:autoSpaceDN w:val="0"/>
              <w:adjustRightInd w:val="0"/>
              <w:snapToGrid w:val="0"/>
              <w:textAlignment w:val="bottom"/>
              <w:rPr>
                <w:rFonts w:ascii="宋体" w:hAnsi="宋体" w:cs="宋体"/>
                <w:sz w:val="24"/>
              </w:rPr>
            </w:pPr>
            <w:r>
              <w:rPr>
                <w:rFonts w:hint="eastAsia" w:ascii="宋体" w:hAnsi="宋体" w:cs="宋体"/>
                <w:sz w:val="24"/>
              </w:rPr>
              <w:t>泄露试验</w:t>
            </w:r>
          </w:p>
        </w:tc>
        <w:tc>
          <w:tcPr>
            <w:tcW w:w="1512" w:type="dxa"/>
            <w:vAlign w:val="center"/>
          </w:tcPr>
          <w:p w14:paraId="37FE33B5">
            <w:pPr>
              <w:widowControl/>
              <w:autoSpaceDE w:val="0"/>
              <w:autoSpaceDN w:val="0"/>
              <w:adjustRightInd w:val="0"/>
              <w:snapToGrid w:val="0"/>
              <w:textAlignment w:val="bottom"/>
              <w:rPr>
                <w:rFonts w:ascii="宋体" w:hAnsi="宋体" w:cs="宋体"/>
                <w:sz w:val="24"/>
              </w:rPr>
            </w:pPr>
            <w:r>
              <w:rPr>
                <w:rFonts w:hint="eastAsia" w:ascii="宋体" w:hAnsi="宋体" w:cs="宋体"/>
                <w:sz w:val="24"/>
              </w:rPr>
              <w:t>见图样要求</w:t>
            </w:r>
          </w:p>
        </w:tc>
        <w:tc>
          <w:tcPr>
            <w:tcW w:w="1714" w:type="dxa"/>
            <w:vAlign w:val="center"/>
          </w:tcPr>
          <w:p w14:paraId="3295DB88">
            <w:pPr>
              <w:widowControl/>
              <w:autoSpaceDE w:val="0"/>
              <w:autoSpaceDN w:val="0"/>
              <w:adjustRightInd w:val="0"/>
              <w:snapToGrid w:val="0"/>
              <w:textAlignment w:val="bottom"/>
              <w:rPr>
                <w:rFonts w:ascii="宋体" w:hAnsi="宋体" w:cs="宋体"/>
                <w:sz w:val="24"/>
              </w:rPr>
            </w:pPr>
          </w:p>
        </w:tc>
      </w:tr>
    </w:tbl>
    <w:p w14:paraId="51A2375C">
      <w:pPr>
        <w:adjustRightInd w:val="0"/>
        <w:snapToGrid w:val="0"/>
        <w:spacing w:line="360" w:lineRule="auto"/>
        <w:outlineLvl w:val="0"/>
        <w:rPr>
          <w:rFonts w:asciiTheme="majorEastAsia" w:hAnsiTheme="majorEastAsia" w:eastAsiaTheme="majorEastAsia"/>
          <w:b/>
          <w:bCs/>
          <w:sz w:val="28"/>
          <w:szCs w:val="28"/>
        </w:rPr>
      </w:pPr>
      <w:bookmarkStart w:id="165" w:name="_Toc195433165"/>
      <w:r>
        <w:rPr>
          <w:rFonts w:asciiTheme="majorEastAsia" w:hAnsiTheme="majorEastAsia" w:eastAsiaTheme="majorEastAsia"/>
          <w:b/>
          <w:bCs/>
          <w:sz w:val="28"/>
          <w:szCs w:val="28"/>
        </w:rPr>
        <w:t>10.性能保证</w:t>
      </w:r>
      <w:bookmarkEnd w:id="165"/>
    </w:p>
    <w:p w14:paraId="32C63A8B">
      <w:pPr>
        <w:widowControl/>
        <w:numPr>
          <w:ilvl w:val="1"/>
          <w:numId w:val="37"/>
        </w:numPr>
        <w:autoSpaceDE w:val="0"/>
        <w:autoSpaceDN w:val="0"/>
        <w:snapToGrid w:val="0"/>
        <w:spacing w:line="360" w:lineRule="auto"/>
        <w:textAlignment w:val="bottom"/>
        <w:rPr>
          <w:rFonts w:ascii="宋体" w:hAnsi="宋体" w:cs="宋体"/>
          <w:sz w:val="24"/>
        </w:rPr>
      </w:pPr>
      <w:r>
        <w:rPr>
          <w:rFonts w:hint="eastAsia" w:ascii="宋体" w:hAnsi="宋体" w:cs="宋体"/>
          <w:sz w:val="24"/>
        </w:rPr>
        <w:t>中标人保证提供的设备是全新的、未使用过的，采用的是最佳材料和一流的设计和制造工艺，并经检测、试验是完全合格，并在各个方面符合合同规定的质量、规格和性能要求。在质保期内，由于中标人原因造成的质量缺陷由中标人免费修理或免费更换零部件。</w:t>
      </w:r>
    </w:p>
    <w:p w14:paraId="4A53C661">
      <w:pPr>
        <w:widowControl/>
        <w:numPr>
          <w:ilvl w:val="1"/>
          <w:numId w:val="37"/>
        </w:numPr>
        <w:autoSpaceDE w:val="0"/>
        <w:autoSpaceDN w:val="0"/>
        <w:snapToGrid w:val="0"/>
        <w:spacing w:line="360" w:lineRule="auto"/>
        <w:textAlignment w:val="bottom"/>
        <w:rPr>
          <w:rFonts w:ascii="宋体" w:hAnsi="宋体" w:cs="宋体"/>
          <w:sz w:val="24"/>
        </w:rPr>
      </w:pPr>
      <w:r>
        <w:rPr>
          <w:rFonts w:hint="eastAsia" w:ascii="宋体" w:hAnsi="宋体" w:cs="宋体"/>
          <w:sz w:val="24"/>
        </w:rPr>
        <w:t xml:space="preserve"> 压缩机机组，其设计和构成应确保其使用寿命至少为二十年；不间断地运行时间至少为五年。</w:t>
      </w:r>
    </w:p>
    <w:p w14:paraId="2D4BBDA0">
      <w:pPr>
        <w:widowControl/>
        <w:numPr>
          <w:ilvl w:val="1"/>
          <w:numId w:val="37"/>
        </w:numPr>
        <w:autoSpaceDE w:val="0"/>
        <w:autoSpaceDN w:val="0"/>
        <w:snapToGrid w:val="0"/>
        <w:spacing w:line="360" w:lineRule="auto"/>
        <w:textAlignment w:val="bottom"/>
        <w:rPr>
          <w:rFonts w:ascii="宋体" w:hAnsi="宋体" w:cs="宋体"/>
          <w:sz w:val="24"/>
        </w:rPr>
      </w:pPr>
      <w:r>
        <w:rPr>
          <w:rFonts w:hint="eastAsia" w:ascii="宋体" w:hAnsi="宋体" w:cs="宋体"/>
          <w:sz w:val="24"/>
        </w:rPr>
        <w:t xml:space="preserve"> 机组性能保证：</w:t>
      </w:r>
    </w:p>
    <w:p w14:paraId="16C2205B">
      <w:pPr>
        <w:widowControl/>
        <w:numPr>
          <w:ilvl w:val="0"/>
          <w:numId w:val="38"/>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压缩机的保证点在正常运行点。</w:t>
      </w:r>
    </w:p>
    <w:p w14:paraId="2C8C6884">
      <w:pPr>
        <w:widowControl/>
        <w:numPr>
          <w:ilvl w:val="0"/>
          <w:numId w:val="38"/>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压缩机正常工况运行点能量头和流量设计不得有负偏差，在上述条件下，其功率不应大于正常运行点设计值的107%。</w:t>
      </w:r>
    </w:p>
    <w:p w14:paraId="29D93262">
      <w:pPr>
        <w:widowControl/>
        <w:numPr>
          <w:ilvl w:val="0"/>
          <w:numId w:val="38"/>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能量头—流量特性曲线应连续上升，当流量大于数据表中预定喘振流量10%以上的任何流量下，在不开启旁通路时，压缩机应能连续工作。</w:t>
      </w:r>
    </w:p>
    <w:p w14:paraId="50843354">
      <w:pPr>
        <w:widowControl/>
        <w:numPr>
          <w:ilvl w:val="0"/>
          <w:numId w:val="38"/>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压缩机组运行能力应能满足数据表中规定最大工况参数要求。</w:t>
      </w:r>
    </w:p>
    <w:p w14:paraId="0406D7B3">
      <w:pPr>
        <w:widowControl/>
        <w:numPr>
          <w:ilvl w:val="1"/>
          <w:numId w:val="37"/>
        </w:numPr>
        <w:autoSpaceDE w:val="0"/>
        <w:autoSpaceDN w:val="0"/>
        <w:snapToGrid w:val="0"/>
        <w:spacing w:line="360" w:lineRule="auto"/>
        <w:textAlignment w:val="bottom"/>
        <w:rPr>
          <w:rFonts w:ascii="宋体" w:hAnsi="宋体" w:cs="宋体"/>
          <w:sz w:val="24"/>
        </w:rPr>
      </w:pPr>
      <w:r>
        <w:rPr>
          <w:rFonts w:hint="eastAsia" w:ascii="宋体" w:hAnsi="宋体" w:cs="宋体"/>
          <w:sz w:val="24"/>
        </w:rPr>
        <w:t xml:space="preserve"> 投标人承担合同范围内所包括的所有分包设备的责任。</w:t>
      </w:r>
    </w:p>
    <w:p w14:paraId="33432BFE">
      <w:pPr>
        <w:widowControl/>
        <w:numPr>
          <w:ilvl w:val="1"/>
          <w:numId w:val="37"/>
        </w:numPr>
        <w:autoSpaceDE w:val="0"/>
        <w:autoSpaceDN w:val="0"/>
        <w:snapToGrid w:val="0"/>
        <w:spacing w:line="360" w:lineRule="auto"/>
        <w:textAlignment w:val="bottom"/>
        <w:rPr>
          <w:rFonts w:ascii="宋体" w:hAnsi="宋体" w:cs="宋体"/>
          <w:sz w:val="24"/>
        </w:rPr>
      </w:pPr>
      <w:r>
        <w:rPr>
          <w:rFonts w:hint="eastAsia" w:ascii="宋体" w:hAnsi="宋体" w:cs="宋体"/>
          <w:sz w:val="24"/>
        </w:rPr>
        <w:t xml:space="preserve"> 机械保证期：设备性能考核验收合格后十二个月或全部设备交货后二十二个月，两者以先到为准。</w:t>
      </w:r>
    </w:p>
    <w:p w14:paraId="52DEDACE">
      <w:pPr>
        <w:adjustRightInd w:val="0"/>
        <w:snapToGrid w:val="0"/>
        <w:spacing w:line="360" w:lineRule="auto"/>
        <w:outlineLvl w:val="0"/>
        <w:rPr>
          <w:rFonts w:asciiTheme="majorEastAsia" w:hAnsiTheme="majorEastAsia" w:eastAsiaTheme="majorEastAsia"/>
          <w:b/>
          <w:bCs/>
          <w:sz w:val="28"/>
          <w:szCs w:val="28"/>
        </w:rPr>
      </w:pPr>
      <w:bookmarkStart w:id="166" w:name="_Toc195433166"/>
      <w:r>
        <w:rPr>
          <w:rFonts w:asciiTheme="majorEastAsia" w:hAnsiTheme="majorEastAsia" w:eastAsiaTheme="majorEastAsia"/>
          <w:bCs/>
          <w:sz w:val="28"/>
          <w:szCs w:val="28"/>
        </w:rPr>
        <w:t>11.</w:t>
      </w:r>
      <w:r>
        <w:rPr>
          <w:rFonts w:asciiTheme="majorEastAsia" w:hAnsiTheme="majorEastAsia" w:eastAsiaTheme="majorEastAsia"/>
          <w:b/>
          <w:bCs/>
          <w:sz w:val="28"/>
          <w:szCs w:val="28"/>
        </w:rPr>
        <w:t>设计分工和图纸交付要求</w:t>
      </w:r>
      <w:bookmarkEnd w:id="166"/>
    </w:p>
    <w:p w14:paraId="5A239548">
      <w:pPr>
        <w:spacing w:line="360" w:lineRule="auto"/>
        <w:ind w:firstLine="720" w:firstLineChars="300"/>
        <w:contextualSpacing/>
        <w:jc w:val="left"/>
        <w:rPr>
          <w:rFonts w:ascii="宋体" w:cs="仿宋"/>
          <w:b/>
          <w:i/>
          <w:sz w:val="24"/>
        </w:rPr>
      </w:pPr>
      <w:r>
        <w:rPr>
          <w:rFonts w:hint="eastAsia" w:ascii="宋体" w:cs="仿宋"/>
          <w:b/>
          <w:i/>
          <w:sz w:val="24"/>
        </w:rPr>
        <w:t>在详细设计阶段，招标人提出的合理优化方案及建议，中标人必须无条件接受并实施，且不得额外收取设计和设备材料费用。</w:t>
      </w:r>
    </w:p>
    <w:p w14:paraId="624C4F3F">
      <w:pPr>
        <w:widowControl/>
        <w:numPr>
          <w:ilvl w:val="1"/>
          <w:numId w:val="39"/>
        </w:numPr>
        <w:autoSpaceDE w:val="0"/>
        <w:autoSpaceDN w:val="0"/>
        <w:snapToGrid w:val="0"/>
        <w:spacing w:line="360" w:lineRule="auto"/>
        <w:ind w:left="0" w:firstLine="0"/>
        <w:textAlignment w:val="bottom"/>
        <w:rPr>
          <w:rFonts w:ascii="宋体" w:hAnsi="宋体" w:cs="宋体"/>
          <w:sz w:val="24"/>
        </w:rPr>
      </w:pPr>
      <w:r>
        <w:rPr>
          <w:rFonts w:hint="eastAsia" w:ascii="宋体" w:hAnsi="宋体" w:cs="宋体"/>
          <w:sz w:val="24"/>
        </w:rPr>
        <w:t>中标人负责项目（有且不限于）</w:t>
      </w:r>
    </w:p>
    <w:p w14:paraId="6127DD8E">
      <w:pPr>
        <w:widowControl/>
        <w:numPr>
          <w:ilvl w:val="0"/>
          <w:numId w:val="40"/>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压缩机组总成套设备，主驱动机联接设计和辅机布置设计。</w:t>
      </w:r>
    </w:p>
    <w:p w14:paraId="60D732CD">
      <w:pPr>
        <w:widowControl/>
        <w:numPr>
          <w:ilvl w:val="0"/>
          <w:numId w:val="40"/>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机组总成套设备的设计和选型设计。</w:t>
      </w:r>
    </w:p>
    <w:p w14:paraId="2B0BD9EE">
      <w:pPr>
        <w:widowControl/>
        <w:numPr>
          <w:ilvl w:val="0"/>
          <w:numId w:val="41"/>
        </w:numPr>
        <w:autoSpaceDE w:val="0"/>
        <w:autoSpaceDN w:val="0"/>
        <w:adjustRightInd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压缩机本体的设计。</w:t>
      </w:r>
    </w:p>
    <w:p w14:paraId="5B1793EE">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润滑油站及高位油箱的设计。</w:t>
      </w:r>
    </w:p>
    <w:p w14:paraId="6585A7A6">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齿轮箱的设计。</w:t>
      </w:r>
    </w:p>
    <w:p w14:paraId="2C62932E">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底座的设计。</w:t>
      </w:r>
    </w:p>
    <w:p w14:paraId="751CB6CB">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机旁润滑油管路的设计。</w:t>
      </w:r>
    </w:p>
    <w:p w14:paraId="24E2948A">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联轴器的选型设计。</w:t>
      </w:r>
    </w:p>
    <w:p w14:paraId="063B820E">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联轴器液压装拆工具的设计。</w:t>
      </w:r>
    </w:p>
    <w:p w14:paraId="1A9160BD">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低压油泵及其连接件和高压油泵及其连接件的选型设计。</w:t>
      </w:r>
    </w:p>
    <w:p w14:paraId="4DBBD31A">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冷却器的选型设计。</w:t>
      </w:r>
    </w:p>
    <w:p w14:paraId="712617EE">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驱动机的选型设计。</w:t>
      </w:r>
    </w:p>
    <w:p w14:paraId="534CEA7A">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压缩机组与润滑油站连接油管路设计（润滑油供油管线和回油管线）。</w:t>
      </w:r>
    </w:p>
    <w:p w14:paraId="4381854B">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润滑油站与高位油箱的油管路连接设计（润滑油供油管线和回油管线）。</w:t>
      </w:r>
    </w:p>
    <w:p w14:paraId="0E8AE63C">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润滑油高位油箱与压缩机的油管路连接设计。</w:t>
      </w:r>
    </w:p>
    <w:p w14:paraId="19A67F91">
      <w:pPr>
        <w:widowControl/>
        <w:numPr>
          <w:ilvl w:val="0"/>
          <w:numId w:val="41"/>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 xml:space="preserve"> 进出工艺管道的设计。</w:t>
      </w:r>
    </w:p>
    <w:p w14:paraId="1AAD2E63">
      <w:pPr>
        <w:widowControl/>
        <w:numPr>
          <w:ilvl w:val="0"/>
          <w:numId w:val="40"/>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一次仪表部分设计</w:t>
      </w:r>
    </w:p>
    <w:p w14:paraId="2D8302B2">
      <w:pPr>
        <w:widowControl/>
        <w:numPr>
          <w:ilvl w:val="0"/>
          <w:numId w:val="42"/>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油路系统图的设计</w:t>
      </w:r>
    </w:p>
    <w:p w14:paraId="629F7CF3">
      <w:pPr>
        <w:widowControl/>
        <w:numPr>
          <w:ilvl w:val="0"/>
          <w:numId w:val="42"/>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气路系统图的设计</w:t>
      </w:r>
    </w:p>
    <w:p w14:paraId="002F0E3E">
      <w:pPr>
        <w:widowControl/>
        <w:numPr>
          <w:ilvl w:val="0"/>
          <w:numId w:val="42"/>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机组监测系统图的设计</w:t>
      </w:r>
    </w:p>
    <w:p w14:paraId="2B1EDC64">
      <w:pPr>
        <w:widowControl/>
        <w:numPr>
          <w:ilvl w:val="0"/>
          <w:numId w:val="42"/>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润滑油站底座范围内的一次仪表的设计、供货、厂内施工</w:t>
      </w:r>
    </w:p>
    <w:p w14:paraId="46C3C6AB">
      <w:pPr>
        <w:widowControl/>
        <w:numPr>
          <w:ilvl w:val="0"/>
          <w:numId w:val="42"/>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压缩机组底座范围内的一次仪表的设计、供货、厂内施工</w:t>
      </w:r>
    </w:p>
    <w:p w14:paraId="2729326D">
      <w:pPr>
        <w:widowControl/>
        <w:numPr>
          <w:ilvl w:val="0"/>
          <w:numId w:val="42"/>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润滑油站和压缩机组底座范围内仪表至接线箱的设计及厂内施工</w:t>
      </w:r>
    </w:p>
    <w:p w14:paraId="2592976C">
      <w:pPr>
        <w:widowControl/>
        <w:numPr>
          <w:ilvl w:val="0"/>
          <w:numId w:val="42"/>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压缩机气管路上的仪表、阀门的设计、供货</w:t>
      </w:r>
    </w:p>
    <w:p w14:paraId="2DBB828F">
      <w:pPr>
        <w:widowControl/>
        <w:numPr>
          <w:ilvl w:val="0"/>
          <w:numId w:val="40"/>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压缩机组控制系统的设计。</w:t>
      </w:r>
    </w:p>
    <w:p w14:paraId="2F51F78C">
      <w:pPr>
        <w:widowControl/>
        <w:numPr>
          <w:ilvl w:val="0"/>
          <w:numId w:val="43"/>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控制系统测点回路汇总表设计</w:t>
      </w:r>
    </w:p>
    <w:p w14:paraId="55DCA917">
      <w:pPr>
        <w:widowControl/>
        <w:numPr>
          <w:ilvl w:val="0"/>
          <w:numId w:val="43"/>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控制系统配置设计</w:t>
      </w:r>
    </w:p>
    <w:p w14:paraId="7F8F7274">
      <w:pPr>
        <w:widowControl/>
        <w:numPr>
          <w:ilvl w:val="0"/>
          <w:numId w:val="43"/>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控制系统控制逻辑程序设计</w:t>
      </w:r>
    </w:p>
    <w:p w14:paraId="4020A0CC">
      <w:pPr>
        <w:widowControl/>
        <w:numPr>
          <w:ilvl w:val="0"/>
          <w:numId w:val="43"/>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控制系统安装工程的设计</w:t>
      </w:r>
    </w:p>
    <w:p w14:paraId="19329C3E">
      <w:pPr>
        <w:widowControl/>
        <w:autoSpaceDE w:val="0"/>
        <w:autoSpaceDN w:val="0"/>
        <w:snapToGrid w:val="0"/>
        <w:spacing w:line="360" w:lineRule="auto"/>
        <w:ind w:firstLine="1200" w:firstLineChars="500"/>
        <w:textAlignment w:val="bottom"/>
        <w:rPr>
          <w:rFonts w:ascii="宋体" w:hAnsi="宋体" w:cs="宋体"/>
          <w:sz w:val="24"/>
        </w:rPr>
      </w:pPr>
      <w:r>
        <w:rPr>
          <w:rFonts w:hint="eastAsia" w:ascii="宋体" w:hAnsi="宋体" w:cs="宋体"/>
          <w:sz w:val="24"/>
        </w:rPr>
        <w:t>包括：机柜内的硬件接线图、布置图</w:t>
      </w:r>
    </w:p>
    <w:p w14:paraId="2B67F6BA">
      <w:pPr>
        <w:widowControl/>
        <w:numPr>
          <w:ilvl w:val="0"/>
          <w:numId w:val="43"/>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控制系统DC/AC 电源分电路设计</w:t>
      </w:r>
    </w:p>
    <w:p w14:paraId="5B869962">
      <w:pPr>
        <w:widowControl/>
        <w:numPr>
          <w:ilvl w:val="0"/>
          <w:numId w:val="43"/>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控制系统接地原理设计</w:t>
      </w:r>
    </w:p>
    <w:p w14:paraId="24C89007">
      <w:pPr>
        <w:widowControl/>
        <w:numPr>
          <w:ilvl w:val="0"/>
          <w:numId w:val="43"/>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控制系统机柜与操作站间通讯电缆设计</w:t>
      </w:r>
    </w:p>
    <w:p w14:paraId="5C81B976">
      <w:pPr>
        <w:widowControl/>
        <w:numPr>
          <w:ilvl w:val="0"/>
          <w:numId w:val="43"/>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控制逻辑程序的编程组态</w:t>
      </w:r>
    </w:p>
    <w:p w14:paraId="3A09CEE2">
      <w:pPr>
        <w:widowControl/>
        <w:numPr>
          <w:ilvl w:val="0"/>
          <w:numId w:val="43"/>
        </w:numPr>
        <w:autoSpaceDE w:val="0"/>
        <w:autoSpaceDN w:val="0"/>
        <w:snapToGrid w:val="0"/>
        <w:spacing w:line="360" w:lineRule="auto"/>
        <w:ind w:left="840" w:firstLine="0"/>
        <w:textAlignment w:val="bottom"/>
        <w:rPr>
          <w:rFonts w:ascii="宋体" w:hAnsi="宋体" w:cs="宋体"/>
          <w:sz w:val="24"/>
        </w:rPr>
      </w:pPr>
      <w:r>
        <w:rPr>
          <w:rFonts w:hint="eastAsia" w:ascii="宋体" w:hAnsi="宋体" w:cs="宋体"/>
          <w:sz w:val="24"/>
        </w:rPr>
        <w:t>防喘振控制方案、防喘振控制逻辑图、防喘振控制设计</w:t>
      </w:r>
    </w:p>
    <w:p w14:paraId="253EEA02">
      <w:pPr>
        <w:widowControl/>
        <w:autoSpaceDE w:val="0"/>
        <w:autoSpaceDN w:val="0"/>
        <w:snapToGrid w:val="0"/>
        <w:spacing w:line="360" w:lineRule="auto"/>
        <w:ind w:firstLine="240" w:firstLineChars="100"/>
        <w:textAlignment w:val="bottom"/>
        <w:rPr>
          <w:rFonts w:ascii="宋体" w:hAnsi="宋体" w:cs="宋体"/>
          <w:sz w:val="24"/>
        </w:rPr>
      </w:pPr>
      <w:r>
        <w:rPr>
          <w:rFonts w:ascii="宋体" w:hAnsi="宋体" w:cs="宋体"/>
          <w:sz w:val="24"/>
        </w:rPr>
        <w:t xml:space="preserve">11.2 </w:t>
      </w:r>
      <w:r>
        <w:rPr>
          <w:rFonts w:hint="eastAsia" w:ascii="宋体" w:hAnsi="宋体" w:cs="宋体"/>
          <w:sz w:val="24"/>
        </w:rPr>
        <w:t>招标人负责项目</w:t>
      </w:r>
    </w:p>
    <w:p w14:paraId="2CF63480">
      <w:pPr>
        <w:widowControl/>
        <w:numPr>
          <w:ilvl w:val="0"/>
          <w:numId w:val="44"/>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压缩机组土建基础设计。</w:t>
      </w:r>
    </w:p>
    <w:p w14:paraId="54219C09">
      <w:pPr>
        <w:widowControl/>
        <w:numPr>
          <w:ilvl w:val="0"/>
          <w:numId w:val="44"/>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压缩机总进口和出口工艺管道的设计。</w:t>
      </w:r>
    </w:p>
    <w:p w14:paraId="457C0484">
      <w:pPr>
        <w:widowControl/>
        <w:numPr>
          <w:ilvl w:val="0"/>
          <w:numId w:val="44"/>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水路系统的设计。</w:t>
      </w:r>
    </w:p>
    <w:p w14:paraId="76CC2174">
      <w:pPr>
        <w:widowControl/>
        <w:numPr>
          <w:ilvl w:val="0"/>
          <w:numId w:val="44"/>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高、低压电控设计。</w:t>
      </w:r>
    </w:p>
    <w:p w14:paraId="2857B1A2">
      <w:pPr>
        <w:pStyle w:val="179"/>
        <w:widowControl/>
        <w:numPr>
          <w:ilvl w:val="1"/>
          <w:numId w:val="45"/>
        </w:numPr>
        <w:autoSpaceDE w:val="0"/>
        <w:autoSpaceDN w:val="0"/>
        <w:snapToGrid w:val="0"/>
        <w:spacing w:line="360" w:lineRule="auto"/>
        <w:ind w:firstLineChars="0"/>
        <w:textAlignment w:val="bottom"/>
        <w:rPr>
          <w:rFonts w:ascii="宋体" w:hAnsi="宋体" w:cs="宋体"/>
          <w:sz w:val="24"/>
        </w:rPr>
      </w:pPr>
      <w:r>
        <w:rPr>
          <w:rFonts w:hint="eastAsia" w:ascii="宋体" w:hAnsi="宋体" w:cs="宋体"/>
          <w:sz w:val="24"/>
        </w:rPr>
        <w:t xml:space="preserve"> 图纸资料交付</w:t>
      </w:r>
    </w:p>
    <w:tbl>
      <w:tblPr>
        <w:tblStyle w:val="76"/>
        <w:tblpPr w:leftFromText="180" w:rightFromText="180" w:vertAnchor="text" w:horzAnchor="margin" w:tblpXSpec="center" w:tblpY="10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3716"/>
        <w:gridCol w:w="1134"/>
        <w:gridCol w:w="873"/>
        <w:gridCol w:w="828"/>
        <w:gridCol w:w="1610"/>
      </w:tblGrid>
      <w:tr w14:paraId="3A8FC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06178DBB">
            <w:pPr>
              <w:widowControl/>
              <w:autoSpaceDE w:val="0"/>
              <w:autoSpaceDN w:val="0"/>
              <w:adjustRightInd w:val="0"/>
              <w:snapToGrid w:val="0"/>
              <w:textAlignment w:val="bottom"/>
              <w:rPr>
                <w:rFonts w:ascii="宋体" w:hAnsi="宋体" w:cs="宋体"/>
                <w:sz w:val="24"/>
              </w:rPr>
            </w:pPr>
            <w:r>
              <w:rPr>
                <w:rFonts w:hint="eastAsia" w:ascii="宋体" w:hAnsi="宋体" w:cs="宋体"/>
                <w:sz w:val="24"/>
              </w:rPr>
              <w:t>序号</w:t>
            </w:r>
          </w:p>
        </w:tc>
        <w:tc>
          <w:tcPr>
            <w:tcW w:w="3716" w:type="dxa"/>
            <w:vAlign w:val="bottom"/>
          </w:tcPr>
          <w:p w14:paraId="28874D29">
            <w:pPr>
              <w:widowControl/>
              <w:autoSpaceDE w:val="0"/>
              <w:autoSpaceDN w:val="0"/>
              <w:adjustRightInd w:val="0"/>
              <w:snapToGrid w:val="0"/>
              <w:textAlignment w:val="bottom"/>
              <w:rPr>
                <w:rFonts w:ascii="宋体" w:hAnsi="宋体" w:cs="宋体"/>
                <w:sz w:val="24"/>
              </w:rPr>
            </w:pPr>
            <w:r>
              <w:rPr>
                <w:rFonts w:hint="eastAsia" w:ascii="宋体" w:hAnsi="宋体" w:cs="宋体"/>
                <w:sz w:val="24"/>
              </w:rPr>
              <w:t>图纸名称</w:t>
            </w:r>
          </w:p>
        </w:tc>
        <w:tc>
          <w:tcPr>
            <w:tcW w:w="1134" w:type="dxa"/>
            <w:vAlign w:val="bottom"/>
          </w:tcPr>
          <w:p w14:paraId="26383B7F">
            <w:pPr>
              <w:widowControl/>
              <w:autoSpaceDE w:val="0"/>
              <w:autoSpaceDN w:val="0"/>
              <w:adjustRightInd w:val="0"/>
              <w:snapToGrid w:val="0"/>
              <w:textAlignment w:val="bottom"/>
              <w:rPr>
                <w:rFonts w:ascii="宋体" w:hAnsi="宋体" w:cs="宋体"/>
                <w:sz w:val="24"/>
              </w:rPr>
            </w:pPr>
            <w:r>
              <w:rPr>
                <w:rFonts w:hint="eastAsia" w:ascii="宋体" w:hAnsi="宋体" w:cs="宋体"/>
                <w:sz w:val="24"/>
              </w:rPr>
              <w:t>初步资料</w:t>
            </w:r>
          </w:p>
        </w:tc>
        <w:tc>
          <w:tcPr>
            <w:tcW w:w="873" w:type="dxa"/>
            <w:vAlign w:val="bottom"/>
          </w:tcPr>
          <w:p w14:paraId="27C9BDD4">
            <w:pPr>
              <w:widowControl/>
              <w:autoSpaceDE w:val="0"/>
              <w:autoSpaceDN w:val="0"/>
              <w:adjustRightInd w:val="0"/>
              <w:snapToGrid w:val="0"/>
              <w:textAlignment w:val="bottom"/>
              <w:rPr>
                <w:rFonts w:ascii="宋体" w:hAnsi="宋体" w:cs="宋体"/>
                <w:sz w:val="24"/>
              </w:rPr>
            </w:pPr>
            <w:r>
              <w:rPr>
                <w:rFonts w:hint="eastAsia" w:ascii="宋体" w:hAnsi="宋体" w:cs="宋体"/>
                <w:sz w:val="24"/>
              </w:rPr>
              <w:t>最终资料</w:t>
            </w:r>
          </w:p>
        </w:tc>
        <w:tc>
          <w:tcPr>
            <w:tcW w:w="828" w:type="dxa"/>
            <w:vAlign w:val="bottom"/>
          </w:tcPr>
          <w:p w14:paraId="1609E984">
            <w:pPr>
              <w:widowControl/>
              <w:autoSpaceDE w:val="0"/>
              <w:autoSpaceDN w:val="0"/>
              <w:adjustRightInd w:val="0"/>
              <w:snapToGrid w:val="0"/>
              <w:textAlignment w:val="bottom"/>
              <w:rPr>
                <w:rFonts w:ascii="宋体" w:hAnsi="宋体" w:cs="宋体"/>
                <w:sz w:val="24"/>
              </w:rPr>
            </w:pPr>
            <w:r>
              <w:rPr>
                <w:rFonts w:hint="eastAsia" w:ascii="宋体" w:hAnsi="宋体" w:cs="宋体"/>
                <w:sz w:val="24"/>
              </w:rPr>
              <w:t>随机资料</w:t>
            </w:r>
          </w:p>
        </w:tc>
        <w:tc>
          <w:tcPr>
            <w:tcW w:w="1610" w:type="dxa"/>
            <w:vAlign w:val="bottom"/>
          </w:tcPr>
          <w:p w14:paraId="3DF5D441">
            <w:pPr>
              <w:widowControl/>
              <w:autoSpaceDE w:val="0"/>
              <w:autoSpaceDN w:val="0"/>
              <w:adjustRightInd w:val="0"/>
              <w:snapToGrid w:val="0"/>
              <w:textAlignment w:val="bottom"/>
              <w:rPr>
                <w:rFonts w:ascii="宋体" w:hAnsi="宋体" w:cs="宋体"/>
                <w:sz w:val="24"/>
              </w:rPr>
            </w:pPr>
            <w:r>
              <w:rPr>
                <w:rFonts w:hint="eastAsia" w:ascii="宋体" w:hAnsi="宋体" w:cs="宋体"/>
                <w:sz w:val="24"/>
              </w:rPr>
              <w:t>备注</w:t>
            </w:r>
          </w:p>
        </w:tc>
      </w:tr>
      <w:tr w14:paraId="1FF4E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0B1D725D">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11DDBF20">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压缩机数据表</w:t>
            </w:r>
          </w:p>
        </w:tc>
        <w:tc>
          <w:tcPr>
            <w:tcW w:w="1134" w:type="dxa"/>
            <w:vAlign w:val="bottom"/>
          </w:tcPr>
          <w:p w14:paraId="4BD31C41">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35CDB416">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46D45C77">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3EC33F91">
            <w:pPr>
              <w:widowControl/>
              <w:autoSpaceDE w:val="0"/>
              <w:autoSpaceDN w:val="0"/>
              <w:adjustRightInd w:val="0"/>
              <w:snapToGrid w:val="0"/>
              <w:textAlignment w:val="bottom"/>
              <w:rPr>
                <w:rFonts w:ascii="宋体" w:hAnsi="宋体" w:cs="宋体"/>
                <w:sz w:val="24"/>
              </w:rPr>
            </w:pPr>
          </w:p>
        </w:tc>
      </w:tr>
      <w:tr w14:paraId="79C00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0" w:type="auto"/>
            <w:vAlign w:val="bottom"/>
          </w:tcPr>
          <w:p w14:paraId="73905649">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53EEA5A5">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压缩机预期性能曲线</w:t>
            </w:r>
          </w:p>
        </w:tc>
        <w:tc>
          <w:tcPr>
            <w:tcW w:w="1134" w:type="dxa"/>
            <w:vAlign w:val="bottom"/>
          </w:tcPr>
          <w:p w14:paraId="15340ED9">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440750ED">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68300BCD">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7AA69035">
            <w:pPr>
              <w:widowControl/>
              <w:autoSpaceDE w:val="0"/>
              <w:autoSpaceDN w:val="0"/>
              <w:adjustRightInd w:val="0"/>
              <w:snapToGrid w:val="0"/>
              <w:textAlignment w:val="bottom"/>
              <w:rPr>
                <w:rFonts w:ascii="宋体" w:hAnsi="宋体" w:cs="宋体"/>
                <w:sz w:val="24"/>
              </w:rPr>
            </w:pPr>
          </w:p>
        </w:tc>
      </w:tr>
      <w:tr w14:paraId="56327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3E3B051E">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7D539567">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压缩机组装置图，表</w:t>
            </w:r>
          </w:p>
        </w:tc>
        <w:tc>
          <w:tcPr>
            <w:tcW w:w="1134" w:type="dxa"/>
            <w:vAlign w:val="bottom"/>
          </w:tcPr>
          <w:p w14:paraId="094320FF">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492BB3E2">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283DD158">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2CCBB696">
            <w:pPr>
              <w:widowControl/>
              <w:autoSpaceDE w:val="0"/>
              <w:autoSpaceDN w:val="0"/>
              <w:adjustRightInd w:val="0"/>
              <w:snapToGrid w:val="0"/>
              <w:textAlignment w:val="bottom"/>
              <w:rPr>
                <w:rFonts w:ascii="宋体" w:hAnsi="宋体" w:cs="宋体"/>
                <w:sz w:val="24"/>
              </w:rPr>
            </w:pPr>
          </w:p>
        </w:tc>
      </w:tr>
      <w:tr w14:paraId="0A68F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4D9CE122">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2EE0D0FC">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压缩机消耗清单</w:t>
            </w:r>
          </w:p>
        </w:tc>
        <w:tc>
          <w:tcPr>
            <w:tcW w:w="1134" w:type="dxa"/>
            <w:vAlign w:val="bottom"/>
          </w:tcPr>
          <w:p w14:paraId="1EE51F70">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73F303EA">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5960ECE8">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4403B232">
            <w:pPr>
              <w:widowControl/>
              <w:autoSpaceDE w:val="0"/>
              <w:autoSpaceDN w:val="0"/>
              <w:adjustRightInd w:val="0"/>
              <w:snapToGrid w:val="0"/>
              <w:textAlignment w:val="bottom"/>
              <w:rPr>
                <w:rFonts w:ascii="宋体" w:hAnsi="宋体" w:cs="宋体"/>
                <w:sz w:val="24"/>
              </w:rPr>
            </w:pPr>
          </w:p>
        </w:tc>
      </w:tr>
      <w:tr w14:paraId="53944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18E6D124">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AF73654">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压缩机对外接口清单</w:t>
            </w:r>
          </w:p>
        </w:tc>
        <w:tc>
          <w:tcPr>
            <w:tcW w:w="1134" w:type="dxa"/>
            <w:vAlign w:val="bottom"/>
          </w:tcPr>
          <w:p w14:paraId="0BB5208F">
            <w:pPr>
              <w:widowControl/>
              <w:autoSpaceDE w:val="0"/>
              <w:autoSpaceDN w:val="0"/>
              <w:adjustRightInd w:val="0"/>
              <w:snapToGrid w:val="0"/>
              <w:textAlignment w:val="bottom"/>
              <w:rPr>
                <w:rFonts w:ascii="宋体" w:hAnsi="宋体" w:cs="宋体"/>
                <w:sz w:val="24"/>
              </w:rPr>
            </w:pPr>
          </w:p>
        </w:tc>
        <w:tc>
          <w:tcPr>
            <w:tcW w:w="873" w:type="dxa"/>
            <w:vAlign w:val="bottom"/>
          </w:tcPr>
          <w:p w14:paraId="5F475B82">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1ECDB309">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724121A5">
            <w:pPr>
              <w:widowControl/>
              <w:autoSpaceDE w:val="0"/>
              <w:autoSpaceDN w:val="0"/>
              <w:adjustRightInd w:val="0"/>
              <w:snapToGrid w:val="0"/>
              <w:textAlignment w:val="bottom"/>
              <w:rPr>
                <w:rFonts w:ascii="宋体" w:hAnsi="宋体" w:cs="宋体"/>
                <w:sz w:val="24"/>
              </w:rPr>
            </w:pPr>
          </w:p>
        </w:tc>
      </w:tr>
      <w:tr w14:paraId="676E4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3B6EB39D">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3B96074">
            <w:pPr>
              <w:widowControl/>
              <w:autoSpaceDE w:val="0"/>
              <w:autoSpaceDN w:val="0"/>
              <w:adjustRightInd w:val="0"/>
              <w:snapToGrid w:val="0"/>
              <w:textAlignment w:val="bottom"/>
              <w:rPr>
                <w:rFonts w:ascii="宋体" w:hAnsi="宋体" w:cs="宋体"/>
                <w:sz w:val="24"/>
              </w:rPr>
            </w:pPr>
            <w:r>
              <w:rPr>
                <w:rFonts w:hint="eastAsia" w:ascii="宋体" w:hAnsi="宋体" w:cs="宋体"/>
                <w:sz w:val="24"/>
              </w:rPr>
              <w:t>机旁润滑油管路安装图，表</w:t>
            </w:r>
          </w:p>
        </w:tc>
        <w:tc>
          <w:tcPr>
            <w:tcW w:w="1134" w:type="dxa"/>
            <w:vAlign w:val="bottom"/>
          </w:tcPr>
          <w:p w14:paraId="2E297293">
            <w:pPr>
              <w:widowControl/>
              <w:autoSpaceDE w:val="0"/>
              <w:autoSpaceDN w:val="0"/>
              <w:adjustRightInd w:val="0"/>
              <w:snapToGrid w:val="0"/>
              <w:textAlignment w:val="bottom"/>
              <w:rPr>
                <w:rFonts w:ascii="宋体" w:hAnsi="宋体" w:cs="宋体"/>
                <w:sz w:val="24"/>
              </w:rPr>
            </w:pPr>
          </w:p>
        </w:tc>
        <w:tc>
          <w:tcPr>
            <w:tcW w:w="873" w:type="dxa"/>
            <w:vAlign w:val="bottom"/>
          </w:tcPr>
          <w:p w14:paraId="66922339">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60CB803A">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0164A808">
            <w:pPr>
              <w:widowControl/>
              <w:autoSpaceDE w:val="0"/>
              <w:autoSpaceDN w:val="0"/>
              <w:adjustRightInd w:val="0"/>
              <w:snapToGrid w:val="0"/>
              <w:textAlignment w:val="bottom"/>
              <w:rPr>
                <w:rFonts w:ascii="宋体" w:hAnsi="宋体" w:cs="宋体"/>
                <w:sz w:val="24"/>
              </w:rPr>
            </w:pPr>
          </w:p>
        </w:tc>
      </w:tr>
      <w:tr w14:paraId="72DB81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3D40B5E5">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B9464F8">
            <w:pPr>
              <w:widowControl/>
              <w:autoSpaceDE w:val="0"/>
              <w:autoSpaceDN w:val="0"/>
              <w:adjustRightInd w:val="0"/>
              <w:snapToGrid w:val="0"/>
              <w:textAlignment w:val="bottom"/>
              <w:rPr>
                <w:rFonts w:ascii="宋体" w:hAnsi="宋体" w:cs="宋体"/>
                <w:sz w:val="24"/>
              </w:rPr>
            </w:pPr>
            <w:r>
              <w:rPr>
                <w:rFonts w:hint="eastAsia" w:ascii="宋体" w:hAnsi="宋体" w:cs="宋体"/>
                <w:sz w:val="24"/>
              </w:rPr>
              <w:t>润滑油站总图，表</w:t>
            </w:r>
          </w:p>
        </w:tc>
        <w:tc>
          <w:tcPr>
            <w:tcW w:w="1134" w:type="dxa"/>
            <w:vAlign w:val="bottom"/>
          </w:tcPr>
          <w:p w14:paraId="3286AE24">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6707E0DD">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0C0F9104">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637E0C7A">
            <w:pPr>
              <w:widowControl/>
              <w:autoSpaceDE w:val="0"/>
              <w:autoSpaceDN w:val="0"/>
              <w:adjustRightInd w:val="0"/>
              <w:snapToGrid w:val="0"/>
              <w:textAlignment w:val="bottom"/>
              <w:rPr>
                <w:rFonts w:ascii="宋体" w:hAnsi="宋体" w:cs="宋体"/>
                <w:sz w:val="24"/>
              </w:rPr>
            </w:pPr>
          </w:p>
        </w:tc>
      </w:tr>
      <w:tr w14:paraId="03948D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2DC0D752">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11C5A718">
            <w:pPr>
              <w:widowControl/>
              <w:autoSpaceDE w:val="0"/>
              <w:autoSpaceDN w:val="0"/>
              <w:adjustRightInd w:val="0"/>
              <w:snapToGrid w:val="0"/>
              <w:textAlignment w:val="bottom"/>
              <w:rPr>
                <w:rFonts w:ascii="宋体" w:hAnsi="宋体" w:cs="宋体"/>
                <w:sz w:val="24"/>
              </w:rPr>
            </w:pPr>
            <w:r>
              <w:rPr>
                <w:rFonts w:hint="eastAsia" w:ascii="宋体" w:hAnsi="宋体" w:cs="宋体"/>
                <w:sz w:val="24"/>
              </w:rPr>
              <w:t>高位油箱总图，表</w:t>
            </w:r>
          </w:p>
        </w:tc>
        <w:tc>
          <w:tcPr>
            <w:tcW w:w="1134" w:type="dxa"/>
            <w:vAlign w:val="bottom"/>
          </w:tcPr>
          <w:p w14:paraId="5F382902">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31122539">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28BAE363">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484DC355">
            <w:pPr>
              <w:widowControl/>
              <w:autoSpaceDE w:val="0"/>
              <w:autoSpaceDN w:val="0"/>
              <w:adjustRightInd w:val="0"/>
              <w:snapToGrid w:val="0"/>
              <w:textAlignment w:val="bottom"/>
              <w:rPr>
                <w:rFonts w:ascii="宋体" w:hAnsi="宋体" w:cs="宋体"/>
                <w:sz w:val="24"/>
              </w:rPr>
            </w:pPr>
          </w:p>
        </w:tc>
      </w:tr>
      <w:tr w14:paraId="35CB7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74F530F5">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35736564">
            <w:pPr>
              <w:widowControl/>
              <w:autoSpaceDE w:val="0"/>
              <w:autoSpaceDN w:val="0"/>
              <w:adjustRightInd w:val="0"/>
              <w:snapToGrid w:val="0"/>
              <w:textAlignment w:val="bottom"/>
              <w:rPr>
                <w:rFonts w:ascii="宋体" w:hAnsi="宋体" w:cs="宋体"/>
                <w:sz w:val="24"/>
              </w:rPr>
            </w:pPr>
            <w:r>
              <w:rPr>
                <w:rFonts w:hint="eastAsia" w:ascii="宋体" w:hAnsi="宋体" w:cs="宋体"/>
                <w:sz w:val="24"/>
              </w:rPr>
              <w:t>三阀组及视镜总图，表</w:t>
            </w:r>
          </w:p>
        </w:tc>
        <w:tc>
          <w:tcPr>
            <w:tcW w:w="1134" w:type="dxa"/>
            <w:vAlign w:val="bottom"/>
          </w:tcPr>
          <w:p w14:paraId="52264609">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7899109A">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22D29DE8">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19729C00">
            <w:pPr>
              <w:widowControl/>
              <w:autoSpaceDE w:val="0"/>
              <w:autoSpaceDN w:val="0"/>
              <w:adjustRightInd w:val="0"/>
              <w:snapToGrid w:val="0"/>
              <w:textAlignment w:val="bottom"/>
              <w:rPr>
                <w:rFonts w:ascii="宋体" w:hAnsi="宋体" w:cs="宋体"/>
                <w:sz w:val="24"/>
              </w:rPr>
            </w:pPr>
            <w:r>
              <w:rPr>
                <w:rFonts w:hint="eastAsia" w:ascii="宋体" w:hAnsi="宋体" w:cs="宋体"/>
                <w:sz w:val="24"/>
              </w:rPr>
              <w:t>散件时提供</w:t>
            </w:r>
          </w:p>
        </w:tc>
      </w:tr>
      <w:tr w14:paraId="21646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21BF509F">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3F1A6710">
            <w:pPr>
              <w:widowControl/>
              <w:autoSpaceDE w:val="0"/>
              <w:autoSpaceDN w:val="0"/>
              <w:adjustRightInd w:val="0"/>
              <w:snapToGrid w:val="0"/>
              <w:textAlignment w:val="bottom"/>
              <w:rPr>
                <w:rFonts w:ascii="宋体" w:hAnsi="宋体" w:cs="宋体"/>
                <w:sz w:val="24"/>
              </w:rPr>
            </w:pPr>
            <w:r>
              <w:rPr>
                <w:rFonts w:hint="eastAsia" w:ascii="宋体" w:hAnsi="宋体" w:cs="宋体"/>
                <w:sz w:val="24"/>
              </w:rPr>
              <w:t>备件目录</w:t>
            </w:r>
          </w:p>
        </w:tc>
        <w:tc>
          <w:tcPr>
            <w:tcW w:w="1134" w:type="dxa"/>
            <w:vAlign w:val="bottom"/>
          </w:tcPr>
          <w:p w14:paraId="69B77A60">
            <w:pPr>
              <w:widowControl/>
              <w:autoSpaceDE w:val="0"/>
              <w:autoSpaceDN w:val="0"/>
              <w:adjustRightInd w:val="0"/>
              <w:snapToGrid w:val="0"/>
              <w:textAlignment w:val="bottom"/>
              <w:rPr>
                <w:rFonts w:ascii="宋体" w:hAnsi="宋体" w:cs="宋体"/>
                <w:sz w:val="24"/>
              </w:rPr>
            </w:pPr>
          </w:p>
        </w:tc>
        <w:tc>
          <w:tcPr>
            <w:tcW w:w="873" w:type="dxa"/>
            <w:vAlign w:val="bottom"/>
          </w:tcPr>
          <w:p w14:paraId="713A01B9">
            <w:pPr>
              <w:widowControl/>
              <w:autoSpaceDE w:val="0"/>
              <w:autoSpaceDN w:val="0"/>
              <w:adjustRightInd w:val="0"/>
              <w:snapToGrid w:val="0"/>
              <w:textAlignment w:val="bottom"/>
              <w:rPr>
                <w:rFonts w:ascii="宋体" w:hAnsi="宋体" w:cs="宋体"/>
                <w:sz w:val="24"/>
              </w:rPr>
            </w:pPr>
          </w:p>
        </w:tc>
        <w:tc>
          <w:tcPr>
            <w:tcW w:w="828" w:type="dxa"/>
            <w:vAlign w:val="bottom"/>
          </w:tcPr>
          <w:p w14:paraId="39986CEF">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5594691D">
            <w:pPr>
              <w:widowControl/>
              <w:autoSpaceDE w:val="0"/>
              <w:autoSpaceDN w:val="0"/>
              <w:adjustRightInd w:val="0"/>
              <w:snapToGrid w:val="0"/>
              <w:textAlignment w:val="bottom"/>
              <w:rPr>
                <w:rFonts w:ascii="宋体" w:hAnsi="宋体" w:cs="宋体"/>
                <w:sz w:val="24"/>
              </w:rPr>
            </w:pPr>
          </w:p>
        </w:tc>
      </w:tr>
      <w:tr w14:paraId="7638F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4BE19A57">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4D460F62">
            <w:pPr>
              <w:widowControl/>
              <w:autoSpaceDE w:val="0"/>
              <w:autoSpaceDN w:val="0"/>
              <w:adjustRightInd w:val="0"/>
              <w:snapToGrid w:val="0"/>
              <w:textAlignment w:val="bottom"/>
              <w:rPr>
                <w:rFonts w:ascii="宋体" w:hAnsi="宋体" w:cs="宋体"/>
                <w:sz w:val="24"/>
              </w:rPr>
            </w:pPr>
            <w:r>
              <w:rPr>
                <w:rFonts w:hint="eastAsia" w:ascii="宋体" w:hAnsi="宋体" w:cs="宋体"/>
                <w:sz w:val="24"/>
              </w:rPr>
              <w:t>专用工具清单</w:t>
            </w:r>
          </w:p>
        </w:tc>
        <w:tc>
          <w:tcPr>
            <w:tcW w:w="1134" w:type="dxa"/>
            <w:vAlign w:val="bottom"/>
          </w:tcPr>
          <w:p w14:paraId="7957E69D">
            <w:pPr>
              <w:widowControl/>
              <w:autoSpaceDE w:val="0"/>
              <w:autoSpaceDN w:val="0"/>
              <w:adjustRightInd w:val="0"/>
              <w:snapToGrid w:val="0"/>
              <w:textAlignment w:val="bottom"/>
              <w:rPr>
                <w:rFonts w:ascii="宋体" w:hAnsi="宋体" w:cs="宋体"/>
                <w:sz w:val="24"/>
              </w:rPr>
            </w:pPr>
          </w:p>
        </w:tc>
        <w:tc>
          <w:tcPr>
            <w:tcW w:w="873" w:type="dxa"/>
            <w:vAlign w:val="bottom"/>
          </w:tcPr>
          <w:p w14:paraId="5834B73F">
            <w:pPr>
              <w:widowControl/>
              <w:autoSpaceDE w:val="0"/>
              <w:autoSpaceDN w:val="0"/>
              <w:adjustRightInd w:val="0"/>
              <w:snapToGrid w:val="0"/>
              <w:textAlignment w:val="bottom"/>
              <w:rPr>
                <w:rFonts w:ascii="宋体" w:hAnsi="宋体" w:cs="宋体"/>
                <w:sz w:val="24"/>
              </w:rPr>
            </w:pPr>
          </w:p>
        </w:tc>
        <w:tc>
          <w:tcPr>
            <w:tcW w:w="828" w:type="dxa"/>
            <w:vAlign w:val="bottom"/>
          </w:tcPr>
          <w:p w14:paraId="62EEAFC9">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109B541B">
            <w:pPr>
              <w:widowControl/>
              <w:autoSpaceDE w:val="0"/>
              <w:autoSpaceDN w:val="0"/>
              <w:adjustRightInd w:val="0"/>
              <w:snapToGrid w:val="0"/>
              <w:textAlignment w:val="bottom"/>
              <w:rPr>
                <w:rFonts w:ascii="宋体" w:hAnsi="宋体" w:cs="宋体"/>
                <w:sz w:val="24"/>
              </w:rPr>
            </w:pPr>
          </w:p>
        </w:tc>
      </w:tr>
      <w:tr w14:paraId="41C70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15BBF59D">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5DE3614D">
            <w:pPr>
              <w:widowControl/>
              <w:autoSpaceDE w:val="0"/>
              <w:autoSpaceDN w:val="0"/>
              <w:adjustRightInd w:val="0"/>
              <w:snapToGrid w:val="0"/>
              <w:textAlignment w:val="bottom"/>
              <w:rPr>
                <w:rFonts w:ascii="宋体" w:hAnsi="宋体" w:cs="宋体"/>
                <w:sz w:val="24"/>
              </w:rPr>
            </w:pPr>
            <w:r>
              <w:rPr>
                <w:rFonts w:hint="eastAsia" w:ascii="宋体" w:hAnsi="宋体" w:cs="宋体"/>
                <w:sz w:val="24"/>
              </w:rPr>
              <w:t>专用工具图纸及明细</w:t>
            </w:r>
          </w:p>
        </w:tc>
        <w:tc>
          <w:tcPr>
            <w:tcW w:w="1134" w:type="dxa"/>
            <w:vAlign w:val="bottom"/>
          </w:tcPr>
          <w:p w14:paraId="133A6AF9">
            <w:pPr>
              <w:widowControl/>
              <w:autoSpaceDE w:val="0"/>
              <w:autoSpaceDN w:val="0"/>
              <w:adjustRightInd w:val="0"/>
              <w:snapToGrid w:val="0"/>
              <w:textAlignment w:val="bottom"/>
              <w:rPr>
                <w:rFonts w:ascii="宋体" w:hAnsi="宋体" w:cs="宋体"/>
                <w:sz w:val="24"/>
              </w:rPr>
            </w:pPr>
          </w:p>
        </w:tc>
        <w:tc>
          <w:tcPr>
            <w:tcW w:w="873" w:type="dxa"/>
            <w:vAlign w:val="bottom"/>
          </w:tcPr>
          <w:p w14:paraId="1C13A22B">
            <w:pPr>
              <w:widowControl/>
              <w:autoSpaceDE w:val="0"/>
              <w:autoSpaceDN w:val="0"/>
              <w:adjustRightInd w:val="0"/>
              <w:snapToGrid w:val="0"/>
              <w:textAlignment w:val="bottom"/>
              <w:rPr>
                <w:rFonts w:ascii="宋体" w:hAnsi="宋体" w:cs="宋体"/>
                <w:sz w:val="24"/>
              </w:rPr>
            </w:pPr>
          </w:p>
        </w:tc>
        <w:tc>
          <w:tcPr>
            <w:tcW w:w="828" w:type="dxa"/>
            <w:vAlign w:val="bottom"/>
          </w:tcPr>
          <w:p w14:paraId="743C372D">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6EF43FB5">
            <w:pPr>
              <w:widowControl/>
              <w:autoSpaceDE w:val="0"/>
              <w:autoSpaceDN w:val="0"/>
              <w:adjustRightInd w:val="0"/>
              <w:snapToGrid w:val="0"/>
              <w:textAlignment w:val="bottom"/>
              <w:rPr>
                <w:rFonts w:ascii="宋体" w:hAnsi="宋体" w:cs="宋体"/>
                <w:sz w:val="24"/>
              </w:rPr>
            </w:pPr>
            <w:r>
              <w:rPr>
                <w:rFonts w:hint="eastAsia" w:ascii="宋体" w:hAnsi="宋体" w:cs="宋体"/>
                <w:sz w:val="24"/>
              </w:rPr>
              <w:t>自制部分</w:t>
            </w:r>
          </w:p>
        </w:tc>
      </w:tr>
      <w:tr w14:paraId="12DD8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3459A8AB">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451CEC72">
            <w:pPr>
              <w:widowControl/>
              <w:autoSpaceDE w:val="0"/>
              <w:autoSpaceDN w:val="0"/>
              <w:adjustRightInd w:val="0"/>
              <w:snapToGrid w:val="0"/>
              <w:textAlignment w:val="bottom"/>
              <w:rPr>
                <w:rFonts w:ascii="宋体" w:hAnsi="宋体" w:cs="宋体"/>
                <w:sz w:val="24"/>
              </w:rPr>
            </w:pPr>
            <w:r>
              <w:rPr>
                <w:rFonts w:hint="eastAsia" w:ascii="宋体" w:hAnsi="宋体" w:cs="宋体"/>
                <w:sz w:val="24"/>
              </w:rPr>
              <w:t>底座总图，表</w:t>
            </w:r>
          </w:p>
        </w:tc>
        <w:tc>
          <w:tcPr>
            <w:tcW w:w="1134" w:type="dxa"/>
            <w:vAlign w:val="bottom"/>
          </w:tcPr>
          <w:p w14:paraId="22360239">
            <w:pPr>
              <w:widowControl/>
              <w:autoSpaceDE w:val="0"/>
              <w:autoSpaceDN w:val="0"/>
              <w:adjustRightInd w:val="0"/>
              <w:snapToGrid w:val="0"/>
              <w:textAlignment w:val="bottom"/>
              <w:rPr>
                <w:rFonts w:ascii="宋体" w:hAnsi="宋体" w:cs="宋体"/>
                <w:sz w:val="24"/>
              </w:rPr>
            </w:pPr>
          </w:p>
        </w:tc>
        <w:tc>
          <w:tcPr>
            <w:tcW w:w="873" w:type="dxa"/>
            <w:vAlign w:val="bottom"/>
          </w:tcPr>
          <w:p w14:paraId="1B310844">
            <w:pPr>
              <w:widowControl/>
              <w:autoSpaceDE w:val="0"/>
              <w:autoSpaceDN w:val="0"/>
              <w:adjustRightInd w:val="0"/>
              <w:snapToGrid w:val="0"/>
              <w:textAlignment w:val="bottom"/>
              <w:rPr>
                <w:rFonts w:ascii="宋体" w:hAnsi="宋体" w:cs="宋体"/>
                <w:sz w:val="24"/>
              </w:rPr>
            </w:pPr>
          </w:p>
        </w:tc>
        <w:tc>
          <w:tcPr>
            <w:tcW w:w="828" w:type="dxa"/>
            <w:vAlign w:val="bottom"/>
          </w:tcPr>
          <w:p w14:paraId="1F377478">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6AA1A14D">
            <w:pPr>
              <w:widowControl/>
              <w:autoSpaceDE w:val="0"/>
              <w:autoSpaceDN w:val="0"/>
              <w:adjustRightInd w:val="0"/>
              <w:snapToGrid w:val="0"/>
              <w:textAlignment w:val="bottom"/>
              <w:rPr>
                <w:rFonts w:ascii="宋体" w:hAnsi="宋体" w:cs="宋体"/>
                <w:sz w:val="24"/>
              </w:rPr>
            </w:pPr>
          </w:p>
        </w:tc>
      </w:tr>
      <w:tr w14:paraId="1756C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5E2CD760">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2FDA24EA">
            <w:pPr>
              <w:widowControl/>
              <w:autoSpaceDE w:val="0"/>
              <w:autoSpaceDN w:val="0"/>
              <w:adjustRightInd w:val="0"/>
              <w:snapToGrid w:val="0"/>
              <w:textAlignment w:val="bottom"/>
              <w:rPr>
                <w:rFonts w:ascii="宋体" w:hAnsi="宋体" w:cs="宋体"/>
                <w:sz w:val="24"/>
              </w:rPr>
            </w:pPr>
            <w:r>
              <w:rPr>
                <w:rFonts w:hint="eastAsia" w:ascii="宋体" w:hAnsi="宋体" w:cs="宋体"/>
                <w:sz w:val="24"/>
              </w:rPr>
              <w:t>联轴器护罩图，表</w:t>
            </w:r>
          </w:p>
        </w:tc>
        <w:tc>
          <w:tcPr>
            <w:tcW w:w="1134" w:type="dxa"/>
            <w:vAlign w:val="bottom"/>
          </w:tcPr>
          <w:p w14:paraId="5E596EFC">
            <w:pPr>
              <w:widowControl/>
              <w:autoSpaceDE w:val="0"/>
              <w:autoSpaceDN w:val="0"/>
              <w:adjustRightInd w:val="0"/>
              <w:snapToGrid w:val="0"/>
              <w:textAlignment w:val="bottom"/>
              <w:rPr>
                <w:rFonts w:ascii="宋体" w:hAnsi="宋体" w:cs="宋体"/>
                <w:sz w:val="24"/>
              </w:rPr>
            </w:pPr>
          </w:p>
        </w:tc>
        <w:tc>
          <w:tcPr>
            <w:tcW w:w="873" w:type="dxa"/>
            <w:vAlign w:val="bottom"/>
          </w:tcPr>
          <w:p w14:paraId="046FA2FB">
            <w:pPr>
              <w:widowControl/>
              <w:autoSpaceDE w:val="0"/>
              <w:autoSpaceDN w:val="0"/>
              <w:adjustRightInd w:val="0"/>
              <w:snapToGrid w:val="0"/>
              <w:textAlignment w:val="bottom"/>
              <w:rPr>
                <w:rFonts w:ascii="宋体" w:hAnsi="宋体" w:cs="宋体"/>
                <w:sz w:val="24"/>
              </w:rPr>
            </w:pPr>
          </w:p>
        </w:tc>
        <w:tc>
          <w:tcPr>
            <w:tcW w:w="828" w:type="dxa"/>
            <w:vAlign w:val="bottom"/>
          </w:tcPr>
          <w:p w14:paraId="5627BA2E">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456167A8">
            <w:pPr>
              <w:widowControl/>
              <w:autoSpaceDE w:val="0"/>
              <w:autoSpaceDN w:val="0"/>
              <w:adjustRightInd w:val="0"/>
              <w:snapToGrid w:val="0"/>
              <w:textAlignment w:val="bottom"/>
              <w:rPr>
                <w:rFonts w:ascii="宋体" w:hAnsi="宋体" w:cs="宋体"/>
                <w:sz w:val="24"/>
              </w:rPr>
            </w:pPr>
          </w:p>
        </w:tc>
      </w:tr>
      <w:tr w14:paraId="793BA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vAlign w:val="bottom"/>
          </w:tcPr>
          <w:p w14:paraId="20F63487">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0A2D1BAB">
            <w:pPr>
              <w:widowControl/>
              <w:autoSpaceDE w:val="0"/>
              <w:autoSpaceDN w:val="0"/>
              <w:adjustRightInd w:val="0"/>
              <w:snapToGrid w:val="0"/>
              <w:textAlignment w:val="bottom"/>
              <w:rPr>
                <w:rFonts w:ascii="宋体" w:hAnsi="宋体" w:cs="宋体"/>
                <w:sz w:val="24"/>
              </w:rPr>
            </w:pPr>
            <w:r>
              <w:rPr>
                <w:rFonts w:hint="eastAsia" w:ascii="宋体" w:hAnsi="宋体" w:cs="宋体"/>
                <w:sz w:val="24"/>
              </w:rPr>
              <w:t>联轴器装配图</w:t>
            </w:r>
          </w:p>
        </w:tc>
        <w:tc>
          <w:tcPr>
            <w:tcW w:w="1134" w:type="dxa"/>
            <w:vAlign w:val="bottom"/>
          </w:tcPr>
          <w:p w14:paraId="5FFDF164">
            <w:pPr>
              <w:widowControl/>
              <w:autoSpaceDE w:val="0"/>
              <w:autoSpaceDN w:val="0"/>
              <w:adjustRightInd w:val="0"/>
              <w:snapToGrid w:val="0"/>
              <w:textAlignment w:val="bottom"/>
              <w:rPr>
                <w:rFonts w:ascii="宋体" w:hAnsi="宋体" w:cs="宋体"/>
                <w:sz w:val="24"/>
              </w:rPr>
            </w:pPr>
          </w:p>
        </w:tc>
        <w:tc>
          <w:tcPr>
            <w:tcW w:w="873" w:type="dxa"/>
            <w:vAlign w:val="bottom"/>
          </w:tcPr>
          <w:p w14:paraId="6B81F111">
            <w:pPr>
              <w:widowControl/>
              <w:autoSpaceDE w:val="0"/>
              <w:autoSpaceDN w:val="0"/>
              <w:adjustRightInd w:val="0"/>
              <w:snapToGrid w:val="0"/>
              <w:textAlignment w:val="bottom"/>
              <w:rPr>
                <w:rFonts w:ascii="宋体" w:hAnsi="宋体" w:cs="宋体"/>
                <w:sz w:val="24"/>
              </w:rPr>
            </w:pPr>
          </w:p>
        </w:tc>
        <w:tc>
          <w:tcPr>
            <w:tcW w:w="828" w:type="dxa"/>
            <w:vAlign w:val="bottom"/>
          </w:tcPr>
          <w:p w14:paraId="138CCD15">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52362143">
            <w:pPr>
              <w:widowControl/>
              <w:autoSpaceDE w:val="0"/>
              <w:autoSpaceDN w:val="0"/>
              <w:adjustRightInd w:val="0"/>
              <w:snapToGrid w:val="0"/>
              <w:textAlignment w:val="bottom"/>
              <w:rPr>
                <w:rFonts w:ascii="宋体" w:hAnsi="宋体" w:cs="宋体"/>
                <w:sz w:val="24"/>
              </w:rPr>
            </w:pPr>
          </w:p>
        </w:tc>
      </w:tr>
      <w:tr w14:paraId="0B9F4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2432A765">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144B4C9B">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压缩机总剖面图，表</w:t>
            </w:r>
          </w:p>
        </w:tc>
        <w:tc>
          <w:tcPr>
            <w:tcW w:w="1134" w:type="dxa"/>
            <w:vAlign w:val="bottom"/>
          </w:tcPr>
          <w:p w14:paraId="606517B7">
            <w:pPr>
              <w:widowControl/>
              <w:autoSpaceDE w:val="0"/>
              <w:autoSpaceDN w:val="0"/>
              <w:adjustRightInd w:val="0"/>
              <w:snapToGrid w:val="0"/>
              <w:textAlignment w:val="bottom"/>
              <w:rPr>
                <w:rFonts w:ascii="宋体" w:hAnsi="宋体" w:cs="宋体"/>
                <w:sz w:val="24"/>
              </w:rPr>
            </w:pPr>
          </w:p>
        </w:tc>
        <w:tc>
          <w:tcPr>
            <w:tcW w:w="873" w:type="dxa"/>
            <w:vAlign w:val="bottom"/>
          </w:tcPr>
          <w:p w14:paraId="678C870D">
            <w:pPr>
              <w:widowControl/>
              <w:autoSpaceDE w:val="0"/>
              <w:autoSpaceDN w:val="0"/>
              <w:adjustRightInd w:val="0"/>
              <w:snapToGrid w:val="0"/>
              <w:textAlignment w:val="bottom"/>
              <w:rPr>
                <w:rFonts w:ascii="宋体" w:hAnsi="宋体" w:cs="宋体"/>
                <w:sz w:val="24"/>
              </w:rPr>
            </w:pPr>
          </w:p>
        </w:tc>
        <w:tc>
          <w:tcPr>
            <w:tcW w:w="828" w:type="dxa"/>
            <w:vAlign w:val="bottom"/>
          </w:tcPr>
          <w:p w14:paraId="4E22C8BA">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240E86C2">
            <w:pPr>
              <w:widowControl/>
              <w:autoSpaceDE w:val="0"/>
              <w:autoSpaceDN w:val="0"/>
              <w:adjustRightInd w:val="0"/>
              <w:snapToGrid w:val="0"/>
              <w:textAlignment w:val="bottom"/>
              <w:rPr>
                <w:rFonts w:ascii="宋体" w:hAnsi="宋体" w:cs="宋体"/>
                <w:sz w:val="24"/>
              </w:rPr>
            </w:pPr>
          </w:p>
        </w:tc>
      </w:tr>
      <w:tr w14:paraId="70ECD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387F61C8">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382F3E7E">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压缩机定子总图，表</w:t>
            </w:r>
          </w:p>
        </w:tc>
        <w:tc>
          <w:tcPr>
            <w:tcW w:w="1134" w:type="dxa"/>
            <w:vAlign w:val="bottom"/>
          </w:tcPr>
          <w:p w14:paraId="4D8F5345">
            <w:pPr>
              <w:widowControl/>
              <w:autoSpaceDE w:val="0"/>
              <w:autoSpaceDN w:val="0"/>
              <w:adjustRightInd w:val="0"/>
              <w:snapToGrid w:val="0"/>
              <w:textAlignment w:val="bottom"/>
              <w:rPr>
                <w:rFonts w:ascii="宋体" w:hAnsi="宋体" w:cs="宋体"/>
                <w:sz w:val="24"/>
              </w:rPr>
            </w:pPr>
          </w:p>
        </w:tc>
        <w:tc>
          <w:tcPr>
            <w:tcW w:w="873" w:type="dxa"/>
            <w:vAlign w:val="bottom"/>
          </w:tcPr>
          <w:p w14:paraId="1EF19790">
            <w:pPr>
              <w:widowControl/>
              <w:autoSpaceDE w:val="0"/>
              <w:autoSpaceDN w:val="0"/>
              <w:adjustRightInd w:val="0"/>
              <w:snapToGrid w:val="0"/>
              <w:textAlignment w:val="bottom"/>
              <w:rPr>
                <w:rFonts w:ascii="宋体" w:hAnsi="宋体" w:cs="宋体"/>
                <w:sz w:val="24"/>
              </w:rPr>
            </w:pPr>
          </w:p>
        </w:tc>
        <w:tc>
          <w:tcPr>
            <w:tcW w:w="828" w:type="dxa"/>
            <w:vAlign w:val="bottom"/>
          </w:tcPr>
          <w:p w14:paraId="7A3447E9">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24B9EB74">
            <w:pPr>
              <w:widowControl/>
              <w:autoSpaceDE w:val="0"/>
              <w:autoSpaceDN w:val="0"/>
              <w:adjustRightInd w:val="0"/>
              <w:snapToGrid w:val="0"/>
              <w:textAlignment w:val="bottom"/>
              <w:rPr>
                <w:rFonts w:ascii="宋体" w:hAnsi="宋体" w:cs="宋体"/>
                <w:sz w:val="24"/>
              </w:rPr>
            </w:pPr>
          </w:p>
        </w:tc>
      </w:tr>
      <w:tr w14:paraId="29809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442B3598">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AFA9AF3">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压缩机转子总图，表</w:t>
            </w:r>
          </w:p>
        </w:tc>
        <w:tc>
          <w:tcPr>
            <w:tcW w:w="1134" w:type="dxa"/>
            <w:vAlign w:val="bottom"/>
          </w:tcPr>
          <w:p w14:paraId="18A07723">
            <w:pPr>
              <w:widowControl/>
              <w:autoSpaceDE w:val="0"/>
              <w:autoSpaceDN w:val="0"/>
              <w:adjustRightInd w:val="0"/>
              <w:snapToGrid w:val="0"/>
              <w:textAlignment w:val="bottom"/>
              <w:rPr>
                <w:rFonts w:ascii="宋体" w:hAnsi="宋体" w:cs="宋体"/>
                <w:sz w:val="24"/>
              </w:rPr>
            </w:pPr>
          </w:p>
        </w:tc>
        <w:tc>
          <w:tcPr>
            <w:tcW w:w="873" w:type="dxa"/>
            <w:vAlign w:val="bottom"/>
          </w:tcPr>
          <w:p w14:paraId="16DAD028">
            <w:pPr>
              <w:widowControl/>
              <w:autoSpaceDE w:val="0"/>
              <w:autoSpaceDN w:val="0"/>
              <w:adjustRightInd w:val="0"/>
              <w:snapToGrid w:val="0"/>
              <w:textAlignment w:val="bottom"/>
              <w:rPr>
                <w:rFonts w:ascii="宋体" w:hAnsi="宋体" w:cs="宋体"/>
                <w:sz w:val="24"/>
              </w:rPr>
            </w:pPr>
          </w:p>
        </w:tc>
        <w:tc>
          <w:tcPr>
            <w:tcW w:w="828" w:type="dxa"/>
            <w:vAlign w:val="bottom"/>
          </w:tcPr>
          <w:p w14:paraId="518C1DB7">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00E2DAA5">
            <w:pPr>
              <w:widowControl/>
              <w:autoSpaceDE w:val="0"/>
              <w:autoSpaceDN w:val="0"/>
              <w:adjustRightInd w:val="0"/>
              <w:snapToGrid w:val="0"/>
              <w:textAlignment w:val="bottom"/>
              <w:rPr>
                <w:rFonts w:ascii="宋体" w:hAnsi="宋体" w:cs="宋体"/>
                <w:sz w:val="24"/>
              </w:rPr>
            </w:pPr>
          </w:p>
        </w:tc>
      </w:tr>
      <w:tr w14:paraId="572B0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78ACE936">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3762319E">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压缩机支撑轴承总图</w:t>
            </w:r>
          </w:p>
        </w:tc>
        <w:tc>
          <w:tcPr>
            <w:tcW w:w="1134" w:type="dxa"/>
            <w:vAlign w:val="bottom"/>
          </w:tcPr>
          <w:p w14:paraId="461CFBE9">
            <w:pPr>
              <w:widowControl/>
              <w:autoSpaceDE w:val="0"/>
              <w:autoSpaceDN w:val="0"/>
              <w:adjustRightInd w:val="0"/>
              <w:snapToGrid w:val="0"/>
              <w:textAlignment w:val="bottom"/>
              <w:rPr>
                <w:rFonts w:ascii="宋体" w:hAnsi="宋体" w:cs="宋体"/>
                <w:sz w:val="24"/>
              </w:rPr>
            </w:pPr>
          </w:p>
        </w:tc>
        <w:tc>
          <w:tcPr>
            <w:tcW w:w="873" w:type="dxa"/>
            <w:vAlign w:val="bottom"/>
          </w:tcPr>
          <w:p w14:paraId="2EADA9E8">
            <w:pPr>
              <w:widowControl/>
              <w:autoSpaceDE w:val="0"/>
              <w:autoSpaceDN w:val="0"/>
              <w:adjustRightInd w:val="0"/>
              <w:snapToGrid w:val="0"/>
              <w:textAlignment w:val="bottom"/>
              <w:rPr>
                <w:rFonts w:ascii="宋体" w:hAnsi="宋体" w:cs="宋体"/>
                <w:sz w:val="24"/>
              </w:rPr>
            </w:pPr>
          </w:p>
        </w:tc>
        <w:tc>
          <w:tcPr>
            <w:tcW w:w="828" w:type="dxa"/>
            <w:vAlign w:val="bottom"/>
          </w:tcPr>
          <w:p w14:paraId="50F84FA0">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1E929526">
            <w:pPr>
              <w:widowControl/>
              <w:autoSpaceDE w:val="0"/>
              <w:autoSpaceDN w:val="0"/>
              <w:adjustRightInd w:val="0"/>
              <w:snapToGrid w:val="0"/>
              <w:textAlignment w:val="bottom"/>
              <w:rPr>
                <w:rFonts w:ascii="宋体" w:hAnsi="宋体" w:cs="宋体"/>
                <w:sz w:val="24"/>
              </w:rPr>
            </w:pPr>
          </w:p>
        </w:tc>
      </w:tr>
      <w:tr w14:paraId="7FE75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7B6B78BB">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306DEF3">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压缩机推力轴承总图</w:t>
            </w:r>
          </w:p>
        </w:tc>
        <w:tc>
          <w:tcPr>
            <w:tcW w:w="1134" w:type="dxa"/>
            <w:vAlign w:val="bottom"/>
          </w:tcPr>
          <w:p w14:paraId="6250D1A7">
            <w:pPr>
              <w:widowControl/>
              <w:autoSpaceDE w:val="0"/>
              <w:autoSpaceDN w:val="0"/>
              <w:adjustRightInd w:val="0"/>
              <w:snapToGrid w:val="0"/>
              <w:textAlignment w:val="bottom"/>
              <w:rPr>
                <w:rFonts w:ascii="宋体" w:hAnsi="宋体" w:cs="宋体"/>
                <w:sz w:val="24"/>
              </w:rPr>
            </w:pPr>
          </w:p>
        </w:tc>
        <w:tc>
          <w:tcPr>
            <w:tcW w:w="873" w:type="dxa"/>
            <w:vAlign w:val="bottom"/>
          </w:tcPr>
          <w:p w14:paraId="4992F136">
            <w:pPr>
              <w:widowControl/>
              <w:autoSpaceDE w:val="0"/>
              <w:autoSpaceDN w:val="0"/>
              <w:adjustRightInd w:val="0"/>
              <w:snapToGrid w:val="0"/>
              <w:textAlignment w:val="bottom"/>
              <w:rPr>
                <w:rFonts w:ascii="宋体" w:hAnsi="宋体" w:cs="宋体"/>
                <w:sz w:val="24"/>
              </w:rPr>
            </w:pPr>
          </w:p>
        </w:tc>
        <w:tc>
          <w:tcPr>
            <w:tcW w:w="828" w:type="dxa"/>
            <w:vAlign w:val="bottom"/>
          </w:tcPr>
          <w:p w14:paraId="75682188">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7A97E9B0">
            <w:pPr>
              <w:widowControl/>
              <w:autoSpaceDE w:val="0"/>
              <w:autoSpaceDN w:val="0"/>
              <w:adjustRightInd w:val="0"/>
              <w:snapToGrid w:val="0"/>
              <w:textAlignment w:val="bottom"/>
              <w:rPr>
                <w:rFonts w:ascii="宋体" w:hAnsi="宋体" w:cs="宋体"/>
                <w:sz w:val="24"/>
              </w:rPr>
            </w:pPr>
          </w:p>
        </w:tc>
      </w:tr>
      <w:tr w14:paraId="65D05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577DB023">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290A775B">
            <w:pPr>
              <w:widowControl/>
              <w:autoSpaceDE w:val="0"/>
              <w:autoSpaceDN w:val="0"/>
              <w:adjustRightInd w:val="0"/>
              <w:snapToGrid w:val="0"/>
              <w:textAlignment w:val="bottom"/>
              <w:rPr>
                <w:rFonts w:ascii="宋体" w:hAnsi="宋体" w:cs="宋体"/>
                <w:sz w:val="24"/>
              </w:rPr>
            </w:pPr>
            <w:r>
              <w:rPr>
                <w:rFonts w:hint="eastAsia" w:ascii="宋体" w:hAnsi="宋体" w:cs="宋体"/>
                <w:sz w:val="24"/>
              </w:rPr>
              <w:t>齿轮箱装配图，表</w:t>
            </w:r>
          </w:p>
        </w:tc>
        <w:tc>
          <w:tcPr>
            <w:tcW w:w="1134" w:type="dxa"/>
            <w:vAlign w:val="bottom"/>
          </w:tcPr>
          <w:p w14:paraId="5E6DBAF5">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3AABE655">
            <w:pPr>
              <w:widowControl/>
              <w:autoSpaceDE w:val="0"/>
              <w:autoSpaceDN w:val="0"/>
              <w:adjustRightInd w:val="0"/>
              <w:snapToGrid w:val="0"/>
              <w:textAlignment w:val="bottom"/>
              <w:rPr>
                <w:rFonts w:ascii="宋体" w:hAnsi="宋体" w:cs="宋体"/>
                <w:sz w:val="24"/>
              </w:rPr>
            </w:pPr>
          </w:p>
        </w:tc>
        <w:tc>
          <w:tcPr>
            <w:tcW w:w="828" w:type="dxa"/>
            <w:vAlign w:val="bottom"/>
          </w:tcPr>
          <w:p w14:paraId="1E1DE235">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319D24C7">
            <w:pPr>
              <w:widowControl/>
              <w:autoSpaceDE w:val="0"/>
              <w:autoSpaceDN w:val="0"/>
              <w:adjustRightInd w:val="0"/>
              <w:snapToGrid w:val="0"/>
              <w:textAlignment w:val="bottom"/>
              <w:rPr>
                <w:rFonts w:ascii="宋体" w:hAnsi="宋体" w:cs="宋体"/>
                <w:sz w:val="24"/>
              </w:rPr>
            </w:pPr>
          </w:p>
        </w:tc>
      </w:tr>
      <w:tr w14:paraId="3940D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59680C92">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40AF6AAD">
            <w:pPr>
              <w:widowControl/>
              <w:autoSpaceDE w:val="0"/>
              <w:autoSpaceDN w:val="0"/>
              <w:adjustRightInd w:val="0"/>
              <w:snapToGrid w:val="0"/>
              <w:textAlignment w:val="bottom"/>
              <w:rPr>
                <w:rFonts w:ascii="宋体" w:hAnsi="宋体" w:cs="宋体"/>
                <w:sz w:val="24"/>
              </w:rPr>
            </w:pPr>
            <w:r>
              <w:rPr>
                <w:rFonts w:hint="eastAsia" w:ascii="宋体" w:hAnsi="宋体" w:cs="宋体"/>
                <w:sz w:val="24"/>
              </w:rPr>
              <w:t>冷却器装配图，表</w:t>
            </w:r>
          </w:p>
        </w:tc>
        <w:tc>
          <w:tcPr>
            <w:tcW w:w="1134" w:type="dxa"/>
            <w:vAlign w:val="bottom"/>
          </w:tcPr>
          <w:p w14:paraId="64FFD797">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11AAB1D4">
            <w:pPr>
              <w:widowControl/>
              <w:autoSpaceDE w:val="0"/>
              <w:autoSpaceDN w:val="0"/>
              <w:adjustRightInd w:val="0"/>
              <w:snapToGrid w:val="0"/>
              <w:textAlignment w:val="bottom"/>
              <w:rPr>
                <w:rFonts w:ascii="宋体" w:hAnsi="宋体" w:cs="宋体"/>
                <w:sz w:val="24"/>
              </w:rPr>
            </w:pPr>
          </w:p>
        </w:tc>
        <w:tc>
          <w:tcPr>
            <w:tcW w:w="828" w:type="dxa"/>
            <w:vAlign w:val="bottom"/>
          </w:tcPr>
          <w:p w14:paraId="77454B87">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4E6B8B4C">
            <w:pPr>
              <w:widowControl/>
              <w:autoSpaceDE w:val="0"/>
              <w:autoSpaceDN w:val="0"/>
              <w:adjustRightInd w:val="0"/>
              <w:snapToGrid w:val="0"/>
              <w:textAlignment w:val="bottom"/>
              <w:rPr>
                <w:rFonts w:ascii="宋体" w:hAnsi="宋体" w:cs="宋体"/>
                <w:sz w:val="24"/>
              </w:rPr>
            </w:pPr>
          </w:p>
        </w:tc>
      </w:tr>
      <w:tr w14:paraId="7B3F8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18075D9E">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21F6C47F">
            <w:pPr>
              <w:widowControl/>
              <w:autoSpaceDE w:val="0"/>
              <w:autoSpaceDN w:val="0"/>
              <w:adjustRightInd w:val="0"/>
              <w:snapToGrid w:val="0"/>
              <w:textAlignment w:val="bottom"/>
              <w:rPr>
                <w:rFonts w:ascii="宋体" w:hAnsi="宋体" w:cs="宋体"/>
                <w:sz w:val="24"/>
              </w:rPr>
            </w:pPr>
            <w:r>
              <w:rPr>
                <w:rFonts w:hint="eastAsia" w:ascii="宋体" w:hAnsi="宋体" w:cs="宋体"/>
                <w:sz w:val="24"/>
              </w:rPr>
              <w:t>管道粗滤器图</w:t>
            </w:r>
          </w:p>
        </w:tc>
        <w:tc>
          <w:tcPr>
            <w:tcW w:w="1134" w:type="dxa"/>
            <w:vAlign w:val="bottom"/>
          </w:tcPr>
          <w:p w14:paraId="36551AE8">
            <w:pPr>
              <w:widowControl/>
              <w:autoSpaceDE w:val="0"/>
              <w:autoSpaceDN w:val="0"/>
              <w:adjustRightInd w:val="0"/>
              <w:snapToGrid w:val="0"/>
              <w:textAlignment w:val="bottom"/>
              <w:rPr>
                <w:rFonts w:ascii="宋体" w:hAnsi="宋体" w:cs="宋体"/>
                <w:sz w:val="24"/>
              </w:rPr>
            </w:pPr>
          </w:p>
        </w:tc>
        <w:tc>
          <w:tcPr>
            <w:tcW w:w="873" w:type="dxa"/>
            <w:vAlign w:val="bottom"/>
          </w:tcPr>
          <w:p w14:paraId="6CB06C8D">
            <w:pPr>
              <w:widowControl/>
              <w:autoSpaceDE w:val="0"/>
              <w:autoSpaceDN w:val="0"/>
              <w:adjustRightInd w:val="0"/>
              <w:snapToGrid w:val="0"/>
              <w:textAlignment w:val="bottom"/>
              <w:rPr>
                <w:rFonts w:ascii="宋体" w:hAnsi="宋体" w:cs="宋体"/>
                <w:sz w:val="24"/>
              </w:rPr>
            </w:pPr>
          </w:p>
        </w:tc>
        <w:tc>
          <w:tcPr>
            <w:tcW w:w="828" w:type="dxa"/>
            <w:vAlign w:val="bottom"/>
          </w:tcPr>
          <w:p w14:paraId="03BBA2A8">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3D4D6A0B">
            <w:pPr>
              <w:widowControl/>
              <w:autoSpaceDE w:val="0"/>
              <w:autoSpaceDN w:val="0"/>
              <w:adjustRightInd w:val="0"/>
              <w:snapToGrid w:val="0"/>
              <w:textAlignment w:val="bottom"/>
              <w:rPr>
                <w:rFonts w:ascii="宋体" w:hAnsi="宋体" w:cs="宋体"/>
                <w:sz w:val="24"/>
              </w:rPr>
            </w:pPr>
            <w:r>
              <w:rPr>
                <w:rFonts w:hint="eastAsia" w:ascii="宋体" w:hAnsi="宋体" w:cs="宋体"/>
                <w:sz w:val="24"/>
              </w:rPr>
              <w:t>散件供货时</w:t>
            </w:r>
          </w:p>
        </w:tc>
      </w:tr>
      <w:tr w14:paraId="4920B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1F3826A3">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56BA036D">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压缩机横向振动分析报告</w:t>
            </w:r>
          </w:p>
        </w:tc>
        <w:tc>
          <w:tcPr>
            <w:tcW w:w="1134" w:type="dxa"/>
            <w:vAlign w:val="bottom"/>
          </w:tcPr>
          <w:p w14:paraId="22096CF3">
            <w:pPr>
              <w:widowControl/>
              <w:autoSpaceDE w:val="0"/>
              <w:autoSpaceDN w:val="0"/>
              <w:adjustRightInd w:val="0"/>
              <w:snapToGrid w:val="0"/>
              <w:textAlignment w:val="bottom"/>
              <w:rPr>
                <w:rFonts w:ascii="宋体" w:hAnsi="宋体" w:cs="宋体"/>
                <w:sz w:val="24"/>
              </w:rPr>
            </w:pPr>
          </w:p>
        </w:tc>
        <w:tc>
          <w:tcPr>
            <w:tcW w:w="873" w:type="dxa"/>
            <w:vAlign w:val="bottom"/>
          </w:tcPr>
          <w:p w14:paraId="7FB9B4B3">
            <w:pPr>
              <w:widowControl/>
              <w:autoSpaceDE w:val="0"/>
              <w:autoSpaceDN w:val="0"/>
              <w:adjustRightInd w:val="0"/>
              <w:snapToGrid w:val="0"/>
              <w:textAlignment w:val="bottom"/>
              <w:rPr>
                <w:rFonts w:ascii="宋体" w:hAnsi="宋体" w:cs="宋体"/>
                <w:sz w:val="24"/>
              </w:rPr>
            </w:pPr>
          </w:p>
        </w:tc>
        <w:tc>
          <w:tcPr>
            <w:tcW w:w="828" w:type="dxa"/>
            <w:vAlign w:val="bottom"/>
          </w:tcPr>
          <w:p w14:paraId="39E5AFC6">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19AB05D6">
            <w:pPr>
              <w:widowControl/>
              <w:autoSpaceDE w:val="0"/>
              <w:autoSpaceDN w:val="0"/>
              <w:adjustRightInd w:val="0"/>
              <w:snapToGrid w:val="0"/>
              <w:textAlignment w:val="bottom"/>
              <w:rPr>
                <w:rFonts w:ascii="宋体" w:hAnsi="宋体" w:cs="宋体"/>
                <w:sz w:val="24"/>
              </w:rPr>
            </w:pPr>
          </w:p>
        </w:tc>
      </w:tr>
      <w:tr w14:paraId="5B2BD1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0BDDE181">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2BC49246">
            <w:pPr>
              <w:widowControl/>
              <w:autoSpaceDE w:val="0"/>
              <w:autoSpaceDN w:val="0"/>
              <w:adjustRightInd w:val="0"/>
              <w:snapToGrid w:val="0"/>
              <w:textAlignment w:val="bottom"/>
              <w:rPr>
                <w:rFonts w:ascii="宋体" w:hAnsi="宋体" w:cs="宋体"/>
                <w:sz w:val="24"/>
              </w:rPr>
            </w:pPr>
            <w:r>
              <w:rPr>
                <w:rFonts w:hint="eastAsia" w:ascii="宋体" w:hAnsi="宋体" w:cs="宋体"/>
                <w:sz w:val="24"/>
              </w:rPr>
              <w:t>压缩机安装使用说明书</w:t>
            </w:r>
          </w:p>
        </w:tc>
        <w:tc>
          <w:tcPr>
            <w:tcW w:w="1134" w:type="dxa"/>
            <w:vAlign w:val="bottom"/>
          </w:tcPr>
          <w:p w14:paraId="15985DFB">
            <w:pPr>
              <w:widowControl/>
              <w:autoSpaceDE w:val="0"/>
              <w:autoSpaceDN w:val="0"/>
              <w:adjustRightInd w:val="0"/>
              <w:snapToGrid w:val="0"/>
              <w:textAlignment w:val="bottom"/>
              <w:rPr>
                <w:rFonts w:ascii="宋体" w:hAnsi="宋体" w:cs="宋体"/>
                <w:sz w:val="24"/>
              </w:rPr>
            </w:pPr>
          </w:p>
        </w:tc>
        <w:tc>
          <w:tcPr>
            <w:tcW w:w="873" w:type="dxa"/>
            <w:vAlign w:val="bottom"/>
          </w:tcPr>
          <w:p w14:paraId="6F05620E">
            <w:pPr>
              <w:widowControl/>
              <w:autoSpaceDE w:val="0"/>
              <w:autoSpaceDN w:val="0"/>
              <w:adjustRightInd w:val="0"/>
              <w:snapToGrid w:val="0"/>
              <w:textAlignment w:val="bottom"/>
              <w:rPr>
                <w:rFonts w:ascii="宋体" w:hAnsi="宋体" w:cs="宋体"/>
                <w:sz w:val="24"/>
              </w:rPr>
            </w:pPr>
          </w:p>
        </w:tc>
        <w:tc>
          <w:tcPr>
            <w:tcW w:w="828" w:type="dxa"/>
            <w:vAlign w:val="bottom"/>
          </w:tcPr>
          <w:p w14:paraId="14A116DD">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3F2FC0D8">
            <w:pPr>
              <w:widowControl/>
              <w:autoSpaceDE w:val="0"/>
              <w:autoSpaceDN w:val="0"/>
              <w:adjustRightInd w:val="0"/>
              <w:snapToGrid w:val="0"/>
              <w:textAlignment w:val="bottom"/>
              <w:rPr>
                <w:rFonts w:ascii="宋体" w:hAnsi="宋体" w:cs="宋体"/>
                <w:sz w:val="24"/>
              </w:rPr>
            </w:pPr>
          </w:p>
        </w:tc>
      </w:tr>
      <w:tr w14:paraId="41434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2FE42C9A">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51CF7E7">
            <w:pPr>
              <w:widowControl/>
              <w:autoSpaceDE w:val="0"/>
              <w:autoSpaceDN w:val="0"/>
              <w:adjustRightInd w:val="0"/>
              <w:snapToGrid w:val="0"/>
              <w:textAlignment w:val="bottom"/>
              <w:rPr>
                <w:rFonts w:ascii="宋体" w:hAnsi="宋体" w:cs="宋体"/>
                <w:sz w:val="24"/>
              </w:rPr>
            </w:pPr>
            <w:r>
              <w:rPr>
                <w:rFonts w:hint="eastAsia" w:ascii="宋体" w:hAnsi="宋体" w:cs="宋体"/>
                <w:sz w:val="24"/>
              </w:rPr>
              <w:t>随机文件及附图</w:t>
            </w:r>
          </w:p>
        </w:tc>
        <w:tc>
          <w:tcPr>
            <w:tcW w:w="1134" w:type="dxa"/>
            <w:vAlign w:val="bottom"/>
          </w:tcPr>
          <w:p w14:paraId="1A4C5596">
            <w:pPr>
              <w:widowControl/>
              <w:autoSpaceDE w:val="0"/>
              <w:autoSpaceDN w:val="0"/>
              <w:adjustRightInd w:val="0"/>
              <w:snapToGrid w:val="0"/>
              <w:textAlignment w:val="bottom"/>
              <w:rPr>
                <w:rFonts w:ascii="宋体" w:hAnsi="宋体" w:cs="宋体"/>
                <w:sz w:val="24"/>
              </w:rPr>
            </w:pPr>
          </w:p>
        </w:tc>
        <w:tc>
          <w:tcPr>
            <w:tcW w:w="873" w:type="dxa"/>
            <w:vAlign w:val="bottom"/>
          </w:tcPr>
          <w:p w14:paraId="29156E5A">
            <w:pPr>
              <w:widowControl/>
              <w:autoSpaceDE w:val="0"/>
              <w:autoSpaceDN w:val="0"/>
              <w:adjustRightInd w:val="0"/>
              <w:snapToGrid w:val="0"/>
              <w:textAlignment w:val="bottom"/>
              <w:rPr>
                <w:rFonts w:ascii="宋体" w:hAnsi="宋体" w:cs="宋体"/>
                <w:sz w:val="24"/>
              </w:rPr>
            </w:pPr>
          </w:p>
        </w:tc>
        <w:tc>
          <w:tcPr>
            <w:tcW w:w="828" w:type="dxa"/>
            <w:vAlign w:val="bottom"/>
          </w:tcPr>
          <w:p w14:paraId="078545A7">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4EE51CF7">
            <w:pPr>
              <w:widowControl/>
              <w:autoSpaceDE w:val="0"/>
              <w:autoSpaceDN w:val="0"/>
              <w:adjustRightInd w:val="0"/>
              <w:snapToGrid w:val="0"/>
              <w:textAlignment w:val="bottom"/>
              <w:rPr>
                <w:rFonts w:ascii="宋体" w:hAnsi="宋体" w:cs="宋体"/>
                <w:sz w:val="24"/>
              </w:rPr>
            </w:pPr>
          </w:p>
        </w:tc>
      </w:tr>
      <w:tr w14:paraId="01E391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1DF33EB5">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06BDF523">
            <w:pPr>
              <w:widowControl/>
              <w:autoSpaceDE w:val="0"/>
              <w:autoSpaceDN w:val="0"/>
              <w:adjustRightInd w:val="0"/>
              <w:snapToGrid w:val="0"/>
              <w:textAlignment w:val="bottom"/>
              <w:rPr>
                <w:rFonts w:ascii="宋体" w:hAnsi="宋体" w:cs="宋体"/>
                <w:sz w:val="24"/>
              </w:rPr>
            </w:pPr>
            <w:r>
              <w:rPr>
                <w:rFonts w:hint="eastAsia" w:ascii="宋体" w:hAnsi="宋体" w:cs="宋体"/>
                <w:sz w:val="24"/>
              </w:rPr>
              <w:t>配套各单机说明书</w:t>
            </w:r>
          </w:p>
        </w:tc>
        <w:tc>
          <w:tcPr>
            <w:tcW w:w="1134" w:type="dxa"/>
            <w:vAlign w:val="bottom"/>
          </w:tcPr>
          <w:p w14:paraId="0C7CFB3E">
            <w:pPr>
              <w:widowControl/>
              <w:autoSpaceDE w:val="0"/>
              <w:autoSpaceDN w:val="0"/>
              <w:adjustRightInd w:val="0"/>
              <w:snapToGrid w:val="0"/>
              <w:textAlignment w:val="bottom"/>
              <w:rPr>
                <w:rFonts w:ascii="宋体" w:hAnsi="宋体" w:cs="宋体"/>
                <w:sz w:val="24"/>
              </w:rPr>
            </w:pPr>
          </w:p>
        </w:tc>
        <w:tc>
          <w:tcPr>
            <w:tcW w:w="873" w:type="dxa"/>
            <w:vAlign w:val="bottom"/>
          </w:tcPr>
          <w:p w14:paraId="7AE3FAAD">
            <w:pPr>
              <w:widowControl/>
              <w:autoSpaceDE w:val="0"/>
              <w:autoSpaceDN w:val="0"/>
              <w:adjustRightInd w:val="0"/>
              <w:snapToGrid w:val="0"/>
              <w:textAlignment w:val="bottom"/>
              <w:rPr>
                <w:rFonts w:ascii="宋体" w:hAnsi="宋体" w:cs="宋体"/>
                <w:sz w:val="24"/>
              </w:rPr>
            </w:pPr>
          </w:p>
        </w:tc>
        <w:tc>
          <w:tcPr>
            <w:tcW w:w="828" w:type="dxa"/>
            <w:vAlign w:val="bottom"/>
          </w:tcPr>
          <w:p w14:paraId="5E06B3D5">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141F06B7">
            <w:pPr>
              <w:widowControl/>
              <w:autoSpaceDE w:val="0"/>
              <w:autoSpaceDN w:val="0"/>
              <w:adjustRightInd w:val="0"/>
              <w:snapToGrid w:val="0"/>
              <w:textAlignment w:val="bottom"/>
              <w:rPr>
                <w:rFonts w:ascii="宋体" w:hAnsi="宋体" w:cs="宋体"/>
                <w:sz w:val="24"/>
              </w:rPr>
            </w:pPr>
          </w:p>
        </w:tc>
      </w:tr>
      <w:tr w14:paraId="001B1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0C6A3953">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1AF27557">
            <w:pPr>
              <w:widowControl/>
              <w:autoSpaceDE w:val="0"/>
              <w:autoSpaceDN w:val="0"/>
              <w:adjustRightInd w:val="0"/>
              <w:snapToGrid w:val="0"/>
              <w:textAlignment w:val="bottom"/>
              <w:rPr>
                <w:rFonts w:ascii="宋体" w:hAnsi="宋体" w:cs="宋体"/>
                <w:sz w:val="24"/>
              </w:rPr>
            </w:pPr>
            <w:r>
              <w:rPr>
                <w:rFonts w:hint="eastAsia" w:ascii="宋体" w:hAnsi="宋体" w:cs="宋体"/>
                <w:sz w:val="24"/>
              </w:rPr>
              <w:t>产品合格证</w:t>
            </w:r>
          </w:p>
        </w:tc>
        <w:tc>
          <w:tcPr>
            <w:tcW w:w="1134" w:type="dxa"/>
            <w:vAlign w:val="bottom"/>
          </w:tcPr>
          <w:p w14:paraId="199271E8">
            <w:pPr>
              <w:widowControl/>
              <w:autoSpaceDE w:val="0"/>
              <w:autoSpaceDN w:val="0"/>
              <w:adjustRightInd w:val="0"/>
              <w:snapToGrid w:val="0"/>
              <w:textAlignment w:val="bottom"/>
              <w:rPr>
                <w:rFonts w:ascii="宋体" w:hAnsi="宋体" w:cs="宋体"/>
                <w:sz w:val="24"/>
              </w:rPr>
            </w:pPr>
          </w:p>
        </w:tc>
        <w:tc>
          <w:tcPr>
            <w:tcW w:w="873" w:type="dxa"/>
            <w:vAlign w:val="bottom"/>
          </w:tcPr>
          <w:p w14:paraId="46D56B6C">
            <w:pPr>
              <w:widowControl/>
              <w:autoSpaceDE w:val="0"/>
              <w:autoSpaceDN w:val="0"/>
              <w:adjustRightInd w:val="0"/>
              <w:snapToGrid w:val="0"/>
              <w:textAlignment w:val="bottom"/>
              <w:rPr>
                <w:rFonts w:ascii="宋体" w:hAnsi="宋体" w:cs="宋体"/>
                <w:sz w:val="24"/>
              </w:rPr>
            </w:pPr>
          </w:p>
        </w:tc>
        <w:tc>
          <w:tcPr>
            <w:tcW w:w="828" w:type="dxa"/>
            <w:vAlign w:val="bottom"/>
          </w:tcPr>
          <w:p w14:paraId="69223377">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7D6B86BA">
            <w:pPr>
              <w:widowControl/>
              <w:autoSpaceDE w:val="0"/>
              <w:autoSpaceDN w:val="0"/>
              <w:adjustRightInd w:val="0"/>
              <w:snapToGrid w:val="0"/>
              <w:textAlignment w:val="bottom"/>
              <w:rPr>
                <w:rFonts w:ascii="宋体" w:hAnsi="宋体" w:cs="宋体"/>
                <w:sz w:val="24"/>
              </w:rPr>
            </w:pPr>
          </w:p>
        </w:tc>
      </w:tr>
      <w:tr w14:paraId="62854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768949A0">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0916177F">
            <w:pPr>
              <w:widowControl/>
              <w:autoSpaceDE w:val="0"/>
              <w:autoSpaceDN w:val="0"/>
              <w:adjustRightInd w:val="0"/>
              <w:snapToGrid w:val="0"/>
              <w:textAlignment w:val="bottom"/>
              <w:rPr>
                <w:rFonts w:ascii="宋体" w:hAnsi="宋体" w:cs="宋体"/>
                <w:sz w:val="24"/>
              </w:rPr>
            </w:pPr>
            <w:r>
              <w:rPr>
                <w:rFonts w:hint="eastAsia" w:ascii="宋体" w:hAnsi="宋体" w:cs="宋体"/>
                <w:sz w:val="24"/>
              </w:rPr>
              <w:t>有关检验和试验数据</w:t>
            </w:r>
          </w:p>
        </w:tc>
        <w:tc>
          <w:tcPr>
            <w:tcW w:w="1134" w:type="dxa"/>
            <w:vAlign w:val="bottom"/>
          </w:tcPr>
          <w:p w14:paraId="3B667099">
            <w:pPr>
              <w:widowControl/>
              <w:autoSpaceDE w:val="0"/>
              <w:autoSpaceDN w:val="0"/>
              <w:adjustRightInd w:val="0"/>
              <w:snapToGrid w:val="0"/>
              <w:textAlignment w:val="bottom"/>
              <w:rPr>
                <w:rFonts w:ascii="宋体" w:hAnsi="宋体" w:cs="宋体"/>
                <w:sz w:val="24"/>
              </w:rPr>
            </w:pPr>
          </w:p>
        </w:tc>
        <w:tc>
          <w:tcPr>
            <w:tcW w:w="873" w:type="dxa"/>
            <w:vAlign w:val="bottom"/>
          </w:tcPr>
          <w:p w14:paraId="2D441620">
            <w:pPr>
              <w:widowControl/>
              <w:autoSpaceDE w:val="0"/>
              <w:autoSpaceDN w:val="0"/>
              <w:adjustRightInd w:val="0"/>
              <w:snapToGrid w:val="0"/>
              <w:textAlignment w:val="bottom"/>
              <w:rPr>
                <w:rFonts w:ascii="宋体" w:hAnsi="宋体" w:cs="宋体"/>
                <w:sz w:val="24"/>
              </w:rPr>
            </w:pPr>
          </w:p>
        </w:tc>
        <w:tc>
          <w:tcPr>
            <w:tcW w:w="828" w:type="dxa"/>
            <w:vAlign w:val="bottom"/>
          </w:tcPr>
          <w:p w14:paraId="778DD8F6">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70234D89">
            <w:pPr>
              <w:widowControl/>
              <w:autoSpaceDE w:val="0"/>
              <w:autoSpaceDN w:val="0"/>
              <w:adjustRightInd w:val="0"/>
              <w:snapToGrid w:val="0"/>
              <w:textAlignment w:val="bottom"/>
              <w:rPr>
                <w:rFonts w:ascii="宋体" w:hAnsi="宋体" w:cs="宋体"/>
                <w:sz w:val="24"/>
              </w:rPr>
            </w:pPr>
          </w:p>
        </w:tc>
      </w:tr>
      <w:tr w14:paraId="42957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4226AC3D">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1B04582D">
            <w:pPr>
              <w:widowControl/>
              <w:autoSpaceDE w:val="0"/>
              <w:autoSpaceDN w:val="0"/>
              <w:adjustRightInd w:val="0"/>
              <w:snapToGrid w:val="0"/>
              <w:textAlignment w:val="bottom"/>
              <w:rPr>
                <w:rFonts w:ascii="宋体" w:hAnsi="宋体" w:cs="宋体"/>
                <w:sz w:val="24"/>
              </w:rPr>
            </w:pPr>
            <w:r>
              <w:rPr>
                <w:rFonts w:hint="eastAsia" w:ascii="宋体" w:hAnsi="宋体" w:cs="宋体"/>
                <w:sz w:val="24"/>
              </w:rPr>
              <w:t>装箱清单</w:t>
            </w:r>
          </w:p>
        </w:tc>
        <w:tc>
          <w:tcPr>
            <w:tcW w:w="1134" w:type="dxa"/>
            <w:vAlign w:val="bottom"/>
          </w:tcPr>
          <w:p w14:paraId="4AD0A1E1">
            <w:pPr>
              <w:widowControl/>
              <w:autoSpaceDE w:val="0"/>
              <w:autoSpaceDN w:val="0"/>
              <w:adjustRightInd w:val="0"/>
              <w:snapToGrid w:val="0"/>
              <w:textAlignment w:val="bottom"/>
              <w:rPr>
                <w:rFonts w:ascii="宋体" w:hAnsi="宋体" w:cs="宋体"/>
                <w:sz w:val="24"/>
              </w:rPr>
            </w:pPr>
          </w:p>
        </w:tc>
        <w:tc>
          <w:tcPr>
            <w:tcW w:w="873" w:type="dxa"/>
            <w:vAlign w:val="bottom"/>
          </w:tcPr>
          <w:p w14:paraId="356A2795">
            <w:pPr>
              <w:widowControl/>
              <w:autoSpaceDE w:val="0"/>
              <w:autoSpaceDN w:val="0"/>
              <w:adjustRightInd w:val="0"/>
              <w:snapToGrid w:val="0"/>
              <w:textAlignment w:val="bottom"/>
              <w:rPr>
                <w:rFonts w:ascii="宋体" w:hAnsi="宋体" w:cs="宋体"/>
                <w:sz w:val="24"/>
              </w:rPr>
            </w:pPr>
          </w:p>
        </w:tc>
        <w:tc>
          <w:tcPr>
            <w:tcW w:w="828" w:type="dxa"/>
            <w:vAlign w:val="bottom"/>
          </w:tcPr>
          <w:p w14:paraId="6FBD4ABD">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1610" w:type="dxa"/>
            <w:vAlign w:val="bottom"/>
          </w:tcPr>
          <w:p w14:paraId="4989A34B">
            <w:pPr>
              <w:widowControl/>
              <w:autoSpaceDE w:val="0"/>
              <w:autoSpaceDN w:val="0"/>
              <w:adjustRightInd w:val="0"/>
              <w:snapToGrid w:val="0"/>
              <w:textAlignment w:val="bottom"/>
              <w:rPr>
                <w:rFonts w:ascii="宋体" w:hAnsi="宋体" w:cs="宋体"/>
                <w:sz w:val="24"/>
              </w:rPr>
            </w:pPr>
          </w:p>
        </w:tc>
      </w:tr>
      <w:tr w14:paraId="59662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629C000F">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39EF9A57">
            <w:pPr>
              <w:widowControl/>
              <w:autoSpaceDE w:val="0"/>
              <w:autoSpaceDN w:val="0"/>
              <w:adjustRightInd w:val="0"/>
              <w:snapToGrid w:val="0"/>
              <w:textAlignment w:val="bottom"/>
              <w:rPr>
                <w:rFonts w:ascii="宋体" w:hAnsi="宋体" w:cs="宋体"/>
                <w:sz w:val="24"/>
              </w:rPr>
            </w:pPr>
            <w:r>
              <w:rPr>
                <w:rFonts w:hint="eastAsia" w:ascii="宋体" w:hAnsi="宋体" w:cs="宋体"/>
                <w:spacing w:val="-1"/>
                <w:sz w:val="24"/>
              </w:rPr>
              <w:t>气路系统P＆I图及明细表</w:t>
            </w:r>
          </w:p>
        </w:tc>
        <w:tc>
          <w:tcPr>
            <w:tcW w:w="1134" w:type="dxa"/>
            <w:vAlign w:val="bottom"/>
          </w:tcPr>
          <w:p w14:paraId="734EF643">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4FA80EF9">
            <w:pPr>
              <w:widowControl/>
              <w:autoSpaceDE w:val="0"/>
              <w:autoSpaceDN w:val="0"/>
              <w:adjustRightInd w:val="0"/>
              <w:snapToGrid w:val="0"/>
              <w:textAlignment w:val="bottom"/>
              <w:rPr>
                <w:rFonts w:ascii="宋体" w:hAnsi="宋体" w:cs="宋体"/>
                <w:sz w:val="24"/>
              </w:rPr>
            </w:pPr>
          </w:p>
        </w:tc>
        <w:tc>
          <w:tcPr>
            <w:tcW w:w="828" w:type="dxa"/>
            <w:vAlign w:val="bottom"/>
          </w:tcPr>
          <w:p w14:paraId="629BEFEA">
            <w:pPr>
              <w:widowControl/>
              <w:autoSpaceDE w:val="0"/>
              <w:autoSpaceDN w:val="0"/>
              <w:adjustRightInd w:val="0"/>
              <w:snapToGrid w:val="0"/>
              <w:textAlignment w:val="bottom"/>
              <w:rPr>
                <w:rFonts w:ascii="宋体" w:hAnsi="宋体" w:cs="宋体"/>
                <w:sz w:val="24"/>
              </w:rPr>
            </w:pPr>
          </w:p>
        </w:tc>
        <w:tc>
          <w:tcPr>
            <w:tcW w:w="1610" w:type="dxa"/>
            <w:vAlign w:val="bottom"/>
          </w:tcPr>
          <w:p w14:paraId="3B1E8910">
            <w:pPr>
              <w:widowControl/>
              <w:autoSpaceDE w:val="0"/>
              <w:autoSpaceDN w:val="0"/>
              <w:adjustRightInd w:val="0"/>
              <w:snapToGrid w:val="0"/>
              <w:textAlignment w:val="bottom"/>
              <w:rPr>
                <w:rFonts w:ascii="宋体" w:hAnsi="宋体" w:cs="宋体"/>
                <w:sz w:val="24"/>
              </w:rPr>
            </w:pPr>
          </w:p>
        </w:tc>
      </w:tr>
      <w:tr w14:paraId="007A6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5B9B839C">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D1A3985">
            <w:pPr>
              <w:widowControl/>
              <w:autoSpaceDE w:val="0"/>
              <w:autoSpaceDN w:val="0"/>
              <w:adjustRightInd w:val="0"/>
              <w:snapToGrid w:val="0"/>
              <w:textAlignment w:val="bottom"/>
              <w:rPr>
                <w:rFonts w:ascii="宋体" w:hAnsi="宋体" w:cs="宋体"/>
                <w:sz w:val="24"/>
              </w:rPr>
            </w:pPr>
            <w:r>
              <w:rPr>
                <w:rFonts w:hint="eastAsia" w:ascii="宋体" w:hAnsi="宋体" w:cs="宋体"/>
                <w:spacing w:val="-1"/>
                <w:sz w:val="24"/>
              </w:rPr>
              <w:t>润滑油路系统P＆I图及明细表</w:t>
            </w:r>
          </w:p>
        </w:tc>
        <w:tc>
          <w:tcPr>
            <w:tcW w:w="1134" w:type="dxa"/>
            <w:vAlign w:val="bottom"/>
          </w:tcPr>
          <w:p w14:paraId="0287F382">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2C122E02">
            <w:pPr>
              <w:widowControl/>
              <w:autoSpaceDE w:val="0"/>
              <w:autoSpaceDN w:val="0"/>
              <w:adjustRightInd w:val="0"/>
              <w:snapToGrid w:val="0"/>
              <w:textAlignment w:val="bottom"/>
              <w:rPr>
                <w:rFonts w:ascii="宋体" w:hAnsi="宋体" w:cs="宋体"/>
                <w:sz w:val="24"/>
              </w:rPr>
            </w:pPr>
          </w:p>
        </w:tc>
        <w:tc>
          <w:tcPr>
            <w:tcW w:w="828" w:type="dxa"/>
            <w:vAlign w:val="bottom"/>
          </w:tcPr>
          <w:p w14:paraId="22E045A7">
            <w:pPr>
              <w:widowControl/>
              <w:autoSpaceDE w:val="0"/>
              <w:autoSpaceDN w:val="0"/>
              <w:adjustRightInd w:val="0"/>
              <w:snapToGrid w:val="0"/>
              <w:textAlignment w:val="bottom"/>
              <w:rPr>
                <w:rFonts w:ascii="宋体" w:hAnsi="宋体" w:cs="宋体"/>
                <w:sz w:val="24"/>
              </w:rPr>
            </w:pPr>
          </w:p>
        </w:tc>
        <w:tc>
          <w:tcPr>
            <w:tcW w:w="1610" w:type="dxa"/>
            <w:vAlign w:val="bottom"/>
          </w:tcPr>
          <w:p w14:paraId="32FA854C">
            <w:pPr>
              <w:widowControl/>
              <w:autoSpaceDE w:val="0"/>
              <w:autoSpaceDN w:val="0"/>
              <w:adjustRightInd w:val="0"/>
              <w:snapToGrid w:val="0"/>
              <w:textAlignment w:val="bottom"/>
              <w:rPr>
                <w:rFonts w:ascii="宋体" w:hAnsi="宋体" w:cs="宋体"/>
                <w:sz w:val="24"/>
              </w:rPr>
            </w:pPr>
          </w:p>
        </w:tc>
      </w:tr>
      <w:tr w14:paraId="331F9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761E21BE">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8122173">
            <w:pPr>
              <w:widowControl/>
              <w:autoSpaceDE w:val="0"/>
              <w:autoSpaceDN w:val="0"/>
              <w:adjustRightInd w:val="0"/>
              <w:snapToGrid w:val="0"/>
              <w:textAlignment w:val="bottom"/>
              <w:rPr>
                <w:rFonts w:ascii="宋体" w:hAnsi="宋体" w:cs="宋体"/>
                <w:sz w:val="24"/>
              </w:rPr>
            </w:pPr>
            <w:r>
              <w:rPr>
                <w:rFonts w:hint="eastAsia" w:ascii="宋体" w:hAnsi="宋体" w:cs="宋体"/>
                <w:spacing w:val="-1"/>
                <w:sz w:val="24"/>
              </w:rPr>
              <w:t>报警、联锁系统逻辑图</w:t>
            </w:r>
          </w:p>
        </w:tc>
        <w:tc>
          <w:tcPr>
            <w:tcW w:w="1134" w:type="dxa"/>
            <w:vAlign w:val="bottom"/>
          </w:tcPr>
          <w:p w14:paraId="7C312283">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2C5C6E6A">
            <w:pPr>
              <w:widowControl/>
              <w:autoSpaceDE w:val="0"/>
              <w:autoSpaceDN w:val="0"/>
              <w:adjustRightInd w:val="0"/>
              <w:snapToGrid w:val="0"/>
              <w:textAlignment w:val="bottom"/>
              <w:rPr>
                <w:rFonts w:ascii="宋体" w:hAnsi="宋体" w:cs="宋体"/>
                <w:sz w:val="24"/>
              </w:rPr>
            </w:pPr>
          </w:p>
        </w:tc>
        <w:tc>
          <w:tcPr>
            <w:tcW w:w="828" w:type="dxa"/>
            <w:vAlign w:val="bottom"/>
          </w:tcPr>
          <w:p w14:paraId="6BBD2788">
            <w:pPr>
              <w:widowControl/>
              <w:autoSpaceDE w:val="0"/>
              <w:autoSpaceDN w:val="0"/>
              <w:adjustRightInd w:val="0"/>
              <w:snapToGrid w:val="0"/>
              <w:textAlignment w:val="bottom"/>
              <w:rPr>
                <w:rFonts w:ascii="宋体" w:hAnsi="宋体" w:cs="宋体"/>
                <w:sz w:val="24"/>
              </w:rPr>
            </w:pPr>
          </w:p>
        </w:tc>
        <w:tc>
          <w:tcPr>
            <w:tcW w:w="1610" w:type="dxa"/>
            <w:vAlign w:val="bottom"/>
          </w:tcPr>
          <w:p w14:paraId="0D284617">
            <w:pPr>
              <w:widowControl/>
              <w:autoSpaceDE w:val="0"/>
              <w:autoSpaceDN w:val="0"/>
              <w:adjustRightInd w:val="0"/>
              <w:snapToGrid w:val="0"/>
              <w:textAlignment w:val="bottom"/>
              <w:rPr>
                <w:rFonts w:ascii="宋体" w:hAnsi="宋体" w:cs="宋体"/>
                <w:sz w:val="24"/>
              </w:rPr>
            </w:pPr>
          </w:p>
        </w:tc>
      </w:tr>
      <w:tr w14:paraId="395323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3590CA18">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7614DD90">
            <w:pPr>
              <w:widowControl/>
              <w:autoSpaceDE w:val="0"/>
              <w:autoSpaceDN w:val="0"/>
              <w:adjustRightInd w:val="0"/>
              <w:snapToGrid w:val="0"/>
              <w:textAlignment w:val="bottom"/>
              <w:rPr>
                <w:rFonts w:ascii="宋体" w:hAnsi="宋体" w:cs="宋体"/>
                <w:sz w:val="24"/>
              </w:rPr>
            </w:pPr>
            <w:r>
              <w:rPr>
                <w:rFonts w:hint="eastAsia" w:ascii="宋体" w:hAnsi="宋体" w:cs="宋体"/>
                <w:spacing w:val="-1"/>
                <w:sz w:val="24"/>
              </w:rPr>
              <w:t>仪表数据表和接线箱接线图</w:t>
            </w:r>
          </w:p>
        </w:tc>
        <w:tc>
          <w:tcPr>
            <w:tcW w:w="1134" w:type="dxa"/>
            <w:vAlign w:val="bottom"/>
          </w:tcPr>
          <w:p w14:paraId="0482FC4B">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40B6618E">
            <w:pPr>
              <w:widowControl/>
              <w:autoSpaceDE w:val="0"/>
              <w:autoSpaceDN w:val="0"/>
              <w:adjustRightInd w:val="0"/>
              <w:snapToGrid w:val="0"/>
              <w:textAlignment w:val="bottom"/>
              <w:rPr>
                <w:rFonts w:ascii="宋体" w:hAnsi="宋体" w:cs="宋体"/>
                <w:sz w:val="24"/>
              </w:rPr>
            </w:pPr>
          </w:p>
        </w:tc>
        <w:tc>
          <w:tcPr>
            <w:tcW w:w="828" w:type="dxa"/>
            <w:vAlign w:val="bottom"/>
          </w:tcPr>
          <w:p w14:paraId="7954867A">
            <w:pPr>
              <w:widowControl/>
              <w:autoSpaceDE w:val="0"/>
              <w:autoSpaceDN w:val="0"/>
              <w:adjustRightInd w:val="0"/>
              <w:snapToGrid w:val="0"/>
              <w:textAlignment w:val="bottom"/>
              <w:rPr>
                <w:rFonts w:ascii="宋体" w:hAnsi="宋体" w:cs="宋体"/>
                <w:sz w:val="24"/>
              </w:rPr>
            </w:pPr>
          </w:p>
        </w:tc>
        <w:tc>
          <w:tcPr>
            <w:tcW w:w="1610" w:type="dxa"/>
            <w:vAlign w:val="bottom"/>
          </w:tcPr>
          <w:p w14:paraId="1FC8A2B5">
            <w:pPr>
              <w:widowControl/>
              <w:autoSpaceDE w:val="0"/>
              <w:autoSpaceDN w:val="0"/>
              <w:adjustRightInd w:val="0"/>
              <w:snapToGrid w:val="0"/>
              <w:textAlignment w:val="bottom"/>
              <w:rPr>
                <w:rFonts w:ascii="宋体" w:hAnsi="宋体" w:cs="宋体"/>
                <w:sz w:val="24"/>
              </w:rPr>
            </w:pPr>
          </w:p>
        </w:tc>
      </w:tr>
      <w:tr w14:paraId="4EBB3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vAlign w:val="bottom"/>
          </w:tcPr>
          <w:p w14:paraId="169239B7">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4189ED02">
            <w:pPr>
              <w:widowControl/>
              <w:autoSpaceDE w:val="0"/>
              <w:autoSpaceDN w:val="0"/>
              <w:adjustRightInd w:val="0"/>
              <w:snapToGrid w:val="0"/>
              <w:textAlignment w:val="bottom"/>
              <w:rPr>
                <w:rFonts w:ascii="宋体" w:hAnsi="宋体" w:cs="宋体"/>
                <w:sz w:val="24"/>
              </w:rPr>
            </w:pPr>
            <w:r>
              <w:rPr>
                <w:rFonts w:hint="eastAsia" w:ascii="宋体" w:hAnsi="宋体" w:cs="宋体"/>
                <w:spacing w:val="-1"/>
                <w:sz w:val="24"/>
              </w:rPr>
              <w:t>就地仪表板安装布置图</w:t>
            </w:r>
          </w:p>
        </w:tc>
        <w:tc>
          <w:tcPr>
            <w:tcW w:w="1134" w:type="dxa"/>
            <w:vAlign w:val="bottom"/>
          </w:tcPr>
          <w:p w14:paraId="4AB95C63">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6193AB4C">
            <w:pPr>
              <w:widowControl/>
              <w:autoSpaceDE w:val="0"/>
              <w:autoSpaceDN w:val="0"/>
              <w:adjustRightInd w:val="0"/>
              <w:snapToGrid w:val="0"/>
              <w:textAlignment w:val="bottom"/>
              <w:rPr>
                <w:rFonts w:ascii="宋体" w:hAnsi="宋体" w:cs="宋体"/>
                <w:sz w:val="24"/>
              </w:rPr>
            </w:pPr>
          </w:p>
        </w:tc>
        <w:tc>
          <w:tcPr>
            <w:tcW w:w="828" w:type="dxa"/>
            <w:vAlign w:val="bottom"/>
          </w:tcPr>
          <w:p w14:paraId="0D8C23B3">
            <w:pPr>
              <w:widowControl/>
              <w:autoSpaceDE w:val="0"/>
              <w:autoSpaceDN w:val="0"/>
              <w:adjustRightInd w:val="0"/>
              <w:snapToGrid w:val="0"/>
              <w:textAlignment w:val="bottom"/>
              <w:rPr>
                <w:rFonts w:ascii="宋体" w:hAnsi="宋体" w:cs="宋体"/>
                <w:sz w:val="24"/>
              </w:rPr>
            </w:pPr>
          </w:p>
        </w:tc>
        <w:tc>
          <w:tcPr>
            <w:tcW w:w="1610" w:type="dxa"/>
            <w:vAlign w:val="bottom"/>
          </w:tcPr>
          <w:p w14:paraId="00BF04E3">
            <w:pPr>
              <w:widowControl/>
              <w:autoSpaceDE w:val="0"/>
              <w:autoSpaceDN w:val="0"/>
              <w:adjustRightInd w:val="0"/>
              <w:snapToGrid w:val="0"/>
              <w:textAlignment w:val="bottom"/>
              <w:rPr>
                <w:rFonts w:ascii="宋体" w:hAnsi="宋体" w:cs="宋体"/>
                <w:sz w:val="24"/>
              </w:rPr>
            </w:pPr>
          </w:p>
        </w:tc>
      </w:tr>
      <w:tr w14:paraId="35B1B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674D0689">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59324A8">
            <w:pPr>
              <w:widowControl/>
              <w:autoSpaceDE w:val="0"/>
              <w:autoSpaceDN w:val="0"/>
              <w:adjustRightInd w:val="0"/>
              <w:snapToGrid w:val="0"/>
              <w:textAlignment w:val="bottom"/>
              <w:rPr>
                <w:rFonts w:ascii="宋体" w:hAnsi="宋体" w:cs="宋体"/>
                <w:sz w:val="24"/>
              </w:rPr>
            </w:pPr>
            <w:r>
              <w:rPr>
                <w:rFonts w:hint="eastAsia" w:ascii="宋体" w:hAnsi="宋体" w:cs="宋体"/>
                <w:spacing w:val="-1"/>
                <w:sz w:val="24"/>
              </w:rPr>
              <w:t>报警、联锁逻辑图的设计</w:t>
            </w:r>
          </w:p>
        </w:tc>
        <w:tc>
          <w:tcPr>
            <w:tcW w:w="1134" w:type="dxa"/>
            <w:vAlign w:val="bottom"/>
          </w:tcPr>
          <w:p w14:paraId="30AFCDFA">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73" w:type="dxa"/>
            <w:vAlign w:val="bottom"/>
          </w:tcPr>
          <w:p w14:paraId="7AF3A4A5">
            <w:pPr>
              <w:widowControl/>
              <w:autoSpaceDE w:val="0"/>
              <w:autoSpaceDN w:val="0"/>
              <w:adjustRightInd w:val="0"/>
              <w:snapToGrid w:val="0"/>
              <w:textAlignment w:val="bottom"/>
              <w:rPr>
                <w:rFonts w:ascii="宋体" w:hAnsi="宋体" w:cs="宋体"/>
                <w:sz w:val="24"/>
              </w:rPr>
            </w:pPr>
          </w:p>
        </w:tc>
        <w:tc>
          <w:tcPr>
            <w:tcW w:w="828" w:type="dxa"/>
            <w:vAlign w:val="bottom"/>
          </w:tcPr>
          <w:p w14:paraId="06E896C3">
            <w:pPr>
              <w:widowControl/>
              <w:autoSpaceDE w:val="0"/>
              <w:autoSpaceDN w:val="0"/>
              <w:adjustRightInd w:val="0"/>
              <w:snapToGrid w:val="0"/>
              <w:textAlignment w:val="bottom"/>
              <w:rPr>
                <w:rFonts w:ascii="宋体" w:hAnsi="宋体" w:cs="宋体"/>
                <w:sz w:val="24"/>
              </w:rPr>
            </w:pPr>
          </w:p>
        </w:tc>
        <w:tc>
          <w:tcPr>
            <w:tcW w:w="1610" w:type="dxa"/>
            <w:vAlign w:val="bottom"/>
          </w:tcPr>
          <w:p w14:paraId="7B2F5610">
            <w:pPr>
              <w:widowControl/>
              <w:autoSpaceDE w:val="0"/>
              <w:autoSpaceDN w:val="0"/>
              <w:adjustRightInd w:val="0"/>
              <w:snapToGrid w:val="0"/>
              <w:textAlignment w:val="bottom"/>
              <w:rPr>
                <w:rFonts w:ascii="宋体" w:hAnsi="宋体" w:cs="宋体"/>
                <w:sz w:val="24"/>
              </w:rPr>
            </w:pPr>
          </w:p>
        </w:tc>
      </w:tr>
      <w:tr w14:paraId="13FDBF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541B15BD">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4921F6BA">
            <w:pPr>
              <w:widowControl/>
              <w:autoSpaceDE w:val="0"/>
              <w:autoSpaceDN w:val="0"/>
              <w:adjustRightInd w:val="0"/>
              <w:snapToGrid w:val="0"/>
              <w:textAlignment w:val="bottom"/>
              <w:rPr>
                <w:rFonts w:ascii="宋体" w:hAnsi="宋体" w:cs="宋体"/>
                <w:sz w:val="24"/>
              </w:rPr>
            </w:pPr>
            <w:r>
              <w:rPr>
                <w:rFonts w:hint="eastAsia" w:ascii="宋体" w:hAnsi="宋体" w:cs="宋体"/>
                <w:sz w:val="24"/>
              </w:rPr>
              <w:t>初步设计图的最终版</w:t>
            </w:r>
          </w:p>
        </w:tc>
        <w:tc>
          <w:tcPr>
            <w:tcW w:w="1134" w:type="dxa"/>
            <w:vAlign w:val="bottom"/>
          </w:tcPr>
          <w:p w14:paraId="1F5087C5">
            <w:pPr>
              <w:widowControl/>
              <w:autoSpaceDE w:val="0"/>
              <w:autoSpaceDN w:val="0"/>
              <w:adjustRightInd w:val="0"/>
              <w:snapToGrid w:val="0"/>
              <w:textAlignment w:val="bottom"/>
              <w:rPr>
                <w:rFonts w:ascii="宋体" w:hAnsi="宋体" w:cs="宋体"/>
                <w:sz w:val="24"/>
              </w:rPr>
            </w:pPr>
          </w:p>
        </w:tc>
        <w:tc>
          <w:tcPr>
            <w:tcW w:w="873" w:type="dxa"/>
            <w:vAlign w:val="bottom"/>
          </w:tcPr>
          <w:p w14:paraId="76DF4DE6">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4F74ADB6">
            <w:pPr>
              <w:widowControl/>
              <w:autoSpaceDE w:val="0"/>
              <w:autoSpaceDN w:val="0"/>
              <w:adjustRightInd w:val="0"/>
              <w:snapToGrid w:val="0"/>
              <w:textAlignment w:val="bottom"/>
              <w:rPr>
                <w:rFonts w:ascii="宋体" w:hAnsi="宋体" w:cs="宋体"/>
                <w:sz w:val="24"/>
              </w:rPr>
            </w:pPr>
          </w:p>
        </w:tc>
        <w:tc>
          <w:tcPr>
            <w:tcW w:w="1610" w:type="dxa"/>
            <w:vAlign w:val="bottom"/>
          </w:tcPr>
          <w:p w14:paraId="1A79CDB0">
            <w:pPr>
              <w:widowControl/>
              <w:autoSpaceDE w:val="0"/>
              <w:autoSpaceDN w:val="0"/>
              <w:adjustRightInd w:val="0"/>
              <w:snapToGrid w:val="0"/>
              <w:textAlignment w:val="bottom"/>
              <w:rPr>
                <w:rFonts w:ascii="宋体" w:hAnsi="宋体" w:cs="宋体"/>
                <w:sz w:val="24"/>
              </w:rPr>
            </w:pPr>
          </w:p>
        </w:tc>
      </w:tr>
      <w:tr w14:paraId="10CE5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01D74BEC">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213951F2">
            <w:pPr>
              <w:widowControl/>
              <w:autoSpaceDE w:val="0"/>
              <w:autoSpaceDN w:val="0"/>
              <w:adjustRightInd w:val="0"/>
              <w:snapToGrid w:val="0"/>
              <w:textAlignment w:val="bottom"/>
              <w:rPr>
                <w:rFonts w:ascii="宋体" w:hAnsi="宋体" w:cs="宋体"/>
                <w:sz w:val="24"/>
              </w:rPr>
            </w:pPr>
            <w:r>
              <w:rPr>
                <w:rFonts w:hint="eastAsia" w:ascii="宋体" w:hAnsi="宋体" w:cs="宋体"/>
                <w:spacing w:val="-1"/>
                <w:sz w:val="24"/>
              </w:rPr>
              <w:t>油站仪表平面布置图及明细表</w:t>
            </w:r>
          </w:p>
        </w:tc>
        <w:tc>
          <w:tcPr>
            <w:tcW w:w="1134" w:type="dxa"/>
            <w:vAlign w:val="bottom"/>
          </w:tcPr>
          <w:p w14:paraId="061561CA">
            <w:pPr>
              <w:widowControl/>
              <w:autoSpaceDE w:val="0"/>
              <w:autoSpaceDN w:val="0"/>
              <w:adjustRightInd w:val="0"/>
              <w:snapToGrid w:val="0"/>
              <w:textAlignment w:val="bottom"/>
              <w:rPr>
                <w:rFonts w:ascii="宋体" w:hAnsi="宋体" w:cs="宋体"/>
                <w:sz w:val="24"/>
              </w:rPr>
            </w:pPr>
          </w:p>
        </w:tc>
        <w:tc>
          <w:tcPr>
            <w:tcW w:w="873" w:type="dxa"/>
            <w:vAlign w:val="bottom"/>
          </w:tcPr>
          <w:p w14:paraId="7C5F16E4">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6B003FEC">
            <w:pPr>
              <w:widowControl/>
              <w:autoSpaceDE w:val="0"/>
              <w:autoSpaceDN w:val="0"/>
              <w:adjustRightInd w:val="0"/>
              <w:snapToGrid w:val="0"/>
              <w:textAlignment w:val="bottom"/>
              <w:rPr>
                <w:rFonts w:ascii="宋体" w:hAnsi="宋体" w:cs="宋体"/>
                <w:sz w:val="24"/>
              </w:rPr>
            </w:pPr>
          </w:p>
        </w:tc>
        <w:tc>
          <w:tcPr>
            <w:tcW w:w="1610" w:type="dxa"/>
            <w:vAlign w:val="bottom"/>
          </w:tcPr>
          <w:p w14:paraId="7962AD2E">
            <w:pPr>
              <w:widowControl/>
              <w:autoSpaceDE w:val="0"/>
              <w:autoSpaceDN w:val="0"/>
              <w:adjustRightInd w:val="0"/>
              <w:snapToGrid w:val="0"/>
              <w:textAlignment w:val="bottom"/>
              <w:rPr>
                <w:rFonts w:ascii="宋体" w:hAnsi="宋体" w:cs="宋体"/>
                <w:sz w:val="24"/>
              </w:rPr>
            </w:pPr>
          </w:p>
        </w:tc>
      </w:tr>
      <w:tr w14:paraId="58CEF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3CEA99C6">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08E7755B">
            <w:pPr>
              <w:widowControl/>
              <w:autoSpaceDE w:val="0"/>
              <w:autoSpaceDN w:val="0"/>
              <w:adjustRightInd w:val="0"/>
              <w:snapToGrid w:val="0"/>
              <w:textAlignment w:val="bottom"/>
              <w:rPr>
                <w:rFonts w:ascii="宋体" w:hAnsi="宋体" w:cs="宋体"/>
                <w:spacing w:val="-1"/>
                <w:sz w:val="24"/>
              </w:rPr>
            </w:pPr>
            <w:r>
              <w:rPr>
                <w:rFonts w:hint="eastAsia" w:ascii="宋体" w:hAnsi="宋体" w:cs="宋体"/>
                <w:spacing w:val="-1"/>
                <w:sz w:val="24"/>
              </w:rPr>
              <w:t>机组仪表平面布置图及明细表</w:t>
            </w:r>
          </w:p>
        </w:tc>
        <w:tc>
          <w:tcPr>
            <w:tcW w:w="1134" w:type="dxa"/>
            <w:vAlign w:val="bottom"/>
          </w:tcPr>
          <w:p w14:paraId="59D3042A">
            <w:pPr>
              <w:widowControl/>
              <w:autoSpaceDE w:val="0"/>
              <w:autoSpaceDN w:val="0"/>
              <w:adjustRightInd w:val="0"/>
              <w:snapToGrid w:val="0"/>
              <w:textAlignment w:val="bottom"/>
              <w:rPr>
                <w:rFonts w:ascii="宋体" w:hAnsi="宋体" w:cs="宋体"/>
                <w:sz w:val="24"/>
              </w:rPr>
            </w:pPr>
          </w:p>
        </w:tc>
        <w:tc>
          <w:tcPr>
            <w:tcW w:w="873" w:type="dxa"/>
            <w:vAlign w:val="bottom"/>
          </w:tcPr>
          <w:p w14:paraId="3A894689">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3BC63431">
            <w:pPr>
              <w:widowControl/>
              <w:autoSpaceDE w:val="0"/>
              <w:autoSpaceDN w:val="0"/>
              <w:adjustRightInd w:val="0"/>
              <w:snapToGrid w:val="0"/>
              <w:textAlignment w:val="bottom"/>
              <w:rPr>
                <w:rFonts w:ascii="宋体" w:hAnsi="宋体" w:cs="宋体"/>
                <w:sz w:val="24"/>
              </w:rPr>
            </w:pPr>
          </w:p>
        </w:tc>
        <w:tc>
          <w:tcPr>
            <w:tcW w:w="1610" w:type="dxa"/>
            <w:vAlign w:val="bottom"/>
          </w:tcPr>
          <w:p w14:paraId="7034615B">
            <w:pPr>
              <w:widowControl/>
              <w:autoSpaceDE w:val="0"/>
              <w:autoSpaceDN w:val="0"/>
              <w:adjustRightInd w:val="0"/>
              <w:snapToGrid w:val="0"/>
              <w:textAlignment w:val="bottom"/>
              <w:rPr>
                <w:rFonts w:ascii="宋体" w:hAnsi="宋体" w:cs="宋体"/>
                <w:sz w:val="24"/>
              </w:rPr>
            </w:pPr>
          </w:p>
        </w:tc>
      </w:tr>
      <w:tr w14:paraId="2E5D4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311F568B">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7EF6E489">
            <w:pPr>
              <w:widowControl/>
              <w:autoSpaceDE w:val="0"/>
              <w:autoSpaceDN w:val="0"/>
              <w:adjustRightInd w:val="0"/>
              <w:snapToGrid w:val="0"/>
              <w:textAlignment w:val="bottom"/>
              <w:rPr>
                <w:rFonts w:ascii="宋体" w:hAnsi="宋体" w:cs="宋体"/>
                <w:spacing w:val="-1"/>
                <w:sz w:val="24"/>
              </w:rPr>
            </w:pPr>
            <w:r>
              <w:rPr>
                <w:rFonts w:hint="eastAsia" w:ascii="宋体" w:hAnsi="宋体" w:cs="宋体"/>
                <w:spacing w:val="-1"/>
                <w:sz w:val="24"/>
              </w:rPr>
              <w:t>测振轴位移仪表订货单</w:t>
            </w:r>
          </w:p>
        </w:tc>
        <w:tc>
          <w:tcPr>
            <w:tcW w:w="1134" w:type="dxa"/>
            <w:vAlign w:val="bottom"/>
          </w:tcPr>
          <w:p w14:paraId="43FD1E89">
            <w:pPr>
              <w:widowControl/>
              <w:autoSpaceDE w:val="0"/>
              <w:autoSpaceDN w:val="0"/>
              <w:adjustRightInd w:val="0"/>
              <w:snapToGrid w:val="0"/>
              <w:textAlignment w:val="bottom"/>
              <w:rPr>
                <w:rFonts w:ascii="宋体" w:hAnsi="宋体" w:cs="宋体"/>
                <w:sz w:val="24"/>
              </w:rPr>
            </w:pPr>
          </w:p>
        </w:tc>
        <w:tc>
          <w:tcPr>
            <w:tcW w:w="873" w:type="dxa"/>
            <w:vAlign w:val="bottom"/>
          </w:tcPr>
          <w:p w14:paraId="306127E1">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314E0C9C">
            <w:pPr>
              <w:widowControl/>
              <w:autoSpaceDE w:val="0"/>
              <w:autoSpaceDN w:val="0"/>
              <w:adjustRightInd w:val="0"/>
              <w:snapToGrid w:val="0"/>
              <w:textAlignment w:val="bottom"/>
              <w:rPr>
                <w:rFonts w:ascii="宋体" w:hAnsi="宋体" w:cs="宋体"/>
                <w:sz w:val="24"/>
              </w:rPr>
            </w:pPr>
          </w:p>
        </w:tc>
        <w:tc>
          <w:tcPr>
            <w:tcW w:w="1610" w:type="dxa"/>
            <w:vAlign w:val="bottom"/>
          </w:tcPr>
          <w:p w14:paraId="3A7050B2">
            <w:pPr>
              <w:widowControl/>
              <w:autoSpaceDE w:val="0"/>
              <w:autoSpaceDN w:val="0"/>
              <w:adjustRightInd w:val="0"/>
              <w:snapToGrid w:val="0"/>
              <w:textAlignment w:val="bottom"/>
              <w:rPr>
                <w:rFonts w:ascii="宋体" w:hAnsi="宋体" w:cs="宋体"/>
                <w:sz w:val="24"/>
              </w:rPr>
            </w:pPr>
          </w:p>
        </w:tc>
      </w:tr>
      <w:tr w14:paraId="709FC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7F5C0E8A">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345C01FA">
            <w:pPr>
              <w:widowControl/>
              <w:autoSpaceDE w:val="0"/>
              <w:autoSpaceDN w:val="0"/>
              <w:adjustRightInd w:val="0"/>
              <w:snapToGrid w:val="0"/>
              <w:textAlignment w:val="bottom"/>
              <w:rPr>
                <w:rFonts w:ascii="宋体" w:hAnsi="宋体" w:cs="宋体"/>
                <w:spacing w:val="-1"/>
                <w:sz w:val="24"/>
              </w:rPr>
            </w:pPr>
            <w:r>
              <w:rPr>
                <w:rFonts w:hint="eastAsia" w:ascii="宋体" w:hAnsi="宋体" w:cs="宋体"/>
                <w:spacing w:val="-1"/>
                <w:sz w:val="24"/>
              </w:rPr>
              <w:t>仪表、调节阀、节流装置等规格书</w:t>
            </w:r>
          </w:p>
        </w:tc>
        <w:tc>
          <w:tcPr>
            <w:tcW w:w="1134" w:type="dxa"/>
            <w:vAlign w:val="bottom"/>
          </w:tcPr>
          <w:p w14:paraId="0C565997">
            <w:pPr>
              <w:widowControl/>
              <w:autoSpaceDE w:val="0"/>
              <w:autoSpaceDN w:val="0"/>
              <w:adjustRightInd w:val="0"/>
              <w:snapToGrid w:val="0"/>
              <w:textAlignment w:val="bottom"/>
              <w:rPr>
                <w:rFonts w:ascii="宋体" w:hAnsi="宋体" w:cs="宋体"/>
                <w:sz w:val="24"/>
              </w:rPr>
            </w:pPr>
          </w:p>
        </w:tc>
        <w:tc>
          <w:tcPr>
            <w:tcW w:w="873" w:type="dxa"/>
            <w:vAlign w:val="bottom"/>
          </w:tcPr>
          <w:p w14:paraId="391F6F89">
            <w:pPr>
              <w:widowControl/>
              <w:autoSpaceDE w:val="0"/>
              <w:autoSpaceDN w:val="0"/>
              <w:adjustRightInd w:val="0"/>
              <w:snapToGrid w:val="0"/>
              <w:textAlignment w:val="bottom"/>
              <w:rPr>
                <w:rFonts w:ascii="宋体" w:hAnsi="宋体" w:cs="宋体"/>
                <w:sz w:val="24"/>
              </w:rPr>
            </w:pPr>
            <w:r>
              <w:rPr>
                <w:rFonts w:hint="eastAsia" w:ascii="宋体" w:hAnsi="宋体" w:cs="宋体"/>
                <w:sz w:val="24"/>
              </w:rPr>
              <w:t>√</w:t>
            </w:r>
          </w:p>
        </w:tc>
        <w:tc>
          <w:tcPr>
            <w:tcW w:w="828" w:type="dxa"/>
            <w:vAlign w:val="bottom"/>
          </w:tcPr>
          <w:p w14:paraId="0AE0B4C1">
            <w:pPr>
              <w:widowControl/>
              <w:autoSpaceDE w:val="0"/>
              <w:autoSpaceDN w:val="0"/>
              <w:adjustRightInd w:val="0"/>
              <w:snapToGrid w:val="0"/>
              <w:textAlignment w:val="bottom"/>
              <w:rPr>
                <w:rFonts w:ascii="宋体" w:hAnsi="宋体" w:cs="宋体"/>
                <w:sz w:val="24"/>
              </w:rPr>
            </w:pPr>
          </w:p>
        </w:tc>
        <w:tc>
          <w:tcPr>
            <w:tcW w:w="1610" w:type="dxa"/>
            <w:vAlign w:val="bottom"/>
          </w:tcPr>
          <w:p w14:paraId="05FAB4CF">
            <w:pPr>
              <w:widowControl/>
              <w:autoSpaceDE w:val="0"/>
              <w:autoSpaceDN w:val="0"/>
              <w:adjustRightInd w:val="0"/>
              <w:snapToGrid w:val="0"/>
              <w:textAlignment w:val="bottom"/>
              <w:rPr>
                <w:rFonts w:ascii="宋体" w:hAnsi="宋体" w:cs="宋体"/>
                <w:sz w:val="24"/>
              </w:rPr>
            </w:pPr>
          </w:p>
        </w:tc>
      </w:tr>
      <w:tr w14:paraId="58579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1EB7699F">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72A0EBA0">
            <w:pPr>
              <w:widowControl/>
              <w:autoSpaceDE w:val="0"/>
              <w:autoSpaceDN w:val="0"/>
              <w:adjustRightInd w:val="0"/>
              <w:snapToGrid w:val="0"/>
              <w:textAlignment w:val="bottom"/>
              <w:rPr>
                <w:sz w:val="24"/>
              </w:rPr>
            </w:pPr>
            <w:r>
              <w:rPr>
                <w:rFonts w:hint="eastAsia"/>
                <w:sz w:val="24"/>
              </w:rPr>
              <w:t>电机结构尺寸图</w:t>
            </w:r>
          </w:p>
        </w:tc>
        <w:tc>
          <w:tcPr>
            <w:tcW w:w="1134" w:type="dxa"/>
            <w:vAlign w:val="bottom"/>
          </w:tcPr>
          <w:p w14:paraId="209E64B5">
            <w:pPr>
              <w:widowControl/>
              <w:autoSpaceDE w:val="0"/>
              <w:autoSpaceDN w:val="0"/>
              <w:adjustRightInd w:val="0"/>
              <w:snapToGrid w:val="0"/>
              <w:textAlignment w:val="bottom"/>
              <w:rPr>
                <w:sz w:val="24"/>
              </w:rPr>
            </w:pPr>
            <w:r>
              <w:rPr>
                <w:sz w:val="24"/>
              </w:rPr>
              <w:t>√</w:t>
            </w:r>
          </w:p>
        </w:tc>
        <w:tc>
          <w:tcPr>
            <w:tcW w:w="873" w:type="dxa"/>
            <w:vAlign w:val="bottom"/>
          </w:tcPr>
          <w:p w14:paraId="0EDC1C91">
            <w:pPr>
              <w:widowControl/>
              <w:autoSpaceDE w:val="0"/>
              <w:autoSpaceDN w:val="0"/>
              <w:adjustRightInd w:val="0"/>
              <w:snapToGrid w:val="0"/>
              <w:textAlignment w:val="bottom"/>
              <w:rPr>
                <w:sz w:val="24"/>
              </w:rPr>
            </w:pPr>
            <w:r>
              <w:rPr>
                <w:sz w:val="24"/>
              </w:rPr>
              <w:t>√</w:t>
            </w:r>
          </w:p>
        </w:tc>
        <w:tc>
          <w:tcPr>
            <w:tcW w:w="828" w:type="dxa"/>
            <w:vAlign w:val="bottom"/>
          </w:tcPr>
          <w:p w14:paraId="55976A68">
            <w:pPr>
              <w:widowControl/>
              <w:autoSpaceDE w:val="0"/>
              <w:autoSpaceDN w:val="0"/>
              <w:adjustRightInd w:val="0"/>
              <w:snapToGrid w:val="0"/>
              <w:textAlignment w:val="bottom"/>
              <w:rPr>
                <w:sz w:val="24"/>
              </w:rPr>
            </w:pPr>
            <w:r>
              <w:rPr>
                <w:sz w:val="24"/>
              </w:rPr>
              <w:t>√</w:t>
            </w:r>
          </w:p>
        </w:tc>
        <w:tc>
          <w:tcPr>
            <w:tcW w:w="1610" w:type="dxa"/>
            <w:vAlign w:val="bottom"/>
          </w:tcPr>
          <w:p w14:paraId="7E8E370A">
            <w:pPr>
              <w:widowControl/>
              <w:autoSpaceDE w:val="0"/>
              <w:autoSpaceDN w:val="0"/>
              <w:adjustRightInd w:val="0"/>
              <w:snapToGrid w:val="0"/>
              <w:textAlignment w:val="bottom"/>
              <w:rPr>
                <w:sz w:val="24"/>
              </w:rPr>
            </w:pPr>
          </w:p>
        </w:tc>
      </w:tr>
      <w:tr w14:paraId="1308F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6F119FC3">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A5ACF2C">
            <w:pPr>
              <w:widowControl/>
              <w:autoSpaceDE w:val="0"/>
              <w:autoSpaceDN w:val="0"/>
              <w:adjustRightInd w:val="0"/>
              <w:snapToGrid w:val="0"/>
              <w:textAlignment w:val="bottom"/>
              <w:rPr>
                <w:sz w:val="24"/>
              </w:rPr>
            </w:pPr>
            <w:r>
              <w:rPr>
                <w:rFonts w:hint="eastAsia"/>
                <w:sz w:val="24"/>
              </w:rPr>
              <w:t>齿轮箱结构尺寸图</w:t>
            </w:r>
          </w:p>
        </w:tc>
        <w:tc>
          <w:tcPr>
            <w:tcW w:w="1134" w:type="dxa"/>
            <w:vAlign w:val="bottom"/>
          </w:tcPr>
          <w:p w14:paraId="6968E323">
            <w:pPr>
              <w:widowControl/>
              <w:autoSpaceDE w:val="0"/>
              <w:autoSpaceDN w:val="0"/>
              <w:adjustRightInd w:val="0"/>
              <w:snapToGrid w:val="0"/>
              <w:textAlignment w:val="bottom"/>
              <w:rPr>
                <w:sz w:val="24"/>
              </w:rPr>
            </w:pPr>
            <w:r>
              <w:rPr>
                <w:sz w:val="24"/>
              </w:rPr>
              <w:t>√</w:t>
            </w:r>
          </w:p>
        </w:tc>
        <w:tc>
          <w:tcPr>
            <w:tcW w:w="873" w:type="dxa"/>
            <w:vAlign w:val="bottom"/>
          </w:tcPr>
          <w:p w14:paraId="5540887B">
            <w:pPr>
              <w:widowControl/>
              <w:autoSpaceDE w:val="0"/>
              <w:autoSpaceDN w:val="0"/>
              <w:adjustRightInd w:val="0"/>
              <w:snapToGrid w:val="0"/>
              <w:textAlignment w:val="bottom"/>
              <w:rPr>
                <w:sz w:val="24"/>
              </w:rPr>
            </w:pPr>
            <w:r>
              <w:rPr>
                <w:sz w:val="24"/>
              </w:rPr>
              <w:t>√</w:t>
            </w:r>
          </w:p>
        </w:tc>
        <w:tc>
          <w:tcPr>
            <w:tcW w:w="828" w:type="dxa"/>
            <w:vAlign w:val="bottom"/>
          </w:tcPr>
          <w:p w14:paraId="3693CD50">
            <w:pPr>
              <w:widowControl/>
              <w:autoSpaceDE w:val="0"/>
              <w:autoSpaceDN w:val="0"/>
              <w:adjustRightInd w:val="0"/>
              <w:snapToGrid w:val="0"/>
              <w:textAlignment w:val="bottom"/>
              <w:rPr>
                <w:sz w:val="24"/>
              </w:rPr>
            </w:pPr>
            <w:r>
              <w:rPr>
                <w:sz w:val="24"/>
              </w:rPr>
              <w:t>√</w:t>
            </w:r>
          </w:p>
        </w:tc>
        <w:tc>
          <w:tcPr>
            <w:tcW w:w="1610" w:type="dxa"/>
            <w:vAlign w:val="bottom"/>
          </w:tcPr>
          <w:p w14:paraId="04DF29CD">
            <w:pPr>
              <w:widowControl/>
              <w:autoSpaceDE w:val="0"/>
              <w:autoSpaceDN w:val="0"/>
              <w:adjustRightInd w:val="0"/>
              <w:snapToGrid w:val="0"/>
              <w:textAlignment w:val="bottom"/>
              <w:rPr>
                <w:sz w:val="24"/>
              </w:rPr>
            </w:pPr>
          </w:p>
        </w:tc>
      </w:tr>
      <w:tr w14:paraId="588D0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1BC12992">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08F295A3">
            <w:pPr>
              <w:widowControl/>
              <w:autoSpaceDE w:val="0"/>
              <w:autoSpaceDN w:val="0"/>
              <w:adjustRightInd w:val="0"/>
              <w:snapToGrid w:val="0"/>
              <w:textAlignment w:val="bottom"/>
              <w:rPr>
                <w:sz w:val="24"/>
              </w:rPr>
            </w:pPr>
            <w:r>
              <w:rPr>
                <w:rFonts w:hint="eastAsia"/>
                <w:sz w:val="24"/>
              </w:rPr>
              <w:t>电机试验数据</w:t>
            </w:r>
          </w:p>
        </w:tc>
        <w:tc>
          <w:tcPr>
            <w:tcW w:w="1134" w:type="dxa"/>
            <w:vAlign w:val="bottom"/>
          </w:tcPr>
          <w:p w14:paraId="4228A4BE">
            <w:pPr>
              <w:widowControl/>
              <w:autoSpaceDE w:val="0"/>
              <w:autoSpaceDN w:val="0"/>
              <w:adjustRightInd w:val="0"/>
              <w:snapToGrid w:val="0"/>
              <w:textAlignment w:val="bottom"/>
              <w:rPr>
                <w:sz w:val="24"/>
              </w:rPr>
            </w:pPr>
          </w:p>
        </w:tc>
        <w:tc>
          <w:tcPr>
            <w:tcW w:w="873" w:type="dxa"/>
            <w:vAlign w:val="bottom"/>
          </w:tcPr>
          <w:p w14:paraId="5FA54D09">
            <w:pPr>
              <w:widowControl/>
              <w:autoSpaceDE w:val="0"/>
              <w:autoSpaceDN w:val="0"/>
              <w:adjustRightInd w:val="0"/>
              <w:snapToGrid w:val="0"/>
              <w:textAlignment w:val="bottom"/>
              <w:rPr>
                <w:sz w:val="24"/>
              </w:rPr>
            </w:pPr>
          </w:p>
        </w:tc>
        <w:tc>
          <w:tcPr>
            <w:tcW w:w="828" w:type="dxa"/>
            <w:vAlign w:val="bottom"/>
          </w:tcPr>
          <w:p w14:paraId="55E54BFB">
            <w:pPr>
              <w:widowControl/>
              <w:autoSpaceDE w:val="0"/>
              <w:autoSpaceDN w:val="0"/>
              <w:adjustRightInd w:val="0"/>
              <w:snapToGrid w:val="0"/>
              <w:textAlignment w:val="bottom"/>
              <w:rPr>
                <w:sz w:val="24"/>
              </w:rPr>
            </w:pPr>
            <w:r>
              <w:rPr>
                <w:sz w:val="24"/>
              </w:rPr>
              <w:t>√</w:t>
            </w:r>
          </w:p>
        </w:tc>
        <w:tc>
          <w:tcPr>
            <w:tcW w:w="1610" w:type="dxa"/>
            <w:vAlign w:val="bottom"/>
          </w:tcPr>
          <w:p w14:paraId="7B65864A">
            <w:pPr>
              <w:widowControl/>
              <w:autoSpaceDE w:val="0"/>
              <w:autoSpaceDN w:val="0"/>
              <w:adjustRightInd w:val="0"/>
              <w:snapToGrid w:val="0"/>
              <w:textAlignment w:val="bottom"/>
              <w:rPr>
                <w:sz w:val="24"/>
              </w:rPr>
            </w:pPr>
          </w:p>
        </w:tc>
      </w:tr>
      <w:tr w14:paraId="5D6DC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vAlign w:val="bottom"/>
          </w:tcPr>
          <w:p w14:paraId="2ED48957">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6FDCB3BF">
            <w:pPr>
              <w:widowControl/>
              <w:autoSpaceDE w:val="0"/>
              <w:autoSpaceDN w:val="0"/>
              <w:adjustRightInd w:val="0"/>
              <w:snapToGrid w:val="0"/>
              <w:textAlignment w:val="bottom"/>
              <w:rPr>
                <w:sz w:val="24"/>
              </w:rPr>
            </w:pPr>
            <w:r>
              <w:rPr>
                <w:rFonts w:hint="eastAsia"/>
                <w:sz w:val="24"/>
              </w:rPr>
              <w:t>电机零部件清单</w:t>
            </w:r>
          </w:p>
        </w:tc>
        <w:tc>
          <w:tcPr>
            <w:tcW w:w="1134" w:type="dxa"/>
            <w:vAlign w:val="bottom"/>
          </w:tcPr>
          <w:p w14:paraId="31715217">
            <w:pPr>
              <w:widowControl/>
              <w:autoSpaceDE w:val="0"/>
              <w:autoSpaceDN w:val="0"/>
              <w:adjustRightInd w:val="0"/>
              <w:snapToGrid w:val="0"/>
              <w:textAlignment w:val="bottom"/>
              <w:rPr>
                <w:sz w:val="24"/>
              </w:rPr>
            </w:pPr>
          </w:p>
        </w:tc>
        <w:tc>
          <w:tcPr>
            <w:tcW w:w="873" w:type="dxa"/>
            <w:vAlign w:val="bottom"/>
          </w:tcPr>
          <w:p w14:paraId="42BD507E">
            <w:pPr>
              <w:widowControl/>
              <w:autoSpaceDE w:val="0"/>
              <w:autoSpaceDN w:val="0"/>
              <w:adjustRightInd w:val="0"/>
              <w:snapToGrid w:val="0"/>
              <w:textAlignment w:val="bottom"/>
              <w:rPr>
                <w:sz w:val="24"/>
              </w:rPr>
            </w:pPr>
          </w:p>
        </w:tc>
        <w:tc>
          <w:tcPr>
            <w:tcW w:w="828" w:type="dxa"/>
            <w:vAlign w:val="bottom"/>
          </w:tcPr>
          <w:p w14:paraId="4BA9B50B">
            <w:pPr>
              <w:widowControl/>
              <w:autoSpaceDE w:val="0"/>
              <w:autoSpaceDN w:val="0"/>
              <w:adjustRightInd w:val="0"/>
              <w:snapToGrid w:val="0"/>
              <w:textAlignment w:val="bottom"/>
              <w:rPr>
                <w:sz w:val="24"/>
              </w:rPr>
            </w:pPr>
            <w:r>
              <w:rPr>
                <w:sz w:val="24"/>
              </w:rPr>
              <w:t>√</w:t>
            </w:r>
          </w:p>
        </w:tc>
        <w:tc>
          <w:tcPr>
            <w:tcW w:w="1610" w:type="dxa"/>
            <w:vAlign w:val="bottom"/>
          </w:tcPr>
          <w:p w14:paraId="69471FA1">
            <w:pPr>
              <w:widowControl/>
              <w:autoSpaceDE w:val="0"/>
              <w:autoSpaceDN w:val="0"/>
              <w:adjustRightInd w:val="0"/>
              <w:snapToGrid w:val="0"/>
              <w:textAlignment w:val="bottom"/>
              <w:rPr>
                <w:sz w:val="24"/>
              </w:rPr>
            </w:pPr>
          </w:p>
        </w:tc>
      </w:tr>
      <w:tr w14:paraId="0D76F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vAlign w:val="bottom"/>
          </w:tcPr>
          <w:p w14:paraId="2F464C08">
            <w:pPr>
              <w:widowControl/>
              <w:numPr>
                <w:ilvl w:val="0"/>
                <w:numId w:val="46"/>
              </w:numPr>
              <w:autoSpaceDE w:val="0"/>
              <w:autoSpaceDN w:val="0"/>
              <w:adjustRightInd w:val="0"/>
              <w:snapToGrid w:val="0"/>
              <w:ind w:left="0" w:firstLine="0"/>
              <w:textAlignment w:val="bottom"/>
              <w:rPr>
                <w:rFonts w:ascii="宋体" w:hAnsi="宋体" w:cs="宋体"/>
                <w:sz w:val="24"/>
              </w:rPr>
            </w:pPr>
          </w:p>
        </w:tc>
        <w:tc>
          <w:tcPr>
            <w:tcW w:w="3716" w:type="dxa"/>
            <w:vAlign w:val="bottom"/>
          </w:tcPr>
          <w:p w14:paraId="23BFD04E">
            <w:pPr>
              <w:widowControl/>
              <w:autoSpaceDE w:val="0"/>
              <w:autoSpaceDN w:val="0"/>
              <w:adjustRightInd w:val="0"/>
              <w:snapToGrid w:val="0"/>
              <w:textAlignment w:val="bottom"/>
              <w:rPr>
                <w:sz w:val="24"/>
              </w:rPr>
            </w:pPr>
            <w:r>
              <w:rPr>
                <w:rFonts w:hint="eastAsia"/>
                <w:sz w:val="24"/>
              </w:rPr>
              <w:t>齿轮箱零部件清单</w:t>
            </w:r>
          </w:p>
        </w:tc>
        <w:tc>
          <w:tcPr>
            <w:tcW w:w="1134" w:type="dxa"/>
            <w:vAlign w:val="bottom"/>
          </w:tcPr>
          <w:p w14:paraId="436688ED">
            <w:pPr>
              <w:widowControl/>
              <w:autoSpaceDE w:val="0"/>
              <w:autoSpaceDN w:val="0"/>
              <w:adjustRightInd w:val="0"/>
              <w:snapToGrid w:val="0"/>
              <w:textAlignment w:val="bottom"/>
              <w:rPr>
                <w:sz w:val="24"/>
              </w:rPr>
            </w:pPr>
          </w:p>
        </w:tc>
        <w:tc>
          <w:tcPr>
            <w:tcW w:w="873" w:type="dxa"/>
            <w:vAlign w:val="bottom"/>
          </w:tcPr>
          <w:p w14:paraId="391D0A39">
            <w:pPr>
              <w:widowControl/>
              <w:autoSpaceDE w:val="0"/>
              <w:autoSpaceDN w:val="0"/>
              <w:adjustRightInd w:val="0"/>
              <w:snapToGrid w:val="0"/>
              <w:textAlignment w:val="bottom"/>
              <w:rPr>
                <w:sz w:val="24"/>
              </w:rPr>
            </w:pPr>
          </w:p>
        </w:tc>
        <w:tc>
          <w:tcPr>
            <w:tcW w:w="828" w:type="dxa"/>
            <w:vAlign w:val="bottom"/>
          </w:tcPr>
          <w:p w14:paraId="65835C84">
            <w:pPr>
              <w:widowControl/>
              <w:autoSpaceDE w:val="0"/>
              <w:autoSpaceDN w:val="0"/>
              <w:adjustRightInd w:val="0"/>
              <w:snapToGrid w:val="0"/>
              <w:textAlignment w:val="bottom"/>
              <w:rPr>
                <w:sz w:val="24"/>
              </w:rPr>
            </w:pPr>
            <w:r>
              <w:rPr>
                <w:sz w:val="24"/>
              </w:rPr>
              <w:t>√</w:t>
            </w:r>
          </w:p>
        </w:tc>
        <w:tc>
          <w:tcPr>
            <w:tcW w:w="1610" w:type="dxa"/>
            <w:vAlign w:val="bottom"/>
          </w:tcPr>
          <w:p w14:paraId="6A5BE0FA">
            <w:pPr>
              <w:widowControl/>
              <w:autoSpaceDE w:val="0"/>
              <w:autoSpaceDN w:val="0"/>
              <w:adjustRightInd w:val="0"/>
              <w:snapToGrid w:val="0"/>
              <w:textAlignment w:val="bottom"/>
              <w:rPr>
                <w:sz w:val="24"/>
              </w:rPr>
            </w:pPr>
          </w:p>
        </w:tc>
      </w:tr>
    </w:tbl>
    <w:p w14:paraId="499C4472">
      <w:pPr>
        <w:widowControl/>
        <w:autoSpaceDE w:val="0"/>
        <w:autoSpaceDN w:val="0"/>
        <w:spacing w:line="360" w:lineRule="auto"/>
        <w:textAlignment w:val="bottom"/>
        <w:rPr>
          <w:rFonts w:ascii="宋体" w:hAnsi="宋体" w:cs="宋体"/>
          <w:sz w:val="24"/>
        </w:rPr>
      </w:pPr>
      <w:r>
        <w:rPr>
          <w:rFonts w:hint="eastAsia" w:ascii="宋体" w:hAnsi="宋体" w:cs="宋体"/>
          <w:sz w:val="24"/>
        </w:rPr>
        <w:t>注：压缩机组装置图包括：</w:t>
      </w:r>
    </w:p>
    <w:p w14:paraId="0682449F">
      <w:pPr>
        <w:widowControl/>
        <w:autoSpaceDE w:val="0"/>
        <w:autoSpaceDN w:val="0"/>
        <w:spacing w:line="360" w:lineRule="auto"/>
        <w:ind w:firstLine="480" w:firstLineChars="200"/>
        <w:textAlignment w:val="bottom"/>
        <w:rPr>
          <w:rFonts w:ascii="宋体" w:hAnsi="宋体" w:cs="宋体"/>
          <w:sz w:val="24"/>
        </w:rPr>
      </w:pPr>
      <w:r>
        <w:rPr>
          <w:rFonts w:hint="eastAsia" w:ascii="宋体" w:hAnsi="宋体" w:cs="宋体"/>
          <w:sz w:val="24"/>
        </w:rPr>
        <w:t>主机、辅机、本体油管路、基础平面位置图、地脚螺栓孔位置尺寸、地脚螺栓的规格、机器的重心位置、机组安装基准。</w:t>
      </w:r>
    </w:p>
    <w:p w14:paraId="15D0FC20">
      <w:pPr>
        <w:widowControl/>
        <w:autoSpaceDE w:val="0"/>
        <w:autoSpaceDN w:val="0"/>
        <w:spacing w:line="360" w:lineRule="auto"/>
        <w:ind w:firstLine="480" w:firstLineChars="200"/>
        <w:textAlignment w:val="bottom"/>
        <w:rPr>
          <w:rFonts w:ascii="宋体" w:hAnsi="宋体" w:cs="宋体"/>
          <w:sz w:val="24"/>
        </w:rPr>
      </w:pPr>
      <w:r>
        <w:rPr>
          <w:rFonts w:hint="eastAsia" w:ascii="宋体" w:hAnsi="宋体" w:cs="宋体"/>
          <w:sz w:val="24"/>
        </w:rPr>
        <w:t>机组的静载负荷和机组动载负荷（扰力值）的数据。</w:t>
      </w:r>
    </w:p>
    <w:p w14:paraId="5E44DE4F">
      <w:pPr>
        <w:widowControl/>
        <w:autoSpaceDE w:val="0"/>
        <w:autoSpaceDN w:val="0"/>
        <w:spacing w:line="360" w:lineRule="auto"/>
        <w:textAlignment w:val="bottom"/>
        <w:rPr>
          <w:rFonts w:ascii="宋体" w:hAnsi="宋体" w:cs="宋体"/>
          <w:sz w:val="24"/>
        </w:rPr>
      </w:pPr>
      <w:r>
        <w:rPr>
          <w:rFonts w:hint="eastAsia" w:ascii="宋体" w:hAnsi="宋体" w:cs="宋体"/>
          <w:sz w:val="24"/>
        </w:rPr>
        <w:t xml:space="preserve">    主要部件重量和最大安装、检修件重量、外形尺寸、起吊高度。</w:t>
      </w:r>
    </w:p>
    <w:p w14:paraId="3A680CA3">
      <w:pPr>
        <w:widowControl/>
        <w:autoSpaceDE w:val="0"/>
        <w:autoSpaceDN w:val="0"/>
        <w:spacing w:line="360" w:lineRule="auto"/>
        <w:textAlignment w:val="bottom"/>
        <w:rPr>
          <w:rFonts w:ascii="宋体" w:hAnsi="宋体" w:cs="宋体"/>
          <w:sz w:val="24"/>
        </w:rPr>
      </w:pPr>
      <w:r>
        <w:rPr>
          <w:rFonts w:hint="eastAsia" w:ascii="宋体" w:hAnsi="宋体" w:cs="宋体"/>
          <w:sz w:val="24"/>
        </w:rPr>
        <w:t xml:space="preserve">    压缩机进出口法兰联接管路允许的附加力和力矩值及其方向。</w:t>
      </w:r>
    </w:p>
    <w:p w14:paraId="69C21C5D">
      <w:pPr>
        <w:widowControl/>
        <w:autoSpaceDE w:val="0"/>
        <w:autoSpaceDN w:val="0"/>
        <w:spacing w:line="360" w:lineRule="auto"/>
        <w:textAlignment w:val="bottom"/>
        <w:rPr>
          <w:rFonts w:ascii="宋体" w:hAnsi="宋体" w:cs="宋体"/>
          <w:sz w:val="24"/>
        </w:rPr>
      </w:pPr>
      <w:r>
        <w:rPr>
          <w:rFonts w:hint="eastAsia" w:ascii="宋体" w:hAnsi="宋体" w:cs="宋体"/>
          <w:sz w:val="24"/>
        </w:rPr>
        <w:t xml:space="preserve">    基础平台高度。</w:t>
      </w:r>
    </w:p>
    <w:p w14:paraId="3A4CDCF3">
      <w:pPr>
        <w:widowControl/>
        <w:autoSpaceDE w:val="0"/>
        <w:autoSpaceDN w:val="0"/>
        <w:spacing w:line="360" w:lineRule="auto"/>
        <w:textAlignment w:val="bottom"/>
        <w:rPr>
          <w:rFonts w:ascii="宋体" w:hAnsi="宋体" w:cs="宋体"/>
          <w:sz w:val="24"/>
        </w:rPr>
      </w:pPr>
      <w:r>
        <w:rPr>
          <w:rFonts w:hint="eastAsia" w:ascii="宋体" w:hAnsi="宋体" w:cs="宋体"/>
          <w:sz w:val="24"/>
        </w:rPr>
        <w:t xml:space="preserve">    操作平台高度。</w:t>
      </w:r>
    </w:p>
    <w:p w14:paraId="6EE1E8A2">
      <w:pPr>
        <w:widowControl/>
        <w:autoSpaceDE w:val="0"/>
        <w:autoSpaceDN w:val="0"/>
        <w:spacing w:line="360" w:lineRule="auto"/>
        <w:ind w:firstLine="480" w:firstLineChars="200"/>
        <w:textAlignment w:val="bottom"/>
        <w:rPr>
          <w:rFonts w:ascii="宋体" w:hAnsi="宋体" w:cs="宋体"/>
          <w:sz w:val="24"/>
        </w:rPr>
      </w:pPr>
      <w:r>
        <w:rPr>
          <w:rFonts w:hint="eastAsia" w:ascii="宋体" w:hAnsi="宋体" w:cs="宋体"/>
          <w:sz w:val="24"/>
        </w:rPr>
        <w:t>回转中心高度。</w:t>
      </w:r>
    </w:p>
    <w:p w14:paraId="5ADAAC38">
      <w:pPr>
        <w:widowControl/>
        <w:autoSpaceDE w:val="0"/>
        <w:autoSpaceDN w:val="0"/>
        <w:spacing w:line="360" w:lineRule="auto"/>
        <w:textAlignment w:val="bottom"/>
        <w:rPr>
          <w:rFonts w:ascii="宋体" w:hAnsi="宋体" w:cs="宋体"/>
          <w:sz w:val="24"/>
        </w:rPr>
      </w:pPr>
      <w:r>
        <w:rPr>
          <w:rFonts w:hint="eastAsia" w:ascii="宋体" w:hAnsi="宋体" w:cs="宋体"/>
          <w:sz w:val="24"/>
        </w:rPr>
        <w:t>1</w:t>
      </w:r>
      <w:r>
        <w:rPr>
          <w:rFonts w:ascii="宋体" w:hAnsi="宋体" w:cs="宋体"/>
          <w:sz w:val="24"/>
        </w:rPr>
        <w:t xml:space="preserve">1.4 </w:t>
      </w:r>
      <w:r>
        <w:rPr>
          <w:rFonts w:hint="eastAsia" w:ascii="宋体" w:hAnsi="宋体" w:cs="宋体"/>
          <w:sz w:val="24"/>
        </w:rPr>
        <w:t>资料交付时间及数量及协调会</w:t>
      </w:r>
    </w:p>
    <w:p w14:paraId="505BD1C4">
      <w:pPr>
        <w:widowControl/>
        <w:numPr>
          <w:ilvl w:val="0"/>
          <w:numId w:val="47"/>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合同生效后4周提供电子版初步资料。3周内提供土建基础条件。</w:t>
      </w:r>
    </w:p>
    <w:p w14:paraId="3DEA003B">
      <w:pPr>
        <w:widowControl/>
        <w:numPr>
          <w:ilvl w:val="0"/>
          <w:numId w:val="47"/>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招标人收到初步资料后1周内，召开机组技术协调会议，地点另外商定。</w:t>
      </w:r>
    </w:p>
    <w:p w14:paraId="2860DDA7">
      <w:pPr>
        <w:widowControl/>
        <w:numPr>
          <w:ilvl w:val="0"/>
          <w:numId w:val="47"/>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技术协调会议后6周内提供电子版最终资料。</w:t>
      </w:r>
    </w:p>
    <w:p w14:paraId="222E3763">
      <w:pPr>
        <w:widowControl/>
        <w:numPr>
          <w:ilvl w:val="0"/>
          <w:numId w:val="47"/>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随机资料3份随机组同时交付招标人。</w:t>
      </w:r>
    </w:p>
    <w:p w14:paraId="16BC47FF">
      <w:pPr>
        <w:widowControl/>
        <w:autoSpaceDE w:val="0"/>
        <w:autoSpaceDN w:val="0"/>
        <w:snapToGrid w:val="0"/>
        <w:spacing w:line="360" w:lineRule="auto"/>
        <w:ind w:left="420"/>
        <w:textAlignment w:val="bottom"/>
        <w:rPr>
          <w:rFonts w:ascii="宋体" w:hAnsi="宋体" w:cs="宋体"/>
          <w:sz w:val="24"/>
        </w:rPr>
      </w:pPr>
    </w:p>
    <w:p w14:paraId="1FA8ACEF">
      <w:pPr>
        <w:adjustRightInd w:val="0"/>
        <w:snapToGrid w:val="0"/>
        <w:spacing w:line="360" w:lineRule="auto"/>
        <w:outlineLvl w:val="0"/>
        <w:rPr>
          <w:rFonts w:asciiTheme="majorEastAsia" w:hAnsiTheme="majorEastAsia" w:eastAsiaTheme="majorEastAsia"/>
          <w:bCs/>
          <w:sz w:val="28"/>
          <w:szCs w:val="28"/>
        </w:rPr>
      </w:pPr>
      <w:bookmarkStart w:id="167" w:name="_Toc195433167"/>
      <w:r>
        <w:rPr>
          <w:rFonts w:hint="eastAsia" w:asciiTheme="majorEastAsia" w:hAnsiTheme="majorEastAsia" w:eastAsiaTheme="majorEastAsia"/>
          <w:bCs/>
          <w:sz w:val="28"/>
          <w:szCs w:val="28"/>
        </w:rPr>
        <w:t>12.技术服务</w:t>
      </w:r>
      <w:bookmarkEnd w:id="167"/>
      <w:r>
        <w:rPr>
          <w:rFonts w:asciiTheme="majorEastAsia" w:hAnsiTheme="majorEastAsia" w:eastAsiaTheme="majorEastAsia"/>
          <w:b/>
          <w:bCs/>
          <w:sz w:val="28"/>
          <w:szCs w:val="28"/>
        </w:rPr>
        <w:t xml:space="preserve"> </w:t>
      </w:r>
    </w:p>
    <w:p w14:paraId="4A0DF68D">
      <w:pPr>
        <w:widowControl/>
        <w:numPr>
          <w:ilvl w:val="2"/>
          <w:numId w:val="48"/>
        </w:numPr>
        <w:autoSpaceDE w:val="0"/>
        <w:autoSpaceDN w:val="0"/>
        <w:adjustRightInd w:val="0"/>
        <w:snapToGrid w:val="0"/>
        <w:spacing w:line="360" w:lineRule="auto"/>
        <w:textAlignment w:val="bottom"/>
        <w:rPr>
          <w:rFonts w:ascii="宋体" w:hAnsi="宋体" w:cs="宋体"/>
          <w:sz w:val="24"/>
        </w:rPr>
      </w:pPr>
      <w:r>
        <w:rPr>
          <w:rFonts w:hint="eastAsia" w:ascii="宋体" w:hAnsi="宋体" w:cs="宋体"/>
          <w:sz w:val="24"/>
        </w:rPr>
        <w:t>售后服务</w:t>
      </w:r>
    </w:p>
    <w:p w14:paraId="7EBC5C7F">
      <w:pPr>
        <w:widowControl/>
        <w:autoSpaceDE w:val="0"/>
        <w:autoSpaceDN w:val="0"/>
        <w:adjustRightInd w:val="0"/>
        <w:snapToGrid w:val="0"/>
        <w:spacing w:line="360" w:lineRule="auto"/>
        <w:ind w:firstLine="480" w:firstLineChars="200"/>
        <w:textAlignment w:val="bottom"/>
        <w:rPr>
          <w:rFonts w:ascii="宋体" w:hAnsi="宋体" w:cs="宋体"/>
          <w:sz w:val="24"/>
        </w:rPr>
      </w:pPr>
      <w:r>
        <w:rPr>
          <w:rFonts w:hint="eastAsia" w:ascii="宋体" w:hAnsi="宋体" w:cs="宋体"/>
          <w:sz w:val="24"/>
        </w:rPr>
        <w:t>中标人派遣技术人员或技师赴招标人现场进行技术服务。服务时间及人数详见商务合同。服务人员遵守现场的各项管理制度，保证提供及时周到的服务。招标人应为中标人服务人员提供食宿方面的方便和服务工作的必要支持。保证期内因设备质量问题而不能正常工作时，中标人应免费为用户及时修理或更换。在接到用户书面通知后，12小时之内给予书面答复，服务人员48小时之内抵达现场处理问题。压缩机机组的全部安装、装配工作均由招标人完成，中标人提供帮助。</w:t>
      </w:r>
    </w:p>
    <w:p w14:paraId="709BE0D9">
      <w:pPr>
        <w:adjustRightInd w:val="0"/>
        <w:snapToGrid w:val="0"/>
        <w:spacing w:line="360" w:lineRule="auto"/>
        <w:ind w:firstLine="480" w:firstLineChars="200"/>
        <w:rPr>
          <w:rFonts w:ascii="宋体" w:hAnsi="宋体" w:cs="宋体"/>
          <w:sz w:val="24"/>
        </w:rPr>
      </w:pPr>
      <w:r>
        <w:rPr>
          <w:rFonts w:hint="eastAsia" w:ascii="宋体" w:hAnsi="宋体" w:cs="宋体"/>
          <w:sz w:val="24"/>
        </w:rPr>
        <w:t>技术服务工作内容及现应场具备的条件如下：</w:t>
      </w:r>
    </w:p>
    <w:p w14:paraId="18059358">
      <w:pPr>
        <w:numPr>
          <w:ilvl w:val="1"/>
          <w:numId w:val="49"/>
        </w:numPr>
        <w:adjustRightInd w:val="0"/>
        <w:spacing w:line="360" w:lineRule="auto"/>
        <w:rPr>
          <w:rFonts w:ascii="宋体" w:hAnsi="宋体" w:cs="宋体"/>
          <w:sz w:val="24"/>
        </w:rPr>
      </w:pPr>
      <w:r>
        <w:rPr>
          <w:rFonts w:hint="eastAsia" w:ascii="宋体" w:hAnsi="宋体" w:cs="宋体"/>
          <w:sz w:val="24"/>
        </w:rPr>
        <w:t xml:space="preserve">现场技术交底服务 </w:t>
      </w:r>
    </w:p>
    <w:p w14:paraId="750F812F">
      <w:pPr>
        <w:widowControl/>
        <w:autoSpaceDE w:val="0"/>
        <w:autoSpaceDN w:val="0"/>
        <w:spacing w:line="360" w:lineRule="auto"/>
        <w:ind w:firstLine="480" w:firstLineChars="200"/>
        <w:textAlignment w:val="bottom"/>
        <w:rPr>
          <w:rFonts w:ascii="宋体" w:hAnsi="宋体" w:cs="宋体"/>
          <w:sz w:val="24"/>
        </w:rPr>
      </w:pPr>
      <w:r>
        <w:rPr>
          <w:rFonts w:hint="eastAsia" w:ascii="宋体" w:hAnsi="宋体" w:cs="宋体"/>
          <w:sz w:val="24"/>
        </w:rPr>
        <w:t>压缩机安装前，中标人派技术服务人员到招标人现场对压缩机进行一般性介绍，对安装过程进行一般性说明，对图纸、使用说明书、产品合格证等技术资料与用户、安装公司、监理公司等进行技术交流。</w:t>
      </w:r>
    </w:p>
    <w:p w14:paraId="68EB6248">
      <w:pPr>
        <w:widowControl/>
        <w:autoSpaceDE w:val="0"/>
        <w:autoSpaceDN w:val="0"/>
        <w:spacing w:line="360" w:lineRule="auto"/>
        <w:ind w:firstLine="480" w:firstLineChars="200"/>
        <w:textAlignment w:val="bottom"/>
        <w:rPr>
          <w:rFonts w:ascii="宋体" w:hAnsi="宋体" w:cs="宋体"/>
          <w:sz w:val="24"/>
        </w:rPr>
      </w:pPr>
      <w:r>
        <w:rPr>
          <w:rFonts w:hint="eastAsia" w:ascii="宋体" w:hAnsi="宋体" w:cs="宋体"/>
          <w:sz w:val="24"/>
        </w:rPr>
        <w:t>技术交底时，现场应具备以下条件：</w:t>
      </w:r>
    </w:p>
    <w:p w14:paraId="7AEB01FB">
      <w:pPr>
        <w:numPr>
          <w:ilvl w:val="0"/>
          <w:numId w:val="50"/>
        </w:numPr>
        <w:adjustRightInd w:val="0"/>
        <w:spacing w:line="360" w:lineRule="auto"/>
        <w:ind w:left="840" w:firstLine="0"/>
        <w:rPr>
          <w:rFonts w:ascii="宋体" w:hAnsi="宋体" w:cs="宋体"/>
          <w:sz w:val="24"/>
        </w:rPr>
      </w:pPr>
      <w:r>
        <w:rPr>
          <w:rFonts w:hint="eastAsia" w:ascii="宋体" w:hAnsi="宋体" w:cs="宋体"/>
          <w:sz w:val="24"/>
        </w:rPr>
        <w:t>中标人提供的产品全部发运到现场。</w:t>
      </w:r>
    </w:p>
    <w:p w14:paraId="1B1C5BAD">
      <w:pPr>
        <w:numPr>
          <w:ilvl w:val="0"/>
          <w:numId w:val="50"/>
        </w:numPr>
        <w:adjustRightInd w:val="0"/>
        <w:spacing w:line="360" w:lineRule="auto"/>
        <w:ind w:left="840" w:firstLine="0"/>
        <w:rPr>
          <w:rFonts w:ascii="宋体" w:hAnsi="宋体" w:cs="宋体"/>
          <w:sz w:val="24"/>
        </w:rPr>
      </w:pPr>
      <w:r>
        <w:rPr>
          <w:rFonts w:hint="eastAsia" w:ascii="宋体" w:hAnsi="宋体" w:cs="宋体"/>
          <w:sz w:val="24"/>
        </w:rPr>
        <w:t>中标人现场点件人员已将产品部件清点完毕。</w:t>
      </w:r>
    </w:p>
    <w:p w14:paraId="27D5B857">
      <w:pPr>
        <w:numPr>
          <w:ilvl w:val="0"/>
          <w:numId w:val="50"/>
        </w:numPr>
        <w:adjustRightInd w:val="0"/>
        <w:spacing w:line="360" w:lineRule="auto"/>
        <w:ind w:left="840" w:firstLine="0"/>
        <w:rPr>
          <w:rFonts w:ascii="宋体" w:hAnsi="宋体" w:cs="宋体"/>
          <w:sz w:val="24"/>
        </w:rPr>
      </w:pPr>
      <w:r>
        <w:rPr>
          <w:rFonts w:hint="eastAsia" w:ascii="宋体" w:hAnsi="宋体" w:cs="宋体"/>
          <w:sz w:val="24"/>
        </w:rPr>
        <w:t>中标人提供产品存在的缺欠件，招标人已经与中标人点件人员进行过确认。</w:t>
      </w:r>
    </w:p>
    <w:p w14:paraId="72A90C77">
      <w:pPr>
        <w:numPr>
          <w:ilvl w:val="0"/>
          <w:numId w:val="50"/>
        </w:numPr>
        <w:adjustRightInd w:val="0"/>
        <w:spacing w:line="360" w:lineRule="auto"/>
        <w:ind w:left="840" w:firstLine="0"/>
        <w:rPr>
          <w:rFonts w:ascii="宋体" w:hAnsi="宋体" w:cs="宋体"/>
          <w:sz w:val="24"/>
        </w:rPr>
      </w:pPr>
      <w:r>
        <w:rPr>
          <w:rFonts w:hint="eastAsia" w:ascii="宋体" w:hAnsi="宋体" w:cs="宋体"/>
          <w:sz w:val="24"/>
        </w:rPr>
        <w:t>中标人提供的产品资料已经齐全。</w:t>
      </w:r>
    </w:p>
    <w:p w14:paraId="07AE1B3B">
      <w:pPr>
        <w:numPr>
          <w:ilvl w:val="0"/>
          <w:numId w:val="50"/>
        </w:numPr>
        <w:adjustRightInd w:val="0"/>
        <w:spacing w:line="360" w:lineRule="auto"/>
        <w:ind w:left="840" w:firstLine="0"/>
        <w:rPr>
          <w:rFonts w:ascii="宋体" w:hAnsi="宋体" w:cs="宋体"/>
          <w:sz w:val="24"/>
        </w:rPr>
      </w:pPr>
      <w:r>
        <w:rPr>
          <w:rFonts w:hint="eastAsia" w:ascii="宋体" w:hAnsi="宋体" w:cs="宋体"/>
          <w:sz w:val="24"/>
        </w:rPr>
        <w:t>压缩机厂房已经建好。</w:t>
      </w:r>
    </w:p>
    <w:p w14:paraId="4ED740A6">
      <w:pPr>
        <w:numPr>
          <w:ilvl w:val="0"/>
          <w:numId w:val="50"/>
        </w:numPr>
        <w:adjustRightInd w:val="0"/>
        <w:spacing w:line="360" w:lineRule="auto"/>
        <w:ind w:left="840" w:firstLine="0"/>
        <w:rPr>
          <w:rFonts w:ascii="宋体" w:hAnsi="宋体" w:cs="宋体"/>
          <w:sz w:val="24"/>
        </w:rPr>
      </w:pPr>
      <w:r>
        <w:rPr>
          <w:rFonts w:hint="eastAsia" w:ascii="宋体" w:hAnsi="宋体" w:cs="宋体"/>
          <w:sz w:val="24"/>
        </w:rPr>
        <w:t>安装机组的建筑基础已经完成。安装公司已经到现场开始工作。</w:t>
      </w:r>
    </w:p>
    <w:p w14:paraId="5A89DC26">
      <w:pPr>
        <w:numPr>
          <w:ilvl w:val="1"/>
          <w:numId w:val="49"/>
        </w:numPr>
        <w:adjustRightInd w:val="0"/>
        <w:spacing w:line="360" w:lineRule="auto"/>
        <w:rPr>
          <w:rFonts w:ascii="宋体" w:hAnsi="宋体" w:cs="宋体"/>
          <w:sz w:val="24"/>
        </w:rPr>
      </w:pPr>
      <w:r>
        <w:rPr>
          <w:rFonts w:hint="eastAsia" w:ascii="宋体" w:hAnsi="宋体" w:cs="宋体"/>
          <w:sz w:val="24"/>
        </w:rPr>
        <w:t xml:space="preserve">压缩机及附属设备就位、找正、安装服务 </w:t>
      </w:r>
    </w:p>
    <w:p w14:paraId="6A41AE7E">
      <w:pPr>
        <w:widowControl/>
        <w:numPr>
          <w:ilvl w:val="0"/>
          <w:numId w:val="51"/>
        </w:numPr>
        <w:autoSpaceDE w:val="0"/>
        <w:autoSpaceDN w:val="0"/>
        <w:spacing w:line="360" w:lineRule="auto"/>
        <w:ind w:left="0" w:firstLine="420" w:firstLineChars="175"/>
        <w:textAlignment w:val="bottom"/>
        <w:rPr>
          <w:rFonts w:ascii="宋体" w:hAnsi="宋体" w:cs="宋体"/>
          <w:sz w:val="24"/>
        </w:rPr>
      </w:pPr>
      <w:r>
        <w:rPr>
          <w:rFonts w:hint="eastAsia" w:ascii="宋体" w:hAnsi="宋体" w:cs="宋体"/>
          <w:sz w:val="24"/>
        </w:rPr>
        <w:t xml:space="preserve">压缩机就位、找正、安装过程中，如遇到问题或有不明确的地方，中标人派技术服务人员现场处理或指导确认。基本服务工作如下： </w:t>
      </w:r>
    </w:p>
    <w:p w14:paraId="487DDA24">
      <w:pPr>
        <w:numPr>
          <w:ilvl w:val="0"/>
          <w:numId w:val="52"/>
        </w:numPr>
        <w:adjustRightInd w:val="0"/>
        <w:spacing w:line="360" w:lineRule="auto"/>
        <w:ind w:left="840" w:firstLine="0"/>
        <w:rPr>
          <w:rFonts w:ascii="宋体" w:hAnsi="宋体" w:cs="宋体"/>
          <w:sz w:val="24"/>
        </w:rPr>
      </w:pPr>
      <w:r>
        <w:rPr>
          <w:rFonts w:hint="eastAsia" w:ascii="宋体" w:hAnsi="宋体" w:cs="宋体"/>
          <w:sz w:val="24"/>
        </w:rPr>
        <w:t>压缩机底座的安装指导。</w:t>
      </w:r>
    </w:p>
    <w:p w14:paraId="6495DC48">
      <w:pPr>
        <w:numPr>
          <w:ilvl w:val="0"/>
          <w:numId w:val="52"/>
        </w:numPr>
        <w:adjustRightInd w:val="0"/>
        <w:spacing w:line="360" w:lineRule="auto"/>
        <w:ind w:left="840" w:firstLine="0"/>
        <w:rPr>
          <w:rFonts w:ascii="宋体" w:hAnsi="宋体" w:cs="宋体"/>
          <w:sz w:val="24"/>
        </w:rPr>
      </w:pPr>
      <w:r>
        <w:rPr>
          <w:rFonts w:hint="eastAsia" w:ascii="宋体" w:hAnsi="宋体" w:cs="宋体"/>
          <w:sz w:val="24"/>
        </w:rPr>
        <w:t>压缩机在底座就位安装指导。</w:t>
      </w:r>
    </w:p>
    <w:p w14:paraId="746F79C0">
      <w:pPr>
        <w:numPr>
          <w:ilvl w:val="0"/>
          <w:numId w:val="52"/>
        </w:numPr>
        <w:adjustRightInd w:val="0"/>
        <w:spacing w:line="360" w:lineRule="auto"/>
        <w:ind w:left="840" w:firstLine="0"/>
        <w:rPr>
          <w:rFonts w:ascii="宋体" w:hAnsi="宋体" w:cs="宋体"/>
          <w:sz w:val="24"/>
        </w:rPr>
      </w:pPr>
      <w:r>
        <w:rPr>
          <w:rFonts w:hint="eastAsia" w:ascii="宋体" w:hAnsi="宋体" w:cs="宋体"/>
          <w:sz w:val="24"/>
        </w:rPr>
        <w:t>压缩机、原动机及其余辅机设备的安装指导。</w:t>
      </w:r>
    </w:p>
    <w:p w14:paraId="0439B108">
      <w:pPr>
        <w:numPr>
          <w:ilvl w:val="0"/>
          <w:numId w:val="52"/>
        </w:numPr>
        <w:adjustRightInd w:val="0"/>
        <w:spacing w:line="360" w:lineRule="auto"/>
        <w:ind w:left="840" w:firstLine="0"/>
        <w:rPr>
          <w:rFonts w:ascii="宋体" w:hAnsi="宋体" w:cs="宋体"/>
          <w:sz w:val="24"/>
        </w:rPr>
      </w:pPr>
      <w:r>
        <w:rPr>
          <w:rFonts w:hint="eastAsia" w:ascii="宋体" w:hAnsi="宋体" w:cs="宋体"/>
          <w:sz w:val="24"/>
        </w:rPr>
        <w:t>机组冷态找正的工作指导。</w:t>
      </w:r>
    </w:p>
    <w:p w14:paraId="560E7015">
      <w:pPr>
        <w:numPr>
          <w:ilvl w:val="0"/>
          <w:numId w:val="52"/>
        </w:numPr>
        <w:adjustRightInd w:val="0"/>
        <w:spacing w:line="360" w:lineRule="auto"/>
        <w:ind w:left="840" w:firstLine="0"/>
        <w:rPr>
          <w:rFonts w:ascii="宋体" w:hAnsi="宋体" w:cs="宋体"/>
          <w:sz w:val="24"/>
        </w:rPr>
      </w:pPr>
      <w:r>
        <w:rPr>
          <w:rFonts w:hint="eastAsia" w:ascii="宋体" w:hAnsi="宋体" w:cs="宋体"/>
          <w:sz w:val="24"/>
        </w:rPr>
        <w:t>联轴器的安装指导。</w:t>
      </w:r>
    </w:p>
    <w:p w14:paraId="67B30B55">
      <w:pPr>
        <w:numPr>
          <w:ilvl w:val="0"/>
          <w:numId w:val="51"/>
        </w:numPr>
        <w:adjustRightInd w:val="0"/>
        <w:spacing w:line="360" w:lineRule="auto"/>
        <w:ind w:firstLine="0"/>
        <w:rPr>
          <w:rFonts w:ascii="宋体" w:hAnsi="宋体" w:cs="宋体"/>
          <w:sz w:val="24"/>
        </w:rPr>
      </w:pPr>
      <w:r>
        <w:rPr>
          <w:rFonts w:hint="eastAsia" w:ascii="宋体" w:hAnsi="宋体" w:cs="宋体"/>
          <w:sz w:val="24"/>
        </w:rPr>
        <w:t>压缩机及附属设备就位、找正、安装指导阶段，现场应具备以下条件：</w:t>
      </w:r>
    </w:p>
    <w:p w14:paraId="6B0610C0">
      <w:pPr>
        <w:numPr>
          <w:ilvl w:val="0"/>
          <w:numId w:val="53"/>
        </w:numPr>
        <w:tabs>
          <w:tab w:val="left" w:pos="720"/>
        </w:tabs>
        <w:adjustRightInd w:val="0"/>
        <w:spacing w:line="360" w:lineRule="auto"/>
        <w:rPr>
          <w:rFonts w:ascii="宋体" w:hAnsi="宋体" w:cs="宋体"/>
          <w:sz w:val="24"/>
        </w:rPr>
      </w:pPr>
      <w:r>
        <w:rPr>
          <w:rFonts w:hint="eastAsia" w:ascii="宋体" w:hAnsi="宋体" w:cs="宋体"/>
          <w:sz w:val="24"/>
        </w:rPr>
        <w:t xml:space="preserve"> 压缩机、驱动机、润滑油站及其余辅机设备已经就位。</w:t>
      </w:r>
    </w:p>
    <w:p w14:paraId="4B2EE785">
      <w:pPr>
        <w:numPr>
          <w:ilvl w:val="0"/>
          <w:numId w:val="53"/>
        </w:numPr>
        <w:tabs>
          <w:tab w:val="left" w:pos="720"/>
        </w:tabs>
        <w:adjustRightInd w:val="0"/>
        <w:spacing w:line="360" w:lineRule="auto"/>
        <w:rPr>
          <w:rFonts w:ascii="宋体" w:hAnsi="宋体" w:cs="宋体"/>
          <w:sz w:val="24"/>
        </w:rPr>
      </w:pPr>
      <w:r>
        <w:rPr>
          <w:rFonts w:hint="eastAsia" w:ascii="宋体" w:hAnsi="宋体" w:cs="宋体"/>
          <w:sz w:val="24"/>
        </w:rPr>
        <w:t xml:space="preserve"> 现场二层平台具备工作条件。</w:t>
      </w:r>
    </w:p>
    <w:p w14:paraId="4756FD67">
      <w:pPr>
        <w:numPr>
          <w:ilvl w:val="1"/>
          <w:numId w:val="49"/>
        </w:numPr>
        <w:adjustRightInd w:val="0"/>
        <w:spacing w:line="360" w:lineRule="auto"/>
        <w:rPr>
          <w:rFonts w:ascii="宋体" w:hAnsi="宋体" w:cs="宋体"/>
          <w:sz w:val="24"/>
        </w:rPr>
      </w:pPr>
      <w:r>
        <w:rPr>
          <w:rFonts w:hint="eastAsia" w:ascii="宋体" w:hAnsi="宋体" w:cs="宋体"/>
          <w:sz w:val="24"/>
        </w:rPr>
        <w:t>压缩机的检查、装配服务</w:t>
      </w:r>
    </w:p>
    <w:p w14:paraId="46A05CF4">
      <w:pPr>
        <w:widowControl/>
        <w:autoSpaceDE w:val="0"/>
        <w:autoSpaceDN w:val="0"/>
        <w:spacing w:line="360" w:lineRule="auto"/>
        <w:ind w:firstLine="480" w:firstLineChars="200"/>
        <w:textAlignment w:val="bottom"/>
        <w:rPr>
          <w:rFonts w:ascii="宋体" w:hAnsi="宋体" w:cs="宋体"/>
          <w:sz w:val="24"/>
        </w:rPr>
      </w:pPr>
      <w:r>
        <w:rPr>
          <w:rFonts w:hint="eastAsia" w:ascii="宋体" w:hAnsi="宋体" w:cs="宋体"/>
          <w:sz w:val="24"/>
        </w:rPr>
        <w:t>压缩机安装过程中，需对压缩机进行解体、检查、清理、装配。如遇到问题或有不明确的地方，中标人派技术服务人员现场处理或指导确认。基本服务工作如下：</w:t>
      </w:r>
    </w:p>
    <w:p w14:paraId="04A54299">
      <w:pPr>
        <w:widowControl/>
        <w:numPr>
          <w:ilvl w:val="0"/>
          <w:numId w:val="54"/>
        </w:numPr>
        <w:autoSpaceDE w:val="0"/>
        <w:autoSpaceDN w:val="0"/>
        <w:spacing w:line="360" w:lineRule="auto"/>
        <w:textAlignment w:val="bottom"/>
        <w:rPr>
          <w:rFonts w:ascii="宋体" w:hAnsi="宋体" w:cs="宋体"/>
          <w:sz w:val="24"/>
        </w:rPr>
      </w:pPr>
      <w:r>
        <w:rPr>
          <w:rFonts w:hint="eastAsia" w:ascii="宋体" w:hAnsi="宋体" w:cs="宋体"/>
          <w:sz w:val="24"/>
        </w:rPr>
        <w:t>压缩机轴承的安装指导。</w:t>
      </w:r>
    </w:p>
    <w:p w14:paraId="4400F2CB">
      <w:pPr>
        <w:widowControl/>
        <w:numPr>
          <w:ilvl w:val="0"/>
          <w:numId w:val="54"/>
        </w:numPr>
        <w:autoSpaceDE w:val="0"/>
        <w:autoSpaceDN w:val="0"/>
        <w:spacing w:line="360" w:lineRule="auto"/>
        <w:textAlignment w:val="bottom"/>
        <w:rPr>
          <w:rFonts w:ascii="宋体" w:hAnsi="宋体" w:cs="宋体"/>
          <w:sz w:val="24"/>
        </w:rPr>
      </w:pPr>
      <w:r>
        <w:rPr>
          <w:rFonts w:hint="eastAsia" w:ascii="宋体" w:hAnsi="宋体" w:cs="宋体"/>
          <w:sz w:val="24"/>
        </w:rPr>
        <w:t>压缩机转子的安装指导。</w:t>
      </w:r>
    </w:p>
    <w:p w14:paraId="2D6768C4">
      <w:pPr>
        <w:widowControl/>
        <w:numPr>
          <w:ilvl w:val="0"/>
          <w:numId w:val="54"/>
        </w:numPr>
        <w:autoSpaceDE w:val="0"/>
        <w:autoSpaceDN w:val="0"/>
        <w:spacing w:line="360" w:lineRule="auto"/>
        <w:textAlignment w:val="bottom"/>
        <w:rPr>
          <w:rFonts w:ascii="宋体" w:hAnsi="宋体" w:cs="宋体"/>
          <w:sz w:val="24"/>
        </w:rPr>
      </w:pPr>
      <w:r>
        <w:rPr>
          <w:rFonts w:hint="eastAsia" w:ascii="宋体" w:hAnsi="宋体" w:cs="宋体"/>
          <w:sz w:val="24"/>
        </w:rPr>
        <w:t>压缩机定子部件的安装指导。</w:t>
      </w:r>
    </w:p>
    <w:p w14:paraId="75C16305">
      <w:pPr>
        <w:widowControl/>
        <w:numPr>
          <w:ilvl w:val="0"/>
          <w:numId w:val="54"/>
        </w:numPr>
        <w:autoSpaceDE w:val="0"/>
        <w:autoSpaceDN w:val="0"/>
        <w:spacing w:line="360" w:lineRule="auto"/>
        <w:textAlignment w:val="bottom"/>
        <w:rPr>
          <w:rFonts w:ascii="宋体" w:hAnsi="宋体" w:cs="宋体"/>
          <w:sz w:val="24"/>
        </w:rPr>
      </w:pPr>
      <w:r>
        <w:rPr>
          <w:rFonts w:hint="eastAsia" w:ascii="宋体" w:hAnsi="宋体" w:cs="宋体"/>
          <w:sz w:val="24"/>
        </w:rPr>
        <w:t>压缩机中分面/端盖螺栓紧固件的安装指导。</w:t>
      </w:r>
    </w:p>
    <w:p w14:paraId="217C7964">
      <w:pPr>
        <w:widowControl/>
        <w:numPr>
          <w:ilvl w:val="0"/>
          <w:numId w:val="54"/>
        </w:numPr>
        <w:autoSpaceDE w:val="0"/>
        <w:autoSpaceDN w:val="0"/>
        <w:spacing w:line="360" w:lineRule="auto"/>
        <w:textAlignment w:val="bottom"/>
        <w:rPr>
          <w:rFonts w:ascii="宋体" w:hAnsi="宋体" w:cs="宋体"/>
          <w:sz w:val="24"/>
        </w:rPr>
      </w:pPr>
      <w:r>
        <w:rPr>
          <w:rFonts w:hint="eastAsia" w:ascii="宋体" w:hAnsi="宋体" w:cs="宋体"/>
          <w:sz w:val="24"/>
        </w:rPr>
        <w:t>干气密封的安装指导（如果机组含有干气密封）。</w:t>
      </w:r>
    </w:p>
    <w:p w14:paraId="3C2904E6">
      <w:pPr>
        <w:widowControl/>
        <w:numPr>
          <w:ilvl w:val="0"/>
          <w:numId w:val="54"/>
        </w:numPr>
        <w:autoSpaceDE w:val="0"/>
        <w:autoSpaceDN w:val="0"/>
        <w:spacing w:line="360" w:lineRule="auto"/>
        <w:textAlignment w:val="bottom"/>
        <w:rPr>
          <w:rFonts w:ascii="宋体" w:hAnsi="宋体" w:cs="宋体"/>
          <w:sz w:val="24"/>
        </w:rPr>
      </w:pPr>
      <w:r>
        <w:rPr>
          <w:rFonts w:hint="eastAsia" w:ascii="宋体" w:hAnsi="宋体" w:cs="宋体"/>
          <w:sz w:val="24"/>
        </w:rPr>
        <w:t>机旁油管路的安装指导。</w:t>
      </w:r>
    </w:p>
    <w:p w14:paraId="0538BAC1">
      <w:pPr>
        <w:widowControl/>
        <w:numPr>
          <w:ilvl w:val="0"/>
          <w:numId w:val="54"/>
        </w:numPr>
        <w:autoSpaceDE w:val="0"/>
        <w:autoSpaceDN w:val="0"/>
        <w:spacing w:line="360" w:lineRule="auto"/>
        <w:textAlignment w:val="bottom"/>
        <w:rPr>
          <w:rFonts w:ascii="宋体" w:hAnsi="宋体" w:cs="宋体"/>
          <w:sz w:val="24"/>
        </w:rPr>
      </w:pPr>
      <w:r>
        <w:rPr>
          <w:rFonts w:hint="eastAsia" w:ascii="宋体" w:hAnsi="宋体" w:cs="宋体"/>
          <w:sz w:val="24"/>
        </w:rPr>
        <w:t>轴承间隙、轴承过盈和密封间隙的检查指导。</w:t>
      </w:r>
    </w:p>
    <w:p w14:paraId="4392E4AA">
      <w:pPr>
        <w:widowControl/>
        <w:numPr>
          <w:ilvl w:val="0"/>
          <w:numId w:val="54"/>
        </w:numPr>
        <w:autoSpaceDE w:val="0"/>
        <w:autoSpaceDN w:val="0"/>
        <w:spacing w:line="360" w:lineRule="auto"/>
        <w:textAlignment w:val="bottom"/>
        <w:rPr>
          <w:rFonts w:ascii="宋体" w:hAnsi="宋体" w:cs="宋体"/>
          <w:sz w:val="24"/>
        </w:rPr>
      </w:pPr>
      <w:r>
        <w:rPr>
          <w:rFonts w:hint="eastAsia" w:ascii="宋体" w:hAnsi="宋体" w:cs="宋体"/>
          <w:sz w:val="24"/>
        </w:rPr>
        <w:t>转子轴向串动量和转子打表的检查指导。</w:t>
      </w:r>
    </w:p>
    <w:p w14:paraId="174CF8FD">
      <w:pPr>
        <w:numPr>
          <w:ilvl w:val="1"/>
          <w:numId w:val="49"/>
        </w:numPr>
        <w:adjustRightInd w:val="0"/>
        <w:spacing w:line="360" w:lineRule="auto"/>
        <w:rPr>
          <w:rFonts w:ascii="宋体" w:hAnsi="宋体" w:cs="宋体"/>
          <w:sz w:val="24"/>
        </w:rPr>
      </w:pPr>
      <w:r>
        <w:rPr>
          <w:rFonts w:hint="eastAsia" w:ascii="宋体" w:hAnsi="宋体" w:cs="宋体"/>
          <w:sz w:val="24"/>
        </w:rPr>
        <w:t>机组调试、单机试车服务</w:t>
      </w:r>
    </w:p>
    <w:p w14:paraId="41D34621">
      <w:pPr>
        <w:widowControl/>
        <w:numPr>
          <w:ilvl w:val="0"/>
          <w:numId w:val="55"/>
        </w:numPr>
        <w:autoSpaceDE w:val="0"/>
        <w:autoSpaceDN w:val="0"/>
        <w:spacing w:line="360" w:lineRule="auto"/>
        <w:ind w:left="0" w:firstLine="420" w:firstLineChars="175"/>
        <w:textAlignment w:val="bottom"/>
        <w:rPr>
          <w:rFonts w:ascii="宋体" w:hAnsi="宋体" w:cs="宋体"/>
          <w:sz w:val="24"/>
        </w:rPr>
      </w:pPr>
      <w:r>
        <w:rPr>
          <w:rFonts w:hint="eastAsia" w:ascii="宋体" w:hAnsi="宋体" w:cs="宋体"/>
          <w:sz w:val="24"/>
        </w:rPr>
        <w:t>机组安装调试后要进行试车，中标人派技术服务人员参与机组调试和试车工作，并提供必要技术支持和服务工作。基本服务工作如下：</w:t>
      </w:r>
    </w:p>
    <w:p w14:paraId="751A4F8D">
      <w:pPr>
        <w:widowControl/>
        <w:numPr>
          <w:ilvl w:val="0"/>
          <w:numId w:val="56"/>
        </w:numPr>
        <w:autoSpaceDE w:val="0"/>
        <w:autoSpaceDN w:val="0"/>
        <w:spacing w:line="360" w:lineRule="auto"/>
        <w:textAlignment w:val="bottom"/>
        <w:rPr>
          <w:rFonts w:ascii="宋体" w:hAnsi="宋体" w:cs="宋体"/>
          <w:sz w:val="24"/>
        </w:rPr>
      </w:pPr>
      <w:r>
        <w:rPr>
          <w:rFonts w:hint="eastAsia" w:ascii="宋体" w:hAnsi="宋体" w:cs="宋体"/>
          <w:sz w:val="24"/>
        </w:rPr>
        <w:t>指导机组一次仪表的调试工作。</w:t>
      </w:r>
    </w:p>
    <w:p w14:paraId="165D2C88">
      <w:pPr>
        <w:widowControl/>
        <w:numPr>
          <w:ilvl w:val="0"/>
          <w:numId w:val="56"/>
        </w:numPr>
        <w:autoSpaceDE w:val="0"/>
        <w:autoSpaceDN w:val="0"/>
        <w:spacing w:line="360" w:lineRule="auto"/>
        <w:textAlignment w:val="bottom"/>
        <w:rPr>
          <w:rFonts w:ascii="宋体" w:hAnsi="宋体" w:cs="宋体"/>
          <w:sz w:val="24"/>
        </w:rPr>
      </w:pPr>
      <w:r>
        <w:rPr>
          <w:rFonts w:hint="eastAsia" w:ascii="宋体" w:hAnsi="宋体" w:cs="宋体"/>
          <w:sz w:val="24"/>
        </w:rPr>
        <w:t>指导单机和整机试车大纲的审查工作。</w:t>
      </w:r>
    </w:p>
    <w:p w14:paraId="14286303">
      <w:pPr>
        <w:widowControl/>
        <w:numPr>
          <w:ilvl w:val="0"/>
          <w:numId w:val="56"/>
        </w:numPr>
        <w:autoSpaceDE w:val="0"/>
        <w:autoSpaceDN w:val="0"/>
        <w:spacing w:line="360" w:lineRule="auto"/>
        <w:textAlignment w:val="bottom"/>
        <w:rPr>
          <w:rFonts w:ascii="宋体" w:hAnsi="宋体" w:cs="宋体"/>
          <w:sz w:val="24"/>
        </w:rPr>
      </w:pPr>
      <w:r>
        <w:rPr>
          <w:rFonts w:hint="eastAsia" w:ascii="宋体" w:hAnsi="宋体" w:cs="宋体"/>
          <w:sz w:val="24"/>
        </w:rPr>
        <w:t>指导各单机和整机的试车及调试工作。</w:t>
      </w:r>
    </w:p>
    <w:p w14:paraId="06D6FB67">
      <w:pPr>
        <w:widowControl/>
        <w:numPr>
          <w:ilvl w:val="0"/>
          <w:numId w:val="56"/>
        </w:numPr>
        <w:autoSpaceDE w:val="0"/>
        <w:autoSpaceDN w:val="0"/>
        <w:spacing w:line="360" w:lineRule="auto"/>
        <w:textAlignment w:val="bottom"/>
        <w:rPr>
          <w:rFonts w:ascii="宋体" w:hAnsi="宋体" w:cs="宋体"/>
          <w:sz w:val="24"/>
        </w:rPr>
      </w:pPr>
      <w:r>
        <w:rPr>
          <w:rFonts w:hint="eastAsia" w:ascii="宋体" w:hAnsi="宋体" w:cs="宋体"/>
          <w:sz w:val="24"/>
        </w:rPr>
        <w:t>提供压缩机机组的使用、安装维修培训。</w:t>
      </w:r>
    </w:p>
    <w:p w14:paraId="6D7D8A4D">
      <w:pPr>
        <w:numPr>
          <w:ilvl w:val="0"/>
          <w:numId w:val="55"/>
        </w:numPr>
        <w:adjustRightInd w:val="0"/>
        <w:spacing w:line="360" w:lineRule="auto"/>
        <w:ind w:firstLine="0"/>
        <w:rPr>
          <w:rFonts w:ascii="宋体" w:hAnsi="宋体" w:cs="宋体"/>
          <w:sz w:val="24"/>
        </w:rPr>
      </w:pPr>
      <w:r>
        <w:rPr>
          <w:rFonts w:hint="eastAsia" w:ascii="宋体" w:hAnsi="宋体" w:cs="宋体"/>
          <w:sz w:val="24"/>
        </w:rPr>
        <w:t>机组调试、开车阶段，现场应具备以下条件：</w:t>
      </w:r>
    </w:p>
    <w:p w14:paraId="1D21AE5F">
      <w:pPr>
        <w:numPr>
          <w:ilvl w:val="0"/>
          <w:numId w:val="57"/>
        </w:numPr>
        <w:adjustRightInd w:val="0"/>
        <w:spacing w:line="360" w:lineRule="auto"/>
        <w:jc w:val="left"/>
        <w:rPr>
          <w:rFonts w:ascii="宋体" w:hAnsi="宋体" w:cs="宋体"/>
          <w:sz w:val="24"/>
        </w:rPr>
      </w:pPr>
      <w:r>
        <w:rPr>
          <w:rFonts w:hint="eastAsia" w:ascii="宋体" w:hAnsi="宋体" w:cs="宋体"/>
          <w:sz w:val="24"/>
        </w:rPr>
        <w:t>机组二次灌浆完毕。</w:t>
      </w:r>
    </w:p>
    <w:p w14:paraId="11A85A2F">
      <w:pPr>
        <w:numPr>
          <w:ilvl w:val="0"/>
          <w:numId w:val="57"/>
        </w:numPr>
        <w:adjustRightInd w:val="0"/>
        <w:spacing w:line="360" w:lineRule="auto"/>
        <w:jc w:val="left"/>
        <w:rPr>
          <w:rFonts w:ascii="宋体" w:hAnsi="宋体" w:cs="宋体"/>
          <w:sz w:val="24"/>
        </w:rPr>
      </w:pPr>
      <w:r>
        <w:rPr>
          <w:rFonts w:hint="eastAsia" w:ascii="宋体" w:hAnsi="宋体" w:cs="宋体"/>
          <w:sz w:val="24"/>
        </w:rPr>
        <w:t>工程管路已经装配完毕，包括气管路、油管路、水管路等。</w:t>
      </w:r>
    </w:p>
    <w:p w14:paraId="1315B77F">
      <w:pPr>
        <w:numPr>
          <w:ilvl w:val="0"/>
          <w:numId w:val="57"/>
        </w:numPr>
        <w:adjustRightInd w:val="0"/>
        <w:spacing w:line="360" w:lineRule="auto"/>
        <w:jc w:val="left"/>
        <w:rPr>
          <w:rFonts w:ascii="宋体" w:hAnsi="宋体" w:cs="宋体"/>
          <w:sz w:val="24"/>
        </w:rPr>
      </w:pPr>
      <w:r>
        <w:rPr>
          <w:rFonts w:hint="eastAsia" w:ascii="宋体" w:hAnsi="宋体" w:cs="宋体"/>
          <w:sz w:val="24"/>
        </w:rPr>
        <w:t>机组油运基本合格，公共条件满足试车需求。</w:t>
      </w:r>
    </w:p>
    <w:p w14:paraId="1230A187">
      <w:pPr>
        <w:numPr>
          <w:ilvl w:val="0"/>
          <w:numId w:val="57"/>
        </w:numPr>
        <w:adjustRightInd w:val="0"/>
        <w:spacing w:line="360" w:lineRule="auto"/>
        <w:ind w:left="0" w:firstLine="840" w:firstLineChars="350"/>
        <w:jc w:val="left"/>
        <w:rPr>
          <w:rFonts w:ascii="宋体" w:hAnsi="宋体" w:cs="宋体"/>
          <w:sz w:val="24"/>
        </w:rPr>
      </w:pPr>
      <w:r>
        <w:rPr>
          <w:rFonts w:hint="eastAsia" w:ascii="宋体" w:hAnsi="宋体" w:cs="宋体"/>
          <w:sz w:val="24"/>
        </w:rPr>
        <w:t>机组仪器、仪表复检、安装、联调完毕，控制系统调试完毕，机组各报警、联锁模拟试验完毕并可投用。</w:t>
      </w:r>
    </w:p>
    <w:p w14:paraId="5E512D2B">
      <w:pPr>
        <w:numPr>
          <w:ilvl w:val="0"/>
          <w:numId w:val="57"/>
        </w:numPr>
        <w:adjustRightInd w:val="0"/>
        <w:spacing w:line="360" w:lineRule="auto"/>
        <w:jc w:val="left"/>
        <w:rPr>
          <w:rFonts w:ascii="宋体" w:hAnsi="宋体" w:cs="宋体"/>
          <w:sz w:val="24"/>
        </w:rPr>
      </w:pPr>
      <w:r>
        <w:rPr>
          <w:rFonts w:hint="eastAsia" w:ascii="宋体" w:hAnsi="宋体" w:cs="宋体"/>
          <w:sz w:val="24"/>
        </w:rPr>
        <w:t xml:space="preserve">具有切实可行的试车方案。                                       </w:t>
      </w:r>
    </w:p>
    <w:p w14:paraId="31C1CDBA">
      <w:pPr>
        <w:numPr>
          <w:ilvl w:val="1"/>
          <w:numId w:val="49"/>
        </w:numPr>
        <w:adjustRightInd w:val="0"/>
        <w:spacing w:line="360" w:lineRule="auto"/>
        <w:rPr>
          <w:rFonts w:ascii="宋体" w:hAnsi="宋体" w:cs="宋体"/>
          <w:sz w:val="24"/>
        </w:rPr>
      </w:pPr>
      <w:r>
        <w:rPr>
          <w:rFonts w:hint="eastAsia" w:ascii="宋体" w:hAnsi="宋体" w:cs="宋体"/>
          <w:sz w:val="24"/>
        </w:rPr>
        <w:t>压缩机质量问题的处理和反馈</w:t>
      </w:r>
    </w:p>
    <w:p w14:paraId="2C4A7D4A">
      <w:pPr>
        <w:adjustRightInd w:val="0"/>
        <w:spacing w:line="360" w:lineRule="auto"/>
        <w:ind w:firstLine="480" w:firstLineChars="200"/>
        <w:rPr>
          <w:rFonts w:ascii="宋体" w:hAnsi="宋体" w:cs="宋体"/>
          <w:sz w:val="24"/>
        </w:rPr>
      </w:pPr>
      <w:r>
        <w:rPr>
          <w:rFonts w:hint="eastAsia" w:ascii="宋体" w:hAnsi="宋体" w:cs="宋体"/>
          <w:sz w:val="24"/>
        </w:rPr>
        <w:t>现场发现的任何有关压缩机的质量问题，中标人技术服务人员要以积极、认真、负责工作态度，及时处理和反馈，并尽快解决。</w:t>
      </w:r>
    </w:p>
    <w:p w14:paraId="33A5BF16">
      <w:pPr>
        <w:numPr>
          <w:ilvl w:val="1"/>
          <w:numId w:val="49"/>
        </w:numPr>
        <w:adjustRightInd w:val="0"/>
        <w:spacing w:line="360" w:lineRule="auto"/>
        <w:rPr>
          <w:rFonts w:ascii="宋体" w:hAnsi="宋体" w:cs="宋体"/>
          <w:sz w:val="24"/>
        </w:rPr>
      </w:pPr>
      <w:r>
        <w:rPr>
          <w:rFonts w:hint="eastAsia" w:ascii="宋体" w:hAnsi="宋体" w:cs="宋体"/>
          <w:sz w:val="24"/>
        </w:rPr>
        <w:t>中标人所有成套供货设备质量问题的反馈和服务协调</w:t>
      </w:r>
    </w:p>
    <w:p w14:paraId="369DA921">
      <w:pPr>
        <w:adjustRightInd w:val="0"/>
        <w:spacing w:line="360" w:lineRule="auto"/>
        <w:ind w:firstLine="480" w:firstLineChars="200"/>
        <w:rPr>
          <w:rFonts w:ascii="宋体" w:hAnsi="宋体" w:cs="宋体"/>
          <w:sz w:val="24"/>
        </w:rPr>
      </w:pPr>
      <w:r>
        <w:rPr>
          <w:rFonts w:hint="eastAsia" w:ascii="宋体" w:hAnsi="宋体" w:cs="宋体"/>
          <w:sz w:val="24"/>
        </w:rPr>
        <w:t>现场发现的中标人所有成套供货设备的质量问题或需要服务，中标人技术服务人员也要以积极、认真、负责工作态度，及时处理和反馈，协调配套厂家尽快解决，及时服务。</w:t>
      </w:r>
    </w:p>
    <w:p w14:paraId="70651B4E">
      <w:pPr>
        <w:widowControl/>
        <w:numPr>
          <w:ilvl w:val="2"/>
          <w:numId w:val="48"/>
        </w:numPr>
        <w:autoSpaceDE w:val="0"/>
        <w:autoSpaceDN w:val="0"/>
        <w:adjustRightInd w:val="0"/>
        <w:snapToGrid w:val="0"/>
        <w:spacing w:line="360" w:lineRule="auto"/>
        <w:textAlignment w:val="bottom"/>
        <w:rPr>
          <w:rFonts w:ascii="宋体" w:hAnsi="宋体" w:cs="宋体"/>
          <w:sz w:val="24"/>
        </w:rPr>
      </w:pPr>
      <w:r>
        <w:rPr>
          <w:rFonts w:hint="eastAsia" w:ascii="宋体" w:hAnsi="宋体" w:cs="宋体"/>
          <w:sz w:val="24"/>
        </w:rPr>
        <w:t>培训</w:t>
      </w:r>
    </w:p>
    <w:p w14:paraId="2AF0DEC1">
      <w:pPr>
        <w:adjustRightInd w:val="0"/>
        <w:spacing w:line="360" w:lineRule="auto"/>
        <w:ind w:firstLine="480" w:firstLineChars="200"/>
        <w:rPr>
          <w:rFonts w:ascii="宋体" w:hAnsi="宋体" w:cs="宋体"/>
          <w:sz w:val="24"/>
        </w:rPr>
      </w:pPr>
      <w:r>
        <w:rPr>
          <w:rFonts w:hint="eastAsia" w:ascii="宋体" w:hAnsi="宋体" w:cs="宋体"/>
          <w:sz w:val="24"/>
        </w:rPr>
        <w:t>中标人对招标人人员在中标人工厂进行压缩机组的技术培训。压缩机组在中标人工厂组装时，中标人提前30天传真通知招标人，招标人派检修人员赴中标人现场学习机组组装、操作的有关技术。中标人向招标人技术人员提供食宿方便条件以及必要的交通工具和医疗条件。</w:t>
      </w:r>
    </w:p>
    <w:p w14:paraId="4268B1E8">
      <w:pPr>
        <w:adjustRightInd w:val="0"/>
        <w:snapToGrid w:val="0"/>
        <w:spacing w:line="360" w:lineRule="auto"/>
        <w:outlineLvl w:val="0"/>
        <w:rPr>
          <w:rFonts w:asciiTheme="majorEastAsia" w:hAnsiTheme="majorEastAsia" w:eastAsiaTheme="majorEastAsia"/>
          <w:bCs/>
          <w:sz w:val="28"/>
          <w:szCs w:val="28"/>
        </w:rPr>
      </w:pPr>
      <w:bookmarkStart w:id="168" w:name="_Toc195433168"/>
      <w:r>
        <w:rPr>
          <w:rFonts w:asciiTheme="majorEastAsia" w:hAnsiTheme="majorEastAsia" w:eastAsiaTheme="majorEastAsia"/>
          <w:bCs/>
          <w:sz w:val="28"/>
          <w:szCs w:val="28"/>
        </w:rPr>
        <w:t>13.压缩机包装与运输要求</w:t>
      </w:r>
      <w:bookmarkEnd w:id="168"/>
    </w:p>
    <w:p w14:paraId="65B9E4D8">
      <w:pPr>
        <w:widowControl/>
        <w:autoSpaceDE w:val="0"/>
        <w:autoSpaceDN w:val="0"/>
        <w:snapToGrid w:val="0"/>
        <w:spacing w:line="360" w:lineRule="auto"/>
        <w:textAlignment w:val="bottom"/>
        <w:rPr>
          <w:rFonts w:ascii="宋体" w:hAnsi="宋体" w:cs="宋体"/>
          <w:sz w:val="24"/>
        </w:rPr>
      </w:pPr>
      <w:r>
        <w:rPr>
          <w:rFonts w:hint="eastAsia" w:ascii="宋体" w:hAnsi="宋体" w:cs="宋体"/>
          <w:sz w:val="24"/>
        </w:rPr>
        <w:t>1</w:t>
      </w:r>
      <w:r>
        <w:rPr>
          <w:rFonts w:ascii="宋体" w:hAnsi="宋体" w:cs="宋体"/>
          <w:sz w:val="24"/>
        </w:rPr>
        <w:t>3.1</w:t>
      </w:r>
      <w:r>
        <w:rPr>
          <w:rFonts w:hint="eastAsia" w:ascii="宋体" w:hAnsi="宋体" w:cs="宋体"/>
          <w:sz w:val="24"/>
        </w:rPr>
        <w:t>压缩机包装</w:t>
      </w:r>
    </w:p>
    <w:p w14:paraId="7B6E1932">
      <w:pPr>
        <w:widowControl/>
        <w:numPr>
          <w:ilvl w:val="1"/>
          <w:numId w:val="58"/>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压缩机本体采用单缸整体包装运输。机组的接口法兰需配置橡胶板或胶合板保护。</w:t>
      </w:r>
    </w:p>
    <w:p w14:paraId="64733166">
      <w:pPr>
        <w:widowControl/>
        <w:numPr>
          <w:ilvl w:val="1"/>
          <w:numId w:val="58"/>
        </w:numPr>
        <w:autoSpaceDE w:val="0"/>
        <w:autoSpaceDN w:val="0"/>
        <w:snapToGrid w:val="0"/>
        <w:spacing w:line="360" w:lineRule="auto"/>
        <w:ind w:left="420"/>
        <w:textAlignment w:val="bottom"/>
        <w:rPr>
          <w:rFonts w:ascii="宋体" w:hAnsi="宋体" w:cs="宋体"/>
          <w:sz w:val="24"/>
        </w:rPr>
      </w:pPr>
      <w:r>
        <w:rPr>
          <w:rFonts w:hint="eastAsia" w:ascii="宋体" w:hAnsi="宋体" w:cs="宋体"/>
          <w:sz w:val="24"/>
        </w:rPr>
        <w:t>压缩机机组底座单独包装。</w:t>
      </w:r>
    </w:p>
    <w:p w14:paraId="186D59B0">
      <w:pPr>
        <w:widowControl/>
        <w:numPr>
          <w:ilvl w:val="0"/>
          <w:numId w:val="59"/>
        </w:numPr>
        <w:autoSpaceDE w:val="0"/>
        <w:autoSpaceDN w:val="0"/>
        <w:snapToGrid w:val="0"/>
        <w:spacing w:line="360" w:lineRule="auto"/>
        <w:ind w:left="420" w:firstLine="0"/>
        <w:textAlignment w:val="bottom"/>
        <w:rPr>
          <w:rFonts w:ascii="宋体" w:hAnsi="宋体" w:cs="宋体"/>
          <w:sz w:val="24"/>
        </w:rPr>
      </w:pPr>
      <w:r>
        <w:rPr>
          <w:rFonts w:hint="eastAsia" w:ascii="宋体" w:hAnsi="宋体" w:cs="宋体"/>
          <w:sz w:val="24"/>
        </w:rPr>
        <w:t>单个底座底部固定木方支撑，支座及固定架用箱套保护。</w:t>
      </w:r>
    </w:p>
    <w:p w14:paraId="234CD960">
      <w:pPr>
        <w:widowControl/>
        <w:numPr>
          <w:ilvl w:val="0"/>
          <w:numId w:val="59"/>
        </w:numPr>
        <w:autoSpaceDE w:val="0"/>
        <w:autoSpaceDN w:val="0"/>
        <w:snapToGrid w:val="0"/>
        <w:spacing w:line="360" w:lineRule="auto"/>
        <w:ind w:left="420" w:firstLine="0"/>
        <w:textAlignment w:val="bottom"/>
        <w:rPr>
          <w:rFonts w:ascii="宋体" w:hAnsi="宋体" w:cs="宋体"/>
          <w:sz w:val="24"/>
        </w:rPr>
      </w:pPr>
      <w:r>
        <w:rPr>
          <w:rFonts w:hint="eastAsia" w:ascii="宋体" w:hAnsi="宋体" w:cs="宋体"/>
          <w:sz w:val="24"/>
        </w:rPr>
        <w:t>底座的散件单独包装，包括地脚螺栓、调整垫片、顶起螺钉等。</w:t>
      </w:r>
    </w:p>
    <w:p w14:paraId="652E49A2">
      <w:pPr>
        <w:widowControl/>
        <w:numPr>
          <w:ilvl w:val="1"/>
          <w:numId w:val="58"/>
        </w:numPr>
        <w:autoSpaceDE w:val="0"/>
        <w:autoSpaceDN w:val="0"/>
        <w:snapToGrid w:val="0"/>
        <w:spacing w:line="360" w:lineRule="auto"/>
        <w:ind w:left="420"/>
        <w:textAlignment w:val="bottom"/>
        <w:rPr>
          <w:rFonts w:ascii="宋体" w:hAnsi="宋体" w:cs="宋体"/>
          <w:sz w:val="24"/>
        </w:rPr>
      </w:pPr>
      <w:r>
        <w:rPr>
          <w:rFonts w:hint="eastAsia" w:ascii="宋体" w:hAnsi="宋体" w:cs="宋体"/>
          <w:sz w:val="24"/>
        </w:rPr>
        <w:t>润滑油系统包装。</w:t>
      </w:r>
    </w:p>
    <w:p w14:paraId="344E9281">
      <w:pPr>
        <w:widowControl/>
        <w:numPr>
          <w:ilvl w:val="0"/>
          <w:numId w:val="60"/>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油站上的油冷却器与油站主体分开底座的，分别包装，油站与油冷却器的连接管路拆下或放入油站箱内或放入油冷却器箱内包装。</w:t>
      </w:r>
    </w:p>
    <w:p w14:paraId="673D2CAC">
      <w:pPr>
        <w:widowControl/>
        <w:numPr>
          <w:ilvl w:val="0"/>
          <w:numId w:val="60"/>
        </w:numPr>
        <w:autoSpaceDE w:val="0"/>
        <w:autoSpaceDN w:val="0"/>
        <w:snapToGrid w:val="0"/>
        <w:spacing w:line="360" w:lineRule="auto"/>
        <w:ind w:left="420" w:firstLine="0"/>
        <w:textAlignment w:val="bottom"/>
        <w:rPr>
          <w:rFonts w:ascii="宋体" w:hAnsi="宋体" w:cs="宋体"/>
          <w:sz w:val="24"/>
        </w:rPr>
      </w:pPr>
      <w:r>
        <w:rPr>
          <w:rFonts w:hint="eastAsia" w:ascii="宋体" w:hAnsi="宋体" w:cs="宋体"/>
          <w:sz w:val="24"/>
        </w:rPr>
        <w:t>高位油箱单独包装。</w:t>
      </w:r>
    </w:p>
    <w:p w14:paraId="73AFD81C">
      <w:pPr>
        <w:widowControl/>
        <w:numPr>
          <w:ilvl w:val="1"/>
          <w:numId w:val="58"/>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机旁管路单独包装（高位油箱阀组件、视镜也包装在该箱内）。碳钢管路和不锈钢管路要分开包装，以避免造成污染锈蚀。</w:t>
      </w:r>
    </w:p>
    <w:p w14:paraId="2441D8BD">
      <w:pPr>
        <w:widowControl/>
        <w:numPr>
          <w:ilvl w:val="1"/>
          <w:numId w:val="58"/>
        </w:numPr>
        <w:autoSpaceDE w:val="0"/>
        <w:autoSpaceDN w:val="0"/>
        <w:snapToGrid w:val="0"/>
        <w:spacing w:line="360" w:lineRule="auto"/>
        <w:ind w:left="420"/>
        <w:textAlignment w:val="bottom"/>
        <w:rPr>
          <w:rFonts w:ascii="宋体" w:hAnsi="宋体" w:cs="宋体"/>
          <w:sz w:val="24"/>
        </w:rPr>
      </w:pPr>
      <w:r>
        <w:rPr>
          <w:rFonts w:hint="eastAsia" w:ascii="宋体" w:hAnsi="宋体" w:cs="宋体"/>
          <w:sz w:val="24"/>
        </w:rPr>
        <w:t>专用工具单独包装。</w:t>
      </w:r>
    </w:p>
    <w:p w14:paraId="7BA9A12C">
      <w:pPr>
        <w:widowControl/>
        <w:numPr>
          <w:ilvl w:val="1"/>
          <w:numId w:val="58"/>
        </w:numPr>
        <w:autoSpaceDE w:val="0"/>
        <w:autoSpaceDN w:val="0"/>
        <w:snapToGrid w:val="0"/>
        <w:spacing w:line="360" w:lineRule="auto"/>
        <w:ind w:left="420"/>
        <w:textAlignment w:val="bottom"/>
        <w:rPr>
          <w:rFonts w:ascii="宋体" w:hAnsi="宋体" w:cs="宋体"/>
          <w:sz w:val="24"/>
        </w:rPr>
      </w:pPr>
      <w:r>
        <w:rPr>
          <w:rFonts w:hint="eastAsia" w:ascii="宋体" w:hAnsi="宋体" w:cs="宋体"/>
          <w:sz w:val="24"/>
        </w:rPr>
        <w:t>开车备件和两年备品备件分开单独包装。</w:t>
      </w:r>
    </w:p>
    <w:p w14:paraId="2319DAD2">
      <w:pPr>
        <w:widowControl/>
        <w:numPr>
          <w:ilvl w:val="1"/>
          <w:numId w:val="58"/>
        </w:numPr>
        <w:autoSpaceDE w:val="0"/>
        <w:autoSpaceDN w:val="0"/>
        <w:snapToGrid w:val="0"/>
        <w:spacing w:line="360" w:lineRule="auto"/>
        <w:ind w:left="420"/>
        <w:textAlignment w:val="bottom"/>
        <w:rPr>
          <w:rFonts w:ascii="宋体" w:hAnsi="宋体" w:cs="宋体"/>
          <w:sz w:val="24"/>
        </w:rPr>
      </w:pPr>
      <w:r>
        <w:rPr>
          <w:rFonts w:hint="eastAsia" w:ascii="宋体" w:hAnsi="宋体" w:cs="宋体"/>
          <w:sz w:val="24"/>
        </w:rPr>
        <w:t>控制系统、仪表件分若干箱包装。</w:t>
      </w:r>
    </w:p>
    <w:p w14:paraId="192001E8">
      <w:pPr>
        <w:widowControl/>
        <w:autoSpaceDE w:val="0"/>
        <w:autoSpaceDN w:val="0"/>
        <w:snapToGrid w:val="0"/>
        <w:spacing w:line="360" w:lineRule="auto"/>
        <w:ind w:firstLine="1200" w:firstLineChars="500"/>
        <w:textAlignment w:val="bottom"/>
        <w:rPr>
          <w:rFonts w:ascii="宋体" w:hAnsi="宋体" w:cs="宋体"/>
          <w:sz w:val="24"/>
        </w:rPr>
      </w:pPr>
      <w:r>
        <w:rPr>
          <w:rFonts w:hint="eastAsia" w:ascii="宋体" w:hAnsi="宋体" w:cs="宋体"/>
          <w:sz w:val="24"/>
        </w:rPr>
        <w:t>提供详细的包装箱（件）汇总表及装箱单。</w:t>
      </w:r>
    </w:p>
    <w:p w14:paraId="7451492A">
      <w:pPr>
        <w:widowControl/>
        <w:numPr>
          <w:ilvl w:val="1"/>
          <w:numId w:val="58"/>
        </w:numPr>
        <w:autoSpaceDE w:val="0"/>
        <w:autoSpaceDN w:val="0"/>
        <w:snapToGrid w:val="0"/>
        <w:spacing w:line="360" w:lineRule="auto"/>
        <w:ind w:left="420"/>
        <w:textAlignment w:val="bottom"/>
        <w:rPr>
          <w:rFonts w:ascii="宋体" w:hAnsi="宋体" w:cs="宋体"/>
          <w:sz w:val="24"/>
        </w:rPr>
      </w:pPr>
      <w:r>
        <w:rPr>
          <w:rFonts w:hint="eastAsia" w:ascii="宋体" w:hAnsi="宋体" w:cs="宋体"/>
          <w:sz w:val="24"/>
        </w:rPr>
        <w:t>工程管路（气管路）包装</w:t>
      </w:r>
    </w:p>
    <w:p w14:paraId="2392C2FA">
      <w:pPr>
        <w:widowControl/>
        <w:numPr>
          <w:ilvl w:val="0"/>
          <w:numId w:val="61"/>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工程管路直管部分可用包装托架简包，但碳钢管和不锈钢管要分开包装，以避免造成污染锈蚀。</w:t>
      </w:r>
    </w:p>
    <w:p w14:paraId="6F31AD91">
      <w:pPr>
        <w:widowControl/>
        <w:numPr>
          <w:ilvl w:val="0"/>
          <w:numId w:val="61"/>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工程管路材料表里的所有件全部按材质分类包装，不锈钢与碳钢分箱包装。自制件与外购件分箱包装。</w:t>
      </w:r>
    </w:p>
    <w:p w14:paraId="56AB0A88">
      <w:pPr>
        <w:widowControl/>
        <w:numPr>
          <w:ilvl w:val="0"/>
          <w:numId w:val="61"/>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工程管路里的管子外径≥Φ800裸包，＜Φ800时放在管路包装托架上。如果管子数量很少（外径很小），就裸包（在装箱单上注明“捆扎在一起包装”）。90°（L）弯头≥DN450，45°弯头≥DN800，90°（S）弯头≥DN600，等径三通≥DN700，异径接头≥DN800，异径三通≥DN700的裸包。小于以上规格的采用箱装。</w:t>
      </w:r>
    </w:p>
    <w:p w14:paraId="25C1920F">
      <w:pPr>
        <w:widowControl/>
        <w:numPr>
          <w:ilvl w:val="0"/>
          <w:numId w:val="61"/>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气体冷却器、分离器、管道过滤器等采用简包方式，地脚螺栓、垫片等附件单独包装。</w:t>
      </w:r>
    </w:p>
    <w:p w14:paraId="09E6BCC8">
      <w:pPr>
        <w:widowControl/>
        <w:numPr>
          <w:ilvl w:val="1"/>
          <w:numId w:val="58"/>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产品应清洁并按要求涂刷防锈油，对密闭的箱装的，要放置气相缓蚀剂，对易碎件要有防震缓冲包装。</w:t>
      </w:r>
    </w:p>
    <w:p w14:paraId="496BA895">
      <w:pPr>
        <w:widowControl/>
        <w:numPr>
          <w:ilvl w:val="1"/>
          <w:numId w:val="58"/>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包装箱材料要满足多次倒运及长途运输要求，包装箱内框架牢固，包装箱整体不得倾斜变形。</w:t>
      </w:r>
    </w:p>
    <w:p w14:paraId="6EECD8E9">
      <w:pPr>
        <w:widowControl/>
        <w:numPr>
          <w:ilvl w:val="1"/>
          <w:numId w:val="58"/>
        </w:numPr>
        <w:autoSpaceDE w:val="0"/>
        <w:autoSpaceDN w:val="0"/>
        <w:snapToGrid w:val="0"/>
        <w:spacing w:line="360" w:lineRule="auto"/>
        <w:ind w:left="0" w:firstLine="420" w:firstLineChars="175"/>
        <w:textAlignment w:val="bottom"/>
        <w:rPr>
          <w:rFonts w:ascii="宋体" w:hAnsi="宋体" w:cs="宋体"/>
          <w:sz w:val="24"/>
        </w:rPr>
      </w:pPr>
      <w:r>
        <w:rPr>
          <w:rFonts w:hint="eastAsia" w:ascii="宋体" w:hAnsi="宋体" w:cs="宋体"/>
          <w:sz w:val="24"/>
        </w:rPr>
        <w:t>包装箱外的储运标志要齐全，如“向上”、“怕湿”、“小心轻放”、“室内保管”、 “重心点”、“起吊位置”等。收发货主唛头要用塑料罩密闭热封钉在箱外。随机资料要齐全，并用铝箔热封密闭后放入随机资料包装箱内。箱、内外箱单各一份，塑料罩密闭热封后钉在箱、内外。</w:t>
      </w:r>
    </w:p>
    <w:p w14:paraId="23B80FC9">
      <w:pPr>
        <w:widowControl/>
        <w:numPr>
          <w:ilvl w:val="2"/>
          <w:numId w:val="62"/>
        </w:numPr>
        <w:autoSpaceDE w:val="0"/>
        <w:autoSpaceDN w:val="0"/>
        <w:snapToGrid w:val="0"/>
        <w:spacing w:line="360" w:lineRule="auto"/>
        <w:textAlignment w:val="bottom"/>
        <w:rPr>
          <w:rFonts w:ascii="宋体" w:hAnsi="宋体" w:cs="宋体"/>
          <w:sz w:val="24"/>
        </w:rPr>
      </w:pPr>
      <w:r>
        <w:rPr>
          <w:rFonts w:hint="eastAsia" w:ascii="宋体" w:hAnsi="宋体" w:cs="宋体"/>
          <w:sz w:val="24"/>
        </w:rPr>
        <w:t>压缩机机组运输与验收</w:t>
      </w:r>
    </w:p>
    <w:p w14:paraId="663A56AC">
      <w:pPr>
        <w:widowControl/>
        <w:numPr>
          <w:ilvl w:val="1"/>
          <w:numId w:val="63"/>
        </w:numPr>
        <w:autoSpaceDE w:val="0"/>
        <w:autoSpaceDN w:val="0"/>
        <w:snapToGrid w:val="0"/>
        <w:spacing w:line="360" w:lineRule="auto"/>
        <w:ind w:left="420"/>
        <w:textAlignment w:val="bottom"/>
        <w:rPr>
          <w:rFonts w:ascii="宋体" w:hAnsi="宋体" w:cs="宋体"/>
          <w:sz w:val="24"/>
        </w:rPr>
      </w:pPr>
      <w:r>
        <w:rPr>
          <w:rFonts w:hint="eastAsia" w:ascii="宋体" w:hAnsi="宋体" w:cs="宋体"/>
          <w:sz w:val="24"/>
        </w:rPr>
        <w:t>压缩机机组采用汽车等运输工具运输到招标人现场</w:t>
      </w:r>
    </w:p>
    <w:p w14:paraId="326B646A">
      <w:pPr>
        <w:widowControl/>
        <w:numPr>
          <w:ilvl w:val="0"/>
          <w:numId w:val="64"/>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中标人提供产品包装、运输和储存保护的文件，应有详细的包装清单。</w:t>
      </w:r>
    </w:p>
    <w:p w14:paraId="161149D4">
      <w:pPr>
        <w:widowControl/>
        <w:numPr>
          <w:ilvl w:val="0"/>
          <w:numId w:val="64"/>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机组到达招标人现场后，由招标人负责卸货，在卸货时应由中标人的检验人员在场监督并指导卸车，要按照中标人的装载文件规定进行。</w:t>
      </w:r>
    </w:p>
    <w:p w14:paraId="3E29B922">
      <w:pPr>
        <w:widowControl/>
        <w:numPr>
          <w:ilvl w:val="1"/>
          <w:numId w:val="63"/>
        </w:numPr>
        <w:autoSpaceDE w:val="0"/>
        <w:autoSpaceDN w:val="0"/>
        <w:snapToGrid w:val="0"/>
        <w:spacing w:line="360" w:lineRule="auto"/>
        <w:ind w:left="420"/>
        <w:textAlignment w:val="bottom"/>
        <w:rPr>
          <w:rFonts w:ascii="宋体" w:hAnsi="宋体" w:cs="宋体"/>
          <w:sz w:val="24"/>
        </w:rPr>
      </w:pPr>
      <w:r>
        <w:rPr>
          <w:rFonts w:hint="eastAsia" w:ascii="宋体" w:hAnsi="宋体" w:cs="宋体"/>
          <w:sz w:val="24"/>
        </w:rPr>
        <w:t>压缩机机组到达招标人现场后的验收</w:t>
      </w:r>
    </w:p>
    <w:p w14:paraId="3FD1086B">
      <w:pPr>
        <w:widowControl/>
        <w:numPr>
          <w:ilvl w:val="0"/>
          <w:numId w:val="65"/>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招投标双方在招标人现场共同完成验收工作。</w:t>
      </w:r>
    </w:p>
    <w:p w14:paraId="3AB4C972">
      <w:pPr>
        <w:widowControl/>
        <w:numPr>
          <w:ilvl w:val="0"/>
          <w:numId w:val="65"/>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招标人提供吊车及其它工具或现场必需的帮助。</w:t>
      </w:r>
    </w:p>
    <w:p w14:paraId="59254783">
      <w:pPr>
        <w:widowControl/>
        <w:numPr>
          <w:ilvl w:val="0"/>
          <w:numId w:val="65"/>
        </w:numPr>
        <w:autoSpaceDE w:val="0"/>
        <w:autoSpaceDN w:val="0"/>
        <w:snapToGrid w:val="0"/>
        <w:spacing w:line="360" w:lineRule="auto"/>
        <w:ind w:firstLine="0"/>
        <w:textAlignment w:val="bottom"/>
        <w:rPr>
          <w:rFonts w:ascii="宋体" w:hAnsi="宋体" w:cs="宋体"/>
          <w:sz w:val="24"/>
        </w:rPr>
      </w:pPr>
      <w:r>
        <w:rPr>
          <w:rFonts w:hint="eastAsia" w:ascii="宋体" w:hAnsi="宋体" w:cs="宋体"/>
          <w:sz w:val="24"/>
        </w:rPr>
        <w:t>招投标双方在招标人现场共同完成验收工作后即完成产品交货。</w:t>
      </w:r>
    </w:p>
    <w:p w14:paraId="6355C3E3">
      <w:pPr>
        <w:widowControl/>
        <w:autoSpaceDE w:val="0"/>
        <w:autoSpaceDN w:val="0"/>
        <w:snapToGrid w:val="0"/>
        <w:spacing w:line="360" w:lineRule="auto"/>
        <w:ind w:left="420"/>
        <w:textAlignment w:val="bottom"/>
        <w:rPr>
          <w:rFonts w:ascii="宋体" w:hAnsi="宋体" w:cs="宋体"/>
          <w:sz w:val="24"/>
        </w:rPr>
      </w:pPr>
    </w:p>
    <w:p w14:paraId="07C90D85">
      <w:pPr>
        <w:adjustRightInd w:val="0"/>
        <w:snapToGrid w:val="0"/>
        <w:spacing w:line="360" w:lineRule="auto"/>
        <w:outlineLvl w:val="0"/>
        <w:rPr>
          <w:rFonts w:asciiTheme="majorEastAsia" w:hAnsiTheme="majorEastAsia" w:eastAsiaTheme="majorEastAsia"/>
          <w:bCs/>
          <w:sz w:val="28"/>
          <w:szCs w:val="28"/>
        </w:rPr>
      </w:pPr>
      <w:bookmarkStart w:id="169" w:name="_Toc195433169"/>
      <w:r>
        <w:rPr>
          <w:rFonts w:asciiTheme="majorEastAsia" w:hAnsiTheme="majorEastAsia" w:eastAsiaTheme="majorEastAsia"/>
          <w:bCs/>
          <w:sz w:val="28"/>
          <w:szCs w:val="28"/>
        </w:rPr>
        <w:t>14.产品涂漆</w:t>
      </w:r>
      <w:bookmarkEnd w:id="169"/>
    </w:p>
    <w:p w14:paraId="1B4A9DD8">
      <w:pPr>
        <w:numPr>
          <w:ilvl w:val="2"/>
          <w:numId w:val="66"/>
        </w:numPr>
        <w:spacing w:line="360" w:lineRule="auto"/>
        <w:rPr>
          <w:rFonts w:ascii="宋体" w:hAnsi="宋体" w:cs="宋体"/>
          <w:sz w:val="24"/>
        </w:rPr>
      </w:pPr>
      <w:r>
        <w:rPr>
          <w:rFonts w:hint="eastAsia" w:ascii="宋体" w:hAnsi="宋体" w:cs="宋体"/>
          <w:sz w:val="24"/>
        </w:rPr>
        <w:t>产品涂漆按《23138-PEM0103-MC-08 涂漆与防腐设计统一规定-1版》</w:t>
      </w:r>
    </w:p>
    <w:p w14:paraId="52E49BA6">
      <w:pPr>
        <w:numPr>
          <w:ilvl w:val="2"/>
          <w:numId w:val="66"/>
        </w:numPr>
        <w:spacing w:line="360" w:lineRule="auto"/>
        <w:rPr>
          <w:rFonts w:ascii="宋体" w:hAnsi="宋体" w:cs="宋体"/>
          <w:sz w:val="24"/>
        </w:rPr>
      </w:pPr>
      <w:r>
        <w:rPr>
          <w:rFonts w:hint="eastAsia" w:ascii="宋体" w:hAnsi="宋体" w:cs="宋体"/>
          <w:sz w:val="24"/>
        </w:rPr>
        <w:t>技术要求：</w:t>
      </w:r>
    </w:p>
    <w:p w14:paraId="08E297FD">
      <w:pPr>
        <w:numPr>
          <w:ilvl w:val="0"/>
          <w:numId w:val="67"/>
        </w:numPr>
        <w:spacing w:line="360" w:lineRule="auto"/>
        <w:ind w:left="0" w:firstLine="420" w:firstLineChars="175"/>
        <w:rPr>
          <w:rFonts w:ascii="宋体" w:hAnsi="宋体" w:cs="宋体"/>
          <w:sz w:val="24"/>
        </w:rPr>
      </w:pPr>
      <w:r>
        <w:rPr>
          <w:rFonts w:hint="eastAsia" w:ascii="宋体" w:hAnsi="宋体" w:cs="宋体"/>
          <w:sz w:val="24"/>
        </w:rPr>
        <w:t>外观油漆应涂的牢固、光亮、平整、色泽均匀，不得有粗糙不平，更不得有漏漆、错色或颜色不符等现象。</w:t>
      </w:r>
    </w:p>
    <w:p w14:paraId="2C7258D4">
      <w:pPr>
        <w:numPr>
          <w:ilvl w:val="0"/>
          <w:numId w:val="67"/>
        </w:numPr>
        <w:spacing w:line="360" w:lineRule="auto"/>
        <w:ind w:firstLine="0"/>
        <w:rPr>
          <w:rFonts w:ascii="宋体" w:hAnsi="宋体" w:cs="宋体"/>
          <w:sz w:val="24"/>
        </w:rPr>
      </w:pPr>
      <w:r>
        <w:rPr>
          <w:rFonts w:hint="eastAsia" w:ascii="宋体" w:hAnsi="宋体" w:cs="宋体"/>
          <w:sz w:val="24"/>
        </w:rPr>
        <w:t>面漆不允许有流挂、起泡、发白、失光及明显的伤痕等现象。</w:t>
      </w:r>
    </w:p>
    <w:p w14:paraId="4A0CD0D1">
      <w:pPr>
        <w:numPr>
          <w:ilvl w:val="0"/>
          <w:numId w:val="67"/>
        </w:numPr>
        <w:spacing w:line="360" w:lineRule="auto"/>
        <w:ind w:firstLine="0"/>
        <w:rPr>
          <w:rFonts w:ascii="宋体" w:hAnsi="宋体" w:cs="宋体"/>
          <w:sz w:val="24"/>
        </w:rPr>
      </w:pPr>
      <w:r>
        <w:rPr>
          <w:rFonts w:hint="eastAsia" w:ascii="宋体" w:hAnsi="宋体" w:cs="宋体"/>
          <w:sz w:val="24"/>
        </w:rPr>
        <w:t>底漆必须涂刷均匀，无流挂和明显的桔皮现象。</w:t>
      </w:r>
    </w:p>
    <w:p w14:paraId="200A6BE3">
      <w:pPr>
        <w:numPr>
          <w:ilvl w:val="0"/>
          <w:numId w:val="67"/>
        </w:numPr>
        <w:spacing w:line="360" w:lineRule="auto"/>
        <w:ind w:firstLine="0"/>
        <w:rPr>
          <w:rFonts w:ascii="宋体" w:hAnsi="宋体" w:cs="宋体"/>
          <w:sz w:val="24"/>
        </w:rPr>
      </w:pPr>
      <w:r>
        <w:rPr>
          <w:rFonts w:hint="eastAsia" w:ascii="宋体" w:hAnsi="宋体" w:cs="宋体"/>
          <w:sz w:val="24"/>
        </w:rPr>
        <w:t>装配结合面的漆层必须平整，缝线明显，不得有崩脱，界限不分等现象。</w:t>
      </w:r>
    </w:p>
    <w:p w14:paraId="1A545D81">
      <w:pPr>
        <w:numPr>
          <w:ilvl w:val="0"/>
          <w:numId w:val="67"/>
        </w:numPr>
        <w:spacing w:line="360" w:lineRule="auto"/>
        <w:ind w:firstLine="0"/>
        <w:rPr>
          <w:rFonts w:ascii="宋体" w:hAnsi="宋体" w:cs="宋体"/>
          <w:sz w:val="24"/>
        </w:rPr>
      </w:pPr>
      <w:r>
        <w:rPr>
          <w:rFonts w:hint="eastAsia" w:ascii="宋体" w:hAnsi="宋体" w:cs="宋体"/>
          <w:sz w:val="24"/>
        </w:rPr>
        <w:t>最后一层面漆应在试车合格后进行。</w:t>
      </w:r>
    </w:p>
    <w:p w14:paraId="3CE25E70">
      <w:pPr>
        <w:numPr>
          <w:ilvl w:val="0"/>
          <w:numId w:val="67"/>
        </w:numPr>
        <w:spacing w:line="360" w:lineRule="auto"/>
        <w:ind w:firstLine="0"/>
        <w:rPr>
          <w:rFonts w:ascii="宋体" w:hAnsi="宋体" w:cs="宋体"/>
          <w:sz w:val="24"/>
        </w:rPr>
      </w:pPr>
      <w:r>
        <w:rPr>
          <w:rFonts w:hint="eastAsia" w:ascii="宋体" w:hAnsi="宋体" w:cs="宋体"/>
          <w:sz w:val="24"/>
        </w:rPr>
        <w:t>装配后不易或不能涂漆的表面，应在装配前涂漆。</w:t>
      </w:r>
    </w:p>
    <w:p w14:paraId="607A2B51">
      <w:pPr>
        <w:numPr>
          <w:ilvl w:val="0"/>
          <w:numId w:val="67"/>
        </w:numPr>
        <w:spacing w:line="360" w:lineRule="auto"/>
        <w:ind w:left="0" w:firstLine="420" w:firstLineChars="175"/>
        <w:rPr>
          <w:rFonts w:ascii="宋体" w:hAnsi="宋体" w:cs="宋体"/>
          <w:sz w:val="24"/>
        </w:rPr>
      </w:pPr>
      <w:r>
        <w:rPr>
          <w:rFonts w:hint="eastAsia" w:ascii="宋体" w:hAnsi="宋体" w:cs="宋体"/>
          <w:sz w:val="24"/>
        </w:rPr>
        <w:t>对容器表面凹凸不平及划痕，应采用磨削方法去除并使之圆滑过渡，不允许打腻子。</w:t>
      </w:r>
    </w:p>
    <w:p w14:paraId="3AF805AB">
      <w:pPr>
        <w:numPr>
          <w:ilvl w:val="0"/>
          <w:numId w:val="67"/>
        </w:numPr>
        <w:spacing w:line="360" w:lineRule="auto"/>
        <w:ind w:firstLine="0"/>
        <w:rPr>
          <w:rFonts w:ascii="宋体" w:hAnsi="宋体" w:cs="宋体"/>
          <w:sz w:val="24"/>
        </w:rPr>
      </w:pPr>
      <w:r>
        <w:rPr>
          <w:rFonts w:hint="eastAsia" w:ascii="宋体" w:hAnsi="宋体" w:cs="宋体"/>
          <w:sz w:val="24"/>
        </w:rPr>
        <w:t>容器的涂敷应按JB/T 4711《压力容器涂敷与运输包装》进行。</w:t>
      </w:r>
    </w:p>
    <w:p w14:paraId="260BB006">
      <w:pPr>
        <w:numPr>
          <w:ilvl w:val="2"/>
          <w:numId w:val="66"/>
        </w:numPr>
        <w:spacing w:line="360" w:lineRule="auto"/>
        <w:rPr>
          <w:rFonts w:ascii="宋体" w:hAnsi="宋体" w:cs="宋体"/>
          <w:sz w:val="24"/>
        </w:rPr>
      </w:pPr>
      <w:r>
        <w:rPr>
          <w:rFonts w:hint="eastAsia" w:ascii="宋体" w:hAnsi="宋体" w:cs="宋体"/>
          <w:sz w:val="24"/>
        </w:rPr>
        <w:t>底漆喷涂：</w:t>
      </w:r>
    </w:p>
    <w:p w14:paraId="63D222C1">
      <w:pPr>
        <w:numPr>
          <w:ilvl w:val="0"/>
          <w:numId w:val="68"/>
        </w:numPr>
        <w:spacing w:line="360" w:lineRule="auto"/>
        <w:ind w:firstLine="0"/>
        <w:rPr>
          <w:rFonts w:ascii="宋体" w:hAnsi="宋体" w:cs="宋体"/>
          <w:sz w:val="24"/>
        </w:rPr>
      </w:pPr>
      <w:r>
        <w:rPr>
          <w:rFonts w:hint="eastAsia" w:ascii="宋体" w:hAnsi="宋体" w:cs="宋体"/>
          <w:sz w:val="24"/>
        </w:rPr>
        <w:t>产品部分零部件的内外不加工表面涂装环保型水溶性丙稀酸漆。</w:t>
      </w:r>
    </w:p>
    <w:p w14:paraId="272506B9">
      <w:pPr>
        <w:numPr>
          <w:ilvl w:val="0"/>
          <w:numId w:val="68"/>
        </w:numPr>
        <w:spacing w:line="360" w:lineRule="auto"/>
        <w:ind w:firstLine="0"/>
        <w:rPr>
          <w:rFonts w:ascii="宋体" w:hAnsi="宋体" w:cs="宋体"/>
          <w:sz w:val="24"/>
        </w:rPr>
      </w:pPr>
      <w:r>
        <w:rPr>
          <w:rFonts w:hint="eastAsia" w:ascii="宋体" w:hAnsi="宋体" w:cs="宋体"/>
          <w:sz w:val="24"/>
        </w:rPr>
        <w:t>底漆涂4~5层，总厚度为外表面涂漆130~140μm，内表面涂30~50μm。</w:t>
      </w:r>
    </w:p>
    <w:p w14:paraId="00DD4729">
      <w:pPr>
        <w:numPr>
          <w:ilvl w:val="0"/>
          <w:numId w:val="68"/>
        </w:numPr>
        <w:spacing w:line="360" w:lineRule="auto"/>
        <w:ind w:firstLine="0"/>
        <w:rPr>
          <w:rFonts w:ascii="宋体" w:hAnsi="宋体" w:cs="宋体"/>
          <w:sz w:val="24"/>
        </w:rPr>
      </w:pPr>
      <w:r>
        <w:rPr>
          <w:rFonts w:hint="eastAsia" w:ascii="宋体" w:hAnsi="宋体" w:cs="宋体"/>
          <w:sz w:val="24"/>
        </w:rPr>
        <w:t>叶盘扩压器非加工表面涂底漆10~20μm。</w:t>
      </w:r>
    </w:p>
    <w:p w14:paraId="7EB88793">
      <w:pPr>
        <w:numPr>
          <w:ilvl w:val="2"/>
          <w:numId w:val="66"/>
        </w:numPr>
        <w:spacing w:line="360" w:lineRule="auto"/>
        <w:rPr>
          <w:rFonts w:ascii="宋体" w:hAnsi="宋体" w:cs="宋体"/>
          <w:sz w:val="24"/>
        </w:rPr>
      </w:pPr>
      <w:r>
        <w:rPr>
          <w:rFonts w:hint="eastAsia" w:ascii="宋体" w:hAnsi="宋体" w:cs="宋体"/>
          <w:sz w:val="24"/>
        </w:rPr>
        <w:t>面涂喷涂：</w:t>
      </w:r>
    </w:p>
    <w:p w14:paraId="48A3B2AF">
      <w:pPr>
        <w:numPr>
          <w:ilvl w:val="0"/>
          <w:numId w:val="69"/>
        </w:numPr>
        <w:spacing w:line="360" w:lineRule="auto"/>
        <w:ind w:firstLine="0"/>
        <w:rPr>
          <w:rFonts w:ascii="宋体" w:hAnsi="宋体" w:cs="宋体"/>
          <w:sz w:val="24"/>
        </w:rPr>
      </w:pPr>
      <w:r>
        <w:rPr>
          <w:rFonts w:hint="eastAsia" w:ascii="宋体" w:hAnsi="宋体" w:cs="宋体"/>
          <w:sz w:val="24"/>
        </w:rPr>
        <w:t>面漆均应涂装环保型水溶性丙稀酸锤纹漆。</w:t>
      </w:r>
    </w:p>
    <w:p w14:paraId="711CEDA1">
      <w:pPr>
        <w:numPr>
          <w:ilvl w:val="0"/>
          <w:numId w:val="69"/>
        </w:numPr>
        <w:spacing w:line="360" w:lineRule="auto"/>
        <w:ind w:firstLine="0"/>
        <w:rPr>
          <w:rFonts w:ascii="宋体" w:hAnsi="宋体" w:cs="宋体"/>
          <w:sz w:val="24"/>
        </w:rPr>
      </w:pPr>
      <w:r>
        <w:rPr>
          <w:rFonts w:hint="eastAsia" w:ascii="宋体" w:hAnsi="宋体" w:cs="宋体"/>
          <w:sz w:val="24"/>
        </w:rPr>
        <w:t>面漆颜色：依据招标人厂标。</w:t>
      </w:r>
    </w:p>
    <w:p w14:paraId="3900BE22">
      <w:pPr>
        <w:numPr>
          <w:ilvl w:val="0"/>
          <w:numId w:val="69"/>
        </w:numPr>
        <w:spacing w:line="360" w:lineRule="auto"/>
        <w:ind w:firstLine="0"/>
        <w:rPr>
          <w:rFonts w:ascii="宋体" w:hAnsi="宋体" w:cs="宋体"/>
          <w:sz w:val="24"/>
        </w:rPr>
      </w:pPr>
      <w:r>
        <w:rPr>
          <w:rFonts w:hint="eastAsia" w:ascii="宋体" w:hAnsi="宋体" w:cs="宋体"/>
          <w:sz w:val="24"/>
        </w:rPr>
        <w:t>面漆喷涂厚度：70~80μm。</w:t>
      </w:r>
    </w:p>
    <w:p w14:paraId="7C340287">
      <w:pPr>
        <w:numPr>
          <w:ilvl w:val="0"/>
          <w:numId w:val="69"/>
        </w:numPr>
        <w:spacing w:line="360" w:lineRule="auto"/>
        <w:ind w:firstLine="0"/>
        <w:rPr>
          <w:rFonts w:ascii="宋体" w:hAnsi="宋体" w:cs="宋体"/>
          <w:sz w:val="24"/>
        </w:rPr>
      </w:pPr>
      <w:r>
        <w:rPr>
          <w:rFonts w:hint="eastAsia" w:ascii="宋体" w:hAnsi="宋体" w:cs="宋体"/>
          <w:sz w:val="24"/>
        </w:rPr>
        <w:t>面漆喷涂2~3层。</w:t>
      </w:r>
    </w:p>
    <w:p w14:paraId="3A1DC1EA">
      <w:pPr>
        <w:numPr>
          <w:ilvl w:val="2"/>
          <w:numId w:val="66"/>
        </w:numPr>
        <w:spacing w:line="360" w:lineRule="auto"/>
        <w:rPr>
          <w:rFonts w:ascii="宋体" w:hAnsi="宋体" w:cs="宋体"/>
          <w:sz w:val="24"/>
        </w:rPr>
      </w:pPr>
      <w:r>
        <w:rPr>
          <w:rFonts w:hint="eastAsia" w:ascii="宋体" w:hAnsi="宋体" w:cs="宋体"/>
          <w:sz w:val="24"/>
        </w:rPr>
        <w:t>不需涂漆的部件</w:t>
      </w:r>
    </w:p>
    <w:p w14:paraId="08355430">
      <w:pPr>
        <w:spacing w:line="360" w:lineRule="auto"/>
        <w:ind w:firstLine="480" w:firstLineChars="200"/>
        <w:rPr>
          <w:rFonts w:ascii="宋体" w:hAnsi="宋体" w:cs="宋体"/>
          <w:sz w:val="24"/>
        </w:rPr>
      </w:pPr>
      <w:r>
        <w:rPr>
          <w:rFonts w:hint="eastAsia" w:ascii="宋体" w:hAnsi="宋体" w:cs="宋体"/>
          <w:sz w:val="24"/>
        </w:rPr>
        <w:t>除非有特殊要求需在图纸中注明外，下述材料及部件表面不需涂漆，技术要求按照厂规执行。</w:t>
      </w:r>
    </w:p>
    <w:p w14:paraId="4024A562">
      <w:pPr>
        <w:numPr>
          <w:ilvl w:val="0"/>
          <w:numId w:val="70"/>
        </w:numPr>
        <w:spacing w:line="360" w:lineRule="auto"/>
        <w:ind w:firstLine="0"/>
        <w:rPr>
          <w:rFonts w:ascii="宋体" w:hAnsi="宋体" w:cs="宋体"/>
          <w:sz w:val="24"/>
        </w:rPr>
      </w:pPr>
      <w:r>
        <w:rPr>
          <w:rFonts w:hint="eastAsia" w:ascii="宋体" w:hAnsi="宋体" w:cs="宋体"/>
          <w:sz w:val="24"/>
        </w:rPr>
        <w:t>铜、铝等有色金属件。</w:t>
      </w:r>
    </w:p>
    <w:p w14:paraId="1B9EB0D1">
      <w:pPr>
        <w:numPr>
          <w:ilvl w:val="0"/>
          <w:numId w:val="70"/>
        </w:numPr>
        <w:spacing w:line="360" w:lineRule="auto"/>
        <w:ind w:firstLine="0"/>
        <w:rPr>
          <w:rFonts w:ascii="宋体" w:hAnsi="宋体" w:cs="宋体"/>
          <w:sz w:val="24"/>
        </w:rPr>
      </w:pPr>
      <w:r>
        <w:rPr>
          <w:rFonts w:hint="eastAsia" w:ascii="宋体" w:hAnsi="宋体" w:cs="宋体"/>
          <w:sz w:val="24"/>
        </w:rPr>
        <w:t>玻璃钢、橡胶、合成树脂、石墨、石棉等非金属件。</w:t>
      </w:r>
    </w:p>
    <w:p w14:paraId="06064DEA">
      <w:pPr>
        <w:numPr>
          <w:ilvl w:val="0"/>
          <w:numId w:val="70"/>
        </w:numPr>
        <w:spacing w:line="360" w:lineRule="auto"/>
        <w:ind w:firstLine="0"/>
        <w:rPr>
          <w:rFonts w:ascii="宋体" w:hAnsi="宋体" w:cs="宋体"/>
          <w:sz w:val="24"/>
        </w:rPr>
      </w:pPr>
      <w:r>
        <w:rPr>
          <w:rFonts w:hint="eastAsia" w:ascii="宋体" w:hAnsi="宋体" w:cs="宋体"/>
          <w:sz w:val="24"/>
        </w:rPr>
        <w:t>巴氏合金面、电镀面、刷镀面、镀件等。</w:t>
      </w:r>
    </w:p>
    <w:p w14:paraId="7F0C65BB">
      <w:pPr>
        <w:numPr>
          <w:ilvl w:val="0"/>
          <w:numId w:val="70"/>
        </w:numPr>
        <w:spacing w:line="360" w:lineRule="auto"/>
        <w:ind w:firstLine="0"/>
        <w:rPr>
          <w:rFonts w:ascii="宋体" w:hAnsi="宋体" w:cs="宋体"/>
          <w:sz w:val="24"/>
        </w:rPr>
      </w:pPr>
      <w:r>
        <w:rPr>
          <w:rFonts w:hint="eastAsia" w:ascii="宋体" w:hAnsi="宋体" w:cs="宋体"/>
          <w:sz w:val="24"/>
        </w:rPr>
        <w:t>加工表面、法兰及组装件的中分面。</w:t>
      </w:r>
    </w:p>
    <w:p w14:paraId="313E73A4">
      <w:pPr>
        <w:numPr>
          <w:ilvl w:val="0"/>
          <w:numId w:val="70"/>
        </w:numPr>
        <w:spacing w:line="360" w:lineRule="auto"/>
        <w:ind w:firstLine="0"/>
        <w:rPr>
          <w:rFonts w:ascii="宋体" w:hAnsi="宋体" w:cs="宋体"/>
          <w:sz w:val="24"/>
        </w:rPr>
      </w:pPr>
      <w:r>
        <w:rPr>
          <w:rFonts w:hint="eastAsia" w:ascii="宋体" w:hAnsi="宋体" w:cs="宋体"/>
          <w:sz w:val="24"/>
        </w:rPr>
        <w:t>不锈钢件（机壳除外）。</w:t>
      </w:r>
    </w:p>
    <w:p w14:paraId="2B0D1849">
      <w:pPr>
        <w:numPr>
          <w:ilvl w:val="0"/>
          <w:numId w:val="70"/>
        </w:numPr>
        <w:spacing w:line="360" w:lineRule="auto"/>
        <w:ind w:firstLine="0"/>
        <w:rPr>
          <w:rFonts w:ascii="宋体" w:hAnsi="宋体" w:cs="宋体"/>
          <w:sz w:val="24"/>
        </w:rPr>
      </w:pPr>
      <w:r>
        <w:rPr>
          <w:rFonts w:hint="eastAsia" w:ascii="宋体" w:hAnsi="宋体" w:cs="宋体"/>
          <w:sz w:val="24"/>
        </w:rPr>
        <w:t>仪表、阀门、旋塞、油位计、外购油泵、电动机。</w:t>
      </w:r>
    </w:p>
    <w:p w14:paraId="32C497B7">
      <w:pPr>
        <w:numPr>
          <w:ilvl w:val="0"/>
          <w:numId w:val="70"/>
        </w:numPr>
        <w:spacing w:line="360" w:lineRule="auto"/>
        <w:ind w:firstLine="0"/>
        <w:rPr>
          <w:rFonts w:ascii="宋体" w:hAnsi="宋体" w:cs="宋体"/>
          <w:sz w:val="24"/>
        </w:rPr>
      </w:pPr>
      <w:r>
        <w:rPr>
          <w:rFonts w:hint="eastAsia" w:ascii="宋体" w:hAnsi="宋体" w:cs="宋体"/>
          <w:sz w:val="24"/>
        </w:rPr>
        <w:t>标牌、视镜、看窗、标志板、标签等。</w:t>
      </w:r>
    </w:p>
    <w:p w14:paraId="2022E3F2">
      <w:pPr>
        <w:numPr>
          <w:ilvl w:val="0"/>
          <w:numId w:val="70"/>
        </w:numPr>
        <w:spacing w:line="360" w:lineRule="auto"/>
        <w:ind w:firstLine="0"/>
        <w:rPr>
          <w:rFonts w:ascii="宋体" w:hAnsi="宋体" w:cs="宋体"/>
          <w:sz w:val="24"/>
        </w:rPr>
      </w:pPr>
      <w:r>
        <w:rPr>
          <w:rFonts w:hint="eastAsia" w:ascii="宋体" w:hAnsi="宋体" w:cs="宋体"/>
          <w:sz w:val="24"/>
        </w:rPr>
        <w:t>压力容器涂敷：除图样另有规定外，下列情况可不涂敷防腐涂料。</w:t>
      </w:r>
    </w:p>
    <w:p w14:paraId="60D52AAC">
      <w:pPr>
        <w:numPr>
          <w:ilvl w:val="0"/>
          <w:numId w:val="71"/>
        </w:numPr>
        <w:spacing w:line="360" w:lineRule="auto"/>
        <w:rPr>
          <w:rFonts w:ascii="宋体" w:hAnsi="宋体" w:cs="宋体"/>
          <w:sz w:val="24"/>
        </w:rPr>
      </w:pPr>
      <w:r>
        <w:rPr>
          <w:rFonts w:hint="eastAsia" w:ascii="宋体" w:hAnsi="宋体" w:cs="宋体"/>
          <w:sz w:val="24"/>
        </w:rPr>
        <w:t>容器的内表面</w:t>
      </w:r>
    </w:p>
    <w:p w14:paraId="21BCEE58">
      <w:pPr>
        <w:numPr>
          <w:ilvl w:val="0"/>
          <w:numId w:val="71"/>
        </w:numPr>
        <w:spacing w:line="360" w:lineRule="auto"/>
        <w:rPr>
          <w:rFonts w:ascii="宋体" w:hAnsi="宋体" w:cs="宋体"/>
          <w:sz w:val="24"/>
        </w:rPr>
      </w:pPr>
      <w:r>
        <w:rPr>
          <w:rFonts w:hint="eastAsia" w:ascii="宋体" w:hAnsi="宋体" w:cs="宋体"/>
          <w:sz w:val="24"/>
        </w:rPr>
        <w:t>随容器整体出厂的内件</w:t>
      </w:r>
    </w:p>
    <w:p w14:paraId="581A7905">
      <w:pPr>
        <w:numPr>
          <w:ilvl w:val="0"/>
          <w:numId w:val="71"/>
        </w:numPr>
        <w:spacing w:line="360" w:lineRule="auto"/>
        <w:rPr>
          <w:rFonts w:ascii="宋体" w:hAnsi="宋体" w:cs="宋体"/>
          <w:sz w:val="24"/>
        </w:rPr>
      </w:pPr>
      <w:r>
        <w:rPr>
          <w:rFonts w:hint="eastAsia" w:ascii="宋体" w:hAnsi="宋体" w:cs="宋体"/>
          <w:sz w:val="24"/>
        </w:rPr>
        <w:t>不锈钢制压力容器</w:t>
      </w:r>
    </w:p>
    <w:p w14:paraId="3589094B">
      <w:pPr>
        <w:numPr>
          <w:ilvl w:val="0"/>
          <w:numId w:val="71"/>
        </w:numPr>
        <w:spacing w:line="360" w:lineRule="auto"/>
        <w:rPr>
          <w:rFonts w:ascii="宋体" w:hAnsi="宋体" w:cs="宋体"/>
          <w:sz w:val="24"/>
        </w:rPr>
      </w:pPr>
      <w:r>
        <w:rPr>
          <w:rFonts w:hint="eastAsia" w:ascii="宋体" w:hAnsi="宋体" w:cs="宋体"/>
          <w:sz w:val="24"/>
        </w:rPr>
        <w:t>有色金属及其合金制压力容器</w:t>
      </w:r>
    </w:p>
    <w:p w14:paraId="55DC46D5">
      <w:pPr>
        <w:adjustRightInd w:val="0"/>
        <w:snapToGrid w:val="0"/>
        <w:spacing w:line="360" w:lineRule="auto"/>
        <w:outlineLvl w:val="0"/>
        <w:rPr>
          <w:rFonts w:asciiTheme="majorEastAsia" w:hAnsiTheme="majorEastAsia" w:eastAsiaTheme="majorEastAsia"/>
          <w:bCs/>
          <w:sz w:val="28"/>
          <w:szCs w:val="28"/>
        </w:rPr>
      </w:pPr>
      <w:bookmarkStart w:id="170" w:name="_Toc195433170"/>
      <w:r>
        <w:rPr>
          <w:rFonts w:asciiTheme="majorEastAsia" w:hAnsiTheme="majorEastAsia" w:eastAsiaTheme="majorEastAsia"/>
          <w:bCs/>
          <w:sz w:val="28"/>
          <w:szCs w:val="28"/>
        </w:rPr>
        <w:t>15.投标人投标时需提供</w:t>
      </w:r>
      <w:bookmarkEnd w:id="170"/>
    </w:p>
    <w:p w14:paraId="6FD847EE">
      <w:pPr>
        <w:numPr>
          <w:ilvl w:val="0"/>
          <w:numId w:val="72"/>
        </w:numPr>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制造氯气压缩机的详细技术方案(结构、系统及管路简介、气路系统、润滑系统、设计制造检验、包装运输、图纸和货物交货期等等)。</w:t>
      </w:r>
    </w:p>
    <w:p w14:paraId="4DE13FDD">
      <w:pPr>
        <w:numPr>
          <w:ilvl w:val="0"/>
          <w:numId w:val="72"/>
        </w:numPr>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PID流程图。</w:t>
      </w:r>
    </w:p>
    <w:p w14:paraId="10D39D59">
      <w:pPr>
        <w:numPr>
          <w:ilvl w:val="0"/>
          <w:numId w:val="72"/>
        </w:numPr>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外形图(含平面布置和土建基础图)和详细重量表。</w:t>
      </w:r>
    </w:p>
    <w:p w14:paraId="139EAB15">
      <w:pPr>
        <w:numPr>
          <w:ilvl w:val="0"/>
          <w:numId w:val="72"/>
        </w:numPr>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电气接线图及原理图。</w:t>
      </w:r>
    </w:p>
    <w:p w14:paraId="7DCDF126">
      <w:pPr>
        <w:numPr>
          <w:ilvl w:val="0"/>
          <w:numId w:val="72"/>
        </w:numPr>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主要性能和技术数据。</w:t>
      </w:r>
    </w:p>
    <w:p w14:paraId="2004199E">
      <w:pPr>
        <w:numPr>
          <w:ilvl w:val="0"/>
          <w:numId w:val="72"/>
        </w:numPr>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控制和测量回路接线原理图。</w:t>
      </w:r>
    </w:p>
    <w:p w14:paraId="2C7FAABD">
      <w:pPr>
        <w:numPr>
          <w:ilvl w:val="0"/>
          <w:numId w:val="72"/>
        </w:numPr>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填写并提供以下3个表格：</w:t>
      </w:r>
    </w:p>
    <w:p w14:paraId="297C1D56">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附件1 主要零部件及外协件、外购件供货厂家的基本情况表。</w:t>
      </w:r>
    </w:p>
    <w:p w14:paraId="0258BAE3">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附件2 随机备品备件及专用工具清单价格表（含在总价内）。</w:t>
      </w:r>
    </w:p>
    <w:p w14:paraId="53BDF10A">
      <w:pPr>
        <w:autoSpaceDE w:val="0"/>
        <w:autoSpaceDN w:val="0"/>
        <w:adjustRightInd w:val="0"/>
        <w:snapToGrid w:val="0"/>
        <w:spacing w:line="360" w:lineRule="auto"/>
        <w:ind w:firstLine="480" w:firstLineChars="200"/>
        <w:jc w:val="left"/>
        <w:rPr>
          <w:rFonts w:ascii="宋体" w:hAnsi="宋体" w:cs="宋体"/>
          <w:sz w:val="24"/>
        </w:rPr>
      </w:pPr>
      <w:r>
        <w:rPr>
          <w:rFonts w:hint="eastAsia" w:ascii="宋体" w:hAnsi="宋体" w:cs="宋体"/>
          <w:sz w:val="24"/>
        </w:rPr>
        <w:t>附件3 三年用备品备件及耗材价格表（本报价仅供招标方购买参考，不含总报价内）。</w:t>
      </w:r>
    </w:p>
    <w:p w14:paraId="73352CB6">
      <w:pPr>
        <w:adjustRightInd w:val="0"/>
        <w:snapToGrid w:val="0"/>
        <w:spacing w:line="360" w:lineRule="auto"/>
        <w:outlineLvl w:val="0"/>
        <w:rPr>
          <w:rFonts w:asciiTheme="majorEastAsia" w:hAnsiTheme="majorEastAsia" w:eastAsiaTheme="majorEastAsia"/>
          <w:bCs/>
          <w:sz w:val="28"/>
          <w:szCs w:val="28"/>
        </w:rPr>
      </w:pPr>
      <w:bookmarkStart w:id="171" w:name="_Toc195433171"/>
      <w:r>
        <w:rPr>
          <w:rFonts w:asciiTheme="majorEastAsia" w:hAnsiTheme="majorEastAsia" w:eastAsiaTheme="majorEastAsia"/>
          <w:bCs/>
          <w:sz w:val="28"/>
          <w:szCs w:val="28"/>
        </w:rPr>
        <w:t>16.其他</w:t>
      </w:r>
      <w:bookmarkEnd w:id="171"/>
    </w:p>
    <w:p w14:paraId="11D9917A">
      <w:pPr>
        <w:numPr>
          <w:ilvl w:val="0"/>
          <w:numId w:val="73"/>
        </w:numPr>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中标人在收到中标通知书之日起15天内完成初步设计，并与招标人技术人员进行设计确认。</w:t>
      </w:r>
    </w:p>
    <w:p w14:paraId="33EF3770">
      <w:pPr>
        <w:numPr>
          <w:ilvl w:val="0"/>
          <w:numId w:val="73"/>
        </w:numPr>
        <w:autoSpaceDE w:val="0"/>
        <w:autoSpaceDN w:val="0"/>
        <w:adjustRightInd w:val="0"/>
        <w:snapToGrid w:val="0"/>
        <w:spacing w:line="360" w:lineRule="auto"/>
        <w:ind w:left="0" w:firstLine="0"/>
        <w:jc w:val="left"/>
        <w:rPr>
          <w:rFonts w:ascii="宋体" w:hAnsi="宋体" w:cs="宋体"/>
          <w:sz w:val="24"/>
        </w:rPr>
      </w:pPr>
      <w:r>
        <w:rPr>
          <w:rFonts w:hint="eastAsia" w:ascii="宋体" w:hAnsi="宋体" w:cs="宋体"/>
          <w:sz w:val="24"/>
        </w:rPr>
        <w:t xml:space="preserve"> 在投标书中承诺本技术标书中未尽事宜在订货及设计过程中，招标人、中标人双方以书面协议的方式友好协商解决。尽最大努力响应招标人在技术方面提出的合理要求。</w:t>
      </w:r>
    </w:p>
    <w:p w14:paraId="7F76E5BF">
      <w:pPr>
        <w:pStyle w:val="5"/>
      </w:pPr>
    </w:p>
    <w:p w14:paraId="5FA89890">
      <w:pPr>
        <w:pStyle w:val="5"/>
      </w:pPr>
    </w:p>
    <w:p w14:paraId="29DBCC30">
      <w:pPr>
        <w:pStyle w:val="5"/>
      </w:pPr>
    </w:p>
    <w:p w14:paraId="573DC7ED">
      <w:pPr>
        <w:pStyle w:val="5"/>
      </w:pPr>
    </w:p>
    <w:p w14:paraId="23446296">
      <w:pPr>
        <w:widowControl/>
        <w:jc w:val="left"/>
        <w:rPr>
          <w:rFonts w:ascii="Arial" w:hAnsi="Arial" w:cs="Arial"/>
          <w:b/>
          <w:bCs/>
          <w:sz w:val="32"/>
          <w:szCs w:val="32"/>
        </w:rPr>
      </w:pPr>
      <w:r>
        <w:br w:type="page"/>
      </w:r>
    </w:p>
    <w:p w14:paraId="22F8A67F">
      <w:pPr>
        <w:pStyle w:val="5"/>
        <w:ind w:left="353"/>
        <w:rPr>
          <w:b w:val="0"/>
          <w:kern w:val="0"/>
        </w:rPr>
      </w:pPr>
      <w:r>
        <w:rPr>
          <w:rFonts w:hint="eastAsia"/>
          <w:b w:val="0"/>
          <w:kern w:val="0"/>
        </w:rPr>
        <w:t>第五章</w:t>
      </w:r>
      <w:r>
        <w:rPr>
          <w:b w:val="0"/>
          <w:kern w:val="0"/>
        </w:rPr>
        <w:t xml:space="preserve">  </w:t>
      </w:r>
      <w:r>
        <w:rPr>
          <w:rFonts w:hint="eastAsia"/>
          <w:b w:val="0"/>
          <w:kern w:val="0"/>
        </w:rPr>
        <w:t>主要商务条款</w:t>
      </w:r>
    </w:p>
    <w:p w14:paraId="372EB6F7">
      <w:pPr>
        <w:ind w:firstLine="416"/>
        <w:jc w:val="left"/>
        <w:rPr>
          <w:rFonts w:ascii="宋体" w:hAnsi="宋体" w:cs="宋体"/>
          <w:sz w:val="24"/>
        </w:rPr>
      </w:pPr>
      <w:bookmarkStart w:id="172" w:name="_Toc510008160"/>
      <w:r>
        <w:rPr>
          <w:rFonts w:hint="eastAsia" w:ascii="宋体" w:hAnsi="宋体" w:cs="宋体"/>
          <w:spacing w:val="-1"/>
          <w:sz w:val="24"/>
        </w:rPr>
        <w:t>供需双方本着“质量第一、相互协作、互利互惠、共同发展”的宗旨，为确保产品</w:t>
      </w:r>
      <w:r>
        <w:rPr>
          <w:rFonts w:hint="eastAsia" w:ascii="宋体" w:hAnsi="宋体" w:cs="宋体"/>
          <w:spacing w:val="-3"/>
          <w:sz w:val="24"/>
        </w:rPr>
        <w:t>质量的稳定和不断提高，经友好协商，达成共识，特订立本合同，并承诺对本合同的所有条款负责。之前双方所签订的采购合同、协议等，如果与本采购合同相关条款不一致，则</w:t>
      </w:r>
      <w:r>
        <w:rPr>
          <w:rFonts w:hint="eastAsia" w:ascii="宋体" w:hAnsi="宋体" w:cs="宋体"/>
          <w:spacing w:val="-1"/>
          <w:sz w:val="24"/>
        </w:rPr>
        <w:t>以新签订的本采购合同为准。</w:t>
      </w:r>
      <w:r>
        <w:rPr>
          <w:rFonts w:ascii="宋体" w:hAnsi="宋体" w:cs="宋体"/>
          <w:sz w:val="24"/>
        </w:rPr>
        <w:t xml:space="preserve">       </w:t>
      </w:r>
    </w:p>
    <w:p w14:paraId="35FD8A78">
      <w:pPr>
        <w:spacing w:before="156"/>
        <w:ind w:firstLine="422"/>
        <w:rPr>
          <w:rFonts w:ascii="宋体" w:hAnsi="宋体" w:cs="宋体"/>
          <w:b/>
          <w:sz w:val="24"/>
        </w:rPr>
      </w:pPr>
      <w:r>
        <w:rPr>
          <w:rFonts w:hint="eastAsia" w:ascii="宋体" w:hAnsi="宋体" w:cs="宋体"/>
          <w:b/>
          <w:sz w:val="24"/>
        </w:rPr>
        <w:t xml:space="preserve">第一条 产品名称、型号规格、数量、金额及交货时间 </w:t>
      </w:r>
    </w:p>
    <w:tbl>
      <w:tblPr>
        <w:tblStyle w:val="76"/>
        <w:tblW w:w="9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0"/>
        <w:gridCol w:w="993"/>
        <w:gridCol w:w="1166"/>
        <w:gridCol w:w="1243"/>
        <w:gridCol w:w="1733"/>
        <w:gridCol w:w="1194"/>
      </w:tblGrid>
      <w:tr w14:paraId="02DC3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8" w:hRule="atLeast"/>
          <w:jc w:val="center"/>
        </w:trPr>
        <w:tc>
          <w:tcPr>
            <w:tcW w:w="3510" w:type="dxa"/>
            <w:vAlign w:val="center"/>
          </w:tcPr>
          <w:p w14:paraId="759EFE19">
            <w:pPr>
              <w:jc w:val="center"/>
              <w:rPr>
                <w:rFonts w:ascii="宋体" w:hAnsi="宋体" w:cs="宋体"/>
                <w:sz w:val="24"/>
              </w:rPr>
            </w:pPr>
            <w:r>
              <w:rPr>
                <w:rFonts w:hint="eastAsia" w:ascii="宋体" w:hAnsi="宋体" w:cs="宋体"/>
                <w:sz w:val="24"/>
              </w:rPr>
              <w:t xml:space="preserve">    产品名称型号规格</w:t>
            </w:r>
          </w:p>
        </w:tc>
        <w:tc>
          <w:tcPr>
            <w:tcW w:w="993" w:type="dxa"/>
            <w:vAlign w:val="center"/>
          </w:tcPr>
          <w:p w14:paraId="48339380">
            <w:pPr>
              <w:jc w:val="center"/>
              <w:rPr>
                <w:rFonts w:ascii="宋体" w:hAnsi="宋体" w:cs="宋体"/>
                <w:sz w:val="24"/>
              </w:rPr>
            </w:pPr>
            <w:r>
              <w:rPr>
                <w:rFonts w:hint="eastAsia" w:ascii="宋体" w:hAnsi="宋体" w:cs="宋体"/>
                <w:sz w:val="24"/>
              </w:rPr>
              <w:t>数量</w:t>
            </w:r>
          </w:p>
        </w:tc>
        <w:tc>
          <w:tcPr>
            <w:tcW w:w="1166" w:type="dxa"/>
            <w:vAlign w:val="center"/>
          </w:tcPr>
          <w:p w14:paraId="02766F92">
            <w:pPr>
              <w:jc w:val="center"/>
              <w:rPr>
                <w:rFonts w:ascii="宋体" w:hAnsi="宋体" w:cs="宋体"/>
                <w:sz w:val="24"/>
              </w:rPr>
            </w:pPr>
            <w:r>
              <w:rPr>
                <w:rFonts w:hint="eastAsia" w:ascii="宋体" w:hAnsi="宋体" w:cs="宋体"/>
                <w:sz w:val="24"/>
              </w:rPr>
              <w:t>计量单位</w:t>
            </w:r>
          </w:p>
        </w:tc>
        <w:tc>
          <w:tcPr>
            <w:tcW w:w="1243" w:type="dxa"/>
            <w:vAlign w:val="center"/>
          </w:tcPr>
          <w:p w14:paraId="07AABB65">
            <w:pPr>
              <w:rPr>
                <w:rFonts w:ascii="宋体" w:hAnsi="宋体" w:cs="宋体"/>
                <w:sz w:val="24"/>
              </w:rPr>
            </w:pPr>
            <w:r>
              <w:rPr>
                <w:rFonts w:hint="eastAsia" w:ascii="宋体" w:hAnsi="宋体" w:cs="宋体"/>
                <w:sz w:val="24"/>
              </w:rPr>
              <w:t>单价(元)</w:t>
            </w:r>
          </w:p>
        </w:tc>
        <w:tc>
          <w:tcPr>
            <w:tcW w:w="1733" w:type="dxa"/>
            <w:vAlign w:val="center"/>
          </w:tcPr>
          <w:p w14:paraId="3EFE224A">
            <w:pPr>
              <w:jc w:val="center"/>
              <w:rPr>
                <w:rFonts w:ascii="宋体" w:hAnsi="宋体" w:cs="宋体"/>
                <w:sz w:val="24"/>
              </w:rPr>
            </w:pPr>
            <w:r>
              <w:rPr>
                <w:rFonts w:hint="eastAsia" w:ascii="宋体" w:hAnsi="宋体" w:cs="宋体"/>
                <w:sz w:val="24"/>
              </w:rPr>
              <w:t>金额（元）</w:t>
            </w:r>
          </w:p>
        </w:tc>
        <w:tc>
          <w:tcPr>
            <w:tcW w:w="1194" w:type="dxa"/>
            <w:vAlign w:val="center"/>
          </w:tcPr>
          <w:p w14:paraId="1AC9AF6C">
            <w:pPr>
              <w:jc w:val="center"/>
              <w:rPr>
                <w:rFonts w:ascii="宋体" w:hAnsi="宋体" w:cs="宋体"/>
                <w:sz w:val="24"/>
              </w:rPr>
            </w:pPr>
            <w:r>
              <w:rPr>
                <w:rFonts w:hint="eastAsia" w:ascii="宋体" w:hAnsi="宋体" w:cs="宋体"/>
                <w:bCs/>
                <w:sz w:val="24"/>
              </w:rPr>
              <w:t>备注</w:t>
            </w:r>
          </w:p>
        </w:tc>
      </w:tr>
      <w:tr w14:paraId="17E2F7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510" w:type="dxa"/>
            <w:vAlign w:val="center"/>
          </w:tcPr>
          <w:p w14:paraId="48704827">
            <w:pPr>
              <w:jc w:val="center"/>
              <w:rPr>
                <w:rFonts w:ascii="仿宋" w:hAnsi="仿宋" w:eastAsia="仿宋" w:cs="仿宋"/>
                <w:sz w:val="24"/>
              </w:rPr>
            </w:pPr>
          </w:p>
        </w:tc>
        <w:tc>
          <w:tcPr>
            <w:tcW w:w="993" w:type="dxa"/>
            <w:vAlign w:val="center"/>
          </w:tcPr>
          <w:p w14:paraId="07A7C358">
            <w:pPr>
              <w:jc w:val="left"/>
              <w:rPr>
                <w:rFonts w:ascii="仿宋" w:hAnsi="仿宋" w:eastAsia="仿宋" w:cs="仿宋"/>
                <w:sz w:val="24"/>
              </w:rPr>
            </w:pPr>
          </w:p>
        </w:tc>
        <w:tc>
          <w:tcPr>
            <w:tcW w:w="1166" w:type="dxa"/>
            <w:vAlign w:val="center"/>
          </w:tcPr>
          <w:p w14:paraId="30E42D95">
            <w:pPr>
              <w:jc w:val="center"/>
              <w:rPr>
                <w:rFonts w:ascii="仿宋" w:hAnsi="仿宋" w:eastAsia="仿宋" w:cs="仿宋"/>
                <w:sz w:val="24"/>
              </w:rPr>
            </w:pPr>
          </w:p>
        </w:tc>
        <w:tc>
          <w:tcPr>
            <w:tcW w:w="1243" w:type="dxa"/>
            <w:vAlign w:val="center"/>
          </w:tcPr>
          <w:p w14:paraId="3EF6D81B">
            <w:pPr>
              <w:jc w:val="right"/>
              <w:rPr>
                <w:rFonts w:ascii="仿宋" w:hAnsi="仿宋" w:eastAsia="仿宋" w:cs="仿宋"/>
                <w:sz w:val="24"/>
              </w:rPr>
            </w:pPr>
          </w:p>
        </w:tc>
        <w:tc>
          <w:tcPr>
            <w:tcW w:w="1733" w:type="dxa"/>
            <w:vAlign w:val="center"/>
          </w:tcPr>
          <w:p w14:paraId="474E14E2">
            <w:pPr>
              <w:jc w:val="right"/>
              <w:rPr>
                <w:rFonts w:ascii="仿宋" w:hAnsi="仿宋" w:eastAsia="仿宋" w:cs="仿宋"/>
                <w:sz w:val="24"/>
              </w:rPr>
            </w:pPr>
          </w:p>
        </w:tc>
        <w:tc>
          <w:tcPr>
            <w:tcW w:w="1194" w:type="dxa"/>
            <w:vAlign w:val="center"/>
          </w:tcPr>
          <w:p w14:paraId="0D498220">
            <w:pPr>
              <w:jc w:val="center"/>
              <w:rPr>
                <w:rFonts w:ascii="仿宋" w:hAnsi="仿宋" w:eastAsia="仿宋" w:cs="仿宋"/>
                <w:sz w:val="24"/>
              </w:rPr>
            </w:pPr>
          </w:p>
        </w:tc>
      </w:tr>
      <w:tr w14:paraId="06984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6912" w:type="dxa"/>
            <w:gridSpan w:val="4"/>
            <w:vAlign w:val="center"/>
          </w:tcPr>
          <w:p w14:paraId="244DF412">
            <w:pPr>
              <w:jc w:val="right"/>
              <w:rPr>
                <w:rFonts w:ascii="仿宋" w:hAnsi="仿宋" w:eastAsia="仿宋" w:cs="仿宋"/>
                <w:sz w:val="24"/>
              </w:rPr>
            </w:pPr>
            <w:r>
              <w:rPr>
                <w:rFonts w:hint="eastAsia" w:ascii="宋体" w:hAnsi="宋体" w:cs="宋体"/>
                <w:sz w:val="24"/>
              </w:rPr>
              <w:t>合计：</w:t>
            </w:r>
          </w:p>
        </w:tc>
        <w:tc>
          <w:tcPr>
            <w:tcW w:w="1733" w:type="dxa"/>
            <w:vAlign w:val="center"/>
          </w:tcPr>
          <w:p w14:paraId="4B43271B">
            <w:pPr>
              <w:jc w:val="right"/>
              <w:rPr>
                <w:rFonts w:ascii="仿宋" w:hAnsi="仿宋" w:eastAsia="仿宋" w:cs="仿宋"/>
                <w:sz w:val="24"/>
              </w:rPr>
            </w:pPr>
          </w:p>
        </w:tc>
        <w:tc>
          <w:tcPr>
            <w:tcW w:w="1194" w:type="dxa"/>
            <w:vAlign w:val="center"/>
          </w:tcPr>
          <w:p w14:paraId="4D499B44">
            <w:pPr>
              <w:rPr>
                <w:rFonts w:ascii="仿宋" w:hAnsi="仿宋" w:eastAsia="仿宋" w:cs="仿宋"/>
                <w:sz w:val="24"/>
              </w:rPr>
            </w:pPr>
          </w:p>
        </w:tc>
      </w:tr>
      <w:tr w14:paraId="3369BF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9839" w:type="dxa"/>
            <w:gridSpan w:val="6"/>
            <w:vAlign w:val="center"/>
          </w:tcPr>
          <w:p w14:paraId="3D08000C">
            <w:pPr>
              <w:rPr>
                <w:rFonts w:ascii="仿宋" w:hAnsi="仿宋" w:eastAsia="仿宋" w:cs="仿宋"/>
                <w:sz w:val="24"/>
              </w:rPr>
            </w:pPr>
            <w:r>
              <w:rPr>
                <w:rFonts w:hint="eastAsia" w:ascii="宋体" w:hAnsi="宋体" w:cs="宋体"/>
                <w:sz w:val="24"/>
              </w:rPr>
              <w:t>交货期：</w:t>
            </w:r>
            <w:r>
              <w:rPr>
                <w:rFonts w:ascii="宋体" w:hAnsi="宋体" w:cs="宋体"/>
                <w:sz w:val="24"/>
              </w:rPr>
              <w:t xml:space="preserve">  </w:t>
            </w:r>
            <w:r>
              <w:rPr>
                <w:rFonts w:ascii="仿宋" w:hAnsi="仿宋" w:eastAsia="仿宋" w:cs="仿宋"/>
                <w:sz w:val="24"/>
              </w:rPr>
              <w:t xml:space="preserve"> </w:t>
            </w:r>
            <w:sdt>
              <w:sdtPr>
                <w:rPr>
                  <w:rFonts w:ascii="宋体" w:hAnsi="宋体" w:cs="宋体"/>
                  <w:sz w:val="24"/>
                </w:rPr>
                <w:alias w:val="交货日期"/>
                <w:tag w:val="1848650873062891521-1848650869059895296"/>
                <w:id w:val="147468981"/>
                <w:showingPlcHdr/>
              </w:sdtPr>
              <w:sdtEndPr>
                <w:rPr>
                  <w:rFonts w:ascii="宋体" w:hAnsi="宋体" w:cs="宋体"/>
                  <w:sz w:val="24"/>
                </w:rPr>
              </w:sdtEndPr>
              <w:sdtContent>
                <w:r>
                  <w:rPr>
                    <w:sz w:val="24"/>
                  </w:rPr>
                  <w:t>__________</w:t>
                </w:r>
              </w:sdtContent>
            </w:sdt>
            <w:r>
              <w:rPr>
                <w:rFonts w:ascii="仿宋" w:hAnsi="仿宋" w:eastAsia="仿宋" w:cs="仿宋"/>
                <w:sz w:val="24"/>
              </w:rPr>
              <w:t xml:space="preserve">          </w:t>
            </w:r>
          </w:p>
        </w:tc>
      </w:tr>
      <w:tr w14:paraId="26393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9839" w:type="dxa"/>
            <w:gridSpan w:val="6"/>
            <w:vAlign w:val="center"/>
          </w:tcPr>
          <w:p w14:paraId="274067C4">
            <w:pPr>
              <w:pBdr>
                <w:top w:val="none" w:color="000000" w:sz="0" w:space="0"/>
                <w:left w:val="none" w:color="000000" w:sz="0" w:space="0"/>
                <w:bottom w:val="none" w:color="000000" w:sz="0" w:space="0"/>
                <w:right w:val="none" w:color="000000" w:sz="0" w:space="0"/>
              </w:pBdr>
              <w:spacing w:line="85" w:lineRule="atLeast"/>
              <w:rPr>
                <w:rFonts w:ascii="宋体" w:hAnsi="宋体" w:cs="宋体"/>
                <w:color w:val="000000"/>
                <w:sz w:val="24"/>
                <w:highlight w:val="white"/>
              </w:rPr>
            </w:pPr>
            <w:r>
              <w:rPr>
                <w:rFonts w:ascii="宋体" w:hAnsi="宋体" w:cs="宋体"/>
                <w:color w:val="000000"/>
                <w:sz w:val="24"/>
              </w:rPr>
              <w:t>供货范围说明：</w:t>
            </w:r>
            <w:r>
              <w:rPr>
                <w:rFonts w:ascii="宋体" w:hAnsi="宋体" w:cs="宋体"/>
                <w:color w:val="000000"/>
                <w:sz w:val="24"/>
                <w:u w:val="single"/>
              </w:rPr>
              <w:t>        /          </w:t>
            </w:r>
            <w:r>
              <w:rPr>
                <w:rFonts w:hint="eastAsia" w:ascii="宋体" w:hAnsi="宋体" w:cs="宋体"/>
                <w:sz w:val="24"/>
              </w:rPr>
              <w:t xml:space="preserve"> </w:t>
            </w:r>
          </w:p>
        </w:tc>
      </w:tr>
      <w:tr w14:paraId="7DD7B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9839" w:type="dxa"/>
            <w:gridSpan w:val="6"/>
            <w:vAlign w:val="center"/>
          </w:tcPr>
          <w:p w14:paraId="70D34A20">
            <w:pPr>
              <w:pBdr>
                <w:top w:val="none" w:color="000000" w:sz="0" w:space="0"/>
                <w:left w:val="none" w:color="000000" w:sz="0" w:space="0"/>
                <w:bottom w:val="none" w:color="000000" w:sz="0" w:space="0"/>
                <w:right w:val="none" w:color="000000" w:sz="0" w:space="0"/>
              </w:pBdr>
              <w:spacing w:line="85" w:lineRule="atLeast"/>
              <w:rPr>
                <w:rFonts w:ascii="仿宋" w:hAnsi="仿宋" w:eastAsia="仿宋" w:cs="仿宋"/>
                <w:color w:val="000000"/>
                <w:sz w:val="24"/>
                <w:highlight w:val="white"/>
                <w:u w:val="single"/>
              </w:rPr>
            </w:pPr>
            <w:r>
              <w:rPr>
                <w:rFonts w:ascii="宋体" w:hAnsi="宋体" w:cs="宋体"/>
                <w:color w:val="000000"/>
                <w:sz w:val="24"/>
                <w:highlight w:val="white"/>
              </w:rPr>
              <w:t>本合同不含税总金额</w:t>
            </w:r>
            <w:r>
              <w:rPr>
                <w:rFonts w:ascii="宋体" w:hAnsi="宋体" w:cs="宋体"/>
                <w:color w:val="000000"/>
                <w:sz w:val="24"/>
              </w:rPr>
              <w:t>（元）</w:t>
            </w:r>
            <w:r>
              <w:rPr>
                <w:rFonts w:ascii="宋体" w:hAnsi="宋体" w:cs="宋体"/>
                <w:sz w:val="24"/>
              </w:rPr>
              <w:t>：</w:t>
            </w:r>
            <w:sdt>
              <w:sdtPr>
                <w:rPr>
                  <w:rFonts w:ascii="宋体" w:hAnsi="宋体" w:cs="宋体"/>
                  <w:color w:val="000000"/>
                  <w:sz w:val="24"/>
                  <w:u w:val="single"/>
                </w:rPr>
                <w:alias w:val="不含税总金额"/>
                <w:tag w:val="1848650919418339329-1848650914593259520"/>
                <w:id w:val="147469663"/>
                <w:showingPlcHdr/>
              </w:sdtPr>
              <w:sdtEndPr>
                <w:rPr>
                  <w:rFonts w:ascii="宋体" w:hAnsi="宋体" w:cs="宋体"/>
                  <w:color w:val="000000"/>
                  <w:sz w:val="24"/>
                  <w:u w:val="single"/>
                </w:rPr>
              </w:sdtEndPr>
              <w:sdtContent>
                <w:r>
                  <w:rPr>
                    <w:sz w:val="24"/>
                  </w:rPr>
                  <w:t>__________</w:t>
                </w:r>
              </w:sdtContent>
            </w:sdt>
            <w:r>
              <w:rPr>
                <w:rFonts w:hint="eastAsia" w:ascii="仿宋" w:hAnsi="仿宋" w:eastAsia="仿宋" w:cs="仿宋"/>
                <w:color w:val="000000"/>
                <w:sz w:val="24"/>
              </w:rPr>
              <w:t xml:space="preserve">   </w:t>
            </w:r>
            <w:r>
              <w:rPr>
                <w:rFonts w:hint="eastAsia" w:ascii="宋体" w:hAnsi="宋体" w:cs="宋体"/>
                <w:color w:val="000000"/>
                <w:sz w:val="24"/>
              </w:rPr>
              <w:t xml:space="preserve">  增值税税额合计（元）：</w:t>
            </w:r>
            <w:sdt>
              <w:sdtPr>
                <w:rPr>
                  <w:rFonts w:hint="eastAsia" w:ascii="宋体" w:hAnsi="宋体" w:cs="宋体"/>
                  <w:color w:val="000000"/>
                  <w:sz w:val="24"/>
                  <w:u w:val="single"/>
                </w:rPr>
                <w:alias w:val="增值税税额合计"/>
                <w:tag w:val="1848650963626303489-1848650959354871808"/>
                <w:id w:val="147466271"/>
                <w:showingPlcHdr/>
              </w:sdtPr>
              <w:sdtEndPr>
                <w:rPr>
                  <w:rFonts w:hint="eastAsia" w:ascii="宋体" w:hAnsi="宋体" w:cs="宋体"/>
                  <w:color w:val="000000"/>
                  <w:sz w:val="24"/>
                  <w:u w:val="single"/>
                </w:rPr>
              </w:sdtEndPr>
              <w:sdtContent>
                <w:r>
                  <w:rPr>
                    <w:sz w:val="24"/>
                  </w:rPr>
                  <w:t>__________</w:t>
                </w:r>
              </w:sdtContent>
            </w:sdt>
          </w:p>
        </w:tc>
      </w:tr>
      <w:tr w14:paraId="4BCBC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jc w:val="center"/>
        </w:trPr>
        <w:tc>
          <w:tcPr>
            <w:tcW w:w="9839" w:type="dxa"/>
            <w:gridSpan w:val="6"/>
            <w:vAlign w:val="center"/>
          </w:tcPr>
          <w:p w14:paraId="6EE79D77">
            <w:pPr>
              <w:pBdr>
                <w:top w:val="none" w:color="000000" w:sz="0" w:space="0"/>
                <w:left w:val="none" w:color="000000" w:sz="0" w:space="0"/>
                <w:bottom w:val="none" w:color="000000" w:sz="0" w:space="0"/>
                <w:right w:val="none" w:color="000000" w:sz="0" w:space="0"/>
              </w:pBdr>
              <w:spacing w:line="85" w:lineRule="atLeast"/>
              <w:rPr>
                <w:rFonts w:ascii="仿宋" w:hAnsi="仿宋" w:eastAsia="仿宋" w:cs="仿宋"/>
                <w:sz w:val="24"/>
              </w:rPr>
            </w:pPr>
            <w:r>
              <w:rPr>
                <w:rFonts w:ascii="宋体" w:hAnsi="宋体" w:cs="宋体"/>
                <w:color w:val="000000"/>
                <w:sz w:val="24"/>
                <w:highlight w:val="white"/>
              </w:rPr>
              <w:t>本合同总金额（含 13 %税价）为人民币大写：</w:t>
            </w:r>
            <w:r>
              <w:rPr>
                <w:rFonts w:ascii="仿宋" w:hAnsi="仿宋" w:eastAsia="仿宋" w:cs="仿宋"/>
                <w:sz w:val="24"/>
              </w:rPr>
              <w:t xml:space="preserve">         </w:t>
            </w:r>
          </w:p>
        </w:tc>
      </w:tr>
    </w:tbl>
    <w:sdt>
      <w:sdtPr>
        <w:rPr>
          <w:rFonts w:hint="eastAsia" w:ascii="仿宋" w:hAnsi="仿宋" w:eastAsia="仿宋" w:cs="仿宋"/>
          <w:b/>
          <w:sz w:val="24"/>
        </w:rPr>
        <w:alias w:val="段落锁1"/>
        <w:tag w:val="1848651323837325313-1848651244546572288"/>
        <w:id w:val="147477268"/>
      </w:sdtPr>
      <w:sdtEndPr>
        <w:rPr>
          <w:rFonts w:hint="eastAsia" w:ascii="仿宋" w:hAnsi="仿宋" w:eastAsia="仿宋" w:cs="仿宋"/>
          <w:b/>
          <w:sz w:val="24"/>
        </w:rPr>
      </w:sdtEndPr>
      <w:sdtContent>
        <w:p w14:paraId="47A10CA9">
          <w:pPr>
            <w:tabs>
              <w:tab w:val="left" w:pos="360"/>
            </w:tabs>
            <w:jc w:val="left"/>
            <w:rPr>
              <w:rFonts w:ascii="宋体" w:hAnsi="宋体" w:cs="宋体"/>
              <w:b/>
              <w:sz w:val="24"/>
            </w:rPr>
          </w:pPr>
          <w:r>
            <w:rPr>
              <w:rFonts w:hint="eastAsia" w:ascii="仿宋" w:hAnsi="仿宋" w:eastAsia="仿宋" w:cs="仿宋"/>
              <w:b/>
              <w:sz w:val="24"/>
            </w:rPr>
            <w:t xml:space="preserve">    </w:t>
          </w:r>
          <w:r>
            <w:rPr>
              <w:rFonts w:hint="eastAsia" w:ascii="宋体" w:hAnsi="宋体" w:cs="宋体"/>
              <w:b/>
              <w:sz w:val="24"/>
            </w:rPr>
            <w:t>第二条 本合同签订及执行条件</w:t>
          </w:r>
        </w:p>
        <w:p w14:paraId="7999DC30">
          <w:pPr>
            <w:tabs>
              <w:tab w:val="left" w:pos="360"/>
            </w:tabs>
            <w:ind w:firstLine="420"/>
            <w:jc w:val="left"/>
            <w:rPr>
              <w:rFonts w:ascii="宋体" w:hAnsi="宋体" w:cs="宋体"/>
              <w:spacing w:val="-1"/>
              <w:sz w:val="24"/>
            </w:rPr>
          </w:pPr>
          <w:r>
            <w:rPr>
              <w:rFonts w:hint="eastAsia" w:ascii="宋体" w:hAnsi="宋体" w:cs="宋体"/>
              <w:spacing w:val="-1"/>
              <w:sz w:val="24"/>
            </w:rPr>
            <w:t>1.根据中国法律、行政法规之规定，若供方所供货物或经营需具有相应资质、许可或批准的，</w:t>
          </w:r>
          <w:r>
            <w:rPr>
              <w:rFonts w:hint="eastAsia" w:ascii="宋体" w:hAnsi="宋体" w:cs="宋体"/>
              <w:sz w:val="24"/>
            </w:rPr>
            <w:t>供方应当获得有关政府部门的许可或批准</w:t>
          </w:r>
          <w:r>
            <w:rPr>
              <w:rFonts w:hint="eastAsia" w:ascii="宋体" w:hAnsi="宋体" w:cs="宋体"/>
              <w:spacing w:val="-1"/>
              <w:sz w:val="24"/>
            </w:rPr>
            <w:t>，并保证依法具有完全的资格和权利经销本协议约定的产品；应保证所供货物是全新的、未使用过的制造厂商原装产品，否则，供方承担全部合同无效的责任和相关法律责任。</w:t>
          </w:r>
        </w:p>
        <w:p w14:paraId="345C16DA">
          <w:pPr>
            <w:ind w:firstLine="416"/>
            <w:jc w:val="left"/>
            <w:rPr>
              <w:rFonts w:ascii="宋体" w:hAnsi="宋体" w:cs="宋体"/>
              <w:spacing w:val="-1"/>
              <w:sz w:val="24"/>
            </w:rPr>
          </w:pPr>
          <w:r>
            <w:rPr>
              <w:rFonts w:hint="eastAsia" w:ascii="宋体" w:hAnsi="宋体" w:cs="宋体"/>
              <w:spacing w:val="-1"/>
              <w:sz w:val="24"/>
            </w:rPr>
            <w:t>2.供方应配合需方节能环保和职业健康安全的要求，在不改变供应价格的基础上，应寻求提供安全环保产品，并按要求执行。</w:t>
          </w:r>
        </w:p>
        <w:p w14:paraId="428F5213">
          <w:pPr>
            <w:pBdr>
              <w:top w:val="none" w:color="000000" w:sz="0" w:space="0"/>
              <w:left w:val="none" w:color="000000" w:sz="0" w:space="0"/>
              <w:bottom w:val="none" w:color="000000" w:sz="0" w:space="0"/>
              <w:right w:val="none" w:color="000000" w:sz="0" w:space="0"/>
            </w:pBdr>
            <w:ind w:firstLine="416"/>
            <w:jc w:val="left"/>
            <w:rPr>
              <w:rFonts w:ascii="仿宋" w:hAnsi="仿宋" w:eastAsia="仿宋" w:cs="仿宋"/>
              <w:spacing w:val="-1"/>
              <w:sz w:val="24"/>
            </w:rPr>
          </w:pPr>
          <w:r>
            <w:rPr>
              <w:rFonts w:hint="eastAsia" w:ascii="宋体" w:hAnsi="宋体" w:cs="宋体"/>
              <w:spacing w:val="-1"/>
              <w:sz w:val="24"/>
            </w:rPr>
            <w:t>3.双方同意本合同及补充合同（若有）约定的价格均为含税价格，若在合同履行期间，遇国家税率调整，不含税单价不变，按实施的新税率调整含税价格，以国家公布实施的时间为准</w:t>
          </w:r>
          <w:r>
            <w:rPr>
              <w:rFonts w:hint="eastAsia" w:ascii="仿宋" w:hAnsi="仿宋" w:eastAsia="仿宋" w:cs="仿宋"/>
              <w:spacing w:val="-1"/>
              <w:sz w:val="24"/>
            </w:rPr>
            <w:t>。</w:t>
          </w:r>
        </w:p>
      </w:sdtContent>
    </w:sdt>
    <w:p w14:paraId="48BF851C">
      <w:pPr>
        <w:pStyle w:val="3"/>
        <w:snapToGrid w:val="0"/>
        <w:spacing w:before="0" w:after="0"/>
        <w:jc w:val="left"/>
        <w:rPr>
          <w:rFonts w:ascii="宋体" w:hAnsi="宋体"/>
          <w:sz w:val="24"/>
          <w:szCs w:val="24"/>
        </w:rPr>
      </w:pPr>
      <w:r>
        <w:rPr>
          <w:rFonts w:hint="eastAsia" w:ascii="仿宋" w:hAnsi="仿宋" w:eastAsia="仿宋" w:cs="仿宋"/>
          <w:sz w:val="24"/>
          <w:szCs w:val="24"/>
        </w:rPr>
        <w:t xml:space="preserve">   </w:t>
      </w:r>
      <w:bookmarkEnd w:id="172"/>
      <w:bookmarkStart w:id="173" w:name="_Toc195433173"/>
      <w:r>
        <w:rPr>
          <w:rFonts w:ascii="宋体" w:hAnsi="宋体"/>
          <w:sz w:val="24"/>
          <w:szCs w:val="24"/>
        </w:rPr>
        <w:t>1、供货范围：</w:t>
      </w:r>
      <w:bookmarkEnd w:id="173"/>
    </w:p>
    <w:p w14:paraId="49AE5E15">
      <w:pPr>
        <w:snapToGrid w:val="0"/>
        <w:rPr>
          <w:rFonts w:ascii="宋体" w:hAnsi="宋体"/>
          <w:kern w:val="0"/>
          <w:sz w:val="24"/>
        </w:rPr>
      </w:pPr>
      <w:r>
        <w:rPr>
          <w:rFonts w:ascii="宋体" w:hAnsi="宋体"/>
          <w:kern w:val="0"/>
          <w:sz w:val="24"/>
        </w:rPr>
        <w:t>1.1招标内容：</w:t>
      </w:r>
      <w:r>
        <w:rPr>
          <w:rFonts w:hint="eastAsia" w:ascii="宋体" w:hAnsi="宋体"/>
          <w:sz w:val="24"/>
        </w:rPr>
        <w:t>离心式透平氯气压缩机组一台（套）。</w:t>
      </w:r>
    </w:p>
    <w:p w14:paraId="19B55347">
      <w:pPr>
        <w:snapToGrid w:val="0"/>
        <w:rPr>
          <w:rFonts w:ascii="宋体" w:hAnsi="宋体"/>
          <w:kern w:val="0"/>
          <w:sz w:val="24"/>
        </w:rPr>
      </w:pPr>
      <w:r>
        <w:rPr>
          <w:rFonts w:ascii="宋体" w:hAnsi="宋体"/>
          <w:kern w:val="0"/>
          <w:sz w:val="24"/>
        </w:rPr>
        <w:t>1.2报价一律以</w:t>
      </w:r>
      <w:r>
        <w:rPr>
          <w:rFonts w:hint="eastAsia" w:ascii="宋体" w:hAnsi="宋体"/>
          <w:kern w:val="0"/>
          <w:sz w:val="24"/>
        </w:rPr>
        <w:t>DDP用户工地价，</w:t>
      </w:r>
      <w:r>
        <w:rPr>
          <w:rFonts w:ascii="宋体" w:hAnsi="宋体"/>
          <w:kern w:val="0"/>
          <w:sz w:val="24"/>
        </w:rPr>
        <w:t>人民币报价</w:t>
      </w:r>
      <w:r>
        <w:rPr>
          <w:rFonts w:hint="eastAsia" w:ascii="宋体" w:hAnsi="宋体"/>
          <w:kern w:val="0"/>
          <w:sz w:val="24"/>
        </w:rPr>
        <w:t>（含1</w:t>
      </w:r>
      <w:r>
        <w:rPr>
          <w:rFonts w:ascii="宋体" w:hAnsi="宋体"/>
          <w:kern w:val="0"/>
          <w:sz w:val="24"/>
        </w:rPr>
        <w:t>3</w:t>
      </w:r>
      <w:r>
        <w:rPr>
          <w:rFonts w:hint="eastAsia" w:ascii="宋体" w:hAnsi="宋体"/>
          <w:kern w:val="0"/>
          <w:sz w:val="24"/>
        </w:rPr>
        <w:t>%税金）</w:t>
      </w:r>
      <w:r>
        <w:rPr>
          <w:rFonts w:ascii="宋体" w:hAnsi="宋体"/>
          <w:kern w:val="0"/>
          <w:sz w:val="24"/>
        </w:rPr>
        <w:t>。本项目投标总价包括标的物的设计制造、</w:t>
      </w:r>
      <w:r>
        <w:rPr>
          <w:rFonts w:hint="eastAsia" w:ascii="宋体" w:hAnsi="宋体"/>
          <w:kern w:val="0"/>
          <w:sz w:val="24"/>
        </w:rPr>
        <w:t>整机试验、随机备件及专用工具、</w:t>
      </w:r>
      <w:r>
        <w:rPr>
          <w:rFonts w:ascii="宋体" w:hAnsi="宋体"/>
          <w:kern w:val="0"/>
          <w:sz w:val="24"/>
        </w:rPr>
        <w:t>包装、运输、保险、</w:t>
      </w:r>
      <w:r>
        <w:rPr>
          <w:rFonts w:hint="eastAsia" w:ascii="宋体" w:hAnsi="宋体"/>
          <w:kern w:val="0"/>
          <w:sz w:val="24"/>
        </w:rPr>
        <w:t>到货</w:t>
      </w:r>
      <w:r>
        <w:rPr>
          <w:rFonts w:ascii="宋体" w:hAnsi="宋体"/>
          <w:kern w:val="0"/>
          <w:sz w:val="24"/>
        </w:rPr>
        <w:t>验收、技术资料、服务、指导安装及调试等</w:t>
      </w:r>
      <w:r>
        <w:rPr>
          <w:rFonts w:hint="eastAsia" w:ascii="宋体" w:hAnsi="宋体"/>
          <w:kern w:val="0"/>
          <w:sz w:val="24"/>
        </w:rPr>
        <w:t>所有费用</w:t>
      </w:r>
      <w:r>
        <w:rPr>
          <w:rFonts w:ascii="宋体" w:hAnsi="宋体"/>
          <w:kern w:val="0"/>
          <w:sz w:val="24"/>
        </w:rPr>
        <w:t>。</w:t>
      </w:r>
    </w:p>
    <w:p w14:paraId="4AAF1C8A">
      <w:pPr>
        <w:snapToGrid w:val="0"/>
        <w:rPr>
          <w:rFonts w:ascii="宋体" w:hAnsi="宋体"/>
          <w:kern w:val="0"/>
          <w:sz w:val="24"/>
        </w:rPr>
      </w:pPr>
      <w:r>
        <w:rPr>
          <w:rFonts w:ascii="宋体" w:hAnsi="宋体"/>
          <w:kern w:val="0"/>
          <w:sz w:val="24"/>
        </w:rPr>
        <w:t>1.3投标文件中要求对主要的构成进行分项报价（含随机备件、随机专用工具、指导调试培训费用等）；报价单格式详见附件2、3。</w:t>
      </w:r>
    </w:p>
    <w:p w14:paraId="16630C76">
      <w:pPr>
        <w:snapToGrid w:val="0"/>
        <w:rPr>
          <w:rFonts w:ascii="宋体" w:hAnsi="宋体"/>
          <w:kern w:val="0"/>
          <w:sz w:val="24"/>
        </w:rPr>
      </w:pPr>
      <w:r>
        <w:rPr>
          <w:rFonts w:hint="eastAsia" w:ascii="宋体" w:hAnsi="宋体"/>
          <w:kern w:val="0"/>
          <w:sz w:val="24"/>
        </w:rPr>
        <w:t>1</w:t>
      </w:r>
      <w:r>
        <w:rPr>
          <w:rFonts w:ascii="宋体" w:hAnsi="宋体"/>
          <w:kern w:val="0"/>
          <w:sz w:val="24"/>
        </w:rPr>
        <w:t>.4</w:t>
      </w:r>
      <w:r>
        <w:rPr>
          <w:rFonts w:hint="eastAsia" w:ascii="宋体" w:hAnsi="宋体" w:cs="Arial"/>
          <w:sz w:val="24"/>
        </w:rPr>
        <w:t>、</w:t>
      </w:r>
      <w:r>
        <w:rPr>
          <w:rFonts w:hint="eastAsia" w:ascii="宋体" w:hAnsi="宋体"/>
          <w:kern w:val="0"/>
          <w:sz w:val="24"/>
        </w:rPr>
        <w:t>若今后中国政府根据现行税法征收的税款税率出现调整，则不含税价不变，税金按调整后执行。</w:t>
      </w:r>
    </w:p>
    <w:p w14:paraId="2CA1080D">
      <w:pPr>
        <w:pStyle w:val="3"/>
        <w:snapToGrid w:val="0"/>
        <w:spacing w:before="0" w:after="0"/>
        <w:jc w:val="left"/>
        <w:rPr>
          <w:rFonts w:ascii="宋体" w:hAnsi="宋体"/>
          <w:sz w:val="24"/>
          <w:szCs w:val="24"/>
        </w:rPr>
      </w:pPr>
      <w:bookmarkStart w:id="174" w:name="_Toc384113380"/>
      <w:bookmarkStart w:id="175" w:name="_Toc195433174"/>
      <w:r>
        <w:rPr>
          <w:rFonts w:ascii="宋体" w:hAnsi="宋体"/>
          <w:sz w:val="24"/>
          <w:szCs w:val="24"/>
        </w:rPr>
        <w:t>2、交货</w:t>
      </w:r>
      <w:bookmarkEnd w:id="174"/>
      <w:bookmarkEnd w:id="175"/>
    </w:p>
    <w:p w14:paraId="6B883EA8">
      <w:pPr>
        <w:snapToGrid w:val="0"/>
        <w:rPr>
          <w:rFonts w:ascii="宋体" w:hAnsi="宋体"/>
          <w:kern w:val="0"/>
          <w:sz w:val="24"/>
        </w:rPr>
      </w:pPr>
      <w:r>
        <w:rPr>
          <w:rFonts w:ascii="宋体" w:hAnsi="宋体"/>
          <w:kern w:val="0"/>
          <w:sz w:val="24"/>
        </w:rPr>
        <w:t>2.1</w:t>
      </w:r>
      <w:r>
        <w:rPr>
          <w:rFonts w:ascii="宋体" w:hAnsi="宋体"/>
          <w:b/>
          <w:kern w:val="0"/>
          <w:sz w:val="24"/>
        </w:rPr>
        <w:t>交货期：</w:t>
      </w:r>
      <w:r>
        <w:rPr>
          <w:rFonts w:hint="eastAsia" w:ascii="宋体" w:hAnsi="宋体"/>
          <w:b/>
          <w:kern w:val="0"/>
          <w:sz w:val="24"/>
        </w:rPr>
        <w:t>合同生效之日起</w:t>
      </w:r>
      <w:r>
        <w:rPr>
          <w:rFonts w:ascii="宋体" w:hAnsi="宋体"/>
          <w:b/>
          <w:kern w:val="0"/>
          <w:sz w:val="24"/>
          <w:u w:val="single"/>
        </w:rPr>
        <w:t xml:space="preserve">       </w:t>
      </w:r>
      <w:r>
        <w:rPr>
          <w:rFonts w:hint="eastAsia" w:ascii="宋体" w:hAnsi="宋体"/>
          <w:b/>
          <w:kern w:val="0"/>
          <w:sz w:val="24"/>
        </w:rPr>
        <w:t>日历天内。</w:t>
      </w:r>
    </w:p>
    <w:p w14:paraId="011E87D6">
      <w:pPr>
        <w:rPr>
          <w:rFonts w:ascii="宋体" w:hAnsi="宋体"/>
          <w:sz w:val="24"/>
        </w:rPr>
      </w:pPr>
      <w:r>
        <w:rPr>
          <w:rFonts w:ascii="宋体" w:hAnsi="宋体"/>
          <w:kern w:val="0"/>
          <w:sz w:val="24"/>
        </w:rPr>
        <w:t>2.2 交货方式：全部标的物到浙江巨化股份有限公司</w:t>
      </w:r>
      <w:r>
        <w:rPr>
          <w:rFonts w:hint="eastAsia" w:ascii="宋体" w:hAnsi="宋体"/>
          <w:kern w:val="0"/>
          <w:sz w:val="24"/>
        </w:rPr>
        <w:t>电化厂项目</w:t>
      </w:r>
      <w:r>
        <w:rPr>
          <w:rFonts w:ascii="宋体" w:hAnsi="宋体"/>
          <w:kern w:val="0"/>
          <w:sz w:val="24"/>
        </w:rPr>
        <w:t>现场，车板交货。</w:t>
      </w:r>
      <w:r>
        <w:rPr>
          <w:rFonts w:ascii="宋体" w:hAnsi="宋体"/>
          <w:sz w:val="24"/>
        </w:rPr>
        <w:t>投标人负责办理运输和保险</w:t>
      </w:r>
      <w:r>
        <w:rPr>
          <w:rFonts w:hint="eastAsia" w:ascii="宋体" w:hAnsi="宋体"/>
          <w:sz w:val="24"/>
        </w:rPr>
        <w:t>等手续</w:t>
      </w:r>
      <w:r>
        <w:rPr>
          <w:rFonts w:ascii="宋体" w:hAnsi="宋体"/>
          <w:sz w:val="24"/>
        </w:rPr>
        <w:t>，一切费用由投标人承担。</w:t>
      </w:r>
    </w:p>
    <w:p w14:paraId="098A0522">
      <w:pPr>
        <w:snapToGrid w:val="0"/>
        <w:rPr>
          <w:rFonts w:ascii="宋体" w:hAnsi="宋体"/>
          <w:kern w:val="0"/>
          <w:sz w:val="24"/>
        </w:rPr>
      </w:pPr>
      <w:r>
        <w:rPr>
          <w:rFonts w:hint="eastAsia" w:ascii="宋体" w:hAnsi="宋体"/>
          <w:kern w:val="0"/>
          <w:sz w:val="24"/>
        </w:rPr>
        <w:t>2</w:t>
      </w:r>
      <w:r>
        <w:rPr>
          <w:rFonts w:ascii="宋体" w:hAnsi="宋体"/>
          <w:kern w:val="0"/>
          <w:sz w:val="24"/>
        </w:rPr>
        <w:t>.3技术资料、随机工具、备件等附件随标的同时送达招标人。</w:t>
      </w:r>
    </w:p>
    <w:p w14:paraId="668D896C">
      <w:pPr>
        <w:pStyle w:val="3"/>
        <w:snapToGrid w:val="0"/>
        <w:spacing w:before="0" w:after="0"/>
        <w:jc w:val="left"/>
        <w:rPr>
          <w:rFonts w:ascii="宋体" w:hAnsi="宋体"/>
          <w:sz w:val="24"/>
          <w:szCs w:val="24"/>
        </w:rPr>
      </w:pPr>
      <w:bookmarkStart w:id="176" w:name="_Toc195433175"/>
      <w:bookmarkStart w:id="177" w:name="_Toc384113381"/>
      <w:r>
        <w:rPr>
          <w:rFonts w:ascii="宋体" w:hAnsi="宋体"/>
          <w:sz w:val="24"/>
          <w:szCs w:val="24"/>
        </w:rPr>
        <w:t>3、货款支付</w:t>
      </w:r>
      <w:bookmarkEnd w:id="176"/>
      <w:bookmarkEnd w:id="177"/>
    </w:p>
    <w:p w14:paraId="65F09B14">
      <w:pPr>
        <w:snapToGrid w:val="0"/>
        <w:rPr>
          <w:rFonts w:ascii="宋体" w:hAnsi="宋体"/>
          <w:kern w:val="0"/>
          <w:sz w:val="24"/>
        </w:rPr>
      </w:pPr>
      <w:bookmarkStart w:id="178" w:name="_Toc384113382"/>
      <w:r>
        <w:rPr>
          <w:rFonts w:ascii="宋体" w:hAnsi="宋体"/>
          <w:kern w:val="0"/>
          <w:sz w:val="24"/>
        </w:rPr>
        <w:t>*</w:t>
      </w:r>
      <w:r>
        <w:rPr>
          <w:rFonts w:hint="eastAsia" w:ascii="宋体" w:hAnsi="宋体"/>
          <w:kern w:val="0"/>
          <w:sz w:val="24"/>
        </w:rPr>
        <w:t xml:space="preserve">3.1货款采用银行承兑汇票支付。 </w:t>
      </w:r>
    </w:p>
    <w:p w14:paraId="67F93DEB">
      <w:pPr>
        <w:snapToGrid w:val="0"/>
        <w:rPr>
          <w:rFonts w:ascii="宋体" w:hAnsi="宋体"/>
          <w:kern w:val="0"/>
          <w:sz w:val="24"/>
        </w:rPr>
      </w:pPr>
      <w:r>
        <w:rPr>
          <w:rFonts w:hint="eastAsia" w:ascii="宋体" w:hAnsi="宋体"/>
          <w:kern w:val="0"/>
          <w:sz w:val="24"/>
        </w:rPr>
        <w:t>3.2履约保证金（履约保函）为合同总金额的10%。</w:t>
      </w:r>
    </w:p>
    <w:p w14:paraId="2D349B22">
      <w:pPr>
        <w:snapToGrid w:val="0"/>
        <w:rPr>
          <w:rFonts w:ascii="宋体" w:hAnsi="宋体"/>
          <w:kern w:val="0"/>
          <w:sz w:val="24"/>
        </w:rPr>
      </w:pPr>
      <w:r>
        <w:rPr>
          <w:rFonts w:hint="eastAsia" w:ascii="宋体" w:hAnsi="宋体"/>
          <w:kern w:val="0"/>
          <w:sz w:val="24"/>
        </w:rPr>
        <w:t>3.3技术协议、商务合同签订后，招标人在投标人出具履约保证金(履约保函)后30个工作日内向投标人支付合同总金额30%的预付款。</w:t>
      </w:r>
    </w:p>
    <w:p w14:paraId="647BFFCB">
      <w:pPr>
        <w:snapToGrid w:val="0"/>
        <w:rPr>
          <w:rFonts w:ascii="宋体" w:hAnsi="宋体"/>
          <w:kern w:val="0"/>
          <w:sz w:val="24"/>
        </w:rPr>
      </w:pPr>
      <w:r>
        <w:rPr>
          <w:rFonts w:hint="eastAsia" w:ascii="宋体" w:hAnsi="宋体"/>
          <w:kern w:val="0"/>
          <w:sz w:val="24"/>
        </w:rPr>
        <w:t>3.4 设备到验收合格确认后，支付合同总价的</w:t>
      </w:r>
      <w:r>
        <w:rPr>
          <w:rFonts w:ascii="宋体" w:hAnsi="宋体"/>
          <w:kern w:val="0"/>
          <w:sz w:val="24"/>
        </w:rPr>
        <w:t>3</w:t>
      </w:r>
      <w:r>
        <w:rPr>
          <w:rFonts w:hint="eastAsia" w:ascii="宋体" w:hAnsi="宋体"/>
          <w:kern w:val="0"/>
          <w:sz w:val="24"/>
        </w:rPr>
        <w:t>0%作为到货款；中标人同时提供全额增值税发票（13%增值税）。</w:t>
      </w:r>
    </w:p>
    <w:p w14:paraId="5AD671F8">
      <w:pPr>
        <w:snapToGrid w:val="0"/>
        <w:rPr>
          <w:rFonts w:ascii="宋体" w:hAnsi="宋体"/>
          <w:kern w:val="0"/>
          <w:sz w:val="24"/>
        </w:rPr>
      </w:pPr>
      <w:r>
        <w:rPr>
          <w:rFonts w:hint="eastAsia" w:ascii="宋体" w:hAnsi="宋体"/>
          <w:kern w:val="0"/>
          <w:sz w:val="24"/>
        </w:rPr>
        <w:t>3.5</w:t>
      </w:r>
      <w:r>
        <w:rPr>
          <w:rFonts w:ascii="宋体" w:hAnsi="宋体"/>
          <w:kern w:val="0"/>
          <w:sz w:val="24"/>
        </w:rPr>
        <w:t>所有设备到货验收合格且所有电子资料交付后，招标人全额退还投标人履约保证金；</w:t>
      </w:r>
    </w:p>
    <w:p w14:paraId="648C9DE5">
      <w:pPr>
        <w:snapToGrid w:val="0"/>
        <w:rPr>
          <w:rFonts w:ascii="宋体" w:hAnsi="宋体"/>
          <w:kern w:val="0"/>
          <w:sz w:val="24"/>
        </w:rPr>
      </w:pPr>
      <w:r>
        <w:rPr>
          <w:rFonts w:ascii="宋体" w:hAnsi="宋体"/>
          <w:kern w:val="0"/>
          <w:sz w:val="24"/>
        </w:rPr>
        <w:t>*</w:t>
      </w:r>
      <w:r>
        <w:rPr>
          <w:rFonts w:hint="eastAsia" w:ascii="宋体" w:hAnsi="宋体"/>
          <w:kern w:val="0"/>
          <w:sz w:val="24"/>
        </w:rPr>
        <w:t>3.6设备安装调试完毕运行7</w:t>
      </w:r>
      <w:r>
        <w:rPr>
          <w:rFonts w:ascii="宋体" w:hAnsi="宋体"/>
          <w:kern w:val="0"/>
          <w:sz w:val="24"/>
        </w:rPr>
        <w:t>2小时</w:t>
      </w:r>
      <w:r>
        <w:rPr>
          <w:rFonts w:hint="eastAsia" w:ascii="宋体" w:hAnsi="宋体"/>
          <w:kern w:val="0"/>
          <w:sz w:val="24"/>
        </w:rPr>
        <w:t>进行初步性能测试，并在稳定运行30天后再进行第二次性能考核，第二次性能考核合格后支付</w:t>
      </w:r>
      <w:r>
        <w:rPr>
          <w:rFonts w:ascii="宋体" w:hAnsi="宋体"/>
          <w:kern w:val="0"/>
          <w:sz w:val="24"/>
        </w:rPr>
        <w:t>20</w:t>
      </w:r>
      <w:r>
        <w:rPr>
          <w:rFonts w:hint="eastAsia" w:ascii="宋体" w:hAnsi="宋体"/>
          <w:kern w:val="0"/>
          <w:sz w:val="24"/>
        </w:rPr>
        <w:t>%的性能考核货款。</w:t>
      </w:r>
    </w:p>
    <w:p w14:paraId="336D54EC">
      <w:pPr>
        <w:snapToGrid w:val="0"/>
        <w:rPr>
          <w:rFonts w:ascii="宋体" w:hAnsi="宋体"/>
          <w:kern w:val="0"/>
          <w:sz w:val="24"/>
        </w:rPr>
      </w:pPr>
      <w:r>
        <w:rPr>
          <w:rFonts w:ascii="宋体" w:hAnsi="宋体"/>
          <w:kern w:val="0"/>
          <w:sz w:val="24"/>
        </w:rPr>
        <w:t>*3.</w:t>
      </w:r>
      <w:r>
        <w:rPr>
          <w:rFonts w:hint="eastAsia" w:ascii="宋体" w:hAnsi="宋体"/>
          <w:kern w:val="0"/>
          <w:sz w:val="24"/>
        </w:rPr>
        <w:t>7合同总金额的10%作为质保金，质保金留存期限满后双方无异议付清</w:t>
      </w:r>
    </w:p>
    <w:p w14:paraId="2C2DDC6E">
      <w:pPr>
        <w:snapToGrid w:val="0"/>
        <w:rPr>
          <w:rFonts w:ascii="宋体" w:hAnsi="宋体"/>
          <w:kern w:val="0"/>
          <w:sz w:val="24"/>
        </w:rPr>
      </w:pPr>
      <w:r>
        <w:rPr>
          <w:rFonts w:hint="eastAsia" w:ascii="宋体" w:hAnsi="宋体"/>
          <w:kern w:val="0"/>
          <w:sz w:val="24"/>
        </w:rPr>
        <w:t>3.</w:t>
      </w:r>
      <w:r>
        <w:rPr>
          <w:rFonts w:ascii="宋体" w:hAnsi="宋体"/>
          <w:kern w:val="0"/>
          <w:sz w:val="24"/>
        </w:rPr>
        <w:t>8</w:t>
      </w:r>
      <w:r>
        <w:rPr>
          <w:rFonts w:hint="eastAsia" w:ascii="宋体" w:hAnsi="宋体"/>
          <w:kern w:val="0"/>
          <w:sz w:val="24"/>
        </w:rPr>
        <w:t>只接受五大国有银行（工行、农行、建行、中行、交行）开具的银行保函。</w:t>
      </w:r>
    </w:p>
    <w:p w14:paraId="66229C58">
      <w:pPr>
        <w:pStyle w:val="3"/>
        <w:snapToGrid w:val="0"/>
        <w:spacing w:before="0" w:after="0"/>
        <w:jc w:val="left"/>
        <w:rPr>
          <w:rFonts w:ascii="宋体" w:hAnsi="宋体"/>
          <w:sz w:val="24"/>
          <w:szCs w:val="24"/>
        </w:rPr>
      </w:pPr>
      <w:bookmarkStart w:id="179" w:name="_Toc195433176"/>
      <w:r>
        <w:rPr>
          <w:rFonts w:ascii="宋体" w:hAnsi="宋体"/>
          <w:sz w:val="24"/>
          <w:szCs w:val="24"/>
        </w:rPr>
        <w:t>4、质量保证期</w:t>
      </w:r>
      <w:bookmarkEnd w:id="178"/>
      <w:bookmarkEnd w:id="179"/>
    </w:p>
    <w:p w14:paraId="22A07470">
      <w:pPr>
        <w:snapToGrid w:val="0"/>
        <w:rPr>
          <w:rFonts w:ascii="宋体" w:hAnsi="宋体"/>
          <w:sz w:val="24"/>
        </w:rPr>
      </w:pPr>
      <w:r>
        <w:rPr>
          <w:rFonts w:ascii="宋体" w:hAnsi="宋体"/>
          <w:sz w:val="24"/>
        </w:rPr>
        <w:t>4.1</w:t>
      </w:r>
      <w:r>
        <w:rPr>
          <w:rFonts w:ascii="宋体" w:hAnsi="宋体"/>
          <w:kern w:val="0"/>
          <w:sz w:val="24"/>
        </w:rPr>
        <w:t>质保期为</w:t>
      </w:r>
      <w:r>
        <w:rPr>
          <w:rFonts w:hint="eastAsia" w:ascii="宋体" w:hAnsi="宋体"/>
          <w:sz w:val="24"/>
        </w:rPr>
        <w:t>设备性能考核结束，双方代表签字验收之日</w:t>
      </w:r>
      <w:r>
        <w:rPr>
          <w:rFonts w:ascii="宋体" w:hAnsi="宋体"/>
          <w:sz w:val="24"/>
        </w:rPr>
        <w:t>起12个月</w:t>
      </w:r>
      <w:r>
        <w:rPr>
          <w:rFonts w:hint="eastAsia" w:ascii="宋体" w:hAnsi="宋体"/>
          <w:sz w:val="24"/>
        </w:rPr>
        <w:t>或到货验收合格后2</w:t>
      </w:r>
      <w:r>
        <w:rPr>
          <w:rFonts w:ascii="宋体" w:hAnsi="宋体"/>
          <w:sz w:val="24"/>
        </w:rPr>
        <w:t xml:space="preserve">2个月，以先到为准。 </w:t>
      </w:r>
    </w:p>
    <w:p w14:paraId="4559DA66">
      <w:pPr>
        <w:pStyle w:val="3"/>
        <w:snapToGrid w:val="0"/>
        <w:spacing w:before="0" w:after="0"/>
        <w:jc w:val="left"/>
        <w:rPr>
          <w:rFonts w:ascii="宋体" w:hAnsi="宋体"/>
          <w:sz w:val="24"/>
          <w:szCs w:val="24"/>
        </w:rPr>
      </w:pPr>
      <w:bookmarkStart w:id="180" w:name="_Toc195433177"/>
      <w:bookmarkStart w:id="181" w:name="_Toc384113383"/>
      <w:r>
        <w:rPr>
          <w:rFonts w:hint="eastAsia" w:ascii="宋体" w:hAnsi="宋体"/>
          <w:sz w:val="24"/>
          <w:szCs w:val="24"/>
        </w:rPr>
        <w:t>5．</w:t>
      </w:r>
      <w:r>
        <w:rPr>
          <w:rFonts w:ascii="宋体" w:hAnsi="宋体"/>
          <w:sz w:val="24"/>
          <w:szCs w:val="24"/>
        </w:rPr>
        <w:t>售后服务</w:t>
      </w:r>
      <w:bookmarkEnd w:id="180"/>
      <w:bookmarkEnd w:id="181"/>
    </w:p>
    <w:p w14:paraId="09F2AAD6">
      <w:pPr>
        <w:snapToGrid w:val="0"/>
        <w:rPr>
          <w:rFonts w:ascii="宋体" w:hAnsi="宋体"/>
          <w:kern w:val="0"/>
          <w:sz w:val="24"/>
        </w:rPr>
      </w:pPr>
      <w:r>
        <w:rPr>
          <w:rFonts w:ascii="宋体" w:hAnsi="宋体"/>
          <w:kern w:val="0"/>
          <w:sz w:val="24"/>
        </w:rPr>
        <w:t>5.1在质保期内，投标人应负责因设备本身导致的各种故障的免费技术服务及维修。</w:t>
      </w:r>
    </w:p>
    <w:p w14:paraId="76B84841">
      <w:pPr>
        <w:snapToGrid w:val="0"/>
        <w:rPr>
          <w:rFonts w:ascii="宋体" w:hAnsi="宋体"/>
          <w:kern w:val="0"/>
          <w:sz w:val="24"/>
        </w:rPr>
      </w:pPr>
      <w:r>
        <w:rPr>
          <w:rFonts w:ascii="宋体" w:hAnsi="宋体"/>
          <w:kern w:val="0"/>
          <w:sz w:val="24"/>
        </w:rPr>
        <w:t>5.2设备出现故障时，投标人应在 24小时内到达现场提供售后维修服务等。</w:t>
      </w:r>
    </w:p>
    <w:p w14:paraId="1FB169CB">
      <w:pPr>
        <w:pStyle w:val="3"/>
        <w:snapToGrid w:val="0"/>
        <w:spacing w:before="0" w:after="0"/>
        <w:jc w:val="left"/>
        <w:rPr>
          <w:rFonts w:ascii="宋体" w:hAnsi="宋体"/>
          <w:sz w:val="24"/>
          <w:szCs w:val="24"/>
        </w:rPr>
      </w:pPr>
      <w:bookmarkStart w:id="182" w:name="_Toc195433178"/>
      <w:r>
        <w:rPr>
          <w:rFonts w:ascii="宋体" w:hAnsi="宋体"/>
          <w:sz w:val="24"/>
          <w:szCs w:val="24"/>
        </w:rPr>
        <w:t>6、验收</w:t>
      </w:r>
      <w:bookmarkEnd w:id="182"/>
    </w:p>
    <w:p w14:paraId="78FA9E9E">
      <w:pPr>
        <w:snapToGrid w:val="0"/>
        <w:rPr>
          <w:rFonts w:ascii="宋体" w:hAnsi="宋体"/>
          <w:kern w:val="0"/>
          <w:sz w:val="24"/>
        </w:rPr>
      </w:pPr>
      <w:bookmarkStart w:id="183" w:name="_Toc435434957"/>
      <w:r>
        <w:rPr>
          <w:rFonts w:hint="eastAsia" w:ascii="宋体" w:hAnsi="宋体"/>
          <w:kern w:val="0"/>
          <w:sz w:val="24"/>
        </w:rPr>
        <w:t>6</w:t>
      </w:r>
      <w:r>
        <w:rPr>
          <w:rFonts w:ascii="宋体" w:hAnsi="宋体"/>
          <w:kern w:val="0"/>
          <w:sz w:val="24"/>
        </w:rPr>
        <w:t>.1交货前，投标人应对标的物的质量、规格、性能、数量和重量等进行全面检验，出具合格证。</w:t>
      </w:r>
    </w:p>
    <w:p w14:paraId="1479BC55">
      <w:pPr>
        <w:snapToGrid w:val="0"/>
        <w:rPr>
          <w:rFonts w:ascii="宋体" w:hAnsi="宋体"/>
          <w:kern w:val="0"/>
          <w:sz w:val="24"/>
        </w:rPr>
      </w:pPr>
      <w:r>
        <w:rPr>
          <w:rFonts w:hint="eastAsia" w:ascii="宋体" w:hAnsi="宋体"/>
          <w:kern w:val="0"/>
          <w:sz w:val="24"/>
        </w:rPr>
        <w:t>6</w:t>
      </w:r>
      <w:r>
        <w:rPr>
          <w:rFonts w:ascii="宋体" w:hAnsi="宋体"/>
          <w:kern w:val="0"/>
          <w:sz w:val="24"/>
        </w:rPr>
        <w:t>.2标的运抵现场30个工作日内，招标人应对货物的质量、规格、数量和重量进行检验，验收应依据合同和</w:t>
      </w:r>
      <w:r>
        <w:rPr>
          <w:rFonts w:hint="eastAsia" w:ascii="宋体" w:hAnsi="宋体"/>
          <w:kern w:val="0"/>
          <w:sz w:val="24"/>
        </w:rPr>
        <w:t>技术协议</w:t>
      </w:r>
      <w:r>
        <w:rPr>
          <w:rFonts w:ascii="宋体" w:hAnsi="宋体"/>
          <w:kern w:val="0"/>
          <w:sz w:val="24"/>
        </w:rPr>
        <w:t>的相关要求。如合同</w:t>
      </w:r>
      <w:r>
        <w:rPr>
          <w:rFonts w:hint="eastAsia" w:ascii="宋体" w:hAnsi="宋体"/>
          <w:kern w:val="0"/>
          <w:sz w:val="24"/>
        </w:rPr>
        <w:t>及技术协议</w:t>
      </w:r>
      <w:r>
        <w:rPr>
          <w:rFonts w:ascii="宋体" w:hAnsi="宋体"/>
          <w:kern w:val="0"/>
          <w:sz w:val="24"/>
        </w:rPr>
        <w:t>未明确约定的，按合同法的有关规定办理，验收结果双方应签字确认。若投标人不到现场验收签字，以招标人验收结果为准。</w:t>
      </w:r>
    </w:p>
    <w:p w14:paraId="6D0D6AC5">
      <w:pPr>
        <w:snapToGrid w:val="0"/>
        <w:rPr>
          <w:rFonts w:ascii="宋体" w:hAnsi="宋体"/>
          <w:kern w:val="0"/>
          <w:sz w:val="24"/>
        </w:rPr>
      </w:pPr>
      <w:r>
        <w:rPr>
          <w:rFonts w:hint="eastAsia" w:ascii="宋体" w:hAnsi="宋体"/>
          <w:kern w:val="0"/>
          <w:sz w:val="24"/>
        </w:rPr>
        <w:t>6</w:t>
      </w:r>
      <w:r>
        <w:rPr>
          <w:rFonts w:ascii="宋体" w:hAnsi="宋体"/>
          <w:kern w:val="0"/>
          <w:sz w:val="24"/>
        </w:rPr>
        <w:t>.3投标人应提供货物的有效检验文件，经招标人认可后，与合同</w:t>
      </w:r>
      <w:r>
        <w:rPr>
          <w:rFonts w:hint="eastAsia" w:ascii="宋体" w:hAnsi="宋体"/>
          <w:kern w:val="0"/>
          <w:sz w:val="24"/>
        </w:rPr>
        <w:t>及技术协议内</w:t>
      </w:r>
      <w:r>
        <w:rPr>
          <w:rFonts w:ascii="宋体" w:hAnsi="宋体"/>
          <w:kern w:val="0"/>
          <w:sz w:val="24"/>
        </w:rPr>
        <w:t>的性能指标一起作为货物验收标准。验收中发现货物达不到验收标准或合同</w:t>
      </w:r>
      <w:r>
        <w:rPr>
          <w:rFonts w:hint="eastAsia" w:ascii="宋体" w:hAnsi="宋体"/>
          <w:kern w:val="0"/>
          <w:sz w:val="24"/>
        </w:rPr>
        <w:t>及技术协议</w:t>
      </w:r>
      <w:r>
        <w:rPr>
          <w:rFonts w:ascii="宋体" w:hAnsi="宋体"/>
          <w:kern w:val="0"/>
          <w:sz w:val="24"/>
        </w:rPr>
        <w:t>规定的性能指标，投标人必须调整或更换货物，并且赔偿由此给用户造成的损失。在设备制作过程中，招标人有权派代表随时到制造现场抽检各种原材料，并委托第三方出具抽检材料的规格和成分证明资料。若第三方证明资料证明抽检材料满足国标要求，则抽检费用由招标人承担；否则抽检费用由</w:t>
      </w:r>
      <w:r>
        <w:rPr>
          <w:rFonts w:hint="eastAsia" w:ascii="宋体" w:hAnsi="宋体"/>
          <w:kern w:val="0"/>
          <w:sz w:val="24"/>
        </w:rPr>
        <w:t>投标人</w:t>
      </w:r>
      <w:r>
        <w:rPr>
          <w:rFonts w:ascii="宋体" w:hAnsi="宋体"/>
          <w:kern w:val="0"/>
          <w:sz w:val="24"/>
        </w:rPr>
        <w:t>承担。同时若有抽检项目不能满足国标下限值，招标人有权要求投标人立即停工，并无条件免费替换相应材料。期间耽误工期所造成的损失全部由投标人承担。</w:t>
      </w:r>
    </w:p>
    <w:p w14:paraId="669110EA">
      <w:pPr>
        <w:snapToGrid w:val="0"/>
        <w:rPr>
          <w:rFonts w:ascii="宋体" w:hAnsi="宋体"/>
          <w:kern w:val="0"/>
          <w:sz w:val="24"/>
        </w:rPr>
      </w:pPr>
      <w:r>
        <w:rPr>
          <w:rFonts w:hint="eastAsia" w:ascii="宋体" w:hAnsi="宋体"/>
          <w:kern w:val="0"/>
          <w:sz w:val="24"/>
        </w:rPr>
        <w:t>6.</w:t>
      </w:r>
      <w:r>
        <w:rPr>
          <w:rFonts w:ascii="宋体" w:hAnsi="宋体"/>
          <w:kern w:val="0"/>
          <w:sz w:val="24"/>
        </w:rPr>
        <w:t>4</w:t>
      </w:r>
      <w:r>
        <w:rPr>
          <w:rFonts w:hint="eastAsia" w:ascii="宋体" w:hAnsi="宋体"/>
          <w:kern w:val="0"/>
          <w:sz w:val="24"/>
        </w:rPr>
        <w:t>标的物制造期间，招标人有权派人到设备制造工厂监制中标人制造、装配、总装后测试等生产进度情况，中标人有义务配合办理有关手续及在设备制造工厂期间给予生活上的便利（监制过程中，中标人发生的费用由中标人自理）。</w:t>
      </w:r>
    </w:p>
    <w:p w14:paraId="3384CAB0">
      <w:pPr>
        <w:pStyle w:val="3"/>
        <w:snapToGrid w:val="0"/>
        <w:spacing w:before="0" w:after="0"/>
        <w:jc w:val="left"/>
        <w:rPr>
          <w:rFonts w:ascii="宋体" w:hAnsi="宋体"/>
          <w:sz w:val="24"/>
          <w:szCs w:val="24"/>
        </w:rPr>
      </w:pPr>
      <w:bookmarkStart w:id="184" w:name="_Toc195433179"/>
      <w:r>
        <w:rPr>
          <w:rFonts w:ascii="宋体" w:hAnsi="宋体"/>
          <w:sz w:val="24"/>
          <w:szCs w:val="24"/>
        </w:rPr>
        <w:t>7、违约责任</w:t>
      </w:r>
      <w:bookmarkEnd w:id="183"/>
      <w:bookmarkEnd w:id="184"/>
    </w:p>
    <w:p w14:paraId="5FDA6575">
      <w:pPr>
        <w:snapToGrid w:val="0"/>
        <w:rPr>
          <w:rFonts w:ascii="宋体" w:hAnsi="宋体"/>
          <w:kern w:val="0"/>
          <w:sz w:val="24"/>
        </w:rPr>
      </w:pPr>
      <w:r>
        <w:rPr>
          <w:rFonts w:hint="eastAsia" w:ascii="宋体" w:hAnsi="宋体"/>
          <w:kern w:val="0"/>
          <w:sz w:val="24"/>
        </w:rPr>
        <w:t>7</w:t>
      </w:r>
      <w:r>
        <w:rPr>
          <w:rFonts w:ascii="宋体" w:hAnsi="宋体"/>
          <w:kern w:val="0"/>
          <w:sz w:val="24"/>
        </w:rPr>
        <w:t>.1延期交货</w:t>
      </w:r>
    </w:p>
    <w:p w14:paraId="4A8F2116">
      <w:pPr>
        <w:snapToGrid w:val="0"/>
        <w:rPr>
          <w:rFonts w:ascii="宋体" w:hAnsi="宋体"/>
          <w:kern w:val="0"/>
          <w:sz w:val="24"/>
        </w:rPr>
      </w:pPr>
      <w:r>
        <w:rPr>
          <w:rFonts w:hint="eastAsia" w:ascii="宋体" w:hAnsi="宋体"/>
          <w:kern w:val="0"/>
          <w:sz w:val="24"/>
        </w:rPr>
        <w:t>7</w:t>
      </w:r>
      <w:r>
        <w:rPr>
          <w:rFonts w:ascii="宋体" w:hAnsi="宋体"/>
          <w:kern w:val="0"/>
          <w:sz w:val="24"/>
        </w:rPr>
        <w:t>.1.1如因投标人自身原因造成逾期交货，交货时间（以实际签收日为准）每推迟一</w:t>
      </w:r>
      <w:r>
        <w:rPr>
          <w:rFonts w:hint="eastAsia" w:ascii="宋体" w:hAnsi="宋体"/>
          <w:kern w:val="0"/>
          <w:sz w:val="24"/>
        </w:rPr>
        <w:t>日历</w:t>
      </w:r>
      <w:r>
        <w:rPr>
          <w:rFonts w:ascii="宋体" w:hAnsi="宋体"/>
          <w:kern w:val="0"/>
          <w:sz w:val="24"/>
        </w:rPr>
        <w:t>天支付合同总价的</w:t>
      </w:r>
      <w:r>
        <w:rPr>
          <w:rFonts w:hint="eastAsia" w:ascii="宋体" w:hAnsi="宋体"/>
          <w:kern w:val="0"/>
          <w:sz w:val="24"/>
        </w:rPr>
        <w:t>0.</w:t>
      </w:r>
      <w:r>
        <w:rPr>
          <w:rFonts w:ascii="宋体" w:hAnsi="宋体"/>
          <w:kern w:val="0"/>
          <w:sz w:val="24"/>
        </w:rPr>
        <w:t>4%违约金，违约金累计总金额不超过合同总金额的</w:t>
      </w:r>
      <w:r>
        <w:rPr>
          <w:rFonts w:hint="eastAsia" w:ascii="宋体" w:hAnsi="宋体"/>
          <w:kern w:val="0"/>
          <w:sz w:val="24"/>
        </w:rPr>
        <w:t>20</w:t>
      </w:r>
      <w:r>
        <w:rPr>
          <w:rFonts w:ascii="宋体" w:hAnsi="宋体"/>
          <w:kern w:val="0"/>
          <w:sz w:val="24"/>
        </w:rPr>
        <w:t>%。逾期交货超过50</w:t>
      </w:r>
      <w:r>
        <w:rPr>
          <w:rFonts w:hint="eastAsia" w:ascii="宋体" w:hAnsi="宋体"/>
          <w:kern w:val="0"/>
          <w:sz w:val="24"/>
        </w:rPr>
        <w:t>个日历</w:t>
      </w:r>
      <w:r>
        <w:rPr>
          <w:rFonts w:ascii="宋体" w:hAnsi="宋体"/>
          <w:kern w:val="0"/>
          <w:sz w:val="24"/>
        </w:rPr>
        <w:t>天，视为投标人不能交货，招标人有权终止合同，终止合同后5个工作日内投标人全额返还所有已付款项，并支付合同总金额</w:t>
      </w:r>
      <w:r>
        <w:rPr>
          <w:rFonts w:hint="eastAsia" w:ascii="宋体" w:hAnsi="宋体"/>
          <w:kern w:val="0"/>
          <w:sz w:val="24"/>
        </w:rPr>
        <w:t>2</w:t>
      </w:r>
      <w:r>
        <w:rPr>
          <w:rFonts w:ascii="宋体" w:hAnsi="宋体"/>
          <w:kern w:val="0"/>
          <w:sz w:val="24"/>
        </w:rPr>
        <w:t>0%的违约金，招标人保留进一步索赔的权利。</w:t>
      </w:r>
    </w:p>
    <w:p w14:paraId="2EDF7FCA">
      <w:pPr>
        <w:snapToGrid w:val="0"/>
        <w:rPr>
          <w:rFonts w:ascii="宋体" w:hAnsi="宋体"/>
          <w:sz w:val="24"/>
        </w:rPr>
      </w:pPr>
      <w:r>
        <w:rPr>
          <w:rFonts w:hint="eastAsia" w:ascii="宋体" w:hAnsi="宋体"/>
          <w:kern w:val="0"/>
          <w:sz w:val="24"/>
        </w:rPr>
        <w:t>7</w:t>
      </w:r>
      <w:r>
        <w:rPr>
          <w:rFonts w:ascii="宋体" w:hAnsi="宋体"/>
          <w:kern w:val="0"/>
          <w:sz w:val="24"/>
        </w:rPr>
        <w:t>.1.2投标人</w:t>
      </w:r>
      <w:r>
        <w:rPr>
          <w:rFonts w:hint="eastAsia" w:ascii="宋体" w:hAnsi="宋体"/>
          <w:sz w:val="24"/>
        </w:rPr>
        <w:t>未按合同要求按期提供全部技术资料，特种设备的资料参照延期交货执行，其他设备的资料延期按1</w:t>
      </w:r>
      <w:r>
        <w:rPr>
          <w:rFonts w:ascii="宋体" w:hAnsi="宋体"/>
          <w:sz w:val="24"/>
        </w:rPr>
        <w:t>000元/周计收违约金（不足一周按一周计算）；</w:t>
      </w:r>
      <w:r>
        <w:rPr>
          <w:rFonts w:hint="eastAsia" w:ascii="宋体" w:hAnsi="宋体"/>
          <w:sz w:val="24"/>
        </w:rPr>
        <w:t>未按合同要求及时提供现场指导服务，参照延期交货执行。</w:t>
      </w:r>
    </w:p>
    <w:p w14:paraId="6752B3F7">
      <w:pPr>
        <w:snapToGrid w:val="0"/>
        <w:rPr>
          <w:rFonts w:ascii="宋体" w:hAnsi="宋体"/>
          <w:kern w:val="0"/>
          <w:sz w:val="24"/>
        </w:rPr>
      </w:pPr>
      <w:r>
        <w:rPr>
          <w:rFonts w:hint="eastAsia" w:ascii="宋体" w:hAnsi="宋体"/>
          <w:kern w:val="0"/>
          <w:sz w:val="24"/>
        </w:rPr>
        <w:t>7</w:t>
      </w:r>
      <w:r>
        <w:rPr>
          <w:rFonts w:ascii="宋体" w:hAnsi="宋体"/>
          <w:kern w:val="0"/>
          <w:sz w:val="24"/>
        </w:rPr>
        <w:t>.2质量纠纷</w:t>
      </w:r>
    </w:p>
    <w:p w14:paraId="0D938BBD">
      <w:pPr>
        <w:snapToGrid w:val="0"/>
        <w:rPr>
          <w:rFonts w:ascii="宋体" w:hAnsi="宋体"/>
          <w:kern w:val="0"/>
          <w:sz w:val="24"/>
        </w:rPr>
      </w:pPr>
      <w:r>
        <w:rPr>
          <w:rFonts w:hint="eastAsia" w:ascii="宋体" w:hAnsi="宋体"/>
          <w:kern w:val="0"/>
          <w:sz w:val="24"/>
        </w:rPr>
        <w:t>7</w:t>
      </w:r>
      <w:r>
        <w:rPr>
          <w:rFonts w:ascii="宋体" w:hAnsi="宋体"/>
          <w:kern w:val="0"/>
          <w:sz w:val="24"/>
        </w:rPr>
        <w:t>.2.1如投标人产品质量不符合</w:t>
      </w:r>
      <w:r>
        <w:rPr>
          <w:rFonts w:hint="eastAsia" w:ascii="宋体" w:hAnsi="宋体"/>
          <w:kern w:val="0"/>
          <w:sz w:val="24"/>
        </w:rPr>
        <w:t>要求</w:t>
      </w:r>
      <w:r>
        <w:rPr>
          <w:rFonts w:ascii="宋体" w:hAnsi="宋体"/>
          <w:kern w:val="0"/>
          <w:sz w:val="24"/>
        </w:rPr>
        <w:t>，招标人单方面可以选择接受</w:t>
      </w:r>
      <w:r>
        <w:rPr>
          <w:rFonts w:hint="eastAsia" w:ascii="宋体" w:hAnsi="宋体"/>
          <w:kern w:val="0"/>
          <w:sz w:val="24"/>
        </w:rPr>
        <w:t>更换（换新）、按质论价、退货解除合同</w:t>
      </w:r>
      <w:r>
        <w:rPr>
          <w:rFonts w:ascii="宋体" w:hAnsi="宋体"/>
          <w:kern w:val="0"/>
          <w:sz w:val="24"/>
        </w:rPr>
        <w:t>。若招标人选择更换（换新），投标人需支付合同总价30%的违约金；若解除合同，投标人须在5个工作日内全额返还招标人所有已付款项之外还要支付合同总价的30%违约金。</w:t>
      </w:r>
    </w:p>
    <w:p w14:paraId="7A12E0E9">
      <w:pPr>
        <w:snapToGrid w:val="0"/>
        <w:rPr>
          <w:rFonts w:ascii="宋体" w:hAnsi="宋体"/>
          <w:b/>
          <w:sz w:val="24"/>
        </w:rPr>
      </w:pPr>
      <w:r>
        <w:rPr>
          <w:rFonts w:ascii="宋体" w:hAnsi="宋体"/>
          <w:b/>
          <w:sz w:val="24"/>
        </w:rPr>
        <w:t>7.2.2</w:t>
      </w:r>
      <w:r>
        <w:rPr>
          <w:rFonts w:hint="eastAsia" w:ascii="宋体" w:hAnsi="宋体"/>
          <w:b/>
          <w:bCs/>
          <w:sz w:val="24"/>
        </w:rPr>
        <w:t>机组运行时，机组实际动力消耗与对应工况下投标人的轴功率计算理论值偏差应＜5%。如机组实际动力消耗与对应工况下投标人的轴功率计算理论值偏差≥5%，</w:t>
      </w:r>
      <w:r>
        <w:rPr>
          <w:rFonts w:hint="eastAsia" w:ascii="宋体" w:hAnsi="宋体"/>
          <w:b/>
          <w:sz w:val="24"/>
        </w:rPr>
        <w:t>中标人除向招标人支付</w:t>
      </w:r>
      <w:r>
        <w:rPr>
          <w:rFonts w:ascii="宋体" w:hAnsi="宋体"/>
          <w:b/>
          <w:sz w:val="24"/>
        </w:rPr>
        <w:t>100万元/台能耗不达标违约金外，还需另外按万</w:t>
      </w:r>
      <w:r>
        <w:rPr>
          <w:rFonts w:hint="eastAsia" w:ascii="宋体" w:hAnsi="宋体"/>
          <w:b/>
          <w:sz w:val="24"/>
        </w:rPr>
        <w:t>5</w:t>
      </w:r>
      <w:r>
        <w:rPr>
          <w:rFonts w:ascii="宋体" w:hAnsi="宋体"/>
          <w:b/>
          <w:sz w:val="24"/>
        </w:rPr>
        <w:t>元人民币/10KW（超出设计值）的计算标准一次性额外赔偿招标人的能耗损失。</w:t>
      </w:r>
    </w:p>
    <w:p w14:paraId="2E1529BC">
      <w:pPr>
        <w:snapToGrid w:val="0"/>
        <w:rPr>
          <w:rFonts w:ascii="宋体" w:hAnsi="宋体"/>
          <w:b/>
          <w:sz w:val="24"/>
        </w:rPr>
      </w:pPr>
      <w:r>
        <w:rPr>
          <w:rFonts w:ascii="宋体" w:hAnsi="宋体"/>
          <w:sz w:val="24"/>
        </w:rPr>
        <w:t>7.2.3</w:t>
      </w:r>
      <w:r>
        <w:rPr>
          <w:rFonts w:hint="eastAsia" w:ascii="宋体" w:hAnsi="宋体"/>
          <w:sz w:val="24"/>
        </w:rPr>
        <w:t>机组运行时，压缩机正常工况运行点能量头和流量设计不得有负偏差。若任一项存在负偏差，中标人除向招标人支付</w:t>
      </w:r>
      <w:r>
        <w:rPr>
          <w:rFonts w:ascii="宋体" w:hAnsi="宋体"/>
          <w:sz w:val="24"/>
        </w:rPr>
        <w:t>100</w:t>
      </w:r>
      <w:r>
        <w:rPr>
          <w:rFonts w:hint="eastAsia" w:ascii="宋体" w:hAnsi="宋体"/>
          <w:sz w:val="24"/>
        </w:rPr>
        <w:t>万元/台不达标违约金（性能考核款）外，还需另外按5万元人民币/1%（超出设计值）的计算标准一次性额外赔偿招标人的能耗损失。</w:t>
      </w:r>
    </w:p>
    <w:p w14:paraId="1FF6B636">
      <w:pPr>
        <w:adjustRightInd w:val="0"/>
        <w:snapToGrid w:val="0"/>
        <w:spacing w:line="360" w:lineRule="exact"/>
        <w:rPr>
          <w:rFonts w:ascii="宋体" w:hAnsi="宋体"/>
          <w:sz w:val="24"/>
        </w:rPr>
      </w:pPr>
      <w:r>
        <w:rPr>
          <w:rFonts w:ascii="宋体" w:hAnsi="宋体"/>
          <w:sz w:val="24"/>
        </w:rPr>
        <w:t>7.2.4</w:t>
      </w:r>
      <w:r>
        <w:rPr>
          <w:rFonts w:hint="eastAsia" w:ascii="宋体" w:hAnsi="宋体"/>
          <w:sz w:val="24"/>
        </w:rPr>
        <w:t>机械质量保证，在正常工况运行条件下，中标人所供货所有部件和系统本身故障引起的质量问题，中标人应及时整改，整改限期为</w:t>
      </w:r>
      <w:r>
        <w:rPr>
          <w:rFonts w:ascii="宋体" w:hAnsi="宋体"/>
          <w:sz w:val="24"/>
        </w:rPr>
        <w:t>2</w:t>
      </w:r>
      <w:r>
        <w:rPr>
          <w:rFonts w:hint="eastAsia" w:ascii="宋体" w:hAnsi="宋体"/>
          <w:sz w:val="24"/>
        </w:rPr>
        <w:t>个月。若机组在</w:t>
      </w:r>
      <w:r>
        <w:rPr>
          <w:rFonts w:ascii="宋体" w:hAnsi="宋体"/>
          <w:sz w:val="24"/>
        </w:rPr>
        <w:t>2</w:t>
      </w:r>
      <w:r>
        <w:rPr>
          <w:rFonts w:hint="eastAsia" w:ascii="宋体" w:hAnsi="宋体"/>
          <w:sz w:val="24"/>
        </w:rPr>
        <w:t>个月内未完成整改，除需向招标人支付100万元/台的质量不达标违约金外，还需支付整改期间10万元/周的计算标准进行一次性赔偿。</w:t>
      </w:r>
    </w:p>
    <w:p w14:paraId="2B1E6089">
      <w:pPr>
        <w:snapToGrid w:val="0"/>
        <w:rPr>
          <w:rFonts w:ascii="宋体" w:hAnsi="宋体"/>
          <w:b/>
          <w:sz w:val="24"/>
        </w:rPr>
      </w:pPr>
      <w:r>
        <w:rPr>
          <w:rFonts w:ascii="宋体" w:hAnsi="宋体"/>
          <w:sz w:val="24"/>
        </w:rPr>
        <w:t>7.2.5</w:t>
      </w:r>
      <w:r>
        <w:rPr>
          <w:rFonts w:hint="eastAsia" w:ascii="宋体" w:hAnsi="宋体"/>
          <w:sz w:val="24"/>
        </w:rPr>
        <w:t>油路系统驱动端和非驱动端轴承箱处漏油量小于等于5ml/h，系统其余部位均不能漏油。中标人从设计源头做好油路系统密封，若机组在质保期内出现漏油，应及时整改，整改限期为</w:t>
      </w:r>
      <w:r>
        <w:rPr>
          <w:rFonts w:ascii="宋体" w:hAnsi="宋体"/>
          <w:sz w:val="24"/>
        </w:rPr>
        <w:t>2</w:t>
      </w:r>
      <w:r>
        <w:rPr>
          <w:rFonts w:hint="eastAsia" w:ascii="宋体" w:hAnsi="宋体"/>
          <w:sz w:val="24"/>
        </w:rPr>
        <w:t>个月。若机组在</w:t>
      </w:r>
      <w:r>
        <w:rPr>
          <w:rFonts w:ascii="宋体" w:hAnsi="宋体"/>
          <w:sz w:val="24"/>
        </w:rPr>
        <w:t>2</w:t>
      </w:r>
      <w:r>
        <w:rPr>
          <w:rFonts w:hint="eastAsia" w:ascii="宋体" w:hAnsi="宋体"/>
          <w:sz w:val="24"/>
        </w:rPr>
        <w:t>个月内未完成整改，除需向招标人支付</w:t>
      </w:r>
      <w:r>
        <w:rPr>
          <w:rFonts w:ascii="宋体" w:hAnsi="宋体"/>
          <w:sz w:val="24"/>
        </w:rPr>
        <w:t>2</w:t>
      </w:r>
      <w:r>
        <w:rPr>
          <w:rFonts w:hint="eastAsia" w:ascii="宋体" w:hAnsi="宋体"/>
          <w:sz w:val="24"/>
        </w:rPr>
        <w:t>万元/台的质量不达标违约金外，还需支付整改期间0.5万元/周的计算标准进行一次性赔偿。</w:t>
      </w:r>
    </w:p>
    <w:p w14:paraId="13F27C69">
      <w:pPr>
        <w:snapToGrid w:val="0"/>
        <w:rPr>
          <w:rFonts w:ascii="宋体" w:hAnsi="宋体"/>
          <w:kern w:val="0"/>
          <w:sz w:val="24"/>
        </w:rPr>
      </w:pPr>
      <w:r>
        <w:rPr>
          <w:rFonts w:hint="eastAsia" w:ascii="宋体" w:hAnsi="宋体"/>
          <w:kern w:val="0"/>
          <w:sz w:val="24"/>
        </w:rPr>
        <w:t>7</w:t>
      </w:r>
      <w:r>
        <w:rPr>
          <w:rFonts w:ascii="宋体" w:hAnsi="宋体"/>
          <w:kern w:val="0"/>
          <w:sz w:val="24"/>
        </w:rPr>
        <w:t>.3索赔</w:t>
      </w:r>
    </w:p>
    <w:p w14:paraId="6772A469">
      <w:pPr>
        <w:snapToGrid w:val="0"/>
        <w:rPr>
          <w:rFonts w:ascii="宋体" w:hAnsi="宋体"/>
          <w:kern w:val="0"/>
          <w:sz w:val="24"/>
        </w:rPr>
      </w:pPr>
      <w:r>
        <w:rPr>
          <w:rFonts w:hint="eastAsia" w:ascii="宋体" w:hAnsi="宋体"/>
          <w:kern w:val="0"/>
          <w:sz w:val="24"/>
        </w:rPr>
        <w:t>7</w:t>
      </w:r>
      <w:r>
        <w:rPr>
          <w:rFonts w:ascii="宋体" w:hAnsi="宋体"/>
          <w:kern w:val="0"/>
          <w:sz w:val="24"/>
        </w:rPr>
        <w:t>.3.1若投标人延期交货或未按合同</w:t>
      </w:r>
      <w:r>
        <w:rPr>
          <w:rFonts w:hint="eastAsia" w:ascii="宋体" w:hAnsi="宋体"/>
          <w:kern w:val="0"/>
          <w:sz w:val="24"/>
        </w:rPr>
        <w:t>及技术协议</w:t>
      </w:r>
      <w:r>
        <w:rPr>
          <w:rFonts w:ascii="宋体" w:hAnsi="宋体"/>
          <w:kern w:val="0"/>
          <w:sz w:val="24"/>
        </w:rPr>
        <w:t>要求及时提供服务，投标人应承担违约责任，并向招标人支付违约金。违约金按合同价的</w:t>
      </w:r>
      <w:r>
        <w:rPr>
          <w:rFonts w:hint="eastAsia" w:ascii="宋体" w:hAnsi="宋体"/>
          <w:kern w:val="0"/>
          <w:sz w:val="24"/>
        </w:rPr>
        <w:t>0.</w:t>
      </w:r>
      <w:r>
        <w:rPr>
          <w:rFonts w:ascii="宋体" w:hAnsi="宋体"/>
          <w:kern w:val="0"/>
          <w:sz w:val="24"/>
        </w:rPr>
        <w:t>4%/天计收，累计不超过合同总价的</w:t>
      </w:r>
      <w:r>
        <w:rPr>
          <w:rFonts w:hint="eastAsia" w:ascii="宋体" w:hAnsi="宋体"/>
          <w:kern w:val="0"/>
          <w:sz w:val="24"/>
        </w:rPr>
        <w:t>2</w:t>
      </w:r>
      <w:r>
        <w:rPr>
          <w:rFonts w:ascii="宋体" w:hAnsi="宋体"/>
          <w:kern w:val="0"/>
          <w:sz w:val="24"/>
        </w:rPr>
        <w:t>0%。</w:t>
      </w:r>
    </w:p>
    <w:p w14:paraId="60C762C7">
      <w:pPr>
        <w:snapToGrid w:val="0"/>
        <w:rPr>
          <w:rFonts w:ascii="宋体" w:hAnsi="宋体"/>
          <w:kern w:val="0"/>
          <w:sz w:val="24"/>
        </w:rPr>
      </w:pPr>
      <w:r>
        <w:rPr>
          <w:rFonts w:hint="eastAsia" w:ascii="宋体" w:hAnsi="宋体"/>
          <w:kern w:val="0"/>
          <w:sz w:val="24"/>
        </w:rPr>
        <w:t>7.3.2</w:t>
      </w:r>
      <w:r>
        <w:rPr>
          <w:rFonts w:ascii="宋体" w:hAnsi="宋体"/>
          <w:kern w:val="0"/>
          <w:sz w:val="24"/>
        </w:rPr>
        <w:t>如果投标人提供的标的物存在质量问题，</w:t>
      </w:r>
      <w:r>
        <w:rPr>
          <w:rFonts w:hint="eastAsia" w:ascii="宋体" w:hAnsi="宋体"/>
          <w:kern w:val="0"/>
          <w:sz w:val="24"/>
        </w:rPr>
        <w:t>按7</w:t>
      </w:r>
      <w:r>
        <w:rPr>
          <w:rFonts w:ascii="宋体" w:hAnsi="宋体"/>
          <w:kern w:val="0"/>
          <w:sz w:val="24"/>
        </w:rPr>
        <w:t>.2条款执行</w:t>
      </w:r>
      <w:r>
        <w:rPr>
          <w:rFonts w:hint="eastAsia" w:ascii="宋体" w:hAnsi="宋体"/>
          <w:kern w:val="0"/>
          <w:sz w:val="24"/>
        </w:rPr>
        <w:t>。</w:t>
      </w:r>
    </w:p>
    <w:p w14:paraId="1C2242BA">
      <w:pPr>
        <w:snapToGrid w:val="0"/>
        <w:rPr>
          <w:sz w:val="24"/>
        </w:rPr>
      </w:pPr>
      <w:r>
        <w:rPr>
          <w:rFonts w:hint="eastAsia" w:ascii="宋体" w:hAnsi="宋体"/>
          <w:kern w:val="0"/>
          <w:sz w:val="24"/>
        </w:rPr>
        <w:t>7</w:t>
      </w:r>
      <w:r>
        <w:rPr>
          <w:rFonts w:ascii="宋体" w:hAnsi="宋体"/>
          <w:kern w:val="0"/>
          <w:sz w:val="24"/>
        </w:rPr>
        <w:t>.3.</w:t>
      </w:r>
      <w:r>
        <w:rPr>
          <w:rFonts w:hint="eastAsia" w:ascii="宋体" w:hAnsi="宋体"/>
          <w:kern w:val="0"/>
          <w:sz w:val="24"/>
        </w:rPr>
        <w:t>3</w:t>
      </w:r>
      <w:r>
        <w:rPr>
          <w:rFonts w:ascii="宋体" w:hAnsi="宋体"/>
          <w:kern w:val="0"/>
          <w:sz w:val="24"/>
        </w:rPr>
        <w:t>招标人发出索赔通知后</w:t>
      </w:r>
      <w:r>
        <w:rPr>
          <w:rFonts w:hint="eastAsia" w:ascii="宋体" w:hAnsi="宋体"/>
          <w:kern w:val="0"/>
          <w:sz w:val="24"/>
        </w:rPr>
        <w:t>30个日历</w:t>
      </w:r>
      <w:r>
        <w:rPr>
          <w:rFonts w:ascii="宋体" w:hAnsi="宋体"/>
          <w:kern w:val="0"/>
          <w:sz w:val="24"/>
        </w:rPr>
        <w:t>天内，投标人未作答复，应视为投标人接受招标人索赔要求。招标人将从未付款或质量保证金中扣除索赔金额。如果这些金额不足以补偿索赔金额，招标人有权向投标人提出不足部分的补偿。</w:t>
      </w:r>
    </w:p>
    <w:p w14:paraId="5EEBFFB6">
      <w:pPr>
        <w:pStyle w:val="3"/>
        <w:snapToGrid w:val="0"/>
        <w:spacing w:before="0" w:after="0"/>
        <w:jc w:val="left"/>
        <w:rPr>
          <w:rFonts w:ascii="宋体" w:hAnsi="宋体"/>
          <w:kern w:val="0"/>
          <w:sz w:val="24"/>
          <w:szCs w:val="24"/>
        </w:rPr>
      </w:pPr>
      <w:bookmarkStart w:id="185" w:name="_Toc195433180"/>
      <w:r>
        <w:rPr>
          <w:rFonts w:ascii="宋体" w:hAnsi="宋体"/>
          <w:sz w:val="24"/>
          <w:szCs w:val="24"/>
        </w:rPr>
        <w:t>8、</w:t>
      </w:r>
      <w:r>
        <w:rPr>
          <w:rFonts w:hint="eastAsia" w:ascii="宋体" w:hAnsi="宋体"/>
          <w:sz w:val="24"/>
          <w:szCs w:val="24"/>
        </w:rPr>
        <w:t>合同</w:t>
      </w:r>
      <w:r>
        <w:rPr>
          <w:rFonts w:ascii="宋体" w:hAnsi="宋体"/>
          <w:sz w:val="24"/>
          <w:szCs w:val="24"/>
        </w:rPr>
        <w:t>争议解决方式</w:t>
      </w:r>
      <w:bookmarkEnd w:id="185"/>
    </w:p>
    <w:p w14:paraId="7BA5E1DA">
      <w:pPr>
        <w:snapToGrid w:val="0"/>
        <w:rPr>
          <w:rFonts w:ascii="宋体" w:hAnsi="宋体"/>
          <w:kern w:val="0"/>
          <w:sz w:val="24"/>
        </w:rPr>
      </w:pPr>
      <w:r>
        <w:rPr>
          <w:rFonts w:ascii="宋体" w:hAnsi="宋体"/>
          <w:kern w:val="0"/>
          <w:sz w:val="24"/>
        </w:rPr>
        <w:t>本合同在履行过程中发生争议、纠纷，由双方当事人友好协商解决，协商不成时依法向</w:t>
      </w:r>
      <w:r>
        <w:rPr>
          <w:rFonts w:hint="eastAsia" w:ascii="宋体" w:hAnsi="宋体"/>
          <w:kern w:val="0"/>
          <w:sz w:val="24"/>
        </w:rPr>
        <w:t>招标人所在地</w:t>
      </w:r>
      <w:r>
        <w:rPr>
          <w:rFonts w:ascii="宋体" w:hAnsi="宋体"/>
          <w:kern w:val="0"/>
          <w:sz w:val="24"/>
        </w:rPr>
        <w:t>人民法院提起诉讼。</w:t>
      </w:r>
    </w:p>
    <w:p w14:paraId="7D720408">
      <w:pPr>
        <w:pStyle w:val="3"/>
        <w:snapToGrid w:val="0"/>
        <w:spacing w:before="0" w:after="0"/>
        <w:jc w:val="left"/>
        <w:rPr>
          <w:rFonts w:ascii="宋体" w:hAnsi="宋体"/>
          <w:sz w:val="24"/>
          <w:szCs w:val="24"/>
        </w:rPr>
      </w:pPr>
      <w:bookmarkStart w:id="186" w:name="_Toc195433181"/>
      <w:r>
        <w:rPr>
          <w:rFonts w:ascii="宋体" w:hAnsi="宋体"/>
          <w:sz w:val="24"/>
          <w:szCs w:val="24"/>
        </w:rPr>
        <w:t>9、</w:t>
      </w:r>
      <w:r>
        <w:rPr>
          <w:rFonts w:hint="eastAsia" w:ascii="宋体" w:hAnsi="宋体"/>
          <w:sz w:val="24"/>
          <w:szCs w:val="24"/>
        </w:rPr>
        <w:t>违约终止合同</w:t>
      </w:r>
      <w:bookmarkEnd w:id="186"/>
    </w:p>
    <w:p w14:paraId="0175A40F">
      <w:pPr>
        <w:snapToGrid w:val="0"/>
        <w:rPr>
          <w:rFonts w:ascii="宋体" w:hAnsi="宋体"/>
          <w:kern w:val="0"/>
          <w:sz w:val="24"/>
        </w:rPr>
      </w:pPr>
      <w:r>
        <w:rPr>
          <w:rFonts w:ascii="宋体" w:hAnsi="宋体"/>
          <w:kern w:val="0"/>
          <w:sz w:val="24"/>
        </w:rPr>
        <w:t>招标人在投标人违约（发生下列事项）的情况下，可以书面通知投标人终止合同。</w:t>
      </w:r>
    </w:p>
    <w:p w14:paraId="33ECDC21">
      <w:pPr>
        <w:snapToGrid w:val="0"/>
        <w:rPr>
          <w:rFonts w:ascii="宋体" w:hAnsi="宋体"/>
          <w:kern w:val="0"/>
          <w:sz w:val="24"/>
        </w:rPr>
      </w:pPr>
      <w:r>
        <w:rPr>
          <w:rFonts w:hint="eastAsia" w:ascii="宋体" w:hAnsi="宋体"/>
          <w:kern w:val="0"/>
          <w:sz w:val="24"/>
        </w:rPr>
        <w:t>9</w:t>
      </w:r>
      <w:r>
        <w:rPr>
          <w:rFonts w:ascii="宋体" w:hAnsi="宋体"/>
          <w:kern w:val="0"/>
          <w:sz w:val="24"/>
        </w:rPr>
        <w:t>.1若投标人未能在合同</w:t>
      </w:r>
      <w:r>
        <w:rPr>
          <w:rFonts w:hint="eastAsia" w:ascii="宋体" w:hAnsi="宋体"/>
          <w:kern w:val="0"/>
          <w:sz w:val="24"/>
        </w:rPr>
        <w:t>及技术协议</w:t>
      </w:r>
      <w:r>
        <w:rPr>
          <w:rFonts w:ascii="宋体" w:hAnsi="宋体"/>
          <w:kern w:val="0"/>
          <w:sz w:val="24"/>
        </w:rPr>
        <w:t>规定的限期(最迟不晚于招标人同意延长的限期)内提供全部或部分货物。</w:t>
      </w:r>
    </w:p>
    <w:p w14:paraId="3E745E13">
      <w:pPr>
        <w:snapToGrid w:val="0"/>
        <w:rPr>
          <w:rFonts w:ascii="宋体" w:hAnsi="宋体"/>
          <w:kern w:val="0"/>
          <w:sz w:val="24"/>
        </w:rPr>
      </w:pPr>
      <w:r>
        <w:rPr>
          <w:rFonts w:hint="eastAsia" w:ascii="宋体" w:hAnsi="宋体"/>
          <w:kern w:val="0"/>
          <w:sz w:val="24"/>
        </w:rPr>
        <w:t>9</w:t>
      </w:r>
      <w:r>
        <w:rPr>
          <w:rFonts w:ascii="宋体" w:hAnsi="宋体"/>
          <w:kern w:val="0"/>
          <w:sz w:val="24"/>
        </w:rPr>
        <w:t>.2若投标人未能履行合同</w:t>
      </w:r>
      <w:r>
        <w:rPr>
          <w:rFonts w:hint="eastAsia" w:ascii="宋体" w:hAnsi="宋体"/>
          <w:kern w:val="0"/>
          <w:sz w:val="24"/>
        </w:rPr>
        <w:t>及技术协议</w:t>
      </w:r>
      <w:r>
        <w:rPr>
          <w:rFonts w:ascii="宋体" w:hAnsi="宋体"/>
          <w:kern w:val="0"/>
          <w:sz w:val="24"/>
        </w:rPr>
        <w:t>规定的其它义务。投标人在收到招标人发出的违约通知后30</w:t>
      </w:r>
      <w:r>
        <w:rPr>
          <w:rFonts w:hint="eastAsia" w:ascii="宋体" w:hAnsi="宋体"/>
          <w:kern w:val="0"/>
          <w:sz w:val="24"/>
        </w:rPr>
        <w:t>个日历</w:t>
      </w:r>
      <w:r>
        <w:rPr>
          <w:rFonts w:ascii="宋体" w:hAnsi="宋体"/>
          <w:kern w:val="0"/>
          <w:sz w:val="24"/>
        </w:rPr>
        <w:t>天内，或经招标人书面认可延长的时间内未能纠正其过失。招标人可向投标人发出书面通知，解除部分或全部合同。在这种情况下，并不影响招标人向投标人提出的索赔。</w:t>
      </w:r>
    </w:p>
    <w:p w14:paraId="2D6505B9">
      <w:pPr>
        <w:snapToGrid w:val="0"/>
        <w:rPr>
          <w:rFonts w:ascii="宋体" w:hAnsi="宋体"/>
          <w:kern w:val="0"/>
          <w:sz w:val="24"/>
        </w:rPr>
      </w:pPr>
      <w:r>
        <w:rPr>
          <w:rFonts w:hint="eastAsia" w:ascii="宋体" w:hAnsi="宋体"/>
          <w:kern w:val="0"/>
          <w:sz w:val="24"/>
        </w:rPr>
        <w:t>9</w:t>
      </w:r>
      <w:r>
        <w:rPr>
          <w:rFonts w:ascii="宋体" w:hAnsi="宋体"/>
          <w:kern w:val="0"/>
          <w:sz w:val="24"/>
        </w:rPr>
        <w:t>.3若招标人解除了部分合同，投标人还应继续执行合同中未解除的部分。</w:t>
      </w:r>
    </w:p>
    <w:p w14:paraId="4E99C534">
      <w:pPr>
        <w:snapToGrid w:val="0"/>
        <w:rPr>
          <w:rFonts w:ascii="宋体" w:hAnsi="宋体"/>
          <w:kern w:val="0"/>
          <w:sz w:val="24"/>
        </w:rPr>
      </w:pPr>
      <w:r>
        <w:rPr>
          <w:rFonts w:hint="eastAsia" w:ascii="宋体" w:hAnsi="宋体"/>
          <w:kern w:val="0"/>
          <w:sz w:val="24"/>
        </w:rPr>
        <w:t>9</w:t>
      </w:r>
      <w:r>
        <w:rPr>
          <w:rFonts w:ascii="宋体" w:hAnsi="宋体"/>
          <w:kern w:val="0"/>
          <w:sz w:val="24"/>
        </w:rPr>
        <w:t>.4合同约定可以终止合同。</w:t>
      </w:r>
    </w:p>
    <w:p w14:paraId="31DF1046">
      <w:pPr>
        <w:pStyle w:val="3"/>
        <w:snapToGrid w:val="0"/>
        <w:spacing w:before="0" w:after="0"/>
        <w:jc w:val="left"/>
        <w:rPr>
          <w:rFonts w:ascii="宋体" w:hAnsi="宋体"/>
          <w:sz w:val="24"/>
          <w:szCs w:val="24"/>
        </w:rPr>
      </w:pPr>
      <w:bookmarkStart w:id="187" w:name="_Toc195433182"/>
      <w:r>
        <w:rPr>
          <w:rFonts w:ascii="宋体" w:hAnsi="宋体"/>
          <w:sz w:val="24"/>
          <w:szCs w:val="24"/>
        </w:rPr>
        <w:t>10、</w:t>
      </w:r>
      <w:r>
        <w:rPr>
          <w:rFonts w:hint="eastAsia" w:ascii="宋体" w:hAnsi="宋体"/>
          <w:sz w:val="24"/>
          <w:szCs w:val="24"/>
        </w:rPr>
        <w:t>合同修改</w:t>
      </w:r>
      <w:bookmarkEnd w:id="187"/>
    </w:p>
    <w:p w14:paraId="228276BB">
      <w:pPr>
        <w:snapToGrid w:val="0"/>
        <w:rPr>
          <w:rFonts w:ascii="宋体" w:hAnsi="宋体"/>
          <w:kern w:val="0"/>
          <w:sz w:val="24"/>
        </w:rPr>
      </w:pPr>
      <w:r>
        <w:rPr>
          <w:rFonts w:ascii="宋体" w:hAnsi="宋体"/>
          <w:kern w:val="0"/>
          <w:sz w:val="24"/>
        </w:rPr>
        <w:t>欲对本合同条款进行任何改动，均须由</w:t>
      </w:r>
      <w:r>
        <w:rPr>
          <w:rFonts w:hint="eastAsia" w:ascii="宋体" w:hAnsi="宋体"/>
          <w:kern w:val="0"/>
          <w:sz w:val="24"/>
        </w:rPr>
        <w:t>投标</w:t>
      </w:r>
      <w:r>
        <w:rPr>
          <w:rFonts w:ascii="宋体" w:hAnsi="宋体"/>
          <w:kern w:val="0"/>
          <w:sz w:val="24"/>
        </w:rPr>
        <w:t>人</w:t>
      </w:r>
      <w:r>
        <w:rPr>
          <w:rFonts w:hint="eastAsia" w:ascii="宋体" w:hAnsi="宋体"/>
          <w:kern w:val="0"/>
          <w:sz w:val="24"/>
        </w:rPr>
        <w:t>、</w:t>
      </w:r>
      <w:r>
        <w:rPr>
          <w:rFonts w:ascii="宋体" w:hAnsi="宋体"/>
          <w:kern w:val="0"/>
          <w:sz w:val="24"/>
        </w:rPr>
        <w:t>招标人双方签署书面的合同修改书。</w:t>
      </w:r>
    </w:p>
    <w:p w14:paraId="07543DE2">
      <w:pPr>
        <w:pStyle w:val="3"/>
        <w:snapToGrid w:val="0"/>
        <w:spacing w:before="0" w:after="0"/>
        <w:jc w:val="left"/>
        <w:rPr>
          <w:rFonts w:ascii="宋体" w:hAnsi="宋体"/>
          <w:sz w:val="24"/>
          <w:szCs w:val="24"/>
        </w:rPr>
      </w:pPr>
      <w:bookmarkStart w:id="188" w:name="_Toc195433183"/>
      <w:r>
        <w:rPr>
          <w:rFonts w:ascii="宋体" w:hAnsi="宋体"/>
          <w:sz w:val="24"/>
          <w:szCs w:val="24"/>
        </w:rPr>
        <w:t>11、</w:t>
      </w:r>
      <w:r>
        <w:rPr>
          <w:rFonts w:hint="eastAsia" w:ascii="宋体" w:hAnsi="宋体"/>
          <w:sz w:val="24"/>
          <w:szCs w:val="24"/>
        </w:rPr>
        <w:t>通知</w:t>
      </w:r>
      <w:bookmarkEnd w:id="188"/>
    </w:p>
    <w:p w14:paraId="3B0D464A">
      <w:pPr>
        <w:snapToGrid w:val="0"/>
        <w:rPr>
          <w:rFonts w:ascii="宋体" w:hAnsi="宋体"/>
          <w:kern w:val="0"/>
          <w:sz w:val="24"/>
        </w:rPr>
      </w:pPr>
      <w:r>
        <w:rPr>
          <w:rFonts w:ascii="宋体" w:hAnsi="宋体"/>
          <w:kern w:val="0"/>
          <w:sz w:val="24"/>
        </w:rPr>
        <w:t>本合同任何一方给另一方的通知，都应以书面或电传/传真/电报</w:t>
      </w:r>
      <w:r>
        <w:rPr>
          <w:rFonts w:hint="eastAsia" w:ascii="宋体" w:hAnsi="宋体"/>
          <w:kern w:val="0"/>
          <w:sz w:val="24"/>
        </w:rPr>
        <w:t>/</w:t>
      </w:r>
      <w:r>
        <w:rPr>
          <w:rFonts w:ascii="宋体" w:hAnsi="宋体"/>
          <w:kern w:val="0"/>
          <w:sz w:val="24"/>
        </w:rPr>
        <w:t>的形式发送，而另一方应以书面形式确认并发送到对方明确的地址。</w:t>
      </w:r>
    </w:p>
    <w:p w14:paraId="5F0BBCDD">
      <w:pPr>
        <w:pStyle w:val="3"/>
        <w:snapToGrid w:val="0"/>
        <w:spacing w:before="0" w:after="0"/>
        <w:jc w:val="left"/>
        <w:rPr>
          <w:rFonts w:ascii="宋体" w:hAnsi="宋体"/>
          <w:sz w:val="24"/>
          <w:szCs w:val="24"/>
        </w:rPr>
      </w:pPr>
      <w:bookmarkStart w:id="189" w:name="_Toc195433184"/>
      <w:r>
        <w:rPr>
          <w:rFonts w:ascii="宋体" w:hAnsi="宋体"/>
          <w:sz w:val="24"/>
          <w:szCs w:val="24"/>
        </w:rPr>
        <w:t>12、</w:t>
      </w:r>
      <w:r>
        <w:rPr>
          <w:rFonts w:hint="eastAsia" w:ascii="宋体" w:hAnsi="宋体"/>
          <w:sz w:val="24"/>
          <w:szCs w:val="24"/>
          <w:lang w:val="en-US" w:eastAsia="zh-CN"/>
        </w:rPr>
        <w:t>适</w:t>
      </w:r>
      <w:r>
        <w:rPr>
          <w:rFonts w:hint="eastAsia" w:ascii="宋体" w:hAnsi="宋体"/>
          <w:sz w:val="24"/>
          <w:szCs w:val="24"/>
        </w:rPr>
        <w:t>用法律</w:t>
      </w:r>
      <w:bookmarkEnd w:id="189"/>
    </w:p>
    <w:p w14:paraId="5B9A2CA8">
      <w:pPr>
        <w:snapToGrid w:val="0"/>
        <w:rPr>
          <w:rFonts w:ascii="宋体" w:hAnsi="宋体"/>
          <w:kern w:val="0"/>
          <w:sz w:val="24"/>
        </w:rPr>
      </w:pPr>
      <w:r>
        <w:rPr>
          <w:rFonts w:ascii="宋体" w:hAnsi="宋体"/>
          <w:kern w:val="0"/>
          <w:sz w:val="24"/>
        </w:rPr>
        <w:t>本合同应按照中华人民共和国的法律进行解释。</w:t>
      </w:r>
    </w:p>
    <w:p w14:paraId="514B635F">
      <w:pPr>
        <w:pStyle w:val="3"/>
        <w:snapToGrid w:val="0"/>
        <w:spacing w:before="0" w:after="0"/>
        <w:jc w:val="left"/>
        <w:rPr>
          <w:rFonts w:ascii="宋体" w:hAnsi="宋体"/>
          <w:sz w:val="24"/>
          <w:szCs w:val="24"/>
        </w:rPr>
      </w:pPr>
      <w:bookmarkStart w:id="190" w:name="_Toc195433185"/>
      <w:r>
        <w:rPr>
          <w:rFonts w:ascii="宋体" w:hAnsi="宋体"/>
          <w:sz w:val="24"/>
          <w:szCs w:val="24"/>
        </w:rPr>
        <w:t>13、</w:t>
      </w:r>
      <w:r>
        <w:rPr>
          <w:rFonts w:hint="eastAsia" w:ascii="宋体" w:hAnsi="宋体"/>
          <w:sz w:val="24"/>
          <w:szCs w:val="24"/>
        </w:rPr>
        <w:t>知识产权</w:t>
      </w:r>
      <w:bookmarkEnd w:id="190"/>
    </w:p>
    <w:p w14:paraId="7BCB7684">
      <w:pPr>
        <w:snapToGrid w:val="0"/>
        <w:rPr>
          <w:rFonts w:ascii="宋体" w:hAnsi="宋体"/>
          <w:kern w:val="0"/>
          <w:sz w:val="24"/>
        </w:rPr>
      </w:pPr>
      <w:r>
        <w:rPr>
          <w:rFonts w:hint="eastAsia" w:ascii="宋体" w:hAnsi="宋体"/>
          <w:kern w:val="0"/>
          <w:sz w:val="24"/>
        </w:rPr>
        <w:t>13.1如果投标人提供的产品或技术有其自己的知识产权，应提供企业知识产权权属证明，并投标人须维持其知识产权有效性的义务及相应责任；（用于选购合同、招标文件中)</w:t>
      </w:r>
    </w:p>
    <w:p w14:paraId="5A78530D">
      <w:pPr>
        <w:snapToGrid w:val="0"/>
        <w:rPr>
          <w:rFonts w:ascii="宋体" w:hAnsi="宋体"/>
          <w:kern w:val="0"/>
          <w:sz w:val="24"/>
        </w:rPr>
      </w:pPr>
      <w:r>
        <w:rPr>
          <w:rFonts w:hint="eastAsia" w:ascii="宋体" w:hAnsi="宋体"/>
          <w:kern w:val="0"/>
          <w:sz w:val="24"/>
        </w:rPr>
        <w:t>13.2如果投标人对提供的产品或技术没有其自己的知识产权，投标人须保证不侵犯他人知识产权的义务；（用于选购合同、招标文件中)</w:t>
      </w:r>
    </w:p>
    <w:p w14:paraId="6314FCDA">
      <w:pPr>
        <w:snapToGrid w:val="0"/>
        <w:rPr>
          <w:rFonts w:ascii="宋体" w:hAnsi="宋体"/>
          <w:kern w:val="0"/>
          <w:sz w:val="24"/>
        </w:rPr>
      </w:pPr>
      <w:r>
        <w:rPr>
          <w:rFonts w:hint="eastAsia" w:ascii="宋体" w:hAnsi="宋体"/>
          <w:kern w:val="0"/>
          <w:sz w:val="24"/>
        </w:rPr>
        <w:t>13.3如投标人发生侵犯他人知识产权的情形，由其承担侵权责任，导致损失的，由投标人承担赔偿责任；（用于选购合同、招标文件中)</w:t>
      </w:r>
    </w:p>
    <w:p w14:paraId="1D54C4A8">
      <w:pPr>
        <w:snapToGrid w:val="0"/>
        <w:rPr>
          <w:rFonts w:ascii="宋体" w:hAnsi="宋体"/>
          <w:kern w:val="0"/>
          <w:sz w:val="24"/>
        </w:rPr>
      </w:pPr>
      <w:r>
        <w:rPr>
          <w:rFonts w:hint="eastAsia" w:ascii="宋体" w:hAnsi="宋体"/>
          <w:kern w:val="0"/>
          <w:sz w:val="24"/>
        </w:rPr>
        <w:t>13.4本合同相关信息不得向第三方透露。</w:t>
      </w:r>
    </w:p>
    <w:p w14:paraId="22BA1FFB">
      <w:pPr>
        <w:snapToGrid w:val="0"/>
        <w:rPr>
          <w:rFonts w:ascii="宋体" w:hAnsi="宋体"/>
          <w:kern w:val="0"/>
          <w:sz w:val="24"/>
        </w:rPr>
      </w:pPr>
      <w:r>
        <w:rPr>
          <w:rFonts w:hint="eastAsia" w:ascii="宋体" w:hAnsi="宋体"/>
          <w:kern w:val="0"/>
          <w:sz w:val="24"/>
        </w:rPr>
        <w:t>13.5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7FCDC666">
      <w:pPr>
        <w:pStyle w:val="3"/>
        <w:snapToGrid w:val="0"/>
        <w:spacing w:before="0" w:after="0"/>
        <w:jc w:val="left"/>
        <w:rPr>
          <w:rFonts w:ascii="宋体" w:hAnsi="宋体"/>
          <w:sz w:val="24"/>
          <w:szCs w:val="24"/>
        </w:rPr>
      </w:pPr>
      <w:bookmarkStart w:id="191" w:name="_Toc195433186"/>
      <w:r>
        <w:rPr>
          <w:rFonts w:ascii="宋体" w:hAnsi="宋体"/>
          <w:sz w:val="24"/>
          <w:szCs w:val="24"/>
        </w:rPr>
        <w:t>14、</w:t>
      </w:r>
      <w:r>
        <w:rPr>
          <w:rFonts w:hint="eastAsia" w:ascii="宋体" w:hAnsi="宋体"/>
          <w:sz w:val="24"/>
          <w:szCs w:val="24"/>
        </w:rPr>
        <w:t>合同生效及其他</w:t>
      </w:r>
      <w:bookmarkEnd w:id="191"/>
    </w:p>
    <w:p w14:paraId="77CE0611">
      <w:pPr>
        <w:snapToGrid w:val="0"/>
        <w:rPr>
          <w:rFonts w:ascii="宋体" w:hAnsi="宋体"/>
          <w:kern w:val="0"/>
          <w:sz w:val="24"/>
        </w:rPr>
      </w:pPr>
      <w:r>
        <w:rPr>
          <w:rFonts w:ascii="宋体" w:hAnsi="宋体"/>
          <w:kern w:val="0"/>
          <w:sz w:val="24"/>
        </w:rPr>
        <w:t>1</w:t>
      </w:r>
      <w:r>
        <w:rPr>
          <w:rFonts w:hint="eastAsia" w:ascii="宋体" w:hAnsi="宋体"/>
          <w:kern w:val="0"/>
          <w:sz w:val="24"/>
        </w:rPr>
        <w:t>4</w:t>
      </w:r>
      <w:r>
        <w:rPr>
          <w:rFonts w:ascii="宋体" w:hAnsi="宋体"/>
          <w:kern w:val="0"/>
          <w:sz w:val="24"/>
        </w:rPr>
        <w:t>.1本合同于双方签字且盖章之日起开始生效。</w:t>
      </w:r>
    </w:p>
    <w:p w14:paraId="5BE57814">
      <w:pPr>
        <w:snapToGrid w:val="0"/>
        <w:rPr>
          <w:rFonts w:ascii="宋体" w:hAnsi="宋体"/>
          <w:kern w:val="0"/>
          <w:sz w:val="24"/>
        </w:rPr>
      </w:pPr>
      <w:r>
        <w:rPr>
          <w:rFonts w:ascii="宋体" w:hAnsi="宋体"/>
          <w:kern w:val="0"/>
          <w:sz w:val="24"/>
        </w:rPr>
        <w:t>1</w:t>
      </w:r>
      <w:r>
        <w:rPr>
          <w:rFonts w:hint="eastAsia" w:ascii="宋体" w:hAnsi="宋体"/>
          <w:kern w:val="0"/>
          <w:sz w:val="24"/>
        </w:rPr>
        <w:t>4</w:t>
      </w:r>
      <w:r>
        <w:rPr>
          <w:rFonts w:ascii="宋体" w:hAnsi="宋体"/>
          <w:kern w:val="0"/>
          <w:sz w:val="24"/>
        </w:rPr>
        <w:t>.2本合同一式陆份，招标人执叁份，投标人执叁份。</w:t>
      </w:r>
    </w:p>
    <w:p w14:paraId="703E0B01">
      <w:pPr>
        <w:snapToGrid w:val="0"/>
        <w:rPr>
          <w:rFonts w:ascii="宋体" w:hAnsi="宋体"/>
          <w:kern w:val="0"/>
          <w:sz w:val="24"/>
        </w:rPr>
      </w:pPr>
      <w:r>
        <w:rPr>
          <w:rFonts w:ascii="宋体" w:hAnsi="宋体"/>
          <w:kern w:val="0"/>
          <w:sz w:val="24"/>
        </w:rPr>
        <w:t>1</w:t>
      </w:r>
      <w:r>
        <w:rPr>
          <w:rFonts w:hint="eastAsia" w:ascii="宋体" w:hAnsi="宋体"/>
          <w:kern w:val="0"/>
          <w:sz w:val="24"/>
        </w:rPr>
        <w:t>4</w:t>
      </w:r>
      <w:r>
        <w:rPr>
          <w:rFonts w:ascii="宋体" w:hAnsi="宋体"/>
          <w:kern w:val="0"/>
          <w:sz w:val="24"/>
        </w:rPr>
        <w:t>.3技术协议为本合同附件，享有同等法律效力。</w:t>
      </w:r>
    </w:p>
    <w:p w14:paraId="0D34EF69">
      <w:pPr>
        <w:snapToGrid w:val="0"/>
        <w:rPr>
          <w:rFonts w:ascii="宋体" w:hAnsi="宋体"/>
          <w:kern w:val="0"/>
          <w:sz w:val="24"/>
        </w:rPr>
      </w:pPr>
      <w:r>
        <w:rPr>
          <w:rFonts w:ascii="宋体" w:hAnsi="宋体"/>
          <w:kern w:val="0"/>
          <w:sz w:val="24"/>
        </w:rPr>
        <w:t>1</w:t>
      </w:r>
      <w:r>
        <w:rPr>
          <w:rFonts w:hint="eastAsia" w:ascii="宋体" w:hAnsi="宋体"/>
          <w:kern w:val="0"/>
          <w:sz w:val="24"/>
        </w:rPr>
        <w:t>4</w:t>
      </w:r>
      <w:r>
        <w:rPr>
          <w:rFonts w:ascii="宋体" w:hAnsi="宋体"/>
          <w:kern w:val="0"/>
          <w:sz w:val="24"/>
        </w:rPr>
        <w:t>.4如需修改或补充合同内容，经协商，双方应签署书面修改或补充协议，该协议将作为本合同的一个组成部分。</w:t>
      </w:r>
    </w:p>
    <w:p w14:paraId="32306591">
      <w:pPr>
        <w:snapToGrid w:val="0"/>
        <w:rPr>
          <w:rFonts w:ascii="宋体" w:hAnsi="宋体"/>
          <w:kern w:val="0"/>
          <w:sz w:val="24"/>
        </w:rPr>
      </w:pPr>
      <w:r>
        <w:rPr>
          <w:rFonts w:ascii="宋体" w:hAnsi="宋体"/>
          <w:kern w:val="0"/>
          <w:sz w:val="24"/>
        </w:rPr>
        <w:t>1</w:t>
      </w:r>
      <w:r>
        <w:rPr>
          <w:rFonts w:hint="eastAsia" w:ascii="宋体" w:hAnsi="宋体"/>
          <w:kern w:val="0"/>
          <w:sz w:val="24"/>
        </w:rPr>
        <w:t>4</w:t>
      </w:r>
      <w:r>
        <w:rPr>
          <w:rFonts w:ascii="宋体" w:hAnsi="宋体"/>
          <w:kern w:val="0"/>
          <w:sz w:val="24"/>
        </w:rPr>
        <w:t>.5组成本合同的文件及解释合同文件的优先级如下：1、合同及附件；2、询标记录；3、投标文件；4、招标文件及设备订货数据表。上述合同组成文件形成一个整体,互为补充和解释。其内容若有歧义或矛盾，以所列顺序在前者为准，另有约定的除外。</w:t>
      </w:r>
    </w:p>
    <w:p w14:paraId="25EC6971">
      <w:pPr>
        <w:snapToGrid w:val="0"/>
        <w:rPr>
          <w:rFonts w:ascii="宋体" w:hAnsi="宋体"/>
          <w:kern w:val="0"/>
          <w:sz w:val="24"/>
        </w:rPr>
      </w:pPr>
      <w:r>
        <w:rPr>
          <w:rFonts w:ascii="宋体" w:hAnsi="宋体"/>
          <w:kern w:val="0"/>
          <w:sz w:val="24"/>
        </w:rPr>
        <w:t>1</w:t>
      </w:r>
      <w:r>
        <w:rPr>
          <w:rFonts w:hint="eastAsia" w:ascii="宋体" w:hAnsi="宋体"/>
          <w:kern w:val="0"/>
          <w:sz w:val="24"/>
        </w:rPr>
        <w:t>4</w:t>
      </w:r>
      <w:r>
        <w:rPr>
          <w:rFonts w:ascii="宋体" w:hAnsi="宋体"/>
          <w:kern w:val="0"/>
          <w:sz w:val="24"/>
        </w:rPr>
        <w:t>.6</w:t>
      </w:r>
      <w:r>
        <w:rPr>
          <w:rFonts w:hint="eastAsia" w:ascii="宋体" w:hAnsi="宋体"/>
          <w:kern w:val="0"/>
          <w:sz w:val="24"/>
        </w:rPr>
        <w:t xml:space="preserve"> </w:t>
      </w:r>
      <w:r>
        <w:rPr>
          <w:rFonts w:ascii="宋体" w:hAnsi="宋体"/>
          <w:kern w:val="0"/>
          <w:sz w:val="24"/>
        </w:rPr>
        <w:t>投标人到招标人现场指导服务时的费用自理，且应严格遵守招标人安全管理的有关规章制度，由投标人自身原因造成的伤亡、中毒、灼伤事故，责任由投标人自负。</w:t>
      </w:r>
    </w:p>
    <w:p w14:paraId="380FE208">
      <w:pPr>
        <w:widowControl/>
        <w:jc w:val="left"/>
        <w:rPr>
          <w:rFonts w:ascii="Arial" w:hAnsi="Arial" w:cs="Arial"/>
          <w:b/>
          <w:bCs/>
          <w:sz w:val="32"/>
          <w:szCs w:val="32"/>
        </w:rPr>
      </w:pPr>
      <w:r>
        <w:br w:type="page"/>
      </w:r>
    </w:p>
    <w:p w14:paraId="64741301">
      <w:pPr>
        <w:pStyle w:val="5"/>
        <w:ind w:left="353"/>
        <w:rPr>
          <w:b w:val="0"/>
          <w:kern w:val="0"/>
        </w:rPr>
      </w:pPr>
      <w:r>
        <w:rPr>
          <w:rFonts w:hint="eastAsia"/>
          <w:b w:val="0"/>
          <w:kern w:val="0"/>
        </w:rPr>
        <w:t>第六章</w:t>
      </w:r>
      <w:r>
        <w:rPr>
          <w:b w:val="0"/>
          <w:kern w:val="0"/>
        </w:rPr>
        <w:t xml:space="preserve">  </w:t>
      </w:r>
      <w:r>
        <w:rPr>
          <w:rFonts w:hint="eastAsia"/>
          <w:b w:val="0"/>
          <w:kern w:val="0"/>
        </w:rPr>
        <w:t>评标办法</w:t>
      </w:r>
    </w:p>
    <w:p w14:paraId="6AD9439B">
      <w:pPr>
        <w:ind w:firstLine="420"/>
        <w:jc w:val="left"/>
        <w:rPr>
          <w:rFonts w:ascii="宋体" w:cs="宋体"/>
          <w:kern w:val="0"/>
          <w:sz w:val="24"/>
        </w:rPr>
      </w:pPr>
      <w:r>
        <w:rPr>
          <w:rFonts w:hint="eastAsia" w:ascii="宋体" w:hAnsi="宋体" w:cs="宋体"/>
          <w:kern w:val="0"/>
          <w:sz w:val="24"/>
        </w:rPr>
        <w:t>根据《中华人民共和国招投标法》等有关法律法规，结合本项目的实际，按照公正、公平、科学、择优的原则选择中标人，特制定本办法。</w:t>
      </w:r>
    </w:p>
    <w:p w14:paraId="0B52231D">
      <w:pPr>
        <w:pStyle w:val="3"/>
        <w:jc w:val="left"/>
        <w:rPr>
          <w:sz w:val="24"/>
          <w:szCs w:val="24"/>
        </w:rPr>
      </w:pPr>
      <w:bookmarkStart w:id="192" w:name="_Toc135032214"/>
      <w:r>
        <w:rPr>
          <w:sz w:val="24"/>
          <w:szCs w:val="24"/>
        </w:rPr>
        <w:t>1</w:t>
      </w:r>
      <w:r>
        <w:rPr>
          <w:rFonts w:hint="eastAsia"/>
          <w:sz w:val="24"/>
          <w:szCs w:val="24"/>
        </w:rPr>
        <w:t>、评标总则</w:t>
      </w:r>
      <w:bookmarkEnd w:id="192"/>
    </w:p>
    <w:p w14:paraId="7DD6A6A4">
      <w:pPr>
        <w:jc w:val="left"/>
        <w:rPr>
          <w:rFonts w:ascii="宋体" w:cs="宋体"/>
          <w:kern w:val="0"/>
          <w:sz w:val="24"/>
        </w:rPr>
      </w:pPr>
      <w:r>
        <w:rPr>
          <w:rFonts w:ascii="宋体" w:hAnsi="宋体" w:cs="宋体"/>
          <w:kern w:val="0"/>
          <w:sz w:val="24"/>
        </w:rPr>
        <w:t>1.1</w:t>
      </w:r>
      <w:r>
        <w:rPr>
          <w:rFonts w:hint="eastAsia" w:ascii="宋体" w:hAnsi="宋体" w:cs="宋体"/>
          <w:kern w:val="0"/>
          <w:sz w:val="24"/>
        </w:rPr>
        <w:t>本次招标采用综合评标法，综合评标得分最高者为预中标人。</w:t>
      </w:r>
    </w:p>
    <w:p w14:paraId="5BBE48EF">
      <w:pPr>
        <w:jc w:val="left"/>
        <w:rPr>
          <w:rFonts w:ascii="宋体" w:cs="宋体"/>
          <w:kern w:val="0"/>
          <w:sz w:val="24"/>
        </w:rPr>
      </w:pPr>
      <w:r>
        <w:rPr>
          <w:rFonts w:ascii="宋体" w:hAnsi="宋体" w:cs="宋体"/>
          <w:kern w:val="0"/>
          <w:sz w:val="24"/>
        </w:rPr>
        <w:t>1.2</w:t>
      </w:r>
      <w:r>
        <w:rPr>
          <w:rFonts w:hint="eastAsia" w:ascii="宋体" w:hAnsi="宋体" w:cs="宋体"/>
          <w:kern w:val="0"/>
          <w:sz w:val="24"/>
        </w:rPr>
        <w:t>为最大限度地保护当事人的权益，评标委员会应严格按照招标文件的资信、技术、商务要求，对投标文件进行综合分析评价，编制评标报告。</w:t>
      </w:r>
    </w:p>
    <w:p w14:paraId="754F6215">
      <w:pPr>
        <w:jc w:val="left"/>
        <w:rPr>
          <w:rFonts w:ascii="宋体" w:cs="宋体"/>
          <w:kern w:val="0"/>
          <w:sz w:val="24"/>
        </w:rPr>
      </w:pPr>
      <w:r>
        <w:rPr>
          <w:rFonts w:ascii="宋体" w:hAnsi="宋体" w:cs="宋体"/>
          <w:kern w:val="0"/>
          <w:sz w:val="24"/>
        </w:rPr>
        <w:t>1.3</w:t>
      </w:r>
      <w:r>
        <w:rPr>
          <w:rFonts w:hint="eastAsia" w:ascii="宋体" w:hAnsi="宋体" w:cs="宋体"/>
          <w:kern w:val="0"/>
          <w:sz w:val="24"/>
        </w:rPr>
        <w:t>评标委员会成员必须严格遵守保密规定，不得泄露评标有关的情况，不得索贿受贿，不得参加影响评标的任何活动。</w:t>
      </w:r>
    </w:p>
    <w:p w14:paraId="0A926CC2">
      <w:pPr>
        <w:pStyle w:val="3"/>
        <w:jc w:val="left"/>
        <w:rPr>
          <w:sz w:val="24"/>
          <w:szCs w:val="24"/>
        </w:rPr>
      </w:pPr>
      <w:bookmarkStart w:id="193" w:name="_Toc135032215"/>
      <w:r>
        <w:rPr>
          <w:sz w:val="24"/>
          <w:szCs w:val="24"/>
        </w:rPr>
        <w:t>2</w:t>
      </w:r>
      <w:r>
        <w:rPr>
          <w:rFonts w:hint="eastAsia"/>
          <w:sz w:val="24"/>
          <w:szCs w:val="24"/>
        </w:rPr>
        <w:t>、评标组织</w:t>
      </w:r>
      <w:bookmarkEnd w:id="193"/>
    </w:p>
    <w:p w14:paraId="198AC0F4">
      <w:pPr>
        <w:jc w:val="left"/>
        <w:rPr>
          <w:rFonts w:ascii="宋体" w:cs="宋体"/>
          <w:kern w:val="0"/>
          <w:sz w:val="24"/>
        </w:rPr>
      </w:pPr>
      <w:r>
        <w:rPr>
          <w:rFonts w:ascii="宋体" w:hAnsi="宋体" w:cs="宋体"/>
          <w:kern w:val="0"/>
          <w:sz w:val="24"/>
        </w:rPr>
        <w:t>2.1</w:t>
      </w:r>
      <w:r>
        <w:rPr>
          <w:rFonts w:hint="eastAsia" w:ascii="宋体" w:hAnsi="宋体" w:cs="宋体"/>
          <w:kern w:val="0"/>
          <w:sz w:val="24"/>
        </w:rPr>
        <w:t>评标工作由评标委员会负责。评标委员会由招标人的代表和技术、经济、法律等方面的专家组成，成员人数为五人以上单数，其中技术经济类的专家不得少于成员总数的三分之二。</w:t>
      </w:r>
    </w:p>
    <w:p w14:paraId="035CE7B6">
      <w:pPr>
        <w:pStyle w:val="3"/>
        <w:jc w:val="left"/>
        <w:rPr>
          <w:sz w:val="24"/>
          <w:szCs w:val="24"/>
        </w:rPr>
      </w:pPr>
      <w:bookmarkStart w:id="194" w:name="_Toc135032216"/>
      <w:r>
        <w:rPr>
          <w:sz w:val="24"/>
          <w:szCs w:val="24"/>
        </w:rPr>
        <w:t>3</w:t>
      </w:r>
      <w:r>
        <w:rPr>
          <w:rFonts w:hint="eastAsia"/>
          <w:sz w:val="24"/>
          <w:szCs w:val="24"/>
        </w:rPr>
        <w:t>、评标程序及办法</w:t>
      </w:r>
      <w:bookmarkEnd w:id="194"/>
    </w:p>
    <w:p w14:paraId="7C3970CD">
      <w:pPr>
        <w:jc w:val="left"/>
        <w:rPr>
          <w:rFonts w:ascii="宋体" w:cs="宋体"/>
          <w:kern w:val="0"/>
          <w:sz w:val="24"/>
        </w:rPr>
      </w:pPr>
      <w:r>
        <w:rPr>
          <w:rFonts w:ascii="宋体" w:hAnsi="宋体" w:cs="宋体"/>
          <w:kern w:val="0"/>
          <w:sz w:val="24"/>
        </w:rPr>
        <w:t>3.1.</w:t>
      </w:r>
      <w:r>
        <w:rPr>
          <w:rFonts w:hint="eastAsia" w:ascii="宋体" w:hAnsi="宋体" w:cs="宋体"/>
          <w:kern w:val="0"/>
          <w:sz w:val="24"/>
        </w:rPr>
        <w:t>评标程序</w:t>
      </w:r>
    </w:p>
    <w:p w14:paraId="04EB5805">
      <w:pPr>
        <w:ind w:firstLine="360" w:firstLineChars="150"/>
        <w:jc w:val="left"/>
        <w:rPr>
          <w:rFonts w:ascii="宋体" w:cs="宋体"/>
          <w:kern w:val="0"/>
          <w:sz w:val="24"/>
        </w:rPr>
      </w:pPr>
      <w:r>
        <w:rPr>
          <w:rFonts w:ascii="宋体" w:hAnsi="宋体" w:cs="宋体"/>
          <w:kern w:val="0"/>
          <w:sz w:val="24"/>
        </w:rPr>
        <w:t>3.1.1</w:t>
      </w:r>
      <w:r>
        <w:rPr>
          <w:rFonts w:hint="eastAsia" w:ascii="宋体" w:hAnsi="宋体" w:cs="宋体"/>
          <w:kern w:val="0"/>
          <w:sz w:val="24"/>
        </w:rPr>
        <w:t>先开技术资信标，评分结束后再开商务标。开标后，评标委员会首先对投标文件的投标人资格进行资格审查（投标人投标资格见投标人须知前附表第</w:t>
      </w:r>
      <w:r>
        <w:rPr>
          <w:rFonts w:ascii="宋体" w:hAnsi="宋体" w:cs="宋体"/>
          <w:kern w:val="0"/>
          <w:sz w:val="24"/>
        </w:rPr>
        <w:t>2.4</w:t>
      </w:r>
      <w:r>
        <w:rPr>
          <w:rFonts w:hint="eastAsia" w:ascii="宋体" w:hAnsi="宋体" w:cs="宋体"/>
          <w:kern w:val="0"/>
          <w:sz w:val="24"/>
        </w:rPr>
        <w:t>项），资格审查合格后开启投标文件第一信封，对投标文件进入技术、资信审查，条件不符的投标文件将被否决，符合条件的投标文件进行资信、技术打分。资信、技术评审结束后开启第二信封，对商务报价进行审查，否决不满足要求的投标后进入商务打分。经综合评定最终确定预中标人候选人。</w:t>
      </w:r>
    </w:p>
    <w:p w14:paraId="2AA61650">
      <w:pPr>
        <w:adjustRightInd w:val="0"/>
        <w:jc w:val="left"/>
        <w:textAlignment w:val="baseline"/>
        <w:rPr>
          <w:rFonts w:ascii="宋体"/>
          <w:kern w:val="0"/>
          <w:sz w:val="24"/>
        </w:rPr>
      </w:pPr>
      <w:r>
        <w:rPr>
          <w:rFonts w:hint="eastAsia" w:ascii="宋体"/>
          <w:kern w:val="0"/>
          <w:sz w:val="24"/>
        </w:rPr>
        <w:t>3.1.2有下列情况之一者，否决其投标：</w:t>
      </w:r>
    </w:p>
    <w:p w14:paraId="73EF0208">
      <w:pPr>
        <w:snapToGrid w:val="0"/>
        <w:ind w:firstLine="480" w:firstLineChars="200"/>
        <w:jc w:val="left"/>
        <w:rPr>
          <w:rFonts w:ascii="宋体"/>
          <w:b/>
          <w:sz w:val="24"/>
        </w:rPr>
      </w:pPr>
      <w:r>
        <w:rPr>
          <w:rFonts w:hint="eastAsia" w:ascii="宋体"/>
          <w:b/>
          <w:sz w:val="24"/>
        </w:rPr>
        <w:t>（1）投标文件未按招标文件要求签字和盖章的；</w:t>
      </w:r>
    </w:p>
    <w:p w14:paraId="24473C6A">
      <w:pPr>
        <w:snapToGrid w:val="0"/>
        <w:ind w:firstLine="480" w:firstLineChars="200"/>
        <w:jc w:val="left"/>
        <w:rPr>
          <w:rFonts w:ascii="宋体"/>
          <w:b/>
          <w:sz w:val="24"/>
        </w:rPr>
      </w:pPr>
      <w:r>
        <w:rPr>
          <w:rFonts w:hint="eastAsia" w:ascii="宋体"/>
          <w:b/>
          <w:sz w:val="24"/>
        </w:rPr>
        <w:t>（2）未按招标文件规定编写，字迹模糊不清的；</w:t>
      </w:r>
    </w:p>
    <w:p w14:paraId="305E52FA">
      <w:pPr>
        <w:snapToGrid w:val="0"/>
        <w:ind w:firstLine="480" w:firstLineChars="200"/>
        <w:jc w:val="left"/>
        <w:rPr>
          <w:rFonts w:ascii="宋体"/>
          <w:b/>
          <w:sz w:val="24"/>
        </w:rPr>
      </w:pPr>
      <w:r>
        <w:rPr>
          <w:rFonts w:hint="eastAsia" w:ascii="宋体"/>
          <w:b/>
          <w:sz w:val="24"/>
        </w:rPr>
        <w:t>（3）未提供法定代表人授权委托书（投标人代表不是法定代表人）；</w:t>
      </w:r>
    </w:p>
    <w:p w14:paraId="13A82796">
      <w:pPr>
        <w:snapToGrid w:val="0"/>
        <w:ind w:firstLine="480" w:firstLineChars="200"/>
        <w:jc w:val="left"/>
        <w:rPr>
          <w:rFonts w:ascii="宋体"/>
          <w:b/>
          <w:sz w:val="24"/>
        </w:rPr>
      </w:pPr>
      <w:r>
        <w:rPr>
          <w:rFonts w:hint="eastAsia" w:ascii="宋体"/>
          <w:b/>
          <w:sz w:val="24"/>
        </w:rPr>
        <w:t>（4）投标有效期不满足招标文件要求的；</w:t>
      </w:r>
    </w:p>
    <w:p w14:paraId="129B3A20">
      <w:pPr>
        <w:snapToGrid w:val="0"/>
        <w:ind w:firstLine="480" w:firstLineChars="200"/>
        <w:jc w:val="left"/>
        <w:rPr>
          <w:rFonts w:ascii="宋体"/>
          <w:b/>
          <w:sz w:val="24"/>
        </w:rPr>
      </w:pPr>
      <w:r>
        <w:rPr>
          <w:rFonts w:hint="eastAsia" w:ascii="宋体"/>
          <w:b/>
          <w:sz w:val="24"/>
        </w:rPr>
        <w:t>（5）以联合体形式进行投标的，在投标文件中未提交联合体协议的；</w:t>
      </w:r>
    </w:p>
    <w:p w14:paraId="32489AA4">
      <w:pPr>
        <w:snapToGrid w:val="0"/>
        <w:ind w:firstLine="480" w:firstLineChars="200"/>
        <w:jc w:val="left"/>
        <w:rPr>
          <w:rFonts w:ascii="宋体"/>
          <w:b/>
          <w:sz w:val="24"/>
        </w:rPr>
      </w:pPr>
      <w:r>
        <w:rPr>
          <w:rFonts w:hint="eastAsia" w:ascii="宋体"/>
          <w:b/>
          <w:sz w:val="24"/>
        </w:rPr>
        <w:t>（6）未提供或未如实提供投标货物的技术参数，或者投标文件标明的商务、技术响应与事实不符或虚假投标的；</w:t>
      </w:r>
    </w:p>
    <w:p w14:paraId="5102B463">
      <w:pPr>
        <w:snapToGrid w:val="0"/>
        <w:ind w:firstLine="480" w:firstLineChars="200"/>
        <w:jc w:val="left"/>
        <w:rPr>
          <w:rFonts w:ascii="宋体"/>
          <w:b/>
          <w:sz w:val="24"/>
        </w:rPr>
      </w:pPr>
      <w:r>
        <w:rPr>
          <w:rFonts w:hint="eastAsia" w:ascii="宋体"/>
          <w:b/>
          <w:sz w:val="24"/>
        </w:rPr>
        <w:t>（7）未响应招标文件标注“*”的实质性要求或不满足主要条款的；</w:t>
      </w:r>
    </w:p>
    <w:p w14:paraId="6105BBEA">
      <w:pPr>
        <w:snapToGrid w:val="0"/>
        <w:ind w:firstLine="480" w:firstLineChars="200"/>
        <w:jc w:val="left"/>
        <w:rPr>
          <w:rFonts w:ascii="宋体"/>
          <w:b/>
          <w:sz w:val="24"/>
        </w:rPr>
      </w:pPr>
      <w:r>
        <w:rPr>
          <w:rFonts w:hint="eastAsia" w:ascii="宋体"/>
          <w:b/>
          <w:sz w:val="24"/>
        </w:rPr>
        <w:t>（8）允许偏离的技术、性能指标或者辅助功能超过招标文件规定的；</w:t>
      </w:r>
    </w:p>
    <w:p w14:paraId="7EF33D14">
      <w:pPr>
        <w:snapToGrid w:val="0"/>
        <w:ind w:firstLine="480" w:firstLineChars="200"/>
        <w:jc w:val="left"/>
        <w:rPr>
          <w:rFonts w:ascii="宋体"/>
          <w:b/>
          <w:sz w:val="24"/>
        </w:rPr>
      </w:pPr>
      <w:r>
        <w:rPr>
          <w:rFonts w:hint="eastAsia" w:ascii="宋体"/>
          <w:b/>
          <w:sz w:val="24"/>
        </w:rPr>
        <w:t>（9）投标技术方案不明确，存在一个或一个以上备选（替代）投标方案的；</w:t>
      </w:r>
    </w:p>
    <w:p w14:paraId="68CB8D7E">
      <w:pPr>
        <w:snapToGrid w:val="0"/>
        <w:ind w:firstLine="480" w:firstLineChars="200"/>
        <w:jc w:val="left"/>
        <w:rPr>
          <w:rFonts w:ascii="宋体"/>
          <w:b/>
          <w:sz w:val="24"/>
        </w:rPr>
      </w:pPr>
      <w:r>
        <w:rPr>
          <w:rFonts w:hint="eastAsia" w:ascii="宋体"/>
          <w:b/>
          <w:sz w:val="24"/>
        </w:rPr>
        <w:t>（</w:t>
      </w:r>
      <w:r>
        <w:rPr>
          <w:rFonts w:ascii="宋体"/>
          <w:b/>
          <w:sz w:val="24"/>
        </w:rPr>
        <w:t>10</w:t>
      </w:r>
      <w:r>
        <w:rPr>
          <w:rFonts w:hint="eastAsia" w:ascii="宋体"/>
          <w:b/>
          <w:sz w:val="24"/>
        </w:rPr>
        <w:t>）投标人递交两份及以上内容不同的投标文件，未声明其中一份为有效的；</w:t>
      </w:r>
    </w:p>
    <w:p w14:paraId="72055D4D">
      <w:pPr>
        <w:snapToGrid w:val="0"/>
        <w:ind w:firstLine="480" w:firstLineChars="200"/>
        <w:jc w:val="left"/>
        <w:rPr>
          <w:rFonts w:ascii="宋体"/>
          <w:b/>
          <w:sz w:val="24"/>
        </w:rPr>
      </w:pPr>
      <w:r>
        <w:rPr>
          <w:rFonts w:hint="eastAsia" w:ascii="宋体"/>
          <w:b/>
          <w:sz w:val="24"/>
        </w:rPr>
        <w:t>（11）投标文件含有招标人不能接受的附加条件的；</w:t>
      </w:r>
    </w:p>
    <w:p w14:paraId="0322FB9B">
      <w:pPr>
        <w:snapToGrid w:val="0"/>
        <w:ind w:firstLine="480" w:firstLineChars="200"/>
        <w:jc w:val="left"/>
        <w:rPr>
          <w:rFonts w:ascii="宋体"/>
          <w:b/>
          <w:sz w:val="24"/>
        </w:rPr>
      </w:pPr>
      <w:r>
        <w:rPr>
          <w:rFonts w:hint="eastAsia" w:ascii="宋体"/>
          <w:b/>
          <w:sz w:val="24"/>
        </w:rPr>
        <w:t>（1</w:t>
      </w:r>
      <w:r>
        <w:rPr>
          <w:rFonts w:ascii="宋体"/>
          <w:b/>
          <w:sz w:val="24"/>
        </w:rPr>
        <w:t>2</w:t>
      </w:r>
      <w:r>
        <w:rPr>
          <w:rFonts w:hint="eastAsia" w:ascii="宋体"/>
          <w:b/>
          <w:sz w:val="24"/>
        </w:rPr>
        <w:t>）不同投标人的投标文件由同一单位或者个人编制的；</w:t>
      </w:r>
    </w:p>
    <w:p w14:paraId="5858523E">
      <w:pPr>
        <w:snapToGrid w:val="0"/>
        <w:ind w:firstLine="480" w:firstLineChars="200"/>
        <w:jc w:val="left"/>
        <w:rPr>
          <w:rFonts w:ascii="宋体"/>
          <w:b/>
          <w:sz w:val="24"/>
        </w:rPr>
      </w:pPr>
      <w:r>
        <w:rPr>
          <w:rFonts w:hint="eastAsia" w:ascii="宋体"/>
          <w:b/>
          <w:sz w:val="24"/>
        </w:rPr>
        <w:t>（1</w:t>
      </w:r>
      <w:r>
        <w:rPr>
          <w:rFonts w:ascii="宋体"/>
          <w:b/>
          <w:sz w:val="24"/>
        </w:rPr>
        <w:t>3</w:t>
      </w:r>
      <w:r>
        <w:rPr>
          <w:rFonts w:hint="eastAsia" w:ascii="宋体"/>
          <w:b/>
          <w:sz w:val="24"/>
        </w:rPr>
        <w:t>）不同投标人委托同一单位或者个人办理投标事宜的；</w:t>
      </w:r>
    </w:p>
    <w:p w14:paraId="1D573A94">
      <w:pPr>
        <w:snapToGrid w:val="0"/>
        <w:ind w:firstLine="480" w:firstLineChars="200"/>
        <w:jc w:val="left"/>
        <w:rPr>
          <w:rFonts w:ascii="宋体"/>
          <w:b/>
          <w:sz w:val="24"/>
        </w:rPr>
      </w:pPr>
      <w:r>
        <w:rPr>
          <w:rFonts w:hint="eastAsia" w:ascii="宋体"/>
          <w:b/>
          <w:sz w:val="24"/>
        </w:rPr>
        <w:t>（1</w:t>
      </w:r>
      <w:r>
        <w:rPr>
          <w:rFonts w:ascii="宋体"/>
          <w:b/>
          <w:sz w:val="24"/>
        </w:rPr>
        <w:t>4</w:t>
      </w:r>
      <w:r>
        <w:rPr>
          <w:rFonts w:hint="eastAsia" w:ascii="宋体"/>
          <w:b/>
          <w:sz w:val="24"/>
        </w:rPr>
        <w:t>）不同投标人的投标文件载明的项目管理成员或者联系人员为同一人的；</w:t>
      </w:r>
    </w:p>
    <w:p w14:paraId="133FA5AA">
      <w:pPr>
        <w:snapToGrid w:val="0"/>
        <w:ind w:firstLine="480" w:firstLineChars="200"/>
        <w:jc w:val="left"/>
        <w:rPr>
          <w:rFonts w:ascii="宋体"/>
          <w:b/>
          <w:sz w:val="24"/>
        </w:rPr>
      </w:pPr>
      <w:r>
        <w:rPr>
          <w:rFonts w:hint="eastAsia" w:ascii="宋体"/>
          <w:b/>
          <w:sz w:val="24"/>
        </w:rPr>
        <w:t>（1</w:t>
      </w:r>
      <w:r>
        <w:rPr>
          <w:rFonts w:ascii="宋体"/>
          <w:b/>
          <w:sz w:val="24"/>
        </w:rPr>
        <w:t>5</w:t>
      </w:r>
      <w:r>
        <w:rPr>
          <w:rFonts w:hint="eastAsia" w:ascii="宋体"/>
          <w:b/>
          <w:sz w:val="24"/>
        </w:rPr>
        <w:t>）不同投标人的投标文件异常一致或者投标报价呈规律性差异的；</w:t>
      </w:r>
    </w:p>
    <w:p w14:paraId="791B638A">
      <w:pPr>
        <w:snapToGrid w:val="0"/>
        <w:ind w:firstLine="480" w:firstLineChars="200"/>
        <w:jc w:val="left"/>
        <w:rPr>
          <w:rFonts w:ascii="宋体"/>
          <w:b/>
          <w:sz w:val="24"/>
        </w:rPr>
      </w:pPr>
      <w:r>
        <w:rPr>
          <w:rFonts w:hint="eastAsia" w:ascii="宋体"/>
          <w:b/>
          <w:sz w:val="24"/>
        </w:rPr>
        <w:t>（1</w:t>
      </w:r>
      <w:r>
        <w:rPr>
          <w:rFonts w:ascii="宋体"/>
          <w:b/>
          <w:sz w:val="24"/>
        </w:rPr>
        <w:t>6</w:t>
      </w:r>
      <w:r>
        <w:rPr>
          <w:rFonts w:hint="eastAsia" w:ascii="宋体"/>
          <w:b/>
          <w:sz w:val="24"/>
        </w:rPr>
        <w:t>）不同投标人的投标文件相互混装的；</w:t>
      </w:r>
    </w:p>
    <w:p w14:paraId="1489AE50">
      <w:pPr>
        <w:snapToGrid w:val="0"/>
        <w:ind w:firstLine="480" w:firstLineChars="200"/>
        <w:jc w:val="left"/>
        <w:rPr>
          <w:rFonts w:ascii="宋体"/>
          <w:b/>
          <w:sz w:val="24"/>
        </w:rPr>
      </w:pPr>
      <w:r>
        <w:rPr>
          <w:rFonts w:hint="eastAsia" w:ascii="宋体"/>
          <w:b/>
          <w:sz w:val="24"/>
        </w:rPr>
        <w:t>（1</w:t>
      </w:r>
      <w:r>
        <w:rPr>
          <w:rFonts w:ascii="宋体"/>
          <w:b/>
          <w:sz w:val="24"/>
        </w:rPr>
        <w:t>7</w:t>
      </w:r>
      <w:r>
        <w:rPr>
          <w:rFonts w:hint="eastAsia" w:ascii="宋体"/>
          <w:b/>
          <w:sz w:val="24"/>
        </w:rPr>
        <w:t>）不同投标人的投标保证金从同一单位或者个人的账户转出的；</w:t>
      </w:r>
    </w:p>
    <w:p w14:paraId="6677A504">
      <w:pPr>
        <w:snapToGrid w:val="0"/>
        <w:ind w:firstLine="480" w:firstLineChars="200"/>
        <w:jc w:val="left"/>
        <w:rPr>
          <w:rFonts w:ascii="宋体"/>
          <w:b/>
          <w:sz w:val="24"/>
        </w:rPr>
      </w:pPr>
      <w:r>
        <w:rPr>
          <w:rFonts w:hint="eastAsia" w:ascii="宋体"/>
          <w:b/>
          <w:sz w:val="24"/>
        </w:rPr>
        <w:t>（1</w:t>
      </w:r>
      <w:r>
        <w:rPr>
          <w:rFonts w:ascii="宋体"/>
          <w:b/>
          <w:sz w:val="24"/>
        </w:rPr>
        <w:t>8</w:t>
      </w:r>
      <w:r>
        <w:rPr>
          <w:rFonts w:hint="eastAsia" w:ascii="宋体"/>
          <w:b/>
          <w:sz w:val="24"/>
        </w:rPr>
        <w:t>）报价超过招标文件中规定的最高限价的；</w:t>
      </w:r>
    </w:p>
    <w:p w14:paraId="7A5F905A">
      <w:pPr>
        <w:snapToGrid w:val="0"/>
        <w:ind w:firstLine="480" w:firstLineChars="200"/>
        <w:jc w:val="left"/>
        <w:rPr>
          <w:rFonts w:ascii="宋体"/>
          <w:b/>
          <w:sz w:val="24"/>
        </w:rPr>
      </w:pPr>
      <w:r>
        <w:rPr>
          <w:rFonts w:hint="eastAsia" w:ascii="宋体"/>
          <w:b/>
          <w:sz w:val="24"/>
        </w:rPr>
        <w:t>（1</w:t>
      </w:r>
      <w:r>
        <w:rPr>
          <w:rFonts w:ascii="宋体"/>
          <w:b/>
          <w:sz w:val="24"/>
        </w:rPr>
        <w:t>9</w:t>
      </w:r>
      <w:r>
        <w:rPr>
          <w:rFonts w:hint="eastAsia" w:ascii="宋体"/>
          <w:b/>
          <w:sz w:val="24"/>
        </w:rPr>
        <w:t>）同一投标文件中出现有选择性的报价，未声明以其中一个报价为准的；</w:t>
      </w:r>
    </w:p>
    <w:p w14:paraId="7F9148DD">
      <w:pPr>
        <w:snapToGrid w:val="0"/>
        <w:ind w:firstLine="480" w:firstLineChars="200"/>
        <w:jc w:val="left"/>
        <w:rPr>
          <w:rFonts w:ascii="宋体"/>
          <w:b/>
          <w:sz w:val="24"/>
        </w:rPr>
      </w:pPr>
      <w:r>
        <w:rPr>
          <w:rFonts w:hint="eastAsia" w:ascii="宋体"/>
          <w:b/>
          <w:sz w:val="24"/>
        </w:rPr>
        <w:t>（</w:t>
      </w:r>
      <w:r>
        <w:rPr>
          <w:rFonts w:ascii="宋体"/>
          <w:b/>
          <w:sz w:val="24"/>
        </w:rPr>
        <w:t>20</w:t>
      </w:r>
      <w:r>
        <w:rPr>
          <w:rFonts w:hint="eastAsia" w:ascii="宋体"/>
          <w:b/>
          <w:sz w:val="24"/>
        </w:rPr>
        <w:t>）不接受按招标文件规定的修正错误原则修正后的报价的；</w:t>
      </w:r>
    </w:p>
    <w:p w14:paraId="32257362">
      <w:pPr>
        <w:snapToGrid w:val="0"/>
        <w:ind w:firstLine="480" w:firstLineChars="200"/>
        <w:jc w:val="left"/>
        <w:rPr>
          <w:rFonts w:ascii="宋体"/>
          <w:b/>
          <w:sz w:val="24"/>
        </w:rPr>
      </w:pPr>
      <w:r>
        <w:rPr>
          <w:rFonts w:hint="eastAsia" w:ascii="宋体"/>
          <w:b/>
          <w:sz w:val="24"/>
        </w:rPr>
        <w:t>（</w:t>
      </w:r>
      <w:r>
        <w:rPr>
          <w:rFonts w:ascii="宋体"/>
          <w:b/>
          <w:sz w:val="24"/>
        </w:rPr>
        <w:t>21</w:t>
      </w:r>
      <w:r>
        <w:rPr>
          <w:rFonts w:hint="eastAsia" w:ascii="宋体"/>
          <w:b/>
          <w:sz w:val="24"/>
        </w:rPr>
        <w:t>）</w:t>
      </w:r>
      <w:r>
        <w:rPr>
          <w:rFonts w:hint="eastAsia"/>
          <w:b/>
          <w:sz w:val="24"/>
        </w:rPr>
        <w:t>衢州市市县一体公共资源交易平台电子交易系统中的</w:t>
      </w:r>
      <w:r>
        <w:rPr>
          <w:rFonts w:ascii="宋体" w:hAnsi="宋体"/>
          <w:b/>
          <w:bCs/>
          <w:kern w:val="144"/>
          <w:sz w:val="24"/>
        </w:rPr>
        <w:t>投标报价和投标文件商务标中的投标报价不一致的</w:t>
      </w:r>
      <w:r>
        <w:rPr>
          <w:rFonts w:hint="eastAsia" w:ascii="宋体" w:hAnsi="宋体"/>
          <w:b/>
          <w:bCs/>
          <w:kern w:val="144"/>
          <w:sz w:val="24"/>
        </w:rPr>
        <w:t>。</w:t>
      </w:r>
    </w:p>
    <w:p w14:paraId="38850955">
      <w:pPr>
        <w:snapToGrid w:val="0"/>
        <w:ind w:firstLine="480" w:firstLineChars="200"/>
        <w:jc w:val="left"/>
        <w:rPr>
          <w:rFonts w:ascii="宋体"/>
          <w:b/>
          <w:sz w:val="24"/>
        </w:rPr>
      </w:pPr>
      <w:r>
        <w:rPr>
          <w:rFonts w:hint="eastAsia" w:ascii="宋体"/>
          <w:b/>
          <w:sz w:val="24"/>
        </w:rPr>
        <w:t>（2</w:t>
      </w:r>
      <w:r>
        <w:rPr>
          <w:rFonts w:ascii="宋体"/>
          <w:b/>
          <w:sz w:val="24"/>
        </w:rPr>
        <w:t>2</w:t>
      </w:r>
      <w:r>
        <w:rPr>
          <w:rFonts w:hint="eastAsia" w:ascii="宋体"/>
          <w:b/>
          <w:sz w:val="24"/>
        </w:rPr>
        <w:t>）报价明显低于其他通过符合性审查投标人的报价，且投标人不能证明其报价合理性，有可能影响产品质量或者不能诚信履约的。</w:t>
      </w:r>
    </w:p>
    <w:p w14:paraId="6EC52376">
      <w:pPr>
        <w:snapToGrid w:val="0"/>
        <w:ind w:firstLine="480" w:firstLineChars="200"/>
        <w:jc w:val="left"/>
        <w:rPr>
          <w:rFonts w:ascii="宋体"/>
          <w:b/>
          <w:sz w:val="24"/>
        </w:rPr>
      </w:pPr>
      <w:r>
        <w:rPr>
          <w:rFonts w:hint="eastAsia" w:ascii="宋体"/>
          <w:b/>
          <w:sz w:val="24"/>
        </w:rPr>
        <w:t>（2</w:t>
      </w:r>
      <w:r>
        <w:rPr>
          <w:rFonts w:ascii="宋体"/>
          <w:b/>
          <w:sz w:val="24"/>
        </w:rPr>
        <w:t>3</w:t>
      </w:r>
      <w:r>
        <w:rPr>
          <w:rFonts w:hint="eastAsia" w:ascii="宋体"/>
          <w:b/>
          <w:sz w:val="24"/>
        </w:rPr>
        <w:t>）法律、法规和招标文件规定的其他无效情形。</w:t>
      </w:r>
    </w:p>
    <w:p w14:paraId="147B5CDF">
      <w:pPr>
        <w:ind w:firstLine="420"/>
        <w:jc w:val="left"/>
        <w:rPr>
          <w:rFonts w:ascii="宋体" w:cs="宋体"/>
          <w:kern w:val="0"/>
          <w:sz w:val="24"/>
        </w:rPr>
      </w:pPr>
      <w:r>
        <w:rPr>
          <w:rFonts w:ascii="宋体" w:hAnsi="宋体" w:cs="宋体"/>
          <w:kern w:val="0"/>
          <w:sz w:val="24"/>
        </w:rPr>
        <w:t>3.1.3</w:t>
      </w:r>
      <w:r>
        <w:rPr>
          <w:rFonts w:hint="eastAsia" w:ascii="宋体" w:hAnsi="宋体" w:cs="宋体"/>
          <w:kern w:val="0"/>
          <w:sz w:val="24"/>
        </w:rPr>
        <w:t>未经评标委员会许可，投标人在投标截止以后提供的资料不得作为评标依据。投标人不得通过补充、修改或撤销投标文件中的部分内容使其成为实质性响应的投标。</w:t>
      </w:r>
    </w:p>
    <w:p w14:paraId="44C1F27B">
      <w:pPr>
        <w:ind w:firstLine="420"/>
        <w:jc w:val="left"/>
        <w:rPr>
          <w:rFonts w:ascii="宋体" w:cs="宋体"/>
          <w:kern w:val="0"/>
          <w:sz w:val="24"/>
        </w:rPr>
      </w:pPr>
      <w:r>
        <w:rPr>
          <w:rFonts w:ascii="宋体" w:hAnsi="宋体" w:cs="宋体"/>
          <w:kern w:val="0"/>
          <w:sz w:val="24"/>
        </w:rPr>
        <w:t>3.2</w:t>
      </w:r>
      <w:r>
        <w:rPr>
          <w:rFonts w:hint="eastAsia" w:ascii="宋体" w:hAnsi="宋体" w:cs="宋体"/>
          <w:kern w:val="0"/>
          <w:sz w:val="24"/>
        </w:rPr>
        <w:t>评标委员会将根据投标人的技术资信、商务等方面对投标文件进行分析、评议，如有疑问，将对投标人进行询标，投标人要向评标委员会澄清有关问题，并最终以书面形式进行答复。</w:t>
      </w:r>
    </w:p>
    <w:p w14:paraId="4DD0C819">
      <w:pPr>
        <w:ind w:firstLine="420"/>
        <w:jc w:val="left"/>
        <w:rPr>
          <w:rFonts w:ascii="宋体" w:cs="宋体"/>
          <w:kern w:val="0"/>
          <w:sz w:val="24"/>
        </w:rPr>
      </w:pPr>
      <w:r>
        <w:rPr>
          <w:rFonts w:ascii="宋体" w:hAnsi="宋体" w:cs="宋体"/>
          <w:kern w:val="0"/>
          <w:sz w:val="24"/>
        </w:rPr>
        <w:t>3.3</w:t>
      </w:r>
      <w:r>
        <w:rPr>
          <w:rFonts w:hint="eastAsia" w:ascii="宋体" w:hAnsi="宋体" w:cs="宋体"/>
          <w:kern w:val="0"/>
          <w:sz w:val="24"/>
        </w:rPr>
        <w:t>评标委员会以审标、询标情况为依据，对有效的投标文件及投标人就第四条“评标细则”规定的办法进行评审。</w:t>
      </w:r>
    </w:p>
    <w:p w14:paraId="3836EA85">
      <w:pPr>
        <w:ind w:firstLine="420"/>
        <w:jc w:val="left"/>
        <w:rPr>
          <w:rFonts w:ascii="宋体" w:cs="宋体"/>
          <w:kern w:val="0"/>
          <w:sz w:val="24"/>
        </w:rPr>
      </w:pPr>
      <w:r>
        <w:rPr>
          <w:rFonts w:ascii="宋体" w:hAnsi="宋体" w:cs="宋体"/>
          <w:kern w:val="0"/>
          <w:sz w:val="24"/>
        </w:rPr>
        <w:t>3.4</w:t>
      </w:r>
      <w:r>
        <w:rPr>
          <w:rFonts w:hint="eastAsia" w:ascii="宋体" w:hAnsi="宋体" w:cs="宋体"/>
          <w:kern w:val="0"/>
          <w:sz w:val="24"/>
        </w:rPr>
        <w:t>资信、技术打分由评标委员会负责对投标文件的资信、技术部分采用记名方式独立评分。投标人的最终技术部分的得分为全体评委有效评分的算术平均值。</w:t>
      </w:r>
    </w:p>
    <w:p w14:paraId="0B95634E">
      <w:pPr>
        <w:ind w:firstLine="420"/>
        <w:jc w:val="left"/>
        <w:rPr>
          <w:rFonts w:ascii="宋体" w:cs="宋体"/>
          <w:kern w:val="0"/>
          <w:sz w:val="24"/>
        </w:rPr>
      </w:pPr>
      <w:r>
        <w:rPr>
          <w:rFonts w:ascii="宋体" w:hAnsi="宋体" w:cs="宋体"/>
          <w:kern w:val="0"/>
          <w:sz w:val="24"/>
        </w:rPr>
        <w:t>3.5</w:t>
      </w:r>
      <w:r>
        <w:rPr>
          <w:rFonts w:hint="eastAsia" w:ascii="宋体" w:hAnsi="宋体" w:cs="宋体"/>
          <w:kern w:val="0"/>
          <w:sz w:val="24"/>
        </w:rPr>
        <w:t>商务报价评审。商务报价评审应以报价口径范围一致的评标价为依据。评标价应在最终报价的基础上，按照招标文件约定的因素和方法进行计算。凡属招标文件原因造成报价内容和口径不一致的，应按有关规定予以调整。但因投标人自身失误造成的报价差错和遗漏，不得调整。</w:t>
      </w:r>
    </w:p>
    <w:p w14:paraId="2A50D2C3">
      <w:pPr>
        <w:ind w:firstLine="360" w:firstLineChars="150"/>
        <w:jc w:val="left"/>
        <w:rPr>
          <w:rFonts w:ascii="宋体" w:cs="宋体"/>
          <w:kern w:val="0"/>
          <w:sz w:val="24"/>
        </w:rPr>
      </w:pPr>
      <w:r>
        <w:rPr>
          <w:rFonts w:ascii="宋体" w:hAnsi="宋体" w:cs="宋体"/>
          <w:kern w:val="0"/>
          <w:sz w:val="24"/>
        </w:rPr>
        <w:t xml:space="preserve">3.6 </w:t>
      </w:r>
      <w:r>
        <w:rPr>
          <w:rFonts w:hint="eastAsia" w:ascii="宋体" w:hAnsi="宋体" w:cs="宋体"/>
          <w:kern w:val="0"/>
          <w:sz w:val="24"/>
        </w:rPr>
        <w:t>商务评审不合格的投标文件不再进入后续报价评审。</w:t>
      </w:r>
    </w:p>
    <w:p w14:paraId="59D247C2">
      <w:pPr>
        <w:ind w:firstLine="480" w:firstLineChars="200"/>
        <w:jc w:val="left"/>
        <w:rPr>
          <w:rFonts w:ascii="宋体" w:cs="宋体"/>
          <w:kern w:val="0"/>
          <w:sz w:val="24"/>
        </w:rPr>
      </w:pPr>
      <w:r>
        <w:rPr>
          <w:rFonts w:ascii="宋体" w:hAnsi="宋体" w:cs="宋体"/>
          <w:kern w:val="0"/>
          <w:sz w:val="24"/>
        </w:rPr>
        <w:t>3.7</w:t>
      </w:r>
      <w:r>
        <w:rPr>
          <w:rFonts w:hint="eastAsia" w:ascii="宋体" w:hAnsi="宋体" w:cs="宋体"/>
          <w:kern w:val="0"/>
          <w:sz w:val="24"/>
        </w:rPr>
        <w:t>评标委员会根据评标情况向招标人提出书面评标报告。评标报告由评标委员会起草，评标委员会全体成员应在评标报告上签字认可，评标专家如有保留意见可以在评标报告中阐明。评标委员会应在评标报告中按综合得分从高到低依次推荐中标候选人，综合得分最高的中标候选人作为预中标人。</w:t>
      </w:r>
    </w:p>
    <w:p w14:paraId="2B8CF895">
      <w:pPr>
        <w:pStyle w:val="3"/>
        <w:jc w:val="left"/>
        <w:rPr>
          <w:sz w:val="24"/>
          <w:szCs w:val="24"/>
        </w:rPr>
      </w:pPr>
      <w:bookmarkStart w:id="195" w:name="_Toc135032217"/>
      <w:r>
        <w:rPr>
          <w:sz w:val="24"/>
          <w:szCs w:val="24"/>
        </w:rPr>
        <w:t xml:space="preserve">4. </w:t>
      </w:r>
      <w:r>
        <w:rPr>
          <w:rFonts w:hint="eastAsia"/>
          <w:sz w:val="24"/>
          <w:szCs w:val="24"/>
        </w:rPr>
        <w:t>评标细则</w:t>
      </w:r>
      <w:bookmarkEnd w:id="195"/>
    </w:p>
    <w:p w14:paraId="55EBA22B">
      <w:pPr>
        <w:adjustRightInd w:val="0"/>
        <w:snapToGrid w:val="0"/>
        <w:ind w:left="2" w:leftChars="1" w:firstLine="480" w:firstLineChars="200"/>
        <w:jc w:val="left"/>
        <w:rPr>
          <w:rFonts w:hAnsi="宋体"/>
          <w:sz w:val="24"/>
        </w:rPr>
      </w:pPr>
      <w:r>
        <w:rPr>
          <w:rFonts w:hint="eastAsia" w:hAnsi="宋体"/>
          <w:sz w:val="24"/>
        </w:rPr>
        <w:t>在审标、询标及调查考核的基础上，评标委员会按照客观、公平、公正的原则，进行综合分析评定，实质上响应招标文件的要求并有履行合同能力的综合得分最高的投标人将被确定为中标候选人。本次招标评标按资信</w:t>
      </w:r>
      <w:r>
        <w:rPr>
          <w:rFonts w:hint="eastAsia" w:hAnsi="宋体"/>
          <w:sz w:val="24"/>
          <w:u w:val="single"/>
        </w:rPr>
        <w:t>8</w:t>
      </w:r>
      <w:r>
        <w:rPr>
          <w:rFonts w:hAnsi="宋体"/>
          <w:sz w:val="24"/>
        </w:rPr>
        <w:t>分，</w:t>
      </w:r>
      <w:r>
        <w:rPr>
          <w:rFonts w:hint="eastAsia" w:hAnsi="宋体"/>
          <w:sz w:val="24"/>
        </w:rPr>
        <w:t>技术</w:t>
      </w:r>
      <w:r>
        <w:rPr>
          <w:rFonts w:hint="eastAsia" w:hAnsi="宋体"/>
          <w:sz w:val="24"/>
          <w:u w:val="single"/>
        </w:rPr>
        <w:t>32</w:t>
      </w:r>
      <w:r>
        <w:rPr>
          <w:rFonts w:hAnsi="宋体"/>
          <w:sz w:val="24"/>
        </w:rPr>
        <w:t>分，</w:t>
      </w:r>
      <w:r>
        <w:rPr>
          <w:rFonts w:hint="eastAsia" w:hAnsi="宋体"/>
          <w:sz w:val="24"/>
        </w:rPr>
        <w:t>商务</w:t>
      </w:r>
      <w:r>
        <w:rPr>
          <w:rFonts w:hAnsi="宋体"/>
          <w:sz w:val="24"/>
        </w:rPr>
        <w:t>6</w:t>
      </w:r>
      <w:r>
        <w:rPr>
          <w:rFonts w:hAnsi="宋体"/>
          <w:sz w:val="24"/>
          <w:u w:val="single"/>
        </w:rPr>
        <w:t>0</w:t>
      </w:r>
      <w:r>
        <w:rPr>
          <w:rFonts w:hint="eastAsia" w:hAnsi="宋体"/>
          <w:sz w:val="24"/>
        </w:rPr>
        <w:t>分三部分评议，总分</w:t>
      </w:r>
      <w:r>
        <w:rPr>
          <w:rFonts w:hAnsi="宋体"/>
          <w:sz w:val="24"/>
        </w:rPr>
        <w:t>100分。</w:t>
      </w:r>
    </w:p>
    <w:p w14:paraId="130EAE50">
      <w:pPr>
        <w:snapToGrid w:val="0"/>
        <w:jc w:val="left"/>
        <w:rPr>
          <w:rFonts w:ascii="宋体" w:hAnsi="宋体"/>
          <w:kern w:val="0"/>
          <w:sz w:val="24"/>
        </w:rPr>
      </w:pPr>
      <w:r>
        <w:rPr>
          <w:rFonts w:ascii="宋体" w:hAnsi="宋体"/>
          <w:kern w:val="0"/>
          <w:sz w:val="24"/>
        </w:rPr>
        <w:t>4.</w:t>
      </w:r>
      <w:r>
        <w:rPr>
          <w:rFonts w:hint="eastAsia" w:ascii="宋体" w:hAnsi="宋体"/>
          <w:kern w:val="0"/>
          <w:sz w:val="24"/>
        </w:rPr>
        <w:t>1</w:t>
      </w:r>
      <w:r>
        <w:rPr>
          <w:rFonts w:ascii="宋体" w:hAnsi="宋体"/>
          <w:kern w:val="0"/>
          <w:sz w:val="24"/>
        </w:rPr>
        <w:t>资信（满分</w:t>
      </w:r>
      <w:r>
        <w:rPr>
          <w:rFonts w:hint="eastAsia" w:ascii="宋体" w:hAnsi="宋体"/>
          <w:kern w:val="0"/>
          <w:sz w:val="24"/>
          <w:u w:val="single"/>
        </w:rPr>
        <w:t>8</w:t>
      </w:r>
      <w:r>
        <w:rPr>
          <w:rFonts w:ascii="宋体" w:hAnsi="宋体"/>
          <w:kern w:val="0"/>
          <w:sz w:val="24"/>
        </w:rPr>
        <w:t>分）</w:t>
      </w:r>
    </w:p>
    <w:tbl>
      <w:tblPr>
        <w:tblStyle w:val="76"/>
        <w:tblW w:w="104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8577"/>
        <w:gridCol w:w="1200"/>
      </w:tblGrid>
      <w:tr w14:paraId="4944F8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6F09E993">
            <w:pPr>
              <w:snapToGrid w:val="0"/>
              <w:jc w:val="center"/>
              <w:rPr>
                <w:rFonts w:ascii="宋体" w:hAnsi="宋体"/>
                <w:b/>
                <w:sz w:val="24"/>
              </w:rPr>
            </w:pPr>
            <w:r>
              <w:rPr>
                <w:rFonts w:hint="eastAsia" w:ascii="宋体" w:hAnsi="宋体"/>
                <w:b/>
                <w:sz w:val="24"/>
              </w:rPr>
              <w:t>序号</w:t>
            </w:r>
          </w:p>
        </w:tc>
        <w:tc>
          <w:tcPr>
            <w:tcW w:w="8577" w:type="dxa"/>
            <w:tcBorders>
              <w:top w:val="single" w:color="auto" w:sz="4" w:space="0"/>
              <w:left w:val="single" w:color="auto" w:sz="4" w:space="0"/>
              <w:bottom w:val="single" w:color="auto" w:sz="4" w:space="0"/>
              <w:right w:val="single" w:color="auto" w:sz="4" w:space="0"/>
            </w:tcBorders>
            <w:vAlign w:val="center"/>
          </w:tcPr>
          <w:p w14:paraId="7F844666">
            <w:pPr>
              <w:snapToGrid w:val="0"/>
              <w:jc w:val="center"/>
              <w:rPr>
                <w:rFonts w:ascii="宋体" w:hAnsi="宋体"/>
                <w:b/>
                <w:sz w:val="24"/>
              </w:rPr>
            </w:pPr>
            <w:r>
              <w:rPr>
                <w:rFonts w:hint="eastAsia" w:ascii="宋体" w:hAnsi="宋体"/>
                <w:b/>
                <w:sz w:val="24"/>
              </w:rPr>
              <w:t>评审</w:t>
            </w:r>
          </w:p>
        </w:tc>
        <w:tc>
          <w:tcPr>
            <w:tcW w:w="1200" w:type="dxa"/>
            <w:tcBorders>
              <w:top w:val="single" w:color="auto" w:sz="4" w:space="0"/>
              <w:left w:val="single" w:color="auto" w:sz="4" w:space="0"/>
              <w:bottom w:val="single" w:color="auto" w:sz="4" w:space="0"/>
              <w:right w:val="single" w:color="auto" w:sz="4" w:space="0"/>
            </w:tcBorders>
            <w:vAlign w:val="center"/>
          </w:tcPr>
          <w:p w14:paraId="6F57E2EE">
            <w:pPr>
              <w:snapToGrid w:val="0"/>
              <w:jc w:val="center"/>
              <w:rPr>
                <w:rFonts w:ascii="宋体" w:hAnsi="宋体"/>
                <w:b/>
                <w:sz w:val="24"/>
              </w:rPr>
            </w:pPr>
            <w:r>
              <w:rPr>
                <w:rFonts w:hint="eastAsia" w:ascii="宋体" w:hAnsi="宋体"/>
                <w:b/>
                <w:sz w:val="24"/>
              </w:rPr>
              <w:t>分值</w:t>
            </w:r>
          </w:p>
        </w:tc>
      </w:tr>
      <w:tr w14:paraId="3EA6A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6352A1C4">
            <w:pPr>
              <w:snapToGrid w:val="0"/>
              <w:jc w:val="left"/>
              <w:rPr>
                <w:rFonts w:ascii="宋体" w:hAnsi="宋体"/>
                <w:sz w:val="24"/>
              </w:rPr>
            </w:pPr>
            <w:r>
              <w:rPr>
                <w:rFonts w:ascii="宋体" w:hAnsi="宋体"/>
                <w:sz w:val="24"/>
              </w:rPr>
              <w:t>1</w:t>
            </w:r>
          </w:p>
        </w:tc>
        <w:tc>
          <w:tcPr>
            <w:tcW w:w="8577" w:type="dxa"/>
            <w:tcBorders>
              <w:top w:val="single" w:color="auto" w:sz="4" w:space="0"/>
              <w:left w:val="single" w:color="auto" w:sz="4" w:space="0"/>
              <w:bottom w:val="single" w:color="auto" w:sz="4" w:space="0"/>
              <w:right w:val="single" w:color="auto" w:sz="4" w:space="0"/>
            </w:tcBorders>
            <w:vAlign w:val="center"/>
          </w:tcPr>
          <w:p w14:paraId="2E75D129">
            <w:pPr>
              <w:snapToGrid w:val="0"/>
              <w:jc w:val="left"/>
              <w:rPr>
                <w:rFonts w:ascii="宋体" w:hAnsi="宋体"/>
                <w:sz w:val="24"/>
              </w:rPr>
            </w:pPr>
            <w:r>
              <w:rPr>
                <w:rFonts w:hint="eastAsia" w:ascii="宋体" w:hAnsi="宋体"/>
                <w:sz w:val="24"/>
              </w:rPr>
              <w:t>企业规模、经营状况及履约能力</w:t>
            </w:r>
          </w:p>
          <w:p w14:paraId="1722FE07">
            <w:pPr>
              <w:snapToGrid w:val="0"/>
              <w:jc w:val="left"/>
              <w:rPr>
                <w:rFonts w:ascii="宋体" w:hAnsi="宋体"/>
                <w:b/>
                <w:sz w:val="24"/>
              </w:rPr>
            </w:pPr>
            <w:r>
              <w:rPr>
                <w:rFonts w:hint="eastAsia" w:ascii="宋体" w:hAnsi="宋体"/>
                <w:bCs/>
                <w:sz w:val="24"/>
              </w:rPr>
              <w:t>优：2-3分，良：1-2（含）分，一般：0.5-1（含）分，未提供不得分。</w:t>
            </w:r>
          </w:p>
        </w:tc>
        <w:tc>
          <w:tcPr>
            <w:tcW w:w="1200" w:type="dxa"/>
            <w:tcBorders>
              <w:top w:val="single" w:color="auto" w:sz="4" w:space="0"/>
              <w:left w:val="single" w:color="auto" w:sz="4" w:space="0"/>
              <w:bottom w:val="single" w:color="auto" w:sz="4" w:space="0"/>
              <w:right w:val="single" w:color="auto" w:sz="4" w:space="0"/>
            </w:tcBorders>
            <w:vAlign w:val="center"/>
          </w:tcPr>
          <w:p w14:paraId="322B56A5">
            <w:pPr>
              <w:snapToGrid w:val="0"/>
              <w:jc w:val="center"/>
              <w:rPr>
                <w:rFonts w:ascii="宋体" w:hAnsi="宋体"/>
                <w:sz w:val="24"/>
              </w:rPr>
            </w:pPr>
            <w:r>
              <w:rPr>
                <w:rFonts w:ascii="宋体" w:hAnsi="宋体"/>
                <w:sz w:val="24"/>
              </w:rPr>
              <w:t>0-</w:t>
            </w:r>
            <w:r>
              <w:rPr>
                <w:rFonts w:hint="eastAsia" w:ascii="宋体" w:hAnsi="宋体"/>
                <w:sz w:val="24"/>
              </w:rPr>
              <w:t>3</w:t>
            </w:r>
            <w:r>
              <w:rPr>
                <w:rFonts w:ascii="宋体" w:hAnsi="宋体"/>
                <w:sz w:val="24"/>
              </w:rPr>
              <w:t>分</w:t>
            </w:r>
          </w:p>
        </w:tc>
      </w:tr>
      <w:tr w14:paraId="04901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38384E33">
            <w:pPr>
              <w:snapToGrid w:val="0"/>
              <w:jc w:val="left"/>
              <w:rPr>
                <w:rFonts w:ascii="宋体" w:hAnsi="宋体"/>
                <w:sz w:val="24"/>
              </w:rPr>
            </w:pPr>
            <w:r>
              <w:rPr>
                <w:rFonts w:ascii="宋体" w:hAnsi="宋体"/>
                <w:sz w:val="24"/>
              </w:rPr>
              <w:t>2</w:t>
            </w:r>
          </w:p>
        </w:tc>
        <w:tc>
          <w:tcPr>
            <w:tcW w:w="8577" w:type="dxa"/>
            <w:tcBorders>
              <w:top w:val="single" w:color="auto" w:sz="4" w:space="0"/>
              <w:left w:val="single" w:color="auto" w:sz="4" w:space="0"/>
              <w:bottom w:val="single" w:color="auto" w:sz="4" w:space="0"/>
              <w:right w:val="single" w:color="auto" w:sz="4" w:space="0"/>
            </w:tcBorders>
            <w:vAlign w:val="center"/>
          </w:tcPr>
          <w:p w14:paraId="0D2E758F">
            <w:pPr>
              <w:rPr>
                <w:rFonts w:ascii="宋体" w:hAnsi="宋体"/>
                <w:sz w:val="24"/>
              </w:rPr>
            </w:pPr>
            <w:r>
              <w:rPr>
                <w:rFonts w:hint="eastAsia" w:ascii="宋体" w:hAnsi="宋体"/>
                <w:sz w:val="24"/>
              </w:rPr>
              <w:t>2</w:t>
            </w:r>
            <w:r>
              <w:rPr>
                <w:rFonts w:ascii="宋体" w:hAnsi="宋体"/>
                <w:sz w:val="24"/>
              </w:rPr>
              <w:t>015年至今</w:t>
            </w:r>
            <w:r>
              <w:rPr>
                <w:rFonts w:hint="eastAsia" w:ascii="宋体" w:hAnsi="宋体"/>
                <w:sz w:val="24"/>
              </w:rPr>
              <w:t>氯气压缩机相同或相近工况（同时满足：入口氯气体积流量＞5000</w:t>
            </w:r>
            <w:r>
              <w:rPr>
                <w:rFonts w:ascii="宋体" w:hAnsi="宋体"/>
                <w:sz w:val="24"/>
              </w:rPr>
              <w:t>Nm3/h</w:t>
            </w:r>
            <w:r>
              <w:rPr>
                <w:rFonts w:hint="eastAsia" w:ascii="宋体" w:hAnsi="宋体"/>
                <w:sz w:val="24"/>
              </w:rPr>
              <w:t>、中冷器后排气压力≥</w:t>
            </w:r>
            <w:r>
              <w:rPr>
                <w:rFonts w:ascii="宋体" w:hAnsi="宋体"/>
                <w:sz w:val="24"/>
              </w:rPr>
              <w:t>0.7</w:t>
            </w:r>
            <w:r>
              <w:rPr>
                <w:rFonts w:hint="eastAsia" w:ascii="宋体" w:hAnsi="宋体"/>
                <w:sz w:val="24"/>
              </w:rPr>
              <w:t>MPa G</w:t>
            </w:r>
            <w:r>
              <w:rPr>
                <w:rFonts w:hint="eastAsia" w:ascii="宋体" w:hAnsi="宋体" w:cs="宋体"/>
                <w:sz w:val="24"/>
              </w:rPr>
              <w:t>）</w:t>
            </w:r>
            <w:r>
              <w:rPr>
                <w:rFonts w:hint="eastAsia" w:ascii="宋体" w:hAnsi="宋体"/>
                <w:sz w:val="24"/>
              </w:rPr>
              <w:t>应用业绩（每个业绩得0</w:t>
            </w:r>
            <w:r>
              <w:rPr>
                <w:rFonts w:ascii="宋体" w:hAnsi="宋体"/>
                <w:sz w:val="24"/>
              </w:rPr>
              <w:t>.5分，共3分</w:t>
            </w:r>
            <w:r>
              <w:rPr>
                <w:rFonts w:hint="eastAsia" w:ascii="宋体" w:hAnsi="宋体"/>
                <w:sz w:val="24"/>
              </w:rPr>
              <w:t>）</w:t>
            </w:r>
          </w:p>
        </w:tc>
        <w:tc>
          <w:tcPr>
            <w:tcW w:w="1200" w:type="dxa"/>
            <w:tcBorders>
              <w:top w:val="single" w:color="auto" w:sz="4" w:space="0"/>
              <w:left w:val="single" w:color="auto" w:sz="4" w:space="0"/>
              <w:bottom w:val="single" w:color="auto" w:sz="4" w:space="0"/>
              <w:right w:val="single" w:color="auto" w:sz="4" w:space="0"/>
            </w:tcBorders>
            <w:vAlign w:val="center"/>
          </w:tcPr>
          <w:p w14:paraId="608B7BC5">
            <w:pPr>
              <w:snapToGrid w:val="0"/>
              <w:jc w:val="center"/>
              <w:rPr>
                <w:rFonts w:ascii="宋体" w:hAnsi="宋体"/>
                <w:sz w:val="24"/>
              </w:rPr>
            </w:pPr>
            <w:r>
              <w:rPr>
                <w:rFonts w:ascii="宋体" w:hAnsi="宋体"/>
                <w:sz w:val="24"/>
              </w:rPr>
              <w:t>0-</w:t>
            </w:r>
            <w:r>
              <w:rPr>
                <w:rFonts w:hint="eastAsia" w:ascii="宋体" w:hAnsi="宋体"/>
                <w:sz w:val="24"/>
              </w:rPr>
              <w:t>3</w:t>
            </w:r>
            <w:r>
              <w:rPr>
                <w:rFonts w:ascii="宋体" w:hAnsi="宋体"/>
                <w:sz w:val="24"/>
              </w:rPr>
              <w:t>分</w:t>
            </w:r>
          </w:p>
        </w:tc>
      </w:tr>
      <w:tr w14:paraId="540E3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5D5ED026">
            <w:pPr>
              <w:snapToGrid w:val="0"/>
              <w:jc w:val="left"/>
              <w:rPr>
                <w:rFonts w:ascii="宋体" w:hAnsi="宋体"/>
                <w:sz w:val="24"/>
              </w:rPr>
            </w:pPr>
            <w:r>
              <w:rPr>
                <w:rFonts w:ascii="宋体" w:hAnsi="宋体"/>
                <w:sz w:val="24"/>
              </w:rPr>
              <w:t>3</w:t>
            </w:r>
          </w:p>
        </w:tc>
        <w:tc>
          <w:tcPr>
            <w:tcW w:w="8577" w:type="dxa"/>
            <w:tcBorders>
              <w:top w:val="single" w:color="auto" w:sz="4" w:space="0"/>
              <w:left w:val="single" w:color="auto" w:sz="4" w:space="0"/>
              <w:bottom w:val="single" w:color="auto" w:sz="4" w:space="0"/>
              <w:right w:val="single" w:color="auto" w:sz="4" w:space="0"/>
            </w:tcBorders>
            <w:vAlign w:val="center"/>
          </w:tcPr>
          <w:p w14:paraId="76B797FF">
            <w:pPr>
              <w:snapToGrid w:val="0"/>
              <w:jc w:val="left"/>
              <w:rPr>
                <w:rFonts w:ascii="宋体" w:hAnsi="宋体"/>
                <w:sz w:val="24"/>
              </w:rPr>
            </w:pPr>
            <w:r>
              <w:rPr>
                <w:rFonts w:hint="eastAsia" w:ascii="宋体" w:hAnsi="宋体"/>
                <w:sz w:val="24"/>
              </w:rPr>
              <w:t>随机备件及专用工具的完整性（含在投标总价中）；</w:t>
            </w:r>
          </w:p>
          <w:p w14:paraId="3CDF35D4">
            <w:pPr>
              <w:snapToGrid w:val="0"/>
              <w:jc w:val="left"/>
              <w:rPr>
                <w:rFonts w:hAnsi="宋体"/>
                <w:sz w:val="24"/>
              </w:rPr>
            </w:pPr>
            <w:r>
              <w:rPr>
                <w:rFonts w:hint="eastAsia" w:ascii="宋体" w:hAnsi="宋体"/>
                <w:bCs/>
                <w:sz w:val="24"/>
              </w:rPr>
              <w:t>优：0.5-1分，良：0.2-0.5（含）分，一般：0.1-0.2（含）分，未提供不得分。</w:t>
            </w:r>
          </w:p>
        </w:tc>
        <w:tc>
          <w:tcPr>
            <w:tcW w:w="1200" w:type="dxa"/>
            <w:tcBorders>
              <w:top w:val="single" w:color="auto" w:sz="4" w:space="0"/>
              <w:left w:val="single" w:color="auto" w:sz="4" w:space="0"/>
              <w:bottom w:val="single" w:color="auto" w:sz="4" w:space="0"/>
              <w:right w:val="single" w:color="auto" w:sz="4" w:space="0"/>
            </w:tcBorders>
            <w:vAlign w:val="center"/>
          </w:tcPr>
          <w:p w14:paraId="18DEB64C">
            <w:pPr>
              <w:snapToGrid w:val="0"/>
              <w:jc w:val="center"/>
              <w:rPr>
                <w:rFonts w:ascii="宋体" w:hAnsi="宋体"/>
                <w:sz w:val="24"/>
              </w:rPr>
            </w:pPr>
            <w:r>
              <w:rPr>
                <w:rFonts w:hint="eastAsia" w:ascii="宋体" w:hAnsi="宋体"/>
                <w:sz w:val="24"/>
              </w:rPr>
              <w:t>0-1分</w:t>
            </w:r>
          </w:p>
        </w:tc>
      </w:tr>
      <w:tr w14:paraId="100A3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14:paraId="32EC06AD">
            <w:pPr>
              <w:snapToGrid w:val="0"/>
              <w:jc w:val="left"/>
              <w:rPr>
                <w:rFonts w:ascii="宋体" w:hAnsi="宋体"/>
                <w:sz w:val="24"/>
              </w:rPr>
            </w:pPr>
            <w:r>
              <w:rPr>
                <w:rFonts w:hint="eastAsia" w:ascii="宋体" w:hAnsi="宋体"/>
                <w:sz w:val="24"/>
              </w:rPr>
              <w:t>4</w:t>
            </w:r>
          </w:p>
        </w:tc>
        <w:tc>
          <w:tcPr>
            <w:tcW w:w="8577" w:type="dxa"/>
            <w:tcBorders>
              <w:top w:val="single" w:color="auto" w:sz="4" w:space="0"/>
              <w:left w:val="single" w:color="auto" w:sz="4" w:space="0"/>
              <w:bottom w:val="single" w:color="auto" w:sz="4" w:space="0"/>
              <w:right w:val="single" w:color="auto" w:sz="4" w:space="0"/>
            </w:tcBorders>
            <w:vAlign w:val="center"/>
          </w:tcPr>
          <w:p w14:paraId="569AF9F0">
            <w:pPr>
              <w:snapToGrid w:val="0"/>
              <w:jc w:val="left"/>
              <w:rPr>
                <w:rFonts w:ascii="宋体" w:hAnsi="宋体"/>
                <w:sz w:val="24"/>
              </w:rPr>
            </w:pPr>
            <w:r>
              <w:rPr>
                <w:rFonts w:hint="eastAsia" w:ascii="宋体" w:hAnsi="宋体"/>
                <w:sz w:val="24"/>
              </w:rPr>
              <w:t>售后服务</w:t>
            </w:r>
          </w:p>
          <w:p w14:paraId="3B0391C9">
            <w:pPr>
              <w:snapToGrid w:val="0"/>
              <w:jc w:val="left"/>
              <w:rPr>
                <w:rFonts w:ascii="宋体" w:hAnsi="宋体"/>
                <w:sz w:val="24"/>
              </w:rPr>
            </w:pPr>
            <w:r>
              <w:rPr>
                <w:rFonts w:hint="eastAsia" w:ascii="宋体" w:hAnsi="宋体"/>
                <w:bCs/>
                <w:sz w:val="24"/>
              </w:rPr>
              <w:t>优：0.5-1分，良：0.2-0.5（含）分，一般：0.1-0.2（含）分，未提供不得分。</w:t>
            </w:r>
          </w:p>
        </w:tc>
        <w:tc>
          <w:tcPr>
            <w:tcW w:w="1200" w:type="dxa"/>
            <w:tcBorders>
              <w:top w:val="single" w:color="auto" w:sz="4" w:space="0"/>
              <w:left w:val="single" w:color="auto" w:sz="4" w:space="0"/>
              <w:bottom w:val="single" w:color="auto" w:sz="4" w:space="0"/>
              <w:right w:val="single" w:color="auto" w:sz="4" w:space="0"/>
            </w:tcBorders>
            <w:vAlign w:val="center"/>
          </w:tcPr>
          <w:p w14:paraId="219ACCB8">
            <w:pPr>
              <w:snapToGrid w:val="0"/>
              <w:jc w:val="center"/>
              <w:rPr>
                <w:rFonts w:ascii="宋体" w:hAnsi="宋体"/>
                <w:sz w:val="24"/>
              </w:rPr>
            </w:pPr>
            <w:r>
              <w:rPr>
                <w:rFonts w:hint="eastAsia" w:ascii="宋体" w:hAnsi="宋体"/>
                <w:sz w:val="24"/>
              </w:rPr>
              <w:t>0-1分</w:t>
            </w:r>
          </w:p>
        </w:tc>
      </w:tr>
    </w:tbl>
    <w:p w14:paraId="207CDC29">
      <w:pPr>
        <w:snapToGrid w:val="0"/>
        <w:jc w:val="left"/>
        <w:rPr>
          <w:rFonts w:ascii="宋体" w:hAnsi="宋体"/>
          <w:kern w:val="0"/>
          <w:sz w:val="24"/>
        </w:rPr>
      </w:pPr>
    </w:p>
    <w:p w14:paraId="34A2E313">
      <w:pPr>
        <w:snapToGrid w:val="0"/>
        <w:jc w:val="left"/>
        <w:rPr>
          <w:rFonts w:ascii="宋体" w:hAnsi="宋体"/>
          <w:kern w:val="0"/>
          <w:sz w:val="24"/>
        </w:rPr>
      </w:pPr>
      <w:r>
        <w:rPr>
          <w:rFonts w:ascii="宋体" w:hAnsi="宋体"/>
          <w:kern w:val="0"/>
          <w:sz w:val="24"/>
        </w:rPr>
        <w:t>4.</w:t>
      </w:r>
      <w:r>
        <w:rPr>
          <w:rFonts w:hint="eastAsia" w:ascii="宋体" w:hAnsi="宋体"/>
          <w:kern w:val="0"/>
          <w:sz w:val="24"/>
        </w:rPr>
        <w:t>2</w:t>
      </w:r>
      <w:r>
        <w:rPr>
          <w:rFonts w:ascii="宋体" w:hAnsi="宋体"/>
          <w:kern w:val="0"/>
          <w:sz w:val="24"/>
        </w:rPr>
        <w:t>技术（</w:t>
      </w:r>
      <w:r>
        <w:rPr>
          <w:rFonts w:ascii="宋体" w:hAnsi="宋体"/>
          <w:b/>
          <w:kern w:val="0"/>
          <w:sz w:val="24"/>
        </w:rPr>
        <w:t>满分</w:t>
      </w:r>
      <w:r>
        <w:rPr>
          <w:rFonts w:hint="eastAsia" w:ascii="宋体" w:hAnsi="宋体"/>
          <w:b/>
          <w:kern w:val="0"/>
          <w:sz w:val="24"/>
          <w:u w:val="single"/>
        </w:rPr>
        <w:t>32</w:t>
      </w:r>
      <w:r>
        <w:rPr>
          <w:rFonts w:ascii="宋体" w:hAnsi="宋体"/>
          <w:b/>
          <w:kern w:val="0"/>
          <w:sz w:val="24"/>
        </w:rPr>
        <w:t>分</w:t>
      </w:r>
      <w:r>
        <w:rPr>
          <w:rFonts w:ascii="宋体" w:hAnsi="宋体"/>
          <w:kern w:val="0"/>
          <w:sz w:val="24"/>
        </w:rPr>
        <w:t>）</w:t>
      </w:r>
    </w:p>
    <w:p w14:paraId="3C142A67">
      <w:pPr>
        <w:snapToGrid w:val="0"/>
        <w:jc w:val="left"/>
        <w:rPr>
          <w:rFonts w:ascii="宋体" w:hAnsi="宋体"/>
          <w:kern w:val="0"/>
          <w:sz w:val="24"/>
        </w:rPr>
      </w:pPr>
    </w:p>
    <w:tbl>
      <w:tblPr>
        <w:tblStyle w:val="76"/>
        <w:tblW w:w="1002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9"/>
        <w:gridCol w:w="8097"/>
        <w:gridCol w:w="1173"/>
      </w:tblGrid>
      <w:tr w14:paraId="30AB6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14:paraId="3DB84607">
            <w:pPr>
              <w:snapToGrid w:val="0"/>
              <w:jc w:val="left"/>
              <w:rPr>
                <w:rFonts w:asciiTheme="minorEastAsia" w:hAnsiTheme="minorEastAsia"/>
                <w:sz w:val="24"/>
              </w:rPr>
            </w:pPr>
            <w:r>
              <w:rPr>
                <w:rFonts w:hint="eastAsia" w:ascii="宋体" w:hAnsi="宋体"/>
                <w:b/>
                <w:sz w:val="24"/>
              </w:rPr>
              <w:t>序号</w:t>
            </w:r>
          </w:p>
        </w:tc>
        <w:tc>
          <w:tcPr>
            <w:tcW w:w="8097" w:type="dxa"/>
            <w:tcBorders>
              <w:top w:val="single" w:color="auto" w:sz="4" w:space="0"/>
              <w:left w:val="single" w:color="auto" w:sz="4" w:space="0"/>
              <w:bottom w:val="single" w:color="auto" w:sz="4" w:space="0"/>
              <w:right w:val="single" w:color="auto" w:sz="4" w:space="0"/>
            </w:tcBorders>
            <w:vAlign w:val="center"/>
          </w:tcPr>
          <w:p w14:paraId="59DE8CA2">
            <w:pPr>
              <w:snapToGrid w:val="0"/>
              <w:jc w:val="left"/>
              <w:rPr>
                <w:rFonts w:asciiTheme="minorEastAsia" w:hAnsiTheme="minorEastAsia"/>
                <w:sz w:val="24"/>
              </w:rPr>
            </w:pPr>
            <w:r>
              <w:rPr>
                <w:rFonts w:hint="eastAsia" w:ascii="宋体" w:hAnsi="宋体"/>
                <w:b/>
                <w:sz w:val="24"/>
              </w:rPr>
              <w:t>评审</w:t>
            </w:r>
          </w:p>
        </w:tc>
        <w:tc>
          <w:tcPr>
            <w:tcW w:w="1173" w:type="dxa"/>
            <w:tcBorders>
              <w:top w:val="single" w:color="auto" w:sz="4" w:space="0"/>
              <w:left w:val="single" w:color="auto" w:sz="4" w:space="0"/>
              <w:bottom w:val="single" w:color="auto" w:sz="4" w:space="0"/>
              <w:right w:val="single" w:color="auto" w:sz="4" w:space="0"/>
            </w:tcBorders>
            <w:vAlign w:val="center"/>
          </w:tcPr>
          <w:p w14:paraId="350498D9">
            <w:pPr>
              <w:snapToGrid w:val="0"/>
              <w:jc w:val="center"/>
              <w:rPr>
                <w:rFonts w:asciiTheme="minorEastAsia" w:hAnsiTheme="minorEastAsia"/>
                <w:sz w:val="24"/>
              </w:rPr>
            </w:pPr>
            <w:r>
              <w:rPr>
                <w:rFonts w:hint="eastAsia" w:ascii="宋体" w:hAnsi="宋体"/>
                <w:b/>
                <w:sz w:val="24"/>
              </w:rPr>
              <w:t>分值</w:t>
            </w:r>
          </w:p>
        </w:tc>
      </w:tr>
      <w:tr w14:paraId="1B8F9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14:paraId="7B88A7A1">
            <w:pPr>
              <w:snapToGrid w:val="0"/>
              <w:jc w:val="left"/>
              <w:rPr>
                <w:rFonts w:asciiTheme="minorEastAsia" w:hAnsiTheme="minorEastAsia"/>
                <w:sz w:val="24"/>
              </w:rPr>
            </w:pPr>
            <w:r>
              <w:rPr>
                <w:rFonts w:ascii="宋体" w:hAnsi="宋体"/>
                <w:sz w:val="24"/>
              </w:rPr>
              <w:t>1</w:t>
            </w:r>
          </w:p>
        </w:tc>
        <w:tc>
          <w:tcPr>
            <w:tcW w:w="8097" w:type="dxa"/>
            <w:tcBorders>
              <w:top w:val="single" w:color="auto" w:sz="4" w:space="0"/>
              <w:left w:val="single" w:color="auto" w:sz="4" w:space="0"/>
              <w:bottom w:val="single" w:color="auto" w:sz="4" w:space="0"/>
              <w:right w:val="single" w:color="auto" w:sz="4" w:space="0"/>
            </w:tcBorders>
            <w:vAlign w:val="center"/>
          </w:tcPr>
          <w:p w14:paraId="37D8367B">
            <w:pPr>
              <w:rPr>
                <w:rFonts w:asciiTheme="minorEastAsia" w:hAnsiTheme="minorEastAsia"/>
                <w:sz w:val="24"/>
              </w:rPr>
            </w:pPr>
            <w:r>
              <w:rPr>
                <w:rFonts w:hint="eastAsia" w:ascii="宋体" w:hAnsi="宋体"/>
                <w:sz w:val="24"/>
              </w:rPr>
              <w:t>单台氯气压缩机轴功率（按技术条件的正常标况，即入口体积流量：</w:t>
            </w:r>
            <w:r>
              <w:rPr>
                <w:rFonts w:ascii="宋体" w:hAnsi="宋体"/>
                <w:sz w:val="24"/>
              </w:rPr>
              <w:t>5000</w:t>
            </w:r>
            <w:r>
              <w:rPr>
                <w:rFonts w:hint="eastAsia" w:ascii="宋体" w:hAnsi="宋体"/>
                <w:sz w:val="24"/>
              </w:rPr>
              <w:t>m3/h，入口压力：</w:t>
            </w:r>
            <w:r>
              <w:rPr>
                <w:rFonts w:hint="eastAsia" w:ascii="宋体" w:hAnsi="宋体" w:cs="宋体"/>
                <w:sz w:val="24"/>
              </w:rPr>
              <w:t>0.088 MPa（A）</w:t>
            </w:r>
            <w:r>
              <w:rPr>
                <w:rFonts w:hint="eastAsia" w:ascii="宋体" w:hAnsi="宋体"/>
                <w:sz w:val="24"/>
              </w:rPr>
              <w:t>，入口温度：19℃，后冷却器后排气压力</w:t>
            </w:r>
            <w:r>
              <w:rPr>
                <w:rFonts w:ascii="宋体" w:hAnsi="宋体"/>
                <w:sz w:val="24"/>
              </w:rPr>
              <w:t>0.70M</w:t>
            </w:r>
            <w:r>
              <w:rPr>
                <w:rFonts w:hint="eastAsia" w:ascii="宋体" w:hAnsi="宋体"/>
                <w:sz w:val="24"/>
              </w:rPr>
              <w:t>Pa G，后冷器出口温度：45℃计算）。轴功率最低值为基准。基准为</w:t>
            </w:r>
            <w:r>
              <w:rPr>
                <w:rFonts w:ascii="宋体" w:hAnsi="宋体"/>
                <w:sz w:val="24"/>
              </w:rPr>
              <w:t>15</w:t>
            </w:r>
            <w:r>
              <w:rPr>
                <w:rFonts w:hint="eastAsia" w:ascii="宋体" w:hAnsi="宋体"/>
                <w:sz w:val="24"/>
              </w:rPr>
              <w:t>分，轴功率每上升1%，扣1分，直至本项分扣完为止。</w:t>
            </w:r>
          </w:p>
        </w:tc>
        <w:tc>
          <w:tcPr>
            <w:tcW w:w="1173" w:type="dxa"/>
            <w:tcBorders>
              <w:top w:val="single" w:color="auto" w:sz="4" w:space="0"/>
              <w:left w:val="single" w:color="auto" w:sz="4" w:space="0"/>
              <w:bottom w:val="single" w:color="auto" w:sz="4" w:space="0"/>
              <w:right w:val="single" w:color="auto" w:sz="4" w:space="0"/>
            </w:tcBorders>
            <w:vAlign w:val="center"/>
          </w:tcPr>
          <w:p w14:paraId="034343FF">
            <w:pPr>
              <w:snapToGrid w:val="0"/>
              <w:jc w:val="center"/>
              <w:rPr>
                <w:rFonts w:asciiTheme="minorEastAsia" w:hAnsiTheme="minorEastAsia"/>
                <w:sz w:val="24"/>
              </w:rPr>
            </w:pPr>
            <w:r>
              <w:rPr>
                <w:rFonts w:ascii="宋体" w:hAnsi="宋体"/>
                <w:sz w:val="24"/>
              </w:rPr>
              <w:t>0-15分</w:t>
            </w:r>
          </w:p>
        </w:tc>
      </w:tr>
      <w:tr w14:paraId="3871C5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14:paraId="1B464F7C">
            <w:pPr>
              <w:snapToGrid w:val="0"/>
              <w:jc w:val="left"/>
              <w:rPr>
                <w:rFonts w:asciiTheme="minorEastAsia" w:hAnsiTheme="minorEastAsia"/>
                <w:sz w:val="24"/>
              </w:rPr>
            </w:pPr>
            <w:r>
              <w:rPr>
                <w:rFonts w:ascii="宋体" w:hAnsi="宋体"/>
                <w:sz w:val="24"/>
              </w:rPr>
              <w:t>2</w:t>
            </w:r>
          </w:p>
        </w:tc>
        <w:tc>
          <w:tcPr>
            <w:tcW w:w="8097" w:type="dxa"/>
            <w:tcBorders>
              <w:top w:val="single" w:color="auto" w:sz="4" w:space="0"/>
              <w:left w:val="single" w:color="auto" w:sz="4" w:space="0"/>
              <w:bottom w:val="single" w:color="auto" w:sz="4" w:space="0"/>
              <w:right w:val="single" w:color="auto" w:sz="4" w:space="0"/>
            </w:tcBorders>
            <w:vAlign w:val="center"/>
          </w:tcPr>
          <w:p w14:paraId="56E635D2">
            <w:pPr>
              <w:snapToGrid w:val="0"/>
              <w:jc w:val="left"/>
              <w:rPr>
                <w:rFonts w:ascii="宋体" w:hAnsi="宋体"/>
                <w:sz w:val="24"/>
              </w:rPr>
            </w:pPr>
            <w:r>
              <w:rPr>
                <w:rFonts w:hint="eastAsia" w:ascii="宋体" w:hAnsi="宋体"/>
                <w:sz w:val="24"/>
              </w:rPr>
              <w:t>机组成套工艺、设备和仪表技术方案的先进性、合理性；技术指标及功能的实现性</w:t>
            </w:r>
          </w:p>
          <w:p w14:paraId="404CCB79">
            <w:pPr>
              <w:snapToGrid w:val="0"/>
              <w:jc w:val="left"/>
              <w:rPr>
                <w:rFonts w:asciiTheme="minorEastAsia" w:hAnsiTheme="minorEastAsia"/>
                <w:sz w:val="24"/>
              </w:rPr>
            </w:pPr>
            <w:r>
              <w:rPr>
                <w:rFonts w:hint="eastAsia" w:ascii="宋体" w:hAnsi="宋体"/>
                <w:bCs/>
                <w:sz w:val="24"/>
              </w:rPr>
              <w:t>优：5-8分，良：3-5（含）分，一般：1-3（含）分，未提供不得分。</w:t>
            </w:r>
          </w:p>
        </w:tc>
        <w:tc>
          <w:tcPr>
            <w:tcW w:w="1173" w:type="dxa"/>
            <w:tcBorders>
              <w:top w:val="single" w:color="auto" w:sz="4" w:space="0"/>
              <w:left w:val="single" w:color="auto" w:sz="4" w:space="0"/>
              <w:bottom w:val="single" w:color="auto" w:sz="4" w:space="0"/>
              <w:right w:val="single" w:color="auto" w:sz="4" w:space="0"/>
            </w:tcBorders>
            <w:vAlign w:val="center"/>
          </w:tcPr>
          <w:p w14:paraId="76839BBF">
            <w:pPr>
              <w:snapToGrid w:val="0"/>
              <w:jc w:val="center"/>
              <w:rPr>
                <w:rFonts w:asciiTheme="minorEastAsia" w:hAnsiTheme="minorEastAsia"/>
                <w:sz w:val="24"/>
              </w:rPr>
            </w:pPr>
            <w:r>
              <w:rPr>
                <w:rFonts w:ascii="宋体" w:hAnsi="宋体"/>
                <w:sz w:val="24"/>
              </w:rPr>
              <w:t>0-8分</w:t>
            </w:r>
          </w:p>
        </w:tc>
      </w:tr>
      <w:tr w14:paraId="25058A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14:paraId="71E4A678">
            <w:pPr>
              <w:snapToGrid w:val="0"/>
              <w:jc w:val="left"/>
              <w:rPr>
                <w:rFonts w:asciiTheme="minorEastAsia" w:hAnsiTheme="minorEastAsia"/>
                <w:sz w:val="24"/>
              </w:rPr>
            </w:pPr>
            <w:r>
              <w:rPr>
                <w:rFonts w:ascii="宋体" w:hAnsi="宋体"/>
                <w:sz w:val="24"/>
              </w:rPr>
              <w:t>3</w:t>
            </w:r>
          </w:p>
        </w:tc>
        <w:tc>
          <w:tcPr>
            <w:tcW w:w="8097" w:type="dxa"/>
            <w:tcBorders>
              <w:top w:val="single" w:color="auto" w:sz="4" w:space="0"/>
              <w:left w:val="single" w:color="auto" w:sz="4" w:space="0"/>
              <w:bottom w:val="single" w:color="auto" w:sz="4" w:space="0"/>
              <w:right w:val="single" w:color="auto" w:sz="4" w:space="0"/>
            </w:tcBorders>
            <w:vAlign w:val="center"/>
          </w:tcPr>
          <w:p w14:paraId="25AD7722">
            <w:pPr>
              <w:snapToGrid w:val="0"/>
              <w:jc w:val="left"/>
              <w:rPr>
                <w:rFonts w:ascii="宋体" w:hAnsi="宋体"/>
                <w:sz w:val="24"/>
              </w:rPr>
            </w:pPr>
            <w:r>
              <w:rPr>
                <w:rFonts w:hint="eastAsia" w:ascii="宋体" w:hAnsi="宋体"/>
                <w:sz w:val="24"/>
              </w:rPr>
              <w:t>配套设备及零部件选用品牌情况</w:t>
            </w:r>
          </w:p>
          <w:p w14:paraId="13B28029">
            <w:pPr>
              <w:snapToGrid w:val="0"/>
              <w:jc w:val="left"/>
              <w:rPr>
                <w:rFonts w:asciiTheme="minorEastAsia" w:hAnsiTheme="minorEastAsia"/>
                <w:sz w:val="24"/>
              </w:rPr>
            </w:pPr>
            <w:r>
              <w:rPr>
                <w:rFonts w:hint="eastAsia" w:ascii="宋体" w:hAnsi="宋体"/>
                <w:bCs/>
                <w:sz w:val="24"/>
              </w:rPr>
              <w:t>优：1.5-2分，良：1-1.5（含）分，一般：0.5-1（含）分，未提供不得分。</w:t>
            </w:r>
          </w:p>
        </w:tc>
        <w:tc>
          <w:tcPr>
            <w:tcW w:w="1173" w:type="dxa"/>
            <w:tcBorders>
              <w:top w:val="single" w:color="auto" w:sz="4" w:space="0"/>
              <w:left w:val="single" w:color="auto" w:sz="4" w:space="0"/>
              <w:bottom w:val="single" w:color="auto" w:sz="4" w:space="0"/>
              <w:right w:val="single" w:color="auto" w:sz="4" w:space="0"/>
            </w:tcBorders>
            <w:vAlign w:val="center"/>
          </w:tcPr>
          <w:p w14:paraId="6DE07B96">
            <w:pPr>
              <w:snapToGrid w:val="0"/>
              <w:jc w:val="center"/>
              <w:rPr>
                <w:rFonts w:asciiTheme="minorEastAsia" w:hAnsiTheme="minorEastAsia"/>
                <w:sz w:val="24"/>
              </w:rPr>
            </w:pPr>
            <w:r>
              <w:rPr>
                <w:rFonts w:ascii="宋体" w:hAnsi="宋体"/>
                <w:sz w:val="24"/>
              </w:rPr>
              <w:t>0-2分</w:t>
            </w:r>
          </w:p>
        </w:tc>
      </w:tr>
      <w:tr w14:paraId="488F3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14:paraId="76001869">
            <w:pPr>
              <w:snapToGrid w:val="0"/>
              <w:jc w:val="left"/>
              <w:rPr>
                <w:rFonts w:asciiTheme="minorEastAsia" w:hAnsiTheme="minorEastAsia"/>
                <w:sz w:val="24"/>
              </w:rPr>
            </w:pPr>
            <w:r>
              <w:rPr>
                <w:rFonts w:ascii="宋体" w:hAnsi="宋体"/>
                <w:sz w:val="24"/>
              </w:rPr>
              <w:t>4</w:t>
            </w:r>
          </w:p>
        </w:tc>
        <w:tc>
          <w:tcPr>
            <w:tcW w:w="8097" w:type="dxa"/>
            <w:tcBorders>
              <w:top w:val="single" w:color="auto" w:sz="4" w:space="0"/>
              <w:left w:val="single" w:color="auto" w:sz="4" w:space="0"/>
              <w:bottom w:val="single" w:color="auto" w:sz="4" w:space="0"/>
              <w:right w:val="single" w:color="auto" w:sz="4" w:space="0"/>
            </w:tcBorders>
            <w:vAlign w:val="center"/>
          </w:tcPr>
          <w:p w14:paraId="237A3098">
            <w:pPr>
              <w:snapToGrid w:val="0"/>
              <w:jc w:val="left"/>
              <w:rPr>
                <w:rFonts w:ascii="宋体" w:hAnsi="宋体"/>
                <w:sz w:val="24"/>
              </w:rPr>
            </w:pPr>
            <w:r>
              <w:rPr>
                <w:rFonts w:hint="eastAsia" w:ascii="宋体" w:hAnsi="宋体"/>
                <w:sz w:val="24"/>
              </w:rPr>
              <w:t>工装设备、制造工艺及加工计划</w:t>
            </w:r>
          </w:p>
          <w:p w14:paraId="162CEBCB">
            <w:pPr>
              <w:snapToGrid w:val="0"/>
              <w:jc w:val="left"/>
              <w:rPr>
                <w:rFonts w:asciiTheme="minorEastAsia" w:hAnsiTheme="minorEastAsia"/>
                <w:sz w:val="24"/>
              </w:rPr>
            </w:pPr>
            <w:r>
              <w:rPr>
                <w:rFonts w:hint="eastAsia" w:ascii="宋体" w:hAnsi="宋体"/>
                <w:bCs/>
                <w:sz w:val="24"/>
              </w:rPr>
              <w:t>优：2-3分，良：1-2（含）分，一般：0.5-1（含）分，未提供不得分。</w:t>
            </w:r>
          </w:p>
        </w:tc>
        <w:tc>
          <w:tcPr>
            <w:tcW w:w="1173" w:type="dxa"/>
            <w:tcBorders>
              <w:top w:val="single" w:color="auto" w:sz="4" w:space="0"/>
              <w:left w:val="single" w:color="auto" w:sz="4" w:space="0"/>
              <w:bottom w:val="single" w:color="auto" w:sz="4" w:space="0"/>
              <w:right w:val="single" w:color="auto" w:sz="4" w:space="0"/>
            </w:tcBorders>
            <w:vAlign w:val="center"/>
          </w:tcPr>
          <w:p w14:paraId="0EB72A3D">
            <w:pPr>
              <w:snapToGrid w:val="0"/>
              <w:jc w:val="center"/>
              <w:rPr>
                <w:rFonts w:asciiTheme="minorEastAsia" w:hAnsiTheme="minorEastAsia"/>
                <w:sz w:val="24"/>
              </w:rPr>
            </w:pPr>
            <w:r>
              <w:rPr>
                <w:rFonts w:ascii="宋体" w:hAnsi="宋体"/>
                <w:sz w:val="24"/>
              </w:rPr>
              <w:t>0-</w:t>
            </w:r>
            <w:r>
              <w:rPr>
                <w:rFonts w:hint="eastAsia" w:ascii="宋体" w:hAnsi="宋体"/>
                <w:sz w:val="24"/>
              </w:rPr>
              <w:t>3</w:t>
            </w:r>
            <w:r>
              <w:rPr>
                <w:rFonts w:ascii="宋体" w:hAnsi="宋体"/>
                <w:sz w:val="24"/>
              </w:rPr>
              <w:t>分</w:t>
            </w:r>
          </w:p>
        </w:tc>
      </w:tr>
      <w:tr w14:paraId="621B7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14:paraId="3C0416C3">
            <w:pPr>
              <w:snapToGrid w:val="0"/>
              <w:jc w:val="left"/>
              <w:rPr>
                <w:rFonts w:asciiTheme="minorEastAsia" w:hAnsiTheme="minorEastAsia"/>
                <w:sz w:val="24"/>
              </w:rPr>
            </w:pPr>
            <w:r>
              <w:rPr>
                <w:rFonts w:ascii="宋体" w:hAnsi="宋体"/>
                <w:sz w:val="24"/>
              </w:rPr>
              <w:t>5</w:t>
            </w:r>
          </w:p>
        </w:tc>
        <w:tc>
          <w:tcPr>
            <w:tcW w:w="8097" w:type="dxa"/>
            <w:tcBorders>
              <w:top w:val="single" w:color="auto" w:sz="4" w:space="0"/>
              <w:left w:val="single" w:color="auto" w:sz="4" w:space="0"/>
              <w:bottom w:val="single" w:color="auto" w:sz="4" w:space="0"/>
              <w:right w:val="single" w:color="auto" w:sz="4" w:space="0"/>
            </w:tcBorders>
            <w:vAlign w:val="center"/>
          </w:tcPr>
          <w:p w14:paraId="7D6D177D">
            <w:pPr>
              <w:snapToGrid w:val="0"/>
              <w:jc w:val="left"/>
              <w:rPr>
                <w:rFonts w:ascii="宋体" w:hAnsi="宋体"/>
                <w:sz w:val="24"/>
              </w:rPr>
            </w:pPr>
            <w:r>
              <w:rPr>
                <w:rFonts w:hint="eastAsia" w:ascii="宋体" w:hAnsi="宋体"/>
                <w:sz w:val="24"/>
              </w:rPr>
              <w:t>系统运行维护的方便性</w:t>
            </w:r>
          </w:p>
          <w:p w14:paraId="66218307">
            <w:pPr>
              <w:snapToGrid w:val="0"/>
              <w:jc w:val="left"/>
              <w:rPr>
                <w:rFonts w:asciiTheme="minorEastAsia" w:hAnsiTheme="minorEastAsia"/>
                <w:sz w:val="24"/>
              </w:rPr>
            </w:pPr>
            <w:r>
              <w:rPr>
                <w:rFonts w:hint="eastAsia" w:ascii="宋体" w:hAnsi="宋体"/>
                <w:bCs/>
                <w:sz w:val="24"/>
              </w:rPr>
              <w:t>优：1.5-2分，良：1-1.5（含）分，一般：0.5-1（含）分，未提供不得分。</w:t>
            </w:r>
          </w:p>
        </w:tc>
        <w:tc>
          <w:tcPr>
            <w:tcW w:w="1173" w:type="dxa"/>
            <w:tcBorders>
              <w:top w:val="single" w:color="auto" w:sz="4" w:space="0"/>
              <w:left w:val="single" w:color="auto" w:sz="4" w:space="0"/>
              <w:bottom w:val="single" w:color="auto" w:sz="4" w:space="0"/>
              <w:right w:val="single" w:color="auto" w:sz="4" w:space="0"/>
            </w:tcBorders>
            <w:vAlign w:val="center"/>
          </w:tcPr>
          <w:p w14:paraId="65583259">
            <w:pPr>
              <w:snapToGrid w:val="0"/>
              <w:jc w:val="center"/>
              <w:rPr>
                <w:rFonts w:asciiTheme="minorEastAsia" w:hAnsiTheme="minorEastAsia"/>
                <w:sz w:val="24"/>
              </w:rPr>
            </w:pPr>
            <w:r>
              <w:rPr>
                <w:rFonts w:ascii="宋体" w:hAnsi="宋体"/>
                <w:sz w:val="24"/>
              </w:rPr>
              <w:t>0-</w:t>
            </w:r>
            <w:r>
              <w:rPr>
                <w:rFonts w:hint="eastAsia" w:ascii="宋体" w:hAnsi="宋体"/>
                <w:sz w:val="24"/>
              </w:rPr>
              <w:t>2</w:t>
            </w:r>
            <w:r>
              <w:rPr>
                <w:rFonts w:ascii="宋体" w:hAnsi="宋体"/>
                <w:sz w:val="24"/>
              </w:rPr>
              <w:t>分</w:t>
            </w:r>
          </w:p>
        </w:tc>
      </w:tr>
      <w:tr w14:paraId="5B170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759" w:type="dxa"/>
            <w:tcBorders>
              <w:top w:val="single" w:color="auto" w:sz="4" w:space="0"/>
              <w:left w:val="single" w:color="auto" w:sz="4" w:space="0"/>
              <w:bottom w:val="single" w:color="auto" w:sz="4" w:space="0"/>
              <w:right w:val="single" w:color="auto" w:sz="4" w:space="0"/>
            </w:tcBorders>
            <w:vAlign w:val="center"/>
          </w:tcPr>
          <w:p w14:paraId="53384AFA">
            <w:pPr>
              <w:snapToGrid w:val="0"/>
              <w:jc w:val="left"/>
              <w:rPr>
                <w:rFonts w:asciiTheme="minorEastAsia" w:hAnsiTheme="minorEastAsia"/>
                <w:sz w:val="24"/>
              </w:rPr>
            </w:pPr>
            <w:r>
              <w:rPr>
                <w:rFonts w:ascii="宋体" w:hAnsi="宋体"/>
                <w:sz w:val="24"/>
              </w:rPr>
              <w:t>6</w:t>
            </w:r>
          </w:p>
        </w:tc>
        <w:tc>
          <w:tcPr>
            <w:tcW w:w="8097" w:type="dxa"/>
            <w:tcBorders>
              <w:top w:val="single" w:color="auto" w:sz="4" w:space="0"/>
              <w:left w:val="single" w:color="auto" w:sz="4" w:space="0"/>
              <w:bottom w:val="single" w:color="auto" w:sz="4" w:space="0"/>
              <w:right w:val="single" w:color="auto" w:sz="4" w:space="0"/>
            </w:tcBorders>
            <w:vAlign w:val="center"/>
          </w:tcPr>
          <w:p w14:paraId="77EC4D53">
            <w:pPr>
              <w:snapToGrid w:val="0"/>
              <w:jc w:val="left"/>
              <w:rPr>
                <w:rFonts w:ascii="宋体" w:hAnsi="宋体"/>
                <w:sz w:val="24"/>
              </w:rPr>
            </w:pPr>
            <w:r>
              <w:rPr>
                <w:rFonts w:hint="eastAsia" w:ascii="宋体" w:hAnsi="宋体"/>
                <w:sz w:val="24"/>
              </w:rPr>
              <w:t>付款方式</w:t>
            </w:r>
          </w:p>
          <w:p w14:paraId="1109B3FC">
            <w:pPr>
              <w:snapToGrid w:val="0"/>
              <w:jc w:val="left"/>
              <w:rPr>
                <w:rFonts w:asciiTheme="minorEastAsia" w:hAnsiTheme="minorEastAsia"/>
                <w:sz w:val="24"/>
              </w:rPr>
            </w:pPr>
            <w:r>
              <w:rPr>
                <w:rFonts w:hint="eastAsia" w:ascii="宋体" w:hAnsi="宋体"/>
                <w:bCs/>
                <w:sz w:val="24"/>
              </w:rPr>
              <w:t>优：1.5-2分，良：1-1.5（含）分，一般：0.5-1（含）分，未提供不得分。</w:t>
            </w:r>
          </w:p>
        </w:tc>
        <w:tc>
          <w:tcPr>
            <w:tcW w:w="1173" w:type="dxa"/>
            <w:tcBorders>
              <w:top w:val="single" w:color="auto" w:sz="4" w:space="0"/>
              <w:left w:val="single" w:color="auto" w:sz="4" w:space="0"/>
              <w:bottom w:val="single" w:color="auto" w:sz="4" w:space="0"/>
              <w:right w:val="single" w:color="auto" w:sz="4" w:space="0"/>
            </w:tcBorders>
            <w:vAlign w:val="center"/>
          </w:tcPr>
          <w:p w14:paraId="598286BE">
            <w:pPr>
              <w:snapToGrid w:val="0"/>
              <w:jc w:val="center"/>
              <w:rPr>
                <w:rFonts w:asciiTheme="minorEastAsia" w:hAnsiTheme="minorEastAsia"/>
                <w:sz w:val="24"/>
              </w:rPr>
            </w:pPr>
            <w:r>
              <w:rPr>
                <w:rFonts w:hint="eastAsia" w:ascii="宋体" w:hAnsi="宋体"/>
                <w:sz w:val="24"/>
              </w:rPr>
              <w:t>0</w:t>
            </w:r>
            <w:r>
              <w:rPr>
                <w:rFonts w:ascii="宋体" w:hAnsi="宋体"/>
                <w:sz w:val="24"/>
              </w:rPr>
              <w:t>-2分</w:t>
            </w:r>
          </w:p>
        </w:tc>
      </w:tr>
    </w:tbl>
    <w:p w14:paraId="0556C46F">
      <w:pPr>
        <w:snapToGrid w:val="0"/>
        <w:jc w:val="left"/>
        <w:rPr>
          <w:rFonts w:ascii="宋体" w:hAnsi="宋体"/>
          <w:kern w:val="0"/>
          <w:sz w:val="24"/>
        </w:rPr>
      </w:pPr>
    </w:p>
    <w:p w14:paraId="2A8A73EE">
      <w:pPr>
        <w:snapToGrid w:val="0"/>
        <w:jc w:val="left"/>
        <w:rPr>
          <w:rFonts w:ascii="宋体" w:hAnsi="宋体"/>
          <w:kern w:val="0"/>
          <w:sz w:val="24"/>
        </w:rPr>
      </w:pPr>
      <w:r>
        <w:rPr>
          <w:rFonts w:ascii="宋体" w:hAnsi="宋体"/>
          <w:kern w:val="0"/>
          <w:sz w:val="24"/>
        </w:rPr>
        <w:t>4.3 以上评分结果按四舍五入保留小数2位。技术、资信评审部分投标人的得分为全体评委打分的算术平均值。</w:t>
      </w:r>
    </w:p>
    <w:p w14:paraId="53DBFB3E">
      <w:pPr>
        <w:jc w:val="left"/>
        <w:rPr>
          <w:rFonts w:ascii="宋体"/>
          <w:kern w:val="0"/>
          <w:sz w:val="24"/>
        </w:rPr>
      </w:pPr>
      <w:r>
        <w:rPr>
          <w:rFonts w:ascii="宋体" w:hAnsi="宋体"/>
          <w:sz w:val="24"/>
        </w:rPr>
        <w:t>4.4</w:t>
      </w:r>
      <w:r>
        <w:rPr>
          <w:rFonts w:hint="eastAsia" w:ascii="宋体" w:hAnsi="宋体"/>
          <w:sz w:val="24"/>
        </w:rPr>
        <w:t>评审过程中</w:t>
      </w:r>
      <w:r>
        <w:rPr>
          <w:rFonts w:ascii="宋体" w:hAnsi="宋体"/>
          <w:sz w:val="24"/>
        </w:rPr>
        <w:t>，如果合格投标人少于3家时，超过半数评委认为本次投标仍然具有竞争性的，可以按本招标文件的评标办法，继续进行商务评审。</w:t>
      </w:r>
      <w:r>
        <w:rPr>
          <w:rFonts w:hint="eastAsia" w:ascii="宋体" w:hAnsi="宋体"/>
          <w:kern w:val="0"/>
          <w:sz w:val="24"/>
        </w:rPr>
        <w:t>投标文件技术评审时，</w:t>
      </w:r>
      <w:r>
        <w:rPr>
          <w:rFonts w:hint="eastAsia" w:ascii="宋体" w:hAnsi="宋体"/>
          <w:sz w:val="24"/>
        </w:rPr>
        <w:t>允许偏离的技术、性能指标或者辅助功能发生负偏离达</w:t>
      </w:r>
      <w:r>
        <w:rPr>
          <w:rFonts w:ascii="宋体" w:hAnsi="宋体"/>
          <w:sz w:val="24"/>
          <w:u w:val="single"/>
        </w:rPr>
        <w:t xml:space="preserve"> 5 </w:t>
      </w:r>
      <w:r>
        <w:rPr>
          <w:rFonts w:hint="eastAsia" w:ascii="宋体" w:hAnsi="宋体"/>
          <w:sz w:val="24"/>
        </w:rPr>
        <w:t>项（含）以上的，则判定该投标人技术评审不合格，不再进入下一轮评审。</w:t>
      </w:r>
    </w:p>
    <w:p w14:paraId="69B7AF1E">
      <w:pPr>
        <w:jc w:val="left"/>
        <w:rPr>
          <w:rFonts w:ascii="宋体" w:hAnsi="宋体" w:cs="宋体"/>
          <w:kern w:val="0"/>
          <w:sz w:val="24"/>
        </w:rPr>
      </w:pPr>
      <w:r>
        <w:rPr>
          <w:rFonts w:ascii="宋体" w:hAnsi="宋体" w:cs="宋体"/>
          <w:kern w:val="0"/>
          <w:sz w:val="24"/>
        </w:rPr>
        <w:t>4.5商务报价评审</w:t>
      </w:r>
      <w:r>
        <w:rPr>
          <w:rFonts w:ascii="宋体" w:hAnsi="宋体"/>
          <w:kern w:val="0"/>
          <w:sz w:val="24"/>
        </w:rPr>
        <w:t>（</w:t>
      </w:r>
      <w:r>
        <w:rPr>
          <w:rFonts w:ascii="宋体" w:hAnsi="宋体"/>
          <w:b/>
          <w:kern w:val="0"/>
          <w:sz w:val="24"/>
        </w:rPr>
        <w:t>满分60分</w:t>
      </w:r>
      <w:r>
        <w:rPr>
          <w:rFonts w:ascii="宋体" w:hAnsi="宋体"/>
          <w:kern w:val="0"/>
          <w:sz w:val="24"/>
        </w:rPr>
        <w:t>）</w:t>
      </w:r>
    </w:p>
    <w:p w14:paraId="34095513">
      <w:pPr>
        <w:ind w:firstLine="480" w:firstLineChars="200"/>
        <w:jc w:val="left"/>
        <w:rPr>
          <w:rFonts w:ascii="宋体" w:cs="宋体"/>
          <w:kern w:val="0"/>
          <w:sz w:val="24"/>
        </w:rPr>
      </w:pPr>
      <w:r>
        <w:rPr>
          <w:rFonts w:hint="eastAsia" w:ascii="宋体" w:cs="宋体"/>
          <w:kern w:val="0"/>
          <w:sz w:val="24"/>
        </w:rPr>
        <w:t>评标委员会应对通过符合性审查和技术、资信评审的投标文件进行商务报价评审，对商务报价的范围、数量、单价、费用组成、总价和结算方式等进行全面审阅和对比分析，找出报价差异的原因及存在的问题。</w:t>
      </w:r>
    </w:p>
    <w:p w14:paraId="6BBCA5FF">
      <w:pPr>
        <w:ind w:firstLine="120" w:firstLineChars="50"/>
        <w:jc w:val="left"/>
        <w:rPr>
          <w:rFonts w:ascii="宋体" w:cs="宋体"/>
          <w:kern w:val="0"/>
          <w:sz w:val="24"/>
        </w:rPr>
      </w:pPr>
      <w:r>
        <w:rPr>
          <w:rFonts w:hint="eastAsia" w:ascii="宋体" w:cs="宋体"/>
          <w:kern w:val="0"/>
          <w:sz w:val="24"/>
        </w:rPr>
        <w:t>报价评审应以报价口径范围一致的评标价为依据。评标价应在最终报价的基础上，按照招标文件约定的因素和方法进行计算，因投标人自身失误造成多算、少算、漏算的，不得调整。</w:t>
      </w:r>
    </w:p>
    <w:p w14:paraId="59D82924">
      <w:pPr>
        <w:ind w:firstLine="120" w:firstLineChars="50"/>
        <w:jc w:val="left"/>
        <w:rPr>
          <w:rFonts w:ascii="宋体" w:cs="宋体"/>
          <w:kern w:val="0"/>
          <w:sz w:val="24"/>
        </w:rPr>
      </w:pPr>
      <w:r>
        <w:rPr>
          <w:rFonts w:hint="eastAsia" w:ascii="宋体" w:cs="宋体"/>
          <w:kern w:val="0"/>
          <w:sz w:val="24"/>
        </w:rPr>
        <w:t>投标报价中，如有以下情况之一的，按商务标评审不合格处理：</w:t>
      </w:r>
    </w:p>
    <w:p w14:paraId="3CF366C1">
      <w:pPr>
        <w:ind w:firstLine="120" w:firstLineChars="50"/>
        <w:jc w:val="left"/>
        <w:rPr>
          <w:rFonts w:ascii="宋体" w:cs="宋体"/>
          <w:kern w:val="0"/>
          <w:sz w:val="24"/>
        </w:rPr>
      </w:pPr>
      <w:r>
        <w:rPr>
          <w:rFonts w:hint="eastAsia" w:ascii="宋体" w:cs="宋体"/>
          <w:kern w:val="0"/>
          <w:sz w:val="24"/>
        </w:rPr>
        <w:t>（</w:t>
      </w:r>
      <w:r>
        <w:rPr>
          <w:rFonts w:ascii="宋体" w:cs="宋体"/>
          <w:kern w:val="0"/>
          <w:sz w:val="24"/>
        </w:rPr>
        <w:t>1</w:t>
      </w:r>
      <w:r>
        <w:rPr>
          <w:rFonts w:hint="eastAsia" w:ascii="宋体" w:cs="宋体"/>
          <w:kern w:val="0"/>
          <w:sz w:val="24"/>
        </w:rPr>
        <w:t>）投标人未按招标文件实质性规定要求进行报价；</w:t>
      </w:r>
    </w:p>
    <w:p w14:paraId="14B26801">
      <w:pPr>
        <w:ind w:firstLine="120" w:firstLineChars="50"/>
        <w:jc w:val="left"/>
        <w:rPr>
          <w:rFonts w:ascii="宋体" w:cs="宋体"/>
          <w:kern w:val="0"/>
          <w:sz w:val="24"/>
        </w:rPr>
      </w:pPr>
      <w:r>
        <w:rPr>
          <w:rFonts w:hint="eastAsia" w:ascii="宋体" w:cs="宋体"/>
          <w:kern w:val="0"/>
          <w:sz w:val="24"/>
        </w:rPr>
        <w:t>（</w:t>
      </w:r>
      <w:r>
        <w:rPr>
          <w:rFonts w:ascii="宋体" w:cs="宋体"/>
          <w:kern w:val="0"/>
          <w:sz w:val="24"/>
        </w:rPr>
        <w:t>2</w:t>
      </w:r>
      <w:r>
        <w:rPr>
          <w:rFonts w:hint="eastAsia" w:ascii="宋体" w:cs="宋体"/>
          <w:kern w:val="0"/>
          <w:sz w:val="24"/>
        </w:rPr>
        <w:t>）评标委员会认定属投标人自身原因有重大漏项的。</w:t>
      </w:r>
    </w:p>
    <w:p w14:paraId="30B945B1">
      <w:pPr>
        <w:ind w:firstLine="120" w:firstLineChars="50"/>
        <w:jc w:val="left"/>
        <w:rPr>
          <w:rFonts w:ascii="宋体" w:cs="宋体"/>
          <w:kern w:val="0"/>
          <w:sz w:val="24"/>
        </w:rPr>
      </w:pPr>
      <w:r>
        <w:rPr>
          <w:rFonts w:ascii="宋体" w:cs="宋体"/>
          <w:kern w:val="0"/>
          <w:sz w:val="24"/>
        </w:rPr>
        <w:t>4.</w:t>
      </w:r>
      <w:r>
        <w:rPr>
          <w:rFonts w:hint="eastAsia" w:ascii="宋体" w:cs="宋体"/>
          <w:kern w:val="0"/>
          <w:sz w:val="24"/>
        </w:rPr>
        <w:t>5.1</w:t>
      </w:r>
      <w:r>
        <w:rPr>
          <w:rFonts w:ascii="宋体" w:cs="宋体"/>
          <w:kern w:val="0"/>
          <w:sz w:val="24"/>
        </w:rPr>
        <w:t>报价评审。</w:t>
      </w:r>
    </w:p>
    <w:p w14:paraId="2FD2B1BC">
      <w:pPr>
        <w:ind w:firstLine="590" w:firstLineChars="246"/>
        <w:jc w:val="left"/>
        <w:rPr>
          <w:rFonts w:ascii="宋体" w:cs="宋体"/>
          <w:kern w:val="0"/>
          <w:sz w:val="24"/>
        </w:rPr>
      </w:pPr>
      <w:r>
        <w:rPr>
          <w:rFonts w:hint="eastAsia"/>
          <w:sz w:val="24"/>
        </w:rPr>
        <w:t>在投标最终报价的基础上进行报价评分。属投标人失误造成的报价差错、遗漏，不得调整。</w:t>
      </w:r>
    </w:p>
    <w:p w14:paraId="6517DBCA">
      <w:pPr>
        <w:ind w:firstLine="120" w:firstLineChars="50"/>
        <w:jc w:val="left"/>
        <w:rPr>
          <w:sz w:val="24"/>
        </w:rPr>
      </w:pPr>
      <w:r>
        <w:rPr>
          <w:rFonts w:ascii="宋体" w:cs="宋体"/>
          <w:kern w:val="0"/>
          <w:sz w:val="24"/>
        </w:rPr>
        <w:t>4.</w:t>
      </w:r>
      <w:r>
        <w:rPr>
          <w:rFonts w:hint="eastAsia" w:ascii="宋体" w:cs="宋体"/>
          <w:kern w:val="0"/>
          <w:sz w:val="24"/>
        </w:rPr>
        <w:t>5.2基准价的确定：</w:t>
      </w:r>
      <w:r>
        <w:rPr>
          <w:sz w:val="24"/>
        </w:rPr>
        <w:t>基准价。</w:t>
      </w:r>
    </w:p>
    <w:p w14:paraId="1410B7D2">
      <w:pPr>
        <w:tabs>
          <w:tab w:val="left" w:pos="4380"/>
        </w:tabs>
        <w:snapToGrid w:val="0"/>
        <w:spacing w:line="360" w:lineRule="exact"/>
        <w:ind w:firstLine="480" w:firstLineChars="200"/>
        <w:rPr>
          <w:rFonts w:ascii="宋体" w:hAnsi="宋体"/>
          <w:color w:val="000000" w:themeColor="text1"/>
          <w:sz w:val="24"/>
        </w:rPr>
      </w:pPr>
      <w:r>
        <w:rPr>
          <w:rFonts w:hint="eastAsia" w:ascii="宋体" w:hAnsi="宋体"/>
          <w:color w:val="000000" w:themeColor="text1"/>
          <w:sz w:val="24"/>
        </w:rPr>
        <w:t>⑴</w:t>
      </w:r>
      <w:r>
        <w:rPr>
          <w:rFonts w:ascii="宋体" w:hAnsi="宋体"/>
          <w:color w:val="000000" w:themeColor="text1"/>
          <w:sz w:val="24"/>
        </w:rPr>
        <w:t>当有效投标人数量≥9家：去掉最高价和次高价后，</w:t>
      </w:r>
      <w:r>
        <w:rPr>
          <w:rFonts w:hint="eastAsia" w:ascii="宋体" w:hAnsi="宋体"/>
          <w:color w:val="000000" w:themeColor="text1"/>
          <w:sz w:val="24"/>
        </w:rPr>
        <w:t>剩余</w:t>
      </w:r>
      <w:r>
        <w:rPr>
          <w:rFonts w:ascii="宋体" w:hAnsi="宋体"/>
          <w:color w:val="000000" w:themeColor="text1"/>
          <w:sz w:val="24"/>
        </w:rPr>
        <w:t>所有</w:t>
      </w:r>
      <w:r>
        <w:rPr>
          <w:rFonts w:hint="eastAsia" w:ascii="宋体" w:hAnsi="宋体"/>
          <w:color w:val="000000" w:themeColor="text1"/>
          <w:sz w:val="24"/>
        </w:rPr>
        <w:t>有效</w:t>
      </w:r>
      <w:r>
        <w:rPr>
          <w:rFonts w:ascii="宋体" w:hAnsi="宋体"/>
          <w:color w:val="000000" w:themeColor="text1"/>
          <w:sz w:val="24"/>
        </w:rPr>
        <w:t>投标价的算术平均值与</w:t>
      </w:r>
      <w:r>
        <w:rPr>
          <w:rFonts w:hint="eastAsia" w:ascii="宋体" w:hAnsi="宋体"/>
          <w:color w:val="000000" w:themeColor="text1"/>
          <w:sz w:val="24"/>
        </w:rPr>
        <w:t>次</w:t>
      </w:r>
      <w:r>
        <w:rPr>
          <w:rFonts w:ascii="宋体" w:hAnsi="宋体"/>
          <w:color w:val="000000" w:themeColor="text1"/>
          <w:sz w:val="24"/>
        </w:rPr>
        <w:t>低报价的二次平均值为基准价；</w:t>
      </w:r>
    </w:p>
    <w:p w14:paraId="4BE14C9E">
      <w:pPr>
        <w:tabs>
          <w:tab w:val="left" w:pos="4380"/>
        </w:tabs>
        <w:snapToGrid w:val="0"/>
        <w:spacing w:line="360" w:lineRule="exact"/>
        <w:ind w:firstLine="480" w:firstLineChars="200"/>
        <w:rPr>
          <w:rFonts w:ascii="宋体" w:hAnsi="宋体"/>
          <w:color w:val="000000" w:themeColor="text1"/>
          <w:sz w:val="24"/>
        </w:rPr>
      </w:pPr>
      <w:r>
        <w:rPr>
          <w:rFonts w:hint="eastAsia" w:ascii="宋体" w:hAnsi="宋体"/>
          <w:color w:val="000000" w:themeColor="text1"/>
          <w:sz w:val="24"/>
        </w:rPr>
        <w:t>⑵</w:t>
      </w:r>
      <w:r>
        <w:rPr>
          <w:rFonts w:ascii="宋体" w:hAnsi="宋体"/>
          <w:color w:val="000000" w:themeColor="text1"/>
          <w:sz w:val="24"/>
        </w:rPr>
        <w:t>当</w:t>
      </w:r>
      <w:r>
        <w:rPr>
          <w:rFonts w:hint="eastAsia" w:ascii="宋体" w:hAnsi="宋体"/>
          <w:color w:val="000000" w:themeColor="text1"/>
          <w:sz w:val="24"/>
        </w:rPr>
        <w:t>6</w:t>
      </w:r>
      <w:r>
        <w:rPr>
          <w:rFonts w:ascii="宋体" w:hAnsi="宋体"/>
          <w:color w:val="000000" w:themeColor="text1"/>
          <w:sz w:val="24"/>
        </w:rPr>
        <w:t>家</w:t>
      </w:r>
      <w:r>
        <w:rPr>
          <w:rFonts w:hint="eastAsia" w:ascii="宋体" w:hAnsi="宋体"/>
          <w:color w:val="000000" w:themeColor="text1"/>
          <w:sz w:val="24"/>
        </w:rPr>
        <w:t>≤</w:t>
      </w:r>
      <w:r>
        <w:rPr>
          <w:rFonts w:ascii="宋体" w:hAnsi="宋体"/>
          <w:color w:val="000000" w:themeColor="text1"/>
          <w:sz w:val="24"/>
        </w:rPr>
        <w:t>有效投标人数量＜9家：去掉最高价后</w:t>
      </w:r>
      <w:r>
        <w:rPr>
          <w:rFonts w:hint="eastAsia" w:ascii="宋体" w:hAnsi="宋体"/>
          <w:color w:val="000000" w:themeColor="text1"/>
          <w:sz w:val="24"/>
        </w:rPr>
        <w:t>，剩余</w:t>
      </w:r>
      <w:r>
        <w:rPr>
          <w:rFonts w:ascii="宋体" w:hAnsi="宋体"/>
          <w:color w:val="000000" w:themeColor="text1"/>
          <w:sz w:val="24"/>
        </w:rPr>
        <w:t>所有</w:t>
      </w:r>
      <w:r>
        <w:rPr>
          <w:rFonts w:hint="eastAsia" w:ascii="宋体" w:hAnsi="宋体"/>
          <w:color w:val="000000" w:themeColor="text1"/>
          <w:sz w:val="24"/>
        </w:rPr>
        <w:t>有效</w:t>
      </w:r>
      <w:r>
        <w:rPr>
          <w:rFonts w:ascii="宋体" w:hAnsi="宋体"/>
          <w:color w:val="000000" w:themeColor="text1"/>
          <w:sz w:val="24"/>
        </w:rPr>
        <w:t>投标价的算术平均值与</w:t>
      </w:r>
      <w:r>
        <w:rPr>
          <w:rFonts w:hint="eastAsia" w:ascii="宋体" w:hAnsi="宋体"/>
          <w:color w:val="000000" w:themeColor="text1"/>
          <w:sz w:val="24"/>
        </w:rPr>
        <w:t>次</w:t>
      </w:r>
      <w:r>
        <w:rPr>
          <w:rFonts w:ascii="宋体" w:hAnsi="宋体"/>
          <w:color w:val="000000" w:themeColor="text1"/>
          <w:sz w:val="24"/>
        </w:rPr>
        <w:t>低报价的二次平均值为基准价；</w:t>
      </w:r>
    </w:p>
    <w:p w14:paraId="207E3C11">
      <w:pPr>
        <w:tabs>
          <w:tab w:val="left" w:pos="4380"/>
        </w:tabs>
        <w:snapToGrid w:val="0"/>
        <w:spacing w:line="360" w:lineRule="exact"/>
        <w:ind w:firstLine="480" w:firstLineChars="200"/>
        <w:rPr>
          <w:rFonts w:ascii="宋体" w:hAnsi="宋体"/>
          <w:color w:val="000000" w:themeColor="text1"/>
          <w:sz w:val="24"/>
        </w:rPr>
      </w:pPr>
      <w:r>
        <w:rPr>
          <w:rFonts w:hint="eastAsia" w:ascii="宋体" w:hAnsi="宋体"/>
          <w:color w:val="000000" w:themeColor="text1"/>
          <w:sz w:val="24"/>
        </w:rPr>
        <w:t>⑶</w:t>
      </w:r>
      <w:r>
        <w:rPr>
          <w:rFonts w:ascii="宋体" w:hAnsi="宋体"/>
          <w:color w:val="000000" w:themeColor="text1"/>
          <w:sz w:val="24"/>
        </w:rPr>
        <w:t>当</w:t>
      </w:r>
      <w:r>
        <w:rPr>
          <w:rFonts w:hint="eastAsia" w:ascii="宋体" w:hAnsi="宋体"/>
          <w:color w:val="000000" w:themeColor="text1"/>
          <w:sz w:val="24"/>
        </w:rPr>
        <w:t>3</w:t>
      </w:r>
      <w:r>
        <w:rPr>
          <w:rFonts w:ascii="宋体" w:hAnsi="宋体"/>
          <w:color w:val="000000" w:themeColor="text1"/>
          <w:sz w:val="24"/>
        </w:rPr>
        <w:t>家</w:t>
      </w:r>
      <w:r>
        <w:rPr>
          <w:rFonts w:hint="eastAsia" w:ascii="宋体" w:hAnsi="宋体"/>
          <w:color w:val="000000" w:themeColor="text1"/>
          <w:sz w:val="24"/>
        </w:rPr>
        <w:t>≤</w:t>
      </w:r>
      <w:r>
        <w:rPr>
          <w:rFonts w:ascii="宋体" w:hAnsi="宋体"/>
          <w:color w:val="000000" w:themeColor="text1"/>
          <w:sz w:val="24"/>
        </w:rPr>
        <w:t>有效投标人数量</w:t>
      </w:r>
      <w:r>
        <w:rPr>
          <w:rFonts w:hint="eastAsia" w:ascii="宋体" w:hAnsi="宋体"/>
          <w:color w:val="000000" w:themeColor="text1"/>
          <w:sz w:val="24"/>
        </w:rPr>
        <w:t>≤5</w:t>
      </w:r>
      <w:r>
        <w:rPr>
          <w:rFonts w:ascii="宋体" w:hAnsi="宋体"/>
          <w:color w:val="000000" w:themeColor="text1"/>
          <w:sz w:val="24"/>
        </w:rPr>
        <w:t>家且最高报价</w:t>
      </w:r>
      <w:r>
        <w:rPr>
          <w:rFonts w:hint="eastAsia" w:ascii="宋体" w:hAnsi="宋体"/>
          <w:color w:val="000000" w:themeColor="text1"/>
          <w:sz w:val="24"/>
        </w:rPr>
        <w:t>≥</w:t>
      </w:r>
      <w:r>
        <w:rPr>
          <w:rFonts w:ascii="宋体" w:hAnsi="宋体"/>
          <w:color w:val="000000" w:themeColor="text1"/>
          <w:sz w:val="24"/>
        </w:rPr>
        <w:t>次高报价×1</w:t>
      </w:r>
      <w:r>
        <w:rPr>
          <w:rFonts w:hint="eastAsia" w:ascii="宋体" w:hAnsi="宋体"/>
          <w:color w:val="000000" w:themeColor="text1"/>
          <w:sz w:val="24"/>
        </w:rPr>
        <w:t>2</w:t>
      </w:r>
      <w:r>
        <w:rPr>
          <w:rFonts w:ascii="宋体" w:hAnsi="宋体"/>
          <w:color w:val="000000" w:themeColor="text1"/>
          <w:sz w:val="24"/>
        </w:rPr>
        <w:t>0%时，去除最高报价后</w:t>
      </w:r>
      <w:r>
        <w:rPr>
          <w:rFonts w:hint="eastAsia" w:ascii="宋体" w:hAnsi="宋体"/>
          <w:color w:val="000000" w:themeColor="text1"/>
          <w:sz w:val="24"/>
        </w:rPr>
        <w:t>剩余</w:t>
      </w:r>
      <w:r>
        <w:rPr>
          <w:rFonts w:ascii="宋体" w:hAnsi="宋体"/>
          <w:color w:val="000000" w:themeColor="text1"/>
          <w:sz w:val="24"/>
        </w:rPr>
        <w:t>所有</w:t>
      </w:r>
      <w:r>
        <w:rPr>
          <w:rFonts w:hint="eastAsia" w:ascii="宋体" w:hAnsi="宋体"/>
          <w:color w:val="000000" w:themeColor="text1"/>
          <w:sz w:val="24"/>
        </w:rPr>
        <w:t>有效</w:t>
      </w:r>
      <w:r>
        <w:rPr>
          <w:rFonts w:ascii="宋体" w:hAnsi="宋体"/>
          <w:color w:val="000000" w:themeColor="text1"/>
          <w:sz w:val="24"/>
        </w:rPr>
        <w:t>投标价的算术平均值与</w:t>
      </w:r>
      <w:r>
        <w:rPr>
          <w:rFonts w:hint="eastAsia" w:ascii="宋体" w:hAnsi="宋体"/>
          <w:color w:val="000000" w:themeColor="text1"/>
          <w:sz w:val="24"/>
        </w:rPr>
        <w:t>最低</w:t>
      </w:r>
      <w:r>
        <w:rPr>
          <w:rFonts w:ascii="宋体" w:hAnsi="宋体"/>
          <w:color w:val="000000" w:themeColor="text1"/>
          <w:sz w:val="24"/>
        </w:rPr>
        <w:t>报价的二次平均值为基准价；</w:t>
      </w:r>
    </w:p>
    <w:p w14:paraId="421D3D61">
      <w:pPr>
        <w:tabs>
          <w:tab w:val="left" w:pos="4380"/>
        </w:tabs>
        <w:snapToGrid w:val="0"/>
        <w:spacing w:line="360" w:lineRule="exact"/>
        <w:ind w:firstLine="480" w:firstLineChars="200"/>
        <w:rPr>
          <w:rFonts w:ascii="宋体" w:hAnsi="宋体"/>
          <w:color w:val="000000" w:themeColor="text1"/>
          <w:sz w:val="24"/>
        </w:rPr>
      </w:pPr>
      <w:r>
        <w:rPr>
          <w:rFonts w:hint="eastAsia" w:ascii="宋体" w:hAnsi="宋体"/>
          <w:color w:val="000000" w:themeColor="text1"/>
          <w:sz w:val="24"/>
        </w:rPr>
        <w:t>⑷</w:t>
      </w:r>
      <w:r>
        <w:rPr>
          <w:rFonts w:ascii="宋体" w:hAnsi="宋体"/>
          <w:color w:val="000000" w:themeColor="text1"/>
          <w:sz w:val="24"/>
        </w:rPr>
        <w:t>当</w:t>
      </w:r>
      <w:r>
        <w:rPr>
          <w:rFonts w:hint="eastAsia" w:ascii="宋体" w:hAnsi="宋体"/>
          <w:color w:val="000000" w:themeColor="text1"/>
          <w:sz w:val="24"/>
        </w:rPr>
        <w:t>3</w:t>
      </w:r>
      <w:r>
        <w:rPr>
          <w:rFonts w:ascii="宋体" w:hAnsi="宋体"/>
          <w:color w:val="000000" w:themeColor="text1"/>
          <w:sz w:val="24"/>
        </w:rPr>
        <w:t>家</w:t>
      </w:r>
      <w:r>
        <w:rPr>
          <w:rFonts w:hint="eastAsia" w:ascii="宋体" w:hAnsi="宋体"/>
          <w:color w:val="000000" w:themeColor="text1"/>
          <w:sz w:val="24"/>
        </w:rPr>
        <w:t>≤</w:t>
      </w:r>
      <w:r>
        <w:rPr>
          <w:rFonts w:ascii="宋体" w:hAnsi="宋体"/>
          <w:color w:val="000000" w:themeColor="text1"/>
          <w:sz w:val="24"/>
        </w:rPr>
        <w:t>有效投标人数量</w:t>
      </w:r>
      <w:r>
        <w:rPr>
          <w:rFonts w:hint="eastAsia" w:ascii="宋体" w:hAnsi="宋体"/>
          <w:color w:val="000000" w:themeColor="text1"/>
          <w:sz w:val="24"/>
        </w:rPr>
        <w:t>≤5</w:t>
      </w:r>
      <w:r>
        <w:rPr>
          <w:rFonts w:ascii="宋体" w:hAnsi="宋体"/>
          <w:color w:val="000000" w:themeColor="text1"/>
          <w:sz w:val="24"/>
        </w:rPr>
        <w:t>家且最高报价＜次高报价×1</w:t>
      </w:r>
      <w:r>
        <w:rPr>
          <w:rFonts w:hint="eastAsia" w:ascii="宋体" w:hAnsi="宋体"/>
          <w:color w:val="000000" w:themeColor="text1"/>
          <w:sz w:val="24"/>
        </w:rPr>
        <w:t>2</w:t>
      </w:r>
      <w:r>
        <w:rPr>
          <w:rFonts w:ascii="宋体" w:hAnsi="宋体"/>
          <w:color w:val="000000" w:themeColor="text1"/>
          <w:sz w:val="24"/>
        </w:rPr>
        <w:t>0%时，所有</w:t>
      </w:r>
      <w:r>
        <w:rPr>
          <w:rFonts w:hint="eastAsia" w:ascii="宋体" w:hAnsi="宋体"/>
          <w:color w:val="000000" w:themeColor="text1"/>
          <w:sz w:val="24"/>
        </w:rPr>
        <w:t>有效</w:t>
      </w:r>
      <w:r>
        <w:rPr>
          <w:rFonts w:ascii="宋体" w:hAnsi="宋体"/>
          <w:color w:val="000000" w:themeColor="text1"/>
          <w:sz w:val="24"/>
        </w:rPr>
        <w:t>投标价的算术平均值与</w:t>
      </w:r>
      <w:r>
        <w:rPr>
          <w:rFonts w:hint="eastAsia" w:ascii="宋体" w:hAnsi="宋体"/>
          <w:color w:val="000000" w:themeColor="text1"/>
          <w:sz w:val="24"/>
        </w:rPr>
        <w:t>最低</w:t>
      </w:r>
      <w:r>
        <w:rPr>
          <w:rFonts w:ascii="宋体" w:hAnsi="宋体"/>
          <w:color w:val="000000" w:themeColor="text1"/>
          <w:sz w:val="24"/>
        </w:rPr>
        <w:t>报价的二次平均值为基准价；</w:t>
      </w:r>
    </w:p>
    <w:p w14:paraId="2DEBC15F">
      <w:pPr>
        <w:tabs>
          <w:tab w:val="left" w:pos="4380"/>
        </w:tabs>
        <w:snapToGrid w:val="0"/>
        <w:spacing w:line="360" w:lineRule="exact"/>
        <w:ind w:firstLine="480" w:firstLineChars="200"/>
        <w:rPr>
          <w:rFonts w:ascii="宋体" w:hAnsi="宋体"/>
          <w:color w:val="000000" w:themeColor="text1"/>
          <w:sz w:val="24"/>
        </w:rPr>
      </w:pPr>
      <w:r>
        <w:rPr>
          <w:rFonts w:hint="eastAsia" w:ascii="宋体" w:hAnsi="宋体"/>
          <w:color w:val="000000" w:themeColor="text1"/>
          <w:sz w:val="24"/>
        </w:rPr>
        <w:t>⑸</w:t>
      </w:r>
      <w:r>
        <w:rPr>
          <w:rFonts w:ascii="宋体" w:hAnsi="宋体"/>
          <w:color w:val="000000" w:themeColor="text1"/>
          <w:sz w:val="24"/>
        </w:rPr>
        <w:t>当有效投标人数量</w:t>
      </w:r>
      <w:r>
        <w:rPr>
          <w:rFonts w:hint="eastAsia" w:ascii="宋体" w:hAnsi="宋体"/>
          <w:color w:val="000000" w:themeColor="text1"/>
          <w:sz w:val="24"/>
        </w:rPr>
        <w:t>为2</w:t>
      </w:r>
      <w:r>
        <w:rPr>
          <w:rFonts w:ascii="宋体" w:hAnsi="宋体"/>
          <w:color w:val="000000" w:themeColor="text1"/>
          <w:sz w:val="24"/>
        </w:rPr>
        <w:t>家时，次</w:t>
      </w:r>
      <w:r>
        <w:rPr>
          <w:rFonts w:hint="eastAsia" w:ascii="宋体" w:hAnsi="宋体"/>
          <w:bCs/>
          <w:color w:val="000000" w:themeColor="text1"/>
          <w:sz w:val="24"/>
        </w:rPr>
        <w:t>低价的40%与最低价的60%之和为基准价。</w:t>
      </w:r>
    </w:p>
    <w:p w14:paraId="66F52DAC">
      <w:pPr>
        <w:ind w:firstLine="480" w:firstLineChars="200"/>
        <w:jc w:val="left"/>
        <w:rPr>
          <w:sz w:val="24"/>
          <w:u w:val="single"/>
        </w:rPr>
      </w:pPr>
      <w:r>
        <w:rPr>
          <w:rFonts w:hint="eastAsia" w:ascii="宋体" w:hAnsi="宋体"/>
          <w:sz w:val="24"/>
        </w:rPr>
        <w:t>⑹</w:t>
      </w:r>
      <w:r>
        <w:rPr>
          <w:rFonts w:hint="eastAsia" w:hAnsi="宋体"/>
          <w:sz w:val="24"/>
        </w:rPr>
        <w:t>经评审有效投标人数量为1家时，不再进行商务评审，即流标</w:t>
      </w:r>
      <w:r>
        <w:rPr>
          <w:rFonts w:hint="eastAsia" w:cs="宋体"/>
          <w:sz w:val="24"/>
        </w:rPr>
        <w:t>。</w:t>
      </w:r>
    </w:p>
    <w:p w14:paraId="07070DF1">
      <w:pPr>
        <w:jc w:val="left"/>
        <w:rPr>
          <w:rFonts w:ascii="宋体" w:cs="宋体"/>
          <w:kern w:val="0"/>
          <w:sz w:val="24"/>
        </w:rPr>
      </w:pPr>
      <w:r>
        <w:rPr>
          <w:rFonts w:ascii="宋体" w:cs="宋体"/>
          <w:kern w:val="0"/>
          <w:sz w:val="24"/>
        </w:rPr>
        <w:t>4.</w:t>
      </w:r>
      <w:r>
        <w:rPr>
          <w:rFonts w:hint="eastAsia" w:ascii="宋体" w:cs="宋体"/>
          <w:kern w:val="0"/>
          <w:sz w:val="24"/>
        </w:rPr>
        <w:t>5</w:t>
      </w:r>
      <w:r>
        <w:rPr>
          <w:rFonts w:ascii="宋体" w:cs="宋体"/>
          <w:kern w:val="0"/>
          <w:sz w:val="24"/>
        </w:rPr>
        <w:t>.</w:t>
      </w:r>
      <w:r>
        <w:rPr>
          <w:rFonts w:hint="eastAsia" w:ascii="宋体" w:cs="宋体"/>
          <w:kern w:val="0"/>
          <w:sz w:val="24"/>
        </w:rPr>
        <w:t>3</w:t>
      </w:r>
      <w:r>
        <w:rPr>
          <w:rFonts w:hint="eastAsia" w:ascii="宋体"/>
          <w:bCs/>
          <w:sz w:val="24"/>
        </w:rPr>
        <w:t>根据</w:t>
      </w:r>
      <w:r>
        <w:rPr>
          <w:rFonts w:hint="eastAsia" w:ascii="宋体"/>
          <w:sz w:val="24"/>
        </w:rPr>
        <w:t>投标人最终报价与基准价值对比，计算出商务报价评分值</w:t>
      </w:r>
      <w:r>
        <w:rPr>
          <w:rFonts w:hint="eastAsia" w:ascii="宋体" w:cs="宋体"/>
          <w:kern w:val="0"/>
          <w:sz w:val="24"/>
        </w:rPr>
        <w:t>：</w:t>
      </w:r>
    </w:p>
    <w:p w14:paraId="73FA5320">
      <w:pPr>
        <w:adjustRightInd w:val="0"/>
        <w:snapToGrid w:val="0"/>
        <w:ind w:firstLine="480" w:firstLineChars="200"/>
        <w:jc w:val="left"/>
        <w:rPr>
          <w:rFonts w:ascii="宋体"/>
          <w:sz w:val="24"/>
        </w:rPr>
      </w:pPr>
      <w:r>
        <w:rPr>
          <w:rFonts w:hint="eastAsia" w:ascii="宋体"/>
          <w:sz w:val="24"/>
        </w:rPr>
        <w:t>（1）基准价得60</w:t>
      </w:r>
      <w:r>
        <w:rPr>
          <w:rFonts w:ascii="宋体"/>
          <w:sz w:val="24"/>
        </w:rPr>
        <w:t>分</w:t>
      </w:r>
      <w:r>
        <w:rPr>
          <w:rFonts w:hint="eastAsia" w:ascii="宋体"/>
          <w:sz w:val="24"/>
        </w:rPr>
        <w:t>；</w:t>
      </w:r>
    </w:p>
    <w:p w14:paraId="0D747D69">
      <w:pPr>
        <w:adjustRightInd w:val="0"/>
        <w:snapToGrid w:val="0"/>
        <w:ind w:firstLine="480" w:firstLineChars="200"/>
        <w:jc w:val="left"/>
        <w:rPr>
          <w:rFonts w:ascii="宋体"/>
          <w:sz w:val="24"/>
        </w:rPr>
      </w:pPr>
      <w:r>
        <w:rPr>
          <w:rFonts w:hint="eastAsia" w:ascii="宋体"/>
          <w:sz w:val="24"/>
        </w:rPr>
        <w:t>（2）高于基准价的最终报价，每上升</w:t>
      </w:r>
      <w:r>
        <w:rPr>
          <w:rFonts w:ascii="宋体"/>
          <w:sz w:val="24"/>
        </w:rPr>
        <w:t>1</w:t>
      </w:r>
      <w:r>
        <w:rPr>
          <w:rFonts w:hint="eastAsia" w:ascii="宋体"/>
          <w:sz w:val="24"/>
        </w:rPr>
        <w:t>个百分点扣0.6分；</w:t>
      </w:r>
    </w:p>
    <w:p w14:paraId="300242DB">
      <w:pPr>
        <w:adjustRightInd w:val="0"/>
        <w:snapToGrid w:val="0"/>
        <w:ind w:firstLine="480" w:firstLineChars="200"/>
        <w:jc w:val="left"/>
        <w:rPr>
          <w:sz w:val="24"/>
        </w:rPr>
      </w:pPr>
      <w:r>
        <w:rPr>
          <w:rFonts w:hint="eastAsia" w:ascii="宋体"/>
          <w:sz w:val="24"/>
        </w:rPr>
        <w:t>（3）低于基准价的最终报价，每下降</w:t>
      </w:r>
      <w:r>
        <w:rPr>
          <w:rFonts w:ascii="宋体"/>
          <w:sz w:val="24"/>
        </w:rPr>
        <w:t>1</w:t>
      </w:r>
      <w:r>
        <w:rPr>
          <w:rFonts w:hint="eastAsia" w:ascii="宋体"/>
          <w:sz w:val="24"/>
        </w:rPr>
        <w:t>个百分点扣0.3分；</w:t>
      </w:r>
      <w:r>
        <w:rPr>
          <w:rFonts w:hint="eastAsia" w:ascii="宋体" w:hAnsi="宋体"/>
          <w:color w:val="000000" w:themeColor="text1"/>
          <w:sz w:val="24"/>
          <w:u w:val="single"/>
        </w:rPr>
        <w:t>（最低价为基准价时无此条）</w:t>
      </w:r>
    </w:p>
    <w:p w14:paraId="451D6478">
      <w:pPr>
        <w:adjustRightInd w:val="0"/>
        <w:snapToGrid w:val="0"/>
        <w:ind w:firstLine="480" w:firstLineChars="200"/>
        <w:jc w:val="left"/>
        <w:rPr>
          <w:rFonts w:ascii="宋体"/>
          <w:sz w:val="24"/>
        </w:rPr>
      </w:pPr>
      <w:r>
        <w:rPr>
          <w:rFonts w:hint="eastAsia" w:ascii="宋体"/>
          <w:sz w:val="24"/>
        </w:rPr>
        <w:t>以上评分保留小数</w:t>
      </w:r>
      <w:r>
        <w:rPr>
          <w:rFonts w:ascii="宋体"/>
          <w:sz w:val="24"/>
        </w:rPr>
        <w:t>2</w:t>
      </w:r>
      <w:r>
        <w:rPr>
          <w:rFonts w:hint="eastAsia" w:ascii="宋体"/>
          <w:sz w:val="24"/>
        </w:rPr>
        <w:t>位；评分不足一个百分点时，使用直线插入法计算，保留二位小数（四舍五入）。</w:t>
      </w:r>
    </w:p>
    <w:p w14:paraId="66BEFD3E">
      <w:pPr>
        <w:jc w:val="left"/>
        <w:rPr>
          <w:rFonts w:ascii="宋体" w:hAnsi="宋体" w:cs="宋体"/>
          <w:kern w:val="0"/>
          <w:sz w:val="24"/>
        </w:rPr>
      </w:pPr>
      <w:r>
        <w:rPr>
          <w:rFonts w:ascii="宋体" w:cs="宋体"/>
          <w:bCs/>
          <w:kern w:val="0"/>
          <w:sz w:val="24"/>
        </w:rPr>
        <w:t>4.5</w:t>
      </w:r>
      <w:r>
        <w:rPr>
          <w:rFonts w:hint="eastAsia" w:ascii="宋体" w:hAnsi="宋体" w:cs="宋体"/>
          <w:kern w:val="0"/>
          <w:sz w:val="24"/>
        </w:rPr>
        <w:t>各投标人的最后得分是技术、资信和商务报价三部分得分之和。</w:t>
      </w:r>
    </w:p>
    <w:p w14:paraId="35B7F0E7">
      <w:pPr>
        <w:jc w:val="left"/>
        <w:rPr>
          <w:rFonts w:ascii="宋体" w:cs="宋体"/>
          <w:kern w:val="0"/>
          <w:sz w:val="24"/>
        </w:rPr>
      </w:pPr>
      <w:r>
        <w:rPr>
          <w:rFonts w:ascii="宋体" w:cs="宋体"/>
          <w:kern w:val="0"/>
          <w:sz w:val="24"/>
        </w:rPr>
        <w:t>4.6评标委员会完成评标后，应当向招标人提出书面评标报告，阐明评标委员会对各投标文件的评审和比较意见，并按照得分排列优劣顺序，推荐综合得分最高的投标人为预中标人。</w:t>
      </w:r>
    </w:p>
    <w:p w14:paraId="26AEC90B">
      <w:pPr>
        <w:jc w:val="left"/>
        <w:rPr>
          <w:rFonts w:ascii="宋体" w:cs="宋体"/>
          <w:kern w:val="0"/>
          <w:sz w:val="24"/>
        </w:rPr>
      </w:pPr>
      <w:r>
        <w:rPr>
          <w:rFonts w:ascii="宋体" w:cs="宋体"/>
          <w:kern w:val="0"/>
          <w:sz w:val="24"/>
        </w:rPr>
        <w:t>4.7招标人根据评标委员会提出的书面评标报告和推荐的预中标人，</w:t>
      </w:r>
      <w:r>
        <w:rPr>
          <w:rFonts w:hint="eastAsia" w:ascii="宋体" w:cs="宋体"/>
          <w:kern w:val="0"/>
          <w:sz w:val="24"/>
        </w:rPr>
        <w:t>报巨化招标办公室核准，经公示后确定为中标人，发中标通知书。</w:t>
      </w:r>
    </w:p>
    <w:p w14:paraId="0DFBB378">
      <w:pPr>
        <w:ind w:firstLine="120" w:firstLineChars="50"/>
        <w:jc w:val="left"/>
        <w:rPr>
          <w:rFonts w:ascii="宋体" w:cs="宋体"/>
          <w:spacing w:val="1"/>
          <w:kern w:val="0"/>
          <w:position w:val="-1"/>
          <w:sz w:val="24"/>
        </w:rPr>
      </w:pPr>
      <w:r>
        <w:rPr>
          <w:rFonts w:ascii="宋体" w:cs="宋体"/>
          <w:kern w:val="0"/>
          <w:sz w:val="24"/>
        </w:rPr>
        <w:t>4.8</w:t>
      </w:r>
      <w:r>
        <w:rPr>
          <w:rFonts w:hint="eastAsia" w:ascii="宋体" w:cs="宋体"/>
          <w:spacing w:val="1"/>
          <w:kern w:val="0"/>
          <w:position w:val="-1"/>
          <w:sz w:val="24"/>
        </w:rPr>
        <w:t>若评标委员会认为本次招标缺乏竞争性时，可否决所有投标。</w:t>
      </w:r>
    </w:p>
    <w:p w14:paraId="5601B448">
      <w:pPr>
        <w:widowControl/>
        <w:jc w:val="left"/>
        <w:rPr>
          <w:rFonts w:ascii="Arial" w:hAnsi="Arial" w:cs="Arial"/>
          <w:b/>
          <w:bCs/>
          <w:sz w:val="32"/>
          <w:szCs w:val="32"/>
        </w:rPr>
      </w:pPr>
      <w:r>
        <w:br w:type="page"/>
      </w:r>
    </w:p>
    <w:p w14:paraId="50256FFD">
      <w:pPr>
        <w:pStyle w:val="5"/>
        <w:ind w:left="353"/>
        <w:rPr>
          <w:b w:val="0"/>
          <w:kern w:val="0"/>
        </w:rPr>
      </w:pPr>
      <w:bookmarkStart w:id="196" w:name="_Toc135032218"/>
      <w:r>
        <w:rPr>
          <w:rFonts w:hint="eastAsia"/>
          <w:b w:val="0"/>
          <w:kern w:val="0"/>
        </w:rPr>
        <w:t>第七章</w:t>
      </w:r>
      <w:bookmarkStart w:id="197" w:name="投标文件格式"/>
      <w:r>
        <w:rPr>
          <w:rFonts w:hint="eastAsia"/>
          <w:b w:val="0"/>
          <w:kern w:val="0"/>
        </w:rPr>
        <w:t>附件</w:t>
      </w:r>
      <w:r>
        <w:rPr>
          <w:b w:val="0"/>
          <w:kern w:val="0"/>
        </w:rPr>
        <w:t>---</w:t>
      </w:r>
      <w:r>
        <w:rPr>
          <w:rFonts w:hint="eastAsia"/>
          <w:b w:val="0"/>
          <w:kern w:val="0"/>
        </w:rPr>
        <w:t>投标文件格式</w:t>
      </w:r>
      <w:bookmarkEnd w:id="196"/>
      <w:bookmarkEnd w:id="197"/>
    </w:p>
    <w:p w14:paraId="009BD56D">
      <w:pPr>
        <w:pStyle w:val="3"/>
        <w:jc w:val="left"/>
        <w:rPr>
          <w:szCs w:val="28"/>
        </w:rPr>
      </w:pPr>
      <w:bookmarkStart w:id="198" w:name="_Toc135032219"/>
      <w:r>
        <w:rPr>
          <w:rFonts w:hint="eastAsia"/>
          <w:szCs w:val="28"/>
        </w:rPr>
        <w:t>附件1、投标函</w:t>
      </w:r>
      <w:bookmarkEnd w:id="198"/>
    </w:p>
    <w:p w14:paraId="57F441B3">
      <w:pPr>
        <w:jc w:val="left"/>
        <w:rPr>
          <w:rFonts w:ascii="宋体" w:cs="宋体"/>
          <w:kern w:val="0"/>
          <w:sz w:val="24"/>
        </w:rPr>
      </w:pPr>
      <w:r>
        <w:rPr>
          <w:rFonts w:hint="eastAsia" w:ascii="宋体" w:hAnsi="宋体" w:cs="宋体"/>
          <w:kern w:val="0"/>
          <w:sz w:val="24"/>
        </w:rPr>
        <w:t>致：</w:t>
      </w:r>
      <w:r>
        <w:rPr>
          <w:rFonts w:hint="eastAsia" w:ascii="宋体" w:hAnsi="宋体" w:cs="宋体"/>
          <w:bCs/>
          <w:kern w:val="0"/>
          <w:sz w:val="24"/>
        </w:rPr>
        <w:t>浙江巨化股份有限公司、</w:t>
      </w:r>
      <w:r>
        <w:rPr>
          <w:rFonts w:hint="eastAsia" w:ascii="宋体" w:hAnsi="宋体" w:cs="宋体"/>
          <w:kern w:val="0"/>
          <w:sz w:val="24"/>
        </w:rPr>
        <w:t>浙江巨化化工材料有限公司</w:t>
      </w:r>
    </w:p>
    <w:p w14:paraId="18F8CE66">
      <w:pPr>
        <w:ind w:firstLine="480" w:firstLineChars="200"/>
        <w:jc w:val="left"/>
        <w:rPr>
          <w:rFonts w:ascii="宋体" w:cs="宋体"/>
          <w:kern w:val="0"/>
          <w:sz w:val="24"/>
        </w:rPr>
      </w:pPr>
      <w:r>
        <w:rPr>
          <w:rFonts w:hint="eastAsia" w:ascii="宋体" w:hAnsi="宋体" w:cs="宋体"/>
          <w:kern w:val="0"/>
          <w:sz w:val="24"/>
        </w:rPr>
        <w:t>根据贵方项目投标邀请书（招标编号为：），下列签字代表（全名、职务）经正式授权并代表投标人（投标人名称、地址）提交下述文件正本一份。</w:t>
      </w:r>
    </w:p>
    <w:p w14:paraId="73F5C56E">
      <w:pPr>
        <w:numPr>
          <w:ilvl w:val="0"/>
          <w:numId w:val="74"/>
        </w:numPr>
        <w:spacing w:line="360" w:lineRule="auto"/>
        <w:jc w:val="left"/>
        <w:rPr>
          <w:rFonts w:ascii="宋体" w:cs="宋体"/>
          <w:kern w:val="0"/>
          <w:sz w:val="24"/>
        </w:rPr>
      </w:pPr>
      <w:r>
        <w:rPr>
          <w:rFonts w:hint="eastAsia" w:ascii="宋体" w:hAnsi="宋体" w:cs="宋体"/>
          <w:kern w:val="0"/>
          <w:sz w:val="24"/>
        </w:rPr>
        <w:t>投标一览表；</w:t>
      </w:r>
    </w:p>
    <w:p w14:paraId="01837B00">
      <w:pPr>
        <w:numPr>
          <w:ilvl w:val="0"/>
          <w:numId w:val="74"/>
        </w:numPr>
        <w:spacing w:line="360" w:lineRule="auto"/>
        <w:jc w:val="left"/>
        <w:rPr>
          <w:rFonts w:ascii="宋体" w:cs="宋体"/>
          <w:kern w:val="0"/>
          <w:sz w:val="24"/>
          <w:u w:val="single"/>
        </w:rPr>
      </w:pPr>
      <w:r>
        <w:rPr>
          <w:rFonts w:hint="eastAsia" w:ascii="宋体" w:hAnsi="宋体" w:cs="宋体"/>
          <w:kern w:val="0"/>
          <w:sz w:val="24"/>
        </w:rPr>
        <w:t>分项报价及备件清单；</w:t>
      </w:r>
    </w:p>
    <w:p w14:paraId="39599D71">
      <w:pPr>
        <w:numPr>
          <w:ilvl w:val="0"/>
          <w:numId w:val="74"/>
        </w:numPr>
        <w:spacing w:line="360" w:lineRule="auto"/>
        <w:jc w:val="left"/>
        <w:rPr>
          <w:rFonts w:ascii="宋体" w:cs="宋体"/>
          <w:kern w:val="0"/>
          <w:sz w:val="24"/>
          <w:u w:val="single"/>
        </w:rPr>
      </w:pPr>
      <w:r>
        <w:rPr>
          <w:rFonts w:hint="eastAsia" w:ascii="宋体" w:hAnsi="宋体" w:cs="宋体"/>
          <w:kern w:val="0"/>
          <w:sz w:val="24"/>
        </w:rPr>
        <w:t>标的物说明一览表；</w:t>
      </w:r>
    </w:p>
    <w:p w14:paraId="342AAB36">
      <w:pPr>
        <w:numPr>
          <w:ilvl w:val="0"/>
          <w:numId w:val="74"/>
        </w:numPr>
        <w:spacing w:line="360" w:lineRule="auto"/>
        <w:jc w:val="left"/>
        <w:rPr>
          <w:rFonts w:ascii="宋体" w:cs="宋体"/>
          <w:kern w:val="0"/>
          <w:sz w:val="24"/>
          <w:u w:val="single"/>
        </w:rPr>
      </w:pPr>
      <w:r>
        <w:rPr>
          <w:rFonts w:hint="eastAsia" w:ascii="宋体" w:hAnsi="宋体" w:cs="宋体"/>
          <w:kern w:val="0"/>
          <w:sz w:val="24"/>
        </w:rPr>
        <w:t>技术规格的响应；</w:t>
      </w:r>
    </w:p>
    <w:p w14:paraId="38E487DF">
      <w:pPr>
        <w:numPr>
          <w:ilvl w:val="0"/>
          <w:numId w:val="74"/>
        </w:numPr>
        <w:spacing w:line="360" w:lineRule="auto"/>
        <w:jc w:val="left"/>
        <w:rPr>
          <w:rFonts w:ascii="宋体" w:cs="宋体"/>
          <w:kern w:val="0"/>
          <w:sz w:val="24"/>
          <w:u w:val="single"/>
        </w:rPr>
      </w:pPr>
      <w:r>
        <w:rPr>
          <w:rFonts w:hint="eastAsia" w:ascii="宋体" w:hAnsi="宋体" w:cs="宋体"/>
          <w:kern w:val="0"/>
          <w:sz w:val="24"/>
        </w:rPr>
        <w:t>商务条款的响应；</w:t>
      </w:r>
    </w:p>
    <w:p w14:paraId="5B09AF6F">
      <w:pPr>
        <w:numPr>
          <w:ilvl w:val="0"/>
          <w:numId w:val="74"/>
        </w:numPr>
        <w:spacing w:line="360" w:lineRule="auto"/>
        <w:jc w:val="left"/>
        <w:rPr>
          <w:rFonts w:ascii="宋体" w:cs="宋体"/>
          <w:kern w:val="0"/>
          <w:sz w:val="24"/>
          <w:u w:val="single"/>
        </w:rPr>
      </w:pPr>
      <w:r>
        <w:rPr>
          <w:rFonts w:hint="eastAsia" w:ascii="宋体" w:hAnsi="宋体" w:cs="宋体"/>
          <w:kern w:val="0"/>
          <w:sz w:val="24"/>
        </w:rPr>
        <w:t>标的物质量保证、售后服务、交货能力及有关承诺；</w:t>
      </w:r>
    </w:p>
    <w:p w14:paraId="738891FE">
      <w:pPr>
        <w:numPr>
          <w:ilvl w:val="0"/>
          <w:numId w:val="74"/>
        </w:numPr>
        <w:spacing w:line="360" w:lineRule="auto"/>
        <w:jc w:val="left"/>
        <w:rPr>
          <w:rFonts w:ascii="宋体" w:cs="宋体"/>
          <w:kern w:val="0"/>
          <w:sz w:val="24"/>
          <w:u w:val="single"/>
        </w:rPr>
      </w:pPr>
      <w:r>
        <w:rPr>
          <w:rFonts w:hint="eastAsia" w:ascii="宋体" w:hAnsi="宋体" w:cs="宋体"/>
          <w:kern w:val="0"/>
          <w:sz w:val="24"/>
        </w:rPr>
        <w:t>标的物验收资料说明；</w:t>
      </w:r>
    </w:p>
    <w:p w14:paraId="2C03059E">
      <w:pPr>
        <w:numPr>
          <w:ilvl w:val="0"/>
          <w:numId w:val="74"/>
        </w:numPr>
        <w:spacing w:line="360" w:lineRule="auto"/>
        <w:jc w:val="left"/>
        <w:rPr>
          <w:rFonts w:ascii="宋体" w:cs="宋体"/>
          <w:kern w:val="0"/>
          <w:sz w:val="24"/>
          <w:u w:val="single"/>
        </w:rPr>
      </w:pPr>
      <w:r>
        <w:rPr>
          <w:rFonts w:hint="eastAsia" w:ascii="宋体" w:hAnsi="宋体" w:cs="宋体"/>
          <w:kern w:val="0"/>
          <w:sz w:val="24"/>
        </w:rPr>
        <w:t>按招标文件投标人须知前附表和技术规格要求提供的其它有关文件；</w:t>
      </w:r>
    </w:p>
    <w:p w14:paraId="2A938677">
      <w:pPr>
        <w:numPr>
          <w:ilvl w:val="0"/>
          <w:numId w:val="74"/>
        </w:numPr>
        <w:spacing w:line="360" w:lineRule="auto"/>
        <w:jc w:val="left"/>
        <w:rPr>
          <w:rFonts w:ascii="宋体" w:cs="宋体"/>
          <w:kern w:val="0"/>
          <w:sz w:val="24"/>
          <w:u w:val="single"/>
        </w:rPr>
      </w:pPr>
      <w:r>
        <w:rPr>
          <w:rFonts w:hint="eastAsia" w:ascii="宋体" w:hAnsi="宋体" w:cs="宋体"/>
          <w:kern w:val="0"/>
          <w:sz w:val="24"/>
        </w:rPr>
        <w:t>资格证明文件（营业执照、法人代表授权书、质量管理体系认证证书、使用单位业绩表等）；</w:t>
      </w:r>
    </w:p>
    <w:p w14:paraId="1DCE1FFB">
      <w:pPr>
        <w:jc w:val="left"/>
        <w:rPr>
          <w:rFonts w:ascii="宋体" w:cs="宋体"/>
          <w:kern w:val="0"/>
          <w:sz w:val="24"/>
        </w:rPr>
      </w:pPr>
      <w:r>
        <w:rPr>
          <w:rFonts w:hint="eastAsia" w:ascii="宋体" w:hAnsi="宋体" w:cs="宋体"/>
          <w:kern w:val="0"/>
          <w:sz w:val="24"/>
        </w:rPr>
        <w:t>根据此函，签字代表宣布同意如下：</w:t>
      </w:r>
    </w:p>
    <w:p w14:paraId="5381E9D1">
      <w:pPr>
        <w:jc w:val="left"/>
        <w:rPr>
          <w:rFonts w:ascii="宋体" w:cs="宋体"/>
          <w:kern w:val="0"/>
          <w:sz w:val="24"/>
        </w:rPr>
      </w:pPr>
      <w:r>
        <w:rPr>
          <w:rFonts w:ascii="宋体" w:hAnsi="宋体" w:cs="宋体"/>
          <w:kern w:val="0"/>
          <w:sz w:val="24"/>
        </w:rPr>
        <w:t>1</w:t>
      </w:r>
      <w:r>
        <w:rPr>
          <w:rFonts w:hint="eastAsia" w:ascii="宋体" w:hAnsi="宋体" w:cs="宋体"/>
          <w:kern w:val="0"/>
          <w:sz w:val="24"/>
        </w:rPr>
        <w:t>、投标总价为，即（文字描述）。</w:t>
      </w:r>
    </w:p>
    <w:p w14:paraId="6B81706F">
      <w:pPr>
        <w:jc w:val="left"/>
        <w:rPr>
          <w:rFonts w:ascii="宋体" w:cs="宋体"/>
          <w:kern w:val="0"/>
          <w:sz w:val="24"/>
        </w:rPr>
      </w:pPr>
      <w:r>
        <w:rPr>
          <w:rFonts w:ascii="宋体" w:hAnsi="宋体" w:cs="宋体"/>
          <w:kern w:val="0"/>
          <w:sz w:val="24"/>
        </w:rPr>
        <w:t>2</w:t>
      </w:r>
      <w:r>
        <w:rPr>
          <w:rFonts w:hint="eastAsia" w:ascii="宋体" w:hAnsi="宋体" w:cs="宋体"/>
          <w:kern w:val="0"/>
          <w:sz w:val="24"/>
        </w:rPr>
        <w:t>、我们将按招标文件的规定履行合同责任和义务。</w:t>
      </w:r>
    </w:p>
    <w:p w14:paraId="33E75684">
      <w:pPr>
        <w:jc w:val="left"/>
        <w:rPr>
          <w:rFonts w:ascii="宋体" w:cs="宋体"/>
          <w:kern w:val="0"/>
          <w:sz w:val="24"/>
        </w:rPr>
      </w:pPr>
      <w:r>
        <w:rPr>
          <w:rFonts w:ascii="宋体" w:hAnsi="宋体" w:cs="宋体"/>
          <w:kern w:val="0"/>
          <w:sz w:val="24"/>
        </w:rPr>
        <w:t>3</w:t>
      </w:r>
      <w:r>
        <w:rPr>
          <w:rFonts w:hint="eastAsia" w:ascii="宋体" w:hAnsi="宋体" w:cs="宋体"/>
          <w:kern w:val="0"/>
          <w:sz w:val="24"/>
        </w:rPr>
        <w:t>、我们已详细审查全部招标文件，包括修改文件（如有的话）以及全部参考资料和有关附件。我们完全理解并同意放弃对这方面有不明及误解的权利。</w:t>
      </w:r>
    </w:p>
    <w:p w14:paraId="7459E098">
      <w:pPr>
        <w:jc w:val="left"/>
        <w:rPr>
          <w:rFonts w:ascii="宋体" w:cs="宋体"/>
          <w:kern w:val="0"/>
          <w:sz w:val="24"/>
        </w:rPr>
      </w:pPr>
      <w:r>
        <w:rPr>
          <w:rFonts w:ascii="宋体" w:hAnsi="宋体" w:cs="宋体"/>
          <w:kern w:val="0"/>
          <w:sz w:val="24"/>
        </w:rPr>
        <w:t>4</w:t>
      </w:r>
      <w:r>
        <w:rPr>
          <w:rFonts w:hint="eastAsia" w:ascii="宋体" w:hAnsi="宋体" w:cs="宋体"/>
          <w:kern w:val="0"/>
          <w:sz w:val="24"/>
        </w:rPr>
        <w:t>、我们同意在“投标人须知前附表”所述的开标日期起遵循本投标文件的规定，并在“投标人须知前附表”规定的投标有效期届满之前对我方均具有约束力，而且有可能中标。</w:t>
      </w:r>
    </w:p>
    <w:p w14:paraId="09E0B0D6">
      <w:pPr>
        <w:jc w:val="left"/>
        <w:rPr>
          <w:rFonts w:ascii="宋体" w:cs="宋体"/>
          <w:kern w:val="0"/>
          <w:sz w:val="24"/>
        </w:rPr>
      </w:pPr>
      <w:r>
        <w:rPr>
          <w:rFonts w:ascii="宋体" w:hAnsi="宋体" w:cs="宋体"/>
          <w:kern w:val="0"/>
          <w:sz w:val="24"/>
        </w:rPr>
        <w:t>5</w:t>
      </w:r>
      <w:r>
        <w:rPr>
          <w:rFonts w:hint="eastAsia" w:ascii="宋体" w:hAnsi="宋体" w:cs="宋体"/>
          <w:kern w:val="0"/>
          <w:sz w:val="24"/>
        </w:rPr>
        <w:t>、如果开标后，在投标有效期内撤回投标，我们的投标保证金可被贵方没收。</w:t>
      </w:r>
    </w:p>
    <w:p w14:paraId="54FA731C">
      <w:pPr>
        <w:jc w:val="left"/>
        <w:rPr>
          <w:rFonts w:ascii="宋体" w:cs="宋体"/>
          <w:kern w:val="0"/>
          <w:sz w:val="24"/>
        </w:rPr>
      </w:pPr>
      <w:r>
        <w:rPr>
          <w:rFonts w:ascii="宋体" w:hAnsi="宋体" w:cs="宋体"/>
          <w:kern w:val="0"/>
          <w:sz w:val="24"/>
        </w:rPr>
        <w:t>6</w:t>
      </w:r>
      <w:r>
        <w:rPr>
          <w:rFonts w:hint="eastAsia" w:ascii="宋体" w:hAnsi="宋体" w:cs="宋体"/>
          <w:kern w:val="0"/>
          <w:sz w:val="24"/>
        </w:rPr>
        <w:t>、如果贵方要求，我们愿意按照要求进一步提供与投标有关的一切数据或资料。</w:t>
      </w:r>
    </w:p>
    <w:p w14:paraId="61B7B988">
      <w:pPr>
        <w:jc w:val="left"/>
        <w:rPr>
          <w:rFonts w:ascii="宋体" w:cs="宋体"/>
          <w:kern w:val="0"/>
          <w:sz w:val="24"/>
        </w:rPr>
      </w:pPr>
      <w:r>
        <w:rPr>
          <w:rFonts w:ascii="宋体" w:hAnsi="宋体" w:cs="宋体"/>
          <w:kern w:val="0"/>
          <w:sz w:val="24"/>
        </w:rPr>
        <w:t>7</w:t>
      </w:r>
      <w:r>
        <w:rPr>
          <w:rFonts w:hint="eastAsia" w:ascii="宋体" w:hAnsi="宋体" w:cs="宋体"/>
          <w:kern w:val="0"/>
          <w:sz w:val="24"/>
        </w:rPr>
        <w:t>、我们完全理解贵方不一定要接受最低价的投标或收到的任何投标。</w:t>
      </w:r>
    </w:p>
    <w:p w14:paraId="55B0EAE2">
      <w:pPr>
        <w:jc w:val="left"/>
        <w:rPr>
          <w:rFonts w:ascii="宋体" w:hAnsi="宋体" w:cs="宋体"/>
          <w:kern w:val="0"/>
          <w:sz w:val="24"/>
        </w:rPr>
      </w:pPr>
      <w:r>
        <w:rPr>
          <w:rFonts w:hint="eastAsia" w:ascii="宋体" w:hAnsi="宋体" w:cs="宋体"/>
          <w:kern w:val="0"/>
          <w:sz w:val="24"/>
        </w:rPr>
        <w:t>投标人盖章：</w:t>
      </w:r>
    </w:p>
    <w:p w14:paraId="1A5B103A">
      <w:pPr>
        <w:jc w:val="left"/>
        <w:rPr>
          <w:rFonts w:ascii="宋体" w:hAnsi="宋体" w:cs="宋体"/>
          <w:kern w:val="0"/>
          <w:sz w:val="24"/>
        </w:rPr>
      </w:pPr>
      <w:r>
        <w:rPr>
          <w:rFonts w:hint="eastAsia" w:ascii="宋体" w:hAnsi="宋体" w:cs="宋体"/>
          <w:kern w:val="0"/>
          <w:sz w:val="24"/>
        </w:rPr>
        <w:t>投标人授权代表签字：</w:t>
      </w:r>
    </w:p>
    <w:p w14:paraId="1E7D0A1D">
      <w:pPr>
        <w:jc w:val="left"/>
        <w:rPr>
          <w:rFonts w:ascii="宋体" w:hAnsi="宋体" w:cs="宋体"/>
          <w:kern w:val="0"/>
          <w:sz w:val="24"/>
        </w:rPr>
      </w:pPr>
      <w:r>
        <w:rPr>
          <w:rFonts w:hint="eastAsia" w:ascii="宋体" w:hAnsi="宋体" w:cs="宋体"/>
          <w:kern w:val="0"/>
          <w:sz w:val="24"/>
        </w:rPr>
        <w:t>日期：年</w:t>
      </w:r>
      <w:r>
        <w:rPr>
          <w:rFonts w:ascii="宋体" w:hAnsi="宋体" w:cs="宋体"/>
          <w:kern w:val="0"/>
          <w:sz w:val="24"/>
        </w:rPr>
        <w:t xml:space="preserve"> </w:t>
      </w:r>
      <w:r>
        <w:rPr>
          <w:rFonts w:hint="eastAsia" w:ascii="宋体" w:hAnsi="宋体" w:cs="宋体"/>
          <w:kern w:val="0"/>
          <w:sz w:val="24"/>
        </w:rPr>
        <w:t>月</w:t>
      </w:r>
      <w:r>
        <w:rPr>
          <w:rFonts w:ascii="宋体" w:hAnsi="宋体" w:cs="宋体"/>
          <w:kern w:val="0"/>
          <w:sz w:val="24"/>
        </w:rPr>
        <w:t xml:space="preserve"> </w:t>
      </w:r>
      <w:r>
        <w:rPr>
          <w:rFonts w:hint="eastAsia" w:ascii="宋体" w:hAnsi="宋体" w:cs="宋体"/>
          <w:kern w:val="0"/>
          <w:sz w:val="24"/>
        </w:rPr>
        <w:t>日</w:t>
      </w:r>
    </w:p>
    <w:p w14:paraId="323C077A">
      <w:pPr>
        <w:spacing w:line="360" w:lineRule="exact"/>
        <w:jc w:val="left"/>
        <w:rPr>
          <w:rFonts w:ascii="宋体" w:cs="宋体"/>
          <w:kern w:val="0"/>
        </w:rPr>
      </w:pPr>
    </w:p>
    <w:p w14:paraId="2C356A2D">
      <w:pPr>
        <w:widowControl/>
        <w:jc w:val="left"/>
        <w:rPr>
          <w:rFonts w:ascii="Arial" w:hAnsi="Arial" w:eastAsia="黑体" w:cs="Arial"/>
          <w:b/>
          <w:sz w:val="32"/>
          <w:szCs w:val="28"/>
        </w:rPr>
      </w:pPr>
      <w:bookmarkStart w:id="199" w:name="_Toc135032220"/>
      <w:r>
        <w:rPr>
          <w:szCs w:val="28"/>
        </w:rPr>
        <w:br w:type="page"/>
      </w:r>
    </w:p>
    <w:p w14:paraId="35E3F1DA">
      <w:pPr>
        <w:pStyle w:val="3"/>
        <w:jc w:val="left"/>
        <w:rPr>
          <w:szCs w:val="28"/>
        </w:rPr>
      </w:pPr>
      <w:r>
        <w:rPr>
          <w:rFonts w:hint="eastAsia"/>
          <w:szCs w:val="28"/>
        </w:rPr>
        <w:t>附件2、开标一览表</w:t>
      </w:r>
      <w:bookmarkEnd w:id="199"/>
    </w:p>
    <w:p w14:paraId="2A52774B">
      <w:pPr>
        <w:jc w:val="left"/>
        <w:rPr>
          <w:rFonts w:ascii="宋体" w:hAnsi="宋体" w:cs="宋体"/>
          <w:kern w:val="0"/>
        </w:rPr>
      </w:pPr>
      <w:r>
        <w:rPr>
          <w:rFonts w:hint="eastAsia" w:ascii="宋体" w:hAnsi="宋体" w:cs="宋体"/>
          <w:kern w:val="0"/>
        </w:rPr>
        <w:t>投标人名称：</w:t>
      </w:r>
      <w:r>
        <w:rPr>
          <w:rFonts w:hint="eastAsia" w:ascii="宋体" w:hAnsi="宋体" w:cs="宋体"/>
          <w:kern w:val="0"/>
          <w:u w:val="single"/>
        </w:rPr>
        <w:t>　　　　　　　　　　</w:t>
      </w:r>
      <w:r>
        <w:rPr>
          <w:rFonts w:hint="eastAsia" w:ascii="宋体" w:hAnsi="宋体" w:cs="宋体"/>
          <w:kern w:val="0"/>
        </w:rPr>
        <w:t>　　招标编号：</w:t>
      </w:r>
    </w:p>
    <w:tbl>
      <w:tblPr>
        <w:tblStyle w:val="76"/>
        <w:tblW w:w="8529"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8"/>
        <w:gridCol w:w="1155"/>
        <w:gridCol w:w="1365"/>
        <w:gridCol w:w="1155"/>
        <w:gridCol w:w="1990"/>
        <w:gridCol w:w="1706"/>
      </w:tblGrid>
      <w:tr w14:paraId="349F8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Pr>
          <w:p w14:paraId="23413E16">
            <w:pPr>
              <w:jc w:val="left"/>
              <w:rPr>
                <w:rFonts w:ascii="宋体" w:cs="宋体"/>
                <w:kern w:val="0"/>
              </w:rPr>
            </w:pPr>
            <w:r>
              <w:rPr>
                <w:rFonts w:hint="eastAsia" w:ascii="宋体" w:hAnsi="宋体" w:cs="宋体"/>
                <w:kern w:val="0"/>
              </w:rPr>
              <w:t>产品名称</w:t>
            </w:r>
          </w:p>
        </w:tc>
        <w:tc>
          <w:tcPr>
            <w:tcW w:w="1155" w:type="dxa"/>
          </w:tcPr>
          <w:p w14:paraId="225ECBAA">
            <w:pPr>
              <w:jc w:val="left"/>
              <w:rPr>
                <w:rFonts w:ascii="宋体" w:cs="宋体"/>
                <w:kern w:val="0"/>
              </w:rPr>
            </w:pPr>
            <w:r>
              <w:rPr>
                <w:rFonts w:hint="eastAsia" w:ascii="宋体" w:hAnsi="宋体" w:cs="宋体"/>
                <w:kern w:val="0"/>
              </w:rPr>
              <w:t>投标报价</w:t>
            </w:r>
          </w:p>
        </w:tc>
        <w:tc>
          <w:tcPr>
            <w:tcW w:w="1365" w:type="dxa"/>
          </w:tcPr>
          <w:p w14:paraId="44E44BBC">
            <w:pPr>
              <w:jc w:val="left"/>
              <w:rPr>
                <w:rFonts w:ascii="宋体" w:cs="宋体"/>
                <w:kern w:val="0"/>
              </w:rPr>
            </w:pPr>
            <w:r>
              <w:rPr>
                <w:rFonts w:hint="eastAsia" w:ascii="宋体" w:hAnsi="宋体" w:cs="宋体"/>
                <w:kern w:val="0"/>
              </w:rPr>
              <w:t>投标保证金</w:t>
            </w:r>
          </w:p>
        </w:tc>
        <w:tc>
          <w:tcPr>
            <w:tcW w:w="1155" w:type="dxa"/>
          </w:tcPr>
          <w:p w14:paraId="086D7898">
            <w:pPr>
              <w:jc w:val="left"/>
              <w:rPr>
                <w:rFonts w:ascii="宋体" w:cs="宋体"/>
                <w:kern w:val="0"/>
              </w:rPr>
            </w:pPr>
            <w:r>
              <w:rPr>
                <w:rFonts w:hint="eastAsia" w:ascii="宋体" w:hAnsi="宋体" w:cs="宋体"/>
                <w:kern w:val="0"/>
              </w:rPr>
              <w:t>生产能力</w:t>
            </w:r>
          </w:p>
        </w:tc>
        <w:tc>
          <w:tcPr>
            <w:tcW w:w="1990" w:type="dxa"/>
          </w:tcPr>
          <w:p w14:paraId="18FF48DE">
            <w:pPr>
              <w:jc w:val="left"/>
              <w:rPr>
                <w:rFonts w:ascii="宋体" w:cs="宋体"/>
                <w:kern w:val="0"/>
              </w:rPr>
            </w:pPr>
            <w:r>
              <w:rPr>
                <w:rFonts w:hint="eastAsia" w:ascii="宋体" w:hAnsi="宋体" w:cs="宋体"/>
                <w:kern w:val="0"/>
              </w:rPr>
              <w:t>交货期</w:t>
            </w:r>
          </w:p>
        </w:tc>
        <w:tc>
          <w:tcPr>
            <w:tcW w:w="1706" w:type="dxa"/>
          </w:tcPr>
          <w:p w14:paraId="0399BF0F">
            <w:pPr>
              <w:jc w:val="left"/>
              <w:rPr>
                <w:rFonts w:ascii="宋体" w:cs="宋体"/>
                <w:kern w:val="0"/>
              </w:rPr>
            </w:pPr>
            <w:r>
              <w:rPr>
                <w:rFonts w:hint="eastAsia" w:ascii="宋体" w:hAnsi="宋体" w:cs="宋体"/>
                <w:kern w:val="0"/>
              </w:rPr>
              <w:t>备注</w:t>
            </w:r>
          </w:p>
        </w:tc>
      </w:tr>
      <w:tr w14:paraId="02A8A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Pr>
          <w:p w14:paraId="0FDA9D93">
            <w:pPr>
              <w:jc w:val="left"/>
              <w:rPr>
                <w:rFonts w:ascii="宋体" w:cs="宋体"/>
                <w:kern w:val="0"/>
              </w:rPr>
            </w:pPr>
          </w:p>
        </w:tc>
        <w:tc>
          <w:tcPr>
            <w:tcW w:w="1155" w:type="dxa"/>
            <w:tcBorders>
              <w:left w:val="single" w:color="auto" w:sz="4" w:space="0"/>
              <w:right w:val="single" w:color="auto" w:sz="4" w:space="0"/>
            </w:tcBorders>
          </w:tcPr>
          <w:p w14:paraId="0A6CF50B">
            <w:pPr>
              <w:jc w:val="left"/>
              <w:rPr>
                <w:rFonts w:ascii="宋体" w:cs="宋体"/>
                <w:kern w:val="0"/>
              </w:rPr>
            </w:pPr>
          </w:p>
        </w:tc>
        <w:tc>
          <w:tcPr>
            <w:tcW w:w="1365" w:type="dxa"/>
            <w:tcBorders>
              <w:left w:val="single" w:color="auto" w:sz="4" w:space="0"/>
              <w:right w:val="single" w:color="auto" w:sz="4" w:space="0"/>
            </w:tcBorders>
          </w:tcPr>
          <w:p w14:paraId="54248227">
            <w:pPr>
              <w:jc w:val="left"/>
              <w:rPr>
                <w:rFonts w:ascii="宋体" w:cs="宋体"/>
                <w:kern w:val="0"/>
              </w:rPr>
            </w:pPr>
          </w:p>
        </w:tc>
        <w:tc>
          <w:tcPr>
            <w:tcW w:w="1155" w:type="dxa"/>
            <w:tcBorders>
              <w:left w:val="single" w:color="auto" w:sz="4" w:space="0"/>
              <w:right w:val="single" w:color="auto" w:sz="4" w:space="0"/>
            </w:tcBorders>
          </w:tcPr>
          <w:p w14:paraId="57D77DE9">
            <w:pPr>
              <w:jc w:val="left"/>
              <w:rPr>
                <w:rFonts w:ascii="宋体" w:cs="宋体"/>
                <w:kern w:val="0"/>
              </w:rPr>
            </w:pPr>
          </w:p>
        </w:tc>
        <w:tc>
          <w:tcPr>
            <w:tcW w:w="1990" w:type="dxa"/>
            <w:tcBorders>
              <w:left w:val="single" w:color="auto" w:sz="4" w:space="0"/>
              <w:right w:val="single" w:color="auto" w:sz="4" w:space="0"/>
            </w:tcBorders>
          </w:tcPr>
          <w:p w14:paraId="679AB5C4">
            <w:pPr>
              <w:jc w:val="left"/>
              <w:rPr>
                <w:rFonts w:ascii="宋体" w:cs="宋体"/>
                <w:kern w:val="0"/>
              </w:rPr>
            </w:pPr>
            <w:r>
              <w:rPr>
                <w:rFonts w:ascii="宋体" w:hAnsi="宋体" w:cs="宋体"/>
                <w:kern w:val="0"/>
              </w:rPr>
              <w:t>*</w:t>
            </w:r>
          </w:p>
        </w:tc>
        <w:tc>
          <w:tcPr>
            <w:tcW w:w="1706" w:type="dxa"/>
          </w:tcPr>
          <w:p w14:paraId="6BA6617B">
            <w:pPr>
              <w:jc w:val="left"/>
              <w:rPr>
                <w:rFonts w:ascii="宋体" w:cs="宋体"/>
                <w:kern w:val="0"/>
              </w:rPr>
            </w:pPr>
          </w:p>
        </w:tc>
      </w:tr>
      <w:tr w14:paraId="00F65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Pr>
          <w:p w14:paraId="20D3F3A5">
            <w:pPr>
              <w:jc w:val="left"/>
              <w:rPr>
                <w:rFonts w:ascii="宋体" w:cs="宋体"/>
                <w:kern w:val="0"/>
              </w:rPr>
            </w:pPr>
          </w:p>
        </w:tc>
        <w:tc>
          <w:tcPr>
            <w:tcW w:w="1155" w:type="dxa"/>
            <w:tcBorders>
              <w:left w:val="single" w:color="auto" w:sz="4" w:space="0"/>
              <w:right w:val="single" w:color="auto" w:sz="4" w:space="0"/>
            </w:tcBorders>
          </w:tcPr>
          <w:p w14:paraId="508E4BE5">
            <w:pPr>
              <w:jc w:val="left"/>
              <w:rPr>
                <w:rFonts w:ascii="宋体" w:cs="宋体"/>
                <w:kern w:val="0"/>
              </w:rPr>
            </w:pPr>
          </w:p>
        </w:tc>
        <w:tc>
          <w:tcPr>
            <w:tcW w:w="1365" w:type="dxa"/>
            <w:tcBorders>
              <w:left w:val="single" w:color="auto" w:sz="4" w:space="0"/>
              <w:right w:val="single" w:color="auto" w:sz="4" w:space="0"/>
            </w:tcBorders>
          </w:tcPr>
          <w:p w14:paraId="5252FB73">
            <w:pPr>
              <w:jc w:val="left"/>
              <w:rPr>
                <w:rFonts w:ascii="宋体" w:cs="宋体"/>
                <w:kern w:val="0"/>
              </w:rPr>
            </w:pPr>
          </w:p>
        </w:tc>
        <w:tc>
          <w:tcPr>
            <w:tcW w:w="1155" w:type="dxa"/>
            <w:tcBorders>
              <w:left w:val="single" w:color="auto" w:sz="4" w:space="0"/>
              <w:right w:val="single" w:color="auto" w:sz="4" w:space="0"/>
            </w:tcBorders>
          </w:tcPr>
          <w:p w14:paraId="0D790A5E">
            <w:pPr>
              <w:jc w:val="left"/>
              <w:rPr>
                <w:rFonts w:ascii="宋体" w:cs="宋体"/>
                <w:kern w:val="0"/>
              </w:rPr>
            </w:pPr>
          </w:p>
        </w:tc>
        <w:tc>
          <w:tcPr>
            <w:tcW w:w="1990" w:type="dxa"/>
            <w:tcBorders>
              <w:left w:val="single" w:color="auto" w:sz="4" w:space="0"/>
              <w:right w:val="single" w:color="auto" w:sz="4" w:space="0"/>
            </w:tcBorders>
          </w:tcPr>
          <w:p w14:paraId="59B58994">
            <w:pPr>
              <w:jc w:val="left"/>
              <w:rPr>
                <w:rFonts w:ascii="宋体" w:cs="宋体"/>
                <w:kern w:val="0"/>
              </w:rPr>
            </w:pPr>
          </w:p>
        </w:tc>
        <w:tc>
          <w:tcPr>
            <w:tcW w:w="1706" w:type="dxa"/>
          </w:tcPr>
          <w:p w14:paraId="3D77DC0F">
            <w:pPr>
              <w:jc w:val="left"/>
              <w:rPr>
                <w:rFonts w:ascii="宋体" w:cs="宋体"/>
                <w:kern w:val="0"/>
              </w:rPr>
            </w:pPr>
          </w:p>
        </w:tc>
      </w:tr>
      <w:tr w14:paraId="66648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58" w:type="dxa"/>
          </w:tcPr>
          <w:p w14:paraId="6DD28AAF">
            <w:pPr>
              <w:jc w:val="left"/>
              <w:rPr>
                <w:rFonts w:ascii="宋体" w:cs="宋体"/>
                <w:kern w:val="0"/>
              </w:rPr>
            </w:pPr>
          </w:p>
        </w:tc>
        <w:tc>
          <w:tcPr>
            <w:tcW w:w="1155" w:type="dxa"/>
            <w:tcBorders>
              <w:left w:val="single" w:color="auto" w:sz="4" w:space="0"/>
              <w:right w:val="single" w:color="auto" w:sz="4" w:space="0"/>
            </w:tcBorders>
          </w:tcPr>
          <w:p w14:paraId="0D440A8D">
            <w:pPr>
              <w:jc w:val="left"/>
              <w:rPr>
                <w:rFonts w:ascii="宋体" w:cs="宋体"/>
                <w:kern w:val="0"/>
              </w:rPr>
            </w:pPr>
          </w:p>
        </w:tc>
        <w:tc>
          <w:tcPr>
            <w:tcW w:w="1365" w:type="dxa"/>
            <w:tcBorders>
              <w:left w:val="single" w:color="auto" w:sz="4" w:space="0"/>
              <w:right w:val="single" w:color="auto" w:sz="4" w:space="0"/>
            </w:tcBorders>
          </w:tcPr>
          <w:p w14:paraId="233EBE69">
            <w:pPr>
              <w:jc w:val="left"/>
              <w:rPr>
                <w:rFonts w:ascii="宋体" w:cs="宋体"/>
                <w:kern w:val="0"/>
              </w:rPr>
            </w:pPr>
          </w:p>
        </w:tc>
        <w:tc>
          <w:tcPr>
            <w:tcW w:w="1155" w:type="dxa"/>
            <w:tcBorders>
              <w:left w:val="single" w:color="auto" w:sz="4" w:space="0"/>
              <w:right w:val="single" w:color="auto" w:sz="4" w:space="0"/>
            </w:tcBorders>
          </w:tcPr>
          <w:p w14:paraId="1E0D6BC5">
            <w:pPr>
              <w:jc w:val="left"/>
              <w:rPr>
                <w:rFonts w:ascii="宋体" w:cs="宋体"/>
                <w:kern w:val="0"/>
              </w:rPr>
            </w:pPr>
          </w:p>
        </w:tc>
        <w:tc>
          <w:tcPr>
            <w:tcW w:w="1990" w:type="dxa"/>
            <w:tcBorders>
              <w:left w:val="single" w:color="auto" w:sz="4" w:space="0"/>
              <w:right w:val="single" w:color="auto" w:sz="4" w:space="0"/>
            </w:tcBorders>
          </w:tcPr>
          <w:p w14:paraId="1B6B9DEE">
            <w:pPr>
              <w:jc w:val="left"/>
              <w:rPr>
                <w:rFonts w:ascii="宋体" w:cs="宋体"/>
                <w:kern w:val="0"/>
              </w:rPr>
            </w:pPr>
          </w:p>
        </w:tc>
        <w:tc>
          <w:tcPr>
            <w:tcW w:w="1706" w:type="dxa"/>
          </w:tcPr>
          <w:p w14:paraId="2070E58C">
            <w:pPr>
              <w:jc w:val="left"/>
              <w:rPr>
                <w:rFonts w:ascii="宋体" w:cs="宋体"/>
                <w:kern w:val="0"/>
              </w:rPr>
            </w:pPr>
          </w:p>
        </w:tc>
      </w:tr>
    </w:tbl>
    <w:p w14:paraId="05D42F5B">
      <w:pPr>
        <w:jc w:val="left"/>
        <w:rPr>
          <w:rFonts w:ascii="宋体" w:cs="宋体"/>
          <w:kern w:val="0"/>
        </w:rPr>
      </w:pPr>
      <w:r>
        <w:rPr>
          <w:rFonts w:ascii="宋体" w:hAnsi="宋体" w:cs="宋体"/>
          <w:kern w:val="0"/>
        </w:rPr>
        <w:t>*附注：</w:t>
      </w:r>
    </w:p>
    <w:p w14:paraId="40090BE0">
      <w:pPr>
        <w:jc w:val="left"/>
        <w:rPr>
          <w:rFonts w:ascii="宋体" w:cs="宋体"/>
          <w:kern w:val="0"/>
        </w:rPr>
      </w:pPr>
      <w:r>
        <w:rPr>
          <w:rFonts w:hint="eastAsia" w:ascii="宋体" w:hAnsi="宋体" w:cs="宋体"/>
          <w:kern w:val="0"/>
        </w:rPr>
        <w:t>注：</w:t>
      </w:r>
      <w:r>
        <w:rPr>
          <w:rFonts w:hint="eastAsia" w:ascii="黑体" w:hAnsi="宋体" w:eastAsia="黑体" w:cs="宋体"/>
          <w:kern w:val="0"/>
          <w:sz w:val="24"/>
        </w:rPr>
        <w:t>此表在商务标中提交。</w:t>
      </w:r>
    </w:p>
    <w:p w14:paraId="4B6DEF8B">
      <w:pPr>
        <w:spacing w:line="360" w:lineRule="exact"/>
        <w:jc w:val="left"/>
        <w:rPr>
          <w:rFonts w:ascii="宋体" w:hAnsi="宋体" w:cs="宋体"/>
          <w:kern w:val="0"/>
        </w:rPr>
      </w:pPr>
      <w:r>
        <w:rPr>
          <w:rFonts w:hint="eastAsia" w:ascii="宋体" w:hAnsi="宋体" w:cs="宋体"/>
          <w:kern w:val="0"/>
        </w:rPr>
        <w:t>投标人盖章：</w:t>
      </w:r>
    </w:p>
    <w:p w14:paraId="2B6671B0">
      <w:pPr>
        <w:spacing w:line="360" w:lineRule="exact"/>
        <w:jc w:val="left"/>
        <w:rPr>
          <w:rFonts w:ascii="宋体" w:hAnsi="宋体" w:cs="宋体"/>
          <w:kern w:val="0"/>
        </w:rPr>
      </w:pPr>
      <w:r>
        <w:rPr>
          <w:rFonts w:hint="eastAsia" w:ascii="宋体" w:hAnsi="宋体" w:cs="宋体"/>
          <w:kern w:val="0"/>
        </w:rPr>
        <w:t>投标人授权代表签字：</w:t>
      </w:r>
    </w:p>
    <w:p w14:paraId="77F23163">
      <w:pPr>
        <w:spacing w:line="360" w:lineRule="exact"/>
        <w:jc w:val="left"/>
        <w:rPr>
          <w:rFonts w:ascii="宋体" w:hAnsi="宋体" w:cs="宋体"/>
          <w:kern w:val="0"/>
        </w:rPr>
      </w:pPr>
      <w:r>
        <w:rPr>
          <w:rFonts w:hint="eastAsia" w:ascii="宋体" w:hAnsi="宋体" w:cs="宋体"/>
          <w:kern w:val="0"/>
        </w:rPr>
        <w:t>日期：年</w:t>
      </w:r>
      <w:r>
        <w:rPr>
          <w:rFonts w:ascii="宋体" w:hAnsi="宋体" w:cs="宋体"/>
          <w:kern w:val="0"/>
        </w:rPr>
        <w:t xml:space="preserve"> </w:t>
      </w:r>
      <w:r>
        <w:rPr>
          <w:rFonts w:hint="eastAsia" w:ascii="宋体" w:hAnsi="宋体" w:cs="宋体"/>
          <w:kern w:val="0"/>
        </w:rPr>
        <w:t>月</w:t>
      </w:r>
      <w:r>
        <w:rPr>
          <w:rFonts w:ascii="宋体" w:hAnsi="宋体" w:cs="宋体"/>
          <w:kern w:val="0"/>
        </w:rPr>
        <w:t xml:space="preserve"> </w:t>
      </w:r>
      <w:r>
        <w:rPr>
          <w:rFonts w:hint="eastAsia" w:ascii="宋体" w:hAnsi="宋体" w:cs="宋体"/>
          <w:kern w:val="0"/>
        </w:rPr>
        <w:t>日</w:t>
      </w:r>
    </w:p>
    <w:p w14:paraId="7F8EA5C4">
      <w:pPr>
        <w:jc w:val="left"/>
        <w:rPr>
          <w:rFonts w:ascii="宋体" w:cs="宋体"/>
          <w:kern w:val="0"/>
        </w:rPr>
      </w:pPr>
    </w:p>
    <w:p w14:paraId="4FDD4B78">
      <w:pPr>
        <w:jc w:val="left"/>
        <w:rPr>
          <w:rFonts w:ascii="宋体" w:cs="宋体"/>
          <w:kern w:val="0"/>
        </w:rPr>
      </w:pPr>
    </w:p>
    <w:p w14:paraId="07CACEA0">
      <w:pPr>
        <w:jc w:val="left"/>
        <w:rPr>
          <w:rFonts w:ascii="宋体" w:cs="宋体"/>
          <w:kern w:val="0"/>
        </w:rPr>
      </w:pPr>
    </w:p>
    <w:p w14:paraId="2699B0E1">
      <w:pPr>
        <w:pStyle w:val="5"/>
        <w:jc w:val="left"/>
        <w:rPr>
          <w:rFonts w:ascii="宋体"/>
          <w:b w:val="0"/>
          <w:szCs w:val="21"/>
        </w:rPr>
        <w:sectPr>
          <w:headerReference r:id="rId6" w:type="first"/>
          <w:footerReference r:id="rId8" w:type="first"/>
          <w:headerReference r:id="rId5" w:type="default"/>
          <w:footerReference r:id="rId7" w:type="default"/>
          <w:pgSz w:w="11907" w:h="16840"/>
          <w:pgMar w:top="1440" w:right="1080" w:bottom="1440" w:left="1080" w:header="567" w:footer="992" w:gutter="0"/>
          <w:cols w:space="720" w:num="1"/>
          <w:docGrid w:type="linesAndChars" w:linePitch="312" w:charSpace="0"/>
        </w:sectPr>
      </w:pPr>
    </w:p>
    <w:p w14:paraId="1AFA12A6">
      <w:pPr>
        <w:pStyle w:val="3"/>
        <w:jc w:val="left"/>
        <w:rPr>
          <w:szCs w:val="28"/>
        </w:rPr>
      </w:pPr>
      <w:bookmarkStart w:id="200" w:name="_Toc135032221"/>
      <w:r>
        <w:rPr>
          <w:rFonts w:hint="eastAsia"/>
          <w:szCs w:val="28"/>
        </w:rPr>
        <w:t>附件3-1、投标分项报价表</w:t>
      </w:r>
      <w:bookmarkEnd w:id="200"/>
    </w:p>
    <w:p w14:paraId="36312B1C">
      <w:pPr>
        <w:jc w:val="left"/>
        <w:rPr>
          <w:rFonts w:ascii="宋体"/>
          <w:u w:val="single"/>
        </w:rPr>
      </w:pPr>
      <w:r>
        <w:rPr>
          <w:rFonts w:hint="eastAsia" w:ascii="宋体" w:hAnsi="宋体"/>
        </w:rPr>
        <w:t>投标人名称：招标编号：</w:t>
      </w:r>
      <w:r>
        <w:rPr>
          <w:rFonts w:ascii="宋体" w:hAnsi="宋体"/>
        </w:rPr>
        <w:t xml:space="preserve"> </w:t>
      </w:r>
    </w:p>
    <w:tbl>
      <w:tblPr>
        <w:tblStyle w:val="76"/>
        <w:tblW w:w="14026" w:type="dxa"/>
        <w:tblInd w:w="6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1225"/>
        <w:gridCol w:w="1087"/>
        <w:gridCol w:w="805"/>
        <w:gridCol w:w="1221"/>
        <w:gridCol w:w="1106"/>
        <w:gridCol w:w="1014"/>
        <w:gridCol w:w="1758"/>
        <w:gridCol w:w="1008"/>
        <w:gridCol w:w="1168"/>
        <w:gridCol w:w="1225"/>
        <w:gridCol w:w="1482"/>
      </w:tblGrid>
      <w:tr w14:paraId="7A745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927" w:type="dxa"/>
            <w:vAlign w:val="center"/>
          </w:tcPr>
          <w:p w14:paraId="594499F5">
            <w:pPr>
              <w:snapToGrid w:val="0"/>
              <w:spacing w:line="300" w:lineRule="auto"/>
              <w:jc w:val="left"/>
              <w:rPr>
                <w:rFonts w:ascii="宋体" w:hAnsi="宋体"/>
              </w:rPr>
            </w:pPr>
            <w:r>
              <w:rPr>
                <w:rFonts w:ascii="宋体" w:hAnsi="宋体"/>
              </w:rPr>
              <w:t>1</w:t>
            </w:r>
          </w:p>
        </w:tc>
        <w:tc>
          <w:tcPr>
            <w:tcW w:w="1225" w:type="dxa"/>
            <w:vAlign w:val="center"/>
          </w:tcPr>
          <w:p w14:paraId="39F0D494">
            <w:pPr>
              <w:snapToGrid w:val="0"/>
              <w:spacing w:line="300" w:lineRule="auto"/>
              <w:ind w:left="117"/>
              <w:jc w:val="left"/>
              <w:rPr>
                <w:rFonts w:ascii="宋体" w:hAnsi="宋体"/>
              </w:rPr>
            </w:pPr>
            <w:r>
              <w:rPr>
                <w:rFonts w:ascii="宋体" w:hAnsi="宋体"/>
              </w:rPr>
              <w:t>2</w:t>
            </w:r>
          </w:p>
        </w:tc>
        <w:tc>
          <w:tcPr>
            <w:tcW w:w="1087" w:type="dxa"/>
            <w:vAlign w:val="center"/>
          </w:tcPr>
          <w:p w14:paraId="4EDA9D11">
            <w:pPr>
              <w:snapToGrid w:val="0"/>
              <w:spacing w:line="300" w:lineRule="auto"/>
              <w:ind w:left="207"/>
              <w:jc w:val="left"/>
              <w:rPr>
                <w:rFonts w:ascii="宋体" w:hAnsi="宋体"/>
              </w:rPr>
            </w:pPr>
            <w:r>
              <w:rPr>
                <w:rFonts w:ascii="宋体" w:hAnsi="宋体"/>
              </w:rPr>
              <w:t>3</w:t>
            </w:r>
          </w:p>
        </w:tc>
        <w:tc>
          <w:tcPr>
            <w:tcW w:w="805" w:type="dxa"/>
            <w:vAlign w:val="center"/>
          </w:tcPr>
          <w:p w14:paraId="1F633FCF">
            <w:pPr>
              <w:snapToGrid w:val="0"/>
              <w:spacing w:line="300" w:lineRule="auto"/>
              <w:ind w:left="147"/>
              <w:jc w:val="left"/>
              <w:rPr>
                <w:rFonts w:ascii="宋体" w:hAnsi="宋体"/>
              </w:rPr>
            </w:pPr>
            <w:r>
              <w:rPr>
                <w:rFonts w:ascii="宋体" w:hAnsi="宋体"/>
              </w:rPr>
              <w:t>4</w:t>
            </w:r>
          </w:p>
        </w:tc>
        <w:tc>
          <w:tcPr>
            <w:tcW w:w="1221" w:type="dxa"/>
            <w:vAlign w:val="center"/>
          </w:tcPr>
          <w:p w14:paraId="12E0C3BE">
            <w:pPr>
              <w:snapToGrid w:val="0"/>
              <w:spacing w:line="300" w:lineRule="auto"/>
              <w:ind w:left="192"/>
              <w:jc w:val="left"/>
              <w:rPr>
                <w:rFonts w:ascii="宋体" w:hAnsi="宋体"/>
              </w:rPr>
            </w:pPr>
            <w:r>
              <w:rPr>
                <w:rFonts w:ascii="宋体" w:hAnsi="宋体"/>
              </w:rPr>
              <w:t>5</w:t>
            </w:r>
          </w:p>
        </w:tc>
        <w:tc>
          <w:tcPr>
            <w:tcW w:w="1106" w:type="dxa"/>
            <w:vAlign w:val="center"/>
          </w:tcPr>
          <w:p w14:paraId="7107A827">
            <w:pPr>
              <w:snapToGrid w:val="0"/>
              <w:spacing w:line="300" w:lineRule="auto"/>
              <w:jc w:val="left"/>
              <w:rPr>
                <w:rFonts w:ascii="宋体" w:hAnsi="宋体"/>
              </w:rPr>
            </w:pPr>
            <w:r>
              <w:rPr>
                <w:rFonts w:ascii="宋体" w:hAnsi="宋体"/>
              </w:rPr>
              <w:t>6</w:t>
            </w:r>
          </w:p>
        </w:tc>
        <w:tc>
          <w:tcPr>
            <w:tcW w:w="1014" w:type="dxa"/>
            <w:vAlign w:val="center"/>
          </w:tcPr>
          <w:p w14:paraId="34FDB163">
            <w:pPr>
              <w:snapToGrid w:val="0"/>
              <w:spacing w:line="300" w:lineRule="auto"/>
              <w:jc w:val="left"/>
              <w:rPr>
                <w:rFonts w:ascii="宋体" w:hAnsi="宋体"/>
              </w:rPr>
            </w:pPr>
            <w:r>
              <w:rPr>
                <w:rFonts w:ascii="宋体" w:hAnsi="宋体"/>
              </w:rPr>
              <w:t>7</w:t>
            </w:r>
          </w:p>
        </w:tc>
        <w:tc>
          <w:tcPr>
            <w:tcW w:w="1758" w:type="dxa"/>
            <w:vAlign w:val="center"/>
          </w:tcPr>
          <w:p w14:paraId="2BC9BDDE">
            <w:pPr>
              <w:snapToGrid w:val="0"/>
              <w:spacing w:line="300" w:lineRule="auto"/>
              <w:jc w:val="left"/>
              <w:rPr>
                <w:rFonts w:ascii="宋体" w:hAnsi="宋体"/>
              </w:rPr>
            </w:pPr>
            <w:r>
              <w:rPr>
                <w:rFonts w:ascii="宋体" w:hAnsi="宋体"/>
              </w:rPr>
              <w:t>8</w:t>
            </w:r>
          </w:p>
        </w:tc>
        <w:tc>
          <w:tcPr>
            <w:tcW w:w="1008" w:type="dxa"/>
            <w:vAlign w:val="center"/>
          </w:tcPr>
          <w:p w14:paraId="5599B2ED">
            <w:pPr>
              <w:snapToGrid w:val="0"/>
              <w:spacing w:line="300" w:lineRule="auto"/>
              <w:ind w:left="147"/>
              <w:jc w:val="left"/>
              <w:rPr>
                <w:rFonts w:ascii="宋体" w:hAnsi="宋体"/>
              </w:rPr>
            </w:pPr>
            <w:r>
              <w:rPr>
                <w:rFonts w:ascii="宋体" w:hAnsi="宋体"/>
              </w:rPr>
              <w:t>9</w:t>
            </w:r>
          </w:p>
        </w:tc>
        <w:tc>
          <w:tcPr>
            <w:tcW w:w="1168" w:type="dxa"/>
            <w:vAlign w:val="center"/>
          </w:tcPr>
          <w:p w14:paraId="2FBC10CC">
            <w:pPr>
              <w:snapToGrid w:val="0"/>
              <w:spacing w:line="300" w:lineRule="auto"/>
              <w:ind w:left="162"/>
              <w:jc w:val="left"/>
              <w:rPr>
                <w:rFonts w:ascii="宋体" w:hAnsi="宋体"/>
              </w:rPr>
            </w:pPr>
            <w:r>
              <w:rPr>
                <w:rFonts w:ascii="宋体" w:hAnsi="宋体"/>
              </w:rPr>
              <w:t>10</w:t>
            </w:r>
          </w:p>
        </w:tc>
        <w:tc>
          <w:tcPr>
            <w:tcW w:w="1225" w:type="dxa"/>
            <w:vAlign w:val="center"/>
          </w:tcPr>
          <w:p w14:paraId="77029291">
            <w:pPr>
              <w:snapToGrid w:val="0"/>
              <w:spacing w:line="300" w:lineRule="auto"/>
              <w:jc w:val="left"/>
              <w:rPr>
                <w:rFonts w:ascii="宋体" w:hAnsi="宋体"/>
              </w:rPr>
            </w:pPr>
            <w:r>
              <w:rPr>
                <w:rFonts w:ascii="宋体" w:hAnsi="宋体"/>
              </w:rPr>
              <w:t>11</w:t>
            </w:r>
          </w:p>
        </w:tc>
        <w:tc>
          <w:tcPr>
            <w:tcW w:w="1482" w:type="dxa"/>
            <w:vAlign w:val="center"/>
          </w:tcPr>
          <w:p w14:paraId="120CE6DA">
            <w:pPr>
              <w:spacing w:line="300" w:lineRule="auto"/>
              <w:jc w:val="left"/>
              <w:rPr>
                <w:rFonts w:ascii="宋体" w:hAnsi="宋体"/>
              </w:rPr>
            </w:pPr>
            <w:r>
              <w:rPr>
                <w:rFonts w:ascii="宋体" w:hAnsi="宋体"/>
              </w:rPr>
              <w:t>12</w:t>
            </w:r>
          </w:p>
        </w:tc>
      </w:tr>
      <w:tr w14:paraId="7CA49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0" w:hRule="atLeast"/>
        </w:trPr>
        <w:tc>
          <w:tcPr>
            <w:tcW w:w="927" w:type="dxa"/>
            <w:vAlign w:val="center"/>
          </w:tcPr>
          <w:p w14:paraId="55D69F47">
            <w:pPr>
              <w:jc w:val="left"/>
              <w:rPr>
                <w:rFonts w:ascii="宋体"/>
              </w:rPr>
            </w:pPr>
            <w:r>
              <w:rPr>
                <w:rFonts w:hint="eastAsia" w:ascii="宋体" w:hAnsi="宋体"/>
              </w:rPr>
              <w:t>品目</w:t>
            </w:r>
          </w:p>
          <w:p w14:paraId="25FF3357">
            <w:pPr>
              <w:jc w:val="left"/>
              <w:rPr>
                <w:rFonts w:ascii="宋体"/>
              </w:rPr>
            </w:pPr>
            <w:r>
              <w:rPr>
                <w:rFonts w:hint="eastAsia" w:ascii="宋体" w:hAnsi="宋体"/>
              </w:rPr>
              <w:t>项号</w:t>
            </w:r>
          </w:p>
        </w:tc>
        <w:tc>
          <w:tcPr>
            <w:tcW w:w="1225" w:type="dxa"/>
            <w:tcBorders>
              <w:left w:val="single" w:color="auto" w:sz="4" w:space="0"/>
              <w:right w:val="single" w:color="auto" w:sz="4" w:space="0"/>
            </w:tcBorders>
            <w:vAlign w:val="center"/>
          </w:tcPr>
          <w:p w14:paraId="579B7A33">
            <w:pPr>
              <w:jc w:val="left"/>
              <w:rPr>
                <w:rFonts w:ascii="宋体"/>
              </w:rPr>
            </w:pPr>
            <w:r>
              <w:rPr>
                <w:rFonts w:hint="eastAsia" w:ascii="宋体" w:hAnsi="宋体"/>
              </w:rPr>
              <w:t>标的物名称</w:t>
            </w:r>
          </w:p>
          <w:p w14:paraId="56CC4228">
            <w:pPr>
              <w:jc w:val="left"/>
              <w:rPr>
                <w:rFonts w:ascii="宋体"/>
              </w:rPr>
            </w:pPr>
            <w:r>
              <w:rPr>
                <w:rFonts w:hint="eastAsia" w:ascii="宋体" w:hAnsi="宋体"/>
              </w:rPr>
              <w:t>型号规格</w:t>
            </w:r>
          </w:p>
        </w:tc>
        <w:tc>
          <w:tcPr>
            <w:tcW w:w="1087" w:type="dxa"/>
            <w:tcBorders>
              <w:left w:val="single" w:color="auto" w:sz="4" w:space="0"/>
              <w:right w:val="single" w:color="auto" w:sz="4" w:space="0"/>
            </w:tcBorders>
            <w:vAlign w:val="center"/>
          </w:tcPr>
          <w:p w14:paraId="09394C09">
            <w:pPr>
              <w:jc w:val="left"/>
              <w:rPr>
                <w:rFonts w:ascii="宋体"/>
              </w:rPr>
            </w:pPr>
            <w:r>
              <w:rPr>
                <w:rFonts w:hint="eastAsia" w:ascii="宋体" w:hAnsi="宋体"/>
              </w:rPr>
              <w:t>制造厂家及产地</w:t>
            </w:r>
          </w:p>
        </w:tc>
        <w:tc>
          <w:tcPr>
            <w:tcW w:w="805" w:type="dxa"/>
            <w:tcBorders>
              <w:left w:val="single" w:color="auto" w:sz="4" w:space="0"/>
              <w:right w:val="single" w:color="auto" w:sz="4" w:space="0"/>
            </w:tcBorders>
            <w:vAlign w:val="center"/>
          </w:tcPr>
          <w:p w14:paraId="14ADF50A">
            <w:pPr>
              <w:jc w:val="left"/>
              <w:rPr>
                <w:rFonts w:ascii="宋体"/>
              </w:rPr>
            </w:pPr>
            <w:r>
              <w:rPr>
                <w:rFonts w:hint="eastAsia" w:ascii="宋体" w:hAnsi="宋体"/>
              </w:rPr>
              <w:t>数量</w:t>
            </w:r>
          </w:p>
        </w:tc>
        <w:tc>
          <w:tcPr>
            <w:tcW w:w="1221" w:type="dxa"/>
            <w:tcBorders>
              <w:left w:val="single" w:color="auto" w:sz="4" w:space="0"/>
              <w:right w:val="single" w:color="auto" w:sz="4" w:space="0"/>
            </w:tcBorders>
            <w:vAlign w:val="center"/>
          </w:tcPr>
          <w:p w14:paraId="5A7E86FF">
            <w:pPr>
              <w:jc w:val="left"/>
              <w:rPr>
                <w:rFonts w:ascii="宋体"/>
              </w:rPr>
            </w:pPr>
            <w:r>
              <w:rPr>
                <w:rFonts w:hint="eastAsia" w:ascii="宋体" w:hAnsi="宋体"/>
              </w:rPr>
              <w:t>出厂单价</w:t>
            </w:r>
          </w:p>
          <w:p w14:paraId="01D8D31C">
            <w:pPr>
              <w:jc w:val="left"/>
              <w:rPr>
                <w:rFonts w:ascii="宋体" w:hAnsi="宋体"/>
              </w:rPr>
            </w:pPr>
            <w:r>
              <w:rPr>
                <w:rFonts w:ascii="宋体" w:hAnsi="宋体"/>
              </w:rPr>
              <w:t>(</w:t>
            </w:r>
            <w:r>
              <w:rPr>
                <w:rFonts w:hint="eastAsia" w:ascii="宋体" w:hAnsi="宋体"/>
              </w:rPr>
              <w:t>含税</w:t>
            </w:r>
            <w:r>
              <w:rPr>
                <w:rFonts w:ascii="宋体" w:hAnsi="宋体"/>
              </w:rPr>
              <w:t>)</w:t>
            </w:r>
          </w:p>
        </w:tc>
        <w:tc>
          <w:tcPr>
            <w:tcW w:w="1106" w:type="dxa"/>
            <w:tcBorders>
              <w:left w:val="single" w:color="auto" w:sz="4" w:space="0"/>
              <w:right w:val="single" w:color="auto" w:sz="4" w:space="0"/>
            </w:tcBorders>
            <w:vAlign w:val="center"/>
          </w:tcPr>
          <w:p w14:paraId="4D0DDFF4">
            <w:pPr>
              <w:jc w:val="left"/>
              <w:rPr>
                <w:rFonts w:ascii="宋体"/>
              </w:rPr>
            </w:pPr>
            <w:r>
              <w:rPr>
                <w:rFonts w:hint="eastAsia" w:ascii="宋体" w:hAnsi="宋体"/>
              </w:rPr>
              <w:t>包装费及</w:t>
            </w:r>
          </w:p>
          <w:p w14:paraId="23F165FB">
            <w:pPr>
              <w:jc w:val="left"/>
              <w:rPr>
                <w:rFonts w:ascii="宋体"/>
              </w:rPr>
            </w:pPr>
            <w:r>
              <w:rPr>
                <w:rFonts w:hint="eastAsia" w:ascii="宋体" w:hAnsi="宋体"/>
              </w:rPr>
              <w:t>运杂费</w:t>
            </w:r>
          </w:p>
        </w:tc>
        <w:tc>
          <w:tcPr>
            <w:tcW w:w="1014" w:type="dxa"/>
            <w:tcBorders>
              <w:left w:val="single" w:color="auto" w:sz="4" w:space="0"/>
              <w:right w:val="single" w:color="auto" w:sz="4" w:space="0"/>
            </w:tcBorders>
            <w:vAlign w:val="center"/>
          </w:tcPr>
          <w:p w14:paraId="6A77BC21">
            <w:pPr>
              <w:jc w:val="left"/>
              <w:rPr>
                <w:rFonts w:ascii="宋体"/>
              </w:rPr>
            </w:pPr>
            <w:r>
              <w:rPr>
                <w:rFonts w:hint="eastAsia" w:ascii="宋体" w:hAnsi="宋体"/>
              </w:rPr>
              <w:t>运输</w:t>
            </w:r>
          </w:p>
          <w:p w14:paraId="08DA5826">
            <w:pPr>
              <w:jc w:val="left"/>
              <w:rPr>
                <w:rFonts w:ascii="宋体"/>
              </w:rPr>
            </w:pPr>
            <w:r>
              <w:rPr>
                <w:rFonts w:hint="eastAsia" w:ascii="宋体" w:hAnsi="宋体"/>
              </w:rPr>
              <w:t>保险费</w:t>
            </w:r>
          </w:p>
        </w:tc>
        <w:tc>
          <w:tcPr>
            <w:tcW w:w="1758" w:type="dxa"/>
            <w:tcBorders>
              <w:left w:val="single" w:color="auto" w:sz="4" w:space="0"/>
              <w:right w:val="single" w:color="auto" w:sz="4" w:space="0"/>
            </w:tcBorders>
            <w:vAlign w:val="center"/>
          </w:tcPr>
          <w:p w14:paraId="4D84822C">
            <w:pPr>
              <w:jc w:val="left"/>
              <w:rPr>
                <w:rFonts w:ascii="宋体"/>
              </w:rPr>
            </w:pPr>
            <w:r>
              <w:rPr>
                <w:rFonts w:hint="eastAsia" w:ascii="宋体" w:hAnsi="宋体"/>
              </w:rPr>
              <w:t>安装指导调试检验及技术服务费</w:t>
            </w:r>
          </w:p>
        </w:tc>
        <w:tc>
          <w:tcPr>
            <w:tcW w:w="1008" w:type="dxa"/>
            <w:tcBorders>
              <w:left w:val="single" w:color="auto" w:sz="4" w:space="0"/>
              <w:right w:val="single" w:color="auto" w:sz="4" w:space="0"/>
            </w:tcBorders>
            <w:vAlign w:val="center"/>
          </w:tcPr>
          <w:p w14:paraId="15E7D104">
            <w:pPr>
              <w:jc w:val="left"/>
              <w:rPr>
                <w:rFonts w:ascii="宋体"/>
              </w:rPr>
            </w:pPr>
            <w:r>
              <w:rPr>
                <w:rFonts w:hint="eastAsia" w:ascii="宋体" w:hAnsi="宋体"/>
              </w:rPr>
              <w:t>其它</w:t>
            </w:r>
          </w:p>
        </w:tc>
        <w:tc>
          <w:tcPr>
            <w:tcW w:w="1168" w:type="dxa"/>
            <w:tcBorders>
              <w:left w:val="single" w:color="auto" w:sz="4" w:space="0"/>
              <w:right w:val="single" w:color="auto" w:sz="4" w:space="0"/>
            </w:tcBorders>
            <w:vAlign w:val="center"/>
          </w:tcPr>
          <w:p w14:paraId="5F895661">
            <w:pPr>
              <w:jc w:val="left"/>
              <w:rPr>
                <w:rFonts w:ascii="宋体"/>
              </w:rPr>
            </w:pPr>
            <w:r>
              <w:rPr>
                <w:rFonts w:hint="eastAsia" w:ascii="宋体" w:hAnsi="宋体"/>
              </w:rPr>
              <w:t>总价</w:t>
            </w:r>
          </w:p>
        </w:tc>
        <w:tc>
          <w:tcPr>
            <w:tcW w:w="1225" w:type="dxa"/>
            <w:tcBorders>
              <w:left w:val="single" w:color="auto" w:sz="4" w:space="0"/>
              <w:right w:val="single" w:color="auto" w:sz="4" w:space="0"/>
            </w:tcBorders>
            <w:vAlign w:val="center"/>
          </w:tcPr>
          <w:p w14:paraId="6733A736">
            <w:pPr>
              <w:jc w:val="left"/>
              <w:rPr>
                <w:rFonts w:ascii="宋体"/>
              </w:rPr>
            </w:pPr>
            <w:r>
              <w:rPr>
                <w:rFonts w:hint="eastAsia" w:ascii="宋体" w:hAnsi="宋体"/>
              </w:rPr>
              <w:t>交货日期</w:t>
            </w:r>
          </w:p>
        </w:tc>
        <w:tc>
          <w:tcPr>
            <w:tcW w:w="1482" w:type="dxa"/>
            <w:vAlign w:val="center"/>
          </w:tcPr>
          <w:p w14:paraId="1061427E">
            <w:pPr>
              <w:jc w:val="left"/>
              <w:rPr>
                <w:rFonts w:ascii="宋体"/>
              </w:rPr>
            </w:pPr>
            <w:r>
              <w:rPr>
                <w:rFonts w:hint="eastAsia" w:ascii="宋体" w:hAnsi="宋体"/>
              </w:rPr>
              <w:t>交货地点</w:t>
            </w:r>
          </w:p>
        </w:tc>
      </w:tr>
      <w:tr w14:paraId="68ED4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2" w:hRule="atLeast"/>
        </w:trPr>
        <w:tc>
          <w:tcPr>
            <w:tcW w:w="927" w:type="dxa"/>
          </w:tcPr>
          <w:p w14:paraId="4C9695C0">
            <w:pPr>
              <w:snapToGrid w:val="0"/>
              <w:spacing w:after="120" w:line="300" w:lineRule="auto"/>
              <w:jc w:val="left"/>
              <w:rPr>
                <w:rFonts w:ascii="宋体"/>
              </w:rPr>
            </w:pPr>
          </w:p>
        </w:tc>
        <w:tc>
          <w:tcPr>
            <w:tcW w:w="1225" w:type="dxa"/>
            <w:tcBorders>
              <w:left w:val="single" w:color="auto" w:sz="4" w:space="0"/>
              <w:right w:val="single" w:color="auto" w:sz="4" w:space="0"/>
            </w:tcBorders>
          </w:tcPr>
          <w:p w14:paraId="71D7C2B6">
            <w:pPr>
              <w:snapToGrid w:val="0"/>
              <w:spacing w:after="120" w:line="300" w:lineRule="auto"/>
              <w:jc w:val="left"/>
              <w:rPr>
                <w:rFonts w:ascii="宋体"/>
              </w:rPr>
            </w:pPr>
          </w:p>
        </w:tc>
        <w:tc>
          <w:tcPr>
            <w:tcW w:w="1087" w:type="dxa"/>
            <w:tcBorders>
              <w:left w:val="single" w:color="auto" w:sz="4" w:space="0"/>
              <w:right w:val="single" w:color="auto" w:sz="4" w:space="0"/>
            </w:tcBorders>
          </w:tcPr>
          <w:p w14:paraId="07B9CF2A">
            <w:pPr>
              <w:snapToGrid w:val="0"/>
              <w:spacing w:after="120" w:line="300" w:lineRule="auto"/>
              <w:jc w:val="left"/>
              <w:rPr>
                <w:rFonts w:ascii="宋体"/>
              </w:rPr>
            </w:pPr>
          </w:p>
        </w:tc>
        <w:tc>
          <w:tcPr>
            <w:tcW w:w="805" w:type="dxa"/>
            <w:tcBorders>
              <w:left w:val="single" w:color="auto" w:sz="4" w:space="0"/>
              <w:right w:val="single" w:color="auto" w:sz="4" w:space="0"/>
            </w:tcBorders>
          </w:tcPr>
          <w:p w14:paraId="34E73DF0">
            <w:pPr>
              <w:snapToGrid w:val="0"/>
              <w:spacing w:after="120" w:line="300" w:lineRule="auto"/>
              <w:jc w:val="left"/>
              <w:rPr>
                <w:rFonts w:ascii="宋体"/>
              </w:rPr>
            </w:pPr>
          </w:p>
        </w:tc>
        <w:tc>
          <w:tcPr>
            <w:tcW w:w="1221" w:type="dxa"/>
            <w:tcBorders>
              <w:left w:val="single" w:color="auto" w:sz="4" w:space="0"/>
              <w:right w:val="single" w:color="auto" w:sz="4" w:space="0"/>
            </w:tcBorders>
          </w:tcPr>
          <w:p w14:paraId="3DD7413B">
            <w:pPr>
              <w:snapToGrid w:val="0"/>
              <w:spacing w:after="120" w:line="300" w:lineRule="auto"/>
              <w:jc w:val="left"/>
              <w:rPr>
                <w:rFonts w:ascii="宋体"/>
              </w:rPr>
            </w:pPr>
          </w:p>
        </w:tc>
        <w:tc>
          <w:tcPr>
            <w:tcW w:w="1106" w:type="dxa"/>
            <w:tcBorders>
              <w:left w:val="single" w:color="auto" w:sz="4" w:space="0"/>
              <w:right w:val="single" w:color="auto" w:sz="4" w:space="0"/>
            </w:tcBorders>
          </w:tcPr>
          <w:p w14:paraId="6D78849A">
            <w:pPr>
              <w:snapToGrid w:val="0"/>
              <w:spacing w:after="120" w:line="300" w:lineRule="auto"/>
              <w:jc w:val="left"/>
              <w:rPr>
                <w:rFonts w:ascii="宋体"/>
              </w:rPr>
            </w:pPr>
          </w:p>
        </w:tc>
        <w:tc>
          <w:tcPr>
            <w:tcW w:w="1014" w:type="dxa"/>
            <w:tcBorders>
              <w:left w:val="single" w:color="auto" w:sz="4" w:space="0"/>
              <w:right w:val="single" w:color="auto" w:sz="4" w:space="0"/>
            </w:tcBorders>
          </w:tcPr>
          <w:p w14:paraId="035E6B22">
            <w:pPr>
              <w:snapToGrid w:val="0"/>
              <w:spacing w:after="120" w:line="300" w:lineRule="auto"/>
              <w:jc w:val="left"/>
              <w:rPr>
                <w:rFonts w:ascii="宋体"/>
              </w:rPr>
            </w:pPr>
          </w:p>
        </w:tc>
        <w:tc>
          <w:tcPr>
            <w:tcW w:w="1758" w:type="dxa"/>
            <w:tcBorders>
              <w:left w:val="single" w:color="auto" w:sz="4" w:space="0"/>
              <w:right w:val="single" w:color="auto" w:sz="4" w:space="0"/>
            </w:tcBorders>
          </w:tcPr>
          <w:p w14:paraId="4BBEDF32">
            <w:pPr>
              <w:snapToGrid w:val="0"/>
              <w:spacing w:after="120" w:line="300" w:lineRule="auto"/>
              <w:jc w:val="left"/>
              <w:rPr>
                <w:rFonts w:ascii="宋体"/>
              </w:rPr>
            </w:pPr>
          </w:p>
        </w:tc>
        <w:tc>
          <w:tcPr>
            <w:tcW w:w="1008" w:type="dxa"/>
            <w:tcBorders>
              <w:left w:val="single" w:color="auto" w:sz="4" w:space="0"/>
              <w:right w:val="single" w:color="auto" w:sz="4" w:space="0"/>
            </w:tcBorders>
          </w:tcPr>
          <w:p w14:paraId="022DD425">
            <w:pPr>
              <w:snapToGrid w:val="0"/>
              <w:spacing w:after="120" w:line="300" w:lineRule="auto"/>
              <w:jc w:val="left"/>
              <w:rPr>
                <w:rFonts w:ascii="宋体"/>
              </w:rPr>
            </w:pPr>
          </w:p>
        </w:tc>
        <w:tc>
          <w:tcPr>
            <w:tcW w:w="1168" w:type="dxa"/>
            <w:tcBorders>
              <w:left w:val="single" w:color="auto" w:sz="4" w:space="0"/>
              <w:right w:val="single" w:color="auto" w:sz="4" w:space="0"/>
            </w:tcBorders>
          </w:tcPr>
          <w:p w14:paraId="27E0B68C">
            <w:pPr>
              <w:snapToGrid w:val="0"/>
              <w:spacing w:after="120" w:line="300" w:lineRule="auto"/>
              <w:jc w:val="left"/>
              <w:rPr>
                <w:rFonts w:ascii="宋体"/>
              </w:rPr>
            </w:pPr>
          </w:p>
        </w:tc>
        <w:tc>
          <w:tcPr>
            <w:tcW w:w="1225" w:type="dxa"/>
            <w:tcBorders>
              <w:left w:val="single" w:color="auto" w:sz="4" w:space="0"/>
              <w:right w:val="single" w:color="auto" w:sz="4" w:space="0"/>
            </w:tcBorders>
          </w:tcPr>
          <w:p w14:paraId="5D51FD88">
            <w:pPr>
              <w:snapToGrid w:val="0"/>
              <w:spacing w:after="120" w:line="300" w:lineRule="auto"/>
              <w:jc w:val="left"/>
              <w:rPr>
                <w:rFonts w:ascii="宋体"/>
              </w:rPr>
            </w:pPr>
          </w:p>
        </w:tc>
        <w:tc>
          <w:tcPr>
            <w:tcW w:w="1482" w:type="dxa"/>
          </w:tcPr>
          <w:p w14:paraId="24F22665">
            <w:pPr>
              <w:spacing w:after="120" w:line="300" w:lineRule="auto"/>
              <w:jc w:val="left"/>
              <w:rPr>
                <w:rFonts w:ascii="宋体"/>
              </w:rPr>
            </w:pPr>
          </w:p>
        </w:tc>
      </w:tr>
      <w:tr w14:paraId="28EAA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927" w:type="dxa"/>
          </w:tcPr>
          <w:p w14:paraId="6971C9D4">
            <w:pPr>
              <w:snapToGrid w:val="0"/>
              <w:spacing w:after="120" w:line="300" w:lineRule="auto"/>
              <w:jc w:val="left"/>
              <w:rPr>
                <w:rFonts w:ascii="宋体"/>
              </w:rPr>
            </w:pPr>
          </w:p>
        </w:tc>
        <w:tc>
          <w:tcPr>
            <w:tcW w:w="1225" w:type="dxa"/>
            <w:tcBorders>
              <w:left w:val="single" w:color="auto" w:sz="4" w:space="0"/>
              <w:right w:val="single" w:color="auto" w:sz="4" w:space="0"/>
            </w:tcBorders>
          </w:tcPr>
          <w:p w14:paraId="52BF1D9C">
            <w:pPr>
              <w:snapToGrid w:val="0"/>
              <w:spacing w:after="120" w:line="300" w:lineRule="auto"/>
              <w:jc w:val="left"/>
              <w:rPr>
                <w:rFonts w:ascii="宋体"/>
              </w:rPr>
            </w:pPr>
          </w:p>
        </w:tc>
        <w:tc>
          <w:tcPr>
            <w:tcW w:w="1087" w:type="dxa"/>
            <w:tcBorders>
              <w:left w:val="single" w:color="auto" w:sz="4" w:space="0"/>
              <w:right w:val="single" w:color="auto" w:sz="4" w:space="0"/>
            </w:tcBorders>
          </w:tcPr>
          <w:p w14:paraId="7708F73D">
            <w:pPr>
              <w:snapToGrid w:val="0"/>
              <w:spacing w:after="120" w:line="300" w:lineRule="auto"/>
              <w:jc w:val="left"/>
              <w:rPr>
                <w:rFonts w:ascii="宋体"/>
              </w:rPr>
            </w:pPr>
          </w:p>
        </w:tc>
        <w:tc>
          <w:tcPr>
            <w:tcW w:w="805" w:type="dxa"/>
            <w:tcBorders>
              <w:left w:val="single" w:color="auto" w:sz="4" w:space="0"/>
              <w:right w:val="single" w:color="auto" w:sz="4" w:space="0"/>
            </w:tcBorders>
          </w:tcPr>
          <w:p w14:paraId="748DB2F7">
            <w:pPr>
              <w:snapToGrid w:val="0"/>
              <w:spacing w:after="120" w:line="300" w:lineRule="auto"/>
              <w:jc w:val="left"/>
              <w:rPr>
                <w:rFonts w:ascii="宋体"/>
              </w:rPr>
            </w:pPr>
          </w:p>
        </w:tc>
        <w:tc>
          <w:tcPr>
            <w:tcW w:w="1221" w:type="dxa"/>
            <w:tcBorders>
              <w:left w:val="single" w:color="auto" w:sz="4" w:space="0"/>
              <w:right w:val="single" w:color="auto" w:sz="4" w:space="0"/>
            </w:tcBorders>
          </w:tcPr>
          <w:p w14:paraId="35965838">
            <w:pPr>
              <w:snapToGrid w:val="0"/>
              <w:spacing w:after="120" w:line="300" w:lineRule="auto"/>
              <w:jc w:val="left"/>
              <w:rPr>
                <w:rFonts w:ascii="宋体"/>
              </w:rPr>
            </w:pPr>
          </w:p>
        </w:tc>
        <w:tc>
          <w:tcPr>
            <w:tcW w:w="1106" w:type="dxa"/>
            <w:tcBorders>
              <w:left w:val="single" w:color="auto" w:sz="4" w:space="0"/>
              <w:right w:val="single" w:color="auto" w:sz="4" w:space="0"/>
            </w:tcBorders>
          </w:tcPr>
          <w:p w14:paraId="0BDE95D4">
            <w:pPr>
              <w:snapToGrid w:val="0"/>
              <w:spacing w:after="120" w:line="300" w:lineRule="auto"/>
              <w:jc w:val="left"/>
              <w:rPr>
                <w:rFonts w:ascii="宋体"/>
              </w:rPr>
            </w:pPr>
          </w:p>
        </w:tc>
        <w:tc>
          <w:tcPr>
            <w:tcW w:w="1014" w:type="dxa"/>
            <w:tcBorders>
              <w:left w:val="single" w:color="auto" w:sz="4" w:space="0"/>
              <w:right w:val="single" w:color="auto" w:sz="4" w:space="0"/>
            </w:tcBorders>
          </w:tcPr>
          <w:p w14:paraId="3FEBAAE9">
            <w:pPr>
              <w:snapToGrid w:val="0"/>
              <w:spacing w:after="120" w:line="300" w:lineRule="auto"/>
              <w:jc w:val="left"/>
              <w:rPr>
                <w:rFonts w:ascii="宋体"/>
              </w:rPr>
            </w:pPr>
          </w:p>
        </w:tc>
        <w:tc>
          <w:tcPr>
            <w:tcW w:w="1758" w:type="dxa"/>
            <w:tcBorders>
              <w:left w:val="single" w:color="auto" w:sz="4" w:space="0"/>
              <w:right w:val="single" w:color="auto" w:sz="4" w:space="0"/>
            </w:tcBorders>
          </w:tcPr>
          <w:p w14:paraId="0DB9EB86">
            <w:pPr>
              <w:snapToGrid w:val="0"/>
              <w:spacing w:after="120" w:line="300" w:lineRule="auto"/>
              <w:jc w:val="left"/>
              <w:rPr>
                <w:rFonts w:ascii="宋体"/>
              </w:rPr>
            </w:pPr>
          </w:p>
        </w:tc>
        <w:tc>
          <w:tcPr>
            <w:tcW w:w="1008" w:type="dxa"/>
            <w:tcBorders>
              <w:left w:val="single" w:color="auto" w:sz="4" w:space="0"/>
              <w:right w:val="single" w:color="auto" w:sz="4" w:space="0"/>
            </w:tcBorders>
          </w:tcPr>
          <w:p w14:paraId="2657DACA">
            <w:pPr>
              <w:snapToGrid w:val="0"/>
              <w:spacing w:after="120" w:line="300" w:lineRule="auto"/>
              <w:jc w:val="left"/>
              <w:rPr>
                <w:rFonts w:ascii="宋体"/>
              </w:rPr>
            </w:pPr>
          </w:p>
        </w:tc>
        <w:tc>
          <w:tcPr>
            <w:tcW w:w="1168" w:type="dxa"/>
            <w:tcBorders>
              <w:left w:val="single" w:color="auto" w:sz="4" w:space="0"/>
              <w:right w:val="single" w:color="auto" w:sz="4" w:space="0"/>
            </w:tcBorders>
          </w:tcPr>
          <w:p w14:paraId="789D6402">
            <w:pPr>
              <w:snapToGrid w:val="0"/>
              <w:spacing w:after="120" w:line="300" w:lineRule="auto"/>
              <w:jc w:val="left"/>
              <w:rPr>
                <w:rFonts w:ascii="宋体"/>
              </w:rPr>
            </w:pPr>
          </w:p>
        </w:tc>
        <w:tc>
          <w:tcPr>
            <w:tcW w:w="1225" w:type="dxa"/>
            <w:tcBorders>
              <w:left w:val="single" w:color="auto" w:sz="4" w:space="0"/>
              <w:right w:val="single" w:color="auto" w:sz="4" w:space="0"/>
            </w:tcBorders>
          </w:tcPr>
          <w:p w14:paraId="47FA061C">
            <w:pPr>
              <w:snapToGrid w:val="0"/>
              <w:spacing w:after="120" w:line="300" w:lineRule="auto"/>
              <w:jc w:val="left"/>
              <w:rPr>
                <w:rFonts w:ascii="宋体"/>
              </w:rPr>
            </w:pPr>
          </w:p>
        </w:tc>
        <w:tc>
          <w:tcPr>
            <w:tcW w:w="1482" w:type="dxa"/>
          </w:tcPr>
          <w:p w14:paraId="743D2D80">
            <w:pPr>
              <w:spacing w:after="120" w:line="300" w:lineRule="auto"/>
              <w:jc w:val="left"/>
              <w:rPr>
                <w:rFonts w:ascii="宋体"/>
              </w:rPr>
            </w:pPr>
          </w:p>
        </w:tc>
      </w:tr>
      <w:tr w14:paraId="7EB13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4" w:hRule="atLeast"/>
        </w:trPr>
        <w:tc>
          <w:tcPr>
            <w:tcW w:w="927" w:type="dxa"/>
          </w:tcPr>
          <w:p w14:paraId="2B2FE0A1">
            <w:pPr>
              <w:snapToGrid w:val="0"/>
              <w:spacing w:after="120" w:line="300" w:lineRule="auto"/>
              <w:jc w:val="left"/>
              <w:rPr>
                <w:rFonts w:ascii="宋体"/>
              </w:rPr>
            </w:pPr>
          </w:p>
        </w:tc>
        <w:tc>
          <w:tcPr>
            <w:tcW w:w="1225" w:type="dxa"/>
            <w:tcBorders>
              <w:left w:val="single" w:color="auto" w:sz="4" w:space="0"/>
              <w:right w:val="single" w:color="auto" w:sz="4" w:space="0"/>
            </w:tcBorders>
          </w:tcPr>
          <w:p w14:paraId="7DCAAB2C">
            <w:pPr>
              <w:snapToGrid w:val="0"/>
              <w:spacing w:after="120" w:line="300" w:lineRule="auto"/>
              <w:jc w:val="left"/>
              <w:rPr>
                <w:rFonts w:ascii="宋体"/>
              </w:rPr>
            </w:pPr>
          </w:p>
        </w:tc>
        <w:tc>
          <w:tcPr>
            <w:tcW w:w="1087" w:type="dxa"/>
            <w:tcBorders>
              <w:left w:val="single" w:color="auto" w:sz="4" w:space="0"/>
              <w:right w:val="single" w:color="auto" w:sz="4" w:space="0"/>
            </w:tcBorders>
          </w:tcPr>
          <w:p w14:paraId="380229CD">
            <w:pPr>
              <w:snapToGrid w:val="0"/>
              <w:spacing w:after="120" w:line="300" w:lineRule="auto"/>
              <w:jc w:val="left"/>
              <w:rPr>
                <w:rFonts w:ascii="宋体"/>
              </w:rPr>
            </w:pPr>
          </w:p>
        </w:tc>
        <w:tc>
          <w:tcPr>
            <w:tcW w:w="805" w:type="dxa"/>
            <w:tcBorders>
              <w:left w:val="single" w:color="auto" w:sz="4" w:space="0"/>
              <w:right w:val="single" w:color="auto" w:sz="4" w:space="0"/>
            </w:tcBorders>
          </w:tcPr>
          <w:p w14:paraId="5149CE8D">
            <w:pPr>
              <w:snapToGrid w:val="0"/>
              <w:spacing w:after="120" w:line="300" w:lineRule="auto"/>
              <w:jc w:val="left"/>
              <w:rPr>
                <w:rFonts w:ascii="宋体"/>
              </w:rPr>
            </w:pPr>
          </w:p>
        </w:tc>
        <w:tc>
          <w:tcPr>
            <w:tcW w:w="1221" w:type="dxa"/>
            <w:tcBorders>
              <w:left w:val="single" w:color="auto" w:sz="4" w:space="0"/>
              <w:right w:val="single" w:color="auto" w:sz="4" w:space="0"/>
            </w:tcBorders>
          </w:tcPr>
          <w:p w14:paraId="77EB8122">
            <w:pPr>
              <w:snapToGrid w:val="0"/>
              <w:spacing w:after="120" w:line="300" w:lineRule="auto"/>
              <w:jc w:val="left"/>
              <w:rPr>
                <w:rFonts w:ascii="宋体"/>
              </w:rPr>
            </w:pPr>
          </w:p>
        </w:tc>
        <w:tc>
          <w:tcPr>
            <w:tcW w:w="1106" w:type="dxa"/>
            <w:tcBorders>
              <w:left w:val="single" w:color="auto" w:sz="4" w:space="0"/>
              <w:right w:val="single" w:color="auto" w:sz="4" w:space="0"/>
            </w:tcBorders>
          </w:tcPr>
          <w:p w14:paraId="1082E68A">
            <w:pPr>
              <w:snapToGrid w:val="0"/>
              <w:spacing w:after="120" w:line="300" w:lineRule="auto"/>
              <w:jc w:val="left"/>
              <w:rPr>
                <w:rFonts w:ascii="宋体"/>
              </w:rPr>
            </w:pPr>
          </w:p>
        </w:tc>
        <w:tc>
          <w:tcPr>
            <w:tcW w:w="1014" w:type="dxa"/>
            <w:tcBorders>
              <w:left w:val="single" w:color="auto" w:sz="4" w:space="0"/>
              <w:right w:val="single" w:color="auto" w:sz="4" w:space="0"/>
            </w:tcBorders>
          </w:tcPr>
          <w:p w14:paraId="4E4719CB">
            <w:pPr>
              <w:snapToGrid w:val="0"/>
              <w:spacing w:after="120" w:line="300" w:lineRule="auto"/>
              <w:jc w:val="left"/>
              <w:rPr>
                <w:rFonts w:ascii="宋体"/>
              </w:rPr>
            </w:pPr>
          </w:p>
        </w:tc>
        <w:tc>
          <w:tcPr>
            <w:tcW w:w="1758" w:type="dxa"/>
            <w:tcBorders>
              <w:left w:val="single" w:color="auto" w:sz="4" w:space="0"/>
              <w:right w:val="single" w:color="auto" w:sz="4" w:space="0"/>
            </w:tcBorders>
          </w:tcPr>
          <w:p w14:paraId="27E52670">
            <w:pPr>
              <w:snapToGrid w:val="0"/>
              <w:spacing w:after="120" w:line="300" w:lineRule="auto"/>
              <w:jc w:val="left"/>
              <w:rPr>
                <w:rFonts w:ascii="宋体"/>
              </w:rPr>
            </w:pPr>
          </w:p>
        </w:tc>
        <w:tc>
          <w:tcPr>
            <w:tcW w:w="1008" w:type="dxa"/>
            <w:tcBorders>
              <w:left w:val="single" w:color="auto" w:sz="4" w:space="0"/>
              <w:right w:val="single" w:color="auto" w:sz="4" w:space="0"/>
            </w:tcBorders>
          </w:tcPr>
          <w:p w14:paraId="5F1257F7">
            <w:pPr>
              <w:snapToGrid w:val="0"/>
              <w:spacing w:after="120" w:line="300" w:lineRule="auto"/>
              <w:jc w:val="left"/>
              <w:rPr>
                <w:rFonts w:ascii="宋体"/>
              </w:rPr>
            </w:pPr>
          </w:p>
        </w:tc>
        <w:tc>
          <w:tcPr>
            <w:tcW w:w="1168" w:type="dxa"/>
            <w:tcBorders>
              <w:left w:val="single" w:color="auto" w:sz="4" w:space="0"/>
              <w:right w:val="single" w:color="auto" w:sz="4" w:space="0"/>
            </w:tcBorders>
          </w:tcPr>
          <w:p w14:paraId="1592DC45">
            <w:pPr>
              <w:snapToGrid w:val="0"/>
              <w:spacing w:after="120" w:line="300" w:lineRule="auto"/>
              <w:jc w:val="left"/>
              <w:rPr>
                <w:rFonts w:ascii="宋体"/>
              </w:rPr>
            </w:pPr>
          </w:p>
        </w:tc>
        <w:tc>
          <w:tcPr>
            <w:tcW w:w="1225" w:type="dxa"/>
            <w:tcBorders>
              <w:left w:val="single" w:color="auto" w:sz="4" w:space="0"/>
              <w:right w:val="single" w:color="auto" w:sz="4" w:space="0"/>
            </w:tcBorders>
          </w:tcPr>
          <w:p w14:paraId="6CC53D41">
            <w:pPr>
              <w:snapToGrid w:val="0"/>
              <w:spacing w:after="120" w:line="300" w:lineRule="auto"/>
              <w:jc w:val="left"/>
              <w:rPr>
                <w:rFonts w:ascii="宋体"/>
              </w:rPr>
            </w:pPr>
          </w:p>
        </w:tc>
        <w:tc>
          <w:tcPr>
            <w:tcW w:w="1482" w:type="dxa"/>
          </w:tcPr>
          <w:p w14:paraId="0C3F75B9">
            <w:pPr>
              <w:spacing w:after="120" w:line="300" w:lineRule="auto"/>
              <w:jc w:val="left"/>
              <w:rPr>
                <w:rFonts w:ascii="宋体"/>
              </w:rPr>
            </w:pPr>
          </w:p>
        </w:tc>
      </w:tr>
      <w:tr w14:paraId="1DEB45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trPr>
        <w:tc>
          <w:tcPr>
            <w:tcW w:w="14026" w:type="dxa"/>
            <w:gridSpan w:val="12"/>
            <w:vAlign w:val="center"/>
          </w:tcPr>
          <w:p w14:paraId="6E097BC3">
            <w:pPr>
              <w:spacing w:after="120" w:line="300" w:lineRule="auto"/>
              <w:jc w:val="left"/>
              <w:rPr>
                <w:rFonts w:ascii="宋体" w:hAnsi="宋体"/>
              </w:rPr>
            </w:pPr>
            <w:r>
              <w:rPr>
                <w:rFonts w:hint="eastAsia" w:ascii="宋体" w:hAnsi="宋体"/>
              </w:rPr>
              <w:t>投标总价</w:t>
            </w:r>
            <w:r>
              <w:rPr>
                <w:rFonts w:ascii="宋体" w:hAnsi="宋体"/>
              </w:rPr>
              <w:t>:</w:t>
            </w:r>
          </w:p>
        </w:tc>
      </w:tr>
    </w:tbl>
    <w:p w14:paraId="43133BA1">
      <w:pPr>
        <w:snapToGrid w:val="0"/>
        <w:spacing w:after="120"/>
        <w:ind w:left="1093" w:leftChars="116" w:hanging="849"/>
        <w:jc w:val="left"/>
        <w:rPr>
          <w:rFonts w:ascii="宋体"/>
        </w:rPr>
      </w:pPr>
      <w:r>
        <w:rPr>
          <w:rFonts w:hint="eastAsia" w:ascii="宋体" w:hAnsi="宋体"/>
        </w:rPr>
        <w:t>注：</w:t>
      </w:r>
      <w:r>
        <w:rPr>
          <w:rFonts w:ascii="宋体" w:hAnsi="宋体"/>
        </w:rPr>
        <w:t>1</w:t>
      </w:r>
      <w:r>
        <w:rPr>
          <w:rFonts w:hint="eastAsia" w:ascii="宋体" w:hAnsi="宋体"/>
        </w:rPr>
        <w:t>、第五栏包括要求供货范围内的主机和附件，出厂装箱清单所列易损件、备品备件及专用工具等，并已包括各种税费。</w:t>
      </w:r>
    </w:p>
    <w:p w14:paraId="143D858B">
      <w:pPr>
        <w:snapToGrid w:val="0"/>
        <w:spacing w:after="120"/>
        <w:ind w:firstLine="261"/>
        <w:jc w:val="left"/>
        <w:rPr>
          <w:rFonts w:ascii="宋体"/>
        </w:rPr>
      </w:pPr>
      <w:r>
        <w:rPr>
          <w:rFonts w:ascii="宋体" w:hAnsi="宋体"/>
        </w:rPr>
        <w:t>2</w:t>
      </w:r>
      <w:r>
        <w:rPr>
          <w:rFonts w:hint="eastAsia" w:ascii="宋体" w:hAnsi="宋体"/>
        </w:rPr>
        <w:t>、第六栏为制造厂运至招标文件中规定的交货地点全部标的物包装费和运杂费。</w:t>
      </w:r>
    </w:p>
    <w:p w14:paraId="7F0DE068">
      <w:pPr>
        <w:snapToGrid w:val="0"/>
        <w:spacing w:after="120"/>
        <w:ind w:firstLine="261"/>
        <w:jc w:val="left"/>
        <w:rPr>
          <w:rFonts w:ascii="宋体"/>
        </w:rPr>
      </w:pPr>
      <w:r>
        <w:rPr>
          <w:rFonts w:ascii="宋体" w:hAnsi="宋体"/>
        </w:rPr>
        <w:t>3</w:t>
      </w:r>
      <w:r>
        <w:rPr>
          <w:rFonts w:hint="eastAsia" w:ascii="宋体" w:hAnsi="宋体"/>
        </w:rPr>
        <w:t>、第十栏总价</w:t>
      </w:r>
      <w:r>
        <w:rPr>
          <w:rFonts w:ascii="宋体" w:hAnsi="宋体"/>
        </w:rPr>
        <w:t>=4</w:t>
      </w:r>
      <w:r>
        <w:rPr>
          <w:rFonts w:hint="eastAsia" w:ascii="宋体" w:hAnsi="宋体"/>
        </w:rPr>
        <w:t>×</w:t>
      </w:r>
      <w:r>
        <w:rPr>
          <w:rFonts w:ascii="宋体" w:hAnsi="宋体"/>
        </w:rPr>
        <w:t>5+</w:t>
      </w:r>
      <w:r>
        <w:rPr>
          <w:rFonts w:hint="eastAsia" w:ascii="宋体" w:hAnsi="宋体"/>
        </w:rPr>
        <w:t>（</w:t>
      </w:r>
      <w:r>
        <w:rPr>
          <w:rFonts w:ascii="宋体" w:hAnsi="宋体"/>
        </w:rPr>
        <w:t>6+7+8+9</w:t>
      </w:r>
      <w:r>
        <w:rPr>
          <w:rFonts w:hint="eastAsia" w:ascii="宋体" w:hAnsi="宋体"/>
        </w:rPr>
        <w:t>）项。如果按单价计算的结果与总价不一致，按招标文件</w:t>
      </w:r>
      <w:r>
        <w:rPr>
          <w:rFonts w:ascii="宋体" w:hAnsi="宋体"/>
        </w:rPr>
        <w:t>16.2</w:t>
      </w:r>
      <w:r>
        <w:rPr>
          <w:rFonts w:hint="eastAsia" w:ascii="宋体" w:hAnsi="宋体"/>
        </w:rPr>
        <w:t>条规定处理。</w:t>
      </w:r>
    </w:p>
    <w:p w14:paraId="1DE20922">
      <w:pPr>
        <w:jc w:val="left"/>
        <w:rPr>
          <w:rFonts w:ascii="宋体" w:cs="宋体"/>
          <w:kern w:val="0"/>
        </w:rPr>
      </w:pPr>
    </w:p>
    <w:p w14:paraId="38FA6E4C">
      <w:pPr>
        <w:jc w:val="left"/>
        <w:rPr>
          <w:rFonts w:ascii="宋体"/>
        </w:rPr>
        <w:sectPr>
          <w:pgSz w:w="16840" w:h="11907" w:orient="landscape"/>
          <w:pgMar w:top="1797" w:right="1440" w:bottom="1797" w:left="1440" w:header="567" w:footer="992" w:gutter="0"/>
          <w:cols w:space="720" w:num="1"/>
          <w:docGrid w:type="lines" w:linePitch="312" w:charSpace="0"/>
        </w:sectPr>
      </w:pPr>
    </w:p>
    <w:p w14:paraId="27D88171">
      <w:pPr>
        <w:pStyle w:val="3"/>
        <w:jc w:val="left"/>
        <w:rPr>
          <w:szCs w:val="28"/>
        </w:rPr>
      </w:pPr>
      <w:bookmarkStart w:id="201" w:name="_Toc135032222"/>
      <w:bookmarkStart w:id="202" w:name="商务差异表"/>
      <w:r>
        <w:rPr>
          <w:rFonts w:hint="eastAsia"/>
          <w:szCs w:val="28"/>
        </w:rPr>
        <w:t>附件3-2、商务差异表</w:t>
      </w:r>
      <w:bookmarkEnd w:id="201"/>
    </w:p>
    <w:bookmarkEnd w:id="202"/>
    <w:p w14:paraId="005C124A">
      <w:pPr>
        <w:jc w:val="left"/>
        <w:rPr>
          <w:rFonts w:ascii="宋体"/>
        </w:rPr>
      </w:pPr>
    </w:p>
    <w:tbl>
      <w:tblPr>
        <w:tblStyle w:val="76"/>
        <w:tblW w:w="911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2"/>
        <w:gridCol w:w="1373"/>
        <w:gridCol w:w="2112"/>
        <w:gridCol w:w="2976"/>
        <w:gridCol w:w="1373"/>
      </w:tblGrid>
      <w:tr w14:paraId="24C01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1282" w:type="dxa"/>
            <w:vAlign w:val="center"/>
          </w:tcPr>
          <w:p w14:paraId="19250EAF">
            <w:pPr>
              <w:adjustRightInd w:val="0"/>
              <w:snapToGrid w:val="0"/>
              <w:jc w:val="left"/>
              <w:rPr>
                <w:rFonts w:ascii="宋体"/>
              </w:rPr>
            </w:pPr>
            <w:r>
              <w:rPr>
                <w:rFonts w:hint="eastAsia" w:ascii="宋体" w:hAnsi="宋体"/>
              </w:rPr>
              <w:t>序号</w:t>
            </w:r>
          </w:p>
        </w:tc>
        <w:tc>
          <w:tcPr>
            <w:tcW w:w="1373" w:type="dxa"/>
            <w:vAlign w:val="center"/>
          </w:tcPr>
          <w:p w14:paraId="67562775">
            <w:pPr>
              <w:adjustRightInd w:val="0"/>
              <w:snapToGrid w:val="0"/>
              <w:jc w:val="left"/>
              <w:rPr>
                <w:rFonts w:ascii="宋体"/>
              </w:rPr>
            </w:pPr>
            <w:r>
              <w:rPr>
                <w:rFonts w:hint="eastAsia" w:ascii="宋体" w:hAnsi="宋体"/>
              </w:rPr>
              <w:t>条款</w:t>
            </w:r>
          </w:p>
        </w:tc>
        <w:tc>
          <w:tcPr>
            <w:tcW w:w="2112" w:type="dxa"/>
            <w:vAlign w:val="center"/>
          </w:tcPr>
          <w:p w14:paraId="6B2AFAC2">
            <w:pPr>
              <w:adjustRightInd w:val="0"/>
              <w:snapToGrid w:val="0"/>
              <w:jc w:val="left"/>
              <w:rPr>
                <w:rFonts w:ascii="宋体"/>
              </w:rPr>
            </w:pPr>
            <w:r>
              <w:rPr>
                <w:rFonts w:hint="eastAsia" w:ascii="宋体" w:hAnsi="宋体"/>
              </w:rPr>
              <w:t>招标文件要求</w:t>
            </w:r>
          </w:p>
        </w:tc>
        <w:tc>
          <w:tcPr>
            <w:tcW w:w="2976" w:type="dxa"/>
            <w:vAlign w:val="center"/>
          </w:tcPr>
          <w:p w14:paraId="2E6E8DD0">
            <w:pPr>
              <w:adjustRightInd w:val="0"/>
              <w:snapToGrid w:val="0"/>
              <w:jc w:val="left"/>
              <w:rPr>
                <w:rFonts w:ascii="宋体"/>
              </w:rPr>
            </w:pPr>
            <w:r>
              <w:rPr>
                <w:rFonts w:hint="eastAsia" w:ascii="宋体" w:hAnsi="宋体"/>
              </w:rPr>
              <w:t>投标文件响应</w:t>
            </w:r>
          </w:p>
        </w:tc>
        <w:tc>
          <w:tcPr>
            <w:tcW w:w="1373" w:type="dxa"/>
            <w:vAlign w:val="center"/>
          </w:tcPr>
          <w:p w14:paraId="7E28A90B">
            <w:pPr>
              <w:adjustRightInd w:val="0"/>
              <w:snapToGrid w:val="0"/>
              <w:jc w:val="left"/>
              <w:rPr>
                <w:rFonts w:ascii="宋体"/>
              </w:rPr>
            </w:pPr>
            <w:r>
              <w:rPr>
                <w:rFonts w:hint="eastAsia" w:ascii="宋体" w:hAnsi="宋体"/>
              </w:rPr>
              <w:t>备注</w:t>
            </w:r>
          </w:p>
        </w:tc>
      </w:tr>
      <w:tr w14:paraId="2780D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67A13D20">
            <w:pPr>
              <w:jc w:val="left"/>
              <w:rPr>
                <w:rFonts w:ascii="宋体"/>
              </w:rPr>
            </w:pPr>
          </w:p>
        </w:tc>
        <w:tc>
          <w:tcPr>
            <w:tcW w:w="1373" w:type="dxa"/>
            <w:tcBorders>
              <w:left w:val="single" w:color="auto" w:sz="4" w:space="0"/>
              <w:right w:val="single" w:color="auto" w:sz="4" w:space="0"/>
            </w:tcBorders>
            <w:vAlign w:val="center"/>
          </w:tcPr>
          <w:p w14:paraId="1C61CE4F">
            <w:pPr>
              <w:jc w:val="left"/>
              <w:rPr>
                <w:rFonts w:ascii="宋体"/>
              </w:rPr>
            </w:pPr>
          </w:p>
        </w:tc>
        <w:tc>
          <w:tcPr>
            <w:tcW w:w="2112" w:type="dxa"/>
            <w:tcBorders>
              <w:left w:val="single" w:color="auto" w:sz="4" w:space="0"/>
              <w:right w:val="single" w:color="auto" w:sz="4" w:space="0"/>
            </w:tcBorders>
            <w:vAlign w:val="center"/>
          </w:tcPr>
          <w:p w14:paraId="4E23B327">
            <w:pPr>
              <w:jc w:val="left"/>
              <w:rPr>
                <w:rFonts w:ascii="宋体"/>
              </w:rPr>
            </w:pPr>
          </w:p>
        </w:tc>
        <w:tc>
          <w:tcPr>
            <w:tcW w:w="2976" w:type="dxa"/>
            <w:tcBorders>
              <w:left w:val="single" w:color="auto" w:sz="4" w:space="0"/>
              <w:right w:val="single" w:color="auto" w:sz="4" w:space="0"/>
            </w:tcBorders>
            <w:vAlign w:val="center"/>
          </w:tcPr>
          <w:p w14:paraId="73E78A25">
            <w:pPr>
              <w:jc w:val="left"/>
              <w:rPr>
                <w:rFonts w:ascii="宋体"/>
              </w:rPr>
            </w:pPr>
          </w:p>
        </w:tc>
        <w:tc>
          <w:tcPr>
            <w:tcW w:w="1373" w:type="dxa"/>
            <w:vAlign w:val="center"/>
          </w:tcPr>
          <w:p w14:paraId="6A43A060">
            <w:pPr>
              <w:jc w:val="left"/>
              <w:rPr>
                <w:rFonts w:ascii="宋体"/>
              </w:rPr>
            </w:pPr>
          </w:p>
        </w:tc>
      </w:tr>
      <w:tr w14:paraId="2471F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29C84C97">
            <w:pPr>
              <w:jc w:val="left"/>
              <w:rPr>
                <w:rFonts w:ascii="宋体"/>
              </w:rPr>
            </w:pPr>
          </w:p>
        </w:tc>
        <w:tc>
          <w:tcPr>
            <w:tcW w:w="1373" w:type="dxa"/>
            <w:tcBorders>
              <w:left w:val="single" w:color="auto" w:sz="4" w:space="0"/>
              <w:right w:val="single" w:color="auto" w:sz="4" w:space="0"/>
            </w:tcBorders>
            <w:vAlign w:val="center"/>
          </w:tcPr>
          <w:p w14:paraId="19EDDC2A">
            <w:pPr>
              <w:jc w:val="left"/>
              <w:rPr>
                <w:rFonts w:ascii="宋体"/>
              </w:rPr>
            </w:pPr>
          </w:p>
        </w:tc>
        <w:tc>
          <w:tcPr>
            <w:tcW w:w="2112" w:type="dxa"/>
            <w:tcBorders>
              <w:left w:val="single" w:color="auto" w:sz="4" w:space="0"/>
              <w:right w:val="single" w:color="auto" w:sz="4" w:space="0"/>
            </w:tcBorders>
            <w:vAlign w:val="center"/>
          </w:tcPr>
          <w:p w14:paraId="7A0CC95A">
            <w:pPr>
              <w:jc w:val="left"/>
              <w:rPr>
                <w:rFonts w:ascii="宋体"/>
              </w:rPr>
            </w:pPr>
          </w:p>
        </w:tc>
        <w:tc>
          <w:tcPr>
            <w:tcW w:w="2976" w:type="dxa"/>
            <w:tcBorders>
              <w:left w:val="single" w:color="auto" w:sz="4" w:space="0"/>
              <w:right w:val="single" w:color="auto" w:sz="4" w:space="0"/>
            </w:tcBorders>
            <w:vAlign w:val="center"/>
          </w:tcPr>
          <w:p w14:paraId="07D5ED9C">
            <w:pPr>
              <w:jc w:val="left"/>
              <w:rPr>
                <w:rFonts w:ascii="宋体"/>
              </w:rPr>
            </w:pPr>
          </w:p>
        </w:tc>
        <w:tc>
          <w:tcPr>
            <w:tcW w:w="1373" w:type="dxa"/>
            <w:vAlign w:val="center"/>
          </w:tcPr>
          <w:p w14:paraId="0880BCC7">
            <w:pPr>
              <w:jc w:val="left"/>
              <w:rPr>
                <w:rFonts w:ascii="宋体"/>
              </w:rPr>
            </w:pPr>
          </w:p>
        </w:tc>
      </w:tr>
      <w:tr w14:paraId="7B2AB5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7B9C10A8">
            <w:pPr>
              <w:jc w:val="left"/>
              <w:rPr>
                <w:rFonts w:ascii="宋体"/>
              </w:rPr>
            </w:pPr>
          </w:p>
        </w:tc>
        <w:tc>
          <w:tcPr>
            <w:tcW w:w="1373" w:type="dxa"/>
            <w:tcBorders>
              <w:left w:val="single" w:color="auto" w:sz="4" w:space="0"/>
              <w:right w:val="single" w:color="auto" w:sz="4" w:space="0"/>
            </w:tcBorders>
            <w:vAlign w:val="center"/>
          </w:tcPr>
          <w:p w14:paraId="6083DB78">
            <w:pPr>
              <w:jc w:val="left"/>
              <w:rPr>
                <w:rFonts w:ascii="宋体"/>
              </w:rPr>
            </w:pPr>
          </w:p>
        </w:tc>
        <w:tc>
          <w:tcPr>
            <w:tcW w:w="2112" w:type="dxa"/>
            <w:tcBorders>
              <w:left w:val="single" w:color="auto" w:sz="4" w:space="0"/>
              <w:right w:val="single" w:color="auto" w:sz="4" w:space="0"/>
            </w:tcBorders>
            <w:vAlign w:val="center"/>
          </w:tcPr>
          <w:p w14:paraId="6ED67055">
            <w:pPr>
              <w:jc w:val="left"/>
              <w:rPr>
                <w:rFonts w:ascii="宋体"/>
              </w:rPr>
            </w:pPr>
          </w:p>
        </w:tc>
        <w:tc>
          <w:tcPr>
            <w:tcW w:w="2976" w:type="dxa"/>
            <w:tcBorders>
              <w:left w:val="single" w:color="auto" w:sz="4" w:space="0"/>
              <w:right w:val="single" w:color="auto" w:sz="4" w:space="0"/>
            </w:tcBorders>
            <w:vAlign w:val="center"/>
          </w:tcPr>
          <w:p w14:paraId="3E860920">
            <w:pPr>
              <w:jc w:val="left"/>
              <w:rPr>
                <w:rFonts w:ascii="宋体"/>
              </w:rPr>
            </w:pPr>
          </w:p>
        </w:tc>
        <w:tc>
          <w:tcPr>
            <w:tcW w:w="1373" w:type="dxa"/>
            <w:vAlign w:val="center"/>
          </w:tcPr>
          <w:p w14:paraId="738E0940">
            <w:pPr>
              <w:jc w:val="left"/>
              <w:rPr>
                <w:rFonts w:ascii="宋体"/>
              </w:rPr>
            </w:pPr>
          </w:p>
        </w:tc>
      </w:tr>
      <w:tr w14:paraId="5786C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1BCFFBA3">
            <w:pPr>
              <w:jc w:val="left"/>
              <w:rPr>
                <w:rFonts w:ascii="宋体"/>
              </w:rPr>
            </w:pPr>
          </w:p>
        </w:tc>
        <w:tc>
          <w:tcPr>
            <w:tcW w:w="1373" w:type="dxa"/>
            <w:tcBorders>
              <w:left w:val="single" w:color="auto" w:sz="4" w:space="0"/>
              <w:right w:val="single" w:color="auto" w:sz="4" w:space="0"/>
            </w:tcBorders>
            <w:vAlign w:val="center"/>
          </w:tcPr>
          <w:p w14:paraId="7366A77F">
            <w:pPr>
              <w:jc w:val="left"/>
              <w:rPr>
                <w:rFonts w:ascii="宋体"/>
              </w:rPr>
            </w:pPr>
          </w:p>
        </w:tc>
        <w:tc>
          <w:tcPr>
            <w:tcW w:w="2112" w:type="dxa"/>
            <w:tcBorders>
              <w:left w:val="single" w:color="auto" w:sz="4" w:space="0"/>
              <w:right w:val="single" w:color="auto" w:sz="4" w:space="0"/>
            </w:tcBorders>
            <w:vAlign w:val="center"/>
          </w:tcPr>
          <w:p w14:paraId="7FD35F93">
            <w:pPr>
              <w:jc w:val="left"/>
              <w:rPr>
                <w:rFonts w:ascii="宋体"/>
              </w:rPr>
            </w:pPr>
          </w:p>
        </w:tc>
        <w:tc>
          <w:tcPr>
            <w:tcW w:w="2976" w:type="dxa"/>
            <w:tcBorders>
              <w:left w:val="single" w:color="auto" w:sz="4" w:space="0"/>
              <w:right w:val="single" w:color="auto" w:sz="4" w:space="0"/>
            </w:tcBorders>
            <w:vAlign w:val="center"/>
          </w:tcPr>
          <w:p w14:paraId="62E03F43">
            <w:pPr>
              <w:jc w:val="left"/>
              <w:rPr>
                <w:rFonts w:ascii="宋体"/>
              </w:rPr>
            </w:pPr>
          </w:p>
        </w:tc>
        <w:tc>
          <w:tcPr>
            <w:tcW w:w="1373" w:type="dxa"/>
            <w:vAlign w:val="center"/>
          </w:tcPr>
          <w:p w14:paraId="4D3952B6">
            <w:pPr>
              <w:jc w:val="left"/>
              <w:rPr>
                <w:rFonts w:ascii="宋体"/>
              </w:rPr>
            </w:pPr>
          </w:p>
        </w:tc>
      </w:tr>
      <w:tr w14:paraId="7FC40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56B51C1E">
            <w:pPr>
              <w:jc w:val="left"/>
              <w:rPr>
                <w:rFonts w:ascii="宋体"/>
              </w:rPr>
            </w:pPr>
          </w:p>
        </w:tc>
        <w:tc>
          <w:tcPr>
            <w:tcW w:w="1373" w:type="dxa"/>
            <w:tcBorders>
              <w:left w:val="single" w:color="auto" w:sz="4" w:space="0"/>
              <w:right w:val="single" w:color="auto" w:sz="4" w:space="0"/>
            </w:tcBorders>
            <w:vAlign w:val="center"/>
          </w:tcPr>
          <w:p w14:paraId="4C9A910C">
            <w:pPr>
              <w:jc w:val="left"/>
              <w:rPr>
                <w:rFonts w:ascii="宋体"/>
              </w:rPr>
            </w:pPr>
          </w:p>
        </w:tc>
        <w:tc>
          <w:tcPr>
            <w:tcW w:w="2112" w:type="dxa"/>
            <w:tcBorders>
              <w:left w:val="single" w:color="auto" w:sz="4" w:space="0"/>
              <w:right w:val="single" w:color="auto" w:sz="4" w:space="0"/>
            </w:tcBorders>
            <w:vAlign w:val="center"/>
          </w:tcPr>
          <w:p w14:paraId="29F558B8">
            <w:pPr>
              <w:jc w:val="left"/>
              <w:rPr>
                <w:rFonts w:ascii="宋体"/>
              </w:rPr>
            </w:pPr>
          </w:p>
        </w:tc>
        <w:tc>
          <w:tcPr>
            <w:tcW w:w="2976" w:type="dxa"/>
            <w:tcBorders>
              <w:left w:val="single" w:color="auto" w:sz="4" w:space="0"/>
              <w:right w:val="single" w:color="auto" w:sz="4" w:space="0"/>
            </w:tcBorders>
            <w:vAlign w:val="center"/>
          </w:tcPr>
          <w:p w14:paraId="576B5F32">
            <w:pPr>
              <w:jc w:val="left"/>
              <w:rPr>
                <w:rFonts w:ascii="宋体"/>
              </w:rPr>
            </w:pPr>
          </w:p>
        </w:tc>
        <w:tc>
          <w:tcPr>
            <w:tcW w:w="1373" w:type="dxa"/>
            <w:vAlign w:val="center"/>
          </w:tcPr>
          <w:p w14:paraId="297A3771">
            <w:pPr>
              <w:jc w:val="left"/>
              <w:rPr>
                <w:rFonts w:ascii="宋体"/>
              </w:rPr>
            </w:pPr>
          </w:p>
        </w:tc>
      </w:tr>
      <w:tr w14:paraId="533F6F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153714FC">
            <w:pPr>
              <w:jc w:val="left"/>
              <w:rPr>
                <w:rFonts w:ascii="宋体"/>
              </w:rPr>
            </w:pPr>
          </w:p>
        </w:tc>
        <w:tc>
          <w:tcPr>
            <w:tcW w:w="1373" w:type="dxa"/>
            <w:tcBorders>
              <w:left w:val="single" w:color="auto" w:sz="4" w:space="0"/>
              <w:right w:val="single" w:color="auto" w:sz="4" w:space="0"/>
            </w:tcBorders>
            <w:vAlign w:val="center"/>
          </w:tcPr>
          <w:p w14:paraId="70F53960">
            <w:pPr>
              <w:jc w:val="left"/>
              <w:rPr>
                <w:rFonts w:ascii="宋体"/>
              </w:rPr>
            </w:pPr>
          </w:p>
        </w:tc>
        <w:tc>
          <w:tcPr>
            <w:tcW w:w="2112" w:type="dxa"/>
            <w:tcBorders>
              <w:left w:val="single" w:color="auto" w:sz="4" w:space="0"/>
              <w:right w:val="single" w:color="auto" w:sz="4" w:space="0"/>
            </w:tcBorders>
            <w:vAlign w:val="center"/>
          </w:tcPr>
          <w:p w14:paraId="143D3614">
            <w:pPr>
              <w:jc w:val="left"/>
              <w:rPr>
                <w:rFonts w:ascii="宋体"/>
              </w:rPr>
            </w:pPr>
          </w:p>
        </w:tc>
        <w:tc>
          <w:tcPr>
            <w:tcW w:w="2976" w:type="dxa"/>
            <w:tcBorders>
              <w:left w:val="single" w:color="auto" w:sz="4" w:space="0"/>
              <w:right w:val="single" w:color="auto" w:sz="4" w:space="0"/>
            </w:tcBorders>
            <w:vAlign w:val="center"/>
          </w:tcPr>
          <w:p w14:paraId="753E8A3B">
            <w:pPr>
              <w:jc w:val="left"/>
              <w:rPr>
                <w:rFonts w:ascii="宋体"/>
              </w:rPr>
            </w:pPr>
          </w:p>
        </w:tc>
        <w:tc>
          <w:tcPr>
            <w:tcW w:w="1373" w:type="dxa"/>
            <w:vAlign w:val="center"/>
          </w:tcPr>
          <w:p w14:paraId="7DF232E0">
            <w:pPr>
              <w:jc w:val="left"/>
              <w:rPr>
                <w:rFonts w:ascii="宋体"/>
              </w:rPr>
            </w:pPr>
          </w:p>
        </w:tc>
      </w:tr>
      <w:tr w14:paraId="334B40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4B4B7A30">
            <w:pPr>
              <w:jc w:val="left"/>
              <w:rPr>
                <w:rFonts w:ascii="宋体"/>
              </w:rPr>
            </w:pPr>
          </w:p>
        </w:tc>
        <w:tc>
          <w:tcPr>
            <w:tcW w:w="1373" w:type="dxa"/>
            <w:tcBorders>
              <w:left w:val="single" w:color="auto" w:sz="4" w:space="0"/>
              <w:right w:val="single" w:color="auto" w:sz="4" w:space="0"/>
            </w:tcBorders>
            <w:vAlign w:val="center"/>
          </w:tcPr>
          <w:p w14:paraId="5B794FBC">
            <w:pPr>
              <w:jc w:val="left"/>
              <w:rPr>
                <w:rFonts w:ascii="宋体"/>
              </w:rPr>
            </w:pPr>
          </w:p>
        </w:tc>
        <w:tc>
          <w:tcPr>
            <w:tcW w:w="2112" w:type="dxa"/>
            <w:tcBorders>
              <w:left w:val="single" w:color="auto" w:sz="4" w:space="0"/>
              <w:right w:val="single" w:color="auto" w:sz="4" w:space="0"/>
            </w:tcBorders>
            <w:vAlign w:val="center"/>
          </w:tcPr>
          <w:p w14:paraId="24361F12">
            <w:pPr>
              <w:jc w:val="left"/>
              <w:rPr>
                <w:rFonts w:ascii="宋体"/>
              </w:rPr>
            </w:pPr>
          </w:p>
        </w:tc>
        <w:tc>
          <w:tcPr>
            <w:tcW w:w="2976" w:type="dxa"/>
            <w:tcBorders>
              <w:left w:val="single" w:color="auto" w:sz="4" w:space="0"/>
              <w:right w:val="single" w:color="auto" w:sz="4" w:space="0"/>
            </w:tcBorders>
            <w:vAlign w:val="center"/>
          </w:tcPr>
          <w:p w14:paraId="55AF43F2">
            <w:pPr>
              <w:jc w:val="left"/>
              <w:rPr>
                <w:rFonts w:ascii="宋体"/>
              </w:rPr>
            </w:pPr>
          </w:p>
        </w:tc>
        <w:tc>
          <w:tcPr>
            <w:tcW w:w="1373" w:type="dxa"/>
            <w:vAlign w:val="center"/>
          </w:tcPr>
          <w:p w14:paraId="1D14F263">
            <w:pPr>
              <w:jc w:val="left"/>
              <w:rPr>
                <w:rFonts w:ascii="宋体"/>
              </w:rPr>
            </w:pPr>
          </w:p>
        </w:tc>
      </w:tr>
      <w:tr w14:paraId="6E8AE3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78BE37BB">
            <w:pPr>
              <w:jc w:val="left"/>
              <w:rPr>
                <w:rFonts w:ascii="宋体"/>
              </w:rPr>
            </w:pPr>
          </w:p>
        </w:tc>
        <w:tc>
          <w:tcPr>
            <w:tcW w:w="1373" w:type="dxa"/>
            <w:tcBorders>
              <w:left w:val="single" w:color="auto" w:sz="4" w:space="0"/>
              <w:right w:val="single" w:color="auto" w:sz="4" w:space="0"/>
            </w:tcBorders>
            <w:vAlign w:val="center"/>
          </w:tcPr>
          <w:p w14:paraId="595E5202">
            <w:pPr>
              <w:jc w:val="left"/>
              <w:rPr>
                <w:rFonts w:ascii="宋体"/>
              </w:rPr>
            </w:pPr>
          </w:p>
        </w:tc>
        <w:tc>
          <w:tcPr>
            <w:tcW w:w="2112" w:type="dxa"/>
            <w:tcBorders>
              <w:left w:val="single" w:color="auto" w:sz="4" w:space="0"/>
              <w:right w:val="single" w:color="auto" w:sz="4" w:space="0"/>
            </w:tcBorders>
            <w:vAlign w:val="center"/>
          </w:tcPr>
          <w:p w14:paraId="7AF21EA6">
            <w:pPr>
              <w:jc w:val="left"/>
              <w:rPr>
                <w:rFonts w:ascii="宋体"/>
              </w:rPr>
            </w:pPr>
          </w:p>
        </w:tc>
        <w:tc>
          <w:tcPr>
            <w:tcW w:w="2976" w:type="dxa"/>
            <w:tcBorders>
              <w:left w:val="single" w:color="auto" w:sz="4" w:space="0"/>
              <w:right w:val="single" w:color="auto" w:sz="4" w:space="0"/>
            </w:tcBorders>
            <w:vAlign w:val="center"/>
          </w:tcPr>
          <w:p w14:paraId="2757118A">
            <w:pPr>
              <w:jc w:val="left"/>
              <w:rPr>
                <w:rFonts w:ascii="宋体"/>
              </w:rPr>
            </w:pPr>
          </w:p>
        </w:tc>
        <w:tc>
          <w:tcPr>
            <w:tcW w:w="1373" w:type="dxa"/>
            <w:vAlign w:val="center"/>
          </w:tcPr>
          <w:p w14:paraId="0A95931C">
            <w:pPr>
              <w:jc w:val="left"/>
              <w:rPr>
                <w:rFonts w:ascii="宋体"/>
              </w:rPr>
            </w:pPr>
          </w:p>
        </w:tc>
      </w:tr>
      <w:tr w14:paraId="52C2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536C16C5">
            <w:pPr>
              <w:jc w:val="left"/>
              <w:rPr>
                <w:rFonts w:ascii="宋体"/>
              </w:rPr>
            </w:pPr>
          </w:p>
        </w:tc>
        <w:tc>
          <w:tcPr>
            <w:tcW w:w="1373" w:type="dxa"/>
            <w:tcBorders>
              <w:left w:val="single" w:color="auto" w:sz="4" w:space="0"/>
              <w:right w:val="single" w:color="auto" w:sz="4" w:space="0"/>
            </w:tcBorders>
            <w:vAlign w:val="center"/>
          </w:tcPr>
          <w:p w14:paraId="56D60A7D">
            <w:pPr>
              <w:jc w:val="left"/>
              <w:rPr>
                <w:rFonts w:ascii="宋体"/>
              </w:rPr>
            </w:pPr>
          </w:p>
        </w:tc>
        <w:tc>
          <w:tcPr>
            <w:tcW w:w="2112" w:type="dxa"/>
            <w:tcBorders>
              <w:left w:val="single" w:color="auto" w:sz="4" w:space="0"/>
              <w:right w:val="single" w:color="auto" w:sz="4" w:space="0"/>
            </w:tcBorders>
            <w:vAlign w:val="center"/>
          </w:tcPr>
          <w:p w14:paraId="1C5CB569">
            <w:pPr>
              <w:jc w:val="left"/>
              <w:rPr>
                <w:rFonts w:ascii="宋体"/>
              </w:rPr>
            </w:pPr>
          </w:p>
        </w:tc>
        <w:tc>
          <w:tcPr>
            <w:tcW w:w="2976" w:type="dxa"/>
            <w:tcBorders>
              <w:left w:val="single" w:color="auto" w:sz="4" w:space="0"/>
              <w:right w:val="single" w:color="auto" w:sz="4" w:space="0"/>
            </w:tcBorders>
            <w:vAlign w:val="center"/>
          </w:tcPr>
          <w:p w14:paraId="18924F7E">
            <w:pPr>
              <w:jc w:val="left"/>
              <w:rPr>
                <w:rFonts w:ascii="宋体"/>
              </w:rPr>
            </w:pPr>
          </w:p>
        </w:tc>
        <w:tc>
          <w:tcPr>
            <w:tcW w:w="1373" w:type="dxa"/>
            <w:vAlign w:val="center"/>
          </w:tcPr>
          <w:p w14:paraId="5C3DA38D">
            <w:pPr>
              <w:jc w:val="left"/>
              <w:rPr>
                <w:rFonts w:ascii="宋体"/>
              </w:rPr>
            </w:pPr>
          </w:p>
        </w:tc>
      </w:tr>
      <w:tr w14:paraId="404A7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11B8FE4C">
            <w:pPr>
              <w:jc w:val="left"/>
              <w:rPr>
                <w:rFonts w:ascii="宋体"/>
              </w:rPr>
            </w:pPr>
          </w:p>
        </w:tc>
        <w:tc>
          <w:tcPr>
            <w:tcW w:w="1373" w:type="dxa"/>
            <w:tcBorders>
              <w:left w:val="single" w:color="auto" w:sz="4" w:space="0"/>
              <w:right w:val="single" w:color="auto" w:sz="4" w:space="0"/>
            </w:tcBorders>
            <w:vAlign w:val="center"/>
          </w:tcPr>
          <w:p w14:paraId="41EF9A55">
            <w:pPr>
              <w:jc w:val="left"/>
              <w:rPr>
                <w:rFonts w:ascii="宋体"/>
              </w:rPr>
            </w:pPr>
          </w:p>
        </w:tc>
        <w:tc>
          <w:tcPr>
            <w:tcW w:w="2112" w:type="dxa"/>
            <w:tcBorders>
              <w:left w:val="single" w:color="auto" w:sz="4" w:space="0"/>
              <w:right w:val="single" w:color="auto" w:sz="4" w:space="0"/>
            </w:tcBorders>
            <w:vAlign w:val="center"/>
          </w:tcPr>
          <w:p w14:paraId="14C5703F">
            <w:pPr>
              <w:jc w:val="left"/>
              <w:rPr>
                <w:rFonts w:ascii="宋体"/>
              </w:rPr>
            </w:pPr>
          </w:p>
        </w:tc>
        <w:tc>
          <w:tcPr>
            <w:tcW w:w="2976" w:type="dxa"/>
            <w:tcBorders>
              <w:left w:val="single" w:color="auto" w:sz="4" w:space="0"/>
              <w:right w:val="single" w:color="auto" w:sz="4" w:space="0"/>
            </w:tcBorders>
            <w:vAlign w:val="center"/>
          </w:tcPr>
          <w:p w14:paraId="7E078185">
            <w:pPr>
              <w:jc w:val="left"/>
              <w:rPr>
                <w:rFonts w:ascii="宋体"/>
              </w:rPr>
            </w:pPr>
          </w:p>
        </w:tc>
        <w:tc>
          <w:tcPr>
            <w:tcW w:w="1373" w:type="dxa"/>
            <w:vAlign w:val="center"/>
          </w:tcPr>
          <w:p w14:paraId="5B13728C">
            <w:pPr>
              <w:jc w:val="left"/>
              <w:rPr>
                <w:rFonts w:ascii="宋体"/>
              </w:rPr>
            </w:pPr>
          </w:p>
        </w:tc>
      </w:tr>
      <w:tr w14:paraId="76A0CC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7833B60F">
            <w:pPr>
              <w:jc w:val="left"/>
              <w:rPr>
                <w:rFonts w:ascii="宋体"/>
              </w:rPr>
            </w:pPr>
          </w:p>
        </w:tc>
        <w:tc>
          <w:tcPr>
            <w:tcW w:w="1373" w:type="dxa"/>
            <w:tcBorders>
              <w:left w:val="single" w:color="auto" w:sz="4" w:space="0"/>
              <w:right w:val="single" w:color="auto" w:sz="4" w:space="0"/>
            </w:tcBorders>
            <w:vAlign w:val="center"/>
          </w:tcPr>
          <w:p w14:paraId="77E1E3A0">
            <w:pPr>
              <w:jc w:val="left"/>
              <w:rPr>
                <w:rFonts w:ascii="宋体"/>
              </w:rPr>
            </w:pPr>
          </w:p>
        </w:tc>
        <w:tc>
          <w:tcPr>
            <w:tcW w:w="2112" w:type="dxa"/>
            <w:tcBorders>
              <w:left w:val="single" w:color="auto" w:sz="4" w:space="0"/>
              <w:right w:val="single" w:color="auto" w:sz="4" w:space="0"/>
            </w:tcBorders>
            <w:vAlign w:val="center"/>
          </w:tcPr>
          <w:p w14:paraId="2461C12D">
            <w:pPr>
              <w:jc w:val="left"/>
              <w:rPr>
                <w:rFonts w:ascii="宋体"/>
              </w:rPr>
            </w:pPr>
          </w:p>
        </w:tc>
        <w:tc>
          <w:tcPr>
            <w:tcW w:w="2976" w:type="dxa"/>
            <w:tcBorders>
              <w:left w:val="single" w:color="auto" w:sz="4" w:space="0"/>
              <w:right w:val="single" w:color="auto" w:sz="4" w:space="0"/>
            </w:tcBorders>
            <w:vAlign w:val="center"/>
          </w:tcPr>
          <w:p w14:paraId="06BCC7B2">
            <w:pPr>
              <w:jc w:val="left"/>
              <w:rPr>
                <w:rFonts w:ascii="宋体"/>
              </w:rPr>
            </w:pPr>
          </w:p>
        </w:tc>
        <w:tc>
          <w:tcPr>
            <w:tcW w:w="1373" w:type="dxa"/>
            <w:vAlign w:val="center"/>
          </w:tcPr>
          <w:p w14:paraId="203F2A8A">
            <w:pPr>
              <w:jc w:val="left"/>
              <w:rPr>
                <w:rFonts w:ascii="宋体"/>
              </w:rPr>
            </w:pPr>
          </w:p>
        </w:tc>
      </w:tr>
      <w:tr w14:paraId="6BD02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52AB4CB6">
            <w:pPr>
              <w:jc w:val="left"/>
              <w:rPr>
                <w:rFonts w:ascii="宋体"/>
              </w:rPr>
            </w:pPr>
          </w:p>
        </w:tc>
        <w:tc>
          <w:tcPr>
            <w:tcW w:w="1373" w:type="dxa"/>
            <w:tcBorders>
              <w:left w:val="single" w:color="auto" w:sz="4" w:space="0"/>
              <w:right w:val="single" w:color="auto" w:sz="4" w:space="0"/>
            </w:tcBorders>
            <w:vAlign w:val="center"/>
          </w:tcPr>
          <w:p w14:paraId="044F51E7">
            <w:pPr>
              <w:jc w:val="left"/>
              <w:rPr>
                <w:rFonts w:ascii="宋体"/>
              </w:rPr>
            </w:pPr>
          </w:p>
        </w:tc>
        <w:tc>
          <w:tcPr>
            <w:tcW w:w="2112" w:type="dxa"/>
            <w:tcBorders>
              <w:left w:val="single" w:color="auto" w:sz="4" w:space="0"/>
              <w:right w:val="single" w:color="auto" w:sz="4" w:space="0"/>
            </w:tcBorders>
            <w:vAlign w:val="center"/>
          </w:tcPr>
          <w:p w14:paraId="2EECE084">
            <w:pPr>
              <w:jc w:val="left"/>
              <w:rPr>
                <w:rFonts w:ascii="宋体"/>
              </w:rPr>
            </w:pPr>
          </w:p>
        </w:tc>
        <w:tc>
          <w:tcPr>
            <w:tcW w:w="2976" w:type="dxa"/>
            <w:tcBorders>
              <w:left w:val="single" w:color="auto" w:sz="4" w:space="0"/>
              <w:right w:val="single" w:color="auto" w:sz="4" w:space="0"/>
            </w:tcBorders>
            <w:vAlign w:val="center"/>
          </w:tcPr>
          <w:p w14:paraId="46FA8ECF">
            <w:pPr>
              <w:jc w:val="left"/>
              <w:rPr>
                <w:rFonts w:ascii="宋体"/>
              </w:rPr>
            </w:pPr>
          </w:p>
        </w:tc>
        <w:tc>
          <w:tcPr>
            <w:tcW w:w="1373" w:type="dxa"/>
            <w:vAlign w:val="center"/>
          </w:tcPr>
          <w:p w14:paraId="4BAF295D">
            <w:pPr>
              <w:jc w:val="left"/>
              <w:rPr>
                <w:rFonts w:ascii="宋体"/>
              </w:rPr>
            </w:pPr>
          </w:p>
        </w:tc>
      </w:tr>
      <w:tr w14:paraId="5B658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1458EA28">
            <w:pPr>
              <w:jc w:val="left"/>
              <w:rPr>
                <w:rFonts w:ascii="宋体"/>
              </w:rPr>
            </w:pPr>
          </w:p>
        </w:tc>
        <w:tc>
          <w:tcPr>
            <w:tcW w:w="1373" w:type="dxa"/>
            <w:tcBorders>
              <w:left w:val="single" w:color="auto" w:sz="4" w:space="0"/>
              <w:right w:val="single" w:color="auto" w:sz="4" w:space="0"/>
            </w:tcBorders>
            <w:vAlign w:val="center"/>
          </w:tcPr>
          <w:p w14:paraId="4362E369">
            <w:pPr>
              <w:jc w:val="left"/>
              <w:rPr>
                <w:rFonts w:ascii="宋体"/>
              </w:rPr>
            </w:pPr>
          </w:p>
        </w:tc>
        <w:tc>
          <w:tcPr>
            <w:tcW w:w="2112" w:type="dxa"/>
            <w:tcBorders>
              <w:left w:val="single" w:color="auto" w:sz="4" w:space="0"/>
              <w:right w:val="single" w:color="auto" w:sz="4" w:space="0"/>
            </w:tcBorders>
            <w:vAlign w:val="center"/>
          </w:tcPr>
          <w:p w14:paraId="0A9F4D1B">
            <w:pPr>
              <w:jc w:val="left"/>
              <w:rPr>
                <w:rFonts w:ascii="宋体"/>
              </w:rPr>
            </w:pPr>
          </w:p>
        </w:tc>
        <w:tc>
          <w:tcPr>
            <w:tcW w:w="2976" w:type="dxa"/>
            <w:tcBorders>
              <w:left w:val="single" w:color="auto" w:sz="4" w:space="0"/>
              <w:right w:val="single" w:color="auto" w:sz="4" w:space="0"/>
            </w:tcBorders>
            <w:vAlign w:val="center"/>
          </w:tcPr>
          <w:p w14:paraId="06E7DE70">
            <w:pPr>
              <w:jc w:val="left"/>
              <w:rPr>
                <w:rFonts w:ascii="宋体"/>
              </w:rPr>
            </w:pPr>
          </w:p>
        </w:tc>
        <w:tc>
          <w:tcPr>
            <w:tcW w:w="1373" w:type="dxa"/>
            <w:vAlign w:val="center"/>
          </w:tcPr>
          <w:p w14:paraId="1154F55C">
            <w:pPr>
              <w:jc w:val="left"/>
              <w:rPr>
                <w:rFonts w:ascii="宋体"/>
              </w:rPr>
            </w:pPr>
          </w:p>
        </w:tc>
      </w:tr>
      <w:tr w14:paraId="7020DE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282" w:type="dxa"/>
            <w:vAlign w:val="center"/>
          </w:tcPr>
          <w:p w14:paraId="444A8429">
            <w:pPr>
              <w:jc w:val="left"/>
              <w:rPr>
                <w:rFonts w:ascii="宋体"/>
              </w:rPr>
            </w:pPr>
          </w:p>
        </w:tc>
        <w:tc>
          <w:tcPr>
            <w:tcW w:w="1373" w:type="dxa"/>
            <w:tcBorders>
              <w:left w:val="single" w:color="auto" w:sz="4" w:space="0"/>
              <w:right w:val="single" w:color="auto" w:sz="4" w:space="0"/>
            </w:tcBorders>
            <w:vAlign w:val="center"/>
          </w:tcPr>
          <w:p w14:paraId="6E1C7A50">
            <w:pPr>
              <w:jc w:val="left"/>
              <w:rPr>
                <w:rFonts w:ascii="宋体"/>
              </w:rPr>
            </w:pPr>
          </w:p>
        </w:tc>
        <w:tc>
          <w:tcPr>
            <w:tcW w:w="2112" w:type="dxa"/>
            <w:tcBorders>
              <w:left w:val="single" w:color="auto" w:sz="4" w:space="0"/>
              <w:right w:val="single" w:color="auto" w:sz="4" w:space="0"/>
            </w:tcBorders>
            <w:vAlign w:val="center"/>
          </w:tcPr>
          <w:p w14:paraId="0998E289">
            <w:pPr>
              <w:jc w:val="left"/>
              <w:rPr>
                <w:rFonts w:ascii="宋体"/>
              </w:rPr>
            </w:pPr>
          </w:p>
        </w:tc>
        <w:tc>
          <w:tcPr>
            <w:tcW w:w="2976" w:type="dxa"/>
            <w:tcBorders>
              <w:left w:val="single" w:color="auto" w:sz="4" w:space="0"/>
              <w:right w:val="single" w:color="auto" w:sz="4" w:space="0"/>
            </w:tcBorders>
            <w:vAlign w:val="center"/>
          </w:tcPr>
          <w:p w14:paraId="68398C5A">
            <w:pPr>
              <w:jc w:val="left"/>
              <w:rPr>
                <w:rFonts w:ascii="宋体"/>
              </w:rPr>
            </w:pPr>
          </w:p>
        </w:tc>
        <w:tc>
          <w:tcPr>
            <w:tcW w:w="1373" w:type="dxa"/>
            <w:vAlign w:val="center"/>
          </w:tcPr>
          <w:p w14:paraId="0F95E2C9">
            <w:pPr>
              <w:jc w:val="left"/>
              <w:rPr>
                <w:rFonts w:ascii="宋体"/>
              </w:rPr>
            </w:pPr>
          </w:p>
        </w:tc>
      </w:tr>
    </w:tbl>
    <w:p w14:paraId="32DCF392">
      <w:pPr>
        <w:jc w:val="left"/>
        <w:rPr>
          <w:rFonts w:ascii="宋体"/>
        </w:rPr>
      </w:pPr>
    </w:p>
    <w:p w14:paraId="2AE677C7">
      <w:pPr>
        <w:jc w:val="left"/>
        <w:rPr>
          <w:rFonts w:ascii="宋体"/>
        </w:rPr>
      </w:pPr>
      <w:r>
        <w:rPr>
          <w:rFonts w:hint="eastAsia" w:ascii="宋体" w:hAnsi="宋体"/>
        </w:rPr>
        <w:t>承诺：我公司商务承诺与招标文件的商务条款、合同条款偏离均已在上表中列出。我公司已充分理解并接受除上表中已列出外，其它条款均无商务上的偏离。</w:t>
      </w:r>
    </w:p>
    <w:p w14:paraId="696E3948">
      <w:pPr>
        <w:snapToGrid w:val="0"/>
        <w:jc w:val="left"/>
        <w:rPr>
          <w:rFonts w:ascii="宋体"/>
        </w:rPr>
      </w:pPr>
    </w:p>
    <w:p w14:paraId="03C1F499">
      <w:pPr>
        <w:snapToGrid w:val="0"/>
        <w:jc w:val="left"/>
        <w:rPr>
          <w:rFonts w:ascii="宋体"/>
        </w:rPr>
      </w:pPr>
    </w:p>
    <w:p w14:paraId="185366A1">
      <w:pPr>
        <w:snapToGrid w:val="0"/>
        <w:jc w:val="left"/>
        <w:rPr>
          <w:rFonts w:ascii="宋体"/>
        </w:rPr>
      </w:pPr>
    </w:p>
    <w:p w14:paraId="0B833C6B">
      <w:pPr>
        <w:snapToGrid w:val="0"/>
        <w:jc w:val="left"/>
        <w:rPr>
          <w:rFonts w:ascii="宋体"/>
        </w:rPr>
      </w:pPr>
    </w:p>
    <w:p w14:paraId="118C06A6">
      <w:pPr>
        <w:snapToGrid w:val="0"/>
        <w:jc w:val="left"/>
        <w:rPr>
          <w:rFonts w:ascii="宋体"/>
        </w:rPr>
      </w:pPr>
    </w:p>
    <w:p w14:paraId="14FA7E6D">
      <w:pPr>
        <w:widowControl/>
        <w:jc w:val="left"/>
        <w:rPr>
          <w:rFonts w:ascii="宋体"/>
        </w:rPr>
      </w:pPr>
      <w:r>
        <w:rPr>
          <w:rFonts w:ascii="宋体"/>
        </w:rPr>
        <w:br w:type="page"/>
      </w:r>
    </w:p>
    <w:p w14:paraId="0A9304A1">
      <w:pPr>
        <w:pStyle w:val="3"/>
        <w:jc w:val="left"/>
        <w:rPr>
          <w:szCs w:val="28"/>
        </w:rPr>
      </w:pPr>
      <w:bookmarkStart w:id="203" w:name="_Toc135032223"/>
      <w:r>
        <w:rPr>
          <w:rFonts w:hint="eastAsia"/>
          <w:szCs w:val="28"/>
        </w:rPr>
        <w:t>附件3-3、主要零部件及外协件、外购件供货厂家的基本情况,并填写下表</w:t>
      </w:r>
      <w:bookmarkEnd w:id="203"/>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6"/>
        <w:gridCol w:w="1776"/>
        <w:gridCol w:w="1776"/>
        <w:gridCol w:w="2131"/>
        <w:gridCol w:w="1070"/>
      </w:tblGrid>
      <w:tr w14:paraId="2B6F6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76" w:type="dxa"/>
          </w:tcPr>
          <w:p w14:paraId="4E5C1FB9">
            <w:pPr>
              <w:spacing w:line="390" w:lineRule="exact"/>
              <w:jc w:val="left"/>
              <w:rPr>
                <w:rFonts w:ascii="宋体" w:hAnsi="宋体"/>
              </w:rPr>
            </w:pPr>
            <w:r>
              <w:rPr>
                <w:rFonts w:hint="eastAsia" w:ascii="宋体" w:hAnsi="宋体"/>
              </w:rPr>
              <w:t>部件名称</w:t>
            </w:r>
          </w:p>
        </w:tc>
        <w:tc>
          <w:tcPr>
            <w:tcW w:w="1776" w:type="dxa"/>
          </w:tcPr>
          <w:p w14:paraId="54D86863">
            <w:pPr>
              <w:spacing w:line="390" w:lineRule="exact"/>
              <w:jc w:val="left"/>
              <w:rPr>
                <w:rFonts w:ascii="宋体" w:hAnsi="宋体"/>
              </w:rPr>
            </w:pPr>
            <w:r>
              <w:rPr>
                <w:rFonts w:hint="eastAsia" w:ascii="宋体" w:hAnsi="宋体"/>
              </w:rPr>
              <w:t>供货厂家</w:t>
            </w:r>
          </w:p>
        </w:tc>
        <w:tc>
          <w:tcPr>
            <w:tcW w:w="1776" w:type="dxa"/>
          </w:tcPr>
          <w:p w14:paraId="7433964A">
            <w:pPr>
              <w:spacing w:line="390" w:lineRule="exact"/>
              <w:jc w:val="left"/>
              <w:rPr>
                <w:rFonts w:ascii="宋体" w:hAnsi="宋体"/>
              </w:rPr>
            </w:pPr>
            <w:r>
              <w:rPr>
                <w:rFonts w:hint="eastAsia" w:ascii="宋体" w:hAnsi="宋体"/>
              </w:rPr>
              <w:t>规格型号</w:t>
            </w:r>
          </w:p>
        </w:tc>
        <w:tc>
          <w:tcPr>
            <w:tcW w:w="2131" w:type="dxa"/>
          </w:tcPr>
          <w:p w14:paraId="421F83B5">
            <w:pPr>
              <w:spacing w:line="390" w:lineRule="exact"/>
              <w:jc w:val="left"/>
              <w:rPr>
                <w:rFonts w:ascii="宋体" w:hAnsi="宋体"/>
              </w:rPr>
            </w:pPr>
            <w:r>
              <w:rPr>
                <w:rFonts w:hint="eastAsia" w:ascii="宋体" w:hAnsi="宋体"/>
              </w:rPr>
              <w:t>单价（元</w:t>
            </w:r>
            <w:r>
              <w:rPr>
                <w:rFonts w:ascii="宋体" w:hAnsi="宋体"/>
              </w:rPr>
              <w:t>）</w:t>
            </w:r>
          </w:p>
        </w:tc>
        <w:tc>
          <w:tcPr>
            <w:tcW w:w="1070" w:type="dxa"/>
          </w:tcPr>
          <w:p w14:paraId="60ABCCB3">
            <w:pPr>
              <w:spacing w:line="390" w:lineRule="exact"/>
              <w:jc w:val="left"/>
              <w:rPr>
                <w:rFonts w:ascii="宋体" w:hAnsi="宋体"/>
              </w:rPr>
            </w:pPr>
            <w:r>
              <w:rPr>
                <w:rFonts w:hint="eastAsia" w:ascii="宋体" w:hAnsi="宋体"/>
              </w:rPr>
              <w:t>备注</w:t>
            </w:r>
          </w:p>
        </w:tc>
      </w:tr>
      <w:tr w14:paraId="52F3E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776" w:type="dxa"/>
          </w:tcPr>
          <w:p w14:paraId="32087520">
            <w:pPr>
              <w:spacing w:line="390" w:lineRule="exact"/>
              <w:jc w:val="left"/>
              <w:rPr>
                <w:rFonts w:ascii="宋体" w:hAnsi="宋体"/>
              </w:rPr>
            </w:pPr>
          </w:p>
        </w:tc>
        <w:tc>
          <w:tcPr>
            <w:tcW w:w="1776" w:type="dxa"/>
            <w:tcBorders>
              <w:left w:val="single" w:color="auto" w:sz="4" w:space="0"/>
              <w:right w:val="single" w:color="auto" w:sz="4" w:space="0"/>
            </w:tcBorders>
          </w:tcPr>
          <w:p w14:paraId="65954F2B">
            <w:pPr>
              <w:spacing w:line="390" w:lineRule="exact"/>
              <w:jc w:val="left"/>
              <w:rPr>
                <w:rFonts w:ascii="宋体" w:hAnsi="宋体"/>
              </w:rPr>
            </w:pPr>
          </w:p>
        </w:tc>
        <w:tc>
          <w:tcPr>
            <w:tcW w:w="1776" w:type="dxa"/>
            <w:tcBorders>
              <w:left w:val="single" w:color="auto" w:sz="4" w:space="0"/>
              <w:right w:val="single" w:color="auto" w:sz="4" w:space="0"/>
            </w:tcBorders>
          </w:tcPr>
          <w:p w14:paraId="65192FC6">
            <w:pPr>
              <w:spacing w:line="390" w:lineRule="exact"/>
              <w:jc w:val="left"/>
              <w:rPr>
                <w:rFonts w:ascii="宋体" w:hAnsi="宋体"/>
              </w:rPr>
            </w:pPr>
          </w:p>
        </w:tc>
        <w:tc>
          <w:tcPr>
            <w:tcW w:w="2131" w:type="dxa"/>
            <w:tcBorders>
              <w:left w:val="single" w:color="auto" w:sz="4" w:space="0"/>
              <w:right w:val="single" w:color="auto" w:sz="4" w:space="0"/>
            </w:tcBorders>
          </w:tcPr>
          <w:p w14:paraId="0DC4CBF4">
            <w:pPr>
              <w:spacing w:line="390" w:lineRule="exact"/>
              <w:jc w:val="left"/>
              <w:rPr>
                <w:rFonts w:ascii="宋体" w:hAnsi="宋体"/>
              </w:rPr>
            </w:pPr>
          </w:p>
        </w:tc>
        <w:tc>
          <w:tcPr>
            <w:tcW w:w="1070" w:type="dxa"/>
          </w:tcPr>
          <w:p w14:paraId="72F3748A">
            <w:pPr>
              <w:spacing w:line="390" w:lineRule="exact"/>
              <w:jc w:val="left"/>
              <w:rPr>
                <w:rFonts w:ascii="宋体" w:hAnsi="宋体"/>
              </w:rPr>
            </w:pPr>
          </w:p>
        </w:tc>
      </w:tr>
    </w:tbl>
    <w:p w14:paraId="63582629">
      <w:pPr>
        <w:spacing w:line="390" w:lineRule="exact"/>
        <w:jc w:val="left"/>
        <w:rPr>
          <w:rFonts w:ascii="宋体" w:hAnsi="宋体"/>
        </w:rPr>
      </w:pPr>
    </w:p>
    <w:p w14:paraId="574B70F3">
      <w:pPr>
        <w:pStyle w:val="3"/>
        <w:jc w:val="left"/>
        <w:rPr>
          <w:szCs w:val="28"/>
        </w:rPr>
      </w:pPr>
      <w:bookmarkStart w:id="204" w:name="_Toc135032224"/>
      <w:r>
        <w:rPr>
          <w:rFonts w:hint="eastAsia"/>
          <w:szCs w:val="28"/>
        </w:rPr>
        <w:t>附件3-4、随机备品备件及专用工具清单价格表（含在总价内）</w:t>
      </w:r>
      <w:bookmarkEnd w:id="204"/>
    </w:p>
    <w:p w14:paraId="2329209C">
      <w:pPr>
        <w:spacing w:line="390" w:lineRule="exact"/>
        <w:ind w:firstLine="840" w:firstLineChars="400"/>
        <w:jc w:val="left"/>
        <w:rPr>
          <w:rFonts w:ascii="宋体" w:hAnsi="宋体"/>
        </w:rPr>
      </w:pP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826"/>
        <w:gridCol w:w="1373"/>
        <w:gridCol w:w="826"/>
        <w:gridCol w:w="826"/>
        <w:gridCol w:w="826"/>
        <w:gridCol w:w="1373"/>
        <w:gridCol w:w="826"/>
        <w:gridCol w:w="826"/>
      </w:tblGrid>
      <w:tr w14:paraId="2690E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14:paraId="1214CE2B">
            <w:pPr>
              <w:spacing w:line="390" w:lineRule="exact"/>
              <w:jc w:val="left"/>
              <w:rPr>
                <w:rFonts w:ascii="宋体" w:hAnsi="宋体"/>
              </w:rPr>
            </w:pPr>
            <w:r>
              <w:rPr>
                <w:rFonts w:hint="eastAsia" w:ascii="宋体" w:hAnsi="宋体"/>
              </w:rPr>
              <w:t>序号</w:t>
            </w:r>
          </w:p>
        </w:tc>
        <w:tc>
          <w:tcPr>
            <w:tcW w:w="826" w:type="dxa"/>
            <w:vAlign w:val="center"/>
          </w:tcPr>
          <w:p w14:paraId="7EAC0B01">
            <w:pPr>
              <w:spacing w:line="390" w:lineRule="exact"/>
              <w:jc w:val="left"/>
              <w:rPr>
                <w:rFonts w:ascii="宋体" w:hAnsi="宋体"/>
              </w:rPr>
            </w:pPr>
            <w:r>
              <w:rPr>
                <w:rFonts w:hint="eastAsia" w:ascii="宋体" w:hAnsi="宋体"/>
              </w:rPr>
              <w:t>名称</w:t>
            </w:r>
          </w:p>
        </w:tc>
        <w:tc>
          <w:tcPr>
            <w:tcW w:w="1373" w:type="dxa"/>
            <w:vAlign w:val="center"/>
          </w:tcPr>
          <w:p w14:paraId="3A2E4034">
            <w:pPr>
              <w:spacing w:line="390" w:lineRule="exact"/>
              <w:jc w:val="left"/>
              <w:rPr>
                <w:rFonts w:ascii="宋体" w:hAnsi="宋体"/>
              </w:rPr>
            </w:pPr>
            <w:r>
              <w:rPr>
                <w:rFonts w:hint="eastAsia" w:ascii="宋体" w:hAnsi="宋体"/>
              </w:rPr>
              <w:t>型号规格</w:t>
            </w:r>
          </w:p>
        </w:tc>
        <w:tc>
          <w:tcPr>
            <w:tcW w:w="826" w:type="dxa"/>
            <w:vAlign w:val="center"/>
          </w:tcPr>
          <w:p w14:paraId="2B59DD31">
            <w:pPr>
              <w:spacing w:line="390" w:lineRule="exact"/>
              <w:jc w:val="left"/>
              <w:rPr>
                <w:rFonts w:ascii="宋体" w:hAnsi="宋体"/>
              </w:rPr>
            </w:pPr>
            <w:r>
              <w:rPr>
                <w:rFonts w:hint="eastAsia" w:ascii="宋体" w:hAnsi="宋体"/>
              </w:rPr>
              <w:t>单位</w:t>
            </w:r>
          </w:p>
        </w:tc>
        <w:tc>
          <w:tcPr>
            <w:tcW w:w="826" w:type="dxa"/>
            <w:vAlign w:val="center"/>
          </w:tcPr>
          <w:p w14:paraId="1E6CADF7">
            <w:pPr>
              <w:spacing w:line="390" w:lineRule="exact"/>
              <w:jc w:val="left"/>
              <w:rPr>
                <w:rFonts w:ascii="宋体" w:hAnsi="宋体"/>
              </w:rPr>
            </w:pPr>
            <w:r>
              <w:rPr>
                <w:rFonts w:hint="eastAsia" w:ascii="宋体" w:hAnsi="宋体"/>
              </w:rPr>
              <w:t>数量</w:t>
            </w:r>
          </w:p>
        </w:tc>
        <w:tc>
          <w:tcPr>
            <w:tcW w:w="826" w:type="dxa"/>
            <w:vAlign w:val="center"/>
          </w:tcPr>
          <w:p w14:paraId="70E323FA">
            <w:pPr>
              <w:spacing w:line="390" w:lineRule="exact"/>
              <w:jc w:val="left"/>
              <w:rPr>
                <w:rFonts w:ascii="宋体" w:hAnsi="宋体"/>
              </w:rPr>
            </w:pPr>
            <w:r>
              <w:rPr>
                <w:rFonts w:hint="eastAsia" w:ascii="宋体" w:hAnsi="宋体"/>
              </w:rPr>
              <w:t>产地</w:t>
            </w:r>
          </w:p>
        </w:tc>
        <w:tc>
          <w:tcPr>
            <w:tcW w:w="1373" w:type="dxa"/>
            <w:vAlign w:val="center"/>
          </w:tcPr>
          <w:p w14:paraId="438F1315">
            <w:pPr>
              <w:spacing w:line="390" w:lineRule="exact"/>
              <w:jc w:val="left"/>
              <w:rPr>
                <w:rFonts w:ascii="宋体" w:hAnsi="宋体"/>
              </w:rPr>
            </w:pPr>
            <w:r>
              <w:rPr>
                <w:rFonts w:hint="eastAsia" w:ascii="宋体" w:hAnsi="宋体"/>
              </w:rPr>
              <w:t>生产厂家</w:t>
            </w:r>
          </w:p>
        </w:tc>
        <w:tc>
          <w:tcPr>
            <w:tcW w:w="826" w:type="dxa"/>
            <w:vAlign w:val="center"/>
          </w:tcPr>
          <w:p w14:paraId="1A3EBFC2">
            <w:pPr>
              <w:spacing w:line="390" w:lineRule="exact"/>
              <w:jc w:val="left"/>
              <w:rPr>
                <w:rFonts w:ascii="宋体" w:hAnsi="宋体"/>
              </w:rPr>
            </w:pPr>
            <w:r>
              <w:rPr>
                <w:rFonts w:hint="eastAsia" w:ascii="宋体" w:hAnsi="宋体"/>
              </w:rPr>
              <w:t>价格</w:t>
            </w:r>
          </w:p>
        </w:tc>
        <w:tc>
          <w:tcPr>
            <w:tcW w:w="826" w:type="dxa"/>
            <w:vAlign w:val="center"/>
          </w:tcPr>
          <w:p w14:paraId="70A632BF">
            <w:pPr>
              <w:spacing w:line="390" w:lineRule="exact"/>
              <w:jc w:val="left"/>
              <w:rPr>
                <w:rFonts w:ascii="宋体" w:hAnsi="宋体"/>
              </w:rPr>
            </w:pPr>
            <w:r>
              <w:rPr>
                <w:rFonts w:hint="eastAsia" w:ascii="宋体" w:hAnsi="宋体"/>
              </w:rPr>
              <w:t>备注</w:t>
            </w:r>
          </w:p>
        </w:tc>
      </w:tr>
      <w:tr w14:paraId="2AF30F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14:paraId="3D59E1CE">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0705BC0A">
            <w:pPr>
              <w:spacing w:line="390" w:lineRule="exact"/>
              <w:ind w:firstLine="435"/>
              <w:jc w:val="left"/>
              <w:rPr>
                <w:rFonts w:ascii="宋体" w:hAnsi="宋体"/>
              </w:rPr>
            </w:pPr>
          </w:p>
        </w:tc>
        <w:tc>
          <w:tcPr>
            <w:tcW w:w="1373" w:type="dxa"/>
            <w:tcBorders>
              <w:left w:val="single" w:color="auto" w:sz="4" w:space="0"/>
              <w:right w:val="single" w:color="auto" w:sz="4" w:space="0"/>
            </w:tcBorders>
            <w:vAlign w:val="center"/>
          </w:tcPr>
          <w:p w14:paraId="744DD606">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3C98EBCE">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0C557017">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78674774">
            <w:pPr>
              <w:spacing w:line="390" w:lineRule="exact"/>
              <w:ind w:firstLine="435"/>
              <w:jc w:val="left"/>
              <w:rPr>
                <w:rFonts w:ascii="宋体" w:hAnsi="宋体"/>
              </w:rPr>
            </w:pPr>
          </w:p>
        </w:tc>
        <w:tc>
          <w:tcPr>
            <w:tcW w:w="1373" w:type="dxa"/>
            <w:tcBorders>
              <w:left w:val="single" w:color="auto" w:sz="4" w:space="0"/>
              <w:right w:val="single" w:color="auto" w:sz="4" w:space="0"/>
            </w:tcBorders>
            <w:vAlign w:val="center"/>
          </w:tcPr>
          <w:p w14:paraId="7721AA33">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40385720">
            <w:pPr>
              <w:spacing w:line="390" w:lineRule="exact"/>
              <w:ind w:firstLine="435"/>
              <w:jc w:val="left"/>
              <w:rPr>
                <w:rFonts w:ascii="宋体" w:hAnsi="宋体"/>
              </w:rPr>
            </w:pPr>
          </w:p>
        </w:tc>
        <w:tc>
          <w:tcPr>
            <w:tcW w:w="826" w:type="dxa"/>
            <w:vAlign w:val="center"/>
          </w:tcPr>
          <w:p w14:paraId="42931A5F">
            <w:pPr>
              <w:spacing w:line="390" w:lineRule="exact"/>
              <w:ind w:firstLine="435"/>
              <w:jc w:val="left"/>
              <w:rPr>
                <w:rFonts w:ascii="宋体" w:hAnsi="宋体"/>
              </w:rPr>
            </w:pPr>
          </w:p>
        </w:tc>
      </w:tr>
      <w:tr w14:paraId="7FD420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14:paraId="56526758">
            <w:pPr>
              <w:spacing w:line="390" w:lineRule="exact"/>
              <w:jc w:val="left"/>
              <w:rPr>
                <w:rFonts w:ascii="宋体" w:hAnsi="宋体"/>
              </w:rPr>
            </w:pPr>
            <w:r>
              <w:rPr>
                <w:rFonts w:hint="eastAsia" w:ascii="宋体" w:hAnsi="宋体"/>
              </w:rPr>
              <w:t>总计</w:t>
            </w:r>
          </w:p>
        </w:tc>
        <w:tc>
          <w:tcPr>
            <w:tcW w:w="826" w:type="dxa"/>
            <w:tcBorders>
              <w:left w:val="single" w:color="auto" w:sz="4" w:space="0"/>
              <w:right w:val="single" w:color="auto" w:sz="4" w:space="0"/>
            </w:tcBorders>
            <w:vAlign w:val="center"/>
          </w:tcPr>
          <w:p w14:paraId="072CB024">
            <w:pPr>
              <w:spacing w:line="390" w:lineRule="exact"/>
              <w:ind w:firstLine="435"/>
              <w:jc w:val="left"/>
              <w:rPr>
                <w:rFonts w:ascii="宋体" w:hAnsi="宋体"/>
              </w:rPr>
            </w:pPr>
          </w:p>
        </w:tc>
        <w:tc>
          <w:tcPr>
            <w:tcW w:w="1373" w:type="dxa"/>
            <w:tcBorders>
              <w:left w:val="single" w:color="auto" w:sz="4" w:space="0"/>
              <w:right w:val="single" w:color="auto" w:sz="4" w:space="0"/>
            </w:tcBorders>
            <w:vAlign w:val="center"/>
          </w:tcPr>
          <w:p w14:paraId="7B6A9BA5">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68D2A737">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290377BB">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5CDFDFFA">
            <w:pPr>
              <w:spacing w:line="390" w:lineRule="exact"/>
              <w:ind w:firstLine="435"/>
              <w:jc w:val="left"/>
              <w:rPr>
                <w:rFonts w:ascii="宋体" w:hAnsi="宋体"/>
              </w:rPr>
            </w:pPr>
          </w:p>
        </w:tc>
        <w:tc>
          <w:tcPr>
            <w:tcW w:w="1373" w:type="dxa"/>
            <w:tcBorders>
              <w:left w:val="single" w:color="auto" w:sz="4" w:space="0"/>
              <w:right w:val="single" w:color="auto" w:sz="4" w:space="0"/>
            </w:tcBorders>
            <w:vAlign w:val="center"/>
          </w:tcPr>
          <w:p w14:paraId="35FF81C9">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00ACE035">
            <w:pPr>
              <w:spacing w:line="390" w:lineRule="exact"/>
              <w:ind w:firstLine="435"/>
              <w:jc w:val="left"/>
              <w:rPr>
                <w:rFonts w:ascii="宋体" w:hAnsi="宋体"/>
              </w:rPr>
            </w:pPr>
          </w:p>
        </w:tc>
        <w:tc>
          <w:tcPr>
            <w:tcW w:w="826" w:type="dxa"/>
            <w:vAlign w:val="center"/>
          </w:tcPr>
          <w:p w14:paraId="0783806C">
            <w:pPr>
              <w:spacing w:line="390" w:lineRule="exact"/>
              <w:ind w:firstLine="435"/>
              <w:jc w:val="left"/>
              <w:rPr>
                <w:rFonts w:ascii="宋体" w:hAnsi="宋体"/>
              </w:rPr>
            </w:pPr>
          </w:p>
        </w:tc>
      </w:tr>
    </w:tbl>
    <w:p w14:paraId="47CD56D4">
      <w:pPr>
        <w:spacing w:line="390" w:lineRule="exact"/>
        <w:jc w:val="left"/>
        <w:rPr>
          <w:rFonts w:ascii="宋体" w:hAnsi="宋体"/>
        </w:rPr>
      </w:pPr>
    </w:p>
    <w:p w14:paraId="5F1101A8">
      <w:pPr>
        <w:pStyle w:val="3"/>
        <w:jc w:val="left"/>
        <w:rPr>
          <w:szCs w:val="28"/>
        </w:rPr>
      </w:pPr>
      <w:bookmarkStart w:id="205" w:name="_Toc135032225"/>
      <w:r>
        <w:rPr>
          <w:rFonts w:hint="eastAsia"/>
          <w:szCs w:val="28"/>
        </w:rPr>
        <w:t>附件3-5、三年用备品备件及耗材价格表（本报价仅作为技术评分的重要项，不含总报价内）</w:t>
      </w:r>
      <w:bookmarkEnd w:id="205"/>
    </w:p>
    <w:p w14:paraId="09F77798">
      <w:pPr>
        <w:spacing w:line="390" w:lineRule="exact"/>
        <w:ind w:firstLine="525" w:firstLineChars="250"/>
        <w:jc w:val="left"/>
        <w:rPr>
          <w:rFonts w:ascii="宋体" w:hAnsi="宋体"/>
        </w:rPr>
      </w:pP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826"/>
        <w:gridCol w:w="1373"/>
        <w:gridCol w:w="826"/>
        <w:gridCol w:w="826"/>
        <w:gridCol w:w="826"/>
        <w:gridCol w:w="1373"/>
        <w:gridCol w:w="826"/>
        <w:gridCol w:w="826"/>
      </w:tblGrid>
      <w:tr w14:paraId="271B9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14:paraId="57A1B3EF">
            <w:pPr>
              <w:spacing w:line="390" w:lineRule="exact"/>
              <w:jc w:val="left"/>
              <w:rPr>
                <w:rFonts w:ascii="宋体" w:hAnsi="宋体"/>
              </w:rPr>
            </w:pPr>
            <w:r>
              <w:rPr>
                <w:rFonts w:hint="eastAsia" w:ascii="宋体" w:hAnsi="宋体"/>
              </w:rPr>
              <w:t>序号</w:t>
            </w:r>
          </w:p>
        </w:tc>
        <w:tc>
          <w:tcPr>
            <w:tcW w:w="826" w:type="dxa"/>
            <w:vAlign w:val="center"/>
          </w:tcPr>
          <w:p w14:paraId="2DC45FBC">
            <w:pPr>
              <w:spacing w:line="390" w:lineRule="exact"/>
              <w:jc w:val="left"/>
              <w:rPr>
                <w:rFonts w:ascii="宋体" w:hAnsi="宋体"/>
              </w:rPr>
            </w:pPr>
            <w:r>
              <w:rPr>
                <w:rFonts w:hint="eastAsia" w:ascii="宋体" w:hAnsi="宋体"/>
              </w:rPr>
              <w:t>名称</w:t>
            </w:r>
          </w:p>
        </w:tc>
        <w:tc>
          <w:tcPr>
            <w:tcW w:w="1373" w:type="dxa"/>
            <w:vAlign w:val="center"/>
          </w:tcPr>
          <w:p w14:paraId="4B65CF8C">
            <w:pPr>
              <w:spacing w:line="390" w:lineRule="exact"/>
              <w:jc w:val="left"/>
              <w:rPr>
                <w:rFonts w:ascii="宋体" w:hAnsi="宋体"/>
              </w:rPr>
            </w:pPr>
            <w:r>
              <w:rPr>
                <w:rFonts w:hint="eastAsia" w:ascii="宋体" w:hAnsi="宋体"/>
              </w:rPr>
              <w:t>型号规格</w:t>
            </w:r>
          </w:p>
        </w:tc>
        <w:tc>
          <w:tcPr>
            <w:tcW w:w="826" w:type="dxa"/>
            <w:vAlign w:val="center"/>
          </w:tcPr>
          <w:p w14:paraId="59EE4317">
            <w:pPr>
              <w:spacing w:line="390" w:lineRule="exact"/>
              <w:jc w:val="left"/>
              <w:rPr>
                <w:rFonts w:ascii="宋体" w:hAnsi="宋体"/>
              </w:rPr>
            </w:pPr>
            <w:r>
              <w:rPr>
                <w:rFonts w:hint="eastAsia" w:ascii="宋体" w:hAnsi="宋体"/>
              </w:rPr>
              <w:t>单位</w:t>
            </w:r>
          </w:p>
        </w:tc>
        <w:tc>
          <w:tcPr>
            <w:tcW w:w="826" w:type="dxa"/>
            <w:vAlign w:val="center"/>
          </w:tcPr>
          <w:p w14:paraId="5FF56D67">
            <w:pPr>
              <w:spacing w:line="390" w:lineRule="exact"/>
              <w:jc w:val="left"/>
              <w:rPr>
                <w:rFonts w:ascii="宋体" w:hAnsi="宋体"/>
              </w:rPr>
            </w:pPr>
            <w:r>
              <w:rPr>
                <w:rFonts w:hint="eastAsia" w:ascii="宋体" w:hAnsi="宋体"/>
              </w:rPr>
              <w:t>数量</w:t>
            </w:r>
          </w:p>
        </w:tc>
        <w:tc>
          <w:tcPr>
            <w:tcW w:w="826" w:type="dxa"/>
            <w:vAlign w:val="center"/>
          </w:tcPr>
          <w:p w14:paraId="68A0EF4C">
            <w:pPr>
              <w:spacing w:line="390" w:lineRule="exact"/>
              <w:jc w:val="left"/>
              <w:rPr>
                <w:rFonts w:ascii="宋体" w:hAnsi="宋体"/>
              </w:rPr>
            </w:pPr>
            <w:r>
              <w:rPr>
                <w:rFonts w:hint="eastAsia" w:ascii="宋体" w:hAnsi="宋体"/>
              </w:rPr>
              <w:t>产地</w:t>
            </w:r>
          </w:p>
        </w:tc>
        <w:tc>
          <w:tcPr>
            <w:tcW w:w="1373" w:type="dxa"/>
            <w:vAlign w:val="center"/>
          </w:tcPr>
          <w:p w14:paraId="4AA5F4CD">
            <w:pPr>
              <w:spacing w:line="390" w:lineRule="exact"/>
              <w:jc w:val="left"/>
              <w:rPr>
                <w:rFonts w:ascii="宋体" w:hAnsi="宋体"/>
              </w:rPr>
            </w:pPr>
            <w:r>
              <w:rPr>
                <w:rFonts w:hint="eastAsia" w:ascii="宋体" w:hAnsi="宋体"/>
              </w:rPr>
              <w:t>生产厂家</w:t>
            </w:r>
          </w:p>
        </w:tc>
        <w:tc>
          <w:tcPr>
            <w:tcW w:w="826" w:type="dxa"/>
            <w:vAlign w:val="center"/>
          </w:tcPr>
          <w:p w14:paraId="790B1BFF">
            <w:pPr>
              <w:spacing w:line="390" w:lineRule="exact"/>
              <w:jc w:val="left"/>
              <w:rPr>
                <w:rFonts w:ascii="宋体" w:hAnsi="宋体"/>
              </w:rPr>
            </w:pPr>
            <w:r>
              <w:rPr>
                <w:rFonts w:hint="eastAsia" w:ascii="宋体" w:hAnsi="宋体"/>
              </w:rPr>
              <w:t>价格</w:t>
            </w:r>
          </w:p>
        </w:tc>
        <w:tc>
          <w:tcPr>
            <w:tcW w:w="826" w:type="dxa"/>
            <w:vAlign w:val="center"/>
          </w:tcPr>
          <w:p w14:paraId="7DE68CC7">
            <w:pPr>
              <w:spacing w:line="390" w:lineRule="exact"/>
              <w:jc w:val="left"/>
              <w:rPr>
                <w:rFonts w:ascii="宋体" w:hAnsi="宋体"/>
              </w:rPr>
            </w:pPr>
            <w:r>
              <w:rPr>
                <w:rFonts w:hint="eastAsia" w:ascii="宋体" w:hAnsi="宋体"/>
              </w:rPr>
              <w:t>备注</w:t>
            </w:r>
          </w:p>
        </w:tc>
      </w:tr>
      <w:tr w14:paraId="0F3EA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14:paraId="5593290D">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67EDCED5">
            <w:pPr>
              <w:spacing w:line="390" w:lineRule="exact"/>
              <w:ind w:firstLine="435"/>
              <w:jc w:val="left"/>
              <w:rPr>
                <w:rFonts w:ascii="宋体" w:hAnsi="宋体"/>
              </w:rPr>
            </w:pPr>
          </w:p>
        </w:tc>
        <w:tc>
          <w:tcPr>
            <w:tcW w:w="1373" w:type="dxa"/>
            <w:tcBorders>
              <w:left w:val="single" w:color="auto" w:sz="4" w:space="0"/>
              <w:right w:val="single" w:color="auto" w:sz="4" w:space="0"/>
            </w:tcBorders>
            <w:vAlign w:val="center"/>
          </w:tcPr>
          <w:p w14:paraId="22C72F4B">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302F1819">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67ADFBC4">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4FE14D39">
            <w:pPr>
              <w:spacing w:line="390" w:lineRule="exact"/>
              <w:ind w:firstLine="435"/>
              <w:jc w:val="left"/>
              <w:rPr>
                <w:rFonts w:ascii="宋体" w:hAnsi="宋体"/>
              </w:rPr>
            </w:pPr>
          </w:p>
        </w:tc>
        <w:tc>
          <w:tcPr>
            <w:tcW w:w="1373" w:type="dxa"/>
            <w:tcBorders>
              <w:left w:val="single" w:color="auto" w:sz="4" w:space="0"/>
              <w:right w:val="single" w:color="auto" w:sz="4" w:space="0"/>
            </w:tcBorders>
            <w:vAlign w:val="center"/>
          </w:tcPr>
          <w:p w14:paraId="58B44F01">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3DE5751B">
            <w:pPr>
              <w:spacing w:line="390" w:lineRule="exact"/>
              <w:jc w:val="left"/>
              <w:rPr>
                <w:rFonts w:ascii="宋体" w:hAnsi="宋体"/>
              </w:rPr>
            </w:pPr>
          </w:p>
        </w:tc>
        <w:tc>
          <w:tcPr>
            <w:tcW w:w="826" w:type="dxa"/>
            <w:vAlign w:val="center"/>
          </w:tcPr>
          <w:p w14:paraId="5052F844">
            <w:pPr>
              <w:spacing w:line="390" w:lineRule="exact"/>
              <w:jc w:val="left"/>
              <w:rPr>
                <w:rFonts w:ascii="宋体" w:hAnsi="宋体"/>
              </w:rPr>
            </w:pPr>
          </w:p>
        </w:tc>
      </w:tr>
      <w:tr w14:paraId="2FFB7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14:paraId="08A6F438">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41E89B8C">
            <w:pPr>
              <w:spacing w:line="390" w:lineRule="exact"/>
              <w:ind w:firstLine="435"/>
              <w:jc w:val="left"/>
              <w:rPr>
                <w:rFonts w:ascii="宋体" w:hAnsi="宋体"/>
              </w:rPr>
            </w:pPr>
          </w:p>
        </w:tc>
        <w:tc>
          <w:tcPr>
            <w:tcW w:w="1373" w:type="dxa"/>
            <w:tcBorders>
              <w:left w:val="single" w:color="auto" w:sz="4" w:space="0"/>
              <w:right w:val="single" w:color="auto" w:sz="4" w:space="0"/>
            </w:tcBorders>
            <w:vAlign w:val="center"/>
          </w:tcPr>
          <w:p w14:paraId="08C6E81E">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73F9CFDA">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0DEA337E">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26DA496B">
            <w:pPr>
              <w:spacing w:line="390" w:lineRule="exact"/>
              <w:ind w:firstLine="435"/>
              <w:jc w:val="left"/>
              <w:rPr>
                <w:rFonts w:ascii="宋体" w:hAnsi="宋体"/>
              </w:rPr>
            </w:pPr>
          </w:p>
        </w:tc>
        <w:tc>
          <w:tcPr>
            <w:tcW w:w="1373" w:type="dxa"/>
            <w:tcBorders>
              <w:left w:val="single" w:color="auto" w:sz="4" w:space="0"/>
              <w:right w:val="single" w:color="auto" w:sz="4" w:space="0"/>
            </w:tcBorders>
            <w:vAlign w:val="center"/>
          </w:tcPr>
          <w:p w14:paraId="2FF82AED">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09BFB0B4">
            <w:pPr>
              <w:spacing w:line="390" w:lineRule="exact"/>
              <w:jc w:val="left"/>
              <w:rPr>
                <w:rFonts w:ascii="宋体" w:hAnsi="宋体"/>
              </w:rPr>
            </w:pPr>
          </w:p>
        </w:tc>
        <w:tc>
          <w:tcPr>
            <w:tcW w:w="826" w:type="dxa"/>
            <w:vAlign w:val="center"/>
          </w:tcPr>
          <w:p w14:paraId="24EA83A5">
            <w:pPr>
              <w:spacing w:line="390" w:lineRule="exact"/>
              <w:jc w:val="left"/>
              <w:rPr>
                <w:rFonts w:ascii="宋体" w:hAnsi="宋体"/>
              </w:rPr>
            </w:pPr>
          </w:p>
        </w:tc>
      </w:tr>
      <w:tr w14:paraId="53E23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827" w:type="dxa"/>
            <w:vAlign w:val="center"/>
          </w:tcPr>
          <w:p w14:paraId="733DBB64">
            <w:pPr>
              <w:spacing w:line="390" w:lineRule="exact"/>
              <w:jc w:val="left"/>
              <w:rPr>
                <w:rFonts w:ascii="宋体" w:hAnsi="宋体"/>
              </w:rPr>
            </w:pPr>
            <w:r>
              <w:rPr>
                <w:rFonts w:hint="eastAsia" w:ascii="宋体" w:hAnsi="宋体"/>
              </w:rPr>
              <w:t>总计</w:t>
            </w:r>
          </w:p>
        </w:tc>
        <w:tc>
          <w:tcPr>
            <w:tcW w:w="826" w:type="dxa"/>
            <w:tcBorders>
              <w:left w:val="single" w:color="auto" w:sz="4" w:space="0"/>
              <w:right w:val="single" w:color="auto" w:sz="4" w:space="0"/>
            </w:tcBorders>
            <w:vAlign w:val="center"/>
          </w:tcPr>
          <w:p w14:paraId="42BAED11">
            <w:pPr>
              <w:spacing w:line="390" w:lineRule="exact"/>
              <w:ind w:firstLine="435"/>
              <w:jc w:val="left"/>
              <w:rPr>
                <w:rFonts w:ascii="宋体" w:hAnsi="宋体"/>
              </w:rPr>
            </w:pPr>
          </w:p>
        </w:tc>
        <w:tc>
          <w:tcPr>
            <w:tcW w:w="1373" w:type="dxa"/>
            <w:tcBorders>
              <w:left w:val="single" w:color="auto" w:sz="4" w:space="0"/>
              <w:right w:val="single" w:color="auto" w:sz="4" w:space="0"/>
            </w:tcBorders>
            <w:vAlign w:val="center"/>
          </w:tcPr>
          <w:p w14:paraId="049BE3F3">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296F2D64">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526213A0">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152798B0">
            <w:pPr>
              <w:spacing w:line="390" w:lineRule="exact"/>
              <w:ind w:firstLine="435"/>
              <w:jc w:val="left"/>
              <w:rPr>
                <w:rFonts w:ascii="宋体" w:hAnsi="宋体"/>
              </w:rPr>
            </w:pPr>
          </w:p>
        </w:tc>
        <w:tc>
          <w:tcPr>
            <w:tcW w:w="1373" w:type="dxa"/>
            <w:tcBorders>
              <w:left w:val="single" w:color="auto" w:sz="4" w:space="0"/>
              <w:right w:val="single" w:color="auto" w:sz="4" w:space="0"/>
            </w:tcBorders>
            <w:vAlign w:val="center"/>
          </w:tcPr>
          <w:p w14:paraId="40515C17">
            <w:pPr>
              <w:spacing w:line="390" w:lineRule="exact"/>
              <w:ind w:firstLine="435"/>
              <w:jc w:val="left"/>
              <w:rPr>
                <w:rFonts w:ascii="宋体" w:hAnsi="宋体"/>
              </w:rPr>
            </w:pPr>
          </w:p>
        </w:tc>
        <w:tc>
          <w:tcPr>
            <w:tcW w:w="826" w:type="dxa"/>
            <w:tcBorders>
              <w:left w:val="single" w:color="auto" w:sz="4" w:space="0"/>
              <w:right w:val="single" w:color="auto" w:sz="4" w:space="0"/>
            </w:tcBorders>
            <w:vAlign w:val="center"/>
          </w:tcPr>
          <w:p w14:paraId="4FC9C161">
            <w:pPr>
              <w:spacing w:line="390" w:lineRule="exact"/>
              <w:jc w:val="left"/>
              <w:rPr>
                <w:rFonts w:ascii="宋体" w:hAnsi="宋体"/>
              </w:rPr>
            </w:pPr>
          </w:p>
        </w:tc>
        <w:tc>
          <w:tcPr>
            <w:tcW w:w="826" w:type="dxa"/>
            <w:vAlign w:val="center"/>
          </w:tcPr>
          <w:p w14:paraId="0605C710">
            <w:pPr>
              <w:spacing w:line="390" w:lineRule="exact"/>
              <w:jc w:val="left"/>
              <w:rPr>
                <w:rFonts w:ascii="宋体" w:hAnsi="宋体"/>
              </w:rPr>
            </w:pPr>
          </w:p>
        </w:tc>
      </w:tr>
    </w:tbl>
    <w:p w14:paraId="5CFD082D">
      <w:pPr>
        <w:snapToGrid w:val="0"/>
        <w:jc w:val="left"/>
        <w:rPr>
          <w:rFonts w:ascii="宋体" w:hAnsi="宋体"/>
        </w:rPr>
      </w:pPr>
    </w:p>
    <w:p w14:paraId="05F30B41">
      <w:pPr>
        <w:snapToGrid w:val="0"/>
        <w:jc w:val="left"/>
        <w:rPr>
          <w:rFonts w:ascii="宋体"/>
        </w:rPr>
      </w:pPr>
    </w:p>
    <w:p w14:paraId="43A363F0">
      <w:pPr>
        <w:snapToGrid w:val="0"/>
        <w:jc w:val="left"/>
        <w:rPr>
          <w:rFonts w:ascii="宋体"/>
        </w:rPr>
      </w:pPr>
    </w:p>
    <w:p w14:paraId="569B7E17">
      <w:pPr>
        <w:snapToGrid w:val="0"/>
        <w:jc w:val="left"/>
        <w:rPr>
          <w:rFonts w:ascii="宋体"/>
        </w:rPr>
      </w:pPr>
    </w:p>
    <w:p w14:paraId="5A2D8054">
      <w:pPr>
        <w:snapToGrid w:val="0"/>
        <w:jc w:val="left"/>
        <w:rPr>
          <w:rFonts w:ascii="宋体"/>
        </w:rPr>
      </w:pPr>
    </w:p>
    <w:p w14:paraId="5CA7D4EC">
      <w:pPr>
        <w:snapToGrid w:val="0"/>
        <w:jc w:val="left"/>
        <w:rPr>
          <w:rFonts w:ascii="宋体"/>
        </w:rPr>
      </w:pPr>
    </w:p>
    <w:p w14:paraId="70980EAC">
      <w:pPr>
        <w:widowControl/>
        <w:jc w:val="left"/>
        <w:rPr>
          <w:rFonts w:ascii="宋体"/>
        </w:rPr>
      </w:pPr>
      <w:r>
        <w:rPr>
          <w:rFonts w:ascii="宋体"/>
        </w:rPr>
        <w:br w:type="page"/>
      </w:r>
    </w:p>
    <w:p w14:paraId="0903F097">
      <w:pPr>
        <w:pStyle w:val="3"/>
        <w:jc w:val="left"/>
        <w:rPr>
          <w:szCs w:val="28"/>
        </w:rPr>
      </w:pPr>
      <w:bookmarkStart w:id="206" w:name="_Toc135032226"/>
      <w:r>
        <w:rPr>
          <w:rFonts w:hint="eastAsia"/>
          <w:szCs w:val="28"/>
        </w:rPr>
        <w:t>附件4、资格、资质证明文件</w:t>
      </w:r>
      <w:bookmarkEnd w:id="206"/>
    </w:p>
    <w:p w14:paraId="60DB1CF3">
      <w:pPr>
        <w:pStyle w:val="40"/>
        <w:spacing w:line="360" w:lineRule="auto"/>
        <w:ind w:firstLine="426"/>
        <w:jc w:val="center"/>
        <w:rPr>
          <w:b/>
          <w:color w:val="auto"/>
          <w:sz w:val="30"/>
          <w:szCs w:val="30"/>
          <w:highlight w:val="none"/>
        </w:rPr>
      </w:pPr>
      <w:r>
        <w:rPr>
          <w:rFonts w:hint="eastAsia"/>
          <w:b/>
          <w:color w:val="auto"/>
          <w:sz w:val="30"/>
          <w:szCs w:val="30"/>
          <w:highlight w:val="none"/>
        </w:rPr>
        <w:t>评分索引表</w:t>
      </w:r>
    </w:p>
    <w:tbl>
      <w:tblPr>
        <w:tblStyle w:val="7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1952"/>
        <w:gridCol w:w="3967"/>
        <w:gridCol w:w="2053"/>
        <w:gridCol w:w="1035"/>
      </w:tblGrid>
      <w:tr w14:paraId="05DA6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48" w:type="dxa"/>
            <w:tcBorders>
              <w:top w:val="single" w:color="auto" w:sz="4" w:space="0"/>
              <w:left w:val="single" w:color="auto" w:sz="4" w:space="0"/>
              <w:bottom w:val="single" w:color="auto" w:sz="4" w:space="0"/>
              <w:right w:val="single" w:color="auto" w:sz="4" w:space="0"/>
            </w:tcBorders>
            <w:noWrap w:val="0"/>
            <w:vAlign w:val="center"/>
          </w:tcPr>
          <w:p w14:paraId="7A589A79">
            <w:pPr>
              <w:adjustRightInd w:val="0"/>
              <w:snapToGrid w:val="0"/>
              <w:spacing w:line="360" w:lineRule="auto"/>
              <w:jc w:val="center"/>
              <w:rPr>
                <w:rFonts w:hint="eastAsia" w:ascii="宋体" w:cs="宋体"/>
                <w:bCs/>
                <w:color w:val="auto"/>
                <w:sz w:val="24"/>
                <w:highlight w:val="none"/>
                <w:lang w:bidi="ar-SA"/>
              </w:rPr>
            </w:pPr>
            <w:r>
              <w:rPr>
                <w:rFonts w:hint="eastAsia" w:ascii="宋体" w:cs="宋体"/>
                <w:bCs/>
                <w:color w:val="auto"/>
                <w:sz w:val="24"/>
                <w:highlight w:val="none"/>
                <w:lang w:bidi="ar-SA"/>
              </w:rPr>
              <w:t>序号</w:t>
            </w:r>
          </w:p>
        </w:tc>
        <w:tc>
          <w:tcPr>
            <w:tcW w:w="1952" w:type="dxa"/>
            <w:tcBorders>
              <w:top w:val="single" w:color="auto" w:sz="4" w:space="0"/>
              <w:left w:val="single" w:color="auto" w:sz="4" w:space="0"/>
              <w:bottom w:val="single" w:color="auto" w:sz="4" w:space="0"/>
              <w:right w:val="single" w:color="auto" w:sz="4" w:space="0"/>
            </w:tcBorders>
            <w:noWrap w:val="0"/>
            <w:vAlign w:val="center"/>
          </w:tcPr>
          <w:p w14:paraId="1E000D51">
            <w:pPr>
              <w:adjustRightInd w:val="0"/>
              <w:snapToGrid w:val="0"/>
              <w:spacing w:line="360" w:lineRule="auto"/>
              <w:jc w:val="center"/>
              <w:rPr>
                <w:rFonts w:hint="eastAsia" w:ascii="宋体" w:cs="宋体"/>
                <w:bCs/>
                <w:color w:val="auto"/>
                <w:sz w:val="24"/>
                <w:highlight w:val="none"/>
                <w:lang w:bidi="ar-SA"/>
              </w:rPr>
            </w:pPr>
            <w:r>
              <w:rPr>
                <w:rFonts w:hint="eastAsia" w:ascii="宋体"/>
                <w:bCs/>
                <w:color w:val="auto"/>
                <w:sz w:val="24"/>
                <w:highlight w:val="none"/>
              </w:rPr>
              <w:t>评审内容</w:t>
            </w:r>
          </w:p>
        </w:tc>
        <w:tc>
          <w:tcPr>
            <w:tcW w:w="3967" w:type="dxa"/>
            <w:tcBorders>
              <w:top w:val="single" w:color="auto" w:sz="4" w:space="0"/>
              <w:left w:val="single" w:color="auto" w:sz="4" w:space="0"/>
              <w:bottom w:val="single" w:color="auto" w:sz="4" w:space="0"/>
              <w:right w:val="single" w:color="auto" w:sz="4" w:space="0"/>
            </w:tcBorders>
            <w:noWrap w:val="0"/>
            <w:vAlign w:val="center"/>
          </w:tcPr>
          <w:p w14:paraId="3F08EA58">
            <w:pPr>
              <w:adjustRightInd w:val="0"/>
              <w:snapToGrid w:val="0"/>
              <w:spacing w:line="360" w:lineRule="auto"/>
              <w:jc w:val="center"/>
              <w:rPr>
                <w:rFonts w:hint="eastAsia" w:ascii="宋体" w:cs="宋体"/>
                <w:bCs/>
                <w:color w:val="auto"/>
                <w:sz w:val="24"/>
                <w:highlight w:val="none"/>
                <w:lang w:bidi="ar-SA"/>
              </w:rPr>
            </w:pPr>
            <w:r>
              <w:rPr>
                <w:rFonts w:hint="eastAsia" w:ascii="宋体"/>
                <w:bCs/>
                <w:color w:val="auto"/>
                <w:sz w:val="24"/>
                <w:highlight w:val="none"/>
              </w:rPr>
              <w:t>投标响应情况</w:t>
            </w:r>
          </w:p>
        </w:tc>
        <w:tc>
          <w:tcPr>
            <w:tcW w:w="2053" w:type="dxa"/>
            <w:tcBorders>
              <w:top w:val="single" w:color="auto" w:sz="4" w:space="0"/>
              <w:left w:val="single" w:color="auto" w:sz="4" w:space="0"/>
              <w:bottom w:val="single" w:color="auto" w:sz="4" w:space="0"/>
              <w:right w:val="single" w:color="auto" w:sz="4" w:space="0"/>
            </w:tcBorders>
            <w:noWrap w:val="0"/>
            <w:vAlign w:val="center"/>
          </w:tcPr>
          <w:p w14:paraId="61416408">
            <w:pPr>
              <w:adjustRightInd w:val="0"/>
              <w:snapToGrid w:val="0"/>
              <w:spacing w:line="360" w:lineRule="auto"/>
              <w:jc w:val="center"/>
              <w:rPr>
                <w:rFonts w:hint="eastAsia" w:ascii="宋体" w:cs="宋体"/>
                <w:bCs/>
                <w:color w:val="auto"/>
                <w:sz w:val="24"/>
                <w:highlight w:val="none"/>
                <w:lang w:bidi="ar-SA"/>
              </w:rPr>
            </w:pPr>
            <w:r>
              <w:rPr>
                <w:rFonts w:hint="eastAsia" w:ascii="宋体"/>
                <w:bCs/>
                <w:color w:val="auto"/>
                <w:sz w:val="24"/>
                <w:highlight w:val="none"/>
              </w:rPr>
              <w:t>投标文件中的页码</w:t>
            </w:r>
          </w:p>
        </w:tc>
        <w:tc>
          <w:tcPr>
            <w:tcW w:w="1035" w:type="dxa"/>
            <w:tcBorders>
              <w:top w:val="single" w:color="auto" w:sz="4" w:space="0"/>
              <w:left w:val="single" w:color="auto" w:sz="4" w:space="0"/>
              <w:bottom w:val="single" w:color="auto" w:sz="4" w:space="0"/>
              <w:right w:val="single" w:color="auto" w:sz="4" w:space="0"/>
            </w:tcBorders>
            <w:noWrap w:val="0"/>
            <w:vAlign w:val="center"/>
          </w:tcPr>
          <w:p w14:paraId="5EE98860">
            <w:pPr>
              <w:adjustRightInd w:val="0"/>
              <w:snapToGrid w:val="0"/>
              <w:spacing w:line="360" w:lineRule="auto"/>
              <w:jc w:val="center"/>
              <w:rPr>
                <w:rFonts w:hint="eastAsia" w:ascii="宋体" w:cs="宋体"/>
                <w:bCs/>
                <w:color w:val="auto"/>
                <w:sz w:val="24"/>
                <w:highlight w:val="none"/>
                <w:lang w:bidi="ar-SA"/>
              </w:rPr>
            </w:pPr>
            <w:r>
              <w:rPr>
                <w:rFonts w:hint="eastAsia" w:ascii="宋体"/>
                <w:bCs/>
                <w:color w:val="auto"/>
                <w:sz w:val="24"/>
                <w:highlight w:val="none"/>
              </w:rPr>
              <w:t>自评分</w:t>
            </w:r>
          </w:p>
        </w:tc>
      </w:tr>
      <w:tr w14:paraId="4A730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48" w:type="dxa"/>
            <w:tcBorders>
              <w:top w:val="single" w:color="auto" w:sz="4" w:space="0"/>
              <w:left w:val="single" w:color="auto" w:sz="4" w:space="0"/>
              <w:bottom w:val="single" w:color="auto" w:sz="4" w:space="0"/>
              <w:right w:val="single" w:color="auto" w:sz="4" w:space="0"/>
            </w:tcBorders>
            <w:noWrap w:val="0"/>
            <w:vAlign w:val="center"/>
          </w:tcPr>
          <w:p w14:paraId="4CDA8D5B">
            <w:pPr>
              <w:pStyle w:val="31"/>
              <w:adjustRightInd w:val="0"/>
              <w:snapToGrid w:val="0"/>
              <w:spacing w:line="360" w:lineRule="auto"/>
              <w:rPr>
                <w:rFonts w:cs="宋体"/>
                <w:color w:val="auto"/>
                <w:sz w:val="24"/>
                <w:highlight w:val="none"/>
                <w:lang w:bidi="ar-SA"/>
              </w:rPr>
            </w:pPr>
            <w:r>
              <w:rPr>
                <w:rFonts w:hint="eastAsia" w:cs="宋体"/>
                <w:color w:val="auto"/>
                <w:sz w:val="24"/>
                <w:highlight w:val="none"/>
                <w:lang w:bidi="ar-SA"/>
              </w:rPr>
              <w:t>1</w:t>
            </w:r>
          </w:p>
        </w:tc>
        <w:tc>
          <w:tcPr>
            <w:tcW w:w="1952" w:type="dxa"/>
            <w:tcBorders>
              <w:top w:val="single" w:color="auto" w:sz="4" w:space="0"/>
              <w:left w:val="single" w:color="auto" w:sz="4" w:space="0"/>
              <w:bottom w:val="single" w:color="auto" w:sz="4" w:space="0"/>
              <w:right w:val="single" w:color="auto" w:sz="4" w:space="0"/>
            </w:tcBorders>
            <w:noWrap w:val="0"/>
            <w:vAlign w:val="center"/>
          </w:tcPr>
          <w:p w14:paraId="4A875681">
            <w:pPr>
              <w:pStyle w:val="31"/>
              <w:adjustRightInd w:val="0"/>
              <w:snapToGrid w:val="0"/>
              <w:spacing w:line="360" w:lineRule="auto"/>
              <w:rPr>
                <w:rFonts w:cs="宋体"/>
                <w:color w:val="auto"/>
                <w:sz w:val="24"/>
                <w:highlight w:val="none"/>
                <w:lang w:bidi="ar-SA"/>
              </w:rPr>
            </w:pPr>
          </w:p>
        </w:tc>
        <w:tc>
          <w:tcPr>
            <w:tcW w:w="3967" w:type="dxa"/>
            <w:tcBorders>
              <w:top w:val="single" w:color="auto" w:sz="4" w:space="0"/>
              <w:left w:val="single" w:color="auto" w:sz="4" w:space="0"/>
              <w:bottom w:val="single" w:color="auto" w:sz="4" w:space="0"/>
              <w:right w:val="single" w:color="auto" w:sz="4" w:space="0"/>
            </w:tcBorders>
            <w:noWrap w:val="0"/>
            <w:vAlign w:val="center"/>
          </w:tcPr>
          <w:p w14:paraId="4202217D">
            <w:pPr>
              <w:pStyle w:val="31"/>
              <w:adjustRightInd w:val="0"/>
              <w:snapToGrid w:val="0"/>
              <w:spacing w:line="360" w:lineRule="auto"/>
              <w:rPr>
                <w:rFonts w:cs="宋体"/>
                <w:color w:val="auto"/>
                <w:sz w:val="24"/>
                <w:highlight w:val="none"/>
                <w:lang w:bidi="ar-SA"/>
              </w:rPr>
            </w:pPr>
          </w:p>
        </w:tc>
        <w:tc>
          <w:tcPr>
            <w:tcW w:w="2053" w:type="dxa"/>
            <w:tcBorders>
              <w:top w:val="single" w:color="auto" w:sz="4" w:space="0"/>
              <w:left w:val="single" w:color="auto" w:sz="4" w:space="0"/>
              <w:bottom w:val="single" w:color="auto" w:sz="4" w:space="0"/>
              <w:right w:val="single" w:color="auto" w:sz="4" w:space="0"/>
            </w:tcBorders>
            <w:noWrap w:val="0"/>
            <w:vAlign w:val="center"/>
          </w:tcPr>
          <w:p w14:paraId="68E70C80">
            <w:pPr>
              <w:pStyle w:val="31"/>
              <w:adjustRightInd w:val="0"/>
              <w:snapToGrid w:val="0"/>
              <w:spacing w:line="360" w:lineRule="auto"/>
              <w:rPr>
                <w:rFonts w:cs="宋体"/>
                <w:color w:val="auto"/>
                <w:sz w:val="24"/>
                <w:highlight w:val="none"/>
                <w:lang w:bidi="ar-SA"/>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68D2E936">
            <w:pPr>
              <w:pStyle w:val="31"/>
              <w:adjustRightInd w:val="0"/>
              <w:snapToGrid w:val="0"/>
              <w:spacing w:line="360" w:lineRule="auto"/>
              <w:rPr>
                <w:rFonts w:cs="宋体"/>
                <w:color w:val="auto"/>
                <w:sz w:val="24"/>
                <w:highlight w:val="none"/>
                <w:lang w:bidi="ar-SA"/>
              </w:rPr>
            </w:pPr>
          </w:p>
        </w:tc>
      </w:tr>
      <w:tr w14:paraId="67C2C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48" w:type="dxa"/>
            <w:tcBorders>
              <w:top w:val="single" w:color="auto" w:sz="4" w:space="0"/>
              <w:left w:val="single" w:color="auto" w:sz="4" w:space="0"/>
              <w:bottom w:val="single" w:color="auto" w:sz="4" w:space="0"/>
              <w:right w:val="single" w:color="auto" w:sz="4" w:space="0"/>
            </w:tcBorders>
            <w:noWrap w:val="0"/>
            <w:vAlign w:val="center"/>
          </w:tcPr>
          <w:p w14:paraId="52454A9E">
            <w:pPr>
              <w:pStyle w:val="31"/>
              <w:adjustRightInd w:val="0"/>
              <w:snapToGrid w:val="0"/>
              <w:spacing w:line="360" w:lineRule="auto"/>
              <w:rPr>
                <w:rFonts w:cs="宋体"/>
                <w:color w:val="auto"/>
                <w:sz w:val="24"/>
                <w:highlight w:val="none"/>
                <w:lang w:bidi="ar-SA"/>
              </w:rPr>
            </w:pPr>
            <w:r>
              <w:rPr>
                <w:rFonts w:hint="eastAsia" w:cs="宋体"/>
                <w:color w:val="auto"/>
                <w:sz w:val="24"/>
                <w:highlight w:val="none"/>
                <w:lang w:bidi="ar-SA"/>
              </w:rPr>
              <w:t>2</w:t>
            </w:r>
          </w:p>
        </w:tc>
        <w:tc>
          <w:tcPr>
            <w:tcW w:w="1952" w:type="dxa"/>
            <w:tcBorders>
              <w:top w:val="single" w:color="auto" w:sz="4" w:space="0"/>
              <w:left w:val="single" w:color="auto" w:sz="4" w:space="0"/>
              <w:bottom w:val="single" w:color="auto" w:sz="4" w:space="0"/>
              <w:right w:val="single" w:color="auto" w:sz="4" w:space="0"/>
            </w:tcBorders>
            <w:noWrap w:val="0"/>
            <w:vAlign w:val="center"/>
          </w:tcPr>
          <w:p w14:paraId="265B6F11">
            <w:pPr>
              <w:pStyle w:val="31"/>
              <w:adjustRightInd w:val="0"/>
              <w:snapToGrid w:val="0"/>
              <w:spacing w:line="360" w:lineRule="auto"/>
              <w:rPr>
                <w:rFonts w:cs="宋体"/>
                <w:color w:val="auto"/>
                <w:sz w:val="24"/>
                <w:highlight w:val="none"/>
                <w:lang w:bidi="ar-SA"/>
              </w:rPr>
            </w:pPr>
          </w:p>
        </w:tc>
        <w:tc>
          <w:tcPr>
            <w:tcW w:w="3967" w:type="dxa"/>
            <w:tcBorders>
              <w:top w:val="single" w:color="auto" w:sz="4" w:space="0"/>
              <w:left w:val="single" w:color="auto" w:sz="4" w:space="0"/>
              <w:bottom w:val="single" w:color="auto" w:sz="4" w:space="0"/>
              <w:right w:val="single" w:color="auto" w:sz="4" w:space="0"/>
            </w:tcBorders>
            <w:noWrap w:val="0"/>
            <w:vAlign w:val="center"/>
          </w:tcPr>
          <w:p w14:paraId="3F1CBA7F">
            <w:pPr>
              <w:pStyle w:val="31"/>
              <w:adjustRightInd w:val="0"/>
              <w:snapToGrid w:val="0"/>
              <w:spacing w:line="360" w:lineRule="auto"/>
              <w:rPr>
                <w:rFonts w:cs="宋体"/>
                <w:color w:val="auto"/>
                <w:sz w:val="24"/>
                <w:highlight w:val="none"/>
                <w:lang w:bidi="ar-SA"/>
              </w:rPr>
            </w:pPr>
          </w:p>
        </w:tc>
        <w:tc>
          <w:tcPr>
            <w:tcW w:w="2053" w:type="dxa"/>
            <w:tcBorders>
              <w:top w:val="single" w:color="auto" w:sz="4" w:space="0"/>
              <w:left w:val="single" w:color="auto" w:sz="4" w:space="0"/>
              <w:bottom w:val="single" w:color="auto" w:sz="4" w:space="0"/>
              <w:right w:val="single" w:color="auto" w:sz="4" w:space="0"/>
            </w:tcBorders>
            <w:noWrap w:val="0"/>
            <w:vAlign w:val="center"/>
          </w:tcPr>
          <w:p w14:paraId="54199873">
            <w:pPr>
              <w:pStyle w:val="31"/>
              <w:adjustRightInd w:val="0"/>
              <w:snapToGrid w:val="0"/>
              <w:spacing w:line="360" w:lineRule="auto"/>
              <w:rPr>
                <w:rFonts w:cs="宋体"/>
                <w:color w:val="auto"/>
                <w:sz w:val="24"/>
                <w:highlight w:val="none"/>
                <w:lang w:bidi="ar-SA"/>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49E9A505">
            <w:pPr>
              <w:pStyle w:val="31"/>
              <w:adjustRightInd w:val="0"/>
              <w:snapToGrid w:val="0"/>
              <w:spacing w:line="360" w:lineRule="auto"/>
              <w:rPr>
                <w:rFonts w:cs="宋体"/>
                <w:color w:val="auto"/>
                <w:sz w:val="24"/>
                <w:highlight w:val="none"/>
                <w:lang w:bidi="ar-SA"/>
              </w:rPr>
            </w:pPr>
          </w:p>
        </w:tc>
      </w:tr>
      <w:tr w14:paraId="1D0A5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848" w:type="dxa"/>
            <w:tcBorders>
              <w:top w:val="single" w:color="auto" w:sz="4" w:space="0"/>
              <w:left w:val="single" w:color="auto" w:sz="4" w:space="0"/>
              <w:bottom w:val="single" w:color="auto" w:sz="4" w:space="0"/>
              <w:right w:val="single" w:color="auto" w:sz="4" w:space="0"/>
            </w:tcBorders>
            <w:noWrap w:val="0"/>
            <w:vAlign w:val="center"/>
          </w:tcPr>
          <w:p w14:paraId="0CA5FAA8">
            <w:pPr>
              <w:pStyle w:val="31"/>
              <w:adjustRightInd w:val="0"/>
              <w:snapToGrid w:val="0"/>
              <w:spacing w:line="360" w:lineRule="auto"/>
              <w:rPr>
                <w:rFonts w:cs="宋体"/>
                <w:color w:val="auto"/>
                <w:sz w:val="24"/>
                <w:highlight w:val="none"/>
                <w:lang w:bidi="ar-SA"/>
              </w:rPr>
            </w:pPr>
            <w:r>
              <w:rPr>
                <w:rFonts w:hint="eastAsia" w:cs="宋体"/>
                <w:color w:val="auto"/>
                <w:sz w:val="24"/>
                <w:highlight w:val="none"/>
                <w:lang w:bidi="ar-SA"/>
              </w:rPr>
              <w:t>3</w:t>
            </w:r>
          </w:p>
        </w:tc>
        <w:tc>
          <w:tcPr>
            <w:tcW w:w="1952" w:type="dxa"/>
            <w:tcBorders>
              <w:top w:val="single" w:color="auto" w:sz="4" w:space="0"/>
              <w:left w:val="single" w:color="auto" w:sz="4" w:space="0"/>
              <w:bottom w:val="single" w:color="auto" w:sz="4" w:space="0"/>
              <w:right w:val="single" w:color="auto" w:sz="4" w:space="0"/>
            </w:tcBorders>
            <w:noWrap w:val="0"/>
            <w:vAlign w:val="center"/>
          </w:tcPr>
          <w:p w14:paraId="7B7FAD9B">
            <w:pPr>
              <w:pStyle w:val="31"/>
              <w:adjustRightInd w:val="0"/>
              <w:snapToGrid w:val="0"/>
              <w:spacing w:line="360" w:lineRule="auto"/>
              <w:rPr>
                <w:rFonts w:cs="宋体"/>
                <w:color w:val="auto"/>
                <w:sz w:val="24"/>
                <w:highlight w:val="none"/>
                <w:lang w:bidi="ar-SA"/>
              </w:rPr>
            </w:pPr>
          </w:p>
        </w:tc>
        <w:tc>
          <w:tcPr>
            <w:tcW w:w="3967" w:type="dxa"/>
            <w:tcBorders>
              <w:top w:val="single" w:color="auto" w:sz="4" w:space="0"/>
              <w:left w:val="single" w:color="auto" w:sz="4" w:space="0"/>
              <w:bottom w:val="single" w:color="auto" w:sz="4" w:space="0"/>
              <w:right w:val="single" w:color="auto" w:sz="4" w:space="0"/>
            </w:tcBorders>
            <w:noWrap w:val="0"/>
            <w:vAlign w:val="center"/>
          </w:tcPr>
          <w:p w14:paraId="43154CD8">
            <w:pPr>
              <w:pStyle w:val="31"/>
              <w:adjustRightInd w:val="0"/>
              <w:snapToGrid w:val="0"/>
              <w:spacing w:line="360" w:lineRule="auto"/>
              <w:rPr>
                <w:rFonts w:cs="宋体"/>
                <w:color w:val="auto"/>
                <w:sz w:val="24"/>
                <w:highlight w:val="none"/>
                <w:lang w:bidi="ar-SA"/>
              </w:rPr>
            </w:pPr>
          </w:p>
        </w:tc>
        <w:tc>
          <w:tcPr>
            <w:tcW w:w="2053" w:type="dxa"/>
            <w:tcBorders>
              <w:top w:val="single" w:color="auto" w:sz="4" w:space="0"/>
              <w:left w:val="single" w:color="auto" w:sz="4" w:space="0"/>
              <w:bottom w:val="single" w:color="auto" w:sz="4" w:space="0"/>
              <w:right w:val="single" w:color="auto" w:sz="4" w:space="0"/>
            </w:tcBorders>
            <w:noWrap w:val="0"/>
            <w:vAlign w:val="center"/>
          </w:tcPr>
          <w:p w14:paraId="7215E2D0">
            <w:pPr>
              <w:pStyle w:val="31"/>
              <w:adjustRightInd w:val="0"/>
              <w:snapToGrid w:val="0"/>
              <w:spacing w:line="360" w:lineRule="auto"/>
              <w:rPr>
                <w:rFonts w:cs="宋体"/>
                <w:color w:val="auto"/>
                <w:sz w:val="24"/>
                <w:highlight w:val="none"/>
                <w:lang w:bidi="ar-SA"/>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31E53F8B">
            <w:pPr>
              <w:pStyle w:val="31"/>
              <w:adjustRightInd w:val="0"/>
              <w:snapToGrid w:val="0"/>
              <w:spacing w:line="360" w:lineRule="auto"/>
              <w:rPr>
                <w:rFonts w:cs="宋体"/>
                <w:color w:val="auto"/>
                <w:sz w:val="24"/>
                <w:highlight w:val="none"/>
                <w:lang w:bidi="ar-SA"/>
              </w:rPr>
            </w:pPr>
          </w:p>
        </w:tc>
      </w:tr>
      <w:tr w14:paraId="0ED901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848" w:type="dxa"/>
            <w:tcBorders>
              <w:top w:val="single" w:color="auto" w:sz="4" w:space="0"/>
              <w:left w:val="single" w:color="auto" w:sz="4" w:space="0"/>
              <w:bottom w:val="single" w:color="auto" w:sz="4" w:space="0"/>
              <w:right w:val="single" w:color="auto" w:sz="4" w:space="0"/>
            </w:tcBorders>
            <w:noWrap w:val="0"/>
            <w:vAlign w:val="center"/>
          </w:tcPr>
          <w:p w14:paraId="63E7323C">
            <w:pPr>
              <w:pStyle w:val="31"/>
              <w:adjustRightInd w:val="0"/>
              <w:snapToGrid w:val="0"/>
              <w:spacing w:line="360" w:lineRule="auto"/>
              <w:rPr>
                <w:rFonts w:cs="宋体"/>
                <w:color w:val="auto"/>
                <w:sz w:val="24"/>
                <w:highlight w:val="none"/>
                <w:lang w:bidi="ar-SA"/>
              </w:rPr>
            </w:pPr>
            <w:r>
              <w:rPr>
                <w:rFonts w:hint="eastAsia" w:cs="宋体"/>
                <w:color w:val="auto"/>
                <w:sz w:val="24"/>
                <w:highlight w:val="none"/>
                <w:lang w:bidi="ar-SA"/>
              </w:rPr>
              <w:t>4</w:t>
            </w:r>
          </w:p>
        </w:tc>
        <w:tc>
          <w:tcPr>
            <w:tcW w:w="1952" w:type="dxa"/>
            <w:tcBorders>
              <w:top w:val="single" w:color="auto" w:sz="4" w:space="0"/>
              <w:left w:val="single" w:color="auto" w:sz="4" w:space="0"/>
              <w:bottom w:val="single" w:color="auto" w:sz="4" w:space="0"/>
              <w:right w:val="single" w:color="auto" w:sz="4" w:space="0"/>
            </w:tcBorders>
            <w:noWrap w:val="0"/>
            <w:vAlign w:val="center"/>
          </w:tcPr>
          <w:p w14:paraId="15532703">
            <w:pPr>
              <w:pStyle w:val="31"/>
              <w:adjustRightInd w:val="0"/>
              <w:snapToGrid w:val="0"/>
              <w:spacing w:line="360" w:lineRule="auto"/>
              <w:rPr>
                <w:rFonts w:cs="宋体"/>
                <w:color w:val="auto"/>
                <w:sz w:val="24"/>
                <w:highlight w:val="none"/>
                <w:lang w:bidi="ar-SA"/>
              </w:rPr>
            </w:pPr>
          </w:p>
        </w:tc>
        <w:tc>
          <w:tcPr>
            <w:tcW w:w="3967" w:type="dxa"/>
            <w:tcBorders>
              <w:top w:val="single" w:color="auto" w:sz="4" w:space="0"/>
              <w:left w:val="single" w:color="auto" w:sz="4" w:space="0"/>
              <w:bottom w:val="single" w:color="auto" w:sz="4" w:space="0"/>
              <w:right w:val="single" w:color="auto" w:sz="4" w:space="0"/>
            </w:tcBorders>
            <w:noWrap w:val="0"/>
            <w:vAlign w:val="center"/>
          </w:tcPr>
          <w:p w14:paraId="38A82406">
            <w:pPr>
              <w:pStyle w:val="31"/>
              <w:adjustRightInd w:val="0"/>
              <w:snapToGrid w:val="0"/>
              <w:spacing w:line="360" w:lineRule="auto"/>
              <w:rPr>
                <w:rFonts w:cs="宋体"/>
                <w:color w:val="auto"/>
                <w:sz w:val="24"/>
                <w:highlight w:val="none"/>
                <w:lang w:bidi="ar-SA"/>
              </w:rPr>
            </w:pPr>
          </w:p>
        </w:tc>
        <w:tc>
          <w:tcPr>
            <w:tcW w:w="2053" w:type="dxa"/>
            <w:tcBorders>
              <w:top w:val="single" w:color="auto" w:sz="4" w:space="0"/>
              <w:left w:val="single" w:color="auto" w:sz="4" w:space="0"/>
              <w:bottom w:val="single" w:color="auto" w:sz="4" w:space="0"/>
              <w:right w:val="single" w:color="auto" w:sz="4" w:space="0"/>
            </w:tcBorders>
            <w:noWrap w:val="0"/>
            <w:vAlign w:val="center"/>
          </w:tcPr>
          <w:p w14:paraId="4B651745">
            <w:pPr>
              <w:pStyle w:val="31"/>
              <w:adjustRightInd w:val="0"/>
              <w:snapToGrid w:val="0"/>
              <w:spacing w:line="360" w:lineRule="auto"/>
              <w:rPr>
                <w:rFonts w:cs="宋体"/>
                <w:color w:val="auto"/>
                <w:sz w:val="24"/>
                <w:highlight w:val="none"/>
                <w:lang w:bidi="ar-SA"/>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39821AF2">
            <w:pPr>
              <w:pStyle w:val="31"/>
              <w:adjustRightInd w:val="0"/>
              <w:snapToGrid w:val="0"/>
              <w:spacing w:line="360" w:lineRule="auto"/>
              <w:rPr>
                <w:rFonts w:cs="宋体"/>
                <w:color w:val="auto"/>
                <w:sz w:val="24"/>
                <w:highlight w:val="none"/>
                <w:lang w:bidi="ar-SA"/>
              </w:rPr>
            </w:pPr>
          </w:p>
        </w:tc>
      </w:tr>
      <w:tr w14:paraId="57E20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848" w:type="dxa"/>
            <w:tcBorders>
              <w:top w:val="single" w:color="auto" w:sz="4" w:space="0"/>
              <w:left w:val="single" w:color="auto" w:sz="4" w:space="0"/>
              <w:bottom w:val="single" w:color="auto" w:sz="4" w:space="0"/>
              <w:right w:val="single" w:color="auto" w:sz="4" w:space="0"/>
            </w:tcBorders>
            <w:noWrap w:val="0"/>
            <w:vAlign w:val="center"/>
          </w:tcPr>
          <w:p w14:paraId="45FAD941">
            <w:pPr>
              <w:pStyle w:val="31"/>
              <w:adjustRightInd w:val="0"/>
              <w:snapToGrid w:val="0"/>
              <w:spacing w:line="360" w:lineRule="auto"/>
              <w:rPr>
                <w:rFonts w:cs="宋体"/>
                <w:color w:val="auto"/>
                <w:sz w:val="24"/>
                <w:highlight w:val="none"/>
                <w:lang w:bidi="ar-SA"/>
              </w:rPr>
            </w:pPr>
            <w:r>
              <w:rPr>
                <w:rFonts w:hint="eastAsia" w:cs="宋体"/>
                <w:color w:val="auto"/>
                <w:sz w:val="24"/>
                <w:highlight w:val="none"/>
                <w:lang w:bidi="ar-SA"/>
              </w:rPr>
              <w:t>5</w:t>
            </w:r>
          </w:p>
        </w:tc>
        <w:tc>
          <w:tcPr>
            <w:tcW w:w="1952" w:type="dxa"/>
            <w:tcBorders>
              <w:top w:val="single" w:color="auto" w:sz="4" w:space="0"/>
              <w:left w:val="single" w:color="auto" w:sz="4" w:space="0"/>
              <w:bottom w:val="single" w:color="auto" w:sz="4" w:space="0"/>
              <w:right w:val="single" w:color="auto" w:sz="4" w:space="0"/>
            </w:tcBorders>
            <w:noWrap w:val="0"/>
            <w:vAlign w:val="center"/>
          </w:tcPr>
          <w:p w14:paraId="3FB6512E">
            <w:pPr>
              <w:pStyle w:val="31"/>
              <w:adjustRightInd w:val="0"/>
              <w:snapToGrid w:val="0"/>
              <w:spacing w:line="360" w:lineRule="auto"/>
              <w:rPr>
                <w:rFonts w:cs="宋体"/>
                <w:color w:val="auto"/>
                <w:sz w:val="24"/>
                <w:highlight w:val="none"/>
                <w:lang w:bidi="ar-SA"/>
              </w:rPr>
            </w:pPr>
          </w:p>
        </w:tc>
        <w:tc>
          <w:tcPr>
            <w:tcW w:w="3967" w:type="dxa"/>
            <w:tcBorders>
              <w:top w:val="single" w:color="auto" w:sz="4" w:space="0"/>
              <w:left w:val="single" w:color="auto" w:sz="4" w:space="0"/>
              <w:bottom w:val="single" w:color="auto" w:sz="4" w:space="0"/>
              <w:right w:val="single" w:color="auto" w:sz="4" w:space="0"/>
            </w:tcBorders>
            <w:noWrap w:val="0"/>
            <w:vAlign w:val="center"/>
          </w:tcPr>
          <w:p w14:paraId="1DFCD3D4">
            <w:pPr>
              <w:pStyle w:val="31"/>
              <w:adjustRightInd w:val="0"/>
              <w:snapToGrid w:val="0"/>
              <w:spacing w:line="360" w:lineRule="auto"/>
              <w:rPr>
                <w:rFonts w:cs="宋体"/>
                <w:color w:val="auto"/>
                <w:sz w:val="24"/>
                <w:highlight w:val="none"/>
                <w:lang w:bidi="ar-SA"/>
              </w:rPr>
            </w:pPr>
          </w:p>
        </w:tc>
        <w:tc>
          <w:tcPr>
            <w:tcW w:w="2053" w:type="dxa"/>
            <w:tcBorders>
              <w:top w:val="single" w:color="auto" w:sz="4" w:space="0"/>
              <w:left w:val="single" w:color="auto" w:sz="4" w:space="0"/>
              <w:bottom w:val="single" w:color="auto" w:sz="4" w:space="0"/>
              <w:right w:val="single" w:color="auto" w:sz="4" w:space="0"/>
            </w:tcBorders>
            <w:noWrap w:val="0"/>
            <w:vAlign w:val="center"/>
          </w:tcPr>
          <w:p w14:paraId="32206F80">
            <w:pPr>
              <w:pStyle w:val="31"/>
              <w:adjustRightInd w:val="0"/>
              <w:snapToGrid w:val="0"/>
              <w:spacing w:line="360" w:lineRule="auto"/>
              <w:rPr>
                <w:rFonts w:cs="宋体"/>
                <w:color w:val="auto"/>
                <w:sz w:val="24"/>
                <w:highlight w:val="none"/>
                <w:lang w:bidi="ar-SA"/>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302BF210">
            <w:pPr>
              <w:pStyle w:val="31"/>
              <w:adjustRightInd w:val="0"/>
              <w:snapToGrid w:val="0"/>
              <w:spacing w:line="360" w:lineRule="auto"/>
              <w:rPr>
                <w:rFonts w:cs="宋体"/>
                <w:color w:val="auto"/>
                <w:sz w:val="24"/>
                <w:highlight w:val="none"/>
                <w:lang w:bidi="ar-SA"/>
              </w:rPr>
            </w:pPr>
          </w:p>
        </w:tc>
      </w:tr>
      <w:tr w14:paraId="102CB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848" w:type="dxa"/>
            <w:tcBorders>
              <w:top w:val="single" w:color="auto" w:sz="4" w:space="0"/>
              <w:left w:val="single" w:color="auto" w:sz="4" w:space="0"/>
              <w:bottom w:val="single" w:color="auto" w:sz="4" w:space="0"/>
              <w:right w:val="single" w:color="auto" w:sz="4" w:space="0"/>
            </w:tcBorders>
            <w:noWrap w:val="0"/>
            <w:vAlign w:val="center"/>
          </w:tcPr>
          <w:p w14:paraId="55E22F2F">
            <w:pPr>
              <w:pStyle w:val="31"/>
              <w:adjustRightInd w:val="0"/>
              <w:snapToGrid w:val="0"/>
              <w:spacing w:line="360" w:lineRule="auto"/>
              <w:rPr>
                <w:rFonts w:cs="宋体"/>
                <w:color w:val="auto"/>
                <w:sz w:val="24"/>
                <w:highlight w:val="none"/>
                <w:lang w:bidi="ar-SA"/>
              </w:rPr>
            </w:pPr>
          </w:p>
        </w:tc>
        <w:tc>
          <w:tcPr>
            <w:tcW w:w="1952" w:type="dxa"/>
            <w:tcBorders>
              <w:top w:val="single" w:color="auto" w:sz="4" w:space="0"/>
              <w:left w:val="single" w:color="auto" w:sz="4" w:space="0"/>
              <w:bottom w:val="single" w:color="auto" w:sz="4" w:space="0"/>
              <w:right w:val="single" w:color="auto" w:sz="4" w:space="0"/>
            </w:tcBorders>
            <w:noWrap w:val="0"/>
            <w:vAlign w:val="center"/>
          </w:tcPr>
          <w:p w14:paraId="45AE8FC1">
            <w:pPr>
              <w:pStyle w:val="31"/>
              <w:adjustRightInd w:val="0"/>
              <w:snapToGrid w:val="0"/>
              <w:spacing w:line="360" w:lineRule="auto"/>
              <w:rPr>
                <w:rFonts w:cs="宋体"/>
                <w:color w:val="auto"/>
                <w:sz w:val="24"/>
                <w:highlight w:val="none"/>
                <w:lang w:bidi="ar-SA"/>
              </w:rPr>
            </w:pPr>
          </w:p>
        </w:tc>
        <w:tc>
          <w:tcPr>
            <w:tcW w:w="3967" w:type="dxa"/>
            <w:tcBorders>
              <w:top w:val="single" w:color="auto" w:sz="4" w:space="0"/>
              <w:left w:val="single" w:color="auto" w:sz="4" w:space="0"/>
              <w:bottom w:val="single" w:color="auto" w:sz="4" w:space="0"/>
              <w:right w:val="single" w:color="auto" w:sz="4" w:space="0"/>
            </w:tcBorders>
            <w:noWrap w:val="0"/>
            <w:vAlign w:val="center"/>
          </w:tcPr>
          <w:p w14:paraId="5FCF697B">
            <w:pPr>
              <w:pStyle w:val="31"/>
              <w:adjustRightInd w:val="0"/>
              <w:snapToGrid w:val="0"/>
              <w:spacing w:line="360" w:lineRule="auto"/>
              <w:rPr>
                <w:rFonts w:cs="宋体"/>
                <w:color w:val="auto"/>
                <w:sz w:val="24"/>
                <w:highlight w:val="none"/>
                <w:lang w:bidi="ar-SA"/>
              </w:rPr>
            </w:pPr>
          </w:p>
        </w:tc>
        <w:tc>
          <w:tcPr>
            <w:tcW w:w="2053" w:type="dxa"/>
            <w:tcBorders>
              <w:top w:val="single" w:color="auto" w:sz="4" w:space="0"/>
              <w:left w:val="single" w:color="auto" w:sz="4" w:space="0"/>
              <w:bottom w:val="single" w:color="auto" w:sz="4" w:space="0"/>
              <w:right w:val="single" w:color="auto" w:sz="4" w:space="0"/>
            </w:tcBorders>
            <w:noWrap w:val="0"/>
            <w:vAlign w:val="center"/>
          </w:tcPr>
          <w:p w14:paraId="7A632E1C">
            <w:pPr>
              <w:pStyle w:val="31"/>
              <w:adjustRightInd w:val="0"/>
              <w:snapToGrid w:val="0"/>
              <w:spacing w:line="360" w:lineRule="auto"/>
              <w:rPr>
                <w:rFonts w:cs="宋体"/>
                <w:color w:val="auto"/>
                <w:sz w:val="24"/>
                <w:highlight w:val="none"/>
                <w:lang w:bidi="ar-SA"/>
              </w:rPr>
            </w:pPr>
          </w:p>
        </w:tc>
        <w:tc>
          <w:tcPr>
            <w:tcW w:w="1035" w:type="dxa"/>
            <w:tcBorders>
              <w:top w:val="single" w:color="auto" w:sz="4" w:space="0"/>
              <w:left w:val="single" w:color="auto" w:sz="4" w:space="0"/>
              <w:bottom w:val="single" w:color="auto" w:sz="4" w:space="0"/>
              <w:right w:val="single" w:color="auto" w:sz="4" w:space="0"/>
            </w:tcBorders>
            <w:noWrap w:val="0"/>
            <w:vAlign w:val="center"/>
          </w:tcPr>
          <w:p w14:paraId="4C5C71C5">
            <w:pPr>
              <w:pStyle w:val="31"/>
              <w:adjustRightInd w:val="0"/>
              <w:snapToGrid w:val="0"/>
              <w:spacing w:line="360" w:lineRule="auto"/>
              <w:rPr>
                <w:rFonts w:cs="宋体"/>
                <w:color w:val="auto"/>
                <w:sz w:val="24"/>
                <w:highlight w:val="none"/>
                <w:lang w:bidi="ar-SA"/>
              </w:rPr>
            </w:pPr>
          </w:p>
        </w:tc>
      </w:tr>
    </w:tbl>
    <w:p w14:paraId="4B0E3762">
      <w:pPr>
        <w:pStyle w:val="49"/>
        <w:rPr>
          <w:rFonts w:ascii="宋体" w:hAnsi="宋体" w:cs="宋体"/>
          <w:color w:val="auto"/>
          <w:highlight w:val="none"/>
          <w:lang w:bidi="ar-SA"/>
        </w:rPr>
      </w:pPr>
    </w:p>
    <w:p w14:paraId="59177DE5">
      <w:pPr>
        <w:pStyle w:val="49"/>
        <w:rPr>
          <w:rFonts w:ascii="宋体" w:hAnsi="宋体" w:cs="宋体"/>
          <w:color w:val="auto"/>
          <w:highlight w:val="none"/>
          <w:lang w:bidi="ar-SA"/>
        </w:rPr>
      </w:pPr>
    </w:p>
    <w:p w14:paraId="0B6553CF">
      <w:pPr>
        <w:adjustRightInd w:val="0"/>
        <w:snapToGrid w:val="0"/>
        <w:spacing w:line="360" w:lineRule="auto"/>
        <w:jc w:val="center"/>
        <w:rPr>
          <w:rFonts w:hint="eastAsia" w:ascii="宋体" w:cs="宋体"/>
          <w:b/>
          <w:color w:val="auto"/>
          <w:sz w:val="30"/>
          <w:szCs w:val="30"/>
          <w:highlight w:val="none"/>
          <w:lang w:bidi="ar-SA"/>
        </w:rPr>
      </w:pPr>
    </w:p>
    <w:p w14:paraId="281D8A91">
      <w:pPr>
        <w:adjustRightInd w:val="0"/>
        <w:snapToGrid w:val="0"/>
        <w:spacing w:line="360" w:lineRule="auto"/>
        <w:jc w:val="center"/>
        <w:rPr>
          <w:rFonts w:hint="eastAsia" w:ascii="宋体" w:cs="宋体"/>
          <w:b/>
          <w:color w:val="auto"/>
          <w:sz w:val="30"/>
          <w:szCs w:val="30"/>
          <w:highlight w:val="none"/>
          <w:lang w:bidi="ar-SA"/>
        </w:rPr>
      </w:pPr>
    </w:p>
    <w:p w14:paraId="2BAF6795">
      <w:pPr>
        <w:tabs>
          <w:tab w:val="left" w:pos="5387"/>
        </w:tabs>
        <w:spacing w:line="360" w:lineRule="auto"/>
        <w:rPr>
          <w:rFonts w:cs="Arial"/>
          <w:iCs/>
          <w:color w:val="auto"/>
          <w:sz w:val="24"/>
          <w:highlight w:val="none"/>
          <w:lang w:bidi="ar-SA"/>
        </w:rPr>
      </w:pPr>
      <w:r>
        <w:rPr>
          <w:rFonts w:hint="eastAsia" w:cs="Arial"/>
          <w:iCs/>
          <w:color w:val="auto"/>
          <w:sz w:val="24"/>
          <w:highlight w:val="none"/>
          <w:lang w:bidi="ar-SA"/>
        </w:rPr>
        <w:t>投标人：（盖章）</w:t>
      </w:r>
    </w:p>
    <w:p w14:paraId="2C6771D6">
      <w:pPr>
        <w:spacing w:line="360" w:lineRule="auto"/>
        <w:ind w:right="-4" w:rightChars="-2"/>
        <w:rPr>
          <w:rFonts w:cs="Arial"/>
          <w:iCs/>
          <w:color w:val="auto"/>
          <w:sz w:val="24"/>
          <w:highlight w:val="none"/>
          <w:lang w:bidi="ar-SA"/>
        </w:rPr>
      </w:pPr>
      <w:r>
        <w:rPr>
          <w:color w:val="auto"/>
          <w:sz w:val="24"/>
          <w:highlight w:val="none"/>
        </w:rPr>
        <w:t>法定代表人或其委托代理人：（签字</w:t>
      </w:r>
      <w:r>
        <w:rPr>
          <w:rFonts w:hint="eastAsia"/>
          <w:color w:val="auto"/>
          <w:sz w:val="24"/>
          <w:highlight w:val="none"/>
        </w:rPr>
        <w:t>或盖章</w:t>
      </w:r>
      <w:r>
        <w:rPr>
          <w:color w:val="auto"/>
          <w:sz w:val="24"/>
          <w:highlight w:val="none"/>
        </w:rPr>
        <w:t>）</w:t>
      </w:r>
    </w:p>
    <w:p w14:paraId="79BD2FFB">
      <w:pPr>
        <w:rPr>
          <w:rFonts w:cs="Arial"/>
          <w:iCs/>
          <w:color w:val="auto"/>
          <w:sz w:val="24"/>
          <w:highlight w:val="none"/>
          <w:lang w:bidi="ar-SA"/>
        </w:rPr>
      </w:pPr>
      <w:r>
        <w:rPr>
          <w:rFonts w:hint="eastAsia" w:cs="Arial"/>
          <w:iCs/>
          <w:color w:val="auto"/>
          <w:sz w:val="24"/>
          <w:highlight w:val="none"/>
          <w:lang w:bidi="ar-SA"/>
        </w:rPr>
        <w:t>日期：年月日</w:t>
      </w:r>
    </w:p>
    <w:p w14:paraId="380707A0">
      <w:pPr>
        <w:adjustRightInd w:val="0"/>
        <w:snapToGrid w:val="0"/>
        <w:spacing w:line="360" w:lineRule="auto"/>
        <w:jc w:val="center"/>
        <w:rPr>
          <w:rFonts w:hint="eastAsia" w:ascii="宋体" w:cs="宋体"/>
          <w:b/>
          <w:color w:val="auto"/>
          <w:sz w:val="30"/>
          <w:szCs w:val="30"/>
          <w:highlight w:val="none"/>
          <w:lang w:bidi="ar-SA"/>
        </w:rPr>
      </w:pPr>
    </w:p>
    <w:p w14:paraId="15844C0C">
      <w:pPr>
        <w:jc w:val="left"/>
        <w:rPr>
          <w:rFonts w:ascii="黑体" w:hAnsi="宋体" w:eastAsia="黑体"/>
          <w:sz w:val="24"/>
        </w:rPr>
      </w:pPr>
    </w:p>
    <w:p w14:paraId="487A0EAF">
      <w:pPr>
        <w:jc w:val="left"/>
        <w:rPr>
          <w:rFonts w:ascii="黑体" w:hAnsi="宋体" w:eastAsia="黑体"/>
          <w:sz w:val="24"/>
        </w:rPr>
      </w:pPr>
    </w:p>
    <w:p w14:paraId="062D4104">
      <w:pPr>
        <w:tabs>
          <w:tab w:val="right" w:leader="dot" w:pos="8295"/>
        </w:tabs>
        <w:adjustRightInd w:val="0"/>
        <w:snapToGrid w:val="0"/>
        <w:spacing w:line="360" w:lineRule="auto"/>
        <w:contextualSpacing/>
        <w:jc w:val="center"/>
        <w:rPr>
          <w:rFonts w:hint="eastAsia" w:ascii="宋体"/>
          <w:b/>
          <w:color w:val="auto"/>
          <w:sz w:val="30"/>
          <w:szCs w:val="30"/>
          <w:highlight w:val="none"/>
        </w:rPr>
      </w:pPr>
    </w:p>
    <w:p w14:paraId="69E6942D">
      <w:pPr>
        <w:tabs>
          <w:tab w:val="right" w:leader="dot" w:pos="8295"/>
        </w:tabs>
        <w:adjustRightInd w:val="0"/>
        <w:snapToGrid w:val="0"/>
        <w:spacing w:line="360" w:lineRule="auto"/>
        <w:contextualSpacing/>
        <w:jc w:val="center"/>
        <w:rPr>
          <w:rFonts w:hint="eastAsia" w:ascii="宋体"/>
          <w:b/>
          <w:color w:val="auto"/>
          <w:sz w:val="30"/>
          <w:szCs w:val="30"/>
          <w:highlight w:val="none"/>
        </w:rPr>
      </w:pPr>
    </w:p>
    <w:p w14:paraId="28FC4CCB">
      <w:pPr>
        <w:tabs>
          <w:tab w:val="right" w:leader="dot" w:pos="8295"/>
        </w:tabs>
        <w:adjustRightInd w:val="0"/>
        <w:snapToGrid w:val="0"/>
        <w:spacing w:line="360" w:lineRule="auto"/>
        <w:contextualSpacing/>
        <w:jc w:val="center"/>
        <w:rPr>
          <w:rFonts w:hint="eastAsia" w:ascii="宋体"/>
          <w:b/>
          <w:color w:val="auto"/>
          <w:sz w:val="30"/>
          <w:szCs w:val="30"/>
          <w:highlight w:val="none"/>
        </w:rPr>
      </w:pPr>
    </w:p>
    <w:p w14:paraId="2986F7D1">
      <w:pPr>
        <w:tabs>
          <w:tab w:val="right" w:leader="dot" w:pos="8295"/>
        </w:tabs>
        <w:adjustRightInd w:val="0"/>
        <w:snapToGrid w:val="0"/>
        <w:spacing w:line="360" w:lineRule="auto"/>
        <w:contextualSpacing/>
        <w:jc w:val="center"/>
        <w:rPr>
          <w:rFonts w:hint="eastAsia" w:ascii="宋体"/>
          <w:b/>
          <w:color w:val="auto"/>
          <w:sz w:val="30"/>
          <w:szCs w:val="30"/>
          <w:highlight w:val="none"/>
        </w:rPr>
      </w:pPr>
    </w:p>
    <w:p w14:paraId="1949121F">
      <w:pPr>
        <w:tabs>
          <w:tab w:val="right" w:leader="dot" w:pos="8295"/>
        </w:tabs>
        <w:adjustRightInd w:val="0"/>
        <w:snapToGrid w:val="0"/>
        <w:spacing w:line="360" w:lineRule="auto"/>
        <w:contextualSpacing/>
        <w:jc w:val="center"/>
        <w:rPr>
          <w:rFonts w:hint="eastAsia" w:ascii="宋体"/>
          <w:b/>
          <w:color w:val="auto"/>
          <w:sz w:val="30"/>
          <w:szCs w:val="30"/>
          <w:highlight w:val="none"/>
        </w:rPr>
      </w:pPr>
    </w:p>
    <w:p w14:paraId="62CC40B5">
      <w:pPr>
        <w:tabs>
          <w:tab w:val="right" w:leader="dot" w:pos="8295"/>
        </w:tabs>
        <w:adjustRightInd w:val="0"/>
        <w:snapToGrid w:val="0"/>
        <w:spacing w:line="360" w:lineRule="auto"/>
        <w:contextualSpacing/>
        <w:jc w:val="both"/>
        <w:rPr>
          <w:rFonts w:hint="eastAsia" w:ascii="宋体"/>
          <w:b/>
          <w:color w:val="auto"/>
          <w:sz w:val="30"/>
          <w:szCs w:val="30"/>
          <w:highlight w:val="none"/>
        </w:rPr>
      </w:pPr>
    </w:p>
    <w:p w14:paraId="578CF730">
      <w:pPr>
        <w:tabs>
          <w:tab w:val="right" w:leader="dot" w:pos="8295"/>
        </w:tabs>
        <w:adjustRightInd w:val="0"/>
        <w:snapToGrid w:val="0"/>
        <w:spacing w:line="360" w:lineRule="auto"/>
        <w:contextualSpacing/>
        <w:jc w:val="center"/>
        <w:rPr>
          <w:rFonts w:hint="eastAsia" w:ascii="宋体"/>
          <w:b/>
          <w:color w:val="auto"/>
          <w:sz w:val="30"/>
          <w:szCs w:val="30"/>
          <w:highlight w:val="none"/>
        </w:rPr>
      </w:pPr>
    </w:p>
    <w:p w14:paraId="3E53EFDE">
      <w:pPr>
        <w:tabs>
          <w:tab w:val="right" w:leader="dot" w:pos="8295"/>
        </w:tabs>
        <w:adjustRightInd w:val="0"/>
        <w:snapToGrid w:val="0"/>
        <w:spacing w:line="360" w:lineRule="auto"/>
        <w:contextualSpacing/>
        <w:jc w:val="center"/>
        <w:rPr>
          <w:rFonts w:hint="eastAsia" w:ascii="宋体"/>
          <w:b/>
          <w:color w:val="auto"/>
          <w:sz w:val="30"/>
          <w:szCs w:val="30"/>
          <w:highlight w:val="none"/>
        </w:rPr>
      </w:pPr>
    </w:p>
    <w:p w14:paraId="5225C7E7">
      <w:pPr>
        <w:tabs>
          <w:tab w:val="right" w:leader="dot" w:pos="8295"/>
        </w:tabs>
        <w:adjustRightInd w:val="0"/>
        <w:snapToGrid w:val="0"/>
        <w:spacing w:line="360" w:lineRule="auto"/>
        <w:contextualSpacing/>
        <w:jc w:val="center"/>
        <w:rPr>
          <w:rFonts w:hint="eastAsia" w:ascii="宋体"/>
          <w:b/>
          <w:color w:val="auto"/>
          <w:sz w:val="30"/>
          <w:szCs w:val="30"/>
          <w:highlight w:val="none"/>
        </w:rPr>
      </w:pPr>
      <w:r>
        <w:rPr>
          <w:rFonts w:hint="eastAsia" w:ascii="宋体"/>
          <w:b/>
          <w:color w:val="auto"/>
          <w:sz w:val="30"/>
          <w:szCs w:val="30"/>
          <w:highlight w:val="none"/>
        </w:rPr>
        <w:t>投标人资格承诺函</w:t>
      </w:r>
    </w:p>
    <w:p w14:paraId="683717A0">
      <w:pPr>
        <w:adjustRightInd w:val="0"/>
        <w:snapToGrid w:val="0"/>
        <w:spacing w:line="360" w:lineRule="auto"/>
        <w:contextualSpacing/>
        <w:rPr>
          <w:rFonts w:hint="eastAsia" w:ascii="宋体"/>
          <w:color w:val="auto"/>
          <w:sz w:val="24"/>
          <w:szCs w:val="20"/>
          <w:highlight w:val="none"/>
        </w:rPr>
      </w:pPr>
      <w:r>
        <w:rPr>
          <w:rFonts w:hint="eastAsia" w:ascii="宋体"/>
          <w:color w:val="auto"/>
          <w:sz w:val="24"/>
          <w:highlight w:val="none"/>
        </w:rPr>
        <w:t>致：</w:t>
      </w:r>
      <w:r>
        <w:rPr>
          <w:rFonts w:hint="eastAsia" w:ascii="宋体" w:hAnsi="宋体"/>
          <w:sz w:val="24"/>
          <w:u w:val="single"/>
        </w:rPr>
        <w:t>浙江巨化股份有限公司、浙江巨化化工材料有限公司</w:t>
      </w:r>
      <w:r>
        <w:rPr>
          <w:rFonts w:hint="eastAsia" w:ascii="宋体"/>
          <w:color w:val="auto"/>
          <w:sz w:val="24"/>
          <w:highlight w:val="none"/>
        </w:rPr>
        <w:t>：</w:t>
      </w:r>
    </w:p>
    <w:p w14:paraId="6EEEBF19">
      <w:pPr>
        <w:snapToGrid w:val="0"/>
        <w:spacing w:line="360" w:lineRule="auto"/>
        <w:ind w:firstLine="720" w:firstLineChars="300"/>
        <w:rPr>
          <w:rFonts w:hint="eastAsia" w:ascii="宋体"/>
          <w:color w:val="auto"/>
          <w:sz w:val="24"/>
          <w:szCs w:val="20"/>
          <w:highlight w:val="none"/>
        </w:rPr>
      </w:pPr>
      <w:r>
        <w:rPr>
          <w:rFonts w:hint="eastAsia" w:ascii="宋体"/>
          <w:color w:val="auto"/>
          <w:sz w:val="24"/>
          <w:highlight w:val="none"/>
          <w:u w:val="single"/>
        </w:rPr>
        <w:t xml:space="preserve">                       </w:t>
      </w:r>
      <w:r>
        <w:rPr>
          <w:rFonts w:hint="eastAsia" w:ascii="宋体"/>
          <w:color w:val="auto"/>
          <w:sz w:val="24"/>
          <w:highlight w:val="none"/>
        </w:rPr>
        <w:t>（投标人名称）符合参加本次招标活动的资格条件并承诺如下。</w:t>
      </w:r>
    </w:p>
    <w:p w14:paraId="5DC6E3A2">
      <w:pPr>
        <w:keepNext w:val="0"/>
        <w:keepLines w:val="0"/>
        <w:pageBreakBefore w:val="0"/>
        <w:tabs>
          <w:tab w:val="right" w:leader="dot" w:pos="8295"/>
        </w:tabs>
        <w:kinsoku/>
        <w:wordWrap/>
        <w:overflowPunct/>
        <w:topLinePunct w:val="0"/>
        <w:autoSpaceDE/>
        <w:bidi w:val="0"/>
        <w:snapToGrid w:val="0"/>
        <w:spacing w:line="360" w:lineRule="auto"/>
        <w:ind w:firstLine="480" w:firstLineChars="200"/>
        <w:jc w:val="left"/>
        <w:textAlignment w:val="auto"/>
        <w:rPr>
          <w:rFonts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（一）基本资格条件：</w:t>
      </w:r>
    </w:p>
    <w:p w14:paraId="70BB54CB">
      <w:pPr>
        <w:keepNext w:val="0"/>
        <w:keepLines w:val="0"/>
        <w:pageBreakBefore w:val="0"/>
        <w:tabs>
          <w:tab w:val="right" w:leader="dot" w:pos="8295"/>
        </w:tabs>
        <w:kinsoku/>
        <w:wordWrap/>
        <w:overflowPunct/>
        <w:topLinePunct w:val="0"/>
        <w:autoSpaceDE/>
        <w:bidi w:val="0"/>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（1）</w:t>
      </w:r>
      <w:r>
        <w:rPr>
          <w:rFonts w:hint="eastAsia" w:ascii="宋体" w:hAnsi="宋体" w:eastAsia="宋体" w:cs="Times New Roman"/>
          <w:color w:val="auto"/>
          <w:sz w:val="24"/>
          <w:szCs w:val="24"/>
          <w:highlight w:val="none"/>
          <w:lang w:val="en-US" w:eastAsia="zh-CN"/>
        </w:rPr>
        <w:t>我单位</w:t>
      </w:r>
      <w:r>
        <w:rPr>
          <w:rFonts w:hint="eastAsia" w:ascii="宋体" w:hAnsi="宋体" w:eastAsia="宋体" w:cs="Times New Roman"/>
          <w:color w:val="auto"/>
          <w:sz w:val="24"/>
          <w:szCs w:val="24"/>
          <w:highlight w:val="none"/>
        </w:rPr>
        <w:t>具有独立法人承担民事责任的能力；</w:t>
      </w:r>
    </w:p>
    <w:p w14:paraId="59A2250D">
      <w:pPr>
        <w:keepNext w:val="0"/>
        <w:keepLines w:val="0"/>
        <w:pageBreakBefore w:val="0"/>
        <w:tabs>
          <w:tab w:val="right" w:leader="dot" w:pos="8295"/>
        </w:tabs>
        <w:kinsoku/>
        <w:wordWrap/>
        <w:overflowPunct/>
        <w:topLinePunct w:val="0"/>
        <w:autoSpaceDE/>
        <w:bidi w:val="0"/>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（2）</w:t>
      </w:r>
      <w:r>
        <w:rPr>
          <w:rFonts w:hint="eastAsia" w:ascii="宋体" w:hAnsi="宋体" w:eastAsia="宋体" w:cs="Times New Roman"/>
          <w:color w:val="auto"/>
          <w:sz w:val="24"/>
          <w:szCs w:val="24"/>
          <w:highlight w:val="none"/>
          <w:lang w:val="en-US" w:eastAsia="zh-CN"/>
        </w:rPr>
        <w:t>我单位及</w:t>
      </w:r>
      <w:r>
        <w:rPr>
          <w:rFonts w:hint="eastAsia" w:ascii="宋体" w:hAnsi="宋体" w:eastAsia="宋体" w:cs="Times New Roman"/>
          <w:color w:val="auto"/>
          <w:sz w:val="24"/>
          <w:szCs w:val="24"/>
          <w:highlight w:val="none"/>
        </w:rPr>
        <w:t>拟派项目负责人</w:t>
      </w:r>
      <w:r>
        <w:rPr>
          <w:rFonts w:hint="eastAsia" w:ascii="宋体" w:hAnsi="宋体" w:eastAsia="宋体" w:cs="Times New Roman"/>
          <w:color w:val="auto"/>
          <w:sz w:val="24"/>
          <w:szCs w:val="24"/>
          <w:highlight w:val="none"/>
          <w:u w:val="single"/>
          <w:lang w:val="en-US" w:eastAsia="zh-CN"/>
        </w:rPr>
        <w:t xml:space="preserve">       （姓名）</w:t>
      </w:r>
      <w:r>
        <w:rPr>
          <w:rFonts w:hint="eastAsia" w:ascii="宋体" w:hAnsi="宋体" w:eastAsia="宋体" w:cs="Times New Roman"/>
          <w:color w:val="auto"/>
          <w:sz w:val="24"/>
          <w:szCs w:val="24"/>
          <w:highlight w:val="none"/>
          <w:lang w:val="en-US" w:eastAsia="zh-CN"/>
        </w:rPr>
        <w:t xml:space="preserve"> </w:t>
      </w:r>
      <w:r>
        <w:rPr>
          <w:rFonts w:hint="eastAsia" w:ascii="宋体" w:hAnsi="宋体" w:eastAsia="宋体" w:cs="Times New Roman"/>
          <w:color w:val="auto"/>
          <w:sz w:val="24"/>
          <w:szCs w:val="24"/>
          <w:highlight w:val="none"/>
        </w:rPr>
        <w:t>在投标截止时间未被“信用中国”网站（www.creditchina.gov.cn)列为失信被执行人;</w:t>
      </w:r>
    </w:p>
    <w:p w14:paraId="509A5297">
      <w:pPr>
        <w:keepNext w:val="0"/>
        <w:keepLines w:val="0"/>
        <w:pageBreakBefore w:val="0"/>
        <w:tabs>
          <w:tab w:val="right" w:leader="dot" w:pos="8295"/>
        </w:tabs>
        <w:kinsoku/>
        <w:wordWrap/>
        <w:overflowPunct/>
        <w:topLinePunct w:val="0"/>
        <w:autoSpaceDE/>
        <w:bidi w:val="0"/>
        <w:snapToGrid w:val="0"/>
        <w:spacing w:line="360" w:lineRule="auto"/>
        <w:ind w:firstLine="480" w:firstLineChars="200"/>
        <w:jc w:val="left"/>
        <w:textAlignment w:val="auto"/>
        <w:rPr>
          <w:rFonts w:ascii="宋体" w:hAnsi="宋体" w:eastAsia="宋体" w:cs="Times New Roman"/>
          <w:color w:val="auto"/>
          <w:sz w:val="24"/>
          <w:szCs w:val="24"/>
          <w:highlight w:val="none"/>
        </w:rPr>
      </w:pPr>
      <w:r>
        <w:rPr>
          <w:rFonts w:ascii="宋体" w:hAnsi="宋体" w:eastAsia="宋体" w:cs="Times New Roman"/>
          <w:color w:val="auto"/>
          <w:sz w:val="24"/>
          <w:szCs w:val="24"/>
          <w:highlight w:val="none"/>
        </w:rPr>
        <w:t>（3）</w:t>
      </w:r>
      <w:r>
        <w:rPr>
          <w:rFonts w:hint="eastAsia" w:ascii="宋体" w:hAnsi="宋体" w:eastAsia="宋体" w:cs="Times New Roman"/>
          <w:color w:val="auto"/>
          <w:sz w:val="24"/>
          <w:szCs w:val="24"/>
          <w:highlight w:val="none"/>
          <w:lang w:val="en-US" w:eastAsia="zh-CN"/>
        </w:rPr>
        <w:t>我单位不存在</w:t>
      </w:r>
      <w:r>
        <w:rPr>
          <w:rFonts w:hint="eastAsia" w:ascii="宋体" w:hAnsi="宋体" w:eastAsia="宋体" w:cs="Times New Roman"/>
          <w:color w:val="auto"/>
          <w:sz w:val="24"/>
          <w:szCs w:val="24"/>
          <w:highlight w:val="none"/>
        </w:rPr>
        <w:t>法律、行政法规规定的其他条件。</w:t>
      </w:r>
    </w:p>
    <w:p w14:paraId="63892EF4">
      <w:pPr>
        <w:keepNext w:val="0"/>
        <w:keepLines w:val="0"/>
        <w:pageBreakBefore w:val="0"/>
        <w:tabs>
          <w:tab w:val="right" w:leader="dot" w:pos="8295"/>
        </w:tabs>
        <w:kinsoku/>
        <w:wordWrap/>
        <w:overflowPunct/>
        <w:topLinePunct w:val="0"/>
        <w:autoSpaceDE/>
        <w:bidi w:val="0"/>
        <w:snapToGrid w:val="0"/>
        <w:spacing w:line="360" w:lineRule="auto"/>
        <w:ind w:firstLine="480" w:firstLineChars="200"/>
        <w:jc w:val="left"/>
        <w:textAlignment w:val="auto"/>
        <w:rPr>
          <w:rFonts w:hint="eastAsia" w:ascii="宋体" w:hAnsi="宋体" w:eastAsia="宋体" w:cs="Times New Roman"/>
          <w:color w:val="auto"/>
          <w:sz w:val="24"/>
          <w:szCs w:val="24"/>
          <w:highlight w:val="none"/>
        </w:rPr>
      </w:pPr>
      <w:r>
        <w:rPr>
          <w:rFonts w:hint="eastAsia" w:ascii="宋体" w:hAnsi="宋体" w:eastAsia="宋体" w:cs="Times New Roman"/>
          <w:color w:val="auto"/>
          <w:sz w:val="24"/>
          <w:szCs w:val="24"/>
          <w:highlight w:val="none"/>
        </w:rPr>
        <w:t xml:space="preserve">（二）特定条件（投标文件中提供证明材料）： </w:t>
      </w:r>
    </w:p>
    <w:p w14:paraId="616369D7">
      <w:pPr>
        <w:autoSpaceDN w:val="0"/>
        <w:adjustRightInd w:val="0"/>
        <w:snapToGrid w:val="0"/>
        <w:ind w:firstLine="480" w:firstLineChars="200"/>
        <w:rPr>
          <w:rFonts w:ascii="宋体" w:hAnsi="宋体"/>
          <w:sz w:val="24"/>
        </w:rPr>
      </w:pPr>
      <w:permStart w:id="6" w:edGrp="everyone"/>
      <w:r>
        <w:rPr>
          <w:rFonts w:hint="eastAsia" w:ascii="宋体" w:hAnsi="宋体"/>
          <w:sz w:val="24"/>
        </w:rPr>
        <w:t>（1）</w:t>
      </w:r>
      <w:r>
        <w:rPr>
          <w:rFonts w:hint="eastAsia" w:ascii="宋体" w:hAnsi="宋体" w:eastAsia="宋体" w:cs="Times New Roman"/>
          <w:color w:val="auto"/>
          <w:sz w:val="24"/>
          <w:szCs w:val="24"/>
          <w:highlight w:val="none"/>
          <w:lang w:val="en-US" w:eastAsia="zh-CN"/>
        </w:rPr>
        <w:t>我单位</w:t>
      </w:r>
      <w:r>
        <w:rPr>
          <w:rFonts w:hint="eastAsia" w:ascii="宋体" w:hAnsi="宋体"/>
          <w:sz w:val="24"/>
        </w:rPr>
        <w:t>为拟投标的物的制造供应商（进口品牌允许授权代理商参与，同一进口品牌只接受一家代理商）。</w:t>
      </w:r>
    </w:p>
    <w:p w14:paraId="03E938E5">
      <w:pPr>
        <w:autoSpaceDN w:val="0"/>
        <w:adjustRightInd w:val="0"/>
        <w:snapToGrid w:val="0"/>
        <w:ind w:firstLine="480" w:firstLineChars="200"/>
        <w:rPr>
          <w:rFonts w:ascii="宋体" w:hAnsi="宋体"/>
          <w:sz w:val="24"/>
        </w:rPr>
      </w:pPr>
      <w:r>
        <w:rPr>
          <w:rFonts w:hint="eastAsia" w:ascii="宋体" w:hAnsi="宋体"/>
          <w:sz w:val="24"/>
        </w:rPr>
        <w:t>（2）</w:t>
      </w:r>
      <w:r>
        <w:rPr>
          <w:rFonts w:hint="eastAsia" w:ascii="宋体" w:hAnsi="宋体" w:eastAsia="宋体" w:cs="Times New Roman"/>
          <w:color w:val="auto"/>
          <w:sz w:val="24"/>
          <w:szCs w:val="24"/>
          <w:highlight w:val="none"/>
          <w:lang w:val="en-US" w:eastAsia="zh-CN"/>
        </w:rPr>
        <w:t>我单位自</w:t>
      </w:r>
      <w:r>
        <w:rPr>
          <w:rFonts w:hint="eastAsia" w:ascii="宋体" w:hAnsi="宋体"/>
          <w:sz w:val="24"/>
        </w:rPr>
        <w:t>2015年1月1日起至今有具有相同或相似工况的应用业绩</w:t>
      </w:r>
      <w:r>
        <w:rPr>
          <w:rFonts w:hint="eastAsia" w:ascii="宋体" w:hAnsi="宋体"/>
          <w:sz w:val="24"/>
          <w:lang w:eastAsia="zh-CN"/>
        </w:rPr>
        <w:t>，</w:t>
      </w:r>
      <w:r>
        <w:rPr>
          <w:rFonts w:hint="eastAsia" w:ascii="宋体" w:hAnsi="宋体"/>
          <w:sz w:val="24"/>
          <w:lang w:val="en-US" w:eastAsia="zh-CN"/>
        </w:rPr>
        <w:t>并</w:t>
      </w:r>
      <w:r>
        <w:rPr>
          <w:rFonts w:hint="eastAsia"/>
        </w:rPr>
        <w:t>提供合同、发票或技术协议关键页、验收报告等证明文件</w:t>
      </w:r>
      <w:r>
        <w:rPr>
          <w:rFonts w:hint="eastAsia" w:ascii="宋体" w:hAnsi="宋体"/>
          <w:sz w:val="24"/>
        </w:rPr>
        <w:t>。</w:t>
      </w:r>
    </w:p>
    <w:permEnd w:id="6"/>
    <w:p w14:paraId="17A89065">
      <w:pPr>
        <w:keepNext w:val="0"/>
        <w:keepLines w:val="0"/>
        <w:pageBreakBefore w:val="0"/>
        <w:kinsoku/>
        <w:wordWrap/>
        <w:overflowPunct/>
        <w:topLinePunct w:val="0"/>
        <w:autoSpaceDE/>
        <w:autoSpaceDN w:val="0"/>
        <w:bidi w:val="0"/>
        <w:adjustRightInd w:val="0"/>
        <w:snapToGrid w:val="0"/>
        <w:spacing w:line="360" w:lineRule="auto"/>
        <w:textAlignment w:val="auto"/>
        <w:rPr>
          <w:rFonts w:hint="eastAsia" w:ascii="宋体" w:hAnsi="宋体"/>
          <w:color w:val="auto"/>
          <w:sz w:val="24"/>
          <w:szCs w:val="24"/>
          <w:highlight w:val="none"/>
        </w:rPr>
      </w:pPr>
    </w:p>
    <w:p w14:paraId="190ECD4F">
      <w:pPr>
        <w:keepNext w:val="0"/>
        <w:keepLines w:val="0"/>
        <w:pageBreakBefore w:val="0"/>
        <w:kinsoku/>
        <w:wordWrap/>
        <w:overflowPunct/>
        <w:topLinePunct w:val="0"/>
        <w:autoSpaceDE/>
        <w:autoSpaceDN w:val="0"/>
        <w:bidi w:val="0"/>
        <w:adjustRightInd w:val="0"/>
        <w:snapToGrid w:val="0"/>
        <w:spacing w:line="360" w:lineRule="auto"/>
        <w:ind w:firstLine="480" w:firstLineChars="200"/>
        <w:textAlignment w:val="auto"/>
        <w:rPr>
          <w:rFonts w:hint="eastAsia" w:ascii="宋体" w:hAnsi="宋体"/>
          <w:color w:val="auto"/>
          <w:sz w:val="24"/>
          <w:szCs w:val="24"/>
          <w:highlight w:val="none"/>
        </w:rPr>
      </w:pPr>
    </w:p>
    <w:p w14:paraId="459AD459">
      <w:pPr>
        <w:keepNext w:val="0"/>
        <w:keepLines w:val="0"/>
        <w:pageBreakBefore w:val="0"/>
        <w:kinsoku/>
        <w:wordWrap/>
        <w:overflowPunct/>
        <w:topLinePunct w:val="0"/>
        <w:autoSpaceDE/>
        <w:autoSpaceDN w:val="0"/>
        <w:bidi w:val="0"/>
        <w:adjustRightInd w:val="0"/>
        <w:snapToGrid w:val="0"/>
        <w:spacing w:line="360" w:lineRule="auto"/>
        <w:ind w:firstLine="480" w:firstLineChars="200"/>
        <w:textAlignment w:val="auto"/>
        <w:rPr>
          <w:rFonts w:ascii="宋体" w:hAnsi="宋体"/>
          <w:color w:val="auto"/>
          <w:sz w:val="24"/>
          <w:szCs w:val="24"/>
          <w:highlight w:val="none"/>
        </w:rPr>
      </w:pPr>
      <w:r>
        <w:rPr>
          <w:rFonts w:hint="eastAsia" w:ascii="宋体" w:hAnsi="宋体"/>
          <w:color w:val="auto"/>
          <w:sz w:val="24"/>
          <w:szCs w:val="24"/>
          <w:highlight w:val="none"/>
        </w:rPr>
        <w:t>注：本项目采用资格后审，投标人提供以上证明文件如有虚假、伪造的一律作</w:t>
      </w:r>
      <w:r>
        <w:rPr>
          <w:rFonts w:hint="eastAsia" w:ascii="宋体" w:hAnsi="宋体"/>
          <w:color w:val="auto"/>
          <w:sz w:val="24"/>
          <w:szCs w:val="24"/>
          <w:highlight w:val="none"/>
          <w:lang w:val="en-US" w:eastAsia="zh-CN"/>
        </w:rPr>
        <w:t>否决</w:t>
      </w:r>
      <w:r>
        <w:rPr>
          <w:rFonts w:hint="eastAsia" w:ascii="宋体" w:hAnsi="宋体"/>
          <w:color w:val="auto"/>
          <w:sz w:val="24"/>
          <w:szCs w:val="24"/>
          <w:highlight w:val="none"/>
        </w:rPr>
        <w:t>处理。</w:t>
      </w:r>
    </w:p>
    <w:p w14:paraId="32F96594">
      <w:pPr>
        <w:snapToGrid w:val="0"/>
        <w:spacing w:line="360" w:lineRule="auto"/>
        <w:ind w:firstLine="480" w:firstLineChars="200"/>
        <w:rPr>
          <w:rFonts w:hint="eastAsia" w:ascii="宋体"/>
          <w:color w:val="auto"/>
          <w:sz w:val="24"/>
          <w:highlight w:val="none"/>
          <w:u w:val="single"/>
        </w:rPr>
      </w:pPr>
    </w:p>
    <w:p w14:paraId="1364CD88">
      <w:pPr>
        <w:snapToGrid w:val="0"/>
        <w:spacing w:line="360" w:lineRule="auto"/>
        <w:ind w:firstLine="480" w:firstLineChars="200"/>
        <w:rPr>
          <w:rFonts w:hint="eastAsia" w:ascii="宋体" w:cs="宋体"/>
          <w:color w:val="auto"/>
          <w:kern w:val="0"/>
          <w:sz w:val="24"/>
          <w:highlight w:val="none"/>
          <w:lang w:bidi="ar-SA"/>
        </w:rPr>
      </w:pPr>
      <w:r>
        <w:rPr>
          <w:rFonts w:hint="eastAsia" w:ascii="宋体" w:cs="宋体"/>
          <w:color w:val="auto"/>
          <w:kern w:val="0"/>
          <w:sz w:val="24"/>
          <w:highlight w:val="none"/>
          <w:lang w:bidi="ar-SA"/>
        </w:rPr>
        <w:t>本单位对上述承诺内容的真实性负责，已清楚知道并严格遵守招标法律法规和承诺要求如有虚假，将依法承担相应责任。</w:t>
      </w:r>
    </w:p>
    <w:p w14:paraId="4F0697E0">
      <w:pPr>
        <w:snapToGrid w:val="0"/>
        <w:spacing w:line="360" w:lineRule="auto"/>
        <w:rPr>
          <w:rFonts w:hint="eastAsia" w:ascii="宋体"/>
          <w:color w:val="auto"/>
          <w:sz w:val="24"/>
          <w:highlight w:val="none"/>
        </w:rPr>
      </w:pPr>
    </w:p>
    <w:p w14:paraId="0400FA9C">
      <w:pPr>
        <w:widowControl/>
        <w:snapToGrid w:val="0"/>
        <w:spacing w:line="360" w:lineRule="auto"/>
        <w:jc w:val="left"/>
        <w:rPr>
          <w:rFonts w:hint="eastAsia" w:ascii="宋体" w:cs="Arial"/>
          <w:color w:val="auto"/>
          <w:kern w:val="0"/>
          <w:sz w:val="24"/>
          <w:highlight w:val="none"/>
          <w:lang w:bidi="ar-SA"/>
        </w:rPr>
      </w:pPr>
      <w:r>
        <w:rPr>
          <w:rFonts w:hint="eastAsia" w:ascii="宋体"/>
          <w:color w:val="auto"/>
          <w:sz w:val="24"/>
          <w:highlight w:val="none"/>
        </w:rPr>
        <w:t>投标人：</w:t>
      </w:r>
      <w:r>
        <w:rPr>
          <w:rFonts w:hint="eastAsia" w:ascii="宋体"/>
          <w:color w:val="auto"/>
          <w:sz w:val="24"/>
          <w:highlight w:val="none"/>
          <w:u w:val="single"/>
        </w:rPr>
        <w:t xml:space="preserve">       （盖章）        </w:t>
      </w:r>
      <w:r>
        <w:rPr>
          <w:rFonts w:hint="eastAsia" w:ascii="宋体"/>
          <w:color w:val="auto"/>
          <w:sz w:val="24"/>
          <w:highlight w:val="none"/>
        </w:rPr>
        <w:t xml:space="preserve">                      年    月    日</w:t>
      </w:r>
    </w:p>
    <w:p w14:paraId="4443968E">
      <w:pPr>
        <w:adjustRightInd w:val="0"/>
        <w:snapToGrid w:val="0"/>
        <w:spacing w:line="360" w:lineRule="auto"/>
        <w:ind w:firstLine="424" w:firstLineChars="177"/>
        <w:contextualSpacing/>
        <w:rPr>
          <w:rFonts w:hint="eastAsia" w:ascii="宋体"/>
          <w:color w:val="auto"/>
          <w:sz w:val="24"/>
          <w:highlight w:val="none"/>
        </w:rPr>
      </w:pPr>
    </w:p>
    <w:p w14:paraId="1710658C">
      <w:pPr>
        <w:widowControl/>
        <w:adjustRightInd w:val="0"/>
        <w:snapToGrid w:val="0"/>
        <w:spacing w:line="360" w:lineRule="auto"/>
        <w:contextualSpacing/>
        <w:jc w:val="left"/>
        <w:rPr>
          <w:rFonts w:hint="eastAsia" w:ascii="宋体"/>
          <w:color w:val="auto"/>
          <w:sz w:val="24"/>
          <w:highlight w:val="none"/>
        </w:rPr>
      </w:pPr>
    </w:p>
    <w:p w14:paraId="6AEE9D2C">
      <w:pPr>
        <w:pStyle w:val="30"/>
        <w:rPr>
          <w:rFonts w:hint="eastAsia" w:ascii="宋体"/>
          <w:color w:val="auto"/>
          <w:sz w:val="24"/>
          <w:highlight w:val="none"/>
        </w:rPr>
      </w:pPr>
    </w:p>
    <w:p w14:paraId="14986EDC">
      <w:pPr>
        <w:rPr>
          <w:rFonts w:hint="eastAsia" w:ascii="宋体"/>
          <w:color w:val="auto"/>
          <w:sz w:val="24"/>
          <w:highlight w:val="none"/>
        </w:rPr>
      </w:pPr>
    </w:p>
    <w:p w14:paraId="407A188D">
      <w:pPr>
        <w:pStyle w:val="30"/>
        <w:rPr>
          <w:rFonts w:hint="eastAsia" w:ascii="宋体"/>
          <w:color w:val="auto"/>
          <w:sz w:val="24"/>
          <w:highlight w:val="none"/>
        </w:rPr>
      </w:pPr>
    </w:p>
    <w:p w14:paraId="6465D153">
      <w:pPr>
        <w:rPr>
          <w:rFonts w:hint="eastAsia" w:ascii="宋体"/>
          <w:color w:val="auto"/>
          <w:sz w:val="24"/>
          <w:highlight w:val="none"/>
        </w:rPr>
      </w:pPr>
    </w:p>
    <w:p w14:paraId="2A1CB33B">
      <w:pPr>
        <w:pStyle w:val="30"/>
        <w:rPr>
          <w:rFonts w:hint="eastAsia" w:ascii="宋体"/>
          <w:color w:val="auto"/>
          <w:sz w:val="24"/>
          <w:highlight w:val="none"/>
        </w:rPr>
      </w:pPr>
    </w:p>
    <w:p w14:paraId="3E71AA38">
      <w:pPr>
        <w:rPr>
          <w:rFonts w:hint="eastAsia"/>
        </w:rPr>
      </w:pPr>
    </w:p>
    <w:p w14:paraId="0DCCA34F">
      <w:pPr>
        <w:rPr>
          <w:rFonts w:hint="eastAsia"/>
          <w:color w:val="auto"/>
          <w:highlight w:val="none"/>
        </w:rPr>
      </w:pPr>
    </w:p>
    <w:p w14:paraId="1626F92F">
      <w:pPr>
        <w:snapToGrid w:val="0"/>
        <w:spacing w:line="360" w:lineRule="auto"/>
        <w:jc w:val="center"/>
        <w:rPr>
          <w:rFonts w:hint="eastAsia" w:ascii="宋体" w:cs="宋体"/>
          <w:color w:val="auto"/>
          <w:szCs w:val="21"/>
          <w:highlight w:val="none"/>
          <w:lang w:bidi="ar-SA"/>
        </w:rPr>
      </w:pPr>
      <w:r>
        <w:rPr>
          <w:rFonts w:hint="eastAsia" w:ascii="宋体"/>
          <w:b/>
          <w:color w:val="auto"/>
          <w:sz w:val="30"/>
          <w:szCs w:val="30"/>
          <w:highlight w:val="none"/>
        </w:rPr>
        <w:t>投标声明书</w:t>
      </w:r>
    </w:p>
    <w:p w14:paraId="12BF67E7">
      <w:pPr>
        <w:snapToGrid w:val="0"/>
        <w:spacing w:line="360" w:lineRule="auto"/>
        <w:rPr>
          <w:rFonts w:hint="eastAsia" w:ascii="宋体"/>
          <w:color w:val="auto"/>
          <w:sz w:val="24"/>
          <w:highlight w:val="none"/>
        </w:rPr>
      </w:pPr>
      <w:r>
        <w:rPr>
          <w:rFonts w:hint="eastAsia" w:ascii="宋体"/>
          <w:color w:val="auto"/>
          <w:sz w:val="24"/>
          <w:highlight w:val="none"/>
        </w:rPr>
        <w:t>致：</w:t>
      </w:r>
      <w:r>
        <w:rPr>
          <w:rFonts w:hint="eastAsia" w:ascii="宋体" w:hAnsi="宋体"/>
          <w:sz w:val="24"/>
          <w:u w:val="single"/>
        </w:rPr>
        <w:t>浙江巨化股份有限公司、浙江巨化化工材料有限公司</w:t>
      </w:r>
    </w:p>
    <w:p w14:paraId="29DB4A0E">
      <w:pPr>
        <w:snapToGrid w:val="0"/>
        <w:spacing w:line="360" w:lineRule="auto"/>
        <w:ind w:firstLine="480"/>
        <w:rPr>
          <w:rFonts w:hint="eastAsia" w:ascii="宋体"/>
          <w:color w:val="auto"/>
          <w:sz w:val="24"/>
          <w:highlight w:val="none"/>
        </w:rPr>
      </w:pPr>
      <w:r>
        <w:rPr>
          <w:rFonts w:hint="eastAsia" w:ascii="宋体"/>
          <w:color w:val="auto"/>
          <w:sz w:val="24"/>
          <w:highlight w:val="none"/>
        </w:rPr>
        <w:t>根据贵方为投标（项目编号：</w:t>
      </w:r>
      <w:r>
        <w:rPr>
          <w:rFonts w:hint="eastAsia" w:ascii="宋体" w:hAnsi="Times New Roman" w:eastAsia="宋体" w:cs="Times New Roman"/>
          <w:color w:val="auto"/>
          <w:sz w:val="24"/>
          <w:highlight w:val="none"/>
        </w:rPr>
        <w:t>NFZB-20250909</w:t>
      </w:r>
      <w:r>
        <w:rPr>
          <w:rFonts w:hint="eastAsia" w:ascii="宋体"/>
          <w:color w:val="auto"/>
          <w:sz w:val="24"/>
          <w:highlight w:val="none"/>
        </w:rPr>
        <w:t>），投标人（投标人名称）在电子交易平台提交投标文件。</w:t>
      </w:r>
    </w:p>
    <w:p w14:paraId="15A051E1">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据此函，签字代表宣布同意如下：</w:t>
      </w:r>
    </w:p>
    <w:p w14:paraId="0BDF408A">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1.投标人已详细审查全部“招标文件”，包括修改、澄清文件（如有的话）以及全部参考资料和有关附件，已经了解我方对于招标文件、招标过程、中标结果有依法进行询问、质疑、投诉的权利及相关渠道和要求。</w:t>
      </w:r>
    </w:p>
    <w:p w14:paraId="4CBB557D">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2.投标人在投标之前已经与贵方进行了充分的沟通，完全理解并接受招标文件的各项规定和要求，对招标文件的合理性、合法性不再有异议。</w:t>
      </w:r>
    </w:p>
    <w:p w14:paraId="07924C5C">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3.投标有效期自开标日起</w:t>
      </w:r>
      <w:r>
        <w:rPr>
          <w:rFonts w:hint="eastAsia" w:ascii="宋体"/>
          <w:color w:val="auto"/>
          <w:sz w:val="24"/>
          <w:highlight w:val="none"/>
          <w:u w:val="single"/>
        </w:rPr>
        <w:t xml:space="preserve"> 90</w:t>
      </w:r>
      <w:r>
        <w:rPr>
          <w:rFonts w:hint="eastAsia" w:ascii="宋体"/>
          <w:color w:val="auto"/>
          <w:sz w:val="24"/>
          <w:highlight w:val="none"/>
        </w:rPr>
        <w:t>个日历天。</w:t>
      </w:r>
    </w:p>
    <w:p w14:paraId="0B3DB855">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4.如中标，本投标文件至本项目合同履行完毕止均保持有效，本投标人将按“招标文件”及招标法律、法规的规定履行合同责任和义务。</w:t>
      </w:r>
    </w:p>
    <w:p w14:paraId="2B1D2862">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5.投标人同意按照贵方要求提供与投标有关的一切数据或资料。</w:t>
      </w:r>
    </w:p>
    <w:p w14:paraId="268AA201">
      <w:pPr>
        <w:snapToGrid w:val="0"/>
        <w:spacing w:line="360" w:lineRule="auto"/>
        <w:ind w:firstLine="480" w:firstLineChars="200"/>
        <w:rPr>
          <w:rFonts w:hint="eastAsia" w:ascii="宋体"/>
          <w:color w:val="auto"/>
          <w:sz w:val="24"/>
          <w:highlight w:val="none"/>
        </w:rPr>
      </w:pPr>
      <w:r>
        <w:rPr>
          <w:rFonts w:hint="eastAsia" w:ascii="宋体"/>
          <w:color w:val="auto"/>
          <w:sz w:val="24"/>
          <w:highlight w:val="none"/>
        </w:rPr>
        <w:t>6.与本投标有关的一切正式往来信函请寄：</w:t>
      </w:r>
    </w:p>
    <w:p w14:paraId="3E65BF6E">
      <w:pPr>
        <w:snapToGrid w:val="0"/>
        <w:spacing w:line="360" w:lineRule="auto"/>
        <w:rPr>
          <w:rFonts w:hint="eastAsia" w:ascii="宋体"/>
          <w:color w:val="auto"/>
          <w:sz w:val="24"/>
          <w:highlight w:val="none"/>
        </w:rPr>
      </w:pPr>
      <w:r>
        <w:rPr>
          <w:rFonts w:hint="eastAsia" w:ascii="宋体"/>
          <w:color w:val="auto"/>
          <w:sz w:val="24"/>
          <w:highlight w:val="none"/>
        </w:rPr>
        <w:t>地址：</w:t>
      </w:r>
      <w:r>
        <w:rPr>
          <w:rFonts w:hint="eastAsia" w:ascii="宋体"/>
          <w:color w:val="auto"/>
          <w:sz w:val="24"/>
          <w:highlight w:val="none"/>
          <w:lang w:val="en-US" w:eastAsia="zh-CN"/>
        </w:rPr>
        <w:t xml:space="preserve">    </w:t>
      </w:r>
      <w:r>
        <w:rPr>
          <w:rFonts w:hint="eastAsia" w:ascii="宋体"/>
          <w:color w:val="auto"/>
          <w:sz w:val="24"/>
          <w:highlight w:val="none"/>
        </w:rPr>
        <w:t>邮编：</w:t>
      </w:r>
      <w:r>
        <w:rPr>
          <w:rFonts w:hint="eastAsia" w:ascii="宋体"/>
          <w:color w:val="auto"/>
          <w:sz w:val="24"/>
          <w:highlight w:val="none"/>
          <w:lang w:val="en-US" w:eastAsia="zh-CN"/>
        </w:rPr>
        <w:t xml:space="preserve">          </w:t>
      </w:r>
      <w:r>
        <w:rPr>
          <w:rFonts w:hint="eastAsia" w:ascii="宋体"/>
          <w:color w:val="auto"/>
          <w:sz w:val="24"/>
          <w:highlight w:val="none"/>
        </w:rPr>
        <w:t>电话：</w:t>
      </w:r>
    </w:p>
    <w:p w14:paraId="184B6763">
      <w:pPr>
        <w:snapToGrid w:val="0"/>
        <w:spacing w:line="360" w:lineRule="auto"/>
        <w:rPr>
          <w:rFonts w:hint="eastAsia" w:ascii="宋体"/>
          <w:color w:val="auto"/>
          <w:sz w:val="24"/>
          <w:highlight w:val="none"/>
        </w:rPr>
      </w:pPr>
      <w:r>
        <w:rPr>
          <w:rFonts w:hint="eastAsia" w:ascii="宋体"/>
          <w:color w:val="auto"/>
          <w:sz w:val="24"/>
          <w:highlight w:val="none"/>
        </w:rPr>
        <w:t>传真：</w:t>
      </w:r>
      <w:r>
        <w:rPr>
          <w:rFonts w:hint="eastAsia" w:ascii="宋体"/>
          <w:color w:val="auto"/>
          <w:sz w:val="24"/>
          <w:highlight w:val="none"/>
          <w:lang w:val="en-US" w:eastAsia="zh-CN"/>
        </w:rPr>
        <w:t xml:space="preserve">    </w:t>
      </w:r>
      <w:r>
        <w:rPr>
          <w:rFonts w:hint="eastAsia" w:ascii="宋体"/>
          <w:color w:val="auto"/>
          <w:sz w:val="24"/>
          <w:highlight w:val="none"/>
        </w:rPr>
        <w:t>联系人姓名：</w:t>
      </w:r>
      <w:r>
        <w:rPr>
          <w:rFonts w:hint="eastAsia" w:ascii="宋体"/>
          <w:color w:val="auto"/>
          <w:sz w:val="24"/>
          <w:highlight w:val="none"/>
          <w:lang w:val="en-US" w:eastAsia="zh-CN"/>
        </w:rPr>
        <w:t xml:space="preserve">    </w:t>
      </w:r>
      <w:r>
        <w:rPr>
          <w:rFonts w:hint="eastAsia" w:ascii="宋体"/>
          <w:color w:val="auto"/>
          <w:sz w:val="24"/>
          <w:highlight w:val="none"/>
        </w:rPr>
        <w:t>职务：</w:t>
      </w:r>
    </w:p>
    <w:p w14:paraId="6410310C">
      <w:pPr>
        <w:snapToGrid w:val="0"/>
        <w:spacing w:line="360" w:lineRule="auto"/>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（盖章）</w:t>
      </w:r>
    </w:p>
    <w:p w14:paraId="0500224E">
      <w:pPr>
        <w:snapToGrid w:val="0"/>
        <w:spacing w:line="360" w:lineRule="auto"/>
        <w:rPr>
          <w:rFonts w:hint="eastAsia" w:ascii="宋体"/>
          <w:color w:val="auto"/>
          <w:sz w:val="24"/>
          <w:highlight w:val="none"/>
        </w:rPr>
      </w:pPr>
      <w:r>
        <w:rPr>
          <w:rFonts w:hint="eastAsia" w:ascii="宋体"/>
          <w:color w:val="auto"/>
          <w:sz w:val="24"/>
          <w:highlight w:val="none"/>
        </w:rPr>
        <w:t xml:space="preserve">开户银行：  </w:t>
      </w:r>
      <w:r>
        <w:rPr>
          <w:rFonts w:hint="eastAsia" w:ascii="宋体"/>
          <w:color w:val="auto"/>
          <w:sz w:val="24"/>
          <w:highlight w:val="none"/>
          <w:lang w:val="en-US" w:eastAsia="zh-CN"/>
        </w:rPr>
        <w:t xml:space="preserve">             </w:t>
      </w:r>
      <w:r>
        <w:rPr>
          <w:rFonts w:hint="eastAsia" w:ascii="宋体"/>
          <w:color w:val="auto"/>
          <w:sz w:val="24"/>
          <w:highlight w:val="none"/>
        </w:rPr>
        <w:t xml:space="preserve"> 银行帐号：</w:t>
      </w:r>
    </w:p>
    <w:p w14:paraId="452E9194">
      <w:pPr>
        <w:snapToGrid w:val="0"/>
        <w:spacing w:line="360" w:lineRule="auto"/>
        <w:rPr>
          <w:rFonts w:hint="eastAsia" w:ascii="宋体"/>
          <w:color w:val="auto"/>
          <w:sz w:val="30"/>
          <w:highlight w:val="none"/>
        </w:rPr>
      </w:pPr>
      <w:r>
        <w:rPr>
          <w:rFonts w:hint="eastAsia" w:ascii="宋体"/>
          <w:color w:val="auto"/>
          <w:sz w:val="24"/>
          <w:highlight w:val="none"/>
        </w:rPr>
        <w:t>日期：年月日</w:t>
      </w:r>
    </w:p>
    <w:p w14:paraId="12261E2F">
      <w:pPr>
        <w:snapToGrid w:val="0"/>
        <w:spacing w:line="360" w:lineRule="auto"/>
        <w:rPr>
          <w:rFonts w:hint="eastAsia" w:ascii="宋体"/>
          <w:color w:val="auto"/>
          <w:sz w:val="30"/>
          <w:szCs w:val="20"/>
          <w:highlight w:val="none"/>
        </w:rPr>
      </w:pPr>
    </w:p>
    <w:p w14:paraId="6DD635CD">
      <w:pPr>
        <w:rPr>
          <w:color w:val="auto"/>
          <w:sz w:val="24"/>
          <w:highlight w:val="none"/>
        </w:rPr>
      </w:pPr>
    </w:p>
    <w:p w14:paraId="254F9EBA">
      <w:pPr>
        <w:rPr>
          <w:color w:val="auto"/>
          <w:sz w:val="24"/>
          <w:highlight w:val="none"/>
        </w:rPr>
      </w:pPr>
    </w:p>
    <w:p w14:paraId="2C3DABD1">
      <w:pPr>
        <w:rPr>
          <w:color w:val="auto"/>
          <w:sz w:val="24"/>
          <w:highlight w:val="none"/>
        </w:rPr>
      </w:pPr>
    </w:p>
    <w:p w14:paraId="07BC8DBB">
      <w:pPr>
        <w:rPr>
          <w:color w:val="auto"/>
          <w:sz w:val="24"/>
          <w:highlight w:val="none"/>
        </w:rPr>
      </w:pPr>
    </w:p>
    <w:p w14:paraId="234BFA3B">
      <w:pPr>
        <w:rPr>
          <w:color w:val="auto"/>
          <w:sz w:val="24"/>
          <w:highlight w:val="none"/>
        </w:rPr>
      </w:pPr>
    </w:p>
    <w:p w14:paraId="1018B964">
      <w:pPr>
        <w:rPr>
          <w:color w:val="auto"/>
          <w:sz w:val="24"/>
          <w:highlight w:val="none"/>
        </w:rPr>
      </w:pPr>
    </w:p>
    <w:p w14:paraId="51021BE3">
      <w:pPr>
        <w:pStyle w:val="34"/>
        <w:rPr>
          <w:color w:val="auto"/>
          <w:sz w:val="24"/>
          <w:highlight w:val="none"/>
        </w:rPr>
      </w:pPr>
    </w:p>
    <w:p w14:paraId="68444B8B">
      <w:pPr>
        <w:pStyle w:val="34"/>
        <w:rPr>
          <w:color w:val="auto"/>
          <w:sz w:val="24"/>
          <w:highlight w:val="none"/>
        </w:rPr>
      </w:pPr>
    </w:p>
    <w:p w14:paraId="27806CAE">
      <w:pPr>
        <w:pStyle w:val="34"/>
        <w:rPr>
          <w:color w:val="auto"/>
          <w:sz w:val="24"/>
          <w:highlight w:val="none"/>
        </w:rPr>
      </w:pPr>
    </w:p>
    <w:p w14:paraId="364EACFD">
      <w:pPr>
        <w:pStyle w:val="34"/>
        <w:rPr>
          <w:color w:val="auto"/>
          <w:sz w:val="24"/>
          <w:highlight w:val="none"/>
        </w:rPr>
      </w:pPr>
    </w:p>
    <w:p w14:paraId="7744B3B7">
      <w:pPr>
        <w:pStyle w:val="34"/>
        <w:rPr>
          <w:color w:val="auto"/>
          <w:sz w:val="24"/>
          <w:highlight w:val="none"/>
        </w:rPr>
      </w:pPr>
    </w:p>
    <w:p w14:paraId="6C5743F5">
      <w:pPr>
        <w:jc w:val="left"/>
        <w:rPr>
          <w:rFonts w:ascii="黑体" w:hAnsi="宋体" w:eastAsia="黑体"/>
          <w:sz w:val="24"/>
        </w:rPr>
      </w:pPr>
    </w:p>
    <w:p w14:paraId="03459E34">
      <w:pPr>
        <w:jc w:val="left"/>
        <w:rPr>
          <w:rFonts w:ascii="黑体" w:hAnsi="宋体" w:eastAsia="黑体"/>
          <w:sz w:val="24"/>
        </w:rPr>
      </w:pPr>
    </w:p>
    <w:p w14:paraId="1EAEC8FB">
      <w:pPr>
        <w:jc w:val="left"/>
        <w:rPr>
          <w:rFonts w:ascii="黑体" w:hAnsi="宋体" w:eastAsia="黑体"/>
          <w:sz w:val="24"/>
        </w:rPr>
      </w:pPr>
      <w:r>
        <w:rPr>
          <w:rFonts w:ascii="黑体" w:hAnsi="宋体" w:eastAsia="黑体"/>
          <w:sz w:val="24"/>
        </w:rPr>
        <w:t>A</w:t>
      </w:r>
      <w:r>
        <w:rPr>
          <w:rFonts w:hint="eastAsia" w:ascii="黑体" w:hAnsi="宋体" w:eastAsia="黑体"/>
          <w:sz w:val="24"/>
        </w:rPr>
        <w:t>．法人代表授权书</w:t>
      </w:r>
    </w:p>
    <w:p w14:paraId="738EFBAC">
      <w:pPr>
        <w:jc w:val="left"/>
        <w:rPr>
          <w:rFonts w:ascii="宋体"/>
          <w:sz w:val="24"/>
        </w:rPr>
      </w:pPr>
      <w:r>
        <w:rPr>
          <w:rFonts w:hint="eastAsia" w:ascii="宋体" w:hAnsi="宋体"/>
          <w:sz w:val="24"/>
        </w:rPr>
        <w:t>本授权书声明：注册于（地区名称）的（公司名称）的（法人代表姓名、职务）代表本公司授权（单位名称）的在下面签字的（被授权人的姓名、职务）为本公司的合法代理人，就</w:t>
      </w:r>
      <w:r>
        <w:rPr>
          <w:rFonts w:ascii="宋体" w:hAnsi="宋体"/>
          <w:sz w:val="24"/>
          <w:u w:val="single"/>
        </w:rPr>
        <w:t>&lt;&gt;</w:t>
      </w:r>
      <w:r>
        <w:rPr>
          <w:rFonts w:hint="eastAsia" w:ascii="宋体" w:hAnsi="宋体"/>
          <w:sz w:val="24"/>
        </w:rPr>
        <w:t>（项目名称）投标，以本公司名义处理一切与之有关的事务，我公司均予以承认。</w:t>
      </w:r>
    </w:p>
    <w:p w14:paraId="767D09AC">
      <w:pPr>
        <w:jc w:val="left"/>
        <w:rPr>
          <w:rFonts w:ascii="宋体"/>
          <w:sz w:val="24"/>
        </w:rPr>
      </w:pPr>
      <w:r>
        <w:rPr>
          <w:rFonts w:hint="eastAsia" w:ascii="宋体" w:hAnsi="宋体"/>
          <w:sz w:val="24"/>
        </w:rPr>
        <w:t>本授权书于</w:t>
      </w:r>
      <w:r>
        <w:rPr>
          <w:rFonts w:ascii="宋体" w:hAnsi="宋体"/>
          <w:sz w:val="24"/>
        </w:rPr>
        <w:t xml:space="preserve"> </w:t>
      </w:r>
      <w:r>
        <w:rPr>
          <w:rFonts w:hint="eastAsia" w:ascii="宋体" w:hAnsi="宋体"/>
          <w:sz w:val="24"/>
        </w:rPr>
        <w:t>年</w:t>
      </w:r>
      <w:r>
        <w:rPr>
          <w:rFonts w:ascii="宋体" w:hAnsi="宋体"/>
          <w:sz w:val="24"/>
        </w:rPr>
        <w:t xml:space="preserve"> </w:t>
      </w:r>
      <w:r>
        <w:rPr>
          <w:rFonts w:hint="eastAsia" w:ascii="宋体" w:hAnsi="宋体"/>
          <w:sz w:val="24"/>
        </w:rPr>
        <w:t>月</w:t>
      </w:r>
      <w:r>
        <w:rPr>
          <w:rFonts w:ascii="宋体" w:hAnsi="宋体"/>
          <w:sz w:val="24"/>
        </w:rPr>
        <w:t xml:space="preserve"> </w:t>
      </w:r>
      <w:r>
        <w:rPr>
          <w:rFonts w:hint="eastAsia" w:ascii="宋体" w:hAnsi="宋体"/>
          <w:sz w:val="24"/>
        </w:rPr>
        <w:t>日签字生效，特此声明。</w:t>
      </w:r>
    </w:p>
    <w:p w14:paraId="35DE723C">
      <w:pPr>
        <w:jc w:val="left"/>
        <w:rPr>
          <w:rFonts w:ascii="宋体" w:hAnsi="宋体"/>
          <w:sz w:val="24"/>
        </w:rPr>
      </w:pPr>
      <w:r>
        <w:rPr>
          <w:rFonts w:hint="eastAsia" w:ascii="宋体" w:hAnsi="宋体"/>
          <w:sz w:val="24"/>
        </w:rPr>
        <w:t>法人代表签字：</w:t>
      </w:r>
    </w:p>
    <w:p w14:paraId="2CF30279">
      <w:pPr>
        <w:jc w:val="left"/>
        <w:rPr>
          <w:rFonts w:ascii="宋体" w:hAnsi="宋体"/>
          <w:sz w:val="24"/>
        </w:rPr>
      </w:pPr>
      <w:r>
        <w:rPr>
          <w:rFonts w:hint="eastAsia" w:ascii="宋体" w:hAnsi="宋体"/>
          <w:sz w:val="24"/>
        </w:rPr>
        <w:t>被授权人签字：</w:t>
      </w:r>
    </w:p>
    <w:p w14:paraId="6FA445A8">
      <w:pPr>
        <w:spacing w:line="360" w:lineRule="exact"/>
        <w:jc w:val="left"/>
        <w:rPr>
          <w:rFonts w:ascii="宋体" w:hAnsi="宋体" w:cs="宋体"/>
          <w:kern w:val="0"/>
          <w:sz w:val="24"/>
        </w:rPr>
      </w:pPr>
    </w:p>
    <w:p w14:paraId="78A6E6F7">
      <w:pPr>
        <w:jc w:val="left"/>
        <w:rPr>
          <w:rFonts w:ascii="黑体" w:hAnsi="宋体" w:eastAsia="黑体"/>
          <w:sz w:val="24"/>
        </w:rPr>
      </w:pPr>
      <w:r>
        <w:rPr>
          <w:rFonts w:ascii="黑体" w:hAnsi="宋体" w:eastAsia="黑体"/>
          <w:sz w:val="24"/>
        </w:rPr>
        <w:t>B</w:t>
      </w:r>
      <w:r>
        <w:rPr>
          <w:rFonts w:hint="eastAsia" w:ascii="黑体" w:hAnsi="宋体" w:eastAsia="黑体"/>
          <w:sz w:val="24"/>
        </w:rPr>
        <w:t>．营业执照复印件，加盖公章。</w:t>
      </w:r>
    </w:p>
    <w:p w14:paraId="62912F06">
      <w:pPr>
        <w:jc w:val="left"/>
        <w:rPr>
          <w:rFonts w:ascii="黑体" w:hAnsi="宋体" w:eastAsia="黑体"/>
          <w:sz w:val="24"/>
        </w:rPr>
      </w:pPr>
      <w:r>
        <w:rPr>
          <w:rFonts w:ascii="黑体" w:hAnsi="宋体" w:eastAsia="黑体"/>
          <w:sz w:val="24"/>
        </w:rPr>
        <w:t>C</w:t>
      </w:r>
      <w:r>
        <w:rPr>
          <w:rFonts w:hint="eastAsia" w:ascii="黑体" w:hAnsi="宋体" w:eastAsia="黑体"/>
          <w:sz w:val="24"/>
        </w:rPr>
        <w:t>．资质证书复印件，加盖公章。</w:t>
      </w:r>
    </w:p>
    <w:p w14:paraId="7D78A031">
      <w:pPr>
        <w:jc w:val="left"/>
        <w:rPr>
          <w:rFonts w:ascii="黑体" w:hAnsi="宋体" w:eastAsia="黑体"/>
          <w:sz w:val="24"/>
        </w:rPr>
      </w:pPr>
      <w:r>
        <w:rPr>
          <w:rFonts w:ascii="黑体" w:hAnsi="宋体" w:eastAsia="黑体"/>
          <w:sz w:val="24"/>
        </w:rPr>
        <w:t>D</w:t>
      </w:r>
      <w:r>
        <w:rPr>
          <w:rFonts w:hint="eastAsia" w:ascii="黑体" w:hAnsi="宋体" w:eastAsia="黑体"/>
          <w:sz w:val="24"/>
        </w:rPr>
        <w:t>．工厂简介</w:t>
      </w:r>
      <w:r>
        <w:rPr>
          <w:rFonts w:ascii="黑体" w:hAnsi="宋体" w:eastAsia="黑体"/>
          <w:sz w:val="24"/>
        </w:rPr>
        <w:t>(</w:t>
      </w:r>
      <w:r>
        <w:rPr>
          <w:rFonts w:hint="eastAsia" w:ascii="黑体" w:hAnsi="宋体" w:eastAsia="黑体"/>
          <w:sz w:val="24"/>
        </w:rPr>
        <w:t>包括组织机构、生产能力、设备、厂房、人员等</w:t>
      </w:r>
      <w:r>
        <w:rPr>
          <w:rFonts w:ascii="黑体" w:hAnsi="宋体" w:eastAsia="黑体"/>
          <w:sz w:val="24"/>
        </w:rPr>
        <w:t>),</w:t>
      </w:r>
      <w:r>
        <w:rPr>
          <w:rFonts w:hint="eastAsia" w:ascii="黑体" w:hAnsi="宋体" w:eastAsia="黑体"/>
          <w:sz w:val="24"/>
        </w:rPr>
        <w:t>质量管理和质量保证体系认证证书复印件，加盖公章。</w:t>
      </w:r>
    </w:p>
    <w:p w14:paraId="1B4D8493">
      <w:pPr>
        <w:jc w:val="left"/>
        <w:rPr>
          <w:rFonts w:ascii="黑体" w:hAnsi="宋体" w:eastAsia="黑体"/>
          <w:sz w:val="24"/>
        </w:rPr>
      </w:pPr>
      <w:r>
        <w:rPr>
          <w:rFonts w:ascii="黑体" w:hAnsi="宋体" w:eastAsia="黑体"/>
          <w:sz w:val="24"/>
        </w:rPr>
        <w:t>E</w:t>
      </w:r>
      <w:r>
        <w:rPr>
          <w:rFonts w:hint="eastAsia" w:ascii="黑体" w:hAnsi="宋体" w:eastAsia="黑体"/>
          <w:sz w:val="24"/>
        </w:rPr>
        <w:t>．法人代表身份证复印件。</w:t>
      </w:r>
    </w:p>
    <w:p w14:paraId="1F54C191">
      <w:pPr>
        <w:ind w:firstLine="120" w:firstLineChars="50"/>
        <w:jc w:val="left"/>
        <w:rPr>
          <w:strike/>
          <w:sz w:val="24"/>
        </w:rPr>
      </w:pPr>
    </w:p>
    <w:p w14:paraId="4A576E15">
      <w:pPr>
        <w:ind w:firstLine="105" w:firstLineChars="50"/>
        <w:jc w:val="left"/>
        <w:rPr>
          <w:strike/>
        </w:rPr>
      </w:pPr>
    </w:p>
    <w:p w14:paraId="1C89B7FC">
      <w:pPr>
        <w:ind w:firstLine="105" w:firstLineChars="50"/>
        <w:jc w:val="left"/>
        <w:rPr>
          <w:strike/>
        </w:rPr>
      </w:pPr>
    </w:p>
    <w:p w14:paraId="2281808F">
      <w:pPr>
        <w:ind w:firstLine="105" w:firstLineChars="50"/>
        <w:jc w:val="left"/>
        <w:rPr>
          <w:strike/>
        </w:rPr>
      </w:pPr>
    </w:p>
    <w:p w14:paraId="36F4A035">
      <w:pPr>
        <w:ind w:firstLine="105" w:firstLineChars="50"/>
        <w:jc w:val="left"/>
      </w:pPr>
    </w:p>
    <w:p w14:paraId="3732FF6F">
      <w:pPr>
        <w:ind w:firstLine="105" w:firstLineChars="50"/>
        <w:jc w:val="left"/>
      </w:pPr>
    </w:p>
    <w:p w14:paraId="49B1DD18">
      <w:pPr>
        <w:ind w:firstLine="105" w:firstLineChars="50"/>
        <w:jc w:val="left"/>
      </w:pPr>
    </w:p>
    <w:p w14:paraId="0AF5A895">
      <w:pPr>
        <w:ind w:firstLine="105" w:firstLineChars="50"/>
        <w:jc w:val="left"/>
      </w:pPr>
    </w:p>
    <w:p w14:paraId="7F92D423">
      <w:pPr>
        <w:ind w:firstLine="105" w:firstLineChars="50"/>
        <w:jc w:val="left"/>
      </w:pPr>
    </w:p>
    <w:p w14:paraId="5E3E9A8C">
      <w:pPr>
        <w:ind w:firstLine="105" w:firstLineChars="50"/>
        <w:jc w:val="left"/>
      </w:pPr>
    </w:p>
    <w:p w14:paraId="7A48925D">
      <w:pPr>
        <w:ind w:firstLine="105" w:firstLineChars="50"/>
        <w:jc w:val="left"/>
      </w:pPr>
    </w:p>
    <w:p w14:paraId="7B91C92F">
      <w:pPr>
        <w:ind w:firstLine="105" w:firstLineChars="50"/>
        <w:jc w:val="left"/>
      </w:pPr>
    </w:p>
    <w:p w14:paraId="34A8E9C2">
      <w:pPr>
        <w:jc w:val="left"/>
      </w:pPr>
    </w:p>
    <w:p w14:paraId="1B8A7F11">
      <w:pPr>
        <w:widowControl/>
        <w:jc w:val="left"/>
        <w:rPr>
          <w:rFonts w:eastAsia="黑体"/>
          <w:sz w:val="28"/>
          <w:szCs w:val="28"/>
        </w:rPr>
      </w:pPr>
      <w:bookmarkStart w:id="207" w:name="_Toc135032227"/>
      <w:r>
        <w:rPr>
          <w:b/>
          <w:sz w:val="28"/>
          <w:szCs w:val="28"/>
        </w:rPr>
        <w:br w:type="page"/>
      </w:r>
    </w:p>
    <w:p w14:paraId="0C71AF82">
      <w:pPr>
        <w:pStyle w:val="3"/>
        <w:jc w:val="left"/>
        <w:rPr>
          <w:szCs w:val="28"/>
        </w:rPr>
      </w:pPr>
      <w:r>
        <w:rPr>
          <w:rFonts w:hint="eastAsia"/>
          <w:szCs w:val="28"/>
        </w:rPr>
        <w:t>附件5、投标人主要业绩</w:t>
      </w:r>
      <w:bookmarkEnd w:id="207"/>
    </w:p>
    <w:p w14:paraId="3CCECEE2">
      <w:pPr>
        <w:ind w:firstLine="420"/>
        <w:jc w:val="left"/>
        <w:rPr>
          <w:rFonts w:ascii="宋体" w:cs="宋体"/>
          <w:kern w:val="0"/>
        </w:rPr>
      </w:pPr>
      <w:r>
        <w:rPr>
          <w:rFonts w:hint="eastAsia" w:ascii="宋体" w:hAnsi="宋体" w:cs="宋体"/>
          <w:kern w:val="0"/>
        </w:rPr>
        <w:t>主要业绩应按照招标文件要求提供</w:t>
      </w:r>
      <w:r>
        <w:rPr>
          <w:rFonts w:ascii="宋体" w:hAnsi="宋体" w:cs="宋体"/>
          <w:kern w:val="0"/>
        </w:rPr>
        <w:t>相应资料，若有作假，取消投标资格。</w:t>
      </w:r>
    </w:p>
    <w:p w14:paraId="558D0244">
      <w:pPr>
        <w:jc w:val="left"/>
        <w:rPr>
          <w:rFonts w:ascii="宋体" w:cs="宋体"/>
          <w:kern w:val="0"/>
        </w:rPr>
      </w:pPr>
    </w:p>
    <w:p w14:paraId="26843FD1">
      <w:pPr>
        <w:rPr>
          <w:sz w:val="28"/>
          <w:szCs w:val="28"/>
        </w:rPr>
      </w:pPr>
      <w:bookmarkStart w:id="208" w:name="_Toc135032228"/>
      <w:r>
        <w:rPr>
          <w:sz w:val="28"/>
          <w:szCs w:val="28"/>
        </w:rPr>
        <w:br w:type="page"/>
      </w:r>
    </w:p>
    <w:p w14:paraId="6ADB6A4B">
      <w:pPr>
        <w:pStyle w:val="3"/>
        <w:jc w:val="left"/>
        <w:rPr>
          <w:szCs w:val="28"/>
        </w:rPr>
      </w:pPr>
      <w:r>
        <w:rPr>
          <w:rFonts w:hint="eastAsia"/>
          <w:szCs w:val="28"/>
        </w:rPr>
        <w:t>附件6、设备技术规格偏离表，技术响应表</w:t>
      </w:r>
      <w:bookmarkEnd w:id="208"/>
    </w:p>
    <w:tbl>
      <w:tblPr>
        <w:tblStyle w:val="76"/>
        <w:tblW w:w="1010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8"/>
        <w:gridCol w:w="1276"/>
        <w:gridCol w:w="5575"/>
        <w:gridCol w:w="1328"/>
        <w:gridCol w:w="1141"/>
      </w:tblGrid>
      <w:tr w14:paraId="00BC9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exact"/>
        </w:trPr>
        <w:tc>
          <w:tcPr>
            <w:tcW w:w="788" w:type="dxa"/>
            <w:vAlign w:val="center"/>
          </w:tcPr>
          <w:p w14:paraId="3D3A8CEF">
            <w:pPr>
              <w:adjustRightInd w:val="0"/>
              <w:snapToGrid w:val="0"/>
              <w:spacing w:line="300" w:lineRule="exact"/>
              <w:jc w:val="left"/>
              <w:rPr>
                <w:rFonts w:ascii="宋体"/>
              </w:rPr>
            </w:pPr>
            <w:r>
              <w:rPr>
                <w:rFonts w:hint="eastAsia" w:ascii="宋体" w:hAnsi="宋体"/>
              </w:rPr>
              <w:t>序号</w:t>
            </w:r>
          </w:p>
        </w:tc>
        <w:tc>
          <w:tcPr>
            <w:tcW w:w="1276" w:type="dxa"/>
            <w:vAlign w:val="center"/>
          </w:tcPr>
          <w:p w14:paraId="6EA60AD7">
            <w:pPr>
              <w:adjustRightInd w:val="0"/>
              <w:snapToGrid w:val="0"/>
              <w:spacing w:line="300" w:lineRule="exact"/>
              <w:jc w:val="left"/>
              <w:rPr>
                <w:rFonts w:ascii="宋体"/>
              </w:rPr>
            </w:pPr>
            <w:r>
              <w:rPr>
                <w:rFonts w:hint="eastAsia" w:ascii="宋体" w:hAnsi="宋体"/>
              </w:rPr>
              <w:t>条款</w:t>
            </w:r>
          </w:p>
        </w:tc>
        <w:tc>
          <w:tcPr>
            <w:tcW w:w="5575" w:type="dxa"/>
            <w:vAlign w:val="center"/>
          </w:tcPr>
          <w:p w14:paraId="691219C7">
            <w:pPr>
              <w:adjustRightInd w:val="0"/>
              <w:snapToGrid w:val="0"/>
              <w:spacing w:line="300" w:lineRule="exact"/>
              <w:jc w:val="left"/>
              <w:rPr>
                <w:rFonts w:ascii="宋体"/>
              </w:rPr>
            </w:pPr>
            <w:r>
              <w:rPr>
                <w:rFonts w:hint="eastAsia" w:ascii="宋体" w:hAnsi="宋体"/>
              </w:rPr>
              <w:t>招标文件要求</w:t>
            </w:r>
          </w:p>
        </w:tc>
        <w:tc>
          <w:tcPr>
            <w:tcW w:w="1328" w:type="dxa"/>
            <w:vAlign w:val="center"/>
          </w:tcPr>
          <w:p w14:paraId="18E3F80E">
            <w:pPr>
              <w:adjustRightInd w:val="0"/>
              <w:snapToGrid w:val="0"/>
              <w:spacing w:line="300" w:lineRule="exact"/>
              <w:jc w:val="left"/>
              <w:rPr>
                <w:rFonts w:ascii="宋体"/>
              </w:rPr>
            </w:pPr>
            <w:r>
              <w:rPr>
                <w:rFonts w:hint="eastAsia" w:ascii="宋体" w:hAnsi="宋体"/>
              </w:rPr>
              <w:t>投标文件对应技术数据</w:t>
            </w:r>
          </w:p>
        </w:tc>
        <w:tc>
          <w:tcPr>
            <w:tcW w:w="1141" w:type="dxa"/>
            <w:vAlign w:val="center"/>
          </w:tcPr>
          <w:p w14:paraId="580E5711">
            <w:pPr>
              <w:adjustRightInd w:val="0"/>
              <w:snapToGrid w:val="0"/>
              <w:spacing w:line="300" w:lineRule="exact"/>
              <w:jc w:val="left"/>
              <w:rPr>
                <w:rFonts w:ascii="宋体"/>
              </w:rPr>
            </w:pPr>
            <w:r>
              <w:rPr>
                <w:rFonts w:hint="eastAsia" w:ascii="宋体" w:hAnsi="宋体"/>
              </w:rPr>
              <w:t>备注</w:t>
            </w:r>
          </w:p>
        </w:tc>
      </w:tr>
      <w:tr w14:paraId="2BB64C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exact"/>
        </w:trPr>
        <w:tc>
          <w:tcPr>
            <w:tcW w:w="788" w:type="dxa"/>
            <w:vAlign w:val="center"/>
          </w:tcPr>
          <w:p w14:paraId="078DF2CE">
            <w:pPr>
              <w:spacing w:line="300" w:lineRule="exact"/>
              <w:jc w:val="left"/>
              <w:rPr>
                <w:rFonts w:hint="eastAsia" w:ascii="宋体" w:eastAsia="宋体"/>
                <w:lang w:val="en-US" w:eastAsia="zh-CN"/>
              </w:rPr>
            </w:pPr>
            <w:r>
              <w:rPr>
                <w:rFonts w:hint="eastAsia" w:ascii="宋体"/>
                <w:lang w:val="en-US" w:eastAsia="zh-CN"/>
              </w:rPr>
              <w:t>1</w:t>
            </w:r>
          </w:p>
        </w:tc>
        <w:tc>
          <w:tcPr>
            <w:tcW w:w="1276" w:type="dxa"/>
            <w:tcBorders>
              <w:left w:val="single" w:color="auto" w:sz="4" w:space="0"/>
              <w:right w:val="single" w:color="auto" w:sz="4" w:space="0"/>
            </w:tcBorders>
            <w:vAlign w:val="center"/>
          </w:tcPr>
          <w:p w14:paraId="06EA43EA">
            <w:pPr>
              <w:spacing w:line="300" w:lineRule="exact"/>
              <w:jc w:val="left"/>
              <w:rPr>
                <w:rFonts w:ascii="宋体"/>
              </w:rPr>
            </w:pPr>
            <w:r>
              <w:rPr>
                <w:rFonts w:ascii="宋体" w:hAnsi="宋体" w:cs="宋体"/>
                <w:szCs w:val="21"/>
              </w:rPr>
              <w:t>*</w:t>
            </w:r>
            <w:r>
              <w:rPr>
                <w:rFonts w:hint="eastAsia" w:ascii="宋体" w:hAnsi="宋体" w:cs="宋体"/>
                <w:szCs w:val="21"/>
              </w:rPr>
              <w:t>1.1</w:t>
            </w:r>
          </w:p>
        </w:tc>
        <w:tc>
          <w:tcPr>
            <w:tcW w:w="5575" w:type="dxa"/>
            <w:tcBorders>
              <w:left w:val="single" w:color="auto" w:sz="4" w:space="0"/>
              <w:right w:val="single" w:color="auto" w:sz="4" w:space="0"/>
            </w:tcBorders>
            <w:vAlign w:val="center"/>
          </w:tcPr>
          <w:p w14:paraId="25006B8B">
            <w:pPr>
              <w:spacing w:line="300" w:lineRule="exact"/>
              <w:jc w:val="left"/>
              <w:rPr>
                <w:rFonts w:ascii="宋体"/>
              </w:rPr>
            </w:pPr>
            <w:r>
              <w:rPr>
                <w:rFonts w:hint="eastAsia" w:ascii="宋体" w:hAnsi="宋体" w:cs="宋体"/>
                <w:szCs w:val="21"/>
              </w:rPr>
              <w:t>投标标的物须为完整的、全新的未曾使用过的标的物，须提供类似工况（同时满足：入口氯气体积流量≥5000</w:t>
            </w:r>
            <w:r>
              <w:rPr>
                <w:rFonts w:ascii="宋体" w:hAnsi="宋体" w:cs="宋体"/>
                <w:szCs w:val="21"/>
              </w:rPr>
              <w:t xml:space="preserve"> Nm3/h</w:t>
            </w:r>
            <w:r>
              <w:rPr>
                <w:rFonts w:hint="eastAsia" w:ascii="宋体" w:hAnsi="宋体" w:cs="宋体"/>
                <w:szCs w:val="21"/>
              </w:rPr>
              <w:t>、氯压机四段出口压力≥0</w:t>
            </w:r>
            <w:r>
              <w:rPr>
                <w:rFonts w:ascii="宋体" w:hAnsi="宋体" w:cs="宋体"/>
                <w:szCs w:val="21"/>
              </w:rPr>
              <w:t>.7</w:t>
            </w:r>
            <w:r>
              <w:rPr>
                <w:rFonts w:hint="eastAsia" w:ascii="宋体" w:hAnsi="宋体" w:cs="宋体"/>
                <w:szCs w:val="21"/>
              </w:rPr>
              <w:t xml:space="preserve">00MPa </w:t>
            </w:r>
            <w:r>
              <w:rPr>
                <w:rFonts w:ascii="宋体" w:hAnsi="宋体" w:cs="宋体"/>
                <w:szCs w:val="21"/>
              </w:rPr>
              <w:t>G</w:t>
            </w:r>
            <w:r>
              <w:rPr>
                <w:rFonts w:hint="eastAsia" w:ascii="宋体" w:hAnsi="宋体" w:cs="宋体"/>
                <w:szCs w:val="21"/>
              </w:rPr>
              <w:t>，)的良好的应用业绩(提供合同、技术协议关键页、盖章验收报告等证明材料)。</w:t>
            </w:r>
          </w:p>
        </w:tc>
        <w:tc>
          <w:tcPr>
            <w:tcW w:w="1328" w:type="dxa"/>
            <w:tcBorders>
              <w:left w:val="single" w:color="auto" w:sz="4" w:space="0"/>
              <w:right w:val="single" w:color="auto" w:sz="4" w:space="0"/>
            </w:tcBorders>
            <w:vAlign w:val="center"/>
          </w:tcPr>
          <w:p w14:paraId="419ADD42">
            <w:pPr>
              <w:spacing w:line="300" w:lineRule="exact"/>
              <w:jc w:val="left"/>
              <w:rPr>
                <w:rFonts w:ascii="宋体"/>
              </w:rPr>
            </w:pPr>
          </w:p>
        </w:tc>
        <w:tc>
          <w:tcPr>
            <w:tcW w:w="1141" w:type="dxa"/>
            <w:vAlign w:val="center"/>
          </w:tcPr>
          <w:p w14:paraId="7B18629F">
            <w:pPr>
              <w:spacing w:line="300" w:lineRule="exact"/>
              <w:jc w:val="left"/>
              <w:rPr>
                <w:rFonts w:ascii="宋体"/>
              </w:rPr>
            </w:pPr>
          </w:p>
        </w:tc>
      </w:tr>
      <w:tr w14:paraId="3C4F6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788" w:type="dxa"/>
            <w:vAlign w:val="center"/>
          </w:tcPr>
          <w:p w14:paraId="57B5117D">
            <w:pPr>
              <w:spacing w:line="300" w:lineRule="exact"/>
              <w:jc w:val="left"/>
              <w:rPr>
                <w:rFonts w:hint="eastAsia" w:ascii="宋体" w:eastAsia="宋体"/>
                <w:lang w:val="en-US" w:eastAsia="zh-CN"/>
              </w:rPr>
            </w:pPr>
            <w:r>
              <w:rPr>
                <w:rFonts w:hint="eastAsia" w:ascii="宋体"/>
                <w:lang w:val="en-US" w:eastAsia="zh-CN"/>
              </w:rPr>
              <w:t>2</w:t>
            </w:r>
          </w:p>
        </w:tc>
        <w:tc>
          <w:tcPr>
            <w:tcW w:w="1276" w:type="dxa"/>
            <w:tcBorders>
              <w:left w:val="single" w:color="auto" w:sz="4" w:space="0"/>
              <w:right w:val="single" w:color="auto" w:sz="4" w:space="0"/>
            </w:tcBorders>
            <w:vAlign w:val="center"/>
          </w:tcPr>
          <w:p w14:paraId="528C0CA4">
            <w:pPr>
              <w:spacing w:line="300" w:lineRule="exact"/>
              <w:jc w:val="left"/>
              <w:rPr>
                <w:rFonts w:ascii="宋体"/>
              </w:rPr>
            </w:pPr>
            <w:r>
              <w:rPr>
                <w:rFonts w:hint="eastAsia" w:ascii="宋体" w:hAnsi="宋体" w:cs="宋体"/>
                <w:sz w:val="24"/>
              </w:rPr>
              <w:t>*</w:t>
            </w:r>
            <w:r>
              <w:rPr>
                <w:rFonts w:hint="eastAsia" w:ascii="宋体"/>
              </w:rPr>
              <w:t>4.1.2</w:t>
            </w:r>
            <w:r>
              <w:rPr>
                <w:rFonts w:ascii="宋体"/>
              </w:rPr>
              <w:fldChar w:fldCharType="begin"/>
            </w:r>
            <w:r>
              <w:rPr>
                <w:rFonts w:ascii="宋体"/>
              </w:rPr>
              <w:instrText xml:space="preserve"> </w:instrText>
            </w:r>
            <w:r>
              <w:rPr>
                <w:rFonts w:hint="eastAsia" w:ascii="宋体"/>
              </w:rPr>
              <w:instrText xml:space="preserve">= 3 \* GB3</w:instrText>
            </w:r>
            <w:r>
              <w:rPr>
                <w:rFonts w:ascii="宋体"/>
              </w:rPr>
              <w:instrText xml:space="preserve"> </w:instrText>
            </w:r>
            <w:r>
              <w:rPr>
                <w:rFonts w:ascii="宋体"/>
              </w:rPr>
              <w:fldChar w:fldCharType="separate"/>
            </w:r>
            <w:r>
              <w:rPr>
                <w:rFonts w:hint="eastAsia" w:ascii="宋体"/>
              </w:rPr>
              <w:t>③</w:t>
            </w:r>
            <w:r>
              <w:rPr>
                <w:rFonts w:ascii="宋体"/>
              </w:rPr>
              <w:fldChar w:fldCharType="end"/>
            </w:r>
          </w:p>
        </w:tc>
        <w:tc>
          <w:tcPr>
            <w:tcW w:w="5575" w:type="dxa"/>
            <w:tcBorders>
              <w:left w:val="single" w:color="auto" w:sz="4" w:space="0"/>
              <w:right w:val="single" w:color="auto" w:sz="4" w:space="0"/>
            </w:tcBorders>
            <w:vAlign w:val="center"/>
          </w:tcPr>
          <w:p w14:paraId="415DF81F">
            <w:pPr>
              <w:spacing w:line="300" w:lineRule="exact"/>
              <w:rPr>
                <w:rFonts w:ascii="宋体"/>
              </w:rPr>
            </w:pPr>
            <w:r>
              <w:rPr>
                <w:rFonts w:hint="eastAsia" w:ascii="宋体" w:hAnsi="宋体" w:cs="宋体"/>
                <w:szCs w:val="21"/>
              </w:rPr>
              <w:t>轴端密封型式：三腔迷宫式密封，材质哈</w:t>
            </w:r>
            <w:r>
              <w:rPr>
                <w:rFonts w:ascii="宋体" w:hAnsi="宋体" w:cs="宋体"/>
                <w:szCs w:val="21"/>
              </w:rPr>
              <w:t>C276或镍</w:t>
            </w:r>
            <w:r>
              <w:rPr>
                <w:rFonts w:hint="eastAsia" w:ascii="宋体" w:hAnsi="宋体" w:cs="宋体"/>
                <w:szCs w:val="21"/>
              </w:rPr>
              <w:t>。</w:t>
            </w:r>
          </w:p>
        </w:tc>
        <w:tc>
          <w:tcPr>
            <w:tcW w:w="1328" w:type="dxa"/>
            <w:tcBorders>
              <w:left w:val="single" w:color="auto" w:sz="4" w:space="0"/>
              <w:right w:val="single" w:color="auto" w:sz="4" w:space="0"/>
            </w:tcBorders>
            <w:vAlign w:val="center"/>
          </w:tcPr>
          <w:p w14:paraId="4310ACD9">
            <w:pPr>
              <w:spacing w:line="300" w:lineRule="exact"/>
              <w:jc w:val="left"/>
              <w:rPr>
                <w:rFonts w:ascii="宋体"/>
              </w:rPr>
            </w:pPr>
          </w:p>
        </w:tc>
        <w:tc>
          <w:tcPr>
            <w:tcW w:w="1141" w:type="dxa"/>
            <w:vAlign w:val="center"/>
          </w:tcPr>
          <w:p w14:paraId="5B66E5C4">
            <w:pPr>
              <w:spacing w:line="300" w:lineRule="exact"/>
              <w:jc w:val="left"/>
              <w:rPr>
                <w:rFonts w:ascii="宋体"/>
              </w:rPr>
            </w:pPr>
          </w:p>
        </w:tc>
      </w:tr>
      <w:tr w14:paraId="3608E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3" w:hRule="exact"/>
        </w:trPr>
        <w:tc>
          <w:tcPr>
            <w:tcW w:w="788" w:type="dxa"/>
            <w:vAlign w:val="center"/>
          </w:tcPr>
          <w:p w14:paraId="6ECD0BEC">
            <w:pPr>
              <w:spacing w:line="300" w:lineRule="exact"/>
              <w:jc w:val="left"/>
              <w:rPr>
                <w:rFonts w:hint="eastAsia" w:ascii="宋体" w:eastAsia="宋体"/>
                <w:lang w:val="en-US" w:eastAsia="zh-CN"/>
              </w:rPr>
            </w:pPr>
            <w:r>
              <w:rPr>
                <w:rFonts w:hint="eastAsia" w:ascii="宋体"/>
                <w:lang w:val="en-US" w:eastAsia="zh-CN"/>
              </w:rPr>
              <w:t>3</w:t>
            </w:r>
          </w:p>
        </w:tc>
        <w:tc>
          <w:tcPr>
            <w:tcW w:w="1276" w:type="dxa"/>
            <w:tcBorders>
              <w:left w:val="single" w:color="auto" w:sz="4" w:space="0"/>
              <w:right w:val="single" w:color="auto" w:sz="4" w:space="0"/>
            </w:tcBorders>
            <w:vAlign w:val="center"/>
          </w:tcPr>
          <w:p w14:paraId="39977D85">
            <w:pPr>
              <w:spacing w:line="300" w:lineRule="exact"/>
              <w:jc w:val="left"/>
              <w:rPr>
                <w:rFonts w:ascii="宋体"/>
              </w:rPr>
            </w:pPr>
            <w:r>
              <w:rPr>
                <w:rFonts w:hAnsi="宋体" w:cs="宋体"/>
                <w:szCs w:val="21"/>
              </w:rPr>
              <w:t>*4.2.2.19</w:t>
            </w:r>
          </w:p>
        </w:tc>
        <w:tc>
          <w:tcPr>
            <w:tcW w:w="5575" w:type="dxa"/>
            <w:tcBorders>
              <w:left w:val="single" w:color="auto" w:sz="4" w:space="0"/>
              <w:right w:val="single" w:color="auto" w:sz="4" w:space="0"/>
            </w:tcBorders>
            <w:vAlign w:val="center"/>
          </w:tcPr>
          <w:p w14:paraId="08F1C5B8">
            <w:pPr>
              <w:pStyle w:val="800"/>
              <w:tabs>
                <w:tab w:val="left" w:pos="0"/>
              </w:tabs>
              <w:autoSpaceDE w:val="0"/>
              <w:autoSpaceDN w:val="0"/>
              <w:spacing w:line="300" w:lineRule="exact"/>
              <w:textAlignment w:val="bottom"/>
            </w:pPr>
            <w:r>
              <w:rPr>
                <w:rFonts w:hint="eastAsia" w:hAnsi="宋体" w:cs="宋体"/>
                <w:kern w:val="2"/>
                <w:sz w:val="21"/>
                <w:szCs w:val="21"/>
              </w:rPr>
              <w:t>在油系统中增设一套低油压油泵自动启动连锁调试系统，即在正常运行时，通过手动给一个低油压信号，验证备用泵是否能够自动启动。</w:t>
            </w:r>
          </w:p>
        </w:tc>
        <w:tc>
          <w:tcPr>
            <w:tcW w:w="1328" w:type="dxa"/>
            <w:tcBorders>
              <w:left w:val="single" w:color="auto" w:sz="4" w:space="0"/>
              <w:right w:val="single" w:color="auto" w:sz="4" w:space="0"/>
            </w:tcBorders>
            <w:vAlign w:val="center"/>
          </w:tcPr>
          <w:p w14:paraId="683FA5DD">
            <w:pPr>
              <w:spacing w:line="300" w:lineRule="exact"/>
              <w:jc w:val="left"/>
              <w:rPr>
                <w:rFonts w:ascii="宋体"/>
              </w:rPr>
            </w:pPr>
          </w:p>
        </w:tc>
        <w:tc>
          <w:tcPr>
            <w:tcW w:w="1141" w:type="dxa"/>
            <w:vAlign w:val="center"/>
          </w:tcPr>
          <w:p w14:paraId="24650836">
            <w:pPr>
              <w:spacing w:line="300" w:lineRule="exact"/>
              <w:jc w:val="left"/>
              <w:rPr>
                <w:rFonts w:ascii="宋体"/>
              </w:rPr>
            </w:pPr>
          </w:p>
        </w:tc>
      </w:tr>
      <w:tr w14:paraId="6D991A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5" w:hRule="exact"/>
        </w:trPr>
        <w:tc>
          <w:tcPr>
            <w:tcW w:w="788" w:type="dxa"/>
            <w:vAlign w:val="center"/>
          </w:tcPr>
          <w:p w14:paraId="6F9BB06A">
            <w:pPr>
              <w:spacing w:line="300" w:lineRule="exact"/>
              <w:jc w:val="left"/>
              <w:rPr>
                <w:rFonts w:hint="eastAsia" w:ascii="宋体" w:eastAsia="宋体"/>
                <w:lang w:val="en-US" w:eastAsia="zh-CN"/>
              </w:rPr>
            </w:pPr>
            <w:r>
              <w:rPr>
                <w:rFonts w:hint="eastAsia" w:ascii="宋体"/>
                <w:lang w:val="en-US" w:eastAsia="zh-CN"/>
              </w:rPr>
              <w:t>4</w:t>
            </w:r>
          </w:p>
        </w:tc>
        <w:tc>
          <w:tcPr>
            <w:tcW w:w="1276" w:type="dxa"/>
            <w:tcBorders>
              <w:left w:val="single" w:color="auto" w:sz="4" w:space="0"/>
              <w:right w:val="single" w:color="auto" w:sz="4" w:space="0"/>
            </w:tcBorders>
            <w:vAlign w:val="center"/>
          </w:tcPr>
          <w:p w14:paraId="6FED78BA">
            <w:pPr>
              <w:spacing w:line="300" w:lineRule="exact"/>
              <w:jc w:val="left"/>
              <w:rPr>
                <w:rFonts w:ascii="宋体"/>
              </w:rPr>
            </w:pPr>
            <w:r>
              <w:rPr>
                <w:rFonts w:hint="eastAsia" w:ascii="宋体" w:hAnsi="宋体" w:cs="宋体"/>
                <w:szCs w:val="21"/>
              </w:rPr>
              <w:t>*4.4</w:t>
            </w:r>
          </w:p>
        </w:tc>
        <w:tc>
          <w:tcPr>
            <w:tcW w:w="5575" w:type="dxa"/>
            <w:tcBorders>
              <w:left w:val="single" w:color="auto" w:sz="4" w:space="0"/>
              <w:right w:val="single" w:color="auto" w:sz="4" w:space="0"/>
            </w:tcBorders>
            <w:vAlign w:val="center"/>
          </w:tcPr>
          <w:p w14:paraId="1EA217BC">
            <w:pPr>
              <w:spacing w:line="300" w:lineRule="exact"/>
              <w:rPr>
                <w:rFonts w:ascii="宋体"/>
              </w:rPr>
            </w:pPr>
            <w:r>
              <w:rPr>
                <w:rFonts w:hint="eastAsia" w:ascii="宋体" w:hAnsi="宋体" w:cs="宋体"/>
                <w:szCs w:val="21"/>
              </w:rPr>
              <w:t>各段氯气冷却器（卧式安装）各段氯气冷却器全部统一规格，设计压力、设计温度、容积、换热面积、外形尺寸、管口方位、管口尺寸等等均一致,按最高压力等级统一设计。各段氯气冷却器全采用单管板结构，换热管、折流板、定距管、拉杆采用S22053，管板采用Q</w:t>
            </w:r>
            <w:r>
              <w:rPr>
                <w:rFonts w:ascii="宋体" w:hAnsi="宋体" w:cs="宋体"/>
                <w:szCs w:val="21"/>
              </w:rPr>
              <w:t>345R+</w:t>
            </w:r>
            <w:r>
              <w:rPr>
                <w:rFonts w:hint="eastAsia" w:ascii="宋体" w:hAnsi="宋体" w:cs="宋体"/>
                <w:szCs w:val="21"/>
              </w:rPr>
              <w:t>S22053，壳体采用Q345R材质。所有</w:t>
            </w:r>
            <w:r>
              <w:rPr>
                <w:rFonts w:ascii="宋体" w:hAnsi="宋体" w:cs="宋体"/>
                <w:szCs w:val="21"/>
              </w:rPr>
              <w:t>换热管两端各裁去</w:t>
            </w:r>
            <w:r>
              <w:rPr>
                <w:rFonts w:hint="eastAsia" w:ascii="宋体" w:hAnsi="宋体" w:cs="宋体"/>
                <w:szCs w:val="21"/>
              </w:rPr>
              <w:t>1</w:t>
            </w:r>
            <w:r>
              <w:rPr>
                <w:rFonts w:ascii="宋体" w:hAnsi="宋体" w:cs="宋体"/>
                <w:szCs w:val="21"/>
              </w:rPr>
              <w:t>0cm（注意采购时考虑相应的长度余量），裁口打磨光滑，</w:t>
            </w:r>
            <w:r>
              <w:rPr>
                <w:rFonts w:hint="eastAsia" w:ascii="宋体" w:hAnsi="宋体" w:cs="宋体"/>
                <w:szCs w:val="21"/>
              </w:rPr>
              <w:t>换热管与管板采用氩弧焊焊接和贴胀（先焊后胀），要求采用自动保护焊和中频感应加热技术；换热管厂家：“浙江久立特材科技股份有限公司”、“江苏银环精密钢管有限公司”。氯气冷却器最终施工图需经过甲、乙双方签字确认后方可制作，经打压试验合格后，内部清理干净无异物并进行烘干处理，氯气侧不允许水试，只能用气试，试验完毕，管口封装盲板，内部充氮保护。所有法兰连接螺栓使用双头螺纹高强度特氟龙螺栓，氯气、水、油介质按规范采用不同垫片（不安装在设备上，随设备一起发货）。包装时冷却器壳层需采用标准法兰盖进行氮气密封保护，压力在0</w:t>
            </w:r>
            <w:r>
              <w:rPr>
                <w:rFonts w:ascii="宋体" w:hAnsi="宋体" w:cs="宋体"/>
                <w:szCs w:val="21"/>
              </w:rPr>
              <w:t>.5-1</w:t>
            </w:r>
            <w:r>
              <w:rPr>
                <w:rFonts w:hint="eastAsia" w:ascii="宋体" w:hAnsi="宋体" w:cs="宋体"/>
                <w:szCs w:val="21"/>
              </w:rPr>
              <w:t>bar，带两只就地压力表，交货时提供氯气侧的露点分析报告</w:t>
            </w:r>
            <w:r>
              <w:rPr>
                <w:rFonts w:ascii="宋体" w:hAnsi="宋体" w:cs="宋体"/>
                <w:szCs w:val="21"/>
              </w:rPr>
              <w:t>。</w:t>
            </w:r>
            <w:r>
              <w:rPr>
                <w:rFonts w:hint="eastAsia" w:ascii="宋体" w:hAnsi="宋体" w:cs="宋体"/>
                <w:szCs w:val="21"/>
              </w:rPr>
              <w:t>压力容器铭牌材质采用S30408不锈钢。</w:t>
            </w:r>
          </w:p>
        </w:tc>
        <w:tc>
          <w:tcPr>
            <w:tcW w:w="1328" w:type="dxa"/>
            <w:tcBorders>
              <w:left w:val="single" w:color="auto" w:sz="4" w:space="0"/>
              <w:right w:val="single" w:color="auto" w:sz="4" w:space="0"/>
            </w:tcBorders>
            <w:vAlign w:val="center"/>
          </w:tcPr>
          <w:p w14:paraId="4E834B6C">
            <w:pPr>
              <w:spacing w:line="300" w:lineRule="exact"/>
              <w:jc w:val="left"/>
              <w:rPr>
                <w:rFonts w:ascii="宋体"/>
              </w:rPr>
            </w:pPr>
          </w:p>
        </w:tc>
        <w:tc>
          <w:tcPr>
            <w:tcW w:w="1141" w:type="dxa"/>
            <w:vAlign w:val="center"/>
          </w:tcPr>
          <w:p w14:paraId="5E9DE44D">
            <w:pPr>
              <w:spacing w:line="300" w:lineRule="exact"/>
              <w:jc w:val="left"/>
              <w:rPr>
                <w:rFonts w:ascii="宋体"/>
              </w:rPr>
            </w:pPr>
          </w:p>
        </w:tc>
      </w:tr>
      <w:tr w14:paraId="2955C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6" w:hRule="exact"/>
        </w:trPr>
        <w:tc>
          <w:tcPr>
            <w:tcW w:w="788" w:type="dxa"/>
            <w:vAlign w:val="center"/>
          </w:tcPr>
          <w:p w14:paraId="79BF737D">
            <w:pPr>
              <w:spacing w:line="300" w:lineRule="exact"/>
              <w:jc w:val="left"/>
              <w:rPr>
                <w:rFonts w:hint="eastAsia" w:ascii="宋体" w:eastAsia="宋体"/>
                <w:lang w:val="en-US" w:eastAsia="zh-CN"/>
              </w:rPr>
            </w:pPr>
            <w:r>
              <w:rPr>
                <w:rFonts w:hint="eastAsia" w:ascii="宋体"/>
                <w:lang w:val="en-US" w:eastAsia="zh-CN"/>
              </w:rPr>
              <w:t>5</w:t>
            </w:r>
          </w:p>
        </w:tc>
        <w:tc>
          <w:tcPr>
            <w:tcW w:w="1276" w:type="dxa"/>
            <w:tcBorders>
              <w:left w:val="single" w:color="auto" w:sz="4" w:space="0"/>
              <w:right w:val="single" w:color="auto" w:sz="4" w:space="0"/>
            </w:tcBorders>
            <w:vAlign w:val="center"/>
          </w:tcPr>
          <w:p w14:paraId="0CBAE94B">
            <w:pPr>
              <w:spacing w:line="300" w:lineRule="exact"/>
              <w:jc w:val="left"/>
              <w:rPr>
                <w:rFonts w:ascii="宋体"/>
              </w:rPr>
            </w:pPr>
            <w:r>
              <w:rPr>
                <w:rFonts w:hint="eastAsia" w:ascii="宋体" w:hAnsi="宋体" w:cs="宋体"/>
                <w:sz w:val="24"/>
              </w:rPr>
              <w:t>*5.2</w:t>
            </w:r>
          </w:p>
        </w:tc>
        <w:tc>
          <w:tcPr>
            <w:tcW w:w="5575" w:type="dxa"/>
            <w:tcBorders>
              <w:left w:val="single" w:color="auto" w:sz="4" w:space="0"/>
              <w:right w:val="single" w:color="auto" w:sz="4" w:space="0"/>
            </w:tcBorders>
            <w:vAlign w:val="center"/>
          </w:tcPr>
          <w:p w14:paraId="3F6B8DAD">
            <w:pPr>
              <w:autoSpaceDE w:val="0"/>
              <w:autoSpaceDN w:val="0"/>
              <w:adjustRightInd w:val="0"/>
              <w:snapToGrid w:val="0"/>
              <w:spacing w:line="300" w:lineRule="exact"/>
              <w:jc w:val="left"/>
              <w:rPr>
                <w:rFonts w:ascii="宋体"/>
              </w:rPr>
            </w:pPr>
            <w:r>
              <w:rPr>
                <w:rFonts w:hint="eastAsia" w:ascii="宋体" w:hAnsi="宋体" w:cs="宋体"/>
                <w:sz w:val="24"/>
              </w:rPr>
              <w:t>电机要求采用4极电机设计，防腐等级：WF2，温升等级：B，冷却方式：IC611，定额：S1（连续工作制），防护等级：IP55；抗晃电 2.5S</w:t>
            </w:r>
          </w:p>
        </w:tc>
        <w:tc>
          <w:tcPr>
            <w:tcW w:w="1328" w:type="dxa"/>
            <w:tcBorders>
              <w:left w:val="single" w:color="auto" w:sz="4" w:space="0"/>
              <w:right w:val="single" w:color="auto" w:sz="4" w:space="0"/>
            </w:tcBorders>
            <w:vAlign w:val="center"/>
          </w:tcPr>
          <w:p w14:paraId="2D3B40DF">
            <w:pPr>
              <w:spacing w:line="300" w:lineRule="exact"/>
              <w:jc w:val="left"/>
              <w:rPr>
                <w:rFonts w:ascii="宋体"/>
              </w:rPr>
            </w:pPr>
          </w:p>
        </w:tc>
        <w:tc>
          <w:tcPr>
            <w:tcW w:w="1141" w:type="dxa"/>
            <w:vAlign w:val="center"/>
          </w:tcPr>
          <w:p w14:paraId="401E0F7C">
            <w:pPr>
              <w:spacing w:line="300" w:lineRule="exact"/>
              <w:jc w:val="left"/>
              <w:rPr>
                <w:rFonts w:ascii="宋体"/>
              </w:rPr>
            </w:pPr>
          </w:p>
        </w:tc>
      </w:tr>
      <w:tr w14:paraId="0D5B5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7" w:hRule="exact"/>
        </w:trPr>
        <w:tc>
          <w:tcPr>
            <w:tcW w:w="788" w:type="dxa"/>
            <w:vAlign w:val="center"/>
          </w:tcPr>
          <w:p w14:paraId="5F3D6034">
            <w:pPr>
              <w:spacing w:line="300" w:lineRule="exact"/>
              <w:jc w:val="left"/>
              <w:rPr>
                <w:rFonts w:hint="eastAsia" w:ascii="宋体" w:eastAsia="宋体"/>
                <w:lang w:val="en-US" w:eastAsia="zh-CN"/>
              </w:rPr>
            </w:pPr>
            <w:r>
              <w:rPr>
                <w:rFonts w:hint="eastAsia" w:ascii="宋体"/>
                <w:lang w:val="en-US" w:eastAsia="zh-CN"/>
              </w:rPr>
              <w:t>6</w:t>
            </w:r>
          </w:p>
        </w:tc>
        <w:tc>
          <w:tcPr>
            <w:tcW w:w="1276" w:type="dxa"/>
            <w:tcBorders>
              <w:left w:val="single" w:color="auto" w:sz="4" w:space="0"/>
              <w:right w:val="single" w:color="auto" w:sz="4" w:space="0"/>
            </w:tcBorders>
            <w:vAlign w:val="center"/>
          </w:tcPr>
          <w:p w14:paraId="5F446054">
            <w:pPr>
              <w:spacing w:line="300" w:lineRule="exact"/>
              <w:jc w:val="left"/>
              <w:rPr>
                <w:rFonts w:ascii="宋体"/>
              </w:rPr>
            </w:pPr>
            <w:r>
              <w:rPr>
                <w:rFonts w:hint="eastAsia" w:ascii="宋体" w:hAnsi="宋体" w:cs="宋体"/>
                <w:sz w:val="24"/>
              </w:rPr>
              <w:t>*5.4</w:t>
            </w:r>
          </w:p>
        </w:tc>
        <w:tc>
          <w:tcPr>
            <w:tcW w:w="5575" w:type="dxa"/>
            <w:tcBorders>
              <w:left w:val="single" w:color="auto" w:sz="4" w:space="0"/>
              <w:right w:val="single" w:color="auto" w:sz="4" w:space="0"/>
            </w:tcBorders>
            <w:vAlign w:val="center"/>
          </w:tcPr>
          <w:p w14:paraId="03819202">
            <w:pPr>
              <w:autoSpaceDE w:val="0"/>
              <w:autoSpaceDN w:val="0"/>
              <w:adjustRightInd w:val="0"/>
              <w:snapToGrid w:val="0"/>
              <w:spacing w:line="300" w:lineRule="exact"/>
              <w:jc w:val="left"/>
              <w:rPr>
                <w:rFonts w:ascii="宋体" w:hAnsi="宋体" w:cs="宋体"/>
                <w:sz w:val="24"/>
              </w:rPr>
            </w:pPr>
            <w:r>
              <w:rPr>
                <w:rFonts w:hint="eastAsia" w:ascii="宋体" w:hAnsi="宋体" w:cs="宋体"/>
                <w:sz w:val="24"/>
              </w:rPr>
              <w:t>启动及运行要求</w:t>
            </w:r>
          </w:p>
          <w:p w14:paraId="4A34E046">
            <w:pPr>
              <w:spacing w:line="300" w:lineRule="exact"/>
              <w:jc w:val="left"/>
              <w:rPr>
                <w:rFonts w:ascii="宋体"/>
              </w:rPr>
            </w:pPr>
            <w:r>
              <w:rPr>
                <w:rFonts w:hint="eastAsia" w:ascii="宋体" w:hAnsi="宋体" w:cs="宋体"/>
                <w:sz w:val="24"/>
              </w:rPr>
              <w:t>启动方式：直接启动</w:t>
            </w:r>
            <w:r>
              <w:rPr>
                <w:rFonts w:ascii="宋体" w:hAnsi="宋体" w:cs="宋体"/>
                <w:sz w:val="24"/>
              </w:rPr>
              <w:t>。</w:t>
            </w:r>
            <w:r>
              <w:rPr>
                <w:rFonts w:hint="eastAsia" w:ascii="宋体" w:hAnsi="宋体" w:cs="宋体"/>
                <w:sz w:val="24"/>
              </w:rPr>
              <w:t>电动机允许在冷态下连续起动二次（二次起动之间电动机应自然停机），或在额定运行后在热态下起动一次。电源频率与额定频率的偏差不超过±2%时,</w:t>
            </w:r>
            <w:r>
              <w:rPr>
                <w:rFonts w:ascii="宋体" w:hAnsi="宋体" w:cs="宋体"/>
                <w:sz w:val="24"/>
              </w:rPr>
              <w:t xml:space="preserve"> </w:t>
            </w:r>
            <w:r>
              <w:rPr>
                <w:rFonts w:hint="eastAsia" w:ascii="宋体" w:hAnsi="宋体" w:cs="宋体"/>
                <w:sz w:val="24"/>
              </w:rPr>
              <w:t>电源电压与额定电压的偏差不超过±5%时,或电压和频率同时出现极限偏差时,</w:t>
            </w:r>
            <w:r>
              <w:rPr>
                <w:rFonts w:ascii="宋体" w:hAnsi="宋体" w:cs="宋体"/>
                <w:sz w:val="24"/>
              </w:rPr>
              <w:t xml:space="preserve"> </w:t>
            </w:r>
            <w:r>
              <w:rPr>
                <w:rFonts w:hint="eastAsia" w:ascii="宋体" w:hAnsi="宋体" w:cs="宋体"/>
                <w:sz w:val="24"/>
              </w:rPr>
              <w:t>电机输出功率应连续保持为额定值，此时，温升按</w:t>
            </w:r>
            <w:r>
              <w:rPr>
                <w:rFonts w:ascii="宋体" w:hAnsi="宋体" w:cs="宋体"/>
                <w:sz w:val="24"/>
              </w:rPr>
              <w:t xml:space="preserve"> B </w:t>
            </w:r>
            <w:r>
              <w:rPr>
                <w:rFonts w:hint="eastAsia" w:ascii="宋体" w:hAnsi="宋体" w:cs="宋体"/>
                <w:sz w:val="24"/>
              </w:rPr>
              <w:t>级（绝缘等级为</w:t>
            </w:r>
            <w:r>
              <w:rPr>
                <w:rFonts w:ascii="宋体" w:hAnsi="宋体" w:cs="宋体"/>
                <w:sz w:val="24"/>
              </w:rPr>
              <w:t xml:space="preserve"> F </w:t>
            </w:r>
            <w:r>
              <w:rPr>
                <w:rFonts w:hint="eastAsia" w:ascii="宋体" w:hAnsi="宋体" w:cs="宋体"/>
                <w:sz w:val="24"/>
              </w:rPr>
              <w:t>级时）考核。当电源电压与额定电压的偏差在-10%～-5%或+5%～+10%，或当电源频率与额定频率的偏差在-5%～-2%或+2%～+3%；或者当电源与频率同时出线偏差时，电机输出功率应连续保证为额定值，此时，温升按 F 级（绝缘等级为 F 级时）考核；电源频率为额定值 50Hz，电机机端电压在 85%额定电压下(≮80%额定电压)，电机应能连续运行 2 分钟而无有害过热；电机在 1.2 倍同步转速下超速运行 2 分钟不产生有害变形。</w:t>
            </w:r>
          </w:p>
        </w:tc>
        <w:tc>
          <w:tcPr>
            <w:tcW w:w="1328" w:type="dxa"/>
            <w:tcBorders>
              <w:left w:val="single" w:color="auto" w:sz="4" w:space="0"/>
              <w:right w:val="single" w:color="auto" w:sz="4" w:space="0"/>
            </w:tcBorders>
            <w:vAlign w:val="center"/>
          </w:tcPr>
          <w:p w14:paraId="63A41EEA">
            <w:pPr>
              <w:spacing w:line="300" w:lineRule="exact"/>
              <w:jc w:val="left"/>
              <w:rPr>
                <w:rFonts w:ascii="宋体"/>
              </w:rPr>
            </w:pPr>
          </w:p>
        </w:tc>
        <w:tc>
          <w:tcPr>
            <w:tcW w:w="1141" w:type="dxa"/>
            <w:vAlign w:val="center"/>
          </w:tcPr>
          <w:p w14:paraId="2467649B">
            <w:pPr>
              <w:spacing w:line="300" w:lineRule="exact"/>
              <w:jc w:val="left"/>
              <w:rPr>
                <w:rFonts w:ascii="宋体"/>
              </w:rPr>
            </w:pPr>
          </w:p>
        </w:tc>
      </w:tr>
      <w:tr w14:paraId="0310C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6" w:hRule="exact"/>
        </w:trPr>
        <w:tc>
          <w:tcPr>
            <w:tcW w:w="788" w:type="dxa"/>
            <w:vAlign w:val="center"/>
          </w:tcPr>
          <w:p w14:paraId="767E6791">
            <w:pPr>
              <w:spacing w:line="300" w:lineRule="exact"/>
              <w:jc w:val="left"/>
              <w:rPr>
                <w:rFonts w:hint="eastAsia" w:ascii="宋体" w:eastAsia="宋体"/>
                <w:lang w:val="en-US" w:eastAsia="zh-CN"/>
              </w:rPr>
            </w:pPr>
            <w:r>
              <w:rPr>
                <w:rFonts w:hint="eastAsia" w:ascii="宋体"/>
                <w:lang w:val="en-US" w:eastAsia="zh-CN"/>
              </w:rPr>
              <w:t>7</w:t>
            </w:r>
          </w:p>
        </w:tc>
        <w:tc>
          <w:tcPr>
            <w:tcW w:w="1276" w:type="dxa"/>
            <w:tcBorders>
              <w:left w:val="single" w:color="auto" w:sz="4" w:space="0"/>
              <w:right w:val="single" w:color="auto" w:sz="4" w:space="0"/>
            </w:tcBorders>
            <w:vAlign w:val="center"/>
          </w:tcPr>
          <w:p w14:paraId="2CD83DE0">
            <w:pPr>
              <w:spacing w:line="300" w:lineRule="exact"/>
              <w:jc w:val="left"/>
              <w:rPr>
                <w:rFonts w:ascii="宋体"/>
              </w:rPr>
            </w:pPr>
            <w:r>
              <w:rPr>
                <w:rFonts w:hint="eastAsia" w:ascii="宋体" w:hAnsi="宋体" w:cs="宋体"/>
                <w:sz w:val="24"/>
              </w:rPr>
              <w:t>*6.19</w:t>
            </w:r>
          </w:p>
        </w:tc>
        <w:tc>
          <w:tcPr>
            <w:tcW w:w="5575" w:type="dxa"/>
            <w:tcBorders>
              <w:left w:val="single" w:color="auto" w:sz="4" w:space="0"/>
              <w:right w:val="single" w:color="auto" w:sz="4" w:space="0"/>
            </w:tcBorders>
            <w:vAlign w:val="center"/>
          </w:tcPr>
          <w:p w14:paraId="3DDA81B6">
            <w:pPr>
              <w:autoSpaceDE w:val="0"/>
              <w:autoSpaceDN w:val="0"/>
              <w:adjustRightInd w:val="0"/>
              <w:snapToGrid w:val="0"/>
              <w:spacing w:line="300" w:lineRule="exact"/>
              <w:jc w:val="left"/>
              <w:rPr>
                <w:rFonts w:ascii="宋体"/>
              </w:rPr>
            </w:pPr>
            <w:r>
              <w:rPr>
                <w:rFonts w:hint="eastAsia" w:ascii="宋体" w:hAnsi="宋体" w:cs="宋体"/>
                <w:sz w:val="24"/>
              </w:rPr>
              <w:t>流量计（壳体）、阀门应符合 TSG D7006-2020《压力管道监督检验规则》的规定；国内制造商应提供《中华人民共和国特种设备生产许可证》（压力管道元件），国外制造商应提供产品的《特种设备型式试验合格证》；流量计（壳体）应提供《特种设备监督检验证书（压力管道元件制造）》。 涉及含氯工艺气的一次仪表的根部阀，指定采用欧氯认证的氯气专用波纹管截止阀，其波纹管及其两端连接端头(环)材质均为HastelloyC-276。</w:t>
            </w:r>
          </w:p>
        </w:tc>
        <w:tc>
          <w:tcPr>
            <w:tcW w:w="1328" w:type="dxa"/>
            <w:tcBorders>
              <w:left w:val="single" w:color="auto" w:sz="4" w:space="0"/>
              <w:right w:val="single" w:color="auto" w:sz="4" w:space="0"/>
            </w:tcBorders>
            <w:vAlign w:val="center"/>
          </w:tcPr>
          <w:p w14:paraId="1E098633">
            <w:pPr>
              <w:spacing w:line="300" w:lineRule="exact"/>
              <w:jc w:val="left"/>
              <w:rPr>
                <w:rFonts w:ascii="宋体"/>
              </w:rPr>
            </w:pPr>
          </w:p>
        </w:tc>
        <w:tc>
          <w:tcPr>
            <w:tcW w:w="1141" w:type="dxa"/>
            <w:vAlign w:val="center"/>
          </w:tcPr>
          <w:p w14:paraId="199A6F6B">
            <w:pPr>
              <w:spacing w:line="300" w:lineRule="exact"/>
              <w:jc w:val="left"/>
              <w:rPr>
                <w:rFonts w:ascii="宋体"/>
              </w:rPr>
            </w:pPr>
          </w:p>
        </w:tc>
      </w:tr>
      <w:tr w14:paraId="05052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788" w:type="dxa"/>
            <w:vAlign w:val="center"/>
          </w:tcPr>
          <w:p w14:paraId="6B837482">
            <w:pPr>
              <w:spacing w:line="300" w:lineRule="exact"/>
              <w:jc w:val="left"/>
              <w:rPr>
                <w:rFonts w:hint="eastAsia" w:ascii="宋体" w:eastAsia="宋体"/>
                <w:lang w:val="en-US" w:eastAsia="zh-CN"/>
              </w:rPr>
            </w:pPr>
            <w:r>
              <w:rPr>
                <w:rFonts w:hint="eastAsia" w:ascii="宋体"/>
                <w:lang w:val="en-US" w:eastAsia="zh-CN"/>
              </w:rPr>
              <w:t>8</w:t>
            </w:r>
          </w:p>
        </w:tc>
        <w:tc>
          <w:tcPr>
            <w:tcW w:w="1276" w:type="dxa"/>
            <w:tcBorders>
              <w:left w:val="single" w:color="auto" w:sz="4" w:space="0"/>
              <w:right w:val="single" w:color="auto" w:sz="4" w:space="0"/>
            </w:tcBorders>
            <w:vAlign w:val="center"/>
          </w:tcPr>
          <w:p w14:paraId="557988D4">
            <w:pPr>
              <w:spacing w:line="300" w:lineRule="exact"/>
              <w:jc w:val="left"/>
              <w:rPr>
                <w:rFonts w:ascii="宋体"/>
              </w:rPr>
            </w:pPr>
            <w:r>
              <w:rPr>
                <w:rFonts w:hint="eastAsia" w:ascii="宋体" w:hAnsi="宋体" w:cs="宋体"/>
                <w:szCs w:val="21"/>
              </w:rPr>
              <w:t>*7.9</w:t>
            </w:r>
          </w:p>
        </w:tc>
        <w:tc>
          <w:tcPr>
            <w:tcW w:w="5575" w:type="dxa"/>
            <w:tcBorders>
              <w:left w:val="single" w:color="auto" w:sz="4" w:space="0"/>
              <w:right w:val="single" w:color="auto" w:sz="4" w:space="0"/>
            </w:tcBorders>
            <w:vAlign w:val="center"/>
          </w:tcPr>
          <w:p w14:paraId="09B56C01">
            <w:pPr>
              <w:autoSpaceDE w:val="0"/>
              <w:autoSpaceDN w:val="0"/>
              <w:adjustRightInd w:val="0"/>
              <w:snapToGrid w:val="0"/>
              <w:spacing w:line="360" w:lineRule="auto"/>
              <w:jc w:val="left"/>
              <w:rPr>
                <w:rFonts w:ascii="宋体" w:hAnsi="宋体" w:cs="宋体"/>
                <w:szCs w:val="21"/>
              </w:rPr>
            </w:pPr>
            <w:r>
              <w:rPr>
                <w:rFonts w:hint="eastAsia" w:ascii="宋体" w:hAnsi="宋体" w:cs="宋体"/>
                <w:szCs w:val="21"/>
              </w:rPr>
              <w:t>主要部件供应商推荐品牌</w:t>
            </w:r>
          </w:p>
          <w:p w14:paraId="2D69C3BA">
            <w:pPr>
              <w:spacing w:line="300" w:lineRule="exact"/>
              <w:jc w:val="left"/>
              <w:rPr>
                <w:rFonts w:ascii="宋体"/>
              </w:rPr>
            </w:pPr>
          </w:p>
        </w:tc>
        <w:tc>
          <w:tcPr>
            <w:tcW w:w="1328" w:type="dxa"/>
            <w:tcBorders>
              <w:left w:val="single" w:color="auto" w:sz="4" w:space="0"/>
              <w:right w:val="single" w:color="auto" w:sz="4" w:space="0"/>
            </w:tcBorders>
            <w:vAlign w:val="center"/>
          </w:tcPr>
          <w:p w14:paraId="252FC401">
            <w:pPr>
              <w:spacing w:line="300" w:lineRule="exact"/>
              <w:jc w:val="left"/>
              <w:rPr>
                <w:rFonts w:ascii="宋体"/>
              </w:rPr>
            </w:pPr>
          </w:p>
        </w:tc>
        <w:tc>
          <w:tcPr>
            <w:tcW w:w="1141" w:type="dxa"/>
            <w:vAlign w:val="center"/>
          </w:tcPr>
          <w:p w14:paraId="33AB76FC">
            <w:pPr>
              <w:spacing w:line="300" w:lineRule="exact"/>
              <w:jc w:val="left"/>
              <w:rPr>
                <w:rFonts w:ascii="宋体"/>
              </w:rPr>
            </w:pPr>
          </w:p>
        </w:tc>
      </w:tr>
      <w:tr w14:paraId="4F25B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6" w:hRule="exact"/>
        </w:trPr>
        <w:tc>
          <w:tcPr>
            <w:tcW w:w="788" w:type="dxa"/>
            <w:vAlign w:val="center"/>
          </w:tcPr>
          <w:p w14:paraId="29CECD7A">
            <w:pPr>
              <w:spacing w:line="300" w:lineRule="exact"/>
              <w:jc w:val="left"/>
              <w:rPr>
                <w:rFonts w:hint="eastAsia" w:ascii="宋体" w:eastAsia="宋体"/>
                <w:lang w:val="en-US" w:eastAsia="zh-CN"/>
              </w:rPr>
            </w:pPr>
            <w:r>
              <w:rPr>
                <w:rFonts w:hint="eastAsia" w:ascii="宋体"/>
                <w:lang w:val="en-US" w:eastAsia="zh-CN"/>
              </w:rPr>
              <w:t>9</w:t>
            </w:r>
          </w:p>
        </w:tc>
        <w:tc>
          <w:tcPr>
            <w:tcW w:w="1276" w:type="dxa"/>
            <w:tcBorders>
              <w:left w:val="single" w:color="auto" w:sz="4" w:space="0"/>
              <w:right w:val="single" w:color="auto" w:sz="4" w:space="0"/>
            </w:tcBorders>
            <w:vAlign w:val="center"/>
          </w:tcPr>
          <w:p w14:paraId="0B13AD35">
            <w:pPr>
              <w:spacing w:line="300" w:lineRule="exact"/>
              <w:jc w:val="left"/>
              <w:rPr>
                <w:rFonts w:ascii="宋体"/>
              </w:rPr>
            </w:pPr>
            <w:r>
              <w:rPr>
                <w:rFonts w:ascii="宋体" w:hAnsi="宋体"/>
                <w:kern w:val="0"/>
                <w:sz w:val="24"/>
              </w:rPr>
              <w:t>*</w:t>
            </w:r>
            <w:r>
              <w:rPr>
                <w:rFonts w:hint="eastAsia" w:ascii="宋体" w:hAnsi="宋体"/>
                <w:kern w:val="0"/>
                <w:sz w:val="24"/>
              </w:rPr>
              <w:t>3</w:t>
            </w:r>
          </w:p>
        </w:tc>
        <w:tc>
          <w:tcPr>
            <w:tcW w:w="5575" w:type="dxa"/>
            <w:tcBorders>
              <w:left w:val="single" w:color="auto" w:sz="4" w:space="0"/>
              <w:right w:val="single" w:color="auto" w:sz="4" w:space="0"/>
            </w:tcBorders>
            <w:vAlign w:val="center"/>
          </w:tcPr>
          <w:p w14:paraId="41BF3FD0">
            <w:pPr>
              <w:snapToGrid w:val="0"/>
              <w:rPr>
                <w:rFonts w:ascii="宋体" w:hAnsi="宋体" w:cs="宋体"/>
                <w:sz w:val="24"/>
              </w:rPr>
            </w:pPr>
            <w:r>
              <w:rPr>
                <w:rFonts w:hint="eastAsia" w:ascii="宋体" w:hAnsi="宋体" w:cs="宋体"/>
                <w:sz w:val="24"/>
              </w:rPr>
              <w:t>货款采用银行承兑汇票支付。设备安装调试完毕运行7</w:t>
            </w:r>
            <w:r>
              <w:rPr>
                <w:rFonts w:ascii="宋体" w:hAnsi="宋体" w:cs="宋体"/>
                <w:sz w:val="24"/>
              </w:rPr>
              <w:t>2小时</w:t>
            </w:r>
            <w:r>
              <w:rPr>
                <w:rFonts w:hint="eastAsia" w:ascii="宋体" w:hAnsi="宋体" w:cs="宋体"/>
                <w:sz w:val="24"/>
              </w:rPr>
              <w:t>进行初步性能测试，并在稳定运行30天后再进行第二次性能考核，第二次性能考核合格后支付</w:t>
            </w:r>
            <w:r>
              <w:rPr>
                <w:rFonts w:ascii="宋体" w:hAnsi="宋体" w:cs="宋体"/>
                <w:sz w:val="24"/>
              </w:rPr>
              <w:t>20</w:t>
            </w:r>
            <w:r>
              <w:rPr>
                <w:rFonts w:hint="eastAsia" w:ascii="宋体" w:hAnsi="宋体" w:cs="宋体"/>
                <w:sz w:val="24"/>
              </w:rPr>
              <w:t>%的性能考核货款。合同总金额的10%作为质保金，质保金留存期限满后双方无异议付清</w:t>
            </w:r>
          </w:p>
          <w:p w14:paraId="7630C855">
            <w:pPr>
              <w:snapToGrid w:val="0"/>
              <w:rPr>
                <w:rFonts w:ascii="宋体" w:hAnsi="宋体" w:cs="宋体"/>
                <w:sz w:val="24"/>
              </w:rPr>
            </w:pPr>
          </w:p>
          <w:p w14:paraId="08058621">
            <w:pPr>
              <w:spacing w:line="300" w:lineRule="exact"/>
              <w:jc w:val="left"/>
              <w:rPr>
                <w:rFonts w:ascii="宋体" w:hAnsi="宋体" w:cs="宋体"/>
                <w:sz w:val="24"/>
              </w:rPr>
            </w:pPr>
          </w:p>
        </w:tc>
        <w:tc>
          <w:tcPr>
            <w:tcW w:w="1328" w:type="dxa"/>
            <w:tcBorders>
              <w:left w:val="single" w:color="auto" w:sz="4" w:space="0"/>
              <w:right w:val="single" w:color="auto" w:sz="4" w:space="0"/>
            </w:tcBorders>
            <w:vAlign w:val="center"/>
          </w:tcPr>
          <w:p w14:paraId="6769E10F">
            <w:pPr>
              <w:spacing w:line="300" w:lineRule="exact"/>
              <w:jc w:val="left"/>
              <w:rPr>
                <w:rFonts w:ascii="宋体"/>
              </w:rPr>
            </w:pPr>
          </w:p>
        </w:tc>
        <w:tc>
          <w:tcPr>
            <w:tcW w:w="1141" w:type="dxa"/>
            <w:vAlign w:val="center"/>
          </w:tcPr>
          <w:p w14:paraId="50C90674">
            <w:pPr>
              <w:spacing w:line="300" w:lineRule="exact"/>
              <w:jc w:val="left"/>
              <w:rPr>
                <w:rFonts w:ascii="宋体"/>
              </w:rPr>
            </w:pPr>
          </w:p>
        </w:tc>
      </w:tr>
    </w:tbl>
    <w:p w14:paraId="703E5CD6">
      <w:pPr>
        <w:jc w:val="left"/>
        <w:rPr>
          <w:rFonts w:ascii="宋体"/>
        </w:rPr>
      </w:pPr>
      <w:r>
        <w:rPr>
          <w:rFonts w:hint="eastAsia" w:ascii="宋体" w:hAnsi="宋体"/>
        </w:rPr>
        <w:t>我公司承诺：我公司承诺与招标文件的技术条款偏离均已在上表中列出。我公司已充分理解并接受除上表中已列出外，其它条款均无技术上的偏离。</w:t>
      </w:r>
    </w:p>
    <w:p w14:paraId="016072AB">
      <w:pPr>
        <w:rPr>
          <w:sz w:val="28"/>
          <w:szCs w:val="28"/>
        </w:rPr>
      </w:pPr>
      <w:bookmarkStart w:id="209" w:name="_Toc135032229"/>
      <w:r>
        <w:rPr>
          <w:sz w:val="28"/>
          <w:szCs w:val="28"/>
        </w:rPr>
        <w:br w:type="page"/>
      </w:r>
    </w:p>
    <w:p w14:paraId="7ED806A9">
      <w:pPr>
        <w:pStyle w:val="3"/>
        <w:jc w:val="left"/>
        <w:rPr>
          <w:szCs w:val="28"/>
        </w:rPr>
      </w:pPr>
      <w:r>
        <w:rPr>
          <w:rFonts w:hint="eastAsia"/>
          <w:szCs w:val="28"/>
        </w:rPr>
        <w:t>附件7、投标产品技术规格书及产品样本说明</w:t>
      </w:r>
      <w:bookmarkEnd w:id="209"/>
    </w:p>
    <w:p w14:paraId="0C82FBC0">
      <w:pPr>
        <w:jc w:val="left"/>
      </w:pPr>
      <w:r>
        <w:t>1</w:t>
      </w:r>
      <w:r>
        <w:rPr>
          <w:rFonts w:hint="eastAsia"/>
        </w:rPr>
        <w:t>、投标产品技术规格书（不允许仅使用样本代替）及产品样品</w:t>
      </w:r>
    </w:p>
    <w:p w14:paraId="720BFCDA">
      <w:pPr>
        <w:jc w:val="left"/>
      </w:pPr>
      <w:r>
        <w:t>2</w:t>
      </w:r>
      <w:r>
        <w:rPr>
          <w:rFonts w:hint="eastAsia"/>
        </w:rPr>
        <w:t>、产品的主要技术和质量水平的详细描述。</w:t>
      </w:r>
    </w:p>
    <w:p w14:paraId="1D27E9FC">
      <w:pPr>
        <w:jc w:val="left"/>
      </w:pPr>
      <w:r>
        <w:t>3</w:t>
      </w:r>
      <w:r>
        <w:rPr>
          <w:rFonts w:hint="eastAsia"/>
        </w:rPr>
        <w:t>、产品验收标准和验收方法。</w:t>
      </w:r>
    </w:p>
    <w:p w14:paraId="1E47CD75">
      <w:pPr>
        <w:jc w:val="left"/>
      </w:pPr>
      <w:r>
        <w:t>4</w:t>
      </w:r>
      <w:r>
        <w:rPr>
          <w:rFonts w:hint="eastAsia"/>
        </w:rPr>
        <w:t>、产品质量保证、技术服务和售后服务的内容、措施和承诺及距招标人最近的服务网点的详细介绍。</w:t>
      </w:r>
    </w:p>
    <w:p w14:paraId="2E9A29EE">
      <w:pPr>
        <w:jc w:val="left"/>
      </w:pPr>
      <w:r>
        <w:t>5</w:t>
      </w:r>
      <w:r>
        <w:rPr>
          <w:rFonts w:hint="eastAsia"/>
        </w:rPr>
        <w:t>、根据招标文件中的要求，需要提供的文件和资料。</w:t>
      </w:r>
    </w:p>
    <w:p w14:paraId="544C2841">
      <w:pPr>
        <w:jc w:val="left"/>
      </w:pPr>
      <w:r>
        <w:t>6</w:t>
      </w:r>
      <w:r>
        <w:rPr>
          <w:rFonts w:hint="eastAsia"/>
        </w:rPr>
        <w:t>、投标人认为需要提供的其他文件和资料。</w:t>
      </w:r>
    </w:p>
    <w:p w14:paraId="137C0BD4">
      <w:pPr>
        <w:jc w:val="left"/>
      </w:pPr>
    </w:p>
    <w:p w14:paraId="76BDC4E6">
      <w:pPr>
        <w:jc w:val="left"/>
        <w:rPr>
          <w:rFonts w:ascii="宋体" w:cs="宋体"/>
          <w:kern w:val="0"/>
        </w:rPr>
      </w:pPr>
    </w:p>
    <w:p w14:paraId="0E85B99C">
      <w:pPr>
        <w:jc w:val="left"/>
        <w:rPr>
          <w:rFonts w:ascii="宋体" w:cs="宋体"/>
          <w:kern w:val="0"/>
        </w:rPr>
      </w:pPr>
    </w:p>
    <w:p w14:paraId="4D3D9C39">
      <w:pPr>
        <w:jc w:val="left"/>
        <w:rPr>
          <w:rFonts w:ascii="宋体" w:cs="宋体"/>
          <w:kern w:val="0"/>
        </w:rPr>
      </w:pPr>
    </w:p>
    <w:p w14:paraId="237FE771">
      <w:pPr>
        <w:jc w:val="left"/>
        <w:rPr>
          <w:rFonts w:ascii="宋体" w:cs="宋体"/>
          <w:kern w:val="0"/>
        </w:rPr>
      </w:pPr>
    </w:p>
    <w:p w14:paraId="3847A777">
      <w:pPr>
        <w:jc w:val="left"/>
        <w:rPr>
          <w:rFonts w:ascii="宋体" w:cs="宋体"/>
          <w:kern w:val="0"/>
        </w:rPr>
      </w:pPr>
    </w:p>
    <w:p w14:paraId="5AB6EEA8">
      <w:pPr>
        <w:jc w:val="left"/>
        <w:rPr>
          <w:rFonts w:ascii="宋体" w:cs="宋体"/>
          <w:kern w:val="0"/>
        </w:rPr>
      </w:pPr>
    </w:p>
    <w:p w14:paraId="2B8D34BA">
      <w:pPr>
        <w:jc w:val="left"/>
        <w:rPr>
          <w:rFonts w:ascii="宋体" w:cs="宋体"/>
          <w:kern w:val="0"/>
        </w:rPr>
      </w:pPr>
    </w:p>
    <w:p w14:paraId="01A6CA27">
      <w:pPr>
        <w:jc w:val="left"/>
        <w:rPr>
          <w:rFonts w:ascii="宋体" w:cs="宋体"/>
          <w:kern w:val="0"/>
        </w:rPr>
      </w:pPr>
    </w:p>
    <w:p w14:paraId="71563D3F">
      <w:pPr>
        <w:jc w:val="left"/>
        <w:rPr>
          <w:rFonts w:ascii="宋体" w:cs="宋体"/>
          <w:kern w:val="0"/>
        </w:rPr>
      </w:pPr>
    </w:p>
    <w:p w14:paraId="16DCB130">
      <w:pPr>
        <w:jc w:val="left"/>
        <w:rPr>
          <w:rFonts w:ascii="宋体" w:cs="宋体"/>
          <w:kern w:val="0"/>
        </w:rPr>
      </w:pPr>
    </w:p>
    <w:p w14:paraId="5020055A">
      <w:pPr>
        <w:jc w:val="left"/>
        <w:rPr>
          <w:rFonts w:ascii="宋体" w:cs="宋体"/>
          <w:kern w:val="0"/>
        </w:rPr>
      </w:pPr>
    </w:p>
    <w:p w14:paraId="5A3527CC">
      <w:pPr>
        <w:jc w:val="left"/>
        <w:rPr>
          <w:rFonts w:ascii="宋体" w:cs="宋体"/>
          <w:kern w:val="0"/>
        </w:rPr>
      </w:pPr>
    </w:p>
    <w:p w14:paraId="3E8A243E">
      <w:pPr>
        <w:jc w:val="left"/>
        <w:rPr>
          <w:rFonts w:ascii="宋体" w:cs="宋体"/>
          <w:kern w:val="0"/>
        </w:rPr>
      </w:pPr>
    </w:p>
    <w:p w14:paraId="252749F9">
      <w:pPr>
        <w:jc w:val="left"/>
        <w:rPr>
          <w:rFonts w:ascii="宋体" w:cs="宋体"/>
          <w:kern w:val="0"/>
        </w:rPr>
      </w:pPr>
    </w:p>
    <w:p w14:paraId="00736419">
      <w:pPr>
        <w:jc w:val="left"/>
        <w:rPr>
          <w:rFonts w:ascii="宋体" w:cs="宋体"/>
          <w:kern w:val="0"/>
        </w:rPr>
      </w:pPr>
    </w:p>
    <w:p w14:paraId="121473D0">
      <w:pPr>
        <w:jc w:val="left"/>
        <w:rPr>
          <w:rFonts w:ascii="宋体" w:cs="宋体"/>
          <w:kern w:val="0"/>
        </w:rPr>
      </w:pPr>
    </w:p>
    <w:p w14:paraId="7C2990B2">
      <w:pPr>
        <w:jc w:val="left"/>
        <w:rPr>
          <w:rFonts w:ascii="宋体" w:cs="宋体"/>
          <w:kern w:val="0"/>
        </w:rPr>
      </w:pPr>
    </w:p>
    <w:p w14:paraId="56C3AFFC">
      <w:pPr>
        <w:jc w:val="left"/>
        <w:rPr>
          <w:rFonts w:ascii="宋体" w:cs="宋体"/>
          <w:kern w:val="0"/>
        </w:rPr>
      </w:pPr>
    </w:p>
    <w:p w14:paraId="4FDD9AD1">
      <w:pPr>
        <w:jc w:val="left"/>
        <w:rPr>
          <w:rFonts w:ascii="宋体" w:cs="宋体"/>
          <w:kern w:val="0"/>
        </w:rPr>
      </w:pPr>
    </w:p>
    <w:p w14:paraId="1903B1E7">
      <w:pPr>
        <w:jc w:val="left"/>
        <w:rPr>
          <w:rFonts w:ascii="宋体" w:cs="宋体"/>
          <w:kern w:val="0"/>
        </w:rPr>
      </w:pPr>
    </w:p>
    <w:p w14:paraId="60286F99">
      <w:pPr>
        <w:widowControl/>
        <w:jc w:val="left"/>
        <w:rPr>
          <w:rFonts w:ascii="Arial" w:hAnsi="Arial" w:eastAsia="黑体" w:cs="Arial"/>
          <w:b/>
          <w:sz w:val="32"/>
          <w:szCs w:val="28"/>
        </w:rPr>
      </w:pPr>
      <w:bookmarkStart w:id="210" w:name="_Toc135032230"/>
      <w:r>
        <w:rPr>
          <w:szCs w:val="28"/>
        </w:rPr>
        <w:br w:type="page"/>
      </w:r>
    </w:p>
    <w:p w14:paraId="5AEA75A9">
      <w:pPr>
        <w:pStyle w:val="3"/>
        <w:jc w:val="left"/>
        <w:rPr>
          <w:szCs w:val="28"/>
        </w:rPr>
      </w:pPr>
      <w:r>
        <w:rPr>
          <w:rFonts w:hint="eastAsia"/>
          <w:szCs w:val="28"/>
        </w:rPr>
        <w:t>附件8、唛头</w:t>
      </w:r>
      <w:bookmarkEnd w:id="210"/>
    </w:p>
    <w:tbl>
      <w:tblPr>
        <w:tblStyle w:val="76"/>
        <w:tblW w:w="10349" w:type="dxa"/>
        <w:jc w:val="center"/>
        <w:tblLayout w:type="fixed"/>
        <w:tblCellMar>
          <w:top w:w="0" w:type="dxa"/>
          <w:left w:w="108" w:type="dxa"/>
          <w:bottom w:w="0" w:type="dxa"/>
          <w:right w:w="108" w:type="dxa"/>
        </w:tblCellMar>
      </w:tblPr>
      <w:tblGrid>
        <w:gridCol w:w="5104"/>
        <w:gridCol w:w="1985"/>
        <w:gridCol w:w="3260"/>
      </w:tblGrid>
      <w:tr w14:paraId="4F09DAE2">
        <w:tblPrEx>
          <w:tblCellMar>
            <w:top w:w="0" w:type="dxa"/>
            <w:left w:w="108" w:type="dxa"/>
            <w:bottom w:w="0" w:type="dxa"/>
            <w:right w:w="108" w:type="dxa"/>
          </w:tblCellMar>
        </w:tblPrEx>
        <w:trPr>
          <w:trHeight w:val="550" w:hRule="atLeast"/>
          <w:jc w:val="center"/>
        </w:trPr>
        <w:tc>
          <w:tcPr>
            <w:tcW w:w="7089" w:type="dxa"/>
            <w:gridSpan w:val="2"/>
            <w:tcBorders>
              <w:top w:val="single" w:color="auto" w:sz="4" w:space="0"/>
              <w:left w:val="single" w:color="auto" w:sz="4" w:space="0"/>
              <w:bottom w:val="single" w:color="auto" w:sz="4" w:space="0"/>
              <w:right w:val="single" w:color="auto" w:sz="4" w:space="0"/>
            </w:tcBorders>
            <w:vAlign w:val="center"/>
          </w:tcPr>
          <w:p w14:paraId="1F17B5B5">
            <w:pPr>
              <w:jc w:val="left"/>
              <w:rPr>
                <w:rFonts w:ascii="黑体" w:hAnsi="宋体" w:eastAsia="黑体" w:cs="宋体"/>
                <w:bCs/>
                <w:kern w:val="0"/>
                <w:sz w:val="30"/>
                <w:szCs w:val="30"/>
              </w:rPr>
            </w:pPr>
            <w:r>
              <w:rPr>
                <w:rFonts w:hint="eastAsia" w:ascii="黑体" w:hAnsi="宋体" w:eastAsia="黑体" w:cs="宋体"/>
                <w:bCs/>
                <w:kern w:val="0"/>
                <w:sz w:val="30"/>
                <w:szCs w:val="30"/>
              </w:rPr>
              <w:t>发货地址：</w:t>
            </w:r>
          </w:p>
        </w:tc>
        <w:tc>
          <w:tcPr>
            <w:tcW w:w="3260" w:type="dxa"/>
            <w:tcBorders>
              <w:top w:val="single" w:color="auto" w:sz="4" w:space="0"/>
              <w:left w:val="single" w:color="auto" w:sz="4" w:space="0"/>
              <w:bottom w:val="single" w:color="auto" w:sz="4" w:space="0"/>
              <w:right w:val="single" w:color="000000" w:sz="4" w:space="0"/>
            </w:tcBorders>
            <w:vAlign w:val="center"/>
          </w:tcPr>
          <w:p w14:paraId="6659D0FD">
            <w:pPr>
              <w:jc w:val="left"/>
              <w:rPr>
                <w:rFonts w:ascii="黑体" w:hAnsi="宋体" w:eastAsia="黑体" w:cs="宋体"/>
                <w:bCs/>
                <w:kern w:val="0"/>
                <w:sz w:val="30"/>
                <w:szCs w:val="30"/>
              </w:rPr>
            </w:pPr>
            <w:r>
              <w:rPr>
                <w:rFonts w:hint="eastAsia" w:ascii="黑体" w:hAnsi="宋体" w:eastAsia="黑体" w:cs="宋体"/>
                <w:bCs/>
                <w:kern w:val="0"/>
                <w:sz w:val="30"/>
                <w:szCs w:val="30"/>
              </w:rPr>
              <w:t>发件人：</w:t>
            </w:r>
          </w:p>
        </w:tc>
      </w:tr>
      <w:tr w14:paraId="655DCA8A">
        <w:tblPrEx>
          <w:tblCellMar>
            <w:top w:w="0" w:type="dxa"/>
            <w:left w:w="108" w:type="dxa"/>
            <w:bottom w:w="0" w:type="dxa"/>
            <w:right w:w="108" w:type="dxa"/>
          </w:tblCellMar>
        </w:tblPrEx>
        <w:trPr>
          <w:trHeight w:val="572" w:hRule="atLeast"/>
          <w:jc w:val="center"/>
        </w:trPr>
        <w:tc>
          <w:tcPr>
            <w:tcW w:w="7089" w:type="dxa"/>
            <w:gridSpan w:val="2"/>
            <w:tcBorders>
              <w:top w:val="single" w:color="auto" w:sz="4" w:space="0"/>
              <w:left w:val="single" w:color="auto" w:sz="4" w:space="0"/>
              <w:bottom w:val="single" w:color="auto" w:sz="4" w:space="0"/>
              <w:right w:val="single" w:color="auto" w:sz="4" w:space="0"/>
            </w:tcBorders>
            <w:vAlign w:val="center"/>
          </w:tcPr>
          <w:p w14:paraId="250A7BF8">
            <w:pPr>
              <w:jc w:val="left"/>
              <w:rPr>
                <w:rFonts w:ascii="黑体" w:hAnsi="宋体" w:eastAsia="黑体" w:cs="宋体"/>
                <w:bCs/>
                <w:kern w:val="0"/>
                <w:sz w:val="30"/>
                <w:szCs w:val="30"/>
              </w:rPr>
            </w:pPr>
            <w:r>
              <w:rPr>
                <w:rFonts w:hint="eastAsia" w:ascii="黑体" w:hAnsi="宋体" w:eastAsia="黑体" w:cs="宋体"/>
                <w:bCs/>
                <w:kern w:val="0"/>
                <w:sz w:val="30"/>
                <w:szCs w:val="30"/>
              </w:rPr>
              <w:t>收货地址：</w:t>
            </w:r>
          </w:p>
        </w:tc>
        <w:tc>
          <w:tcPr>
            <w:tcW w:w="3260" w:type="dxa"/>
            <w:tcBorders>
              <w:top w:val="single" w:color="auto" w:sz="4" w:space="0"/>
              <w:left w:val="single" w:color="auto" w:sz="4" w:space="0"/>
              <w:bottom w:val="single" w:color="auto" w:sz="4" w:space="0"/>
              <w:right w:val="single" w:color="000000" w:sz="4" w:space="0"/>
            </w:tcBorders>
            <w:vAlign w:val="center"/>
          </w:tcPr>
          <w:p w14:paraId="3226A982">
            <w:pPr>
              <w:jc w:val="left"/>
              <w:rPr>
                <w:rFonts w:ascii="黑体" w:hAnsi="宋体" w:eastAsia="黑体" w:cs="宋体"/>
                <w:bCs/>
                <w:kern w:val="0"/>
                <w:sz w:val="30"/>
                <w:szCs w:val="30"/>
              </w:rPr>
            </w:pPr>
            <w:r>
              <w:rPr>
                <w:rFonts w:hint="eastAsia" w:ascii="黑体" w:hAnsi="宋体" w:eastAsia="黑体" w:cs="宋体"/>
                <w:bCs/>
                <w:kern w:val="0"/>
                <w:sz w:val="30"/>
                <w:szCs w:val="30"/>
              </w:rPr>
              <w:t>收件人：</w:t>
            </w:r>
          </w:p>
        </w:tc>
      </w:tr>
      <w:tr w14:paraId="55B1FBD9">
        <w:tblPrEx>
          <w:tblCellMar>
            <w:top w:w="0" w:type="dxa"/>
            <w:left w:w="108" w:type="dxa"/>
            <w:bottom w:w="0" w:type="dxa"/>
            <w:right w:w="108" w:type="dxa"/>
          </w:tblCellMar>
        </w:tblPrEx>
        <w:trPr>
          <w:trHeight w:val="572" w:hRule="atLeast"/>
          <w:jc w:val="center"/>
        </w:trPr>
        <w:tc>
          <w:tcPr>
            <w:tcW w:w="5104" w:type="dxa"/>
            <w:tcBorders>
              <w:top w:val="nil"/>
              <w:left w:val="single" w:color="auto" w:sz="4" w:space="0"/>
              <w:bottom w:val="single" w:color="auto" w:sz="4" w:space="0"/>
              <w:right w:val="single" w:color="auto" w:sz="4" w:space="0"/>
            </w:tcBorders>
            <w:vAlign w:val="center"/>
          </w:tcPr>
          <w:p w14:paraId="6B689718">
            <w:pPr>
              <w:widowControl/>
              <w:jc w:val="left"/>
              <w:rPr>
                <w:rFonts w:ascii="黑体" w:hAnsi="宋体" w:eastAsia="黑体" w:cs="宋体"/>
                <w:bCs/>
                <w:kern w:val="0"/>
                <w:sz w:val="30"/>
                <w:szCs w:val="30"/>
              </w:rPr>
            </w:pPr>
            <w:r>
              <w:rPr>
                <w:rFonts w:hint="eastAsia" w:ascii="黑体" w:hAnsi="宋体" w:eastAsia="黑体" w:cs="宋体"/>
                <w:bCs/>
                <w:kern w:val="0"/>
                <w:sz w:val="30"/>
                <w:szCs w:val="30"/>
              </w:rPr>
              <w:t>供应商：</w:t>
            </w:r>
          </w:p>
        </w:tc>
        <w:tc>
          <w:tcPr>
            <w:tcW w:w="5245" w:type="dxa"/>
            <w:gridSpan w:val="2"/>
            <w:tcBorders>
              <w:top w:val="single" w:color="auto" w:sz="4" w:space="0"/>
              <w:left w:val="nil"/>
              <w:bottom w:val="single" w:color="auto" w:sz="4" w:space="0"/>
              <w:right w:val="single" w:color="auto" w:sz="4" w:space="0"/>
            </w:tcBorders>
            <w:vAlign w:val="center"/>
          </w:tcPr>
          <w:p w14:paraId="03947B13">
            <w:pPr>
              <w:widowControl/>
              <w:jc w:val="left"/>
              <w:rPr>
                <w:rFonts w:ascii="黑体" w:hAnsi="宋体" w:eastAsia="黑体" w:cs="宋体"/>
                <w:kern w:val="0"/>
                <w:sz w:val="30"/>
                <w:szCs w:val="30"/>
              </w:rPr>
            </w:pPr>
            <w:r>
              <w:rPr>
                <w:rFonts w:hint="eastAsia" w:ascii="黑体" w:hAnsi="宋体" w:eastAsia="黑体" w:cs="宋体"/>
                <w:bCs/>
                <w:kern w:val="0"/>
                <w:sz w:val="30"/>
                <w:szCs w:val="30"/>
              </w:rPr>
              <w:t>产品名称：</w:t>
            </w:r>
          </w:p>
        </w:tc>
      </w:tr>
      <w:tr w14:paraId="5DE8FEA2">
        <w:tblPrEx>
          <w:tblCellMar>
            <w:top w:w="0" w:type="dxa"/>
            <w:left w:w="108" w:type="dxa"/>
            <w:bottom w:w="0" w:type="dxa"/>
            <w:right w:w="108" w:type="dxa"/>
          </w:tblCellMar>
        </w:tblPrEx>
        <w:trPr>
          <w:trHeight w:val="585" w:hRule="atLeast"/>
          <w:jc w:val="center"/>
        </w:trPr>
        <w:tc>
          <w:tcPr>
            <w:tcW w:w="5104" w:type="dxa"/>
            <w:tcBorders>
              <w:top w:val="nil"/>
              <w:left w:val="single" w:color="auto" w:sz="4" w:space="0"/>
              <w:bottom w:val="single" w:color="auto" w:sz="4" w:space="0"/>
              <w:right w:val="single" w:color="auto" w:sz="4" w:space="0"/>
            </w:tcBorders>
            <w:vAlign w:val="center"/>
          </w:tcPr>
          <w:p w14:paraId="19B6602D">
            <w:pPr>
              <w:widowControl/>
              <w:jc w:val="left"/>
              <w:rPr>
                <w:rFonts w:ascii="黑体" w:hAnsi="宋体" w:eastAsia="黑体" w:cs="宋体"/>
                <w:bCs/>
                <w:kern w:val="0"/>
                <w:sz w:val="30"/>
                <w:szCs w:val="30"/>
              </w:rPr>
            </w:pPr>
            <w:r>
              <w:rPr>
                <w:rFonts w:hint="eastAsia" w:ascii="黑体" w:hAnsi="宋体" w:eastAsia="黑体" w:cs="宋体"/>
                <w:bCs/>
                <w:kern w:val="0"/>
                <w:sz w:val="30"/>
                <w:szCs w:val="30"/>
              </w:rPr>
              <w:t>项目名称：</w:t>
            </w:r>
          </w:p>
        </w:tc>
        <w:tc>
          <w:tcPr>
            <w:tcW w:w="5245" w:type="dxa"/>
            <w:gridSpan w:val="2"/>
            <w:tcBorders>
              <w:top w:val="nil"/>
              <w:left w:val="nil"/>
              <w:bottom w:val="single" w:color="auto" w:sz="4" w:space="0"/>
              <w:right w:val="single" w:color="auto" w:sz="4" w:space="0"/>
            </w:tcBorders>
            <w:vAlign w:val="center"/>
          </w:tcPr>
          <w:p w14:paraId="0E049659">
            <w:pPr>
              <w:widowControl/>
              <w:jc w:val="left"/>
              <w:rPr>
                <w:rFonts w:ascii="黑体" w:hAnsi="宋体" w:eastAsia="黑体" w:cs="宋体"/>
                <w:bCs/>
                <w:kern w:val="0"/>
                <w:sz w:val="30"/>
                <w:szCs w:val="30"/>
              </w:rPr>
            </w:pPr>
            <w:r>
              <w:rPr>
                <w:rFonts w:hint="eastAsia" w:ascii="黑体" w:hAnsi="宋体" w:eastAsia="黑体" w:cs="宋体"/>
                <w:bCs/>
                <w:kern w:val="0"/>
                <w:sz w:val="30"/>
                <w:szCs w:val="30"/>
              </w:rPr>
              <w:t>合同号：</w:t>
            </w:r>
          </w:p>
        </w:tc>
      </w:tr>
      <w:tr w14:paraId="143445AB">
        <w:tblPrEx>
          <w:tblCellMar>
            <w:top w:w="0" w:type="dxa"/>
            <w:left w:w="108" w:type="dxa"/>
            <w:bottom w:w="0" w:type="dxa"/>
            <w:right w:w="108" w:type="dxa"/>
          </w:tblCellMar>
        </w:tblPrEx>
        <w:trPr>
          <w:trHeight w:val="641" w:hRule="atLeast"/>
          <w:jc w:val="center"/>
        </w:trPr>
        <w:tc>
          <w:tcPr>
            <w:tcW w:w="5104" w:type="dxa"/>
            <w:tcBorders>
              <w:top w:val="nil"/>
              <w:left w:val="single" w:color="auto" w:sz="4" w:space="0"/>
              <w:bottom w:val="single" w:color="auto" w:sz="4" w:space="0"/>
              <w:right w:val="single" w:color="auto" w:sz="4" w:space="0"/>
            </w:tcBorders>
            <w:vAlign w:val="center"/>
          </w:tcPr>
          <w:p w14:paraId="029709E5">
            <w:pPr>
              <w:widowControl/>
              <w:jc w:val="left"/>
              <w:rPr>
                <w:rFonts w:ascii="黑体" w:hAnsi="宋体" w:eastAsia="黑体" w:cs="宋体"/>
                <w:bCs/>
                <w:kern w:val="0"/>
                <w:sz w:val="30"/>
                <w:szCs w:val="30"/>
              </w:rPr>
            </w:pPr>
            <w:r>
              <w:rPr>
                <w:rFonts w:hint="eastAsia" w:ascii="黑体" w:hAnsi="宋体" w:eastAsia="黑体" w:cs="宋体"/>
                <w:bCs/>
                <w:kern w:val="0"/>
                <w:sz w:val="30"/>
                <w:szCs w:val="30"/>
              </w:rPr>
              <w:t>装箱数量：</w:t>
            </w:r>
          </w:p>
        </w:tc>
        <w:tc>
          <w:tcPr>
            <w:tcW w:w="5245" w:type="dxa"/>
            <w:gridSpan w:val="2"/>
            <w:tcBorders>
              <w:top w:val="nil"/>
              <w:left w:val="nil"/>
              <w:bottom w:val="single" w:color="auto" w:sz="4" w:space="0"/>
              <w:right w:val="single" w:color="auto" w:sz="4" w:space="0"/>
            </w:tcBorders>
            <w:vAlign w:val="center"/>
          </w:tcPr>
          <w:p w14:paraId="6F699AF6">
            <w:pPr>
              <w:widowControl/>
              <w:jc w:val="left"/>
              <w:rPr>
                <w:rFonts w:ascii="黑体" w:hAnsi="宋体" w:eastAsia="黑体" w:cs="宋体"/>
                <w:bCs/>
                <w:kern w:val="0"/>
                <w:sz w:val="30"/>
                <w:szCs w:val="30"/>
              </w:rPr>
            </w:pPr>
            <w:r>
              <w:rPr>
                <w:rFonts w:hint="eastAsia" w:ascii="黑体" w:hAnsi="宋体" w:eastAsia="黑体" w:cs="宋体"/>
                <w:bCs/>
                <w:kern w:val="0"/>
                <w:sz w:val="30"/>
                <w:szCs w:val="30"/>
              </w:rPr>
              <w:t>箱号：第箱共</w:t>
            </w:r>
            <w:r>
              <w:rPr>
                <w:rFonts w:ascii="黑体" w:hAnsi="宋体" w:eastAsia="黑体" w:cs="宋体"/>
                <w:bCs/>
                <w:kern w:val="0"/>
                <w:sz w:val="30"/>
                <w:szCs w:val="30"/>
              </w:rPr>
              <w:t xml:space="preserve"> 箱</w:t>
            </w:r>
          </w:p>
        </w:tc>
      </w:tr>
      <w:tr w14:paraId="49F63FB0">
        <w:tblPrEx>
          <w:tblCellMar>
            <w:top w:w="0" w:type="dxa"/>
            <w:left w:w="108" w:type="dxa"/>
            <w:bottom w:w="0" w:type="dxa"/>
            <w:right w:w="108" w:type="dxa"/>
          </w:tblCellMar>
        </w:tblPrEx>
        <w:trPr>
          <w:trHeight w:val="551" w:hRule="atLeast"/>
          <w:jc w:val="center"/>
        </w:trPr>
        <w:tc>
          <w:tcPr>
            <w:tcW w:w="5104" w:type="dxa"/>
            <w:tcBorders>
              <w:top w:val="single" w:color="auto" w:sz="4" w:space="0"/>
              <w:left w:val="single" w:color="auto" w:sz="4" w:space="0"/>
              <w:bottom w:val="single" w:color="auto" w:sz="4" w:space="0"/>
              <w:right w:val="single" w:color="auto" w:sz="4" w:space="0"/>
            </w:tcBorders>
            <w:vAlign w:val="center"/>
          </w:tcPr>
          <w:p w14:paraId="42DDE175">
            <w:pPr>
              <w:jc w:val="left"/>
              <w:rPr>
                <w:rFonts w:ascii="黑体" w:hAnsi="宋体" w:eastAsia="黑体" w:cs="宋体"/>
                <w:bCs/>
                <w:kern w:val="0"/>
                <w:sz w:val="30"/>
                <w:szCs w:val="30"/>
              </w:rPr>
            </w:pPr>
          </w:p>
        </w:tc>
        <w:tc>
          <w:tcPr>
            <w:tcW w:w="5245" w:type="dxa"/>
            <w:gridSpan w:val="2"/>
            <w:tcBorders>
              <w:top w:val="single" w:color="auto" w:sz="4" w:space="0"/>
              <w:left w:val="nil"/>
              <w:bottom w:val="single" w:color="auto" w:sz="4" w:space="0"/>
              <w:right w:val="single" w:color="auto" w:sz="4" w:space="0"/>
            </w:tcBorders>
            <w:vAlign w:val="center"/>
          </w:tcPr>
          <w:p w14:paraId="53057C88">
            <w:pPr>
              <w:jc w:val="left"/>
              <w:rPr>
                <w:rFonts w:ascii="黑体" w:hAnsi="宋体" w:eastAsia="黑体" w:cs="宋体"/>
                <w:bCs/>
                <w:kern w:val="0"/>
                <w:sz w:val="30"/>
                <w:szCs w:val="30"/>
              </w:rPr>
            </w:pPr>
          </w:p>
        </w:tc>
      </w:tr>
      <w:tr w14:paraId="21A14895">
        <w:tblPrEx>
          <w:tblCellMar>
            <w:top w:w="0" w:type="dxa"/>
            <w:left w:w="108" w:type="dxa"/>
            <w:bottom w:w="0" w:type="dxa"/>
            <w:right w:w="108" w:type="dxa"/>
          </w:tblCellMar>
        </w:tblPrEx>
        <w:trPr>
          <w:trHeight w:val="551" w:hRule="atLeast"/>
          <w:jc w:val="center"/>
        </w:trPr>
        <w:tc>
          <w:tcPr>
            <w:tcW w:w="5104" w:type="dxa"/>
            <w:tcBorders>
              <w:top w:val="single" w:color="auto" w:sz="4" w:space="0"/>
              <w:left w:val="single" w:color="auto" w:sz="4" w:space="0"/>
              <w:bottom w:val="single" w:color="auto" w:sz="4" w:space="0"/>
              <w:right w:val="single" w:color="auto" w:sz="4" w:space="0"/>
            </w:tcBorders>
            <w:vAlign w:val="center"/>
          </w:tcPr>
          <w:p w14:paraId="2E6226A0">
            <w:pPr>
              <w:jc w:val="left"/>
              <w:rPr>
                <w:rFonts w:ascii="黑体" w:hAnsi="宋体" w:eastAsia="黑体" w:cs="宋体"/>
                <w:bCs/>
                <w:kern w:val="0"/>
                <w:sz w:val="30"/>
                <w:szCs w:val="30"/>
              </w:rPr>
            </w:pPr>
          </w:p>
        </w:tc>
        <w:tc>
          <w:tcPr>
            <w:tcW w:w="5245" w:type="dxa"/>
            <w:gridSpan w:val="2"/>
            <w:tcBorders>
              <w:top w:val="single" w:color="auto" w:sz="4" w:space="0"/>
              <w:left w:val="nil"/>
              <w:bottom w:val="single" w:color="auto" w:sz="4" w:space="0"/>
              <w:right w:val="single" w:color="auto" w:sz="4" w:space="0"/>
            </w:tcBorders>
            <w:vAlign w:val="center"/>
          </w:tcPr>
          <w:p w14:paraId="43415F31">
            <w:pPr>
              <w:jc w:val="left"/>
              <w:rPr>
                <w:rFonts w:ascii="黑体" w:hAnsi="宋体" w:eastAsia="黑体" w:cs="宋体"/>
                <w:bCs/>
                <w:kern w:val="0"/>
                <w:sz w:val="30"/>
                <w:szCs w:val="30"/>
              </w:rPr>
            </w:pPr>
          </w:p>
        </w:tc>
      </w:tr>
    </w:tbl>
    <w:p w14:paraId="5147CBCE">
      <w:pPr>
        <w:rPr>
          <w:rFonts w:eastAsia="黑体"/>
          <w:sz w:val="28"/>
          <w:szCs w:val="28"/>
          <w:u w:val="single"/>
        </w:rPr>
      </w:pPr>
    </w:p>
    <w:p w14:paraId="7E989023">
      <w:pPr>
        <w:rPr>
          <w:rFonts w:eastAsia="黑体"/>
          <w:sz w:val="28"/>
          <w:szCs w:val="28"/>
          <w:u w:val="single"/>
        </w:rPr>
      </w:pPr>
    </w:p>
    <w:p w14:paraId="7627AA25">
      <w:pPr>
        <w:rPr>
          <w:rFonts w:eastAsia="黑体"/>
          <w:sz w:val="28"/>
          <w:szCs w:val="28"/>
          <w:u w:val="single"/>
        </w:rPr>
      </w:pPr>
    </w:p>
    <w:p w14:paraId="6240A077"/>
    <w:p w14:paraId="17CA0BD8"/>
    <w:p w14:paraId="08B0ED95"/>
    <w:p w14:paraId="7BFAF302"/>
    <w:p w14:paraId="6BDFD163"/>
    <w:p w14:paraId="1F3CD325"/>
    <w:p w14:paraId="2DAFAD85"/>
    <w:p w14:paraId="775291F5"/>
    <w:p w14:paraId="52F08446"/>
    <w:p w14:paraId="7572E5C9"/>
    <w:p w14:paraId="0F7A35D4"/>
    <w:p w14:paraId="4EB074E5"/>
    <w:p w14:paraId="216B14BF"/>
    <w:p w14:paraId="64D5450D"/>
    <w:p w14:paraId="37CEE099">
      <w:pPr>
        <w:widowControl/>
        <w:jc w:val="left"/>
        <w:rPr>
          <w:rFonts w:ascii="Arial" w:hAnsi="Arial" w:eastAsia="黑体" w:cs="Arial"/>
          <w:b/>
          <w:sz w:val="32"/>
          <w:szCs w:val="28"/>
        </w:rPr>
      </w:pPr>
      <w:bookmarkStart w:id="211" w:name="_Toc135032231"/>
      <w:r>
        <w:rPr>
          <w:szCs w:val="28"/>
        </w:rPr>
        <w:br w:type="page"/>
      </w:r>
    </w:p>
    <w:p w14:paraId="793B9FE6">
      <w:pPr>
        <w:pStyle w:val="3"/>
        <w:jc w:val="left"/>
        <w:rPr>
          <w:szCs w:val="28"/>
        </w:rPr>
      </w:pPr>
      <w:r>
        <w:rPr>
          <w:rFonts w:hint="eastAsia"/>
          <w:szCs w:val="28"/>
        </w:rPr>
        <w:t>附件9、供应商（服务商）承诺书</w:t>
      </w:r>
      <w:bookmarkEnd w:id="211"/>
    </w:p>
    <w:p w14:paraId="15CDCEED">
      <w:pPr>
        <w:pStyle w:val="3"/>
        <w:rPr>
          <w:szCs w:val="28"/>
        </w:rPr>
      </w:pPr>
      <w:bookmarkStart w:id="212" w:name="_Toc135032232"/>
      <w:bookmarkStart w:id="213" w:name="_Toc91078852"/>
      <w:r>
        <w:rPr>
          <w:rFonts w:hint="eastAsia"/>
          <w:szCs w:val="28"/>
        </w:rPr>
        <w:t>供应商（服务商）承诺书</w:t>
      </w:r>
      <w:bookmarkEnd w:id="212"/>
      <w:bookmarkEnd w:id="213"/>
    </w:p>
    <w:p w14:paraId="2655BBAA">
      <w:pPr>
        <w:snapToGrid w:val="0"/>
        <w:ind w:firstLine="504" w:firstLineChars="200"/>
        <w:rPr>
          <w:rFonts w:ascii="仿宋" w:hAnsi="仿宋"/>
          <w:spacing w:val="6"/>
          <w:sz w:val="24"/>
        </w:rPr>
      </w:pPr>
    </w:p>
    <w:p w14:paraId="09B019C6">
      <w:pPr>
        <w:snapToGrid w:val="0"/>
        <w:ind w:firstLine="425" w:firstLineChars="169"/>
        <w:rPr>
          <w:rFonts w:hAnsi="宋体"/>
          <w:spacing w:val="6"/>
          <w:sz w:val="24"/>
        </w:rPr>
      </w:pPr>
      <w:r>
        <w:rPr>
          <w:rFonts w:hint="eastAsia" w:hAnsi="宋体"/>
          <w:spacing w:val="6"/>
          <w:sz w:val="24"/>
        </w:rPr>
        <w:t>本人经由</w:t>
      </w:r>
      <w:r>
        <w:rPr>
          <w:rFonts w:hAnsi="宋体"/>
          <w:spacing w:val="6"/>
          <w:sz w:val="24"/>
          <w:u w:val="single"/>
        </w:rPr>
        <w:t xml:space="preserve">                     （单位）</w:t>
      </w:r>
      <w:r>
        <w:rPr>
          <w:rFonts w:hint="eastAsia" w:hAnsi="宋体"/>
          <w:spacing w:val="6"/>
          <w:sz w:val="24"/>
        </w:rPr>
        <w:t>法人</w:t>
      </w:r>
      <w:r>
        <w:rPr>
          <w:rFonts w:hAnsi="宋体"/>
          <w:spacing w:val="6"/>
          <w:sz w:val="24"/>
          <w:u w:val="single"/>
        </w:rPr>
        <w:t xml:space="preserve">      （姓名）</w:t>
      </w:r>
      <w:r>
        <w:rPr>
          <w:rFonts w:hint="eastAsia" w:hAnsi="宋体"/>
          <w:spacing w:val="6"/>
          <w:sz w:val="24"/>
        </w:rPr>
        <w:t>合法授权参加项目的采购活动，经与本单位法人代表（负责人）确认，现就有关公平竞争事项郑重承诺如下：</w:t>
      </w:r>
      <w:r>
        <w:rPr>
          <w:rFonts w:hAnsi="宋体"/>
          <w:spacing w:val="6"/>
          <w:sz w:val="24"/>
        </w:rPr>
        <w:t xml:space="preserve"> </w:t>
      </w:r>
    </w:p>
    <w:p w14:paraId="5B807A75">
      <w:pPr>
        <w:numPr>
          <w:ilvl w:val="0"/>
          <w:numId w:val="75"/>
        </w:numPr>
        <w:snapToGrid w:val="0"/>
        <w:spacing w:line="360" w:lineRule="auto"/>
        <w:ind w:firstLine="405" w:firstLineChars="169"/>
        <w:rPr>
          <w:rFonts w:hAnsi="宋体"/>
          <w:kern w:val="0"/>
          <w:sz w:val="24"/>
        </w:rPr>
      </w:pPr>
      <w:r>
        <w:rPr>
          <w:rFonts w:hint="eastAsia" w:hAnsi="宋体"/>
          <w:b/>
          <w:bCs/>
          <w:kern w:val="0"/>
          <w:sz w:val="24"/>
        </w:rPr>
        <w:t>本单位承诺不存在与关联关系的企业共同参与本次采购活动，所述的关联关系是具有以下情形之一：</w:t>
      </w:r>
    </w:p>
    <w:p w14:paraId="237FDD55">
      <w:pPr>
        <w:snapToGrid w:val="0"/>
        <w:ind w:firstLine="405" w:firstLineChars="169"/>
        <w:rPr>
          <w:rFonts w:hAnsi="宋体"/>
          <w:kern w:val="0"/>
          <w:sz w:val="24"/>
        </w:rPr>
      </w:pPr>
      <w:r>
        <w:rPr>
          <w:rFonts w:hAnsi="宋体"/>
          <w:kern w:val="0"/>
          <w:sz w:val="24"/>
        </w:rPr>
        <w:t>A.法定代表人或负责人或实际控制人是同一人</w:t>
      </w:r>
    </w:p>
    <w:p w14:paraId="4194856F">
      <w:pPr>
        <w:snapToGrid w:val="0"/>
        <w:ind w:firstLine="405" w:firstLineChars="169"/>
        <w:rPr>
          <w:rFonts w:hAnsi="宋体"/>
          <w:spacing w:val="6"/>
          <w:sz w:val="24"/>
        </w:rPr>
      </w:pPr>
      <w:r>
        <w:rPr>
          <w:rFonts w:hAnsi="宋体"/>
          <w:kern w:val="0"/>
          <w:sz w:val="24"/>
        </w:rPr>
        <w:t>B.法定代表人或负责人或实际控制人是夫妻关系</w:t>
      </w:r>
    </w:p>
    <w:p w14:paraId="049481CF">
      <w:pPr>
        <w:snapToGrid w:val="0"/>
        <w:ind w:firstLine="405" w:firstLineChars="169"/>
        <w:rPr>
          <w:rFonts w:hAnsi="宋体"/>
          <w:spacing w:val="6"/>
          <w:sz w:val="24"/>
        </w:rPr>
      </w:pPr>
      <w:r>
        <w:rPr>
          <w:rFonts w:hAnsi="宋体"/>
          <w:kern w:val="0"/>
          <w:sz w:val="24"/>
        </w:rPr>
        <w:t>C.法定代表人或负责人或实际控制人是直系血亲关系</w:t>
      </w:r>
    </w:p>
    <w:p w14:paraId="51DF4892">
      <w:pPr>
        <w:snapToGrid w:val="0"/>
        <w:ind w:firstLine="405" w:firstLineChars="169"/>
        <w:rPr>
          <w:rFonts w:hAnsi="宋体"/>
          <w:spacing w:val="6"/>
          <w:sz w:val="24"/>
        </w:rPr>
      </w:pPr>
      <w:r>
        <w:rPr>
          <w:rFonts w:hAnsi="宋体"/>
          <w:kern w:val="0"/>
          <w:sz w:val="24"/>
        </w:rPr>
        <w:t>D.法定代表人或负责人或实际控制人存在三代以内旁系血亲关系</w:t>
      </w:r>
    </w:p>
    <w:p w14:paraId="04FD4EA9">
      <w:pPr>
        <w:snapToGrid w:val="0"/>
        <w:ind w:firstLine="405" w:firstLineChars="169"/>
        <w:rPr>
          <w:rFonts w:hAnsi="宋体"/>
          <w:kern w:val="0"/>
          <w:sz w:val="24"/>
        </w:rPr>
      </w:pPr>
      <w:r>
        <w:rPr>
          <w:rFonts w:hAnsi="宋体"/>
          <w:kern w:val="0"/>
          <w:sz w:val="24"/>
        </w:rPr>
        <w:t>E.法定代表人或负责人或实际控制人存在近姻亲关系</w:t>
      </w:r>
    </w:p>
    <w:p w14:paraId="6F6DBB71">
      <w:pPr>
        <w:snapToGrid w:val="0"/>
        <w:ind w:firstLine="405" w:firstLineChars="169"/>
        <w:rPr>
          <w:rFonts w:hAnsi="宋体"/>
          <w:kern w:val="0"/>
          <w:sz w:val="24"/>
        </w:rPr>
      </w:pPr>
      <w:r>
        <w:rPr>
          <w:rFonts w:hAnsi="宋体"/>
          <w:kern w:val="0"/>
          <w:sz w:val="24"/>
        </w:rPr>
        <w:t>F.法定代表人或负责人或实际控制人存在股份控制或实际控制关系</w:t>
      </w:r>
    </w:p>
    <w:p w14:paraId="3B5F39E3">
      <w:pPr>
        <w:snapToGrid w:val="0"/>
        <w:ind w:firstLine="405" w:firstLineChars="169"/>
        <w:rPr>
          <w:rFonts w:hAnsi="宋体"/>
          <w:kern w:val="0"/>
          <w:sz w:val="24"/>
        </w:rPr>
      </w:pPr>
      <w:bookmarkStart w:id="214" w:name="_Toc91078675"/>
      <w:r>
        <w:rPr>
          <w:rFonts w:hAnsi="宋体"/>
          <w:kern w:val="0"/>
          <w:sz w:val="24"/>
        </w:rPr>
        <w:t>G.存在共同直接或间接投资设立子公司、联营企业和合营企业情况</w:t>
      </w:r>
      <w:bookmarkEnd w:id="214"/>
    </w:p>
    <w:p w14:paraId="7740942A">
      <w:pPr>
        <w:snapToGrid w:val="0"/>
        <w:ind w:firstLine="405" w:firstLineChars="169"/>
        <w:rPr>
          <w:rFonts w:hAnsi="宋体"/>
          <w:sz w:val="24"/>
        </w:rPr>
      </w:pPr>
      <w:r>
        <w:rPr>
          <w:rFonts w:hAnsi="宋体"/>
          <w:kern w:val="0"/>
          <w:sz w:val="24"/>
        </w:rPr>
        <w:t>H.存在分级代理或代销关系、同一生产制造商关系、</w:t>
      </w:r>
      <w:r>
        <w:rPr>
          <w:rFonts w:hint="eastAsia" w:hAnsi="宋体"/>
          <w:sz w:val="24"/>
        </w:rPr>
        <w:t>管理关系、重要业务（占主营业务收入</w:t>
      </w:r>
      <w:r>
        <w:rPr>
          <w:rFonts w:hAnsi="宋体"/>
          <w:sz w:val="24"/>
        </w:rPr>
        <w:t>50%以上）或重要财务往来关系（如融资）等其他实质性控制关系</w:t>
      </w:r>
    </w:p>
    <w:p w14:paraId="0692B5A8">
      <w:pPr>
        <w:snapToGrid w:val="0"/>
        <w:ind w:firstLine="405" w:firstLineChars="169"/>
        <w:rPr>
          <w:rFonts w:hAnsi="宋体"/>
          <w:spacing w:val="6"/>
          <w:sz w:val="24"/>
        </w:rPr>
      </w:pPr>
      <w:r>
        <w:rPr>
          <w:rFonts w:hAnsi="宋体"/>
          <w:sz w:val="24"/>
        </w:rPr>
        <w:t>I</w:t>
      </w:r>
      <w:r>
        <w:rPr>
          <w:rFonts w:hAnsi="宋体"/>
          <w:kern w:val="0"/>
          <w:sz w:val="24"/>
        </w:rPr>
        <w:t>.</w:t>
      </w:r>
      <w:r>
        <w:rPr>
          <w:rFonts w:hint="eastAsia" w:hAnsi="宋体"/>
          <w:sz w:val="24"/>
        </w:rPr>
        <w:t>其他利害关系情况</w:t>
      </w:r>
      <w:r>
        <w:rPr>
          <w:rFonts w:hint="eastAsia" w:hAnsi="宋体"/>
          <w:kern w:val="0"/>
          <w:sz w:val="24"/>
        </w:rPr>
        <w:t>。</w:t>
      </w:r>
    </w:p>
    <w:p w14:paraId="0B91EE31">
      <w:pPr>
        <w:snapToGrid w:val="0"/>
        <w:ind w:firstLine="405" w:firstLineChars="169"/>
        <w:rPr>
          <w:rFonts w:hAnsi="宋体"/>
          <w:b/>
          <w:bCs/>
          <w:kern w:val="0"/>
          <w:sz w:val="24"/>
        </w:rPr>
      </w:pPr>
      <w:r>
        <w:rPr>
          <w:rFonts w:hint="eastAsia" w:hAnsi="宋体"/>
          <w:b/>
          <w:bCs/>
          <w:sz w:val="24"/>
        </w:rPr>
        <w:t>二、现已清楚知道并</w:t>
      </w:r>
      <w:r>
        <w:rPr>
          <w:rFonts w:hint="eastAsia" w:hAnsi="宋体"/>
          <w:b/>
          <w:bCs/>
          <w:kern w:val="0"/>
          <w:sz w:val="24"/>
        </w:rPr>
        <w:t>严格遵守招标法律法规和承诺要求。</w:t>
      </w:r>
    </w:p>
    <w:p w14:paraId="5E108FC4">
      <w:pPr>
        <w:snapToGrid w:val="0"/>
        <w:ind w:firstLine="480" w:firstLineChars="200"/>
        <w:rPr>
          <w:rFonts w:hAnsi="宋体"/>
          <w:sz w:val="24"/>
        </w:rPr>
      </w:pPr>
    </w:p>
    <w:p w14:paraId="7F148466">
      <w:pPr>
        <w:snapToGrid w:val="0"/>
        <w:ind w:firstLine="3600" w:firstLineChars="1500"/>
        <w:rPr>
          <w:rFonts w:hAnsi="宋体"/>
          <w:sz w:val="24"/>
        </w:rPr>
      </w:pPr>
      <w:r>
        <w:rPr>
          <w:rFonts w:hint="eastAsia" w:hAnsi="宋体"/>
          <w:sz w:val="24"/>
        </w:rPr>
        <w:t>单位名称：（公章）</w:t>
      </w:r>
    </w:p>
    <w:p w14:paraId="7A4AD840">
      <w:pPr>
        <w:snapToGrid w:val="0"/>
        <w:ind w:firstLine="480" w:firstLineChars="200"/>
        <w:jc w:val="center"/>
        <w:rPr>
          <w:rFonts w:hAnsi="宋体"/>
          <w:sz w:val="24"/>
        </w:rPr>
      </w:pPr>
      <w:r>
        <w:rPr>
          <w:rFonts w:hint="eastAsia" w:hAnsi="宋体"/>
          <w:sz w:val="24"/>
        </w:rPr>
        <w:t>授权代表：（签名）</w:t>
      </w:r>
    </w:p>
    <w:p w14:paraId="6F8EF8B9">
      <w:pPr>
        <w:snapToGrid w:val="0"/>
        <w:ind w:firstLine="480" w:firstLineChars="200"/>
        <w:jc w:val="center"/>
      </w:pPr>
      <w:r>
        <w:rPr>
          <w:rFonts w:hint="eastAsia" w:hAnsi="宋体"/>
          <w:sz w:val="24"/>
        </w:rPr>
        <w:t>年</w:t>
      </w:r>
      <w:r>
        <w:rPr>
          <w:rFonts w:hAnsi="宋体"/>
          <w:sz w:val="24"/>
        </w:rPr>
        <w:t xml:space="preserve">  </w:t>
      </w:r>
      <w:r>
        <w:rPr>
          <w:rFonts w:hint="eastAsia" w:hAnsi="宋体"/>
          <w:sz w:val="24"/>
        </w:rPr>
        <w:t>月</w:t>
      </w:r>
      <w:r>
        <w:rPr>
          <w:rFonts w:hAnsi="宋体"/>
          <w:sz w:val="24"/>
        </w:rPr>
        <w:t xml:space="preserve">  </w:t>
      </w:r>
      <w:r>
        <w:rPr>
          <w:rFonts w:hint="eastAsia" w:hAnsi="宋体"/>
          <w:sz w:val="24"/>
        </w:rPr>
        <w:t>日</w:t>
      </w:r>
    </w:p>
    <w:p w14:paraId="15A0331F">
      <w:pPr>
        <w:rPr>
          <w:rFonts w:ascii="宋体" w:hAnsi="宋体" w:cs="宋体"/>
          <w:kern w:val="0"/>
          <w:u w:val="single"/>
        </w:rPr>
      </w:pPr>
    </w:p>
    <w:p w14:paraId="1F62FACB"/>
    <w:p w14:paraId="45DC7C0A">
      <w:pPr>
        <w:pStyle w:val="801"/>
      </w:pPr>
    </w:p>
    <w:bookmarkEnd w:id="4"/>
    <w:bookmarkEnd w:id="140"/>
    <w:bookmarkEnd w:id="141"/>
    <w:bookmarkEnd w:id="142"/>
    <w:bookmarkEnd w:id="143"/>
    <w:bookmarkEnd w:id="144"/>
    <w:p w14:paraId="01620832">
      <w:pPr>
        <w:pStyle w:val="5"/>
        <w:jc w:val="both"/>
      </w:pPr>
    </w:p>
    <w:sectPr>
      <w:pgSz w:w="11907" w:h="16840"/>
      <w:pgMar w:top="1440" w:right="1077" w:bottom="1440" w:left="1077" w:header="567" w:footer="992"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Batang">
    <w:altName w:val="Malgun Gothic"/>
    <w:panose1 w:val="02030600000101010101"/>
    <w:charset w:val="81"/>
    <w:family w:val="auto"/>
    <w:pitch w:val="default"/>
    <w:sig w:usb0="00000000" w:usb1="00000000" w:usb2="00000010" w:usb3="00000000" w:csb0="00080000" w:csb1="00000000"/>
  </w:font>
  <w:font w:name="Malgun Gothic">
    <w:panose1 w:val="020B0503020000020004"/>
    <w:charset w:val="81"/>
    <w:family w:val="auto"/>
    <w:pitch w:val="default"/>
    <w:sig w:usb0="9000002F" w:usb1="29D77CFB" w:usb2="00000012" w:usb3="00000000" w:csb0="00080001" w:csb1="00000000"/>
  </w:font>
  <w:font w:name="MingLiU">
    <w:altName w:val="PMingLiU-ExtB"/>
    <w:panose1 w:val="02010609000101010101"/>
    <w:charset w:val="88"/>
    <w:family w:val="modern"/>
    <w:pitch w:val="default"/>
    <w:sig w:usb0="00000000" w:usb1="00000000" w:usb2="00000010" w:usb3="00000000" w:csb0="00100000" w:csb1="00000000"/>
  </w:font>
  <w:font w:name="PMingLiU-ExtB">
    <w:panose1 w:val="02020500000000000000"/>
    <w:charset w:val="88"/>
    <w:family w:val="auto"/>
    <w:pitch w:val="default"/>
    <w:sig w:usb0="8000002F" w:usb1="02000008" w:usb2="00000000" w:usb3="00000000" w:csb0="00100001" w:csb1="00000000"/>
  </w:font>
  <w:font w:name="ˎ̥">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0000009F" w:csb1="00000000"/>
  </w:font>
  <w:font w:name="汉鼎简书宋">
    <w:altName w:val="宋体"/>
    <w:panose1 w:val="00000000000000000000"/>
    <w:charset w:val="86"/>
    <w:family w:val="roman"/>
    <w:pitch w:val="default"/>
    <w:sig w:usb0="00000000" w:usb1="00000000" w:usb2="00000000" w:usb3="00000000" w:csb0="00040001" w:csb1="00000000"/>
  </w:font>
  <w:font w:name="Candara">
    <w:panose1 w:val="020E0502030303020204"/>
    <w:charset w:val="00"/>
    <w:family w:val="swiss"/>
    <w:pitch w:val="default"/>
    <w:sig w:usb0="A00002EF" w:usb1="4000A44B" w:usb2="00000000" w:usb3="00000000" w:csb0="2000019F" w:csb1="00000000"/>
  </w:font>
  <w:font w:name="新宋体">
    <w:panose1 w:val="02010609030101010101"/>
    <w:charset w:val="86"/>
    <w:family w:val="modern"/>
    <w:pitch w:val="default"/>
    <w:sig w:usb0="00000203" w:usb1="288F0000" w:usb2="00000006" w:usb3="00000000" w:csb0="00040001"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Arial Black">
    <w:panose1 w:val="020B0A04020102020204"/>
    <w:charset w:val="00"/>
    <w:family w:val="swiss"/>
    <w:pitch w:val="default"/>
    <w:sig w:usb0="A00002AF" w:usb1="400078FB" w:usb2="00000000" w:usb3="00000000" w:csb0="6000009F" w:csb1="DFD70000"/>
  </w:font>
  <w:font w:name="TT C 07o 00">
    <w:altName w:val="Arial"/>
    <w:panose1 w:val="00000000000000000000"/>
    <w:charset w:val="00"/>
    <w:family w:val="roman"/>
    <w:pitch w:val="default"/>
    <w:sig w:usb0="00000000" w:usb1="00000000" w:usb2="00000000" w:usb3="00000000" w:csb0="00040001" w:csb1="00000000"/>
  </w:font>
  <w:font w:name="仿宋体">
    <w:altName w:val="宋体"/>
    <w:panose1 w:val="00000000000000000000"/>
    <w:charset w:val="86"/>
    <w:family w:val="roma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ì.">
    <w:altName w:val="宋体"/>
    <w:panose1 w:val="00000000000000000000"/>
    <w:charset w:val="86"/>
    <w:family w:val="roman"/>
    <w:pitch w:val="default"/>
    <w:sig w:usb0="00000000" w:usb1="00000000" w:usb2="00000000" w:usb3="00000000" w:csb0="00040001" w:csb1="00000000"/>
  </w:font>
  <w:font w:name="System">
    <w:altName w:val="宋体"/>
    <w:panose1 w:val="00000000000000000000"/>
    <w:charset w:val="86"/>
    <w:family w:val="auto"/>
    <w:pitch w:val="default"/>
    <w:sig w:usb0="00000000" w:usb1="00000000" w:usb2="00000010" w:usb3="00000000" w:csb0="00040000" w:csb1="00000000"/>
  </w:font>
  <w:font w:name="方正黑体简体">
    <w:altName w:val="黑体"/>
    <w:panose1 w:val="00000000000000000000"/>
    <w:charset w:val="86"/>
    <w:family w:val="script"/>
    <w:pitch w:val="default"/>
    <w:sig w:usb0="00000000" w:usb1="00000000" w:usb2="00000010" w:usb3="00000000" w:csb0="00040000" w:csb1="00000000"/>
  </w:font>
  <w:font w:name="Univers">
    <w:altName w:val="Segoe Print"/>
    <w:panose1 w:val="00000000000000000000"/>
    <w:charset w:val="00"/>
    <w:family w:val="swiss"/>
    <w:pitch w:val="default"/>
    <w:sig w:usb0="00000000" w:usb1="00000000" w:usb2="00000000" w:usb3="00000000" w:csb0="0000000F" w:csb1="00000000"/>
  </w:font>
  <w:font w:name="Segoe Print">
    <w:panose1 w:val="02000600000000000000"/>
    <w:charset w:val="00"/>
    <w:family w:val="auto"/>
    <w:pitch w:val="default"/>
    <w:sig w:usb0="0000028F" w:usb1="00000000" w:usb2="00000000" w:usb3="00000000" w:csb0="2000009F" w:csb1="47010000"/>
  </w:font>
  <w:font w:name="Tms Rmn">
    <w:altName w:val="Segoe Print"/>
    <w:panose1 w:val="02020603040505020304"/>
    <w:charset w:val="00"/>
    <w:family w:val="roman"/>
    <w:pitch w:val="default"/>
    <w:sig w:usb0="00000000" w:usb1="00000000" w:usb2="00000000" w:usb3="00000000" w:csb0="00000001" w:csb1="00000000"/>
  </w:font>
  <w:font w:name="华文中宋">
    <w:altName w:val="宋体"/>
    <w:panose1 w:val="02010600040101010101"/>
    <w:charset w:val="86"/>
    <w:family w:val="auto"/>
    <w:pitch w:val="default"/>
    <w:sig w:usb0="00000000" w:usb1="00000000" w:usb2="00000010" w:usb3="00000000" w:csb0="0004009F" w:csb1="00000000"/>
  </w:font>
  <w:font w:name="五">
    <w:altName w:val="宋体"/>
    <w:panose1 w:val="00000000000000000000"/>
    <w:charset w:val="86"/>
    <w:family w:val="roman"/>
    <w:pitch w:val="default"/>
    <w:sig w:usb0="00000000" w:usb1="00000000" w:usb2="00000000" w:usb3="00000000" w:csb0="00040001" w:csb1="00000000"/>
  </w:font>
  <w:font w:name="New York">
    <w:altName w:val="AmdtSymbols"/>
    <w:panose1 w:val="02040503060506020304"/>
    <w:charset w:val="00"/>
    <w:family w:val="roman"/>
    <w:pitch w:val="default"/>
    <w:sig w:usb0="00000000" w:usb1="00000000" w:usb2="00000000" w:usb3="00000000" w:csb0="00000001" w:csb1="00000000"/>
  </w:font>
  <w:font w:name="AmdtSymbols">
    <w:panose1 w:val="02000500000000020004"/>
    <w:charset w:val="00"/>
    <w:family w:val="auto"/>
    <w:pitch w:val="default"/>
    <w:sig w:usb0="00000001" w:usb1="00000000" w:usb2="00000000" w:usb3="00000000" w:csb0="00000001" w:csb1="00000000"/>
  </w:font>
  <w:font w:name="Garamond">
    <w:altName w:val="RomanS"/>
    <w:panose1 w:val="02020404030301010803"/>
    <w:charset w:val="00"/>
    <w:family w:val="roman"/>
    <w:pitch w:val="default"/>
    <w:sig w:usb0="00000000" w:usb1="00000000" w:usb2="00000000" w:usb3="00000000" w:csb0="0000009F" w:csb1="00000000"/>
  </w:font>
  <w:font w:name="RomanS">
    <w:panose1 w:val="02000400000000000000"/>
    <w:charset w:val="00"/>
    <w:family w:val="auto"/>
    <w:pitch w:val="default"/>
    <w:sig w:usb0="00000207" w:usb1="00000000" w:usb2="00000000" w:usb3="00000000" w:csb0="000001FF" w:csb1="00000000"/>
  </w:font>
  <w:font w:name="Bookman Old Style">
    <w:altName w:val="Segoe Print"/>
    <w:panose1 w:val="02050604050505020204"/>
    <w:charset w:val="00"/>
    <w:family w:val="roman"/>
    <w:pitch w:val="default"/>
    <w:sig w:usb0="00000000" w:usb1="00000000" w:usb2="00000000" w:usb3="00000000" w:csb0="0000009F" w:csb1="00000000"/>
  </w:font>
  <w:font w:name="Century Gothic">
    <w:altName w:val="AmdtSymbols"/>
    <w:panose1 w:val="020B0502020202020204"/>
    <w:charset w:val="00"/>
    <w:family w:val="swiss"/>
    <w:pitch w:val="default"/>
    <w:sig w:usb0="00000000" w:usb1="00000000" w:usb2="00000000" w:usb3="00000000" w:csb0="0000009F" w:csb1="00000000"/>
  </w:font>
  <w:font w:name="LinePrinter">
    <w:altName w:val="Arial"/>
    <w:panose1 w:val="00000000000000000000"/>
    <w:charset w:val="00"/>
    <w:family w:val="modern"/>
    <w:pitch w:val="default"/>
    <w:sig w:usb0="00000000" w:usb1="00000000" w:usb2="00000000" w:usb3="00000000" w:csb0="00000001" w:csb1="00000000"/>
  </w:font>
  <w:font w:name="微软雅黑">
    <w:panose1 w:val="020B0503020204020204"/>
    <w:charset w:val="86"/>
    <w:family w:val="swiss"/>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1A2109">
    <w:pPr>
      <w:pStyle w:val="49"/>
      <w:rPr>
        <w:sz w:val="13"/>
        <w:szCs w:val="13"/>
      </w:rPr>
    </w:pPr>
    <w:r>
      <w:rPr>
        <w:sz w:val="13"/>
      </w:rPr>
      <w:pict>
        <v:shape id="文本框 179" o:spid="_x0000_s2051"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0lY7tAAAAAFAQAADwAAAAAAAAABACAAAAAiAAAAZHJzL2Rvd25yZXYueG1sUEsB&#10;AhQAFAAAAAgAh07iQNJCevI2AgAAZwQAAA4AAAAAAAAAAQAgAAAAHwEAAGRycy9lMm9Eb2MueG1s&#10;UEsFBgAAAAAGAAYAWQEAAMcFAAAAAA==&#10;">
          <v:path/>
          <v:fill on="f" focussize="0,0"/>
          <v:stroke on="f" weight="0.5pt" joinstyle="miter"/>
          <v:imagedata o:title=""/>
          <o:lock v:ext="edit"/>
          <v:textbox inset="0mm,0mm,0mm,0mm" style="mso-fit-shape-to-text:t;">
            <w:txbxContent>
              <w:p w14:paraId="3CD63CFC">
                <w:pPr>
                  <w:pStyle w:val="49"/>
                </w:pPr>
                <w:r>
                  <w:fldChar w:fldCharType="begin"/>
                </w:r>
                <w:r>
                  <w:instrText xml:space="preserve"> PAGE  \* MERGEFORMAT </w:instrText>
                </w:r>
                <w:r>
                  <w:fldChar w:fldCharType="separate"/>
                </w:r>
                <w:r>
                  <w:t>1</w:t>
                </w:r>
                <w:r>
                  <w:fldChar w:fldCharType="end"/>
                </w:r>
              </w:p>
            </w:txbxContent>
          </v:textbox>
        </v:shape>
      </w:pict>
    </w:r>
  </w:p>
  <w:p w14:paraId="0DCE3614">
    <w:pPr>
      <w:pStyle w:val="49"/>
      <w:rPr>
        <w:sz w:val="13"/>
        <w:szCs w:val="13"/>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183B98">
    <w:pPr>
      <w:pStyle w:val="49"/>
      <w:jc w:val="center"/>
    </w:pPr>
    <w:r>
      <w:pict>
        <v:shape id="文本框 181" o:spid="_x0000_s2053"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yFHtY1AgAAZw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CzSVju0AAAAAUBAAAPAAAAAAAAAAEAIAAAACIAAABkcnMvZG93bnJldi54bWxQSwEC&#10;FAAUAAAACACHTuJAXIUe1jUCAABnBAAADgAAAAAAAAABACAAAAAfAQAAZHJzL2Uyb0RvYy54bWxQ&#10;SwUGAAAAAAYABgBZAQAAxgUAAAAA&#10;">
          <v:path/>
          <v:fill on="f" focussize="0,0"/>
          <v:stroke on="f" weight="0.5pt" joinstyle="miter"/>
          <v:imagedata o:title=""/>
          <o:lock v:ext="edit"/>
          <v:textbox inset="0mm,0mm,0mm,0mm" style="mso-fit-shape-to-text:t;">
            <w:txbxContent>
              <w:p w14:paraId="1C957A9E">
                <w:pPr>
                  <w:pStyle w:val="49"/>
                </w:pPr>
                <w:r>
                  <w:fldChar w:fldCharType="begin"/>
                </w:r>
                <w:r>
                  <w:instrText xml:space="preserve"> PAGE  \* MERGEFORMAT </w:instrText>
                </w:r>
                <w:r>
                  <w:fldChar w:fldCharType="separate"/>
                </w:r>
                <w:r>
                  <w:t>37</w:t>
                </w:r>
                <w:r>
                  <w:fldChar w:fldCharType="end"/>
                </w:r>
              </w:p>
            </w:txbxContent>
          </v:textbox>
        </v:shape>
      </w:pict>
    </w:r>
  </w:p>
  <w:p w14:paraId="23D81215">
    <w:pPr>
      <w:pStyle w:val="49"/>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68ABDE">
    <w:pPr>
      <w:pStyle w:val="49"/>
      <w:jc w:val="center"/>
      <w:rPr>
        <w:b/>
      </w:rPr>
    </w:pPr>
    <w:r>
      <w:rPr>
        <w:b/>
      </w:rPr>
      <w:t>5-</w:t>
    </w:r>
    <w:r>
      <w:rPr>
        <w:rStyle w:val="81"/>
        <w:b/>
      </w:rPr>
      <w:t>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08CBD">
    <w:pPr>
      <w:pStyle w:val="50"/>
      <w:pBdr>
        <w:bottom w:val="none" w:color="auto" w:sz="0" w:space="0"/>
      </w:pBdr>
      <w:tabs>
        <w:tab w:val="left" w:pos="4200"/>
        <w:tab w:val="left" w:pos="4620"/>
        <w:tab w:val="left" w:pos="5040"/>
        <w:tab w:val="left" w:pos="5460"/>
        <w:tab w:val="left" w:pos="5880"/>
        <w:tab w:val="clear" w:pos="8306"/>
      </w:tabs>
      <w:jc w:val="left"/>
    </w:pPr>
    <w:r>
      <w:tab/>
    </w:r>
    <w:r>
      <w:tab/>
    </w:r>
    <w:r>
      <w:tab/>
    </w:r>
    <w:r>
      <w:tab/>
    </w:r>
    <w:r>
      <w:tab/>
    </w:r>
    <w:r>
      <w:tab/>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42D56">
    <w:pPr>
      <w:pStyle w:val="50"/>
      <w:pBdr>
        <w:bottom w:val="none" w:color="auto" w:sz="0" w:space="1"/>
      </w:pBdr>
      <w:rPr>
        <w:rFonts w:ascii="宋体" w:cs="宋体"/>
        <w:kern w:val="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42810">
    <w:pPr>
      <w:pStyle w:val="50"/>
      <w:pBdr>
        <w:bottom w:val="single" w:color="auto" w:sz="6" w:space="0"/>
      </w:pBdr>
      <w:rPr>
        <w:b/>
      </w:rPr>
    </w:pPr>
    <w:r>
      <w:rPr>
        <w:b/>
      </w:rPr>
      <w:t xml:space="preserve">ZITET                                 </w:t>
    </w:r>
    <w:r>
      <w:rPr>
        <w:rFonts w:hint="eastAsia" w:ascii="仿宋_GB2312" w:hAnsi="宋体"/>
        <w:b/>
      </w:rPr>
      <w:t>商务条款</w:t>
    </w:r>
    <w:r>
      <w:rPr>
        <w:b/>
      </w:rPr>
      <w:t xml:space="preserve">                     IFB No. : 0625-11108016-3 </w:t>
    </w:r>
  </w:p>
  <w:p w14:paraId="64C52021">
    <w:pPr>
      <w:pStyle w:val="50"/>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45CE63"/>
    <w:multiLevelType w:val="multilevel"/>
    <w:tmpl w:val="8145CE63"/>
    <w:lvl w:ilvl="0" w:tentative="0">
      <w:start w:val="1"/>
      <w:numFmt w:val="decimal"/>
      <w:suff w:val="nothing"/>
      <w:lvlText w:val="5.%1"/>
      <w:lvlJc w:val="left"/>
      <w:pPr>
        <w:tabs>
          <w:tab w:val="left" w:pos="0"/>
        </w:tabs>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1">
    <w:nsid w:val="8A8B1671"/>
    <w:multiLevelType w:val="singleLevel"/>
    <w:tmpl w:val="8A8B1671"/>
    <w:lvl w:ilvl="0" w:tentative="0">
      <w:start w:val="1"/>
      <w:numFmt w:val="decimal"/>
      <w:suff w:val="nothing"/>
      <w:lvlText w:val="15.%1"/>
      <w:lvlJc w:val="left"/>
      <w:pPr>
        <w:ind w:left="425" w:hanging="425"/>
      </w:pPr>
      <w:rPr>
        <w:rFonts w:hint="default"/>
      </w:rPr>
    </w:lvl>
  </w:abstractNum>
  <w:abstractNum w:abstractNumId="2">
    <w:nsid w:val="8B81131C"/>
    <w:multiLevelType w:val="singleLevel"/>
    <w:tmpl w:val="8B81131C"/>
    <w:lvl w:ilvl="0" w:tentative="0">
      <w:start w:val="1"/>
      <w:numFmt w:val="decimalEnclosedCircleChinese"/>
      <w:suff w:val="nothing"/>
      <w:lvlText w:val="%1　"/>
      <w:lvlJc w:val="left"/>
      <w:pPr>
        <w:ind w:left="420" w:firstLine="400"/>
      </w:pPr>
      <w:rPr>
        <w:rFonts w:hint="eastAsia"/>
      </w:rPr>
    </w:lvl>
  </w:abstractNum>
  <w:abstractNum w:abstractNumId="3">
    <w:nsid w:val="90A5418F"/>
    <w:multiLevelType w:val="multilevel"/>
    <w:tmpl w:val="90A5418F"/>
    <w:lvl w:ilvl="0" w:tentative="0">
      <w:start w:val="1"/>
      <w:numFmt w:val="decimal"/>
      <w:suff w:val="nothing"/>
      <w:lvlText w:val="6.%1"/>
      <w:lvlJc w:val="left"/>
      <w:pPr>
        <w:tabs>
          <w:tab w:val="left" w:pos="0"/>
        </w:tabs>
        <w:ind w:left="425" w:hanging="425"/>
      </w:pPr>
      <w:rPr>
        <w:rFonts w:hint="default"/>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4">
    <w:nsid w:val="A605336F"/>
    <w:multiLevelType w:val="singleLevel"/>
    <w:tmpl w:val="A605336F"/>
    <w:lvl w:ilvl="0" w:tentative="0">
      <w:start w:val="1"/>
      <w:numFmt w:val="decimal"/>
      <w:lvlText w:val="%1)"/>
      <w:lvlJc w:val="left"/>
      <w:pPr>
        <w:ind w:left="2105" w:hanging="425"/>
      </w:pPr>
      <w:rPr>
        <w:rFonts w:hint="default"/>
      </w:rPr>
    </w:lvl>
  </w:abstractNum>
  <w:abstractNum w:abstractNumId="5">
    <w:nsid w:val="A7419446"/>
    <w:multiLevelType w:val="singleLevel"/>
    <w:tmpl w:val="A7419446"/>
    <w:lvl w:ilvl="0" w:tentative="0">
      <w:start w:val="1"/>
      <w:numFmt w:val="decimalEnclosedCircleChinese"/>
      <w:suff w:val="nothing"/>
      <w:lvlText w:val="%1　"/>
      <w:lvlJc w:val="left"/>
      <w:pPr>
        <w:ind w:left="420" w:firstLine="400"/>
      </w:pPr>
      <w:rPr>
        <w:rFonts w:hint="eastAsia"/>
      </w:rPr>
    </w:lvl>
  </w:abstractNum>
  <w:abstractNum w:abstractNumId="6">
    <w:nsid w:val="AC7EB373"/>
    <w:multiLevelType w:val="singleLevel"/>
    <w:tmpl w:val="AC7EB373"/>
    <w:lvl w:ilvl="0" w:tentative="0">
      <w:start w:val="1"/>
      <w:numFmt w:val="decimal"/>
      <w:suff w:val="nothing"/>
      <w:lvlText w:val="16.%1"/>
      <w:lvlJc w:val="left"/>
      <w:pPr>
        <w:ind w:left="425" w:hanging="425"/>
      </w:pPr>
      <w:rPr>
        <w:rFonts w:hint="default"/>
      </w:rPr>
    </w:lvl>
  </w:abstractNum>
  <w:abstractNum w:abstractNumId="7">
    <w:nsid w:val="ACB639C8"/>
    <w:multiLevelType w:val="singleLevel"/>
    <w:tmpl w:val="ACB639C8"/>
    <w:lvl w:ilvl="0" w:tentative="0">
      <w:start w:val="1"/>
      <w:numFmt w:val="decimal"/>
      <w:lvlText w:val="%1)"/>
      <w:lvlJc w:val="left"/>
      <w:pPr>
        <w:ind w:left="1265" w:hanging="425"/>
      </w:pPr>
      <w:rPr>
        <w:rFonts w:hint="default"/>
      </w:rPr>
    </w:lvl>
  </w:abstractNum>
  <w:abstractNum w:abstractNumId="8">
    <w:nsid w:val="B13D7D5A"/>
    <w:multiLevelType w:val="multilevel"/>
    <w:tmpl w:val="B13D7D5A"/>
    <w:lvl w:ilvl="0" w:tentative="0">
      <w:start w:val="1"/>
      <w:numFmt w:val="decimal"/>
      <w:suff w:val="space"/>
      <w:lvlText w:val="7.4.%1"/>
      <w:lvlJc w:val="left"/>
      <w:pPr>
        <w:tabs>
          <w:tab w:val="left" w:pos="0"/>
        </w:tabs>
        <w:ind w:left="420" w:hanging="420"/>
      </w:pPr>
      <w:rPr>
        <w:rFonts w:hint="default" w:ascii="Times New Roman" w:hAnsi="Times New Roman" w:cs="Times New Roman"/>
        <w:b w:val="0"/>
        <w:color w:val="auto"/>
        <w:sz w:val="24"/>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B359FF0D"/>
    <w:multiLevelType w:val="singleLevel"/>
    <w:tmpl w:val="B359FF0D"/>
    <w:lvl w:ilvl="0" w:tentative="0">
      <w:start w:val="1"/>
      <w:numFmt w:val="decimalEnclosedCircleChinese"/>
      <w:suff w:val="nothing"/>
      <w:lvlText w:val="%1　"/>
      <w:lvlJc w:val="left"/>
      <w:pPr>
        <w:ind w:left="420" w:firstLine="400"/>
      </w:pPr>
      <w:rPr>
        <w:rFonts w:hint="eastAsia"/>
      </w:rPr>
    </w:lvl>
  </w:abstractNum>
  <w:abstractNum w:abstractNumId="10">
    <w:nsid w:val="B5E98E5D"/>
    <w:multiLevelType w:val="multilevel"/>
    <w:tmpl w:val="B5E98E5D"/>
    <w:lvl w:ilvl="0" w:tentative="0">
      <w:start w:val="1"/>
      <w:numFmt w:val="decimal"/>
      <w:suff w:val="space"/>
      <w:lvlText w:val="4.2.%1"/>
      <w:lvlJc w:val="left"/>
      <w:pPr>
        <w:tabs>
          <w:tab w:val="left" w:pos="0"/>
        </w:tabs>
        <w:ind w:left="840" w:firstLine="0"/>
      </w:pPr>
      <w:rPr>
        <w:rFonts w:hint="default" w:ascii="Times New Roman" w:hAnsi="Times New Roman" w:eastAsia="宋体" w:cs="Times New Roman"/>
        <w:b w:val="0"/>
        <w:color w:val="auto"/>
        <w:sz w:val="24"/>
        <w:szCs w:val="24"/>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1">
    <w:nsid w:val="BD7B9CFE"/>
    <w:multiLevelType w:val="multilevel"/>
    <w:tmpl w:val="BD7B9CFE"/>
    <w:lvl w:ilvl="0" w:tentative="0">
      <w:start w:val="1"/>
      <w:numFmt w:val="decimal"/>
      <w:suff w:val="nothing"/>
      <w:lvlText w:val="%1）"/>
      <w:lvlJc w:val="left"/>
      <w:pPr>
        <w:ind w:left="1620" w:hanging="360"/>
      </w:pPr>
      <w:rPr>
        <w:rFonts w:hint="default" w:ascii="宋体" w:hAnsi="宋体"/>
        <w:sz w:val="24"/>
      </w:rPr>
    </w:lvl>
    <w:lvl w:ilvl="1" w:tentative="0">
      <w:start w:val="1"/>
      <w:numFmt w:val="lowerLetter"/>
      <w:lvlText w:val="%2)"/>
      <w:lvlJc w:val="left"/>
      <w:pPr>
        <w:tabs>
          <w:tab w:val="left" w:pos="1260"/>
        </w:tabs>
        <w:ind w:left="2100" w:hanging="420"/>
      </w:pPr>
    </w:lvl>
    <w:lvl w:ilvl="2" w:tentative="0">
      <w:start w:val="1"/>
      <w:numFmt w:val="lowerRoman"/>
      <w:lvlText w:val="%3."/>
      <w:lvlJc w:val="right"/>
      <w:pPr>
        <w:tabs>
          <w:tab w:val="left" w:pos="1680"/>
        </w:tabs>
        <w:ind w:left="2520" w:hanging="420"/>
      </w:pPr>
    </w:lvl>
    <w:lvl w:ilvl="3" w:tentative="0">
      <w:start w:val="1"/>
      <w:numFmt w:val="decimal"/>
      <w:lvlText w:val="%4."/>
      <w:lvlJc w:val="left"/>
      <w:pPr>
        <w:tabs>
          <w:tab w:val="left" w:pos="2100"/>
        </w:tabs>
        <w:ind w:left="2940" w:hanging="420"/>
      </w:pPr>
    </w:lvl>
    <w:lvl w:ilvl="4" w:tentative="0">
      <w:start w:val="1"/>
      <w:numFmt w:val="lowerLetter"/>
      <w:lvlText w:val="%5)"/>
      <w:lvlJc w:val="left"/>
      <w:pPr>
        <w:tabs>
          <w:tab w:val="left" w:pos="2520"/>
        </w:tabs>
        <w:ind w:left="3360" w:hanging="420"/>
      </w:pPr>
    </w:lvl>
    <w:lvl w:ilvl="5" w:tentative="0">
      <w:start w:val="1"/>
      <w:numFmt w:val="lowerRoman"/>
      <w:lvlText w:val="%6."/>
      <w:lvlJc w:val="right"/>
      <w:pPr>
        <w:tabs>
          <w:tab w:val="left" w:pos="2940"/>
        </w:tabs>
        <w:ind w:left="3780" w:hanging="420"/>
      </w:pPr>
    </w:lvl>
    <w:lvl w:ilvl="6" w:tentative="0">
      <w:start w:val="1"/>
      <w:numFmt w:val="decimal"/>
      <w:lvlText w:val="%7."/>
      <w:lvlJc w:val="left"/>
      <w:pPr>
        <w:tabs>
          <w:tab w:val="left" w:pos="3360"/>
        </w:tabs>
        <w:ind w:left="4200" w:hanging="420"/>
      </w:pPr>
    </w:lvl>
    <w:lvl w:ilvl="7" w:tentative="0">
      <w:start w:val="1"/>
      <w:numFmt w:val="lowerLetter"/>
      <w:lvlText w:val="%8)"/>
      <w:lvlJc w:val="left"/>
      <w:pPr>
        <w:tabs>
          <w:tab w:val="left" w:pos="3780"/>
        </w:tabs>
        <w:ind w:left="4620" w:hanging="420"/>
      </w:pPr>
    </w:lvl>
    <w:lvl w:ilvl="8" w:tentative="0">
      <w:start w:val="1"/>
      <w:numFmt w:val="lowerRoman"/>
      <w:lvlText w:val="%9."/>
      <w:lvlJc w:val="right"/>
      <w:pPr>
        <w:tabs>
          <w:tab w:val="left" w:pos="4200"/>
        </w:tabs>
        <w:ind w:left="5040" w:hanging="420"/>
      </w:pPr>
    </w:lvl>
  </w:abstractNum>
  <w:abstractNum w:abstractNumId="12">
    <w:nsid w:val="BF3DD71E"/>
    <w:multiLevelType w:val="multilevel"/>
    <w:tmpl w:val="BF3DD71E"/>
    <w:lvl w:ilvl="0" w:tentative="0">
      <w:start w:val="1"/>
      <w:numFmt w:val="decimal"/>
      <w:lvlText w:val="7.%1"/>
      <w:lvlJc w:val="left"/>
      <w:pPr>
        <w:ind w:left="420" w:hanging="420"/>
      </w:pPr>
      <w:rPr>
        <w:rFonts w:hint="eastAsia"/>
      </w:rPr>
    </w:lvl>
    <w:lvl w:ilvl="1" w:tentative="0">
      <w:start w:val="1"/>
      <w:numFmt w:val="decimal"/>
      <w:suff w:val="space"/>
      <w:lvlText w:val="8.%2"/>
      <w:lvlJc w:val="left"/>
      <w:pPr>
        <w:tabs>
          <w:tab w:val="left" w:pos="0"/>
        </w:tabs>
        <w:ind w:left="0" w:firstLine="0"/>
      </w:pPr>
      <w:rPr>
        <w:rFonts w:hint="default" w:ascii="Times New Roman" w:hAnsi="Times New Roman" w:eastAsia="宋体" w:cs="Times New Roman"/>
        <w:sz w:val="24"/>
        <w:szCs w:val="24"/>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D42BE868"/>
    <w:multiLevelType w:val="singleLevel"/>
    <w:tmpl w:val="D42BE868"/>
    <w:lvl w:ilvl="0" w:tentative="0">
      <w:start w:val="1"/>
      <w:numFmt w:val="decimalEnclosedCircleChinese"/>
      <w:suff w:val="nothing"/>
      <w:lvlText w:val="%1　"/>
      <w:lvlJc w:val="left"/>
      <w:pPr>
        <w:ind w:left="420" w:firstLine="400"/>
      </w:pPr>
      <w:rPr>
        <w:rFonts w:hint="eastAsia"/>
      </w:rPr>
    </w:lvl>
  </w:abstractNum>
  <w:abstractNum w:abstractNumId="14">
    <w:nsid w:val="D95E226F"/>
    <w:multiLevelType w:val="singleLevel"/>
    <w:tmpl w:val="D95E226F"/>
    <w:lvl w:ilvl="0" w:tentative="0">
      <w:start w:val="1"/>
      <w:numFmt w:val="decimalEnclosedCircleChinese"/>
      <w:suff w:val="nothing"/>
      <w:lvlText w:val="%1　"/>
      <w:lvlJc w:val="left"/>
      <w:pPr>
        <w:ind w:left="420" w:firstLine="400"/>
      </w:pPr>
      <w:rPr>
        <w:rFonts w:hint="eastAsia"/>
      </w:rPr>
    </w:lvl>
  </w:abstractNum>
  <w:abstractNum w:abstractNumId="15">
    <w:nsid w:val="E4EAD5E4"/>
    <w:multiLevelType w:val="multilevel"/>
    <w:tmpl w:val="E4EAD5E4"/>
    <w:lvl w:ilvl="0" w:tentative="0">
      <w:start w:val="1"/>
      <w:numFmt w:val="decimal"/>
      <w:suff w:val="space"/>
      <w:lvlText w:val="9.1.%1"/>
      <w:lvlJc w:val="left"/>
      <w:pPr>
        <w:tabs>
          <w:tab w:val="left" w:pos="0"/>
        </w:tabs>
        <w:ind w:left="840" w:firstLine="0"/>
      </w:pPr>
      <w:rPr>
        <w:rFonts w:hint="default" w:ascii="Times New Roman" w:hAnsi="Times New Roman" w:eastAsia="宋体" w:cs="Times New Roman"/>
        <w:sz w:val="24"/>
        <w:szCs w:val="24"/>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6">
    <w:nsid w:val="E8081788"/>
    <w:multiLevelType w:val="singleLevel"/>
    <w:tmpl w:val="E8081788"/>
    <w:lvl w:ilvl="0" w:tentative="0">
      <w:start w:val="1"/>
      <w:numFmt w:val="decimal"/>
      <w:lvlText w:val="%1)"/>
      <w:lvlJc w:val="left"/>
      <w:pPr>
        <w:ind w:left="1265" w:hanging="425"/>
      </w:pPr>
      <w:rPr>
        <w:rFonts w:hint="default"/>
      </w:rPr>
    </w:lvl>
  </w:abstractNum>
  <w:abstractNum w:abstractNumId="17">
    <w:nsid w:val="F599A25B"/>
    <w:multiLevelType w:val="singleLevel"/>
    <w:tmpl w:val="F599A25B"/>
    <w:lvl w:ilvl="0" w:tentative="0">
      <w:start w:val="1"/>
      <w:numFmt w:val="decimalEnclosedCircleChinese"/>
      <w:suff w:val="nothing"/>
      <w:lvlText w:val="%1　"/>
      <w:lvlJc w:val="left"/>
      <w:pPr>
        <w:ind w:left="420" w:firstLine="400"/>
      </w:pPr>
      <w:rPr>
        <w:rFonts w:hint="eastAsia"/>
      </w:rPr>
    </w:lvl>
  </w:abstractNum>
  <w:abstractNum w:abstractNumId="18">
    <w:nsid w:val="F935BF2D"/>
    <w:multiLevelType w:val="singleLevel"/>
    <w:tmpl w:val="F935BF2D"/>
    <w:lvl w:ilvl="0" w:tentative="0">
      <w:start w:val="1"/>
      <w:numFmt w:val="decimalEnclosedCircleChinese"/>
      <w:suff w:val="nothing"/>
      <w:lvlText w:val="%1　"/>
      <w:lvlJc w:val="left"/>
      <w:pPr>
        <w:ind w:left="420" w:firstLine="400"/>
      </w:pPr>
      <w:rPr>
        <w:rFonts w:hint="eastAsia"/>
      </w:rPr>
    </w:lvl>
  </w:abstractNum>
  <w:abstractNum w:abstractNumId="19">
    <w:nsid w:val="F9605B83"/>
    <w:multiLevelType w:val="singleLevel"/>
    <w:tmpl w:val="F9605B83"/>
    <w:lvl w:ilvl="0" w:tentative="0">
      <w:start w:val="1"/>
      <w:numFmt w:val="decimalEnclosedCircleChinese"/>
      <w:suff w:val="nothing"/>
      <w:lvlText w:val="%1　"/>
      <w:lvlJc w:val="left"/>
      <w:pPr>
        <w:ind w:left="420" w:firstLine="400"/>
      </w:pPr>
      <w:rPr>
        <w:rFonts w:hint="eastAsia"/>
      </w:rPr>
    </w:lvl>
  </w:abstractNum>
  <w:abstractNum w:abstractNumId="20">
    <w:nsid w:val="F9D9F00B"/>
    <w:multiLevelType w:val="multilevel"/>
    <w:tmpl w:val="F9D9F00B"/>
    <w:lvl w:ilvl="0" w:tentative="0">
      <w:start w:val="1"/>
      <w:numFmt w:val="decimal"/>
      <w:lvlText w:val="8.%1"/>
      <w:lvlJc w:val="left"/>
      <w:pPr>
        <w:ind w:left="0" w:firstLine="0"/>
      </w:pPr>
      <w:rPr>
        <w:rFonts w:hint="eastAsia" w:ascii="宋体" w:hAnsi="宋体" w:eastAsia="宋体"/>
        <w:sz w:val="24"/>
        <w:szCs w:val="24"/>
      </w:rPr>
    </w:lvl>
    <w:lvl w:ilvl="1" w:tentative="0">
      <w:start w:val="1"/>
      <w:numFmt w:val="lowerLetter"/>
      <w:lvlText w:val="%2)"/>
      <w:lvlJc w:val="left"/>
      <w:pPr>
        <w:ind w:left="840" w:hanging="420"/>
      </w:pPr>
    </w:lvl>
    <w:lvl w:ilvl="2" w:tentative="0">
      <w:start w:val="1"/>
      <w:numFmt w:val="decimal"/>
      <w:lvlText w:val="9.%3"/>
      <w:lvlJc w:val="left"/>
      <w:pPr>
        <w:ind w:left="0" w:firstLine="0"/>
      </w:pPr>
      <w:rPr>
        <w:rFonts w:hint="default" w:ascii="Times New Roman" w:hAnsi="Times New Roman" w:eastAsia="宋体" w:cs="Times New Roman"/>
        <w:b w:val="0"/>
        <w:bCs w:val="0"/>
        <w:sz w:val="24"/>
        <w:szCs w:val="24"/>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0000002"/>
    <w:multiLevelType w:val="multilevel"/>
    <w:tmpl w:val="00000002"/>
    <w:lvl w:ilvl="0" w:tentative="0">
      <w:start w:val="1"/>
      <w:numFmt w:val="japaneseCounting"/>
      <w:lvlText w:val="第%1章"/>
      <w:lvlJc w:val="left"/>
      <w:pPr>
        <w:ind w:left="1275" w:hanging="1275"/>
      </w:pPr>
      <w:rPr>
        <w:rFonts w:hint="default"/>
      </w:rPr>
    </w:lvl>
    <w:lvl w:ilvl="1" w:tentative="0">
      <w:start w:val="1"/>
      <w:numFmt w:val="upperLetter"/>
      <w:lvlText w:val="%2、"/>
      <w:lvlJc w:val="left"/>
      <w:pPr>
        <w:ind w:left="420" w:firstLine="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00000005"/>
    <w:multiLevelType w:val="multilevel"/>
    <w:tmpl w:val="00000005"/>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00000006"/>
    <w:multiLevelType w:val="multilevel"/>
    <w:tmpl w:val="00000006"/>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0000000C"/>
    <w:multiLevelType w:val="singleLevel"/>
    <w:tmpl w:val="0000000C"/>
    <w:lvl w:ilvl="0" w:tentative="0">
      <w:start w:val="1"/>
      <w:numFmt w:val="decimal"/>
      <w:suff w:val="nothing"/>
      <w:lvlText w:val="%1）"/>
      <w:lvlJc w:val="left"/>
      <w:pPr>
        <w:ind w:left="840"/>
      </w:pPr>
    </w:lvl>
  </w:abstractNum>
  <w:abstractNum w:abstractNumId="25">
    <w:nsid w:val="062D26A6"/>
    <w:multiLevelType w:val="multilevel"/>
    <w:tmpl w:val="062D26A6"/>
    <w:lvl w:ilvl="0" w:tentative="0">
      <w:start w:val="1"/>
      <w:numFmt w:val="decimal"/>
      <w:suff w:val="space"/>
      <w:lvlText w:val="2.1.%1"/>
      <w:lvlJc w:val="left"/>
      <w:pPr>
        <w:ind w:left="0" w:firstLine="0"/>
      </w:pPr>
      <w:rPr>
        <w:rFonts w:hint="default" w:ascii="Times New Roman" w:hAnsi="Times New Roman" w:cs="Times New Roman"/>
        <w:b w:val="0"/>
        <w:color w:val="auto"/>
        <w:sz w:val="24"/>
        <w:szCs w:val="24"/>
      </w:rPr>
    </w:lvl>
    <w:lvl w:ilvl="1" w:tentative="0">
      <w:start w:val="1"/>
      <w:numFmt w:val="decimal"/>
      <w:lvlText w:val="%1.%2"/>
      <w:lvlJc w:val="left"/>
      <w:pPr>
        <w:ind w:left="0" w:firstLine="0"/>
      </w:pPr>
      <w:rPr>
        <w:rFonts w:hint="default" w:ascii="宋体" w:hAnsi="宋体" w:eastAsia="宋体"/>
        <w:color w:val="auto"/>
        <w:sz w:val="24"/>
        <w:szCs w:val="24"/>
      </w:rPr>
    </w:lvl>
    <w:lvl w:ilvl="2" w:tentative="0">
      <w:start w:val="1"/>
      <w:numFmt w:val="decimal"/>
      <w:lvlText w:val="2.1.1.%3"/>
      <w:lvlJc w:val="left"/>
      <w:pPr>
        <w:ind w:left="720" w:hanging="720"/>
      </w:pPr>
      <w:rPr>
        <w:rFonts w:hint="default" w:ascii="Times New Roman" w:hAnsi="Times New Roman" w:cs="Times New Roman"/>
        <w:b w:val="0"/>
        <w:color w:val="auto"/>
        <w:sz w:val="24"/>
        <w:szCs w:val="24"/>
      </w:rPr>
    </w:lvl>
    <w:lvl w:ilvl="3" w:tentative="0">
      <w:start w:val="1"/>
      <w:numFmt w:val="decimal"/>
      <w:lvlText w:val="1.%4、"/>
      <w:lvlJc w:val="left"/>
      <w:pPr>
        <w:ind w:left="720" w:hanging="720"/>
      </w:pPr>
      <w:rPr>
        <w:rFonts w:hint="eastAsia"/>
        <w:color w:val="000000"/>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26">
    <w:nsid w:val="0BF863D8"/>
    <w:multiLevelType w:val="multilevel"/>
    <w:tmpl w:val="0BF863D8"/>
    <w:lvl w:ilvl="0" w:tentative="0">
      <w:start w:val="1"/>
      <w:numFmt w:val="decimal"/>
      <w:lvlText w:val="14.%1"/>
      <w:lvlJc w:val="left"/>
      <w:pPr>
        <w:ind w:left="0" w:firstLine="0"/>
      </w:pPr>
      <w:rPr>
        <w:rFonts w:hint="eastAsia"/>
      </w:rPr>
    </w:lvl>
    <w:lvl w:ilvl="1" w:tentative="0">
      <w:start w:val="1"/>
      <w:numFmt w:val="lowerLetter"/>
      <w:lvlText w:val="%2)"/>
      <w:lvlJc w:val="left"/>
      <w:pPr>
        <w:ind w:left="840" w:hanging="420"/>
      </w:pPr>
    </w:lvl>
    <w:lvl w:ilvl="2" w:tentative="0">
      <w:start w:val="1"/>
      <w:numFmt w:val="decimal"/>
      <w:suff w:val="space"/>
      <w:lvlText w:val="14.%3"/>
      <w:lvlJc w:val="left"/>
      <w:pPr>
        <w:ind w:left="0" w:firstLine="0"/>
      </w:pPr>
      <w:rPr>
        <w:rFonts w:hint="default" w:ascii="Times New Roman" w:hAnsi="Times New Roman" w:cs="Times New Roman"/>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0C7BA360"/>
    <w:multiLevelType w:val="multilevel"/>
    <w:tmpl w:val="0C7BA360"/>
    <w:lvl w:ilvl="0" w:tentative="0">
      <w:start w:val="1"/>
      <w:numFmt w:val="decimal"/>
      <w:suff w:val="nothing"/>
      <w:lvlText w:val="7.%1"/>
      <w:lvlJc w:val="left"/>
      <w:pPr>
        <w:tabs>
          <w:tab w:val="left" w:pos="0"/>
        </w:tabs>
        <w:ind w:left="425" w:hanging="425"/>
      </w:pPr>
      <w:rPr>
        <w:rFonts w:hint="default"/>
        <w:b w:val="0"/>
        <w:bCs w:val="0"/>
      </w:rPr>
    </w:lvl>
    <w:lvl w:ilvl="1" w:tentative="0">
      <w:start w:val="1"/>
      <w:numFmt w:val="decimal"/>
      <w:lvlText w:val="%1.%2."/>
      <w:lvlJc w:val="left"/>
      <w:pPr>
        <w:ind w:left="850" w:hanging="453"/>
      </w:pPr>
      <w:rPr>
        <w:rFonts w:hint="default"/>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28">
    <w:nsid w:val="0D7161EB"/>
    <w:multiLevelType w:val="multilevel"/>
    <w:tmpl w:val="0D7161EB"/>
    <w:lvl w:ilvl="0" w:tentative="0">
      <w:start w:val="1"/>
      <w:numFmt w:val="decimal"/>
      <w:lvlText w:val="13.2.%1"/>
      <w:lvlJc w:val="left"/>
      <w:pPr>
        <w:ind w:left="420" w:hanging="420"/>
      </w:pPr>
      <w:rPr>
        <w:rFonts w:hint="eastAsia"/>
      </w:rPr>
    </w:lvl>
    <w:lvl w:ilvl="1" w:tentative="0">
      <w:start w:val="1"/>
      <w:numFmt w:val="decimal"/>
      <w:suff w:val="space"/>
      <w:lvlText w:val="13.2.%2"/>
      <w:lvlJc w:val="left"/>
      <w:pPr>
        <w:ind w:left="1050" w:firstLine="0"/>
      </w:pPr>
      <w:rPr>
        <w:rFonts w:hint="default" w:ascii="Times New Roman" w:hAnsi="Times New Roman" w:cs="Times New Roman"/>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159E7A23"/>
    <w:multiLevelType w:val="multilevel"/>
    <w:tmpl w:val="159E7A23"/>
    <w:lvl w:ilvl="0" w:tentative="0">
      <w:start w:val="4"/>
      <w:numFmt w:val="decimal"/>
      <w:lvlText w:val="%1"/>
      <w:lvlJc w:val="left"/>
      <w:pPr>
        <w:ind w:left="840" w:hanging="840"/>
      </w:pPr>
      <w:rPr>
        <w:rFonts w:hint="default"/>
      </w:rPr>
    </w:lvl>
    <w:lvl w:ilvl="1" w:tentative="0">
      <w:start w:val="2"/>
      <w:numFmt w:val="decimal"/>
      <w:lvlText w:val="%1.%2"/>
      <w:lvlJc w:val="left"/>
      <w:pPr>
        <w:ind w:left="1000" w:hanging="840"/>
      </w:pPr>
      <w:rPr>
        <w:rFonts w:hint="default"/>
      </w:rPr>
    </w:lvl>
    <w:lvl w:ilvl="2" w:tentative="0">
      <w:start w:val="2"/>
      <w:numFmt w:val="decimal"/>
      <w:lvlText w:val="%1.%2.%3"/>
      <w:lvlJc w:val="left"/>
      <w:pPr>
        <w:ind w:left="1160" w:hanging="840"/>
      </w:pPr>
      <w:rPr>
        <w:rFonts w:hint="default"/>
      </w:rPr>
    </w:lvl>
    <w:lvl w:ilvl="3" w:tentative="0">
      <w:start w:val="7"/>
      <w:numFmt w:val="decimal"/>
      <w:lvlText w:val="%1.%2.%3.%4"/>
      <w:lvlJc w:val="left"/>
      <w:pPr>
        <w:ind w:left="1560" w:hanging="1080"/>
      </w:pPr>
      <w:rPr>
        <w:rFonts w:hint="default"/>
      </w:rPr>
    </w:lvl>
    <w:lvl w:ilvl="4" w:tentative="0">
      <w:start w:val="1"/>
      <w:numFmt w:val="decimal"/>
      <w:lvlText w:val="%1.%2.%3.%4.%5"/>
      <w:lvlJc w:val="left"/>
      <w:pPr>
        <w:ind w:left="1720" w:hanging="1080"/>
      </w:pPr>
      <w:rPr>
        <w:rFonts w:hint="default"/>
      </w:rPr>
    </w:lvl>
    <w:lvl w:ilvl="5" w:tentative="0">
      <w:start w:val="1"/>
      <w:numFmt w:val="decimal"/>
      <w:lvlText w:val="%1.%2.%3.%4.%5.%6"/>
      <w:lvlJc w:val="left"/>
      <w:pPr>
        <w:ind w:left="2240" w:hanging="1440"/>
      </w:pPr>
      <w:rPr>
        <w:rFonts w:hint="default"/>
      </w:rPr>
    </w:lvl>
    <w:lvl w:ilvl="6" w:tentative="0">
      <w:start w:val="1"/>
      <w:numFmt w:val="decimal"/>
      <w:lvlText w:val="%1.%2.%3.%4.%5.%6.%7"/>
      <w:lvlJc w:val="left"/>
      <w:pPr>
        <w:ind w:left="2760" w:hanging="1800"/>
      </w:pPr>
      <w:rPr>
        <w:rFonts w:hint="default"/>
      </w:rPr>
    </w:lvl>
    <w:lvl w:ilvl="7" w:tentative="0">
      <w:start w:val="1"/>
      <w:numFmt w:val="decimal"/>
      <w:lvlText w:val="%1.%2.%3.%4.%5.%6.%7.%8"/>
      <w:lvlJc w:val="left"/>
      <w:pPr>
        <w:ind w:left="2920" w:hanging="1800"/>
      </w:pPr>
      <w:rPr>
        <w:rFonts w:hint="default"/>
      </w:rPr>
    </w:lvl>
    <w:lvl w:ilvl="8" w:tentative="0">
      <w:start w:val="1"/>
      <w:numFmt w:val="decimal"/>
      <w:lvlText w:val="%1.%2.%3.%4.%5.%6.%7.%8.%9"/>
      <w:lvlJc w:val="left"/>
      <w:pPr>
        <w:ind w:left="3440" w:hanging="2160"/>
      </w:pPr>
      <w:rPr>
        <w:rFonts w:hint="default"/>
      </w:rPr>
    </w:lvl>
  </w:abstractNum>
  <w:abstractNum w:abstractNumId="30">
    <w:nsid w:val="16EE7075"/>
    <w:multiLevelType w:val="multilevel"/>
    <w:tmpl w:val="16EE7075"/>
    <w:lvl w:ilvl="0" w:tentative="0">
      <w:start w:val="5"/>
      <w:numFmt w:val="decimal"/>
      <w:lvlText w:val="%1"/>
      <w:lvlJc w:val="left"/>
      <w:pPr>
        <w:ind w:left="600" w:hanging="600"/>
      </w:pPr>
      <w:rPr>
        <w:rFonts w:hint="default"/>
      </w:rPr>
    </w:lvl>
    <w:lvl w:ilvl="1" w:tentative="0">
      <w:start w:val="5"/>
      <w:numFmt w:val="decimal"/>
      <w:lvlText w:val="%1.%2"/>
      <w:lvlJc w:val="left"/>
      <w:pPr>
        <w:ind w:left="720" w:hanging="600"/>
      </w:pPr>
      <w:rPr>
        <w:rFonts w:hint="default"/>
      </w:rPr>
    </w:lvl>
    <w:lvl w:ilvl="2" w:tentative="0">
      <w:start w:val="3"/>
      <w:numFmt w:val="decimal"/>
      <w:lvlText w:val="%1.%2.%3"/>
      <w:lvlJc w:val="left"/>
      <w:pPr>
        <w:ind w:left="960" w:hanging="720"/>
      </w:pPr>
      <w:rPr>
        <w:rFonts w:hint="default"/>
      </w:rPr>
    </w:lvl>
    <w:lvl w:ilvl="3" w:tentative="0">
      <w:start w:val="1"/>
      <w:numFmt w:val="decimal"/>
      <w:lvlText w:val="%1.%2.%3.%4"/>
      <w:lvlJc w:val="left"/>
      <w:pPr>
        <w:ind w:left="1440" w:hanging="1080"/>
      </w:pPr>
      <w:rPr>
        <w:rFonts w:hint="default"/>
      </w:rPr>
    </w:lvl>
    <w:lvl w:ilvl="4" w:tentative="0">
      <w:start w:val="1"/>
      <w:numFmt w:val="decimal"/>
      <w:lvlText w:val="%1.%2.%3.%4.%5"/>
      <w:lvlJc w:val="left"/>
      <w:pPr>
        <w:ind w:left="1560" w:hanging="1080"/>
      </w:pPr>
      <w:rPr>
        <w:rFonts w:hint="default"/>
      </w:rPr>
    </w:lvl>
    <w:lvl w:ilvl="5" w:tentative="0">
      <w:start w:val="1"/>
      <w:numFmt w:val="decimal"/>
      <w:lvlText w:val="%1.%2.%3.%4.%5.%6"/>
      <w:lvlJc w:val="left"/>
      <w:pPr>
        <w:ind w:left="2040" w:hanging="1440"/>
      </w:pPr>
      <w:rPr>
        <w:rFonts w:hint="default"/>
      </w:rPr>
    </w:lvl>
    <w:lvl w:ilvl="6" w:tentative="0">
      <w:start w:val="1"/>
      <w:numFmt w:val="decimal"/>
      <w:lvlText w:val="%1.%2.%3.%4.%5.%6.%7"/>
      <w:lvlJc w:val="left"/>
      <w:pPr>
        <w:ind w:left="2520" w:hanging="1800"/>
      </w:pPr>
      <w:rPr>
        <w:rFonts w:hint="default"/>
      </w:rPr>
    </w:lvl>
    <w:lvl w:ilvl="7" w:tentative="0">
      <w:start w:val="1"/>
      <w:numFmt w:val="decimal"/>
      <w:lvlText w:val="%1.%2.%3.%4.%5.%6.%7.%8"/>
      <w:lvlJc w:val="left"/>
      <w:pPr>
        <w:ind w:left="2640" w:hanging="1800"/>
      </w:pPr>
      <w:rPr>
        <w:rFonts w:hint="default"/>
      </w:rPr>
    </w:lvl>
    <w:lvl w:ilvl="8" w:tentative="0">
      <w:start w:val="1"/>
      <w:numFmt w:val="decimal"/>
      <w:lvlText w:val="%1.%2.%3.%4.%5.%6.%7.%8.%9"/>
      <w:lvlJc w:val="left"/>
      <w:pPr>
        <w:ind w:left="3120" w:hanging="2160"/>
      </w:pPr>
      <w:rPr>
        <w:rFonts w:hint="default"/>
      </w:rPr>
    </w:lvl>
  </w:abstractNum>
  <w:abstractNum w:abstractNumId="31">
    <w:nsid w:val="177F2968"/>
    <w:multiLevelType w:val="singleLevel"/>
    <w:tmpl w:val="177F2968"/>
    <w:lvl w:ilvl="0" w:tentative="0">
      <w:start w:val="1"/>
      <w:numFmt w:val="decimalEnclosedCircleChinese"/>
      <w:suff w:val="nothing"/>
      <w:lvlText w:val="%1　"/>
      <w:lvlJc w:val="left"/>
      <w:pPr>
        <w:ind w:left="420" w:firstLine="400"/>
      </w:pPr>
      <w:rPr>
        <w:rFonts w:hint="eastAsia"/>
      </w:rPr>
    </w:lvl>
  </w:abstractNum>
  <w:abstractNum w:abstractNumId="32">
    <w:nsid w:val="1B534D86"/>
    <w:multiLevelType w:val="singleLevel"/>
    <w:tmpl w:val="1B534D86"/>
    <w:lvl w:ilvl="0" w:tentative="0">
      <w:start w:val="1"/>
      <w:numFmt w:val="chineseCounting"/>
      <w:suff w:val="nothing"/>
      <w:lvlText w:val="%1、"/>
      <w:lvlJc w:val="left"/>
      <w:pPr>
        <w:ind w:left="0" w:firstLine="0"/>
      </w:pPr>
    </w:lvl>
  </w:abstractNum>
  <w:abstractNum w:abstractNumId="33">
    <w:nsid w:val="1F42C51A"/>
    <w:multiLevelType w:val="singleLevel"/>
    <w:tmpl w:val="1F42C51A"/>
    <w:lvl w:ilvl="0" w:tentative="0">
      <w:start w:val="1"/>
      <w:numFmt w:val="decimal"/>
      <w:lvlText w:val="%1)"/>
      <w:lvlJc w:val="left"/>
      <w:pPr>
        <w:ind w:left="1265" w:hanging="425"/>
      </w:pPr>
      <w:rPr>
        <w:rFonts w:hint="default"/>
      </w:rPr>
    </w:lvl>
  </w:abstractNum>
  <w:abstractNum w:abstractNumId="34">
    <w:nsid w:val="1FBDE6E4"/>
    <w:multiLevelType w:val="singleLevel"/>
    <w:tmpl w:val="1FBDE6E4"/>
    <w:lvl w:ilvl="0" w:tentative="0">
      <w:start w:val="1"/>
      <w:numFmt w:val="decimal"/>
      <w:suff w:val="space"/>
      <w:lvlText w:val="%1）"/>
      <w:lvlJc w:val="left"/>
      <w:pPr>
        <w:ind w:left="840"/>
      </w:pPr>
    </w:lvl>
  </w:abstractNum>
  <w:abstractNum w:abstractNumId="35">
    <w:nsid w:val="20BE6A7E"/>
    <w:multiLevelType w:val="multilevel"/>
    <w:tmpl w:val="20BE6A7E"/>
    <w:lvl w:ilvl="0" w:tentative="0">
      <w:start w:val="1"/>
      <w:numFmt w:val="decimal"/>
      <w:suff w:val="space"/>
      <w:lvlText w:val="9.2.%1"/>
      <w:lvlJc w:val="left"/>
      <w:pPr>
        <w:tabs>
          <w:tab w:val="left" w:pos="0"/>
        </w:tabs>
        <w:ind w:left="420" w:firstLine="0"/>
      </w:pPr>
      <w:rPr>
        <w:rFonts w:hint="default" w:ascii="Times New Roman" w:hAnsi="Times New Roman" w:eastAsia="宋体" w:cs="Times New Roman"/>
        <w:sz w:val="24"/>
        <w:szCs w:val="24"/>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6">
    <w:nsid w:val="20FE7511"/>
    <w:multiLevelType w:val="singleLevel"/>
    <w:tmpl w:val="20FE7511"/>
    <w:lvl w:ilvl="0" w:tentative="0">
      <w:start w:val="1"/>
      <w:numFmt w:val="decimalEnclosedCircleChinese"/>
      <w:suff w:val="nothing"/>
      <w:lvlText w:val="%1　"/>
      <w:lvlJc w:val="left"/>
      <w:pPr>
        <w:ind w:left="1070" w:firstLine="400"/>
      </w:pPr>
      <w:rPr>
        <w:rFonts w:hint="eastAsia"/>
      </w:rPr>
    </w:lvl>
  </w:abstractNum>
  <w:abstractNum w:abstractNumId="37">
    <w:nsid w:val="21EBC68D"/>
    <w:multiLevelType w:val="singleLevel"/>
    <w:tmpl w:val="21EBC68D"/>
    <w:lvl w:ilvl="0" w:tentative="0">
      <w:start w:val="1"/>
      <w:numFmt w:val="decimalEnclosedCircleChinese"/>
      <w:suff w:val="nothing"/>
      <w:lvlText w:val="%1　"/>
      <w:lvlJc w:val="left"/>
      <w:pPr>
        <w:ind w:left="860" w:firstLine="400"/>
      </w:pPr>
      <w:rPr>
        <w:rFonts w:hint="eastAsia"/>
      </w:rPr>
    </w:lvl>
  </w:abstractNum>
  <w:abstractNum w:abstractNumId="38">
    <w:nsid w:val="220706CE"/>
    <w:multiLevelType w:val="singleLevel"/>
    <w:tmpl w:val="220706CE"/>
    <w:lvl w:ilvl="0" w:tentative="0">
      <w:start w:val="1"/>
      <w:numFmt w:val="decimalEnclosedCircleChinese"/>
      <w:suff w:val="nothing"/>
      <w:lvlText w:val="%1　"/>
      <w:lvlJc w:val="left"/>
      <w:pPr>
        <w:ind w:left="860" w:firstLine="400"/>
      </w:pPr>
      <w:rPr>
        <w:rFonts w:hint="eastAsia"/>
      </w:rPr>
    </w:lvl>
  </w:abstractNum>
  <w:abstractNum w:abstractNumId="39">
    <w:nsid w:val="37A7832A"/>
    <w:multiLevelType w:val="multilevel"/>
    <w:tmpl w:val="37A7832A"/>
    <w:lvl w:ilvl="0" w:tentative="0">
      <w:start w:val="1"/>
      <w:numFmt w:val="decimal"/>
      <w:suff w:val="nothing"/>
      <w:lvlText w:val="4.1.%1"/>
      <w:lvlJc w:val="left"/>
      <w:pPr>
        <w:ind w:left="1265" w:hanging="425"/>
      </w:pPr>
      <w:rPr>
        <w:rFonts w:hint="default" w:ascii="Times New Roman" w:hAnsi="Times New Roman" w:cs="Times New Roman"/>
      </w:rPr>
    </w:lvl>
    <w:lvl w:ilvl="1" w:tentative="0">
      <w:start w:val="1"/>
      <w:numFmt w:val="decimal"/>
      <w:lvlText w:val="%1.%2."/>
      <w:lvlJc w:val="left"/>
      <w:pPr>
        <w:ind w:left="1407" w:hanging="567"/>
      </w:pPr>
      <w:rPr>
        <w:rFonts w:hint="default"/>
      </w:rPr>
    </w:lvl>
    <w:lvl w:ilvl="2" w:tentative="0">
      <w:start w:val="1"/>
      <w:numFmt w:val="decimal"/>
      <w:lvlText w:val="%1.%2.%3."/>
      <w:lvlJc w:val="left"/>
      <w:pPr>
        <w:ind w:left="1549" w:hanging="709"/>
      </w:pPr>
      <w:rPr>
        <w:rFonts w:hint="default"/>
      </w:rPr>
    </w:lvl>
    <w:lvl w:ilvl="3" w:tentative="0">
      <w:start w:val="1"/>
      <w:numFmt w:val="decimal"/>
      <w:lvlText w:val="%1.%2.%3.%4."/>
      <w:lvlJc w:val="left"/>
      <w:pPr>
        <w:ind w:left="1690" w:hanging="850"/>
      </w:pPr>
      <w:rPr>
        <w:rFonts w:hint="default"/>
      </w:rPr>
    </w:lvl>
    <w:lvl w:ilvl="4" w:tentative="0">
      <w:start w:val="1"/>
      <w:numFmt w:val="decimal"/>
      <w:lvlText w:val="%1.%2.%3.%4.%5."/>
      <w:lvlJc w:val="left"/>
      <w:pPr>
        <w:ind w:left="1831" w:hanging="991"/>
      </w:pPr>
      <w:rPr>
        <w:rFonts w:hint="default"/>
      </w:rPr>
    </w:lvl>
    <w:lvl w:ilvl="5" w:tentative="0">
      <w:start w:val="1"/>
      <w:numFmt w:val="decimal"/>
      <w:lvlText w:val="%1.%2.%3.%4.%5.%6."/>
      <w:lvlJc w:val="left"/>
      <w:pPr>
        <w:ind w:left="1974" w:hanging="1134"/>
      </w:pPr>
      <w:rPr>
        <w:rFonts w:hint="default"/>
      </w:rPr>
    </w:lvl>
    <w:lvl w:ilvl="6" w:tentative="0">
      <w:start w:val="1"/>
      <w:numFmt w:val="decimal"/>
      <w:lvlText w:val="%1.%2.%3.%4.%5.%6.%7."/>
      <w:lvlJc w:val="left"/>
      <w:pPr>
        <w:ind w:left="2115" w:hanging="1275"/>
      </w:pPr>
      <w:rPr>
        <w:rFonts w:hint="default"/>
      </w:rPr>
    </w:lvl>
    <w:lvl w:ilvl="7" w:tentative="0">
      <w:start w:val="1"/>
      <w:numFmt w:val="decimal"/>
      <w:lvlText w:val="%1.%2.%3.%4.%5.%6.%7.%8."/>
      <w:lvlJc w:val="left"/>
      <w:pPr>
        <w:ind w:left="2258" w:hanging="1418"/>
      </w:pPr>
      <w:rPr>
        <w:rFonts w:hint="default"/>
      </w:rPr>
    </w:lvl>
    <w:lvl w:ilvl="8" w:tentative="0">
      <w:start w:val="1"/>
      <w:numFmt w:val="decimal"/>
      <w:lvlText w:val="%1.%2.%3.%4.%5.%6.%7.%8.%9."/>
      <w:lvlJc w:val="left"/>
      <w:pPr>
        <w:ind w:left="2398" w:hanging="1558"/>
      </w:pPr>
      <w:rPr>
        <w:rFonts w:hint="default"/>
      </w:rPr>
    </w:lvl>
  </w:abstractNum>
  <w:abstractNum w:abstractNumId="40">
    <w:nsid w:val="395F6EC5"/>
    <w:multiLevelType w:val="multilevel"/>
    <w:tmpl w:val="395F6EC5"/>
    <w:lvl w:ilvl="0" w:tentative="0">
      <w:start w:val="1"/>
      <w:numFmt w:val="decimal"/>
      <w:lvlText w:val="%1."/>
      <w:lvlJc w:val="left"/>
      <w:pPr>
        <w:ind w:left="425" w:hanging="425"/>
      </w:pPr>
      <w:rPr>
        <w:rFonts w:hint="default"/>
      </w:rPr>
    </w:lvl>
    <w:lvl w:ilvl="1" w:tentative="0">
      <w:start w:val="1"/>
      <w:numFmt w:val="decimal"/>
      <w:lvlText w:val="11.%2"/>
      <w:lvlJc w:val="left"/>
      <w:pPr>
        <w:ind w:left="850" w:hanging="453"/>
      </w:pPr>
      <w:rPr>
        <w:rFonts w:hint="default" w:ascii="Times New Roman" w:hAnsi="Times New Roman" w:cs="Times New Roman"/>
      </w:rPr>
    </w:lvl>
    <w:lvl w:ilvl="2" w:tentative="0">
      <w:start w:val="1"/>
      <w:numFmt w:val="decimal"/>
      <w:lvlText w:val="%1.%2.%3."/>
      <w:lvlJc w:val="left"/>
      <w:pPr>
        <w:ind w:left="1508" w:hanging="708"/>
      </w:pPr>
      <w:rPr>
        <w:rFonts w:hint="default"/>
      </w:rPr>
    </w:lvl>
    <w:lvl w:ilvl="3" w:tentative="0">
      <w:start w:val="1"/>
      <w:numFmt w:val="decimal"/>
      <w:lvlText w:val="%1.%2.%3.%4."/>
      <w:lvlJc w:val="left"/>
      <w:pPr>
        <w:ind w:left="2053" w:hanging="853"/>
      </w:pPr>
      <w:rPr>
        <w:rFonts w:hint="default"/>
      </w:rPr>
    </w:lvl>
    <w:lvl w:ilvl="4" w:tentative="0">
      <w:start w:val="1"/>
      <w:numFmt w:val="decimal"/>
      <w:lvlText w:val="%1.%2.%3.%4.%5."/>
      <w:lvlJc w:val="left"/>
      <w:pPr>
        <w:ind w:left="2495" w:hanging="895"/>
      </w:pPr>
      <w:rPr>
        <w:rFonts w:hint="default"/>
      </w:rPr>
    </w:lvl>
    <w:lvl w:ilvl="5" w:tentative="0">
      <w:start w:val="1"/>
      <w:numFmt w:val="decimal"/>
      <w:lvlText w:val="%1.%2.%3.%4.%5.%6."/>
      <w:lvlJc w:val="left"/>
      <w:pPr>
        <w:ind w:left="3136" w:hanging="1136"/>
      </w:pPr>
      <w:rPr>
        <w:rFonts w:hint="default"/>
      </w:rPr>
    </w:lvl>
    <w:lvl w:ilvl="6" w:tentative="0">
      <w:start w:val="1"/>
      <w:numFmt w:val="decimal"/>
      <w:lvlText w:val="%1.%2.%3.%4.%5.%6.%7."/>
      <w:lvlJc w:val="left"/>
      <w:pPr>
        <w:ind w:left="3673" w:hanging="1273"/>
      </w:pPr>
      <w:rPr>
        <w:rFonts w:hint="default"/>
      </w:rPr>
    </w:lvl>
    <w:lvl w:ilvl="7" w:tentative="0">
      <w:start w:val="1"/>
      <w:numFmt w:val="decimal"/>
      <w:lvlText w:val="%1.%2.%3.%4.%5.%6.%7.%8."/>
      <w:lvlJc w:val="left"/>
      <w:pPr>
        <w:ind w:left="4218" w:hanging="1418"/>
      </w:pPr>
      <w:rPr>
        <w:rFonts w:hint="default"/>
      </w:rPr>
    </w:lvl>
    <w:lvl w:ilvl="8" w:tentative="0">
      <w:start w:val="1"/>
      <w:numFmt w:val="decimal"/>
      <w:lvlText w:val="%1.%2.%3.%4.%5.%6.%7.%8.%9."/>
      <w:lvlJc w:val="left"/>
      <w:pPr>
        <w:ind w:left="4648" w:hanging="1448"/>
      </w:pPr>
      <w:rPr>
        <w:rFonts w:hint="default"/>
      </w:rPr>
    </w:lvl>
  </w:abstractNum>
  <w:abstractNum w:abstractNumId="41">
    <w:nsid w:val="3BD66F12"/>
    <w:multiLevelType w:val="singleLevel"/>
    <w:tmpl w:val="3BD66F12"/>
    <w:lvl w:ilvl="0" w:tentative="0">
      <w:start w:val="1"/>
      <w:numFmt w:val="decimalEnclosedCircleChinese"/>
      <w:suff w:val="nothing"/>
      <w:lvlText w:val="%1　"/>
      <w:lvlJc w:val="left"/>
      <w:pPr>
        <w:ind w:left="420" w:firstLine="400"/>
      </w:pPr>
      <w:rPr>
        <w:rFonts w:hint="eastAsia"/>
      </w:rPr>
    </w:lvl>
  </w:abstractNum>
  <w:abstractNum w:abstractNumId="42">
    <w:nsid w:val="3C776C9B"/>
    <w:multiLevelType w:val="multilevel"/>
    <w:tmpl w:val="3C776C9B"/>
    <w:lvl w:ilvl="0" w:tentative="0">
      <w:start w:val="1"/>
      <w:numFmt w:val="decimal"/>
      <w:lvlText w:val="12.1.%1"/>
      <w:lvlJc w:val="left"/>
      <w:pPr>
        <w:ind w:left="0" w:firstLine="0"/>
      </w:pPr>
      <w:rPr>
        <w:rFonts w:hint="eastAsia"/>
      </w:rPr>
    </w:lvl>
    <w:lvl w:ilvl="1" w:tentative="0">
      <w:start w:val="1"/>
      <w:numFmt w:val="decimal"/>
      <w:suff w:val="space"/>
      <w:lvlText w:val="12.1.%2"/>
      <w:lvlJc w:val="left"/>
      <w:pPr>
        <w:ind w:left="420" w:firstLine="0"/>
      </w:pPr>
      <w:rPr>
        <w:rFonts w:hint="default" w:ascii="Times New Roman" w:hAnsi="Times New Roman" w:cs="Times New Roman"/>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3">
    <w:nsid w:val="3D270398"/>
    <w:multiLevelType w:val="singleLevel"/>
    <w:tmpl w:val="3D270398"/>
    <w:lvl w:ilvl="0" w:tentative="0">
      <w:start w:val="1"/>
      <w:numFmt w:val="decimal"/>
      <w:lvlText w:val="%1)"/>
      <w:lvlJc w:val="left"/>
      <w:pPr>
        <w:ind w:left="1265" w:hanging="425"/>
      </w:pPr>
      <w:rPr>
        <w:rFonts w:hint="default"/>
      </w:rPr>
    </w:lvl>
  </w:abstractNum>
  <w:abstractNum w:abstractNumId="44">
    <w:nsid w:val="413D2A6D"/>
    <w:multiLevelType w:val="singleLevel"/>
    <w:tmpl w:val="413D2A6D"/>
    <w:lvl w:ilvl="0" w:tentative="0">
      <w:start w:val="1"/>
      <w:numFmt w:val="decimalEnclosedCircleChinese"/>
      <w:suff w:val="nothing"/>
      <w:lvlText w:val="%1　"/>
      <w:lvlJc w:val="left"/>
      <w:pPr>
        <w:ind w:left="420" w:firstLine="400"/>
      </w:pPr>
      <w:rPr>
        <w:rFonts w:hint="eastAsia"/>
      </w:rPr>
    </w:lvl>
  </w:abstractNum>
  <w:abstractNum w:abstractNumId="45">
    <w:nsid w:val="4157EDCF"/>
    <w:multiLevelType w:val="singleLevel"/>
    <w:tmpl w:val="4157EDCF"/>
    <w:lvl w:ilvl="0" w:tentative="0">
      <w:start w:val="1"/>
      <w:numFmt w:val="decimal"/>
      <w:suff w:val="nothing"/>
      <w:lvlText w:val="%1)"/>
      <w:lvlJc w:val="left"/>
      <w:pPr>
        <w:ind w:left="1265" w:hanging="425"/>
      </w:pPr>
      <w:rPr>
        <w:rFonts w:hint="default"/>
      </w:rPr>
    </w:lvl>
  </w:abstractNum>
  <w:abstractNum w:abstractNumId="46">
    <w:nsid w:val="46E0A069"/>
    <w:multiLevelType w:val="singleLevel"/>
    <w:tmpl w:val="46E0A069"/>
    <w:lvl w:ilvl="0" w:tentative="0">
      <w:start w:val="1"/>
      <w:numFmt w:val="decimalEnclosedCircleChinese"/>
      <w:suff w:val="nothing"/>
      <w:lvlText w:val="%1　"/>
      <w:lvlJc w:val="left"/>
      <w:pPr>
        <w:ind w:left="420" w:firstLine="400"/>
      </w:pPr>
      <w:rPr>
        <w:rFonts w:hint="eastAsia"/>
      </w:rPr>
    </w:lvl>
  </w:abstractNum>
  <w:abstractNum w:abstractNumId="47">
    <w:nsid w:val="490F85C2"/>
    <w:multiLevelType w:val="singleLevel"/>
    <w:tmpl w:val="490F85C2"/>
    <w:lvl w:ilvl="0" w:tentative="0">
      <w:start w:val="1"/>
      <w:numFmt w:val="decimal"/>
      <w:lvlText w:val="%1)"/>
      <w:lvlJc w:val="left"/>
      <w:pPr>
        <w:ind w:left="2105" w:hanging="425"/>
      </w:pPr>
      <w:rPr>
        <w:rFonts w:hint="default"/>
      </w:rPr>
    </w:lvl>
  </w:abstractNum>
  <w:abstractNum w:abstractNumId="48">
    <w:nsid w:val="49EFAC91"/>
    <w:multiLevelType w:val="singleLevel"/>
    <w:tmpl w:val="49EFAC91"/>
    <w:lvl w:ilvl="0" w:tentative="0">
      <w:start w:val="1"/>
      <w:numFmt w:val="decimal"/>
      <w:lvlText w:val="%1)"/>
      <w:lvlJc w:val="left"/>
      <w:pPr>
        <w:ind w:left="2105" w:hanging="425"/>
      </w:pPr>
      <w:rPr>
        <w:rFonts w:hint="default"/>
      </w:rPr>
    </w:lvl>
  </w:abstractNum>
  <w:abstractNum w:abstractNumId="49">
    <w:nsid w:val="4B2F017A"/>
    <w:multiLevelType w:val="multilevel"/>
    <w:tmpl w:val="4B2F017A"/>
    <w:lvl w:ilvl="0" w:tentative="0">
      <w:start w:val="1"/>
      <w:numFmt w:val="decimal"/>
      <w:lvlText w:val="13.1.%1"/>
      <w:lvlJc w:val="left"/>
      <w:pPr>
        <w:ind w:left="0" w:firstLine="0"/>
      </w:pPr>
      <w:rPr>
        <w:rFonts w:hint="eastAsia"/>
      </w:rPr>
    </w:lvl>
    <w:lvl w:ilvl="1" w:tentative="0">
      <w:start w:val="1"/>
      <w:numFmt w:val="decimal"/>
      <w:suff w:val="space"/>
      <w:lvlText w:val="13.1.%2"/>
      <w:lvlJc w:val="left"/>
      <w:pPr>
        <w:ind w:left="1050" w:firstLine="0"/>
      </w:pPr>
      <w:rPr>
        <w:rFonts w:hint="default" w:ascii="Times New Roman" w:hAnsi="Times New Roman" w:cs="Times New Roman"/>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4DFDD88B"/>
    <w:multiLevelType w:val="singleLevel"/>
    <w:tmpl w:val="4DFDD88B"/>
    <w:lvl w:ilvl="0" w:tentative="0">
      <w:start w:val="1"/>
      <w:numFmt w:val="decimalEnclosedCircleChinese"/>
      <w:suff w:val="nothing"/>
      <w:lvlText w:val="%1　"/>
      <w:lvlJc w:val="left"/>
      <w:pPr>
        <w:ind w:left="420" w:firstLine="400"/>
      </w:pPr>
      <w:rPr>
        <w:rFonts w:hint="eastAsia"/>
      </w:rPr>
    </w:lvl>
  </w:abstractNum>
  <w:abstractNum w:abstractNumId="51">
    <w:nsid w:val="4F361251"/>
    <w:multiLevelType w:val="multilevel"/>
    <w:tmpl w:val="4F36125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2">
    <w:nsid w:val="53877D41"/>
    <w:multiLevelType w:val="singleLevel"/>
    <w:tmpl w:val="53877D41"/>
    <w:lvl w:ilvl="0" w:tentative="0">
      <w:start w:val="1"/>
      <w:numFmt w:val="decimalEnclosedCircleChinese"/>
      <w:suff w:val="nothing"/>
      <w:lvlText w:val="%1　"/>
      <w:lvlJc w:val="left"/>
      <w:pPr>
        <w:ind w:left="420" w:firstLine="400"/>
      </w:pPr>
      <w:rPr>
        <w:rFonts w:hint="eastAsia"/>
      </w:rPr>
    </w:lvl>
  </w:abstractNum>
  <w:abstractNum w:abstractNumId="53">
    <w:nsid w:val="5685C945"/>
    <w:multiLevelType w:val="singleLevel"/>
    <w:tmpl w:val="5685C945"/>
    <w:lvl w:ilvl="0" w:tentative="0">
      <w:start w:val="1"/>
      <w:numFmt w:val="decimalEnclosedCircleChinese"/>
      <w:suff w:val="nothing"/>
      <w:lvlText w:val="%1　"/>
      <w:lvlJc w:val="left"/>
      <w:pPr>
        <w:ind w:left="-480" w:firstLine="400"/>
      </w:pPr>
      <w:rPr>
        <w:rFonts w:hint="eastAsia"/>
      </w:rPr>
    </w:lvl>
  </w:abstractNum>
  <w:abstractNum w:abstractNumId="54">
    <w:nsid w:val="5A9D20D4"/>
    <w:multiLevelType w:val="multilevel"/>
    <w:tmpl w:val="5A9D20D4"/>
    <w:lvl w:ilvl="0" w:tentative="0">
      <w:start w:val="1"/>
      <w:numFmt w:val="decimal"/>
      <w:suff w:val="space"/>
      <w:lvlText w:val="7.5.%1"/>
      <w:lvlJc w:val="left"/>
      <w:pPr>
        <w:tabs>
          <w:tab w:val="left" w:pos="0"/>
        </w:tabs>
        <w:ind w:left="0" w:firstLine="0"/>
      </w:pPr>
      <w:rPr>
        <w:rFonts w:hint="default" w:ascii="Times New Roman" w:hAnsi="Times New Roman" w:eastAsia="宋体" w:cs="宋体"/>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5">
    <w:nsid w:val="5E2F1057"/>
    <w:multiLevelType w:val="multilevel"/>
    <w:tmpl w:val="5E2F1057"/>
    <w:lvl w:ilvl="0" w:tentative="0">
      <w:start w:val="4"/>
      <w:numFmt w:val="decimal"/>
      <w:lvlText w:val="%1"/>
      <w:lvlJc w:val="left"/>
      <w:pPr>
        <w:ind w:left="960" w:hanging="960"/>
      </w:pPr>
      <w:rPr>
        <w:rFonts w:hint="default"/>
      </w:rPr>
    </w:lvl>
    <w:lvl w:ilvl="1" w:tentative="0">
      <w:start w:val="2"/>
      <w:numFmt w:val="decimal"/>
      <w:lvlText w:val="%1.%2"/>
      <w:lvlJc w:val="left"/>
      <w:pPr>
        <w:ind w:left="1120" w:hanging="960"/>
      </w:pPr>
      <w:rPr>
        <w:rFonts w:hint="default"/>
      </w:rPr>
    </w:lvl>
    <w:lvl w:ilvl="2" w:tentative="0">
      <w:start w:val="2"/>
      <w:numFmt w:val="decimal"/>
      <w:lvlText w:val="%1.%2.%3"/>
      <w:lvlJc w:val="left"/>
      <w:pPr>
        <w:ind w:left="1280" w:hanging="960"/>
      </w:pPr>
      <w:rPr>
        <w:rFonts w:hint="default"/>
      </w:rPr>
    </w:lvl>
    <w:lvl w:ilvl="3" w:tentative="0">
      <w:start w:val="16"/>
      <w:numFmt w:val="decimal"/>
      <w:lvlText w:val="%1.%2.%3.%4"/>
      <w:lvlJc w:val="left"/>
      <w:pPr>
        <w:ind w:left="1560" w:hanging="1080"/>
      </w:pPr>
      <w:rPr>
        <w:rFonts w:hint="default"/>
      </w:rPr>
    </w:lvl>
    <w:lvl w:ilvl="4" w:tentative="0">
      <w:start w:val="1"/>
      <w:numFmt w:val="decimal"/>
      <w:lvlText w:val="%1.%2.%3.%4.%5"/>
      <w:lvlJc w:val="left"/>
      <w:pPr>
        <w:ind w:left="1720" w:hanging="1080"/>
      </w:pPr>
      <w:rPr>
        <w:rFonts w:hint="default"/>
      </w:rPr>
    </w:lvl>
    <w:lvl w:ilvl="5" w:tentative="0">
      <w:start w:val="1"/>
      <w:numFmt w:val="decimal"/>
      <w:lvlText w:val="%1.%2.%3.%4.%5.%6"/>
      <w:lvlJc w:val="left"/>
      <w:pPr>
        <w:ind w:left="2240" w:hanging="1440"/>
      </w:pPr>
      <w:rPr>
        <w:rFonts w:hint="default"/>
      </w:rPr>
    </w:lvl>
    <w:lvl w:ilvl="6" w:tentative="0">
      <w:start w:val="1"/>
      <w:numFmt w:val="decimal"/>
      <w:lvlText w:val="%1.%2.%3.%4.%5.%6.%7"/>
      <w:lvlJc w:val="left"/>
      <w:pPr>
        <w:ind w:left="2760" w:hanging="1800"/>
      </w:pPr>
      <w:rPr>
        <w:rFonts w:hint="default"/>
      </w:rPr>
    </w:lvl>
    <w:lvl w:ilvl="7" w:tentative="0">
      <w:start w:val="1"/>
      <w:numFmt w:val="decimal"/>
      <w:lvlText w:val="%1.%2.%3.%4.%5.%6.%7.%8"/>
      <w:lvlJc w:val="left"/>
      <w:pPr>
        <w:ind w:left="2920" w:hanging="1800"/>
      </w:pPr>
      <w:rPr>
        <w:rFonts w:hint="default"/>
      </w:rPr>
    </w:lvl>
    <w:lvl w:ilvl="8" w:tentative="0">
      <w:start w:val="1"/>
      <w:numFmt w:val="decimal"/>
      <w:lvlText w:val="%1.%2.%3.%4.%5.%6.%7.%8.%9"/>
      <w:lvlJc w:val="left"/>
      <w:pPr>
        <w:ind w:left="3440" w:hanging="2160"/>
      </w:pPr>
      <w:rPr>
        <w:rFonts w:hint="default"/>
      </w:rPr>
    </w:lvl>
  </w:abstractNum>
  <w:abstractNum w:abstractNumId="56">
    <w:nsid w:val="60B26066"/>
    <w:multiLevelType w:val="multilevel"/>
    <w:tmpl w:val="60B26066"/>
    <w:lvl w:ilvl="0" w:tentative="0">
      <w:start w:val="1"/>
      <w:numFmt w:val="decimal"/>
      <w:lvlText w:val="17.1.%1"/>
      <w:lvlJc w:val="left"/>
      <w:pPr>
        <w:ind w:left="840" w:hanging="420"/>
      </w:pPr>
      <w:rPr>
        <w:rFonts w:hint="eastAsia" w:ascii="宋体" w:hAnsi="宋体" w:eastAsia="宋体" w:cs="宋体"/>
      </w:rPr>
    </w:lvl>
    <w:lvl w:ilvl="1" w:tentative="0">
      <w:start w:val="1"/>
      <w:numFmt w:val="lowerLetter"/>
      <w:lvlText w:val="%2)"/>
      <w:lvlJc w:val="left"/>
      <w:pPr>
        <w:ind w:left="1260" w:hanging="420"/>
      </w:pPr>
      <w:rPr>
        <w:rFonts w:cs="Times New Roman"/>
      </w:rPr>
    </w:lvl>
    <w:lvl w:ilvl="2" w:tentative="0">
      <w:start w:val="1"/>
      <w:numFmt w:val="lowerRoman"/>
      <w:lvlText w:val="%3."/>
      <w:lvlJc w:val="right"/>
      <w:pPr>
        <w:ind w:left="1680" w:hanging="420"/>
      </w:pPr>
      <w:rPr>
        <w:rFonts w:cs="Times New Roman"/>
      </w:rPr>
    </w:lvl>
    <w:lvl w:ilvl="3" w:tentative="0">
      <w:start w:val="1"/>
      <w:numFmt w:val="decimal"/>
      <w:lvlText w:val="%4."/>
      <w:lvlJc w:val="left"/>
      <w:pPr>
        <w:ind w:left="2100" w:hanging="420"/>
      </w:pPr>
      <w:rPr>
        <w:rFonts w:cs="Times New Roman"/>
      </w:rPr>
    </w:lvl>
    <w:lvl w:ilvl="4" w:tentative="0">
      <w:start w:val="1"/>
      <w:numFmt w:val="lowerLetter"/>
      <w:lvlText w:val="%5)"/>
      <w:lvlJc w:val="left"/>
      <w:pPr>
        <w:ind w:left="2520" w:hanging="420"/>
      </w:pPr>
      <w:rPr>
        <w:rFonts w:cs="Times New Roman"/>
      </w:rPr>
    </w:lvl>
    <w:lvl w:ilvl="5" w:tentative="0">
      <w:start w:val="1"/>
      <w:numFmt w:val="lowerRoman"/>
      <w:lvlText w:val="%6."/>
      <w:lvlJc w:val="right"/>
      <w:pPr>
        <w:ind w:left="2940" w:hanging="420"/>
      </w:pPr>
      <w:rPr>
        <w:rFonts w:cs="Times New Roman"/>
      </w:rPr>
    </w:lvl>
    <w:lvl w:ilvl="6" w:tentative="0">
      <w:start w:val="1"/>
      <w:numFmt w:val="decimal"/>
      <w:lvlText w:val="%7."/>
      <w:lvlJc w:val="left"/>
      <w:pPr>
        <w:ind w:left="3360" w:hanging="420"/>
      </w:pPr>
      <w:rPr>
        <w:rFonts w:cs="Times New Roman"/>
      </w:rPr>
    </w:lvl>
    <w:lvl w:ilvl="7" w:tentative="0">
      <w:start w:val="1"/>
      <w:numFmt w:val="lowerLetter"/>
      <w:lvlText w:val="%8)"/>
      <w:lvlJc w:val="left"/>
      <w:pPr>
        <w:ind w:left="3780" w:hanging="420"/>
      </w:pPr>
      <w:rPr>
        <w:rFonts w:cs="Times New Roman"/>
      </w:rPr>
    </w:lvl>
    <w:lvl w:ilvl="8" w:tentative="0">
      <w:start w:val="1"/>
      <w:numFmt w:val="lowerRoman"/>
      <w:lvlText w:val="%9."/>
      <w:lvlJc w:val="right"/>
      <w:pPr>
        <w:ind w:left="4200" w:hanging="420"/>
      </w:pPr>
      <w:rPr>
        <w:rFonts w:cs="Times New Roman"/>
      </w:rPr>
    </w:lvl>
  </w:abstractNum>
  <w:abstractNum w:abstractNumId="57">
    <w:nsid w:val="634A94F8"/>
    <w:multiLevelType w:val="singleLevel"/>
    <w:tmpl w:val="634A94F8"/>
    <w:lvl w:ilvl="0" w:tentative="0">
      <w:start w:val="1"/>
      <w:numFmt w:val="decimalEnclosedCircleChinese"/>
      <w:suff w:val="nothing"/>
      <w:lvlText w:val="%1　"/>
      <w:lvlJc w:val="left"/>
      <w:pPr>
        <w:ind w:left="420" w:firstLine="400"/>
      </w:pPr>
      <w:rPr>
        <w:rFonts w:hint="eastAsia"/>
      </w:rPr>
    </w:lvl>
  </w:abstractNum>
  <w:abstractNum w:abstractNumId="58">
    <w:nsid w:val="635A4F7E"/>
    <w:multiLevelType w:val="singleLevel"/>
    <w:tmpl w:val="635A4F7E"/>
    <w:lvl w:ilvl="0" w:tentative="0">
      <w:start w:val="1"/>
      <w:numFmt w:val="decimalEnclosedCircleChinese"/>
      <w:suff w:val="nothing"/>
      <w:lvlText w:val="%1　"/>
      <w:lvlJc w:val="left"/>
      <w:pPr>
        <w:ind w:left="420" w:firstLine="400"/>
      </w:pPr>
      <w:rPr>
        <w:rFonts w:hint="eastAsia"/>
      </w:rPr>
    </w:lvl>
  </w:abstractNum>
  <w:abstractNum w:abstractNumId="59">
    <w:nsid w:val="67129E59"/>
    <w:multiLevelType w:val="singleLevel"/>
    <w:tmpl w:val="67129E59"/>
    <w:lvl w:ilvl="0" w:tentative="0">
      <w:start w:val="1"/>
      <w:numFmt w:val="decimalEnclosedCircleChinese"/>
      <w:suff w:val="nothing"/>
      <w:lvlText w:val="%1　"/>
      <w:lvlJc w:val="left"/>
      <w:pPr>
        <w:ind w:left="420" w:firstLine="400"/>
      </w:pPr>
      <w:rPr>
        <w:rFonts w:hint="eastAsia"/>
      </w:rPr>
    </w:lvl>
  </w:abstractNum>
  <w:abstractNum w:abstractNumId="60">
    <w:nsid w:val="68A358BF"/>
    <w:multiLevelType w:val="singleLevel"/>
    <w:tmpl w:val="68A358BF"/>
    <w:lvl w:ilvl="0" w:tentative="0">
      <w:start w:val="1"/>
      <w:numFmt w:val="decimalEnclosedCircleChinese"/>
      <w:suff w:val="nothing"/>
      <w:lvlText w:val="%1　"/>
      <w:lvlJc w:val="left"/>
      <w:pPr>
        <w:ind w:left="420" w:firstLine="400"/>
      </w:pPr>
      <w:rPr>
        <w:rFonts w:hint="eastAsia"/>
      </w:rPr>
    </w:lvl>
  </w:abstractNum>
  <w:abstractNum w:abstractNumId="61">
    <w:nsid w:val="697A407F"/>
    <w:multiLevelType w:val="multilevel"/>
    <w:tmpl w:val="697A407F"/>
    <w:lvl w:ilvl="0" w:tentative="0">
      <w:start w:val="1"/>
      <w:numFmt w:val="decimal"/>
      <w:lvlText w:val="13.%1"/>
      <w:lvlJc w:val="left"/>
      <w:pPr>
        <w:ind w:left="420" w:hanging="420"/>
      </w:pPr>
      <w:rPr>
        <w:rFonts w:hint="eastAsia"/>
      </w:rPr>
    </w:lvl>
    <w:lvl w:ilvl="1" w:tentative="0">
      <w:start w:val="1"/>
      <w:numFmt w:val="lowerLetter"/>
      <w:lvlText w:val="%2)"/>
      <w:lvlJc w:val="left"/>
      <w:pPr>
        <w:ind w:left="840" w:hanging="420"/>
      </w:pPr>
    </w:lvl>
    <w:lvl w:ilvl="2" w:tentative="0">
      <w:start w:val="1"/>
      <w:numFmt w:val="decimal"/>
      <w:suff w:val="space"/>
      <w:lvlText w:val="13.%3"/>
      <w:lvlJc w:val="left"/>
      <w:pPr>
        <w:ind w:left="0" w:firstLine="0"/>
      </w:pPr>
      <w:rPr>
        <w:rFonts w:hint="default" w:ascii="Times New Roman" w:hAnsi="Times New Roman" w:cs="Times New Roman"/>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2">
    <w:nsid w:val="6ADB283E"/>
    <w:multiLevelType w:val="multilevel"/>
    <w:tmpl w:val="6ADB283E"/>
    <w:lvl w:ilvl="0" w:tentative="0">
      <w:start w:val="1"/>
      <w:numFmt w:val="decimal"/>
      <w:lvlText w:val="%1）"/>
      <w:lvlJc w:val="left"/>
      <w:pPr>
        <w:tabs>
          <w:tab w:val="left" w:pos="720"/>
        </w:tabs>
        <w:ind w:left="720" w:hanging="360"/>
      </w:pPr>
      <w:rPr>
        <w:rFonts w:hint="eastAsia" w:cs="Times New Roman"/>
      </w:rPr>
    </w:lvl>
    <w:lvl w:ilvl="1" w:tentative="0">
      <w:start w:val="1"/>
      <w:numFmt w:val="lowerLetter"/>
      <w:lvlText w:val="%2."/>
      <w:lvlJc w:val="left"/>
      <w:pPr>
        <w:tabs>
          <w:tab w:val="left" w:pos="1440"/>
        </w:tabs>
        <w:ind w:left="1440" w:hanging="360"/>
      </w:pPr>
      <w:rPr>
        <w:rFonts w:cs="Times New Roman"/>
      </w:rPr>
    </w:lvl>
    <w:lvl w:ilvl="2" w:tentative="0">
      <w:start w:val="1"/>
      <w:numFmt w:val="lowerRoman"/>
      <w:lvlText w:val="%3."/>
      <w:lvlJc w:val="right"/>
      <w:pPr>
        <w:tabs>
          <w:tab w:val="left" w:pos="2160"/>
        </w:tabs>
        <w:ind w:left="2160" w:hanging="180"/>
      </w:pPr>
      <w:rPr>
        <w:rFonts w:cs="Times New Roman"/>
      </w:rPr>
    </w:lvl>
    <w:lvl w:ilvl="3" w:tentative="0">
      <w:start w:val="1"/>
      <w:numFmt w:val="decimal"/>
      <w:lvlText w:val="%4."/>
      <w:lvlJc w:val="left"/>
      <w:pPr>
        <w:tabs>
          <w:tab w:val="left" w:pos="2880"/>
        </w:tabs>
        <w:ind w:left="2880" w:hanging="360"/>
      </w:pPr>
      <w:rPr>
        <w:rFonts w:cs="Times New Roman"/>
      </w:rPr>
    </w:lvl>
    <w:lvl w:ilvl="4" w:tentative="0">
      <w:start w:val="1"/>
      <w:numFmt w:val="lowerLetter"/>
      <w:lvlText w:val="%5."/>
      <w:lvlJc w:val="left"/>
      <w:pPr>
        <w:tabs>
          <w:tab w:val="left" w:pos="3600"/>
        </w:tabs>
        <w:ind w:left="3600" w:hanging="360"/>
      </w:pPr>
      <w:rPr>
        <w:rFonts w:cs="Times New Roman"/>
      </w:rPr>
    </w:lvl>
    <w:lvl w:ilvl="5" w:tentative="0">
      <w:start w:val="1"/>
      <w:numFmt w:val="lowerRoman"/>
      <w:lvlText w:val="%6."/>
      <w:lvlJc w:val="right"/>
      <w:pPr>
        <w:tabs>
          <w:tab w:val="left" w:pos="4320"/>
        </w:tabs>
        <w:ind w:left="4320" w:hanging="180"/>
      </w:pPr>
      <w:rPr>
        <w:rFonts w:cs="Times New Roman"/>
      </w:rPr>
    </w:lvl>
    <w:lvl w:ilvl="6" w:tentative="0">
      <w:start w:val="1"/>
      <w:numFmt w:val="decimal"/>
      <w:lvlText w:val="%7."/>
      <w:lvlJc w:val="left"/>
      <w:pPr>
        <w:tabs>
          <w:tab w:val="left" w:pos="5040"/>
        </w:tabs>
        <w:ind w:left="5040" w:hanging="360"/>
      </w:pPr>
      <w:rPr>
        <w:rFonts w:cs="Times New Roman"/>
      </w:rPr>
    </w:lvl>
    <w:lvl w:ilvl="7" w:tentative="0">
      <w:start w:val="1"/>
      <w:numFmt w:val="lowerLetter"/>
      <w:lvlText w:val="%8."/>
      <w:lvlJc w:val="left"/>
      <w:pPr>
        <w:tabs>
          <w:tab w:val="left" w:pos="5760"/>
        </w:tabs>
        <w:ind w:left="5760" w:hanging="360"/>
      </w:pPr>
      <w:rPr>
        <w:rFonts w:cs="Times New Roman"/>
      </w:rPr>
    </w:lvl>
    <w:lvl w:ilvl="8" w:tentative="0">
      <w:start w:val="1"/>
      <w:numFmt w:val="lowerRoman"/>
      <w:lvlText w:val="%9."/>
      <w:lvlJc w:val="right"/>
      <w:pPr>
        <w:tabs>
          <w:tab w:val="left" w:pos="6480"/>
        </w:tabs>
        <w:ind w:left="6480" w:hanging="180"/>
      </w:pPr>
      <w:rPr>
        <w:rFonts w:cs="Times New Roman"/>
      </w:rPr>
    </w:lvl>
  </w:abstractNum>
  <w:abstractNum w:abstractNumId="63">
    <w:nsid w:val="6AF4F56D"/>
    <w:multiLevelType w:val="multilevel"/>
    <w:tmpl w:val="6AF4F56D"/>
    <w:lvl w:ilvl="0" w:tentative="0">
      <w:start w:val="1"/>
      <w:numFmt w:val="decimal"/>
      <w:suff w:val="space"/>
      <w:lvlText w:val="7.3.%1"/>
      <w:lvlJc w:val="left"/>
      <w:pPr>
        <w:tabs>
          <w:tab w:val="left" w:pos="0"/>
        </w:tabs>
        <w:ind w:left="0" w:firstLine="0"/>
      </w:pPr>
      <w:rPr>
        <w:rFonts w:hint="default" w:ascii="Times New Roman" w:hAnsi="Times New Roman" w:cs="Times New Roman"/>
        <w:b w:val="0"/>
        <w:color w:val="auto"/>
        <w:sz w:val="24"/>
        <w:szCs w:val="24"/>
      </w:rPr>
    </w:lvl>
    <w:lvl w:ilvl="1" w:tentative="0">
      <w:start w:val="1"/>
      <w:numFmt w:val="decimal"/>
      <w:lvlText w:val="%1.%2"/>
      <w:lvlJc w:val="left"/>
      <w:pPr>
        <w:ind w:left="0" w:firstLine="0"/>
      </w:pPr>
      <w:rPr>
        <w:rFonts w:hint="default" w:ascii="宋体" w:hAnsi="宋体" w:eastAsia="宋体"/>
        <w:color w:val="auto"/>
        <w:sz w:val="24"/>
        <w:szCs w:val="24"/>
      </w:rPr>
    </w:lvl>
    <w:lvl w:ilvl="2" w:tentative="0">
      <w:start w:val="1"/>
      <w:numFmt w:val="decimal"/>
      <w:lvlText w:val="2.1.1.%3"/>
      <w:lvlJc w:val="left"/>
      <w:pPr>
        <w:ind w:left="720" w:hanging="720"/>
      </w:pPr>
      <w:rPr>
        <w:rFonts w:hint="default" w:ascii="Times New Roman" w:hAnsi="Times New Roman" w:cs="Times New Roman"/>
        <w:b w:val="0"/>
        <w:color w:val="auto"/>
        <w:sz w:val="24"/>
        <w:szCs w:val="24"/>
      </w:rPr>
    </w:lvl>
    <w:lvl w:ilvl="3" w:tentative="0">
      <w:start w:val="1"/>
      <w:numFmt w:val="decimal"/>
      <w:lvlText w:val="1.%4、"/>
      <w:lvlJc w:val="left"/>
      <w:pPr>
        <w:ind w:left="720" w:hanging="720"/>
      </w:pPr>
      <w:rPr>
        <w:rFonts w:hint="eastAsia"/>
        <w:color w:val="000000"/>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080" w:hanging="1080"/>
      </w:pPr>
      <w:rPr>
        <w:rFonts w:hint="default"/>
      </w:rPr>
    </w:lvl>
    <w:lvl w:ilvl="6" w:tentative="0">
      <w:start w:val="1"/>
      <w:numFmt w:val="decimal"/>
      <w:lvlText w:val="%1.%2.%3.%4.%5.%6.%7"/>
      <w:lvlJc w:val="left"/>
      <w:pPr>
        <w:ind w:left="1440" w:hanging="1440"/>
      </w:pPr>
      <w:rPr>
        <w:rFonts w:hint="default"/>
      </w:rPr>
    </w:lvl>
    <w:lvl w:ilvl="7" w:tentative="0">
      <w:start w:val="1"/>
      <w:numFmt w:val="decimal"/>
      <w:lvlText w:val="%1.%2.%3.%4.%5.%6.%7.%8"/>
      <w:lvlJc w:val="left"/>
      <w:pPr>
        <w:ind w:left="1440" w:hanging="1440"/>
      </w:pPr>
      <w:rPr>
        <w:rFonts w:hint="default"/>
      </w:rPr>
    </w:lvl>
    <w:lvl w:ilvl="8" w:tentative="0">
      <w:start w:val="1"/>
      <w:numFmt w:val="decimal"/>
      <w:lvlText w:val="%1.%2.%3.%4.%5.%6.%7.%8.%9"/>
      <w:lvlJc w:val="left"/>
      <w:pPr>
        <w:ind w:left="1800" w:hanging="1800"/>
      </w:pPr>
      <w:rPr>
        <w:rFonts w:hint="default"/>
      </w:rPr>
    </w:lvl>
  </w:abstractNum>
  <w:abstractNum w:abstractNumId="64">
    <w:nsid w:val="6CE27B7D"/>
    <w:multiLevelType w:val="multilevel"/>
    <w:tmpl w:val="6CE27B7D"/>
    <w:lvl w:ilvl="0" w:tentative="0">
      <w:start w:val="1"/>
      <w:numFmt w:val="decimal"/>
      <w:lvlText w:val="9.%1"/>
      <w:lvlJc w:val="left"/>
      <w:pPr>
        <w:ind w:left="420" w:hanging="420"/>
      </w:pPr>
      <w:rPr>
        <w:rFonts w:hint="eastAsia" w:ascii="宋体" w:hAnsi="宋体" w:eastAsia="宋体"/>
        <w:sz w:val="24"/>
        <w:szCs w:val="24"/>
      </w:rPr>
    </w:lvl>
    <w:lvl w:ilvl="1" w:tentative="0">
      <w:start w:val="1"/>
      <w:numFmt w:val="decimal"/>
      <w:suff w:val="nothing"/>
      <w:lvlText w:val="10.%2"/>
      <w:lvlJc w:val="left"/>
      <w:pPr>
        <w:ind w:left="0" w:firstLine="0"/>
      </w:pPr>
      <w:rPr>
        <w:rFonts w:hint="default" w:ascii="Times New Roman" w:hAnsi="Times New Roman" w:eastAsia="宋体" w:cs="Times New Roman"/>
        <w:sz w:val="24"/>
        <w:szCs w:val="24"/>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5">
    <w:nsid w:val="6D68F1BD"/>
    <w:multiLevelType w:val="singleLevel"/>
    <w:tmpl w:val="6D68F1BD"/>
    <w:lvl w:ilvl="0" w:tentative="0">
      <w:start w:val="1"/>
      <w:numFmt w:val="decimal"/>
      <w:suff w:val="nothing"/>
      <w:lvlText w:val="4.3.%1　"/>
      <w:lvlJc w:val="left"/>
      <w:pPr>
        <w:ind w:left="420" w:firstLine="403"/>
      </w:pPr>
      <w:rPr>
        <w:rFonts w:hint="default"/>
      </w:rPr>
    </w:lvl>
  </w:abstractNum>
  <w:abstractNum w:abstractNumId="66">
    <w:nsid w:val="6EDD5CCC"/>
    <w:multiLevelType w:val="multilevel"/>
    <w:tmpl w:val="6EDD5CCC"/>
    <w:lvl w:ilvl="0" w:tentative="0">
      <w:start w:val="1"/>
      <w:numFmt w:val="decimal"/>
      <w:suff w:val="nothing"/>
      <w:lvlText w:val="%1）"/>
      <w:lvlJc w:val="left"/>
      <w:pPr>
        <w:ind w:left="1620" w:hanging="360"/>
      </w:pPr>
      <w:rPr>
        <w:rFonts w:hint="default" w:ascii="宋体" w:hAnsi="宋体"/>
        <w:sz w:val="24"/>
      </w:rPr>
    </w:lvl>
    <w:lvl w:ilvl="1" w:tentative="0">
      <w:start w:val="1"/>
      <w:numFmt w:val="lowerLetter"/>
      <w:lvlText w:val="%2)"/>
      <w:lvlJc w:val="left"/>
      <w:pPr>
        <w:tabs>
          <w:tab w:val="left" w:pos="1260"/>
        </w:tabs>
        <w:ind w:left="2100" w:hanging="420"/>
      </w:pPr>
    </w:lvl>
    <w:lvl w:ilvl="2" w:tentative="0">
      <w:start w:val="1"/>
      <w:numFmt w:val="lowerRoman"/>
      <w:lvlText w:val="%3."/>
      <w:lvlJc w:val="right"/>
      <w:pPr>
        <w:tabs>
          <w:tab w:val="left" w:pos="1680"/>
        </w:tabs>
        <w:ind w:left="2520" w:hanging="420"/>
      </w:pPr>
    </w:lvl>
    <w:lvl w:ilvl="3" w:tentative="0">
      <w:start w:val="1"/>
      <w:numFmt w:val="decimal"/>
      <w:lvlText w:val="%4."/>
      <w:lvlJc w:val="left"/>
      <w:pPr>
        <w:tabs>
          <w:tab w:val="left" w:pos="2100"/>
        </w:tabs>
        <w:ind w:left="2940" w:hanging="420"/>
      </w:pPr>
    </w:lvl>
    <w:lvl w:ilvl="4" w:tentative="0">
      <w:start w:val="1"/>
      <w:numFmt w:val="lowerLetter"/>
      <w:lvlText w:val="%5)"/>
      <w:lvlJc w:val="left"/>
      <w:pPr>
        <w:tabs>
          <w:tab w:val="left" w:pos="2520"/>
        </w:tabs>
        <w:ind w:left="3360" w:hanging="420"/>
      </w:pPr>
    </w:lvl>
    <w:lvl w:ilvl="5" w:tentative="0">
      <w:start w:val="1"/>
      <w:numFmt w:val="lowerRoman"/>
      <w:lvlText w:val="%6."/>
      <w:lvlJc w:val="right"/>
      <w:pPr>
        <w:tabs>
          <w:tab w:val="left" w:pos="2940"/>
        </w:tabs>
        <w:ind w:left="3780" w:hanging="420"/>
      </w:pPr>
    </w:lvl>
    <w:lvl w:ilvl="6" w:tentative="0">
      <w:start w:val="1"/>
      <w:numFmt w:val="decimal"/>
      <w:lvlText w:val="%7."/>
      <w:lvlJc w:val="left"/>
      <w:pPr>
        <w:tabs>
          <w:tab w:val="left" w:pos="3360"/>
        </w:tabs>
        <w:ind w:left="4200" w:hanging="420"/>
      </w:pPr>
    </w:lvl>
    <w:lvl w:ilvl="7" w:tentative="0">
      <w:start w:val="1"/>
      <w:numFmt w:val="lowerLetter"/>
      <w:lvlText w:val="%8)"/>
      <w:lvlJc w:val="left"/>
      <w:pPr>
        <w:tabs>
          <w:tab w:val="left" w:pos="3780"/>
        </w:tabs>
        <w:ind w:left="4620" w:hanging="420"/>
      </w:pPr>
    </w:lvl>
    <w:lvl w:ilvl="8" w:tentative="0">
      <w:start w:val="1"/>
      <w:numFmt w:val="lowerRoman"/>
      <w:lvlText w:val="%9."/>
      <w:lvlJc w:val="right"/>
      <w:pPr>
        <w:tabs>
          <w:tab w:val="left" w:pos="4200"/>
        </w:tabs>
        <w:ind w:left="5040" w:hanging="420"/>
      </w:pPr>
    </w:lvl>
  </w:abstractNum>
  <w:abstractNum w:abstractNumId="67">
    <w:nsid w:val="73F84621"/>
    <w:multiLevelType w:val="multilevel"/>
    <w:tmpl w:val="73F84621"/>
    <w:lvl w:ilvl="0" w:tentative="0">
      <w:start w:val="5"/>
      <w:numFmt w:val="decimal"/>
      <w:lvlText w:val="%1"/>
      <w:lvlJc w:val="left"/>
      <w:pPr>
        <w:ind w:left="600" w:hanging="600"/>
      </w:pPr>
      <w:rPr>
        <w:rFonts w:hint="default"/>
      </w:rPr>
    </w:lvl>
    <w:lvl w:ilvl="1" w:tentative="0">
      <w:start w:val="5"/>
      <w:numFmt w:val="decimal"/>
      <w:lvlText w:val="%1.%2"/>
      <w:lvlJc w:val="left"/>
      <w:pPr>
        <w:ind w:left="720" w:hanging="600"/>
      </w:pPr>
      <w:rPr>
        <w:rFonts w:hint="default"/>
      </w:rPr>
    </w:lvl>
    <w:lvl w:ilvl="2" w:tentative="0">
      <w:start w:val="1"/>
      <w:numFmt w:val="decimal"/>
      <w:lvlText w:val="%1.%2.%3"/>
      <w:lvlJc w:val="left"/>
      <w:pPr>
        <w:ind w:left="960" w:hanging="720"/>
      </w:pPr>
      <w:rPr>
        <w:rFonts w:hint="default"/>
      </w:rPr>
    </w:lvl>
    <w:lvl w:ilvl="3" w:tentative="0">
      <w:start w:val="1"/>
      <w:numFmt w:val="decimal"/>
      <w:lvlText w:val="%1.%2.%3.%4"/>
      <w:lvlJc w:val="left"/>
      <w:pPr>
        <w:ind w:left="1440" w:hanging="1080"/>
      </w:pPr>
      <w:rPr>
        <w:rFonts w:hint="default"/>
      </w:rPr>
    </w:lvl>
    <w:lvl w:ilvl="4" w:tentative="0">
      <w:start w:val="1"/>
      <w:numFmt w:val="decimal"/>
      <w:lvlText w:val="%1.%2.%3.%4.%5"/>
      <w:lvlJc w:val="left"/>
      <w:pPr>
        <w:ind w:left="1560" w:hanging="1080"/>
      </w:pPr>
      <w:rPr>
        <w:rFonts w:hint="default"/>
      </w:rPr>
    </w:lvl>
    <w:lvl w:ilvl="5" w:tentative="0">
      <w:start w:val="1"/>
      <w:numFmt w:val="decimal"/>
      <w:lvlText w:val="%1.%2.%3.%4.%5.%6"/>
      <w:lvlJc w:val="left"/>
      <w:pPr>
        <w:ind w:left="2040" w:hanging="1440"/>
      </w:pPr>
      <w:rPr>
        <w:rFonts w:hint="default"/>
      </w:rPr>
    </w:lvl>
    <w:lvl w:ilvl="6" w:tentative="0">
      <w:start w:val="1"/>
      <w:numFmt w:val="decimal"/>
      <w:lvlText w:val="%1.%2.%3.%4.%5.%6.%7"/>
      <w:lvlJc w:val="left"/>
      <w:pPr>
        <w:ind w:left="2520" w:hanging="1800"/>
      </w:pPr>
      <w:rPr>
        <w:rFonts w:hint="default"/>
      </w:rPr>
    </w:lvl>
    <w:lvl w:ilvl="7" w:tentative="0">
      <w:start w:val="1"/>
      <w:numFmt w:val="decimal"/>
      <w:lvlText w:val="%1.%2.%3.%4.%5.%6.%7.%8"/>
      <w:lvlJc w:val="left"/>
      <w:pPr>
        <w:ind w:left="2640" w:hanging="1800"/>
      </w:pPr>
      <w:rPr>
        <w:rFonts w:hint="default"/>
      </w:rPr>
    </w:lvl>
    <w:lvl w:ilvl="8" w:tentative="0">
      <w:start w:val="1"/>
      <w:numFmt w:val="decimal"/>
      <w:lvlText w:val="%1.%2.%3.%4.%5.%6.%7.%8.%9"/>
      <w:lvlJc w:val="left"/>
      <w:pPr>
        <w:ind w:left="3120" w:hanging="2160"/>
      </w:pPr>
      <w:rPr>
        <w:rFonts w:hint="default"/>
      </w:rPr>
    </w:lvl>
  </w:abstractNum>
  <w:abstractNum w:abstractNumId="68">
    <w:nsid w:val="75E018D5"/>
    <w:multiLevelType w:val="singleLevel"/>
    <w:tmpl w:val="75E018D5"/>
    <w:lvl w:ilvl="0" w:tentative="0">
      <w:start w:val="1"/>
      <w:numFmt w:val="decimalEnclosedCircleChinese"/>
      <w:suff w:val="nothing"/>
      <w:lvlText w:val="%1　"/>
      <w:lvlJc w:val="left"/>
      <w:pPr>
        <w:ind w:left="420" w:firstLine="400"/>
      </w:pPr>
      <w:rPr>
        <w:rFonts w:hint="eastAsia"/>
      </w:rPr>
    </w:lvl>
  </w:abstractNum>
  <w:abstractNum w:abstractNumId="69">
    <w:nsid w:val="78A23B00"/>
    <w:multiLevelType w:val="multilevel"/>
    <w:tmpl w:val="78A23B00"/>
    <w:lvl w:ilvl="0" w:tentative="0">
      <w:start w:val="5"/>
      <w:numFmt w:val="decimal"/>
      <w:lvlText w:val="%1"/>
      <w:lvlJc w:val="left"/>
      <w:pPr>
        <w:ind w:left="720" w:hanging="720"/>
      </w:pPr>
      <w:rPr>
        <w:rFonts w:hint="default"/>
      </w:rPr>
    </w:lvl>
    <w:lvl w:ilvl="1" w:tentative="0">
      <w:start w:val="16"/>
      <w:numFmt w:val="decimal"/>
      <w:lvlText w:val="%1.%2"/>
      <w:lvlJc w:val="left"/>
      <w:pPr>
        <w:ind w:left="840" w:hanging="720"/>
      </w:pPr>
      <w:rPr>
        <w:rFonts w:hint="default"/>
      </w:rPr>
    </w:lvl>
    <w:lvl w:ilvl="2" w:tentative="0">
      <w:start w:val="2"/>
      <w:numFmt w:val="decimal"/>
      <w:lvlText w:val="%1.%2.%3"/>
      <w:lvlJc w:val="left"/>
      <w:pPr>
        <w:ind w:left="960" w:hanging="720"/>
      </w:pPr>
      <w:rPr>
        <w:rFonts w:hint="default"/>
      </w:rPr>
    </w:lvl>
    <w:lvl w:ilvl="3" w:tentative="0">
      <w:start w:val="1"/>
      <w:numFmt w:val="decimal"/>
      <w:lvlText w:val="%1.%2.%3.%4"/>
      <w:lvlJc w:val="left"/>
      <w:pPr>
        <w:ind w:left="1440" w:hanging="1080"/>
      </w:pPr>
      <w:rPr>
        <w:rFonts w:hint="default"/>
      </w:rPr>
    </w:lvl>
    <w:lvl w:ilvl="4" w:tentative="0">
      <w:start w:val="1"/>
      <w:numFmt w:val="decimal"/>
      <w:lvlText w:val="%1.%2.%3.%4.%5"/>
      <w:lvlJc w:val="left"/>
      <w:pPr>
        <w:ind w:left="1560" w:hanging="1080"/>
      </w:pPr>
      <w:rPr>
        <w:rFonts w:hint="default"/>
      </w:rPr>
    </w:lvl>
    <w:lvl w:ilvl="5" w:tentative="0">
      <w:start w:val="1"/>
      <w:numFmt w:val="decimal"/>
      <w:lvlText w:val="%1.%2.%3.%4.%5.%6"/>
      <w:lvlJc w:val="left"/>
      <w:pPr>
        <w:ind w:left="2040" w:hanging="1440"/>
      </w:pPr>
      <w:rPr>
        <w:rFonts w:hint="default"/>
      </w:rPr>
    </w:lvl>
    <w:lvl w:ilvl="6" w:tentative="0">
      <w:start w:val="1"/>
      <w:numFmt w:val="decimal"/>
      <w:lvlText w:val="%1.%2.%3.%4.%5.%6.%7"/>
      <w:lvlJc w:val="left"/>
      <w:pPr>
        <w:ind w:left="2520" w:hanging="1800"/>
      </w:pPr>
      <w:rPr>
        <w:rFonts w:hint="default"/>
      </w:rPr>
    </w:lvl>
    <w:lvl w:ilvl="7" w:tentative="0">
      <w:start w:val="1"/>
      <w:numFmt w:val="decimal"/>
      <w:lvlText w:val="%1.%2.%3.%4.%5.%6.%7.%8"/>
      <w:lvlJc w:val="left"/>
      <w:pPr>
        <w:ind w:left="2640" w:hanging="1800"/>
      </w:pPr>
      <w:rPr>
        <w:rFonts w:hint="default"/>
      </w:rPr>
    </w:lvl>
    <w:lvl w:ilvl="8" w:tentative="0">
      <w:start w:val="1"/>
      <w:numFmt w:val="decimal"/>
      <w:lvlText w:val="%1.%2.%3.%4.%5.%6.%7.%8.%9"/>
      <w:lvlJc w:val="left"/>
      <w:pPr>
        <w:ind w:left="3120" w:hanging="2160"/>
      </w:pPr>
      <w:rPr>
        <w:rFonts w:hint="default"/>
      </w:rPr>
    </w:lvl>
  </w:abstractNum>
  <w:abstractNum w:abstractNumId="70">
    <w:nsid w:val="79701F2A"/>
    <w:multiLevelType w:val="multilevel"/>
    <w:tmpl w:val="79701F2A"/>
    <w:lvl w:ilvl="0" w:tentative="0">
      <w:start w:val="1"/>
      <w:numFmt w:val="decimal"/>
      <w:lvlText w:val="12.%1"/>
      <w:lvlJc w:val="left"/>
      <w:pPr>
        <w:ind w:left="0" w:firstLine="0"/>
      </w:pPr>
      <w:rPr>
        <w:rFonts w:hint="eastAsia"/>
      </w:rPr>
    </w:lvl>
    <w:lvl w:ilvl="1" w:tentative="0">
      <w:start w:val="1"/>
      <w:numFmt w:val="lowerLetter"/>
      <w:lvlText w:val="%2)"/>
      <w:lvlJc w:val="left"/>
      <w:pPr>
        <w:ind w:left="840" w:hanging="420"/>
      </w:pPr>
    </w:lvl>
    <w:lvl w:ilvl="2" w:tentative="0">
      <w:start w:val="1"/>
      <w:numFmt w:val="decimal"/>
      <w:suff w:val="space"/>
      <w:lvlText w:val="12.%3"/>
      <w:lvlJc w:val="left"/>
      <w:pPr>
        <w:ind w:left="0" w:firstLine="0"/>
      </w:pPr>
      <w:rPr>
        <w:rFonts w:hint="default" w:ascii="Times New Roman" w:hAnsi="Times New Roman" w:cs="Times New Roman"/>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1">
    <w:nsid w:val="79B559BF"/>
    <w:multiLevelType w:val="multilevel"/>
    <w:tmpl w:val="79B559BF"/>
    <w:lvl w:ilvl="0" w:tentative="0">
      <w:start w:val="11"/>
      <w:numFmt w:val="decimal"/>
      <w:lvlText w:val="%1"/>
      <w:lvlJc w:val="left"/>
      <w:pPr>
        <w:ind w:left="480" w:hanging="480"/>
      </w:pPr>
      <w:rPr>
        <w:rFonts w:hint="default"/>
      </w:rPr>
    </w:lvl>
    <w:lvl w:ilvl="1" w:tentative="0">
      <w:start w:val="3"/>
      <w:numFmt w:val="decimal"/>
      <w:lvlText w:val="%1.%2"/>
      <w:lvlJc w:val="left"/>
      <w:pPr>
        <w:ind w:left="480" w:hanging="480"/>
      </w:pPr>
      <w:rPr>
        <w:rFonts w:hint="default"/>
      </w:rPr>
    </w:lvl>
    <w:lvl w:ilvl="2" w:tentative="0">
      <w:start w:val="1"/>
      <w:numFmt w:val="decimal"/>
      <w:lvlText w:val="%1.%2.%3"/>
      <w:lvlJc w:val="left"/>
      <w:pPr>
        <w:ind w:left="720" w:hanging="720"/>
      </w:pPr>
      <w:rPr>
        <w:rFonts w:hint="default"/>
      </w:rPr>
    </w:lvl>
    <w:lvl w:ilvl="3" w:tentative="0">
      <w:start w:val="1"/>
      <w:numFmt w:val="decimal"/>
      <w:lvlText w:val="%1.%2.%3.%4"/>
      <w:lvlJc w:val="left"/>
      <w:pPr>
        <w:ind w:left="1080" w:hanging="1080"/>
      </w:pPr>
      <w:rPr>
        <w:rFonts w:hint="default"/>
      </w:rPr>
    </w:lvl>
    <w:lvl w:ilvl="4" w:tentative="0">
      <w:start w:val="1"/>
      <w:numFmt w:val="decimal"/>
      <w:lvlText w:val="%1.%2.%3.%4.%5"/>
      <w:lvlJc w:val="left"/>
      <w:pPr>
        <w:ind w:left="1080" w:hanging="1080"/>
      </w:pPr>
      <w:rPr>
        <w:rFonts w:hint="default"/>
      </w:rPr>
    </w:lvl>
    <w:lvl w:ilvl="5" w:tentative="0">
      <w:start w:val="1"/>
      <w:numFmt w:val="decimal"/>
      <w:lvlText w:val="%1.%2.%3.%4.%5.%6"/>
      <w:lvlJc w:val="left"/>
      <w:pPr>
        <w:ind w:left="1440" w:hanging="1440"/>
      </w:pPr>
      <w:rPr>
        <w:rFonts w:hint="default"/>
      </w:rPr>
    </w:lvl>
    <w:lvl w:ilvl="6" w:tentative="0">
      <w:start w:val="1"/>
      <w:numFmt w:val="decimal"/>
      <w:lvlText w:val="%1.%2.%3.%4.%5.%6.%7"/>
      <w:lvlJc w:val="left"/>
      <w:pPr>
        <w:ind w:left="1800" w:hanging="1800"/>
      </w:pPr>
      <w:rPr>
        <w:rFonts w:hint="default"/>
      </w:rPr>
    </w:lvl>
    <w:lvl w:ilvl="7" w:tentative="0">
      <w:start w:val="1"/>
      <w:numFmt w:val="decimal"/>
      <w:lvlText w:val="%1.%2.%3.%4.%5.%6.%7.%8"/>
      <w:lvlJc w:val="left"/>
      <w:pPr>
        <w:ind w:left="1800" w:hanging="1800"/>
      </w:pPr>
      <w:rPr>
        <w:rFonts w:hint="default"/>
      </w:rPr>
    </w:lvl>
    <w:lvl w:ilvl="8" w:tentative="0">
      <w:start w:val="1"/>
      <w:numFmt w:val="decimal"/>
      <w:lvlText w:val="%1.%2.%3.%4.%5.%6.%7.%8.%9"/>
      <w:lvlJc w:val="left"/>
      <w:pPr>
        <w:ind w:left="2160" w:hanging="2160"/>
      </w:pPr>
      <w:rPr>
        <w:rFonts w:hint="default"/>
      </w:rPr>
    </w:lvl>
  </w:abstractNum>
  <w:abstractNum w:abstractNumId="72">
    <w:nsid w:val="7B7F3DE0"/>
    <w:multiLevelType w:val="singleLevel"/>
    <w:tmpl w:val="7B7F3DE0"/>
    <w:lvl w:ilvl="0" w:tentative="0">
      <w:start w:val="1"/>
      <w:numFmt w:val="decimalEnclosedCircleChinese"/>
      <w:suff w:val="nothing"/>
      <w:lvlText w:val="%1　"/>
      <w:lvlJc w:val="left"/>
      <w:pPr>
        <w:ind w:left="420" w:firstLine="400"/>
      </w:pPr>
      <w:rPr>
        <w:rFonts w:hint="eastAsia"/>
      </w:rPr>
    </w:lvl>
  </w:abstractNum>
  <w:abstractNum w:abstractNumId="73">
    <w:nsid w:val="7DAE35EE"/>
    <w:multiLevelType w:val="multilevel"/>
    <w:tmpl w:val="7DAE35EE"/>
    <w:lvl w:ilvl="0" w:tentative="0">
      <w:start w:val="1"/>
      <w:numFmt w:val="decimal"/>
      <w:lvlText w:val="4.%1"/>
      <w:lvlJc w:val="left"/>
      <w:pPr>
        <w:ind w:left="425" w:hanging="425"/>
      </w:pPr>
      <w:rPr>
        <w:rFonts w:hint="default" w:ascii="Times New Roman" w:hAnsi="Times New Roman" w:cs="Times New Roman"/>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74">
    <w:nsid w:val="7FDB4B2E"/>
    <w:multiLevelType w:val="multilevel"/>
    <w:tmpl w:val="7FDB4B2E"/>
    <w:lvl w:ilvl="0" w:tentative="0">
      <w:start w:val="1"/>
      <w:numFmt w:val="decimal"/>
      <w:suff w:val="space"/>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1"/>
    <w:lvlOverride w:ilvl="0">
      <w:startOverride w:val="1"/>
      <w:lvl w:ilvl="0" w:tentative="1">
        <w:start w:val="1"/>
        <w:numFmt w:val="decimal"/>
        <w:lvlText w:val="%1、"/>
        <w:lvlJc w:val="left"/>
        <w:pPr>
          <w:ind w:left="360" w:hanging="360"/>
        </w:pPr>
        <w:rPr>
          <w:rFonts w:hint="default"/>
        </w:rPr>
      </w:lvl>
    </w:lvlOverride>
    <w:lvlOverride w:ilvl="1">
      <w:startOverride w:val="1"/>
      <w:lvl w:ilvl="1" w:tentative="1">
        <w:start w:val="1"/>
        <w:numFmt w:val="lowerLetter"/>
        <w:lvlText w:val="%2)"/>
        <w:lvlJc w:val="left"/>
        <w:pPr>
          <w:ind w:left="840" w:hanging="420"/>
        </w:pPr>
      </w:lvl>
    </w:lvlOverride>
    <w:lvlOverride w:ilvl="2">
      <w:startOverride w:val="1"/>
      <w:lvl w:ilvl="2" w:tentative="1">
        <w:start w:val="1"/>
        <w:numFmt w:val="lowerRoman"/>
        <w:lvlText w:val="%3."/>
        <w:lvlJc w:val="right"/>
        <w:pPr>
          <w:ind w:left="1260" w:hanging="420"/>
        </w:pPr>
      </w:lvl>
    </w:lvlOverride>
    <w:lvlOverride w:ilvl="3">
      <w:startOverride w:val="1"/>
      <w:lvl w:ilvl="3" w:tentative="1">
        <w:start w:val="1"/>
        <w:numFmt w:val="decimal"/>
        <w:lvlText w:val="%4."/>
        <w:lvlJc w:val="left"/>
        <w:pPr>
          <w:ind w:left="1680" w:hanging="420"/>
        </w:pPr>
      </w:lvl>
    </w:lvlOverride>
    <w:lvlOverride w:ilvl="4">
      <w:startOverride w:val="1"/>
      <w:lvl w:ilvl="4" w:tentative="1">
        <w:start w:val="1"/>
        <w:numFmt w:val="lowerLetter"/>
        <w:lvlText w:val="%5)"/>
        <w:lvlJc w:val="left"/>
        <w:pPr>
          <w:ind w:left="2100" w:hanging="420"/>
        </w:pPr>
      </w:lvl>
    </w:lvlOverride>
    <w:lvlOverride w:ilvl="5">
      <w:startOverride w:val="1"/>
      <w:lvl w:ilvl="5" w:tentative="1">
        <w:start w:val="1"/>
        <w:numFmt w:val="lowerRoman"/>
        <w:lvlText w:val="%6."/>
        <w:lvlJc w:val="right"/>
        <w:pPr>
          <w:ind w:left="2520" w:hanging="420"/>
        </w:pPr>
      </w:lvl>
    </w:lvlOverride>
    <w:lvlOverride w:ilvl="6">
      <w:startOverride w:val="1"/>
      <w:lvl w:ilvl="6" w:tentative="1">
        <w:start w:val="1"/>
        <w:numFmt w:val="decimal"/>
        <w:lvlText w:val="%7."/>
        <w:lvlJc w:val="left"/>
        <w:pPr>
          <w:ind w:left="2940" w:hanging="420"/>
        </w:pPr>
      </w:lvl>
    </w:lvlOverride>
    <w:lvlOverride w:ilvl="7">
      <w:startOverride w:val="1"/>
      <w:lvl w:ilvl="7" w:tentative="1">
        <w:start w:val="1"/>
        <w:numFmt w:val="lowerLetter"/>
        <w:lvlText w:val="%8)"/>
        <w:lvlJc w:val="left"/>
        <w:pPr>
          <w:ind w:left="3360" w:hanging="420"/>
        </w:pPr>
      </w:lvl>
    </w:lvlOverride>
    <w:lvlOverride w:ilvl="8">
      <w:startOverride w:val="1"/>
      <w:lvl w:ilvl="8" w:tentative="1">
        <w:start w:val="1"/>
        <w:numFmt w:val="lowerRoman"/>
        <w:lvlText w:val="%9."/>
        <w:lvlJc w:val="right"/>
        <w:pPr>
          <w:ind w:left="3780" w:hanging="420"/>
        </w:pPr>
      </w:lvl>
    </w:lvlOverride>
  </w:num>
  <w:num w:numId="2">
    <w:abstractNumId w:val="22"/>
  </w:num>
  <w:num w:numId="3">
    <w:abstractNumId w:val="23"/>
  </w:num>
  <w:num w:numId="4">
    <w:abstractNumId w:val="21"/>
  </w:num>
  <w:num w:numId="5">
    <w:abstractNumId w:val="56"/>
  </w:num>
  <w:num w:numId="6">
    <w:abstractNumId w:val="44"/>
  </w:num>
  <w:num w:numId="7">
    <w:abstractNumId w:val="17"/>
  </w:num>
  <w:num w:numId="8">
    <w:abstractNumId w:val="73"/>
  </w:num>
  <w:num w:numId="9">
    <w:abstractNumId w:val="39"/>
  </w:num>
  <w:num w:numId="10">
    <w:abstractNumId w:val="52"/>
  </w:num>
  <w:num w:numId="11">
    <w:abstractNumId w:val="2"/>
  </w:num>
  <w:num w:numId="12">
    <w:abstractNumId w:val="34"/>
  </w:num>
  <w:num w:numId="13">
    <w:abstractNumId w:val="10"/>
  </w:num>
  <w:num w:numId="14">
    <w:abstractNumId w:val="29"/>
  </w:num>
  <w:num w:numId="15">
    <w:abstractNumId w:val="55"/>
  </w:num>
  <w:num w:numId="16">
    <w:abstractNumId w:val="65"/>
  </w:num>
  <w:num w:numId="17">
    <w:abstractNumId w:val="0"/>
  </w:num>
  <w:num w:numId="18">
    <w:abstractNumId w:val="67"/>
  </w:num>
  <w:num w:numId="19">
    <w:abstractNumId w:val="30"/>
  </w:num>
  <w:num w:numId="20">
    <w:abstractNumId w:val="69"/>
  </w:num>
  <w:num w:numId="21">
    <w:abstractNumId w:val="3"/>
  </w:num>
  <w:num w:numId="22">
    <w:abstractNumId w:val="19"/>
  </w:num>
  <w:num w:numId="23">
    <w:abstractNumId w:val="27"/>
  </w:num>
  <w:num w:numId="24">
    <w:abstractNumId w:val="63"/>
  </w:num>
  <w:num w:numId="25">
    <w:abstractNumId w:val="25"/>
  </w:num>
  <w:num w:numId="26">
    <w:abstractNumId w:val="8"/>
  </w:num>
  <w:num w:numId="27">
    <w:abstractNumId w:val="54"/>
  </w:num>
  <w:num w:numId="28">
    <w:abstractNumId w:val="53"/>
  </w:num>
  <w:num w:numId="29">
    <w:abstractNumId w:val="12"/>
  </w:num>
  <w:num w:numId="30">
    <w:abstractNumId w:val="5"/>
  </w:num>
  <w:num w:numId="31">
    <w:abstractNumId w:val="20"/>
  </w:num>
  <w:num w:numId="32">
    <w:abstractNumId w:val="15"/>
  </w:num>
  <w:num w:numId="33">
    <w:abstractNumId w:val="35"/>
  </w:num>
  <w:num w:numId="34">
    <w:abstractNumId w:val="46"/>
  </w:num>
  <w:num w:numId="35">
    <w:abstractNumId w:val="57"/>
  </w:num>
  <w:num w:numId="36">
    <w:abstractNumId w:val="33"/>
  </w:num>
  <w:num w:numId="37">
    <w:abstractNumId w:val="64"/>
  </w:num>
  <w:num w:numId="38">
    <w:abstractNumId w:val="14"/>
  </w:num>
  <w:num w:numId="39">
    <w:abstractNumId w:val="40"/>
  </w:num>
  <w:num w:numId="40">
    <w:abstractNumId w:val="18"/>
  </w:num>
  <w:num w:numId="41">
    <w:abstractNumId w:val="48"/>
  </w:num>
  <w:num w:numId="42">
    <w:abstractNumId w:val="4"/>
  </w:num>
  <w:num w:numId="43">
    <w:abstractNumId w:val="47"/>
  </w:num>
  <w:num w:numId="44">
    <w:abstractNumId w:val="13"/>
  </w:num>
  <w:num w:numId="45">
    <w:abstractNumId w:val="71"/>
  </w:num>
  <w:num w:numId="46">
    <w:abstractNumId w:val="74"/>
  </w:num>
  <w:num w:numId="47">
    <w:abstractNumId w:val="72"/>
  </w:num>
  <w:num w:numId="48">
    <w:abstractNumId w:val="70"/>
  </w:num>
  <w:num w:numId="49">
    <w:abstractNumId w:val="42"/>
  </w:num>
  <w:num w:numId="50">
    <w:abstractNumId w:val="66"/>
  </w:num>
  <w:num w:numId="51">
    <w:abstractNumId w:val="68"/>
  </w:num>
  <w:num w:numId="52">
    <w:abstractNumId w:val="11"/>
  </w:num>
  <w:num w:numId="53">
    <w:abstractNumId w:val="45"/>
  </w:num>
  <w:num w:numId="54">
    <w:abstractNumId w:val="16"/>
  </w:num>
  <w:num w:numId="55">
    <w:abstractNumId w:val="50"/>
  </w:num>
  <w:num w:numId="56">
    <w:abstractNumId w:val="7"/>
  </w:num>
  <w:num w:numId="57">
    <w:abstractNumId w:val="24"/>
  </w:num>
  <w:num w:numId="58">
    <w:abstractNumId w:val="49"/>
  </w:num>
  <w:num w:numId="59">
    <w:abstractNumId w:val="38"/>
  </w:num>
  <w:num w:numId="60">
    <w:abstractNumId w:val="37"/>
  </w:num>
  <w:num w:numId="61">
    <w:abstractNumId w:val="36"/>
  </w:num>
  <w:num w:numId="62">
    <w:abstractNumId w:val="61"/>
  </w:num>
  <w:num w:numId="63">
    <w:abstractNumId w:val="28"/>
  </w:num>
  <w:num w:numId="64">
    <w:abstractNumId w:val="31"/>
  </w:num>
  <w:num w:numId="65">
    <w:abstractNumId w:val="58"/>
  </w:num>
  <w:num w:numId="66">
    <w:abstractNumId w:val="26"/>
  </w:num>
  <w:num w:numId="67">
    <w:abstractNumId w:val="60"/>
  </w:num>
  <w:num w:numId="68">
    <w:abstractNumId w:val="9"/>
  </w:num>
  <w:num w:numId="69">
    <w:abstractNumId w:val="59"/>
  </w:num>
  <w:num w:numId="70">
    <w:abstractNumId w:val="41"/>
  </w:num>
  <w:num w:numId="71">
    <w:abstractNumId w:val="43"/>
  </w:num>
  <w:num w:numId="72">
    <w:abstractNumId w:val="1"/>
  </w:num>
  <w:num w:numId="73">
    <w:abstractNumId w:val="6"/>
  </w:num>
  <w:num w:numId="74">
    <w:abstractNumId w:val="62"/>
  </w:num>
  <w:num w:numId="75">
    <w:abstractNumId w:val="32"/>
    <w:lvlOverride w:ilvl="0">
      <w:startOverride w:val="1"/>
      <w:lvl w:ilvl="0" w:tentative="1">
        <w:start w:val="1"/>
        <w:numFmt w:val="chineseCounting"/>
        <w:suff w:val="nothing"/>
        <w:lvlText w:val="%1、"/>
        <w:lvlJc w:val="left"/>
        <w:pPr>
          <w:ind w:left="0" w:firstLine="0"/>
        </w:p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3"/>
  <w:bordersDoNotSurroundHeader w:val="1"/>
  <w:bordersDoNotSurroundFooter w:val="1"/>
  <w:documentProtection w:edit="readOnly" w:enforcement="0"/>
  <w:defaultTabStop w:val="420"/>
  <w:drawingGridHorizontalSpacing w:val="0"/>
  <w:drawingGridVerticalSpacing w:val="156"/>
  <w:noPunctuationKerning w:val="1"/>
  <w:characterSpacingControl w:val="compressPunctuation"/>
  <w:noLineBreaksAfter w:lang="zh-CN" w:val="$([{£¥·‘“〈《「『【〔〖〝﹙﹛﹝＄（．［｛￡￥"/>
  <w:noLineBreaksBefore w:lang="zh-CN" w:val="!%),.:;&gt;?]}¢¨°·ˇˉ―‖’”…‰′″›℃∶、。〃〉》」』】〕〗〞︶︺︾﹀﹄﹚﹜﹞！＂％＇），．：；？］｀｜｝～￠"/>
  <w:hdrShapeDefaults>
    <o:shapelayout v:ext="edit">
      <o:idmap v:ext="edit" data="2"/>
    </o:shapelayout>
  </w:hdrShapeDefaults>
  <w:compat>
    <w:spaceForUL/>
    <w:balanceSingleByteDoubleByteWidth/>
    <w:ulTrailSpace/>
    <w:doNotExpandShiftReturn/>
    <w:adjustLineHeightInTable/>
    <w:useFELayout/>
    <w:compatSetting w:name="compatibilityMode" w:uri="http://schemas.microsoft.com/office/word" w:val="12"/>
  </w:compat>
  <w:docVars>
    <w:docVar w:name="commondata" w:val="eyJoZGlkIjoiMWJmYmVhMGQ2YWQwOTc0ZDFkYmVkZTE0NzFkNThlYzIifQ=="/>
  </w:docVars>
  <w:rsids>
    <w:rsidRoot w:val="00BC02D8"/>
    <w:rsid w:val="00013365"/>
    <w:rsid w:val="00022C7F"/>
    <w:rsid w:val="00053D05"/>
    <w:rsid w:val="00065F53"/>
    <w:rsid w:val="00083EBB"/>
    <w:rsid w:val="00092A44"/>
    <w:rsid w:val="00093B34"/>
    <w:rsid w:val="000B0197"/>
    <w:rsid w:val="000E11AA"/>
    <w:rsid w:val="000E6403"/>
    <w:rsid w:val="000F5023"/>
    <w:rsid w:val="0014129F"/>
    <w:rsid w:val="00144C4A"/>
    <w:rsid w:val="001830D1"/>
    <w:rsid w:val="00185609"/>
    <w:rsid w:val="001A06BA"/>
    <w:rsid w:val="001A2BA1"/>
    <w:rsid w:val="001D0888"/>
    <w:rsid w:val="001D71BC"/>
    <w:rsid w:val="001E74B4"/>
    <w:rsid w:val="001F3F46"/>
    <w:rsid w:val="00227069"/>
    <w:rsid w:val="0027568E"/>
    <w:rsid w:val="002770A7"/>
    <w:rsid w:val="002D6EAB"/>
    <w:rsid w:val="00312248"/>
    <w:rsid w:val="00312396"/>
    <w:rsid w:val="003579A0"/>
    <w:rsid w:val="00375A06"/>
    <w:rsid w:val="003823E3"/>
    <w:rsid w:val="003868CD"/>
    <w:rsid w:val="00391D25"/>
    <w:rsid w:val="003A5EFA"/>
    <w:rsid w:val="003D6E3F"/>
    <w:rsid w:val="003D7368"/>
    <w:rsid w:val="003D74AB"/>
    <w:rsid w:val="004041E0"/>
    <w:rsid w:val="00415A53"/>
    <w:rsid w:val="0041733B"/>
    <w:rsid w:val="0043292F"/>
    <w:rsid w:val="004B06C5"/>
    <w:rsid w:val="004E05E6"/>
    <w:rsid w:val="00516647"/>
    <w:rsid w:val="00587163"/>
    <w:rsid w:val="005B42F9"/>
    <w:rsid w:val="005D1A14"/>
    <w:rsid w:val="005E39E1"/>
    <w:rsid w:val="00600CD8"/>
    <w:rsid w:val="006067C0"/>
    <w:rsid w:val="006237D8"/>
    <w:rsid w:val="00623857"/>
    <w:rsid w:val="00627A34"/>
    <w:rsid w:val="0063113A"/>
    <w:rsid w:val="00637CA0"/>
    <w:rsid w:val="00653ED6"/>
    <w:rsid w:val="00660ECD"/>
    <w:rsid w:val="00685272"/>
    <w:rsid w:val="006908A6"/>
    <w:rsid w:val="00691434"/>
    <w:rsid w:val="00694F88"/>
    <w:rsid w:val="00696CD4"/>
    <w:rsid w:val="006D0B60"/>
    <w:rsid w:val="006D5725"/>
    <w:rsid w:val="007458C5"/>
    <w:rsid w:val="00760970"/>
    <w:rsid w:val="00762963"/>
    <w:rsid w:val="00766CF1"/>
    <w:rsid w:val="007A7FE9"/>
    <w:rsid w:val="007F6813"/>
    <w:rsid w:val="00807231"/>
    <w:rsid w:val="00825C7D"/>
    <w:rsid w:val="00846035"/>
    <w:rsid w:val="00854BD2"/>
    <w:rsid w:val="0089074A"/>
    <w:rsid w:val="0089378C"/>
    <w:rsid w:val="008F3CE1"/>
    <w:rsid w:val="009348EE"/>
    <w:rsid w:val="009427D5"/>
    <w:rsid w:val="009543F1"/>
    <w:rsid w:val="00955B7B"/>
    <w:rsid w:val="00957A45"/>
    <w:rsid w:val="00963D89"/>
    <w:rsid w:val="00970EFF"/>
    <w:rsid w:val="00984961"/>
    <w:rsid w:val="00997A67"/>
    <w:rsid w:val="009A46EA"/>
    <w:rsid w:val="009D2406"/>
    <w:rsid w:val="009D2DBC"/>
    <w:rsid w:val="00A06CD8"/>
    <w:rsid w:val="00A1389B"/>
    <w:rsid w:val="00A2316C"/>
    <w:rsid w:val="00A45D65"/>
    <w:rsid w:val="00A53DA5"/>
    <w:rsid w:val="00A57F52"/>
    <w:rsid w:val="00A639E5"/>
    <w:rsid w:val="00A93398"/>
    <w:rsid w:val="00AC2ECC"/>
    <w:rsid w:val="00AE17D7"/>
    <w:rsid w:val="00AF1C87"/>
    <w:rsid w:val="00B034E3"/>
    <w:rsid w:val="00B215A2"/>
    <w:rsid w:val="00B65ABB"/>
    <w:rsid w:val="00B86E88"/>
    <w:rsid w:val="00BC02D8"/>
    <w:rsid w:val="00BC1C81"/>
    <w:rsid w:val="00C14CAF"/>
    <w:rsid w:val="00C17DA2"/>
    <w:rsid w:val="00C30D18"/>
    <w:rsid w:val="00C361F6"/>
    <w:rsid w:val="00C42ADC"/>
    <w:rsid w:val="00CA12F2"/>
    <w:rsid w:val="00CB31CD"/>
    <w:rsid w:val="00CD4597"/>
    <w:rsid w:val="00CE78FB"/>
    <w:rsid w:val="00D15939"/>
    <w:rsid w:val="00D24F33"/>
    <w:rsid w:val="00D307C7"/>
    <w:rsid w:val="00D35ABB"/>
    <w:rsid w:val="00D64A0B"/>
    <w:rsid w:val="00DA5C78"/>
    <w:rsid w:val="00DB21E8"/>
    <w:rsid w:val="00E41786"/>
    <w:rsid w:val="00E666F8"/>
    <w:rsid w:val="00E66E4E"/>
    <w:rsid w:val="00E96A0E"/>
    <w:rsid w:val="00EB3A11"/>
    <w:rsid w:val="00F1122E"/>
    <w:rsid w:val="00F36746"/>
    <w:rsid w:val="00F424B6"/>
    <w:rsid w:val="00F676E5"/>
    <w:rsid w:val="00F90390"/>
    <w:rsid w:val="00FA2C71"/>
    <w:rsid w:val="00FB1D14"/>
    <w:rsid w:val="00FC1C21"/>
    <w:rsid w:val="00FC5073"/>
    <w:rsid w:val="0BE165DB"/>
    <w:rsid w:val="119654BE"/>
    <w:rsid w:val="16597AAA"/>
    <w:rsid w:val="194D53D1"/>
    <w:rsid w:val="195A0DA9"/>
    <w:rsid w:val="1B40348A"/>
    <w:rsid w:val="1B4A6BE2"/>
    <w:rsid w:val="1BAE4112"/>
    <w:rsid w:val="1C310BBC"/>
    <w:rsid w:val="1E5A250B"/>
    <w:rsid w:val="1EAF332D"/>
    <w:rsid w:val="1F813CDA"/>
    <w:rsid w:val="20BB75AB"/>
    <w:rsid w:val="21475F62"/>
    <w:rsid w:val="294921DF"/>
    <w:rsid w:val="2D913524"/>
    <w:rsid w:val="316130C8"/>
    <w:rsid w:val="328A54EE"/>
    <w:rsid w:val="3886729A"/>
    <w:rsid w:val="3973530E"/>
    <w:rsid w:val="3986694D"/>
    <w:rsid w:val="39EA7366"/>
    <w:rsid w:val="3B8F2C90"/>
    <w:rsid w:val="409C04F7"/>
    <w:rsid w:val="40A245BC"/>
    <w:rsid w:val="46F26D63"/>
    <w:rsid w:val="48127815"/>
    <w:rsid w:val="4EFC2875"/>
    <w:rsid w:val="50835F49"/>
    <w:rsid w:val="50F84415"/>
    <w:rsid w:val="53964C21"/>
    <w:rsid w:val="542C1D48"/>
    <w:rsid w:val="57B95132"/>
    <w:rsid w:val="58597ABF"/>
    <w:rsid w:val="58886EBE"/>
    <w:rsid w:val="5A9749E7"/>
    <w:rsid w:val="5BA4699C"/>
    <w:rsid w:val="640E5E7A"/>
    <w:rsid w:val="64E70858"/>
    <w:rsid w:val="662B446E"/>
    <w:rsid w:val="669435F8"/>
    <w:rsid w:val="691F1E94"/>
    <w:rsid w:val="69F402FB"/>
    <w:rsid w:val="6EC22E87"/>
    <w:rsid w:val="772031D9"/>
    <w:rsid w:val="79627585"/>
    <w:rsid w:val="79EA7360"/>
    <w:rsid w:val="7B5D17C1"/>
    <w:rsid w:val="7FFE26E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uiPriority="99" w:name="List Number 5"/>
    <w:lsdException w:qFormat="1" w:unhideWhenUsed="0" w:uiPriority="0" w:semiHidden="0" w:name="Title"/>
    <w:lsdException w:qFormat="1" w:unhideWhenUsed="0" w:uiPriority="0" w:semiHidden="0"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qFormat="1" w:unhideWhenUsed="0" w:uiPriority="0" w:semiHidden="0"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802"/>
    <w:qFormat/>
    <w:uiPriority w:val="0"/>
    <w:pPr>
      <w:keepNext/>
      <w:keepLines/>
      <w:spacing w:before="340" w:after="330" w:line="578" w:lineRule="auto"/>
      <w:outlineLvl w:val="0"/>
    </w:pPr>
    <w:rPr>
      <w:b/>
      <w:bCs/>
      <w:kern w:val="44"/>
      <w:sz w:val="44"/>
      <w:szCs w:val="44"/>
    </w:rPr>
  </w:style>
  <w:style w:type="paragraph" w:styleId="3">
    <w:name w:val="heading 2"/>
    <w:basedOn w:val="4"/>
    <w:next w:val="5"/>
    <w:qFormat/>
    <w:uiPriority w:val="0"/>
    <w:pPr>
      <w:spacing w:before="360" w:after="120" w:line="360" w:lineRule="auto"/>
      <w:ind w:left="-5"/>
      <w:jc w:val="center"/>
      <w:outlineLvl w:val="1"/>
    </w:pPr>
    <w:rPr>
      <w:rFonts w:eastAsia="黑体"/>
      <w:b/>
      <w:sz w:val="32"/>
      <w:szCs w:val="20"/>
    </w:rPr>
  </w:style>
  <w:style w:type="paragraph" w:styleId="6">
    <w:name w:val="heading 3"/>
    <w:basedOn w:val="1"/>
    <w:next w:val="7"/>
    <w:qFormat/>
    <w:uiPriority w:val="0"/>
    <w:pPr>
      <w:keepNext/>
      <w:keepLines/>
      <w:tabs>
        <w:tab w:val="left" w:pos="287"/>
      </w:tabs>
      <w:spacing w:before="360" w:line="288" w:lineRule="auto"/>
      <w:ind w:left="1740"/>
      <w:jc w:val="left"/>
      <w:outlineLvl w:val="2"/>
    </w:pPr>
    <w:rPr>
      <w:rFonts w:ascii="宋体"/>
      <w:b/>
      <w:szCs w:val="20"/>
    </w:rPr>
  </w:style>
  <w:style w:type="paragraph" w:styleId="8">
    <w:name w:val="heading 4"/>
    <w:basedOn w:val="1"/>
    <w:next w:val="1"/>
    <w:qFormat/>
    <w:uiPriority w:val="0"/>
    <w:pPr>
      <w:keepNext/>
      <w:keepLines/>
      <w:spacing w:before="280" w:after="290" w:line="372" w:lineRule="auto"/>
      <w:outlineLvl w:val="3"/>
    </w:pPr>
    <w:rPr>
      <w:rFonts w:ascii="Arial" w:hAnsi="Arial" w:eastAsia="黑体"/>
      <w:b/>
      <w:sz w:val="28"/>
      <w:szCs w:val="20"/>
    </w:rPr>
  </w:style>
  <w:style w:type="paragraph" w:styleId="9">
    <w:name w:val="heading 5"/>
    <w:basedOn w:val="1"/>
    <w:next w:val="1"/>
    <w:qFormat/>
    <w:uiPriority w:val="0"/>
    <w:pPr>
      <w:keepNext/>
      <w:keepLines/>
      <w:spacing w:before="280" w:after="290" w:line="372" w:lineRule="auto"/>
      <w:outlineLvl w:val="4"/>
    </w:pPr>
    <w:rPr>
      <w:rFonts w:eastAsia="仿宋_GB2312"/>
      <w:b/>
      <w:sz w:val="28"/>
      <w:szCs w:val="20"/>
    </w:rPr>
  </w:style>
  <w:style w:type="paragraph" w:styleId="10">
    <w:name w:val="heading 6"/>
    <w:basedOn w:val="1"/>
    <w:next w:val="1"/>
    <w:qFormat/>
    <w:uiPriority w:val="0"/>
    <w:pPr>
      <w:keepNext/>
      <w:keepLines/>
      <w:spacing w:before="240" w:after="64" w:line="317" w:lineRule="auto"/>
      <w:outlineLvl w:val="5"/>
    </w:pPr>
    <w:rPr>
      <w:rFonts w:ascii="Arial" w:hAnsi="Arial" w:eastAsia="黑体"/>
      <w:b/>
      <w:sz w:val="24"/>
      <w:szCs w:val="20"/>
    </w:rPr>
  </w:style>
  <w:style w:type="paragraph" w:styleId="11">
    <w:name w:val="heading 7"/>
    <w:basedOn w:val="1"/>
    <w:next w:val="1"/>
    <w:qFormat/>
    <w:uiPriority w:val="0"/>
    <w:pPr>
      <w:keepNext/>
      <w:keepLines/>
      <w:spacing w:before="240" w:after="64" w:line="317" w:lineRule="auto"/>
      <w:outlineLvl w:val="6"/>
    </w:pPr>
    <w:rPr>
      <w:rFonts w:eastAsia="仿宋_GB2312"/>
      <w:b/>
      <w:sz w:val="24"/>
      <w:szCs w:val="20"/>
    </w:rPr>
  </w:style>
  <w:style w:type="paragraph" w:styleId="12">
    <w:name w:val="heading 8"/>
    <w:basedOn w:val="1"/>
    <w:next w:val="1"/>
    <w:qFormat/>
    <w:uiPriority w:val="0"/>
    <w:pPr>
      <w:keepNext/>
      <w:keepLines/>
      <w:spacing w:before="240" w:after="64" w:line="317" w:lineRule="auto"/>
      <w:outlineLvl w:val="7"/>
    </w:pPr>
    <w:rPr>
      <w:rFonts w:ascii="Arial" w:hAnsi="Arial" w:eastAsia="黑体"/>
      <w:sz w:val="24"/>
      <w:szCs w:val="20"/>
    </w:rPr>
  </w:style>
  <w:style w:type="paragraph" w:styleId="13">
    <w:name w:val="heading 9"/>
    <w:basedOn w:val="1"/>
    <w:next w:val="1"/>
    <w:qFormat/>
    <w:uiPriority w:val="0"/>
    <w:pPr>
      <w:keepNext/>
      <w:keepLines/>
      <w:spacing w:before="240" w:after="64" w:line="317" w:lineRule="auto"/>
      <w:outlineLvl w:val="8"/>
    </w:pPr>
    <w:rPr>
      <w:rFonts w:ascii="Arial" w:hAnsi="Arial" w:eastAsia="黑体"/>
      <w:szCs w:val="20"/>
    </w:rPr>
  </w:style>
  <w:style w:type="character" w:default="1" w:styleId="78">
    <w:name w:val="Default Paragraph Font"/>
    <w:semiHidden/>
    <w:unhideWhenUsed/>
    <w:qFormat/>
    <w:uiPriority w:val="1"/>
  </w:style>
  <w:style w:type="table" w:default="1" w:styleId="76">
    <w:name w:val="Normal Table"/>
    <w:semiHidden/>
    <w:unhideWhenUsed/>
    <w:qFormat/>
    <w:uiPriority w:val="99"/>
    <w:tblPr>
      <w:tblCellMar>
        <w:top w:w="0" w:type="dxa"/>
        <w:left w:w="108" w:type="dxa"/>
        <w:bottom w:w="0" w:type="dxa"/>
        <w:right w:w="108" w:type="dxa"/>
      </w:tblCellMar>
    </w:tblPr>
  </w:style>
  <w:style w:type="paragraph" w:styleId="4">
    <w:name w:val="toa heading"/>
    <w:basedOn w:val="1"/>
    <w:next w:val="1"/>
    <w:qFormat/>
    <w:uiPriority w:val="0"/>
    <w:pPr>
      <w:spacing w:before="120"/>
    </w:pPr>
    <w:rPr>
      <w:rFonts w:ascii="Arial" w:hAnsi="Arial" w:cs="Arial"/>
      <w:sz w:val="24"/>
    </w:rPr>
  </w:style>
  <w:style w:type="paragraph" w:styleId="5">
    <w:name w:val="Title"/>
    <w:basedOn w:val="1"/>
    <w:qFormat/>
    <w:uiPriority w:val="0"/>
    <w:pPr>
      <w:spacing w:before="240" w:after="60"/>
      <w:jc w:val="center"/>
      <w:outlineLvl w:val="0"/>
    </w:pPr>
    <w:rPr>
      <w:rFonts w:ascii="Arial" w:hAnsi="Arial" w:cs="Arial"/>
      <w:b/>
      <w:bCs/>
      <w:sz w:val="32"/>
      <w:szCs w:val="32"/>
    </w:rPr>
  </w:style>
  <w:style w:type="paragraph" w:styleId="7">
    <w:name w:val="Normal Indent"/>
    <w:basedOn w:val="1"/>
    <w:qFormat/>
    <w:uiPriority w:val="0"/>
    <w:pPr>
      <w:ind w:firstLine="420"/>
    </w:pPr>
    <w:rPr>
      <w:rFonts w:eastAsia="仿宋_GB2312"/>
      <w:sz w:val="32"/>
      <w:szCs w:val="20"/>
    </w:rPr>
  </w:style>
  <w:style w:type="paragraph" w:styleId="14">
    <w:name w:val="List 3"/>
    <w:basedOn w:val="1"/>
    <w:qFormat/>
    <w:uiPriority w:val="0"/>
    <w:pPr>
      <w:adjustRightInd w:val="0"/>
      <w:spacing w:line="312" w:lineRule="atLeast"/>
      <w:ind w:left="1260" w:hanging="420"/>
      <w:textAlignment w:val="baseline"/>
    </w:pPr>
    <w:rPr>
      <w:rFonts w:ascii="Arial" w:hAnsi="Arial"/>
      <w:kern w:val="0"/>
      <w:sz w:val="28"/>
      <w:szCs w:val="20"/>
    </w:rPr>
  </w:style>
  <w:style w:type="paragraph" w:styleId="15">
    <w:name w:val="toc 7"/>
    <w:basedOn w:val="1"/>
    <w:next w:val="1"/>
    <w:qFormat/>
    <w:uiPriority w:val="0"/>
    <w:pPr>
      <w:ind w:left="1200" w:leftChars="1200"/>
    </w:pPr>
    <w:rPr>
      <w:rFonts w:ascii="Calibri" w:hAnsi="Calibri"/>
      <w:szCs w:val="22"/>
    </w:rPr>
  </w:style>
  <w:style w:type="paragraph" w:styleId="16">
    <w:name w:val="List Number 2"/>
    <w:basedOn w:val="1"/>
    <w:qFormat/>
    <w:uiPriority w:val="0"/>
    <w:pPr>
      <w:widowControl/>
      <w:tabs>
        <w:tab w:val="left" w:pos="820"/>
      </w:tabs>
      <w:spacing w:afterLines="50"/>
      <w:ind w:left="820" w:hanging="420"/>
      <w:jc w:val="left"/>
    </w:pPr>
    <w:rPr>
      <w:kern w:val="0"/>
      <w:sz w:val="24"/>
      <w:szCs w:val="20"/>
    </w:rPr>
  </w:style>
  <w:style w:type="paragraph" w:styleId="17">
    <w:name w:val="table of authorities"/>
    <w:basedOn w:val="1"/>
    <w:next w:val="1"/>
    <w:qFormat/>
    <w:uiPriority w:val="0"/>
    <w:pPr>
      <w:ind w:left="200" w:leftChars="200"/>
    </w:pPr>
    <w:rPr>
      <w:szCs w:val="20"/>
    </w:rPr>
  </w:style>
  <w:style w:type="paragraph" w:styleId="18">
    <w:name w:val="Note Heading"/>
    <w:basedOn w:val="1"/>
    <w:next w:val="1"/>
    <w:qFormat/>
    <w:uiPriority w:val="0"/>
    <w:pPr>
      <w:widowControl/>
      <w:jc w:val="center"/>
    </w:pPr>
    <w:rPr>
      <w:rFonts w:ascii="宋体"/>
      <w:kern w:val="0"/>
      <w:sz w:val="24"/>
      <w:lang w:bidi="en-US"/>
    </w:rPr>
  </w:style>
  <w:style w:type="paragraph" w:styleId="19">
    <w:name w:val="index 8"/>
    <w:basedOn w:val="1"/>
    <w:next w:val="1"/>
    <w:qFormat/>
    <w:uiPriority w:val="0"/>
    <w:pPr>
      <w:ind w:left="1400" w:leftChars="1400" w:firstLine="218" w:firstLineChars="218"/>
    </w:pPr>
    <w:rPr>
      <w:sz w:val="28"/>
      <w:szCs w:val="20"/>
    </w:rPr>
  </w:style>
  <w:style w:type="paragraph" w:styleId="20">
    <w:name w:val="List Number"/>
    <w:basedOn w:val="1"/>
    <w:qFormat/>
    <w:uiPriority w:val="0"/>
    <w:pPr>
      <w:widowControl/>
      <w:tabs>
        <w:tab w:val="left" w:pos="852"/>
      </w:tabs>
      <w:spacing w:afterLines="50"/>
      <w:jc w:val="left"/>
    </w:pPr>
    <w:rPr>
      <w:kern w:val="0"/>
      <w:sz w:val="24"/>
      <w:szCs w:val="20"/>
    </w:rPr>
  </w:style>
  <w:style w:type="paragraph" w:styleId="21">
    <w:name w:val="caption"/>
    <w:basedOn w:val="1"/>
    <w:next w:val="1"/>
    <w:qFormat/>
    <w:uiPriority w:val="0"/>
    <w:rPr>
      <w:rFonts w:ascii="Cambria" w:hAnsi="Cambria" w:eastAsia="黑体"/>
      <w:sz w:val="20"/>
      <w:szCs w:val="20"/>
    </w:rPr>
  </w:style>
  <w:style w:type="paragraph" w:styleId="22">
    <w:name w:val="index 5"/>
    <w:basedOn w:val="1"/>
    <w:next w:val="1"/>
    <w:qFormat/>
    <w:uiPriority w:val="0"/>
    <w:pPr>
      <w:ind w:left="800" w:leftChars="800" w:firstLine="218" w:firstLineChars="218"/>
    </w:pPr>
    <w:rPr>
      <w:sz w:val="28"/>
      <w:szCs w:val="20"/>
    </w:rPr>
  </w:style>
  <w:style w:type="paragraph" w:styleId="23">
    <w:name w:val="List Bullet"/>
    <w:basedOn w:val="1"/>
    <w:qFormat/>
    <w:uiPriority w:val="0"/>
    <w:pPr>
      <w:tabs>
        <w:tab w:val="left" w:pos="1115"/>
      </w:tabs>
      <w:ind w:left="1115" w:hanging="690"/>
    </w:pPr>
    <w:rPr>
      <w:szCs w:val="20"/>
    </w:rPr>
  </w:style>
  <w:style w:type="paragraph" w:styleId="24">
    <w:name w:val="Document Map"/>
    <w:basedOn w:val="1"/>
    <w:qFormat/>
    <w:uiPriority w:val="0"/>
    <w:pPr>
      <w:shd w:val="clear" w:color="auto" w:fill="000080"/>
    </w:pPr>
    <w:rPr>
      <w:rFonts w:eastAsia="仿宋_GB2312"/>
      <w:sz w:val="32"/>
      <w:szCs w:val="20"/>
    </w:rPr>
  </w:style>
  <w:style w:type="paragraph" w:styleId="25">
    <w:name w:val="annotation text"/>
    <w:basedOn w:val="1"/>
    <w:qFormat/>
    <w:uiPriority w:val="0"/>
    <w:pPr>
      <w:jc w:val="left"/>
    </w:pPr>
    <w:rPr>
      <w:rFonts w:eastAsia="仿宋_GB2312"/>
      <w:sz w:val="32"/>
      <w:szCs w:val="20"/>
    </w:rPr>
  </w:style>
  <w:style w:type="paragraph" w:styleId="26">
    <w:name w:val="index 6"/>
    <w:basedOn w:val="1"/>
    <w:next w:val="1"/>
    <w:qFormat/>
    <w:uiPriority w:val="0"/>
    <w:pPr>
      <w:ind w:left="1000" w:leftChars="1000" w:firstLine="218" w:firstLineChars="218"/>
    </w:pPr>
    <w:rPr>
      <w:sz w:val="28"/>
      <w:szCs w:val="20"/>
    </w:rPr>
  </w:style>
  <w:style w:type="paragraph" w:styleId="27">
    <w:name w:val="Salutation"/>
    <w:basedOn w:val="1"/>
    <w:next w:val="1"/>
    <w:qFormat/>
    <w:uiPriority w:val="0"/>
    <w:pPr>
      <w:adjustRightInd w:val="0"/>
      <w:jc w:val="left"/>
      <w:textAlignment w:val="baseline"/>
    </w:pPr>
    <w:rPr>
      <w:rFonts w:eastAsia="Times New Roman"/>
      <w:color w:val="0000FF"/>
      <w:kern w:val="0"/>
      <w:szCs w:val="20"/>
    </w:rPr>
  </w:style>
  <w:style w:type="paragraph" w:styleId="28">
    <w:name w:val="Body Text 3"/>
    <w:basedOn w:val="1"/>
    <w:qFormat/>
    <w:uiPriority w:val="0"/>
    <w:pPr>
      <w:adjustRightInd w:val="0"/>
      <w:spacing w:line="360" w:lineRule="atLeast"/>
      <w:jc w:val="left"/>
      <w:textAlignment w:val="baseline"/>
    </w:pPr>
    <w:rPr>
      <w:color w:val="FF0000"/>
      <w:kern w:val="0"/>
      <w:sz w:val="24"/>
      <w:szCs w:val="20"/>
    </w:rPr>
  </w:style>
  <w:style w:type="paragraph" w:styleId="29">
    <w:name w:val="Closing"/>
    <w:basedOn w:val="1"/>
    <w:next w:val="1"/>
    <w:qFormat/>
    <w:uiPriority w:val="0"/>
    <w:pPr>
      <w:adjustRightInd w:val="0"/>
      <w:ind w:left="4320"/>
      <w:jc w:val="left"/>
      <w:textAlignment w:val="baseline"/>
    </w:pPr>
    <w:rPr>
      <w:rFonts w:eastAsia="Times New Roman"/>
      <w:color w:val="0000FF"/>
      <w:kern w:val="0"/>
      <w:szCs w:val="20"/>
    </w:rPr>
  </w:style>
  <w:style w:type="paragraph" w:styleId="30">
    <w:name w:val="Body Text"/>
    <w:basedOn w:val="1"/>
    <w:next w:val="1"/>
    <w:qFormat/>
    <w:uiPriority w:val="0"/>
    <w:pPr>
      <w:tabs>
        <w:tab w:val="left" w:pos="574"/>
      </w:tabs>
      <w:spacing w:line="288" w:lineRule="auto"/>
    </w:pPr>
    <w:rPr>
      <w:rFonts w:ascii="宋体"/>
      <w:szCs w:val="20"/>
    </w:rPr>
  </w:style>
  <w:style w:type="paragraph" w:styleId="31">
    <w:name w:val="Body Text Indent"/>
    <w:basedOn w:val="1"/>
    <w:next w:val="32"/>
    <w:qFormat/>
    <w:uiPriority w:val="0"/>
    <w:pPr>
      <w:spacing w:after="120"/>
      <w:ind w:left="200" w:leftChars="200"/>
    </w:pPr>
    <w:rPr>
      <w:rFonts w:eastAsia="仿宋_GB2312"/>
      <w:sz w:val="32"/>
      <w:szCs w:val="20"/>
    </w:rPr>
  </w:style>
  <w:style w:type="paragraph" w:styleId="32">
    <w:name w:val="Body Text First Indent 2"/>
    <w:basedOn w:val="31"/>
    <w:next w:val="1"/>
    <w:qFormat/>
    <w:uiPriority w:val="0"/>
    <w:pPr>
      <w:ind w:firstLine="200" w:firstLineChars="200"/>
    </w:pPr>
  </w:style>
  <w:style w:type="paragraph" w:styleId="33">
    <w:name w:val="List Number 3"/>
    <w:basedOn w:val="1"/>
    <w:qFormat/>
    <w:uiPriority w:val="0"/>
    <w:pPr>
      <w:widowControl/>
      <w:tabs>
        <w:tab w:val="left" w:pos="1050"/>
      </w:tabs>
      <w:spacing w:afterLines="50"/>
      <w:ind w:left="840" w:hanging="420"/>
      <w:jc w:val="left"/>
    </w:pPr>
    <w:rPr>
      <w:kern w:val="0"/>
      <w:sz w:val="24"/>
      <w:szCs w:val="20"/>
    </w:rPr>
  </w:style>
  <w:style w:type="paragraph" w:styleId="34">
    <w:name w:val="List 2"/>
    <w:basedOn w:val="1"/>
    <w:qFormat/>
    <w:uiPriority w:val="0"/>
    <w:pPr>
      <w:ind w:left="400" w:leftChars="200" w:hanging="200" w:hangingChars="200"/>
    </w:pPr>
  </w:style>
  <w:style w:type="paragraph" w:styleId="35">
    <w:name w:val="List Continue"/>
    <w:basedOn w:val="1"/>
    <w:qFormat/>
    <w:uiPriority w:val="0"/>
    <w:pPr>
      <w:spacing w:after="120"/>
      <w:ind w:left="200" w:leftChars="200"/>
      <w:contextualSpacing/>
    </w:pPr>
  </w:style>
  <w:style w:type="paragraph" w:styleId="36">
    <w:name w:val="Block Text"/>
    <w:basedOn w:val="1"/>
    <w:qFormat/>
    <w:uiPriority w:val="0"/>
    <w:pPr>
      <w:ind w:left="720" w:right="746"/>
    </w:pPr>
    <w:rPr>
      <w:rFonts w:ascii="宋体"/>
      <w:sz w:val="24"/>
      <w:szCs w:val="20"/>
    </w:rPr>
  </w:style>
  <w:style w:type="paragraph" w:styleId="37">
    <w:name w:val="index 4"/>
    <w:basedOn w:val="1"/>
    <w:next w:val="1"/>
    <w:qFormat/>
    <w:uiPriority w:val="0"/>
    <w:pPr>
      <w:ind w:left="600" w:leftChars="600"/>
    </w:pPr>
  </w:style>
  <w:style w:type="paragraph" w:styleId="38">
    <w:name w:val="toc 5"/>
    <w:basedOn w:val="1"/>
    <w:next w:val="1"/>
    <w:qFormat/>
    <w:uiPriority w:val="0"/>
    <w:pPr>
      <w:ind w:left="800" w:leftChars="800"/>
    </w:pPr>
    <w:rPr>
      <w:rFonts w:ascii="Calibri" w:hAnsi="Calibri"/>
      <w:szCs w:val="22"/>
    </w:rPr>
  </w:style>
  <w:style w:type="paragraph" w:styleId="39">
    <w:name w:val="toc 3"/>
    <w:basedOn w:val="1"/>
    <w:next w:val="1"/>
    <w:qFormat/>
    <w:uiPriority w:val="0"/>
    <w:pPr>
      <w:ind w:left="400" w:leftChars="400"/>
    </w:pPr>
  </w:style>
  <w:style w:type="paragraph" w:styleId="40">
    <w:name w:val="Plain Text"/>
    <w:basedOn w:val="1"/>
    <w:next w:val="41"/>
    <w:qFormat/>
    <w:uiPriority w:val="0"/>
    <w:rPr>
      <w:rFonts w:ascii="宋体"/>
      <w:szCs w:val="20"/>
    </w:rPr>
  </w:style>
  <w:style w:type="paragraph" w:styleId="41">
    <w:name w:val="toc 2"/>
    <w:basedOn w:val="1"/>
    <w:next w:val="1"/>
    <w:qFormat/>
    <w:uiPriority w:val="0"/>
    <w:pPr>
      <w:ind w:left="200" w:leftChars="200"/>
    </w:pPr>
  </w:style>
  <w:style w:type="paragraph" w:styleId="42">
    <w:name w:val="List Number 4"/>
    <w:basedOn w:val="1"/>
    <w:qFormat/>
    <w:uiPriority w:val="0"/>
    <w:pPr>
      <w:widowControl/>
      <w:tabs>
        <w:tab w:val="left" w:pos="1531"/>
      </w:tabs>
      <w:spacing w:afterLines="50"/>
      <w:ind w:left="1531" w:hanging="397"/>
      <w:jc w:val="left"/>
    </w:pPr>
    <w:rPr>
      <w:kern w:val="0"/>
      <w:sz w:val="24"/>
      <w:szCs w:val="20"/>
    </w:rPr>
  </w:style>
  <w:style w:type="paragraph" w:styleId="43">
    <w:name w:val="toc 8"/>
    <w:basedOn w:val="1"/>
    <w:next w:val="1"/>
    <w:qFormat/>
    <w:uiPriority w:val="0"/>
    <w:pPr>
      <w:ind w:left="1400" w:leftChars="1400"/>
    </w:pPr>
    <w:rPr>
      <w:rFonts w:ascii="Calibri" w:hAnsi="Calibri"/>
      <w:szCs w:val="22"/>
    </w:rPr>
  </w:style>
  <w:style w:type="paragraph" w:styleId="44">
    <w:name w:val="index 3"/>
    <w:basedOn w:val="1"/>
    <w:next w:val="1"/>
    <w:qFormat/>
    <w:uiPriority w:val="0"/>
    <w:pPr>
      <w:ind w:left="400" w:leftChars="400" w:firstLine="218" w:firstLineChars="218"/>
    </w:pPr>
    <w:rPr>
      <w:sz w:val="28"/>
      <w:szCs w:val="20"/>
    </w:rPr>
  </w:style>
  <w:style w:type="paragraph" w:styleId="45">
    <w:name w:val="Date"/>
    <w:basedOn w:val="1"/>
    <w:next w:val="1"/>
    <w:qFormat/>
    <w:uiPriority w:val="0"/>
    <w:rPr>
      <w:rFonts w:eastAsia="仿宋_GB2312"/>
      <w:sz w:val="28"/>
      <w:szCs w:val="20"/>
    </w:rPr>
  </w:style>
  <w:style w:type="paragraph" w:styleId="46">
    <w:name w:val="Body Text Indent 2"/>
    <w:basedOn w:val="1"/>
    <w:qFormat/>
    <w:uiPriority w:val="0"/>
    <w:pPr>
      <w:ind w:firstLine="600"/>
    </w:pPr>
    <w:rPr>
      <w:rFonts w:eastAsia="仿宋_GB2312"/>
      <w:color w:val="000080"/>
      <w:sz w:val="30"/>
      <w:szCs w:val="20"/>
    </w:rPr>
  </w:style>
  <w:style w:type="paragraph" w:styleId="47">
    <w:name w:val="endnote text"/>
    <w:basedOn w:val="1"/>
    <w:qFormat/>
    <w:uiPriority w:val="0"/>
    <w:pPr>
      <w:snapToGrid w:val="0"/>
      <w:jc w:val="left"/>
    </w:pPr>
    <w:rPr>
      <w:rFonts w:ascii="宋体"/>
      <w:sz w:val="24"/>
      <w:szCs w:val="20"/>
    </w:rPr>
  </w:style>
  <w:style w:type="paragraph" w:styleId="48">
    <w:name w:val="Balloon Text"/>
    <w:basedOn w:val="1"/>
    <w:qFormat/>
    <w:uiPriority w:val="0"/>
    <w:rPr>
      <w:sz w:val="18"/>
      <w:szCs w:val="20"/>
    </w:rPr>
  </w:style>
  <w:style w:type="paragraph" w:styleId="49">
    <w:name w:val="footer"/>
    <w:basedOn w:val="1"/>
    <w:qFormat/>
    <w:uiPriority w:val="0"/>
    <w:pPr>
      <w:tabs>
        <w:tab w:val="center" w:pos="4153"/>
        <w:tab w:val="right" w:pos="8306"/>
      </w:tabs>
      <w:snapToGrid w:val="0"/>
      <w:jc w:val="left"/>
    </w:pPr>
    <w:rPr>
      <w:sz w:val="18"/>
      <w:szCs w:val="20"/>
    </w:rPr>
  </w:style>
  <w:style w:type="paragraph" w:styleId="50">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51">
    <w:name w:val="toc 1"/>
    <w:basedOn w:val="1"/>
    <w:next w:val="1"/>
    <w:qFormat/>
    <w:uiPriority w:val="0"/>
  </w:style>
  <w:style w:type="paragraph" w:styleId="52">
    <w:name w:val="List Continue 4"/>
    <w:basedOn w:val="1"/>
    <w:qFormat/>
    <w:uiPriority w:val="0"/>
    <w:pPr>
      <w:spacing w:after="120"/>
      <w:ind w:left="1680"/>
    </w:pPr>
    <w:rPr>
      <w:szCs w:val="20"/>
    </w:rPr>
  </w:style>
  <w:style w:type="paragraph" w:styleId="53">
    <w:name w:val="toc 4"/>
    <w:basedOn w:val="1"/>
    <w:next w:val="1"/>
    <w:qFormat/>
    <w:uiPriority w:val="0"/>
    <w:pPr>
      <w:ind w:left="600" w:leftChars="600"/>
    </w:pPr>
    <w:rPr>
      <w:rFonts w:ascii="Calibri" w:hAnsi="Calibri"/>
      <w:szCs w:val="22"/>
    </w:rPr>
  </w:style>
  <w:style w:type="paragraph" w:styleId="54">
    <w:name w:val="index heading"/>
    <w:basedOn w:val="1"/>
    <w:next w:val="55"/>
    <w:qFormat/>
    <w:uiPriority w:val="0"/>
    <w:pPr>
      <w:ind w:firstLine="218" w:firstLineChars="218"/>
    </w:pPr>
    <w:rPr>
      <w:sz w:val="28"/>
      <w:szCs w:val="20"/>
    </w:rPr>
  </w:style>
  <w:style w:type="paragraph" w:styleId="55">
    <w:name w:val="index 1"/>
    <w:basedOn w:val="1"/>
    <w:next w:val="1"/>
    <w:qFormat/>
    <w:uiPriority w:val="0"/>
    <w:pPr>
      <w:adjustRightInd w:val="0"/>
      <w:spacing w:line="360" w:lineRule="atLeast"/>
      <w:jc w:val="left"/>
      <w:textAlignment w:val="baseline"/>
    </w:pPr>
    <w:rPr>
      <w:kern w:val="0"/>
      <w:sz w:val="24"/>
      <w:szCs w:val="20"/>
    </w:rPr>
  </w:style>
  <w:style w:type="paragraph" w:styleId="56">
    <w:name w:val="Subtitle"/>
    <w:basedOn w:val="1"/>
    <w:qFormat/>
    <w:uiPriority w:val="0"/>
    <w:pPr>
      <w:widowControl/>
      <w:jc w:val="left"/>
    </w:pPr>
    <w:rPr>
      <w:rFonts w:ascii="Arial" w:hAnsi="Arial" w:eastAsia="Times New Roman"/>
      <w:b/>
      <w:i/>
      <w:snapToGrid w:val="0"/>
      <w:color w:val="FF0000"/>
      <w:kern w:val="0"/>
      <w:sz w:val="28"/>
      <w:szCs w:val="20"/>
    </w:rPr>
  </w:style>
  <w:style w:type="paragraph" w:styleId="57">
    <w:name w:val="List"/>
    <w:basedOn w:val="1"/>
    <w:qFormat/>
    <w:uiPriority w:val="0"/>
    <w:pPr>
      <w:adjustRightInd w:val="0"/>
      <w:spacing w:line="312" w:lineRule="atLeast"/>
      <w:ind w:left="420" w:hanging="420"/>
      <w:textAlignment w:val="baseline"/>
    </w:pPr>
    <w:rPr>
      <w:kern w:val="0"/>
      <w:szCs w:val="20"/>
    </w:rPr>
  </w:style>
  <w:style w:type="paragraph" w:styleId="58">
    <w:name w:val="footnote text"/>
    <w:basedOn w:val="1"/>
    <w:qFormat/>
    <w:uiPriority w:val="0"/>
    <w:pPr>
      <w:snapToGrid w:val="0"/>
      <w:jc w:val="left"/>
    </w:pPr>
    <w:rPr>
      <w:kern w:val="0"/>
      <w:sz w:val="18"/>
      <w:szCs w:val="18"/>
    </w:rPr>
  </w:style>
  <w:style w:type="paragraph" w:styleId="59">
    <w:name w:val="toc 6"/>
    <w:basedOn w:val="1"/>
    <w:next w:val="1"/>
    <w:qFormat/>
    <w:uiPriority w:val="0"/>
    <w:pPr>
      <w:ind w:left="1000" w:leftChars="1000"/>
    </w:pPr>
    <w:rPr>
      <w:rFonts w:ascii="Calibri" w:hAnsi="Calibri"/>
      <w:szCs w:val="22"/>
    </w:rPr>
  </w:style>
  <w:style w:type="paragraph" w:styleId="60">
    <w:name w:val="List 5"/>
    <w:basedOn w:val="1"/>
    <w:qFormat/>
    <w:uiPriority w:val="0"/>
    <w:pPr>
      <w:ind w:left="1000" w:leftChars="800" w:hanging="200" w:hangingChars="200"/>
      <w:contextualSpacing/>
    </w:pPr>
  </w:style>
  <w:style w:type="paragraph" w:styleId="61">
    <w:name w:val="Body Text Indent 3"/>
    <w:basedOn w:val="1"/>
    <w:qFormat/>
    <w:uiPriority w:val="0"/>
    <w:pPr>
      <w:spacing w:after="120"/>
      <w:ind w:left="200" w:leftChars="200"/>
    </w:pPr>
    <w:rPr>
      <w:sz w:val="16"/>
      <w:szCs w:val="20"/>
    </w:rPr>
  </w:style>
  <w:style w:type="paragraph" w:styleId="62">
    <w:name w:val="index 7"/>
    <w:basedOn w:val="1"/>
    <w:next w:val="1"/>
    <w:qFormat/>
    <w:uiPriority w:val="0"/>
    <w:pPr>
      <w:ind w:left="1200" w:leftChars="1200" w:firstLine="218" w:firstLineChars="218"/>
    </w:pPr>
    <w:rPr>
      <w:sz w:val="28"/>
      <w:szCs w:val="20"/>
    </w:rPr>
  </w:style>
  <w:style w:type="paragraph" w:styleId="63">
    <w:name w:val="index 9"/>
    <w:basedOn w:val="1"/>
    <w:next w:val="1"/>
    <w:qFormat/>
    <w:uiPriority w:val="0"/>
    <w:pPr>
      <w:ind w:left="1600" w:leftChars="1600" w:firstLine="218" w:firstLineChars="218"/>
    </w:pPr>
    <w:rPr>
      <w:sz w:val="28"/>
      <w:szCs w:val="20"/>
    </w:rPr>
  </w:style>
  <w:style w:type="paragraph" w:styleId="64">
    <w:name w:val="table of figures"/>
    <w:basedOn w:val="1"/>
    <w:next w:val="1"/>
    <w:qFormat/>
    <w:uiPriority w:val="0"/>
    <w:pPr>
      <w:ind w:left="400" w:leftChars="200" w:hanging="200" w:hangingChars="200"/>
    </w:pPr>
  </w:style>
  <w:style w:type="paragraph" w:styleId="65">
    <w:name w:val="toc 9"/>
    <w:basedOn w:val="1"/>
    <w:next w:val="1"/>
    <w:qFormat/>
    <w:uiPriority w:val="0"/>
    <w:pPr>
      <w:ind w:left="1600" w:leftChars="1600"/>
    </w:pPr>
    <w:rPr>
      <w:rFonts w:ascii="Calibri" w:hAnsi="Calibri"/>
      <w:szCs w:val="22"/>
    </w:rPr>
  </w:style>
  <w:style w:type="paragraph" w:styleId="66">
    <w:name w:val="Body Text 2"/>
    <w:basedOn w:val="1"/>
    <w:qFormat/>
    <w:uiPriority w:val="0"/>
    <w:pPr>
      <w:jc w:val="center"/>
    </w:pPr>
    <w:rPr>
      <w:b/>
      <w:sz w:val="28"/>
      <w:szCs w:val="20"/>
    </w:rPr>
  </w:style>
  <w:style w:type="paragraph" w:styleId="67">
    <w:name w:val="List 4"/>
    <w:basedOn w:val="1"/>
    <w:qFormat/>
    <w:uiPriority w:val="0"/>
    <w:pPr>
      <w:adjustRightInd w:val="0"/>
      <w:spacing w:line="312" w:lineRule="atLeast"/>
      <w:ind w:left="1680" w:hanging="420"/>
      <w:textAlignment w:val="baseline"/>
    </w:pPr>
    <w:rPr>
      <w:rFonts w:ascii="Arial" w:hAnsi="Arial"/>
      <w:kern w:val="0"/>
      <w:sz w:val="28"/>
      <w:szCs w:val="20"/>
    </w:rPr>
  </w:style>
  <w:style w:type="paragraph" w:styleId="68">
    <w:name w:val="List Continue 2"/>
    <w:basedOn w:val="1"/>
    <w:qFormat/>
    <w:uiPriority w:val="0"/>
    <w:pPr>
      <w:adjustRightInd w:val="0"/>
      <w:spacing w:after="120" w:line="312" w:lineRule="atLeast"/>
      <w:ind w:left="840"/>
      <w:textAlignment w:val="baseline"/>
    </w:pPr>
    <w:rPr>
      <w:rFonts w:ascii="Arial" w:hAnsi="Arial"/>
      <w:kern w:val="0"/>
      <w:sz w:val="28"/>
      <w:szCs w:val="20"/>
    </w:rPr>
  </w:style>
  <w:style w:type="paragraph" w:styleId="69">
    <w:name w:val="Message Header"/>
    <w:basedOn w:val="30"/>
    <w:qFormat/>
    <w:uiPriority w:val="0"/>
    <w:pPr>
      <w:keepLines/>
      <w:widowControl/>
      <w:tabs>
        <w:tab w:val="clear" w:pos="574"/>
      </w:tabs>
      <w:spacing w:after="40" w:line="140" w:lineRule="atLeast"/>
      <w:ind w:left="360"/>
      <w:jc w:val="left"/>
    </w:pPr>
    <w:rPr>
      <w:rFonts w:ascii="Cambria" w:hAnsi="Cambria"/>
      <w:kern w:val="0"/>
      <w:sz w:val="24"/>
      <w:szCs w:val="24"/>
    </w:rPr>
  </w:style>
  <w:style w:type="paragraph" w:styleId="70">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Verdana" w:hAnsi="Verdana" w:eastAsia="Verdana"/>
      <w:kern w:val="0"/>
      <w:sz w:val="20"/>
      <w:szCs w:val="20"/>
    </w:rPr>
  </w:style>
  <w:style w:type="paragraph" w:styleId="71">
    <w:name w:val="Normal (Web)"/>
    <w:basedOn w:val="1"/>
    <w:qFormat/>
    <w:uiPriority w:val="99"/>
    <w:pPr>
      <w:widowControl/>
      <w:spacing w:before="100" w:beforeAutospacing="1" w:after="100" w:afterAutospacing="1"/>
      <w:jc w:val="left"/>
    </w:pPr>
    <w:rPr>
      <w:rFonts w:ascii="宋体"/>
      <w:kern w:val="0"/>
      <w:sz w:val="24"/>
      <w:szCs w:val="20"/>
    </w:rPr>
  </w:style>
  <w:style w:type="paragraph" w:styleId="72">
    <w:name w:val="List Continue 3"/>
    <w:basedOn w:val="1"/>
    <w:qFormat/>
    <w:uiPriority w:val="0"/>
    <w:pPr>
      <w:adjustRightInd w:val="0"/>
      <w:spacing w:after="120" w:line="312" w:lineRule="atLeast"/>
      <w:ind w:left="1260"/>
      <w:textAlignment w:val="baseline"/>
    </w:pPr>
    <w:rPr>
      <w:rFonts w:ascii="Arial" w:hAnsi="Arial"/>
      <w:kern w:val="0"/>
      <w:sz w:val="28"/>
      <w:szCs w:val="20"/>
    </w:rPr>
  </w:style>
  <w:style w:type="paragraph" w:styleId="73">
    <w:name w:val="index 2"/>
    <w:basedOn w:val="1"/>
    <w:next w:val="1"/>
    <w:qFormat/>
    <w:uiPriority w:val="0"/>
    <w:pPr>
      <w:ind w:left="200" w:leftChars="200" w:firstLine="218" w:firstLineChars="218"/>
    </w:pPr>
    <w:rPr>
      <w:sz w:val="28"/>
      <w:szCs w:val="20"/>
    </w:rPr>
  </w:style>
  <w:style w:type="paragraph" w:styleId="74">
    <w:name w:val="annotation subject"/>
    <w:basedOn w:val="25"/>
    <w:next w:val="25"/>
    <w:qFormat/>
    <w:uiPriority w:val="0"/>
    <w:rPr>
      <w:b/>
    </w:rPr>
  </w:style>
  <w:style w:type="paragraph" w:styleId="75">
    <w:name w:val="Body Text First Indent"/>
    <w:basedOn w:val="30"/>
    <w:qFormat/>
    <w:uiPriority w:val="0"/>
    <w:pPr>
      <w:tabs>
        <w:tab w:val="clear" w:pos="574"/>
      </w:tabs>
      <w:spacing w:after="120" w:line="240" w:lineRule="auto"/>
      <w:ind w:firstLine="100" w:firstLineChars="100"/>
    </w:pPr>
    <w:rPr>
      <w:sz w:val="24"/>
    </w:rPr>
  </w:style>
  <w:style w:type="table" w:styleId="77">
    <w:name w:val="Table Grid"/>
    <w:basedOn w:val="7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9">
    <w:name w:val="Strong"/>
    <w:basedOn w:val="78"/>
    <w:qFormat/>
    <w:uiPriority w:val="0"/>
    <w:rPr>
      <w:rFonts w:cs="Times New Roman"/>
      <w:b/>
    </w:rPr>
  </w:style>
  <w:style w:type="character" w:styleId="80">
    <w:name w:val="endnote reference"/>
    <w:qFormat/>
    <w:uiPriority w:val="0"/>
    <w:rPr>
      <w:rFonts w:cs="Times New Roman"/>
      <w:vertAlign w:val="superscript"/>
    </w:rPr>
  </w:style>
  <w:style w:type="character" w:styleId="81">
    <w:name w:val="page number"/>
    <w:basedOn w:val="78"/>
    <w:qFormat/>
    <w:uiPriority w:val="0"/>
    <w:rPr>
      <w:rFonts w:cs="Times New Roman"/>
    </w:rPr>
  </w:style>
  <w:style w:type="character" w:styleId="82">
    <w:name w:val="FollowedHyperlink"/>
    <w:basedOn w:val="78"/>
    <w:qFormat/>
    <w:uiPriority w:val="0"/>
    <w:rPr>
      <w:rFonts w:cs="Times New Roman"/>
      <w:color w:val="800080"/>
      <w:u w:val="single"/>
    </w:rPr>
  </w:style>
  <w:style w:type="character" w:styleId="83">
    <w:name w:val="Emphasis"/>
    <w:basedOn w:val="78"/>
    <w:qFormat/>
    <w:uiPriority w:val="20"/>
    <w:rPr>
      <w:rFonts w:cs="Times New Roman"/>
      <w:color w:val="CC0000"/>
    </w:rPr>
  </w:style>
  <w:style w:type="character" w:styleId="84">
    <w:name w:val="line number"/>
    <w:qFormat/>
    <w:uiPriority w:val="0"/>
  </w:style>
  <w:style w:type="character" w:styleId="85">
    <w:name w:val="HTML Typewriter"/>
    <w:qFormat/>
    <w:uiPriority w:val="0"/>
    <w:rPr>
      <w:rFonts w:ascii="宋体" w:eastAsia="宋体"/>
      <w:sz w:val="24"/>
    </w:rPr>
  </w:style>
  <w:style w:type="character" w:styleId="86">
    <w:name w:val="Hyperlink"/>
    <w:basedOn w:val="78"/>
    <w:qFormat/>
    <w:uiPriority w:val="0"/>
    <w:rPr>
      <w:rFonts w:cs="Times New Roman"/>
    </w:rPr>
  </w:style>
  <w:style w:type="character" w:styleId="87">
    <w:name w:val="annotation reference"/>
    <w:basedOn w:val="78"/>
    <w:qFormat/>
    <w:uiPriority w:val="0"/>
    <w:rPr>
      <w:rFonts w:cs="Times New Roman"/>
      <w:sz w:val="21"/>
    </w:rPr>
  </w:style>
  <w:style w:type="character" w:styleId="88">
    <w:name w:val="footnote reference"/>
    <w:qFormat/>
    <w:uiPriority w:val="0"/>
    <w:rPr>
      <w:rFonts w:cs="Times New Roman"/>
      <w:vertAlign w:val="superscript"/>
    </w:rPr>
  </w:style>
  <w:style w:type="paragraph" w:customStyle="1" w:styleId="89">
    <w:name w:val="样式2"/>
    <w:basedOn w:val="1"/>
    <w:qFormat/>
    <w:uiPriority w:val="0"/>
    <w:pPr>
      <w:adjustRightInd w:val="0"/>
      <w:spacing w:line="410" w:lineRule="atLeast"/>
      <w:jc w:val="left"/>
      <w:textAlignment w:val="baseline"/>
    </w:pPr>
    <w:rPr>
      <w:kern w:val="0"/>
      <w:sz w:val="24"/>
      <w:szCs w:val="20"/>
    </w:rPr>
  </w:style>
  <w:style w:type="paragraph" w:customStyle="1" w:styleId="90">
    <w:name w:val="1  样式1"/>
    <w:basedOn w:val="1"/>
    <w:qFormat/>
    <w:uiPriority w:val="0"/>
    <w:pPr>
      <w:tabs>
        <w:tab w:val="left" w:pos="750"/>
      </w:tabs>
      <w:spacing w:afterLines="50" w:line="500" w:lineRule="exact"/>
      <w:ind w:left="420" w:hanging="420"/>
      <w:outlineLvl w:val="0"/>
    </w:pPr>
    <w:rPr>
      <w:rFonts w:ascii="宋体"/>
      <w:b/>
      <w:sz w:val="28"/>
      <w:szCs w:val="20"/>
    </w:rPr>
  </w:style>
  <w:style w:type="character" w:customStyle="1" w:styleId="91">
    <w:name w:val="正文首行缩进 Char"/>
    <w:qFormat/>
    <w:uiPriority w:val="0"/>
    <w:rPr>
      <w:rFonts w:ascii="宋体" w:eastAsia="宋体"/>
      <w:kern w:val="2"/>
      <w:sz w:val="24"/>
    </w:rPr>
  </w:style>
  <w:style w:type="character" w:customStyle="1" w:styleId="92">
    <w:name w:val="apple-converted-space"/>
    <w:basedOn w:val="78"/>
    <w:qFormat/>
    <w:uiPriority w:val="0"/>
    <w:rPr>
      <w:rFonts w:cs="Times New Roman"/>
    </w:rPr>
  </w:style>
  <w:style w:type="character" w:customStyle="1" w:styleId="93">
    <w:name w:val="页眉 Char1"/>
    <w:qFormat/>
    <w:uiPriority w:val="0"/>
    <w:rPr>
      <w:kern w:val="2"/>
      <w:sz w:val="18"/>
    </w:rPr>
  </w:style>
  <w:style w:type="character" w:styleId="94">
    <w:name w:val="Placeholder Text"/>
    <w:basedOn w:val="78"/>
    <w:qFormat/>
    <w:uiPriority w:val="0"/>
    <w:rPr>
      <w:rFonts w:cs="Times New Roman"/>
      <w:color w:val="808080"/>
    </w:rPr>
  </w:style>
  <w:style w:type="character" w:customStyle="1" w:styleId="95">
    <w:name w:val="Char Char2"/>
    <w:qFormat/>
    <w:uiPriority w:val="0"/>
    <w:rPr>
      <w:rFonts w:eastAsia="仿宋_GB2312"/>
      <w:kern w:val="2"/>
      <w:sz w:val="18"/>
      <w:lang w:val="en-US" w:eastAsia="zh-CN"/>
    </w:rPr>
  </w:style>
  <w:style w:type="character" w:customStyle="1" w:styleId="96">
    <w:name w:val="日期 Char"/>
    <w:qFormat/>
    <w:uiPriority w:val="0"/>
    <w:rPr>
      <w:rFonts w:eastAsia="仿宋_GB2312"/>
      <w:kern w:val="2"/>
      <w:sz w:val="28"/>
    </w:rPr>
  </w:style>
  <w:style w:type="character" w:customStyle="1" w:styleId="97">
    <w:name w:val="批注文字 Char"/>
    <w:qFormat/>
    <w:uiPriority w:val="0"/>
    <w:rPr>
      <w:rFonts w:eastAsia="仿宋_GB2312"/>
      <w:kern w:val="2"/>
      <w:sz w:val="32"/>
    </w:rPr>
  </w:style>
  <w:style w:type="character" w:customStyle="1" w:styleId="98">
    <w:name w:val="引文目录标题 Char"/>
    <w:qFormat/>
    <w:uiPriority w:val="0"/>
    <w:rPr>
      <w:rFonts w:ascii="Arial" w:hAnsi="Arial" w:eastAsia="宋体"/>
      <w:kern w:val="2"/>
      <w:sz w:val="24"/>
      <w:lang w:val="en-US" w:eastAsia="zh-CN"/>
    </w:rPr>
  </w:style>
  <w:style w:type="character" w:customStyle="1" w:styleId="99">
    <w:name w:val="标题 1 Char Char"/>
    <w:qFormat/>
    <w:uiPriority w:val="0"/>
    <w:rPr>
      <w:rFonts w:eastAsia="宋体"/>
      <w:b/>
      <w:spacing w:val="-2"/>
      <w:sz w:val="24"/>
      <w:lang w:val="en-US" w:eastAsia="zh-CN"/>
    </w:rPr>
  </w:style>
  <w:style w:type="character" w:customStyle="1" w:styleId="100">
    <w:name w:val="页眉 Char"/>
    <w:qFormat/>
    <w:uiPriority w:val="0"/>
    <w:rPr>
      <w:kern w:val="2"/>
      <w:sz w:val="18"/>
    </w:rPr>
  </w:style>
  <w:style w:type="character" w:customStyle="1" w:styleId="101">
    <w:name w:val="页脚 Char"/>
    <w:qFormat/>
    <w:uiPriority w:val="0"/>
    <w:rPr>
      <w:kern w:val="2"/>
      <w:sz w:val="18"/>
    </w:rPr>
  </w:style>
  <w:style w:type="character" w:customStyle="1" w:styleId="102">
    <w:name w:val="正文文本缩进 Char"/>
    <w:qFormat/>
    <w:uiPriority w:val="0"/>
    <w:rPr>
      <w:rFonts w:eastAsia="仿宋_GB2312"/>
      <w:kern w:val="2"/>
      <w:sz w:val="32"/>
    </w:rPr>
  </w:style>
  <w:style w:type="character" w:customStyle="1" w:styleId="103">
    <w:name w:val="标题 2 Char"/>
    <w:qFormat/>
    <w:uiPriority w:val="0"/>
    <w:rPr>
      <w:rFonts w:ascii="Arial" w:hAnsi="Arial" w:eastAsia="黑体"/>
      <w:b/>
      <w:kern w:val="2"/>
      <w:sz w:val="32"/>
      <w:lang w:val="en-US" w:eastAsia="zh-CN"/>
    </w:rPr>
  </w:style>
  <w:style w:type="character" w:customStyle="1" w:styleId="104">
    <w:name w:val="纯文本 Char1"/>
    <w:qFormat/>
    <w:uiPriority w:val="0"/>
    <w:rPr>
      <w:rFonts w:ascii="宋体"/>
      <w:kern w:val="2"/>
      <w:sz w:val="21"/>
    </w:rPr>
  </w:style>
  <w:style w:type="character" w:customStyle="1" w:styleId="105">
    <w:name w:val="标题 4 Char1"/>
    <w:qFormat/>
    <w:uiPriority w:val="0"/>
    <w:rPr>
      <w:rFonts w:ascii="Arial" w:hAnsi="Arial" w:eastAsia="黑体"/>
      <w:b/>
      <w:kern w:val="2"/>
      <w:sz w:val="28"/>
      <w:lang w:val="en-US" w:eastAsia="zh-CN"/>
    </w:rPr>
  </w:style>
  <w:style w:type="paragraph" w:customStyle="1" w:styleId="106">
    <w:name w:val="小四 首行缩进"/>
    <w:basedOn w:val="1"/>
    <w:qFormat/>
    <w:uiPriority w:val="0"/>
    <w:pPr>
      <w:spacing w:line="360" w:lineRule="auto"/>
      <w:ind w:left="200" w:leftChars="200" w:firstLine="200" w:firstLineChars="200"/>
    </w:pPr>
    <w:rPr>
      <w:sz w:val="24"/>
      <w:szCs w:val="20"/>
    </w:rPr>
  </w:style>
  <w:style w:type="character" w:customStyle="1" w:styleId="107">
    <w:name w:val="Char Char8"/>
    <w:qFormat/>
    <w:uiPriority w:val="0"/>
    <w:rPr>
      <w:rFonts w:eastAsia="仿宋_GB2312"/>
      <w:kern w:val="2"/>
      <w:sz w:val="28"/>
      <w:lang w:val="en-US" w:eastAsia="zh-CN"/>
    </w:rPr>
  </w:style>
  <w:style w:type="character" w:customStyle="1" w:styleId="108">
    <w:name w:val="正文文本缩进 2 Char"/>
    <w:qFormat/>
    <w:uiPriority w:val="0"/>
    <w:rPr>
      <w:rFonts w:eastAsia="仿宋_GB2312"/>
      <w:color w:val="000080"/>
      <w:kern w:val="2"/>
      <w:sz w:val="30"/>
    </w:rPr>
  </w:style>
  <w:style w:type="character" w:customStyle="1" w:styleId="109">
    <w:name w:val="正文文本 2 Char"/>
    <w:qFormat/>
    <w:uiPriority w:val="0"/>
    <w:rPr>
      <w:b/>
      <w:kern w:val="2"/>
      <w:sz w:val="28"/>
    </w:rPr>
  </w:style>
  <w:style w:type="character" w:customStyle="1" w:styleId="110">
    <w:name w:val="正文首行缩进 Char1"/>
    <w:qFormat/>
    <w:uiPriority w:val="0"/>
    <w:rPr>
      <w:rFonts w:ascii="宋体" w:hAnsi="宋体" w:eastAsia="仿宋_GB2312"/>
      <w:kern w:val="2"/>
      <w:sz w:val="32"/>
      <w:lang w:val="en-US" w:eastAsia="zh-CN"/>
    </w:rPr>
  </w:style>
  <w:style w:type="character" w:customStyle="1" w:styleId="111">
    <w:name w:val="文档结构图 Char"/>
    <w:qFormat/>
    <w:uiPriority w:val="0"/>
    <w:rPr>
      <w:rFonts w:eastAsia="仿宋_GB2312"/>
      <w:kern w:val="2"/>
      <w:sz w:val="32"/>
      <w:shd w:val="clear" w:color="auto" w:fill="000080"/>
    </w:rPr>
  </w:style>
  <w:style w:type="character" w:customStyle="1" w:styleId="112">
    <w:name w:val="日期 Char1"/>
    <w:qFormat/>
    <w:uiPriority w:val="0"/>
    <w:rPr>
      <w:kern w:val="2"/>
      <w:sz w:val="21"/>
    </w:rPr>
  </w:style>
  <w:style w:type="character" w:customStyle="1" w:styleId="113">
    <w:name w:val="批注框文本 Char1"/>
    <w:qFormat/>
    <w:uiPriority w:val="0"/>
    <w:rPr>
      <w:kern w:val="2"/>
      <w:sz w:val="18"/>
    </w:rPr>
  </w:style>
  <w:style w:type="character" w:customStyle="1" w:styleId="114">
    <w:name w:val="正文文本缩进 3 Char"/>
    <w:qFormat/>
    <w:uiPriority w:val="0"/>
    <w:rPr>
      <w:kern w:val="2"/>
      <w:sz w:val="16"/>
    </w:rPr>
  </w:style>
  <w:style w:type="character" w:customStyle="1" w:styleId="115">
    <w:name w:val="h Char Char"/>
    <w:qFormat/>
    <w:uiPriority w:val="0"/>
    <w:rPr>
      <w:rFonts w:eastAsia="仿宋_GB2312"/>
      <w:kern w:val="2"/>
      <w:sz w:val="18"/>
    </w:rPr>
  </w:style>
  <w:style w:type="character" w:customStyle="1" w:styleId="116">
    <w:name w:val="纯文本 Char"/>
    <w:qFormat/>
    <w:uiPriority w:val="0"/>
    <w:rPr>
      <w:rFonts w:ascii="宋体"/>
      <w:kern w:val="2"/>
      <w:sz w:val="21"/>
    </w:rPr>
  </w:style>
  <w:style w:type="character" w:customStyle="1" w:styleId="117">
    <w:name w:val="批注主题 Char"/>
    <w:qFormat/>
    <w:uiPriority w:val="0"/>
    <w:rPr>
      <w:rFonts w:eastAsia="仿宋_GB2312"/>
      <w:b/>
      <w:kern w:val="2"/>
      <w:sz w:val="32"/>
    </w:rPr>
  </w:style>
  <w:style w:type="character" w:customStyle="1" w:styleId="118">
    <w:name w:val="marklong"/>
    <w:basedOn w:val="78"/>
    <w:qFormat/>
    <w:uiPriority w:val="0"/>
    <w:rPr>
      <w:rFonts w:cs="Times New Roman"/>
    </w:rPr>
  </w:style>
  <w:style w:type="paragraph" w:customStyle="1" w:styleId="119">
    <w:name w:val="1.1 样式2"/>
    <w:basedOn w:val="1"/>
    <w:qFormat/>
    <w:uiPriority w:val="0"/>
    <w:pPr>
      <w:tabs>
        <w:tab w:val="left" w:pos="720"/>
      </w:tabs>
      <w:spacing w:line="500" w:lineRule="exact"/>
      <w:ind w:left="420"/>
    </w:pPr>
    <w:rPr>
      <w:sz w:val="24"/>
      <w:szCs w:val="20"/>
    </w:rPr>
  </w:style>
  <w:style w:type="character" w:customStyle="1" w:styleId="120">
    <w:name w:val="批注框文本 Char"/>
    <w:qFormat/>
    <w:uiPriority w:val="0"/>
    <w:rPr>
      <w:kern w:val="2"/>
      <w:sz w:val="18"/>
    </w:rPr>
  </w:style>
  <w:style w:type="character" w:customStyle="1" w:styleId="121">
    <w:name w:val="普通文字 Char Char1"/>
    <w:qFormat/>
    <w:uiPriority w:val="0"/>
    <w:rPr>
      <w:rFonts w:ascii="宋体" w:eastAsia="宋体"/>
      <w:kern w:val="2"/>
      <w:sz w:val="21"/>
      <w:lang w:val="en-US" w:eastAsia="zh-CN"/>
    </w:rPr>
  </w:style>
  <w:style w:type="character" w:customStyle="1" w:styleId="122">
    <w:name w:val="bluetxt1"/>
    <w:basedOn w:val="78"/>
    <w:qFormat/>
    <w:uiPriority w:val="0"/>
    <w:rPr>
      <w:rFonts w:cs="Times New Roman"/>
    </w:rPr>
  </w:style>
  <w:style w:type="paragraph" w:customStyle="1" w:styleId="123">
    <w:name w:val="font0"/>
    <w:basedOn w:val="1"/>
    <w:qFormat/>
    <w:uiPriority w:val="0"/>
    <w:pPr>
      <w:widowControl/>
      <w:spacing w:before="100" w:beforeAutospacing="1" w:after="100" w:afterAutospacing="1"/>
      <w:jc w:val="left"/>
    </w:pPr>
    <w:rPr>
      <w:rFonts w:ascii="宋体"/>
      <w:kern w:val="0"/>
      <w:sz w:val="24"/>
      <w:szCs w:val="20"/>
    </w:rPr>
  </w:style>
  <w:style w:type="paragraph" w:customStyle="1" w:styleId="124">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kern w:val="0"/>
      <w:sz w:val="20"/>
      <w:szCs w:val="20"/>
    </w:rPr>
  </w:style>
  <w:style w:type="paragraph" w:customStyle="1" w:styleId="125">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26">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宋体"/>
      <w:kern w:val="0"/>
      <w:sz w:val="20"/>
      <w:szCs w:val="20"/>
    </w:rPr>
  </w:style>
  <w:style w:type="paragraph" w:customStyle="1" w:styleId="127">
    <w:name w:val="xl4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kern w:val="0"/>
      <w:sz w:val="20"/>
      <w:szCs w:val="20"/>
    </w:rPr>
  </w:style>
  <w:style w:type="paragraph" w:customStyle="1" w:styleId="128">
    <w:name w:val="正文(顶格)"/>
    <w:basedOn w:val="1"/>
    <w:qFormat/>
    <w:uiPriority w:val="0"/>
    <w:pPr>
      <w:spacing w:line="360" w:lineRule="auto"/>
    </w:pPr>
    <w:rPr>
      <w:sz w:val="24"/>
    </w:rPr>
  </w:style>
  <w:style w:type="paragraph" w:customStyle="1" w:styleId="129">
    <w:name w:val="p18"/>
    <w:basedOn w:val="1"/>
    <w:qFormat/>
    <w:uiPriority w:val="0"/>
    <w:pPr>
      <w:widowControl/>
      <w:spacing w:before="100" w:beforeAutospacing="1" w:after="100" w:afterAutospacing="1"/>
      <w:jc w:val="left"/>
    </w:pPr>
    <w:rPr>
      <w:rFonts w:ascii="宋体" w:cs="宋体"/>
      <w:kern w:val="0"/>
      <w:sz w:val="24"/>
    </w:rPr>
  </w:style>
  <w:style w:type="paragraph" w:customStyle="1" w:styleId="130">
    <w:name w:val="xl46"/>
    <w:basedOn w:val="1"/>
    <w:qFormat/>
    <w:uiPriority w:val="0"/>
    <w:pPr>
      <w:widowControl/>
      <w:spacing w:before="100" w:beforeAutospacing="1" w:after="100" w:afterAutospacing="1"/>
      <w:jc w:val="center"/>
      <w:textAlignment w:val="center"/>
    </w:pPr>
    <w:rPr>
      <w:kern w:val="0"/>
      <w:sz w:val="20"/>
      <w:szCs w:val="20"/>
    </w:rPr>
  </w:style>
  <w:style w:type="paragraph" w:customStyle="1" w:styleId="131">
    <w:name w:val="xl45"/>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kern w:val="0"/>
      <w:sz w:val="20"/>
      <w:szCs w:val="20"/>
    </w:rPr>
  </w:style>
  <w:style w:type="paragraph" w:customStyle="1" w:styleId="132">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33">
    <w:name w:val="xl59"/>
    <w:basedOn w:val="1"/>
    <w:qFormat/>
    <w:uiPriority w:val="0"/>
    <w:pPr>
      <w:widowControl/>
      <w:spacing w:before="100" w:beforeAutospacing="1" w:after="100" w:afterAutospacing="1"/>
      <w:jc w:val="center"/>
    </w:pPr>
    <w:rPr>
      <w:rFonts w:ascii="黑体" w:eastAsia="黑体"/>
      <w:kern w:val="0"/>
      <w:sz w:val="36"/>
      <w:szCs w:val="20"/>
    </w:rPr>
  </w:style>
  <w:style w:type="paragraph" w:customStyle="1" w:styleId="134">
    <w:name w:val="font14"/>
    <w:basedOn w:val="1"/>
    <w:qFormat/>
    <w:uiPriority w:val="0"/>
    <w:pPr>
      <w:widowControl/>
      <w:spacing w:before="100" w:beforeAutospacing="1" w:after="100" w:afterAutospacing="1"/>
      <w:jc w:val="left"/>
    </w:pPr>
    <w:rPr>
      <w:kern w:val="0"/>
      <w:sz w:val="24"/>
      <w:szCs w:val="20"/>
    </w:rPr>
  </w:style>
  <w:style w:type="paragraph" w:customStyle="1" w:styleId="135">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36">
    <w:name w:val="TOC 标题1"/>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137">
    <w:name w:val="xl56"/>
    <w:basedOn w:val="1"/>
    <w:qFormat/>
    <w:uiPriority w:val="0"/>
    <w:pPr>
      <w:widowControl/>
      <w:pBdr>
        <w:top w:val="single" w:color="auto" w:sz="4" w:space="0"/>
        <w:bottom w:val="single" w:color="auto" w:sz="4" w:space="0"/>
      </w:pBdr>
      <w:spacing w:before="100" w:beforeAutospacing="1" w:after="100" w:afterAutospacing="1"/>
      <w:jc w:val="center"/>
      <w:textAlignment w:val="center"/>
    </w:pPr>
    <w:rPr>
      <w:kern w:val="0"/>
      <w:sz w:val="20"/>
      <w:szCs w:val="20"/>
    </w:rPr>
  </w:style>
  <w:style w:type="paragraph" w:customStyle="1" w:styleId="138">
    <w:name w:val="_Style 108"/>
    <w:basedOn w:val="1"/>
    <w:qFormat/>
    <w:uiPriority w:val="0"/>
    <w:rPr>
      <w:szCs w:val="20"/>
    </w:rPr>
  </w:style>
  <w:style w:type="paragraph" w:customStyle="1" w:styleId="139">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kern w:val="0"/>
      <w:sz w:val="20"/>
      <w:szCs w:val="20"/>
    </w:rPr>
  </w:style>
  <w:style w:type="paragraph" w:customStyle="1" w:styleId="140">
    <w:name w:val="xl50"/>
    <w:basedOn w:val="1"/>
    <w:qFormat/>
    <w:uiPriority w:val="0"/>
    <w:pPr>
      <w:widowControl/>
      <w:pBdr>
        <w:top w:val="single" w:color="auto" w:sz="4" w:space="0"/>
        <w:bottom w:val="single" w:color="auto" w:sz="4" w:space="0"/>
      </w:pBdr>
      <w:spacing w:before="100" w:beforeAutospacing="1" w:after="100" w:afterAutospacing="1"/>
      <w:jc w:val="left"/>
      <w:textAlignment w:val="center"/>
    </w:pPr>
    <w:rPr>
      <w:kern w:val="0"/>
      <w:sz w:val="20"/>
      <w:szCs w:val="20"/>
    </w:rPr>
  </w:style>
  <w:style w:type="paragraph" w:customStyle="1" w:styleId="141">
    <w:name w:val="xl51"/>
    <w:basedOn w:val="1"/>
    <w:qFormat/>
    <w:uiPriority w:val="0"/>
    <w:pPr>
      <w:widowControl/>
      <w:pBdr>
        <w:top w:val="single" w:color="auto" w:sz="4" w:space="0"/>
        <w:bottom w:val="single" w:color="auto" w:sz="4" w:space="0"/>
      </w:pBdr>
      <w:spacing w:before="100" w:beforeAutospacing="1" w:after="100" w:afterAutospacing="1"/>
      <w:jc w:val="right"/>
      <w:textAlignment w:val="center"/>
    </w:pPr>
    <w:rPr>
      <w:kern w:val="0"/>
      <w:sz w:val="20"/>
      <w:szCs w:val="20"/>
    </w:rPr>
  </w:style>
  <w:style w:type="paragraph" w:customStyle="1" w:styleId="142">
    <w:name w:val="正文文本 21"/>
    <w:basedOn w:val="1"/>
    <w:qFormat/>
    <w:uiPriority w:val="0"/>
    <w:pPr>
      <w:adjustRightInd w:val="0"/>
      <w:spacing w:line="300" w:lineRule="auto"/>
      <w:jc w:val="center"/>
    </w:pPr>
    <w:rPr>
      <w:rFonts w:ascii="宋体"/>
      <w:sz w:val="24"/>
      <w:szCs w:val="20"/>
    </w:rPr>
  </w:style>
  <w:style w:type="paragraph" w:customStyle="1" w:styleId="143">
    <w:name w:val="font13"/>
    <w:basedOn w:val="1"/>
    <w:qFormat/>
    <w:uiPriority w:val="0"/>
    <w:pPr>
      <w:widowControl/>
      <w:spacing w:before="100" w:beforeAutospacing="1" w:after="100" w:afterAutospacing="1"/>
      <w:jc w:val="left"/>
    </w:pPr>
    <w:rPr>
      <w:kern w:val="0"/>
      <w:sz w:val="18"/>
      <w:szCs w:val="20"/>
    </w:rPr>
  </w:style>
  <w:style w:type="paragraph" w:customStyle="1" w:styleId="144">
    <w:name w:val="标题---(3)"/>
    <w:qFormat/>
    <w:uiPriority w:val="0"/>
    <w:pPr>
      <w:tabs>
        <w:tab w:val="left" w:pos="1021"/>
      </w:tabs>
      <w:outlineLvl w:val="2"/>
    </w:pPr>
    <w:rPr>
      <w:rFonts w:ascii="Times New Roman" w:hAnsi="Times New Roman" w:eastAsia="宋体" w:cs="Times New Roman"/>
      <w:lang w:val="en-US" w:eastAsia="zh-CN" w:bidi="ar-SA"/>
    </w:rPr>
  </w:style>
  <w:style w:type="paragraph" w:customStyle="1" w:styleId="145">
    <w:name w:val="xl53"/>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kern w:val="0"/>
      <w:sz w:val="20"/>
      <w:szCs w:val="20"/>
    </w:rPr>
  </w:style>
  <w:style w:type="paragraph" w:customStyle="1" w:styleId="146">
    <w:name w:val="xl42"/>
    <w:basedOn w:val="1"/>
    <w:qFormat/>
    <w:uiPriority w:val="0"/>
    <w:pPr>
      <w:widowControl/>
      <w:spacing w:before="100" w:beforeAutospacing="1" w:after="100" w:afterAutospacing="1"/>
      <w:jc w:val="center"/>
      <w:textAlignment w:val="center"/>
    </w:pPr>
    <w:rPr>
      <w:rFonts w:ascii="宋体"/>
      <w:kern w:val="0"/>
      <w:sz w:val="20"/>
      <w:szCs w:val="20"/>
    </w:rPr>
  </w:style>
  <w:style w:type="paragraph" w:customStyle="1" w:styleId="147">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48">
    <w:name w:val="xl28"/>
    <w:basedOn w:val="1"/>
    <w:qFormat/>
    <w:uiPriority w:val="0"/>
    <w:pPr>
      <w:widowControl/>
      <w:spacing w:before="100" w:beforeAutospacing="1" w:after="100" w:afterAutospacing="1"/>
      <w:jc w:val="left"/>
    </w:pPr>
    <w:rPr>
      <w:rFonts w:ascii="宋体"/>
      <w:kern w:val="0"/>
      <w:sz w:val="24"/>
      <w:szCs w:val="20"/>
    </w:rPr>
  </w:style>
  <w:style w:type="paragraph" w:customStyle="1" w:styleId="149">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150">
    <w:name w:val="font11"/>
    <w:basedOn w:val="1"/>
    <w:qFormat/>
    <w:uiPriority w:val="0"/>
    <w:pPr>
      <w:widowControl/>
      <w:spacing w:before="100" w:beforeAutospacing="1" w:after="100" w:afterAutospacing="1"/>
      <w:jc w:val="left"/>
    </w:pPr>
    <w:rPr>
      <w:kern w:val="0"/>
      <w:sz w:val="36"/>
      <w:szCs w:val="20"/>
    </w:rPr>
  </w:style>
  <w:style w:type="paragraph" w:customStyle="1" w:styleId="151">
    <w:name w:val="xl77"/>
    <w:basedOn w:val="1"/>
    <w:qFormat/>
    <w:uiPriority w:val="0"/>
    <w:pPr>
      <w:widowControl/>
      <w:pBdr>
        <w:bottom w:val="single" w:color="auto" w:sz="4" w:space="0"/>
      </w:pBdr>
      <w:spacing w:before="100" w:beforeAutospacing="1" w:after="100" w:afterAutospacing="1"/>
      <w:jc w:val="right"/>
    </w:pPr>
    <w:rPr>
      <w:kern w:val="0"/>
      <w:sz w:val="22"/>
      <w:szCs w:val="20"/>
    </w:rPr>
  </w:style>
  <w:style w:type="paragraph" w:customStyle="1" w:styleId="152">
    <w:name w:val="Char"/>
    <w:basedOn w:val="1"/>
    <w:qFormat/>
    <w:uiPriority w:val="0"/>
    <w:rPr>
      <w:rFonts w:ascii="仿宋_GB2312" w:eastAsia="仿宋_GB2312"/>
      <w:b/>
      <w:sz w:val="32"/>
      <w:szCs w:val="32"/>
    </w:rPr>
  </w:style>
  <w:style w:type="paragraph" w:customStyle="1" w:styleId="153">
    <w:name w:val="样式"/>
    <w:qFormat/>
    <w:uiPriority w:val="0"/>
    <w:pPr>
      <w:widowControl w:val="0"/>
      <w:adjustRightInd w:val="0"/>
      <w:spacing w:line="360" w:lineRule="auto"/>
      <w:ind w:firstLine="482"/>
      <w:jc w:val="both"/>
      <w:textAlignment w:val="baseline"/>
    </w:pPr>
    <w:rPr>
      <w:rFonts w:ascii="Times New Roman" w:hAnsi="Times New Roman" w:eastAsia="宋体" w:cs="Times New Roman"/>
      <w:sz w:val="24"/>
      <w:lang w:val="en-US" w:eastAsia="zh-CN" w:bidi="ar-SA"/>
    </w:rPr>
  </w:style>
  <w:style w:type="paragraph" w:customStyle="1" w:styleId="154">
    <w:name w:val="xl70"/>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55">
    <w:name w:val="xl43"/>
    <w:basedOn w:val="1"/>
    <w:qFormat/>
    <w:uiPriority w:val="0"/>
    <w:pPr>
      <w:widowControl/>
      <w:spacing w:before="100" w:beforeAutospacing="1" w:after="100" w:afterAutospacing="1"/>
      <w:jc w:val="right"/>
      <w:textAlignment w:val="center"/>
    </w:pPr>
    <w:rPr>
      <w:kern w:val="0"/>
      <w:sz w:val="20"/>
      <w:szCs w:val="20"/>
    </w:rPr>
  </w:style>
  <w:style w:type="paragraph" w:customStyle="1" w:styleId="156">
    <w:name w:val="xl4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kern w:val="0"/>
      <w:sz w:val="20"/>
      <w:szCs w:val="20"/>
    </w:rPr>
  </w:style>
  <w:style w:type="paragraph" w:customStyle="1" w:styleId="157">
    <w:name w:val="Body Text(ch)"/>
    <w:basedOn w:val="1"/>
    <w:next w:val="30"/>
    <w:qFormat/>
    <w:uiPriority w:val="0"/>
    <w:pPr>
      <w:spacing w:line="500" w:lineRule="exact"/>
      <w:jc w:val="center"/>
    </w:pPr>
    <w:rPr>
      <w:szCs w:val="20"/>
    </w:rPr>
  </w:style>
  <w:style w:type="paragraph" w:customStyle="1" w:styleId="158">
    <w:name w:val="xl24"/>
    <w:basedOn w:val="1"/>
    <w:qFormat/>
    <w:uiPriority w:val="0"/>
    <w:pPr>
      <w:widowControl/>
      <w:spacing w:before="100" w:beforeAutospacing="1" w:after="100" w:afterAutospacing="1"/>
      <w:jc w:val="left"/>
    </w:pPr>
    <w:rPr>
      <w:rFonts w:ascii="宋体"/>
      <w:kern w:val="0"/>
      <w:sz w:val="22"/>
      <w:szCs w:val="20"/>
    </w:rPr>
  </w:style>
  <w:style w:type="paragraph" w:customStyle="1" w:styleId="159">
    <w:name w:val="1.1.1"/>
    <w:basedOn w:val="1"/>
    <w:qFormat/>
    <w:uiPriority w:val="0"/>
    <w:pPr>
      <w:tabs>
        <w:tab w:val="left" w:pos="0"/>
        <w:tab w:val="left" w:pos="1134"/>
        <w:tab w:val="left" w:pos="8505"/>
      </w:tabs>
      <w:adjustRightInd w:val="0"/>
      <w:spacing w:before="120" w:after="120" w:line="360" w:lineRule="atLeast"/>
      <w:ind w:left="1134" w:hanging="1134"/>
      <w:textAlignment w:val="baseline"/>
    </w:pPr>
    <w:rPr>
      <w:rFonts w:ascii="Arial" w:hAnsi="Arial"/>
      <w:b/>
      <w:kern w:val="0"/>
      <w:sz w:val="28"/>
      <w:szCs w:val="20"/>
    </w:rPr>
  </w:style>
  <w:style w:type="paragraph" w:customStyle="1" w:styleId="160">
    <w:name w:val="font7"/>
    <w:basedOn w:val="1"/>
    <w:qFormat/>
    <w:uiPriority w:val="0"/>
    <w:pPr>
      <w:widowControl/>
      <w:spacing w:before="100" w:beforeAutospacing="1" w:after="100" w:afterAutospacing="1"/>
      <w:jc w:val="left"/>
    </w:pPr>
    <w:rPr>
      <w:rFonts w:ascii="宋体"/>
      <w:kern w:val="0"/>
      <w:sz w:val="22"/>
      <w:szCs w:val="20"/>
    </w:rPr>
  </w:style>
  <w:style w:type="paragraph" w:customStyle="1" w:styleId="161">
    <w:name w:val="xl60"/>
    <w:basedOn w:val="1"/>
    <w:qFormat/>
    <w:uiPriority w:val="0"/>
    <w:pPr>
      <w:widowControl/>
      <w:pBdr>
        <w:bottom w:val="single" w:color="auto" w:sz="4" w:space="0"/>
      </w:pBdr>
      <w:spacing w:before="100" w:beforeAutospacing="1" w:after="100" w:afterAutospacing="1"/>
      <w:jc w:val="left"/>
    </w:pPr>
    <w:rPr>
      <w:rFonts w:ascii="宋体"/>
      <w:kern w:val="0"/>
      <w:sz w:val="22"/>
      <w:szCs w:val="20"/>
    </w:rPr>
  </w:style>
  <w:style w:type="paragraph" w:customStyle="1" w:styleId="162">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kern w:val="0"/>
      <w:sz w:val="20"/>
      <w:szCs w:val="20"/>
    </w:rPr>
  </w:style>
  <w:style w:type="paragraph" w:customStyle="1" w:styleId="163">
    <w:name w:val="xl69"/>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64">
    <w:name w:val="Char1"/>
    <w:basedOn w:val="1"/>
    <w:qFormat/>
    <w:uiPriority w:val="0"/>
    <w:pPr>
      <w:widowControl/>
      <w:spacing w:after="160" w:line="240" w:lineRule="exact"/>
      <w:jc w:val="left"/>
    </w:pPr>
    <w:rPr>
      <w:rFonts w:ascii="Arial" w:hAnsi="Arial" w:cs="Verdana"/>
      <w:b/>
      <w:kern w:val="0"/>
      <w:sz w:val="24"/>
      <w:szCs w:val="20"/>
    </w:rPr>
  </w:style>
  <w:style w:type="paragraph" w:customStyle="1" w:styleId="165">
    <w:name w:val="标题4"/>
    <w:basedOn w:val="1"/>
    <w:qFormat/>
    <w:uiPriority w:val="0"/>
    <w:rPr>
      <w:rFonts w:eastAsia="仿宋_GB2312"/>
      <w:sz w:val="32"/>
      <w:szCs w:val="20"/>
    </w:rPr>
  </w:style>
  <w:style w:type="paragraph" w:customStyle="1" w:styleId="166">
    <w:name w:val="xl57"/>
    <w:basedOn w:val="1"/>
    <w:qFormat/>
    <w:uiPriority w:val="0"/>
    <w:pPr>
      <w:widowControl/>
      <w:spacing w:before="100" w:beforeAutospacing="1" w:after="100" w:afterAutospacing="1"/>
      <w:jc w:val="left"/>
      <w:textAlignment w:val="top"/>
    </w:pPr>
    <w:rPr>
      <w:rFonts w:ascii="宋体"/>
      <w:kern w:val="0"/>
      <w:sz w:val="20"/>
      <w:szCs w:val="20"/>
    </w:rPr>
  </w:style>
  <w:style w:type="paragraph" w:customStyle="1" w:styleId="167">
    <w:name w:val="xl67"/>
    <w:basedOn w:val="1"/>
    <w:qFormat/>
    <w:uiPriority w:val="0"/>
    <w:pPr>
      <w:widowControl/>
      <w:pBdr>
        <w:top w:val="single" w:color="auto" w:sz="4" w:space="0"/>
      </w:pBdr>
      <w:spacing w:before="100" w:beforeAutospacing="1" w:after="100" w:afterAutospacing="1"/>
      <w:jc w:val="left"/>
      <w:textAlignment w:val="top"/>
    </w:pPr>
    <w:rPr>
      <w:rFonts w:ascii="宋体"/>
      <w:kern w:val="0"/>
      <w:sz w:val="20"/>
      <w:szCs w:val="20"/>
    </w:rPr>
  </w:style>
  <w:style w:type="paragraph" w:customStyle="1" w:styleId="168">
    <w:name w:val="xl6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69">
    <w:name w:val="xl74"/>
    <w:basedOn w:val="1"/>
    <w:qFormat/>
    <w:uiPriority w:val="0"/>
    <w:pPr>
      <w:widowControl/>
      <w:spacing w:before="100" w:beforeAutospacing="1" w:after="100" w:afterAutospacing="1"/>
      <w:jc w:val="left"/>
    </w:pPr>
    <w:rPr>
      <w:kern w:val="0"/>
      <w:sz w:val="24"/>
      <w:szCs w:val="20"/>
    </w:rPr>
  </w:style>
  <w:style w:type="paragraph" w:customStyle="1" w:styleId="170">
    <w:name w:val="Char Char1 Char Char1 Char Char Char Char Char Char Char Char"/>
    <w:basedOn w:val="1"/>
    <w:qFormat/>
    <w:uiPriority w:val="0"/>
    <w:pPr>
      <w:adjustRightInd w:val="0"/>
      <w:spacing w:line="360" w:lineRule="auto"/>
    </w:pPr>
    <w:rPr>
      <w:kern w:val="0"/>
      <w:sz w:val="20"/>
      <w:szCs w:val="20"/>
    </w:rPr>
  </w:style>
  <w:style w:type="paragraph" w:customStyle="1" w:styleId="171">
    <w:name w:val="xl26"/>
    <w:basedOn w:val="1"/>
    <w:qFormat/>
    <w:uiPriority w:val="0"/>
    <w:pPr>
      <w:widowControl/>
      <w:spacing w:before="100" w:beforeAutospacing="1" w:after="100" w:afterAutospacing="1"/>
      <w:jc w:val="left"/>
    </w:pPr>
    <w:rPr>
      <w:rFonts w:ascii="宋体"/>
      <w:kern w:val="0"/>
      <w:sz w:val="24"/>
      <w:szCs w:val="20"/>
    </w:rPr>
  </w:style>
  <w:style w:type="paragraph" w:customStyle="1" w:styleId="172">
    <w:name w:val="xl72"/>
    <w:basedOn w:val="1"/>
    <w:qFormat/>
    <w:uiPriority w:val="0"/>
    <w:pPr>
      <w:widowControl/>
      <w:pBdr>
        <w:top w:val="single" w:color="auto" w:sz="4" w:space="0"/>
      </w:pBdr>
      <w:spacing w:before="100" w:beforeAutospacing="1" w:after="100" w:afterAutospacing="1"/>
      <w:jc w:val="left"/>
    </w:pPr>
    <w:rPr>
      <w:rFonts w:ascii="宋体"/>
      <w:kern w:val="0"/>
      <w:sz w:val="24"/>
      <w:szCs w:val="20"/>
    </w:rPr>
  </w:style>
  <w:style w:type="paragraph" w:customStyle="1" w:styleId="173">
    <w:name w:val="xl52"/>
    <w:basedOn w:val="1"/>
    <w:qFormat/>
    <w:uiPriority w:val="0"/>
    <w:pPr>
      <w:widowControl/>
      <w:pBdr>
        <w:top w:val="single" w:color="auto" w:sz="4" w:space="0"/>
        <w:bottom w:val="single" w:color="auto" w:sz="4" w:space="0"/>
      </w:pBdr>
      <w:spacing w:before="100" w:beforeAutospacing="1" w:after="100" w:afterAutospacing="1"/>
      <w:jc w:val="right"/>
      <w:textAlignment w:val="center"/>
    </w:pPr>
    <w:rPr>
      <w:rFonts w:ascii="宋体"/>
      <w:kern w:val="0"/>
      <w:sz w:val="20"/>
      <w:szCs w:val="20"/>
    </w:rPr>
  </w:style>
  <w:style w:type="paragraph" w:customStyle="1" w:styleId="174">
    <w:name w:val="表文"/>
    <w:qFormat/>
    <w:uiPriority w:val="0"/>
    <w:pPr>
      <w:jc w:val="center"/>
    </w:pPr>
    <w:rPr>
      <w:rFonts w:ascii="Times New Roman" w:hAnsi="Times New Roman" w:eastAsia="宋体" w:cs="Times New Roman"/>
      <w:sz w:val="21"/>
      <w:lang w:val="en-US" w:eastAsia="zh-CN" w:bidi="ar-SA"/>
    </w:rPr>
  </w:style>
  <w:style w:type="paragraph" w:customStyle="1" w:styleId="175">
    <w:name w:val="xl47"/>
    <w:basedOn w:val="1"/>
    <w:qFormat/>
    <w:uiPriority w:val="0"/>
    <w:pPr>
      <w:widowControl/>
      <w:spacing w:before="100" w:beforeAutospacing="1" w:after="100" w:afterAutospacing="1"/>
      <w:jc w:val="left"/>
      <w:textAlignment w:val="center"/>
    </w:pPr>
    <w:rPr>
      <w:rFonts w:ascii="宋体"/>
      <w:kern w:val="0"/>
      <w:sz w:val="18"/>
      <w:szCs w:val="20"/>
    </w:rPr>
  </w:style>
  <w:style w:type="paragraph" w:customStyle="1" w:styleId="176">
    <w:name w:val="xl58"/>
    <w:basedOn w:val="1"/>
    <w:qFormat/>
    <w:uiPriority w:val="0"/>
    <w:pPr>
      <w:widowControl/>
      <w:spacing w:before="100" w:beforeAutospacing="1" w:after="100" w:afterAutospacing="1"/>
      <w:jc w:val="left"/>
      <w:textAlignment w:val="top"/>
    </w:pPr>
    <w:rPr>
      <w:rFonts w:ascii="宋体"/>
      <w:kern w:val="0"/>
      <w:sz w:val="20"/>
      <w:szCs w:val="20"/>
    </w:rPr>
  </w:style>
  <w:style w:type="paragraph" w:customStyle="1" w:styleId="177">
    <w:name w:val="xl80"/>
    <w:basedOn w:val="1"/>
    <w:qFormat/>
    <w:uiPriority w:val="0"/>
    <w:pPr>
      <w:widowControl/>
      <w:pBdr>
        <w:bottom w:val="single" w:color="auto" w:sz="4" w:space="0"/>
      </w:pBdr>
      <w:spacing w:before="100" w:beforeAutospacing="1" w:after="100" w:afterAutospacing="1"/>
      <w:jc w:val="right"/>
    </w:pPr>
    <w:rPr>
      <w:rFonts w:ascii="宋体"/>
      <w:kern w:val="0"/>
      <w:sz w:val="22"/>
      <w:szCs w:val="20"/>
    </w:rPr>
  </w:style>
  <w:style w:type="paragraph" w:customStyle="1" w:styleId="178">
    <w:name w:val="1.1.1.1"/>
    <w:basedOn w:val="1"/>
    <w:qFormat/>
    <w:uiPriority w:val="0"/>
    <w:pPr>
      <w:tabs>
        <w:tab w:val="left" w:pos="1134"/>
      </w:tabs>
      <w:adjustRightInd w:val="0"/>
      <w:spacing w:before="120" w:line="360" w:lineRule="auto"/>
      <w:ind w:left="1134" w:hanging="1134"/>
      <w:textAlignment w:val="baseline"/>
    </w:pPr>
    <w:rPr>
      <w:rFonts w:ascii="Arial" w:hAnsi="Arial"/>
      <w:kern w:val="0"/>
      <w:sz w:val="24"/>
      <w:szCs w:val="20"/>
    </w:rPr>
  </w:style>
  <w:style w:type="paragraph" w:styleId="179">
    <w:name w:val="List Paragraph"/>
    <w:basedOn w:val="1"/>
    <w:qFormat/>
    <w:uiPriority w:val="0"/>
    <w:pPr>
      <w:ind w:firstLine="200" w:firstLineChars="200"/>
    </w:pPr>
  </w:style>
  <w:style w:type="paragraph" w:customStyle="1" w:styleId="180">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81">
    <w:name w:val="xl76"/>
    <w:basedOn w:val="1"/>
    <w:qFormat/>
    <w:uiPriority w:val="0"/>
    <w:pPr>
      <w:widowControl/>
      <w:pBdr>
        <w:bottom w:val="single" w:color="auto" w:sz="4" w:space="0"/>
      </w:pBdr>
      <w:spacing w:before="100" w:beforeAutospacing="1" w:after="100" w:afterAutospacing="1"/>
      <w:jc w:val="left"/>
    </w:pPr>
    <w:rPr>
      <w:rFonts w:ascii="宋体"/>
      <w:kern w:val="0"/>
      <w:sz w:val="22"/>
      <w:szCs w:val="20"/>
    </w:rPr>
  </w:style>
  <w:style w:type="paragraph" w:customStyle="1" w:styleId="182">
    <w:name w:val="xl75"/>
    <w:basedOn w:val="1"/>
    <w:qFormat/>
    <w:uiPriority w:val="0"/>
    <w:pPr>
      <w:widowControl/>
      <w:spacing w:before="100" w:beforeAutospacing="1" w:after="100" w:afterAutospacing="1"/>
      <w:jc w:val="center"/>
    </w:pPr>
    <w:rPr>
      <w:rFonts w:ascii="黑体" w:eastAsia="黑体"/>
      <w:kern w:val="0"/>
      <w:sz w:val="36"/>
      <w:szCs w:val="20"/>
    </w:rPr>
  </w:style>
  <w:style w:type="paragraph" w:customStyle="1" w:styleId="183">
    <w:name w:val="Char Char Char Char Char Char1 Char Char Char Char Char Char Char Char Char"/>
    <w:basedOn w:val="1"/>
    <w:qFormat/>
    <w:uiPriority w:val="0"/>
    <w:pPr>
      <w:adjustRightInd w:val="0"/>
      <w:spacing w:line="360" w:lineRule="auto"/>
    </w:pPr>
    <w:rPr>
      <w:kern w:val="0"/>
      <w:sz w:val="20"/>
      <w:szCs w:val="20"/>
    </w:rPr>
  </w:style>
  <w:style w:type="paragraph" w:customStyle="1" w:styleId="184">
    <w:name w:val="xl27"/>
    <w:basedOn w:val="1"/>
    <w:qFormat/>
    <w:uiPriority w:val="0"/>
    <w:pPr>
      <w:widowControl/>
      <w:spacing w:before="100" w:beforeAutospacing="1" w:after="100" w:afterAutospacing="1"/>
      <w:jc w:val="left"/>
    </w:pPr>
    <w:rPr>
      <w:rFonts w:ascii="宋体"/>
      <w:kern w:val="0"/>
      <w:sz w:val="24"/>
      <w:szCs w:val="20"/>
    </w:rPr>
  </w:style>
  <w:style w:type="paragraph" w:customStyle="1" w:styleId="185">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86">
    <w:name w:val="Char Char Char Char Char Char1 Char Char Char Char Char Char Char Char Char Char Char Char"/>
    <w:basedOn w:val="1"/>
    <w:qFormat/>
    <w:uiPriority w:val="0"/>
    <w:pPr>
      <w:adjustRightInd w:val="0"/>
      <w:spacing w:line="360" w:lineRule="auto"/>
    </w:pPr>
    <w:rPr>
      <w:kern w:val="0"/>
      <w:sz w:val="20"/>
      <w:szCs w:val="20"/>
    </w:rPr>
  </w:style>
  <w:style w:type="paragraph" w:customStyle="1" w:styleId="187">
    <w:name w:val="xl78"/>
    <w:basedOn w:val="1"/>
    <w:qFormat/>
    <w:uiPriority w:val="0"/>
    <w:pPr>
      <w:widowControl/>
      <w:pBdr>
        <w:bottom w:val="single" w:color="auto" w:sz="4" w:space="0"/>
      </w:pBdr>
      <w:spacing w:before="100" w:beforeAutospacing="1" w:after="100" w:afterAutospacing="1"/>
      <w:jc w:val="right"/>
    </w:pPr>
    <w:rPr>
      <w:rFonts w:ascii="宋体"/>
      <w:kern w:val="0"/>
      <w:sz w:val="22"/>
      <w:szCs w:val="20"/>
    </w:rPr>
  </w:style>
  <w:style w:type="paragraph" w:customStyle="1" w:styleId="188">
    <w:name w:val="xl7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189">
    <w:name w:val="font6"/>
    <w:basedOn w:val="1"/>
    <w:qFormat/>
    <w:uiPriority w:val="0"/>
    <w:pPr>
      <w:widowControl/>
      <w:spacing w:before="100" w:beforeAutospacing="1" w:after="100" w:afterAutospacing="1"/>
      <w:jc w:val="left"/>
    </w:pPr>
    <w:rPr>
      <w:rFonts w:ascii="黑体" w:eastAsia="黑体"/>
      <w:kern w:val="0"/>
      <w:sz w:val="36"/>
      <w:szCs w:val="20"/>
    </w:rPr>
  </w:style>
  <w:style w:type="paragraph" w:customStyle="1" w:styleId="190">
    <w:name w:val="正文文本 22"/>
    <w:basedOn w:val="1"/>
    <w:qFormat/>
    <w:uiPriority w:val="0"/>
    <w:pPr>
      <w:adjustRightInd w:val="0"/>
      <w:spacing w:line="300" w:lineRule="auto"/>
      <w:jc w:val="center"/>
    </w:pPr>
    <w:rPr>
      <w:rFonts w:ascii="宋体"/>
      <w:sz w:val="24"/>
      <w:szCs w:val="20"/>
    </w:rPr>
  </w:style>
  <w:style w:type="paragraph" w:customStyle="1" w:styleId="191">
    <w:name w:val="Char Char Char Char"/>
    <w:basedOn w:val="1"/>
    <w:qFormat/>
    <w:uiPriority w:val="0"/>
    <w:rPr>
      <w:szCs w:val="20"/>
    </w:rPr>
  </w:style>
  <w:style w:type="paragraph" w:customStyle="1" w:styleId="192">
    <w:name w:val="标题---(2)"/>
    <w:basedOn w:val="128"/>
    <w:next w:val="193"/>
    <w:qFormat/>
    <w:uiPriority w:val="0"/>
    <w:pPr>
      <w:tabs>
        <w:tab w:val="left" w:pos="794"/>
      </w:tabs>
      <w:spacing w:beforeLines="25"/>
      <w:ind w:left="1200" w:hanging="420"/>
      <w:outlineLvl w:val="1"/>
    </w:pPr>
  </w:style>
  <w:style w:type="paragraph" w:customStyle="1" w:styleId="193">
    <w:name w:val="正文(缩进)"/>
    <w:qFormat/>
    <w:uiPriority w:val="0"/>
    <w:pPr>
      <w:spacing w:line="360" w:lineRule="auto"/>
      <w:ind w:firstLine="200" w:firstLineChars="200"/>
    </w:pPr>
    <w:rPr>
      <w:rFonts w:ascii="Times New Roman" w:hAnsi="Times New Roman" w:eastAsia="宋体" w:cs="Times New Roman"/>
      <w:sz w:val="24"/>
      <w:lang w:val="en-US" w:eastAsia="zh-CN" w:bidi="ar-SA"/>
    </w:rPr>
  </w:style>
  <w:style w:type="paragraph" w:customStyle="1" w:styleId="194">
    <w:name w:val="xl79"/>
    <w:basedOn w:val="1"/>
    <w:qFormat/>
    <w:uiPriority w:val="0"/>
    <w:pPr>
      <w:widowControl/>
      <w:pBdr>
        <w:bottom w:val="single" w:color="auto" w:sz="4" w:space="0"/>
      </w:pBdr>
      <w:spacing w:before="100" w:beforeAutospacing="1" w:after="100" w:afterAutospacing="1"/>
      <w:jc w:val="right"/>
    </w:pPr>
    <w:rPr>
      <w:kern w:val="0"/>
      <w:sz w:val="22"/>
      <w:szCs w:val="20"/>
    </w:rPr>
  </w:style>
  <w:style w:type="paragraph" w:customStyle="1" w:styleId="195">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196">
    <w:name w:val="_Style 103"/>
    <w:basedOn w:val="1"/>
    <w:next w:val="7"/>
    <w:qFormat/>
    <w:uiPriority w:val="0"/>
    <w:pPr>
      <w:ind w:firstLine="420"/>
    </w:pPr>
    <w:rPr>
      <w:rFonts w:eastAsia="仿宋_GB2312"/>
      <w:sz w:val="32"/>
      <w:szCs w:val="20"/>
    </w:rPr>
  </w:style>
  <w:style w:type="paragraph" w:customStyle="1" w:styleId="197">
    <w:name w:val="xl55"/>
    <w:basedOn w:val="1"/>
    <w:qFormat/>
    <w:uiPriority w:val="0"/>
    <w:pPr>
      <w:widowControl/>
      <w:pBdr>
        <w:top w:val="single" w:color="auto" w:sz="4" w:space="0"/>
        <w:bottom w:val="single" w:color="auto" w:sz="4" w:space="0"/>
      </w:pBdr>
      <w:spacing w:before="100" w:beforeAutospacing="1" w:after="100" w:afterAutospacing="1"/>
      <w:jc w:val="left"/>
      <w:textAlignment w:val="center"/>
    </w:pPr>
    <w:rPr>
      <w:kern w:val="0"/>
      <w:sz w:val="18"/>
      <w:szCs w:val="20"/>
    </w:rPr>
  </w:style>
  <w:style w:type="paragraph" w:customStyle="1" w:styleId="198">
    <w:name w:val="Char Char Char Char Char Char"/>
    <w:basedOn w:val="24"/>
    <w:qFormat/>
    <w:uiPriority w:val="0"/>
    <w:rPr>
      <w:rFonts w:ascii="Tahoma" w:hAnsi="Tahoma" w:eastAsia="宋体"/>
      <w:sz w:val="24"/>
      <w:szCs w:val="24"/>
    </w:rPr>
  </w:style>
  <w:style w:type="paragraph" w:customStyle="1" w:styleId="199">
    <w:name w:val="xl68"/>
    <w:basedOn w:val="1"/>
    <w:qFormat/>
    <w:uiPriority w:val="0"/>
    <w:pPr>
      <w:widowControl/>
      <w:pBdr>
        <w:top w:val="single" w:color="auto" w:sz="4" w:space="0"/>
      </w:pBdr>
      <w:spacing w:before="100" w:beforeAutospacing="1" w:after="100" w:afterAutospacing="1"/>
      <w:jc w:val="left"/>
      <w:textAlignment w:val="top"/>
    </w:pPr>
    <w:rPr>
      <w:rFonts w:ascii="宋体"/>
      <w:kern w:val="0"/>
      <w:sz w:val="20"/>
      <w:szCs w:val="20"/>
    </w:rPr>
  </w:style>
  <w:style w:type="paragraph" w:customStyle="1" w:styleId="200">
    <w:name w:val="font8"/>
    <w:basedOn w:val="1"/>
    <w:qFormat/>
    <w:uiPriority w:val="0"/>
    <w:pPr>
      <w:widowControl/>
      <w:spacing w:before="100" w:beforeAutospacing="1" w:after="100" w:afterAutospacing="1"/>
      <w:jc w:val="left"/>
    </w:pPr>
    <w:rPr>
      <w:rFonts w:ascii="宋体"/>
      <w:kern w:val="0"/>
      <w:sz w:val="20"/>
      <w:szCs w:val="20"/>
    </w:rPr>
  </w:style>
  <w:style w:type="paragraph" w:customStyle="1" w:styleId="201">
    <w:name w:val="默认段落字体 Para Char Char Char Char"/>
    <w:basedOn w:val="1"/>
    <w:qFormat/>
    <w:uiPriority w:val="0"/>
    <w:rPr>
      <w:szCs w:val="20"/>
    </w:rPr>
  </w:style>
  <w:style w:type="paragraph" w:customStyle="1" w:styleId="202">
    <w:name w:val="Char Char1 Char"/>
    <w:basedOn w:val="1"/>
    <w:qFormat/>
    <w:uiPriority w:val="0"/>
    <w:rPr>
      <w:rFonts w:ascii="仿宋_GB2312" w:eastAsia="仿宋_GB2312"/>
      <w:b/>
      <w:sz w:val="32"/>
      <w:szCs w:val="32"/>
    </w:rPr>
  </w:style>
  <w:style w:type="paragraph" w:customStyle="1" w:styleId="203">
    <w:name w:val="xl62"/>
    <w:basedOn w:val="1"/>
    <w:qFormat/>
    <w:uiPriority w:val="0"/>
    <w:pPr>
      <w:widowControl/>
      <w:pBdr>
        <w:bottom w:val="single" w:color="auto" w:sz="4" w:space="0"/>
      </w:pBdr>
      <w:spacing w:before="100" w:beforeAutospacing="1" w:after="100" w:afterAutospacing="1"/>
      <w:jc w:val="center"/>
    </w:pPr>
    <w:rPr>
      <w:rFonts w:ascii="宋体"/>
      <w:kern w:val="0"/>
      <w:sz w:val="22"/>
      <w:szCs w:val="20"/>
    </w:rPr>
  </w:style>
  <w:style w:type="paragraph" w:customStyle="1" w:styleId="204">
    <w:name w:val="xl25"/>
    <w:basedOn w:val="1"/>
    <w:qFormat/>
    <w:uiPriority w:val="0"/>
    <w:pPr>
      <w:widowControl/>
      <w:spacing w:before="100" w:beforeAutospacing="1" w:after="100" w:afterAutospacing="1"/>
      <w:jc w:val="left"/>
    </w:pPr>
    <w:rPr>
      <w:rFonts w:ascii="宋体"/>
      <w:kern w:val="0"/>
      <w:sz w:val="24"/>
      <w:szCs w:val="20"/>
    </w:rPr>
  </w:style>
  <w:style w:type="paragraph" w:customStyle="1" w:styleId="205">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kern w:val="0"/>
      <w:sz w:val="18"/>
      <w:szCs w:val="20"/>
    </w:rPr>
  </w:style>
  <w:style w:type="paragraph" w:customStyle="1" w:styleId="206">
    <w:name w:val="表内文字"/>
    <w:basedOn w:val="1"/>
    <w:qFormat/>
    <w:uiPriority w:val="0"/>
    <w:pPr>
      <w:widowControl/>
      <w:jc w:val="center"/>
    </w:pPr>
    <w:rPr>
      <w:rFonts w:ascii="宋体"/>
      <w:sz w:val="24"/>
      <w:szCs w:val="20"/>
    </w:rPr>
  </w:style>
  <w:style w:type="paragraph" w:customStyle="1" w:styleId="207">
    <w:name w:val="xl61"/>
    <w:basedOn w:val="1"/>
    <w:qFormat/>
    <w:uiPriority w:val="0"/>
    <w:pPr>
      <w:widowControl/>
      <w:pBdr>
        <w:bottom w:val="single" w:color="auto" w:sz="4" w:space="0"/>
      </w:pBdr>
      <w:spacing w:before="100" w:beforeAutospacing="1" w:after="100" w:afterAutospacing="1"/>
      <w:jc w:val="center"/>
    </w:pPr>
    <w:rPr>
      <w:kern w:val="0"/>
      <w:sz w:val="22"/>
      <w:szCs w:val="20"/>
    </w:rPr>
  </w:style>
  <w:style w:type="paragraph" w:customStyle="1" w:styleId="208">
    <w:name w:val="xl7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209">
    <w:name w:val="font10"/>
    <w:basedOn w:val="1"/>
    <w:qFormat/>
    <w:uiPriority w:val="0"/>
    <w:pPr>
      <w:widowControl/>
      <w:spacing w:before="100" w:beforeAutospacing="1" w:after="100" w:afterAutospacing="1"/>
      <w:jc w:val="left"/>
    </w:pPr>
    <w:rPr>
      <w:kern w:val="0"/>
      <w:sz w:val="22"/>
      <w:szCs w:val="20"/>
    </w:rPr>
  </w:style>
  <w:style w:type="paragraph" w:customStyle="1" w:styleId="210">
    <w:name w:val="xl65"/>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211">
    <w:name w:val="font12"/>
    <w:basedOn w:val="1"/>
    <w:qFormat/>
    <w:uiPriority w:val="0"/>
    <w:pPr>
      <w:widowControl/>
      <w:spacing w:before="100" w:beforeAutospacing="1" w:after="100" w:afterAutospacing="1"/>
      <w:jc w:val="left"/>
    </w:pPr>
    <w:rPr>
      <w:kern w:val="0"/>
      <w:sz w:val="18"/>
      <w:szCs w:val="20"/>
    </w:rPr>
  </w:style>
  <w:style w:type="paragraph" w:customStyle="1" w:styleId="212">
    <w:name w:val="font5"/>
    <w:basedOn w:val="1"/>
    <w:qFormat/>
    <w:uiPriority w:val="0"/>
    <w:pPr>
      <w:widowControl/>
      <w:spacing w:before="100" w:beforeAutospacing="1" w:after="100" w:afterAutospacing="1"/>
      <w:jc w:val="left"/>
    </w:pPr>
    <w:rPr>
      <w:rFonts w:ascii="宋体"/>
      <w:kern w:val="0"/>
      <w:sz w:val="18"/>
      <w:szCs w:val="20"/>
    </w:rPr>
  </w:style>
  <w:style w:type="paragraph" w:customStyle="1" w:styleId="213">
    <w:name w:val="xl54"/>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kern w:val="0"/>
      <w:sz w:val="20"/>
      <w:szCs w:val="20"/>
    </w:rPr>
  </w:style>
  <w:style w:type="paragraph" w:customStyle="1" w:styleId="214">
    <w:name w:val="font9"/>
    <w:basedOn w:val="1"/>
    <w:qFormat/>
    <w:uiPriority w:val="0"/>
    <w:pPr>
      <w:widowControl/>
      <w:spacing w:before="100" w:beforeAutospacing="1" w:after="100" w:afterAutospacing="1"/>
      <w:jc w:val="left"/>
    </w:pPr>
    <w:rPr>
      <w:kern w:val="0"/>
      <w:sz w:val="20"/>
      <w:szCs w:val="20"/>
    </w:rPr>
  </w:style>
  <w:style w:type="paragraph" w:customStyle="1" w:styleId="215">
    <w:name w:val="xl6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黑体" w:eastAsia="黑体"/>
      <w:kern w:val="0"/>
      <w:sz w:val="20"/>
      <w:szCs w:val="20"/>
    </w:rPr>
  </w:style>
  <w:style w:type="paragraph" w:customStyle="1" w:styleId="216">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kern w:val="0"/>
      <w:sz w:val="20"/>
      <w:szCs w:val="20"/>
    </w:rPr>
  </w:style>
  <w:style w:type="paragraph" w:customStyle="1" w:styleId="217">
    <w:name w:val="xl44"/>
    <w:basedOn w:val="1"/>
    <w:qFormat/>
    <w:uiPriority w:val="0"/>
    <w:pPr>
      <w:widowControl/>
      <w:spacing w:before="100" w:beforeAutospacing="1" w:after="100" w:afterAutospacing="1"/>
      <w:jc w:val="right"/>
      <w:textAlignment w:val="center"/>
    </w:pPr>
    <w:rPr>
      <w:rFonts w:ascii="宋体"/>
      <w:kern w:val="0"/>
      <w:sz w:val="20"/>
      <w:szCs w:val="20"/>
    </w:rPr>
  </w:style>
  <w:style w:type="paragraph" w:customStyle="1" w:styleId="218">
    <w:name w:val="Date1"/>
    <w:basedOn w:val="153"/>
    <w:next w:val="153"/>
    <w:qFormat/>
    <w:uiPriority w:val="0"/>
    <w:pPr>
      <w:jc w:val="right"/>
    </w:pPr>
    <w:rPr>
      <w:sz w:val="28"/>
    </w:rPr>
  </w:style>
  <w:style w:type="paragraph" w:customStyle="1" w:styleId="219">
    <w:name w:val="ST20_2"/>
    <w:basedOn w:val="1"/>
    <w:qFormat/>
    <w:uiPriority w:val="0"/>
    <w:pPr>
      <w:autoSpaceDE w:val="0"/>
      <w:autoSpaceDN w:val="0"/>
      <w:adjustRightInd w:val="0"/>
      <w:ind w:left="840" w:hanging="420"/>
      <w:jc w:val="left"/>
    </w:pPr>
    <w:rPr>
      <w:rFonts w:ascii="宋体"/>
      <w:kern w:val="0"/>
      <w:sz w:val="24"/>
      <w:szCs w:val="20"/>
    </w:rPr>
  </w:style>
  <w:style w:type="paragraph" w:customStyle="1" w:styleId="220">
    <w:name w:val="ST20_17"/>
    <w:basedOn w:val="8"/>
    <w:qFormat/>
    <w:uiPriority w:val="0"/>
    <w:pPr>
      <w:autoSpaceDE w:val="0"/>
      <w:autoSpaceDN w:val="0"/>
      <w:adjustRightInd w:val="0"/>
      <w:spacing w:before="0" w:after="0" w:line="240" w:lineRule="atLeast"/>
      <w:outlineLvl w:val="9"/>
    </w:pPr>
    <w:rPr>
      <w:rFonts w:ascii="宋体" w:eastAsia="宋体"/>
      <w:b w:val="0"/>
      <w:kern w:val="0"/>
      <w:sz w:val="24"/>
    </w:rPr>
  </w:style>
  <w:style w:type="paragraph" w:customStyle="1" w:styleId="221">
    <w:name w:val="样式 宋体 小四 首行缩进:  0.93 厘米 段前: 11.15 磅 段后: 11.15 磅1"/>
    <w:basedOn w:val="1"/>
    <w:qFormat/>
    <w:uiPriority w:val="0"/>
    <w:pPr>
      <w:adjustRightInd w:val="0"/>
      <w:snapToGrid w:val="0"/>
      <w:ind w:left="200" w:leftChars="200"/>
    </w:pPr>
    <w:rPr>
      <w:rFonts w:ascii="宋体"/>
      <w:sz w:val="24"/>
      <w:szCs w:val="20"/>
    </w:rPr>
  </w:style>
  <w:style w:type="paragraph" w:customStyle="1" w:styleId="222">
    <w:name w:val="正文－wjnew"/>
    <w:basedOn w:val="1"/>
    <w:qFormat/>
    <w:uiPriority w:val="0"/>
    <w:pPr>
      <w:adjustRightInd w:val="0"/>
      <w:snapToGrid w:val="0"/>
      <w:spacing w:line="360" w:lineRule="auto"/>
      <w:ind w:firstLine="420"/>
    </w:pPr>
    <w:rPr>
      <w:rFonts w:ascii="宋体"/>
      <w:szCs w:val="20"/>
    </w:rPr>
  </w:style>
  <w:style w:type="paragraph" w:customStyle="1" w:styleId="223">
    <w:name w:val="正文－zlb"/>
    <w:basedOn w:val="1"/>
    <w:qFormat/>
    <w:uiPriority w:val="0"/>
    <w:pPr>
      <w:adjustRightInd w:val="0"/>
      <w:snapToGrid w:val="0"/>
      <w:spacing w:line="360" w:lineRule="auto"/>
      <w:ind w:firstLine="420"/>
    </w:pPr>
    <w:rPr>
      <w:rFonts w:ascii="宋体"/>
      <w:sz w:val="24"/>
      <w:szCs w:val="20"/>
    </w:rPr>
  </w:style>
  <w:style w:type="paragraph" w:customStyle="1" w:styleId="224">
    <w:name w:val="级别2"/>
    <w:basedOn w:val="2"/>
    <w:qFormat/>
    <w:uiPriority w:val="0"/>
    <w:pPr>
      <w:keepNext w:val="0"/>
      <w:keepLines w:val="0"/>
      <w:adjustRightInd w:val="0"/>
      <w:snapToGrid w:val="0"/>
      <w:spacing w:before="0" w:after="0" w:line="360" w:lineRule="auto"/>
      <w:outlineLvl w:val="1"/>
    </w:pPr>
    <w:rPr>
      <w:rFonts w:ascii="宋体"/>
      <w:bCs w:val="0"/>
      <w:sz w:val="24"/>
      <w:szCs w:val="20"/>
    </w:rPr>
  </w:style>
  <w:style w:type="paragraph" w:customStyle="1" w:styleId="225">
    <w:name w:val="p0"/>
    <w:basedOn w:val="1"/>
    <w:qFormat/>
    <w:uiPriority w:val="0"/>
    <w:pPr>
      <w:widowControl/>
    </w:pPr>
    <w:rPr>
      <w:kern w:val="0"/>
      <w:szCs w:val="21"/>
    </w:rPr>
  </w:style>
  <w:style w:type="character" w:customStyle="1" w:styleId="226">
    <w:name w:val="Char Char1"/>
    <w:qFormat/>
    <w:uiPriority w:val="0"/>
    <w:rPr>
      <w:b/>
      <w:kern w:val="2"/>
    </w:rPr>
  </w:style>
  <w:style w:type="character" w:customStyle="1" w:styleId="227">
    <w:name w:val="Char Char"/>
    <w:qFormat/>
    <w:uiPriority w:val="0"/>
    <w:rPr>
      <w:kern w:val="2"/>
    </w:rPr>
  </w:style>
  <w:style w:type="character" w:customStyle="1" w:styleId="228">
    <w:name w:val="Char Char21"/>
    <w:qFormat/>
    <w:uiPriority w:val="0"/>
    <w:rPr>
      <w:rFonts w:ascii="Tahoma" w:hAnsi="Tahoma"/>
      <w:kern w:val="2"/>
      <w:sz w:val="16"/>
    </w:rPr>
  </w:style>
  <w:style w:type="paragraph" w:customStyle="1" w:styleId="229">
    <w:name w:val="正文－wj"/>
    <w:basedOn w:val="221"/>
    <w:qFormat/>
    <w:uiPriority w:val="0"/>
    <w:rPr>
      <w:rFonts w:cs="宋体"/>
      <w:sz w:val="21"/>
      <w:szCs w:val="21"/>
    </w:rPr>
  </w:style>
  <w:style w:type="paragraph" w:customStyle="1" w:styleId="230">
    <w:name w:val="级别4"/>
    <w:basedOn w:val="224"/>
    <w:qFormat/>
    <w:uiPriority w:val="0"/>
    <w:pPr>
      <w:tabs>
        <w:tab w:val="left" w:pos="0"/>
      </w:tabs>
      <w:ind w:left="1680" w:hanging="420"/>
      <w:outlineLvl w:val="3"/>
    </w:pPr>
    <w:rPr>
      <w:b w:val="0"/>
      <w:kern w:val="0"/>
      <w:szCs w:val="24"/>
    </w:rPr>
  </w:style>
  <w:style w:type="paragraph" w:customStyle="1" w:styleId="231">
    <w:name w:val="顺序编号-zlb"/>
    <w:basedOn w:val="230"/>
    <w:qFormat/>
    <w:uiPriority w:val="0"/>
    <w:pPr>
      <w:ind w:left="3780"/>
      <w:outlineLvl w:val="8"/>
    </w:pPr>
  </w:style>
  <w:style w:type="paragraph" w:customStyle="1" w:styleId="232">
    <w:name w:val="级别3"/>
    <w:basedOn w:val="224"/>
    <w:qFormat/>
    <w:uiPriority w:val="0"/>
    <w:pPr>
      <w:tabs>
        <w:tab w:val="left" w:pos="0"/>
      </w:tabs>
      <w:ind w:left="1260" w:hanging="420"/>
      <w:outlineLvl w:val="2"/>
    </w:pPr>
    <w:rPr>
      <w:b w:val="0"/>
      <w:szCs w:val="24"/>
    </w:rPr>
  </w:style>
  <w:style w:type="paragraph" w:customStyle="1" w:styleId="233">
    <w:name w:val="级别5"/>
    <w:basedOn w:val="230"/>
    <w:qFormat/>
    <w:uiPriority w:val="0"/>
    <w:pPr>
      <w:ind w:left="2100"/>
      <w:outlineLvl w:val="4"/>
    </w:pPr>
  </w:style>
  <w:style w:type="paragraph" w:customStyle="1" w:styleId="234">
    <w:name w:val="级别6"/>
    <w:basedOn w:val="233"/>
    <w:qFormat/>
    <w:uiPriority w:val="0"/>
    <w:pPr>
      <w:tabs>
        <w:tab w:val="clear" w:pos="0"/>
      </w:tabs>
      <w:ind w:left="409" w:hanging="23"/>
      <w:outlineLvl w:val="5"/>
    </w:pPr>
  </w:style>
  <w:style w:type="paragraph" w:customStyle="1" w:styleId="235">
    <w:name w:val="级别1"/>
    <w:basedOn w:val="2"/>
    <w:qFormat/>
    <w:uiPriority w:val="0"/>
    <w:pPr>
      <w:keepNext w:val="0"/>
      <w:keepLines w:val="0"/>
      <w:tabs>
        <w:tab w:val="left" w:pos="-1620"/>
      </w:tabs>
      <w:adjustRightInd w:val="0"/>
      <w:snapToGrid w:val="0"/>
      <w:spacing w:before="0" w:after="0" w:line="360" w:lineRule="auto"/>
    </w:pPr>
    <w:rPr>
      <w:rFonts w:ascii="宋体"/>
      <w:bCs w:val="0"/>
      <w:sz w:val="28"/>
      <w:szCs w:val="24"/>
    </w:rPr>
  </w:style>
  <w:style w:type="paragraph" w:customStyle="1" w:styleId="236">
    <w:name w:val="Char Char Char1 Char"/>
    <w:basedOn w:val="1"/>
    <w:qFormat/>
    <w:uiPriority w:val="0"/>
  </w:style>
  <w:style w:type="paragraph" w:customStyle="1" w:styleId="237">
    <w:name w:val="Body"/>
    <w:qFormat/>
    <w:uiPriority w:val="0"/>
    <w:pPr>
      <w:tabs>
        <w:tab w:val="left" w:pos="720"/>
        <w:tab w:val="left" w:pos="1152"/>
        <w:tab w:val="left" w:pos="1584"/>
        <w:tab w:val="left" w:pos="2016"/>
      </w:tabs>
      <w:overflowPunct w:val="0"/>
      <w:autoSpaceDE w:val="0"/>
      <w:autoSpaceDN w:val="0"/>
      <w:adjustRightInd w:val="0"/>
      <w:spacing w:before="180"/>
      <w:ind w:left="720"/>
      <w:textAlignment w:val="baseline"/>
    </w:pPr>
    <w:rPr>
      <w:rFonts w:ascii="Times New Roman" w:hAnsi="Times New Roman" w:eastAsia="宋体" w:cs="Times New Roman"/>
      <w:sz w:val="22"/>
      <w:lang w:val="en-US" w:eastAsia="zh-CN" w:bidi="ar-SA"/>
    </w:rPr>
  </w:style>
  <w:style w:type="paragraph" w:customStyle="1" w:styleId="23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39">
    <w:name w:val="页脚 Char1"/>
    <w:qFormat/>
    <w:uiPriority w:val="0"/>
    <w:rPr>
      <w:kern w:val="2"/>
      <w:sz w:val="18"/>
      <w:szCs w:val="18"/>
    </w:rPr>
  </w:style>
  <w:style w:type="character" w:customStyle="1" w:styleId="240">
    <w:name w:val="正文首行缩进 2 Char"/>
    <w:basedOn w:val="102"/>
    <w:qFormat/>
    <w:uiPriority w:val="0"/>
    <w:rPr>
      <w:rFonts w:eastAsia="仿宋_GB2312"/>
      <w:kern w:val="2"/>
      <w:sz w:val="32"/>
    </w:rPr>
  </w:style>
  <w:style w:type="character" w:customStyle="1" w:styleId="241">
    <w:name w:val="信息标题 Char"/>
    <w:basedOn w:val="78"/>
    <w:qFormat/>
    <w:uiPriority w:val="0"/>
    <w:rPr>
      <w:rFonts w:ascii="Cambria" w:hAnsi="Cambria"/>
      <w:sz w:val="24"/>
      <w:szCs w:val="24"/>
    </w:rPr>
  </w:style>
  <w:style w:type="character" w:customStyle="1" w:styleId="242">
    <w:name w:val="正文文本 3 Char"/>
    <w:qFormat/>
    <w:uiPriority w:val="0"/>
    <w:rPr>
      <w:color w:val="FF0000"/>
      <w:sz w:val="24"/>
    </w:rPr>
  </w:style>
  <w:style w:type="character" w:customStyle="1" w:styleId="243">
    <w:name w:val="Char Char81"/>
    <w:qFormat/>
    <w:uiPriority w:val="0"/>
    <w:rPr>
      <w:rFonts w:eastAsia="仿宋_GB2312"/>
      <w:kern w:val="2"/>
      <w:sz w:val="28"/>
      <w:lang w:val="en-US" w:eastAsia="zh-CN" w:bidi="ar-SA"/>
    </w:rPr>
  </w:style>
  <w:style w:type="character" w:customStyle="1" w:styleId="244">
    <w:name w:val="正文首行缩进 2 Char1"/>
    <w:basedOn w:val="102"/>
    <w:qFormat/>
    <w:uiPriority w:val="0"/>
    <w:rPr>
      <w:rFonts w:eastAsia="仿宋_GB2312"/>
      <w:kern w:val="2"/>
      <w:sz w:val="21"/>
      <w:szCs w:val="24"/>
    </w:rPr>
  </w:style>
  <w:style w:type="character" w:customStyle="1" w:styleId="245">
    <w:name w:val="z-窗体底端 Char"/>
    <w:qFormat/>
    <w:uiPriority w:val="0"/>
    <w:rPr>
      <w:rFonts w:ascii="Arial" w:hAnsi="Arial" w:cs="Arial"/>
      <w:vanish/>
      <w:sz w:val="16"/>
      <w:szCs w:val="16"/>
    </w:rPr>
  </w:style>
  <w:style w:type="paragraph" w:customStyle="1" w:styleId="246">
    <w:name w:val="z-窗体底端1"/>
    <w:basedOn w:val="1"/>
    <w:next w:val="1"/>
    <w:qFormat/>
    <w:uiPriority w:val="0"/>
    <w:pPr>
      <w:pBdr>
        <w:top w:val="single" w:color="auto" w:sz="6" w:space="1"/>
      </w:pBdr>
      <w:adjustRightInd w:val="0"/>
      <w:spacing w:line="312" w:lineRule="atLeast"/>
      <w:jc w:val="center"/>
      <w:textAlignment w:val="baseline"/>
    </w:pPr>
    <w:rPr>
      <w:rFonts w:ascii="Arial" w:hAnsi="Arial"/>
      <w:vanish/>
      <w:kern w:val="0"/>
      <w:sz w:val="16"/>
      <w:szCs w:val="16"/>
    </w:rPr>
  </w:style>
  <w:style w:type="character" w:customStyle="1" w:styleId="247">
    <w:name w:val="HTML 预设格式 Char"/>
    <w:qFormat/>
    <w:uiPriority w:val="0"/>
    <w:rPr>
      <w:rFonts w:ascii="Verdana" w:hAnsi="Verdana" w:eastAsia="Verdana" w:cs="Verdana"/>
    </w:rPr>
  </w:style>
  <w:style w:type="character" w:customStyle="1" w:styleId="248">
    <w:name w:val="标题 Char1"/>
    <w:basedOn w:val="78"/>
    <w:qFormat/>
    <w:uiPriority w:val="0"/>
    <w:rPr>
      <w:rFonts w:ascii="Cambria" w:hAnsi="Cambria" w:cs="Times New Roman"/>
      <w:b/>
      <w:bCs/>
      <w:kern w:val="2"/>
      <w:sz w:val="32"/>
      <w:szCs w:val="32"/>
    </w:rPr>
  </w:style>
  <w:style w:type="character" w:customStyle="1" w:styleId="249">
    <w:name w:val="Style Arial"/>
    <w:qFormat/>
    <w:uiPriority w:val="0"/>
    <w:rPr>
      <w:rFonts w:ascii="Arial" w:hAnsi="Arial"/>
      <w:spacing w:val="-3"/>
      <w:sz w:val="24"/>
      <w:szCs w:val="24"/>
    </w:rPr>
  </w:style>
  <w:style w:type="character" w:customStyle="1" w:styleId="250">
    <w:name w:val="Char Char22"/>
    <w:qFormat/>
    <w:uiPriority w:val="0"/>
    <w:rPr>
      <w:rFonts w:eastAsia="仿宋_GB2312"/>
      <w:kern w:val="2"/>
      <w:sz w:val="18"/>
      <w:lang w:val="en-US" w:eastAsia="zh-CN" w:bidi="ar-SA"/>
    </w:rPr>
  </w:style>
  <w:style w:type="paragraph" w:customStyle="1" w:styleId="251">
    <w:name w:val="样式 SINOPEC-0"/>
    <w:basedOn w:val="1"/>
    <w:qFormat/>
    <w:uiPriority w:val="0"/>
    <w:pPr>
      <w:spacing w:line="360" w:lineRule="auto"/>
      <w:ind w:firstLine="200" w:firstLineChars="200"/>
    </w:pPr>
    <w:rPr>
      <w:rFonts w:ascii="Arial" w:hAnsi="Arial"/>
      <w:kern w:val="0"/>
      <w:sz w:val="24"/>
    </w:rPr>
  </w:style>
  <w:style w:type="character" w:customStyle="1" w:styleId="252">
    <w:name w:val="标题 21"/>
    <w:qFormat/>
    <w:uiPriority w:val="0"/>
    <w:rPr>
      <w:rFonts w:ascii="宋体" w:eastAsia="宋体"/>
      <w:b/>
      <w:snapToGrid w:val="0"/>
      <w:sz w:val="28"/>
      <w:lang w:val="en-US" w:eastAsia="zh-CN" w:bidi="ar-SA"/>
    </w:rPr>
  </w:style>
  <w:style w:type="character" w:customStyle="1" w:styleId="253">
    <w:name w:val="副标题 Char"/>
    <w:qFormat/>
    <w:uiPriority w:val="0"/>
    <w:rPr>
      <w:rFonts w:ascii="Arial" w:hAnsi="Arial" w:eastAsia="Times New Roman"/>
      <w:b/>
      <w:i/>
      <w:snapToGrid w:val="0"/>
      <w:color w:val="FF0000"/>
      <w:sz w:val="28"/>
    </w:rPr>
  </w:style>
  <w:style w:type="character" w:customStyle="1" w:styleId="254">
    <w:name w:val="z-窗体顶端 Char"/>
    <w:qFormat/>
    <w:uiPriority w:val="0"/>
    <w:rPr>
      <w:rFonts w:ascii="Arial" w:hAnsi="Arial" w:cs="Arial"/>
      <w:vanish/>
      <w:sz w:val="16"/>
      <w:szCs w:val="16"/>
    </w:rPr>
  </w:style>
  <w:style w:type="paragraph" w:customStyle="1" w:styleId="255">
    <w:name w:val="z-窗体顶端1"/>
    <w:basedOn w:val="1"/>
    <w:next w:val="1"/>
    <w:qFormat/>
    <w:uiPriority w:val="0"/>
    <w:pPr>
      <w:pBdr>
        <w:bottom w:val="single" w:color="auto" w:sz="6" w:space="1"/>
      </w:pBdr>
      <w:adjustRightInd w:val="0"/>
      <w:spacing w:line="312" w:lineRule="atLeast"/>
      <w:jc w:val="center"/>
      <w:textAlignment w:val="baseline"/>
    </w:pPr>
    <w:rPr>
      <w:rFonts w:ascii="Arial" w:hAnsi="Arial"/>
      <w:vanish/>
      <w:kern w:val="0"/>
      <w:sz w:val="16"/>
      <w:szCs w:val="16"/>
    </w:rPr>
  </w:style>
  <w:style w:type="paragraph" w:customStyle="1" w:styleId="256">
    <w:name w:val="列出段落1"/>
    <w:basedOn w:val="1"/>
    <w:qFormat/>
    <w:uiPriority w:val="0"/>
    <w:pPr>
      <w:widowControl/>
      <w:ind w:firstLine="200" w:firstLineChars="200"/>
      <w:jc w:val="left"/>
    </w:pPr>
    <w:rPr>
      <w:kern w:val="0"/>
      <w:sz w:val="20"/>
      <w:szCs w:val="20"/>
    </w:rPr>
  </w:style>
  <w:style w:type="character" w:customStyle="1" w:styleId="257">
    <w:name w:val="信息标题 Char1"/>
    <w:basedOn w:val="78"/>
    <w:qFormat/>
    <w:uiPriority w:val="0"/>
    <w:rPr>
      <w:rFonts w:ascii="Cambria" w:hAnsi="Cambria" w:eastAsia="宋体" w:cs="Times New Roman"/>
      <w:kern w:val="2"/>
      <w:sz w:val="24"/>
      <w:szCs w:val="24"/>
      <w:shd w:val="pct20" w:color="auto" w:fill="auto"/>
    </w:rPr>
  </w:style>
  <w:style w:type="paragraph" w:customStyle="1" w:styleId="258">
    <w:name w:val="bt1.2.3.1"/>
    <w:basedOn w:val="1"/>
    <w:next w:val="1"/>
    <w:qFormat/>
    <w:uiPriority w:val="0"/>
    <w:pPr>
      <w:tabs>
        <w:tab w:val="left" w:pos="960"/>
        <w:tab w:val="left" w:pos="1193"/>
      </w:tabs>
      <w:adjustRightInd w:val="0"/>
      <w:spacing w:line="276" w:lineRule="auto"/>
      <w:ind w:left="420" w:hanging="420"/>
      <w:jc w:val="left"/>
      <w:textAlignment w:val="baseline"/>
      <w:outlineLvl w:val="3"/>
    </w:pPr>
    <w:rPr>
      <w:rFonts w:ascii="宋体"/>
      <w:b/>
      <w:kern w:val="0"/>
      <w:szCs w:val="20"/>
    </w:rPr>
  </w:style>
  <w:style w:type="paragraph" w:customStyle="1" w:styleId="259">
    <w:name w:val="List Paragraph1"/>
    <w:basedOn w:val="1"/>
    <w:qFormat/>
    <w:uiPriority w:val="0"/>
    <w:pPr>
      <w:ind w:firstLine="200" w:firstLineChars="200"/>
    </w:pPr>
    <w:rPr>
      <w:szCs w:val="20"/>
    </w:rPr>
  </w:style>
  <w:style w:type="paragraph" w:customStyle="1" w:styleId="260">
    <w:name w:val="Char Char Char Char Char Char Char Char Char Char Char Char Char"/>
    <w:basedOn w:val="1"/>
    <w:qFormat/>
    <w:uiPriority w:val="0"/>
    <w:pPr>
      <w:adjustRightInd w:val="0"/>
      <w:spacing w:line="360" w:lineRule="atLeast"/>
      <w:jc w:val="left"/>
      <w:textAlignment w:val="baseline"/>
    </w:pPr>
    <w:rPr>
      <w:kern w:val="0"/>
      <w:sz w:val="24"/>
      <w:szCs w:val="20"/>
    </w:rPr>
  </w:style>
  <w:style w:type="paragraph" w:customStyle="1" w:styleId="261">
    <w:name w:val="正文1"/>
    <w:basedOn w:val="1"/>
    <w:qFormat/>
    <w:uiPriority w:val="0"/>
    <w:pPr>
      <w:adjustRightInd w:val="0"/>
      <w:spacing w:line="360" w:lineRule="atLeast"/>
      <w:jc w:val="left"/>
      <w:textAlignment w:val="baseline"/>
    </w:pPr>
    <w:rPr>
      <w:rFonts w:ascii="宋体"/>
      <w:kern w:val="0"/>
      <w:sz w:val="24"/>
    </w:rPr>
  </w:style>
  <w:style w:type="paragraph" w:customStyle="1" w:styleId="262">
    <w:name w:val="Char Char Char2"/>
    <w:basedOn w:val="1"/>
    <w:qFormat/>
    <w:uiPriority w:val="0"/>
  </w:style>
  <w:style w:type="paragraph" w:customStyle="1" w:styleId="263">
    <w:name w:val="Numbered list 2.2"/>
    <w:basedOn w:val="3"/>
    <w:next w:val="1"/>
    <w:qFormat/>
    <w:uiPriority w:val="0"/>
    <w:pPr>
      <w:keepNext/>
      <w:widowControl/>
      <w:tabs>
        <w:tab w:val="left" w:pos="720"/>
      </w:tabs>
      <w:spacing w:before="0" w:after="60" w:line="240" w:lineRule="auto"/>
      <w:ind w:left="360" w:hanging="360"/>
      <w:jc w:val="left"/>
    </w:pPr>
    <w:rPr>
      <w:rFonts w:eastAsia="宋体"/>
      <w:bCs/>
      <w:kern w:val="0"/>
      <w:sz w:val="24"/>
      <w:szCs w:val="32"/>
    </w:rPr>
  </w:style>
  <w:style w:type="paragraph" w:customStyle="1" w:styleId="264">
    <w:name w:val="正文文本1"/>
    <w:basedOn w:val="1"/>
    <w:qFormat/>
    <w:uiPriority w:val="0"/>
    <w:pPr>
      <w:tabs>
        <w:tab w:val="left" w:pos="720"/>
      </w:tabs>
      <w:adjustRightInd w:val="0"/>
      <w:spacing w:line="360" w:lineRule="auto"/>
      <w:textAlignment w:val="baseline"/>
    </w:pPr>
    <w:rPr>
      <w:rFonts w:ascii="宋体"/>
      <w:kern w:val="0"/>
      <w:sz w:val="28"/>
      <w:szCs w:val="28"/>
    </w:rPr>
  </w:style>
  <w:style w:type="paragraph" w:customStyle="1" w:styleId="265">
    <w:name w:val="Numbered list 2.1"/>
    <w:basedOn w:val="2"/>
    <w:next w:val="1"/>
    <w:qFormat/>
    <w:uiPriority w:val="0"/>
    <w:pPr>
      <w:keepLines w:val="0"/>
      <w:widowControl/>
      <w:tabs>
        <w:tab w:val="left" w:pos="360"/>
        <w:tab w:val="left" w:pos="720"/>
      </w:tabs>
      <w:spacing w:before="240" w:after="60" w:line="240" w:lineRule="auto"/>
      <w:ind w:left="360" w:hanging="360"/>
      <w:jc w:val="left"/>
    </w:pPr>
    <w:rPr>
      <w:rFonts w:ascii="Arial" w:hAnsi="Arial"/>
      <w:bCs w:val="0"/>
      <w:kern w:val="28"/>
      <w:sz w:val="28"/>
      <w:szCs w:val="20"/>
    </w:rPr>
  </w:style>
  <w:style w:type="paragraph" w:customStyle="1" w:styleId="266">
    <w:name w:val="表格"/>
    <w:basedOn w:val="1"/>
    <w:qFormat/>
    <w:uiPriority w:val="0"/>
    <w:pPr>
      <w:adjustRightInd w:val="0"/>
      <w:spacing w:before="60" w:after="60"/>
      <w:jc w:val="center"/>
      <w:textAlignment w:val="baseline"/>
    </w:pPr>
    <w:rPr>
      <w:rFonts w:ascii="宋体"/>
      <w:kern w:val="0"/>
      <w:sz w:val="24"/>
      <w:szCs w:val="20"/>
    </w:rPr>
  </w:style>
  <w:style w:type="paragraph" w:customStyle="1" w:styleId="267">
    <w:name w:val="日期1"/>
    <w:basedOn w:val="1"/>
    <w:next w:val="1"/>
    <w:qFormat/>
    <w:uiPriority w:val="0"/>
    <w:pPr>
      <w:adjustRightInd w:val="0"/>
      <w:spacing w:line="312" w:lineRule="atLeast"/>
      <w:textAlignment w:val="baseline"/>
    </w:pPr>
    <w:rPr>
      <w:kern w:val="0"/>
      <w:sz w:val="28"/>
      <w:szCs w:val="28"/>
    </w:rPr>
  </w:style>
  <w:style w:type="paragraph" w:customStyle="1" w:styleId="268">
    <w:name w:val="正文-1"/>
    <w:basedOn w:val="1"/>
    <w:qFormat/>
    <w:uiPriority w:val="0"/>
    <w:pPr>
      <w:autoSpaceDE w:val="0"/>
      <w:autoSpaceDN w:val="0"/>
      <w:adjustRightInd w:val="0"/>
      <w:spacing w:before="156" w:after="156" w:line="360" w:lineRule="auto"/>
      <w:ind w:firstLine="200" w:firstLineChars="200"/>
      <w:jc w:val="left"/>
    </w:pPr>
    <w:rPr>
      <w:rFonts w:ascii="宋体"/>
      <w:kern w:val="0"/>
      <w:sz w:val="20"/>
      <w:szCs w:val="21"/>
    </w:rPr>
  </w:style>
  <w:style w:type="paragraph" w:customStyle="1" w:styleId="269">
    <w:name w:val="Body Text 21"/>
    <w:basedOn w:val="1"/>
    <w:qFormat/>
    <w:uiPriority w:val="0"/>
    <w:pPr>
      <w:adjustRightInd w:val="0"/>
      <w:spacing w:line="312" w:lineRule="atLeast"/>
      <w:ind w:firstLine="600"/>
      <w:textAlignment w:val="baseline"/>
    </w:pPr>
    <w:rPr>
      <w:rFonts w:ascii="宋体"/>
      <w:kern w:val="0"/>
      <w:sz w:val="28"/>
      <w:szCs w:val="20"/>
    </w:rPr>
  </w:style>
  <w:style w:type="paragraph" w:customStyle="1" w:styleId="270">
    <w:name w:val="Numbered list 2.3"/>
    <w:basedOn w:val="6"/>
    <w:next w:val="1"/>
    <w:qFormat/>
    <w:uiPriority w:val="0"/>
    <w:pPr>
      <w:keepLines w:val="0"/>
      <w:widowControl/>
      <w:tabs>
        <w:tab w:val="clear" w:pos="287"/>
      </w:tabs>
      <w:spacing w:before="0" w:after="60" w:line="240" w:lineRule="auto"/>
      <w:ind w:left="1080" w:hanging="360"/>
    </w:pPr>
    <w:rPr>
      <w:rFonts w:ascii="Arial" w:hAnsi="Arial"/>
      <w:kern w:val="0"/>
      <w:sz w:val="22"/>
    </w:rPr>
  </w:style>
  <w:style w:type="paragraph" w:customStyle="1" w:styleId="271">
    <w:name w:val="Char Char Char1 Char1"/>
    <w:basedOn w:val="1"/>
    <w:qFormat/>
    <w:uiPriority w:val="0"/>
  </w:style>
  <w:style w:type="paragraph" w:customStyle="1" w:styleId="272">
    <w:name w:val="标题3"/>
    <w:basedOn w:val="6"/>
    <w:qFormat/>
    <w:uiPriority w:val="0"/>
    <w:pPr>
      <w:keepLines w:val="0"/>
      <w:widowControl/>
      <w:tabs>
        <w:tab w:val="clear" w:pos="287"/>
      </w:tabs>
      <w:adjustRightInd w:val="0"/>
      <w:snapToGrid w:val="0"/>
      <w:spacing w:before="0" w:line="360" w:lineRule="auto"/>
      <w:jc w:val="both"/>
      <w:textAlignment w:val="baseline"/>
    </w:pPr>
    <w:rPr>
      <w:rFonts w:ascii="Times New Roman"/>
      <w:b w:val="0"/>
      <w:kern w:val="0"/>
      <w:sz w:val="24"/>
    </w:rPr>
  </w:style>
  <w:style w:type="paragraph" w:customStyle="1" w:styleId="273">
    <w:name w:val="中机"/>
    <w:basedOn w:val="1"/>
    <w:qFormat/>
    <w:uiPriority w:val="0"/>
    <w:rPr>
      <w:rFonts w:eastAsia="黑体"/>
      <w:sz w:val="28"/>
      <w:szCs w:val="20"/>
    </w:rPr>
  </w:style>
  <w:style w:type="paragraph" w:customStyle="1" w:styleId="274">
    <w:name w:val="n"/>
    <w:basedOn w:val="1"/>
    <w:qFormat/>
    <w:uiPriority w:val="0"/>
    <w:pPr>
      <w:autoSpaceDE w:val="0"/>
      <w:autoSpaceDN w:val="0"/>
      <w:adjustRightInd w:val="0"/>
      <w:spacing w:line="400" w:lineRule="atLeast"/>
      <w:textAlignment w:val="baseline"/>
    </w:pPr>
    <w:rPr>
      <w:rFonts w:ascii="宋体" w:hAnsi="宋体" w:eastAsia="楷体_GB2312"/>
      <w:kern w:val="0"/>
      <w:sz w:val="24"/>
      <w:szCs w:val="20"/>
    </w:rPr>
  </w:style>
  <w:style w:type="paragraph" w:customStyle="1" w:styleId="275">
    <w:name w:val="正文文本 23"/>
    <w:basedOn w:val="1"/>
    <w:qFormat/>
    <w:uiPriority w:val="0"/>
    <w:pPr>
      <w:adjustRightInd w:val="0"/>
      <w:spacing w:line="300" w:lineRule="auto"/>
      <w:jc w:val="center"/>
    </w:pPr>
    <w:rPr>
      <w:rFonts w:ascii="宋体"/>
      <w:sz w:val="24"/>
      <w:szCs w:val="20"/>
    </w:rPr>
  </w:style>
  <w:style w:type="paragraph" w:customStyle="1" w:styleId="276">
    <w:name w:val="Char Char Char Char Char Char Char"/>
    <w:basedOn w:val="1"/>
    <w:qFormat/>
    <w:uiPriority w:val="0"/>
  </w:style>
  <w:style w:type="paragraph" w:customStyle="1" w:styleId="277">
    <w:name w:val="Char Char1 Char Char1 Char Char Char Char Char Char Char Char1"/>
    <w:basedOn w:val="1"/>
    <w:qFormat/>
    <w:uiPriority w:val="0"/>
    <w:pPr>
      <w:adjustRightInd w:val="0"/>
      <w:spacing w:line="360" w:lineRule="auto"/>
    </w:pPr>
    <w:rPr>
      <w:rFonts w:eastAsia="Times New Roman"/>
      <w:kern w:val="0"/>
      <w:sz w:val="20"/>
      <w:szCs w:val="20"/>
    </w:rPr>
  </w:style>
  <w:style w:type="paragraph" w:customStyle="1" w:styleId="278">
    <w:name w:val="Char Char Char Char1"/>
    <w:basedOn w:val="1"/>
    <w:qFormat/>
    <w:uiPriority w:val="0"/>
  </w:style>
  <w:style w:type="paragraph" w:customStyle="1" w:styleId="279">
    <w:name w:val="标题1"/>
    <w:basedOn w:val="2"/>
    <w:qFormat/>
    <w:uiPriority w:val="0"/>
    <w:pPr>
      <w:tabs>
        <w:tab w:val="left" w:pos="480"/>
        <w:tab w:val="left" w:pos="1140"/>
        <w:tab w:val="left" w:pos="1193"/>
      </w:tabs>
      <w:adjustRightInd w:val="0"/>
      <w:spacing w:before="120" w:after="0" w:line="360" w:lineRule="auto"/>
      <w:ind w:left="1140" w:hanging="1140"/>
      <w:jc w:val="left"/>
      <w:textAlignment w:val="baseline"/>
    </w:pPr>
    <w:rPr>
      <w:bCs w:val="0"/>
      <w:sz w:val="28"/>
      <w:szCs w:val="20"/>
    </w:rPr>
  </w:style>
  <w:style w:type="paragraph" w:customStyle="1" w:styleId="280">
    <w:name w:val="Char11"/>
    <w:basedOn w:val="1"/>
    <w:qFormat/>
    <w:uiPriority w:val="0"/>
    <w:pPr>
      <w:adjustRightInd w:val="0"/>
      <w:spacing w:beforeLines="100"/>
      <w:ind w:right="225" w:rightChars="225"/>
      <w:jc w:val="left"/>
    </w:pPr>
    <w:rPr>
      <w:rFonts w:ascii="Tahoma" w:hAnsi="Tahoma"/>
      <w:sz w:val="24"/>
      <w:lang w:val="en-GB"/>
    </w:rPr>
  </w:style>
  <w:style w:type="paragraph" w:customStyle="1" w:styleId="281">
    <w:name w:val="正文3"/>
    <w:basedOn w:val="1"/>
    <w:qFormat/>
    <w:uiPriority w:val="0"/>
    <w:pPr>
      <w:tabs>
        <w:tab w:val="left" w:pos="1193"/>
        <w:tab w:val="left" w:pos="4800"/>
      </w:tabs>
      <w:spacing w:line="360" w:lineRule="auto"/>
      <w:ind w:left="420" w:hanging="420"/>
    </w:pPr>
    <w:rPr>
      <w:kern w:val="0"/>
      <w:sz w:val="24"/>
      <w:szCs w:val="20"/>
    </w:rPr>
  </w:style>
  <w:style w:type="paragraph" w:customStyle="1" w:styleId="282">
    <w:name w:val="bt5"/>
    <w:basedOn w:val="1"/>
    <w:qFormat/>
    <w:uiPriority w:val="0"/>
    <w:pPr>
      <w:tabs>
        <w:tab w:val="left" w:pos="1193"/>
      </w:tabs>
      <w:adjustRightInd w:val="0"/>
      <w:spacing w:line="276" w:lineRule="auto"/>
      <w:ind w:left="420" w:hanging="420"/>
      <w:jc w:val="center"/>
      <w:textAlignment w:val="baseline"/>
      <w:outlineLvl w:val="0"/>
    </w:pPr>
    <w:rPr>
      <w:rFonts w:ascii="Arial" w:hAnsi="Arial" w:eastAsia="黑体"/>
      <w:b/>
      <w:kern w:val="0"/>
      <w:sz w:val="44"/>
      <w:szCs w:val="20"/>
    </w:rPr>
  </w:style>
  <w:style w:type="paragraph" w:customStyle="1" w:styleId="283">
    <w:name w:val="Char Char Char Char Char Char1 Char Char Char Char Char Char Char Char Char Char Char Char1"/>
    <w:basedOn w:val="1"/>
    <w:qFormat/>
    <w:uiPriority w:val="0"/>
    <w:pPr>
      <w:adjustRightInd w:val="0"/>
      <w:spacing w:line="360" w:lineRule="auto"/>
    </w:pPr>
    <w:rPr>
      <w:rFonts w:eastAsia="Times New Roman"/>
      <w:kern w:val="0"/>
      <w:sz w:val="20"/>
      <w:szCs w:val="20"/>
    </w:rPr>
  </w:style>
  <w:style w:type="paragraph" w:customStyle="1" w:styleId="284">
    <w:name w:val="bt1.2.1.1"/>
    <w:basedOn w:val="1"/>
    <w:qFormat/>
    <w:uiPriority w:val="0"/>
    <w:pPr>
      <w:tabs>
        <w:tab w:val="left" w:pos="1193"/>
      </w:tabs>
      <w:adjustRightInd w:val="0"/>
      <w:spacing w:line="276" w:lineRule="auto"/>
      <w:ind w:left="420" w:hanging="420"/>
      <w:jc w:val="left"/>
      <w:textAlignment w:val="baseline"/>
      <w:outlineLvl w:val="3"/>
    </w:pPr>
    <w:rPr>
      <w:rFonts w:ascii="宋体"/>
      <w:b/>
      <w:kern w:val="0"/>
      <w:szCs w:val="20"/>
    </w:rPr>
  </w:style>
  <w:style w:type="paragraph" w:customStyle="1" w:styleId="285">
    <w:name w:val="Char Char Char Char Char Char1 Char Char Char Char Char Char Char Char Char1"/>
    <w:basedOn w:val="1"/>
    <w:qFormat/>
    <w:uiPriority w:val="0"/>
    <w:pPr>
      <w:adjustRightInd w:val="0"/>
      <w:spacing w:line="360" w:lineRule="auto"/>
    </w:pPr>
    <w:rPr>
      <w:rFonts w:eastAsia="Times New Roman"/>
      <w:kern w:val="0"/>
      <w:sz w:val="20"/>
      <w:szCs w:val="20"/>
    </w:rPr>
  </w:style>
  <w:style w:type="paragraph" w:customStyle="1" w:styleId="286">
    <w:name w:val="Normal1"/>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287">
    <w:name w:val="_Style 193"/>
    <w:next w:val="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88">
    <w:name w:val="Body Text 31"/>
    <w:basedOn w:val="1"/>
    <w:qFormat/>
    <w:uiPriority w:val="0"/>
    <w:pPr>
      <w:adjustRightInd w:val="0"/>
      <w:spacing w:line="360" w:lineRule="auto"/>
      <w:jc w:val="center"/>
      <w:textAlignment w:val="baseline"/>
    </w:pPr>
    <w:rPr>
      <w:rFonts w:ascii="宋体"/>
      <w:b/>
      <w:color w:val="FF0000"/>
      <w:kern w:val="0"/>
      <w:sz w:val="24"/>
      <w:szCs w:val="20"/>
      <w:u w:val="single"/>
    </w:rPr>
  </w:style>
  <w:style w:type="paragraph" w:customStyle="1" w:styleId="289">
    <w:name w:val="Char21"/>
    <w:basedOn w:val="1"/>
    <w:qFormat/>
    <w:uiPriority w:val="0"/>
    <w:rPr>
      <w:rFonts w:ascii="仿宋_GB2312" w:eastAsia="仿宋_GB2312"/>
      <w:b/>
      <w:sz w:val="32"/>
      <w:szCs w:val="32"/>
    </w:rPr>
  </w:style>
  <w:style w:type="paragraph" w:customStyle="1" w:styleId="290">
    <w:name w:val="纯文本1"/>
    <w:basedOn w:val="1"/>
    <w:qFormat/>
    <w:uiPriority w:val="0"/>
    <w:pPr>
      <w:autoSpaceDE w:val="0"/>
      <w:autoSpaceDN w:val="0"/>
      <w:adjustRightInd w:val="0"/>
    </w:pPr>
    <w:rPr>
      <w:rFonts w:ascii="楷体_GB2312" w:eastAsia="楷体_GB2312"/>
      <w:kern w:val="0"/>
      <w:sz w:val="28"/>
      <w:szCs w:val="28"/>
    </w:rPr>
  </w:style>
  <w:style w:type="paragraph" w:customStyle="1" w:styleId="291">
    <w:name w:val="Char2"/>
    <w:basedOn w:val="1"/>
    <w:qFormat/>
    <w:uiPriority w:val="0"/>
  </w:style>
  <w:style w:type="paragraph" w:customStyle="1" w:styleId="292">
    <w:name w:val="Char Char1 Char1"/>
    <w:basedOn w:val="1"/>
    <w:qFormat/>
    <w:uiPriority w:val="0"/>
    <w:rPr>
      <w:rFonts w:ascii="仿宋_GB2312" w:eastAsia="仿宋_GB2312"/>
      <w:b/>
      <w:sz w:val="32"/>
      <w:szCs w:val="32"/>
    </w:rPr>
  </w:style>
  <w:style w:type="paragraph" w:customStyle="1" w:styleId="293">
    <w:name w:val="maopei"/>
    <w:basedOn w:val="5"/>
    <w:qFormat/>
    <w:uiPriority w:val="0"/>
    <w:pPr>
      <w:tabs>
        <w:tab w:val="left" w:pos="1193"/>
      </w:tabs>
      <w:ind w:left="420" w:hanging="420"/>
    </w:pPr>
    <w:rPr>
      <w:rFonts w:cs="Times New Roman"/>
      <w:bCs w:val="0"/>
      <w:color w:val="0000FF"/>
      <w:sz w:val="30"/>
      <w:szCs w:val="20"/>
    </w:rPr>
  </w:style>
  <w:style w:type="paragraph" w:customStyle="1" w:styleId="294">
    <w:name w:val="简单回函地址"/>
    <w:basedOn w:val="1"/>
    <w:qFormat/>
    <w:uiPriority w:val="0"/>
    <w:rPr>
      <w:szCs w:val="20"/>
    </w:rPr>
  </w:style>
  <w:style w:type="paragraph" w:customStyle="1" w:styleId="295">
    <w:name w:val="Char Char11"/>
    <w:basedOn w:val="1"/>
    <w:qFormat/>
    <w:uiPriority w:val="0"/>
    <w:pPr>
      <w:widowControl/>
      <w:spacing w:after="160" w:line="240" w:lineRule="exact"/>
      <w:jc w:val="left"/>
    </w:pPr>
    <w:rPr>
      <w:rFonts w:ascii="Verdana" w:hAnsi="Verdana"/>
      <w:kern w:val="0"/>
      <w:sz w:val="20"/>
      <w:szCs w:val="20"/>
    </w:rPr>
  </w:style>
  <w:style w:type="paragraph" w:customStyle="1" w:styleId="296">
    <w:name w:val="Char Char Char Char Char Char1"/>
    <w:basedOn w:val="24"/>
    <w:qFormat/>
    <w:uiPriority w:val="0"/>
    <w:rPr>
      <w:rFonts w:ascii="Tahoma" w:hAnsi="Tahoma" w:eastAsia="宋体"/>
      <w:sz w:val="24"/>
      <w:szCs w:val="24"/>
    </w:rPr>
  </w:style>
  <w:style w:type="paragraph" w:customStyle="1" w:styleId="297">
    <w:name w:val="bt5.1"/>
    <w:basedOn w:val="282"/>
    <w:next w:val="1"/>
    <w:qFormat/>
    <w:uiPriority w:val="0"/>
    <w:pPr>
      <w:tabs>
        <w:tab w:val="clear" w:pos="1193"/>
      </w:tabs>
      <w:ind w:left="1800" w:hanging="360"/>
      <w:outlineLvl w:val="1"/>
    </w:pPr>
    <w:rPr>
      <w:rFonts w:ascii="黑体"/>
      <w:sz w:val="36"/>
    </w:rPr>
  </w:style>
  <w:style w:type="paragraph" w:customStyle="1" w:styleId="298">
    <w:name w:val="样式1"/>
    <w:basedOn w:val="1"/>
    <w:qFormat/>
    <w:uiPriority w:val="0"/>
    <w:pPr>
      <w:adjustRightInd w:val="0"/>
      <w:spacing w:line="420" w:lineRule="auto"/>
      <w:jc w:val="center"/>
      <w:textAlignment w:val="baseline"/>
    </w:pPr>
    <w:rPr>
      <w:rFonts w:ascii="宋体"/>
      <w:kern w:val="0"/>
      <w:sz w:val="24"/>
    </w:rPr>
  </w:style>
  <w:style w:type="paragraph" w:customStyle="1" w:styleId="299">
    <w:name w:val="bt1.2.2.1"/>
    <w:basedOn w:val="1"/>
    <w:qFormat/>
    <w:uiPriority w:val="0"/>
    <w:pPr>
      <w:tabs>
        <w:tab w:val="left" w:pos="1193"/>
      </w:tabs>
      <w:adjustRightInd w:val="0"/>
      <w:spacing w:line="276" w:lineRule="auto"/>
      <w:ind w:left="420" w:hanging="420"/>
      <w:jc w:val="left"/>
      <w:textAlignment w:val="baseline"/>
      <w:outlineLvl w:val="3"/>
    </w:pPr>
    <w:rPr>
      <w:rFonts w:ascii="宋体"/>
      <w:b/>
      <w:kern w:val="0"/>
      <w:szCs w:val="20"/>
    </w:rPr>
  </w:style>
  <w:style w:type="paragraph" w:customStyle="1" w:styleId="300">
    <w:name w:val="toc2"/>
    <w:basedOn w:val="2"/>
    <w:qFormat/>
    <w:uiPriority w:val="0"/>
    <w:pPr>
      <w:keepLines w:val="0"/>
      <w:tabs>
        <w:tab w:val="left" w:pos="840"/>
      </w:tabs>
      <w:spacing w:before="240" w:after="60" w:line="240" w:lineRule="auto"/>
    </w:pPr>
    <w:rPr>
      <w:rFonts w:ascii="Arial" w:hAnsi="Arial" w:cs="Arial"/>
      <w:b w:val="0"/>
      <w:bCs w:val="0"/>
      <w:kern w:val="32"/>
      <w:sz w:val="22"/>
      <w:szCs w:val="32"/>
    </w:rPr>
  </w:style>
  <w:style w:type="paragraph" w:customStyle="1" w:styleId="301">
    <w:name w:val="bt5.1.1"/>
    <w:basedOn w:val="1"/>
    <w:qFormat/>
    <w:uiPriority w:val="0"/>
    <w:pPr>
      <w:tabs>
        <w:tab w:val="left" w:pos="1260"/>
      </w:tabs>
      <w:adjustRightInd w:val="0"/>
      <w:spacing w:line="276" w:lineRule="auto"/>
      <w:ind w:left="1260" w:hanging="420"/>
      <w:jc w:val="center"/>
      <w:textAlignment w:val="baseline"/>
      <w:outlineLvl w:val="2"/>
    </w:pPr>
    <w:rPr>
      <w:rFonts w:ascii="黑体" w:eastAsia="黑体"/>
      <w:b/>
      <w:kern w:val="0"/>
      <w:sz w:val="30"/>
      <w:szCs w:val="20"/>
    </w:rPr>
  </w:style>
  <w:style w:type="paragraph" w:customStyle="1" w:styleId="302">
    <w:name w:val="Style Arial text"/>
    <w:basedOn w:val="1"/>
    <w:qFormat/>
    <w:uiPriority w:val="0"/>
    <w:pPr>
      <w:autoSpaceDE w:val="0"/>
      <w:autoSpaceDN w:val="0"/>
      <w:adjustRightInd w:val="0"/>
      <w:spacing w:line="240" w:lineRule="atLeast"/>
      <w:ind w:left="720"/>
    </w:pPr>
    <w:rPr>
      <w:rFonts w:ascii="Arial" w:hAnsi="Arial"/>
      <w:spacing w:val="-3"/>
      <w:kern w:val="0"/>
      <w:sz w:val="24"/>
      <w:szCs w:val="20"/>
    </w:rPr>
  </w:style>
  <w:style w:type="paragraph" w:customStyle="1" w:styleId="303">
    <w:name w:val="图表"/>
    <w:qFormat/>
    <w:uiPriority w:val="0"/>
    <w:pPr>
      <w:jc w:val="center"/>
    </w:pPr>
    <w:rPr>
      <w:rFonts w:ascii="Times New Roman" w:hAnsi="Times New Roman" w:eastAsia="宋体" w:cs="Times New Roman"/>
      <w:kern w:val="2"/>
      <w:sz w:val="21"/>
      <w:szCs w:val="22"/>
      <w:lang w:val="en-US" w:eastAsia="zh-CN" w:bidi="ar-SA"/>
    </w:rPr>
  </w:style>
  <w:style w:type="character" w:customStyle="1" w:styleId="304">
    <w:name w:val="正文文本 (34) + Batang"/>
    <w:qFormat/>
    <w:uiPriority w:val="0"/>
    <w:rPr>
      <w:rFonts w:ascii="Batang" w:hAnsi="Batang" w:eastAsia="Batang" w:cs="Batang"/>
      <w:b/>
      <w:bCs/>
      <w:spacing w:val="-10"/>
      <w:sz w:val="29"/>
      <w:szCs w:val="29"/>
      <w:lang w:val="zh-TW" w:eastAsia="zh-TW" w:bidi="ar-SA"/>
    </w:rPr>
  </w:style>
  <w:style w:type="paragraph" w:customStyle="1" w:styleId="305">
    <w:name w:val="格式条款-2"/>
    <w:basedOn w:val="1"/>
    <w:qFormat/>
    <w:uiPriority w:val="0"/>
    <w:pPr>
      <w:tabs>
        <w:tab w:val="left" w:pos="735"/>
      </w:tabs>
      <w:ind w:left="840" w:hanging="420"/>
    </w:pPr>
    <w:rPr>
      <w:rFonts w:ascii="宋体"/>
      <w:kern w:val="0"/>
      <w:sz w:val="24"/>
    </w:rPr>
  </w:style>
  <w:style w:type="paragraph" w:customStyle="1" w:styleId="306">
    <w:name w:val="proposal"/>
    <w:basedOn w:val="1"/>
    <w:qFormat/>
    <w:uiPriority w:val="0"/>
    <w:pPr>
      <w:widowControl/>
      <w:spacing w:line="300" w:lineRule="auto"/>
      <w:ind w:left="1440" w:hanging="1440"/>
    </w:pPr>
    <w:rPr>
      <w:kern w:val="0"/>
      <w:sz w:val="24"/>
      <w:szCs w:val="20"/>
      <w:lang w:val="en-GB"/>
    </w:rPr>
  </w:style>
  <w:style w:type="paragraph" w:customStyle="1" w:styleId="307">
    <w:name w:val="正文文本 (34)1 Char Char Char Char Char Char Char Char"/>
    <w:basedOn w:val="1"/>
    <w:qFormat/>
    <w:uiPriority w:val="0"/>
    <w:pPr>
      <w:shd w:val="clear" w:color="auto" w:fill="FFFFFF"/>
      <w:spacing w:before="60" w:line="538" w:lineRule="exact"/>
      <w:ind w:hanging="460"/>
      <w:jc w:val="left"/>
    </w:pPr>
    <w:rPr>
      <w:rFonts w:ascii="MingLiU" w:hAnsi="MingLiU" w:eastAsia="MingLiU"/>
      <w:spacing w:val="-10"/>
      <w:kern w:val="0"/>
      <w:sz w:val="20"/>
      <w:szCs w:val="20"/>
      <w:lang w:val="zh-TW" w:eastAsia="zh-TW"/>
    </w:rPr>
  </w:style>
  <w:style w:type="character" w:customStyle="1" w:styleId="308">
    <w:name w:val="style11"/>
    <w:qFormat/>
    <w:uiPriority w:val="0"/>
    <w:rPr>
      <w:b/>
      <w:color w:val="D54F2B"/>
      <w:sz w:val="21"/>
    </w:rPr>
  </w:style>
  <w:style w:type="paragraph" w:customStyle="1" w:styleId="309">
    <w:name w:val="1.1"/>
    <w:basedOn w:val="1"/>
    <w:qFormat/>
    <w:uiPriority w:val="0"/>
    <w:pPr>
      <w:widowControl/>
      <w:spacing w:line="360" w:lineRule="auto"/>
      <w:ind w:firstLine="200" w:firstLineChars="200"/>
      <w:jc w:val="left"/>
    </w:pPr>
    <w:rPr>
      <w:rFonts w:ascii="宋体"/>
      <w:b/>
      <w:kern w:val="0"/>
      <w:sz w:val="28"/>
      <w:szCs w:val="28"/>
      <w:lang w:bidi="en-US"/>
    </w:rPr>
  </w:style>
  <w:style w:type="character" w:customStyle="1" w:styleId="310">
    <w:name w:val="aboutus1"/>
    <w:qFormat/>
    <w:uiPriority w:val="0"/>
    <w:rPr>
      <w:rFonts w:ascii="ˎ̥" w:hAnsi="ˎ̥"/>
      <w:color w:val="000000"/>
      <w:sz w:val="18"/>
      <w:u w:val="none"/>
    </w:rPr>
  </w:style>
  <w:style w:type="character" w:customStyle="1" w:styleId="311">
    <w:name w:val="标题 #9 + SimSun"/>
    <w:qFormat/>
    <w:uiPriority w:val="0"/>
    <w:rPr>
      <w:rFonts w:ascii="宋体" w:hAnsi="宋体" w:eastAsia="MingLiU" w:cs="宋体"/>
      <w:spacing w:val="0"/>
      <w:sz w:val="22"/>
      <w:szCs w:val="22"/>
      <w:lang w:val="zh-TW" w:eastAsia="zh-TW" w:bidi="ar-SA"/>
    </w:rPr>
  </w:style>
  <w:style w:type="character" w:customStyle="1" w:styleId="312">
    <w:name w:val="明显参考1"/>
    <w:qFormat/>
    <w:uiPriority w:val="0"/>
    <w:rPr>
      <w:b/>
      <w:smallCaps/>
      <w:color w:val="C0504D"/>
      <w:spacing w:val="5"/>
      <w:u w:val="single"/>
    </w:rPr>
  </w:style>
  <w:style w:type="paragraph" w:customStyle="1" w:styleId="313">
    <w:name w:val="A1"/>
    <w:basedOn w:val="40"/>
    <w:qFormat/>
    <w:uiPriority w:val="0"/>
    <w:pPr>
      <w:widowControl/>
      <w:spacing w:line="360" w:lineRule="auto"/>
      <w:ind w:firstLine="200" w:firstLineChars="200"/>
      <w:jc w:val="left"/>
    </w:pPr>
    <w:rPr>
      <w:b/>
      <w:kern w:val="0"/>
      <w:sz w:val="28"/>
      <w:szCs w:val="28"/>
      <w:lang w:bidi="en-US"/>
    </w:rPr>
  </w:style>
  <w:style w:type="character" w:customStyle="1" w:styleId="314">
    <w:name w:val="标题 2 Char2"/>
    <w:qFormat/>
    <w:uiPriority w:val="0"/>
    <w:rPr>
      <w:rFonts w:ascii="Arial" w:hAnsi="Arial" w:eastAsia="黑体"/>
      <w:b/>
      <w:bCs/>
      <w:kern w:val="2"/>
      <w:sz w:val="32"/>
      <w:szCs w:val="32"/>
      <w:lang w:val="en-US" w:eastAsia="zh-CN" w:bidi="ar-SA"/>
    </w:rPr>
  </w:style>
  <w:style w:type="character" w:customStyle="1" w:styleId="315">
    <w:name w:val="Char Char20"/>
    <w:qFormat/>
    <w:uiPriority w:val="0"/>
    <w:rPr>
      <w:rFonts w:eastAsia="宋体" w:cs="Times New Roman"/>
      <w:b/>
      <w:bCs/>
      <w:sz w:val="24"/>
      <w:szCs w:val="24"/>
      <w:lang w:val="en-US" w:eastAsia="zh-CN" w:bidi="ar-SA"/>
    </w:rPr>
  </w:style>
  <w:style w:type="paragraph" w:customStyle="1" w:styleId="316">
    <w:name w:val="022"/>
    <w:basedOn w:val="1"/>
    <w:qFormat/>
    <w:uiPriority w:val="0"/>
    <w:pPr>
      <w:widowControl/>
      <w:spacing w:line="360" w:lineRule="auto"/>
      <w:ind w:left="840" w:firstLine="200" w:firstLineChars="200"/>
      <w:jc w:val="left"/>
    </w:pPr>
    <w:rPr>
      <w:rFonts w:ascii="宋体"/>
      <w:kern w:val="0"/>
      <w:sz w:val="24"/>
      <w:lang w:bidi="en-US"/>
    </w:rPr>
  </w:style>
  <w:style w:type="character" w:customStyle="1" w:styleId="317">
    <w:name w:val="正文文本 + MingLiU1"/>
    <w:qFormat/>
    <w:uiPriority w:val="0"/>
    <w:rPr>
      <w:rFonts w:ascii="MingLiU" w:hAnsi="MingLiU" w:eastAsia="MingLiU" w:cs="MingLiU"/>
      <w:spacing w:val="-10"/>
      <w:sz w:val="24"/>
      <w:szCs w:val="24"/>
      <w:lang w:val="zh-TW" w:eastAsia="zh-TW" w:bidi="ar-SA"/>
    </w:rPr>
  </w:style>
  <w:style w:type="character" w:customStyle="1" w:styleId="318">
    <w:name w:val="标题 3 Char1"/>
    <w:qFormat/>
    <w:uiPriority w:val="0"/>
    <w:rPr>
      <w:b/>
      <w:sz w:val="32"/>
    </w:rPr>
  </w:style>
  <w:style w:type="character" w:customStyle="1" w:styleId="319">
    <w:name w:val="highlight1"/>
    <w:qFormat/>
    <w:uiPriority w:val="0"/>
    <w:rPr>
      <w:rFonts w:cs="Times New Roman"/>
      <w:color w:val="FF0000"/>
    </w:rPr>
  </w:style>
  <w:style w:type="paragraph" w:customStyle="1" w:styleId="320">
    <w:name w:val="E"/>
    <w:basedOn w:val="1"/>
    <w:qFormat/>
    <w:uiPriority w:val="0"/>
    <w:pPr>
      <w:widowControl/>
      <w:spacing w:line="360" w:lineRule="auto"/>
      <w:ind w:firstLine="200" w:firstLineChars="200"/>
      <w:jc w:val="left"/>
    </w:pPr>
    <w:rPr>
      <w:rFonts w:ascii="Calibri" w:hAnsi="Calibri"/>
      <w:kern w:val="0"/>
      <w:sz w:val="24"/>
      <w:lang w:bidi="en-US"/>
    </w:rPr>
  </w:style>
  <w:style w:type="character" w:customStyle="1" w:styleId="321">
    <w:name w:val="条 Char"/>
    <w:qFormat/>
    <w:uiPriority w:val="0"/>
    <w:rPr>
      <w:rFonts w:ascii="Cambria" w:hAnsi="Cambria" w:eastAsia="宋体"/>
      <w:b/>
      <w:bCs/>
      <w:sz w:val="26"/>
      <w:szCs w:val="26"/>
    </w:rPr>
  </w:style>
  <w:style w:type="character" w:customStyle="1" w:styleId="322">
    <w:name w:val="HTML 预设格式 Char2"/>
    <w:qFormat/>
    <w:uiPriority w:val="0"/>
    <w:rPr>
      <w:rFonts w:ascii="Courier New" w:hAnsi="Courier New" w:eastAsia="仿宋_GB2312" w:cs="Courier New"/>
      <w:kern w:val="2"/>
    </w:rPr>
  </w:style>
  <w:style w:type="character" w:customStyle="1" w:styleId="323">
    <w:name w:val="标题 3 Char Char Char"/>
    <w:qFormat/>
    <w:uiPriority w:val="0"/>
    <w:rPr>
      <w:rFonts w:eastAsia="宋体" w:cs="Times New Roman"/>
      <w:b/>
      <w:kern w:val="2"/>
      <w:sz w:val="32"/>
      <w:lang w:val="en-US" w:eastAsia="zh-CN"/>
    </w:rPr>
  </w:style>
  <w:style w:type="character" w:customStyle="1" w:styleId="324">
    <w:name w:val="结束语 Char"/>
    <w:qFormat/>
    <w:uiPriority w:val="0"/>
    <w:rPr>
      <w:rFonts w:eastAsia="Times New Roman"/>
      <w:color w:val="0000FF"/>
      <w:sz w:val="21"/>
    </w:rPr>
  </w:style>
  <w:style w:type="paragraph" w:customStyle="1" w:styleId="325">
    <w:name w:val="Table Paragraph"/>
    <w:basedOn w:val="1"/>
    <w:qFormat/>
    <w:uiPriority w:val="0"/>
    <w:pPr>
      <w:autoSpaceDE w:val="0"/>
      <w:autoSpaceDN w:val="0"/>
      <w:jc w:val="left"/>
    </w:pPr>
    <w:rPr>
      <w:rFonts w:ascii="宋体" w:cs="宋体"/>
      <w:kern w:val="0"/>
      <w:sz w:val="22"/>
      <w:szCs w:val="22"/>
      <w:lang w:val="zh-CN" w:bidi="zh-CN"/>
    </w:rPr>
  </w:style>
  <w:style w:type="character" w:customStyle="1" w:styleId="326">
    <w:name w:val="Char Char5"/>
    <w:qFormat/>
    <w:uiPriority w:val="0"/>
    <w:rPr>
      <w:rFonts w:cs="Times New Roman"/>
      <w:kern w:val="2"/>
      <w:sz w:val="18"/>
      <w:szCs w:val="18"/>
    </w:rPr>
  </w:style>
  <w:style w:type="character" w:customStyle="1" w:styleId="327">
    <w:name w:val="Char Char12"/>
    <w:qFormat/>
    <w:uiPriority w:val="0"/>
    <w:rPr>
      <w:rFonts w:ascii="Arial" w:hAnsi="Arial" w:eastAsia="黑体" w:cs="Arial"/>
      <w:sz w:val="21"/>
      <w:szCs w:val="21"/>
    </w:rPr>
  </w:style>
  <w:style w:type="character" w:customStyle="1" w:styleId="328">
    <w:name w:val="Char Char71"/>
    <w:qFormat/>
    <w:uiPriority w:val="0"/>
    <w:rPr>
      <w:rFonts w:ascii="Arial" w:hAnsi="Arial" w:eastAsia="黑体" w:cs="Times New Roman"/>
      <w:b/>
      <w:bCs/>
      <w:kern w:val="2"/>
      <w:sz w:val="32"/>
      <w:szCs w:val="32"/>
      <w:lang w:val="en-US" w:eastAsia="zh-CN" w:bidi="ar-SA"/>
    </w:rPr>
  </w:style>
  <w:style w:type="paragraph" w:customStyle="1" w:styleId="329">
    <w:name w:val="a2"/>
    <w:basedOn w:val="1"/>
    <w:qFormat/>
    <w:uiPriority w:val="0"/>
    <w:pPr>
      <w:widowControl/>
      <w:spacing w:line="360" w:lineRule="auto"/>
      <w:ind w:firstLine="200" w:firstLineChars="200"/>
      <w:jc w:val="left"/>
    </w:pPr>
    <w:rPr>
      <w:rFonts w:ascii="Calibri" w:hAnsi="Calibri"/>
      <w:kern w:val="0"/>
      <w:sz w:val="24"/>
      <w:lang w:bidi="en-US"/>
    </w:rPr>
  </w:style>
  <w:style w:type="paragraph" w:customStyle="1" w:styleId="330">
    <w:name w:val="04"/>
    <w:basedOn w:val="329"/>
    <w:qFormat/>
    <w:uiPriority w:val="0"/>
  </w:style>
  <w:style w:type="paragraph" w:customStyle="1" w:styleId="331">
    <w:name w:val="044"/>
    <w:basedOn w:val="330"/>
    <w:qFormat/>
    <w:uiPriority w:val="0"/>
  </w:style>
  <w:style w:type="character" w:customStyle="1" w:styleId="332">
    <w:name w:val="Char Char171"/>
    <w:qFormat/>
    <w:uiPriority w:val="0"/>
    <w:rPr>
      <w:rFonts w:ascii="Arial" w:hAnsi="Arial" w:eastAsia="黑体" w:cs="Times New Roman"/>
      <w:b/>
      <w:sz w:val="44"/>
      <w:lang w:val="en-US" w:eastAsia="zh-CN" w:bidi="ar-SA"/>
    </w:rPr>
  </w:style>
  <w:style w:type="paragraph" w:customStyle="1" w:styleId="333">
    <w:name w:val="无间隔1"/>
    <w:qFormat/>
    <w:uiPriority w:val="0"/>
    <w:rPr>
      <w:rFonts w:ascii="Times New Roman" w:hAnsi="Times New Roman" w:eastAsia="Times New Roman" w:cs="Times New Roman"/>
      <w:kern w:val="2"/>
      <w:sz w:val="22"/>
      <w:lang w:val="en-US" w:eastAsia="zh-CN" w:bidi="ar-SA"/>
    </w:rPr>
  </w:style>
  <w:style w:type="character" w:customStyle="1" w:styleId="334">
    <w:name w:val="正文文本 + SimSun1"/>
    <w:qFormat/>
    <w:uiPriority w:val="0"/>
    <w:rPr>
      <w:rFonts w:ascii="宋体" w:hAnsi="宋体" w:eastAsia="Arial Unicode MS" w:cs="宋体"/>
      <w:sz w:val="22"/>
      <w:szCs w:val="22"/>
      <w:lang w:val="zh-TW" w:eastAsia="zh-TW" w:bidi="ar-SA"/>
    </w:rPr>
  </w:style>
  <w:style w:type="character" w:customStyle="1" w:styleId="335">
    <w:name w:val="Char Char131"/>
    <w:qFormat/>
    <w:uiPriority w:val="0"/>
    <w:rPr>
      <w:rFonts w:ascii="Arial" w:hAnsi="Arial" w:eastAsia="黑体" w:cs="Arial"/>
      <w:sz w:val="24"/>
      <w:szCs w:val="24"/>
    </w:rPr>
  </w:style>
  <w:style w:type="character" w:customStyle="1" w:styleId="336">
    <w:name w:val="Char Char201"/>
    <w:qFormat/>
    <w:uiPriority w:val="0"/>
    <w:rPr>
      <w:rFonts w:ascii="Arial" w:hAnsi="Arial" w:eastAsia="黑体" w:cs="Arial"/>
      <w:b/>
      <w:bCs/>
      <w:kern w:val="2"/>
      <w:sz w:val="32"/>
      <w:szCs w:val="32"/>
      <w:lang w:val="en-US" w:eastAsia="zh-CN" w:bidi="ar-SA"/>
    </w:rPr>
  </w:style>
  <w:style w:type="paragraph" w:customStyle="1" w:styleId="337">
    <w:name w:val="标题 #4"/>
    <w:basedOn w:val="1"/>
    <w:qFormat/>
    <w:uiPriority w:val="0"/>
    <w:pPr>
      <w:shd w:val="clear" w:color="auto" w:fill="FFFFFF"/>
      <w:spacing w:after="360" w:line="240" w:lineRule="atLeast"/>
      <w:jc w:val="center"/>
      <w:outlineLvl w:val="3"/>
    </w:pPr>
    <w:rPr>
      <w:rFonts w:ascii="MingLiU" w:hAnsi="MingLiU" w:eastAsia="MingLiU"/>
      <w:spacing w:val="-30"/>
      <w:kern w:val="0"/>
      <w:sz w:val="48"/>
      <w:szCs w:val="48"/>
      <w:lang w:val="zh-TW" w:eastAsia="zh-TW"/>
    </w:rPr>
  </w:style>
  <w:style w:type="character" w:customStyle="1" w:styleId="338">
    <w:name w:val="Footer Char_f9443bc3-1139-4be8-ab8a-3806bac17a3f"/>
    <w:qFormat/>
    <w:uiPriority w:val="0"/>
    <w:rPr>
      <w:rFonts w:eastAsia="宋体" w:cs="Times New Roman"/>
      <w:kern w:val="2"/>
      <w:sz w:val="18"/>
      <w:szCs w:val="18"/>
      <w:lang w:val="en-US" w:eastAsia="zh-CN" w:bidi="ar-SA"/>
    </w:rPr>
  </w:style>
  <w:style w:type="paragraph" w:customStyle="1" w:styleId="339">
    <w:name w:val="A2"/>
    <w:basedOn w:val="1"/>
    <w:qFormat/>
    <w:uiPriority w:val="0"/>
    <w:pPr>
      <w:widowControl/>
      <w:spacing w:line="360" w:lineRule="auto"/>
      <w:ind w:firstLine="200" w:firstLineChars="200"/>
      <w:jc w:val="left"/>
    </w:pPr>
    <w:rPr>
      <w:rFonts w:ascii="Calibri" w:hAnsi="Calibri"/>
      <w:kern w:val="0"/>
      <w:sz w:val="24"/>
      <w:lang w:bidi="en-US"/>
    </w:rPr>
  </w:style>
  <w:style w:type="character" w:customStyle="1" w:styleId="340">
    <w:name w:val="my Char"/>
    <w:qFormat/>
    <w:uiPriority w:val="0"/>
    <w:rPr>
      <w:rFonts w:ascii="宋体" w:eastAsia="宋体" w:cs="Times New Roman"/>
      <w:snapToGrid w:val="0"/>
      <w:kern w:val="2"/>
      <w:sz w:val="24"/>
      <w:szCs w:val="24"/>
      <w:lang w:val="en-US" w:eastAsia="zh-CN" w:bidi="ar-SA"/>
    </w:rPr>
  </w:style>
  <w:style w:type="paragraph" w:customStyle="1" w:styleId="341">
    <w:name w:val="B"/>
    <w:basedOn w:val="1"/>
    <w:qFormat/>
    <w:uiPriority w:val="0"/>
    <w:pPr>
      <w:widowControl/>
      <w:spacing w:line="360" w:lineRule="auto"/>
      <w:ind w:firstLine="200" w:firstLineChars="200"/>
      <w:jc w:val="left"/>
    </w:pPr>
    <w:rPr>
      <w:rFonts w:ascii="Calibri" w:hAnsi="Calibri"/>
      <w:kern w:val="0"/>
      <w:sz w:val="24"/>
      <w:lang w:bidi="en-US"/>
    </w:rPr>
  </w:style>
  <w:style w:type="character" w:customStyle="1" w:styleId="342">
    <w:name w:val="Char Char191"/>
    <w:qFormat/>
    <w:uiPriority w:val="0"/>
    <w:rPr>
      <w:rFonts w:ascii="Arial" w:hAnsi="Arial" w:eastAsia="黑体" w:cs="Times New Roman"/>
      <w:sz w:val="24"/>
      <w:szCs w:val="24"/>
      <w:lang w:val="en-US" w:eastAsia="zh-CN" w:bidi="ar-SA"/>
    </w:rPr>
  </w:style>
  <w:style w:type="character" w:customStyle="1" w:styleId="343">
    <w:name w:val="textcontents"/>
    <w:qFormat/>
    <w:uiPriority w:val="0"/>
  </w:style>
  <w:style w:type="character" w:customStyle="1" w:styleId="344">
    <w:name w:val="Char Char231"/>
    <w:qFormat/>
    <w:uiPriority w:val="0"/>
    <w:rPr>
      <w:rFonts w:ascii="Times New Roman" w:hAnsi="Times New Roman" w:eastAsia="仿宋_GB2312" w:cs="Times New Roman"/>
      <w:kern w:val="2"/>
      <w:sz w:val="18"/>
      <w:lang w:val="en-US" w:eastAsia="zh-CN" w:bidi="ar-SA"/>
    </w:rPr>
  </w:style>
  <w:style w:type="character" w:customStyle="1" w:styleId="345">
    <w:name w:val="明显引用 Char1"/>
    <w:qFormat/>
    <w:uiPriority w:val="0"/>
    <w:rPr>
      <w:b/>
      <w:i/>
      <w:color w:val="4F81BD"/>
      <w:kern w:val="2"/>
      <w:sz w:val="22"/>
    </w:rPr>
  </w:style>
  <w:style w:type="character" w:customStyle="1" w:styleId="346">
    <w:name w:val="普通文字 Char Char Char Char Char Char Char Char"/>
    <w:qFormat/>
    <w:uiPriority w:val="0"/>
    <w:rPr>
      <w:rFonts w:ascii="宋体" w:eastAsia="宋体" w:cs="Courier New"/>
      <w:szCs w:val="21"/>
    </w:rPr>
  </w:style>
  <w:style w:type="paragraph" w:customStyle="1" w:styleId="347">
    <w:name w:val="一"/>
    <w:basedOn w:val="339"/>
    <w:qFormat/>
    <w:uiPriority w:val="0"/>
  </w:style>
  <w:style w:type="paragraph" w:customStyle="1" w:styleId="348">
    <w:name w:val="样式 标题 3 + 宋体 黑色"/>
    <w:basedOn w:val="6"/>
    <w:qFormat/>
    <w:uiPriority w:val="0"/>
    <w:pPr>
      <w:keepLines w:val="0"/>
      <w:widowControl/>
      <w:tabs>
        <w:tab w:val="clear" w:pos="287"/>
      </w:tabs>
      <w:spacing w:before="260" w:after="260" w:line="240" w:lineRule="auto"/>
      <w:ind w:left="0"/>
    </w:pPr>
    <w:rPr>
      <w:color w:val="000000"/>
      <w:sz w:val="28"/>
    </w:rPr>
  </w:style>
  <w:style w:type="paragraph" w:customStyle="1" w:styleId="349">
    <w:name w:val="自己的正文"/>
    <w:basedOn w:val="1"/>
    <w:qFormat/>
    <w:uiPriority w:val="0"/>
    <w:pPr>
      <w:adjustRightInd w:val="0"/>
      <w:snapToGrid w:val="0"/>
      <w:spacing w:line="360" w:lineRule="auto"/>
      <w:ind w:firstLine="200" w:firstLineChars="200"/>
      <w:textAlignment w:val="baseline"/>
    </w:pPr>
    <w:rPr>
      <w:color w:val="000000"/>
      <w:sz w:val="28"/>
      <w:szCs w:val="28"/>
    </w:rPr>
  </w:style>
  <w:style w:type="paragraph" w:customStyle="1" w:styleId="350">
    <w:name w:val="自己的标题4"/>
    <w:basedOn w:val="349"/>
    <w:qFormat/>
    <w:uiPriority w:val="0"/>
    <w:pPr>
      <w:spacing w:beforeLines="50" w:afterLines="50"/>
      <w:ind w:firstLine="0" w:firstLineChars="0"/>
      <w:jc w:val="left"/>
      <w:outlineLvl w:val="3"/>
    </w:pPr>
    <w:rPr>
      <w:b/>
      <w:lang w:val="zh-CN"/>
    </w:rPr>
  </w:style>
  <w:style w:type="character" w:customStyle="1" w:styleId="351">
    <w:name w:val="列表编号 2 Char"/>
    <w:qFormat/>
    <w:uiPriority w:val="0"/>
    <w:rPr>
      <w:rFonts w:eastAsia="宋体" w:cs="Times New Roman"/>
      <w:kern w:val="2"/>
      <w:sz w:val="21"/>
      <w:lang w:val="en-US" w:eastAsia="zh-CN" w:bidi="ar-SA"/>
    </w:rPr>
  </w:style>
  <w:style w:type="paragraph" w:customStyle="1" w:styleId="352">
    <w:name w:val="D"/>
    <w:basedOn w:val="40"/>
    <w:qFormat/>
    <w:uiPriority w:val="0"/>
    <w:pPr>
      <w:widowControl/>
      <w:spacing w:line="360" w:lineRule="auto"/>
      <w:ind w:firstLine="200" w:firstLineChars="200"/>
      <w:jc w:val="left"/>
    </w:pPr>
    <w:rPr>
      <w:kern w:val="0"/>
      <w:sz w:val="24"/>
      <w:szCs w:val="24"/>
      <w:lang w:bidi="en-US"/>
    </w:rPr>
  </w:style>
  <w:style w:type="character" w:customStyle="1" w:styleId="353">
    <w:name w:val="Char Char19"/>
    <w:qFormat/>
    <w:uiPriority w:val="0"/>
    <w:rPr>
      <w:rFonts w:ascii="宋体" w:eastAsia="宋体" w:cs="Times New Roman"/>
      <w:b/>
      <w:bCs/>
      <w:kern w:val="44"/>
      <w:sz w:val="44"/>
      <w:szCs w:val="44"/>
      <w:lang w:val="en-US" w:eastAsia="zh-CN" w:bidi="ar-SA"/>
    </w:rPr>
  </w:style>
  <w:style w:type="paragraph" w:customStyle="1" w:styleId="354">
    <w:name w:val="正文文字"/>
    <w:basedOn w:val="1"/>
    <w:qFormat/>
    <w:uiPriority w:val="0"/>
    <w:pPr>
      <w:widowControl/>
      <w:spacing w:line="480" w:lineRule="exact"/>
      <w:ind w:firstLine="200" w:firstLineChars="200"/>
      <w:jc w:val="left"/>
    </w:pPr>
    <w:rPr>
      <w:rFonts w:ascii="宋体"/>
      <w:color w:val="000000"/>
      <w:kern w:val="0"/>
      <w:sz w:val="28"/>
      <w:lang w:bidi="en-US"/>
    </w:rPr>
  </w:style>
  <w:style w:type="character" w:customStyle="1" w:styleId="355">
    <w:name w:val="不明显强调1"/>
    <w:qFormat/>
    <w:uiPriority w:val="0"/>
    <w:rPr>
      <w:i/>
      <w:color w:val="808080"/>
    </w:rPr>
  </w:style>
  <w:style w:type="paragraph" w:customStyle="1" w:styleId="356">
    <w:name w:val="段落 Char Char"/>
    <w:basedOn w:val="1"/>
    <w:qFormat/>
    <w:uiPriority w:val="0"/>
    <w:pPr>
      <w:widowControl/>
      <w:spacing w:line="500" w:lineRule="exact"/>
      <w:ind w:firstLine="578"/>
      <w:jc w:val="left"/>
    </w:pPr>
    <w:rPr>
      <w:rFonts w:ascii="宋体"/>
      <w:kern w:val="36"/>
      <w:sz w:val="28"/>
      <w:szCs w:val="20"/>
    </w:rPr>
  </w:style>
  <w:style w:type="character" w:customStyle="1" w:styleId="357">
    <w:name w:val="标题 #9"/>
    <w:qFormat/>
    <w:uiPriority w:val="0"/>
    <w:rPr>
      <w:rFonts w:ascii="MingLiU" w:hAnsi="MingLiU" w:eastAsia="MingLiU" w:cs="Times New Roman"/>
      <w:spacing w:val="-20"/>
      <w:sz w:val="31"/>
      <w:szCs w:val="31"/>
      <w:u w:val="single"/>
      <w:lang w:val="zh-TW" w:eastAsia="zh-TW" w:bidi="ar-SA"/>
    </w:rPr>
  </w:style>
  <w:style w:type="paragraph" w:customStyle="1" w:styleId="358">
    <w:name w:val="标题样式2"/>
    <w:basedOn w:val="1"/>
    <w:qFormat/>
    <w:uiPriority w:val="0"/>
    <w:pPr>
      <w:widowControl/>
      <w:spacing w:before="240" w:line="360" w:lineRule="auto"/>
      <w:ind w:firstLine="200" w:firstLineChars="200"/>
      <w:jc w:val="left"/>
    </w:pPr>
    <w:rPr>
      <w:rFonts w:ascii="宋体"/>
      <w:b/>
      <w:color w:val="000000"/>
      <w:kern w:val="0"/>
      <w:sz w:val="28"/>
      <w:lang w:bidi="en-US"/>
    </w:rPr>
  </w:style>
  <w:style w:type="character" w:customStyle="1" w:styleId="359">
    <w:name w:val="Char Char9"/>
    <w:qFormat/>
    <w:uiPriority w:val="0"/>
    <w:rPr>
      <w:rFonts w:ascii="宋体" w:eastAsia="宋体" w:cs="Times New Roman"/>
      <w:kern w:val="2"/>
      <w:sz w:val="24"/>
    </w:rPr>
  </w:style>
  <w:style w:type="character" w:customStyle="1" w:styleId="360">
    <w:name w:val="Char Char141"/>
    <w:qFormat/>
    <w:uiPriority w:val="0"/>
    <w:rPr>
      <w:rFonts w:eastAsia="宋体" w:cs="Times New Roman"/>
      <w:kern w:val="2"/>
      <w:sz w:val="18"/>
      <w:szCs w:val="18"/>
      <w:lang w:val="en-US" w:eastAsia="zh-CN" w:bidi="ar-SA"/>
    </w:rPr>
  </w:style>
  <w:style w:type="paragraph" w:customStyle="1" w:styleId="361">
    <w:name w:val="B1"/>
    <w:basedOn w:val="1"/>
    <w:qFormat/>
    <w:uiPriority w:val="0"/>
    <w:pPr>
      <w:widowControl/>
      <w:adjustRightInd w:val="0"/>
      <w:snapToGrid w:val="0"/>
      <w:spacing w:line="500" w:lineRule="exact"/>
      <w:ind w:firstLine="200" w:firstLineChars="200"/>
      <w:jc w:val="left"/>
    </w:pPr>
    <w:rPr>
      <w:rFonts w:ascii="Calibri" w:hAnsi="Calibri"/>
      <w:kern w:val="0"/>
      <w:sz w:val="24"/>
      <w:lang w:bidi="en-US"/>
    </w:rPr>
  </w:style>
  <w:style w:type="paragraph" w:customStyle="1" w:styleId="362">
    <w:name w:val="明显引用1"/>
    <w:basedOn w:val="1"/>
    <w:next w:val="1"/>
    <w:qFormat/>
    <w:uiPriority w:val="0"/>
    <w:pPr>
      <w:pBdr>
        <w:bottom w:val="single" w:color="4F81BD" w:sz="4" w:space="4"/>
      </w:pBdr>
      <w:spacing w:before="200" w:after="280"/>
      <w:ind w:left="936" w:right="936"/>
    </w:pPr>
    <w:rPr>
      <w:b/>
      <w:i/>
      <w:color w:val="4F81BD"/>
      <w:sz w:val="22"/>
      <w:szCs w:val="20"/>
    </w:rPr>
  </w:style>
  <w:style w:type="character" w:customStyle="1" w:styleId="363">
    <w:name w:val="正文文本 (34)"/>
    <w:qFormat/>
    <w:uiPriority w:val="0"/>
    <w:rPr>
      <w:rFonts w:ascii="MingLiU" w:hAnsi="MingLiU" w:eastAsia="MingLiU" w:cs="Times New Roman"/>
      <w:spacing w:val="-10"/>
      <w:u w:val="single"/>
      <w:lang w:val="zh-TW" w:eastAsia="zh-TW" w:bidi="ar-SA"/>
    </w:rPr>
  </w:style>
  <w:style w:type="paragraph" w:customStyle="1" w:styleId="364">
    <w:name w:val="01"/>
    <w:basedOn w:val="347"/>
    <w:qFormat/>
    <w:uiPriority w:val="0"/>
  </w:style>
  <w:style w:type="character" w:customStyle="1" w:styleId="365">
    <w:name w:val="apple-style-span"/>
    <w:qFormat/>
    <w:uiPriority w:val="0"/>
    <w:rPr>
      <w:rFonts w:cs="Times New Roman"/>
    </w:rPr>
  </w:style>
  <w:style w:type="paragraph" w:customStyle="1" w:styleId="366">
    <w:name w:val="样式66"/>
    <w:basedOn w:val="1"/>
    <w:qFormat/>
    <w:uiPriority w:val="0"/>
    <w:pPr>
      <w:spacing w:beforeLines="50" w:afterLines="50" w:line="360" w:lineRule="auto"/>
      <w:ind w:firstLine="200" w:firstLineChars="200"/>
    </w:pPr>
    <w:rPr>
      <w:color w:val="000000"/>
      <w:sz w:val="24"/>
      <w:szCs w:val="20"/>
    </w:rPr>
  </w:style>
  <w:style w:type="character" w:customStyle="1" w:styleId="367">
    <w:name w:val="Char Char10"/>
    <w:qFormat/>
    <w:uiPriority w:val="0"/>
    <w:rPr>
      <w:rFonts w:cs="Times New Roman"/>
      <w:kern w:val="2"/>
      <w:sz w:val="18"/>
      <w:szCs w:val="18"/>
    </w:rPr>
  </w:style>
  <w:style w:type="character" w:customStyle="1" w:styleId="368">
    <w:name w:val="style_kwd"/>
    <w:basedOn w:val="78"/>
    <w:qFormat/>
    <w:uiPriority w:val="0"/>
    <w:rPr>
      <w:rFonts w:ascii="Times New Roman" w:hAnsi="Times New Roman" w:eastAsia="宋体" w:cs="Times New Roman"/>
    </w:rPr>
  </w:style>
  <w:style w:type="character" w:customStyle="1" w:styleId="369">
    <w:name w:val="Heading 4 Char_f21d219e-e37d-4d7f-99ba-ce0d28ff72c2"/>
    <w:qFormat/>
    <w:uiPriority w:val="0"/>
    <w:rPr>
      <w:rFonts w:ascii="Arial" w:hAnsi="Arial" w:eastAsia="黑体" w:cs="Times New Roman"/>
      <w:b/>
      <w:bCs/>
      <w:kern w:val="2"/>
      <w:sz w:val="28"/>
      <w:szCs w:val="28"/>
      <w:lang w:val="en-US" w:eastAsia="zh-CN" w:bidi="ar-SA"/>
    </w:rPr>
  </w:style>
  <w:style w:type="paragraph" w:customStyle="1" w:styleId="370">
    <w:name w:val="报告正文"/>
    <w:basedOn w:val="1"/>
    <w:qFormat/>
    <w:uiPriority w:val="0"/>
    <w:pPr>
      <w:adjustRightInd w:val="0"/>
      <w:snapToGrid w:val="0"/>
      <w:spacing w:line="360" w:lineRule="auto"/>
      <w:ind w:firstLine="200" w:firstLineChars="200"/>
    </w:pPr>
    <w:rPr>
      <w:rFonts w:ascii="Arial Narrow" w:hAnsi="Arial Narrow" w:eastAsia="汉鼎简书宋"/>
      <w:kern w:val="0"/>
      <w:sz w:val="28"/>
      <w:szCs w:val="28"/>
    </w:rPr>
  </w:style>
  <w:style w:type="character" w:customStyle="1" w:styleId="371">
    <w:name w:val="正文文本 (35) + Candara"/>
    <w:qFormat/>
    <w:uiPriority w:val="0"/>
    <w:rPr>
      <w:rFonts w:ascii="Candara" w:hAnsi="Candara" w:eastAsia="宋体" w:cs="Candara"/>
      <w:b/>
      <w:bCs/>
      <w:color w:val="000000"/>
      <w:spacing w:val="0"/>
      <w:w w:val="100"/>
      <w:position w:val="0"/>
      <w:sz w:val="18"/>
      <w:szCs w:val="18"/>
      <w:lang w:val="zh-TW" w:eastAsia="zh-TW" w:bidi="ar-SA"/>
    </w:rPr>
  </w:style>
  <w:style w:type="character" w:customStyle="1" w:styleId="372">
    <w:name w:val="Char Char14"/>
    <w:qFormat/>
    <w:uiPriority w:val="0"/>
    <w:rPr>
      <w:rFonts w:cs="Times New Roman"/>
      <w:b/>
      <w:bCs/>
      <w:sz w:val="24"/>
      <w:szCs w:val="24"/>
    </w:rPr>
  </w:style>
  <w:style w:type="character" w:customStyle="1" w:styleId="373">
    <w:name w:val="脚注文本 Char1"/>
    <w:qFormat/>
    <w:uiPriority w:val="0"/>
    <w:rPr>
      <w:rFonts w:ascii="Times New Roman" w:hAnsi="Times New Roman" w:eastAsia="仿宋_GB2312" w:cs="Times New Roman"/>
      <w:kern w:val="2"/>
      <w:sz w:val="18"/>
      <w:szCs w:val="18"/>
    </w:rPr>
  </w:style>
  <w:style w:type="character" w:customStyle="1" w:styleId="374">
    <w:name w:val="正文文字4 Char Char"/>
    <w:qFormat/>
    <w:uiPriority w:val="0"/>
    <w:rPr>
      <w:rFonts w:cs="Times New Roman"/>
      <w:kern w:val="2"/>
      <w:sz w:val="24"/>
      <w:szCs w:val="24"/>
    </w:rPr>
  </w:style>
  <w:style w:type="character" w:customStyle="1" w:styleId="375">
    <w:name w:val="样式 新宋体 小四"/>
    <w:qFormat/>
    <w:uiPriority w:val="0"/>
    <w:rPr>
      <w:rFonts w:ascii="新宋体" w:hAnsi="新宋体" w:eastAsia="宋体"/>
      <w:sz w:val="21"/>
    </w:rPr>
  </w:style>
  <w:style w:type="character" w:customStyle="1" w:styleId="376">
    <w:name w:val="Table Heading Char Char"/>
    <w:qFormat/>
    <w:uiPriority w:val="0"/>
    <w:rPr>
      <w:rFonts w:ascii="Arial" w:hAnsi="Arial" w:eastAsia="黑体"/>
      <w:kern w:val="2"/>
      <w:sz w:val="18"/>
      <w:lang w:val="en-US" w:eastAsia="zh-CN"/>
    </w:rPr>
  </w:style>
  <w:style w:type="paragraph" w:customStyle="1" w:styleId="377">
    <w:name w:val="Heading 31"/>
    <w:basedOn w:val="1"/>
    <w:qFormat/>
    <w:uiPriority w:val="0"/>
    <w:pPr>
      <w:spacing w:before="17"/>
      <w:jc w:val="left"/>
      <w:outlineLvl w:val="3"/>
    </w:pPr>
    <w:rPr>
      <w:rFonts w:ascii="仿宋" w:eastAsia="仿宋"/>
      <w:b/>
      <w:bCs/>
      <w:kern w:val="0"/>
      <w:sz w:val="28"/>
      <w:szCs w:val="28"/>
    </w:rPr>
  </w:style>
  <w:style w:type="character" w:customStyle="1" w:styleId="378">
    <w:name w:val="Comment Text Char"/>
    <w:qFormat/>
    <w:uiPriority w:val="0"/>
    <w:rPr>
      <w:rFonts w:eastAsia="宋体" w:cs="Times New Roman"/>
      <w:kern w:val="2"/>
      <w:sz w:val="24"/>
      <w:szCs w:val="24"/>
      <w:lang w:val="en-US" w:eastAsia="zh-CN" w:bidi="ar-SA"/>
    </w:rPr>
  </w:style>
  <w:style w:type="character" w:customStyle="1" w:styleId="379">
    <w:name w:val="样式 宋体 三号"/>
    <w:qFormat/>
    <w:uiPriority w:val="0"/>
    <w:rPr>
      <w:rFonts w:ascii="宋体" w:eastAsia="宋体"/>
      <w:sz w:val="28"/>
      <w:szCs w:val="28"/>
    </w:rPr>
  </w:style>
  <w:style w:type="character" w:customStyle="1" w:styleId="380">
    <w:name w:val="large1"/>
    <w:qFormat/>
    <w:uiPriority w:val="0"/>
    <w:rPr>
      <w:rFonts w:ascii="宋体" w:eastAsia="宋体" w:cs="Times New Roman"/>
      <w:sz w:val="28"/>
      <w:szCs w:val="28"/>
    </w:rPr>
  </w:style>
  <w:style w:type="paragraph" w:customStyle="1" w:styleId="381">
    <w:name w:val="b"/>
    <w:basedOn w:val="341"/>
    <w:qFormat/>
    <w:uiPriority w:val="0"/>
  </w:style>
  <w:style w:type="paragraph" w:customStyle="1" w:styleId="382">
    <w:name w:val="正文文本 (32)_ Char Char Char"/>
    <w:basedOn w:val="1"/>
    <w:qFormat/>
    <w:uiPriority w:val="0"/>
    <w:pPr>
      <w:shd w:val="clear" w:color="auto" w:fill="FFFFFF"/>
      <w:spacing w:before="60" w:after="540" w:line="240" w:lineRule="atLeast"/>
      <w:ind w:hanging="460"/>
      <w:jc w:val="left"/>
    </w:pPr>
    <w:rPr>
      <w:rFonts w:ascii="MingLiU" w:hAnsi="MingLiU" w:eastAsia="MingLiU"/>
      <w:spacing w:val="-20"/>
      <w:kern w:val="0"/>
      <w:sz w:val="31"/>
      <w:szCs w:val="31"/>
      <w:lang w:val="zh-TW" w:eastAsia="zh-TW"/>
    </w:rPr>
  </w:style>
  <w:style w:type="paragraph" w:customStyle="1" w:styleId="383">
    <w:name w:val="K&amp;W Normal"/>
    <w:qFormat/>
    <w:uiPriority w:val="0"/>
    <w:pPr>
      <w:spacing w:after="360" w:line="320" w:lineRule="atLeast"/>
      <w:jc w:val="both"/>
    </w:pPr>
    <w:rPr>
      <w:rFonts w:ascii="Arial" w:hAnsi="Arial" w:eastAsia="宋体" w:cs="Times New Roman"/>
      <w:color w:val="000000"/>
      <w:sz w:val="24"/>
      <w:lang w:val="en-US" w:eastAsia="zh-CN" w:bidi="ar-SA"/>
    </w:rPr>
  </w:style>
  <w:style w:type="paragraph" w:customStyle="1" w:styleId="384">
    <w:name w:val="K&amp;W heading 2"/>
    <w:basedOn w:val="383"/>
    <w:next w:val="1"/>
    <w:qFormat/>
    <w:uiPriority w:val="0"/>
    <w:pPr>
      <w:widowControl w:val="0"/>
      <w:tabs>
        <w:tab w:val="left" w:pos="567"/>
      </w:tabs>
      <w:spacing w:line="320" w:lineRule="exact"/>
      <w:outlineLvl w:val="1"/>
    </w:pPr>
  </w:style>
  <w:style w:type="character" w:customStyle="1" w:styleId="385">
    <w:name w:val="Char Char4"/>
    <w:qFormat/>
    <w:uiPriority w:val="0"/>
    <w:rPr>
      <w:rFonts w:cs="Times New Roman"/>
      <w:kern w:val="2"/>
      <w:sz w:val="24"/>
      <w:szCs w:val="24"/>
      <w:shd w:val="clear" w:color="auto" w:fill="000080"/>
    </w:rPr>
  </w:style>
  <w:style w:type="character" w:customStyle="1" w:styleId="386">
    <w:name w:val="特点 Char"/>
    <w:qFormat/>
    <w:uiPriority w:val="0"/>
    <w:rPr>
      <w:rFonts w:ascii="Times New Roman" w:hAnsi="Times New Roman" w:eastAsia="仿宋_GB2312" w:cs="Times New Roman"/>
      <w:kern w:val="2"/>
      <w:sz w:val="32"/>
      <w:lang w:val="en-US" w:eastAsia="zh-CN" w:bidi="ar-SA"/>
    </w:rPr>
  </w:style>
  <w:style w:type="paragraph" w:customStyle="1" w:styleId="387">
    <w:name w:val="正文28磅"/>
    <w:qFormat/>
    <w:uiPriority w:val="0"/>
    <w:pPr>
      <w:spacing w:line="560" w:lineRule="exact"/>
      <w:ind w:firstLine="200" w:firstLineChars="200"/>
    </w:pPr>
    <w:rPr>
      <w:rFonts w:ascii="宋体" w:hAnsi="Times New Roman" w:eastAsia="宋体" w:cs="Times New Roman"/>
      <w:color w:val="FF0000"/>
      <w:sz w:val="24"/>
      <w:szCs w:val="24"/>
      <w:u w:color="000000"/>
      <w:lang w:val="en-GB" w:eastAsia="zh-CN" w:bidi="ar-SA"/>
    </w:rPr>
  </w:style>
  <w:style w:type="character" w:customStyle="1" w:styleId="388">
    <w:name w:val="brown1"/>
    <w:qFormat/>
    <w:uiPriority w:val="0"/>
    <w:rPr>
      <w:rFonts w:cs="Times New Roman"/>
      <w:color w:val="80786A"/>
    </w:rPr>
  </w:style>
  <w:style w:type="character" w:customStyle="1" w:styleId="389">
    <w:name w:val="Char Char7"/>
    <w:qFormat/>
    <w:uiPriority w:val="0"/>
    <w:rPr>
      <w:rFonts w:ascii="Arial" w:hAnsi="Arial" w:cs="Arial"/>
      <w:b/>
      <w:sz w:val="32"/>
    </w:rPr>
  </w:style>
  <w:style w:type="character" w:customStyle="1" w:styleId="390">
    <w:name w:val="称呼 Char"/>
    <w:qFormat/>
    <w:uiPriority w:val="0"/>
    <w:rPr>
      <w:rFonts w:eastAsia="Times New Roman"/>
      <w:color w:val="0000FF"/>
      <w:sz w:val="21"/>
    </w:rPr>
  </w:style>
  <w:style w:type="character" w:customStyle="1" w:styleId="391">
    <w:name w:val="书籍标题1"/>
    <w:qFormat/>
    <w:uiPriority w:val="0"/>
    <w:rPr>
      <w:b/>
      <w:smallCaps/>
      <w:spacing w:val="5"/>
    </w:rPr>
  </w:style>
  <w:style w:type="character" w:customStyle="1" w:styleId="392">
    <w:name w:val="Char Char3"/>
    <w:qFormat/>
    <w:uiPriority w:val="0"/>
    <w:rPr>
      <w:rFonts w:ascii="仿宋_GB2312" w:eastAsia="仿宋_GB2312" w:cs="Times New Roman"/>
      <w:kern w:val="2"/>
      <w:sz w:val="24"/>
      <w:szCs w:val="24"/>
    </w:rPr>
  </w:style>
  <w:style w:type="paragraph" w:customStyle="1" w:styleId="393">
    <w:name w:val="A3"/>
    <w:basedOn w:val="40"/>
    <w:qFormat/>
    <w:uiPriority w:val="0"/>
    <w:pPr>
      <w:widowControl/>
      <w:spacing w:line="360" w:lineRule="auto"/>
      <w:ind w:firstLine="200" w:firstLineChars="200"/>
      <w:jc w:val="left"/>
    </w:pPr>
    <w:rPr>
      <w:kern w:val="0"/>
      <w:sz w:val="24"/>
      <w:szCs w:val="24"/>
      <w:lang w:bidi="en-US"/>
    </w:rPr>
  </w:style>
  <w:style w:type="paragraph" w:customStyle="1" w:styleId="394">
    <w:name w:val="02"/>
    <w:basedOn w:val="393"/>
    <w:qFormat/>
    <w:uiPriority w:val="0"/>
  </w:style>
  <w:style w:type="paragraph" w:customStyle="1" w:styleId="395">
    <w:name w:val="A"/>
    <w:basedOn w:val="1"/>
    <w:qFormat/>
    <w:uiPriority w:val="0"/>
    <w:pPr>
      <w:widowControl/>
      <w:spacing w:line="360" w:lineRule="auto"/>
      <w:ind w:firstLine="200" w:firstLineChars="200"/>
      <w:jc w:val="left"/>
    </w:pPr>
    <w:rPr>
      <w:rFonts w:ascii="宋体"/>
      <w:b/>
      <w:kern w:val="0"/>
      <w:sz w:val="28"/>
      <w:szCs w:val="28"/>
      <w:lang w:bidi="en-US"/>
    </w:rPr>
  </w:style>
  <w:style w:type="paragraph" w:customStyle="1" w:styleId="396">
    <w:name w:val="B2"/>
    <w:basedOn w:val="1"/>
    <w:qFormat/>
    <w:uiPriority w:val="0"/>
    <w:pPr>
      <w:widowControl/>
      <w:spacing w:line="480" w:lineRule="exact"/>
      <w:ind w:firstLine="196" w:firstLineChars="196"/>
      <w:jc w:val="left"/>
    </w:pPr>
    <w:rPr>
      <w:rFonts w:ascii="Calibri" w:hAnsi="Calibri"/>
      <w:kern w:val="0"/>
      <w:sz w:val="24"/>
      <w:lang w:bidi="en-US"/>
    </w:rPr>
  </w:style>
  <w:style w:type="paragraph" w:customStyle="1" w:styleId="397">
    <w:name w:val="图形文字"/>
    <w:basedOn w:val="1"/>
    <w:qFormat/>
    <w:uiPriority w:val="0"/>
    <w:rPr>
      <w:szCs w:val="21"/>
    </w:rPr>
  </w:style>
  <w:style w:type="character" w:customStyle="1" w:styleId="398">
    <w:name w:val="明显引用字符"/>
    <w:qFormat/>
    <w:uiPriority w:val="0"/>
    <w:rPr>
      <w:b/>
      <w:i/>
      <w:color w:val="4F81BD"/>
      <w:kern w:val="2"/>
      <w:sz w:val="22"/>
    </w:rPr>
  </w:style>
  <w:style w:type="character" w:customStyle="1" w:styleId="399">
    <w:name w:val="明显强调1"/>
    <w:qFormat/>
    <w:uiPriority w:val="0"/>
    <w:rPr>
      <w:b/>
      <w:i/>
      <w:color w:val="4F81BD"/>
    </w:rPr>
  </w:style>
  <w:style w:type="character" w:customStyle="1" w:styleId="400">
    <w:name w:val="Char Char24"/>
    <w:qFormat/>
    <w:uiPriority w:val="0"/>
    <w:rPr>
      <w:rFonts w:ascii="Arial" w:hAnsi="Arial" w:eastAsia="黑体"/>
      <w:b/>
      <w:kern w:val="2"/>
      <w:sz w:val="32"/>
      <w:lang w:val="en-US" w:eastAsia="zh-CN"/>
    </w:rPr>
  </w:style>
  <w:style w:type="character" w:customStyle="1" w:styleId="401">
    <w:name w:val="标题4 Char Char"/>
    <w:qFormat/>
    <w:uiPriority w:val="0"/>
    <w:rPr>
      <w:rFonts w:eastAsia="宋体"/>
      <w:kern w:val="2"/>
      <w:sz w:val="24"/>
      <w:lang w:val="en-US" w:eastAsia="zh-CN"/>
    </w:rPr>
  </w:style>
  <w:style w:type="paragraph" w:customStyle="1" w:styleId="402">
    <w:name w:val="表头"/>
    <w:next w:val="1"/>
    <w:qFormat/>
    <w:uiPriority w:val="0"/>
    <w:pPr>
      <w:adjustRightInd w:val="0"/>
      <w:snapToGrid w:val="0"/>
      <w:spacing w:beforeLines="50" w:afterLines="50"/>
      <w:jc w:val="center"/>
    </w:pPr>
    <w:rPr>
      <w:rFonts w:ascii="Times New Roman" w:hAnsi="Times New Roman" w:eastAsia="宋体" w:cs="Times New Roman"/>
      <w:b/>
      <w:kern w:val="2"/>
      <w:sz w:val="24"/>
      <w:szCs w:val="24"/>
      <w:lang w:val="en-US" w:eastAsia="zh-CN" w:bidi="ar-SA"/>
    </w:rPr>
  </w:style>
  <w:style w:type="character" w:customStyle="1" w:styleId="403">
    <w:name w:val="zw1"/>
    <w:qFormat/>
    <w:uiPriority w:val="0"/>
    <w:rPr>
      <w:rFonts w:ascii="宋体" w:eastAsia="宋体"/>
      <w:sz w:val="22"/>
    </w:rPr>
  </w:style>
  <w:style w:type="character" w:customStyle="1" w:styleId="404">
    <w:name w:val="Char Char Char"/>
    <w:qFormat/>
    <w:uiPriority w:val="0"/>
    <w:rPr>
      <w:rFonts w:cs="Times New Roman"/>
      <w:lang w:bidi="ar-SA"/>
    </w:rPr>
  </w:style>
  <w:style w:type="character" w:customStyle="1" w:styleId="405">
    <w:name w:val="正文文本 (34)_"/>
    <w:qFormat/>
    <w:uiPriority w:val="0"/>
    <w:rPr>
      <w:rFonts w:ascii="MingLiU" w:hAnsi="MingLiU" w:eastAsia="MingLiU" w:cs="Times New Roman"/>
      <w:spacing w:val="-10"/>
      <w:lang w:val="zh-TW" w:eastAsia="zh-TW" w:bidi="ar-SA"/>
    </w:rPr>
  </w:style>
  <w:style w:type="character" w:customStyle="1" w:styleId="406">
    <w:name w:val="question-title"/>
    <w:qFormat/>
    <w:uiPriority w:val="0"/>
    <w:rPr>
      <w:rFonts w:cs="Times New Roman"/>
    </w:rPr>
  </w:style>
  <w:style w:type="character" w:customStyle="1" w:styleId="407">
    <w:name w:val="署名 Char"/>
    <w:qFormat/>
    <w:uiPriority w:val="0"/>
    <w:rPr>
      <w:rFonts w:ascii="宋体" w:eastAsia="宋体" w:cs="Times New Roman"/>
      <w:kern w:val="2"/>
      <w:sz w:val="24"/>
      <w:szCs w:val="24"/>
      <w:lang w:val="en-US" w:eastAsia="zh-CN" w:bidi="ar-SA"/>
    </w:rPr>
  </w:style>
  <w:style w:type="character" w:customStyle="1" w:styleId="408">
    <w:name w:val="项 Char"/>
    <w:qFormat/>
    <w:uiPriority w:val="0"/>
    <w:rPr>
      <w:b/>
      <w:bCs/>
      <w:i/>
      <w:iCs/>
      <w:sz w:val="26"/>
      <w:szCs w:val="26"/>
    </w:rPr>
  </w:style>
  <w:style w:type="character" w:customStyle="1" w:styleId="409">
    <w:name w:val="注释标题 Char1"/>
    <w:qFormat/>
    <w:uiPriority w:val="0"/>
    <w:rPr>
      <w:rFonts w:ascii="Times New Roman" w:hAnsi="Times New Roman" w:eastAsia="仿宋_GB2312" w:cs="Times New Roman"/>
      <w:kern w:val="2"/>
      <w:sz w:val="32"/>
    </w:rPr>
  </w:style>
  <w:style w:type="character" w:customStyle="1" w:styleId="410">
    <w:name w:val="引用 Char1"/>
    <w:qFormat/>
    <w:uiPriority w:val="0"/>
    <w:rPr>
      <w:i/>
      <w:color w:val="000000"/>
      <w:kern w:val="2"/>
      <w:sz w:val="22"/>
    </w:rPr>
  </w:style>
  <w:style w:type="character" w:customStyle="1" w:styleId="411">
    <w:name w:val="Char Char111"/>
    <w:qFormat/>
    <w:uiPriority w:val="0"/>
    <w:rPr>
      <w:rFonts w:eastAsia="宋体" w:cs="Times New Roman"/>
      <w:sz w:val="24"/>
      <w:lang w:val="en-US" w:eastAsia="zh-CN" w:bidi="ar-SA"/>
    </w:rPr>
  </w:style>
  <w:style w:type="character" w:customStyle="1" w:styleId="412">
    <w:name w:val="webdict1"/>
    <w:qFormat/>
    <w:uiPriority w:val="0"/>
    <w:rPr>
      <w:b/>
      <w:bCs/>
    </w:rPr>
  </w:style>
  <w:style w:type="character" w:customStyle="1" w:styleId="413">
    <w:name w:val="Char Char23"/>
    <w:qFormat/>
    <w:uiPriority w:val="0"/>
    <w:rPr>
      <w:rFonts w:ascii="Arial" w:hAnsi="Arial" w:eastAsia="黑体" w:cs="Times New Roman"/>
      <w:b/>
      <w:bCs/>
      <w:kern w:val="2"/>
      <w:sz w:val="28"/>
      <w:szCs w:val="28"/>
      <w:lang w:val="en-US" w:eastAsia="zh-CN" w:bidi="ar-SA"/>
    </w:rPr>
  </w:style>
  <w:style w:type="paragraph" w:customStyle="1" w:styleId="414">
    <w:name w:val="正文文本 (33)"/>
    <w:basedOn w:val="1"/>
    <w:qFormat/>
    <w:uiPriority w:val="0"/>
    <w:pPr>
      <w:shd w:val="clear" w:color="auto" w:fill="FFFFFF"/>
      <w:spacing w:after="480" w:line="240" w:lineRule="atLeast"/>
      <w:jc w:val="right"/>
    </w:pPr>
    <w:rPr>
      <w:rFonts w:ascii="MingLiU" w:hAnsi="MingLiU" w:eastAsia="MingLiU"/>
      <w:spacing w:val="-50"/>
      <w:kern w:val="0"/>
      <w:sz w:val="35"/>
      <w:szCs w:val="35"/>
    </w:rPr>
  </w:style>
  <w:style w:type="character" w:customStyle="1" w:styleId="415">
    <w:name w:val="Para head"/>
    <w:qFormat/>
    <w:uiPriority w:val="0"/>
    <w:rPr>
      <w:rFonts w:ascii="Arial" w:hAnsi="Arial" w:cs="Times New Roman"/>
      <w:sz w:val="20"/>
    </w:rPr>
  </w:style>
  <w:style w:type="character" w:customStyle="1" w:styleId="416">
    <w:name w:val="注释标题 Char"/>
    <w:qFormat/>
    <w:uiPriority w:val="0"/>
    <w:rPr>
      <w:rFonts w:ascii="宋体"/>
      <w:sz w:val="24"/>
      <w:szCs w:val="24"/>
      <w:lang w:bidi="en-US"/>
    </w:rPr>
  </w:style>
  <w:style w:type="paragraph" w:customStyle="1" w:styleId="417">
    <w:name w:val="自己的标题1"/>
    <w:basedOn w:val="2"/>
    <w:qFormat/>
    <w:uiPriority w:val="0"/>
    <w:pPr>
      <w:keepNext w:val="0"/>
      <w:keepLines w:val="0"/>
      <w:adjustRightInd w:val="0"/>
      <w:snapToGrid w:val="0"/>
      <w:spacing w:beforeLines="250" w:afterLines="250" w:line="360" w:lineRule="auto"/>
      <w:jc w:val="center"/>
      <w:textAlignment w:val="baseline"/>
    </w:pPr>
    <w:rPr>
      <w:rFonts w:ascii="黑体" w:eastAsia="黑体"/>
      <w:b w:val="0"/>
      <w:bCs w:val="0"/>
      <w:sz w:val="32"/>
      <w:szCs w:val="32"/>
    </w:rPr>
  </w:style>
  <w:style w:type="paragraph" w:customStyle="1" w:styleId="418">
    <w:name w:val="Table Heading"/>
    <w:qFormat/>
    <w:uiPriority w:val="0"/>
    <w:pPr>
      <w:keepNext/>
      <w:snapToGrid w:val="0"/>
      <w:spacing w:before="80" w:after="80"/>
      <w:jc w:val="center"/>
    </w:pPr>
    <w:rPr>
      <w:rFonts w:ascii="Arial" w:hAnsi="Arial" w:eastAsia="黑体" w:cs="Arial"/>
      <w:kern w:val="2"/>
      <w:sz w:val="18"/>
      <w:szCs w:val="18"/>
      <w:lang w:val="en-US" w:eastAsia="zh-CN" w:bidi="ar-SA"/>
    </w:rPr>
  </w:style>
  <w:style w:type="character" w:customStyle="1" w:styleId="419">
    <w:name w:val="自己的正文 Char Char"/>
    <w:qFormat/>
    <w:uiPriority w:val="0"/>
    <w:rPr>
      <w:color w:val="000000"/>
      <w:kern w:val="2"/>
      <w:sz w:val="28"/>
      <w:szCs w:val="28"/>
    </w:rPr>
  </w:style>
  <w:style w:type="paragraph" w:customStyle="1" w:styleId="420">
    <w:name w:val="样式 样式 仿宋体 小三号 首行缩进:  1.11 厘米 + 仿宋_GB2312"/>
    <w:basedOn w:val="1"/>
    <w:qFormat/>
    <w:uiPriority w:val="0"/>
    <w:pPr>
      <w:spacing w:line="360" w:lineRule="auto"/>
      <w:ind w:firstLine="192" w:firstLineChars="192"/>
    </w:pPr>
    <w:rPr>
      <w:rFonts w:ascii="宋体"/>
      <w:sz w:val="28"/>
      <w:szCs w:val="28"/>
    </w:rPr>
  </w:style>
  <w:style w:type="character" w:customStyle="1" w:styleId="421">
    <w:name w:val="访问过的超链接1"/>
    <w:qFormat/>
    <w:uiPriority w:val="0"/>
    <w:rPr>
      <w:color w:val="800080"/>
      <w:u w:val="single"/>
    </w:rPr>
  </w:style>
  <w:style w:type="character" w:customStyle="1" w:styleId="422">
    <w:name w:val="Char Char6"/>
    <w:qFormat/>
    <w:uiPriority w:val="0"/>
    <w:rPr>
      <w:rFonts w:ascii="Times New Roman" w:hAnsi="Times New Roman" w:eastAsia="PMingLiU" w:cs="Times New Roman"/>
      <w:sz w:val="20"/>
    </w:rPr>
  </w:style>
  <w:style w:type="character" w:customStyle="1" w:styleId="423">
    <w:name w:val="Char Char181"/>
    <w:qFormat/>
    <w:uiPriority w:val="0"/>
    <w:rPr>
      <w:rFonts w:ascii="Arial" w:hAnsi="Arial" w:eastAsia="黑体" w:cs="Arial"/>
      <w:b/>
      <w:bCs/>
      <w:kern w:val="2"/>
      <w:sz w:val="32"/>
      <w:szCs w:val="32"/>
    </w:rPr>
  </w:style>
  <w:style w:type="character" w:customStyle="1" w:styleId="424">
    <w:name w:val="Char Char232"/>
    <w:qFormat/>
    <w:uiPriority w:val="0"/>
    <w:rPr>
      <w:rFonts w:ascii="Arial" w:hAnsi="Arial" w:eastAsia="黑体" w:cs="Times New Roman"/>
      <w:b/>
      <w:kern w:val="2"/>
      <w:sz w:val="32"/>
    </w:rPr>
  </w:style>
  <w:style w:type="character" w:customStyle="1" w:styleId="425">
    <w:name w:val="正文文本 (32) + 间距 3 pt1"/>
    <w:qFormat/>
    <w:uiPriority w:val="0"/>
    <w:rPr>
      <w:rFonts w:ascii="MingLiU" w:hAnsi="MingLiU" w:eastAsia="MingLiU" w:cs="Times New Roman"/>
      <w:spacing w:val="60"/>
      <w:sz w:val="31"/>
      <w:szCs w:val="31"/>
      <w:lang w:val="zh-TW" w:eastAsia="zh-TW" w:bidi="ar-SA"/>
    </w:rPr>
  </w:style>
  <w:style w:type="character" w:customStyle="1" w:styleId="426">
    <w:name w:val="正文文本 (36) + Candara"/>
    <w:qFormat/>
    <w:uiPriority w:val="0"/>
    <w:rPr>
      <w:rFonts w:ascii="Candara" w:hAnsi="Candara" w:eastAsia="Batang" w:cs="Candara"/>
      <w:b/>
      <w:bCs/>
      <w:spacing w:val="0"/>
      <w:sz w:val="18"/>
      <w:szCs w:val="18"/>
      <w:lang w:val="zh-TW" w:eastAsia="zh-TW" w:bidi="ar-SA"/>
    </w:rPr>
  </w:style>
  <w:style w:type="paragraph" w:customStyle="1" w:styleId="427">
    <w:name w:val="引用1"/>
    <w:basedOn w:val="1"/>
    <w:next w:val="1"/>
    <w:qFormat/>
    <w:uiPriority w:val="0"/>
    <w:rPr>
      <w:i/>
      <w:color w:val="000000"/>
      <w:sz w:val="22"/>
      <w:szCs w:val="20"/>
    </w:rPr>
  </w:style>
  <w:style w:type="character" w:customStyle="1" w:styleId="428">
    <w:name w:val="引用字符"/>
    <w:qFormat/>
    <w:uiPriority w:val="0"/>
    <w:rPr>
      <w:i/>
      <w:color w:val="000000"/>
      <w:kern w:val="2"/>
      <w:sz w:val="22"/>
    </w:rPr>
  </w:style>
  <w:style w:type="paragraph" w:customStyle="1" w:styleId="429">
    <w:name w:val="标题 #8 (2)"/>
    <w:basedOn w:val="1"/>
    <w:qFormat/>
    <w:uiPriority w:val="0"/>
    <w:pPr>
      <w:shd w:val="clear" w:color="auto" w:fill="FFFFFF"/>
      <w:spacing w:after="300" w:line="240" w:lineRule="atLeast"/>
      <w:jc w:val="left"/>
      <w:outlineLvl w:val="7"/>
    </w:pPr>
    <w:rPr>
      <w:rFonts w:ascii="MingLiU" w:hAnsi="MingLiU" w:eastAsia="MingLiU"/>
      <w:spacing w:val="-20"/>
      <w:kern w:val="0"/>
      <w:sz w:val="27"/>
      <w:szCs w:val="27"/>
      <w:lang w:val="zh-TW" w:eastAsia="zh-TW"/>
    </w:rPr>
  </w:style>
  <w:style w:type="character" w:customStyle="1" w:styleId="430">
    <w:name w:val="Char Char17"/>
    <w:qFormat/>
    <w:uiPriority w:val="0"/>
    <w:rPr>
      <w:rFonts w:cs="Times New Roman"/>
      <w:b/>
      <w:bCs/>
      <w:kern w:val="2"/>
      <w:sz w:val="32"/>
      <w:szCs w:val="32"/>
    </w:rPr>
  </w:style>
  <w:style w:type="paragraph" w:customStyle="1" w:styleId="431">
    <w:name w:val="正文缩"/>
    <w:basedOn w:val="1"/>
    <w:qFormat/>
    <w:uiPriority w:val="0"/>
    <w:pPr>
      <w:widowControl/>
      <w:adjustRightInd w:val="0"/>
      <w:snapToGrid w:val="0"/>
      <w:spacing w:line="480" w:lineRule="atLeast"/>
      <w:ind w:firstLine="567"/>
      <w:jc w:val="left"/>
      <w:textAlignment w:val="baseline"/>
    </w:pPr>
    <w:rPr>
      <w:rFonts w:ascii="宋体"/>
      <w:color w:val="000080"/>
      <w:spacing w:val="6"/>
      <w:kern w:val="0"/>
      <w:sz w:val="28"/>
      <w:lang w:bidi="en-US"/>
    </w:rPr>
  </w:style>
  <w:style w:type="character" w:customStyle="1" w:styleId="432">
    <w:name w:val="t_tag"/>
    <w:qFormat/>
    <w:uiPriority w:val="0"/>
  </w:style>
  <w:style w:type="character" w:customStyle="1" w:styleId="433">
    <w:name w:val="Char Char25"/>
    <w:qFormat/>
    <w:uiPriority w:val="0"/>
    <w:rPr>
      <w:rFonts w:ascii="黑体" w:eastAsia="黑体"/>
      <w:sz w:val="52"/>
      <w:lang w:val="en-US" w:eastAsia="zh-CN"/>
    </w:rPr>
  </w:style>
  <w:style w:type="character" w:customStyle="1" w:styleId="434">
    <w:name w:val="short_text"/>
    <w:qFormat/>
    <w:uiPriority w:val="0"/>
  </w:style>
  <w:style w:type="character" w:customStyle="1" w:styleId="435">
    <w:name w:val="font14news1"/>
    <w:qFormat/>
    <w:uiPriority w:val="0"/>
    <w:rPr>
      <w:rFonts w:cs="Times New Roman"/>
      <w:color w:val="333333"/>
      <w:sz w:val="21"/>
      <w:szCs w:val="21"/>
    </w:rPr>
  </w:style>
  <w:style w:type="paragraph" w:customStyle="1" w:styleId="436">
    <w:name w:val="a1"/>
    <w:basedOn w:val="40"/>
    <w:qFormat/>
    <w:uiPriority w:val="0"/>
    <w:pPr>
      <w:widowControl/>
      <w:spacing w:line="360" w:lineRule="auto"/>
      <w:ind w:firstLine="200" w:firstLineChars="200"/>
      <w:jc w:val="left"/>
    </w:pPr>
    <w:rPr>
      <w:kern w:val="0"/>
      <w:sz w:val="24"/>
      <w:szCs w:val="24"/>
      <w:lang w:bidi="en-US"/>
    </w:rPr>
  </w:style>
  <w:style w:type="paragraph" w:customStyle="1" w:styleId="437">
    <w:name w:val="03"/>
    <w:basedOn w:val="436"/>
    <w:qFormat/>
    <w:uiPriority w:val="0"/>
  </w:style>
  <w:style w:type="character" w:customStyle="1" w:styleId="438">
    <w:name w:val="技术标题1 Char"/>
    <w:qFormat/>
    <w:uiPriority w:val="0"/>
    <w:rPr>
      <w:rFonts w:eastAsia="宋体" w:cs="Times New Roman"/>
      <w:b/>
      <w:bCs/>
      <w:kern w:val="44"/>
      <w:sz w:val="44"/>
      <w:szCs w:val="44"/>
      <w:lang w:val="en-US" w:eastAsia="zh-CN" w:bidi="ar-SA"/>
    </w:rPr>
  </w:style>
  <w:style w:type="character" w:customStyle="1" w:styleId="439">
    <w:name w:val="Char Char16"/>
    <w:qFormat/>
    <w:uiPriority w:val="0"/>
    <w:rPr>
      <w:rFonts w:ascii="Arial" w:hAnsi="Arial" w:eastAsia="黑体" w:cs="Arial"/>
      <w:b/>
      <w:bCs/>
      <w:kern w:val="2"/>
      <w:sz w:val="28"/>
      <w:szCs w:val="28"/>
    </w:rPr>
  </w:style>
  <w:style w:type="character" w:customStyle="1" w:styleId="440">
    <w:name w:val="尾注文本 Char"/>
    <w:qFormat/>
    <w:uiPriority w:val="0"/>
    <w:rPr>
      <w:rFonts w:ascii="宋体"/>
      <w:kern w:val="2"/>
      <w:sz w:val="24"/>
    </w:rPr>
  </w:style>
  <w:style w:type="paragraph" w:customStyle="1" w:styleId="441">
    <w:name w:val="a"/>
    <w:basedOn w:val="1"/>
    <w:qFormat/>
    <w:uiPriority w:val="0"/>
    <w:pPr>
      <w:widowControl/>
      <w:spacing w:line="360" w:lineRule="auto"/>
      <w:ind w:firstLine="200" w:firstLineChars="200"/>
      <w:jc w:val="left"/>
    </w:pPr>
    <w:rPr>
      <w:rFonts w:ascii="Calibri" w:hAnsi="Calibri"/>
      <w:kern w:val="0"/>
      <w:sz w:val="24"/>
      <w:lang w:bidi="en-US"/>
    </w:rPr>
  </w:style>
  <w:style w:type="character" w:customStyle="1" w:styleId="442">
    <w:name w:val="尾注文本 Char1"/>
    <w:qFormat/>
    <w:uiPriority w:val="0"/>
    <w:rPr>
      <w:rFonts w:ascii="Times New Roman" w:hAnsi="Times New Roman" w:eastAsia="仿宋_GB2312" w:cs="Times New Roman"/>
      <w:kern w:val="2"/>
      <w:sz w:val="32"/>
    </w:rPr>
  </w:style>
  <w:style w:type="character" w:customStyle="1" w:styleId="443">
    <w:name w:val="DeltaView Insertion"/>
    <w:qFormat/>
    <w:uiPriority w:val="0"/>
    <w:rPr>
      <w:b/>
      <w:bCs/>
      <w:spacing w:val="0"/>
      <w:u w:val="double"/>
    </w:rPr>
  </w:style>
  <w:style w:type="paragraph" w:customStyle="1" w:styleId="444">
    <w:name w:val="1"/>
    <w:basedOn w:val="1"/>
    <w:next w:val="1"/>
    <w:qFormat/>
    <w:uiPriority w:val="0"/>
  </w:style>
  <w:style w:type="character" w:customStyle="1" w:styleId="445">
    <w:name w:val="font161"/>
    <w:qFormat/>
    <w:uiPriority w:val="0"/>
    <w:rPr>
      <w:rFonts w:cs="Times New Roman"/>
      <w:b/>
      <w:bCs/>
      <w:sz w:val="32"/>
      <w:szCs w:val="32"/>
    </w:rPr>
  </w:style>
  <w:style w:type="character" w:customStyle="1" w:styleId="446">
    <w:name w:val="Char Char18"/>
    <w:qFormat/>
    <w:uiPriority w:val="0"/>
    <w:rPr>
      <w:b/>
      <w:kern w:val="44"/>
      <w:sz w:val="44"/>
    </w:rPr>
  </w:style>
  <w:style w:type="paragraph" w:customStyle="1" w:styleId="447">
    <w:name w:val="B3"/>
    <w:basedOn w:val="1"/>
    <w:qFormat/>
    <w:uiPriority w:val="0"/>
    <w:pPr>
      <w:widowControl/>
      <w:spacing w:line="480" w:lineRule="exact"/>
      <w:ind w:firstLine="196" w:firstLineChars="196"/>
      <w:jc w:val="left"/>
    </w:pPr>
    <w:rPr>
      <w:rFonts w:ascii="Calibri" w:hAnsi="Calibri"/>
      <w:kern w:val="0"/>
      <w:sz w:val="24"/>
      <w:lang w:bidi="en-US"/>
    </w:rPr>
  </w:style>
  <w:style w:type="paragraph" w:customStyle="1" w:styleId="448">
    <w:name w:val="样式 黑体1 + 首行缩进:  2 字符"/>
    <w:basedOn w:val="1"/>
    <w:qFormat/>
    <w:uiPriority w:val="0"/>
    <w:pPr>
      <w:spacing w:line="460" w:lineRule="exact"/>
      <w:ind w:firstLine="200" w:firstLineChars="200"/>
      <w:jc w:val="left"/>
    </w:pPr>
    <w:rPr>
      <w:rFonts w:eastAsia="黑体"/>
      <w:b/>
      <w:bCs/>
      <w:sz w:val="28"/>
      <w:szCs w:val="20"/>
    </w:rPr>
  </w:style>
  <w:style w:type="character" w:customStyle="1" w:styleId="449">
    <w:name w:val="show_num1"/>
    <w:qFormat/>
    <w:uiPriority w:val="0"/>
    <w:rPr>
      <w:color w:val="999999"/>
      <w:sz w:val="21"/>
      <w:szCs w:val="21"/>
    </w:rPr>
  </w:style>
  <w:style w:type="character" w:customStyle="1" w:styleId="450">
    <w:name w:val="正文文本 + SimSun2"/>
    <w:qFormat/>
    <w:uiPriority w:val="0"/>
    <w:rPr>
      <w:rFonts w:ascii="宋体" w:hAnsi="宋体" w:eastAsia="Arial Unicode MS" w:cs="宋体"/>
      <w:sz w:val="25"/>
      <w:szCs w:val="25"/>
      <w:lang w:val="en-US" w:eastAsia="zh-CN" w:bidi="ar-SA"/>
    </w:rPr>
  </w:style>
  <w:style w:type="character" w:customStyle="1" w:styleId="451">
    <w:name w:val="unnamed11"/>
    <w:qFormat/>
    <w:uiPriority w:val="0"/>
    <w:rPr>
      <w:sz w:val="18"/>
    </w:rPr>
  </w:style>
  <w:style w:type="character" w:customStyle="1" w:styleId="452">
    <w:name w:val="消息标题标签"/>
    <w:qFormat/>
    <w:uiPriority w:val="0"/>
    <w:rPr>
      <w:rFonts w:ascii="Arial Black" w:hAnsi="Arial Black" w:eastAsia="黑体" w:cs="Times New Roman"/>
      <w:b/>
      <w:sz w:val="18"/>
      <w:lang w:eastAsia="zh-CN"/>
    </w:rPr>
  </w:style>
  <w:style w:type="character" w:customStyle="1" w:styleId="453">
    <w:name w:val="正文文本 (34) + SimSun1"/>
    <w:qFormat/>
    <w:uiPriority w:val="0"/>
    <w:rPr>
      <w:rFonts w:ascii="宋体" w:hAnsi="宋体" w:eastAsia="MingLiU" w:cs="宋体"/>
      <w:spacing w:val="0"/>
      <w:sz w:val="25"/>
      <w:szCs w:val="25"/>
      <w:u w:val="single"/>
      <w:lang w:val="zh-TW" w:eastAsia="zh-TW" w:bidi="ar-SA"/>
    </w:rPr>
  </w:style>
  <w:style w:type="paragraph" w:customStyle="1" w:styleId="454">
    <w:name w:val="正文文本 (37)"/>
    <w:basedOn w:val="1"/>
    <w:qFormat/>
    <w:uiPriority w:val="0"/>
    <w:pPr>
      <w:shd w:val="clear" w:color="auto" w:fill="FFFFFF"/>
      <w:spacing w:before="180" w:line="240" w:lineRule="atLeast"/>
      <w:jc w:val="left"/>
    </w:pPr>
    <w:rPr>
      <w:rFonts w:ascii="Candara" w:hAnsi="Candara"/>
      <w:b/>
      <w:bCs/>
      <w:kern w:val="0"/>
      <w:sz w:val="18"/>
      <w:szCs w:val="18"/>
    </w:rPr>
  </w:style>
  <w:style w:type="character" w:customStyle="1" w:styleId="455">
    <w:name w:val="正文文本 + Batang1"/>
    <w:qFormat/>
    <w:uiPriority w:val="0"/>
    <w:rPr>
      <w:rFonts w:ascii="Batang" w:hAnsi="Batang" w:eastAsia="Batang" w:cs="Batang"/>
      <w:lang w:val="zh-TW" w:eastAsia="zh-TW" w:bidi="ar-SA"/>
    </w:rPr>
  </w:style>
  <w:style w:type="character" w:customStyle="1" w:styleId="456">
    <w:name w:val="Char Char112"/>
    <w:qFormat/>
    <w:uiPriority w:val="0"/>
    <w:rPr>
      <w:rFonts w:ascii="Times New Roman" w:hAnsi="Times New Roman" w:eastAsia="仿宋_GB2312" w:cs="Times New Roman"/>
      <w:kern w:val="2"/>
      <w:sz w:val="28"/>
    </w:rPr>
  </w:style>
  <w:style w:type="paragraph" w:customStyle="1" w:styleId="457">
    <w:name w:val="正文文本11"/>
    <w:basedOn w:val="1"/>
    <w:qFormat/>
    <w:uiPriority w:val="0"/>
    <w:pPr>
      <w:shd w:val="clear" w:color="auto" w:fill="FFFFFF"/>
      <w:spacing w:line="134" w:lineRule="exact"/>
      <w:ind w:hanging="540"/>
      <w:jc w:val="left"/>
    </w:pPr>
    <w:rPr>
      <w:rFonts w:ascii="Arial Unicode MS" w:eastAsia="Arial Unicode MS"/>
      <w:kern w:val="0"/>
      <w:sz w:val="20"/>
      <w:szCs w:val="20"/>
    </w:rPr>
  </w:style>
  <w:style w:type="character" w:customStyle="1" w:styleId="458">
    <w:name w:val="ca-22"/>
    <w:qFormat/>
    <w:uiPriority w:val="0"/>
    <w:rPr>
      <w:rFonts w:ascii="Times New Roman" w:hAnsi="Times New Roman" w:eastAsia="宋体" w:cs="Times New Roman"/>
    </w:rPr>
  </w:style>
  <w:style w:type="character" w:customStyle="1" w:styleId="459">
    <w:name w:val="正文文本 (34) + 15.5 pt"/>
    <w:qFormat/>
    <w:uiPriority w:val="0"/>
    <w:rPr>
      <w:rFonts w:ascii="MingLiU" w:hAnsi="MingLiU" w:eastAsia="MingLiU" w:cs="Times New Roman"/>
      <w:spacing w:val="-20"/>
      <w:sz w:val="31"/>
      <w:szCs w:val="31"/>
      <w:lang w:val="zh-TW" w:eastAsia="zh-TW" w:bidi="ar-SA"/>
    </w:rPr>
  </w:style>
  <w:style w:type="character" w:customStyle="1" w:styleId="460">
    <w:name w:val="标题 #4 + SimSun"/>
    <w:qFormat/>
    <w:uiPriority w:val="0"/>
    <w:rPr>
      <w:rFonts w:ascii="宋体" w:hAnsi="宋体" w:eastAsia="MingLiU" w:cs="宋体"/>
      <w:spacing w:val="0"/>
      <w:sz w:val="42"/>
      <w:szCs w:val="42"/>
      <w:lang w:val="zh-TW" w:eastAsia="zh-TW" w:bidi="ar-SA"/>
    </w:rPr>
  </w:style>
  <w:style w:type="character" w:customStyle="1" w:styleId="461">
    <w:name w:val="正文文本 (32)"/>
    <w:qFormat/>
    <w:uiPriority w:val="0"/>
    <w:rPr>
      <w:rFonts w:ascii="MingLiU" w:hAnsi="MingLiU" w:eastAsia="MingLiU" w:cs="Times New Roman"/>
      <w:spacing w:val="-20"/>
      <w:sz w:val="31"/>
      <w:szCs w:val="31"/>
      <w:u w:val="single"/>
      <w:lang w:val="zh-TW" w:eastAsia="zh-TW" w:bidi="ar-SA"/>
    </w:rPr>
  </w:style>
  <w:style w:type="character" w:customStyle="1" w:styleId="462">
    <w:name w:val="正文文本 (34) + 间距 2 pt"/>
    <w:qFormat/>
    <w:uiPriority w:val="0"/>
    <w:rPr>
      <w:rFonts w:ascii="MingLiU" w:hAnsi="MingLiU" w:eastAsia="MingLiU" w:cs="Times New Roman"/>
      <w:spacing w:val="40"/>
      <w:lang w:val="zh-TW" w:eastAsia="zh-TW" w:bidi="ar-SA"/>
    </w:rPr>
  </w:style>
  <w:style w:type="paragraph" w:customStyle="1" w:styleId="463">
    <w:name w:val="标题 #6"/>
    <w:basedOn w:val="1"/>
    <w:qFormat/>
    <w:uiPriority w:val="0"/>
    <w:pPr>
      <w:shd w:val="clear" w:color="auto" w:fill="FFFFFF"/>
      <w:spacing w:after="60" w:line="240" w:lineRule="atLeast"/>
      <w:jc w:val="left"/>
      <w:outlineLvl w:val="5"/>
    </w:pPr>
    <w:rPr>
      <w:rFonts w:ascii="Arial" w:hAnsi="Arial"/>
      <w:b/>
      <w:bCs/>
      <w:kern w:val="0"/>
      <w:sz w:val="30"/>
      <w:szCs w:val="30"/>
    </w:rPr>
  </w:style>
  <w:style w:type="paragraph" w:customStyle="1" w:styleId="464">
    <w:name w:val="正文文本 (35)_ Char"/>
    <w:basedOn w:val="1"/>
    <w:qFormat/>
    <w:uiPriority w:val="0"/>
    <w:pPr>
      <w:shd w:val="clear" w:color="auto" w:fill="FFFFFF"/>
      <w:spacing w:before="240" w:line="523" w:lineRule="exact"/>
      <w:jc w:val="left"/>
    </w:pPr>
    <w:rPr>
      <w:rFonts w:ascii="宋体"/>
      <w:kern w:val="0"/>
      <w:sz w:val="22"/>
      <w:szCs w:val="22"/>
      <w:lang w:val="zh-TW" w:eastAsia="zh-TW"/>
    </w:rPr>
  </w:style>
  <w:style w:type="character" w:customStyle="1" w:styleId="465">
    <w:name w:val="正文文本 (32) + 间距 3 pt"/>
    <w:qFormat/>
    <w:uiPriority w:val="0"/>
    <w:rPr>
      <w:rFonts w:ascii="MingLiU" w:hAnsi="MingLiU" w:eastAsia="MingLiU" w:cs="Times New Roman"/>
      <w:spacing w:val="60"/>
      <w:sz w:val="31"/>
      <w:szCs w:val="31"/>
      <w:lang w:val="zh-TW" w:eastAsia="zh-TW" w:bidi="ar-SA"/>
    </w:rPr>
  </w:style>
  <w:style w:type="character" w:customStyle="1" w:styleId="466">
    <w:name w:val="Char Char121"/>
    <w:qFormat/>
    <w:uiPriority w:val="0"/>
    <w:rPr>
      <w:rFonts w:ascii="Times New Roman" w:hAnsi="Times New Roman" w:eastAsia="宋体" w:cs="Times New Roman"/>
      <w:kern w:val="2"/>
      <w:sz w:val="18"/>
      <w:szCs w:val="18"/>
    </w:rPr>
  </w:style>
  <w:style w:type="character" w:customStyle="1" w:styleId="467">
    <w:name w:val="正文文本 (32) + 间距 -2 pt"/>
    <w:qFormat/>
    <w:uiPriority w:val="0"/>
    <w:rPr>
      <w:rFonts w:ascii="MingLiU" w:hAnsi="MingLiU" w:eastAsia="MingLiU" w:cs="Times New Roman"/>
      <w:spacing w:val="-50"/>
      <w:sz w:val="31"/>
      <w:szCs w:val="31"/>
      <w:lang w:val="zh-TW" w:eastAsia="zh-TW" w:bidi="ar-SA"/>
    </w:rPr>
  </w:style>
  <w:style w:type="paragraph" w:customStyle="1" w:styleId="468">
    <w:name w:val="正文文本 (38)_ Char Char"/>
    <w:basedOn w:val="1"/>
    <w:qFormat/>
    <w:uiPriority w:val="0"/>
    <w:pPr>
      <w:shd w:val="clear" w:color="auto" w:fill="FFFFFF"/>
      <w:spacing w:before="300" w:after="120" w:line="581" w:lineRule="exact"/>
      <w:jc w:val="distribute"/>
    </w:pPr>
    <w:rPr>
      <w:rFonts w:ascii="MingLiU" w:hAnsi="MingLiU" w:eastAsia="MingLiU"/>
      <w:spacing w:val="-20"/>
      <w:kern w:val="0"/>
      <w:sz w:val="27"/>
      <w:szCs w:val="27"/>
      <w:lang w:val="zh-TW" w:eastAsia="zh-TW"/>
    </w:rPr>
  </w:style>
  <w:style w:type="character" w:customStyle="1" w:styleId="469">
    <w:name w:val="正文文本 (34) + SimSun"/>
    <w:qFormat/>
    <w:uiPriority w:val="0"/>
    <w:rPr>
      <w:rFonts w:ascii="宋体" w:hAnsi="宋体" w:eastAsia="MingLiU" w:cs="宋体"/>
      <w:spacing w:val="0"/>
      <w:sz w:val="25"/>
      <w:szCs w:val="25"/>
      <w:lang w:val="zh-TW" w:eastAsia="zh-TW" w:bidi="ar-SA"/>
    </w:rPr>
  </w:style>
  <w:style w:type="character" w:customStyle="1" w:styleId="470">
    <w:name w:val="正文文本 (32) + Batang"/>
    <w:qFormat/>
    <w:uiPriority w:val="0"/>
    <w:rPr>
      <w:rFonts w:ascii="Batang" w:hAnsi="Batang" w:eastAsia="Batang" w:cs="Batang"/>
      <w:b/>
      <w:bCs/>
      <w:spacing w:val="-10"/>
      <w:sz w:val="29"/>
      <w:szCs w:val="29"/>
      <w:lang w:val="zh-TW" w:eastAsia="zh-TW" w:bidi="ar-SA"/>
    </w:rPr>
  </w:style>
  <w:style w:type="character" w:customStyle="1" w:styleId="471">
    <w:name w:val="正文文本 (34) + 间距 -2 pt"/>
    <w:qFormat/>
    <w:uiPriority w:val="0"/>
    <w:rPr>
      <w:rFonts w:ascii="MingLiU" w:hAnsi="MingLiU" w:eastAsia="MingLiU" w:cs="Times New Roman"/>
      <w:spacing w:val="-40"/>
      <w:lang w:val="zh-TW" w:eastAsia="zh-TW" w:bidi="ar-SA"/>
    </w:rPr>
  </w:style>
  <w:style w:type="paragraph" w:customStyle="1" w:styleId="472">
    <w:name w:val="正文文本 (7)_"/>
    <w:basedOn w:val="1"/>
    <w:qFormat/>
    <w:uiPriority w:val="0"/>
    <w:pPr>
      <w:shd w:val="clear" w:color="auto" w:fill="FFFFFF"/>
      <w:spacing w:line="470" w:lineRule="exact"/>
      <w:ind w:hanging="560"/>
      <w:jc w:val="left"/>
    </w:pPr>
    <w:rPr>
      <w:rFonts w:ascii="MingLiU" w:hAnsi="MingLiU" w:eastAsia="MingLiU"/>
      <w:spacing w:val="-10"/>
      <w:kern w:val="0"/>
      <w:szCs w:val="21"/>
      <w:lang w:val="zh-TW" w:eastAsia="zh-TW"/>
    </w:rPr>
  </w:style>
  <w:style w:type="character" w:customStyle="1" w:styleId="473">
    <w:name w:val="Char Char82"/>
    <w:qFormat/>
    <w:uiPriority w:val="0"/>
    <w:rPr>
      <w:rFonts w:ascii="Times New Roman" w:hAnsi="Times New Roman" w:eastAsia="仿宋_GB2312" w:cs="Times New Roman"/>
      <w:kern w:val="2"/>
      <w:sz w:val="28"/>
      <w:lang w:val="en-US" w:eastAsia="zh-CN" w:bidi="ar-SA"/>
    </w:rPr>
  </w:style>
  <w:style w:type="character" w:customStyle="1" w:styleId="474">
    <w:name w:val="Char Char101"/>
    <w:qFormat/>
    <w:uiPriority w:val="0"/>
    <w:rPr>
      <w:rFonts w:ascii="宋体" w:eastAsia="宋体" w:cs="Times New Roman"/>
      <w:kern w:val="2"/>
      <w:sz w:val="21"/>
    </w:rPr>
  </w:style>
  <w:style w:type="character" w:customStyle="1" w:styleId="475">
    <w:name w:val="正文文本 (38) + SimSun"/>
    <w:qFormat/>
    <w:uiPriority w:val="0"/>
    <w:rPr>
      <w:rFonts w:ascii="宋体" w:hAnsi="宋体" w:eastAsia="MingLiU" w:cs="宋体"/>
      <w:spacing w:val="0"/>
      <w:sz w:val="29"/>
      <w:szCs w:val="29"/>
      <w:lang w:val="zh-TW" w:eastAsia="zh-TW" w:bidi="ar-SA"/>
    </w:rPr>
  </w:style>
  <w:style w:type="character" w:customStyle="1" w:styleId="476">
    <w:name w:val="正文文本 + 间距 1 pt1"/>
    <w:qFormat/>
    <w:uiPriority w:val="0"/>
    <w:rPr>
      <w:rFonts w:ascii="Arial Unicode MS" w:eastAsia="Arial Unicode MS" w:cs="Times New Roman"/>
      <w:spacing w:val="20"/>
      <w:lang w:bidi="ar-SA"/>
    </w:rPr>
  </w:style>
  <w:style w:type="character" w:customStyle="1" w:styleId="477">
    <w:name w:val="Plain Text Char"/>
    <w:qFormat/>
    <w:uiPriority w:val="0"/>
    <w:rPr>
      <w:rFonts w:ascii="宋体" w:eastAsia="宋体" w:cs="ˎ̥"/>
      <w:kern w:val="2"/>
      <w:sz w:val="21"/>
      <w:szCs w:val="21"/>
      <w:lang w:val="en-US" w:eastAsia="zh-CN" w:bidi="ar-SA"/>
    </w:rPr>
  </w:style>
  <w:style w:type="character" w:customStyle="1" w:styleId="478">
    <w:name w:val="标题 1 Char1"/>
    <w:qFormat/>
    <w:uiPriority w:val="0"/>
    <w:rPr>
      <w:rFonts w:ascii="黑体" w:eastAsia="黑体"/>
      <w:sz w:val="52"/>
      <w:lang w:val="en-US" w:eastAsia="zh-CN" w:bidi="ar-SA"/>
    </w:rPr>
  </w:style>
  <w:style w:type="character" w:customStyle="1" w:styleId="479">
    <w:name w:val="Char Char110"/>
    <w:qFormat/>
    <w:uiPriority w:val="0"/>
    <w:rPr>
      <w:rFonts w:ascii="宋体" w:eastAsia="宋体" w:cs="Times New Roman"/>
      <w:kern w:val="2"/>
      <w:sz w:val="24"/>
      <w:szCs w:val="24"/>
    </w:rPr>
  </w:style>
  <w:style w:type="character" w:customStyle="1" w:styleId="480">
    <w:name w:val="不明显参考1"/>
    <w:qFormat/>
    <w:uiPriority w:val="0"/>
    <w:rPr>
      <w:smallCaps/>
      <w:color w:val="C0504D"/>
      <w:u w:val="single"/>
    </w:rPr>
  </w:style>
  <w:style w:type="paragraph" w:customStyle="1" w:styleId="481">
    <w:name w:val="协议段落"/>
    <w:basedOn w:val="1"/>
    <w:qFormat/>
    <w:uiPriority w:val="0"/>
    <w:pPr>
      <w:ind w:firstLine="200" w:firstLineChars="200"/>
    </w:pPr>
    <w:rPr>
      <w:rFonts w:ascii="宋体"/>
      <w:sz w:val="24"/>
    </w:rPr>
  </w:style>
  <w:style w:type="paragraph" w:customStyle="1" w:styleId="482">
    <w:name w:val="标题5"/>
    <w:basedOn w:val="6"/>
    <w:qFormat/>
    <w:uiPriority w:val="0"/>
    <w:pPr>
      <w:tabs>
        <w:tab w:val="clear" w:pos="287"/>
      </w:tabs>
      <w:spacing w:before="260" w:after="260" w:line="413" w:lineRule="auto"/>
      <w:ind w:left="0"/>
      <w:jc w:val="both"/>
    </w:pPr>
    <w:rPr>
      <w:rFonts w:ascii="Arial" w:hAnsi="Arial"/>
      <w:kern w:val="0"/>
      <w:sz w:val="32"/>
    </w:rPr>
  </w:style>
  <w:style w:type="character" w:customStyle="1" w:styleId="483">
    <w:name w:val="htd0"/>
    <w:qFormat/>
    <w:uiPriority w:val="0"/>
    <w:rPr>
      <w:rFonts w:cs="Times New Roman"/>
    </w:rPr>
  </w:style>
  <w:style w:type="character" w:customStyle="1" w:styleId="484">
    <w:name w:val="wenzhi21"/>
    <w:qFormat/>
    <w:uiPriority w:val="0"/>
    <w:rPr>
      <w:color w:val="000000"/>
      <w:sz w:val="15"/>
    </w:rPr>
  </w:style>
  <w:style w:type="character" w:customStyle="1" w:styleId="485">
    <w:name w:val="bulletintext1"/>
    <w:qFormat/>
    <w:uiPriority w:val="0"/>
    <w:rPr>
      <w:rFonts w:cs="Times New Roman"/>
      <w:color w:val="000000"/>
      <w:sz w:val="18"/>
      <w:szCs w:val="18"/>
    </w:rPr>
  </w:style>
  <w:style w:type="character" w:customStyle="1" w:styleId="486">
    <w:name w:val="批注文字 Char Char"/>
    <w:qFormat/>
    <w:uiPriority w:val="0"/>
    <w:rPr>
      <w:rFonts w:ascii="宋体" w:eastAsia="宋体"/>
      <w:sz w:val="20"/>
    </w:rPr>
  </w:style>
  <w:style w:type="character" w:customStyle="1" w:styleId="487">
    <w:name w:val="Table Heading Char Char Char"/>
    <w:qFormat/>
    <w:uiPriority w:val="0"/>
    <w:rPr>
      <w:rFonts w:ascii="Arial" w:hAnsi="Arial" w:eastAsia="黑体" w:cs="Arial"/>
      <w:kern w:val="2"/>
      <w:sz w:val="18"/>
      <w:szCs w:val="18"/>
      <w:lang w:val="en-US" w:eastAsia="zh-CN" w:bidi="ar-SA"/>
    </w:rPr>
  </w:style>
  <w:style w:type="character" w:customStyle="1" w:styleId="488">
    <w:name w:val="正文文本 Char1"/>
    <w:qFormat/>
    <w:uiPriority w:val="0"/>
    <w:rPr>
      <w:kern w:val="2"/>
      <w:sz w:val="22"/>
    </w:rPr>
  </w:style>
  <w:style w:type="character" w:customStyle="1" w:styleId="489">
    <w:name w:val="style9"/>
    <w:qFormat/>
    <w:uiPriority w:val="0"/>
    <w:rPr>
      <w:rFonts w:cs="Times New Roman"/>
    </w:rPr>
  </w:style>
  <w:style w:type="character" w:customStyle="1" w:styleId="490">
    <w:name w:val="手改 Char Char"/>
    <w:qFormat/>
    <w:uiPriority w:val="0"/>
    <w:rPr>
      <w:rFonts w:cs="Times New Roman"/>
      <w:kern w:val="2"/>
      <w:sz w:val="24"/>
      <w:szCs w:val="24"/>
    </w:rPr>
  </w:style>
  <w:style w:type="character" w:customStyle="1" w:styleId="491">
    <w:name w:val="zbggmain style9"/>
    <w:qFormat/>
    <w:uiPriority w:val="0"/>
    <w:rPr>
      <w:rFonts w:cs="Times New Roman"/>
    </w:rPr>
  </w:style>
  <w:style w:type="character" w:customStyle="1" w:styleId="492">
    <w:name w:val="无间隔 Char Char"/>
    <w:qFormat/>
    <w:uiPriority w:val="0"/>
    <w:rPr>
      <w:rFonts w:eastAsia="宋体"/>
      <w:kern w:val="2"/>
      <w:sz w:val="22"/>
      <w:lang w:val="en-US" w:eastAsia="zh-CN"/>
    </w:rPr>
  </w:style>
  <w:style w:type="character" w:customStyle="1" w:styleId="493">
    <w:name w:val="Char Char13"/>
    <w:qFormat/>
    <w:uiPriority w:val="0"/>
    <w:rPr>
      <w:rFonts w:eastAsia="宋体" w:cs="Times New Roman"/>
      <w:kern w:val="2"/>
      <w:sz w:val="18"/>
      <w:szCs w:val="18"/>
      <w:lang w:val="en-US" w:eastAsia="zh-CN" w:bidi="ar-SA"/>
    </w:rPr>
  </w:style>
  <w:style w:type="character" w:customStyle="1" w:styleId="494">
    <w:name w:val="标题 3 Char Char"/>
    <w:qFormat/>
    <w:uiPriority w:val="0"/>
    <w:rPr>
      <w:rFonts w:eastAsia="宋体"/>
      <w:b/>
      <w:kern w:val="2"/>
      <w:sz w:val="32"/>
      <w:lang w:val="en-US" w:eastAsia="zh-CN"/>
    </w:rPr>
  </w:style>
  <w:style w:type="character" w:customStyle="1" w:styleId="495">
    <w:name w:val="脚注文本 Char"/>
    <w:qFormat/>
    <w:uiPriority w:val="0"/>
    <w:rPr>
      <w:sz w:val="18"/>
      <w:szCs w:val="18"/>
    </w:rPr>
  </w:style>
  <w:style w:type="character" w:customStyle="1" w:styleId="496">
    <w:name w:val="Char Char15"/>
    <w:qFormat/>
    <w:uiPriority w:val="0"/>
    <w:rPr>
      <w:rFonts w:ascii="Arial" w:hAnsi="Arial" w:eastAsia="黑体" w:cs="Arial"/>
      <w:b/>
      <w:bCs/>
      <w:sz w:val="24"/>
      <w:szCs w:val="24"/>
    </w:rPr>
  </w:style>
  <w:style w:type="character" w:customStyle="1" w:styleId="497">
    <w:name w:val="newsbg"/>
    <w:qFormat/>
    <w:uiPriority w:val="0"/>
    <w:rPr>
      <w:rFonts w:cs="Times New Roman"/>
    </w:rPr>
  </w:style>
  <w:style w:type="character" w:customStyle="1" w:styleId="498">
    <w:name w:val="ylMark"/>
    <w:qFormat/>
    <w:uiPriority w:val="0"/>
    <w:rPr>
      <w:rFonts w:cs="Arial"/>
      <w:vanish/>
      <w:color w:val="800080"/>
      <w:sz w:val="20"/>
      <w:szCs w:val="22"/>
      <w:vertAlign w:val="baseline"/>
    </w:rPr>
  </w:style>
  <w:style w:type="character" w:customStyle="1" w:styleId="499">
    <w:name w:val="dd1"/>
    <w:qFormat/>
    <w:uiPriority w:val="0"/>
    <w:rPr>
      <w:color w:val="333333"/>
      <w:sz w:val="19"/>
      <w:szCs w:val="19"/>
      <w:vertAlign w:val="baseline"/>
    </w:rPr>
  </w:style>
  <w:style w:type="paragraph" w:customStyle="1" w:styleId="500">
    <w:name w:val="000"/>
    <w:basedOn w:val="1"/>
    <w:qFormat/>
    <w:uiPriority w:val="0"/>
    <w:pPr>
      <w:widowControl/>
      <w:spacing w:line="360" w:lineRule="auto"/>
      <w:ind w:firstLine="200" w:firstLineChars="200"/>
      <w:jc w:val="left"/>
    </w:pPr>
    <w:rPr>
      <w:rFonts w:ascii="Calibri" w:hAnsi="Calibri"/>
      <w:kern w:val="0"/>
      <w:sz w:val="24"/>
      <w:lang w:bidi="en-US"/>
    </w:rPr>
  </w:style>
  <w:style w:type="paragraph" w:customStyle="1" w:styleId="501">
    <w:name w:val="C"/>
    <w:basedOn w:val="40"/>
    <w:qFormat/>
    <w:uiPriority w:val="0"/>
    <w:pPr>
      <w:widowControl/>
      <w:spacing w:line="360" w:lineRule="auto"/>
      <w:ind w:firstLine="200" w:firstLineChars="200"/>
      <w:jc w:val="left"/>
    </w:pPr>
    <w:rPr>
      <w:kern w:val="0"/>
      <w:sz w:val="24"/>
      <w:szCs w:val="24"/>
      <w:lang w:bidi="en-US"/>
    </w:rPr>
  </w:style>
  <w:style w:type="paragraph" w:customStyle="1" w:styleId="502">
    <w:name w:val="00"/>
    <w:basedOn w:val="40"/>
    <w:qFormat/>
    <w:uiPriority w:val="0"/>
    <w:pPr>
      <w:widowControl/>
      <w:spacing w:line="360" w:lineRule="auto"/>
      <w:ind w:firstLine="200" w:firstLineChars="200"/>
      <w:jc w:val="left"/>
    </w:pPr>
    <w:rPr>
      <w:rFonts w:ascii="Times New Roman"/>
      <w:kern w:val="0"/>
      <w:sz w:val="24"/>
      <w:szCs w:val="24"/>
      <w:lang w:bidi="en-US"/>
    </w:rPr>
  </w:style>
  <w:style w:type="paragraph" w:customStyle="1" w:styleId="503">
    <w:name w:val="IDS 正文2"/>
    <w:basedOn w:val="1"/>
    <w:qFormat/>
    <w:uiPriority w:val="0"/>
  </w:style>
  <w:style w:type="paragraph" w:customStyle="1" w:styleId="504">
    <w:name w:val="表格文字"/>
    <w:basedOn w:val="1"/>
    <w:qFormat/>
    <w:uiPriority w:val="0"/>
    <w:pPr>
      <w:adjustRightInd w:val="0"/>
      <w:spacing w:line="420" w:lineRule="atLeast"/>
      <w:jc w:val="left"/>
      <w:textAlignment w:val="baseline"/>
    </w:pPr>
    <w:rPr>
      <w:kern w:val="0"/>
      <w:szCs w:val="20"/>
    </w:rPr>
  </w:style>
  <w:style w:type="paragraph" w:customStyle="1" w:styleId="505">
    <w:name w:val="CM30"/>
    <w:basedOn w:val="238"/>
    <w:next w:val="238"/>
    <w:qFormat/>
    <w:uiPriority w:val="0"/>
    <w:pPr>
      <w:spacing w:after="200" w:line="276" w:lineRule="auto"/>
    </w:pPr>
    <w:rPr>
      <w:rFonts w:ascii="Calibri" w:hAnsi="Calibri" w:cs="Times New Roman"/>
      <w:color w:val="auto"/>
      <w:szCs w:val="22"/>
    </w:rPr>
  </w:style>
  <w:style w:type="paragraph" w:customStyle="1" w:styleId="506">
    <w:name w:val="CM5"/>
    <w:basedOn w:val="1"/>
    <w:next w:val="1"/>
    <w:qFormat/>
    <w:uiPriority w:val="0"/>
    <w:pPr>
      <w:widowControl/>
      <w:autoSpaceDE w:val="0"/>
      <w:autoSpaceDN w:val="0"/>
      <w:spacing w:line="480" w:lineRule="atLeast"/>
      <w:jc w:val="left"/>
    </w:pPr>
    <w:rPr>
      <w:rFonts w:ascii="TT C 07o 00" w:hAnsi="TT C 07o 00" w:eastAsia="TT C 07o 00"/>
      <w:color w:val="000000"/>
      <w:kern w:val="0"/>
      <w:sz w:val="24"/>
      <w:lang w:bidi="en-US"/>
    </w:rPr>
  </w:style>
  <w:style w:type="paragraph" w:customStyle="1" w:styleId="507">
    <w:name w:val="正文4"/>
    <w:qFormat/>
    <w:uiPriority w:val="0"/>
    <w:pPr>
      <w:widowControl w:val="0"/>
      <w:adjustRightInd w:val="0"/>
      <w:spacing w:line="307" w:lineRule="atLeast"/>
      <w:jc w:val="both"/>
      <w:textAlignment w:val="baseline"/>
    </w:pPr>
    <w:rPr>
      <w:rFonts w:ascii="宋体" w:hAnsi="Times New Roman" w:eastAsia="宋体" w:cs="Times New Roman"/>
      <w:sz w:val="18"/>
      <w:lang w:val="en-US" w:eastAsia="zh-CN" w:bidi="ar-SA"/>
    </w:rPr>
  </w:style>
  <w:style w:type="paragraph" w:customStyle="1" w:styleId="508">
    <w:name w:val="Style1"/>
    <w:basedOn w:val="1"/>
    <w:qFormat/>
    <w:uiPriority w:val="0"/>
    <w:pPr>
      <w:tabs>
        <w:tab w:val="left" w:pos="72"/>
        <w:tab w:val="left" w:pos="1692"/>
      </w:tabs>
      <w:spacing w:before="120" w:after="120"/>
      <w:ind w:left="72" w:firstLine="576"/>
      <w:jc w:val="left"/>
    </w:pPr>
    <w:rPr>
      <w:rFonts w:ascii="仿宋体" w:eastAsia="仿宋体"/>
      <w:color w:val="FF0000"/>
      <w:sz w:val="28"/>
      <w:szCs w:val="20"/>
    </w:rPr>
  </w:style>
  <w:style w:type="paragraph" w:customStyle="1" w:styleId="509">
    <w:name w:val="MTDisplayEquation"/>
    <w:basedOn w:val="1"/>
    <w:next w:val="1"/>
    <w:qFormat/>
    <w:uiPriority w:val="0"/>
    <w:pPr>
      <w:widowControl/>
      <w:tabs>
        <w:tab w:val="center" w:pos="4440"/>
        <w:tab w:val="right" w:pos="8900"/>
      </w:tabs>
      <w:spacing w:line="360" w:lineRule="auto"/>
      <w:ind w:firstLine="150" w:firstLineChars="150"/>
      <w:jc w:val="left"/>
    </w:pPr>
    <w:rPr>
      <w:rFonts w:ascii="Arial" w:hAnsi="Arial"/>
      <w:kern w:val="0"/>
      <w:sz w:val="28"/>
      <w:lang w:bidi="en-US"/>
    </w:rPr>
  </w:style>
  <w:style w:type="paragraph" w:customStyle="1" w:styleId="510">
    <w:name w:val="文字2"/>
    <w:basedOn w:val="1"/>
    <w:qFormat/>
    <w:uiPriority w:val="0"/>
    <w:pPr>
      <w:spacing w:line="300" w:lineRule="auto"/>
    </w:pPr>
    <w:rPr>
      <w:szCs w:val="20"/>
    </w:rPr>
  </w:style>
  <w:style w:type="paragraph" w:customStyle="1" w:styleId="511">
    <w:name w:val=".."/>
    <w:basedOn w:val="238"/>
    <w:next w:val="238"/>
    <w:qFormat/>
    <w:uiPriority w:val="0"/>
    <w:rPr>
      <w:rFonts w:cs="Times New Roman"/>
      <w:color w:val="auto"/>
    </w:rPr>
  </w:style>
  <w:style w:type="paragraph" w:customStyle="1" w:styleId="512">
    <w:name w:val="样式17"/>
    <w:basedOn w:val="40"/>
    <w:qFormat/>
    <w:uiPriority w:val="0"/>
    <w:pPr>
      <w:tabs>
        <w:tab w:val="left" w:pos="720"/>
        <w:tab w:val="left" w:pos="1740"/>
      </w:tabs>
      <w:autoSpaceDE w:val="0"/>
      <w:autoSpaceDN w:val="0"/>
      <w:adjustRightInd w:val="0"/>
      <w:ind w:left="1740" w:hanging="420"/>
    </w:pPr>
  </w:style>
  <w:style w:type="paragraph" w:customStyle="1" w:styleId="513">
    <w:name w:val="3"/>
    <w:basedOn w:val="1"/>
    <w:qFormat/>
    <w:uiPriority w:val="0"/>
    <w:pPr>
      <w:widowControl/>
      <w:adjustRightInd w:val="0"/>
      <w:snapToGrid w:val="0"/>
      <w:spacing w:beforeLines="50" w:line="360" w:lineRule="auto"/>
      <w:jc w:val="left"/>
      <w:outlineLvl w:val="2"/>
    </w:pPr>
    <w:rPr>
      <w:rFonts w:ascii="Calibri" w:hAnsi="Calibri" w:eastAsia="黑体"/>
      <w:b/>
      <w:kern w:val="0"/>
      <w:sz w:val="28"/>
      <w:lang w:bidi="en-US"/>
    </w:rPr>
  </w:style>
  <w:style w:type="paragraph" w:customStyle="1" w:styleId="514">
    <w:name w:val="CM18"/>
    <w:basedOn w:val="1"/>
    <w:next w:val="1"/>
    <w:qFormat/>
    <w:uiPriority w:val="0"/>
    <w:pPr>
      <w:autoSpaceDE w:val="0"/>
      <w:autoSpaceDN w:val="0"/>
      <w:adjustRightInd w:val="0"/>
      <w:jc w:val="left"/>
    </w:pPr>
    <w:rPr>
      <w:rFonts w:ascii="幼圆" w:eastAsia="幼圆"/>
      <w:kern w:val="0"/>
      <w:sz w:val="24"/>
    </w:rPr>
  </w:style>
  <w:style w:type="paragraph" w:customStyle="1" w:styleId="515">
    <w:name w:val="Char Char Char Char Char Char Char Char Char Char"/>
    <w:basedOn w:val="1"/>
    <w:qFormat/>
    <w:uiPriority w:val="0"/>
    <w:pPr>
      <w:spacing w:line="360" w:lineRule="auto"/>
      <w:ind w:left="420" w:firstLine="420"/>
    </w:pPr>
    <w:rPr>
      <w:kern w:val="0"/>
      <w:sz w:val="24"/>
      <w:szCs w:val="21"/>
    </w:rPr>
  </w:style>
  <w:style w:type="paragraph" w:customStyle="1" w:styleId="516">
    <w:name w:val="日期11"/>
    <w:basedOn w:val="1"/>
    <w:next w:val="1"/>
    <w:qFormat/>
    <w:uiPriority w:val="0"/>
    <w:pPr>
      <w:adjustRightInd w:val="0"/>
      <w:textAlignment w:val="baseline"/>
    </w:pPr>
    <w:rPr>
      <w:rFonts w:eastAsia="仿宋_GB2312"/>
      <w:sz w:val="28"/>
      <w:szCs w:val="20"/>
    </w:rPr>
  </w:style>
  <w:style w:type="paragraph" w:customStyle="1" w:styleId="517">
    <w:name w:val="CM22"/>
    <w:basedOn w:val="1"/>
    <w:next w:val="1"/>
    <w:qFormat/>
    <w:uiPriority w:val="0"/>
    <w:pPr>
      <w:autoSpaceDE w:val="0"/>
      <w:autoSpaceDN w:val="0"/>
      <w:adjustRightInd w:val="0"/>
      <w:spacing w:line="468" w:lineRule="atLeast"/>
      <w:jc w:val="left"/>
    </w:pPr>
    <w:rPr>
      <w:rFonts w:ascii="..ì." w:hAnsi="..ì." w:eastAsia="..ì."/>
      <w:kern w:val="0"/>
      <w:sz w:val="24"/>
    </w:rPr>
  </w:style>
  <w:style w:type="paragraph" w:customStyle="1" w:styleId="518">
    <w:name w:val="Char Char Char Char Char Char Char Char Char Char Char"/>
    <w:basedOn w:val="1"/>
    <w:qFormat/>
    <w:uiPriority w:val="0"/>
    <w:pPr>
      <w:pageBreakBefore/>
      <w:snapToGrid w:val="0"/>
      <w:spacing w:line="360" w:lineRule="auto"/>
      <w:ind w:firstLine="200" w:firstLineChars="200"/>
    </w:pPr>
    <w:rPr>
      <w:rFonts w:ascii="宋体" w:hAnsi="宋体" w:eastAsia="System"/>
      <w:b/>
      <w:kern w:val="0"/>
    </w:rPr>
  </w:style>
  <w:style w:type="paragraph" w:customStyle="1" w:styleId="519">
    <w:name w:val="xiao b"/>
    <w:basedOn w:val="1"/>
    <w:qFormat/>
    <w:uiPriority w:val="0"/>
    <w:pPr>
      <w:jc w:val="center"/>
    </w:pPr>
    <w:rPr>
      <w:rFonts w:eastAsia="黑体"/>
      <w:sz w:val="24"/>
      <w:szCs w:val="20"/>
    </w:rPr>
  </w:style>
  <w:style w:type="paragraph" w:customStyle="1" w:styleId="520">
    <w:name w:val="封面"/>
    <w:basedOn w:val="1"/>
    <w:qFormat/>
    <w:uiPriority w:val="0"/>
    <w:pPr>
      <w:spacing w:line="360" w:lineRule="auto"/>
      <w:jc w:val="center"/>
    </w:pPr>
    <w:rPr>
      <w:rFonts w:eastAsia="仿宋_GB2312"/>
      <w:sz w:val="52"/>
      <w:szCs w:val="20"/>
    </w:rPr>
  </w:style>
  <w:style w:type="paragraph" w:customStyle="1" w:styleId="521">
    <w:name w:val="Level 1 Body Text"/>
    <w:basedOn w:val="1"/>
    <w:qFormat/>
    <w:uiPriority w:val="0"/>
    <w:pPr>
      <w:widowControl/>
      <w:spacing w:after="240"/>
      <w:ind w:left="540"/>
    </w:pPr>
    <w:rPr>
      <w:rFonts w:ascii="Arial" w:hAnsi="Arial" w:eastAsia="Times New Roman"/>
      <w:color w:val="000000"/>
      <w:kern w:val="0"/>
      <w:sz w:val="20"/>
      <w:szCs w:val="20"/>
    </w:rPr>
  </w:style>
  <w:style w:type="paragraph" w:customStyle="1" w:styleId="522">
    <w:name w:val="00x"/>
    <w:basedOn w:val="49"/>
    <w:qFormat/>
    <w:uiPriority w:val="0"/>
    <w:pPr>
      <w:widowControl/>
      <w:adjustRightInd w:val="0"/>
      <w:snapToGrid/>
      <w:spacing w:line="240" w:lineRule="atLeast"/>
      <w:ind w:right="930" w:firstLine="50" w:firstLineChars="50"/>
      <w:jc w:val="center"/>
      <w:textAlignment w:val="baseline"/>
    </w:pPr>
    <w:rPr>
      <w:rFonts w:ascii="宋体"/>
      <w:kern w:val="0"/>
      <w:szCs w:val="24"/>
      <w:lang w:bidi="en-US"/>
    </w:rPr>
  </w:style>
  <w:style w:type="paragraph" w:customStyle="1" w:styleId="523">
    <w:name w:val="00s"/>
    <w:basedOn w:val="522"/>
    <w:qFormat/>
    <w:uiPriority w:val="0"/>
    <w:pPr>
      <w:pBdr>
        <w:bottom w:val="single" w:color="auto" w:sz="6" w:space="1"/>
      </w:pBdr>
    </w:pPr>
  </w:style>
  <w:style w:type="paragraph" w:customStyle="1" w:styleId="524">
    <w:name w:val="正文样式"/>
    <w:basedOn w:val="1"/>
    <w:qFormat/>
    <w:uiPriority w:val="0"/>
    <w:pPr>
      <w:spacing w:line="360" w:lineRule="auto"/>
      <w:ind w:firstLine="200" w:firstLineChars="200"/>
    </w:pPr>
    <w:rPr>
      <w:sz w:val="24"/>
    </w:rPr>
  </w:style>
  <w:style w:type="paragraph" w:customStyle="1" w:styleId="525">
    <w:name w:val="目录"/>
    <w:basedOn w:val="1"/>
    <w:qFormat/>
    <w:uiPriority w:val="0"/>
    <w:pPr>
      <w:widowControl/>
      <w:jc w:val="center"/>
    </w:pPr>
    <w:rPr>
      <w:rFonts w:ascii="宋体"/>
      <w:b/>
      <w:kern w:val="0"/>
      <w:sz w:val="36"/>
      <w:szCs w:val="20"/>
    </w:rPr>
  </w:style>
  <w:style w:type="paragraph" w:customStyle="1" w:styleId="526">
    <w:name w:val="CM99"/>
    <w:basedOn w:val="1"/>
    <w:next w:val="1"/>
    <w:qFormat/>
    <w:uiPriority w:val="0"/>
    <w:pPr>
      <w:autoSpaceDE w:val="0"/>
      <w:autoSpaceDN w:val="0"/>
      <w:adjustRightInd w:val="0"/>
      <w:spacing w:after="443"/>
      <w:jc w:val="left"/>
    </w:pPr>
    <w:rPr>
      <w:rFonts w:ascii="宋体" w:cs="宋体"/>
      <w:kern w:val="0"/>
      <w:sz w:val="24"/>
    </w:rPr>
  </w:style>
  <w:style w:type="paragraph" w:customStyle="1" w:styleId="527">
    <w:name w:val="标准"/>
    <w:basedOn w:val="1"/>
    <w:qFormat/>
    <w:uiPriority w:val="0"/>
    <w:pPr>
      <w:adjustRightInd w:val="0"/>
      <w:spacing w:line="312" w:lineRule="atLeast"/>
      <w:textAlignment w:val="baseline"/>
    </w:pPr>
    <w:rPr>
      <w:kern w:val="0"/>
      <w:sz w:val="24"/>
      <w:szCs w:val="20"/>
    </w:rPr>
  </w:style>
  <w:style w:type="paragraph" w:customStyle="1" w:styleId="528">
    <w:name w:val="Char1 Char Char Char1"/>
    <w:basedOn w:val="1"/>
    <w:qFormat/>
    <w:uiPriority w:val="0"/>
    <w:pPr>
      <w:widowControl/>
      <w:jc w:val="left"/>
    </w:pPr>
    <w:rPr>
      <w:rFonts w:ascii="Calibri" w:hAnsi="Calibri"/>
      <w:kern w:val="0"/>
      <w:sz w:val="24"/>
      <w:lang w:bidi="en-US"/>
    </w:rPr>
  </w:style>
  <w:style w:type="paragraph" w:customStyle="1" w:styleId="529">
    <w:name w:val="Titre"/>
    <w:qFormat/>
    <w:uiPriority w:val="0"/>
    <w:pPr>
      <w:overflowPunct w:val="0"/>
      <w:autoSpaceDE w:val="0"/>
      <w:autoSpaceDN w:val="0"/>
      <w:adjustRightInd w:val="0"/>
      <w:spacing w:before="141"/>
      <w:jc w:val="center"/>
      <w:textAlignment w:val="baseline"/>
    </w:pPr>
    <w:rPr>
      <w:rFonts w:ascii="Arial" w:hAnsi="Arial" w:eastAsia="宋体" w:cs="Times New Roman"/>
      <w:b/>
      <w:caps/>
      <w:color w:val="000000"/>
      <w:sz w:val="28"/>
      <w:lang w:val="en-US" w:eastAsia="zh-CN" w:bidi="ar-SA"/>
    </w:rPr>
  </w:style>
  <w:style w:type="paragraph" w:customStyle="1" w:styleId="530">
    <w:name w:val="样式 目录 2 + 左侧:  2 字符"/>
    <w:basedOn w:val="41"/>
    <w:qFormat/>
    <w:uiPriority w:val="0"/>
    <w:pPr>
      <w:widowControl/>
      <w:spacing w:line="360" w:lineRule="auto"/>
      <w:ind w:left="100" w:leftChars="100"/>
      <w:jc w:val="left"/>
    </w:pPr>
    <w:rPr>
      <w:rFonts w:ascii="Calibri" w:hAnsi="Calibri" w:cs="宋体"/>
      <w:kern w:val="0"/>
      <w:sz w:val="24"/>
      <w:lang w:bidi="en-US"/>
    </w:rPr>
  </w:style>
  <w:style w:type="paragraph" w:customStyle="1" w:styleId="531">
    <w:name w:val="晟-标题2"/>
    <w:basedOn w:val="1"/>
    <w:next w:val="1"/>
    <w:qFormat/>
    <w:uiPriority w:val="0"/>
    <w:pPr>
      <w:keepNext/>
      <w:topLinePunct/>
      <w:adjustRightInd w:val="0"/>
      <w:spacing w:beforeLines="100" w:afterLines="100"/>
      <w:jc w:val="left"/>
      <w:outlineLvl w:val="1"/>
    </w:pPr>
    <w:rPr>
      <w:rFonts w:ascii="宋体"/>
      <w:b/>
      <w:kern w:val="0"/>
      <w:sz w:val="28"/>
      <w:szCs w:val="28"/>
    </w:rPr>
  </w:style>
  <w:style w:type="paragraph" w:customStyle="1" w:styleId="532">
    <w:name w:val="Char Char Char Char Char Char1 Char Char Char Char Char Char Char Char Char Char Char Char2"/>
    <w:basedOn w:val="1"/>
    <w:qFormat/>
    <w:uiPriority w:val="0"/>
    <w:pPr>
      <w:adjustRightInd w:val="0"/>
      <w:spacing w:line="360" w:lineRule="auto"/>
    </w:pPr>
    <w:rPr>
      <w:rFonts w:eastAsia="Times New Roman"/>
      <w:kern w:val="0"/>
      <w:sz w:val="20"/>
      <w:szCs w:val="20"/>
    </w:rPr>
  </w:style>
  <w:style w:type="paragraph" w:customStyle="1" w:styleId="533">
    <w:name w:val="Data1"/>
    <w:qFormat/>
    <w:uiPriority w:val="0"/>
    <w:pPr>
      <w:tabs>
        <w:tab w:val="right" w:leader="dot" w:pos="5800"/>
        <w:tab w:val="left" w:pos="6000"/>
      </w:tabs>
      <w:adjustRightInd w:val="0"/>
      <w:snapToGrid w:val="0"/>
      <w:ind w:left="600"/>
    </w:pPr>
    <w:rPr>
      <w:rFonts w:ascii="Arial" w:hAnsi="Arial" w:eastAsia="方正黑体简体" w:cs="Times New Roman"/>
      <w:lang w:val="en-US" w:eastAsia="zh-CN" w:bidi="ar-SA"/>
    </w:rPr>
  </w:style>
  <w:style w:type="paragraph" w:customStyle="1" w:styleId="534">
    <w:name w:val="ZhGP_正文 2"/>
    <w:basedOn w:val="1"/>
    <w:qFormat/>
    <w:uiPriority w:val="0"/>
    <w:pPr>
      <w:spacing w:line="360" w:lineRule="auto"/>
      <w:ind w:left="799" w:firstLine="200" w:firstLineChars="200"/>
    </w:pPr>
    <w:rPr>
      <w:rFonts w:cs="黑体"/>
      <w:color w:val="0000FF"/>
      <w:sz w:val="24"/>
      <w:szCs w:val="20"/>
    </w:rPr>
  </w:style>
  <w:style w:type="paragraph" w:customStyle="1" w:styleId="535">
    <w:name w:val="CM33"/>
    <w:basedOn w:val="238"/>
    <w:next w:val="238"/>
    <w:qFormat/>
    <w:uiPriority w:val="0"/>
    <w:pPr>
      <w:spacing w:after="200" w:line="556" w:lineRule="atLeast"/>
    </w:pPr>
    <w:rPr>
      <w:rFonts w:ascii="Calibri" w:hAnsi="Calibri" w:cs="Times New Roman"/>
      <w:color w:val="auto"/>
      <w:szCs w:val="22"/>
    </w:rPr>
  </w:style>
  <w:style w:type="paragraph" w:customStyle="1" w:styleId="536">
    <w:name w:val="标书_正文"/>
    <w:basedOn w:val="1"/>
    <w:qFormat/>
    <w:uiPriority w:val="0"/>
    <w:pPr>
      <w:spacing w:line="360" w:lineRule="auto"/>
      <w:ind w:firstLine="200" w:firstLineChars="200"/>
    </w:pPr>
    <w:rPr>
      <w:rFonts w:ascii="仿宋_GB2312" w:eastAsia="仿宋_GB2312"/>
      <w:kern w:val="0"/>
      <w:sz w:val="24"/>
    </w:rPr>
  </w:style>
  <w:style w:type="paragraph" w:customStyle="1" w:styleId="537">
    <w:name w:val="Char Char Char Char Char Char Char Char Char Char Char1"/>
    <w:basedOn w:val="1"/>
    <w:qFormat/>
    <w:uiPriority w:val="0"/>
    <w:pPr>
      <w:pageBreakBefore/>
      <w:snapToGrid w:val="0"/>
      <w:spacing w:line="360" w:lineRule="auto"/>
      <w:ind w:firstLine="200" w:firstLineChars="200"/>
    </w:pPr>
    <w:rPr>
      <w:rFonts w:ascii="宋体" w:hAnsi="宋体" w:eastAsia="System"/>
      <w:b/>
      <w:kern w:val="0"/>
    </w:rPr>
  </w:style>
  <w:style w:type="paragraph" w:customStyle="1" w:styleId="538">
    <w:name w:val="CM14"/>
    <w:basedOn w:val="1"/>
    <w:next w:val="1"/>
    <w:qFormat/>
    <w:uiPriority w:val="0"/>
    <w:pPr>
      <w:autoSpaceDE w:val="0"/>
      <w:autoSpaceDN w:val="0"/>
      <w:adjustRightInd w:val="0"/>
      <w:spacing w:line="468" w:lineRule="atLeast"/>
      <w:jc w:val="left"/>
    </w:pPr>
    <w:rPr>
      <w:rFonts w:ascii="..ì." w:hAnsi="..ì." w:eastAsia="..ì."/>
      <w:kern w:val="0"/>
      <w:sz w:val="24"/>
    </w:rPr>
  </w:style>
  <w:style w:type="paragraph" w:customStyle="1" w:styleId="539">
    <w:name w:val="Char Char Char Char Char"/>
    <w:basedOn w:val="1"/>
    <w:qFormat/>
    <w:uiPriority w:val="0"/>
  </w:style>
  <w:style w:type="paragraph" w:customStyle="1" w:styleId="540">
    <w:name w:val="论文正文"/>
    <w:basedOn w:val="1"/>
    <w:qFormat/>
    <w:uiPriority w:val="0"/>
    <w:pPr>
      <w:spacing w:line="400" w:lineRule="exact"/>
      <w:ind w:firstLine="200" w:firstLineChars="200"/>
    </w:pPr>
    <w:rPr>
      <w:sz w:val="24"/>
      <w:szCs w:val="20"/>
    </w:rPr>
  </w:style>
  <w:style w:type="paragraph" w:customStyle="1" w:styleId="541">
    <w:name w:val="WP FORMAT"/>
    <w:qFormat/>
    <w:uiPriority w:val="0"/>
    <w:pPr>
      <w:tabs>
        <w:tab w:val="left" w:pos="578"/>
        <w:tab w:val="left" w:pos="1729"/>
        <w:tab w:val="left" w:pos="2426"/>
        <w:tab w:val="left" w:pos="3169"/>
      </w:tabs>
      <w:suppressAutoHyphens/>
    </w:pPr>
    <w:rPr>
      <w:rFonts w:ascii="Univers" w:hAnsi="Univers" w:eastAsia="宋体" w:cs="Times New Roman"/>
      <w:sz w:val="22"/>
      <w:lang w:val="en-US" w:eastAsia="zh-CN" w:bidi="ar-SA"/>
    </w:rPr>
  </w:style>
  <w:style w:type="paragraph" w:customStyle="1" w:styleId="542">
    <w:name w:val="gb1"/>
    <w:basedOn w:val="1"/>
    <w:qFormat/>
    <w:uiPriority w:val="0"/>
    <w:pPr>
      <w:widowControl/>
      <w:tabs>
        <w:tab w:val="left" w:pos="227"/>
      </w:tabs>
      <w:overflowPunct w:val="0"/>
      <w:autoSpaceDE w:val="0"/>
      <w:autoSpaceDN w:val="0"/>
      <w:adjustRightInd w:val="0"/>
      <w:spacing w:before="120" w:after="120" w:line="300" w:lineRule="auto"/>
      <w:textAlignment w:val="baseline"/>
    </w:pPr>
    <w:rPr>
      <w:rFonts w:ascii="宋体"/>
      <w:kern w:val="0"/>
      <w:sz w:val="24"/>
      <w:szCs w:val="20"/>
    </w:rPr>
  </w:style>
  <w:style w:type="paragraph" w:customStyle="1" w:styleId="543">
    <w:name w:val="Body Text Numbered"/>
    <w:basedOn w:val="30"/>
    <w:qFormat/>
    <w:uiPriority w:val="0"/>
    <w:pPr>
      <w:widowControl/>
      <w:tabs>
        <w:tab w:val="clear" w:pos="574"/>
      </w:tabs>
      <w:suppressAutoHyphens/>
      <w:autoSpaceDE w:val="0"/>
      <w:autoSpaceDN w:val="0"/>
      <w:adjustRightInd w:val="0"/>
      <w:spacing w:line="360" w:lineRule="auto"/>
    </w:pPr>
    <w:rPr>
      <w:rFonts w:ascii="Arial" w:hAnsi="Arial"/>
      <w:kern w:val="0"/>
      <w:sz w:val="24"/>
    </w:rPr>
  </w:style>
  <w:style w:type="paragraph" w:customStyle="1" w:styleId="544">
    <w:name w:val="标题9"/>
    <w:qFormat/>
    <w:uiPriority w:val="0"/>
    <w:pPr>
      <w:adjustRightInd w:val="0"/>
      <w:snapToGrid w:val="0"/>
      <w:spacing w:line="360" w:lineRule="auto"/>
      <w:jc w:val="center"/>
    </w:pPr>
    <w:rPr>
      <w:rFonts w:ascii="Times New Roman" w:hAnsi="Times New Roman" w:eastAsia="黑体" w:cs="Times New Roman"/>
      <w:sz w:val="21"/>
      <w:lang w:val="en-US" w:eastAsia="zh-CN" w:bidi="ar-SA"/>
    </w:rPr>
  </w:style>
  <w:style w:type="paragraph" w:customStyle="1" w:styleId="545">
    <w:name w:val="hang2"/>
    <w:basedOn w:val="1"/>
    <w:qFormat/>
    <w:uiPriority w:val="0"/>
    <w:pPr>
      <w:widowControl/>
      <w:overflowPunct w:val="0"/>
      <w:autoSpaceDE w:val="0"/>
      <w:autoSpaceDN w:val="0"/>
      <w:adjustRightInd w:val="0"/>
      <w:spacing w:after="120"/>
      <w:ind w:left="1134" w:right="-1" w:hanging="567"/>
      <w:jc w:val="left"/>
      <w:textAlignment w:val="baseline"/>
    </w:pPr>
    <w:rPr>
      <w:rFonts w:ascii="Arial" w:hAnsi="Arial" w:cs="Arial"/>
      <w:kern w:val="0"/>
      <w:sz w:val="22"/>
      <w:szCs w:val="22"/>
      <w:lang w:val="en-GB"/>
    </w:rPr>
  </w:style>
  <w:style w:type="paragraph" w:customStyle="1" w:styleId="546">
    <w:name w:val="CM43"/>
    <w:basedOn w:val="238"/>
    <w:next w:val="238"/>
    <w:qFormat/>
    <w:uiPriority w:val="0"/>
    <w:pPr>
      <w:spacing w:after="200" w:line="560" w:lineRule="atLeast"/>
    </w:pPr>
    <w:rPr>
      <w:rFonts w:ascii="Calibri" w:hAnsi="Calibri" w:cs="Times New Roman"/>
      <w:color w:val="auto"/>
      <w:szCs w:val="22"/>
    </w:rPr>
  </w:style>
  <w:style w:type="paragraph" w:customStyle="1" w:styleId="547">
    <w:name w:val="p21"/>
    <w:basedOn w:val="1"/>
    <w:qFormat/>
    <w:uiPriority w:val="0"/>
    <w:pPr>
      <w:widowControl/>
      <w:autoSpaceDN w:val="0"/>
      <w:spacing w:before="62" w:after="62"/>
    </w:pPr>
    <w:rPr>
      <w:rFonts w:ascii="宋体"/>
      <w:kern w:val="0"/>
      <w:sz w:val="24"/>
      <w:szCs w:val="20"/>
    </w:rPr>
  </w:style>
  <w:style w:type="paragraph" w:customStyle="1" w:styleId="548">
    <w:name w:val="奉读大示，心折殊深。"/>
    <w:qFormat/>
    <w:uiPriority w:val="0"/>
    <w:pPr>
      <w:widowControl w:val="0"/>
      <w:spacing w:after="200" w:line="276" w:lineRule="auto"/>
      <w:jc w:val="both"/>
    </w:pPr>
    <w:rPr>
      <w:rFonts w:ascii="Calibri" w:hAnsi="Calibri" w:eastAsia="宋体" w:cs="Times New Roman"/>
      <w:kern w:val="2"/>
      <w:sz w:val="21"/>
      <w:szCs w:val="22"/>
      <w:lang w:val="en-US" w:eastAsia="zh-CN" w:bidi="ar-SA"/>
    </w:rPr>
  </w:style>
  <w:style w:type="paragraph" w:customStyle="1" w:styleId="549">
    <w:name w:val="CM77"/>
    <w:basedOn w:val="238"/>
    <w:next w:val="238"/>
    <w:qFormat/>
    <w:uiPriority w:val="0"/>
    <w:pPr>
      <w:spacing w:after="65" w:line="276" w:lineRule="auto"/>
    </w:pPr>
    <w:rPr>
      <w:rFonts w:ascii="Calibri" w:hAnsi="Calibri" w:cs="Times New Roman"/>
      <w:color w:val="auto"/>
      <w:szCs w:val="22"/>
    </w:rPr>
  </w:style>
  <w:style w:type="paragraph" w:customStyle="1" w:styleId="550">
    <w:name w:val="协议单位"/>
    <w:basedOn w:val="1"/>
    <w:qFormat/>
    <w:uiPriority w:val="0"/>
    <w:rPr>
      <w:rFonts w:ascii="宋体" w:cs="宋体"/>
      <w:sz w:val="24"/>
      <w:szCs w:val="20"/>
    </w:rPr>
  </w:style>
  <w:style w:type="paragraph" w:customStyle="1" w:styleId="551">
    <w:name w:val="菲页2"/>
    <w:basedOn w:val="6"/>
    <w:qFormat/>
    <w:uiPriority w:val="0"/>
    <w:pPr>
      <w:widowControl/>
      <w:tabs>
        <w:tab w:val="clear" w:pos="287"/>
      </w:tabs>
      <w:spacing w:before="120" w:after="120" w:line="360" w:lineRule="auto"/>
      <w:ind w:left="720" w:hanging="720"/>
      <w:jc w:val="center"/>
    </w:pPr>
    <w:rPr>
      <w:rFonts w:ascii="黑体" w:eastAsia="黑体"/>
      <w:b w:val="0"/>
      <w:kern w:val="0"/>
      <w:sz w:val="44"/>
    </w:rPr>
  </w:style>
  <w:style w:type="paragraph" w:customStyle="1" w:styleId="552">
    <w:name w:val="正文文本缩进1"/>
    <w:basedOn w:val="1"/>
    <w:next w:val="1"/>
    <w:qFormat/>
    <w:uiPriority w:val="0"/>
    <w:pPr>
      <w:autoSpaceDE w:val="0"/>
      <w:autoSpaceDN w:val="0"/>
      <w:adjustRightInd w:val="0"/>
      <w:spacing w:after="180"/>
      <w:jc w:val="left"/>
    </w:pPr>
    <w:rPr>
      <w:rFonts w:ascii="Arial" w:hAnsi="Arial"/>
      <w:kern w:val="0"/>
      <w:sz w:val="20"/>
    </w:rPr>
  </w:style>
  <w:style w:type="paragraph" w:customStyle="1" w:styleId="553">
    <w:name w:val="bold_10"/>
    <w:basedOn w:val="1"/>
    <w:next w:val="1"/>
    <w:qFormat/>
    <w:uiPriority w:val="0"/>
    <w:pPr>
      <w:widowControl/>
      <w:jc w:val="left"/>
    </w:pPr>
    <w:rPr>
      <w:rFonts w:ascii="Arial" w:hAnsi="Arial"/>
      <w:b/>
      <w:kern w:val="0"/>
      <w:sz w:val="20"/>
      <w:szCs w:val="20"/>
      <w:lang w:val="en-AU"/>
    </w:rPr>
  </w:style>
  <w:style w:type="paragraph" w:customStyle="1" w:styleId="554">
    <w:name w:val="正文文本 24"/>
    <w:basedOn w:val="1"/>
    <w:qFormat/>
    <w:uiPriority w:val="0"/>
    <w:pPr>
      <w:adjustRightInd w:val="0"/>
      <w:spacing w:line="300" w:lineRule="auto"/>
      <w:jc w:val="center"/>
    </w:pPr>
    <w:rPr>
      <w:rFonts w:ascii="宋体"/>
      <w:sz w:val="24"/>
      <w:szCs w:val="20"/>
    </w:rPr>
  </w:style>
  <w:style w:type="paragraph" w:customStyle="1" w:styleId="555">
    <w:name w:val="Char Char Char Char Char Char3 Char Char Char Char Char Char Char"/>
    <w:basedOn w:val="1"/>
    <w:next w:val="1"/>
    <w:qFormat/>
    <w:uiPriority w:val="0"/>
  </w:style>
  <w:style w:type="paragraph" w:customStyle="1" w:styleId="556">
    <w:name w:val="CM24"/>
    <w:basedOn w:val="238"/>
    <w:next w:val="238"/>
    <w:qFormat/>
    <w:uiPriority w:val="0"/>
    <w:pPr>
      <w:spacing w:after="200" w:line="558" w:lineRule="atLeast"/>
    </w:pPr>
    <w:rPr>
      <w:rFonts w:ascii="Calibri" w:hAnsi="Calibri" w:cs="Times New Roman"/>
      <w:color w:val="auto"/>
      <w:szCs w:val="22"/>
    </w:rPr>
  </w:style>
  <w:style w:type="paragraph" w:customStyle="1" w:styleId="557">
    <w:name w:val="_Style 19"/>
    <w:basedOn w:val="1"/>
    <w:qFormat/>
    <w:uiPriority w:val="0"/>
  </w:style>
  <w:style w:type="paragraph" w:customStyle="1" w:styleId="558">
    <w:name w:val="CM78"/>
    <w:basedOn w:val="238"/>
    <w:next w:val="238"/>
    <w:qFormat/>
    <w:uiPriority w:val="0"/>
    <w:pPr>
      <w:spacing w:after="143" w:line="276" w:lineRule="auto"/>
    </w:pPr>
    <w:rPr>
      <w:rFonts w:ascii="Calibri" w:hAnsi="Calibri" w:cs="Times New Roman"/>
      <w:color w:val="auto"/>
      <w:szCs w:val="22"/>
    </w:rPr>
  </w:style>
  <w:style w:type="paragraph" w:customStyle="1" w:styleId="559">
    <w:name w:val="表格文字居中"/>
    <w:basedOn w:val="1"/>
    <w:next w:val="1"/>
    <w:qFormat/>
    <w:uiPriority w:val="0"/>
    <w:pPr>
      <w:tabs>
        <w:tab w:val="left" w:pos="720"/>
        <w:tab w:val="left" w:pos="900"/>
      </w:tabs>
      <w:adjustRightInd w:val="0"/>
      <w:snapToGrid w:val="0"/>
      <w:spacing w:beforeLines="20" w:afterLines="20" w:line="360" w:lineRule="auto"/>
      <w:jc w:val="center"/>
    </w:pPr>
    <w:rPr>
      <w:rFonts w:ascii="宋体"/>
      <w:kern w:val="0"/>
      <w:sz w:val="18"/>
      <w:szCs w:val="20"/>
    </w:rPr>
  </w:style>
  <w:style w:type="paragraph" w:customStyle="1" w:styleId="560">
    <w:name w:val="样式 首行缩进:  2 字符"/>
    <w:basedOn w:val="1"/>
    <w:qFormat/>
    <w:uiPriority w:val="0"/>
    <w:pPr>
      <w:widowControl/>
      <w:adjustRightInd w:val="0"/>
      <w:snapToGrid w:val="0"/>
      <w:ind w:firstLine="200" w:firstLineChars="200"/>
      <w:jc w:val="center"/>
    </w:pPr>
    <w:rPr>
      <w:rFonts w:ascii="Arial" w:hAnsi="Arial"/>
      <w:color w:val="000000"/>
      <w:kern w:val="0"/>
      <w:sz w:val="24"/>
      <w:lang w:bidi="en-US"/>
    </w:rPr>
  </w:style>
  <w:style w:type="paragraph" w:customStyle="1" w:styleId="561">
    <w:name w:val="表格正文"/>
    <w:qFormat/>
    <w:uiPriority w:val="0"/>
    <w:pPr>
      <w:tabs>
        <w:tab w:val="left" w:pos="324"/>
      </w:tabs>
      <w:spacing w:before="60" w:after="60" w:line="440" w:lineRule="exact"/>
      <w:jc w:val="center"/>
    </w:pPr>
    <w:rPr>
      <w:rFonts w:ascii="Calibri" w:hAnsi="Calibri" w:eastAsia="宋体" w:cs="Times New Roman"/>
      <w:sz w:val="21"/>
      <w:szCs w:val="22"/>
      <w:lang w:val="en-US" w:eastAsia="zh-CN" w:bidi="ar-SA"/>
    </w:rPr>
  </w:style>
  <w:style w:type="paragraph" w:customStyle="1" w:styleId="562">
    <w:name w:val="表格居中"/>
    <w:basedOn w:val="1"/>
    <w:qFormat/>
    <w:uiPriority w:val="0"/>
    <w:pPr>
      <w:spacing w:line="240" w:lineRule="atLeast"/>
      <w:jc w:val="center"/>
    </w:pPr>
    <w:rPr>
      <w:b/>
      <w:sz w:val="24"/>
      <w:szCs w:val="20"/>
    </w:rPr>
  </w:style>
  <w:style w:type="paragraph" w:customStyle="1" w:styleId="563">
    <w:name w:val="菲页(卷)"/>
    <w:basedOn w:val="2"/>
    <w:next w:val="564"/>
    <w:qFormat/>
    <w:uiPriority w:val="0"/>
    <w:pPr>
      <w:keepLines w:val="0"/>
      <w:widowControl/>
      <w:tabs>
        <w:tab w:val="left" w:pos="432"/>
      </w:tabs>
      <w:spacing w:before="0" w:after="0" w:line="240" w:lineRule="auto"/>
      <w:ind w:left="432" w:hanging="432"/>
      <w:jc w:val="center"/>
      <w:outlineLvl w:val="1"/>
    </w:pPr>
    <w:rPr>
      <w:rFonts w:ascii="黑体" w:eastAsia="黑体"/>
      <w:b w:val="0"/>
      <w:bCs w:val="0"/>
      <w:kern w:val="0"/>
      <w:sz w:val="52"/>
      <w:szCs w:val="20"/>
    </w:rPr>
  </w:style>
  <w:style w:type="paragraph" w:customStyle="1" w:styleId="564">
    <w:name w:val="正文2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565">
    <w:name w:val="表中文字"/>
    <w:basedOn w:val="1"/>
    <w:qFormat/>
    <w:uiPriority w:val="0"/>
    <w:pPr>
      <w:widowControl/>
      <w:snapToGrid w:val="0"/>
      <w:spacing w:line="400" w:lineRule="exact"/>
      <w:jc w:val="center"/>
    </w:pPr>
    <w:rPr>
      <w:rFonts w:ascii="Arial" w:hAnsi="Arial"/>
      <w:kern w:val="0"/>
      <w:sz w:val="24"/>
      <w:lang w:bidi="en-US"/>
    </w:rPr>
  </w:style>
  <w:style w:type="paragraph" w:customStyle="1" w:styleId="566">
    <w:name w:val="Char3"/>
    <w:basedOn w:val="1"/>
    <w:qFormat/>
    <w:uiPriority w:val="0"/>
    <w:rPr>
      <w:rFonts w:ascii="仿宋_GB2312" w:hAnsi="仿宋_GB2312"/>
      <w:b/>
      <w:sz w:val="32"/>
      <w:szCs w:val="32"/>
    </w:rPr>
  </w:style>
  <w:style w:type="paragraph" w:customStyle="1" w:styleId="567">
    <w:name w:val="2"/>
    <w:basedOn w:val="1"/>
    <w:next w:val="40"/>
    <w:qFormat/>
    <w:uiPriority w:val="0"/>
    <w:pPr>
      <w:widowControl/>
      <w:jc w:val="left"/>
    </w:pPr>
    <w:rPr>
      <w:rFonts w:ascii="宋体"/>
      <w:kern w:val="0"/>
      <w:sz w:val="24"/>
      <w:lang w:bidi="en-US"/>
    </w:rPr>
  </w:style>
  <w:style w:type="paragraph" w:customStyle="1" w:styleId="568">
    <w:name w:val="DOC TITLE"/>
    <w:basedOn w:val="1"/>
    <w:next w:val="1"/>
    <w:qFormat/>
    <w:uiPriority w:val="0"/>
    <w:pPr>
      <w:autoSpaceDE w:val="0"/>
      <w:autoSpaceDN w:val="0"/>
      <w:adjustRightInd w:val="0"/>
      <w:spacing w:before="120" w:after="120"/>
      <w:jc w:val="left"/>
    </w:pPr>
    <w:rPr>
      <w:rFonts w:ascii="Arial" w:hAnsi="Arial"/>
      <w:kern w:val="0"/>
      <w:sz w:val="20"/>
    </w:rPr>
  </w:style>
  <w:style w:type="paragraph" w:customStyle="1" w:styleId="569">
    <w:name w:val="列出段落2"/>
    <w:basedOn w:val="1"/>
    <w:qFormat/>
    <w:uiPriority w:val="0"/>
    <w:pPr>
      <w:widowControl/>
      <w:spacing w:after="200" w:line="276" w:lineRule="auto"/>
      <w:ind w:left="720"/>
      <w:contextualSpacing/>
      <w:jc w:val="left"/>
    </w:pPr>
    <w:rPr>
      <w:rFonts w:ascii="Calibri" w:hAnsi="Calibri"/>
      <w:kern w:val="0"/>
      <w:sz w:val="22"/>
      <w:szCs w:val="22"/>
    </w:rPr>
  </w:style>
  <w:style w:type="paragraph" w:customStyle="1" w:styleId="570">
    <w:name w:val="Char Char Char Char11"/>
    <w:basedOn w:val="1"/>
    <w:qFormat/>
    <w:uiPriority w:val="0"/>
    <w:pPr>
      <w:widowControl/>
      <w:spacing w:after="160" w:line="240" w:lineRule="exact"/>
      <w:jc w:val="left"/>
    </w:pPr>
    <w:rPr>
      <w:rFonts w:ascii="Verdana" w:hAnsi="Verdana"/>
      <w:kern w:val="0"/>
      <w:sz w:val="20"/>
      <w:lang w:bidi="en-US"/>
    </w:rPr>
  </w:style>
  <w:style w:type="paragraph" w:customStyle="1" w:styleId="571">
    <w:name w:val="Bullet 1"/>
    <w:basedOn w:val="1"/>
    <w:next w:val="1"/>
    <w:qFormat/>
    <w:uiPriority w:val="0"/>
    <w:pPr>
      <w:widowControl/>
      <w:tabs>
        <w:tab w:val="left" w:pos="1162"/>
        <w:tab w:val="left" w:pos="1275"/>
      </w:tabs>
      <w:ind w:left="2160" w:hanging="1275"/>
      <w:jc w:val="left"/>
    </w:pPr>
    <w:rPr>
      <w:rFonts w:ascii="Arial" w:hAnsi="Arial"/>
      <w:kern w:val="0"/>
      <w:sz w:val="20"/>
      <w:lang w:bidi="en-US"/>
    </w:rPr>
  </w:style>
  <w:style w:type="paragraph" w:customStyle="1" w:styleId="572">
    <w:name w:val="晟-正文"/>
    <w:basedOn w:val="1"/>
    <w:qFormat/>
    <w:uiPriority w:val="0"/>
    <w:pPr>
      <w:spacing w:line="360" w:lineRule="auto"/>
      <w:ind w:firstLine="397"/>
      <w:textAlignment w:val="baseline"/>
    </w:pPr>
    <w:rPr>
      <w:rFonts w:ascii="宋体"/>
      <w:color w:val="000000"/>
      <w:kern w:val="28"/>
      <w:sz w:val="24"/>
    </w:rPr>
  </w:style>
  <w:style w:type="paragraph" w:customStyle="1" w:styleId="573">
    <w:name w:val="样式 标题 3 + (中文) 黑体 小四 非加粗 段前: 7.8 磅 段后: 0 磅 行距: 固定值 20 磅"/>
    <w:basedOn w:val="6"/>
    <w:qFormat/>
    <w:uiPriority w:val="0"/>
    <w:pPr>
      <w:tabs>
        <w:tab w:val="clear" w:pos="287"/>
      </w:tabs>
      <w:spacing w:before="0" w:line="400" w:lineRule="exact"/>
      <w:ind w:left="0"/>
      <w:jc w:val="both"/>
    </w:pPr>
    <w:rPr>
      <w:rFonts w:ascii="Times New Roman" w:eastAsia="黑体" w:cs="宋体"/>
      <w:b w:val="0"/>
      <w:sz w:val="24"/>
    </w:rPr>
  </w:style>
  <w:style w:type="paragraph" w:customStyle="1" w:styleId="574">
    <w:name w:val="my"/>
    <w:basedOn w:val="1"/>
    <w:qFormat/>
    <w:uiPriority w:val="0"/>
    <w:pPr>
      <w:widowControl/>
      <w:tabs>
        <w:tab w:val="left" w:pos="0"/>
        <w:tab w:val="left" w:pos="5823"/>
      </w:tabs>
      <w:adjustRightInd w:val="0"/>
      <w:snapToGrid w:val="0"/>
      <w:ind w:firstLine="200" w:firstLineChars="200"/>
      <w:jc w:val="left"/>
    </w:pPr>
    <w:rPr>
      <w:rFonts w:ascii="宋体"/>
      <w:sz w:val="24"/>
    </w:rPr>
  </w:style>
  <w:style w:type="paragraph" w:customStyle="1" w:styleId="575">
    <w:name w:val="Char Char Char Char Char Char Char Char Char Char1"/>
    <w:basedOn w:val="1"/>
    <w:qFormat/>
    <w:uiPriority w:val="0"/>
    <w:pPr>
      <w:spacing w:line="360" w:lineRule="auto"/>
      <w:ind w:left="420" w:firstLine="420"/>
    </w:pPr>
    <w:rPr>
      <w:kern w:val="0"/>
      <w:sz w:val="24"/>
      <w:szCs w:val="21"/>
    </w:rPr>
  </w:style>
  <w:style w:type="paragraph" w:customStyle="1" w:styleId="576">
    <w:name w:val="默认段落字体 Para Char Char Char Char Char Char Char"/>
    <w:basedOn w:val="1"/>
    <w:qFormat/>
    <w:uiPriority w:val="0"/>
    <w:pPr>
      <w:widowControl/>
      <w:jc w:val="left"/>
    </w:pPr>
    <w:rPr>
      <w:rFonts w:ascii="Calibri" w:hAnsi="Calibri"/>
      <w:kern w:val="0"/>
      <w:sz w:val="24"/>
      <w:lang w:bidi="en-US"/>
    </w:rPr>
  </w:style>
  <w:style w:type="paragraph" w:customStyle="1" w:styleId="577">
    <w:name w:val="表格文字 1"/>
    <w:basedOn w:val="1"/>
    <w:qFormat/>
    <w:uiPriority w:val="0"/>
    <w:pPr>
      <w:adjustRightInd w:val="0"/>
      <w:snapToGrid w:val="0"/>
      <w:jc w:val="center"/>
    </w:pPr>
    <w:rPr>
      <w:szCs w:val="21"/>
    </w:rPr>
  </w:style>
  <w:style w:type="paragraph" w:customStyle="1" w:styleId="578">
    <w:name w:val="Char Char Char Char1 Char Char Char Char Char Char Char Char"/>
    <w:basedOn w:val="1"/>
    <w:next w:val="1"/>
    <w:qFormat/>
    <w:uiPriority w:val="0"/>
    <w:pPr>
      <w:spacing w:line="360" w:lineRule="auto"/>
      <w:ind w:firstLine="200" w:firstLineChars="200"/>
    </w:pPr>
    <w:rPr>
      <w:rFonts w:ascii="宋体" w:cs="宋体"/>
      <w:sz w:val="24"/>
    </w:rPr>
  </w:style>
  <w:style w:type="paragraph" w:customStyle="1" w:styleId="579">
    <w:name w:val="施-1 标题 2"/>
    <w:basedOn w:val="3"/>
    <w:next w:val="1"/>
    <w:qFormat/>
    <w:uiPriority w:val="0"/>
    <w:pPr>
      <w:keepNext/>
      <w:keepLines/>
      <w:tabs>
        <w:tab w:val="left" w:pos="8280"/>
      </w:tabs>
      <w:spacing w:beforeLines="250" w:afterLines="50" w:line="240" w:lineRule="auto"/>
      <w:ind w:left="0" w:firstLine="150" w:firstLineChars="150"/>
    </w:pPr>
    <w:rPr>
      <w:rFonts w:ascii="宋体" w:eastAsia="宋体" w:cs="宋体"/>
      <w:bCs/>
      <w:color w:val="000000"/>
      <w:kern w:val="0"/>
      <w:szCs w:val="32"/>
    </w:rPr>
  </w:style>
  <w:style w:type="paragraph" w:customStyle="1" w:styleId="580">
    <w:name w:val="_Style 23"/>
    <w:basedOn w:val="1"/>
    <w:qFormat/>
    <w:uiPriority w:val="0"/>
    <w:pPr>
      <w:widowControl/>
      <w:spacing w:after="160" w:line="240" w:lineRule="exact"/>
      <w:jc w:val="left"/>
    </w:pPr>
    <w:rPr>
      <w:rFonts w:ascii="Calibri" w:hAnsi="Calibri"/>
      <w:szCs w:val="22"/>
    </w:rPr>
  </w:style>
  <w:style w:type="paragraph" w:customStyle="1" w:styleId="581">
    <w:name w:val="列出段落21"/>
    <w:basedOn w:val="1"/>
    <w:qFormat/>
    <w:uiPriority w:val="0"/>
    <w:pPr>
      <w:ind w:firstLine="200" w:firstLineChars="200"/>
    </w:pPr>
  </w:style>
  <w:style w:type="paragraph" w:customStyle="1" w:styleId="582">
    <w:name w:val="正0"/>
    <w:basedOn w:val="1"/>
    <w:qFormat/>
    <w:uiPriority w:val="0"/>
    <w:pPr>
      <w:adjustRightInd w:val="0"/>
      <w:spacing w:line="440" w:lineRule="atLeast"/>
      <w:ind w:firstLine="539"/>
    </w:pPr>
    <w:rPr>
      <w:rFonts w:ascii="楷体_GB2312" w:eastAsia="楷体_GB2312"/>
      <w:kern w:val="0"/>
      <w:sz w:val="28"/>
      <w:szCs w:val="20"/>
    </w:rPr>
  </w:style>
  <w:style w:type="paragraph" w:customStyle="1" w:styleId="583">
    <w:name w:val="目录文字"/>
    <w:basedOn w:val="1"/>
    <w:qFormat/>
    <w:uiPriority w:val="0"/>
    <w:pPr>
      <w:widowControl/>
      <w:spacing w:line="480" w:lineRule="auto"/>
      <w:jc w:val="left"/>
    </w:pPr>
    <w:rPr>
      <w:rFonts w:ascii="宋体"/>
      <w:kern w:val="0"/>
      <w:sz w:val="24"/>
      <w:szCs w:val="20"/>
    </w:rPr>
  </w:style>
  <w:style w:type="paragraph" w:customStyle="1" w:styleId="584">
    <w:name w:val="Char Char Char Char2"/>
    <w:basedOn w:val="1"/>
    <w:qFormat/>
    <w:uiPriority w:val="0"/>
  </w:style>
  <w:style w:type="paragraph" w:customStyle="1" w:styleId="585">
    <w:name w:val="Puce 3"/>
    <w:qFormat/>
    <w:uiPriority w:val="0"/>
    <w:pPr>
      <w:keepLines/>
      <w:tabs>
        <w:tab w:val="left" w:pos="420"/>
      </w:tabs>
      <w:overflowPunct w:val="0"/>
      <w:autoSpaceDE w:val="0"/>
      <w:autoSpaceDN w:val="0"/>
      <w:adjustRightInd w:val="0"/>
      <w:spacing w:line="288" w:lineRule="auto"/>
      <w:ind w:left="420" w:hanging="420"/>
      <w:jc w:val="both"/>
      <w:textAlignment w:val="baseline"/>
    </w:pPr>
    <w:rPr>
      <w:rFonts w:ascii="Tms Rmn" w:hAnsi="Tms Rmn" w:eastAsia="宋体" w:cs="Times New Roman"/>
      <w:color w:val="000000"/>
      <w:sz w:val="24"/>
      <w:lang w:val="en-US" w:eastAsia="zh-CN" w:bidi="ar-SA"/>
    </w:rPr>
  </w:style>
  <w:style w:type="paragraph" w:customStyle="1" w:styleId="586">
    <w:name w:val="hang1"/>
    <w:basedOn w:val="1"/>
    <w:qFormat/>
    <w:uiPriority w:val="0"/>
    <w:pPr>
      <w:widowControl/>
      <w:overflowPunct w:val="0"/>
      <w:autoSpaceDE w:val="0"/>
      <w:autoSpaceDN w:val="0"/>
      <w:adjustRightInd w:val="0"/>
      <w:spacing w:after="120"/>
      <w:ind w:left="567" w:hanging="567"/>
      <w:jc w:val="left"/>
      <w:textAlignment w:val="baseline"/>
    </w:pPr>
    <w:rPr>
      <w:rFonts w:ascii="Calibri" w:hAnsi="Calibri"/>
      <w:kern w:val="0"/>
      <w:sz w:val="22"/>
      <w:lang w:val="en-GB" w:bidi="en-US"/>
    </w:rPr>
  </w:style>
  <w:style w:type="paragraph" w:customStyle="1" w:styleId="587">
    <w:name w:val="格式条款-1"/>
    <w:basedOn w:val="1"/>
    <w:qFormat/>
    <w:uiPriority w:val="0"/>
    <w:pPr>
      <w:tabs>
        <w:tab w:val="left" w:pos="735"/>
        <w:tab w:val="left" w:pos="1200"/>
      </w:tabs>
      <w:ind w:left="840"/>
    </w:pPr>
    <w:rPr>
      <w:rFonts w:ascii="宋体"/>
      <w:sz w:val="24"/>
    </w:rPr>
  </w:style>
  <w:style w:type="paragraph" w:customStyle="1" w:styleId="588">
    <w:name w:val="CM31"/>
    <w:basedOn w:val="238"/>
    <w:next w:val="238"/>
    <w:qFormat/>
    <w:uiPriority w:val="0"/>
    <w:pPr>
      <w:spacing w:after="200" w:line="276" w:lineRule="auto"/>
    </w:pPr>
    <w:rPr>
      <w:rFonts w:ascii="Calibri" w:hAnsi="Calibri" w:cs="Times New Roman"/>
      <w:color w:val="auto"/>
      <w:szCs w:val="22"/>
    </w:rPr>
  </w:style>
  <w:style w:type="paragraph" w:customStyle="1" w:styleId="589">
    <w:name w:val="Char Char1 Char2"/>
    <w:basedOn w:val="1"/>
    <w:qFormat/>
    <w:uiPriority w:val="0"/>
    <w:rPr>
      <w:rFonts w:ascii="仿宋_GB2312" w:hAnsi="仿宋_GB2312"/>
      <w:b/>
      <w:sz w:val="32"/>
      <w:szCs w:val="32"/>
    </w:rPr>
  </w:style>
  <w:style w:type="paragraph" w:customStyle="1" w:styleId="590">
    <w:name w:val="Puce 1"/>
    <w:qFormat/>
    <w:uiPriority w:val="0"/>
    <w:pPr>
      <w:keepLines/>
      <w:tabs>
        <w:tab w:val="left" w:pos="720"/>
      </w:tabs>
      <w:overflowPunct w:val="0"/>
      <w:autoSpaceDE w:val="0"/>
      <w:autoSpaceDN w:val="0"/>
      <w:adjustRightInd w:val="0"/>
      <w:spacing w:line="288" w:lineRule="auto"/>
      <w:ind w:left="720" w:hanging="360"/>
      <w:jc w:val="both"/>
      <w:textAlignment w:val="baseline"/>
    </w:pPr>
    <w:rPr>
      <w:rFonts w:ascii="Times New Roman" w:hAnsi="Times New Roman" w:eastAsia="宋体" w:cs="Times New Roman"/>
      <w:color w:val="000000"/>
      <w:sz w:val="24"/>
      <w:lang w:val="en-US" w:eastAsia="zh-CN" w:bidi="ar-SA"/>
    </w:rPr>
  </w:style>
  <w:style w:type="paragraph" w:customStyle="1" w:styleId="591">
    <w:name w:val="Char Char Char2 Char"/>
    <w:basedOn w:val="1"/>
    <w:qFormat/>
    <w:uiPriority w:val="0"/>
    <w:pPr>
      <w:tabs>
        <w:tab w:val="left" w:pos="284"/>
      </w:tabs>
    </w:pPr>
  </w:style>
  <w:style w:type="paragraph" w:customStyle="1" w:styleId="592">
    <w:name w:val="002"/>
    <w:basedOn w:val="49"/>
    <w:qFormat/>
    <w:uiPriority w:val="0"/>
    <w:pPr>
      <w:widowControl/>
      <w:adjustRightInd w:val="0"/>
      <w:snapToGrid/>
      <w:spacing w:line="240" w:lineRule="atLeast"/>
      <w:jc w:val="center"/>
      <w:textAlignment w:val="baseline"/>
    </w:pPr>
    <w:rPr>
      <w:rFonts w:ascii="Calibri" w:hAnsi="Calibri"/>
      <w:kern w:val="0"/>
      <w:szCs w:val="24"/>
      <w:lang w:bidi="en-US"/>
    </w:rPr>
  </w:style>
  <w:style w:type="paragraph" w:customStyle="1" w:styleId="593">
    <w:name w:val="Table Text"/>
    <w:qFormat/>
    <w:uiPriority w:val="0"/>
    <w:pPr>
      <w:widowControl w:val="0"/>
      <w:autoSpaceDE w:val="0"/>
      <w:autoSpaceDN w:val="0"/>
    </w:pPr>
    <w:rPr>
      <w:rFonts w:ascii="Times New Roman" w:hAnsi="Times New Roman" w:eastAsia="PMingLiU" w:cs="Times New Roman"/>
      <w:color w:val="000000"/>
      <w:sz w:val="24"/>
      <w:lang w:val="en-US" w:eastAsia="zh-CN" w:bidi="ar-SA"/>
    </w:rPr>
  </w:style>
  <w:style w:type="paragraph" w:customStyle="1" w:styleId="594">
    <w:name w:val="Char1 Char Char Char Char Char Char Char Char Char Char Char Char Char Char Char1"/>
    <w:basedOn w:val="1"/>
    <w:qFormat/>
    <w:uiPriority w:val="0"/>
  </w:style>
  <w:style w:type="paragraph" w:customStyle="1" w:styleId="595">
    <w:name w:val="CM46"/>
    <w:basedOn w:val="238"/>
    <w:next w:val="238"/>
    <w:qFormat/>
    <w:uiPriority w:val="0"/>
    <w:pPr>
      <w:spacing w:after="200" w:line="560" w:lineRule="atLeast"/>
    </w:pPr>
    <w:rPr>
      <w:rFonts w:ascii="Calibri" w:hAnsi="Calibri" w:cs="Times New Roman"/>
      <w:color w:val="auto"/>
      <w:szCs w:val="22"/>
    </w:rPr>
  </w:style>
  <w:style w:type="paragraph" w:customStyle="1" w:styleId="596">
    <w:name w:val="标题01"/>
    <w:basedOn w:val="1"/>
    <w:qFormat/>
    <w:uiPriority w:val="0"/>
    <w:pPr>
      <w:adjustRightInd w:val="0"/>
      <w:spacing w:before="1080" w:after="120" w:line="400" w:lineRule="atLeast"/>
      <w:jc w:val="center"/>
      <w:textAlignment w:val="baseline"/>
    </w:pPr>
    <w:rPr>
      <w:color w:val="0000FF"/>
      <w:spacing w:val="10"/>
      <w:kern w:val="0"/>
      <w:sz w:val="36"/>
      <w:szCs w:val="20"/>
    </w:rPr>
  </w:style>
  <w:style w:type="paragraph" w:customStyle="1" w:styleId="597">
    <w:name w:val="标题03"/>
    <w:basedOn w:val="596"/>
    <w:qFormat/>
    <w:uiPriority w:val="0"/>
    <w:rPr>
      <w:b/>
      <w:sz w:val="48"/>
    </w:rPr>
  </w:style>
  <w:style w:type="paragraph" w:customStyle="1" w:styleId="598">
    <w:name w:val="标题04"/>
    <w:basedOn w:val="597"/>
    <w:qFormat/>
    <w:uiPriority w:val="0"/>
    <w:pPr>
      <w:spacing w:before="1320"/>
      <w:ind w:left="1985"/>
      <w:jc w:val="left"/>
    </w:pPr>
    <w:rPr>
      <w:b w:val="0"/>
      <w:sz w:val="36"/>
    </w:rPr>
  </w:style>
  <w:style w:type="paragraph" w:customStyle="1" w:styleId="599">
    <w:name w:val="Char Char Char1 Char Char Char Char Char Char Char"/>
    <w:basedOn w:val="1"/>
    <w:next w:val="1"/>
    <w:qFormat/>
    <w:uiPriority w:val="0"/>
    <w:pPr>
      <w:spacing w:line="360" w:lineRule="auto"/>
      <w:ind w:firstLine="200" w:firstLineChars="200"/>
    </w:pPr>
  </w:style>
  <w:style w:type="paragraph" w:customStyle="1" w:styleId="600">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601">
    <w:name w:val="页头"/>
    <w:basedOn w:val="520"/>
    <w:qFormat/>
    <w:uiPriority w:val="0"/>
    <w:pPr>
      <w:jc w:val="left"/>
    </w:pPr>
    <w:rPr>
      <w:rFonts w:eastAsia="宋体"/>
      <w:sz w:val="28"/>
    </w:rPr>
  </w:style>
  <w:style w:type="paragraph" w:customStyle="1" w:styleId="602">
    <w:name w:val="Bullet 4"/>
    <w:basedOn w:val="1"/>
    <w:next w:val="1"/>
    <w:qFormat/>
    <w:uiPriority w:val="0"/>
    <w:pPr>
      <w:widowControl/>
      <w:tabs>
        <w:tab w:val="left" w:pos="1200"/>
        <w:tab w:val="left" w:pos="1440"/>
      </w:tabs>
      <w:ind w:left="4320"/>
      <w:jc w:val="left"/>
    </w:pPr>
    <w:rPr>
      <w:rFonts w:ascii="Arial" w:hAnsi="Arial"/>
      <w:kern w:val="0"/>
      <w:sz w:val="20"/>
      <w:szCs w:val="20"/>
    </w:rPr>
  </w:style>
  <w:style w:type="paragraph" w:customStyle="1" w:styleId="603">
    <w:name w:val="CM34"/>
    <w:basedOn w:val="238"/>
    <w:next w:val="238"/>
    <w:qFormat/>
    <w:uiPriority w:val="0"/>
    <w:pPr>
      <w:spacing w:after="200" w:line="560" w:lineRule="atLeast"/>
    </w:pPr>
    <w:rPr>
      <w:rFonts w:ascii="Calibri" w:hAnsi="Calibri" w:cs="Times New Roman"/>
      <w:color w:val="auto"/>
      <w:szCs w:val="22"/>
    </w:rPr>
  </w:style>
  <w:style w:type="paragraph" w:customStyle="1" w:styleId="604">
    <w:name w:val="节以下标题样式"/>
    <w:basedOn w:val="1"/>
    <w:qFormat/>
    <w:uiPriority w:val="0"/>
    <w:pPr>
      <w:widowControl/>
      <w:tabs>
        <w:tab w:val="left" w:pos="567"/>
      </w:tabs>
      <w:spacing w:line="360" w:lineRule="auto"/>
      <w:jc w:val="left"/>
    </w:pPr>
    <w:rPr>
      <w:rFonts w:ascii="Calibri" w:hAnsi="Calibri" w:eastAsia="华文中宋"/>
      <w:spacing w:val="20"/>
      <w:kern w:val="0"/>
      <w:sz w:val="24"/>
      <w:lang w:bidi="en-US"/>
    </w:rPr>
  </w:style>
  <w:style w:type="paragraph" w:customStyle="1" w:styleId="605">
    <w:name w:val="Char1 Char Char Char Char Char Char"/>
    <w:basedOn w:val="1"/>
    <w:qFormat/>
    <w:uiPriority w:val="0"/>
    <w:pPr>
      <w:widowControl/>
      <w:spacing w:beforeLines="100" w:afterLines="50" w:line="600" w:lineRule="exact"/>
      <w:ind w:firstLine="200" w:firstLineChars="200"/>
      <w:jc w:val="left"/>
    </w:pPr>
    <w:rPr>
      <w:rFonts w:ascii="Calibri" w:hAnsi="Calibri" w:eastAsia="黑体"/>
      <w:kern w:val="0"/>
      <w:sz w:val="28"/>
      <w:lang w:bidi="en-US"/>
    </w:rPr>
  </w:style>
  <w:style w:type="paragraph" w:customStyle="1" w:styleId="606">
    <w:name w:val="_Style 58"/>
    <w:basedOn w:val="1"/>
    <w:qFormat/>
    <w:uiPriority w:val="0"/>
    <w:pPr>
      <w:widowControl/>
      <w:spacing w:after="160" w:line="240" w:lineRule="exact"/>
      <w:jc w:val="left"/>
    </w:pPr>
  </w:style>
  <w:style w:type="paragraph" w:customStyle="1" w:styleId="607">
    <w:name w:val="样式 正文 + 左侧:  0 厘米 悬挂缩进: 2 字符"/>
    <w:basedOn w:val="1"/>
    <w:qFormat/>
    <w:uiPriority w:val="0"/>
    <w:pPr>
      <w:widowControl/>
      <w:spacing w:after="120" w:line="440" w:lineRule="exact"/>
      <w:ind w:left="851" w:firstLine="200" w:firstLineChars="200"/>
      <w:jc w:val="left"/>
    </w:pPr>
    <w:rPr>
      <w:rFonts w:ascii="Arial" w:hAnsi="Arial"/>
      <w:kern w:val="0"/>
      <w:sz w:val="24"/>
      <w:szCs w:val="20"/>
    </w:rPr>
  </w:style>
  <w:style w:type="paragraph" w:customStyle="1" w:styleId="608">
    <w:name w:val="c_"/>
    <w:qFormat/>
    <w:uiPriority w:val="0"/>
    <w:pPr>
      <w:widowControl w:val="0"/>
      <w:autoSpaceDE w:val="0"/>
      <w:autoSpaceDN w:val="0"/>
      <w:adjustRightInd w:val="0"/>
      <w:jc w:val="both"/>
    </w:pPr>
    <w:rPr>
      <w:rFonts w:ascii="五" w:hAnsi="Times New Roman" w:eastAsia="五" w:cs="Times New Roman"/>
      <w:sz w:val="24"/>
      <w:lang w:val="en-US" w:eastAsia="zh-CN" w:bidi="ar-SA"/>
    </w:rPr>
  </w:style>
  <w:style w:type="paragraph" w:customStyle="1" w:styleId="609">
    <w:name w:val="flNote"/>
    <w:basedOn w:val="1"/>
    <w:qFormat/>
    <w:uiPriority w:val="0"/>
    <w:pPr>
      <w:adjustRightInd w:val="0"/>
      <w:spacing w:before="320" w:after="160" w:line="360" w:lineRule="atLeast"/>
      <w:jc w:val="center"/>
      <w:textAlignment w:val="baseline"/>
    </w:pPr>
    <w:rPr>
      <w:rFonts w:ascii="Arial" w:hAnsi="Arial" w:eastAsia="黑体"/>
      <w:kern w:val="0"/>
      <w:sz w:val="30"/>
      <w:szCs w:val="20"/>
    </w:rPr>
  </w:style>
  <w:style w:type="paragraph" w:customStyle="1" w:styleId="610">
    <w:name w:val="Bullet 2"/>
    <w:basedOn w:val="1"/>
    <w:next w:val="1"/>
    <w:qFormat/>
    <w:uiPriority w:val="0"/>
    <w:pPr>
      <w:widowControl/>
      <w:tabs>
        <w:tab w:val="left" w:pos="1440"/>
      </w:tabs>
      <w:ind w:left="2880" w:hanging="420"/>
      <w:jc w:val="left"/>
    </w:pPr>
    <w:rPr>
      <w:rFonts w:ascii="Arial" w:hAnsi="Arial"/>
      <w:kern w:val="0"/>
      <w:sz w:val="20"/>
      <w:szCs w:val="20"/>
    </w:rPr>
  </w:style>
  <w:style w:type="paragraph" w:customStyle="1" w:styleId="611">
    <w:name w:val="(1)"/>
    <w:basedOn w:val="1"/>
    <w:qFormat/>
    <w:uiPriority w:val="0"/>
    <w:pPr>
      <w:tabs>
        <w:tab w:val="left" w:pos="573"/>
      </w:tabs>
      <w:adjustRightInd w:val="0"/>
      <w:snapToGrid w:val="0"/>
      <w:spacing w:before="80" w:after="100" w:line="240" w:lineRule="atLeast"/>
      <w:textAlignment w:val="baseline"/>
    </w:pPr>
    <w:rPr>
      <w:rFonts w:ascii="Arial" w:hAnsi="Arial"/>
      <w:kern w:val="44"/>
      <w:sz w:val="24"/>
    </w:rPr>
  </w:style>
  <w:style w:type="paragraph" w:customStyle="1" w:styleId="612">
    <w:name w:val="备注"/>
    <w:basedOn w:val="1"/>
    <w:qFormat/>
    <w:uiPriority w:val="0"/>
    <w:pPr>
      <w:spacing w:line="360" w:lineRule="auto"/>
      <w:ind w:firstLine="218" w:firstLineChars="218"/>
    </w:pPr>
    <w:rPr>
      <w:sz w:val="24"/>
      <w:szCs w:val="20"/>
    </w:rPr>
  </w:style>
  <w:style w:type="paragraph" w:styleId="613">
    <w:name w:val="No Spacing"/>
    <w:qFormat/>
    <w:uiPriority w:val="0"/>
    <w:pPr>
      <w:widowControl w:val="0"/>
      <w:adjustRightInd w:val="0"/>
      <w:jc w:val="both"/>
      <w:textAlignment w:val="baseline"/>
    </w:pPr>
    <w:rPr>
      <w:rFonts w:ascii="Times New Roman" w:hAnsi="Times New Roman" w:eastAsia="宋体" w:cs="Times New Roman"/>
      <w:sz w:val="24"/>
      <w:lang w:val="en-US" w:eastAsia="zh-CN" w:bidi="ar-SA"/>
    </w:rPr>
  </w:style>
  <w:style w:type="paragraph" w:customStyle="1" w:styleId="614">
    <w:name w:val="样式 宋体 小四 加粗"/>
    <w:basedOn w:val="1"/>
    <w:qFormat/>
    <w:uiPriority w:val="0"/>
    <w:pPr>
      <w:spacing w:line="440" w:lineRule="exact"/>
    </w:pPr>
    <w:rPr>
      <w:rFonts w:ascii="宋体"/>
    </w:rPr>
  </w:style>
  <w:style w:type="paragraph" w:customStyle="1" w:styleId="615">
    <w:name w:val="Bullet 5"/>
    <w:basedOn w:val="1"/>
    <w:next w:val="1"/>
    <w:qFormat/>
    <w:uiPriority w:val="0"/>
    <w:pPr>
      <w:widowControl/>
      <w:tabs>
        <w:tab w:val="left" w:pos="1440"/>
      </w:tabs>
      <w:ind w:left="5041" w:hanging="420"/>
      <w:jc w:val="left"/>
    </w:pPr>
    <w:rPr>
      <w:rFonts w:ascii="Arial" w:hAnsi="Arial"/>
      <w:kern w:val="0"/>
      <w:sz w:val="20"/>
      <w:szCs w:val="20"/>
    </w:rPr>
  </w:style>
  <w:style w:type="paragraph" w:customStyle="1" w:styleId="616">
    <w:name w:val="CM64"/>
    <w:basedOn w:val="238"/>
    <w:next w:val="238"/>
    <w:qFormat/>
    <w:uiPriority w:val="0"/>
    <w:pPr>
      <w:spacing w:after="375" w:line="276" w:lineRule="auto"/>
    </w:pPr>
    <w:rPr>
      <w:rFonts w:ascii="TT C 07o 00" w:hAnsi="TT C 07o 00" w:eastAsia="TT C 07o 00" w:cs="Times New Roman"/>
      <w:color w:val="auto"/>
      <w:szCs w:val="22"/>
    </w:rPr>
  </w:style>
  <w:style w:type="paragraph" w:customStyle="1" w:styleId="617">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618">
    <w:name w:val="样式 宋体 小四 首行缩进:  0.74 厘米 行距: 1.5 倍行距"/>
    <w:basedOn w:val="1"/>
    <w:qFormat/>
    <w:uiPriority w:val="0"/>
    <w:pPr>
      <w:widowControl/>
      <w:tabs>
        <w:tab w:val="left" w:pos="2040"/>
      </w:tabs>
      <w:spacing w:line="360" w:lineRule="auto"/>
      <w:ind w:left="840" w:hanging="420"/>
      <w:jc w:val="left"/>
    </w:pPr>
    <w:rPr>
      <w:rFonts w:ascii="Arial" w:hAnsi="Arial"/>
      <w:kern w:val="0"/>
      <w:sz w:val="24"/>
      <w:lang w:bidi="en-US"/>
    </w:rPr>
  </w:style>
  <w:style w:type="paragraph" w:customStyle="1" w:styleId="619">
    <w:name w:val="正文缩进1"/>
    <w:qFormat/>
    <w:uiPriority w:val="0"/>
    <w:pPr>
      <w:snapToGrid w:val="0"/>
      <w:spacing w:line="440" w:lineRule="exact"/>
      <w:ind w:firstLine="480"/>
      <w:jc w:val="both"/>
    </w:pPr>
    <w:rPr>
      <w:rFonts w:ascii="宋体" w:hAnsi="Times New Roman" w:eastAsia="宋体" w:cs="Times New Roman"/>
      <w:spacing w:val="6"/>
      <w:kern w:val="24"/>
      <w:sz w:val="24"/>
      <w:lang w:val="en-US" w:eastAsia="zh-CN" w:bidi="ar-SA"/>
    </w:rPr>
  </w:style>
  <w:style w:type="paragraph" w:customStyle="1" w:styleId="620">
    <w:name w:val="条目"/>
    <w:basedOn w:val="1"/>
    <w:qFormat/>
    <w:uiPriority w:val="0"/>
    <w:pPr>
      <w:spacing w:before="60" w:after="60" w:line="360" w:lineRule="auto"/>
      <w:ind w:firstLine="218" w:firstLineChars="218"/>
      <w:outlineLvl w:val="0"/>
    </w:pPr>
    <w:rPr>
      <w:rFonts w:eastAsia="仿宋_GB2312"/>
      <w:b/>
      <w:sz w:val="30"/>
      <w:szCs w:val="20"/>
    </w:rPr>
  </w:style>
  <w:style w:type="paragraph" w:customStyle="1" w:styleId="621">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622">
    <w:name w:val="项目"/>
    <w:basedOn w:val="1"/>
    <w:qFormat/>
    <w:uiPriority w:val="0"/>
    <w:pPr>
      <w:widowControl/>
      <w:tabs>
        <w:tab w:val="left" w:pos="993"/>
      </w:tabs>
      <w:overflowPunct w:val="0"/>
      <w:adjustRightInd w:val="0"/>
      <w:spacing w:line="336" w:lineRule="auto"/>
    </w:pPr>
    <w:rPr>
      <w:rFonts w:ascii="Arial" w:hAnsi="Arial"/>
      <w:kern w:val="24"/>
      <w:sz w:val="24"/>
      <w:szCs w:val="20"/>
    </w:rPr>
  </w:style>
  <w:style w:type="paragraph" w:customStyle="1" w:styleId="623">
    <w:name w:val="Puce 2"/>
    <w:qFormat/>
    <w:uiPriority w:val="0"/>
    <w:pPr>
      <w:keepLines/>
      <w:tabs>
        <w:tab w:val="left" w:pos="1080"/>
      </w:tabs>
      <w:overflowPunct w:val="0"/>
      <w:autoSpaceDE w:val="0"/>
      <w:autoSpaceDN w:val="0"/>
      <w:adjustRightInd w:val="0"/>
      <w:spacing w:line="288" w:lineRule="auto"/>
      <w:ind w:left="420" w:hanging="420"/>
      <w:jc w:val="both"/>
      <w:textAlignment w:val="baseline"/>
    </w:pPr>
    <w:rPr>
      <w:rFonts w:ascii="Tms Rmn" w:hAnsi="Tms Rmn" w:eastAsia="宋体" w:cs="Times New Roman"/>
      <w:color w:val="000000"/>
      <w:sz w:val="24"/>
      <w:lang w:val="en-US" w:eastAsia="zh-CN" w:bidi="ar-SA"/>
    </w:rPr>
  </w:style>
  <w:style w:type="paragraph" w:customStyle="1" w:styleId="624">
    <w:name w:val="抄送列表"/>
    <w:basedOn w:val="1"/>
    <w:qFormat/>
    <w:uiPriority w:val="0"/>
    <w:pPr>
      <w:keepLines/>
      <w:widowControl/>
      <w:spacing w:line="220" w:lineRule="atLeast"/>
      <w:ind w:left="360" w:hanging="360"/>
      <w:jc w:val="left"/>
    </w:pPr>
    <w:rPr>
      <w:rFonts w:ascii="Arial" w:hAnsi="Arial"/>
      <w:b/>
      <w:bCs/>
      <w:spacing w:val="-5"/>
      <w:kern w:val="0"/>
      <w:sz w:val="20"/>
      <w:szCs w:val="20"/>
    </w:rPr>
  </w:style>
  <w:style w:type="paragraph" w:customStyle="1" w:styleId="625">
    <w:name w:val="样式 目录 2 + 宋体"/>
    <w:basedOn w:val="30"/>
    <w:next w:val="30"/>
    <w:qFormat/>
    <w:uiPriority w:val="0"/>
    <w:pPr>
      <w:tabs>
        <w:tab w:val="clear" w:pos="574"/>
      </w:tabs>
      <w:spacing w:after="120" w:line="240" w:lineRule="auto"/>
    </w:pPr>
    <w:rPr>
      <w:sz w:val="28"/>
    </w:rPr>
  </w:style>
  <w:style w:type="paragraph" w:customStyle="1" w:styleId="626">
    <w:name w:val="图中文字"/>
    <w:basedOn w:val="1"/>
    <w:qFormat/>
    <w:uiPriority w:val="0"/>
    <w:pPr>
      <w:adjustRightInd w:val="0"/>
      <w:snapToGrid w:val="0"/>
      <w:spacing w:line="0" w:lineRule="atLeast"/>
      <w:jc w:val="center"/>
    </w:pPr>
    <w:rPr>
      <w:sz w:val="24"/>
      <w:szCs w:val="20"/>
    </w:rPr>
  </w:style>
  <w:style w:type="paragraph" w:customStyle="1" w:styleId="627">
    <w:name w:val="样式3"/>
    <w:basedOn w:val="6"/>
    <w:qFormat/>
    <w:uiPriority w:val="0"/>
    <w:pPr>
      <w:tabs>
        <w:tab w:val="clear" w:pos="287"/>
      </w:tabs>
      <w:spacing w:before="260" w:after="260" w:line="415" w:lineRule="auto"/>
      <w:ind w:left="0"/>
      <w:jc w:val="both"/>
    </w:pPr>
    <w:rPr>
      <w:rFonts w:ascii="Times New Roman"/>
      <w:bCs/>
      <w:sz w:val="32"/>
      <w:szCs w:val="32"/>
    </w:rPr>
  </w:style>
  <w:style w:type="paragraph" w:customStyle="1" w:styleId="628">
    <w:name w:val="样式6"/>
    <w:qFormat/>
    <w:uiPriority w:val="0"/>
    <w:pPr>
      <w:adjustRightInd w:val="0"/>
      <w:snapToGrid w:val="0"/>
      <w:spacing w:line="360" w:lineRule="atLeast"/>
      <w:jc w:val="center"/>
    </w:pPr>
    <w:rPr>
      <w:rFonts w:ascii="Times New Roman" w:hAnsi="Times New Roman" w:eastAsia="宋体" w:cs="Times New Roman"/>
      <w:sz w:val="21"/>
      <w:lang w:val="en-US" w:eastAsia="zh-CN" w:bidi="ar-SA"/>
    </w:rPr>
  </w:style>
  <w:style w:type="paragraph" w:customStyle="1" w:styleId="629">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30">
    <w:name w:val="tll"/>
    <w:basedOn w:val="1"/>
    <w:qFormat/>
    <w:uiPriority w:val="0"/>
    <w:pPr>
      <w:autoSpaceDE w:val="0"/>
      <w:autoSpaceDN w:val="0"/>
      <w:adjustRightInd w:val="0"/>
      <w:snapToGrid w:val="0"/>
    </w:pPr>
    <w:rPr>
      <w:rFonts w:ascii="仿宋_GB2312" w:eastAsia="仿宋_GB2312"/>
      <w:kern w:val="0"/>
      <w:szCs w:val="20"/>
    </w:rPr>
  </w:style>
  <w:style w:type="paragraph" w:customStyle="1" w:styleId="631">
    <w:name w:val="表格内容"/>
    <w:basedOn w:val="1"/>
    <w:qFormat/>
    <w:uiPriority w:val="0"/>
    <w:pPr>
      <w:widowControl/>
      <w:overflowPunct w:val="0"/>
      <w:adjustRightInd w:val="0"/>
      <w:spacing w:before="40" w:after="60" w:line="200" w:lineRule="atLeast"/>
      <w:jc w:val="left"/>
      <w:textAlignment w:val="baseline"/>
    </w:pPr>
    <w:rPr>
      <w:rFonts w:ascii="Arial" w:hAnsi="Arial" w:eastAsia="仿宋_GB2312"/>
      <w:kern w:val="0"/>
      <w:sz w:val="24"/>
      <w:lang w:bidi="en-US"/>
    </w:rPr>
  </w:style>
  <w:style w:type="paragraph" w:customStyle="1" w:styleId="632">
    <w:name w:val="Char Char Char1"/>
    <w:basedOn w:val="1"/>
    <w:qFormat/>
    <w:uiPriority w:val="0"/>
    <w:rPr>
      <w:rFonts w:ascii="Tahoma" w:hAnsi="Tahoma"/>
      <w:sz w:val="24"/>
      <w:szCs w:val="20"/>
    </w:rPr>
  </w:style>
  <w:style w:type="paragraph" w:customStyle="1" w:styleId="633">
    <w:name w:val="toc1"/>
    <w:basedOn w:val="1"/>
    <w:qFormat/>
    <w:uiPriority w:val="0"/>
    <w:pPr>
      <w:widowControl/>
      <w:spacing w:before="180"/>
      <w:jc w:val="left"/>
    </w:pPr>
    <w:rPr>
      <w:kern w:val="0"/>
      <w:sz w:val="24"/>
      <w:szCs w:val="20"/>
    </w:rPr>
  </w:style>
  <w:style w:type="paragraph" w:customStyle="1" w:styleId="634">
    <w:name w:val="标题二"/>
    <w:basedOn w:val="3"/>
    <w:qFormat/>
    <w:uiPriority w:val="0"/>
    <w:pPr>
      <w:keepNext/>
      <w:keepLines/>
      <w:spacing w:before="0" w:after="0" w:line="440" w:lineRule="atLeast"/>
      <w:ind w:left="0"/>
      <w:jc w:val="both"/>
    </w:pPr>
    <w:rPr>
      <w:rFonts w:ascii="宋体" w:eastAsia="宋体" w:cs="宋体"/>
      <w:color w:val="000000"/>
      <w:szCs w:val="32"/>
    </w:rPr>
  </w:style>
  <w:style w:type="paragraph" w:customStyle="1" w:styleId="635">
    <w:name w:val="样式 表格内容 + (中文) 宋体 居中"/>
    <w:basedOn w:val="1"/>
    <w:qFormat/>
    <w:uiPriority w:val="0"/>
    <w:pPr>
      <w:widowControl/>
      <w:overflowPunct w:val="0"/>
      <w:adjustRightInd w:val="0"/>
      <w:snapToGrid w:val="0"/>
      <w:spacing w:after="120" w:line="440" w:lineRule="exact"/>
      <w:jc w:val="center"/>
      <w:textAlignment w:val="baseline"/>
    </w:pPr>
    <w:rPr>
      <w:rFonts w:ascii="Arial" w:hAnsi="Arial" w:cs="宋体"/>
      <w:kern w:val="0"/>
      <w:sz w:val="24"/>
      <w:szCs w:val="21"/>
      <w:lang w:bidi="en-US"/>
    </w:rPr>
  </w:style>
  <w:style w:type="paragraph" w:customStyle="1" w:styleId="636">
    <w:name w:val="标书正文格式"/>
    <w:qFormat/>
    <w:uiPriority w:val="0"/>
    <w:pPr>
      <w:spacing w:line="360" w:lineRule="auto"/>
      <w:ind w:firstLine="200" w:firstLineChars="200"/>
    </w:pPr>
    <w:rPr>
      <w:rFonts w:ascii="Times New Roman" w:hAnsi="Times New Roman" w:eastAsia="楷体_GB2312" w:cs="Times New Roman"/>
      <w:kern w:val="2"/>
      <w:sz w:val="24"/>
      <w:szCs w:val="24"/>
      <w:lang w:val="en-US" w:eastAsia="zh-CN" w:bidi="ar-SA"/>
    </w:rPr>
  </w:style>
  <w:style w:type="paragraph" w:customStyle="1" w:styleId="637">
    <w:name w:val="列出段落3"/>
    <w:basedOn w:val="1"/>
    <w:qFormat/>
    <w:uiPriority w:val="0"/>
    <w:pPr>
      <w:ind w:firstLine="200" w:firstLineChars="200"/>
    </w:pPr>
  </w:style>
  <w:style w:type="paragraph" w:customStyle="1" w:styleId="638">
    <w:name w:val="初设正文"/>
    <w:basedOn w:val="1"/>
    <w:qFormat/>
    <w:uiPriority w:val="0"/>
    <w:pPr>
      <w:widowControl/>
      <w:spacing w:after="120" w:line="440" w:lineRule="exact"/>
      <w:ind w:left="425" w:firstLine="425"/>
      <w:jc w:val="left"/>
    </w:pPr>
    <w:rPr>
      <w:rFonts w:ascii="Arial" w:hAnsi="Arial" w:cs="宋体"/>
      <w:kern w:val="0"/>
      <w:sz w:val="24"/>
      <w:lang w:bidi="en-US"/>
    </w:rPr>
  </w:style>
  <w:style w:type="paragraph" w:customStyle="1" w:styleId="639">
    <w:name w:val="图号"/>
    <w:basedOn w:val="1"/>
    <w:qFormat/>
    <w:uiPriority w:val="0"/>
    <w:pPr>
      <w:jc w:val="center"/>
    </w:pPr>
    <w:rPr>
      <w:rFonts w:ascii="Arial" w:hAnsi="Arial"/>
      <w:color w:val="464646"/>
      <w:sz w:val="30"/>
      <w:szCs w:val="20"/>
    </w:rPr>
  </w:style>
  <w:style w:type="paragraph" w:customStyle="1" w:styleId="640">
    <w:name w:val="Char Char Char Char Char Char Char Char Char"/>
    <w:basedOn w:val="1"/>
    <w:qFormat/>
    <w:uiPriority w:val="0"/>
    <w:pPr>
      <w:spacing w:line="360" w:lineRule="auto"/>
      <w:ind w:firstLine="200" w:firstLineChars="200"/>
    </w:pPr>
    <w:rPr>
      <w:rFonts w:ascii="宋体" w:cs="宋体"/>
      <w:sz w:val="24"/>
    </w:rPr>
  </w:style>
  <w:style w:type="paragraph" w:customStyle="1" w:styleId="641">
    <w:name w:val="cell"/>
    <w:basedOn w:val="1"/>
    <w:qFormat/>
    <w:uiPriority w:val="0"/>
    <w:pPr>
      <w:widowControl/>
      <w:spacing w:before="20" w:after="20"/>
      <w:jc w:val="left"/>
    </w:pPr>
    <w:rPr>
      <w:kern w:val="0"/>
      <w:sz w:val="22"/>
      <w:szCs w:val="20"/>
    </w:rPr>
  </w:style>
  <w:style w:type="paragraph" w:customStyle="1" w:styleId="642">
    <w:name w:val="样式 Arial 小四 段前: 4.65 磅 段后: 4.65 磅 行距: 固定值 22 磅"/>
    <w:basedOn w:val="1"/>
    <w:qFormat/>
    <w:uiPriority w:val="0"/>
    <w:pPr>
      <w:spacing w:line="440" w:lineRule="exact"/>
      <w:ind w:firstLine="200" w:firstLineChars="200"/>
    </w:pPr>
    <w:rPr>
      <w:rFonts w:ascii="Arial" w:hAnsi="Arial" w:cs="宋体"/>
      <w:sz w:val="24"/>
      <w:szCs w:val="20"/>
    </w:rPr>
  </w:style>
  <w:style w:type="paragraph" w:customStyle="1" w:styleId="643">
    <w:name w:val="Char Char2 Char Char Char Char Char Char"/>
    <w:basedOn w:val="1"/>
    <w:qFormat/>
    <w:uiPriority w:val="0"/>
    <w:pPr>
      <w:widowControl/>
      <w:spacing w:after="160" w:line="240" w:lineRule="exact"/>
      <w:jc w:val="left"/>
    </w:pPr>
    <w:rPr>
      <w:rFonts w:ascii="Arial" w:hAnsi="Arial" w:eastAsia="Times New Roman" w:cs="Verdana"/>
      <w:b/>
      <w:kern w:val="0"/>
      <w:sz w:val="24"/>
    </w:rPr>
  </w:style>
  <w:style w:type="paragraph" w:customStyle="1" w:styleId="644">
    <w:name w:val="样式 标题 2 + 小四 非加粗"/>
    <w:basedOn w:val="3"/>
    <w:qFormat/>
    <w:uiPriority w:val="0"/>
    <w:pPr>
      <w:keepNext/>
      <w:keepLines/>
      <w:tabs>
        <w:tab w:val="left" w:pos="420"/>
        <w:tab w:val="left" w:pos="435"/>
        <w:tab w:val="left" w:pos="720"/>
      </w:tabs>
      <w:spacing w:before="260" w:after="260" w:line="415" w:lineRule="auto"/>
      <w:ind w:left="720" w:hanging="360"/>
      <w:jc w:val="both"/>
    </w:pPr>
    <w:rPr>
      <w:b w:val="0"/>
      <w:sz w:val="24"/>
      <w:szCs w:val="32"/>
    </w:rPr>
  </w:style>
  <w:style w:type="paragraph" w:customStyle="1" w:styleId="645">
    <w:name w:val="4号节居中"/>
    <w:basedOn w:val="1"/>
    <w:next w:val="1"/>
    <w:qFormat/>
    <w:uiPriority w:val="0"/>
    <w:pPr>
      <w:widowControl/>
      <w:adjustRightInd w:val="0"/>
      <w:snapToGrid w:val="0"/>
      <w:spacing w:line="480" w:lineRule="atLeast"/>
      <w:ind w:firstLine="200" w:firstLineChars="200"/>
      <w:jc w:val="center"/>
    </w:pPr>
    <w:rPr>
      <w:rFonts w:ascii="宋体"/>
      <w:snapToGrid w:val="0"/>
      <w:color w:val="000000"/>
      <w:spacing w:val="6"/>
      <w:kern w:val="0"/>
      <w:sz w:val="28"/>
      <w:lang w:bidi="en-US"/>
    </w:rPr>
  </w:style>
  <w:style w:type="paragraph" w:customStyle="1" w:styleId="646">
    <w:name w:val="表格文字2"/>
    <w:basedOn w:val="1"/>
    <w:qFormat/>
    <w:uiPriority w:val="0"/>
    <w:pPr>
      <w:jc w:val="center"/>
    </w:pPr>
    <w:rPr>
      <w:spacing w:val="-4"/>
      <w:sz w:val="24"/>
    </w:rPr>
  </w:style>
  <w:style w:type="paragraph" w:customStyle="1" w:styleId="647">
    <w:name w:val="3级标题"/>
    <w:basedOn w:val="1"/>
    <w:qFormat/>
    <w:uiPriority w:val="0"/>
    <w:pPr>
      <w:snapToGrid w:val="0"/>
      <w:spacing w:line="360" w:lineRule="auto"/>
      <w:ind w:left="200" w:leftChars="200"/>
      <w:outlineLvl w:val="0"/>
    </w:pPr>
    <w:rPr>
      <w:kern w:val="0"/>
      <w:sz w:val="28"/>
      <w:szCs w:val="20"/>
    </w:rPr>
  </w:style>
  <w:style w:type="paragraph" w:customStyle="1" w:styleId="648">
    <w:name w:val="修订1"/>
    <w:qFormat/>
    <w:uiPriority w:val="0"/>
    <w:rPr>
      <w:rFonts w:ascii="Times New Roman" w:hAnsi="Times New Roman" w:eastAsia="宋体" w:cs="Times New Roman"/>
      <w:kern w:val="2"/>
      <w:sz w:val="21"/>
      <w:szCs w:val="24"/>
      <w:lang w:val="en-US" w:eastAsia="zh-CN" w:bidi="ar-SA"/>
    </w:rPr>
  </w:style>
  <w:style w:type="paragraph" w:customStyle="1" w:styleId="649">
    <w:name w:val="!Texte courant"/>
    <w:qFormat/>
    <w:uiPriority w:val="0"/>
    <w:pPr>
      <w:spacing w:before="120" w:line="280" w:lineRule="atLeast"/>
      <w:jc w:val="both"/>
    </w:pPr>
    <w:rPr>
      <w:rFonts w:ascii="Times New Roman" w:hAnsi="Times New Roman" w:eastAsia="宋体" w:cs="Times New Roman"/>
      <w:sz w:val="24"/>
      <w:lang w:val="fr-FR" w:eastAsia="zh-CN" w:bidi="ar-SA"/>
    </w:rPr>
  </w:style>
  <w:style w:type="paragraph" w:customStyle="1" w:styleId="650">
    <w:name w:val="BIG BOLD"/>
    <w:basedOn w:val="1"/>
    <w:qFormat/>
    <w:uiPriority w:val="0"/>
    <w:pPr>
      <w:widowControl/>
      <w:tabs>
        <w:tab w:val="left" w:leader="underscore" w:pos="1134"/>
      </w:tabs>
      <w:jc w:val="left"/>
    </w:pPr>
    <w:rPr>
      <w:rFonts w:ascii="Calibri" w:hAnsi="Calibri"/>
      <w:kern w:val="0"/>
      <w:sz w:val="24"/>
      <w:lang w:bidi="en-US"/>
    </w:rPr>
  </w:style>
  <w:style w:type="paragraph" w:customStyle="1" w:styleId="651">
    <w:name w:val="Char Char Char Char Char1"/>
    <w:basedOn w:val="1"/>
    <w:qFormat/>
    <w:uiPriority w:val="0"/>
  </w:style>
  <w:style w:type="paragraph" w:customStyle="1" w:styleId="652">
    <w:name w:val="Char Char Char11"/>
    <w:basedOn w:val="1"/>
    <w:qFormat/>
    <w:uiPriority w:val="0"/>
    <w:rPr>
      <w:rFonts w:ascii="Tahoma" w:hAnsi="Tahoma"/>
      <w:sz w:val="24"/>
      <w:szCs w:val="20"/>
    </w:rPr>
  </w:style>
  <w:style w:type="paragraph" w:customStyle="1" w:styleId="653">
    <w:name w:val="Char1 Char Char Char"/>
    <w:basedOn w:val="1"/>
    <w:qFormat/>
    <w:uiPriority w:val="0"/>
    <w:pPr>
      <w:widowControl/>
      <w:jc w:val="left"/>
    </w:pPr>
    <w:rPr>
      <w:rFonts w:ascii="Calibri" w:hAnsi="Calibri"/>
      <w:kern w:val="0"/>
      <w:sz w:val="24"/>
      <w:lang w:bidi="en-US"/>
    </w:rPr>
  </w:style>
  <w:style w:type="paragraph" w:customStyle="1" w:styleId="654">
    <w:name w:val="tabletext"/>
    <w:basedOn w:val="1"/>
    <w:qFormat/>
    <w:uiPriority w:val="0"/>
    <w:pPr>
      <w:widowControl/>
      <w:spacing w:before="100" w:beforeAutospacing="1" w:after="100" w:afterAutospacing="1"/>
      <w:jc w:val="left"/>
    </w:pPr>
    <w:rPr>
      <w:rFonts w:ascii="宋体" w:cs="宋体"/>
      <w:kern w:val="0"/>
      <w:sz w:val="24"/>
    </w:rPr>
  </w:style>
  <w:style w:type="paragraph" w:customStyle="1" w:styleId="655">
    <w:name w:val="Bullet level 1"/>
    <w:basedOn w:val="1"/>
    <w:qFormat/>
    <w:uiPriority w:val="0"/>
    <w:pPr>
      <w:tabs>
        <w:tab w:val="left" w:pos="360"/>
      </w:tabs>
      <w:wordWrap w:val="0"/>
      <w:spacing w:before="120"/>
      <w:ind w:left="713" w:hanging="360"/>
      <w:jc w:val="left"/>
    </w:pPr>
    <w:rPr>
      <w:rFonts w:ascii="Arial" w:hAnsi="Arial"/>
      <w:sz w:val="22"/>
      <w:szCs w:val="20"/>
    </w:rPr>
  </w:style>
  <w:style w:type="paragraph" w:customStyle="1" w:styleId="656">
    <w:name w:val="xl23"/>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pPr>
    <w:rPr>
      <w:rFonts w:ascii="Arial Unicode MS" w:hAnsi="Arial Unicode MS" w:cs="Arial Unicode MS"/>
      <w:kern w:val="0"/>
      <w:sz w:val="24"/>
    </w:rPr>
  </w:style>
  <w:style w:type="paragraph" w:customStyle="1" w:styleId="657">
    <w:name w:val="Style0"/>
    <w:qFormat/>
    <w:uiPriority w:val="0"/>
    <w:pPr>
      <w:widowControl w:val="0"/>
    </w:pPr>
    <w:rPr>
      <w:rFonts w:ascii="Arial" w:hAnsi="Arial" w:eastAsia="宋体" w:cs="Times New Roman"/>
      <w:sz w:val="24"/>
      <w:lang w:val="en-US" w:eastAsia="zh-CN" w:bidi="ar-SA"/>
    </w:rPr>
  </w:style>
  <w:style w:type="paragraph" w:customStyle="1" w:styleId="658">
    <w:name w:val="列出段落11"/>
    <w:basedOn w:val="1"/>
    <w:qFormat/>
    <w:uiPriority w:val="0"/>
    <w:pPr>
      <w:widowControl/>
      <w:spacing w:after="200" w:line="276" w:lineRule="auto"/>
      <w:ind w:left="720"/>
      <w:contextualSpacing/>
      <w:jc w:val="left"/>
    </w:pPr>
    <w:rPr>
      <w:rFonts w:ascii="Calibri" w:hAnsi="Calibri"/>
      <w:kern w:val="0"/>
      <w:sz w:val="22"/>
      <w:szCs w:val="22"/>
    </w:rPr>
  </w:style>
  <w:style w:type="paragraph" w:customStyle="1" w:styleId="659">
    <w:name w:val="standard 3"/>
    <w:basedOn w:val="1"/>
    <w:qFormat/>
    <w:uiPriority w:val="0"/>
    <w:pPr>
      <w:widowControl/>
      <w:spacing w:after="240" w:line="360" w:lineRule="auto"/>
      <w:ind w:left="1276"/>
    </w:pPr>
    <w:rPr>
      <w:rFonts w:ascii="Arial" w:hAnsi="Arial"/>
      <w:kern w:val="0"/>
      <w:sz w:val="20"/>
      <w:szCs w:val="20"/>
    </w:rPr>
  </w:style>
  <w:style w:type="paragraph" w:customStyle="1" w:styleId="660">
    <w:name w:val="Char1 Char Char Char Char Char Char Char Char Char Char Char Char Char Char Char"/>
    <w:basedOn w:val="1"/>
    <w:qFormat/>
    <w:uiPriority w:val="0"/>
  </w:style>
  <w:style w:type="paragraph" w:customStyle="1" w:styleId="661">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662">
    <w:name w:val="Bullet 3"/>
    <w:basedOn w:val="1"/>
    <w:next w:val="1"/>
    <w:qFormat/>
    <w:uiPriority w:val="0"/>
    <w:pPr>
      <w:widowControl/>
      <w:tabs>
        <w:tab w:val="left" w:pos="1440"/>
      </w:tabs>
      <w:ind w:left="3600"/>
      <w:jc w:val="left"/>
    </w:pPr>
    <w:rPr>
      <w:rFonts w:ascii="Arial" w:hAnsi="Arial"/>
      <w:kern w:val="0"/>
      <w:sz w:val="20"/>
      <w:szCs w:val="20"/>
    </w:rPr>
  </w:style>
  <w:style w:type="paragraph" w:customStyle="1" w:styleId="663">
    <w:name w:val="标题2"/>
    <w:basedOn w:val="1"/>
    <w:qFormat/>
    <w:uiPriority w:val="0"/>
    <w:pPr>
      <w:widowControl/>
      <w:spacing w:line="360" w:lineRule="auto"/>
      <w:jc w:val="left"/>
    </w:pPr>
    <w:rPr>
      <w:rFonts w:ascii="黑体" w:eastAsia="黑体"/>
      <w:b/>
      <w:bCs/>
      <w:kern w:val="0"/>
      <w:sz w:val="24"/>
      <w:lang w:bidi="en-US"/>
    </w:rPr>
  </w:style>
  <w:style w:type="paragraph" w:customStyle="1" w:styleId="664">
    <w:name w:val="ÕýÎÄ"/>
    <w:qFormat/>
    <w:uiPriority w:val="0"/>
    <w:pPr>
      <w:widowControl w:val="0"/>
      <w:overflowPunct w:val="0"/>
      <w:autoSpaceDE w:val="0"/>
      <w:autoSpaceDN w:val="0"/>
      <w:adjustRightInd w:val="0"/>
      <w:spacing w:line="351" w:lineRule="atLeast"/>
      <w:ind w:firstLine="419"/>
      <w:jc w:val="both"/>
      <w:textAlignment w:val="baseline"/>
    </w:pPr>
    <w:rPr>
      <w:rFonts w:ascii="Times New Roman" w:hAnsi="Times New Roman" w:eastAsia="宋体" w:cs="Times New Roman"/>
      <w:color w:val="000000"/>
      <w:sz w:val="21"/>
      <w:lang w:val="en-US" w:eastAsia="zh-CN" w:bidi="ar-SA"/>
    </w:rPr>
  </w:style>
  <w:style w:type="paragraph" w:customStyle="1" w:styleId="665">
    <w:name w:val="标题三"/>
    <w:basedOn w:val="6"/>
    <w:qFormat/>
    <w:uiPriority w:val="0"/>
    <w:pPr>
      <w:tabs>
        <w:tab w:val="clear" w:pos="287"/>
      </w:tabs>
      <w:spacing w:before="0" w:line="240" w:lineRule="auto"/>
      <w:ind w:left="0" w:firstLine="403"/>
      <w:jc w:val="both"/>
    </w:pPr>
    <w:rPr>
      <w:rFonts w:cs="宋体"/>
      <w:color w:val="000000"/>
      <w:sz w:val="28"/>
      <w:szCs w:val="28"/>
    </w:rPr>
  </w:style>
  <w:style w:type="paragraph" w:customStyle="1" w:styleId="666">
    <w:name w:val="默认段落字体 Para Char"/>
    <w:basedOn w:val="1"/>
    <w:qFormat/>
    <w:uiPriority w:val="0"/>
    <w:pPr>
      <w:spacing w:line="360" w:lineRule="auto"/>
      <w:ind w:firstLine="200" w:firstLineChars="200"/>
    </w:pPr>
    <w:rPr>
      <w:rFonts w:ascii="宋体" w:cs="宋体"/>
      <w:sz w:val="24"/>
    </w:rPr>
  </w:style>
  <w:style w:type="paragraph" w:customStyle="1" w:styleId="667">
    <w:name w:val="d"/>
    <w:basedOn w:val="1"/>
    <w:qFormat/>
    <w:uiPriority w:val="0"/>
    <w:pPr>
      <w:widowControl/>
      <w:tabs>
        <w:tab w:val="left" w:pos="980"/>
        <w:tab w:val="left" w:pos="3320"/>
        <w:tab w:val="left" w:pos="3600"/>
        <w:tab w:val="left" w:pos="5040"/>
        <w:tab w:val="left" w:pos="6480"/>
      </w:tabs>
      <w:spacing w:after="120" w:line="360" w:lineRule="atLeast"/>
      <w:ind w:left="2160" w:hanging="720"/>
      <w:jc w:val="left"/>
    </w:pPr>
    <w:rPr>
      <w:rFonts w:ascii="New York" w:hAnsi="New York"/>
      <w:kern w:val="0"/>
      <w:sz w:val="24"/>
      <w:szCs w:val="20"/>
    </w:rPr>
  </w:style>
  <w:style w:type="paragraph" w:customStyle="1" w:styleId="668">
    <w:name w:val="正文居中"/>
    <w:basedOn w:val="1"/>
    <w:qFormat/>
    <w:uiPriority w:val="0"/>
    <w:pPr>
      <w:widowControl/>
      <w:adjustRightInd w:val="0"/>
      <w:snapToGrid w:val="0"/>
      <w:spacing w:line="480" w:lineRule="atLeast"/>
      <w:jc w:val="center"/>
    </w:pPr>
    <w:rPr>
      <w:rFonts w:ascii="宋体"/>
      <w:snapToGrid w:val="0"/>
      <w:spacing w:val="6"/>
      <w:kern w:val="0"/>
      <w:sz w:val="28"/>
      <w:lang w:bidi="en-US"/>
    </w:rPr>
  </w:style>
  <w:style w:type="paragraph" w:customStyle="1" w:styleId="669">
    <w:name w:val="CM2"/>
    <w:basedOn w:val="238"/>
    <w:next w:val="238"/>
    <w:qFormat/>
    <w:uiPriority w:val="0"/>
    <w:pPr>
      <w:spacing w:after="200" w:line="276" w:lineRule="auto"/>
    </w:pPr>
    <w:rPr>
      <w:rFonts w:ascii="Calibri" w:hAnsi="Calibri" w:cs="Times New Roman"/>
      <w:color w:val="auto"/>
      <w:szCs w:val="22"/>
    </w:rPr>
  </w:style>
  <w:style w:type="paragraph" w:customStyle="1" w:styleId="670">
    <w:name w:val="paragraph"/>
    <w:basedOn w:val="1"/>
    <w:qFormat/>
    <w:uiPriority w:val="0"/>
    <w:pPr>
      <w:widowControl/>
      <w:spacing w:after="120"/>
    </w:pPr>
    <w:rPr>
      <w:kern w:val="0"/>
      <w:sz w:val="24"/>
      <w:szCs w:val="20"/>
    </w:rPr>
  </w:style>
  <w:style w:type="paragraph" w:customStyle="1" w:styleId="671">
    <w:name w:val="CM16"/>
    <w:basedOn w:val="238"/>
    <w:next w:val="238"/>
    <w:qFormat/>
    <w:uiPriority w:val="0"/>
    <w:pPr>
      <w:spacing w:after="200" w:line="558" w:lineRule="atLeast"/>
    </w:pPr>
    <w:rPr>
      <w:rFonts w:ascii="Calibri" w:hAnsi="Calibri" w:cs="Times New Roman"/>
      <w:color w:val="auto"/>
      <w:szCs w:val="22"/>
    </w:rPr>
  </w:style>
  <w:style w:type="paragraph" w:customStyle="1" w:styleId="672">
    <w:name w:val="正文 New"/>
    <w:basedOn w:val="1"/>
    <w:qFormat/>
    <w:uiPriority w:val="0"/>
    <w:rPr>
      <w:szCs w:val="21"/>
    </w:rPr>
  </w:style>
  <w:style w:type="paragraph" w:customStyle="1" w:styleId="673">
    <w:name w:val="标题05"/>
    <w:basedOn w:val="597"/>
    <w:qFormat/>
    <w:uiPriority w:val="0"/>
    <w:pPr>
      <w:spacing w:before="240"/>
      <w:ind w:left="1985"/>
      <w:jc w:val="left"/>
    </w:pPr>
    <w:rPr>
      <w:b w:val="0"/>
      <w:sz w:val="36"/>
    </w:rPr>
  </w:style>
  <w:style w:type="paragraph" w:customStyle="1" w:styleId="674">
    <w:name w:val="标题06"/>
    <w:basedOn w:val="673"/>
    <w:qFormat/>
    <w:uiPriority w:val="0"/>
    <w:pPr>
      <w:spacing w:before="2040" w:after="0"/>
      <w:ind w:left="0"/>
      <w:jc w:val="both"/>
    </w:pPr>
    <w:rPr>
      <w:rFonts w:eastAsia="黑体"/>
      <w:sz w:val="28"/>
    </w:rPr>
  </w:style>
  <w:style w:type="paragraph" w:customStyle="1" w:styleId="675">
    <w:name w:val="u缩进正文"/>
    <w:basedOn w:val="1"/>
    <w:qFormat/>
    <w:uiPriority w:val="0"/>
    <w:pPr>
      <w:widowControl/>
      <w:spacing w:line="360" w:lineRule="auto"/>
      <w:ind w:firstLine="200" w:firstLineChars="200"/>
      <w:jc w:val="left"/>
    </w:pPr>
    <w:rPr>
      <w:rFonts w:ascii="Calibri" w:hAnsi="Calibri"/>
      <w:kern w:val="0"/>
      <w:sz w:val="24"/>
      <w:lang w:bidi="en-US"/>
    </w:rPr>
  </w:style>
  <w:style w:type="paragraph" w:customStyle="1" w:styleId="676">
    <w:name w:val="CM74"/>
    <w:basedOn w:val="238"/>
    <w:next w:val="238"/>
    <w:qFormat/>
    <w:uiPriority w:val="0"/>
    <w:pPr>
      <w:spacing w:after="223" w:line="276" w:lineRule="auto"/>
    </w:pPr>
    <w:rPr>
      <w:rFonts w:ascii="Calibri" w:hAnsi="Calibri" w:cs="Times New Roman"/>
      <w:color w:val="auto"/>
      <w:szCs w:val="22"/>
    </w:rPr>
  </w:style>
  <w:style w:type="paragraph" w:customStyle="1" w:styleId="677">
    <w:name w:val="00ys"/>
    <w:basedOn w:val="21"/>
    <w:qFormat/>
    <w:uiPriority w:val="0"/>
    <w:pPr>
      <w:keepNext/>
      <w:widowControl/>
      <w:adjustRightInd w:val="0"/>
      <w:spacing w:line="360" w:lineRule="atLeast"/>
      <w:jc w:val="left"/>
      <w:textAlignment w:val="baseline"/>
    </w:pPr>
    <w:rPr>
      <w:rFonts w:ascii="Arial" w:hAnsi="Arial" w:eastAsia="宋体"/>
      <w:kern w:val="0"/>
      <w:sz w:val="24"/>
      <w:szCs w:val="24"/>
      <w:lang w:bidi="en-US"/>
    </w:rPr>
  </w:style>
  <w:style w:type="paragraph" w:customStyle="1" w:styleId="678">
    <w:name w:val="Char Char Char Char Char Char3 Char Char Char Char Char Char Char Char Char Char"/>
    <w:basedOn w:val="1"/>
    <w:next w:val="1"/>
    <w:qFormat/>
    <w:uiPriority w:val="0"/>
    <w:rPr>
      <w:rFonts w:eastAsia="黑体"/>
      <w:sz w:val="28"/>
    </w:rPr>
  </w:style>
  <w:style w:type="paragraph" w:customStyle="1" w:styleId="679">
    <w:name w:val="正01"/>
    <w:basedOn w:val="1"/>
    <w:qFormat/>
    <w:uiPriority w:val="0"/>
    <w:pPr>
      <w:autoSpaceDE w:val="0"/>
      <w:autoSpaceDN w:val="0"/>
      <w:adjustRightInd w:val="0"/>
      <w:spacing w:line="360" w:lineRule="auto"/>
      <w:jc w:val="left"/>
      <w:textAlignment w:val="baseline"/>
    </w:pPr>
    <w:rPr>
      <w:rFonts w:ascii="宋体"/>
      <w:color w:val="0000FF"/>
      <w:spacing w:val="15"/>
      <w:kern w:val="0"/>
      <w:sz w:val="24"/>
      <w:szCs w:val="20"/>
    </w:rPr>
  </w:style>
  <w:style w:type="paragraph" w:customStyle="1" w:styleId="680">
    <w:name w:val="文档1"/>
    <w:basedOn w:val="1"/>
    <w:qFormat/>
    <w:uiPriority w:val="0"/>
    <w:pPr>
      <w:widowControl/>
      <w:adjustRightInd w:val="0"/>
      <w:snapToGrid w:val="0"/>
      <w:spacing w:line="480" w:lineRule="atLeast"/>
      <w:ind w:firstLine="200" w:firstLineChars="200"/>
      <w:jc w:val="left"/>
    </w:pPr>
    <w:rPr>
      <w:rFonts w:ascii="宋体"/>
      <w:snapToGrid w:val="0"/>
      <w:spacing w:val="6"/>
      <w:kern w:val="0"/>
      <w:sz w:val="28"/>
      <w:lang w:bidi="en-US"/>
    </w:rPr>
  </w:style>
  <w:style w:type="paragraph" w:customStyle="1" w:styleId="681">
    <w:name w:val="样式 标题 2 + Times New Roman 四号 非加粗 段前: 5 磅 段后: 0 磅 行距: 固定值 20..."/>
    <w:basedOn w:val="3"/>
    <w:qFormat/>
    <w:uiPriority w:val="0"/>
    <w:pPr>
      <w:keepNext/>
      <w:keepLines/>
      <w:spacing w:before="100" w:after="0" w:line="400" w:lineRule="exact"/>
      <w:ind w:left="0"/>
      <w:jc w:val="both"/>
    </w:pPr>
    <w:rPr>
      <w:rFonts w:cs="宋体"/>
      <w:b w:val="0"/>
      <w:sz w:val="28"/>
    </w:rPr>
  </w:style>
  <w:style w:type="paragraph" w:customStyle="1" w:styleId="682">
    <w:name w:val="正文文本 (34)1"/>
    <w:basedOn w:val="1"/>
    <w:qFormat/>
    <w:uiPriority w:val="0"/>
    <w:pPr>
      <w:shd w:val="clear" w:color="auto" w:fill="FFFFFF"/>
      <w:spacing w:before="60" w:line="538" w:lineRule="exact"/>
      <w:ind w:hanging="460"/>
      <w:jc w:val="left"/>
    </w:pPr>
    <w:rPr>
      <w:rFonts w:ascii="MingLiU" w:hAnsi="MingLiU" w:eastAsia="MingLiU"/>
      <w:spacing w:val="-10"/>
      <w:kern w:val="0"/>
      <w:sz w:val="20"/>
      <w:szCs w:val="20"/>
      <w:lang w:val="zh-TW" w:eastAsia="zh-TW"/>
    </w:rPr>
  </w:style>
  <w:style w:type="paragraph" w:customStyle="1" w:styleId="683">
    <w:name w:val="菲页1"/>
    <w:basedOn w:val="3"/>
    <w:qFormat/>
    <w:uiPriority w:val="0"/>
    <w:pPr>
      <w:spacing w:before="0" w:after="0" w:line="240" w:lineRule="auto"/>
      <w:ind w:left="0"/>
    </w:pPr>
    <w:rPr>
      <w:rFonts w:ascii="黑体" w:hAnsi="黑体" w:eastAsia="宋体"/>
      <w:b w:val="0"/>
      <w:color w:val="000000"/>
      <w:kern w:val="0"/>
      <w:sz w:val="52"/>
    </w:rPr>
  </w:style>
  <w:style w:type="paragraph" w:customStyle="1" w:styleId="684">
    <w:name w:val="标3"/>
    <w:basedOn w:val="6"/>
    <w:qFormat/>
    <w:uiPriority w:val="0"/>
    <w:pPr>
      <w:keepLines w:val="0"/>
      <w:widowControl/>
      <w:tabs>
        <w:tab w:val="clear" w:pos="287"/>
      </w:tabs>
      <w:adjustRightInd w:val="0"/>
      <w:spacing w:before="240" w:after="60" w:line="480" w:lineRule="exact"/>
      <w:ind w:left="0" w:firstLine="200" w:firstLineChars="200"/>
      <w:textAlignment w:val="baseline"/>
    </w:pPr>
    <w:rPr>
      <w:rFonts w:ascii="Cambria" w:hAnsi="Cambria"/>
      <w:bCs/>
      <w:color w:val="000000"/>
      <w:kern w:val="0"/>
      <w:sz w:val="26"/>
      <w:szCs w:val="26"/>
      <w:lang w:bidi="en-US"/>
    </w:rPr>
  </w:style>
  <w:style w:type="paragraph" w:customStyle="1" w:styleId="685">
    <w:name w:val="xl2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cs="Arial Unicode MS"/>
      <w:kern w:val="0"/>
      <w:sz w:val="24"/>
    </w:rPr>
  </w:style>
  <w:style w:type="paragraph" w:customStyle="1" w:styleId="686">
    <w:name w:val="段落"/>
    <w:basedOn w:val="1"/>
    <w:qFormat/>
    <w:uiPriority w:val="0"/>
    <w:pPr>
      <w:widowControl/>
      <w:spacing w:line="500" w:lineRule="exact"/>
      <w:ind w:firstLine="578"/>
      <w:jc w:val="left"/>
    </w:pPr>
    <w:rPr>
      <w:rFonts w:ascii="宋体"/>
      <w:kern w:val="0"/>
      <w:sz w:val="28"/>
      <w:lang w:bidi="en-US"/>
    </w:rPr>
  </w:style>
  <w:style w:type="paragraph" w:customStyle="1" w:styleId="687">
    <w:name w:val="Char Char Char Char Char Char Char Char"/>
    <w:basedOn w:val="1"/>
    <w:qFormat/>
    <w:uiPriority w:val="0"/>
  </w:style>
  <w:style w:type="paragraph" w:customStyle="1" w:styleId="688">
    <w:name w:val="修订2"/>
    <w:qFormat/>
    <w:uiPriority w:val="0"/>
    <w:rPr>
      <w:rFonts w:ascii="Times New Roman" w:hAnsi="Times New Roman" w:eastAsia="仿宋_GB2312" w:cs="Times New Roman"/>
      <w:kern w:val="2"/>
      <w:sz w:val="32"/>
      <w:lang w:val="en-US" w:eastAsia="zh-CN" w:bidi="ar-SA"/>
    </w:rPr>
  </w:style>
  <w:style w:type="paragraph" w:customStyle="1" w:styleId="689">
    <w:name w:val="CM73"/>
    <w:basedOn w:val="238"/>
    <w:next w:val="238"/>
    <w:qFormat/>
    <w:uiPriority w:val="0"/>
    <w:pPr>
      <w:spacing w:after="338" w:line="276" w:lineRule="auto"/>
    </w:pPr>
    <w:rPr>
      <w:rFonts w:ascii="Calibri" w:hAnsi="Calibri" w:cs="Times New Roman"/>
      <w:color w:val="auto"/>
      <w:szCs w:val="22"/>
    </w:rPr>
  </w:style>
  <w:style w:type="paragraph" w:customStyle="1" w:styleId="690">
    <w:name w:val="样式 标题 1 + 黑体 四号"/>
    <w:basedOn w:val="2"/>
    <w:qFormat/>
    <w:uiPriority w:val="0"/>
    <w:pPr>
      <w:spacing w:before="0" w:after="0" w:line="480" w:lineRule="auto"/>
    </w:pPr>
    <w:rPr>
      <w:rFonts w:ascii="宋体"/>
      <w:sz w:val="24"/>
      <w:szCs w:val="24"/>
    </w:rPr>
  </w:style>
  <w:style w:type="paragraph" w:customStyle="1" w:styleId="691">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692">
    <w:name w:val="正文hh"/>
    <w:basedOn w:val="1"/>
    <w:qFormat/>
    <w:uiPriority w:val="0"/>
    <w:pPr>
      <w:spacing w:line="360" w:lineRule="auto"/>
      <w:ind w:firstLine="200" w:firstLineChars="200"/>
    </w:pPr>
    <w:rPr>
      <w:rFonts w:cs="宋体"/>
      <w:sz w:val="24"/>
      <w:szCs w:val="20"/>
    </w:rPr>
  </w:style>
  <w:style w:type="paragraph" w:customStyle="1" w:styleId="693">
    <w:name w:val="仿宋黑"/>
    <w:basedOn w:val="356"/>
    <w:qFormat/>
    <w:uiPriority w:val="0"/>
    <w:pPr>
      <w:snapToGrid w:val="0"/>
      <w:ind w:firstLine="567"/>
    </w:pPr>
    <w:rPr>
      <w:rFonts w:ascii="Times New Roman" w:eastAsia="仿宋_GB2312"/>
      <w:b/>
      <w:spacing w:val="20"/>
    </w:rPr>
  </w:style>
  <w:style w:type="paragraph" w:customStyle="1" w:styleId="694">
    <w:name w:val="TOC 标题2"/>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695">
    <w:name w:val="标题02"/>
    <w:basedOn w:val="596"/>
    <w:qFormat/>
    <w:uiPriority w:val="0"/>
    <w:pPr>
      <w:spacing w:before="0"/>
    </w:pPr>
  </w:style>
  <w:style w:type="paragraph" w:customStyle="1" w:styleId="696">
    <w:name w:val="样式4"/>
    <w:basedOn w:val="6"/>
    <w:qFormat/>
    <w:uiPriority w:val="0"/>
    <w:pPr>
      <w:tabs>
        <w:tab w:val="clear" w:pos="287"/>
      </w:tabs>
      <w:spacing w:before="260" w:after="260" w:line="415" w:lineRule="auto"/>
      <w:ind w:left="0"/>
      <w:jc w:val="both"/>
    </w:pPr>
    <w:rPr>
      <w:rFonts w:ascii="Times New Roman"/>
      <w:bCs/>
      <w:sz w:val="32"/>
      <w:szCs w:val="32"/>
    </w:rPr>
  </w:style>
  <w:style w:type="paragraph" w:customStyle="1" w:styleId="697">
    <w:name w:val="00x1"/>
    <w:basedOn w:val="522"/>
    <w:qFormat/>
    <w:uiPriority w:val="0"/>
    <w:pPr>
      <w:ind w:right="0"/>
    </w:pPr>
  </w:style>
  <w:style w:type="paragraph" w:customStyle="1" w:styleId="698">
    <w:name w:val="字母编号列项（一级）"/>
    <w:qFormat/>
    <w:uiPriority w:val="0"/>
    <w:pPr>
      <w:ind w:left="713" w:hanging="360"/>
      <w:jc w:val="both"/>
    </w:pPr>
    <w:rPr>
      <w:rFonts w:ascii="宋体" w:hAnsi="Times New Roman" w:eastAsia="宋体" w:cs="Times New Roman"/>
      <w:sz w:val="21"/>
      <w:lang w:val="en-US" w:eastAsia="zh-CN" w:bidi="ar-SA"/>
    </w:rPr>
  </w:style>
  <w:style w:type="paragraph" w:customStyle="1" w:styleId="699">
    <w:name w:val="大项目"/>
    <w:basedOn w:val="1"/>
    <w:qFormat/>
    <w:uiPriority w:val="0"/>
    <w:pPr>
      <w:tabs>
        <w:tab w:val="left" w:pos="420"/>
        <w:tab w:val="left" w:pos="2780"/>
      </w:tabs>
      <w:spacing w:line="360" w:lineRule="auto"/>
      <w:ind w:left="420" w:hanging="420"/>
    </w:pPr>
    <w:rPr>
      <w:rFonts w:ascii="宋体" w:cs="Arial Unicode MS"/>
      <w:b/>
      <w:sz w:val="24"/>
      <w:szCs w:val="18"/>
    </w:rPr>
  </w:style>
  <w:style w:type="paragraph" w:customStyle="1" w:styleId="700">
    <w:name w:val="Char Char Char1 Char2"/>
    <w:basedOn w:val="1"/>
    <w:qFormat/>
    <w:uiPriority w:val="0"/>
  </w:style>
  <w:style w:type="paragraph" w:customStyle="1" w:styleId="701">
    <w:name w:val="样式 标题 2 + Times New Roman 行距: 固定值 24 磅"/>
    <w:basedOn w:val="3"/>
    <w:qFormat/>
    <w:uiPriority w:val="0"/>
    <w:pPr>
      <w:keepNext/>
      <w:widowControl/>
      <w:adjustRightInd w:val="0"/>
      <w:spacing w:before="240" w:after="60" w:line="480" w:lineRule="exact"/>
      <w:ind w:left="0"/>
      <w:jc w:val="left"/>
      <w:textAlignment w:val="baseline"/>
    </w:pPr>
    <w:rPr>
      <w:rFonts w:eastAsia="宋体"/>
      <w:bCs/>
      <w:i/>
      <w:iCs/>
      <w:kern w:val="0"/>
      <w:sz w:val="28"/>
      <w:szCs w:val="28"/>
      <w:lang w:bidi="en-US"/>
    </w:rPr>
  </w:style>
  <w:style w:type="paragraph" w:customStyle="1" w:styleId="702">
    <w:name w:val="4"/>
    <w:basedOn w:val="1"/>
    <w:qFormat/>
    <w:uiPriority w:val="0"/>
    <w:pPr>
      <w:widowControl/>
      <w:spacing w:after="160" w:line="240" w:lineRule="exact"/>
      <w:jc w:val="left"/>
    </w:pPr>
    <w:rPr>
      <w:rFonts w:ascii="Verdana" w:hAnsi="Verdana" w:eastAsia="仿宋_GB2312"/>
      <w:kern w:val="0"/>
      <w:sz w:val="24"/>
      <w:szCs w:val="20"/>
    </w:rPr>
  </w:style>
  <w:style w:type="paragraph" w:customStyle="1" w:styleId="703">
    <w:name w:val="Prop_Text"/>
    <w:basedOn w:val="30"/>
    <w:qFormat/>
    <w:uiPriority w:val="0"/>
    <w:pPr>
      <w:widowControl/>
      <w:tabs>
        <w:tab w:val="clear" w:pos="574"/>
      </w:tabs>
      <w:spacing w:line="240" w:lineRule="auto"/>
    </w:pPr>
    <w:rPr>
      <w:rFonts w:ascii="Garamond" w:hAnsi="Garamond"/>
      <w:kern w:val="0"/>
      <w:sz w:val="22"/>
    </w:rPr>
  </w:style>
  <w:style w:type="paragraph" w:customStyle="1" w:styleId="704">
    <w:name w:val="普通 (Web)"/>
    <w:basedOn w:val="1"/>
    <w:qFormat/>
    <w:uiPriority w:val="0"/>
    <w:pPr>
      <w:widowControl/>
      <w:spacing w:before="100" w:beforeAutospacing="1" w:after="100" w:afterAutospacing="1"/>
      <w:jc w:val="left"/>
    </w:pPr>
    <w:rPr>
      <w:rFonts w:ascii="宋体"/>
      <w:kern w:val="0"/>
      <w:sz w:val="24"/>
      <w:szCs w:val="20"/>
    </w:rPr>
  </w:style>
  <w:style w:type="paragraph" w:customStyle="1" w:styleId="705">
    <w:name w:val="Char Char Char Char Char Char Char Char1"/>
    <w:basedOn w:val="1"/>
    <w:qFormat/>
    <w:uiPriority w:val="0"/>
  </w:style>
  <w:style w:type="paragraph" w:customStyle="1" w:styleId="706">
    <w:name w:val="CM27"/>
    <w:basedOn w:val="238"/>
    <w:next w:val="238"/>
    <w:qFormat/>
    <w:uiPriority w:val="0"/>
    <w:pPr>
      <w:spacing w:after="200" w:line="558" w:lineRule="atLeast"/>
    </w:pPr>
    <w:rPr>
      <w:rFonts w:ascii="Calibri" w:hAnsi="Calibri" w:cs="Times New Roman"/>
      <w:color w:val="auto"/>
      <w:szCs w:val="22"/>
    </w:rPr>
  </w:style>
  <w:style w:type="paragraph" w:customStyle="1" w:styleId="707">
    <w:name w:val="正文内容"/>
    <w:basedOn w:val="1"/>
    <w:qFormat/>
    <w:uiPriority w:val="0"/>
    <w:pPr>
      <w:spacing w:beforeLines="50" w:afterLines="50" w:line="360" w:lineRule="auto"/>
      <w:ind w:firstLine="200" w:firstLineChars="200"/>
    </w:pPr>
    <w:rPr>
      <w:sz w:val="24"/>
      <w:szCs w:val="20"/>
    </w:rPr>
  </w:style>
  <w:style w:type="paragraph" w:customStyle="1" w:styleId="708">
    <w:name w:val="Char Char2 Char Char"/>
    <w:basedOn w:val="1"/>
    <w:qFormat/>
    <w:uiPriority w:val="0"/>
    <w:pPr>
      <w:widowControl/>
      <w:spacing w:after="160" w:line="240" w:lineRule="exact"/>
      <w:jc w:val="left"/>
    </w:pPr>
    <w:rPr>
      <w:szCs w:val="20"/>
    </w:rPr>
  </w:style>
  <w:style w:type="paragraph" w:customStyle="1" w:styleId="709">
    <w:name w:val="Char Char Char Char Char Char2"/>
    <w:basedOn w:val="24"/>
    <w:qFormat/>
    <w:uiPriority w:val="0"/>
    <w:rPr>
      <w:rFonts w:ascii="Tahoma" w:hAnsi="Tahoma" w:eastAsia="宋体"/>
      <w:sz w:val="24"/>
      <w:szCs w:val="24"/>
    </w:rPr>
  </w:style>
  <w:style w:type="paragraph" w:customStyle="1" w:styleId="710">
    <w:name w:val="Identation 2"/>
    <w:qFormat/>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宋体" w:cs="Times New Roman"/>
      <w:color w:val="000000"/>
      <w:sz w:val="24"/>
      <w:lang w:val="en-US" w:eastAsia="zh-CN" w:bidi="ar-SA"/>
    </w:rPr>
  </w:style>
  <w:style w:type="paragraph" w:customStyle="1" w:styleId="711">
    <w:name w:val="Paragraphe 4"/>
    <w:qFormat/>
    <w:uiPriority w:val="0"/>
    <w:pPr>
      <w:overflowPunct w:val="0"/>
      <w:autoSpaceDE w:val="0"/>
      <w:autoSpaceDN w:val="0"/>
      <w:adjustRightInd w:val="0"/>
      <w:spacing w:before="141"/>
      <w:ind w:left="697"/>
      <w:jc w:val="both"/>
      <w:textAlignment w:val="baseline"/>
    </w:pPr>
    <w:rPr>
      <w:rFonts w:ascii="Tms Rmn" w:hAnsi="Tms Rmn" w:eastAsia="宋体" w:cs="Times New Roman"/>
      <w:b/>
      <w:caps/>
      <w:color w:val="000000"/>
      <w:sz w:val="24"/>
      <w:u w:val="single"/>
      <w:lang w:val="en-US" w:eastAsia="zh-CN" w:bidi="ar-SA"/>
    </w:rPr>
  </w:style>
  <w:style w:type="paragraph" w:customStyle="1" w:styleId="712">
    <w:name w:val="题目"/>
    <w:basedOn w:val="520"/>
    <w:qFormat/>
    <w:uiPriority w:val="0"/>
    <w:pPr>
      <w:spacing w:beforeLines="150" w:afterLines="150"/>
    </w:pPr>
    <w:rPr>
      <w:rFonts w:eastAsia="黑体"/>
      <w:sz w:val="48"/>
    </w:rPr>
  </w:style>
  <w:style w:type="paragraph" w:customStyle="1" w:styleId="713">
    <w:name w:val="_vaiBullet"/>
    <w:basedOn w:val="1"/>
    <w:qFormat/>
    <w:uiPriority w:val="0"/>
    <w:pPr>
      <w:widowControl/>
      <w:tabs>
        <w:tab w:val="left" w:pos="360"/>
      </w:tabs>
      <w:spacing w:line="288" w:lineRule="auto"/>
      <w:ind w:left="360" w:hanging="360"/>
      <w:jc w:val="left"/>
    </w:pPr>
    <w:rPr>
      <w:rFonts w:ascii="Arial" w:hAnsi="Arial"/>
      <w:kern w:val="0"/>
      <w:sz w:val="22"/>
      <w:szCs w:val="20"/>
    </w:rPr>
  </w:style>
  <w:style w:type="paragraph" w:customStyle="1" w:styleId="714">
    <w:name w:val="单位"/>
    <w:basedOn w:val="1"/>
    <w:qFormat/>
    <w:uiPriority w:val="0"/>
    <w:pPr>
      <w:spacing w:beforeLines="50" w:afterLines="50" w:line="360" w:lineRule="auto"/>
      <w:jc w:val="center"/>
    </w:pPr>
    <w:rPr>
      <w:rFonts w:eastAsia="黑体"/>
      <w:sz w:val="32"/>
      <w:szCs w:val="20"/>
    </w:rPr>
  </w:style>
  <w:style w:type="paragraph" w:customStyle="1" w:styleId="715">
    <w:name w:val="正文文本 31"/>
    <w:basedOn w:val="1"/>
    <w:qFormat/>
    <w:uiPriority w:val="0"/>
    <w:pPr>
      <w:adjustRightInd w:val="0"/>
      <w:spacing w:line="360" w:lineRule="auto"/>
      <w:jc w:val="center"/>
      <w:textAlignment w:val="baseline"/>
    </w:pPr>
    <w:rPr>
      <w:rFonts w:ascii="宋体"/>
      <w:b/>
      <w:color w:val="FF0000"/>
      <w:kern w:val="0"/>
      <w:sz w:val="24"/>
      <w:szCs w:val="20"/>
      <w:u w:val="single"/>
    </w:rPr>
  </w:style>
  <w:style w:type="paragraph" w:customStyle="1" w:styleId="716">
    <w:name w:val="CM81"/>
    <w:basedOn w:val="238"/>
    <w:next w:val="238"/>
    <w:qFormat/>
    <w:uiPriority w:val="0"/>
    <w:pPr>
      <w:spacing w:after="410" w:line="276" w:lineRule="auto"/>
    </w:pPr>
    <w:rPr>
      <w:rFonts w:ascii="Calibri" w:hAnsi="Calibri" w:cs="Times New Roman"/>
      <w:color w:val="auto"/>
      <w:szCs w:val="22"/>
    </w:rPr>
  </w:style>
  <w:style w:type="paragraph" w:customStyle="1" w:styleId="717">
    <w:name w:val="样式 标题 1 + 黑体 三号 非加粗 居中 段前: 6 磅 段后: 6 磅 行距: 固定值 20 磅"/>
    <w:basedOn w:val="2"/>
    <w:qFormat/>
    <w:uiPriority w:val="0"/>
    <w:pPr>
      <w:spacing w:before="120" w:after="120" w:line="400" w:lineRule="exact"/>
      <w:jc w:val="center"/>
    </w:pPr>
    <w:rPr>
      <w:rFonts w:ascii="黑体" w:eastAsia="黑体" w:cs="宋体"/>
      <w:b w:val="0"/>
      <w:bCs w:val="0"/>
      <w:sz w:val="32"/>
      <w:szCs w:val="20"/>
    </w:rPr>
  </w:style>
  <w:style w:type="paragraph" w:customStyle="1" w:styleId="718">
    <w:name w:val="CM19"/>
    <w:basedOn w:val="238"/>
    <w:next w:val="238"/>
    <w:qFormat/>
    <w:uiPriority w:val="0"/>
    <w:pPr>
      <w:spacing w:after="200" w:line="558" w:lineRule="atLeast"/>
    </w:pPr>
    <w:rPr>
      <w:rFonts w:ascii="Calibri" w:hAnsi="Calibri" w:cs="Times New Roman"/>
      <w:color w:val="auto"/>
      <w:szCs w:val="22"/>
    </w:rPr>
  </w:style>
  <w:style w:type="paragraph" w:customStyle="1" w:styleId="719">
    <w:name w:val="Char Char Char Char Char Char1 Char Char Char Char Char Char Char Char Char2"/>
    <w:basedOn w:val="1"/>
    <w:qFormat/>
    <w:uiPriority w:val="0"/>
    <w:pPr>
      <w:adjustRightInd w:val="0"/>
      <w:spacing w:line="360" w:lineRule="auto"/>
    </w:pPr>
    <w:rPr>
      <w:rFonts w:eastAsia="Times New Roman"/>
      <w:kern w:val="0"/>
      <w:sz w:val="20"/>
      <w:szCs w:val="20"/>
    </w:rPr>
  </w:style>
  <w:style w:type="paragraph" w:customStyle="1" w:styleId="720">
    <w:name w:val="??"/>
    <w:qFormat/>
    <w:uiPriority w:val="0"/>
    <w:pPr>
      <w:widowControl w:val="0"/>
      <w:overflowPunct w:val="0"/>
      <w:autoSpaceDE w:val="0"/>
      <w:autoSpaceDN w:val="0"/>
      <w:adjustRightInd w:val="0"/>
      <w:spacing w:after="200" w:line="276" w:lineRule="auto"/>
      <w:jc w:val="both"/>
      <w:textAlignment w:val="baseline"/>
    </w:pPr>
    <w:rPr>
      <w:rFonts w:ascii="Calibri" w:hAnsi="Calibri" w:eastAsia="宋体" w:cs="Times New Roman"/>
      <w:kern w:val="2"/>
      <w:sz w:val="21"/>
      <w:szCs w:val="22"/>
      <w:lang w:val="en-US" w:eastAsia="zh-CN" w:bidi="ar-SA"/>
    </w:rPr>
  </w:style>
  <w:style w:type="paragraph" w:customStyle="1" w:styleId="721">
    <w:name w:val="Char Char1 Char Char1 Char Char Char Char Char Char Char Char2"/>
    <w:basedOn w:val="1"/>
    <w:qFormat/>
    <w:uiPriority w:val="0"/>
    <w:pPr>
      <w:adjustRightInd w:val="0"/>
      <w:spacing w:line="360" w:lineRule="auto"/>
    </w:pPr>
    <w:rPr>
      <w:rFonts w:eastAsia="Times New Roman"/>
      <w:kern w:val="0"/>
      <w:sz w:val="20"/>
      <w:szCs w:val="20"/>
    </w:rPr>
  </w:style>
  <w:style w:type="paragraph" w:customStyle="1" w:styleId="722">
    <w:name w:val="正文-带编号1)"/>
    <w:basedOn w:val="1"/>
    <w:qFormat/>
    <w:uiPriority w:val="0"/>
    <w:pPr>
      <w:tabs>
        <w:tab w:val="left" w:pos="1080"/>
      </w:tabs>
      <w:spacing w:line="400" w:lineRule="exact"/>
      <w:ind w:left="1080" w:hanging="1080"/>
    </w:pPr>
    <w:rPr>
      <w:rFonts w:ascii="Arial" w:hAnsi="Arial"/>
    </w:rPr>
  </w:style>
  <w:style w:type="paragraph" w:customStyle="1" w:styleId="723">
    <w:name w:val="11"/>
    <w:basedOn w:val="1"/>
    <w:qFormat/>
    <w:uiPriority w:val="0"/>
    <w:pPr>
      <w:widowControl/>
      <w:overflowPunct w:val="0"/>
      <w:autoSpaceDE w:val="0"/>
      <w:autoSpaceDN w:val="0"/>
      <w:adjustRightInd w:val="0"/>
      <w:ind w:left="600" w:hanging="600"/>
      <w:textAlignment w:val="baseline"/>
    </w:pPr>
    <w:rPr>
      <w:rFonts w:ascii="Bookman Old Style" w:hAnsi="Bookman Old Style"/>
      <w:bCs/>
      <w:kern w:val="0"/>
      <w:sz w:val="22"/>
      <w:szCs w:val="20"/>
    </w:rPr>
  </w:style>
  <w:style w:type="paragraph" w:customStyle="1" w:styleId="724">
    <w:name w:val="样式 样式 标题 2 + Times New Roman 行距: 固定值 24 磅 + 宋体"/>
    <w:basedOn w:val="701"/>
    <w:qFormat/>
    <w:uiPriority w:val="0"/>
    <w:rPr>
      <w:rFonts w:ascii="宋体"/>
      <w:kern w:val="2"/>
    </w:rPr>
  </w:style>
  <w:style w:type="paragraph" w:customStyle="1" w:styleId="725">
    <w:name w:val="纯文本11"/>
    <w:basedOn w:val="1"/>
    <w:qFormat/>
    <w:uiPriority w:val="0"/>
    <w:pPr>
      <w:adjustRightInd w:val="0"/>
      <w:spacing w:line="360" w:lineRule="atLeast"/>
    </w:pPr>
    <w:rPr>
      <w:rFonts w:ascii="宋体"/>
      <w:sz w:val="28"/>
      <w:szCs w:val="20"/>
    </w:rPr>
  </w:style>
  <w:style w:type="paragraph" w:customStyle="1" w:styleId="726">
    <w:name w:val="APPENDIX"/>
    <w:qFormat/>
    <w:uiPriority w:val="0"/>
    <w:pPr>
      <w:overflowPunct w:val="0"/>
      <w:autoSpaceDE w:val="0"/>
      <w:autoSpaceDN w:val="0"/>
      <w:adjustRightInd w:val="0"/>
      <w:spacing w:before="120"/>
      <w:textAlignment w:val="baseline"/>
    </w:pPr>
    <w:rPr>
      <w:rFonts w:ascii="宋体" w:hAnsi="Times New Roman" w:eastAsia="宋体" w:cs="Times New Roman"/>
      <w:b/>
      <w:caps/>
      <w:color w:val="000000"/>
      <w:sz w:val="28"/>
      <w:u w:val="single"/>
      <w:lang w:val="en-US" w:eastAsia="zh-CN" w:bidi="ar-SA"/>
    </w:rPr>
  </w:style>
  <w:style w:type="paragraph" w:customStyle="1" w:styleId="727">
    <w:name w:val="规格书正文"/>
    <w:basedOn w:val="1"/>
    <w:qFormat/>
    <w:uiPriority w:val="0"/>
    <w:pPr>
      <w:tabs>
        <w:tab w:val="left" w:pos="425"/>
        <w:tab w:val="left" w:pos="850"/>
        <w:tab w:val="left" w:pos="1275"/>
        <w:tab w:val="left" w:pos="1700"/>
        <w:tab w:val="left" w:pos="2125"/>
        <w:tab w:val="left" w:pos="2550"/>
        <w:tab w:val="left" w:pos="2610"/>
        <w:tab w:val="left" w:pos="3400"/>
        <w:tab w:val="left" w:pos="3825"/>
        <w:tab w:val="left" w:pos="4290"/>
      </w:tabs>
      <w:adjustRightInd w:val="0"/>
      <w:snapToGrid w:val="0"/>
      <w:spacing w:beforeLines="50" w:afterLines="50" w:line="440" w:lineRule="exact"/>
      <w:ind w:left="202" w:leftChars="202" w:right="284" w:firstLine="100" w:firstLineChars="100"/>
      <w:jc w:val="left"/>
    </w:pPr>
    <w:rPr>
      <w:rFonts w:ascii="宋体"/>
      <w:sz w:val="24"/>
      <w:szCs w:val="21"/>
    </w:rPr>
  </w:style>
  <w:style w:type="paragraph" w:customStyle="1" w:styleId="728">
    <w:name w:val="正文，首行缩进:"/>
    <w:basedOn w:val="1"/>
    <w:qFormat/>
    <w:uiPriority w:val="0"/>
    <w:pPr>
      <w:widowControl/>
      <w:tabs>
        <w:tab w:val="left" w:pos="3376"/>
      </w:tabs>
      <w:ind w:firstLine="480"/>
    </w:pPr>
    <w:rPr>
      <w:rFonts w:ascii="宋体"/>
      <w:kern w:val="0"/>
      <w:sz w:val="24"/>
    </w:rPr>
  </w:style>
  <w:style w:type="paragraph" w:customStyle="1" w:styleId="729">
    <w:name w:val="TOC 标题3"/>
    <w:basedOn w:val="2"/>
    <w:next w:val="1"/>
    <w:qFormat/>
    <w:uiPriority w:val="0"/>
    <w:pPr>
      <w:outlineLvl w:val="9"/>
    </w:pPr>
  </w:style>
  <w:style w:type="character" w:customStyle="1" w:styleId="730">
    <w:name w:val="章节标题 Char"/>
    <w:qFormat/>
    <w:uiPriority w:val="0"/>
    <w:rPr>
      <w:rFonts w:eastAsia="宋体"/>
      <w:b/>
      <w:bCs/>
      <w:kern w:val="44"/>
      <w:sz w:val="44"/>
      <w:szCs w:val="44"/>
      <w:lang w:val="en-US" w:eastAsia="zh-CN" w:bidi="he-IL"/>
    </w:rPr>
  </w:style>
  <w:style w:type="character" w:customStyle="1" w:styleId="731">
    <w:name w:val="正文缩进 Char1"/>
    <w:qFormat/>
    <w:uiPriority w:val="0"/>
    <w:rPr>
      <w:rFonts w:eastAsia="仿宋_GB2312"/>
      <w:kern w:val="2"/>
      <w:sz w:val="32"/>
    </w:rPr>
  </w:style>
  <w:style w:type="paragraph" w:customStyle="1" w:styleId="732">
    <w:name w:val="_Style 3"/>
    <w:basedOn w:val="1"/>
    <w:qFormat/>
    <w:uiPriority w:val="0"/>
    <w:pPr>
      <w:widowControl/>
      <w:ind w:firstLine="200" w:firstLineChars="200"/>
      <w:jc w:val="left"/>
    </w:pPr>
    <w:rPr>
      <w:rFonts w:ascii="Calibri" w:hAnsi="Calibri"/>
      <w:kern w:val="0"/>
      <w:sz w:val="24"/>
    </w:rPr>
  </w:style>
  <w:style w:type="paragraph" w:customStyle="1" w:styleId="733">
    <w:name w:val="CM1"/>
    <w:basedOn w:val="1"/>
    <w:next w:val="1"/>
    <w:qFormat/>
    <w:uiPriority w:val="0"/>
    <w:pPr>
      <w:autoSpaceDE w:val="0"/>
      <w:autoSpaceDN w:val="0"/>
      <w:adjustRightInd w:val="0"/>
      <w:spacing w:line="468" w:lineRule="atLeast"/>
      <w:jc w:val="left"/>
    </w:pPr>
    <w:rPr>
      <w:rFonts w:ascii="Century Gothic" w:hAnsi="Century Gothic"/>
      <w:kern w:val="0"/>
      <w:sz w:val="24"/>
    </w:rPr>
  </w:style>
  <w:style w:type="paragraph" w:customStyle="1" w:styleId="734">
    <w:name w:val="文字正文"/>
    <w:basedOn w:val="1"/>
    <w:qFormat/>
    <w:uiPriority w:val="0"/>
    <w:pPr>
      <w:spacing w:line="500" w:lineRule="exact"/>
      <w:ind w:firstLine="200" w:firstLineChars="200"/>
      <w:contextualSpacing/>
    </w:pPr>
    <w:rPr>
      <w:rFonts w:ascii="Calibri" w:hAnsi="Calibri"/>
      <w:kern w:val="0"/>
      <w:sz w:val="24"/>
      <w:szCs w:val="28"/>
    </w:rPr>
  </w:style>
  <w:style w:type="paragraph" w:customStyle="1" w:styleId="735">
    <w:name w:val="表格后正文"/>
    <w:basedOn w:val="1"/>
    <w:qFormat/>
    <w:uiPriority w:val="0"/>
    <w:pPr>
      <w:tabs>
        <w:tab w:val="left" w:pos="567"/>
      </w:tabs>
      <w:spacing w:before="200" w:line="360" w:lineRule="auto"/>
      <w:ind w:firstLine="200" w:firstLineChars="200"/>
    </w:pPr>
    <w:rPr>
      <w:rFonts w:eastAsia="华文中宋"/>
      <w:sz w:val="24"/>
    </w:rPr>
  </w:style>
  <w:style w:type="character" w:customStyle="1" w:styleId="736">
    <w:name w:val="标题 2 Char1"/>
    <w:qFormat/>
    <w:uiPriority w:val="0"/>
    <w:rPr>
      <w:rFonts w:ascii="Arial" w:hAnsi="Arial" w:eastAsia="黑体"/>
      <w:b/>
      <w:kern w:val="2"/>
      <w:sz w:val="32"/>
    </w:rPr>
  </w:style>
  <w:style w:type="character" w:customStyle="1" w:styleId="737">
    <w:name w:val="页眉 字符"/>
    <w:qFormat/>
    <w:uiPriority w:val="0"/>
  </w:style>
  <w:style w:type="paragraph" w:customStyle="1" w:styleId="738">
    <w:name w:val="纯文本2"/>
    <w:basedOn w:val="1"/>
    <w:qFormat/>
    <w:uiPriority w:val="0"/>
    <w:pPr>
      <w:widowControl/>
      <w:jc w:val="left"/>
    </w:pPr>
    <w:rPr>
      <w:rFonts w:ascii="宋体"/>
      <w:szCs w:val="20"/>
    </w:rPr>
  </w:style>
  <w:style w:type="paragraph" w:customStyle="1" w:styleId="739">
    <w:name w:val="纯文本3"/>
    <w:basedOn w:val="1"/>
    <w:qFormat/>
    <w:uiPriority w:val="0"/>
    <w:pPr>
      <w:widowControl/>
      <w:jc w:val="left"/>
    </w:pPr>
    <w:rPr>
      <w:rFonts w:ascii="宋体"/>
      <w:szCs w:val="20"/>
    </w:rPr>
  </w:style>
  <w:style w:type="paragraph" w:customStyle="1" w:styleId="740">
    <w:name w:val="鼎虎正文"/>
    <w:basedOn w:val="1"/>
    <w:qFormat/>
    <w:uiPriority w:val="0"/>
    <w:pPr>
      <w:widowControl/>
      <w:spacing w:line="360" w:lineRule="auto"/>
      <w:ind w:firstLine="200" w:firstLineChars="200"/>
    </w:pPr>
    <w:rPr>
      <w:sz w:val="24"/>
    </w:rPr>
  </w:style>
  <w:style w:type="paragraph" w:customStyle="1" w:styleId="741">
    <w:name w:val="Revision_3476e043-4f61-41f6-97ff-02256ffd5097"/>
    <w:qFormat/>
    <w:uiPriority w:val="0"/>
    <w:rPr>
      <w:rFonts w:ascii="Times New Roman" w:hAnsi="Times New Roman" w:eastAsia="宋体" w:cs="Times New Roman"/>
      <w:kern w:val="2"/>
      <w:sz w:val="21"/>
      <w:szCs w:val="24"/>
      <w:lang w:val="en-US" w:eastAsia="zh-CN" w:bidi="ar-SA"/>
    </w:rPr>
  </w:style>
  <w:style w:type="paragraph" w:customStyle="1" w:styleId="742">
    <w:name w:val="_Style 760"/>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743">
    <w:name w:val="注释标题 Char2"/>
    <w:qFormat/>
    <w:uiPriority w:val="0"/>
    <w:rPr>
      <w:rFonts w:ascii="宋体" w:eastAsia="宋体" w:cs="Times New Roman"/>
      <w:kern w:val="0"/>
      <w:sz w:val="24"/>
      <w:szCs w:val="24"/>
      <w:lang w:bidi="en-US"/>
    </w:rPr>
  </w:style>
  <w:style w:type="character" w:customStyle="1" w:styleId="744">
    <w:name w:val="文档结构图 Char1"/>
    <w:qFormat/>
    <w:uiPriority w:val="0"/>
    <w:rPr>
      <w:rFonts w:ascii="Times New Roman" w:hAnsi="Times New Roman" w:eastAsia="仿宋_GB2312" w:cs="Times New Roman"/>
      <w:sz w:val="32"/>
      <w:szCs w:val="20"/>
      <w:shd w:val="clear" w:color="auto" w:fill="000080"/>
    </w:rPr>
  </w:style>
  <w:style w:type="character" w:customStyle="1" w:styleId="745">
    <w:name w:val="批注文字 Char1"/>
    <w:qFormat/>
    <w:uiPriority w:val="0"/>
    <w:rPr>
      <w:rFonts w:ascii="Times New Roman" w:hAnsi="Times New Roman" w:eastAsia="仿宋_GB2312" w:cs="Times New Roman"/>
      <w:sz w:val="32"/>
      <w:szCs w:val="20"/>
    </w:rPr>
  </w:style>
  <w:style w:type="character" w:customStyle="1" w:styleId="746">
    <w:name w:val="称呼 Char1"/>
    <w:qFormat/>
    <w:uiPriority w:val="0"/>
    <w:rPr>
      <w:rFonts w:ascii="Times New Roman" w:hAnsi="Times New Roman" w:eastAsia="Times New Roman" w:cs="Times New Roman"/>
      <w:color w:val="0000FF"/>
      <w:kern w:val="0"/>
      <w:szCs w:val="20"/>
    </w:rPr>
  </w:style>
  <w:style w:type="character" w:customStyle="1" w:styleId="747">
    <w:name w:val="正文文本 3 Char1"/>
    <w:qFormat/>
    <w:uiPriority w:val="0"/>
    <w:rPr>
      <w:rFonts w:ascii="Times New Roman" w:hAnsi="Times New Roman" w:eastAsia="宋体" w:cs="Times New Roman"/>
      <w:color w:val="FF0000"/>
      <w:kern w:val="0"/>
      <w:sz w:val="24"/>
      <w:szCs w:val="20"/>
    </w:rPr>
  </w:style>
  <w:style w:type="character" w:customStyle="1" w:styleId="748">
    <w:name w:val="结束语 Char1"/>
    <w:qFormat/>
    <w:uiPriority w:val="0"/>
    <w:rPr>
      <w:rFonts w:ascii="Times New Roman" w:hAnsi="Times New Roman" w:eastAsia="Times New Roman" w:cs="Times New Roman"/>
      <w:color w:val="0000FF"/>
      <w:kern w:val="0"/>
      <w:szCs w:val="20"/>
    </w:rPr>
  </w:style>
  <w:style w:type="character" w:customStyle="1" w:styleId="749">
    <w:name w:val="正文文本缩进 Char1"/>
    <w:qFormat/>
    <w:uiPriority w:val="0"/>
    <w:rPr>
      <w:rFonts w:ascii="Times New Roman" w:hAnsi="Times New Roman" w:eastAsia="仿宋_GB2312" w:cs="Times New Roman"/>
      <w:sz w:val="32"/>
      <w:szCs w:val="20"/>
    </w:rPr>
  </w:style>
  <w:style w:type="character" w:customStyle="1" w:styleId="750">
    <w:name w:val="纯文本 Char2"/>
    <w:qFormat/>
    <w:uiPriority w:val="0"/>
    <w:rPr>
      <w:rFonts w:ascii="宋体" w:eastAsia="宋体" w:cs="Times New Roman"/>
      <w:szCs w:val="20"/>
    </w:rPr>
  </w:style>
  <w:style w:type="character" w:customStyle="1" w:styleId="751">
    <w:name w:val="日期 Char2"/>
    <w:qFormat/>
    <w:uiPriority w:val="0"/>
    <w:rPr>
      <w:rFonts w:ascii="Times New Roman" w:hAnsi="Times New Roman" w:eastAsia="仿宋_GB2312" w:cs="Times New Roman"/>
      <w:sz w:val="28"/>
      <w:szCs w:val="20"/>
    </w:rPr>
  </w:style>
  <w:style w:type="character" w:customStyle="1" w:styleId="752">
    <w:name w:val="正文文本缩进 2 Char1"/>
    <w:qFormat/>
    <w:uiPriority w:val="0"/>
    <w:rPr>
      <w:rFonts w:ascii="Times New Roman" w:hAnsi="Times New Roman" w:eastAsia="仿宋_GB2312" w:cs="Times New Roman"/>
      <w:color w:val="000080"/>
      <w:sz w:val="30"/>
      <w:szCs w:val="20"/>
    </w:rPr>
  </w:style>
  <w:style w:type="character" w:customStyle="1" w:styleId="753">
    <w:name w:val="尾注文本 Char2"/>
    <w:qFormat/>
    <w:uiPriority w:val="0"/>
    <w:rPr>
      <w:rFonts w:ascii="宋体" w:eastAsia="宋体" w:cs="Times New Roman"/>
      <w:sz w:val="24"/>
      <w:szCs w:val="20"/>
    </w:rPr>
  </w:style>
  <w:style w:type="character" w:customStyle="1" w:styleId="754">
    <w:name w:val="批注框文本 Char2"/>
    <w:qFormat/>
    <w:uiPriority w:val="0"/>
    <w:rPr>
      <w:rFonts w:ascii="Times New Roman" w:hAnsi="Times New Roman" w:eastAsia="宋体" w:cs="Times New Roman"/>
      <w:sz w:val="18"/>
      <w:szCs w:val="20"/>
    </w:rPr>
  </w:style>
  <w:style w:type="character" w:customStyle="1" w:styleId="755">
    <w:name w:val="副标题 Char1"/>
    <w:qFormat/>
    <w:uiPriority w:val="0"/>
    <w:rPr>
      <w:rFonts w:ascii="Arial" w:hAnsi="Arial" w:eastAsia="Times New Roman" w:cs="Times New Roman"/>
      <w:b/>
      <w:i/>
      <w:snapToGrid w:val="0"/>
      <w:color w:val="FF0000"/>
      <w:kern w:val="0"/>
      <w:sz w:val="28"/>
      <w:szCs w:val="20"/>
    </w:rPr>
  </w:style>
  <w:style w:type="character" w:customStyle="1" w:styleId="756">
    <w:name w:val="脚注文本 Char2"/>
    <w:qFormat/>
    <w:uiPriority w:val="0"/>
    <w:rPr>
      <w:rFonts w:ascii="Times New Roman" w:hAnsi="Times New Roman" w:eastAsia="宋体" w:cs="Times New Roman"/>
      <w:kern w:val="0"/>
      <w:sz w:val="18"/>
      <w:szCs w:val="18"/>
    </w:rPr>
  </w:style>
  <w:style w:type="character" w:customStyle="1" w:styleId="757">
    <w:name w:val="正文文本缩进 3 Char1"/>
    <w:qFormat/>
    <w:uiPriority w:val="0"/>
    <w:rPr>
      <w:rFonts w:ascii="Times New Roman" w:hAnsi="Times New Roman" w:eastAsia="宋体" w:cs="Times New Roman"/>
      <w:sz w:val="16"/>
      <w:szCs w:val="20"/>
    </w:rPr>
  </w:style>
  <w:style w:type="character" w:customStyle="1" w:styleId="758">
    <w:name w:val="正文文本 2 Char1"/>
    <w:qFormat/>
    <w:uiPriority w:val="0"/>
    <w:rPr>
      <w:rFonts w:ascii="Times New Roman" w:hAnsi="Times New Roman" w:eastAsia="宋体" w:cs="Times New Roman"/>
      <w:b/>
      <w:sz w:val="28"/>
      <w:szCs w:val="20"/>
    </w:rPr>
  </w:style>
  <w:style w:type="character" w:customStyle="1" w:styleId="759">
    <w:name w:val="信息标题 Char2"/>
    <w:qFormat/>
    <w:uiPriority w:val="0"/>
    <w:rPr>
      <w:rFonts w:ascii="Cambria" w:hAnsi="Cambria" w:eastAsia="宋体" w:cs="Times New Roman"/>
      <w:kern w:val="0"/>
      <w:sz w:val="24"/>
      <w:szCs w:val="24"/>
    </w:rPr>
  </w:style>
  <w:style w:type="character" w:customStyle="1" w:styleId="760">
    <w:name w:val="HTML 预设格式 Char1"/>
    <w:qFormat/>
    <w:uiPriority w:val="0"/>
    <w:rPr>
      <w:rFonts w:ascii="Verdana" w:hAnsi="Verdana" w:eastAsia="Verdana" w:cs="Times New Roman"/>
      <w:kern w:val="0"/>
      <w:sz w:val="20"/>
      <w:szCs w:val="20"/>
    </w:rPr>
  </w:style>
  <w:style w:type="character" w:customStyle="1" w:styleId="761">
    <w:name w:val="批注主题 Char1"/>
    <w:qFormat/>
    <w:uiPriority w:val="0"/>
    <w:rPr>
      <w:rFonts w:eastAsia="仿宋_GB2312"/>
      <w:b/>
      <w:sz w:val="32"/>
      <w:szCs w:val="20"/>
    </w:rPr>
  </w:style>
  <w:style w:type="character" w:customStyle="1" w:styleId="762">
    <w:name w:val="正文首行缩进 Char2"/>
    <w:qFormat/>
    <w:uiPriority w:val="0"/>
    <w:rPr>
      <w:sz w:val="24"/>
    </w:rPr>
  </w:style>
  <w:style w:type="character" w:customStyle="1" w:styleId="763">
    <w:name w:val="正文首行缩进 2 Char2"/>
    <w:qFormat/>
    <w:uiPriority w:val="0"/>
    <w:rPr>
      <w:rFonts w:eastAsia="仿宋_GB2312"/>
      <w:sz w:val="32"/>
      <w:szCs w:val="20"/>
    </w:rPr>
  </w:style>
  <w:style w:type="character" w:customStyle="1" w:styleId="764">
    <w:name w:val="占位符文本1"/>
    <w:qFormat/>
    <w:uiPriority w:val="0"/>
    <w:rPr>
      <w:rFonts w:cs="Times New Roman"/>
      <w:color w:val="808080"/>
    </w:rPr>
  </w:style>
  <w:style w:type="paragraph" w:customStyle="1" w:styleId="765">
    <w:name w:val="列出段落4"/>
    <w:basedOn w:val="1"/>
    <w:qFormat/>
    <w:uiPriority w:val="0"/>
    <w:pPr>
      <w:ind w:firstLine="200" w:firstLineChars="200"/>
    </w:pPr>
  </w:style>
  <w:style w:type="paragraph" w:customStyle="1" w:styleId="766">
    <w:name w:val="样式 段后: 0.25 行"/>
    <w:basedOn w:val="1"/>
    <w:qFormat/>
    <w:uiPriority w:val="0"/>
    <w:pPr>
      <w:spacing w:afterLines="25" w:line="300" w:lineRule="auto"/>
      <w:ind w:firstLine="200" w:firstLineChars="200"/>
    </w:pPr>
    <w:rPr>
      <w:rFonts w:ascii="Arial" w:hAnsi="Arial" w:cs="宋体"/>
      <w:szCs w:val="20"/>
    </w:rPr>
  </w:style>
  <w:style w:type="paragraph" w:customStyle="1" w:styleId="767">
    <w:name w:val="无间隔2"/>
    <w:qFormat/>
    <w:uiPriority w:val="0"/>
    <w:pPr>
      <w:widowControl w:val="0"/>
      <w:adjustRightInd w:val="0"/>
      <w:jc w:val="both"/>
      <w:textAlignment w:val="baseline"/>
    </w:pPr>
    <w:rPr>
      <w:rFonts w:ascii="Times New Roman" w:hAnsi="Times New Roman" w:eastAsia="宋体" w:cs="Times New Roman"/>
      <w:sz w:val="24"/>
      <w:lang w:val="en-US" w:eastAsia="zh-CN" w:bidi="ar-SA"/>
    </w:rPr>
  </w:style>
  <w:style w:type="character" w:customStyle="1" w:styleId="768">
    <w:name w:val="标题 2 字符"/>
    <w:qFormat/>
    <w:uiPriority w:val="0"/>
    <w:rPr>
      <w:rFonts w:ascii="Arial" w:hAnsi="Arial" w:eastAsia="黑体" w:cs="Times New Roman"/>
      <w:b/>
      <w:kern w:val="2"/>
      <w:sz w:val="32"/>
    </w:rPr>
  </w:style>
  <w:style w:type="character" w:customStyle="1" w:styleId="769">
    <w:name w:val="Heading 1 Char_8cfed56e-a880-45cb-8c0a-69c5b791c1f2"/>
    <w:qFormat/>
    <w:uiPriority w:val="0"/>
    <w:rPr>
      <w:rFonts w:ascii="Times New Roman" w:hAnsi="Times New Roman" w:eastAsia="宋体" w:cs="Times New Roman"/>
      <w:b/>
      <w:bCs/>
      <w:kern w:val="44"/>
      <w:sz w:val="44"/>
      <w:szCs w:val="44"/>
    </w:rPr>
  </w:style>
  <w:style w:type="character" w:customStyle="1" w:styleId="770">
    <w:name w:val="Char Char28"/>
    <w:qFormat/>
    <w:uiPriority w:val="0"/>
    <w:rPr>
      <w:rFonts w:ascii="Arial" w:hAnsi="Arial" w:eastAsia="黑体" w:cs="Times New Roman"/>
      <w:b/>
      <w:kern w:val="2"/>
      <w:sz w:val="28"/>
    </w:rPr>
  </w:style>
  <w:style w:type="character" w:customStyle="1" w:styleId="771">
    <w:name w:val="Gliederung 2 Char Char"/>
    <w:qFormat/>
    <w:uiPriority w:val="0"/>
    <w:rPr>
      <w:rFonts w:ascii="Arial" w:hAnsi="Arial" w:eastAsia="黑体" w:cs="Times New Roman"/>
      <w:b/>
      <w:kern w:val="2"/>
      <w:sz w:val="32"/>
    </w:rPr>
  </w:style>
  <w:style w:type="paragraph" w:customStyle="1" w:styleId="772">
    <w:name w:val="初设"/>
    <w:basedOn w:val="1"/>
    <w:qFormat/>
    <w:uiPriority w:val="0"/>
    <w:pPr>
      <w:adjustRightInd w:val="0"/>
      <w:snapToGrid w:val="0"/>
      <w:spacing w:line="360" w:lineRule="auto"/>
      <w:ind w:firstLine="360"/>
    </w:pPr>
    <w:rPr>
      <w:rFonts w:ascii="宋体"/>
      <w:color w:val="000000"/>
      <w:kern w:val="0"/>
      <w:sz w:val="24"/>
    </w:rPr>
  </w:style>
  <w:style w:type="paragraph" w:customStyle="1" w:styleId="773">
    <w:name w:val="_Style 7"/>
    <w:basedOn w:val="1"/>
    <w:qFormat/>
    <w:uiPriority w:val="0"/>
    <w:rPr>
      <w:kern w:val="0"/>
      <w:sz w:val="20"/>
      <w:szCs w:val="20"/>
    </w:rPr>
  </w:style>
  <w:style w:type="paragraph" w:customStyle="1" w:styleId="774">
    <w:name w:val="CM21"/>
    <w:basedOn w:val="1"/>
    <w:next w:val="1"/>
    <w:qFormat/>
    <w:uiPriority w:val="0"/>
    <w:pPr>
      <w:autoSpaceDE w:val="0"/>
      <w:autoSpaceDN w:val="0"/>
      <w:adjustRightInd w:val="0"/>
      <w:spacing w:line="360" w:lineRule="atLeast"/>
      <w:jc w:val="left"/>
    </w:pPr>
    <w:rPr>
      <w:rFonts w:ascii="黑体" w:eastAsia="黑体"/>
      <w:kern w:val="0"/>
      <w:sz w:val="24"/>
    </w:rPr>
  </w:style>
  <w:style w:type="paragraph" w:customStyle="1" w:styleId="775">
    <w:name w:val="Absatz2AL"/>
    <w:basedOn w:val="30"/>
    <w:next w:val="1"/>
    <w:qFormat/>
    <w:uiPriority w:val="0"/>
    <w:pPr>
      <w:widowControl/>
      <w:tabs>
        <w:tab w:val="clear" w:pos="574"/>
      </w:tabs>
      <w:overflowPunct w:val="0"/>
      <w:autoSpaceDE w:val="0"/>
      <w:autoSpaceDN w:val="0"/>
      <w:adjustRightInd w:val="0"/>
      <w:spacing w:line="240" w:lineRule="auto"/>
      <w:textAlignment w:val="baseline"/>
    </w:pPr>
    <w:rPr>
      <w:rFonts w:ascii="Times New Roman" w:eastAsia="楷体_GB2312"/>
      <w:kern w:val="0"/>
      <w:sz w:val="24"/>
      <w:lang w:val="de-DE"/>
    </w:rPr>
  </w:style>
  <w:style w:type="paragraph" w:customStyle="1" w:styleId="776">
    <w:name w:val="lbw2"/>
    <w:basedOn w:val="3"/>
    <w:qFormat/>
    <w:uiPriority w:val="0"/>
    <w:pPr>
      <w:keepNext/>
      <w:keepLines/>
      <w:spacing w:before="260" w:after="260" w:line="540" w:lineRule="exact"/>
      <w:ind w:left="0"/>
      <w:jc w:val="both"/>
    </w:pPr>
    <w:rPr>
      <w:rFonts w:ascii="Cambria" w:hAnsi="Cambria" w:eastAsia="宋体"/>
      <w:b w:val="0"/>
      <w:bCs/>
      <w:kern w:val="0"/>
      <w:sz w:val="28"/>
      <w:szCs w:val="28"/>
    </w:rPr>
  </w:style>
  <w:style w:type="paragraph" w:customStyle="1" w:styleId="777">
    <w:name w:val="Char Char Char Char Char Char1 Char Char Char Char Char Char Char"/>
    <w:basedOn w:val="24"/>
    <w:qFormat/>
    <w:uiPriority w:val="0"/>
    <w:rPr>
      <w:rFonts w:ascii="Tahoma" w:hAnsi="Tahoma" w:eastAsia="宋体"/>
      <w:kern w:val="0"/>
      <w:sz w:val="24"/>
      <w:szCs w:val="24"/>
    </w:rPr>
  </w:style>
  <w:style w:type="paragraph" w:customStyle="1" w:styleId="778">
    <w:name w:val="Char Char Char Char Char Char Char Char Char Char Char Char Char Char"/>
    <w:basedOn w:val="1"/>
    <w:qFormat/>
    <w:uiPriority w:val="0"/>
    <w:pPr>
      <w:spacing w:line="360" w:lineRule="auto"/>
      <w:ind w:firstLine="200" w:firstLineChars="200"/>
    </w:pPr>
    <w:rPr>
      <w:rFonts w:ascii="宋体" w:cs="宋体"/>
      <w:sz w:val="24"/>
    </w:rPr>
  </w:style>
  <w:style w:type="paragraph" w:customStyle="1" w:styleId="779">
    <w:name w:val="Default Paragraph Font1"/>
    <w:next w:val="1"/>
    <w:qFormat/>
    <w:uiPriority w:val="0"/>
    <w:pPr>
      <w:overflowPunct w:val="0"/>
      <w:autoSpaceDE w:val="0"/>
      <w:autoSpaceDN w:val="0"/>
      <w:adjustRightInd w:val="0"/>
      <w:textAlignment w:val="baseline"/>
    </w:pPr>
    <w:rPr>
      <w:rFonts w:ascii="LinePrinter" w:hAnsi="LinePrinter" w:eastAsia="宋体" w:cs="Times New Roman"/>
      <w:lang w:val="en-US" w:eastAsia="zh-CN" w:bidi="ar-SA"/>
    </w:rPr>
  </w:style>
  <w:style w:type="paragraph" w:customStyle="1" w:styleId="780">
    <w:name w:val="正文11"/>
    <w:basedOn w:val="1"/>
    <w:next w:val="1"/>
    <w:qFormat/>
    <w:uiPriority w:val="0"/>
    <w:pPr>
      <w:autoSpaceDE w:val="0"/>
      <w:autoSpaceDN w:val="0"/>
      <w:adjustRightInd w:val="0"/>
      <w:spacing w:line="360" w:lineRule="auto"/>
    </w:pPr>
    <w:rPr>
      <w:rFonts w:ascii="宋体" w:cs="宋体"/>
      <w:color w:val="000000"/>
      <w:kern w:val="0"/>
      <w:sz w:val="24"/>
    </w:rPr>
  </w:style>
  <w:style w:type="paragraph" w:customStyle="1" w:styleId="781">
    <w:name w:val="标题 3 + 小四 段前: 0 磅 段后: 0 磅 行距: 1.5 倍行距"/>
    <w:basedOn w:val="6"/>
    <w:next w:val="6"/>
    <w:qFormat/>
    <w:uiPriority w:val="0"/>
    <w:pPr>
      <w:spacing w:before="0" w:line="360" w:lineRule="auto"/>
    </w:pPr>
    <w:rPr>
      <w:rFonts w:cs="宋体"/>
      <w:bCs/>
      <w:kern w:val="0"/>
      <w:sz w:val="24"/>
    </w:rPr>
  </w:style>
  <w:style w:type="paragraph" w:customStyle="1" w:styleId="782">
    <w:name w:val="修订3"/>
    <w:qFormat/>
    <w:uiPriority w:val="0"/>
    <w:rPr>
      <w:rFonts w:ascii="Times New Roman" w:hAnsi="Times New Roman" w:eastAsia="宋体" w:cs="Times New Roman"/>
      <w:kern w:val="2"/>
      <w:sz w:val="21"/>
      <w:szCs w:val="24"/>
      <w:lang w:val="en-US" w:eastAsia="zh-CN" w:bidi="ar-SA"/>
    </w:rPr>
  </w:style>
  <w:style w:type="paragraph" w:customStyle="1" w:styleId="783">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kern w:val="0"/>
      <w:sz w:val="20"/>
      <w:szCs w:val="20"/>
    </w:rPr>
  </w:style>
  <w:style w:type="paragraph" w:customStyle="1" w:styleId="784">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cs="宋体"/>
      <w:kern w:val="0"/>
      <w:sz w:val="20"/>
      <w:szCs w:val="20"/>
    </w:rPr>
  </w:style>
  <w:style w:type="paragraph" w:customStyle="1" w:styleId="785">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b/>
      <w:bCs/>
      <w:color w:val="000000"/>
      <w:kern w:val="0"/>
      <w:sz w:val="20"/>
      <w:szCs w:val="20"/>
    </w:rPr>
  </w:style>
  <w:style w:type="paragraph" w:customStyle="1" w:styleId="786">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b/>
      <w:bCs/>
      <w:kern w:val="0"/>
      <w:sz w:val="20"/>
      <w:szCs w:val="20"/>
    </w:rPr>
  </w:style>
  <w:style w:type="paragraph" w:customStyle="1" w:styleId="787">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cs="Arial"/>
      <w:b/>
      <w:bCs/>
      <w:kern w:val="0"/>
      <w:sz w:val="20"/>
      <w:szCs w:val="20"/>
    </w:rPr>
  </w:style>
  <w:style w:type="paragraph" w:customStyle="1" w:styleId="788">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cs="宋体"/>
      <w:b/>
      <w:bCs/>
      <w:kern w:val="0"/>
      <w:sz w:val="20"/>
      <w:szCs w:val="20"/>
    </w:rPr>
  </w:style>
  <w:style w:type="paragraph" w:customStyle="1" w:styleId="789">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w:hAnsi="Arial" w:cs="Arial"/>
      <w:color w:val="000000"/>
      <w:kern w:val="0"/>
      <w:sz w:val="20"/>
      <w:szCs w:val="20"/>
    </w:rPr>
  </w:style>
  <w:style w:type="paragraph" w:customStyle="1" w:styleId="790">
    <w:name w:val="xl8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w:hAnsi="Arial" w:cs="Arial"/>
      <w:b/>
      <w:bCs/>
      <w:kern w:val="0"/>
      <w:sz w:val="20"/>
      <w:szCs w:val="20"/>
    </w:rPr>
  </w:style>
  <w:style w:type="paragraph" w:customStyle="1" w:styleId="791">
    <w:name w:val="xl89"/>
    <w:basedOn w:val="1"/>
    <w:qFormat/>
    <w:uiPriority w:val="0"/>
    <w:pPr>
      <w:widowControl/>
      <w:pBdr>
        <w:top w:val="single" w:color="auto" w:sz="4" w:space="0"/>
        <w:left w:val="single" w:color="auto" w:sz="4" w:space="0"/>
        <w:right w:val="single" w:color="auto" w:sz="4" w:space="0"/>
      </w:pBdr>
      <w:spacing w:before="100" w:beforeAutospacing="1" w:after="100" w:afterAutospacing="1"/>
      <w:textAlignment w:val="center"/>
    </w:pPr>
    <w:rPr>
      <w:rFonts w:ascii="宋体" w:cs="宋体"/>
      <w:kern w:val="0"/>
      <w:sz w:val="20"/>
      <w:szCs w:val="20"/>
    </w:rPr>
  </w:style>
  <w:style w:type="paragraph" w:customStyle="1" w:styleId="792">
    <w:name w:val="xl90"/>
    <w:basedOn w:val="1"/>
    <w:qFormat/>
    <w:uiPriority w:val="0"/>
    <w:pPr>
      <w:widowControl/>
      <w:spacing w:before="100" w:beforeAutospacing="1" w:after="100" w:afterAutospacing="1"/>
      <w:jc w:val="center"/>
    </w:pPr>
    <w:rPr>
      <w:rFonts w:ascii="宋体" w:cs="宋体"/>
      <w:kern w:val="0"/>
      <w:sz w:val="20"/>
      <w:szCs w:val="20"/>
    </w:rPr>
  </w:style>
  <w:style w:type="paragraph" w:customStyle="1" w:styleId="793">
    <w:name w:val="xl91"/>
    <w:basedOn w:val="1"/>
    <w:qFormat/>
    <w:uiPriority w:val="0"/>
    <w:pPr>
      <w:widowControl/>
      <w:spacing w:before="100" w:beforeAutospacing="1" w:after="100" w:afterAutospacing="1"/>
      <w:jc w:val="left"/>
    </w:pPr>
    <w:rPr>
      <w:rFonts w:ascii="宋体" w:cs="宋体"/>
      <w:kern w:val="0"/>
      <w:sz w:val="20"/>
      <w:szCs w:val="20"/>
    </w:rPr>
  </w:style>
  <w:style w:type="paragraph" w:customStyle="1" w:styleId="794">
    <w:name w:val="gb"/>
    <w:basedOn w:val="1"/>
    <w:qFormat/>
    <w:uiPriority w:val="0"/>
    <w:pPr>
      <w:widowControl/>
      <w:tabs>
        <w:tab w:val="left" w:pos="227"/>
      </w:tabs>
      <w:overflowPunct w:val="0"/>
      <w:adjustRightInd w:val="0"/>
      <w:spacing w:before="120" w:after="120"/>
      <w:jc w:val="left"/>
      <w:textAlignment w:val="baseline"/>
    </w:pPr>
    <w:rPr>
      <w:rFonts w:ascii="Arial" w:hAnsi="Arial" w:eastAsia="仿宋体" w:cs="Arial"/>
      <w:kern w:val="0"/>
      <w:sz w:val="24"/>
      <w:szCs w:val="20"/>
    </w:rPr>
  </w:style>
  <w:style w:type="paragraph" w:customStyle="1" w:styleId="795">
    <w:name w:val="列出段落5"/>
    <w:basedOn w:val="1"/>
    <w:qFormat/>
    <w:uiPriority w:val="0"/>
    <w:pPr>
      <w:ind w:firstLine="200" w:firstLineChars="200"/>
    </w:pPr>
  </w:style>
  <w:style w:type="paragraph" w:customStyle="1" w:styleId="796">
    <w:name w:val="正文_0_0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797">
    <w:name w:val="WPSOffice手动目录 1"/>
    <w:qFormat/>
    <w:uiPriority w:val="0"/>
    <w:rPr>
      <w:rFonts w:ascii="Times New Roman" w:hAnsi="Times New Roman" w:eastAsia="宋体" w:cs="Times New Roman"/>
      <w:lang w:val="en-US" w:eastAsia="zh-CN" w:bidi="ar-SA"/>
    </w:rPr>
  </w:style>
  <w:style w:type="paragraph" w:customStyle="1" w:styleId="79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799">
    <w:name w:val="表格左对齐"/>
    <w:basedOn w:val="1"/>
    <w:qFormat/>
    <w:uiPriority w:val="0"/>
    <w:pPr>
      <w:jc w:val="left"/>
    </w:pPr>
    <w:rPr>
      <w:sz w:val="24"/>
    </w:rPr>
  </w:style>
  <w:style w:type="paragraph" w:customStyle="1" w:styleId="800">
    <w:name w:val="正文5"/>
    <w:qFormat/>
    <w:uiPriority w:val="0"/>
    <w:pPr>
      <w:widowControl w:val="0"/>
      <w:adjustRightInd w:val="0"/>
      <w:spacing w:line="0" w:lineRule="atLeast"/>
      <w:textAlignment w:val="baseline"/>
    </w:pPr>
    <w:rPr>
      <w:rFonts w:ascii="宋体" w:hAnsi="Times New Roman" w:eastAsia="宋体" w:cs="Times New Roman"/>
      <w:sz w:val="34"/>
      <w:lang w:val="en-US" w:eastAsia="zh-CN" w:bidi="ar-SA"/>
    </w:rPr>
  </w:style>
  <w:style w:type="paragraph" w:customStyle="1" w:styleId="801">
    <w:name w:val="三级标题"/>
    <w:basedOn w:val="1"/>
    <w:autoRedefine/>
    <w:qFormat/>
    <w:uiPriority w:val="0"/>
    <w:pPr>
      <w:spacing w:line="360" w:lineRule="auto"/>
      <w:ind w:firstLine="420" w:firstLineChars="200"/>
      <w:contextualSpacing/>
    </w:pPr>
    <w:rPr>
      <w:rFonts w:asciiTheme="minorEastAsia" w:hAnsiTheme="minorEastAsia" w:eastAsiaTheme="minorEastAsia" w:cstheme="minorBidi"/>
      <w:szCs w:val="21"/>
    </w:rPr>
  </w:style>
  <w:style w:type="character" w:customStyle="1" w:styleId="802">
    <w:name w:val="标题 1 Char"/>
    <w:basedOn w:val="78"/>
    <w:link w:val="2"/>
    <w:uiPriority w:val="0"/>
    <w:rPr>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1"/>
    <customShpInfo spid="_x0000_s2053"/>
    <customShpInfo spid="_x0000_s1027"/>
  </customShpExts>
</s:customData>
</file>

<file path=customXml/item2.xml><?xml version="1.0" encoding="utf-8"?>
<customData xmlns="http://www.yozosoft.com.cn/officeDocument/2016/customData">
  <customProps>
    <docPr revisions="3 3 5 12 0 0 1 0 0 0 3000 0 1 1 1 1"/>
    <sectPr/>
    <sectPr/>
    <sectPr/>
    <sectPr/>
    <sectPr/>
  </customProps>
</customData>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0347F5D-D908-4559-A952-3993AFF21E95}">
  <ds:schemaRefs/>
</ds:datastoreItem>
</file>

<file path=customXml/itemProps3.xml><?xml version="1.0" encoding="utf-8"?>
<ds:datastoreItem xmlns:ds="http://schemas.openxmlformats.org/officeDocument/2006/customXml" ds:itemID="{69566B22-D4D3-4EA3-969A-E35B86C58B77}">
  <ds:schemaRefs/>
</ds:datastoreItem>
</file>

<file path=docProps/app.xml><?xml version="1.0" encoding="utf-8"?>
<Properties xmlns="http://schemas.openxmlformats.org/officeDocument/2006/extended-properties" xmlns:vt="http://schemas.openxmlformats.org/officeDocument/2006/docPropsVTypes">
  <Template>Normal</Template>
  <Company>wz</Company>
  <Pages>77</Pages>
  <Words>16879</Words>
  <Characters>18586</Characters>
  <Lines>369</Lines>
  <Paragraphs>104</Paragraphs>
  <TotalTime>20</TotalTime>
  <ScaleCrop>false</ScaleCrop>
  <LinksUpToDate>false</LinksUpToDate>
  <CharactersWithSpaces>18677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2025-09-24T01:19:00Z</dcterms:created>
  <dc:creator>by</dc:creator>
  <cp:lastModifiedBy>Administrator</cp:lastModifiedBy>
  <cp:lastPrinted>2025-04-23T07:46:00Z</cp:lastPrinted>
  <dcterms:modified xsi:type="dcterms:W3CDTF">2025-10-20T02:25:49Z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081DC3AAE28B4A03AA5E93B7C14292A5</vt:lpwstr>
  </property>
  <property fmtid="{D5CDD505-2E9C-101B-9397-08002B2CF9AE}" pid="4" name="KSOTemplateDocerSaveRecord">
    <vt:lpwstr>eyJoZGlkIjoiOWNiYTM0YWE3NTFmNTg5NmI4ZTVhYzhlMjkzZGU0MTciLCJ1c2VySWQiOiIyNTUzNzEyNjkifQ==</vt:lpwstr>
  </property>
</Properties>
</file>