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80BC68">
      <w:pPr>
        <w:pStyle w:val="9"/>
        <w:spacing w:line="340" w:lineRule="exact"/>
        <w:ind w:firstLine="0" w:firstLineChars="0"/>
        <w:rPr>
          <w:b/>
          <w:color w:val="000000"/>
          <w:szCs w:val="21"/>
        </w:rPr>
      </w:pPr>
      <w:r>
        <w:rPr>
          <w:b/>
          <w:color w:val="000000"/>
          <w:szCs w:val="21"/>
        </w:rPr>
        <w:t>一</w:t>
      </w:r>
      <w:r>
        <w:rPr>
          <w:rFonts w:hint="eastAsia"/>
          <w:b/>
          <w:color w:val="000000"/>
          <w:szCs w:val="21"/>
        </w:rPr>
        <w:t>、性能要求</w:t>
      </w:r>
    </w:p>
    <w:p w14:paraId="02DA52D7">
      <w:pPr>
        <w:pStyle w:val="9"/>
        <w:spacing w:line="340" w:lineRule="exact"/>
        <w:ind w:firstLine="0" w:firstLineChars="0"/>
        <w:rPr>
          <w:color w:val="000000"/>
          <w:szCs w:val="21"/>
        </w:rPr>
      </w:pPr>
      <w:r>
        <w:rPr>
          <w:rFonts w:hint="eastAsia"/>
          <w:color w:val="000000"/>
          <w:szCs w:val="21"/>
        </w:rPr>
        <w:t>1.测定</w:t>
      </w:r>
      <w:r>
        <w:rPr>
          <w:color w:val="000000"/>
          <w:szCs w:val="21"/>
        </w:rPr>
        <w:t>食品二氧化碳中总烃与非甲烷总烃。</w:t>
      </w:r>
    </w:p>
    <w:p w14:paraId="4E670086">
      <w:pPr>
        <w:pStyle w:val="9"/>
        <w:spacing w:line="340" w:lineRule="exact"/>
        <w:ind w:firstLine="0" w:firstLineChars="0"/>
        <w:rPr>
          <w:color w:val="000000"/>
          <w:szCs w:val="21"/>
        </w:rPr>
      </w:pPr>
      <w:r>
        <w:rPr>
          <w:rFonts w:hint="eastAsia" w:ascii="宋体"/>
          <w:szCs w:val="21"/>
        </w:rPr>
        <w:t>★</w:t>
      </w:r>
      <w:r>
        <w:rPr>
          <w:rFonts w:hint="eastAsia"/>
          <w:color w:val="000000"/>
          <w:szCs w:val="21"/>
        </w:rPr>
        <w:t>2.组分分析要求：</w:t>
      </w:r>
    </w:p>
    <w:tbl>
      <w:tblPr>
        <w:tblStyle w:val="7"/>
        <w:tblpPr w:leftFromText="180" w:rightFromText="180" w:vertAnchor="text" w:horzAnchor="page" w:tblpX="2159" w:tblpY="241"/>
        <w:tblOverlap w:val="never"/>
        <w:tblW w:w="75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44"/>
        <w:gridCol w:w="1728"/>
        <w:gridCol w:w="2363"/>
        <w:gridCol w:w="2363"/>
      </w:tblGrid>
      <w:tr w14:paraId="44D07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144" w:type="dxa"/>
            <w:tcBorders>
              <w:top w:val="single" w:color="auto" w:sz="4" w:space="0"/>
              <w:left w:val="single" w:color="auto" w:sz="4" w:space="0"/>
              <w:bottom w:val="single" w:color="auto" w:sz="4" w:space="0"/>
              <w:right w:val="single" w:color="auto" w:sz="4" w:space="0"/>
            </w:tcBorders>
            <w:noWrap/>
            <w:vAlign w:val="center"/>
          </w:tcPr>
          <w:p w14:paraId="214CB04A">
            <w:pPr>
              <w:keepNext w:val="0"/>
              <w:keepLines w:val="0"/>
              <w:widowControl/>
              <w:suppressLineNumbers w:val="0"/>
              <w:jc w:val="left"/>
              <w:textAlignment w:val="center"/>
              <w:rPr>
                <w:rFonts w:ascii="宋体" w:hAnsi="宋体" w:eastAsia="宋体" w:cs="宋体"/>
                <w:b/>
                <w:bCs/>
                <w:i w:val="0"/>
                <w:iCs w:val="0"/>
                <w:color w:val="000000"/>
                <w:kern w:val="0"/>
                <w:sz w:val="22"/>
                <w:szCs w:val="22"/>
                <w:u w:val="none"/>
                <w:lang w:val="en-US" w:eastAsia="zh-CN"/>
              </w:rPr>
            </w:pPr>
            <w:r>
              <w:rPr>
                <w:rFonts w:hint="eastAsia" w:ascii="宋体" w:hAnsi="宋体" w:eastAsia="宋体" w:cs="宋体"/>
                <w:b/>
                <w:bCs/>
                <w:i w:val="0"/>
                <w:iCs w:val="0"/>
                <w:color w:val="000000"/>
                <w:kern w:val="0"/>
                <w:sz w:val="22"/>
                <w:szCs w:val="22"/>
                <w:u w:val="none"/>
                <w:lang w:val="en-US" w:eastAsia="zh-CN"/>
              </w:rPr>
              <w:t>序号</w:t>
            </w:r>
          </w:p>
        </w:tc>
        <w:tc>
          <w:tcPr>
            <w:tcW w:w="1728" w:type="dxa"/>
            <w:tcBorders>
              <w:top w:val="single" w:color="auto" w:sz="4" w:space="0"/>
              <w:left w:val="single" w:color="auto" w:sz="4" w:space="0"/>
              <w:bottom w:val="single" w:color="auto" w:sz="4" w:space="0"/>
              <w:right w:val="single" w:color="auto" w:sz="4" w:space="0"/>
            </w:tcBorders>
            <w:noWrap/>
            <w:vAlign w:val="center"/>
          </w:tcPr>
          <w:p w14:paraId="288B0B74">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检测物质</w:t>
            </w:r>
          </w:p>
        </w:tc>
        <w:tc>
          <w:tcPr>
            <w:tcW w:w="2363" w:type="dxa"/>
            <w:tcBorders>
              <w:top w:val="single" w:color="auto" w:sz="4" w:space="0"/>
              <w:left w:val="single" w:color="auto" w:sz="4" w:space="0"/>
              <w:bottom w:val="single" w:color="auto" w:sz="4" w:space="0"/>
              <w:right w:val="single" w:color="auto" w:sz="4" w:space="0"/>
            </w:tcBorders>
            <w:noWrap/>
            <w:vAlign w:val="center"/>
          </w:tcPr>
          <w:p w14:paraId="7542D10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国标要求检测指标</w:t>
            </w:r>
          </w:p>
        </w:tc>
        <w:tc>
          <w:tcPr>
            <w:tcW w:w="2363" w:type="dxa"/>
            <w:tcBorders>
              <w:top w:val="single" w:color="auto" w:sz="4" w:space="0"/>
              <w:left w:val="single" w:color="auto" w:sz="4" w:space="0"/>
              <w:bottom w:val="single" w:color="auto" w:sz="4" w:space="0"/>
              <w:right w:val="single" w:color="auto" w:sz="4" w:space="0"/>
            </w:tcBorders>
            <w:noWrap/>
            <w:vAlign w:val="center"/>
          </w:tcPr>
          <w:p w14:paraId="0D8ECC96">
            <w:pPr>
              <w:keepNext w:val="0"/>
              <w:keepLines w:val="0"/>
              <w:widowControl/>
              <w:suppressLineNumbers w:val="0"/>
              <w:jc w:val="right"/>
              <w:textAlignment w:val="center"/>
              <w:rPr>
                <w:rFonts w:hint="default" w:ascii="宋体" w:hAnsi="宋体" w:eastAsia="宋体" w:cs="宋体"/>
                <w:b/>
                <w:bCs/>
                <w:i w:val="0"/>
                <w:iCs w:val="0"/>
                <w:color w:val="auto"/>
                <w:kern w:val="0"/>
                <w:sz w:val="22"/>
                <w:szCs w:val="22"/>
                <w:u w:val="none"/>
                <w:lang w:val="en-US" w:eastAsia="zh-CN"/>
              </w:rPr>
            </w:pPr>
            <w:r>
              <w:rPr>
                <w:rFonts w:hint="eastAsia" w:ascii="宋体" w:hAnsi="宋体" w:eastAsia="宋体" w:cs="宋体"/>
                <w:b/>
                <w:bCs/>
                <w:i w:val="0"/>
                <w:iCs w:val="0"/>
                <w:color w:val="auto"/>
                <w:kern w:val="0"/>
                <w:sz w:val="22"/>
                <w:szCs w:val="22"/>
                <w:u w:val="none"/>
                <w:lang w:val="en-US" w:eastAsia="zh-CN"/>
              </w:rPr>
              <w:t>指标</w:t>
            </w:r>
            <w:r>
              <w:rPr>
                <w:rFonts w:hint="eastAsia" w:ascii="宋体" w:hAnsi="宋体" w:cs="宋体"/>
                <w:b/>
                <w:bCs/>
                <w:i w:val="0"/>
                <w:iCs w:val="0"/>
                <w:color w:val="auto"/>
                <w:kern w:val="0"/>
                <w:sz w:val="22"/>
                <w:szCs w:val="22"/>
                <w:u w:val="none"/>
                <w:lang w:val="en-US" w:eastAsia="zh-CN"/>
              </w:rPr>
              <w:t>（提供谱图）</w:t>
            </w:r>
          </w:p>
        </w:tc>
      </w:tr>
      <w:tr w14:paraId="1FAC2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144" w:type="dxa"/>
            <w:tcBorders>
              <w:top w:val="single" w:color="auto" w:sz="4" w:space="0"/>
              <w:left w:val="single" w:color="auto" w:sz="4" w:space="0"/>
              <w:bottom w:val="single" w:color="auto" w:sz="4" w:space="0"/>
              <w:right w:val="single" w:color="auto" w:sz="4" w:space="0"/>
            </w:tcBorders>
            <w:noWrap/>
            <w:vAlign w:val="center"/>
          </w:tcPr>
          <w:p w14:paraId="683C5ADD">
            <w:pPr>
              <w:keepNext w:val="0"/>
              <w:keepLines w:val="0"/>
              <w:widowControl/>
              <w:suppressLineNumbers w:val="0"/>
              <w:jc w:val="left"/>
              <w:textAlignment w:val="center"/>
              <w:rPr>
                <w:rFonts w:ascii="宋体" w:hAnsi="宋体" w:eastAsia="宋体" w:cs="宋体"/>
                <w:i w:val="0"/>
                <w:iCs w:val="0"/>
                <w:color w:val="000000"/>
                <w:kern w:val="0"/>
                <w:sz w:val="18"/>
                <w:szCs w:val="18"/>
                <w:u w:val="none"/>
                <w:lang w:val="en-US" w:eastAsia="zh-CN"/>
              </w:rPr>
            </w:pPr>
            <w:r>
              <w:rPr>
                <w:rFonts w:hint="eastAsia" w:ascii="宋体" w:hAnsi="宋体" w:eastAsia="宋体" w:cs="宋体"/>
                <w:i w:val="0"/>
                <w:iCs w:val="0"/>
                <w:color w:val="000000"/>
                <w:kern w:val="0"/>
                <w:sz w:val="18"/>
                <w:szCs w:val="18"/>
                <w:u w:val="none"/>
                <w:lang w:val="en-US" w:eastAsia="zh-CN"/>
              </w:rPr>
              <w:t>1</w:t>
            </w:r>
          </w:p>
        </w:tc>
        <w:tc>
          <w:tcPr>
            <w:tcW w:w="1728" w:type="dxa"/>
            <w:tcBorders>
              <w:top w:val="single" w:color="auto" w:sz="4" w:space="0"/>
              <w:left w:val="single" w:color="auto" w:sz="4" w:space="0"/>
              <w:bottom w:val="single" w:color="auto" w:sz="4" w:space="0"/>
              <w:right w:val="single" w:color="auto" w:sz="4" w:space="0"/>
            </w:tcBorders>
            <w:noWrap/>
            <w:vAlign w:val="center"/>
          </w:tcPr>
          <w:p w14:paraId="741D72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rPr>
              <w:t>总烃</w:t>
            </w:r>
          </w:p>
        </w:tc>
        <w:tc>
          <w:tcPr>
            <w:tcW w:w="2363" w:type="dxa"/>
            <w:tcBorders>
              <w:top w:val="single" w:color="auto" w:sz="4" w:space="0"/>
              <w:left w:val="single" w:color="auto" w:sz="4" w:space="0"/>
              <w:bottom w:val="single" w:color="auto" w:sz="4" w:space="0"/>
              <w:right w:val="single" w:color="auto" w:sz="4" w:space="0"/>
            </w:tcBorders>
            <w:noWrap/>
            <w:vAlign w:val="center"/>
          </w:tcPr>
          <w:p w14:paraId="3E03B5FD">
            <w:pPr>
              <w:keepNext w:val="0"/>
              <w:keepLines w:val="0"/>
              <w:widowControl/>
              <w:suppressLineNumbers w:val="0"/>
              <w:jc w:val="right"/>
              <w:textAlignment w:val="center"/>
              <w:rPr>
                <w:rFonts w:ascii="宋体" w:hAnsi="宋体" w:eastAsia="宋体" w:cs="宋体"/>
                <w:i w:val="0"/>
                <w:iCs w:val="0"/>
                <w:color w:val="000000"/>
                <w:sz w:val="18"/>
                <w:szCs w:val="18"/>
                <w:u w:val="none"/>
                <w:lang w:val="en-US"/>
              </w:rPr>
            </w:pPr>
            <w:r>
              <w:rPr>
                <w:rFonts w:ascii="宋体" w:hAnsi="宋体" w:eastAsia="宋体" w:cs="宋体"/>
                <w:i w:val="0"/>
                <w:iCs w:val="0"/>
                <w:color w:val="000000"/>
                <w:kern w:val="0"/>
                <w:sz w:val="18"/>
                <w:szCs w:val="18"/>
                <w:u w:val="none"/>
                <w:lang w:val="en-US" w:eastAsia="zh-CN"/>
              </w:rPr>
              <w:t>50</w:t>
            </w:r>
            <w:r>
              <w:rPr>
                <w:rFonts w:hint="eastAsia" w:ascii="宋体" w:hAnsi="宋体" w:eastAsia="宋体" w:cs="宋体"/>
                <w:i w:val="0"/>
                <w:iCs w:val="0"/>
                <w:color w:val="000000"/>
                <w:kern w:val="0"/>
                <w:sz w:val="18"/>
                <w:szCs w:val="18"/>
                <w:u w:val="none"/>
                <w:lang w:val="en-US" w:eastAsia="zh-CN"/>
              </w:rPr>
              <w:t>ppm</w:t>
            </w:r>
          </w:p>
        </w:tc>
        <w:tc>
          <w:tcPr>
            <w:tcW w:w="2363" w:type="dxa"/>
            <w:tcBorders>
              <w:top w:val="single" w:color="auto" w:sz="4" w:space="0"/>
              <w:left w:val="single" w:color="auto" w:sz="4" w:space="0"/>
              <w:bottom w:val="single" w:color="auto" w:sz="4" w:space="0"/>
              <w:right w:val="single" w:color="auto" w:sz="4" w:space="0"/>
            </w:tcBorders>
            <w:noWrap/>
            <w:vAlign w:val="center"/>
          </w:tcPr>
          <w:p w14:paraId="745484FF">
            <w:pPr>
              <w:keepNext w:val="0"/>
              <w:keepLines w:val="0"/>
              <w:widowControl/>
              <w:suppressLineNumbers w:val="0"/>
              <w:jc w:val="right"/>
              <w:textAlignment w:val="center"/>
              <w:rPr>
                <w:rFonts w:ascii="宋体" w:hAnsi="宋体" w:eastAsia="宋体" w:cs="宋体"/>
                <w:i w:val="0"/>
                <w:iCs w:val="0"/>
                <w:color w:val="auto"/>
                <w:kern w:val="0"/>
                <w:sz w:val="18"/>
                <w:szCs w:val="18"/>
                <w:u w:val="none"/>
                <w:lang w:val="en-US" w:eastAsia="zh-CN"/>
              </w:rPr>
            </w:pPr>
            <w:r>
              <w:rPr>
                <w:rFonts w:hint="eastAsia" w:ascii="宋体" w:hAnsi="宋体" w:cs="宋体"/>
                <w:i w:val="0"/>
                <w:iCs w:val="0"/>
                <w:color w:val="auto"/>
                <w:kern w:val="0"/>
                <w:sz w:val="18"/>
                <w:szCs w:val="18"/>
                <w:u w:val="none"/>
                <w:lang w:val="en-US" w:eastAsia="zh-CN"/>
              </w:rPr>
              <w:t>3</w:t>
            </w:r>
            <w:r>
              <w:rPr>
                <w:rFonts w:hint="eastAsia" w:ascii="宋体" w:hAnsi="宋体" w:eastAsia="宋体" w:cs="宋体"/>
                <w:i w:val="0"/>
                <w:iCs w:val="0"/>
                <w:color w:val="auto"/>
                <w:kern w:val="0"/>
                <w:sz w:val="18"/>
                <w:szCs w:val="18"/>
                <w:u w:val="none"/>
                <w:lang w:val="en-US" w:eastAsia="zh-CN"/>
              </w:rPr>
              <w:t>0ppb</w:t>
            </w:r>
          </w:p>
        </w:tc>
      </w:tr>
      <w:tr w14:paraId="5F2C4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144" w:type="dxa"/>
            <w:tcBorders>
              <w:top w:val="single" w:color="auto" w:sz="4" w:space="0"/>
              <w:left w:val="single" w:color="auto" w:sz="4" w:space="0"/>
              <w:bottom w:val="single" w:color="auto" w:sz="4" w:space="0"/>
              <w:right w:val="single" w:color="auto" w:sz="4" w:space="0"/>
            </w:tcBorders>
            <w:noWrap/>
            <w:vAlign w:val="center"/>
          </w:tcPr>
          <w:p w14:paraId="31CCECC8">
            <w:pPr>
              <w:keepNext w:val="0"/>
              <w:keepLines w:val="0"/>
              <w:widowControl/>
              <w:suppressLineNumbers w:val="0"/>
              <w:jc w:val="left"/>
              <w:textAlignment w:val="center"/>
              <w:rPr>
                <w:rFonts w:ascii="宋体" w:hAnsi="宋体" w:eastAsia="宋体" w:cs="宋体"/>
                <w:i w:val="0"/>
                <w:iCs w:val="0"/>
                <w:color w:val="000000"/>
                <w:kern w:val="0"/>
                <w:sz w:val="18"/>
                <w:szCs w:val="18"/>
                <w:u w:val="none"/>
                <w:lang w:val="en-US" w:eastAsia="zh-CN"/>
              </w:rPr>
            </w:pPr>
            <w:r>
              <w:rPr>
                <w:rFonts w:hint="eastAsia" w:ascii="宋体" w:hAnsi="宋体" w:eastAsia="宋体" w:cs="宋体"/>
                <w:i w:val="0"/>
                <w:iCs w:val="0"/>
                <w:color w:val="000000"/>
                <w:kern w:val="0"/>
                <w:sz w:val="18"/>
                <w:szCs w:val="18"/>
                <w:u w:val="none"/>
                <w:lang w:val="en-US" w:eastAsia="zh-CN"/>
              </w:rPr>
              <w:t>2</w:t>
            </w:r>
          </w:p>
        </w:tc>
        <w:tc>
          <w:tcPr>
            <w:tcW w:w="1728" w:type="dxa"/>
            <w:tcBorders>
              <w:top w:val="single" w:color="auto" w:sz="4" w:space="0"/>
              <w:left w:val="single" w:color="auto" w:sz="4" w:space="0"/>
              <w:bottom w:val="single" w:color="auto" w:sz="4" w:space="0"/>
              <w:right w:val="single" w:color="auto" w:sz="4" w:space="0"/>
            </w:tcBorders>
            <w:noWrap/>
            <w:vAlign w:val="center"/>
          </w:tcPr>
          <w:p w14:paraId="3E78A2A1">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eastAsia="zh-CN"/>
              </w:rPr>
            </w:pPr>
            <w:r>
              <w:rPr>
                <w:rFonts w:ascii="宋体" w:hAnsi="宋体" w:eastAsia="宋体" w:cs="宋体"/>
                <w:i w:val="0"/>
                <w:iCs w:val="0"/>
                <w:color w:val="000000"/>
                <w:sz w:val="18"/>
                <w:szCs w:val="18"/>
                <w:u w:val="none"/>
                <w:lang w:val="en-US" w:eastAsia="zh-CN"/>
              </w:rPr>
              <w:t>非甲烷总烃</w:t>
            </w:r>
          </w:p>
        </w:tc>
        <w:tc>
          <w:tcPr>
            <w:tcW w:w="2363" w:type="dxa"/>
            <w:tcBorders>
              <w:top w:val="single" w:color="auto" w:sz="4" w:space="0"/>
              <w:left w:val="single" w:color="auto" w:sz="4" w:space="0"/>
              <w:bottom w:val="single" w:color="auto" w:sz="4" w:space="0"/>
              <w:right w:val="single" w:color="auto" w:sz="4" w:space="0"/>
            </w:tcBorders>
            <w:noWrap/>
            <w:vAlign w:val="center"/>
          </w:tcPr>
          <w:p w14:paraId="3197E35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rPr>
              <w:t>20</w:t>
            </w:r>
            <w:r>
              <w:rPr>
                <w:rFonts w:hint="eastAsia" w:ascii="宋体" w:hAnsi="宋体" w:eastAsia="宋体" w:cs="宋体"/>
                <w:i w:val="0"/>
                <w:iCs w:val="0"/>
                <w:color w:val="000000"/>
                <w:kern w:val="0"/>
                <w:sz w:val="18"/>
                <w:szCs w:val="18"/>
                <w:u w:val="none"/>
                <w:lang w:val="en-US" w:eastAsia="zh-CN"/>
              </w:rPr>
              <w:t>ppm</w:t>
            </w:r>
          </w:p>
        </w:tc>
        <w:tc>
          <w:tcPr>
            <w:tcW w:w="2363" w:type="dxa"/>
            <w:tcBorders>
              <w:top w:val="single" w:color="auto" w:sz="4" w:space="0"/>
              <w:left w:val="single" w:color="auto" w:sz="4" w:space="0"/>
              <w:bottom w:val="single" w:color="auto" w:sz="4" w:space="0"/>
              <w:right w:val="single" w:color="auto" w:sz="4" w:space="0"/>
            </w:tcBorders>
            <w:noWrap/>
            <w:vAlign w:val="center"/>
          </w:tcPr>
          <w:p w14:paraId="116D533B">
            <w:pPr>
              <w:keepNext w:val="0"/>
              <w:keepLines w:val="0"/>
              <w:widowControl/>
              <w:suppressLineNumbers w:val="0"/>
              <w:jc w:val="right"/>
              <w:textAlignment w:val="center"/>
              <w:rPr>
                <w:rFonts w:ascii="宋体" w:hAnsi="宋体" w:eastAsia="宋体" w:cs="宋体"/>
                <w:i w:val="0"/>
                <w:iCs w:val="0"/>
                <w:color w:val="auto"/>
                <w:kern w:val="0"/>
                <w:sz w:val="18"/>
                <w:szCs w:val="18"/>
                <w:u w:val="none"/>
                <w:lang w:val="en-US" w:eastAsia="zh-CN"/>
              </w:rPr>
            </w:pPr>
            <w:r>
              <w:rPr>
                <w:rFonts w:hint="eastAsia" w:ascii="宋体" w:hAnsi="宋体" w:cs="宋体"/>
                <w:i w:val="0"/>
                <w:iCs w:val="0"/>
                <w:color w:val="auto"/>
                <w:kern w:val="0"/>
                <w:sz w:val="18"/>
                <w:szCs w:val="18"/>
                <w:u w:val="none"/>
                <w:lang w:val="en-US" w:eastAsia="zh-CN"/>
              </w:rPr>
              <w:t>3</w:t>
            </w:r>
            <w:r>
              <w:rPr>
                <w:rFonts w:hint="eastAsia" w:ascii="宋体" w:hAnsi="宋体" w:eastAsia="宋体" w:cs="宋体"/>
                <w:i w:val="0"/>
                <w:iCs w:val="0"/>
                <w:color w:val="auto"/>
                <w:kern w:val="0"/>
                <w:sz w:val="18"/>
                <w:szCs w:val="18"/>
                <w:u w:val="none"/>
                <w:lang w:val="en-US" w:eastAsia="zh-CN"/>
              </w:rPr>
              <w:t>0ppb</w:t>
            </w:r>
          </w:p>
        </w:tc>
      </w:tr>
    </w:tbl>
    <w:p w14:paraId="0B200FCA">
      <w:pPr>
        <w:rPr>
          <w:b/>
          <w:bCs/>
          <w:lang w:val="en-US" w:eastAsia="zh-CN"/>
        </w:rPr>
      </w:pPr>
    </w:p>
    <w:p w14:paraId="469BC7AD">
      <w:pPr>
        <w:rPr>
          <w:lang w:val="en-US" w:eastAsia="zh-CN"/>
        </w:rPr>
      </w:pPr>
      <w:r>
        <w:rPr>
          <w:b/>
          <w:bCs/>
          <w:lang w:val="en-US" w:eastAsia="zh-CN"/>
        </w:rPr>
        <w:t>二、</w:t>
      </w:r>
      <w:r>
        <w:rPr>
          <w:rFonts w:hint="eastAsia"/>
          <w:b/>
          <w:bCs/>
          <w:lang w:val="en-US" w:eastAsia="zh-CN"/>
        </w:rPr>
        <w:t>参数：</w:t>
      </w:r>
    </w:p>
    <w:p w14:paraId="01FB14C3">
      <w:pPr>
        <w:rPr>
          <w:lang w:val="en-US" w:eastAsia="zh-CN"/>
        </w:rPr>
      </w:pPr>
      <w:r>
        <w:rPr>
          <w:lang w:val="en-US" w:eastAsia="zh-CN"/>
        </w:rPr>
        <w:t>1色谱主机</w:t>
      </w:r>
    </w:p>
    <w:p w14:paraId="6A59F3CC">
      <w:pPr>
        <w:rPr>
          <w:lang w:val="en-US" w:eastAsia="zh-CN"/>
        </w:rPr>
      </w:pPr>
      <w:r>
        <w:rPr>
          <w:lang w:val="en-US" w:eastAsia="zh-CN"/>
        </w:rPr>
        <w:t>★独立控温的进样口，同时安装≧3个进样口；</w:t>
      </w:r>
    </w:p>
    <w:p w14:paraId="7ED04DE8">
      <w:pPr>
        <w:rPr>
          <w:lang w:val="en-US" w:eastAsia="zh-CN"/>
        </w:rPr>
      </w:pPr>
      <w:r>
        <w:rPr>
          <w:lang w:val="en-US" w:eastAsia="zh-CN"/>
        </w:rPr>
        <w:t>10种EFC电子流量控制选择，精确控制载气、分流、检测器氢气、空气、尾吹等辅助气的流量与压力；仪器自带平板反控功能，平板可与主机无线连接远程反控仪器，同时平板界面具有中文 (简体中文)语言可选功能。</w:t>
      </w:r>
    </w:p>
    <w:p w14:paraId="33F88184">
      <w:pPr>
        <w:rPr>
          <w:lang w:val="en-US" w:eastAsia="zh-CN"/>
        </w:rPr>
      </w:pPr>
      <w:r>
        <w:rPr>
          <w:lang w:val="en-US" w:eastAsia="zh-CN"/>
        </w:rPr>
        <w:t>2柱箱</w:t>
      </w:r>
    </w:p>
    <w:p w14:paraId="19027BEF">
      <w:pPr>
        <w:rPr>
          <w:lang w:val="en-US" w:eastAsia="zh-CN"/>
        </w:rPr>
      </w:pPr>
      <w:r>
        <w:rPr>
          <w:lang w:val="en-US" w:eastAsia="zh-CN"/>
        </w:rPr>
        <w:t>环境温度影响：室温变化1℃时柱温箱变化&lt;0.01℃；保留时间重复性&lt;0.008% or &lt; 0.0008 min，峰面积重复性RSD&lt;1%；</w:t>
      </w:r>
    </w:p>
    <w:p w14:paraId="4D842B39">
      <w:pPr>
        <w:rPr>
          <w:lang w:val="en-US" w:eastAsia="zh-CN"/>
        </w:rPr>
      </w:pPr>
      <w:r>
        <w:rPr>
          <w:lang w:val="en-US" w:eastAsia="zh-CN"/>
        </w:rPr>
        <w:t>★柱箱温度稳定性≤0.5%/10min（提供</w:t>
      </w:r>
      <w:r>
        <w:rPr>
          <w:rFonts w:hint="eastAsia"/>
          <w:lang w:val="en-US" w:eastAsia="zh-CN"/>
        </w:rPr>
        <w:t>省</w:t>
      </w:r>
      <w:r>
        <w:rPr>
          <w:lang w:val="en-US" w:eastAsia="zh-CN"/>
        </w:rPr>
        <w:t>级以上证书证明）</w:t>
      </w:r>
    </w:p>
    <w:p w14:paraId="36E210DB">
      <w:pPr>
        <w:rPr>
          <w:lang w:val="en-US" w:eastAsia="zh-CN"/>
        </w:rPr>
      </w:pPr>
      <w:r>
        <w:rPr>
          <w:lang w:val="en-US" w:eastAsia="zh-CN"/>
        </w:rPr>
        <w:t>程序升温重复性≤1%（提供</w:t>
      </w:r>
      <w:r>
        <w:rPr>
          <w:rFonts w:hint="eastAsia"/>
          <w:lang w:val="en-US" w:eastAsia="zh-CN"/>
        </w:rPr>
        <w:t>省</w:t>
      </w:r>
      <w:r>
        <w:rPr>
          <w:lang w:val="en-US" w:eastAsia="zh-CN"/>
        </w:rPr>
        <w:t>级以上证书证明），运行时间≧24999min</w:t>
      </w:r>
      <w:r>
        <w:rPr>
          <w:rFonts w:hint="eastAsia"/>
          <w:lang w:val="en-US" w:eastAsia="zh-CN"/>
        </w:rPr>
        <w:t>（提供图片材料）</w:t>
      </w:r>
    </w:p>
    <w:p w14:paraId="46E5E54F">
      <w:pPr>
        <w:rPr>
          <w:lang w:val="en-US" w:eastAsia="zh-CN"/>
        </w:rPr>
      </w:pPr>
      <w:r>
        <w:rPr>
          <w:lang w:val="en-US" w:eastAsia="zh-CN"/>
        </w:rPr>
        <w:t>3进样口</w:t>
      </w:r>
    </w:p>
    <w:p w14:paraId="38595201">
      <w:pPr>
        <w:rPr>
          <w:lang w:val="en-US" w:eastAsia="zh-CN"/>
        </w:rPr>
      </w:pPr>
      <w:r>
        <w:rPr>
          <w:lang w:val="en-US" w:eastAsia="zh-CN"/>
        </w:rPr>
        <w:t>★柱压及流量控制：电子流量控制（EFC），压力控制：0-150psi全量程范围内精度0.1%；.</w:t>
      </w:r>
    </w:p>
    <w:p w14:paraId="2EB5E8D5">
      <w:pPr>
        <w:rPr>
          <w:rFonts w:hint="eastAsia"/>
          <w:lang w:val="en-US" w:eastAsia="zh-CN"/>
        </w:rPr>
      </w:pPr>
      <w:r>
        <w:rPr>
          <w:lang w:val="en-US" w:eastAsia="zh-CN"/>
        </w:rPr>
        <w:t>压力设定分辨率：</w:t>
      </w:r>
      <w:r>
        <w:rPr>
          <w:rFonts w:hint="default"/>
          <w:lang w:val="en-US" w:eastAsia="zh-CN"/>
        </w:rPr>
        <w:t>0.001</w:t>
      </w:r>
      <w:r>
        <w:rPr>
          <w:lang w:val="en-US" w:eastAsia="zh-CN"/>
        </w:rPr>
        <w:t>psi</w:t>
      </w:r>
      <w:r>
        <w:rPr>
          <w:rFonts w:hint="eastAsia"/>
          <w:lang w:val="en-US" w:eastAsia="zh-CN"/>
        </w:rPr>
        <w:t>（提供图片材料）</w:t>
      </w:r>
    </w:p>
    <w:p w14:paraId="0FFA76C7">
      <w:pPr>
        <w:rPr>
          <w:lang w:val="en-US" w:eastAsia="zh-CN"/>
        </w:rPr>
      </w:pPr>
      <w:r>
        <w:rPr>
          <w:lang w:val="en-US" w:eastAsia="zh-CN"/>
        </w:rPr>
        <w:t>全量程范围内0.001psi</w:t>
      </w:r>
      <w:r>
        <w:rPr>
          <w:rFonts w:hint="eastAsia"/>
          <w:lang w:val="en-US" w:eastAsia="zh-CN"/>
        </w:rPr>
        <w:t>（提供图片材料）</w:t>
      </w:r>
    </w:p>
    <w:p w14:paraId="2D74EDA9">
      <w:pPr>
        <w:rPr>
          <w:lang w:val="en-US" w:eastAsia="zh-CN"/>
        </w:rPr>
      </w:pPr>
      <w:r>
        <w:rPr>
          <w:lang w:val="en-US" w:eastAsia="zh-CN"/>
        </w:rPr>
        <w:t>4.1分流/不分流进样口</w:t>
      </w:r>
    </w:p>
    <w:p w14:paraId="59E3506E">
      <w:pPr>
        <w:rPr>
          <w:lang w:val="en-US" w:eastAsia="zh-CN"/>
        </w:rPr>
      </w:pPr>
      <w:r>
        <w:rPr>
          <w:lang w:val="en-US" w:eastAsia="zh-CN"/>
        </w:rPr>
        <w:t>压力设定范围：0~150 psi；总流量：500 ml/min(N2/Ar)</w:t>
      </w:r>
      <w:r>
        <w:rPr>
          <w:rFonts w:hint="eastAsia"/>
          <w:lang w:val="en-US" w:eastAsia="zh-CN"/>
        </w:rPr>
        <w:t>，</w:t>
      </w:r>
      <w:r>
        <w:rPr>
          <w:lang w:val="en-US" w:eastAsia="zh-CN"/>
        </w:rPr>
        <w:t>1500ml/min(He/H2)；最高设定温度：450℃；分流比设定范围：1-10,000；具有恒压、恒流、梯度压力、恒定线速度以及压力脉冲进样等模式；压力程序比率设定</w:t>
      </w:r>
      <w:r>
        <w:rPr>
          <w:rFonts w:hint="eastAsia"/>
          <w:lang w:val="en-US" w:eastAsia="zh-CN"/>
        </w:rPr>
        <w:t>范围：</w:t>
      </w:r>
      <w:r>
        <w:rPr>
          <w:lang w:val="en-US" w:eastAsia="zh-CN"/>
        </w:rPr>
        <w:t>-400~400psi/min 约-2758kpa~2758Kpa/min之间</w:t>
      </w:r>
    </w:p>
    <w:p w14:paraId="6AB9C4ED">
      <w:pPr>
        <w:rPr>
          <w:lang w:val="en-US" w:eastAsia="zh-CN"/>
        </w:rPr>
      </w:pPr>
      <w:r>
        <w:rPr>
          <w:lang w:val="en-US" w:eastAsia="zh-CN"/>
        </w:rPr>
        <w:t>程序升压阶数：≧24阶</w:t>
      </w:r>
      <w:r>
        <w:rPr>
          <w:rFonts w:hint="eastAsia"/>
          <w:lang w:val="en-US" w:eastAsia="zh-CN"/>
        </w:rPr>
        <w:t>（提供图片材料）</w:t>
      </w:r>
    </w:p>
    <w:p w14:paraId="47586162">
      <w:pPr>
        <w:rPr>
          <w:lang w:val="en-US" w:eastAsia="zh-CN"/>
        </w:rPr>
      </w:pPr>
      <w:r>
        <w:rPr>
          <w:lang w:val="en-US" w:eastAsia="zh-CN"/>
        </w:rPr>
        <w:t>4.2 PTV程序升温进样口</w:t>
      </w:r>
    </w:p>
    <w:p w14:paraId="1F06FBD1">
      <w:pPr>
        <w:rPr>
          <w:lang w:val="en-US" w:eastAsia="zh-CN"/>
        </w:rPr>
      </w:pPr>
      <w:r>
        <w:rPr>
          <w:lang w:val="en-US" w:eastAsia="zh-CN"/>
        </w:rPr>
        <w:t>压力设定范围：0~150 psi；总流量：500 ml/min(N2/Ar)，1500ml/min(He/H2)；</w:t>
      </w:r>
    </w:p>
    <w:p w14:paraId="43B16369">
      <w:pPr>
        <w:rPr>
          <w:lang w:val="en-US" w:eastAsia="zh-CN"/>
        </w:rPr>
      </w:pPr>
      <w:r>
        <w:rPr>
          <w:lang w:val="en-US" w:eastAsia="zh-CN"/>
        </w:rPr>
        <w:t>★温度设定范围：室温以上10℃~450℃（空气冷却）；-160~450℃（液氮制冷）；  -60~450℃（干冰制冷）；</w:t>
      </w:r>
    </w:p>
    <w:p w14:paraId="0B420C14">
      <w:pPr>
        <w:rPr>
          <w:lang w:val="en-US" w:eastAsia="zh-CN"/>
        </w:rPr>
      </w:pPr>
      <w:r>
        <w:rPr>
          <w:lang w:val="en-US" w:eastAsia="zh-CN"/>
        </w:rPr>
        <w:t>最大升温速率：200℃/min；温度梯度：24/25(阶/平台)；分流比：1~10000可选进样模式：大体积进样；程序升温不分流进样；</w:t>
      </w:r>
    </w:p>
    <w:p w14:paraId="15C6868C">
      <w:pPr>
        <w:rPr>
          <w:lang w:val="en-US" w:eastAsia="zh-CN"/>
        </w:rPr>
      </w:pPr>
      <w:r>
        <w:rPr>
          <w:lang w:val="en-US" w:eastAsia="zh-CN"/>
        </w:rPr>
        <w:t>5检测器</w:t>
      </w:r>
    </w:p>
    <w:p w14:paraId="05258DAF">
      <w:pPr>
        <w:rPr>
          <w:lang w:val="en-US" w:eastAsia="zh-CN"/>
        </w:rPr>
      </w:pPr>
      <w:r>
        <w:rPr>
          <w:lang w:val="en-US" w:eastAsia="zh-CN"/>
        </w:rPr>
        <w:t>检测器气体流量通过EFC电子控制</w:t>
      </w:r>
    </w:p>
    <w:p w14:paraId="3FC8E356">
      <w:pPr>
        <w:rPr>
          <w:lang w:val="en-US" w:eastAsia="zh-CN"/>
        </w:rPr>
      </w:pPr>
      <w:r>
        <w:rPr>
          <w:lang w:val="en-US" w:eastAsia="zh-CN"/>
        </w:rPr>
        <w:t>类型：6种检测器特定EFC类型</w:t>
      </w:r>
    </w:p>
    <w:p w14:paraId="154745F8">
      <w:pPr>
        <w:rPr>
          <w:lang w:val="en-US" w:eastAsia="zh-CN"/>
        </w:rPr>
      </w:pPr>
      <w:r>
        <w:rPr>
          <w:lang w:val="en-US" w:eastAsia="zh-CN"/>
        </w:rPr>
        <w:t>准确度：设定流量±7 %以内</w:t>
      </w:r>
    </w:p>
    <w:p w14:paraId="7022C115">
      <w:pPr>
        <w:rPr>
          <w:lang w:val="en-US" w:eastAsia="zh-CN"/>
        </w:rPr>
      </w:pPr>
      <w:r>
        <w:rPr>
          <w:lang w:val="en-US" w:eastAsia="zh-CN"/>
        </w:rPr>
        <w:t>5.1</w:t>
      </w:r>
      <w:r>
        <w:rPr>
          <w:rFonts w:hint="eastAsia"/>
          <w:lang w:val="en-US" w:eastAsia="zh-CN"/>
        </w:rPr>
        <w:t>氢火焰离子化检测器</w:t>
      </w:r>
    </w:p>
    <w:p w14:paraId="7A6D3C6F">
      <w:pPr>
        <w:rPr>
          <w:lang w:val="en-US" w:eastAsia="zh-CN"/>
        </w:rPr>
      </w:pPr>
      <w:r>
        <w:rPr>
          <w:lang w:val="en-US" w:eastAsia="zh-CN"/>
        </w:rPr>
        <w:t>操作温度：≧450℃</w:t>
      </w:r>
      <w:r>
        <w:rPr>
          <w:rFonts w:hint="eastAsia"/>
          <w:lang w:val="en-US" w:eastAsia="zh-CN"/>
        </w:rPr>
        <w:t>（提供图片材料）</w:t>
      </w:r>
    </w:p>
    <w:p w14:paraId="0C35AFCC">
      <w:pPr>
        <w:rPr>
          <w:lang w:val="en-US" w:eastAsia="zh-CN"/>
        </w:rPr>
      </w:pPr>
      <w:r>
        <w:rPr>
          <w:lang w:val="en-US" w:eastAsia="zh-CN"/>
        </w:rPr>
        <w:t>检测限：≤</w:t>
      </w:r>
      <w:r>
        <w:rPr>
          <w:rFonts w:hint="eastAsia"/>
          <w:lang w:val="en-US" w:eastAsia="zh-CN"/>
        </w:rPr>
        <w:t>1pgc/s</w:t>
      </w:r>
    </w:p>
    <w:p w14:paraId="4CAE2B52">
      <w:pPr>
        <w:rPr>
          <w:lang w:val="en-US" w:eastAsia="zh-CN"/>
        </w:rPr>
      </w:pPr>
      <w:r>
        <w:rPr>
          <w:lang w:val="en-US" w:eastAsia="zh-CN"/>
        </w:rPr>
        <w:t>6原厂全反控工作站（Compass CDS）</w:t>
      </w:r>
    </w:p>
    <w:p w14:paraId="39B1CCB9">
      <w:pPr>
        <w:rPr>
          <w:lang w:val="en-US" w:eastAsia="zh-CN"/>
        </w:rPr>
      </w:pPr>
      <w:r>
        <w:rPr>
          <w:lang w:val="en-US" w:eastAsia="zh-CN"/>
        </w:rPr>
        <w:t>支持英文/简体中文版操作界面，基于Windows 10，全64位色谱工作站软件。可完全控制仪器各相关组件</w:t>
      </w:r>
    </w:p>
    <w:p w14:paraId="6E36C92F">
      <w:pPr>
        <w:rPr>
          <w:rFonts w:hint="eastAsia"/>
          <w:lang w:val="en-US" w:eastAsia="zh-CN"/>
        </w:rPr>
      </w:pPr>
      <w:r>
        <w:rPr>
          <w:lang w:val="en-US" w:eastAsia="zh-CN"/>
        </w:rPr>
        <w:t>★符合GMP/GLP 和FDA 21CFR part 11 法规要求。具备完整的审计追踪、用户权限管理和电子签名功能</w:t>
      </w:r>
      <w:r>
        <w:rPr>
          <w:rFonts w:hint="eastAsia"/>
          <w:lang w:val="en-US" w:eastAsia="zh-CN"/>
        </w:rPr>
        <w:t>，方便追踪</w:t>
      </w:r>
      <w:r>
        <w:rPr>
          <w:lang w:val="en-US" w:eastAsia="zh-CN"/>
        </w:rPr>
        <w:t>（提供软件截图）</w:t>
      </w:r>
      <w:r>
        <w:rPr>
          <w:rFonts w:hint="eastAsia"/>
          <w:lang w:val="en-US" w:eastAsia="zh-CN"/>
        </w:rPr>
        <w:t>；</w:t>
      </w:r>
    </w:p>
    <w:p w14:paraId="5F163621">
      <w:pPr>
        <w:rPr>
          <w:lang w:val="en-US" w:eastAsia="zh-CN"/>
        </w:rPr>
      </w:pPr>
      <w:r>
        <w:rPr>
          <w:lang w:val="en-US" w:eastAsia="zh-CN"/>
        </w:rPr>
        <w:t>软件架构支持网络版工作站，无需额外购置采集服务器，且无仪器控制上限。在非网络版下，可支持一台电脑中一个工作站同时控制多台仪器（提供软件截图）</w:t>
      </w:r>
    </w:p>
    <w:p w14:paraId="2C369782">
      <w:pPr>
        <w:rPr>
          <w:lang w:val="en-US" w:eastAsia="zh-CN"/>
        </w:rPr>
      </w:pPr>
      <w:r>
        <w:rPr>
          <w:lang w:val="en-US" w:eastAsia="zh-CN"/>
        </w:rPr>
        <w:t>★单机版软件可以批处理谱图≧100个，且单机版可以单个软件控制仪器数量≧</w:t>
      </w:r>
      <w:r>
        <w:rPr>
          <w:rFonts w:hint="eastAsia"/>
          <w:lang w:val="en-US" w:eastAsia="zh-CN"/>
        </w:rPr>
        <w:t>20</w:t>
      </w:r>
      <w:r>
        <w:rPr>
          <w:lang w:val="en-US" w:eastAsia="zh-CN"/>
        </w:rPr>
        <w:t>台</w:t>
      </w:r>
      <w:r>
        <w:rPr>
          <w:rFonts w:hint="default"/>
          <w:lang w:val="en-US" w:eastAsia="zh-CN"/>
        </w:rPr>
        <w:t>,</w:t>
      </w:r>
      <w:r>
        <w:rPr>
          <w:rFonts w:hint="eastAsia"/>
          <w:lang w:val="en-US" w:eastAsia="zh-CN"/>
        </w:rPr>
        <w:t>软件实现控制</w:t>
      </w:r>
      <w:r>
        <w:rPr>
          <w:rFonts w:hint="eastAsia" w:ascii="宋体" w:hAnsi="宋体" w:eastAsia="宋体" w:cs="宋体"/>
          <w:lang w:val="en-US" w:eastAsia="zh-CN"/>
        </w:rPr>
        <w:t>≧</w:t>
      </w:r>
      <w:r>
        <w:rPr>
          <w:rFonts w:hint="eastAsia"/>
          <w:lang w:val="en-US" w:eastAsia="zh-CN"/>
        </w:rPr>
        <w:t>10台的CDS网络版设置</w:t>
      </w:r>
    </w:p>
    <w:p w14:paraId="59BDB2D1">
      <w:pPr>
        <w:keepNext w:val="0"/>
        <w:keepLines w:val="0"/>
        <w:pageBreakBefore w:val="0"/>
        <w:widowControl w:val="0"/>
        <w:kinsoku/>
        <w:wordWrap/>
        <w:overflowPunct/>
        <w:topLinePunct w:val="0"/>
        <w:autoSpaceDE/>
        <w:autoSpaceDN/>
        <w:bidi w:val="0"/>
        <w:adjustRightInd/>
        <w:snapToGrid/>
        <w:spacing w:line="288" w:lineRule="auto"/>
        <w:textAlignment w:val="auto"/>
        <w:rPr>
          <w:lang w:val="en-US" w:eastAsia="zh-CN"/>
        </w:rPr>
      </w:pPr>
    </w:p>
    <w:p w14:paraId="54B8F483">
      <w:pPr>
        <w:pStyle w:val="9"/>
        <w:spacing w:line="340" w:lineRule="exact"/>
        <w:ind w:firstLine="0" w:firstLineChars="0"/>
        <w:rPr>
          <w:b/>
          <w:szCs w:val="21"/>
        </w:rPr>
      </w:pPr>
      <w:r>
        <w:rPr>
          <w:b/>
          <w:szCs w:val="21"/>
        </w:rPr>
        <w:t>5</w:t>
      </w:r>
      <w:r>
        <w:rPr>
          <w:rFonts w:hint="eastAsia"/>
          <w:b/>
          <w:szCs w:val="21"/>
        </w:rPr>
        <w:t>验收标准</w:t>
      </w:r>
    </w:p>
    <w:p w14:paraId="4FE31BEA">
      <w:pPr>
        <w:pStyle w:val="9"/>
        <w:spacing w:line="340" w:lineRule="exact"/>
        <w:ind w:firstLine="0" w:firstLineChars="0"/>
        <w:rPr>
          <w:szCs w:val="21"/>
        </w:rPr>
      </w:pPr>
      <w:r>
        <w:rPr>
          <w:szCs w:val="21"/>
        </w:rPr>
        <w:t>5</w:t>
      </w:r>
      <w:r>
        <w:rPr>
          <w:rFonts w:hint="eastAsia"/>
          <w:szCs w:val="21"/>
        </w:rPr>
        <w:t>.1色谱仪测定数据应稳定，可靠，其中检测限及最高量程应能满足要求；</w:t>
      </w:r>
    </w:p>
    <w:p w14:paraId="488C0AA9">
      <w:pPr>
        <w:pStyle w:val="9"/>
        <w:spacing w:line="340" w:lineRule="exact"/>
        <w:ind w:firstLine="0" w:firstLineChars="0"/>
        <w:rPr>
          <w:szCs w:val="21"/>
        </w:rPr>
      </w:pPr>
      <w:bookmarkStart w:id="0" w:name="_Hlk23256646"/>
      <w:r>
        <w:rPr>
          <w:szCs w:val="21"/>
        </w:rPr>
        <w:t>5</w:t>
      </w:r>
      <w:r>
        <w:rPr>
          <w:rFonts w:hint="eastAsia"/>
          <w:szCs w:val="21"/>
        </w:rPr>
        <w:t>.2色谱仪</w:t>
      </w:r>
      <w:r>
        <w:rPr>
          <w:szCs w:val="21"/>
        </w:rPr>
        <w:t>要求能够满足</w:t>
      </w:r>
      <w:bookmarkEnd w:id="0"/>
      <w:r>
        <w:rPr>
          <w:rFonts w:hint="eastAsia"/>
          <w:szCs w:val="21"/>
        </w:rPr>
        <w:t>测定</w:t>
      </w:r>
      <w:r>
        <w:rPr>
          <w:szCs w:val="21"/>
        </w:rPr>
        <w:t>食品二氧化碳中总烃和非甲烷总烃。</w:t>
      </w:r>
    </w:p>
    <w:p w14:paraId="59797A10">
      <w:pPr>
        <w:pStyle w:val="9"/>
        <w:spacing w:line="340" w:lineRule="exact"/>
        <w:ind w:firstLine="0" w:firstLineChars="0"/>
        <w:rPr>
          <w:szCs w:val="21"/>
        </w:rPr>
      </w:pPr>
      <w:r>
        <w:rPr>
          <w:szCs w:val="21"/>
        </w:rPr>
        <w:t>5.3满足性能要求中</w:t>
      </w:r>
      <w:r>
        <w:rPr>
          <w:rFonts w:hint="eastAsia"/>
          <w:szCs w:val="21"/>
        </w:rPr>
        <w:t>组分分析要求</w:t>
      </w:r>
      <w:r>
        <w:rPr>
          <w:szCs w:val="21"/>
        </w:rPr>
        <w:t>；</w:t>
      </w:r>
    </w:p>
    <w:p w14:paraId="1FF2A9D2">
      <w:pPr>
        <w:pStyle w:val="9"/>
        <w:spacing w:line="340" w:lineRule="exact"/>
        <w:ind w:firstLine="0" w:firstLineChars="0"/>
        <w:rPr>
          <w:szCs w:val="21"/>
        </w:rPr>
      </w:pPr>
      <w:r>
        <w:rPr>
          <w:rFonts w:hint="eastAsia"/>
          <w:szCs w:val="21"/>
        </w:rPr>
        <w:t>★</w:t>
      </w:r>
      <w:r>
        <w:rPr>
          <w:szCs w:val="21"/>
        </w:rPr>
        <w:t>5</w:t>
      </w:r>
      <w:r>
        <w:rPr>
          <w:rFonts w:hint="eastAsia"/>
          <w:szCs w:val="21"/>
        </w:rPr>
        <w:t>.4交货时间：中标后30天内交付到厂，到货后一星期内到工厂安装调试；</w:t>
      </w:r>
    </w:p>
    <w:p w14:paraId="4D5D4174">
      <w:pPr>
        <w:pStyle w:val="9"/>
        <w:spacing w:line="340" w:lineRule="exact"/>
        <w:ind w:firstLine="0" w:firstLineChars="0"/>
        <w:rPr>
          <w:szCs w:val="21"/>
        </w:rPr>
      </w:pPr>
      <w:r>
        <w:rPr>
          <w:szCs w:val="21"/>
        </w:rPr>
        <w:t>5</w:t>
      </w:r>
      <w:r>
        <w:rPr>
          <w:rFonts w:hint="eastAsia"/>
          <w:szCs w:val="21"/>
        </w:rPr>
        <w:t>.5</w:t>
      </w:r>
      <w:r>
        <w:rPr>
          <w:szCs w:val="21"/>
        </w:rPr>
        <w:t xml:space="preserve"> 投标方需提供</w:t>
      </w:r>
      <w:r>
        <w:rPr>
          <w:rFonts w:hint="eastAsia"/>
          <w:szCs w:val="21"/>
        </w:rPr>
        <w:t>气相色谱仪1台，</w:t>
      </w:r>
      <w:r>
        <w:rPr>
          <w:szCs w:val="21"/>
        </w:rPr>
        <w:t>安装配置清单要求</w:t>
      </w:r>
    </w:p>
    <w:p w14:paraId="27375BA6">
      <w:pPr>
        <w:pStyle w:val="10"/>
        <w:spacing w:line="300" w:lineRule="auto"/>
        <w:rPr>
          <w:rFonts w:ascii="宋体" w:eastAsia="宋体"/>
          <w:color w:val="auto"/>
          <w:kern w:val="2"/>
          <w:sz w:val="21"/>
          <w:szCs w:val="21"/>
        </w:rPr>
      </w:pPr>
      <w:r>
        <w:rPr>
          <w:rFonts w:ascii="宋体" w:eastAsia="宋体"/>
          <w:color w:val="auto"/>
          <w:kern w:val="2"/>
          <w:sz w:val="21"/>
          <w:szCs w:val="21"/>
        </w:rPr>
        <w:t>5</w:t>
      </w:r>
      <w:r>
        <w:rPr>
          <w:rFonts w:hint="eastAsia" w:ascii="宋体" w:eastAsia="宋体"/>
          <w:color w:val="auto"/>
          <w:kern w:val="2"/>
          <w:sz w:val="21"/>
          <w:szCs w:val="21"/>
        </w:rPr>
        <w:t>.6</w:t>
      </w:r>
      <w:r>
        <w:rPr>
          <w:rFonts w:ascii="宋体" w:eastAsia="宋体"/>
          <w:color w:val="auto"/>
          <w:kern w:val="2"/>
          <w:sz w:val="21"/>
          <w:szCs w:val="21"/>
        </w:rPr>
        <w:t xml:space="preserve"> </w:t>
      </w:r>
      <w:r>
        <w:rPr>
          <w:rFonts w:hint="eastAsia" w:ascii="宋体" w:eastAsia="宋体"/>
          <w:color w:val="auto"/>
          <w:kern w:val="2"/>
          <w:sz w:val="21"/>
          <w:szCs w:val="21"/>
        </w:rPr>
        <w:t>提供用户手册及证书、安装、调试现场操作培训和专门培训。</w:t>
      </w:r>
    </w:p>
    <w:p w14:paraId="2B560FAF">
      <w:pPr>
        <w:pStyle w:val="10"/>
        <w:spacing w:line="300" w:lineRule="auto"/>
        <w:rPr>
          <w:rFonts w:ascii="宋体" w:eastAsia="宋体"/>
          <w:color w:val="auto"/>
          <w:kern w:val="2"/>
          <w:sz w:val="21"/>
          <w:szCs w:val="21"/>
        </w:rPr>
      </w:pPr>
      <w:r>
        <w:rPr>
          <w:color w:val="auto"/>
          <w:sz w:val="22"/>
          <w:szCs w:val="22"/>
        </w:rPr>
        <w:t>5</w:t>
      </w:r>
      <w:r>
        <w:rPr>
          <w:rFonts w:ascii="宋体" w:eastAsia="宋体"/>
          <w:color w:val="auto"/>
          <w:kern w:val="2"/>
          <w:sz w:val="21"/>
          <w:szCs w:val="21"/>
        </w:rPr>
        <w:t>.7 供货厂家有一定销售业绩：应标的色谱型号，3年内食品行业销售业绩大于5个中标单位并附有业绩详情表。</w:t>
      </w:r>
    </w:p>
    <w:p w14:paraId="0A87A601">
      <w:pPr>
        <w:pStyle w:val="10"/>
        <w:spacing w:line="300" w:lineRule="auto"/>
        <w:rPr>
          <w:rFonts w:ascii="宋体" w:eastAsia="宋体"/>
          <w:color w:val="auto"/>
          <w:kern w:val="2"/>
          <w:sz w:val="21"/>
          <w:szCs w:val="21"/>
        </w:rPr>
      </w:pPr>
      <w:r>
        <w:rPr>
          <w:rFonts w:ascii="宋体" w:eastAsia="宋体"/>
          <w:color w:val="auto"/>
          <w:kern w:val="2"/>
          <w:sz w:val="21"/>
          <w:szCs w:val="21"/>
        </w:rPr>
        <w:t>5.8</w:t>
      </w:r>
      <w:r>
        <w:rPr>
          <w:rFonts w:hint="eastAsia" w:ascii="宋体" w:eastAsia="宋体"/>
          <w:color w:val="auto"/>
          <w:kern w:val="2"/>
          <w:sz w:val="21"/>
          <w:szCs w:val="21"/>
        </w:rPr>
        <w:t>投标文件要求有标准气对应含量的色谱图和符合指标的样品气色谱图。</w:t>
      </w:r>
    </w:p>
    <w:p w14:paraId="6D26A141">
      <w:pPr>
        <w:spacing w:before="156" w:beforeLines="50" w:after="156" w:afterLines="50"/>
        <w:rPr>
          <w:rFonts w:hint="eastAsia"/>
          <w:szCs w:val="21"/>
        </w:rPr>
      </w:pPr>
      <w:r>
        <w:rPr>
          <w:color w:val="000000"/>
          <w:szCs w:val="21"/>
        </w:rPr>
        <w:t>5.9</w:t>
      </w:r>
      <w:r>
        <w:rPr>
          <w:rFonts w:ascii="宋体"/>
          <w:color w:val="000000"/>
          <w:szCs w:val="21"/>
        </w:rPr>
        <w:t>“</w:t>
      </w:r>
      <w:r>
        <w:rPr>
          <w:rFonts w:hint="eastAsia" w:ascii="宋体"/>
          <w:color w:val="000000"/>
          <w:szCs w:val="21"/>
        </w:rPr>
        <w:t>★</w:t>
      </w:r>
      <w:r>
        <w:rPr>
          <w:rFonts w:ascii="宋体"/>
          <w:color w:val="000000"/>
          <w:szCs w:val="21"/>
        </w:rPr>
        <w:t>”</w:t>
      </w:r>
      <w:r>
        <w:rPr>
          <w:rFonts w:hint="eastAsia" w:ascii="宋体"/>
          <w:color w:val="000000"/>
          <w:szCs w:val="21"/>
        </w:rPr>
        <w:t>项为必须满足项，否则为无效应标。</w:t>
      </w:r>
      <w:r>
        <w:rPr>
          <w:rFonts w:hint="eastAsia" w:ascii="宋体"/>
          <w:color w:val="FF0000"/>
          <w:szCs w:val="21"/>
        </w:rPr>
        <w:t xml:space="preserve">  </w:t>
      </w:r>
    </w:p>
    <w:p w14:paraId="5ABC465F">
      <w:pPr>
        <w:pStyle w:val="9"/>
        <w:spacing w:line="340" w:lineRule="exact"/>
        <w:ind w:firstLine="0" w:firstLineChars="0"/>
        <w:rPr>
          <w:b/>
          <w:color w:val="000000"/>
          <w:szCs w:val="21"/>
        </w:rPr>
      </w:pPr>
      <w:r>
        <w:rPr>
          <w:b/>
          <w:color w:val="000000"/>
          <w:szCs w:val="21"/>
        </w:rPr>
        <w:t>6</w:t>
      </w:r>
      <w:r>
        <w:rPr>
          <w:rFonts w:hint="eastAsia"/>
          <w:b/>
          <w:color w:val="000000"/>
          <w:szCs w:val="21"/>
        </w:rPr>
        <w:t>.售后维护</w:t>
      </w:r>
    </w:p>
    <w:p w14:paraId="082254A3">
      <w:pPr>
        <w:pStyle w:val="9"/>
        <w:spacing w:line="340" w:lineRule="exact"/>
        <w:ind w:firstLine="0" w:firstLineChars="0"/>
        <w:rPr>
          <w:color w:val="000000"/>
          <w:szCs w:val="21"/>
        </w:rPr>
      </w:pPr>
      <w:r>
        <w:rPr>
          <w:color w:val="000000"/>
          <w:szCs w:val="21"/>
        </w:rPr>
        <w:t>6.1</w:t>
      </w:r>
      <w:r>
        <w:rPr>
          <w:rFonts w:hint="eastAsia"/>
          <w:color w:val="000000"/>
          <w:szCs w:val="21"/>
        </w:rPr>
        <w:t>提供售前技术支持；</w:t>
      </w:r>
    </w:p>
    <w:p w14:paraId="62E56095">
      <w:pPr>
        <w:pStyle w:val="9"/>
        <w:spacing w:line="340" w:lineRule="exact"/>
        <w:ind w:firstLine="0" w:firstLineChars="0"/>
        <w:rPr>
          <w:color w:val="000000"/>
          <w:szCs w:val="21"/>
        </w:rPr>
      </w:pPr>
      <w:r>
        <w:rPr>
          <w:color w:val="000000"/>
          <w:szCs w:val="21"/>
        </w:rPr>
        <w:t>6.2</w:t>
      </w:r>
      <w:r>
        <w:rPr>
          <w:rFonts w:hint="eastAsia"/>
          <w:color w:val="000000"/>
          <w:szCs w:val="21"/>
        </w:rPr>
        <w:t>在接到报修电话或查询后，将立即给与响应，2小时内响应并提供解决的方案， 48小时内到达用户实验室，解决仪器故障，节假日照常服务；</w:t>
      </w:r>
    </w:p>
    <w:p w14:paraId="7449EDEC">
      <w:pPr>
        <w:pStyle w:val="9"/>
        <w:spacing w:line="340" w:lineRule="exact"/>
        <w:ind w:firstLine="0" w:firstLineChars="0"/>
        <w:rPr>
          <w:color w:val="000000"/>
          <w:szCs w:val="21"/>
        </w:rPr>
      </w:pPr>
      <w:r>
        <w:rPr>
          <w:color w:val="000000"/>
          <w:szCs w:val="21"/>
        </w:rPr>
        <w:t xml:space="preserve">6.3 </w:t>
      </w:r>
      <w:r>
        <w:rPr>
          <w:rFonts w:hint="eastAsia"/>
          <w:color w:val="000000"/>
          <w:szCs w:val="21"/>
        </w:rPr>
        <w:t>仪器实行终生免费上门维护，只收取更换的零件、部件的成本费，仪器所涉及的软件终身免费升级。</w:t>
      </w:r>
    </w:p>
    <w:p w14:paraId="598526CF">
      <w:pPr>
        <w:pStyle w:val="9"/>
        <w:spacing w:line="340" w:lineRule="exact"/>
        <w:ind w:firstLine="0" w:firstLineChars="0"/>
        <w:rPr>
          <w:color w:val="000000"/>
          <w:szCs w:val="21"/>
        </w:rPr>
      </w:pPr>
      <w:r>
        <w:rPr>
          <w:color w:val="000000"/>
          <w:szCs w:val="21"/>
        </w:rPr>
        <w:t>6.4.要求提供文件：报价清单（含交货期）、仪器配置单、技术参数、证明相关检测限的谱图、售后服务保证、公司资质等。</w:t>
      </w:r>
    </w:p>
    <w:p w14:paraId="34F7F7B7">
      <w:pPr>
        <w:keepNext w:val="0"/>
        <w:keepLines w:val="0"/>
        <w:pageBreakBefore w:val="0"/>
        <w:widowControl w:val="0"/>
        <w:kinsoku/>
        <w:wordWrap/>
        <w:overflowPunct/>
        <w:topLinePunct w:val="0"/>
        <w:autoSpaceDE/>
        <w:autoSpaceDN/>
        <w:bidi w:val="0"/>
        <w:adjustRightInd/>
        <w:snapToGrid/>
        <w:spacing w:line="288" w:lineRule="auto"/>
        <w:textAlignment w:val="auto"/>
        <w:rPr>
          <w:lang w:val="en-US" w:eastAsia="zh-CN"/>
        </w:rPr>
      </w:pPr>
      <w:r>
        <w:rPr>
          <w:lang w:val="en-US" w:eastAsia="zh-CN"/>
        </w:rPr>
        <w:t>★</w:t>
      </w:r>
      <w:r>
        <w:rPr>
          <w:rFonts w:hint="eastAsia"/>
          <w:lang w:val="en-US" w:eastAsia="zh-CN"/>
        </w:rPr>
        <w:t>质保期3年</w:t>
      </w:r>
      <w:r>
        <w:rPr>
          <w:lang w:val="en-US" w:eastAsia="zh-CN"/>
        </w:rPr>
        <w:t>及以上。</w:t>
      </w:r>
    </w:p>
    <w:p w14:paraId="307D514D">
      <w:pPr>
        <w:keepNext w:val="0"/>
        <w:keepLines w:val="0"/>
        <w:pageBreakBefore w:val="0"/>
        <w:widowControl w:val="0"/>
        <w:kinsoku/>
        <w:wordWrap/>
        <w:overflowPunct/>
        <w:topLinePunct w:val="0"/>
        <w:autoSpaceDE/>
        <w:autoSpaceDN/>
        <w:bidi w:val="0"/>
        <w:adjustRightInd/>
        <w:snapToGrid/>
        <w:spacing w:line="288" w:lineRule="auto"/>
        <w:textAlignment w:val="auto"/>
        <w:rPr>
          <w:b/>
          <w:bCs/>
          <w:lang w:val="en-US" w:eastAsia="zh-CN"/>
        </w:rPr>
      </w:pPr>
      <w:r>
        <w:rPr>
          <w:b/>
          <w:bCs/>
          <w:lang w:val="en-US" w:eastAsia="zh-CN"/>
        </w:rPr>
        <w:t>7.配置单</w:t>
      </w:r>
    </w:p>
    <w:tbl>
      <w:tblPr>
        <w:tblStyle w:val="7"/>
        <w:tblW w:w="8524" w:type="dxa"/>
        <w:tblInd w:w="8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80"/>
        <w:gridCol w:w="6574"/>
        <w:gridCol w:w="1070"/>
      </w:tblGrid>
      <w:tr w14:paraId="75BF3F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22E25A4C">
            <w:pPr>
              <w:keepNext w:val="0"/>
              <w:keepLines w:val="0"/>
              <w:widowControl/>
              <w:suppressLineNumbers w:val="0"/>
              <w:jc w:val="center"/>
              <w:textAlignment w:val="center"/>
              <w:rPr>
                <w:rFonts w:hint="eastAsia" w:ascii="微软雅黑" w:hAnsi="微软雅黑" w:eastAsia="微软雅黑" w:cs="微软雅黑"/>
                <w:b/>
                <w:bCs/>
                <w:i w:val="0"/>
                <w:iCs w:val="0"/>
                <w:color w:val="auto"/>
                <w:sz w:val="18"/>
                <w:szCs w:val="18"/>
                <w:u w:val="none"/>
                <w:lang w:val="en-US" w:eastAsia="zh-CN"/>
              </w:rPr>
            </w:pPr>
            <w:r>
              <w:rPr>
                <w:rFonts w:hint="eastAsia" w:ascii="微软雅黑" w:hAnsi="微软雅黑" w:eastAsia="微软雅黑" w:cs="微软雅黑"/>
                <w:b/>
                <w:bCs/>
                <w:i w:val="0"/>
                <w:iCs w:val="0"/>
                <w:color w:val="auto"/>
                <w:sz w:val="18"/>
                <w:szCs w:val="18"/>
                <w:u w:val="none"/>
                <w:lang w:val="en-US" w:eastAsia="zh-CN"/>
              </w:rPr>
              <w:t>序号</w:t>
            </w:r>
          </w:p>
        </w:tc>
        <w:tc>
          <w:tcPr>
            <w:tcW w:w="6574" w:type="dxa"/>
            <w:tcBorders>
              <w:top w:val="single" w:color="auto" w:sz="4" w:space="0"/>
              <w:left w:val="single" w:color="auto" w:sz="4" w:space="0"/>
              <w:bottom w:val="single" w:color="auto" w:sz="4" w:space="0"/>
              <w:right w:val="single" w:color="auto" w:sz="4" w:space="0"/>
            </w:tcBorders>
            <w:noWrap/>
            <w:vAlign w:val="center"/>
          </w:tcPr>
          <w:p w14:paraId="5611FFFA">
            <w:pPr>
              <w:keepNext w:val="0"/>
              <w:keepLines w:val="0"/>
              <w:widowControl/>
              <w:suppressLineNumbers w:val="0"/>
              <w:jc w:val="left"/>
              <w:textAlignment w:val="center"/>
              <w:rPr>
                <w:rFonts w:ascii="微软雅黑" w:hAnsi="微软雅黑" w:eastAsia="微软雅黑" w:cs="微软雅黑"/>
                <w:b/>
                <w:bCs/>
                <w:i w:val="0"/>
                <w:iCs w:val="0"/>
                <w:color w:val="auto"/>
                <w:sz w:val="18"/>
                <w:szCs w:val="18"/>
                <w:u w:val="none"/>
              </w:rPr>
            </w:pPr>
            <w:r>
              <w:rPr>
                <w:rFonts w:ascii="微软雅黑" w:hAnsi="微软雅黑" w:eastAsia="微软雅黑" w:cs="微软雅黑"/>
                <w:b/>
                <w:bCs/>
                <w:i w:val="0"/>
                <w:iCs w:val="0"/>
                <w:color w:val="auto"/>
                <w:kern w:val="0"/>
                <w:sz w:val="18"/>
                <w:szCs w:val="18"/>
                <w:u w:val="none"/>
                <w:lang w:val="en-US" w:eastAsia="zh-CN"/>
              </w:rPr>
              <w:t>名称</w:t>
            </w:r>
          </w:p>
        </w:tc>
        <w:tc>
          <w:tcPr>
            <w:tcW w:w="1070" w:type="dxa"/>
            <w:tcBorders>
              <w:top w:val="single" w:color="auto" w:sz="4" w:space="0"/>
              <w:left w:val="single" w:color="auto" w:sz="4" w:space="0"/>
              <w:bottom w:val="single" w:color="auto" w:sz="4" w:space="0"/>
              <w:right w:val="single" w:color="auto" w:sz="4" w:space="0"/>
            </w:tcBorders>
            <w:noWrap/>
            <w:vAlign w:val="center"/>
          </w:tcPr>
          <w:p w14:paraId="0809DC6A">
            <w:pPr>
              <w:keepNext w:val="0"/>
              <w:keepLines w:val="0"/>
              <w:widowControl/>
              <w:suppressLineNumbers w:val="0"/>
              <w:jc w:val="center"/>
              <w:textAlignment w:val="center"/>
              <w:rPr>
                <w:rFonts w:ascii="微软雅黑" w:hAnsi="微软雅黑" w:eastAsia="微软雅黑" w:cs="微软雅黑"/>
                <w:b/>
                <w:bCs/>
                <w:i w:val="0"/>
                <w:iCs w:val="0"/>
                <w:color w:val="auto"/>
                <w:sz w:val="18"/>
                <w:szCs w:val="18"/>
                <w:u w:val="none"/>
              </w:rPr>
            </w:pPr>
            <w:r>
              <w:rPr>
                <w:rFonts w:ascii="微软雅黑" w:hAnsi="微软雅黑" w:eastAsia="微软雅黑" w:cs="微软雅黑"/>
                <w:b/>
                <w:bCs/>
                <w:i w:val="0"/>
                <w:iCs w:val="0"/>
                <w:color w:val="auto"/>
                <w:kern w:val="0"/>
                <w:sz w:val="18"/>
                <w:szCs w:val="18"/>
                <w:u w:val="none"/>
                <w:lang w:val="en-US" w:eastAsia="zh-CN"/>
              </w:rPr>
              <w:t xml:space="preserve"> 数量 </w:t>
            </w:r>
          </w:p>
        </w:tc>
      </w:tr>
      <w:tr w14:paraId="13FB48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1E46438D">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hint="eastAsia" w:ascii="微软雅黑" w:hAnsi="微软雅黑" w:eastAsia="微软雅黑" w:cs="微软雅黑"/>
                <w:i w:val="0"/>
                <w:iCs w:val="0"/>
                <w:color w:val="auto"/>
                <w:kern w:val="0"/>
                <w:sz w:val="16"/>
                <w:szCs w:val="16"/>
                <w:u w:val="none"/>
                <w:lang w:val="en-US" w:eastAsia="zh-CN"/>
              </w:rPr>
              <w:t>1</w:t>
            </w:r>
          </w:p>
        </w:tc>
        <w:tc>
          <w:tcPr>
            <w:tcW w:w="6574" w:type="dxa"/>
            <w:tcBorders>
              <w:top w:val="single" w:color="auto" w:sz="4" w:space="0"/>
              <w:left w:val="single" w:color="auto" w:sz="4" w:space="0"/>
              <w:bottom w:val="single" w:color="auto" w:sz="4" w:space="0"/>
              <w:right w:val="single" w:color="auto" w:sz="4" w:space="0"/>
            </w:tcBorders>
            <w:noWrap/>
            <w:vAlign w:val="center"/>
          </w:tcPr>
          <w:p w14:paraId="3DA57EA9">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气相色谱主机</w:t>
            </w:r>
          </w:p>
        </w:tc>
        <w:tc>
          <w:tcPr>
            <w:tcW w:w="1070" w:type="dxa"/>
            <w:tcBorders>
              <w:top w:val="single" w:color="auto" w:sz="4" w:space="0"/>
              <w:left w:val="single" w:color="auto" w:sz="4" w:space="0"/>
              <w:bottom w:val="single" w:color="auto" w:sz="4" w:space="0"/>
              <w:right w:val="single" w:color="auto" w:sz="4" w:space="0"/>
            </w:tcBorders>
            <w:noWrap/>
            <w:vAlign w:val="center"/>
          </w:tcPr>
          <w:p w14:paraId="7B584525">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 </w:t>
            </w:r>
          </w:p>
        </w:tc>
      </w:tr>
      <w:tr w14:paraId="502602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78ACAF80">
            <w:pPr>
              <w:keepNext w:val="0"/>
              <w:keepLines w:val="0"/>
              <w:widowControl/>
              <w:suppressLineNumbers w:val="0"/>
              <w:jc w:val="center"/>
              <w:textAlignment w:val="center"/>
              <w:rPr>
                <w:rFonts w:ascii="微软雅黑" w:hAnsi="微软雅黑" w:eastAsia="微软雅黑" w:cs="微软雅黑"/>
                <w:i w:val="0"/>
                <w:iCs w:val="0"/>
                <w:color w:val="auto"/>
                <w:sz w:val="18"/>
                <w:szCs w:val="18"/>
                <w:u w:val="none"/>
              </w:rPr>
            </w:pPr>
            <w:r>
              <w:rPr>
                <w:rFonts w:hint="eastAsia" w:ascii="微软雅黑" w:hAnsi="微软雅黑" w:eastAsia="微软雅黑" w:cs="微软雅黑"/>
                <w:i w:val="0"/>
                <w:iCs w:val="0"/>
                <w:color w:val="auto"/>
                <w:kern w:val="0"/>
                <w:sz w:val="18"/>
                <w:szCs w:val="18"/>
                <w:u w:val="none"/>
                <w:lang w:val="en-US" w:eastAsia="zh-CN"/>
              </w:rPr>
              <w:t>2</w:t>
            </w:r>
          </w:p>
        </w:tc>
        <w:tc>
          <w:tcPr>
            <w:tcW w:w="6574" w:type="dxa"/>
            <w:tcBorders>
              <w:top w:val="single" w:color="auto" w:sz="4" w:space="0"/>
              <w:left w:val="single" w:color="auto" w:sz="4" w:space="0"/>
              <w:bottom w:val="single" w:color="auto" w:sz="4" w:space="0"/>
              <w:right w:val="single" w:color="auto" w:sz="4" w:space="0"/>
            </w:tcBorders>
            <w:noWrap/>
            <w:vAlign w:val="center"/>
          </w:tcPr>
          <w:p w14:paraId="5FC0DFB4">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eastAsia="微软雅黑" w:cs="微软雅黑"/>
                <w:sz w:val="16"/>
                <w:szCs w:val="16"/>
              </w:rPr>
              <w:t>微型气体分流器，</w:t>
            </w:r>
            <w:r>
              <w:rPr>
                <w:rFonts w:hint="eastAsia" w:ascii="微软雅黑" w:hAnsi="微软雅黑" w:eastAsia="微软雅黑" w:cs="微软雅黑"/>
                <w:i w:val="0"/>
                <w:iCs w:val="0"/>
                <w:color w:val="auto"/>
                <w:kern w:val="0"/>
                <w:sz w:val="16"/>
                <w:szCs w:val="16"/>
                <w:u w:val="none"/>
                <w:lang w:val="en-US" w:eastAsia="zh-CN"/>
              </w:rPr>
              <w:t>硫化物</w:t>
            </w:r>
            <w:r>
              <w:rPr>
                <w:rFonts w:ascii="微软雅黑" w:hAnsi="微软雅黑" w:eastAsia="微软雅黑" w:cs="微软雅黑"/>
                <w:i w:val="0"/>
                <w:iCs w:val="0"/>
                <w:color w:val="auto"/>
                <w:kern w:val="0"/>
                <w:sz w:val="16"/>
                <w:szCs w:val="16"/>
                <w:u w:val="none"/>
                <w:lang w:val="en-US" w:eastAsia="zh-CN"/>
              </w:rPr>
              <w:t>惰性</w:t>
            </w:r>
          </w:p>
        </w:tc>
        <w:tc>
          <w:tcPr>
            <w:tcW w:w="1070" w:type="dxa"/>
            <w:tcBorders>
              <w:top w:val="single" w:color="auto" w:sz="4" w:space="0"/>
              <w:left w:val="single" w:color="auto" w:sz="4" w:space="0"/>
              <w:bottom w:val="single" w:color="auto" w:sz="4" w:space="0"/>
              <w:right w:val="single" w:color="auto" w:sz="4" w:space="0"/>
            </w:tcBorders>
            <w:noWrap/>
            <w:vAlign w:val="center"/>
          </w:tcPr>
          <w:p w14:paraId="0E7C17E5">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hint="eastAsia" w:ascii="微软雅黑" w:hAnsi="微软雅黑" w:eastAsia="微软雅黑" w:cs="微软雅黑"/>
                <w:i w:val="0"/>
                <w:iCs w:val="0"/>
                <w:color w:val="auto"/>
                <w:kern w:val="0"/>
                <w:sz w:val="16"/>
                <w:szCs w:val="16"/>
                <w:u w:val="none"/>
                <w:lang w:val="en-US" w:eastAsia="zh-CN"/>
              </w:rPr>
              <w:t>1</w:t>
            </w:r>
          </w:p>
        </w:tc>
      </w:tr>
      <w:tr w14:paraId="2B29F4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528B1612">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hint="eastAsia" w:ascii="微软雅黑" w:hAnsi="微软雅黑" w:eastAsia="微软雅黑" w:cs="微软雅黑"/>
                <w:i w:val="0"/>
                <w:iCs w:val="0"/>
                <w:color w:val="auto"/>
                <w:kern w:val="0"/>
                <w:sz w:val="16"/>
                <w:szCs w:val="16"/>
                <w:u w:val="none"/>
                <w:lang w:val="en-US" w:eastAsia="zh-CN"/>
              </w:rPr>
              <w:t>3</w:t>
            </w:r>
          </w:p>
        </w:tc>
        <w:tc>
          <w:tcPr>
            <w:tcW w:w="65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3EB731">
            <w:pPr>
              <w:keepNext w:val="0"/>
              <w:keepLines w:val="0"/>
              <w:widowControl/>
              <w:suppressLineNumbers w:val="0"/>
              <w:jc w:val="left"/>
              <w:textAlignment w:val="center"/>
              <w:rPr>
                <w:rFonts w:ascii="微软雅黑" w:hAnsi="微软雅黑" w:eastAsia="微软雅黑" w:cs="微软雅黑"/>
                <w:i w:val="0"/>
                <w:iCs w:val="0"/>
                <w:color w:val="auto"/>
                <w:kern w:val="2"/>
                <w:sz w:val="16"/>
                <w:szCs w:val="16"/>
                <w:u w:val="none"/>
                <w:lang w:val="en-US" w:eastAsia="zh-CN" w:bidi="ar-SA"/>
              </w:rPr>
            </w:pPr>
            <w:r>
              <w:rPr>
                <w:rFonts w:ascii="微软雅黑" w:hAnsi="微软雅黑" w:eastAsia="微软雅黑" w:cs="微软雅黑"/>
                <w:i w:val="0"/>
                <w:iCs w:val="0"/>
                <w:color w:val="auto"/>
                <w:kern w:val="0"/>
                <w:sz w:val="16"/>
                <w:szCs w:val="16"/>
                <w:u w:val="none"/>
                <w:lang w:val="en-US" w:eastAsia="zh-CN"/>
              </w:rPr>
              <w:t>FID火焰离子化检测仪</w:t>
            </w:r>
          </w:p>
        </w:tc>
        <w:tc>
          <w:tcPr>
            <w:tcW w:w="1070" w:type="dxa"/>
            <w:tcBorders>
              <w:top w:val="single" w:color="auto" w:sz="4" w:space="0"/>
              <w:left w:val="single" w:color="auto" w:sz="4" w:space="0"/>
              <w:bottom w:val="single" w:color="auto" w:sz="4" w:space="0"/>
              <w:right w:val="single" w:color="auto" w:sz="4" w:space="0"/>
            </w:tcBorders>
            <w:noWrap/>
            <w:vAlign w:val="center"/>
          </w:tcPr>
          <w:p w14:paraId="15BA3221">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 </w:t>
            </w:r>
          </w:p>
        </w:tc>
      </w:tr>
      <w:tr w14:paraId="5DB70E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318B442B">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hint="eastAsia" w:ascii="微软雅黑" w:hAnsi="微软雅黑" w:eastAsia="微软雅黑" w:cs="微软雅黑"/>
                <w:i w:val="0"/>
                <w:iCs w:val="0"/>
                <w:color w:val="auto"/>
                <w:kern w:val="0"/>
                <w:sz w:val="16"/>
                <w:szCs w:val="16"/>
                <w:u w:val="none"/>
                <w:lang w:val="en-US" w:eastAsia="zh-CN"/>
              </w:rPr>
              <w:t>4</w:t>
            </w:r>
          </w:p>
        </w:tc>
        <w:tc>
          <w:tcPr>
            <w:tcW w:w="6574" w:type="dxa"/>
            <w:tcBorders>
              <w:top w:val="single" w:color="auto" w:sz="4" w:space="0"/>
              <w:left w:val="single" w:color="auto" w:sz="4" w:space="0"/>
              <w:bottom w:val="single" w:color="auto" w:sz="4" w:space="0"/>
              <w:right w:val="single" w:color="auto" w:sz="4" w:space="0"/>
            </w:tcBorders>
            <w:noWrap/>
            <w:vAlign w:val="center"/>
          </w:tcPr>
          <w:p w14:paraId="7553450F">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三位气体过滤器套装(含底座）</w:t>
            </w:r>
          </w:p>
        </w:tc>
        <w:tc>
          <w:tcPr>
            <w:tcW w:w="1070" w:type="dxa"/>
            <w:tcBorders>
              <w:top w:val="single" w:color="auto" w:sz="4" w:space="0"/>
              <w:left w:val="single" w:color="auto" w:sz="4" w:space="0"/>
              <w:bottom w:val="single" w:color="auto" w:sz="4" w:space="0"/>
              <w:right w:val="single" w:color="auto" w:sz="4" w:space="0"/>
            </w:tcBorders>
            <w:noWrap/>
            <w:vAlign w:val="center"/>
          </w:tcPr>
          <w:p w14:paraId="7DA174FA">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 </w:t>
            </w:r>
          </w:p>
        </w:tc>
      </w:tr>
      <w:tr w14:paraId="12EE0D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6FEC2947">
            <w:pPr>
              <w:keepNext w:val="0"/>
              <w:keepLines w:val="0"/>
              <w:widowControl/>
              <w:suppressLineNumbers w:val="0"/>
              <w:jc w:val="center"/>
              <w:textAlignment w:val="center"/>
              <w:rPr>
                <w:rFonts w:hint="eastAsia"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5</w:t>
            </w:r>
          </w:p>
        </w:tc>
        <w:tc>
          <w:tcPr>
            <w:tcW w:w="6574" w:type="dxa"/>
            <w:tcBorders>
              <w:top w:val="single" w:color="auto" w:sz="4" w:space="0"/>
              <w:left w:val="single" w:color="auto" w:sz="4" w:space="0"/>
              <w:bottom w:val="single" w:color="auto" w:sz="4" w:space="0"/>
              <w:right w:val="single" w:color="auto" w:sz="4" w:space="0"/>
            </w:tcBorders>
            <w:noWrap/>
            <w:vAlign w:val="center"/>
          </w:tcPr>
          <w:p w14:paraId="00288B15">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加热扩展电路板（超5路）</w:t>
            </w:r>
          </w:p>
        </w:tc>
        <w:tc>
          <w:tcPr>
            <w:tcW w:w="1070" w:type="dxa"/>
            <w:tcBorders>
              <w:top w:val="single" w:color="auto" w:sz="4" w:space="0"/>
              <w:left w:val="single" w:color="auto" w:sz="4" w:space="0"/>
              <w:bottom w:val="single" w:color="auto" w:sz="4" w:space="0"/>
              <w:right w:val="single" w:color="auto" w:sz="4" w:space="0"/>
            </w:tcBorders>
            <w:noWrap/>
            <w:vAlign w:val="center"/>
          </w:tcPr>
          <w:p w14:paraId="1A44D2C4">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 </w:t>
            </w:r>
          </w:p>
        </w:tc>
      </w:tr>
      <w:tr w14:paraId="01789B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0F2BB1F7">
            <w:pPr>
              <w:keepNext w:val="0"/>
              <w:keepLines w:val="0"/>
              <w:widowControl/>
              <w:suppressLineNumbers w:val="0"/>
              <w:jc w:val="center"/>
              <w:textAlignment w:val="center"/>
              <w:rPr>
                <w:rFonts w:hint="eastAsia"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6</w:t>
            </w:r>
          </w:p>
        </w:tc>
        <w:tc>
          <w:tcPr>
            <w:tcW w:w="6574" w:type="dxa"/>
            <w:tcBorders>
              <w:top w:val="single" w:color="auto" w:sz="4" w:space="0"/>
              <w:left w:val="single" w:color="auto" w:sz="4" w:space="0"/>
              <w:bottom w:val="single" w:color="auto" w:sz="4" w:space="0"/>
              <w:right w:val="single" w:color="auto" w:sz="4" w:space="0"/>
            </w:tcBorders>
            <w:noWrap/>
            <w:vAlign w:val="center"/>
          </w:tcPr>
          <w:p w14:paraId="283FAA69">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检测器1/8'适配器</w:t>
            </w:r>
          </w:p>
        </w:tc>
        <w:tc>
          <w:tcPr>
            <w:tcW w:w="1070" w:type="dxa"/>
            <w:tcBorders>
              <w:top w:val="single" w:color="auto" w:sz="4" w:space="0"/>
              <w:left w:val="single" w:color="auto" w:sz="4" w:space="0"/>
              <w:bottom w:val="single" w:color="auto" w:sz="4" w:space="0"/>
              <w:right w:val="single" w:color="auto" w:sz="4" w:space="0"/>
            </w:tcBorders>
            <w:noWrap/>
            <w:vAlign w:val="center"/>
          </w:tcPr>
          <w:p w14:paraId="1E8C3252">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 </w:t>
            </w:r>
          </w:p>
        </w:tc>
      </w:tr>
      <w:tr w14:paraId="72B205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7DFE4722">
            <w:pPr>
              <w:keepNext w:val="0"/>
              <w:keepLines w:val="0"/>
              <w:widowControl/>
              <w:suppressLineNumbers w:val="0"/>
              <w:jc w:val="center"/>
              <w:textAlignment w:val="center"/>
              <w:rPr>
                <w:rFonts w:hint="eastAsia"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7</w:t>
            </w:r>
          </w:p>
        </w:tc>
        <w:tc>
          <w:tcPr>
            <w:tcW w:w="6574" w:type="dxa"/>
            <w:tcBorders>
              <w:top w:val="single" w:color="auto" w:sz="4" w:space="0"/>
              <w:left w:val="single" w:color="auto" w:sz="4" w:space="0"/>
              <w:bottom w:val="single" w:color="auto" w:sz="4" w:space="0"/>
              <w:right w:val="single" w:color="auto" w:sz="4" w:space="0"/>
            </w:tcBorders>
            <w:noWrap/>
            <w:vAlign w:val="center"/>
          </w:tcPr>
          <w:p w14:paraId="077AB55B">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额外载气入口</w:t>
            </w:r>
          </w:p>
        </w:tc>
        <w:tc>
          <w:tcPr>
            <w:tcW w:w="1070" w:type="dxa"/>
            <w:tcBorders>
              <w:top w:val="single" w:color="auto" w:sz="4" w:space="0"/>
              <w:left w:val="single" w:color="auto" w:sz="4" w:space="0"/>
              <w:bottom w:val="single" w:color="auto" w:sz="4" w:space="0"/>
              <w:right w:val="single" w:color="auto" w:sz="4" w:space="0"/>
            </w:tcBorders>
            <w:noWrap/>
            <w:vAlign w:val="center"/>
          </w:tcPr>
          <w:p w14:paraId="330C98D9">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 </w:t>
            </w:r>
          </w:p>
        </w:tc>
      </w:tr>
      <w:tr w14:paraId="12B9BD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0AE19B82">
            <w:pPr>
              <w:keepNext w:val="0"/>
              <w:keepLines w:val="0"/>
              <w:widowControl/>
              <w:suppressLineNumbers w:val="0"/>
              <w:jc w:val="center"/>
              <w:textAlignment w:val="center"/>
              <w:rPr>
                <w:rFonts w:hint="eastAsia"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8</w:t>
            </w:r>
          </w:p>
        </w:tc>
        <w:tc>
          <w:tcPr>
            <w:tcW w:w="6574" w:type="dxa"/>
            <w:tcBorders>
              <w:top w:val="single" w:color="auto" w:sz="4" w:space="0"/>
              <w:left w:val="single" w:color="auto" w:sz="4" w:space="0"/>
              <w:bottom w:val="single" w:color="auto" w:sz="4" w:space="0"/>
              <w:right w:val="single" w:color="auto" w:sz="4" w:space="0"/>
            </w:tcBorders>
            <w:noWrap/>
            <w:vAlign w:val="center"/>
          </w:tcPr>
          <w:p w14:paraId="400631BA">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模拟输出板</w:t>
            </w:r>
          </w:p>
        </w:tc>
        <w:tc>
          <w:tcPr>
            <w:tcW w:w="1070" w:type="dxa"/>
            <w:tcBorders>
              <w:top w:val="single" w:color="auto" w:sz="4" w:space="0"/>
              <w:left w:val="single" w:color="auto" w:sz="4" w:space="0"/>
              <w:bottom w:val="single" w:color="auto" w:sz="4" w:space="0"/>
              <w:right w:val="single" w:color="auto" w:sz="4" w:space="0"/>
            </w:tcBorders>
            <w:noWrap/>
            <w:vAlign w:val="center"/>
          </w:tcPr>
          <w:p w14:paraId="4A673C1D">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2 </w:t>
            </w:r>
          </w:p>
        </w:tc>
      </w:tr>
      <w:tr w14:paraId="511BAF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128041A3">
            <w:pPr>
              <w:keepNext w:val="0"/>
              <w:keepLines w:val="0"/>
              <w:widowControl/>
              <w:suppressLineNumbers w:val="0"/>
              <w:jc w:val="center"/>
              <w:textAlignment w:val="center"/>
              <w:rPr>
                <w:rFonts w:hint="eastAsia"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9</w:t>
            </w:r>
          </w:p>
        </w:tc>
        <w:tc>
          <w:tcPr>
            <w:tcW w:w="6574" w:type="dxa"/>
            <w:tcBorders>
              <w:top w:val="single" w:color="auto" w:sz="4" w:space="0"/>
              <w:left w:val="single" w:color="auto" w:sz="4" w:space="0"/>
              <w:bottom w:val="single" w:color="auto" w:sz="4" w:space="0"/>
              <w:right w:val="single" w:color="auto" w:sz="4" w:space="0"/>
            </w:tcBorders>
            <w:noWrap/>
            <w:vAlign w:val="center"/>
          </w:tcPr>
          <w:p w14:paraId="347DB4EE">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色谱柱压环</w:t>
            </w:r>
          </w:p>
        </w:tc>
        <w:tc>
          <w:tcPr>
            <w:tcW w:w="1070" w:type="dxa"/>
            <w:tcBorders>
              <w:top w:val="single" w:color="auto" w:sz="4" w:space="0"/>
              <w:left w:val="single" w:color="auto" w:sz="4" w:space="0"/>
              <w:bottom w:val="single" w:color="auto" w:sz="4" w:space="0"/>
              <w:right w:val="single" w:color="auto" w:sz="4" w:space="0"/>
            </w:tcBorders>
            <w:noWrap/>
            <w:vAlign w:val="center"/>
          </w:tcPr>
          <w:p w14:paraId="215471C4">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2 </w:t>
            </w:r>
          </w:p>
        </w:tc>
      </w:tr>
      <w:tr w14:paraId="500744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2E115B9D">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10</w:t>
            </w:r>
          </w:p>
        </w:tc>
        <w:tc>
          <w:tcPr>
            <w:tcW w:w="6574" w:type="dxa"/>
            <w:tcBorders>
              <w:top w:val="single" w:color="auto" w:sz="4" w:space="0"/>
              <w:left w:val="single" w:color="auto" w:sz="4" w:space="0"/>
              <w:bottom w:val="single" w:color="auto" w:sz="4" w:space="0"/>
              <w:right w:val="single" w:color="auto" w:sz="4" w:space="0"/>
            </w:tcBorders>
            <w:noWrap/>
            <w:vAlign w:val="center"/>
          </w:tcPr>
          <w:p w14:paraId="2DDE4806">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lang w:val="en-US"/>
              </w:rPr>
            </w:pPr>
            <w:r>
              <w:rPr>
                <w:rFonts w:ascii="微软雅黑" w:hAnsi="微软雅黑" w:eastAsia="微软雅黑" w:cs="微软雅黑"/>
                <w:i w:val="0"/>
                <w:iCs w:val="0"/>
                <w:color w:val="auto"/>
                <w:kern w:val="0"/>
                <w:sz w:val="16"/>
                <w:szCs w:val="16"/>
                <w:u w:val="none"/>
                <w:lang w:val="en-US" w:eastAsia="zh-CN"/>
              </w:rPr>
              <w:t>自动六通阀，</w:t>
            </w:r>
            <w:r>
              <w:rPr>
                <w:rFonts w:hint="eastAsia" w:ascii="微软雅黑" w:hAnsi="微软雅黑" w:eastAsia="微软雅黑" w:cs="微软雅黑"/>
                <w:i w:val="0"/>
                <w:iCs w:val="0"/>
                <w:color w:val="auto"/>
                <w:kern w:val="0"/>
                <w:sz w:val="16"/>
                <w:szCs w:val="16"/>
                <w:u w:val="none"/>
                <w:lang w:val="en-US" w:eastAsia="zh-CN"/>
              </w:rPr>
              <w:t>惰性阀</w:t>
            </w:r>
          </w:p>
        </w:tc>
        <w:tc>
          <w:tcPr>
            <w:tcW w:w="1070" w:type="dxa"/>
            <w:tcBorders>
              <w:top w:val="single" w:color="auto" w:sz="4" w:space="0"/>
              <w:left w:val="single" w:color="auto" w:sz="4" w:space="0"/>
              <w:bottom w:val="single" w:color="auto" w:sz="4" w:space="0"/>
              <w:right w:val="single" w:color="auto" w:sz="4" w:space="0"/>
            </w:tcBorders>
            <w:noWrap/>
            <w:vAlign w:val="center"/>
          </w:tcPr>
          <w:p w14:paraId="6B92F985">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hint="eastAsia" w:ascii="微软雅黑" w:hAnsi="微软雅黑" w:eastAsia="微软雅黑" w:cs="微软雅黑"/>
                <w:i w:val="0"/>
                <w:iCs w:val="0"/>
                <w:color w:val="auto"/>
                <w:kern w:val="0"/>
                <w:sz w:val="16"/>
                <w:szCs w:val="16"/>
                <w:u w:val="none"/>
                <w:lang w:val="en-US" w:eastAsia="zh-CN"/>
              </w:rPr>
              <w:t>2</w:t>
            </w:r>
          </w:p>
        </w:tc>
      </w:tr>
      <w:tr w14:paraId="3867BF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443A0509">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11</w:t>
            </w:r>
          </w:p>
        </w:tc>
        <w:tc>
          <w:tcPr>
            <w:tcW w:w="6574" w:type="dxa"/>
            <w:tcBorders>
              <w:top w:val="single" w:color="auto" w:sz="4" w:space="0"/>
              <w:left w:val="single" w:color="auto" w:sz="4" w:space="0"/>
              <w:bottom w:val="single" w:color="auto" w:sz="4" w:space="0"/>
              <w:right w:val="single" w:color="auto" w:sz="4" w:space="0"/>
            </w:tcBorders>
            <w:noWrap/>
            <w:vAlign w:val="center"/>
          </w:tcPr>
          <w:p w14:paraId="0DE20D07">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电磁阀(DC24V)</w:t>
            </w:r>
          </w:p>
        </w:tc>
        <w:tc>
          <w:tcPr>
            <w:tcW w:w="1070" w:type="dxa"/>
            <w:tcBorders>
              <w:top w:val="single" w:color="auto" w:sz="4" w:space="0"/>
              <w:left w:val="single" w:color="auto" w:sz="4" w:space="0"/>
              <w:bottom w:val="single" w:color="auto" w:sz="4" w:space="0"/>
              <w:right w:val="single" w:color="auto" w:sz="4" w:space="0"/>
            </w:tcBorders>
            <w:noWrap/>
            <w:vAlign w:val="center"/>
          </w:tcPr>
          <w:p w14:paraId="16D3E027">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hint="eastAsia" w:ascii="微软雅黑" w:hAnsi="微软雅黑" w:eastAsia="微软雅黑" w:cs="微软雅黑"/>
                <w:i w:val="0"/>
                <w:iCs w:val="0"/>
                <w:color w:val="auto"/>
                <w:kern w:val="0"/>
                <w:sz w:val="16"/>
                <w:szCs w:val="16"/>
                <w:u w:val="none"/>
                <w:lang w:val="en-US" w:eastAsia="zh-CN"/>
              </w:rPr>
              <w:t>2</w:t>
            </w:r>
          </w:p>
        </w:tc>
      </w:tr>
      <w:tr w14:paraId="58D999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59C662D5">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12</w:t>
            </w:r>
          </w:p>
        </w:tc>
        <w:tc>
          <w:tcPr>
            <w:tcW w:w="6574" w:type="dxa"/>
            <w:tcBorders>
              <w:top w:val="single" w:color="auto" w:sz="4" w:space="0"/>
              <w:left w:val="single" w:color="auto" w:sz="4" w:space="0"/>
              <w:bottom w:val="single" w:color="auto" w:sz="4" w:space="0"/>
              <w:right w:val="single" w:color="auto" w:sz="4" w:space="0"/>
            </w:tcBorders>
            <w:noWrap/>
            <w:vAlign w:val="center"/>
          </w:tcPr>
          <w:p w14:paraId="66117451">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0.</w:t>
            </w:r>
            <w:r>
              <w:rPr>
                <w:rFonts w:hint="eastAsia" w:ascii="微软雅黑" w:hAnsi="微软雅黑" w:eastAsia="微软雅黑" w:cs="微软雅黑"/>
                <w:i w:val="0"/>
                <w:iCs w:val="0"/>
                <w:color w:val="auto"/>
                <w:kern w:val="0"/>
                <w:sz w:val="16"/>
                <w:szCs w:val="16"/>
                <w:u w:val="none"/>
                <w:lang w:val="en-US" w:eastAsia="zh-CN"/>
              </w:rPr>
              <w:t>5</w:t>
            </w:r>
            <w:r>
              <w:rPr>
                <w:rFonts w:ascii="微软雅黑" w:hAnsi="微软雅黑" w:eastAsia="微软雅黑" w:cs="微软雅黑"/>
                <w:i w:val="0"/>
                <w:iCs w:val="0"/>
                <w:color w:val="auto"/>
                <w:kern w:val="0"/>
                <w:sz w:val="16"/>
                <w:szCs w:val="16"/>
                <w:u w:val="none"/>
                <w:lang w:val="en-US" w:eastAsia="zh-CN"/>
              </w:rPr>
              <w:t>mL定量环，硫化物惰性</w:t>
            </w:r>
          </w:p>
        </w:tc>
        <w:tc>
          <w:tcPr>
            <w:tcW w:w="1070" w:type="dxa"/>
            <w:tcBorders>
              <w:top w:val="single" w:color="auto" w:sz="4" w:space="0"/>
              <w:left w:val="single" w:color="auto" w:sz="4" w:space="0"/>
              <w:bottom w:val="single" w:color="auto" w:sz="4" w:space="0"/>
              <w:right w:val="single" w:color="auto" w:sz="4" w:space="0"/>
            </w:tcBorders>
            <w:noWrap/>
            <w:vAlign w:val="center"/>
          </w:tcPr>
          <w:p w14:paraId="2C5B9DAF">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 </w:t>
            </w:r>
          </w:p>
        </w:tc>
      </w:tr>
      <w:tr w14:paraId="1D1DEE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4FADDF23">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13</w:t>
            </w:r>
          </w:p>
        </w:tc>
        <w:tc>
          <w:tcPr>
            <w:tcW w:w="6574" w:type="dxa"/>
            <w:tcBorders>
              <w:top w:val="single" w:color="auto" w:sz="4" w:space="0"/>
              <w:left w:val="single" w:color="auto" w:sz="4" w:space="0"/>
              <w:bottom w:val="single" w:color="auto" w:sz="4" w:space="0"/>
              <w:right w:val="single" w:color="auto" w:sz="4" w:space="0"/>
            </w:tcBorders>
            <w:noWrap/>
            <w:vAlign w:val="center"/>
          </w:tcPr>
          <w:p w14:paraId="41ED3FDF">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过墙式变径两通1/8转1/16，硫惰性</w:t>
            </w:r>
          </w:p>
        </w:tc>
        <w:tc>
          <w:tcPr>
            <w:tcW w:w="1070" w:type="dxa"/>
            <w:tcBorders>
              <w:top w:val="single" w:color="auto" w:sz="4" w:space="0"/>
              <w:left w:val="single" w:color="auto" w:sz="4" w:space="0"/>
              <w:bottom w:val="single" w:color="auto" w:sz="4" w:space="0"/>
              <w:right w:val="single" w:color="auto" w:sz="4" w:space="0"/>
            </w:tcBorders>
            <w:noWrap/>
            <w:vAlign w:val="center"/>
          </w:tcPr>
          <w:p w14:paraId="0064CF51">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2 </w:t>
            </w:r>
          </w:p>
        </w:tc>
      </w:tr>
      <w:tr w14:paraId="464D99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2088D70B">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14</w:t>
            </w:r>
          </w:p>
        </w:tc>
        <w:tc>
          <w:tcPr>
            <w:tcW w:w="6574" w:type="dxa"/>
            <w:tcBorders>
              <w:top w:val="single" w:color="auto" w:sz="4" w:space="0"/>
              <w:left w:val="single" w:color="auto" w:sz="4" w:space="0"/>
              <w:bottom w:val="single" w:color="auto" w:sz="4" w:space="0"/>
              <w:right w:val="single" w:color="auto" w:sz="4" w:space="0"/>
            </w:tcBorders>
            <w:noWrap/>
            <w:vAlign w:val="center"/>
          </w:tcPr>
          <w:p w14:paraId="701DD870">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两通 1/16 0.75mm</w:t>
            </w:r>
          </w:p>
        </w:tc>
        <w:tc>
          <w:tcPr>
            <w:tcW w:w="1070" w:type="dxa"/>
            <w:tcBorders>
              <w:top w:val="single" w:color="auto" w:sz="4" w:space="0"/>
              <w:left w:val="single" w:color="auto" w:sz="4" w:space="0"/>
              <w:bottom w:val="single" w:color="auto" w:sz="4" w:space="0"/>
              <w:right w:val="single" w:color="auto" w:sz="4" w:space="0"/>
            </w:tcBorders>
            <w:noWrap/>
            <w:vAlign w:val="center"/>
          </w:tcPr>
          <w:p w14:paraId="12E8BCE3">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 </w:t>
            </w:r>
          </w:p>
        </w:tc>
      </w:tr>
      <w:tr w14:paraId="70E87C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7275D3C4">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15</w:t>
            </w:r>
          </w:p>
        </w:tc>
        <w:tc>
          <w:tcPr>
            <w:tcW w:w="6574" w:type="dxa"/>
            <w:tcBorders>
              <w:top w:val="single" w:color="auto" w:sz="4" w:space="0"/>
              <w:left w:val="single" w:color="auto" w:sz="4" w:space="0"/>
              <w:bottom w:val="single" w:color="auto" w:sz="4" w:space="0"/>
              <w:right w:val="single" w:color="auto" w:sz="4" w:space="0"/>
            </w:tcBorders>
            <w:noWrap/>
            <w:vAlign w:val="center"/>
          </w:tcPr>
          <w:p w14:paraId="45C834EF">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1/16" 标准不锈钢螺母</w:t>
            </w:r>
          </w:p>
        </w:tc>
        <w:tc>
          <w:tcPr>
            <w:tcW w:w="1070" w:type="dxa"/>
            <w:tcBorders>
              <w:top w:val="single" w:color="auto" w:sz="4" w:space="0"/>
              <w:left w:val="single" w:color="auto" w:sz="4" w:space="0"/>
              <w:bottom w:val="single" w:color="auto" w:sz="4" w:space="0"/>
              <w:right w:val="single" w:color="auto" w:sz="4" w:space="0"/>
            </w:tcBorders>
            <w:noWrap/>
            <w:vAlign w:val="center"/>
          </w:tcPr>
          <w:p w14:paraId="47FFBAA7">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 </w:t>
            </w:r>
          </w:p>
        </w:tc>
      </w:tr>
      <w:tr w14:paraId="66CEEA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6C7233C1">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16</w:t>
            </w:r>
          </w:p>
        </w:tc>
        <w:tc>
          <w:tcPr>
            <w:tcW w:w="6574" w:type="dxa"/>
            <w:tcBorders>
              <w:top w:val="single" w:color="auto" w:sz="4" w:space="0"/>
              <w:left w:val="single" w:color="auto" w:sz="4" w:space="0"/>
              <w:bottom w:val="single" w:color="auto" w:sz="4" w:space="0"/>
              <w:right w:val="single" w:color="auto" w:sz="4" w:space="0"/>
            </w:tcBorders>
            <w:noWrap/>
            <w:vAlign w:val="center"/>
          </w:tcPr>
          <w:p w14:paraId="0798C85F">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 1/16" 金属压环</w:t>
            </w:r>
          </w:p>
        </w:tc>
        <w:tc>
          <w:tcPr>
            <w:tcW w:w="1070" w:type="dxa"/>
            <w:tcBorders>
              <w:top w:val="single" w:color="auto" w:sz="4" w:space="0"/>
              <w:left w:val="single" w:color="auto" w:sz="4" w:space="0"/>
              <w:bottom w:val="single" w:color="auto" w:sz="4" w:space="0"/>
              <w:right w:val="single" w:color="auto" w:sz="4" w:space="0"/>
            </w:tcBorders>
            <w:noWrap/>
            <w:vAlign w:val="center"/>
          </w:tcPr>
          <w:p w14:paraId="6BD1C023">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 </w:t>
            </w:r>
          </w:p>
        </w:tc>
      </w:tr>
      <w:tr w14:paraId="3FA846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7D0C9EEB">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17</w:t>
            </w:r>
          </w:p>
        </w:tc>
        <w:tc>
          <w:tcPr>
            <w:tcW w:w="6574" w:type="dxa"/>
            <w:tcBorders>
              <w:top w:val="single" w:color="auto" w:sz="4" w:space="0"/>
              <w:left w:val="single" w:color="auto" w:sz="4" w:space="0"/>
              <w:bottom w:val="single" w:color="auto" w:sz="4" w:space="0"/>
              <w:right w:val="single" w:color="auto" w:sz="4" w:space="0"/>
            </w:tcBorders>
            <w:noWrap/>
            <w:vAlign w:val="center"/>
          </w:tcPr>
          <w:p w14:paraId="78058131">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 1/16惰性钢管线 </w:t>
            </w:r>
          </w:p>
        </w:tc>
        <w:tc>
          <w:tcPr>
            <w:tcW w:w="1070" w:type="dxa"/>
            <w:tcBorders>
              <w:top w:val="single" w:color="auto" w:sz="4" w:space="0"/>
              <w:left w:val="single" w:color="auto" w:sz="4" w:space="0"/>
              <w:bottom w:val="single" w:color="auto" w:sz="4" w:space="0"/>
              <w:right w:val="single" w:color="auto" w:sz="4" w:space="0"/>
            </w:tcBorders>
            <w:noWrap/>
            <w:vAlign w:val="center"/>
          </w:tcPr>
          <w:p w14:paraId="3F2B30CA">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10 </w:t>
            </w:r>
          </w:p>
        </w:tc>
      </w:tr>
      <w:tr w14:paraId="52AA2F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2CBAB511">
            <w:pPr>
              <w:jc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18</w:t>
            </w:r>
          </w:p>
        </w:tc>
        <w:tc>
          <w:tcPr>
            <w:tcW w:w="6574" w:type="dxa"/>
            <w:tcBorders>
              <w:top w:val="single" w:color="auto" w:sz="4" w:space="0"/>
              <w:left w:val="single" w:color="auto" w:sz="4" w:space="0"/>
              <w:bottom w:val="single" w:color="auto" w:sz="4" w:space="0"/>
              <w:right w:val="single" w:color="auto" w:sz="4" w:space="0"/>
            </w:tcBorders>
            <w:noWrap/>
            <w:vAlign w:val="center"/>
          </w:tcPr>
          <w:p w14:paraId="18AB2C23">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色谱柱</w:t>
            </w:r>
            <w:r>
              <w:rPr>
                <w:rFonts w:hint="eastAsia" w:ascii="微软雅黑" w:hAnsi="微软雅黑" w:eastAsia="微软雅黑" w:cs="微软雅黑"/>
                <w:i w:val="0"/>
                <w:iCs w:val="0"/>
                <w:color w:val="auto"/>
                <w:kern w:val="0"/>
                <w:sz w:val="16"/>
                <w:szCs w:val="16"/>
                <w:u w:val="none"/>
                <w:lang w:val="en-US" w:eastAsia="zh-CN"/>
              </w:rPr>
              <w:t xml:space="preserve"> 25</w:t>
            </w:r>
            <w:r>
              <w:rPr>
                <w:rFonts w:ascii="微软雅黑" w:hAnsi="微软雅黑" w:eastAsia="微软雅黑" w:cs="微软雅黑"/>
                <w:i w:val="0"/>
                <w:iCs w:val="0"/>
                <w:color w:val="auto"/>
                <w:kern w:val="0"/>
                <w:sz w:val="16"/>
                <w:szCs w:val="16"/>
                <w:u w:val="none"/>
                <w:lang w:val="en-US" w:eastAsia="zh-CN"/>
              </w:rPr>
              <w:t>m x 0.32mm</w:t>
            </w:r>
          </w:p>
        </w:tc>
        <w:tc>
          <w:tcPr>
            <w:tcW w:w="1070" w:type="dxa"/>
            <w:tcBorders>
              <w:top w:val="single" w:color="auto" w:sz="4" w:space="0"/>
              <w:left w:val="single" w:color="auto" w:sz="4" w:space="0"/>
              <w:bottom w:val="single" w:color="auto" w:sz="4" w:space="0"/>
              <w:right w:val="single" w:color="auto" w:sz="4" w:space="0"/>
            </w:tcBorders>
            <w:noWrap/>
            <w:vAlign w:val="center"/>
          </w:tcPr>
          <w:p w14:paraId="36253CF5">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 xml:space="preserve">1 </w:t>
            </w:r>
          </w:p>
        </w:tc>
      </w:tr>
      <w:tr w14:paraId="1512F6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69563059">
            <w:pPr>
              <w:jc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19</w:t>
            </w:r>
          </w:p>
        </w:tc>
        <w:tc>
          <w:tcPr>
            <w:tcW w:w="6574" w:type="dxa"/>
            <w:tcBorders>
              <w:top w:val="single" w:color="auto" w:sz="4" w:space="0"/>
              <w:left w:val="single" w:color="auto" w:sz="4" w:space="0"/>
              <w:bottom w:val="single" w:color="auto" w:sz="4" w:space="0"/>
              <w:right w:val="single" w:color="auto" w:sz="4" w:space="0"/>
            </w:tcBorders>
            <w:noWrap/>
            <w:vAlign w:val="center"/>
          </w:tcPr>
          <w:p w14:paraId="3B1BB34B">
            <w:pPr>
              <w:keepNext w:val="0"/>
              <w:keepLines w:val="0"/>
              <w:widowControl/>
              <w:suppressLineNumbers w:val="0"/>
              <w:jc w:val="left"/>
              <w:textAlignment w:val="center"/>
              <w:rPr>
                <w:rFonts w:ascii="微软雅黑" w:hAnsi="微软雅黑" w:eastAsia="微软雅黑" w:cs="微软雅黑"/>
                <w:i w:val="0"/>
                <w:iCs w:val="0"/>
                <w:color w:val="auto"/>
                <w:kern w:val="0"/>
                <w:sz w:val="16"/>
                <w:szCs w:val="16"/>
                <w:u w:val="none"/>
                <w:lang w:val="en-US" w:eastAsia="zh-CN"/>
              </w:rPr>
            </w:pPr>
            <w:r>
              <w:rPr>
                <w:rFonts w:ascii="微软雅黑" w:hAnsi="微软雅黑" w:eastAsia="微软雅黑" w:cs="微软雅黑"/>
                <w:i w:val="0"/>
                <w:iCs w:val="0"/>
                <w:color w:val="auto"/>
                <w:kern w:val="0"/>
                <w:sz w:val="16"/>
                <w:szCs w:val="16"/>
                <w:u w:val="none"/>
                <w:lang w:val="en-US" w:eastAsia="zh-CN"/>
              </w:rPr>
              <w:t>色谱柱</w:t>
            </w:r>
            <w:r>
              <w:rPr>
                <w:rFonts w:hint="eastAsia" w:ascii="微软雅黑" w:hAnsi="微软雅黑" w:eastAsia="微软雅黑" w:cs="微软雅黑"/>
                <w:i w:val="0"/>
                <w:iCs w:val="0"/>
                <w:color w:val="auto"/>
                <w:kern w:val="0"/>
                <w:sz w:val="16"/>
                <w:szCs w:val="16"/>
                <w:u w:val="none"/>
                <w:lang w:val="en-US" w:eastAsia="zh-CN"/>
              </w:rPr>
              <w:t xml:space="preserve">  25*0.2mm</w:t>
            </w:r>
          </w:p>
        </w:tc>
        <w:tc>
          <w:tcPr>
            <w:tcW w:w="1070" w:type="dxa"/>
            <w:tcBorders>
              <w:top w:val="single" w:color="auto" w:sz="4" w:space="0"/>
              <w:left w:val="single" w:color="auto" w:sz="4" w:space="0"/>
              <w:bottom w:val="single" w:color="auto" w:sz="4" w:space="0"/>
              <w:right w:val="single" w:color="auto" w:sz="4" w:space="0"/>
            </w:tcBorders>
            <w:noWrap/>
            <w:vAlign w:val="center"/>
          </w:tcPr>
          <w:p w14:paraId="0A5E4B61">
            <w:pPr>
              <w:keepNext w:val="0"/>
              <w:keepLines w:val="0"/>
              <w:widowControl/>
              <w:suppressLineNumbers w:val="0"/>
              <w:jc w:val="center"/>
              <w:textAlignment w:val="center"/>
              <w:rPr>
                <w:rFonts w:ascii="微软雅黑" w:hAnsi="微软雅黑" w:eastAsia="微软雅黑" w:cs="微软雅黑"/>
                <w:i w:val="0"/>
                <w:iCs w:val="0"/>
                <w:color w:val="auto"/>
                <w:kern w:val="0"/>
                <w:sz w:val="16"/>
                <w:szCs w:val="16"/>
                <w:u w:val="none"/>
                <w:lang w:val="en-US" w:eastAsia="zh-CN"/>
              </w:rPr>
            </w:pPr>
            <w:r>
              <w:rPr>
                <w:rFonts w:hint="eastAsia" w:ascii="微软雅黑" w:hAnsi="微软雅黑" w:eastAsia="微软雅黑" w:cs="微软雅黑"/>
                <w:i w:val="0"/>
                <w:iCs w:val="0"/>
                <w:color w:val="auto"/>
                <w:kern w:val="0"/>
                <w:sz w:val="16"/>
                <w:szCs w:val="16"/>
                <w:u w:val="none"/>
                <w:lang w:val="en-US" w:eastAsia="zh-CN"/>
              </w:rPr>
              <w:t>1</w:t>
            </w:r>
          </w:p>
        </w:tc>
      </w:tr>
      <w:tr w14:paraId="2B4FA1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68BB27BD">
            <w:pPr>
              <w:keepNext w:val="0"/>
              <w:keepLines w:val="0"/>
              <w:widowControl/>
              <w:suppressLineNumbers w:val="0"/>
              <w:jc w:val="center"/>
              <w:textAlignment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20</w:t>
            </w:r>
          </w:p>
        </w:tc>
        <w:tc>
          <w:tcPr>
            <w:tcW w:w="6574" w:type="dxa"/>
            <w:tcBorders>
              <w:top w:val="single" w:color="auto" w:sz="4" w:space="0"/>
              <w:left w:val="single" w:color="auto" w:sz="4" w:space="0"/>
              <w:bottom w:val="single" w:color="auto" w:sz="4" w:space="0"/>
              <w:right w:val="single" w:color="auto" w:sz="4" w:space="0"/>
            </w:tcBorders>
            <w:noWrap/>
            <w:vAlign w:val="center"/>
          </w:tcPr>
          <w:p w14:paraId="041E9779">
            <w:pPr>
              <w:keepNext w:val="0"/>
              <w:keepLines w:val="0"/>
              <w:widowControl/>
              <w:suppressLineNumbers w:val="0"/>
              <w:jc w:val="left"/>
              <w:textAlignment w:val="center"/>
              <w:rPr>
                <w:rFonts w:ascii="微软雅黑" w:hAnsi="微软雅黑" w:eastAsia="微软雅黑" w:cs="微软雅黑"/>
                <w:i w:val="0"/>
                <w:iCs w:val="0"/>
                <w:color w:val="auto"/>
                <w:sz w:val="16"/>
                <w:szCs w:val="16"/>
                <w:u w:val="none"/>
              </w:rPr>
            </w:pPr>
            <w:r>
              <w:rPr>
                <w:rFonts w:ascii="微软雅黑" w:hAnsi="微软雅黑" w:eastAsia="微软雅黑" w:cs="微软雅黑"/>
                <w:i w:val="0"/>
                <w:iCs w:val="0"/>
                <w:color w:val="auto"/>
                <w:kern w:val="0"/>
                <w:sz w:val="16"/>
                <w:szCs w:val="16"/>
                <w:u w:val="none"/>
                <w:lang w:val="en-US" w:eastAsia="zh-CN"/>
              </w:rPr>
              <w:t>计算机</w:t>
            </w:r>
          </w:p>
        </w:tc>
        <w:tc>
          <w:tcPr>
            <w:tcW w:w="1070" w:type="dxa"/>
            <w:tcBorders>
              <w:top w:val="single" w:color="auto" w:sz="4" w:space="0"/>
              <w:left w:val="single" w:color="auto" w:sz="4" w:space="0"/>
              <w:bottom w:val="single" w:color="auto" w:sz="4" w:space="0"/>
              <w:right w:val="single" w:color="auto" w:sz="4" w:space="0"/>
            </w:tcBorders>
            <w:noWrap/>
            <w:vAlign w:val="center"/>
          </w:tcPr>
          <w:p w14:paraId="5C49D87F">
            <w:pPr>
              <w:jc w:val="center"/>
              <w:rPr>
                <w:rFonts w:hint="eastAsia"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w:t>
            </w:r>
          </w:p>
        </w:tc>
      </w:tr>
      <w:tr w14:paraId="365F03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3F075D7F">
            <w:pPr>
              <w:keepNext w:val="0"/>
              <w:keepLines w:val="0"/>
              <w:widowControl/>
              <w:suppressLineNumbers w:val="0"/>
              <w:jc w:val="center"/>
              <w:textAlignment w:val="center"/>
              <w:rPr>
                <w:rFonts w:ascii="微软雅黑" w:hAnsi="微软雅黑" w:eastAsia="微软雅黑" w:cs="微软雅黑"/>
                <w:i w:val="0"/>
                <w:iCs w:val="0"/>
                <w:color w:val="auto"/>
                <w:kern w:val="0"/>
                <w:sz w:val="16"/>
                <w:szCs w:val="16"/>
                <w:u w:val="none"/>
                <w:lang w:val="en-US" w:eastAsia="zh-CN"/>
              </w:rPr>
            </w:pPr>
            <w:r>
              <w:rPr>
                <w:rFonts w:hint="eastAsia" w:ascii="微软雅黑" w:hAnsi="微软雅黑" w:eastAsia="微软雅黑" w:cs="微软雅黑"/>
                <w:i w:val="0"/>
                <w:iCs w:val="0"/>
                <w:color w:val="auto"/>
                <w:kern w:val="0"/>
                <w:sz w:val="16"/>
                <w:szCs w:val="16"/>
                <w:u w:val="none"/>
                <w:lang w:val="en-US" w:eastAsia="zh-CN"/>
              </w:rPr>
              <w:t>21</w:t>
            </w:r>
          </w:p>
        </w:tc>
        <w:tc>
          <w:tcPr>
            <w:tcW w:w="6574" w:type="dxa"/>
            <w:tcBorders>
              <w:top w:val="single" w:color="auto" w:sz="4" w:space="0"/>
              <w:left w:val="single" w:color="auto" w:sz="4" w:space="0"/>
              <w:bottom w:val="single" w:color="auto" w:sz="4" w:space="0"/>
              <w:right w:val="single" w:color="auto" w:sz="4" w:space="0"/>
            </w:tcBorders>
            <w:noWrap/>
            <w:vAlign w:val="center"/>
          </w:tcPr>
          <w:p w14:paraId="537B3A55">
            <w:pPr>
              <w:keepNext w:val="0"/>
              <w:keepLines w:val="0"/>
              <w:widowControl/>
              <w:suppressLineNumbers w:val="0"/>
              <w:jc w:val="left"/>
              <w:textAlignment w:val="center"/>
              <w:rPr>
                <w:rFonts w:ascii="微软雅黑" w:hAnsi="微软雅黑" w:eastAsia="微软雅黑" w:cs="微软雅黑"/>
                <w:i w:val="0"/>
                <w:iCs w:val="0"/>
                <w:color w:val="auto"/>
                <w:kern w:val="0"/>
                <w:sz w:val="16"/>
                <w:szCs w:val="16"/>
                <w:u w:val="none"/>
                <w:lang w:val="en-US" w:eastAsia="zh-CN"/>
              </w:rPr>
            </w:pPr>
            <w:r>
              <w:rPr>
                <w:rFonts w:hint="eastAsia" w:ascii="微软雅黑" w:hAnsi="微软雅黑" w:eastAsia="微软雅黑" w:cs="微软雅黑"/>
                <w:i w:val="0"/>
                <w:iCs w:val="0"/>
                <w:color w:val="auto"/>
                <w:kern w:val="0"/>
                <w:sz w:val="16"/>
                <w:szCs w:val="16"/>
                <w:u w:val="none"/>
                <w:lang w:val="en-US" w:eastAsia="zh-CN"/>
              </w:rPr>
              <w:t>氢气发生器</w:t>
            </w:r>
          </w:p>
        </w:tc>
        <w:tc>
          <w:tcPr>
            <w:tcW w:w="1070" w:type="dxa"/>
            <w:tcBorders>
              <w:top w:val="single" w:color="auto" w:sz="4" w:space="0"/>
              <w:left w:val="single" w:color="auto" w:sz="4" w:space="0"/>
              <w:bottom w:val="single" w:color="auto" w:sz="4" w:space="0"/>
              <w:right w:val="single" w:color="auto" w:sz="4" w:space="0"/>
            </w:tcBorders>
            <w:noWrap/>
            <w:vAlign w:val="center"/>
          </w:tcPr>
          <w:p w14:paraId="61D61F8F">
            <w:pPr>
              <w:jc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w:t>
            </w:r>
          </w:p>
        </w:tc>
      </w:tr>
      <w:tr w14:paraId="6B253B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880" w:type="dxa"/>
            <w:tcBorders>
              <w:top w:val="single" w:color="auto" w:sz="4" w:space="0"/>
              <w:left w:val="single" w:color="auto" w:sz="4" w:space="0"/>
              <w:bottom w:val="single" w:color="auto" w:sz="4" w:space="0"/>
              <w:right w:val="single" w:color="auto" w:sz="4" w:space="0"/>
            </w:tcBorders>
            <w:noWrap/>
            <w:vAlign w:val="center"/>
          </w:tcPr>
          <w:p w14:paraId="587C7322">
            <w:pPr>
              <w:keepNext w:val="0"/>
              <w:keepLines w:val="0"/>
              <w:widowControl/>
              <w:suppressLineNumbers w:val="0"/>
              <w:jc w:val="center"/>
              <w:textAlignment w:val="center"/>
              <w:rPr>
                <w:rFonts w:ascii="微软雅黑" w:hAnsi="微软雅黑" w:eastAsia="微软雅黑" w:cs="微软雅黑"/>
                <w:i w:val="0"/>
                <w:iCs w:val="0"/>
                <w:color w:val="auto"/>
                <w:kern w:val="0"/>
                <w:sz w:val="16"/>
                <w:szCs w:val="16"/>
                <w:u w:val="none"/>
                <w:lang w:val="en-US" w:eastAsia="zh-CN"/>
              </w:rPr>
            </w:pPr>
            <w:r>
              <w:rPr>
                <w:rFonts w:hint="eastAsia" w:ascii="微软雅黑" w:hAnsi="微软雅黑" w:eastAsia="微软雅黑" w:cs="微软雅黑"/>
                <w:i w:val="0"/>
                <w:iCs w:val="0"/>
                <w:color w:val="auto"/>
                <w:kern w:val="0"/>
                <w:sz w:val="16"/>
                <w:szCs w:val="16"/>
                <w:u w:val="none"/>
                <w:lang w:val="en-US" w:eastAsia="zh-CN"/>
              </w:rPr>
              <w:t>22</w:t>
            </w:r>
          </w:p>
        </w:tc>
        <w:tc>
          <w:tcPr>
            <w:tcW w:w="6574" w:type="dxa"/>
            <w:tcBorders>
              <w:top w:val="single" w:color="auto" w:sz="4" w:space="0"/>
              <w:left w:val="single" w:color="auto" w:sz="4" w:space="0"/>
              <w:bottom w:val="single" w:color="auto" w:sz="4" w:space="0"/>
              <w:right w:val="single" w:color="auto" w:sz="4" w:space="0"/>
            </w:tcBorders>
            <w:noWrap/>
            <w:vAlign w:val="center"/>
          </w:tcPr>
          <w:p w14:paraId="1F729A43">
            <w:pPr>
              <w:keepNext w:val="0"/>
              <w:keepLines w:val="0"/>
              <w:widowControl/>
              <w:suppressLineNumbers w:val="0"/>
              <w:jc w:val="left"/>
              <w:textAlignment w:val="center"/>
              <w:rPr>
                <w:rFonts w:ascii="微软雅黑" w:hAnsi="微软雅黑" w:eastAsia="微软雅黑" w:cs="微软雅黑"/>
                <w:i w:val="0"/>
                <w:iCs w:val="0"/>
                <w:color w:val="auto"/>
                <w:kern w:val="0"/>
                <w:sz w:val="16"/>
                <w:szCs w:val="16"/>
                <w:u w:val="none"/>
                <w:lang w:val="en-US" w:eastAsia="zh-CN"/>
              </w:rPr>
            </w:pPr>
            <w:r>
              <w:rPr>
                <w:rFonts w:hint="eastAsia" w:ascii="微软雅黑" w:hAnsi="微软雅黑" w:eastAsia="微软雅黑" w:cs="微软雅黑"/>
                <w:i w:val="0"/>
                <w:iCs w:val="0"/>
                <w:color w:val="auto"/>
                <w:kern w:val="0"/>
                <w:sz w:val="16"/>
                <w:szCs w:val="16"/>
                <w:u w:val="none"/>
                <w:lang w:val="en-US" w:eastAsia="zh-CN"/>
              </w:rPr>
              <w:t>空气发生器</w:t>
            </w:r>
          </w:p>
        </w:tc>
        <w:tc>
          <w:tcPr>
            <w:tcW w:w="1070" w:type="dxa"/>
            <w:tcBorders>
              <w:top w:val="single" w:color="auto" w:sz="4" w:space="0"/>
              <w:left w:val="single" w:color="auto" w:sz="4" w:space="0"/>
              <w:bottom w:val="single" w:color="auto" w:sz="4" w:space="0"/>
              <w:right w:val="single" w:color="auto" w:sz="4" w:space="0"/>
            </w:tcBorders>
            <w:noWrap/>
            <w:vAlign w:val="center"/>
          </w:tcPr>
          <w:p w14:paraId="5AA60ECC">
            <w:pPr>
              <w:jc w:val="center"/>
              <w:rPr>
                <w:rFonts w:ascii="微软雅黑" w:hAnsi="微软雅黑" w:eastAsia="微软雅黑" w:cs="微软雅黑"/>
                <w:i w:val="0"/>
                <w:iCs w:val="0"/>
                <w:color w:val="auto"/>
                <w:sz w:val="16"/>
                <w:szCs w:val="16"/>
                <w:u w:val="none"/>
                <w:lang w:val="en-US" w:eastAsia="zh-CN"/>
              </w:rPr>
            </w:pPr>
            <w:r>
              <w:rPr>
                <w:rFonts w:hint="eastAsia" w:ascii="微软雅黑" w:hAnsi="微软雅黑" w:eastAsia="微软雅黑" w:cs="微软雅黑"/>
                <w:i w:val="0"/>
                <w:iCs w:val="0"/>
                <w:color w:val="auto"/>
                <w:sz w:val="16"/>
                <w:szCs w:val="16"/>
                <w:u w:val="none"/>
                <w:lang w:val="en-US" w:eastAsia="zh-CN"/>
              </w:rPr>
              <w:t>1</w:t>
            </w:r>
          </w:p>
        </w:tc>
      </w:tr>
    </w:tbl>
    <w:p w14:paraId="77F1413B">
      <w:pPr>
        <w:keepNext w:val="0"/>
        <w:keepLines w:val="0"/>
        <w:pageBreakBefore w:val="0"/>
        <w:widowControl w:val="0"/>
        <w:kinsoku/>
        <w:wordWrap/>
        <w:overflowPunct/>
        <w:topLinePunct w:val="0"/>
        <w:autoSpaceDE/>
        <w:autoSpaceDN/>
        <w:bidi w:val="0"/>
        <w:adjustRightInd/>
        <w:snapToGrid/>
        <w:spacing w:line="288" w:lineRule="auto"/>
        <w:textAlignment w:val="auto"/>
        <w:rPr>
          <w:lang w:val="en-US" w:eastAsia="zh-CN"/>
        </w:rPr>
      </w:pPr>
    </w:p>
    <w:p w14:paraId="1D236B2B">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eastAsia"/>
          <w:lang w:val="en-US" w:eastAsia="zh-CN"/>
        </w:rPr>
        <w:t>最高限价 31万</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doNotUseIndentAsNumberingTabStop/>
    <w:compatSetting w:name="compatibilityMode" w:uri="http://schemas.microsoft.com/office/word" w:val="14"/>
  </w:compat>
  <w:rsids>
    <w:rsidRoot w:val="00000000"/>
    <w:rsid w:val="1CEF8616"/>
    <w:rsid w:val="366E8345"/>
    <w:rsid w:val="57FFC147"/>
    <w:rsid w:val="5DBFCB67"/>
    <w:rsid w:val="67B34030"/>
    <w:rsid w:val="6FBF9E4F"/>
    <w:rsid w:val="76F9963C"/>
    <w:rsid w:val="76FDA519"/>
    <w:rsid w:val="7EA75F67"/>
    <w:rsid w:val="7FAF6DE2"/>
    <w:rsid w:val="7FDFDC2A"/>
    <w:rsid w:val="7FEFB8A0"/>
    <w:rsid w:val="DDBD6F38"/>
    <w:rsid w:val="DF3388BA"/>
    <w:rsid w:val="E3F1032D"/>
    <w:rsid w:val="ED5D5521"/>
    <w:rsid w:val="F96FA72D"/>
    <w:rsid w:val="FB7F2B3D"/>
    <w:rsid w:val="FFFFD4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8">
    <w:name w:val="Default Paragraph Font"/>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5">
    <w:name w:val="index 5"/>
    <w:basedOn w:val="1"/>
    <w:next w:val="1"/>
    <w:autoRedefine/>
    <w:qFormat/>
    <w:uiPriority w:val="0"/>
    <w:pPr>
      <w:ind w:left="1680"/>
    </w:pPr>
  </w:style>
  <w:style w:type="paragraph" w:styleId="6">
    <w:name w:val="toc 1"/>
    <w:basedOn w:val="1"/>
    <w:next w:val="1"/>
    <w:autoRedefine/>
    <w:qFormat/>
    <w:uiPriority w:val="0"/>
  </w:style>
  <w:style w:type="paragraph" w:customStyle="1" w:styleId="9">
    <w:name w:val="段缩进"/>
    <w:qFormat/>
    <w:uiPriority w:val="0"/>
    <w:pPr>
      <w:spacing w:line="360" w:lineRule="auto"/>
      <w:ind w:firstLine="200" w:firstLineChars="200"/>
    </w:pPr>
    <w:rPr>
      <w:rFonts w:ascii="宋体" w:hAnsi="Times New Roman" w:eastAsia="宋体" w:cs="Times New Roman"/>
      <w:sz w:val="21"/>
      <w:szCs w:val="20"/>
      <w:lang w:val="en-US" w:eastAsia="zh-CN" w:bidi="ar-SA"/>
    </w:rPr>
  </w:style>
  <w:style w:type="paragraph" w:customStyle="1" w:styleId="1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9EEEAD5C-95BC-4B83-822B-493B7A2926EF}">
  <ds:schemaRefs/>
</ds:datastoreItem>
</file>

<file path=docProps/app.xml><?xml version="1.0" encoding="utf-8"?>
<Properties xmlns="http://schemas.openxmlformats.org/officeDocument/2006/extended-properties" xmlns:vt="http://schemas.openxmlformats.org/officeDocument/2006/docPropsVTypes">
  <Template>Normal.eit</Template>
  <Pages>3</Pages>
  <Words>1560</Words>
  <Characters>1966</Characters>
  <Lines>0</Lines>
  <Paragraphs>53</Paragraphs>
  <TotalTime>10</TotalTime>
  <ScaleCrop>false</ScaleCrop>
  <LinksUpToDate>false</LinksUpToDate>
  <CharactersWithSpaces>2023</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2025-04-13T09:55:00Z</dcterms:created>
  <dc:creator>DONG</dc:creator>
  <cp:lastModifiedBy>郑</cp:lastModifiedBy>
  <dcterms:modified xsi:type="dcterms:W3CDTF">2025-10-18T06:32:44Z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17BF51D0AE3D0C7B2C25F767FA8DD5A4_41</vt:lpwstr>
  </property>
  <property fmtid="{D5CDD505-2E9C-101B-9397-08002B2CF9AE}" pid="4" name="KSOTemplateDocerSaveRecord">
    <vt:lpwstr>eyJoZGlkIjoiNGJhYTg3NDAyN2U5MDRiNmNhMjBlNzljYTQzNWEyMWMiLCJ1c2VySWQiOiI1NjkxMjc2OTEifQ==</vt:lpwstr>
  </property>
</Properties>
</file>