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0A2EEE">
      <w:pPr>
        <w:jc w:val="center"/>
        <w:rPr>
          <w:rFonts w:hint="eastAsia" w:ascii="仿宋" w:hAnsi="仿宋" w:eastAsia="仿宋" w:cs="仿宋"/>
          <w:sz w:val="144"/>
        </w:rPr>
      </w:pPr>
      <w:r>
        <w:rPr>
          <w:rFonts w:hint="eastAsia" w:ascii="仿宋" w:hAnsi="仿宋" w:eastAsia="仿宋" w:cs="仿宋"/>
          <w:sz w:val="144"/>
        </w:rPr>
        <w:t xml:space="preserve"> </w:t>
      </w:r>
    </w:p>
    <w:p w14:paraId="45EE4ECF">
      <w:pPr>
        <w:jc w:val="center"/>
        <w:rPr>
          <w:rFonts w:hint="eastAsia" w:ascii="楷体" w:hAnsi="楷体" w:eastAsia="楷体" w:cs="楷体"/>
          <w:b/>
          <w:sz w:val="48"/>
          <w:szCs w:val="48"/>
        </w:rPr>
      </w:pPr>
      <w:r>
        <w:rPr>
          <w:rFonts w:hint="eastAsia" w:ascii="楷体" w:hAnsi="楷体" w:eastAsia="楷体" w:cs="楷体"/>
          <w:b/>
          <w:sz w:val="48"/>
          <w:szCs w:val="48"/>
          <w:lang w:val="en-US" w:eastAsia="zh-CN"/>
        </w:rPr>
        <w:t>进口阀门定位器</w:t>
      </w:r>
      <w:r>
        <w:rPr>
          <w:rFonts w:hint="eastAsia" w:ascii="楷体" w:hAnsi="楷体" w:eastAsia="楷体" w:cs="楷体"/>
          <w:b/>
          <w:sz w:val="48"/>
          <w:szCs w:val="48"/>
        </w:rPr>
        <w:t>竞价文件</w:t>
      </w:r>
    </w:p>
    <w:p w14:paraId="14AFEDD7">
      <w:pPr>
        <w:spacing w:line="560" w:lineRule="exact"/>
        <w:rPr>
          <w:rFonts w:hint="eastAsia" w:ascii="楷体" w:hAnsi="楷体" w:eastAsia="楷体" w:cs="楷体"/>
          <w:b/>
          <w:sz w:val="28"/>
          <w:szCs w:val="28"/>
        </w:rPr>
      </w:pPr>
    </w:p>
    <w:p w14:paraId="45C06F1B">
      <w:pPr>
        <w:spacing w:line="560" w:lineRule="exact"/>
        <w:rPr>
          <w:rFonts w:hint="eastAsia" w:ascii="楷体" w:hAnsi="楷体" w:eastAsia="楷体" w:cs="楷体"/>
          <w:b/>
          <w:sz w:val="28"/>
          <w:szCs w:val="28"/>
        </w:rPr>
      </w:pPr>
    </w:p>
    <w:p w14:paraId="2E7E506B">
      <w:pPr>
        <w:spacing w:line="560" w:lineRule="exact"/>
        <w:ind w:firstLine="148" w:firstLineChars="49"/>
        <w:jc w:val="left"/>
        <w:rPr>
          <w:rFonts w:hint="eastAsia" w:ascii="楷体" w:hAnsi="楷体" w:eastAsia="楷体" w:cs="楷体"/>
          <w:b/>
          <w:sz w:val="30"/>
          <w:szCs w:val="30"/>
        </w:rPr>
      </w:pPr>
      <w:r>
        <w:rPr>
          <w:rFonts w:hint="eastAsia" w:ascii="楷体" w:hAnsi="楷体" w:eastAsia="楷体" w:cs="楷体"/>
          <w:b/>
          <w:sz w:val="30"/>
          <w:szCs w:val="30"/>
        </w:rPr>
        <w:t>项目名称：浙江巨化自动化仪表有限公司</w:t>
      </w:r>
      <w:r>
        <w:rPr>
          <w:rFonts w:hint="eastAsia" w:ascii="楷体" w:hAnsi="楷体" w:eastAsia="楷体" w:cs="楷体"/>
          <w:b/>
          <w:sz w:val="30"/>
          <w:szCs w:val="30"/>
          <w:lang w:val="en-US" w:eastAsia="zh-CN"/>
        </w:rPr>
        <w:t>进口阀门定位器</w:t>
      </w:r>
      <w:r>
        <w:rPr>
          <w:rFonts w:hint="eastAsia" w:ascii="楷体" w:hAnsi="楷体" w:eastAsia="楷体" w:cs="楷体"/>
          <w:b/>
          <w:sz w:val="30"/>
          <w:szCs w:val="30"/>
        </w:rPr>
        <w:t>采购</w:t>
      </w:r>
    </w:p>
    <w:p w14:paraId="6CA34D78">
      <w:pPr>
        <w:spacing w:line="560" w:lineRule="exact"/>
        <w:ind w:firstLine="148" w:firstLineChars="49"/>
        <w:jc w:val="left"/>
        <w:rPr>
          <w:rFonts w:hint="default" w:ascii="楷体" w:hAnsi="楷体" w:eastAsia="楷体" w:cs="楷体"/>
          <w:b/>
          <w:sz w:val="30"/>
          <w:szCs w:val="30"/>
          <w:lang w:val="en-US" w:eastAsia="zh-CN"/>
        </w:rPr>
      </w:pPr>
      <w:r>
        <w:rPr>
          <w:rFonts w:hint="eastAsia" w:ascii="楷体" w:hAnsi="楷体" w:eastAsia="楷体" w:cs="楷体"/>
          <w:b/>
          <w:sz w:val="30"/>
          <w:szCs w:val="30"/>
        </w:rPr>
        <w:t xml:space="preserve">标的物名称：    </w:t>
      </w:r>
      <w:r>
        <w:rPr>
          <w:rFonts w:hint="eastAsia" w:ascii="楷体" w:hAnsi="楷体" w:eastAsia="楷体" w:cs="楷体"/>
          <w:b/>
          <w:sz w:val="30"/>
          <w:szCs w:val="30"/>
          <w:lang w:val="en-US" w:eastAsia="zh-CN"/>
        </w:rPr>
        <w:t>进口阀门定位器</w:t>
      </w:r>
    </w:p>
    <w:p w14:paraId="4D229844">
      <w:pPr>
        <w:spacing w:line="560" w:lineRule="exact"/>
        <w:rPr>
          <w:rFonts w:hint="eastAsia" w:ascii="楷体" w:hAnsi="楷体" w:eastAsia="楷体" w:cs="楷体"/>
          <w:b/>
          <w:kern w:val="0"/>
          <w:sz w:val="28"/>
          <w:szCs w:val="28"/>
        </w:rPr>
      </w:pPr>
    </w:p>
    <w:p w14:paraId="250506EC">
      <w:pPr>
        <w:spacing w:line="560" w:lineRule="exact"/>
        <w:rPr>
          <w:rFonts w:hint="eastAsia" w:ascii="楷体" w:hAnsi="楷体" w:eastAsia="楷体" w:cs="楷体"/>
          <w:b/>
          <w:sz w:val="28"/>
          <w:szCs w:val="28"/>
        </w:rPr>
      </w:pPr>
    </w:p>
    <w:p w14:paraId="6295DD81">
      <w:pPr>
        <w:spacing w:line="560" w:lineRule="exact"/>
        <w:rPr>
          <w:rFonts w:hint="eastAsia" w:ascii="楷体" w:hAnsi="楷体" w:eastAsia="楷体" w:cs="楷体"/>
          <w:b/>
          <w:sz w:val="28"/>
        </w:rPr>
      </w:pPr>
    </w:p>
    <w:p w14:paraId="42A3ABBB">
      <w:pPr>
        <w:spacing w:line="560" w:lineRule="exact"/>
        <w:rPr>
          <w:rFonts w:hint="eastAsia" w:ascii="楷体" w:hAnsi="楷体" w:eastAsia="楷体" w:cs="楷体"/>
          <w:b/>
          <w:sz w:val="28"/>
        </w:rPr>
      </w:pPr>
    </w:p>
    <w:p w14:paraId="75D9286E">
      <w:pPr>
        <w:spacing w:line="560" w:lineRule="exact"/>
        <w:rPr>
          <w:rFonts w:hint="eastAsia" w:ascii="楷体" w:hAnsi="楷体" w:eastAsia="楷体" w:cs="楷体"/>
          <w:b/>
          <w:sz w:val="28"/>
        </w:rPr>
      </w:pPr>
    </w:p>
    <w:p w14:paraId="7C70D9AB">
      <w:pPr>
        <w:spacing w:line="560" w:lineRule="exact"/>
        <w:rPr>
          <w:rFonts w:hint="eastAsia" w:ascii="楷体" w:hAnsi="楷体" w:eastAsia="楷体" w:cs="楷体"/>
          <w:b/>
          <w:sz w:val="28"/>
        </w:rPr>
      </w:pPr>
    </w:p>
    <w:p w14:paraId="3123F6D9">
      <w:pPr>
        <w:spacing w:line="560" w:lineRule="exact"/>
        <w:rPr>
          <w:rFonts w:hint="eastAsia" w:ascii="楷体" w:hAnsi="楷体" w:eastAsia="楷体" w:cs="楷体"/>
          <w:b/>
          <w:sz w:val="28"/>
        </w:rPr>
      </w:pPr>
    </w:p>
    <w:p w14:paraId="4263254B">
      <w:pPr>
        <w:spacing w:line="560" w:lineRule="exact"/>
        <w:rPr>
          <w:rFonts w:hint="eastAsia" w:ascii="楷体" w:hAnsi="楷体" w:eastAsia="楷体" w:cs="楷体"/>
          <w:b/>
          <w:sz w:val="28"/>
        </w:rPr>
      </w:pPr>
    </w:p>
    <w:p w14:paraId="76F75A84">
      <w:pPr>
        <w:spacing w:line="560" w:lineRule="exact"/>
        <w:ind w:left="2380" w:leftChars="945" w:hanging="396" w:hangingChars="141"/>
        <w:rPr>
          <w:rFonts w:hint="eastAsia" w:ascii="楷体" w:hAnsi="楷体" w:eastAsia="楷体" w:cs="楷体"/>
          <w:b/>
          <w:sz w:val="28"/>
          <w:szCs w:val="28"/>
        </w:rPr>
      </w:pPr>
      <w:r>
        <w:rPr>
          <w:rFonts w:hint="eastAsia" w:ascii="楷体" w:hAnsi="楷体" w:eastAsia="楷体" w:cs="楷体"/>
          <w:b/>
          <w:sz w:val="28"/>
          <w:szCs w:val="28"/>
        </w:rPr>
        <w:t>竞价机构：浙江巨化自动化仪表有限公司</w:t>
      </w:r>
    </w:p>
    <w:p w14:paraId="493AC97E">
      <w:pPr>
        <w:spacing w:line="560" w:lineRule="exact"/>
        <w:jc w:val="center"/>
        <w:rPr>
          <w:rFonts w:hint="eastAsia" w:ascii="楷体" w:hAnsi="楷体" w:eastAsia="楷体" w:cs="楷体"/>
          <w:b/>
          <w:sz w:val="28"/>
          <w:szCs w:val="28"/>
        </w:rPr>
      </w:pPr>
    </w:p>
    <w:p w14:paraId="4C9EE47B">
      <w:pPr>
        <w:spacing w:line="560" w:lineRule="exact"/>
        <w:jc w:val="center"/>
        <w:rPr>
          <w:rFonts w:hint="eastAsia" w:ascii="楷体" w:hAnsi="楷体" w:eastAsia="楷体" w:cs="楷体"/>
          <w:b/>
        </w:rPr>
      </w:pPr>
      <w:r>
        <w:rPr>
          <w:rFonts w:hint="eastAsia" w:ascii="楷体" w:hAnsi="楷体" w:eastAsia="楷体" w:cs="楷体"/>
          <w:b/>
          <w:sz w:val="32"/>
          <w:szCs w:val="32"/>
        </w:rPr>
        <w:t>二</w:t>
      </w:r>
      <w:r>
        <w:rPr>
          <w:rFonts w:hint="eastAsia" w:ascii="楷体" w:hAnsi="楷体" w:eastAsia="楷体" w:cs="楷体"/>
          <w:b/>
          <w:kern w:val="0"/>
          <w:sz w:val="32"/>
          <w:szCs w:val="32"/>
        </w:rPr>
        <w:t>○二五</w:t>
      </w:r>
      <w:r>
        <w:rPr>
          <w:rFonts w:hint="eastAsia" w:ascii="楷体" w:hAnsi="楷体" w:eastAsia="楷体" w:cs="楷体"/>
          <w:b/>
          <w:sz w:val="32"/>
          <w:szCs w:val="32"/>
        </w:rPr>
        <w:t>年</w:t>
      </w:r>
    </w:p>
    <w:p w14:paraId="622AED9C">
      <w:pPr>
        <w:widowControl/>
        <w:jc w:val="left"/>
        <w:rPr>
          <w:rFonts w:ascii="楷体" w:hAnsi="楷体" w:eastAsia="楷体" w:cs="楷体"/>
          <w:b/>
        </w:rPr>
        <w:sectPr>
          <w:footnotePr>
            <w:numRestart w:val="eachPage"/>
          </w:footnotePr>
          <w:endnotePr>
            <w:numRestart w:val="eachSect"/>
          </w:endnotePr>
          <w:pgSz w:w="11907" w:h="16840"/>
          <w:pgMar w:top="1418" w:right="1418" w:bottom="1418" w:left="1644" w:header="851" w:footer="992" w:gutter="0"/>
          <w:pgNumType w:start="1"/>
          <w:cols w:space="720" w:num="1"/>
        </w:sectPr>
      </w:pPr>
    </w:p>
    <w:p w14:paraId="017B3EAF">
      <w:pPr>
        <w:widowControl/>
        <w:spacing w:before="75" w:after="75"/>
        <w:jc w:val="center"/>
        <w:textAlignment w:val="center"/>
        <w:rPr>
          <w:rFonts w:hint="eastAsia" w:ascii="font-size:11pt;" w:hAnsi="font-size:11pt;" w:eastAsia="font-size:11pt;" w:cs="font-size:11pt;"/>
          <w:kern w:val="0"/>
          <w:szCs w:val="21"/>
          <w:lang w:bidi="ar"/>
        </w:rPr>
      </w:pPr>
      <w:bookmarkStart w:id="0" w:name="_Toc362467878"/>
      <w:bookmarkStart w:id="1" w:name="_Toc359873210"/>
      <w:r>
        <w:rPr>
          <w:rFonts w:ascii="font-size:11pt;" w:hAnsi="font-size:11pt;" w:eastAsia="font-size:11pt;" w:cs="font-size:11pt;"/>
          <w:b/>
          <w:bCs/>
          <w:kern w:val="0"/>
          <w:sz w:val="30"/>
          <w:szCs w:val="30"/>
          <w:lang w:bidi="ar"/>
        </w:rPr>
        <w:t>第一章   竞价公告</w:t>
      </w:r>
      <w:bookmarkEnd w:id="0"/>
      <w:bookmarkEnd w:id="1"/>
    </w:p>
    <w:p w14:paraId="3D9787F9">
      <w:pPr>
        <w:snapToGrid w:val="0"/>
        <w:spacing w:line="360" w:lineRule="auto"/>
        <w:ind w:firstLine="420"/>
        <w:jc w:val="left"/>
        <w:rPr>
          <w:rFonts w:ascii="宋体" w:hAnsi="宋体" w:cs="宋体"/>
          <w:bCs/>
          <w:kern w:val="0"/>
          <w:sz w:val="24"/>
          <w:shd w:val="solid" w:color="FFFFFF" w:fill="FFFFFF"/>
        </w:rPr>
      </w:pPr>
      <w:r>
        <w:rPr>
          <w:rFonts w:hint="eastAsia" w:ascii="宋体" w:cs="宋体"/>
          <w:kern w:val="0"/>
          <w:sz w:val="24"/>
          <w:shd w:val="solid" w:color="FFFFFF" w:fill="FFFFFF"/>
        </w:rPr>
        <w:t>浙江巨化自动化仪表有限公司对</w:t>
      </w:r>
      <w:r>
        <w:rPr>
          <w:rFonts w:hint="eastAsia" w:ascii="宋体" w:cs="宋体"/>
          <w:kern w:val="0"/>
          <w:sz w:val="24"/>
          <w:shd w:val="solid" w:color="FFFFFF" w:fill="FFFFFF"/>
          <w:lang w:val="en-US" w:eastAsia="zh-CN"/>
        </w:rPr>
        <w:t>一批进口阀门定位器</w:t>
      </w:r>
      <w:r>
        <w:rPr>
          <w:rFonts w:hint="eastAsia" w:ascii="宋体" w:cs="宋体"/>
          <w:kern w:val="0"/>
          <w:sz w:val="24"/>
          <w:shd w:val="solid" w:color="FFFFFF" w:fill="FFFFFF"/>
        </w:rPr>
        <w:t>进行竞</w:t>
      </w:r>
      <w:r>
        <w:rPr>
          <w:rFonts w:hint="eastAsia" w:ascii="宋体" w:hAnsi="宋体" w:cs="宋体"/>
          <w:bCs/>
          <w:kern w:val="0"/>
          <w:sz w:val="24"/>
          <w:shd w:val="solid" w:color="FFFFFF" w:fill="FFFFFF"/>
        </w:rPr>
        <w:t>价采购，欢迎符合资格的供应商参加。</w:t>
      </w:r>
    </w:p>
    <w:p w14:paraId="1D0DAFC7">
      <w:pPr>
        <w:adjustRightInd w:val="0"/>
        <w:snapToGrid w:val="0"/>
        <w:spacing w:line="360" w:lineRule="auto"/>
        <w:rPr>
          <w:rFonts w:hint="eastAsia"/>
          <w:b/>
          <w:bCs/>
          <w:kern w:val="0"/>
          <w:sz w:val="24"/>
          <w:lang w:bidi="ar"/>
        </w:rPr>
      </w:pPr>
      <w:r>
        <w:rPr>
          <w:rFonts w:hint="eastAsia" w:ascii="宋体" w:cs="宋体"/>
          <w:b/>
          <w:bCs/>
          <w:kern w:val="0"/>
          <w:sz w:val="24"/>
          <w:shd w:val="solid" w:color="FFFFFF" w:fill="FFFFFF"/>
        </w:rPr>
        <w:t>A、供应商</w:t>
      </w:r>
      <w:r>
        <w:rPr>
          <w:rFonts w:eastAsia="font-size:11pt;"/>
          <w:b/>
          <w:bCs/>
          <w:kern w:val="0"/>
          <w:sz w:val="24"/>
          <w:lang w:bidi="ar"/>
        </w:rPr>
        <w:t>资格要求</w:t>
      </w:r>
      <w:r>
        <w:rPr>
          <w:b/>
          <w:bCs/>
          <w:kern w:val="0"/>
          <w:sz w:val="24"/>
          <w:lang w:bidi="ar"/>
        </w:rPr>
        <w:t>;</w:t>
      </w:r>
    </w:p>
    <w:p w14:paraId="7817E998">
      <w:pPr>
        <w:widowControl/>
        <w:spacing w:before="75" w:after="75" w:line="360" w:lineRule="auto"/>
        <w:ind w:firstLine="420" w:firstLineChars="200"/>
        <w:jc w:val="left"/>
        <w:textAlignment w:val="center"/>
        <w:rPr>
          <w:rFonts w:ascii="宋体" w:hAnsi="宋体" w:cs="宋体"/>
          <w:kern w:val="0"/>
          <w:szCs w:val="21"/>
          <w:lang w:bidi="ar"/>
        </w:rPr>
      </w:pPr>
      <w:r>
        <w:rPr>
          <w:rFonts w:hint="eastAsia" w:ascii="宋体" w:hAnsi="宋体" w:cs="宋体"/>
          <w:kern w:val="0"/>
          <w:szCs w:val="21"/>
          <w:lang w:bidi="ar"/>
        </w:rPr>
        <w:t>1、具有独立的承担民事责任的能力；</w:t>
      </w:r>
    </w:p>
    <w:p w14:paraId="59BA1372">
      <w:pPr>
        <w:widowControl/>
        <w:numPr>
          <w:ilvl w:val="0"/>
          <w:numId w:val="1"/>
        </w:numPr>
        <w:spacing w:before="75" w:after="75" w:line="360" w:lineRule="auto"/>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具有良好的商业信誉和健全的财务会计制度；</w:t>
      </w:r>
    </w:p>
    <w:p w14:paraId="55784368">
      <w:pPr>
        <w:widowControl/>
        <w:numPr>
          <w:ilvl w:val="0"/>
          <w:numId w:val="1"/>
        </w:numPr>
        <w:spacing w:before="75" w:after="75" w:line="360" w:lineRule="auto"/>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具有履行合同所必需的物资和专业技术能力；</w:t>
      </w:r>
    </w:p>
    <w:p w14:paraId="1C1D5FAF">
      <w:pPr>
        <w:widowControl/>
        <w:numPr>
          <w:ilvl w:val="0"/>
          <w:numId w:val="1"/>
        </w:numPr>
        <w:spacing w:before="75" w:after="75" w:line="360" w:lineRule="auto"/>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有依法纳税收和社会保障资金的良好记录；</w:t>
      </w:r>
    </w:p>
    <w:p w14:paraId="38345FFB">
      <w:pPr>
        <w:widowControl/>
        <w:numPr>
          <w:ilvl w:val="0"/>
          <w:numId w:val="1"/>
        </w:numPr>
        <w:spacing w:before="75" w:after="75" w:line="360" w:lineRule="auto"/>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参加政府采购活动近三年内，在经营活动中没有重大违法记录；</w:t>
      </w:r>
    </w:p>
    <w:p w14:paraId="7A5D891A">
      <w:pPr>
        <w:widowControl/>
        <w:numPr>
          <w:ilvl w:val="0"/>
          <w:numId w:val="2"/>
        </w:numPr>
        <w:spacing w:before="75" w:after="75" w:line="360" w:lineRule="auto"/>
        <w:ind w:firstLine="420" w:firstLineChars="200"/>
        <w:jc w:val="left"/>
        <w:textAlignment w:val="center"/>
        <w:rPr>
          <w:rFonts w:hint="eastAsia" w:ascii="宋体" w:hAnsi="宋体" w:cs="宋体"/>
          <w:kern w:val="0"/>
          <w:szCs w:val="21"/>
          <w:lang w:bidi="ar"/>
        </w:rPr>
      </w:pPr>
      <w:r>
        <w:rPr>
          <w:rFonts w:hint="eastAsia" w:ascii="宋体" w:hAnsi="宋体" w:cs="宋体"/>
          <w:kern w:val="0"/>
          <w:szCs w:val="21"/>
          <w:lang w:bidi="ar"/>
        </w:rPr>
        <w:t>如为产品实际生产厂家代理商，则实际生产厂家应具备标的所须资质要求；</w:t>
      </w:r>
    </w:p>
    <w:p w14:paraId="49B33798">
      <w:pPr>
        <w:widowControl/>
        <w:numPr>
          <w:ilvl w:val="0"/>
          <w:numId w:val="2"/>
        </w:numPr>
        <w:spacing w:before="75" w:after="75" w:line="360" w:lineRule="auto"/>
        <w:ind w:firstLine="420" w:firstLineChars="200"/>
        <w:jc w:val="left"/>
        <w:textAlignment w:val="center"/>
        <w:rPr>
          <w:rFonts w:hint="eastAsia" w:ascii="font-size:11pt;" w:hAnsi="font-size:11pt;" w:eastAsia="font-size:11pt;" w:cs="font-size:11pt;"/>
          <w:color w:val="000000"/>
          <w:kern w:val="0"/>
          <w:szCs w:val="21"/>
          <w:lang w:bidi="ar"/>
        </w:rPr>
      </w:pPr>
      <w:r>
        <w:rPr>
          <w:rFonts w:hint="eastAsia" w:ascii="宋体" w:hAnsi="宋体" w:cs="宋体"/>
          <w:kern w:val="0"/>
          <w:szCs w:val="21"/>
          <w:lang w:bidi="ar"/>
        </w:rPr>
        <w:t>被巨化集团公司拉入黑名单的供应商，报价视为无效；</w:t>
      </w:r>
    </w:p>
    <w:p w14:paraId="05217B1D">
      <w:pPr>
        <w:widowControl/>
        <w:numPr>
          <w:ilvl w:val="0"/>
          <w:numId w:val="2"/>
        </w:numPr>
        <w:spacing w:before="75" w:after="75" w:line="360" w:lineRule="auto"/>
        <w:ind w:firstLine="420" w:firstLineChars="200"/>
        <w:jc w:val="left"/>
        <w:textAlignment w:val="center"/>
        <w:rPr>
          <w:rFonts w:hint="eastAsia" w:ascii="宋体" w:hAnsi="宋体" w:eastAsia="宋体" w:cs="宋体"/>
          <w:color w:val="000000"/>
          <w:kern w:val="0"/>
          <w:szCs w:val="21"/>
          <w:lang w:bidi="ar"/>
        </w:rPr>
      </w:pPr>
      <w:r>
        <w:rPr>
          <w:rFonts w:hint="eastAsia" w:ascii="宋体" w:hAnsi="宋体" w:eastAsia="宋体" w:cs="宋体"/>
          <w:kern w:val="0"/>
          <w:szCs w:val="21"/>
          <w:lang w:val="en-US" w:eastAsia="zh-CN" w:bidi="ar"/>
        </w:rPr>
        <w:t>同等技术性能、质量、价格情况下，实际生产厂家优先考虑；如为代理贸易商，则有产品实际生产厂家代理授权书的优先考虑；</w:t>
      </w:r>
    </w:p>
    <w:p w14:paraId="7D15687A">
      <w:pPr>
        <w:widowControl/>
        <w:numPr>
          <w:ilvl w:val="0"/>
          <w:numId w:val="2"/>
        </w:numPr>
        <w:spacing w:before="75" w:after="75" w:line="360" w:lineRule="auto"/>
        <w:ind w:firstLine="420" w:firstLineChars="200"/>
        <w:jc w:val="left"/>
        <w:textAlignment w:val="center"/>
        <w:rPr>
          <w:rFonts w:hint="eastAsia" w:ascii="宋体" w:hAnsi="宋体" w:eastAsia="宋体" w:cs="宋体"/>
          <w:color w:val="000000"/>
          <w:kern w:val="0"/>
          <w:szCs w:val="21"/>
          <w:lang w:bidi="ar"/>
        </w:rPr>
      </w:pPr>
      <w:r>
        <w:rPr>
          <w:rFonts w:hint="eastAsia" w:ascii="宋体" w:hAnsi="宋体" w:cs="宋体"/>
          <w:kern w:val="0"/>
          <w:szCs w:val="21"/>
          <w:lang w:val="en-US" w:eastAsia="zh-CN" w:bidi="ar"/>
        </w:rPr>
        <w:t>所供产品</w:t>
      </w:r>
      <w:r>
        <w:rPr>
          <w:rFonts w:hint="eastAsia" w:ascii="宋体" w:hAnsi="宋体" w:eastAsia="宋体" w:cs="宋体"/>
          <w:kern w:val="0"/>
          <w:szCs w:val="21"/>
          <w:lang w:val="en-US" w:eastAsia="zh-CN" w:bidi="ar"/>
        </w:rPr>
        <w:t>要保证正品、发现是翻新、假冒或任何质量问题，我方将要求全额退款</w:t>
      </w:r>
      <w:r>
        <w:rPr>
          <w:rFonts w:hint="eastAsia" w:ascii="宋体" w:hAnsi="宋体" w:cs="宋体"/>
          <w:kern w:val="0"/>
          <w:szCs w:val="21"/>
          <w:lang w:val="en-US" w:eastAsia="zh-CN" w:bidi="ar"/>
        </w:rPr>
        <w:t>，</w:t>
      </w:r>
      <w:r>
        <w:rPr>
          <w:rFonts w:hint="eastAsia" w:ascii="宋体" w:hAnsi="宋体" w:eastAsia="宋体" w:cs="宋体"/>
          <w:kern w:val="0"/>
          <w:szCs w:val="21"/>
          <w:lang w:val="en-US" w:eastAsia="zh-CN" w:bidi="ar"/>
        </w:rPr>
        <w:t>产生的一切损失</w:t>
      </w:r>
      <w:r>
        <w:rPr>
          <w:rFonts w:hint="eastAsia" w:ascii="宋体" w:hAnsi="宋体" w:cs="宋体"/>
          <w:kern w:val="0"/>
          <w:szCs w:val="21"/>
          <w:lang w:val="en-US" w:eastAsia="zh-CN" w:bidi="ar"/>
        </w:rPr>
        <w:t>由贵司</w:t>
      </w:r>
      <w:r>
        <w:rPr>
          <w:rFonts w:hint="eastAsia" w:ascii="宋体" w:hAnsi="宋体" w:eastAsia="宋体" w:cs="宋体"/>
          <w:kern w:val="0"/>
          <w:szCs w:val="21"/>
          <w:lang w:val="en-US" w:eastAsia="zh-CN" w:bidi="ar"/>
        </w:rPr>
        <w:t>承担。</w:t>
      </w:r>
    </w:p>
    <w:p w14:paraId="049FD236">
      <w:pPr>
        <w:widowControl/>
        <w:numPr>
          <w:ilvl w:val="0"/>
          <w:numId w:val="3"/>
        </w:numPr>
        <w:spacing w:before="75" w:after="75" w:line="360" w:lineRule="auto"/>
        <w:jc w:val="left"/>
        <w:textAlignment w:val="center"/>
        <w:rPr>
          <w:rFonts w:hint="eastAsia" w:ascii="宋体" w:hAnsi="宋体" w:cs="宋体"/>
          <w:szCs w:val="21"/>
        </w:rPr>
      </w:pPr>
      <w:bookmarkStart w:id="2" w:name="_GoBack"/>
      <w:bookmarkEnd w:id="2"/>
      <w:r>
        <w:rPr>
          <w:rFonts w:ascii="font-size:11pt;" w:hAnsi="font-size:11pt;" w:eastAsia="font-size:11pt;" w:cs="font-size:11pt;"/>
          <w:b/>
          <w:bCs/>
          <w:kern w:val="0"/>
          <w:szCs w:val="21"/>
          <w:lang w:bidi="ar"/>
        </w:rPr>
        <w:t>执行标准</w:t>
      </w:r>
      <w:r>
        <w:rPr>
          <w:rFonts w:hint="eastAsia" w:ascii="宋体" w:hAnsi="宋体" w:cs="宋体"/>
          <w:kern w:val="0"/>
          <w:szCs w:val="21"/>
          <w:lang w:bidi="ar"/>
        </w:rPr>
        <w:t>：</w:t>
      </w:r>
    </w:p>
    <w:p w14:paraId="711FA86C">
      <w:pPr>
        <w:widowControl/>
        <w:numPr>
          <w:ilvl w:val="0"/>
          <w:numId w:val="4"/>
        </w:numPr>
        <w:spacing w:before="75" w:after="75" w:line="360" w:lineRule="auto"/>
        <w:ind w:firstLine="420" w:firstLineChars="200"/>
        <w:jc w:val="left"/>
        <w:textAlignment w:val="center"/>
        <w:rPr>
          <w:rFonts w:hint="eastAsia" w:ascii="宋体" w:hAnsi="宋体" w:cs="宋体"/>
          <w:szCs w:val="21"/>
        </w:rPr>
      </w:pPr>
      <w:r>
        <w:rPr>
          <w:rFonts w:hint="eastAsia" w:ascii="宋体" w:hAnsi="宋体" w:cs="宋体"/>
          <w:kern w:val="0"/>
          <w:szCs w:val="21"/>
          <w:lang w:val="en-US" w:eastAsia="zh-CN"/>
        </w:rPr>
        <w:t>所供</w:t>
      </w:r>
      <w:r>
        <w:rPr>
          <w:rFonts w:hint="eastAsia" w:ascii="宋体" w:hAnsi="宋体" w:cs="宋体"/>
          <w:kern w:val="0"/>
          <w:szCs w:val="21"/>
        </w:rPr>
        <w:t>产品符合</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国家或行业及</w:t>
      </w:r>
      <w:r>
        <w:rPr>
          <w:rFonts w:hint="eastAsia" w:ascii="宋体" w:hAnsi="宋体" w:cs="宋体"/>
          <w:kern w:val="0"/>
          <w:szCs w:val="21"/>
          <w:u w:val="single"/>
        </w:rPr>
        <w:t>需方</w:t>
      </w:r>
      <w:r>
        <w:rPr>
          <w:rFonts w:hint="eastAsia" w:ascii="宋体" w:hAnsi="宋体" w:cs="宋体"/>
          <w:kern w:val="0"/>
          <w:szCs w:val="21"/>
        </w:rPr>
        <w:t>标准</w:t>
      </w:r>
      <w:r>
        <w:rPr>
          <w:rFonts w:hint="eastAsia" w:ascii="宋体" w:hAnsi="宋体" w:cs="宋体"/>
          <w:szCs w:val="21"/>
        </w:rPr>
        <w:t>。</w:t>
      </w:r>
    </w:p>
    <w:p w14:paraId="5ECC5C7D">
      <w:pPr>
        <w:numPr>
          <w:ilvl w:val="0"/>
          <w:numId w:val="0"/>
        </w:numPr>
        <w:ind w:left="0" w:leftChars="0" w:firstLine="0" w:firstLineChars="0"/>
        <w:textAlignment w:val="top"/>
        <w:rPr>
          <w:rFonts w:hint="eastAsia" w:ascii="宋体" w:hAnsi="宋体" w:cs="宋体"/>
          <w:b/>
          <w:bCs/>
          <w:szCs w:val="21"/>
        </w:rPr>
      </w:pPr>
      <w:r>
        <w:rPr>
          <w:rFonts w:hint="eastAsia" w:ascii="宋体" w:hAnsi="宋体" w:cs="宋体"/>
          <w:b/>
          <w:bCs/>
          <w:kern w:val="2"/>
          <w:sz w:val="21"/>
          <w:szCs w:val="21"/>
          <w:lang w:val="en-US" w:eastAsia="zh-CN" w:bidi="ar-SA"/>
        </w:rPr>
        <w:t>二、</w:t>
      </w:r>
      <w:r>
        <w:rPr>
          <w:rFonts w:hint="eastAsia" w:ascii="宋体" w:hAnsi="宋体" w:cs="宋体"/>
          <w:b/>
          <w:bCs/>
          <w:szCs w:val="21"/>
          <w:lang w:val="en-US" w:eastAsia="zh-CN"/>
        </w:rPr>
        <w:t>质量</w:t>
      </w:r>
      <w:r>
        <w:rPr>
          <w:rFonts w:hint="eastAsia" w:ascii="宋体" w:hAnsi="宋体" w:cs="宋体"/>
          <w:b/>
          <w:bCs/>
          <w:szCs w:val="21"/>
        </w:rPr>
        <w:t>要求：</w:t>
      </w:r>
    </w:p>
    <w:p w14:paraId="13E5B61F">
      <w:pPr>
        <w:numPr>
          <w:ilvl w:val="0"/>
          <w:numId w:val="5"/>
        </w:numPr>
        <w:ind w:firstLine="420" w:firstLineChars="200"/>
        <w:textAlignment w:val="top"/>
        <w:rPr>
          <w:rFonts w:hint="eastAsia"/>
        </w:rPr>
      </w:pPr>
      <w:r>
        <w:rPr>
          <w:rFonts w:hint="eastAsia"/>
          <w:lang w:val="en-US" w:eastAsia="zh-CN"/>
        </w:rPr>
        <w:t>产品的设计及制造均应符合图纸或最新国家、行业有关标准规范及技术附件要求</w:t>
      </w:r>
    </w:p>
    <w:p w14:paraId="25ABF7DC">
      <w:pPr>
        <w:numPr>
          <w:ilvl w:val="0"/>
          <w:numId w:val="5"/>
        </w:numPr>
        <w:ind w:firstLine="420" w:firstLineChars="200"/>
        <w:textAlignment w:val="top"/>
        <w:rPr>
          <w:rFonts w:hint="eastAsia"/>
        </w:rPr>
      </w:pPr>
      <w:r>
        <w:rPr>
          <w:rFonts w:hint="eastAsia"/>
          <w:lang w:val="en-US" w:eastAsia="zh-CN"/>
        </w:rPr>
        <w:t>供方应保证所供货物是全新的、未使用过的，完全符合规定的质量、规格、性能要求。在货物最终验收后的保证期内，供方应对自身原因产生的质量问题负全责</w:t>
      </w:r>
      <w:r>
        <w:rPr>
          <w:rFonts w:hint="eastAsia"/>
        </w:rPr>
        <w:t>；</w:t>
      </w:r>
    </w:p>
    <w:p w14:paraId="1A12F35F">
      <w:pPr>
        <w:numPr>
          <w:ilvl w:val="0"/>
          <w:numId w:val="5"/>
        </w:numPr>
        <w:ind w:firstLine="420" w:firstLineChars="200"/>
        <w:textAlignment w:val="top"/>
        <w:rPr>
          <w:rFonts w:hint="eastAsia"/>
        </w:rPr>
      </w:pPr>
      <w:r>
        <w:rPr>
          <w:rFonts w:hint="eastAsia"/>
        </w:rPr>
        <w:t>供方承诺在产品质量保证期内，因供方在设计、选材、制造、包装、运输等环节造成的质量问题，将免费、及时进行改进、修理或更换。但若在三个月内或采取整改措施三次及以上仍不能使产品达到需方要求，需方有权退货并向供方追索经济损失赔偿</w:t>
      </w:r>
      <w:r>
        <w:rPr>
          <w:rFonts w:hint="eastAsia"/>
          <w:lang w:val="en-US" w:eastAsia="zh-CN"/>
        </w:rPr>
        <w:t>；</w:t>
      </w:r>
    </w:p>
    <w:p w14:paraId="498F5BBC">
      <w:pPr>
        <w:numPr>
          <w:ilvl w:val="0"/>
          <w:numId w:val="5"/>
        </w:numPr>
        <w:snapToGrid w:val="0"/>
        <w:spacing w:line="360" w:lineRule="auto"/>
        <w:ind w:left="0" w:leftChars="0" w:firstLine="420" w:firstLineChars="200"/>
        <w:jc w:val="left"/>
        <w:rPr>
          <w:rFonts w:hint="eastAsia"/>
        </w:rPr>
      </w:pPr>
      <w:r>
        <w:rPr>
          <w:rFonts w:hint="eastAsia"/>
        </w:rPr>
        <w:t>供方有质量缺陷的产品，通过需方整改后可以使用或与需方的客户协商后同意使用的，需方可以选择让步接收，但期间发生的相关费用全部由供方承担。</w:t>
      </w:r>
    </w:p>
    <w:p w14:paraId="5896141C">
      <w:pPr>
        <w:numPr>
          <w:ilvl w:val="0"/>
          <w:numId w:val="5"/>
        </w:numPr>
        <w:snapToGrid w:val="0"/>
        <w:spacing w:line="360" w:lineRule="auto"/>
        <w:ind w:left="0" w:leftChars="0" w:firstLine="420" w:firstLineChars="200"/>
        <w:jc w:val="left"/>
        <w:rPr>
          <w:rFonts w:hint="eastAsia"/>
        </w:rPr>
      </w:pPr>
      <w:r>
        <w:rPr>
          <w:rFonts w:hint="eastAsia"/>
          <w:highlight w:val="yellow"/>
          <w:lang w:val="en-US" w:eastAsia="zh-CN"/>
        </w:rPr>
        <w:t>以招标人提供要求来没有按我们可以要求退货，上传纸质盖章版压缩文件报价单；</w:t>
      </w:r>
    </w:p>
    <w:p w14:paraId="15B6790F">
      <w:pPr>
        <w:snapToGrid w:val="0"/>
        <w:spacing w:line="360" w:lineRule="auto"/>
        <w:jc w:val="left"/>
        <w:rPr>
          <w:rFonts w:hint="eastAsia" w:ascii="宋体" w:hAnsi="宋体" w:cs="宋体"/>
          <w:szCs w:val="21"/>
        </w:rPr>
      </w:pPr>
      <w:r>
        <w:rPr>
          <w:rFonts w:hint="eastAsia" w:ascii="宋体" w:hAnsi="宋体" w:cs="宋体"/>
          <w:kern w:val="0"/>
          <w:szCs w:val="21"/>
          <w:lang w:val="en-US" w:eastAsia="zh-CN" w:bidi="ar"/>
        </w:rPr>
        <w:t>三</w:t>
      </w:r>
      <w:r>
        <w:rPr>
          <w:rFonts w:hint="eastAsia" w:ascii="宋体" w:hAnsi="宋体" w:cs="宋体"/>
          <w:kern w:val="0"/>
          <w:szCs w:val="21"/>
          <w:lang w:bidi="ar"/>
        </w:rPr>
        <w:t>、</w:t>
      </w:r>
      <w:r>
        <w:rPr>
          <w:rFonts w:hint="eastAsia" w:ascii="宋体" w:hAnsi="宋体" w:cs="宋体"/>
          <w:b/>
          <w:bCs/>
          <w:kern w:val="0"/>
          <w:szCs w:val="21"/>
          <w:lang w:bidi="ar"/>
        </w:rPr>
        <w:t>随货提供资料</w:t>
      </w:r>
      <w:r>
        <w:rPr>
          <w:rFonts w:hint="eastAsia" w:ascii="宋体" w:hAnsi="宋体" w:cs="宋体"/>
          <w:kern w:val="0"/>
          <w:szCs w:val="21"/>
          <w:lang w:bidi="ar"/>
        </w:rPr>
        <w:t>：发货清单，注明名称、规格、材质、数量、产品合格证等资料。</w:t>
      </w:r>
    </w:p>
    <w:p w14:paraId="3A7C4101">
      <w:pPr>
        <w:widowControl/>
        <w:spacing w:before="75" w:after="75" w:line="360" w:lineRule="auto"/>
        <w:jc w:val="left"/>
        <w:textAlignment w:val="center"/>
        <w:rPr>
          <w:rFonts w:hint="eastAsia" w:ascii="宋体" w:hAnsi="宋体" w:cs="宋体"/>
          <w:szCs w:val="21"/>
        </w:rPr>
      </w:pPr>
      <w:r>
        <w:rPr>
          <w:rFonts w:hint="eastAsia" w:ascii="宋体" w:hAnsi="宋体" w:cs="宋体"/>
          <w:kern w:val="0"/>
          <w:szCs w:val="21"/>
          <w:lang w:val="en-US" w:eastAsia="zh-CN" w:bidi="ar"/>
        </w:rPr>
        <w:t>四</w:t>
      </w:r>
      <w:r>
        <w:rPr>
          <w:rFonts w:hint="eastAsia" w:ascii="宋体" w:hAnsi="宋体" w:cs="宋体"/>
          <w:kern w:val="0"/>
          <w:szCs w:val="21"/>
          <w:lang w:bidi="ar"/>
        </w:rPr>
        <w:t>、</w:t>
      </w:r>
      <w:r>
        <w:rPr>
          <w:rFonts w:hint="eastAsia" w:ascii="宋体" w:hAnsi="宋体" w:cs="宋体"/>
          <w:b/>
          <w:bCs/>
          <w:kern w:val="0"/>
          <w:szCs w:val="21"/>
          <w:lang w:bidi="ar"/>
        </w:rPr>
        <w:t>包装要求</w:t>
      </w:r>
      <w:r>
        <w:rPr>
          <w:rFonts w:hint="eastAsia" w:ascii="宋体" w:hAnsi="宋体" w:cs="宋体"/>
          <w:kern w:val="0"/>
          <w:szCs w:val="21"/>
          <w:lang w:bidi="ar"/>
        </w:rPr>
        <w:t>：提供必要的包装保护，包装物不回收，包装物外须有装箱清单和明显标识。</w:t>
      </w:r>
    </w:p>
    <w:p w14:paraId="4D0A4DA6">
      <w:pPr>
        <w:tabs>
          <w:tab w:val="left" w:pos="6240"/>
        </w:tabs>
        <w:spacing w:line="360" w:lineRule="auto"/>
        <w:rPr>
          <w:rFonts w:hint="eastAsia" w:ascii="宋体" w:hAnsi="宋体" w:cs="宋体"/>
          <w:b/>
          <w:bCs/>
          <w:szCs w:val="21"/>
          <w:u w:val="single"/>
        </w:rPr>
      </w:pPr>
      <w:r>
        <w:rPr>
          <w:rFonts w:hint="eastAsia" w:ascii="宋体" w:hAnsi="宋体" w:cs="宋体"/>
          <w:kern w:val="0"/>
          <w:szCs w:val="21"/>
          <w:highlight w:val="yellow"/>
          <w:lang w:val="en-US" w:eastAsia="zh-CN" w:bidi="ar"/>
        </w:rPr>
        <w:t>五</w:t>
      </w:r>
      <w:r>
        <w:rPr>
          <w:rFonts w:hint="eastAsia" w:ascii="宋体" w:hAnsi="宋体" w:cs="宋体"/>
          <w:kern w:val="0"/>
          <w:szCs w:val="21"/>
          <w:highlight w:val="yellow"/>
          <w:lang w:bidi="ar"/>
        </w:rPr>
        <w:t>、</w:t>
      </w:r>
      <w:r>
        <w:rPr>
          <w:rFonts w:hint="eastAsia" w:ascii="宋体" w:hAnsi="宋体" w:cs="宋体"/>
          <w:b/>
          <w:bCs/>
          <w:kern w:val="0"/>
          <w:szCs w:val="21"/>
          <w:highlight w:val="yellow"/>
          <w:lang w:bidi="ar"/>
        </w:rPr>
        <w:t>交货时间、地点</w:t>
      </w:r>
      <w:r>
        <w:rPr>
          <w:rFonts w:hint="eastAsia" w:ascii="宋体" w:hAnsi="宋体" w:cs="宋体"/>
          <w:kern w:val="0"/>
          <w:szCs w:val="21"/>
          <w:highlight w:val="yellow"/>
          <w:lang w:bidi="ar"/>
        </w:rPr>
        <w:t>：</w:t>
      </w:r>
      <w:r>
        <w:rPr>
          <w:rFonts w:hint="eastAsia" w:ascii="宋体" w:hAnsi="宋体" w:cs="宋体"/>
          <w:kern w:val="0"/>
          <w:szCs w:val="21"/>
          <w:highlight w:val="yellow"/>
          <w:lang w:val="en-US" w:eastAsia="zh-CN" w:bidi="ar"/>
        </w:rPr>
        <w:t xml:space="preserve">2025年10月27日  </w:t>
      </w:r>
      <w:r>
        <w:rPr>
          <w:rFonts w:hint="eastAsia" w:ascii="宋体" w:hAnsi="宋体" w:cs="宋体"/>
          <w:szCs w:val="21"/>
        </w:rPr>
        <w:t>。</w:t>
      </w:r>
      <w:r>
        <w:rPr>
          <w:rFonts w:hint="eastAsia" w:ascii="宋体" w:hAnsi="宋体" w:cs="宋体"/>
          <w:b/>
          <w:bCs/>
          <w:szCs w:val="21"/>
          <w:u w:val="single"/>
        </w:rPr>
        <w:t>交货地点为需方仓库（浙江省衢州市柯城区中央大道243号浙江巨化自动化仪表有限公司内）。</w:t>
      </w:r>
    </w:p>
    <w:p w14:paraId="41359874">
      <w:pPr>
        <w:widowControl/>
        <w:spacing w:before="75" w:after="75" w:line="360" w:lineRule="auto"/>
        <w:jc w:val="left"/>
        <w:textAlignment w:val="center"/>
        <w:rPr>
          <w:rFonts w:hint="eastAsia" w:ascii="宋体" w:hAnsi="宋体" w:cs="宋体"/>
          <w:szCs w:val="21"/>
        </w:rPr>
      </w:pPr>
      <w:r>
        <w:rPr>
          <w:rFonts w:hint="eastAsia" w:ascii="宋体" w:hAnsi="宋体" w:cs="宋体"/>
          <w:b/>
          <w:bCs/>
          <w:kern w:val="0"/>
          <w:szCs w:val="21"/>
          <w:lang w:val="en-US" w:eastAsia="zh-CN" w:bidi="ar"/>
        </w:rPr>
        <w:t>六</w:t>
      </w:r>
      <w:r>
        <w:rPr>
          <w:rFonts w:hint="eastAsia" w:ascii="宋体" w:hAnsi="宋体" w:cs="宋体"/>
          <w:b/>
          <w:bCs/>
          <w:kern w:val="0"/>
          <w:szCs w:val="21"/>
          <w:lang w:bidi="ar"/>
        </w:rPr>
        <w:t>、运输方式及费用</w:t>
      </w:r>
      <w:r>
        <w:rPr>
          <w:rFonts w:hint="eastAsia" w:ascii="宋体" w:hAnsi="宋体" w:cs="宋体"/>
          <w:kern w:val="0"/>
          <w:szCs w:val="21"/>
          <w:lang w:bidi="ar"/>
        </w:rPr>
        <w:t>：供方负责运输货物到需方仓库，并承担运费，卸货由需方负责。</w:t>
      </w:r>
    </w:p>
    <w:p w14:paraId="7AAA0600">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b/>
          <w:bCs/>
          <w:kern w:val="0"/>
          <w:szCs w:val="21"/>
          <w:lang w:val="en-US" w:eastAsia="zh-CN" w:bidi="ar"/>
        </w:rPr>
        <w:t>七</w:t>
      </w:r>
      <w:r>
        <w:rPr>
          <w:rFonts w:hint="eastAsia" w:ascii="宋体" w:hAnsi="宋体" w:cs="宋体"/>
          <w:kern w:val="0"/>
          <w:szCs w:val="21"/>
          <w:lang w:bidi="ar"/>
        </w:rPr>
        <w:t>、</w:t>
      </w:r>
      <w:r>
        <w:rPr>
          <w:rFonts w:hint="eastAsia" w:ascii="宋体" w:hAnsi="宋体" w:cs="宋体"/>
          <w:b/>
          <w:bCs/>
          <w:kern w:val="0"/>
          <w:szCs w:val="21"/>
          <w:lang w:bidi="ar"/>
        </w:rPr>
        <w:t>结算方式</w:t>
      </w:r>
      <w:r>
        <w:rPr>
          <w:rFonts w:hint="eastAsia" w:ascii="宋体" w:hAnsi="宋体" w:cs="宋体"/>
          <w:kern w:val="0"/>
          <w:szCs w:val="21"/>
          <w:lang w:bidi="ar"/>
        </w:rPr>
        <w:t>：</w:t>
      </w:r>
    </w:p>
    <w:p w14:paraId="57FFB187">
      <w:pPr>
        <w:widowControl/>
        <w:spacing w:before="75" w:after="75" w:line="360" w:lineRule="auto"/>
        <w:jc w:val="left"/>
        <w:textAlignment w:val="center"/>
        <w:rPr>
          <w:rFonts w:hint="default" w:ascii="宋体" w:hAnsi="宋体" w:eastAsia="宋体" w:cs="宋体"/>
          <w:color w:val="000000" w:themeColor="text1"/>
          <w:kern w:val="0"/>
          <w:szCs w:val="21"/>
          <w:highlight w:val="none"/>
          <w:lang w:val="en-US" w:eastAsia="zh-CN" w:bidi="ar"/>
          <w14:textFill>
            <w14:solidFill>
              <w14:schemeClr w14:val="tx1"/>
            </w14:solidFill>
          </w14:textFill>
        </w:rPr>
      </w:pPr>
      <w:r>
        <w:rPr>
          <w:rFonts w:hint="eastAsia" w:ascii="宋体" w:hAnsi="宋体" w:cs="宋体"/>
          <w:kern w:val="0"/>
          <w:szCs w:val="21"/>
          <w:lang w:val="en-US" w:eastAsia="zh-CN" w:bidi="ar"/>
        </w:rPr>
        <w:t>1、</w:t>
      </w:r>
      <w:r>
        <w:rPr>
          <w:rFonts w:hint="eastAsia" w:ascii="宋体" w:hAnsi="宋体" w:cs="宋体"/>
          <w:color w:val="000000" w:themeColor="text1"/>
          <w:kern w:val="0"/>
          <w:szCs w:val="21"/>
          <w:highlight w:val="none"/>
          <w:lang w:val="en-US" w:eastAsia="zh-CN" w:bidi="ar"/>
          <w14:textFill>
            <w14:solidFill>
              <w14:schemeClr w14:val="tx1"/>
            </w14:solidFill>
          </w14:textFill>
        </w:rPr>
        <w:t>产品最高限价：</w:t>
      </w:r>
      <w:r>
        <w:rPr>
          <w:rFonts w:hint="eastAsia" w:ascii="宋体" w:hAnsi="宋体" w:eastAsia="宋体" w:cs="宋体"/>
          <w:kern w:val="0"/>
          <w:szCs w:val="21"/>
          <w:lang w:val="en-US" w:eastAsia="zh-CN" w:bidi="ar"/>
        </w:rPr>
        <w:t>15400</w:t>
      </w:r>
      <w:r>
        <w:rPr>
          <w:rFonts w:hint="eastAsia" w:ascii="宋体" w:hAnsi="宋体" w:cs="宋体"/>
          <w:color w:val="000000" w:themeColor="text1"/>
          <w:kern w:val="0"/>
          <w:szCs w:val="21"/>
          <w:highlight w:val="none"/>
          <w:lang w:val="en-US" w:eastAsia="zh-CN" w:bidi="ar"/>
          <w14:textFill>
            <w14:solidFill>
              <w14:schemeClr w14:val="tx1"/>
            </w14:solidFill>
          </w14:textFill>
        </w:rPr>
        <w:t>元。</w:t>
      </w:r>
    </w:p>
    <w:p w14:paraId="0DAEBAD0">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kern w:val="0"/>
          <w:szCs w:val="21"/>
          <w:lang w:val="en-US" w:eastAsia="zh-CN" w:bidi="ar"/>
        </w:rPr>
        <w:t>2</w:t>
      </w:r>
      <w:r>
        <w:rPr>
          <w:rFonts w:hint="eastAsia" w:ascii="宋体" w:hAnsi="宋体" w:cs="宋体"/>
          <w:kern w:val="0"/>
          <w:szCs w:val="21"/>
          <w:lang w:bidi="ar"/>
        </w:rPr>
        <w:t>、每月25日前对账并开具13%增值税发票，票到一个月</w:t>
      </w:r>
      <w:r>
        <w:rPr>
          <w:rFonts w:hint="eastAsia" w:ascii="宋体" w:hAnsi="宋体" w:cs="宋体"/>
          <w:kern w:val="0"/>
          <w:szCs w:val="21"/>
          <w:lang w:val="en-US" w:eastAsia="zh-CN" w:bidi="ar"/>
        </w:rPr>
        <w:t>后</w:t>
      </w:r>
      <w:r>
        <w:rPr>
          <w:rFonts w:hint="eastAsia" w:ascii="宋体" w:hAnsi="宋体" w:cs="宋体"/>
          <w:kern w:val="0"/>
          <w:szCs w:val="21"/>
          <w:lang w:bidi="ar"/>
        </w:rPr>
        <w:t>以银行电子承兑方式支付货款；</w:t>
      </w:r>
    </w:p>
    <w:p w14:paraId="5A36C753">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color w:val="000000"/>
          <w:kern w:val="0"/>
          <w:szCs w:val="21"/>
          <w:lang w:val="en-US" w:eastAsia="zh-CN"/>
        </w:rPr>
        <w:t>3</w:t>
      </w:r>
      <w:r>
        <w:rPr>
          <w:rFonts w:hint="eastAsia" w:ascii="宋体" w:hAnsi="宋体" w:cs="宋体"/>
          <w:color w:val="000000"/>
          <w:kern w:val="0"/>
          <w:szCs w:val="21"/>
        </w:rPr>
        <w:t>、产品在质保期内发生质量问题后供方及时解决，质保时间为</w:t>
      </w:r>
      <w:r>
        <w:rPr>
          <w:rFonts w:hint="eastAsia" w:ascii="宋体" w:hAnsi="宋体" w:cs="宋体"/>
          <w:kern w:val="0"/>
          <w:szCs w:val="21"/>
          <w:lang w:bidi="ar"/>
        </w:rPr>
        <w:t>验收</w:t>
      </w:r>
      <w:r>
        <w:rPr>
          <w:rFonts w:hint="eastAsia" w:ascii="宋体" w:hAnsi="宋体" w:cs="宋体"/>
          <w:color w:val="000000"/>
          <w:kern w:val="0"/>
          <w:szCs w:val="21"/>
        </w:rPr>
        <w:t>合格之日起12个月；</w:t>
      </w:r>
    </w:p>
    <w:p w14:paraId="289A8877">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kern w:val="0"/>
          <w:szCs w:val="21"/>
          <w:lang w:val="en-US" w:eastAsia="zh-CN" w:bidi="ar"/>
        </w:rPr>
        <w:t>4</w:t>
      </w:r>
      <w:r>
        <w:rPr>
          <w:rFonts w:hint="eastAsia" w:ascii="宋体" w:hAnsi="宋体" w:cs="宋体"/>
          <w:kern w:val="0"/>
          <w:szCs w:val="21"/>
          <w:lang w:bidi="ar"/>
        </w:rPr>
        <w:t>、合同商品价格均为含13%增值税到货价，含贴息费、运费、安装、调试等费用；</w:t>
      </w:r>
    </w:p>
    <w:p w14:paraId="3691AB50">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b/>
          <w:bCs/>
          <w:kern w:val="0"/>
          <w:szCs w:val="21"/>
          <w:lang w:val="en-US" w:eastAsia="zh-CN" w:bidi="ar"/>
        </w:rPr>
        <w:t>八</w:t>
      </w:r>
      <w:r>
        <w:rPr>
          <w:rFonts w:hint="eastAsia" w:ascii="宋体" w:hAnsi="宋体" w:cs="宋体"/>
          <w:kern w:val="0"/>
          <w:szCs w:val="21"/>
          <w:lang w:bidi="ar"/>
        </w:rPr>
        <w:t>、</w:t>
      </w:r>
      <w:r>
        <w:rPr>
          <w:rFonts w:hint="eastAsia" w:ascii="宋体" w:hAnsi="宋体" w:cs="宋体"/>
          <w:b/>
          <w:bCs/>
          <w:kern w:val="0"/>
          <w:szCs w:val="21"/>
          <w:lang w:bidi="ar"/>
        </w:rPr>
        <w:t>违约责任</w:t>
      </w:r>
      <w:r>
        <w:rPr>
          <w:rFonts w:hint="eastAsia" w:ascii="宋体" w:hAnsi="宋体" w:cs="宋体"/>
          <w:kern w:val="0"/>
          <w:szCs w:val="21"/>
          <w:lang w:bidi="ar"/>
        </w:rPr>
        <w:t>：若因供方原因延期交货，供方应承担违约责任，每推迟一天扣供方总货款的5‰违约金。违约金累计总金额不超过合同总金额的30%。逾期交货超过十个工作日，视为供方交货不能，需方有权终止合同，终止合同后，供方支付违约金，同时需方保留进一步索赔的权利,如因需方原因造成的推迟，供货周期相应顺延。</w:t>
      </w:r>
    </w:p>
    <w:p w14:paraId="230A51AD">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b/>
          <w:bCs/>
          <w:kern w:val="0"/>
          <w:szCs w:val="21"/>
          <w:lang w:val="en-US" w:eastAsia="zh-CN" w:bidi="ar"/>
        </w:rPr>
        <w:t>九</w:t>
      </w:r>
      <w:r>
        <w:rPr>
          <w:rFonts w:hint="eastAsia" w:ascii="宋体" w:hAnsi="宋体" w:cs="宋体"/>
          <w:kern w:val="0"/>
          <w:szCs w:val="21"/>
          <w:lang w:bidi="ar"/>
        </w:rPr>
        <w:t>、</w:t>
      </w:r>
      <w:r>
        <w:rPr>
          <w:rFonts w:hint="eastAsia" w:ascii="宋体" w:hAnsi="宋体" w:cs="宋体"/>
          <w:b/>
          <w:bCs/>
          <w:kern w:val="0"/>
          <w:szCs w:val="21"/>
          <w:lang w:bidi="ar"/>
        </w:rPr>
        <w:t>解决合同纠纷的方式</w:t>
      </w:r>
      <w:r>
        <w:rPr>
          <w:rFonts w:hint="eastAsia" w:ascii="宋体" w:hAnsi="宋体" w:cs="宋体"/>
          <w:kern w:val="0"/>
          <w:szCs w:val="21"/>
          <w:lang w:bidi="ar"/>
        </w:rPr>
        <w:t>：双方协商解决，协商不成，依法向衢州智造新城人民法院提起诉讼。   </w:t>
      </w:r>
    </w:p>
    <w:p w14:paraId="5D295722">
      <w:pPr>
        <w:spacing w:line="360" w:lineRule="auto"/>
        <w:rPr>
          <w:rFonts w:hint="eastAsia" w:ascii="font-size:11pt;" w:hAnsi="font-size:11pt;" w:cs="font-size:11pt;"/>
          <w:b/>
          <w:bCs/>
          <w:kern w:val="0"/>
          <w:sz w:val="30"/>
          <w:szCs w:val="30"/>
          <w:lang w:bidi="ar"/>
        </w:rPr>
      </w:pPr>
    </w:p>
    <w:p w14:paraId="197BBE08">
      <w:pPr>
        <w:spacing w:line="360" w:lineRule="auto"/>
        <w:jc w:val="center"/>
        <w:rPr>
          <w:rFonts w:ascii="宋体" w:hAnsi="宋体" w:cs="宋体"/>
          <w:b/>
          <w:bCs/>
          <w:kern w:val="0"/>
          <w:sz w:val="30"/>
          <w:szCs w:val="30"/>
          <w:lang w:bidi="ar"/>
        </w:rPr>
      </w:pPr>
      <w:r>
        <w:rPr>
          <w:rFonts w:hint="eastAsia" w:ascii="宋体" w:hAnsi="宋体" w:cs="宋体"/>
          <w:b/>
          <w:bCs/>
          <w:kern w:val="0"/>
          <w:sz w:val="30"/>
          <w:szCs w:val="30"/>
          <w:lang w:bidi="ar"/>
        </w:rPr>
        <w:t>第二章  竞价办法</w:t>
      </w:r>
    </w:p>
    <w:p w14:paraId="66F4BEAD">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根据有关法律法规，结合本项目的实际，按照公正、公平、科学、择优的原则选择中标人，特制定本办法。</w:t>
      </w:r>
    </w:p>
    <w:p w14:paraId="416415FA">
      <w:pPr>
        <w:snapToGrid w:val="0"/>
        <w:spacing w:line="360" w:lineRule="auto"/>
        <w:rPr>
          <w:rFonts w:hint="eastAsia" w:ascii="宋体" w:hAnsi="宋体" w:cs="宋体"/>
          <w:b/>
          <w:bCs/>
          <w:szCs w:val="21"/>
        </w:rPr>
      </w:pPr>
      <w:r>
        <w:rPr>
          <w:rFonts w:hint="eastAsia" w:ascii="宋体" w:hAnsi="宋体" w:cs="宋体"/>
          <w:b/>
          <w:bCs/>
          <w:szCs w:val="21"/>
        </w:rPr>
        <w:t>1、竞价组织</w:t>
      </w:r>
    </w:p>
    <w:p w14:paraId="5BFA02AA">
      <w:pPr>
        <w:snapToGrid w:val="0"/>
        <w:spacing w:line="360" w:lineRule="auto"/>
        <w:rPr>
          <w:rFonts w:hint="eastAsia" w:ascii="宋体" w:hAnsi="宋体" w:cs="宋体"/>
          <w:szCs w:val="21"/>
        </w:rPr>
      </w:pPr>
      <w:r>
        <w:rPr>
          <w:rFonts w:hint="eastAsia" w:ascii="宋体" w:hAnsi="宋体" w:cs="宋体"/>
          <w:b/>
          <w:bCs/>
          <w:szCs w:val="21"/>
        </w:rPr>
        <w:t>1.1</w:t>
      </w:r>
      <w:r>
        <w:rPr>
          <w:rFonts w:hint="eastAsia" w:ascii="宋体" w:hAnsi="宋体" w:cs="宋体"/>
          <w:szCs w:val="21"/>
        </w:rPr>
        <w:t>竞价工作由竞价委员会负责。竞价委员会由采购人的代表和技术、经济等方面的专家组成，成员人数为三人及以上单数。</w:t>
      </w:r>
    </w:p>
    <w:p w14:paraId="3831BB59">
      <w:pPr>
        <w:widowControl/>
        <w:spacing w:before="75" w:after="75" w:line="360" w:lineRule="auto"/>
        <w:jc w:val="left"/>
        <w:textAlignment w:val="center"/>
        <w:rPr>
          <w:rFonts w:hint="eastAsia" w:ascii="宋体" w:hAnsi="宋体" w:cs="宋体"/>
          <w:kern w:val="0"/>
          <w:szCs w:val="21"/>
          <w:lang w:bidi="ar"/>
        </w:rPr>
      </w:pPr>
      <w:r>
        <w:rPr>
          <w:rFonts w:hint="eastAsia" w:ascii="宋体" w:hAnsi="宋体" w:cs="宋体"/>
          <w:b/>
          <w:bCs/>
          <w:kern w:val="0"/>
          <w:szCs w:val="21"/>
          <w:lang w:bidi="ar"/>
        </w:rPr>
        <w:t>1.2</w:t>
      </w:r>
      <w:r>
        <w:rPr>
          <w:rFonts w:hint="eastAsia" w:ascii="宋体" w:hAnsi="宋体" w:cs="宋体"/>
          <w:szCs w:val="21"/>
        </w:rPr>
        <w:t>竞价</w:t>
      </w:r>
      <w:r>
        <w:rPr>
          <w:rFonts w:hint="eastAsia" w:ascii="宋体" w:hAnsi="宋体" w:cs="宋体"/>
          <w:kern w:val="0"/>
          <w:szCs w:val="21"/>
          <w:lang w:bidi="ar"/>
        </w:rPr>
        <w:t>小组按照平等、客观、公正的原则，进行综合分析评定，实质上响应竞价管理办法的，要求并有履行合同能力的报价最低的竞价单位将被确定为成交候选人，成交价格以公示结束，发出成交通知书时开始生效（公示期3天）。</w:t>
      </w:r>
    </w:p>
    <w:p w14:paraId="40143648">
      <w:pPr>
        <w:spacing w:line="360" w:lineRule="auto"/>
        <w:rPr>
          <w:rFonts w:hint="eastAsia" w:ascii="宋体" w:hAnsi="宋体" w:cs="宋体"/>
          <w:b/>
          <w:bCs/>
          <w:color w:val="FF0000"/>
          <w:kern w:val="0"/>
          <w:szCs w:val="21"/>
        </w:rPr>
      </w:pPr>
      <w:r>
        <w:rPr>
          <w:rFonts w:hint="eastAsia" w:ascii="宋体" w:hAnsi="宋体" w:cs="宋体"/>
          <w:b/>
          <w:bCs/>
          <w:kern w:val="0"/>
          <w:szCs w:val="21"/>
        </w:rPr>
        <w:t>2、竞价程序</w:t>
      </w:r>
    </w:p>
    <w:p w14:paraId="17D9860B">
      <w:pPr>
        <w:spacing w:line="360" w:lineRule="auto"/>
        <w:rPr>
          <w:rFonts w:hint="eastAsia" w:ascii="宋体" w:hAnsi="宋体" w:cs="宋体"/>
          <w:color w:val="000000"/>
          <w:kern w:val="0"/>
          <w:szCs w:val="21"/>
        </w:rPr>
      </w:pPr>
      <w:r>
        <w:rPr>
          <w:rFonts w:hint="eastAsia" w:ascii="宋体" w:hAnsi="宋体" w:cs="宋体"/>
          <w:color w:val="000000"/>
          <w:kern w:val="0"/>
          <w:szCs w:val="21"/>
        </w:rPr>
        <w:t>2.1因要求明确，本次竞价以一轮竞价的方式进行。在同等质量条件下，采购首选符合采购交期的供应商，再选择价格最低供应商原则来进行商务评分依据。</w:t>
      </w:r>
    </w:p>
    <w:p w14:paraId="1822F686">
      <w:pPr>
        <w:spacing w:line="360" w:lineRule="auto"/>
        <w:rPr>
          <w:rFonts w:hint="eastAsia" w:ascii="宋体" w:hAnsi="宋体" w:cs="宋体"/>
          <w:b/>
          <w:bCs/>
          <w:szCs w:val="21"/>
        </w:rPr>
      </w:pPr>
      <w:r>
        <w:rPr>
          <w:rFonts w:hint="eastAsia" w:ascii="宋体" w:hAnsi="宋体" w:cs="宋体"/>
          <w:b/>
          <w:bCs/>
          <w:szCs w:val="21"/>
        </w:rPr>
        <w:t>2.2成交候选人推荐方法为；</w:t>
      </w:r>
    </w:p>
    <w:p w14:paraId="1C60D05B">
      <w:pPr>
        <w:spacing w:line="360" w:lineRule="auto"/>
        <w:ind w:firstLine="210" w:firstLineChars="100"/>
        <w:rPr>
          <w:rFonts w:hint="eastAsia" w:ascii="宋体" w:hAnsi="宋体" w:cs="宋体"/>
          <w:b/>
          <w:bCs/>
          <w:szCs w:val="21"/>
        </w:rPr>
      </w:pPr>
      <w:r>
        <w:rPr>
          <w:rFonts w:hint="eastAsia" w:ascii="宋体" w:hAnsi="宋体" w:cs="宋体"/>
          <w:color w:val="000000"/>
          <w:kern w:val="0"/>
          <w:szCs w:val="21"/>
          <w:lang w:bidi="ar"/>
        </w:rPr>
        <w:t>竞价清单以总项评标，推荐一名报价中</w:t>
      </w:r>
      <w:r>
        <w:rPr>
          <w:rFonts w:hint="eastAsia" w:ascii="宋体" w:hAnsi="宋体" w:cs="宋体"/>
          <w:kern w:val="0"/>
          <w:szCs w:val="21"/>
          <w:lang w:bidi="ar"/>
        </w:rPr>
        <w:t>价格最低的竞价单位为成交候选人，如出现两名相同商务得分最高的竞价单位，由竞价专家组根据以往供货商供货使用情况（送货质量、交货率、处理质量响应及时度、交货能力）成交候选人企业资质及生产能力情况选定其中一名为成交候选人。</w:t>
      </w:r>
    </w:p>
    <w:p w14:paraId="74F02708">
      <w:pPr>
        <w:spacing w:line="360" w:lineRule="auto"/>
        <w:rPr>
          <w:rFonts w:hint="eastAsia" w:eastAsia="仿宋"/>
          <w:b/>
          <w:bCs/>
          <w:color w:val="000000"/>
          <w:sz w:val="30"/>
          <w:szCs w:val="30"/>
        </w:rPr>
      </w:pPr>
    </w:p>
    <w:p w14:paraId="3CBD003F">
      <w:pPr>
        <w:spacing w:line="360" w:lineRule="auto"/>
        <w:jc w:val="center"/>
        <w:rPr>
          <w:rFonts w:eastAsia="仿宋"/>
          <w:b/>
          <w:bCs/>
          <w:color w:val="000000"/>
          <w:sz w:val="30"/>
          <w:szCs w:val="30"/>
        </w:rPr>
      </w:pPr>
      <w:r>
        <w:rPr>
          <w:rFonts w:hint="eastAsia" w:eastAsia="仿宋"/>
          <w:b/>
          <w:bCs/>
          <w:color w:val="000000"/>
          <w:sz w:val="30"/>
          <w:szCs w:val="30"/>
        </w:rPr>
        <w:t>第三章</w:t>
      </w:r>
      <w:r>
        <w:rPr>
          <w:rFonts w:eastAsia="仿宋"/>
          <w:b/>
          <w:bCs/>
          <w:color w:val="000000"/>
          <w:sz w:val="30"/>
          <w:szCs w:val="30"/>
        </w:rPr>
        <w:t xml:space="preserve">  </w:t>
      </w:r>
      <w:r>
        <w:rPr>
          <w:rFonts w:hint="eastAsia" w:eastAsia="仿宋"/>
          <w:b/>
          <w:bCs/>
          <w:color w:val="000000"/>
          <w:sz w:val="30"/>
          <w:szCs w:val="30"/>
        </w:rPr>
        <w:t>其它约定事项</w:t>
      </w:r>
    </w:p>
    <w:p w14:paraId="37BD4301">
      <w:pPr>
        <w:spacing w:line="360" w:lineRule="auto"/>
        <w:rPr>
          <w:rFonts w:ascii="宋体" w:hAnsi="宋体" w:cs="宋体"/>
          <w:color w:val="000000"/>
          <w:kern w:val="0"/>
          <w:szCs w:val="21"/>
        </w:rPr>
      </w:pPr>
      <w:r>
        <w:rPr>
          <w:rFonts w:hint="eastAsia" w:ascii="宋体" w:hAnsi="宋体" w:cs="宋体"/>
          <w:b/>
          <w:bCs/>
          <w:color w:val="000000"/>
          <w:szCs w:val="21"/>
        </w:rPr>
        <w:t>1、</w:t>
      </w:r>
      <w:r>
        <w:rPr>
          <w:rFonts w:hint="eastAsia" w:ascii="宋体" w:hAnsi="宋体" w:cs="宋体"/>
          <w:color w:val="000000"/>
          <w:kern w:val="0"/>
          <w:szCs w:val="21"/>
        </w:rPr>
        <w:t>货物在运输途中如有损坏由供方负全责。</w:t>
      </w:r>
    </w:p>
    <w:p w14:paraId="063DA5CA">
      <w:pPr>
        <w:spacing w:line="360" w:lineRule="auto"/>
        <w:rPr>
          <w:rFonts w:hint="eastAsia" w:ascii="宋体" w:hAnsi="宋体" w:cs="宋体"/>
          <w:color w:val="000000"/>
          <w:kern w:val="0"/>
          <w:szCs w:val="21"/>
        </w:rPr>
      </w:pPr>
      <w:r>
        <w:rPr>
          <w:rFonts w:hint="eastAsia" w:ascii="宋体" w:hAnsi="宋体" w:cs="宋体"/>
          <w:b/>
          <w:bCs/>
          <w:color w:val="000000"/>
          <w:szCs w:val="21"/>
        </w:rPr>
        <w:t>2</w:t>
      </w:r>
      <w:r>
        <w:rPr>
          <w:rFonts w:hint="eastAsia" w:ascii="宋体" w:hAnsi="宋体" w:cs="宋体"/>
          <w:color w:val="000000"/>
          <w:kern w:val="0"/>
          <w:szCs w:val="21"/>
        </w:rPr>
        <w:t>、供方对质量负责的条件和期限：供方按要求或双方所确认要求、标准等向需方提供合格的产品。如需方收到货后，若发现不符，需方会及时向供方反馈，如情况属实，供方必须做调货或赔偿处理。所有发生的费用（包括检验费、换货费、仓储费和装卸费）均由供方承担。 </w:t>
      </w:r>
    </w:p>
    <w:p w14:paraId="0A2D7825">
      <w:pPr>
        <w:spacing w:line="360" w:lineRule="auto"/>
        <w:rPr>
          <w:rFonts w:hint="eastAsia" w:ascii="宋体" w:hAnsi="宋体" w:cs="宋体"/>
          <w:color w:val="000000"/>
          <w:kern w:val="0"/>
          <w:szCs w:val="21"/>
          <w:lang w:bidi="ar"/>
        </w:rPr>
      </w:pPr>
      <w:r>
        <w:rPr>
          <w:color w:val="000000"/>
          <w:szCs w:val="21"/>
        </w:rPr>
        <w:t>3</w:t>
      </w:r>
      <w:r>
        <w:rPr>
          <w:rFonts w:hint="eastAsia"/>
          <w:b/>
          <w:bCs/>
          <w:color w:val="000000"/>
          <w:szCs w:val="21"/>
        </w:rPr>
        <w:t>、</w:t>
      </w:r>
      <w:r>
        <w:rPr>
          <w:rFonts w:hint="eastAsia"/>
          <w:color w:val="000000"/>
          <w:szCs w:val="21"/>
        </w:rPr>
        <w:t>以下所有竞价附件清单中标的物符合国家、行业或需方要求。</w:t>
      </w:r>
      <w:r>
        <w:rPr>
          <w:rFonts w:hint="eastAsia" w:ascii="宋体" w:hAnsi="宋体" w:cs="宋体"/>
          <w:color w:val="000000"/>
          <w:kern w:val="0"/>
          <w:szCs w:val="21"/>
          <w:lang w:bidi="ar"/>
        </w:rPr>
        <w:t> </w:t>
      </w:r>
    </w:p>
    <w:p w14:paraId="652F0AA3">
      <w:pPr>
        <w:spacing w:line="360" w:lineRule="auto"/>
        <w:rPr>
          <w:rFonts w:hint="eastAsia" w:ascii="宋体" w:hAnsi="宋体" w:cs="宋体"/>
          <w:color w:val="000000"/>
          <w:kern w:val="0"/>
          <w:szCs w:val="21"/>
          <w:lang w:bidi="ar"/>
        </w:rPr>
      </w:pPr>
      <w:r>
        <w:rPr>
          <w:rFonts w:hint="eastAsia" w:ascii="宋体" w:hAnsi="宋体" w:cs="宋体"/>
          <w:b/>
          <w:bCs/>
          <w:color w:val="000000"/>
          <w:kern w:val="0"/>
          <w:szCs w:val="21"/>
          <w:lang w:bidi="ar"/>
        </w:rPr>
        <w:t>4、</w:t>
      </w:r>
      <w:r>
        <w:rPr>
          <w:rFonts w:hint="eastAsia" w:ascii="宋体" w:hAnsi="宋体" w:cs="宋体"/>
          <w:color w:val="000000"/>
          <w:kern w:val="0"/>
          <w:szCs w:val="21"/>
          <w:lang w:bidi="ar"/>
        </w:rPr>
        <w:t>如中标人</w:t>
      </w:r>
      <w:r>
        <w:rPr>
          <w:rFonts w:hint="eastAsia" w:ascii="宋体" w:hAnsi="宋体"/>
          <w:szCs w:val="21"/>
        </w:rPr>
        <w:t>不符合</w:t>
      </w:r>
      <w:r>
        <w:rPr>
          <w:rFonts w:hint="eastAsia" w:ascii="宋体" w:hAnsi="宋体" w:cs="宋体"/>
          <w:kern w:val="0"/>
          <w:szCs w:val="21"/>
          <w:shd w:val="solid" w:color="FFFFFF" w:fill="FFFFFF"/>
        </w:rPr>
        <w:t>供应商</w:t>
      </w:r>
      <w:r>
        <w:rPr>
          <w:rFonts w:hint="eastAsia" w:ascii="宋体" w:hAnsi="宋体" w:cs="宋体"/>
          <w:kern w:val="0"/>
          <w:szCs w:val="21"/>
          <w:lang w:bidi="ar"/>
        </w:rPr>
        <w:t>资格要求，</w:t>
      </w:r>
      <w:r>
        <w:rPr>
          <w:rFonts w:hint="eastAsia" w:ascii="宋体" w:hAnsi="宋体"/>
          <w:szCs w:val="21"/>
        </w:rPr>
        <w:t>取消其中标结果。</w:t>
      </w:r>
    </w:p>
    <w:p w14:paraId="766E4058">
      <w:pPr>
        <w:spacing w:line="360" w:lineRule="auto"/>
        <w:rPr>
          <w:rFonts w:hint="eastAsia" w:ascii="宋体" w:hAnsi="宋体" w:cs="宋体"/>
          <w:color w:val="000000"/>
          <w:kern w:val="0"/>
          <w:szCs w:val="21"/>
          <w:lang w:bidi="ar"/>
        </w:rPr>
      </w:pPr>
      <w:r>
        <w:rPr>
          <w:rFonts w:hint="eastAsia" w:ascii="宋体" w:hAnsi="宋体" w:cs="宋体"/>
          <w:b/>
          <w:bCs/>
          <w:color w:val="000000"/>
          <w:kern w:val="0"/>
          <w:szCs w:val="21"/>
          <w:lang w:bidi="ar"/>
        </w:rPr>
        <w:t>5</w:t>
      </w:r>
      <w:r>
        <w:rPr>
          <w:rFonts w:hint="eastAsia" w:ascii="宋体" w:hAnsi="宋体" w:cs="宋体"/>
          <w:color w:val="000000"/>
          <w:kern w:val="0"/>
          <w:szCs w:val="21"/>
          <w:lang w:bidi="ar"/>
        </w:rPr>
        <w:t>、投诉电话：0570-3091876，投诉邮箱:3091876@juhua.com.cn</w:t>
      </w:r>
    </w:p>
    <w:p w14:paraId="4466BEDD">
      <w:pPr>
        <w:spacing w:line="360" w:lineRule="auto"/>
        <w:rPr>
          <w:rFonts w:hint="eastAsia" w:ascii="宋体" w:hAnsi="宋体" w:cs="宋体"/>
          <w:color w:val="000000"/>
          <w:kern w:val="0"/>
          <w:szCs w:val="21"/>
          <w:lang w:bidi="ar"/>
        </w:rPr>
      </w:pPr>
      <w:r>
        <w:rPr>
          <w:rFonts w:hint="eastAsia" w:ascii="宋体" w:hAnsi="宋体" w:cs="宋体"/>
          <w:color w:val="000000"/>
          <w:kern w:val="0"/>
          <w:szCs w:val="21"/>
          <w:lang w:bidi="ar"/>
        </w:rPr>
        <w:t>1)竞价方式:巨化数字化招采平台（https://juhua.ccccnet.com/#/）。</w:t>
      </w:r>
    </w:p>
    <w:p w14:paraId="7474FF1A">
      <w:pPr>
        <w:spacing w:line="360" w:lineRule="auto"/>
        <w:rPr>
          <w:rFonts w:hint="default" w:ascii="宋体" w:hAnsi="宋体" w:eastAsia="宋体" w:cs="宋体"/>
          <w:kern w:val="0"/>
          <w:szCs w:val="21"/>
          <w:highlight w:val="magenta"/>
          <w:lang w:val="en-US" w:eastAsia="zh-CN" w:bidi="ar"/>
        </w:rPr>
      </w:pPr>
      <w:r>
        <w:rPr>
          <w:rFonts w:hint="eastAsia" w:ascii="宋体" w:hAnsi="宋体" w:cs="宋体"/>
          <w:color w:val="000000"/>
          <w:kern w:val="0"/>
          <w:szCs w:val="21"/>
          <w:lang w:bidi="ar"/>
        </w:rPr>
        <w:t>2)发布时间：</w:t>
      </w:r>
      <w:r>
        <w:rPr>
          <w:rFonts w:hint="eastAsia" w:ascii="宋体" w:hAnsi="宋体" w:cs="宋体"/>
          <w:kern w:val="0"/>
          <w:szCs w:val="21"/>
          <w:lang w:bidi="ar"/>
        </w:rPr>
        <w:t>2025-</w:t>
      </w:r>
      <w:r>
        <w:rPr>
          <w:rFonts w:hint="eastAsia" w:ascii="宋体" w:hAnsi="宋体" w:cs="宋体"/>
          <w:kern w:val="0"/>
          <w:szCs w:val="21"/>
          <w:lang w:val="en-US" w:eastAsia="zh-CN" w:bidi="ar"/>
        </w:rPr>
        <w:t>10-17</w:t>
      </w:r>
    </w:p>
    <w:p w14:paraId="3C2FEA79">
      <w:pPr>
        <w:spacing w:line="360" w:lineRule="auto"/>
        <w:rPr>
          <w:rFonts w:hint="default" w:ascii="宋体" w:hAnsi="宋体" w:eastAsia="宋体" w:cs="宋体"/>
          <w:color w:val="FF0000"/>
          <w:kern w:val="0"/>
          <w:szCs w:val="21"/>
          <w:lang w:val="en-US" w:eastAsia="zh-CN" w:bidi="ar"/>
        </w:rPr>
      </w:pPr>
      <w:r>
        <w:rPr>
          <w:rFonts w:hint="eastAsia" w:ascii="宋体" w:hAnsi="宋体" w:cs="宋体"/>
          <w:color w:val="000000"/>
          <w:kern w:val="0"/>
          <w:szCs w:val="21"/>
          <w:lang w:bidi="ar"/>
        </w:rPr>
        <w:t>3）竞价截止时间:</w:t>
      </w:r>
      <w:r>
        <w:rPr>
          <w:rFonts w:hint="eastAsia" w:ascii="宋体" w:hAnsi="宋体" w:cs="宋体"/>
          <w:kern w:val="0"/>
          <w:szCs w:val="21"/>
          <w:lang w:bidi="ar"/>
        </w:rPr>
        <w:t>2025-</w:t>
      </w:r>
      <w:r>
        <w:rPr>
          <w:rFonts w:hint="eastAsia" w:ascii="宋体" w:hAnsi="宋体" w:cs="宋体"/>
          <w:kern w:val="0"/>
          <w:szCs w:val="21"/>
          <w:lang w:val="en-US" w:eastAsia="zh-CN" w:bidi="ar"/>
        </w:rPr>
        <w:t>10-20</w:t>
      </w:r>
    </w:p>
    <w:p w14:paraId="33DA2910">
      <w:pPr>
        <w:spacing w:line="360" w:lineRule="auto"/>
        <w:rPr>
          <w:rFonts w:hint="default" w:ascii="宋体" w:hAnsi="宋体" w:eastAsia="宋体" w:cs="宋体"/>
          <w:color w:val="000000"/>
          <w:kern w:val="0"/>
          <w:szCs w:val="21"/>
          <w:lang w:val="en-US" w:eastAsia="zh-CN" w:bidi="ar"/>
        </w:rPr>
      </w:pPr>
      <w:r>
        <w:rPr>
          <w:rFonts w:hint="eastAsia" w:ascii="宋体" w:hAnsi="宋体" w:cs="宋体"/>
          <w:color w:val="000000"/>
          <w:kern w:val="0"/>
          <w:szCs w:val="21"/>
          <w:lang w:bidi="ar"/>
        </w:rPr>
        <w:t>4）联系方式：</w:t>
      </w:r>
      <w:r>
        <w:rPr>
          <w:rFonts w:hint="eastAsia" w:ascii="宋体" w:hAnsi="宋体" w:cs="宋体"/>
          <w:color w:val="000000"/>
          <w:kern w:val="0"/>
          <w:szCs w:val="21"/>
          <w:lang w:val="en-US" w:eastAsia="zh-CN" w:bidi="ar"/>
        </w:rPr>
        <w:t>18670472755</w:t>
      </w:r>
      <w:r>
        <w:rPr>
          <w:rFonts w:hint="eastAsia" w:ascii="宋体" w:hAnsi="宋体" w:cs="宋体"/>
          <w:color w:val="000000"/>
          <w:kern w:val="0"/>
          <w:szCs w:val="21"/>
          <w:lang w:bidi="ar"/>
        </w:rPr>
        <w:t xml:space="preserve">            联系人;</w:t>
      </w:r>
      <w:r>
        <w:rPr>
          <w:rFonts w:hint="eastAsia" w:ascii="宋体" w:hAnsi="宋体" w:cs="宋体"/>
          <w:color w:val="000000"/>
          <w:kern w:val="0"/>
          <w:szCs w:val="21"/>
          <w:lang w:val="en-US" w:eastAsia="zh-CN" w:bidi="ar"/>
        </w:rPr>
        <w:t>肖玉林</w:t>
      </w:r>
    </w:p>
    <w:p w14:paraId="2B4D1559">
      <w:pPr>
        <w:spacing w:line="360" w:lineRule="auto"/>
        <w:rPr>
          <w:rFonts w:ascii="宋体" w:hAnsi="宋体" w:cs="宋体"/>
          <w:color w:val="000000"/>
          <w:kern w:val="0"/>
          <w:szCs w:val="21"/>
          <w:lang w:bidi="ar"/>
        </w:rPr>
      </w:pPr>
    </w:p>
    <w:p w14:paraId="3C3FFD20">
      <w:pPr>
        <w:spacing w:line="360" w:lineRule="auto"/>
        <w:rPr>
          <w:rFonts w:ascii="宋体" w:hAnsi="宋体" w:cs="宋体"/>
          <w:color w:val="000000"/>
          <w:kern w:val="0"/>
          <w:szCs w:val="21"/>
          <w:lang w:bidi="ar"/>
        </w:rPr>
      </w:pPr>
    </w:p>
    <w:p w14:paraId="7D660805">
      <w:pPr>
        <w:spacing w:line="360" w:lineRule="auto"/>
        <w:rPr>
          <w:rFonts w:ascii="宋体" w:hAnsi="宋体" w:cs="宋体"/>
          <w:color w:val="000000"/>
          <w:kern w:val="0"/>
          <w:szCs w:val="21"/>
          <w:lang w:bidi="ar"/>
        </w:rPr>
      </w:pPr>
    </w:p>
    <w:p w14:paraId="34B9DF2E">
      <w:pPr>
        <w:spacing w:line="360" w:lineRule="auto"/>
        <w:rPr>
          <w:rFonts w:hint="eastAsia" w:ascii="宋体" w:hAnsi="宋体" w:cs="宋体"/>
          <w:color w:val="000000"/>
          <w:kern w:val="0"/>
          <w:szCs w:val="21"/>
          <w:lang w:bidi="ar"/>
        </w:rPr>
      </w:pPr>
    </w:p>
    <w:p w14:paraId="4F470F45">
      <w:pPr>
        <w:rPr>
          <w:rFonts w:hint="eastAsia" w:ascii="宋体" w:hAnsi="宋体" w:cs="宋体"/>
          <w:color w:val="000000"/>
          <w:kern w:val="0"/>
          <w:szCs w:val="21"/>
          <w:lang w:bidi="ar"/>
        </w:rPr>
      </w:pPr>
      <w:r>
        <w:rPr>
          <w:rFonts w:hint="eastAsia" w:ascii="宋体" w:hAnsi="宋体" w:cs="宋体"/>
          <w:color w:val="000000"/>
          <w:kern w:val="0"/>
          <w:szCs w:val="21"/>
          <w:lang w:bidi="ar"/>
        </w:rPr>
        <w:t xml:space="preserve">                                               浙江巨化自动化仪表有限公司 </w:t>
      </w:r>
    </w:p>
    <w:p w14:paraId="64742BAA">
      <w:pPr>
        <w:widowControl/>
        <w:spacing w:before="75" w:after="75" w:line="360" w:lineRule="auto"/>
        <w:ind w:firstLine="5880" w:firstLineChars="2800"/>
        <w:jc w:val="left"/>
        <w:rPr>
          <w:rFonts w:hint="eastAsia" w:ascii="宋体" w:hAnsi="宋体" w:cs="宋体"/>
          <w:kern w:val="0"/>
          <w:szCs w:val="21"/>
          <w:lang w:bidi="ar"/>
        </w:rPr>
      </w:pPr>
      <w:r>
        <w:rPr>
          <w:rFonts w:hint="eastAsia" w:ascii="宋体" w:hAnsi="宋体" w:cs="宋体"/>
          <w:kern w:val="0"/>
          <w:szCs w:val="21"/>
          <w:lang w:bidi="ar"/>
        </w:rPr>
        <w:t>2025年</w:t>
      </w:r>
      <w:r>
        <w:rPr>
          <w:rFonts w:hint="eastAsia" w:ascii="宋体" w:hAnsi="宋体" w:cs="宋体"/>
          <w:kern w:val="0"/>
          <w:szCs w:val="21"/>
          <w:lang w:val="en-US" w:eastAsia="zh-CN" w:bidi="ar"/>
        </w:rPr>
        <w:t>10</w:t>
      </w:r>
      <w:r>
        <w:rPr>
          <w:rFonts w:hint="eastAsia" w:ascii="宋体" w:hAnsi="宋体" w:cs="宋体"/>
          <w:kern w:val="0"/>
          <w:szCs w:val="21"/>
          <w:lang w:bidi="ar"/>
        </w:rPr>
        <w:t>月</w:t>
      </w:r>
      <w:r>
        <w:rPr>
          <w:rFonts w:hint="eastAsia" w:ascii="宋体" w:hAnsi="宋体" w:cs="宋体"/>
          <w:kern w:val="0"/>
          <w:szCs w:val="21"/>
          <w:lang w:val="en-US" w:eastAsia="zh-CN" w:bidi="ar"/>
        </w:rPr>
        <w:t>17</w:t>
      </w:r>
      <w:r>
        <w:rPr>
          <w:rFonts w:hint="eastAsia" w:ascii="宋体" w:hAnsi="宋体" w:cs="宋体"/>
          <w:kern w:val="0"/>
          <w:szCs w:val="21"/>
          <w:lang w:bidi="ar"/>
        </w:rPr>
        <w:t>日</w:t>
      </w:r>
    </w:p>
    <w:p w14:paraId="679474E7"/>
    <w:p w14:paraId="7764B84C"/>
    <w:p w14:paraId="7104AD43"/>
    <w:p w14:paraId="620F05E9"/>
    <w:p w14:paraId="00DCCD12"/>
    <w:p w14:paraId="4CAABC8E"/>
    <w:p w14:paraId="5BF1F087"/>
    <w:p w14:paraId="07E75FEC"/>
    <w:p w14:paraId="0F2E9183"/>
    <w:p w14:paraId="7FE6D984"/>
    <w:p w14:paraId="51AEEAFE"/>
    <w:p w14:paraId="46475C4D"/>
    <w:p w14:paraId="608D5710"/>
    <w:p w14:paraId="3C95AC69"/>
    <w:p w14:paraId="161DAB04">
      <w:pPr>
        <w:jc w:val="center"/>
        <w:rPr>
          <w:rFonts w:hint="eastAsia"/>
          <w:b/>
          <w:bCs/>
          <w:sz w:val="52"/>
          <w:szCs w:val="52"/>
        </w:rPr>
      </w:pPr>
      <w:r>
        <w:rPr>
          <w:rFonts w:hint="eastAsia"/>
          <w:b/>
          <w:bCs/>
          <w:sz w:val="52"/>
          <w:szCs w:val="52"/>
        </w:rPr>
        <w:t>一、招标内容</w:t>
      </w:r>
    </w:p>
    <w:p w14:paraId="4B961D32">
      <w:pP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1.招标内容：</w:t>
      </w:r>
      <w:r>
        <w:rPr>
          <w:rFonts w:hint="eastAsia" w:ascii="宋体" w:hAnsi="宋体" w:cs="宋体"/>
          <w:sz w:val="44"/>
          <w:szCs w:val="44"/>
          <w:lang w:val="en-US" w:eastAsia="zh-CN"/>
        </w:rPr>
        <w:t>进口</w:t>
      </w:r>
      <w:r>
        <w:rPr>
          <w:rFonts w:hint="eastAsia" w:ascii="宋体" w:hAnsi="宋体" w:eastAsia="宋体" w:cs="宋体"/>
          <w:sz w:val="44"/>
          <w:szCs w:val="44"/>
          <w:lang w:val="en-US" w:eastAsia="zh-CN"/>
        </w:rPr>
        <w:t>阀门定位器。</w:t>
      </w:r>
    </w:p>
    <w:p w14:paraId="1F9E739A">
      <w:pP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2.采购清单</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1584"/>
        <w:gridCol w:w="2363"/>
        <w:gridCol w:w="1083"/>
        <w:gridCol w:w="1136"/>
        <w:gridCol w:w="1715"/>
      </w:tblGrid>
      <w:tr w14:paraId="06532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2" w:hRule="atLeast"/>
        </w:trPr>
        <w:tc>
          <w:tcPr>
            <w:tcW w:w="374" w:type="pct"/>
            <w:tcBorders>
              <w:top w:val="single" w:color="000000" w:sz="4" w:space="0"/>
              <w:left w:val="single" w:color="000000" w:sz="4" w:space="0"/>
              <w:bottom w:val="single" w:color="000000" w:sz="4" w:space="0"/>
              <w:right w:val="single" w:color="000000" w:sz="4" w:space="0"/>
            </w:tcBorders>
            <w:noWrap w:val="0"/>
            <w:vAlign w:val="center"/>
          </w:tcPr>
          <w:p w14:paraId="54AE063C">
            <w:pPr>
              <w:rPr>
                <w:rFonts w:hint="eastAsia"/>
              </w:rPr>
            </w:pPr>
            <w:r>
              <w:rPr>
                <w:rFonts w:hint="eastAsia"/>
                <w:lang w:val="en-US" w:eastAsia="zh-CN"/>
              </w:rPr>
              <w:t>序号</w:t>
            </w:r>
          </w:p>
        </w:tc>
        <w:tc>
          <w:tcPr>
            <w:tcW w:w="929" w:type="pct"/>
            <w:tcBorders>
              <w:top w:val="single" w:color="000000" w:sz="4" w:space="0"/>
              <w:left w:val="single" w:color="000000" w:sz="4" w:space="0"/>
              <w:bottom w:val="single" w:color="000000" w:sz="4" w:space="0"/>
              <w:right w:val="single" w:color="000000" w:sz="4" w:space="0"/>
            </w:tcBorders>
            <w:noWrap w:val="0"/>
            <w:vAlign w:val="center"/>
          </w:tcPr>
          <w:p w14:paraId="305E1C0F">
            <w:pPr>
              <w:rPr>
                <w:rFonts w:hint="eastAsia"/>
              </w:rPr>
            </w:pPr>
            <w:r>
              <w:rPr>
                <w:rFonts w:hint="eastAsia"/>
                <w:lang w:val="en-US" w:eastAsia="zh-CN"/>
              </w:rPr>
              <w:t>产品名称</w:t>
            </w:r>
          </w:p>
        </w:tc>
        <w:tc>
          <w:tcPr>
            <w:tcW w:w="1386" w:type="pct"/>
            <w:tcBorders>
              <w:top w:val="single" w:color="000000" w:sz="4" w:space="0"/>
              <w:left w:val="single" w:color="000000" w:sz="4" w:space="0"/>
              <w:bottom w:val="single" w:color="000000" w:sz="4" w:space="0"/>
              <w:right w:val="single" w:color="000000" w:sz="4" w:space="0"/>
            </w:tcBorders>
            <w:noWrap w:val="0"/>
            <w:vAlign w:val="center"/>
          </w:tcPr>
          <w:p w14:paraId="71034785">
            <w:pPr>
              <w:rPr>
                <w:rFonts w:hint="eastAsia"/>
              </w:rPr>
            </w:pPr>
            <w:r>
              <w:rPr>
                <w:rFonts w:hint="eastAsia"/>
                <w:lang w:val="en-US" w:eastAsia="zh-CN"/>
              </w:rPr>
              <w:t>型号</w:t>
            </w:r>
          </w:p>
        </w:tc>
        <w:tc>
          <w:tcPr>
            <w:tcW w:w="635" w:type="pct"/>
            <w:tcBorders>
              <w:top w:val="single" w:color="000000" w:sz="4" w:space="0"/>
              <w:left w:val="single" w:color="000000" w:sz="4" w:space="0"/>
              <w:bottom w:val="single" w:color="000000" w:sz="4" w:space="0"/>
              <w:right w:val="single" w:color="000000" w:sz="4" w:space="0"/>
            </w:tcBorders>
            <w:noWrap w:val="0"/>
            <w:vAlign w:val="center"/>
          </w:tcPr>
          <w:p w14:paraId="2F059BF1">
            <w:pPr>
              <w:rPr>
                <w:rFonts w:hint="eastAsia"/>
                <w:lang w:val="en-US"/>
              </w:rPr>
            </w:pPr>
            <w:r>
              <w:rPr>
                <w:rFonts w:hint="eastAsia"/>
                <w:lang w:val="en-US" w:eastAsia="zh-CN"/>
              </w:rPr>
              <w:t>单价最高限价</w:t>
            </w:r>
          </w:p>
        </w:tc>
        <w:tc>
          <w:tcPr>
            <w:tcW w:w="666" w:type="pct"/>
            <w:tcBorders>
              <w:top w:val="single" w:color="000000" w:sz="4" w:space="0"/>
              <w:left w:val="single" w:color="000000" w:sz="4" w:space="0"/>
              <w:bottom w:val="single" w:color="000000" w:sz="4" w:space="0"/>
              <w:right w:val="single" w:color="000000" w:sz="4" w:space="0"/>
            </w:tcBorders>
            <w:noWrap w:val="0"/>
            <w:vAlign w:val="center"/>
          </w:tcPr>
          <w:p w14:paraId="09176C41">
            <w:pPr>
              <w:rPr>
                <w:rFonts w:hint="eastAsia"/>
              </w:rPr>
            </w:pPr>
            <w:r>
              <w:rPr>
                <w:rFonts w:hint="eastAsia"/>
                <w:lang w:val="en-US" w:eastAsia="zh-CN"/>
              </w:rPr>
              <w:t>数量</w:t>
            </w:r>
          </w:p>
        </w:tc>
        <w:tc>
          <w:tcPr>
            <w:tcW w:w="1006" w:type="pct"/>
            <w:tcBorders>
              <w:top w:val="single" w:color="000000" w:sz="4" w:space="0"/>
              <w:left w:val="single" w:color="000000" w:sz="4" w:space="0"/>
              <w:bottom w:val="single" w:color="000000" w:sz="4" w:space="0"/>
              <w:right w:val="single" w:color="000000" w:sz="4" w:space="0"/>
            </w:tcBorders>
            <w:noWrap w:val="0"/>
            <w:vAlign w:val="center"/>
          </w:tcPr>
          <w:p w14:paraId="4A7EF7B5">
            <w:pPr>
              <w:rPr>
                <w:rFonts w:hint="eastAsia"/>
              </w:rPr>
            </w:pPr>
            <w:r>
              <w:rPr>
                <w:rFonts w:hint="eastAsia"/>
                <w:lang w:val="en-US" w:eastAsia="zh-CN"/>
              </w:rPr>
              <w:t>小计最高限价</w:t>
            </w:r>
          </w:p>
        </w:tc>
      </w:tr>
      <w:tr w14:paraId="7A09E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374" w:type="pct"/>
            <w:tcBorders>
              <w:top w:val="single" w:color="000000" w:sz="4" w:space="0"/>
              <w:left w:val="single" w:color="000000" w:sz="4" w:space="0"/>
              <w:bottom w:val="single" w:color="000000" w:sz="4" w:space="0"/>
              <w:right w:val="single" w:color="000000" w:sz="4" w:space="0"/>
            </w:tcBorders>
            <w:noWrap w:val="0"/>
            <w:vAlign w:val="center"/>
          </w:tcPr>
          <w:p w14:paraId="6A0B179E">
            <w:pPr>
              <w:rPr>
                <w:rFonts w:hint="eastAsia"/>
              </w:rPr>
            </w:pPr>
            <w:r>
              <w:rPr>
                <w:rFonts w:hint="eastAsia"/>
                <w:lang w:val="en-US" w:eastAsia="zh-CN"/>
              </w:rPr>
              <w:t>1</w:t>
            </w:r>
          </w:p>
        </w:tc>
        <w:tc>
          <w:tcPr>
            <w:tcW w:w="929" w:type="pct"/>
            <w:tcBorders>
              <w:top w:val="single" w:color="000000" w:sz="4" w:space="0"/>
              <w:left w:val="single" w:color="000000" w:sz="4" w:space="0"/>
              <w:bottom w:val="single" w:color="000000" w:sz="4" w:space="0"/>
              <w:right w:val="single" w:color="000000" w:sz="4" w:space="0"/>
            </w:tcBorders>
            <w:noWrap w:val="0"/>
            <w:vAlign w:val="center"/>
          </w:tcPr>
          <w:p w14:paraId="0A74851C">
            <w:pPr>
              <w:keepNext w:val="0"/>
              <w:keepLines w:val="0"/>
              <w:widowControl/>
              <w:suppressLineNumbers w:val="0"/>
              <w:jc w:val="center"/>
              <w:textAlignment w:val="center"/>
              <w:rPr>
                <w:rFonts w:hint="default"/>
                <w:lang w:val="en-US"/>
              </w:rPr>
            </w:pPr>
            <w:r>
              <w:rPr>
                <w:rFonts w:hint="eastAsia"/>
                <w:lang w:val="en-US" w:eastAsia="zh-CN"/>
              </w:rPr>
              <w:t>定位器</w:t>
            </w:r>
          </w:p>
        </w:tc>
        <w:tc>
          <w:tcPr>
            <w:tcW w:w="1386" w:type="pct"/>
            <w:tcBorders>
              <w:top w:val="single" w:color="000000" w:sz="4" w:space="0"/>
              <w:left w:val="single" w:color="000000" w:sz="4" w:space="0"/>
              <w:bottom w:val="single" w:color="000000" w:sz="4" w:space="0"/>
              <w:right w:val="single" w:color="000000" w:sz="4" w:space="0"/>
            </w:tcBorders>
            <w:noWrap w:val="0"/>
            <w:vAlign w:val="center"/>
          </w:tcPr>
          <w:p w14:paraId="7E9AC27A">
            <w:pPr>
              <w:keepNext w:val="0"/>
              <w:keepLines w:val="0"/>
              <w:widowControl/>
              <w:suppressLineNumbers w:val="0"/>
              <w:jc w:val="center"/>
              <w:textAlignment w:val="center"/>
              <w:rPr>
                <w:rFonts w:hint="eastAsia"/>
                <w:lang w:val="en-US" w:eastAsia="zh-CN"/>
              </w:rPr>
            </w:pPr>
            <w:r>
              <w:rPr>
                <w:rFonts w:hint="eastAsia"/>
                <w:lang w:val="en-US" w:eastAsia="zh-CN"/>
              </w:rPr>
              <w:t>6DR5120-0EN00-0AA0  带反馈带Hart</w:t>
            </w:r>
          </w:p>
        </w:tc>
        <w:tc>
          <w:tcPr>
            <w:tcW w:w="635" w:type="pct"/>
            <w:tcBorders>
              <w:top w:val="single" w:color="000000" w:sz="4" w:space="0"/>
              <w:left w:val="single" w:color="000000" w:sz="4" w:space="0"/>
              <w:bottom w:val="single" w:color="000000" w:sz="4" w:space="0"/>
              <w:right w:val="single" w:color="000000" w:sz="4" w:space="0"/>
            </w:tcBorders>
            <w:noWrap w:val="0"/>
            <w:vAlign w:val="center"/>
          </w:tcPr>
          <w:p w14:paraId="1E059169">
            <w:pPr>
              <w:keepNext w:val="0"/>
              <w:keepLines w:val="0"/>
              <w:widowControl/>
              <w:suppressLineNumbers w:val="0"/>
              <w:jc w:val="center"/>
              <w:textAlignment w:val="center"/>
              <w:rPr>
                <w:rFonts w:hint="default"/>
                <w:lang w:val="en-US" w:eastAsia="zh-CN"/>
              </w:rPr>
            </w:pPr>
            <w:r>
              <w:rPr>
                <w:rFonts w:hint="eastAsia" w:ascii="宋体" w:hAnsi="宋体" w:eastAsia="宋体" w:cs="宋体"/>
                <w:i w:val="0"/>
                <w:iCs w:val="0"/>
                <w:color w:val="000000"/>
                <w:sz w:val="32"/>
                <w:szCs w:val="32"/>
                <w:u w:val="none"/>
                <w:lang w:val="en-US" w:eastAsia="zh-CN"/>
              </w:rPr>
              <w:t>6000</w:t>
            </w:r>
          </w:p>
        </w:tc>
        <w:tc>
          <w:tcPr>
            <w:tcW w:w="666" w:type="pct"/>
            <w:tcBorders>
              <w:top w:val="single" w:color="000000" w:sz="4" w:space="0"/>
              <w:left w:val="single" w:color="000000" w:sz="4" w:space="0"/>
              <w:bottom w:val="single" w:color="000000" w:sz="4" w:space="0"/>
              <w:right w:val="single" w:color="000000" w:sz="4" w:space="0"/>
            </w:tcBorders>
            <w:noWrap w:val="0"/>
            <w:vAlign w:val="center"/>
          </w:tcPr>
          <w:p w14:paraId="6C5F1F0C">
            <w:pPr>
              <w:keepNext w:val="0"/>
              <w:keepLines w:val="0"/>
              <w:widowControl/>
              <w:suppressLineNumbers w:val="0"/>
              <w:jc w:val="center"/>
              <w:textAlignment w:val="center"/>
              <w:rPr>
                <w:rFonts w:hint="default"/>
                <w:lang w:val="en-US" w:eastAsia="zh-CN"/>
              </w:rPr>
            </w:pPr>
            <w:r>
              <w:rPr>
                <w:rFonts w:hint="eastAsia" w:ascii="宋体" w:hAnsi="宋体" w:eastAsia="宋体" w:cs="宋体"/>
                <w:i w:val="0"/>
                <w:iCs w:val="0"/>
                <w:color w:val="000000"/>
                <w:sz w:val="32"/>
                <w:szCs w:val="32"/>
                <w:u w:val="none"/>
                <w:lang w:val="en-US" w:eastAsia="zh-CN"/>
              </w:rPr>
              <w:t>2</w:t>
            </w:r>
          </w:p>
        </w:tc>
        <w:tc>
          <w:tcPr>
            <w:tcW w:w="1006" w:type="pct"/>
            <w:tcBorders>
              <w:top w:val="single" w:color="000000" w:sz="4" w:space="0"/>
              <w:left w:val="single" w:color="000000" w:sz="4" w:space="0"/>
              <w:bottom w:val="single" w:color="000000" w:sz="4" w:space="0"/>
              <w:right w:val="single" w:color="000000" w:sz="4" w:space="0"/>
            </w:tcBorders>
            <w:noWrap w:val="0"/>
            <w:vAlign w:val="center"/>
          </w:tcPr>
          <w:p w14:paraId="604EFA9B">
            <w:pPr>
              <w:keepNext w:val="0"/>
              <w:keepLines w:val="0"/>
              <w:widowControl/>
              <w:suppressLineNumbers w:val="0"/>
              <w:jc w:val="center"/>
              <w:textAlignment w:val="center"/>
              <w:rPr>
                <w:rFonts w:hint="default"/>
                <w:lang w:val="en-US" w:eastAsia="zh-CN"/>
              </w:rPr>
            </w:pPr>
            <w:r>
              <w:rPr>
                <w:rFonts w:hint="eastAsia" w:ascii="宋体" w:hAnsi="宋体" w:eastAsia="宋体" w:cs="宋体"/>
                <w:i w:val="0"/>
                <w:iCs w:val="0"/>
                <w:color w:val="000000"/>
                <w:sz w:val="32"/>
                <w:szCs w:val="32"/>
                <w:u w:val="none"/>
                <w:lang w:val="en-US" w:eastAsia="zh-CN"/>
              </w:rPr>
              <w:t>12000</w:t>
            </w:r>
          </w:p>
        </w:tc>
      </w:tr>
      <w:tr w14:paraId="1AC0F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374" w:type="pct"/>
            <w:tcBorders>
              <w:top w:val="single" w:color="000000" w:sz="4" w:space="0"/>
              <w:left w:val="single" w:color="000000" w:sz="4" w:space="0"/>
              <w:bottom w:val="single" w:color="000000" w:sz="4" w:space="0"/>
              <w:right w:val="single" w:color="000000" w:sz="4" w:space="0"/>
            </w:tcBorders>
            <w:noWrap w:val="0"/>
            <w:vAlign w:val="center"/>
          </w:tcPr>
          <w:p w14:paraId="3244437F">
            <w:pPr>
              <w:rPr>
                <w:rFonts w:hint="default"/>
                <w:lang w:val="en-US" w:eastAsia="zh-CN"/>
              </w:rPr>
            </w:pPr>
            <w:r>
              <w:rPr>
                <w:rFonts w:hint="eastAsia"/>
                <w:lang w:val="en-US" w:eastAsia="zh-CN"/>
              </w:rPr>
              <w:t>2</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03825D">
            <w:pPr>
              <w:keepNext w:val="0"/>
              <w:keepLines w:val="0"/>
              <w:widowControl/>
              <w:suppressLineNumbers w:val="0"/>
              <w:jc w:val="center"/>
              <w:textAlignment w:val="center"/>
              <w:rPr>
                <w:rFonts w:hint="eastAsia" w:ascii="宋体" w:hAnsi="宋体" w:eastAsia="宋体" w:cs="宋体"/>
                <w:i w:val="0"/>
                <w:iCs w:val="0"/>
                <w:color w:val="000000"/>
                <w:kern w:val="0"/>
                <w:sz w:val="32"/>
                <w:szCs w:val="32"/>
                <w:u w:val="none"/>
                <w:lang w:val="en-US" w:eastAsia="zh-CN" w:bidi="ar"/>
              </w:rPr>
            </w:pPr>
            <w:r>
              <w:rPr>
                <w:rFonts w:hint="eastAsia"/>
                <w:lang w:val="en-US" w:eastAsia="zh-CN"/>
              </w:rPr>
              <w:t>反馈模块</w:t>
            </w:r>
          </w:p>
        </w:tc>
        <w:tc>
          <w:tcPr>
            <w:tcW w:w="138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D00C99">
            <w:pPr>
              <w:keepNext w:val="0"/>
              <w:keepLines w:val="0"/>
              <w:widowControl/>
              <w:suppressLineNumbers w:val="0"/>
              <w:jc w:val="center"/>
              <w:textAlignment w:val="center"/>
              <w:rPr>
                <w:rFonts w:hint="eastAsia" w:ascii="宋体" w:hAnsi="宋体" w:eastAsia="宋体" w:cs="宋体"/>
                <w:i w:val="0"/>
                <w:iCs w:val="0"/>
                <w:color w:val="000000"/>
                <w:kern w:val="2"/>
                <w:sz w:val="32"/>
                <w:szCs w:val="32"/>
                <w:u w:val="none"/>
                <w:lang w:val="en-US" w:eastAsia="zh-CN" w:bidi="ar-SA"/>
              </w:rPr>
            </w:pPr>
            <w:r>
              <w:rPr>
                <w:rFonts w:hint="eastAsia"/>
                <w:lang w:val="en-US" w:eastAsia="zh-CN"/>
              </w:rPr>
              <w:t>反馈模块 6DR4004-6J</w:t>
            </w:r>
          </w:p>
        </w:tc>
        <w:tc>
          <w:tcPr>
            <w:tcW w:w="635"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2C3C53">
            <w:pPr>
              <w:keepNext w:val="0"/>
              <w:keepLines w:val="0"/>
              <w:widowControl/>
              <w:suppressLineNumbers w:val="0"/>
              <w:jc w:val="center"/>
              <w:textAlignment w:val="center"/>
              <w:rPr>
                <w:rFonts w:hint="eastAsia" w:ascii="宋体" w:hAnsi="宋体" w:eastAsia="宋体" w:cs="宋体"/>
                <w:i w:val="0"/>
                <w:iCs w:val="0"/>
                <w:color w:val="000000"/>
                <w:kern w:val="2"/>
                <w:sz w:val="32"/>
                <w:szCs w:val="32"/>
                <w:u w:val="none"/>
                <w:lang w:val="en-US" w:eastAsia="zh-CN" w:bidi="ar-SA"/>
              </w:rPr>
            </w:pPr>
            <w:r>
              <w:rPr>
                <w:rFonts w:hint="eastAsia" w:ascii="宋体" w:hAnsi="宋体" w:eastAsia="宋体" w:cs="宋体"/>
                <w:i w:val="0"/>
                <w:iCs w:val="0"/>
                <w:color w:val="000000"/>
                <w:sz w:val="32"/>
                <w:szCs w:val="32"/>
                <w:u w:val="none"/>
                <w:lang w:val="en-US" w:eastAsia="zh-CN"/>
              </w:rPr>
              <w:t>1500</w:t>
            </w:r>
          </w:p>
        </w:tc>
        <w:tc>
          <w:tcPr>
            <w:tcW w:w="66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DFE01F">
            <w:pPr>
              <w:keepNext w:val="0"/>
              <w:keepLines w:val="0"/>
              <w:widowControl/>
              <w:suppressLineNumbers w:val="0"/>
              <w:jc w:val="center"/>
              <w:textAlignment w:val="center"/>
              <w:rPr>
                <w:rFonts w:hint="eastAsia" w:ascii="宋体" w:hAnsi="宋体" w:eastAsia="宋体" w:cs="宋体"/>
                <w:i w:val="0"/>
                <w:iCs w:val="0"/>
                <w:color w:val="000000"/>
                <w:kern w:val="0"/>
                <w:sz w:val="32"/>
                <w:szCs w:val="32"/>
                <w:u w:val="none"/>
                <w:lang w:val="en-US" w:eastAsia="zh-CN" w:bidi="ar"/>
              </w:rPr>
            </w:pPr>
            <w:r>
              <w:rPr>
                <w:rFonts w:hint="eastAsia" w:ascii="宋体" w:hAnsi="宋体" w:eastAsia="宋体" w:cs="宋体"/>
                <w:i w:val="0"/>
                <w:iCs w:val="0"/>
                <w:color w:val="000000"/>
                <w:kern w:val="0"/>
                <w:sz w:val="32"/>
                <w:szCs w:val="32"/>
                <w:u w:val="none"/>
                <w:lang w:val="en-US" w:eastAsia="zh-CN" w:bidi="ar"/>
              </w:rPr>
              <w:t>2</w:t>
            </w:r>
          </w:p>
        </w:tc>
        <w:tc>
          <w:tcPr>
            <w:tcW w:w="100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EBE017">
            <w:pPr>
              <w:keepNext w:val="0"/>
              <w:keepLines w:val="0"/>
              <w:widowControl/>
              <w:suppressLineNumbers w:val="0"/>
              <w:jc w:val="center"/>
              <w:textAlignment w:val="center"/>
              <w:rPr>
                <w:rFonts w:hint="eastAsia" w:ascii="宋体" w:hAnsi="宋体" w:eastAsia="宋体" w:cs="宋体"/>
                <w:i w:val="0"/>
                <w:iCs w:val="0"/>
                <w:color w:val="000000"/>
                <w:kern w:val="0"/>
                <w:sz w:val="32"/>
                <w:szCs w:val="32"/>
                <w:u w:val="none"/>
                <w:lang w:val="en-US" w:eastAsia="zh-CN" w:bidi="ar"/>
              </w:rPr>
            </w:pPr>
            <w:r>
              <w:rPr>
                <w:rFonts w:hint="eastAsia" w:ascii="宋体" w:hAnsi="宋体" w:eastAsia="宋体" w:cs="宋体"/>
                <w:i w:val="0"/>
                <w:iCs w:val="0"/>
                <w:color w:val="000000"/>
                <w:sz w:val="32"/>
                <w:szCs w:val="32"/>
                <w:u w:val="none"/>
                <w:lang w:val="en-US" w:eastAsia="zh-CN"/>
              </w:rPr>
              <w:t>3000</w:t>
            </w:r>
          </w:p>
        </w:tc>
      </w:tr>
      <w:tr w14:paraId="593CB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374" w:type="pct"/>
            <w:tcBorders>
              <w:top w:val="single" w:color="000000" w:sz="4" w:space="0"/>
              <w:left w:val="single" w:color="000000" w:sz="4" w:space="0"/>
              <w:bottom w:val="single" w:color="000000" w:sz="4" w:space="0"/>
              <w:right w:val="single" w:color="000000" w:sz="4" w:space="0"/>
            </w:tcBorders>
            <w:noWrap w:val="0"/>
            <w:vAlign w:val="center"/>
          </w:tcPr>
          <w:p w14:paraId="44152988">
            <w:pPr>
              <w:rPr>
                <w:rFonts w:hint="default"/>
                <w:lang w:val="en-US" w:eastAsia="zh-CN"/>
              </w:rPr>
            </w:pPr>
            <w:r>
              <w:rPr>
                <w:rFonts w:hint="eastAsia"/>
                <w:lang w:val="en-US" w:eastAsia="zh-CN"/>
              </w:rPr>
              <w:t>3</w:t>
            </w:r>
          </w:p>
        </w:tc>
        <w:tc>
          <w:tcPr>
            <w:tcW w:w="92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E6AF30">
            <w:pPr>
              <w:keepNext w:val="0"/>
              <w:keepLines w:val="0"/>
              <w:widowControl/>
              <w:suppressLineNumbers w:val="0"/>
              <w:jc w:val="center"/>
              <w:textAlignment w:val="center"/>
              <w:rPr>
                <w:rFonts w:hint="eastAsia" w:ascii="Times New Roman" w:hAnsi="Times New Roman" w:eastAsia="宋体" w:cs="Times New Roman"/>
                <w:kern w:val="2"/>
                <w:sz w:val="21"/>
                <w:szCs w:val="24"/>
                <w:lang w:val="en-US" w:eastAsia="zh-CN" w:bidi="ar-SA"/>
              </w:rPr>
            </w:pPr>
            <w:r>
              <w:rPr>
                <w:rFonts w:hint="eastAsia"/>
                <w:lang w:val="en-US" w:eastAsia="zh-CN"/>
              </w:rPr>
              <w:t>耦合轮</w:t>
            </w:r>
          </w:p>
        </w:tc>
        <w:tc>
          <w:tcPr>
            <w:tcW w:w="138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60B5E6">
            <w:pPr>
              <w:keepNext w:val="0"/>
              <w:keepLines w:val="0"/>
              <w:widowControl/>
              <w:suppressLineNumbers w:val="0"/>
              <w:jc w:val="center"/>
              <w:textAlignment w:val="center"/>
              <w:rPr>
                <w:rFonts w:hint="eastAsia" w:ascii="Times New Roman" w:hAnsi="Times New Roman" w:eastAsia="宋体" w:cs="Times New Roman"/>
                <w:kern w:val="2"/>
                <w:sz w:val="21"/>
                <w:szCs w:val="24"/>
                <w:lang w:val="en-US" w:eastAsia="zh-CN" w:bidi="ar-SA"/>
              </w:rPr>
            </w:pPr>
            <w:r>
              <w:rPr>
                <w:rFonts w:hint="eastAsia"/>
                <w:lang w:val="en-US" w:eastAsia="zh-CN"/>
              </w:rPr>
              <w:t>耦合轮 SM6DR4004-8D</w:t>
            </w:r>
          </w:p>
        </w:tc>
        <w:tc>
          <w:tcPr>
            <w:tcW w:w="635"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E5BA6D">
            <w:pPr>
              <w:keepNext w:val="0"/>
              <w:keepLines w:val="0"/>
              <w:widowControl/>
              <w:suppressLineNumbers w:val="0"/>
              <w:jc w:val="center"/>
              <w:textAlignment w:val="center"/>
              <w:rPr>
                <w:rFonts w:hint="eastAsia" w:ascii="宋体" w:hAnsi="宋体" w:eastAsia="宋体" w:cs="宋体"/>
                <w:i w:val="0"/>
                <w:iCs w:val="0"/>
                <w:color w:val="000000"/>
                <w:kern w:val="2"/>
                <w:sz w:val="32"/>
                <w:szCs w:val="32"/>
                <w:u w:val="none"/>
                <w:lang w:val="en-US" w:eastAsia="zh-CN" w:bidi="ar-SA"/>
              </w:rPr>
            </w:pPr>
            <w:r>
              <w:rPr>
                <w:rFonts w:hint="eastAsia" w:ascii="宋体" w:hAnsi="宋体" w:eastAsia="宋体" w:cs="宋体"/>
                <w:i w:val="0"/>
                <w:iCs w:val="0"/>
                <w:color w:val="000000"/>
                <w:sz w:val="32"/>
                <w:szCs w:val="32"/>
                <w:u w:val="none"/>
                <w:lang w:val="en-US" w:eastAsia="zh-CN"/>
              </w:rPr>
              <w:t>200</w:t>
            </w:r>
          </w:p>
        </w:tc>
        <w:tc>
          <w:tcPr>
            <w:tcW w:w="66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297A4B">
            <w:pPr>
              <w:keepNext w:val="0"/>
              <w:keepLines w:val="0"/>
              <w:widowControl/>
              <w:suppressLineNumbers w:val="0"/>
              <w:jc w:val="center"/>
              <w:textAlignment w:val="center"/>
              <w:rPr>
                <w:rFonts w:hint="eastAsia" w:ascii="宋体" w:hAnsi="宋体" w:eastAsia="宋体" w:cs="宋体"/>
                <w:i w:val="0"/>
                <w:iCs w:val="0"/>
                <w:color w:val="000000"/>
                <w:kern w:val="0"/>
                <w:sz w:val="32"/>
                <w:szCs w:val="32"/>
                <w:u w:val="none"/>
                <w:lang w:val="en-US" w:eastAsia="zh-CN" w:bidi="ar"/>
              </w:rPr>
            </w:pPr>
            <w:r>
              <w:rPr>
                <w:rFonts w:hint="eastAsia" w:ascii="宋体" w:hAnsi="宋体" w:eastAsia="宋体" w:cs="宋体"/>
                <w:i w:val="0"/>
                <w:iCs w:val="0"/>
                <w:color w:val="000000"/>
                <w:kern w:val="0"/>
                <w:sz w:val="32"/>
                <w:szCs w:val="32"/>
                <w:u w:val="none"/>
                <w:lang w:val="en-US" w:eastAsia="zh-CN" w:bidi="ar"/>
              </w:rPr>
              <w:t>2</w:t>
            </w:r>
          </w:p>
        </w:tc>
        <w:tc>
          <w:tcPr>
            <w:tcW w:w="100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CDD4FE">
            <w:pPr>
              <w:keepNext w:val="0"/>
              <w:keepLines w:val="0"/>
              <w:widowControl/>
              <w:suppressLineNumbers w:val="0"/>
              <w:jc w:val="center"/>
              <w:textAlignment w:val="center"/>
              <w:rPr>
                <w:rFonts w:hint="eastAsia" w:ascii="宋体" w:hAnsi="宋体" w:eastAsia="宋体" w:cs="宋体"/>
                <w:i w:val="0"/>
                <w:iCs w:val="0"/>
                <w:color w:val="000000"/>
                <w:kern w:val="2"/>
                <w:sz w:val="32"/>
                <w:szCs w:val="32"/>
                <w:u w:val="none"/>
                <w:lang w:val="en-US" w:eastAsia="zh-CN" w:bidi="ar-SA"/>
              </w:rPr>
            </w:pPr>
            <w:r>
              <w:rPr>
                <w:rFonts w:hint="eastAsia" w:ascii="宋体" w:hAnsi="宋体" w:eastAsia="宋体" w:cs="宋体"/>
                <w:i w:val="0"/>
                <w:iCs w:val="0"/>
                <w:color w:val="000000"/>
                <w:sz w:val="32"/>
                <w:szCs w:val="32"/>
                <w:u w:val="none"/>
                <w:lang w:val="en-US" w:eastAsia="zh-CN"/>
              </w:rPr>
              <w:t>400</w:t>
            </w:r>
          </w:p>
        </w:tc>
      </w:tr>
    </w:tbl>
    <w:p w14:paraId="22B99EF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font-size:11pt;">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19312F"/>
    <w:multiLevelType w:val="singleLevel"/>
    <w:tmpl w:val="AA19312F"/>
    <w:lvl w:ilvl="0" w:tentative="0">
      <w:start w:val="1"/>
      <w:numFmt w:val="decimal"/>
      <w:suff w:val="nothing"/>
      <w:lvlText w:val="%1、"/>
      <w:lvlJc w:val="left"/>
    </w:lvl>
  </w:abstractNum>
  <w:abstractNum w:abstractNumId="1">
    <w:nsid w:val="B5F3D912"/>
    <w:multiLevelType w:val="singleLevel"/>
    <w:tmpl w:val="B5F3D912"/>
    <w:lvl w:ilvl="0" w:tentative="0">
      <w:start w:val="2"/>
      <w:numFmt w:val="decimal"/>
      <w:suff w:val="nothing"/>
      <w:lvlText w:val="%1、"/>
      <w:lvlJc w:val="left"/>
    </w:lvl>
  </w:abstractNum>
  <w:abstractNum w:abstractNumId="2">
    <w:nsid w:val="06BF6F2E"/>
    <w:multiLevelType w:val="singleLevel"/>
    <w:tmpl w:val="06BF6F2E"/>
    <w:lvl w:ilvl="0" w:tentative="0">
      <w:start w:val="1"/>
      <w:numFmt w:val="chineseCounting"/>
      <w:suff w:val="nothing"/>
      <w:lvlText w:val="%1、"/>
      <w:lvlJc w:val="left"/>
      <w:rPr>
        <w:rFonts w:hint="eastAsia"/>
      </w:rPr>
    </w:lvl>
  </w:abstractNum>
  <w:abstractNum w:abstractNumId="3">
    <w:nsid w:val="25AABD93"/>
    <w:multiLevelType w:val="singleLevel"/>
    <w:tmpl w:val="25AABD93"/>
    <w:lvl w:ilvl="0" w:tentative="0">
      <w:start w:val="1"/>
      <w:numFmt w:val="decimal"/>
      <w:suff w:val="nothing"/>
      <w:lvlText w:val="%1、"/>
      <w:lvlJc w:val="left"/>
      <w:pPr>
        <w:ind w:left="0" w:firstLine="0"/>
      </w:pPr>
    </w:lvl>
  </w:abstractNum>
  <w:num w:numId="1">
    <w:abstractNumId w:val="1"/>
    <w:lvlOverride w:ilvl="0">
      <w:startOverride w:val="2"/>
    </w:lvlOverride>
  </w:num>
  <w:num w:numId="2">
    <w:abstractNumId w:val="1"/>
  </w:num>
  <w:num w:numId="3">
    <w:abstractNumId w:val="2"/>
    <w:lvlOverride w:ilvl="0">
      <w:startOverride w:val="1"/>
    </w:lvlOverride>
  </w:num>
  <w:num w:numId="4">
    <w:abstractNumId w:val="0"/>
  </w:num>
  <w:num w:numId="5">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27A26"/>
    <w:rsid w:val="16E86E03"/>
    <w:rsid w:val="293D35CC"/>
    <w:rsid w:val="39F27A26"/>
    <w:rsid w:val="40907F92"/>
    <w:rsid w:val="51774966"/>
    <w:rsid w:val="55F70B41"/>
    <w:rsid w:val="75B03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2035</Words>
  <Characters>2215</Characters>
  <Lines>0</Lines>
  <Paragraphs>0</Paragraphs>
  <TotalTime>0</TotalTime>
  <ScaleCrop>false</ScaleCrop>
  <LinksUpToDate>false</LinksUpToDate>
  <CharactersWithSpaces>2299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2025-08-27T03:03:00Z</dcterms:created>
  <dc:creator></dc:creator>
  <cp:lastModifiedBy></cp:lastModifiedBy>
  <dcterms:modified xsi:type="dcterms:W3CDTF">2025-10-17T07:24:58Z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D2F6175D5B02408C914D24993C0380C2_11</vt:lpwstr>
  </property>
  <property fmtid="{D5CDD505-2E9C-101B-9397-08002B2CF9AE}" pid="4" name="KSOTemplateDocerSaveRecord">
    <vt:lpwstr>eyJoZGlkIjoiNGZhZTZmYmNhNGMyZTgxMmM5NDM3NjBmOWE0YWNmMTYiLCJ1c2VySWQiOiI5NjcwMzExNDYifQ==</vt:lpwstr>
  </property>
</Properties>
</file>