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5BDB70">
      <w:pPr>
        <w:pStyle w:val="6"/>
        <w:widowControl/>
        <w:shd w:val="clear" w:color="auto" w:fill="FFFFFF"/>
        <w:spacing w:before="192" w:after="192"/>
        <w:jc w:val="center"/>
        <w:rPr>
          <w:rFonts w:ascii="宋体" w:hAnsi="宋体" w:eastAsia="宋体" w:cs="宋体"/>
          <w:b/>
          <w:bCs/>
        </w:rPr>
      </w:pPr>
      <w:bookmarkStart w:id="0" w:name="OLE_LINK4"/>
      <w:r>
        <w:rPr>
          <w:rFonts w:ascii="宋体" w:hAnsi="宋体" w:eastAsia="宋体" w:cs="宋体"/>
          <w:b/>
          <w:bCs/>
        </w:rPr>
        <w:t>甘肃巨化新材料有限公司高性能硅氟新材料一体化项目（一期1.1a）</w:t>
      </w:r>
    </w:p>
    <w:p w14:paraId="2836A42F">
      <w:pPr>
        <w:pStyle w:val="6"/>
        <w:widowControl/>
        <w:shd w:val="clear" w:color="auto" w:fill="FFFFFF"/>
        <w:spacing w:before="192" w:after="192"/>
        <w:ind w:firstLine="2891" w:firstLineChars="1200"/>
        <w:rPr>
          <w:rFonts w:ascii="宋体" w:cs="宋体"/>
          <w:b/>
          <w:bCs/>
          <w:shd w:val="clear" w:color="auto" w:fill="FFFFFF"/>
        </w:rPr>
      </w:pPr>
      <w:r>
        <w:rPr>
          <w:rFonts w:hint="eastAsia" w:ascii="宋体" w:cs="宋体"/>
          <w:b/>
          <w:bCs/>
          <w:shd w:val="clear" w:color="auto" w:fill="FFFFFF"/>
        </w:rPr>
        <w:t>HAZOP分析项目</w:t>
      </w:r>
      <w:bookmarkEnd w:id="0"/>
      <w:r>
        <w:rPr>
          <w:rFonts w:hint="eastAsia" w:ascii="宋体" w:cs="宋体"/>
          <w:b/>
          <w:bCs/>
          <w:shd w:val="clear" w:color="auto" w:fill="FFFFFF"/>
        </w:rPr>
        <w:t>技术协议</w:t>
      </w:r>
    </w:p>
    <w:p w14:paraId="48738B13">
      <w:pPr>
        <w:pStyle w:val="6"/>
        <w:widowControl/>
        <w:shd w:val="clear" w:color="auto" w:fill="FFFFFF"/>
        <w:spacing w:before="192" w:after="192"/>
        <w:ind w:firstLine="380" w:firstLineChars="200"/>
        <w:rPr>
          <w:rFonts w:ascii="Segoe UI" w:hAnsi="Segoe UI" w:eastAsia="Segoe UI" w:cs="Segoe UI"/>
          <w:color w:val="0F1115"/>
          <w:sz w:val="19"/>
          <w:szCs w:val="19"/>
        </w:rPr>
      </w:pP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t>本技术协议是合同不可分割的一部分，明确了HAZOP分析工作的技术要求、标准、范围和交付成果。</w:t>
      </w:r>
    </w:p>
    <w:p w14:paraId="36762E1E">
      <w:pPr>
        <w:pStyle w:val="6"/>
        <w:widowControl/>
        <w:numPr>
          <w:ilvl w:val="0"/>
          <w:numId w:val="1"/>
        </w:numPr>
        <w:shd w:val="clear" w:color="auto" w:fill="FFFFFF"/>
        <w:spacing w:before="192" w:after="192"/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</w:pPr>
      <w:r>
        <w:rPr>
          <w:rStyle w:val="10"/>
          <w:rFonts w:ascii="Segoe UI" w:hAnsi="Segoe UI" w:eastAsia="Segoe UI" w:cs="Segoe UI"/>
          <w:bCs/>
          <w:color w:val="0F1115"/>
          <w:sz w:val="19"/>
          <w:szCs w:val="19"/>
          <w:shd w:val="clear" w:color="auto" w:fill="FFFFFF"/>
        </w:rPr>
        <w:t>项目概述</w:t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br w:type="textWrapping"/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t>1.1 </w:t>
      </w:r>
      <w:r>
        <w:rPr>
          <w:rStyle w:val="10"/>
          <w:rFonts w:ascii="Segoe UI" w:hAnsi="Segoe UI" w:eastAsia="Segoe UI" w:cs="Segoe UI"/>
          <w:b w:val="0"/>
          <w:color w:val="0F1115"/>
          <w:sz w:val="19"/>
          <w:szCs w:val="19"/>
          <w:shd w:val="clear" w:color="auto" w:fill="FFFFFF"/>
        </w:rPr>
        <w:t>项目目标</w:t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t>：对甲方</w:t>
      </w:r>
      <w:r>
        <w:rPr>
          <w:rFonts w:ascii="Segoe UI" w:hAnsi="Segoe UI" w:eastAsia="宋体" w:cs="Segoe UI"/>
          <w:sz w:val="19"/>
          <w:szCs w:val="19"/>
        </w:rPr>
        <w:t>甘肃巨化新材料有限公司</w:t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t>“</w:t>
      </w:r>
      <w:r>
        <w:rPr>
          <w:rFonts w:ascii="Segoe UI" w:hAnsi="Segoe UI" w:eastAsia="宋体" w:cs="Segoe UI"/>
          <w:sz w:val="19"/>
          <w:szCs w:val="19"/>
        </w:rPr>
        <w:t>高性能硅氟新材料一体化项目（一期1.1a）</w:t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t>”</w:t>
      </w:r>
      <w:r>
        <w:rPr>
          <w:rFonts w:hint="eastAsia" w:ascii="Segoe UI" w:hAnsi="Segoe UI" w:eastAsia="宋体" w:cs="Segoe UI"/>
          <w:color w:val="0F1115"/>
          <w:sz w:val="19"/>
          <w:szCs w:val="19"/>
          <w:shd w:val="clear" w:color="auto" w:fill="FFFFFF"/>
        </w:rPr>
        <w:t>全产业链上下游各装置之间</w:t>
      </w:r>
      <w:r>
        <w:rPr>
          <w:rFonts w:ascii="Segoe UI" w:hAnsi="Segoe UI" w:eastAsia="Segoe UI" w:cs="Segoe UI"/>
          <w:sz w:val="19"/>
          <w:szCs w:val="19"/>
          <w:shd w:val="clear" w:color="auto" w:fill="FFFFFF"/>
        </w:rPr>
        <w:t>主工艺流程及关键辅助设施</w:t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t>进行系统的危险与可操作性分析，识别工艺安全风险，提出安全措施建议，</w:t>
      </w:r>
      <w:r>
        <w:rPr>
          <w:rFonts w:hint="eastAsia" w:ascii="Segoe UI" w:hAnsi="Segoe UI" w:eastAsia="宋体" w:cs="Segoe UI"/>
          <w:color w:val="0F1115"/>
          <w:sz w:val="19"/>
          <w:szCs w:val="19"/>
          <w:shd w:val="clear" w:color="auto" w:fill="FFFFFF"/>
        </w:rPr>
        <w:t>从设计源头消除系统级风险，提升本质安全</w:t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t>。</w:t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br w:type="textWrapping"/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t>1.2 </w:t>
      </w:r>
      <w:r>
        <w:rPr>
          <w:rStyle w:val="10"/>
          <w:rFonts w:ascii="Segoe UI" w:hAnsi="Segoe UI" w:eastAsia="Segoe UI" w:cs="Segoe UI"/>
          <w:b w:val="0"/>
          <w:color w:val="0F1115"/>
          <w:sz w:val="19"/>
          <w:szCs w:val="19"/>
          <w:shd w:val="clear" w:color="auto" w:fill="FFFFFF"/>
        </w:rPr>
        <w:t>分析标准</w:t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t>：分析流程和标准</w:t>
      </w:r>
      <w:r>
        <w:rPr>
          <w:rFonts w:hint="eastAsia" w:ascii="Segoe UI" w:hAnsi="Segoe UI" w:eastAsia="宋体" w:cs="Segoe UI"/>
          <w:color w:val="0F1115"/>
          <w:sz w:val="19"/>
          <w:szCs w:val="19"/>
          <w:shd w:val="clear" w:color="auto" w:fill="FFFFFF"/>
        </w:rPr>
        <w:t>应</w:t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t>遵循GB/T 35320-2017《危险与可操作性分析(HAZOP分析)应用指南》及中国相关安全规范。</w:t>
      </w:r>
    </w:p>
    <w:p w14:paraId="473CFC61">
      <w:pPr>
        <w:pStyle w:val="6"/>
        <w:widowControl/>
        <w:shd w:val="clear" w:color="auto" w:fill="FFFFFF"/>
        <w:spacing w:before="192" w:after="192"/>
        <w:rPr>
          <w:rFonts w:ascii="Segoe UI" w:hAnsi="Segoe UI" w:eastAsia="Segoe UI" w:cs="Segoe UI"/>
          <w:color w:val="0F1115"/>
          <w:sz w:val="19"/>
          <w:szCs w:val="19"/>
        </w:rPr>
      </w:pPr>
      <w:r>
        <w:rPr>
          <w:rStyle w:val="10"/>
          <w:rFonts w:ascii="Segoe UI" w:hAnsi="Segoe UI" w:eastAsia="Segoe UI" w:cs="Segoe UI"/>
          <w:bCs/>
          <w:color w:val="0F1115"/>
          <w:sz w:val="19"/>
          <w:szCs w:val="19"/>
          <w:shd w:val="clear" w:color="auto" w:fill="FFFFFF"/>
        </w:rPr>
        <w:t>第二条 分析范围与节点划分</w:t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br w:type="textWrapping"/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t>2.1 </w:t>
      </w:r>
      <w:r>
        <w:rPr>
          <w:rStyle w:val="10"/>
          <w:rFonts w:ascii="Segoe UI" w:hAnsi="Segoe UI" w:eastAsia="Segoe UI" w:cs="Segoe UI"/>
          <w:b w:val="0"/>
          <w:color w:val="0F1115"/>
          <w:sz w:val="19"/>
          <w:szCs w:val="19"/>
          <w:shd w:val="clear" w:color="auto" w:fill="FFFFFF"/>
        </w:rPr>
        <w:t>分析范围</w:t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t>：包括但不限于以下装置</w:t>
      </w:r>
      <w:r>
        <w:rPr>
          <w:rFonts w:hint="eastAsia" w:ascii="Segoe UI" w:hAnsi="Segoe UI" w:eastAsia="宋体" w:cs="Segoe UI"/>
          <w:color w:val="0F1115"/>
          <w:sz w:val="19"/>
          <w:szCs w:val="19"/>
          <w:shd w:val="clear" w:color="auto" w:fill="FFFFFF"/>
        </w:rPr>
        <w:t>互联</w:t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t>系统：</w:t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br w:type="textWrapping"/>
      </w:r>
      <w:r>
        <w:rPr>
          <w:rFonts w:hint="default" w:ascii="Segoe UI" w:hAnsi="Segoe UI" w:eastAsia="Segoe UI" w:cs="Segoe UI"/>
          <w:color w:val="0F1115"/>
          <w:sz w:val="19"/>
          <w:szCs w:val="19"/>
          <w:highlight w:val="none"/>
          <w:shd w:val="clear" w:color="auto" w:fill="FFFFFF"/>
        </w:rPr>
        <w:t xml:space="preserve">- </w:t>
      </w:r>
      <w:r>
        <w:rPr>
          <w:rFonts w:hint="default" w:ascii="Segoe UI" w:hAnsi="Segoe UI" w:eastAsia="宋体" w:cs="Segoe UI"/>
          <w:color w:val="0F1115"/>
          <w:sz w:val="19"/>
          <w:szCs w:val="19"/>
          <w:highlight w:val="none"/>
          <w:shd w:val="clear" w:color="auto" w:fill="FFFFFF"/>
        </w:rPr>
        <w:t>一氯甲烷装置、</w:t>
      </w:r>
      <w:r>
        <w:rPr>
          <w:rFonts w:hint="default" w:ascii="Segoe UI" w:hAnsi="Segoe UI" w:eastAsia="Segoe UI" w:cs="Segoe UI"/>
          <w:color w:val="0F1115"/>
          <w:sz w:val="19"/>
          <w:szCs w:val="19"/>
          <w:highlight w:val="none"/>
          <w:shd w:val="clear" w:color="auto" w:fill="FFFFFF"/>
        </w:rPr>
        <w:t>甲烷氯化物装置、无水氢氟酸（AHF）装置、R22装置、TFE单体装置、PTFE系列装置、FEP装置、</w:t>
      </w:r>
      <w:r>
        <w:rPr>
          <w:rFonts w:hint="default" w:ascii="Segoe UI" w:hAnsi="Segoe UI" w:cs="Segoe UI"/>
          <w:sz w:val="19"/>
          <w:szCs w:val="19"/>
          <w:highlight w:val="none"/>
          <w:lang w:val="en-US" w:eastAsia="zh-CN"/>
        </w:rPr>
        <w:t>HFP装置、</w:t>
      </w:r>
      <w:r>
        <w:rPr>
          <w:rFonts w:hint="default" w:ascii="Segoe UI" w:hAnsi="Segoe UI" w:eastAsia="Segoe UI" w:cs="Segoe UI"/>
          <w:color w:val="0F1115"/>
          <w:sz w:val="19"/>
          <w:szCs w:val="19"/>
          <w:highlight w:val="none"/>
          <w:shd w:val="clear" w:color="auto" w:fill="FFFFFF"/>
        </w:rPr>
        <w:t>R1234yf装置、</w:t>
      </w:r>
      <w:r>
        <w:rPr>
          <w:rFonts w:hint="default" w:ascii="Segoe UI" w:hAnsi="Segoe UI" w:eastAsia="Segoe UI" w:cs="Segoe UI"/>
          <w:color w:val="0F1115"/>
          <w:kern w:val="0"/>
          <w:sz w:val="19"/>
          <w:szCs w:val="19"/>
          <w:highlight w:val="none"/>
          <w:lang w:bidi="ar"/>
        </w:rPr>
        <w:t>HCC-240装置、</w:t>
      </w:r>
      <w:r>
        <w:rPr>
          <w:rFonts w:hint="default" w:ascii="Segoe UI" w:hAnsi="Segoe UI" w:eastAsia="Segoe UI" w:cs="Segoe UI"/>
          <w:color w:val="0F1115"/>
          <w:sz w:val="19"/>
          <w:szCs w:val="19"/>
          <w:highlight w:val="none"/>
          <w:shd w:val="clear" w:color="auto" w:fill="FFFFFF"/>
        </w:rPr>
        <w:t>离子膜烧碱装置</w:t>
      </w:r>
      <w:r>
        <w:rPr>
          <w:rFonts w:hint="default" w:ascii="Segoe UI" w:hAnsi="Segoe UI" w:eastAsia="宋体" w:cs="Segoe UI"/>
          <w:color w:val="0F1115"/>
          <w:sz w:val="19"/>
          <w:szCs w:val="19"/>
          <w:highlight w:val="none"/>
          <w:shd w:val="clear" w:color="auto" w:fill="FFFFFF"/>
        </w:rPr>
        <w:t>、无水氯化钙、</w:t>
      </w:r>
      <w:r>
        <w:rPr>
          <w:rFonts w:hint="eastAsia" w:ascii="Segoe UI" w:hAnsi="Segoe UI" w:eastAsia="宋体" w:cs="Segoe UI"/>
          <w:color w:val="0F1115"/>
          <w:sz w:val="19"/>
          <w:szCs w:val="19"/>
          <w:highlight w:val="none"/>
          <w:shd w:val="clear" w:color="auto" w:fill="FFFFFF"/>
          <w:lang w:val="en-US" w:eastAsia="zh-CN"/>
        </w:rPr>
        <w:t>片碱装置、</w:t>
      </w:r>
      <w:r>
        <w:rPr>
          <w:rFonts w:hint="default" w:ascii="Segoe UI" w:hAnsi="Segoe UI" w:cs="Segoe UI"/>
          <w:sz w:val="19"/>
          <w:szCs w:val="19"/>
          <w:highlight w:val="none"/>
          <w:lang w:val="en-US" w:eastAsia="zh-CN"/>
        </w:rPr>
        <w:t>1#</w:t>
      </w:r>
      <w:r>
        <w:rPr>
          <w:rFonts w:hint="eastAsia" w:ascii="Segoe UI" w:hAnsi="Segoe UI" w:cs="Segoe UI"/>
          <w:sz w:val="19"/>
          <w:szCs w:val="19"/>
          <w:highlight w:val="none"/>
          <w:lang w:val="en-US" w:eastAsia="zh-CN"/>
        </w:rPr>
        <w:t>和</w:t>
      </w:r>
      <w:r>
        <w:rPr>
          <w:rFonts w:hint="default" w:ascii="Segoe UI" w:hAnsi="Segoe UI" w:cs="Segoe UI"/>
          <w:sz w:val="19"/>
          <w:szCs w:val="19"/>
          <w:highlight w:val="none"/>
          <w:lang w:val="en-US" w:eastAsia="zh-CN"/>
        </w:rPr>
        <w:t>2#焚烧装置、</w:t>
      </w:r>
      <w:r>
        <w:rPr>
          <w:rFonts w:hint="eastAsia" w:ascii="Segoe UI" w:hAnsi="Segoe UI" w:cs="Segoe UI"/>
          <w:sz w:val="19"/>
          <w:szCs w:val="19"/>
          <w:highlight w:val="none"/>
          <w:lang w:val="en-US" w:eastAsia="zh-CN"/>
        </w:rPr>
        <w:t>盐酸提浓装置、</w:t>
      </w:r>
      <w:r>
        <w:rPr>
          <w:rFonts w:hint="default" w:ascii="Segoe UI" w:hAnsi="Segoe UI" w:cs="Segoe UI"/>
          <w:sz w:val="19"/>
          <w:szCs w:val="19"/>
          <w:highlight w:val="none"/>
          <w:lang w:val="en-US" w:eastAsia="zh-CN"/>
        </w:rPr>
        <w:t>罐区</w:t>
      </w:r>
      <w:r>
        <w:rPr>
          <w:rFonts w:hint="eastAsia" w:ascii="Segoe UI" w:hAnsi="Segoe UI" w:cs="Segoe UI"/>
          <w:sz w:val="19"/>
          <w:szCs w:val="19"/>
          <w:highlight w:val="none"/>
          <w:lang w:val="en-US" w:eastAsia="zh-CN"/>
        </w:rPr>
        <w:t>物料</w:t>
      </w:r>
      <w:r>
        <w:rPr>
          <w:rFonts w:hint="default" w:ascii="Segoe UI" w:hAnsi="Segoe UI" w:cs="Segoe UI"/>
          <w:sz w:val="19"/>
          <w:szCs w:val="19"/>
          <w:highlight w:val="none"/>
          <w:lang w:val="en-US" w:eastAsia="zh-CN"/>
        </w:rPr>
        <w:t>的相互输送、</w:t>
      </w:r>
      <w:r>
        <w:rPr>
          <w:rFonts w:hint="default" w:ascii="Segoe UI" w:hAnsi="Segoe UI" w:eastAsia="Segoe UI" w:cs="Segoe UI"/>
          <w:color w:val="0F1115"/>
          <w:sz w:val="19"/>
          <w:szCs w:val="19"/>
          <w:highlight w:val="none"/>
          <w:shd w:val="clear" w:color="auto" w:fill="FFFFFF"/>
        </w:rPr>
        <w:t>关键化学品储运及公用工程系统。</w:t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br w:type="textWrapping"/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t>2.2 </w:t>
      </w:r>
      <w:r>
        <w:rPr>
          <w:rStyle w:val="10"/>
          <w:rFonts w:ascii="Segoe UI" w:hAnsi="Segoe UI" w:eastAsia="Segoe UI" w:cs="Segoe UI"/>
          <w:b w:val="0"/>
          <w:color w:val="0F1115"/>
          <w:sz w:val="19"/>
          <w:szCs w:val="19"/>
          <w:shd w:val="clear" w:color="auto" w:fill="FFFFFF"/>
        </w:rPr>
        <w:t>节点划分原则</w:t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t>：乙方应根据甲方提供的</w:t>
      </w:r>
      <w:r>
        <w:rPr>
          <w:rFonts w:hint="eastAsia" w:ascii="Segoe UI" w:hAnsi="Segoe UI" w:eastAsia="宋体" w:cs="Segoe UI"/>
          <w:color w:val="0F1115"/>
          <w:sz w:val="19"/>
          <w:szCs w:val="19"/>
          <w:shd w:val="clear" w:color="auto" w:fill="FFFFFF"/>
          <w:lang w:val="en-US" w:eastAsia="zh-CN"/>
        </w:rPr>
        <w:t>资料</w:t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t>，采用科学的节点划分方法。分析节点应包括</w:t>
      </w:r>
      <w:r>
        <w:rPr>
          <w:rStyle w:val="10"/>
          <w:rFonts w:ascii="Segoe UI" w:hAnsi="Segoe UI" w:eastAsia="Segoe UI" w:cs="Segoe UI"/>
          <w:b w:val="0"/>
          <w:color w:val="0F1115"/>
          <w:sz w:val="19"/>
          <w:szCs w:val="19"/>
          <w:shd w:val="clear" w:color="auto" w:fill="FFFFFF"/>
        </w:rPr>
        <w:t>装置间互联管线节点</w:t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t>和</w:t>
      </w:r>
      <w:r>
        <w:rPr>
          <w:rStyle w:val="10"/>
          <w:rFonts w:ascii="Segoe UI" w:hAnsi="Segoe UI" w:eastAsia="Segoe UI" w:cs="Segoe UI"/>
          <w:b w:val="0"/>
          <w:color w:val="0F1115"/>
          <w:sz w:val="19"/>
          <w:szCs w:val="19"/>
          <w:shd w:val="clear" w:color="auto" w:fill="FFFFFF"/>
        </w:rPr>
        <w:t>关键公用工程系统节点</w:t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t>。</w:t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br w:type="textWrapping"/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t>2.3 </w:t>
      </w:r>
      <w:r>
        <w:rPr>
          <w:rStyle w:val="10"/>
          <w:rFonts w:ascii="Segoe UI" w:hAnsi="Segoe UI" w:eastAsia="Segoe UI" w:cs="Segoe UI"/>
          <w:b w:val="0"/>
          <w:color w:val="0F1115"/>
          <w:sz w:val="19"/>
          <w:szCs w:val="19"/>
          <w:shd w:val="clear" w:color="auto" w:fill="FFFFFF"/>
        </w:rPr>
        <w:t>节点清单</w:t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t>：本合同约定的初步节点清单详见</w:t>
      </w:r>
      <w:r>
        <w:rPr>
          <w:rFonts w:hint="eastAsia" w:ascii="Segoe UI" w:hAnsi="Segoe UI" w:eastAsia="宋体" w:cs="Segoe UI"/>
          <w:color w:val="0F1115"/>
          <w:sz w:val="19"/>
          <w:szCs w:val="19"/>
          <w:shd w:val="clear" w:color="auto" w:fill="FFFFFF"/>
          <w:lang w:eastAsia="zh-CN"/>
        </w:rPr>
        <w:t>（</w:t>
      </w:r>
      <w:r>
        <w:rPr>
          <w:rStyle w:val="10"/>
          <w:rFonts w:ascii="Segoe UI" w:hAnsi="Segoe UI" w:eastAsia="Segoe UI" w:cs="Segoe UI"/>
          <w:b w:val="0"/>
          <w:color w:val="0F1115"/>
          <w:sz w:val="19"/>
          <w:szCs w:val="19"/>
          <w:shd w:val="clear" w:color="auto" w:fill="FFFFFF"/>
        </w:rPr>
        <w:t>附件一</w:t>
      </w:r>
      <w:r>
        <w:rPr>
          <w:rStyle w:val="10"/>
          <w:rFonts w:hint="eastAsia" w:ascii="Segoe UI" w:hAnsi="Segoe UI" w:eastAsia="宋体" w:cs="Segoe UI"/>
          <w:b w:val="0"/>
          <w:color w:val="0F1115"/>
          <w:sz w:val="19"/>
          <w:szCs w:val="19"/>
          <w:shd w:val="clear" w:color="auto" w:fill="FFFFFF"/>
          <w:lang w:eastAsia="zh-CN"/>
        </w:rPr>
        <w:t>）</w:t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t>。该清单为预估，最终节点数量可在乙方详细审查P&amp;ID后微调，但增减幅度超过</w:t>
      </w:r>
      <w:r>
        <w:rPr>
          <w:rFonts w:hint="eastAsia" w:ascii="Segoe UI" w:hAnsi="Segoe UI" w:eastAsia="宋体" w:cs="Segoe UI"/>
          <w:color w:val="0F1115"/>
          <w:sz w:val="19"/>
          <w:szCs w:val="19"/>
          <w:shd w:val="clear" w:color="auto" w:fill="FFFFFF"/>
          <w:lang w:val="en-US" w:eastAsia="zh-CN"/>
        </w:rPr>
        <w:t>2</w:t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t>0%时，合同总价应另行协商。</w:t>
      </w:r>
    </w:p>
    <w:p w14:paraId="27F00DC8">
      <w:pPr>
        <w:pStyle w:val="6"/>
        <w:widowControl/>
        <w:shd w:val="clear" w:color="auto" w:fill="FFFFFF"/>
        <w:spacing w:before="192" w:after="192"/>
        <w:rPr>
          <w:rFonts w:ascii="Segoe UI" w:hAnsi="Segoe UI" w:eastAsia="Segoe UI" w:cs="Segoe UI"/>
          <w:color w:val="0F1115"/>
          <w:sz w:val="19"/>
          <w:szCs w:val="19"/>
        </w:rPr>
      </w:pPr>
      <w:r>
        <w:rPr>
          <w:rStyle w:val="10"/>
          <w:rFonts w:ascii="Segoe UI" w:hAnsi="Segoe UI" w:eastAsia="Segoe UI" w:cs="Segoe UI"/>
          <w:bCs/>
          <w:color w:val="0F1115"/>
          <w:sz w:val="19"/>
          <w:szCs w:val="19"/>
          <w:shd w:val="clear" w:color="auto" w:fill="FFFFFF"/>
        </w:rPr>
        <w:t>第三条 乙方责任与工作要求</w:t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br w:type="textWrapping"/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t>3.1 </w:t>
      </w:r>
      <w:r>
        <w:rPr>
          <w:rStyle w:val="10"/>
          <w:rFonts w:ascii="Segoe UI" w:hAnsi="Segoe UI" w:eastAsia="Segoe UI" w:cs="Segoe UI"/>
          <w:b w:val="0"/>
          <w:color w:val="0F1115"/>
          <w:sz w:val="19"/>
          <w:szCs w:val="19"/>
          <w:shd w:val="clear" w:color="auto" w:fill="FFFFFF"/>
        </w:rPr>
        <w:t>团队资质</w:t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t>：</w:t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br w:type="textWrapping"/>
      </w:r>
      <w:r>
        <w:rPr>
          <w:rFonts w:hint="default" w:ascii="Segoe UI" w:hAnsi="Segoe UI" w:eastAsia="Segoe UI" w:cs="Segoe UI"/>
          <w:color w:val="0F1115"/>
          <w:sz w:val="19"/>
          <w:szCs w:val="19"/>
          <w:shd w:val="clear" w:color="auto" w:fill="FFFFFF"/>
        </w:rPr>
        <w:t>- </w:t>
      </w:r>
      <w:r>
        <w:rPr>
          <w:rStyle w:val="10"/>
          <w:rFonts w:hint="default" w:ascii="Segoe UI" w:hAnsi="Segoe UI" w:eastAsia="Segoe UI" w:cs="Segoe UI"/>
          <w:b w:val="0"/>
          <w:color w:val="0F1115"/>
          <w:sz w:val="19"/>
          <w:szCs w:val="19"/>
          <w:shd w:val="clear" w:color="auto" w:fill="FFFFFF"/>
        </w:rPr>
        <w:t>HAZOP主席</w:t>
      </w:r>
      <w:r>
        <w:rPr>
          <w:rFonts w:hint="default" w:ascii="Segoe UI" w:hAnsi="Segoe UI" w:eastAsia="Segoe UI" w:cs="Segoe UI"/>
          <w:color w:val="0F1115"/>
          <w:sz w:val="19"/>
          <w:szCs w:val="19"/>
          <w:shd w:val="clear" w:color="auto" w:fill="FFFFFF"/>
        </w:rPr>
        <w:t>：必须具有至少10年以上化工行业经验</w:t>
      </w:r>
      <w:r>
        <w:rPr>
          <w:rFonts w:hint="default" w:ascii="Segoe UI" w:hAnsi="Segoe UI" w:eastAsia="宋体" w:cs="Segoe UI"/>
          <w:color w:val="0F1115"/>
          <w:sz w:val="19"/>
          <w:szCs w:val="19"/>
          <w:shd w:val="clear" w:color="auto" w:fill="FFFFFF"/>
          <w:lang w:val="en-US" w:eastAsia="zh-CN"/>
        </w:rPr>
        <w:t>和</w:t>
      </w:r>
      <w:r>
        <w:rPr>
          <w:rFonts w:hint="default" w:ascii="Segoe UI" w:hAnsi="Segoe UI" w:cs="Segoe UI"/>
          <w:sz w:val="19"/>
          <w:szCs w:val="19"/>
          <w:lang w:val="en-US" w:eastAsia="zh-CN"/>
        </w:rPr>
        <w:t>氟氯相关化工行业经验</w:t>
      </w:r>
      <w:r>
        <w:rPr>
          <w:rFonts w:hint="default" w:ascii="Segoe UI" w:hAnsi="Segoe UI" w:eastAsia="Segoe UI" w:cs="Segoe UI"/>
          <w:color w:val="0F1115"/>
          <w:sz w:val="19"/>
          <w:szCs w:val="19"/>
          <w:shd w:val="clear" w:color="auto" w:fill="FFFFFF"/>
        </w:rPr>
        <w:t>，</w:t>
      </w:r>
      <w:r>
        <w:rPr>
          <w:rFonts w:hint="default" w:ascii="Segoe UI" w:hAnsi="Segoe UI" w:eastAsia="宋体" w:cs="Segoe UI"/>
          <w:color w:val="0F1115"/>
          <w:sz w:val="19"/>
          <w:szCs w:val="19"/>
          <w:shd w:val="clear" w:color="auto" w:fill="FFFFFF"/>
          <w:lang w:val="en-US" w:eastAsia="zh-CN"/>
        </w:rPr>
        <w:t>有</w:t>
      </w:r>
      <w:r>
        <w:rPr>
          <w:rFonts w:hint="default" w:ascii="Segoe UI" w:hAnsi="Segoe UI" w:eastAsia="Segoe UI" w:cs="Segoe UI"/>
          <w:color w:val="0F1115"/>
          <w:sz w:val="19"/>
          <w:szCs w:val="19"/>
          <w:shd w:val="clear" w:color="auto" w:fill="FFFFFF"/>
        </w:rPr>
        <w:t>主持过不少于</w:t>
      </w:r>
      <w:r>
        <w:rPr>
          <w:rFonts w:hint="default" w:ascii="Segoe UI" w:hAnsi="Segoe UI" w:eastAsia="宋体" w:cs="Segoe UI"/>
          <w:color w:val="0F1115"/>
          <w:sz w:val="19"/>
          <w:szCs w:val="19"/>
          <w:shd w:val="clear" w:color="auto" w:fill="FFFFFF"/>
        </w:rPr>
        <w:t>2</w:t>
      </w:r>
      <w:r>
        <w:rPr>
          <w:rFonts w:hint="default" w:ascii="Segoe UI" w:hAnsi="Segoe UI" w:eastAsia="Segoe UI" w:cs="Segoe UI"/>
          <w:color w:val="0F1115"/>
          <w:sz w:val="19"/>
          <w:szCs w:val="19"/>
          <w:shd w:val="clear" w:color="auto" w:fill="FFFFFF"/>
        </w:rPr>
        <w:t>个类似复杂程度的联合体项目HAZOP分析，并需提供资质证明供甲方审核。</w:t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br w:type="textWrapping"/>
      </w:r>
      <w:r>
        <w:rPr>
          <w:rFonts w:ascii="Segoe UI" w:hAnsi="Segoe UI" w:eastAsia="Segoe UI" w:cs="Segoe UI"/>
          <w:color w:val="0F1115"/>
          <w:sz w:val="19"/>
          <w:szCs w:val="19"/>
          <w:highlight w:val="none"/>
          <w:shd w:val="clear" w:color="auto" w:fill="FFFFFF"/>
        </w:rPr>
        <w:t>- </w:t>
      </w:r>
      <w:r>
        <w:rPr>
          <w:rStyle w:val="10"/>
          <w:rFonts w:ascii="Segoe UI" w:hAnsi="Segoe UI" w:eastAsia="Segoe UI" w:cs="Segoe UI"/>
          <w:b w:val="0"/>
          <w:color w:val="0F1115"/>
          <w:sz w:val="19"/>
          <w:szCs w:val="19"/>
          <w:highlight w:val="none"/>
          <w:shd w:val="clear" w:color="auto" w:fill="FFFFFF"/>
        </w:rPr>
        <w:t>记录</w:t>
      </w:r>
      <w:r>
        <w:rPr>
          <w:rStyle w:val="10"/>
          <w:rFonts w:hint="eastAsia" w:ascii="Segoe UI" w:hAnsi="Segoe UI" w:eastAsia="宋体" w:cs="Segoe UI"/>
          <w:b w:val="0"/>
          <w:color w:val="0F1115"/>
          <w:sz w:val="19"/>
          <w:szCs w:val="19"/>
          <w:highlight w:val="none"/>
          <w:shd w:val="clear" w:color="auto" w:fill="FFFFFF"/>
        </w:rPr>
        <w:t>员</w:t>
      </w:r>
      <w:r>
        <w:rPr>
          <w:rFonts w:ascii="Segoe UI" w:hAnsi="Segoe UI" w:eastAsia="Segoe UI" w:cs="Segoe UI"/>
          <w:color w:val="0F1115"/>
          <w:sz w:val="19"/>
          <w:szCs w:val="19"/>
          <w:highlight w:val="none"/>
          <w:shd w:val="clear" w:color="auto" w:fill="FFFFFF"/>
        </w:rPr>
        <w:t>：应熟练使用专业的HAZOP分析软件（如PHA-Pro等），确保记录准确、高效。</w:t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br w:type="textWrapping"/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t>3.2 </w:t>
      </w:r>
      <w:r>
        <w:rPr>
          <w:rStyle w:val="10"/>
          <w:rFonts w:ascii="Segoe UI" w:hAnsi="Segoe UI" w:eastAsia="Segoe UI" w:cs="Segoe UI"/>
          <w:b w:val="0"/>
          <w:color w:val="0F1115"/>
          <w:sz w:val="19"/>
          <w:szCs w:val="19"/>
          <w:shd w:val="clear" w:color="auto" w:fill="FFFFFF"/>
        </w:rPr>
        <w:t>分析方法</w:t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t>：</w:t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br w:type="textWrapping"/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t>- 乙方须使用甲方认可的偏差引导词库和风险矩阵</w:t>
      </w:r>
      <w:r>
        <w:rPr>
          <w:rFonts w:hint="eastAsia" w:ascii="Segoe UI" w:hAnsi="Segoe UI" w:eastAsia="宋体" w:cs="Segoe UI"/>
          <w:color w:val="0F1115"/>
          <w:sz w:val="19"/>
          <w:szCs w:val="19"/>
          <w:shd w:val="clear" w:color="auto" w:fill="FFFFFF"/>
          <w:lang w:eastAsia="zh-CN"/>
        </w:rPr>
        <w:t>。</w:t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br w:type="textWrapping"/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t>- 分析</w:t>
      </w:r>
      <w:r>
        <w:rPr>
          <w:rFonts w:hint="eastAsia" w:ascii="Segoe UI" w:hAnsi="Segoe UI" w:eastAsia="宋体" w:cs="Segoe UI"/>
          <w:color w:val="0F1115"/>
          <w:sz w:val="19"/>
          <w:szCs w:val="19"/>
          <w:shd w:val="clear" w:color="auto" w:fill="FFFFFF"/>
        </w:rPr>
        <w:t>过程中必要时需</w:t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t>涵盖</w:t>
      </w:r>
      <w:r>
        <w:rPr>
          <w:rStyle w:val="10"/>
          <w:rFonts w:ascii="Segoe UI" w:hAnsi="Segoe UI" w:eastAsia="Segoe UI" w:cs="Segoe UI"/>
          <w:b w:val="0"/>
          <w:color w:val="0F1115"/>
          <w:sz w:val="19"/>
          <w:szCs w:val="19"/>
          <w:shd w:val="clear" w:color="auto" w:fill="FFFFFF"/>
        </w:rPr>
        <w:t>装置内部的工艺偏差</w:t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t>，并</w:t>
      </w:r>
      <w:r>
        <w:rPr>
          <w:rStyle w:val="10"/>
          <w:rFonts w:ascii="Segoe UI" w:hAnsi="Segoe UI" w:eastAsia="Segoe UI" w:cs="Segoe UI"/>
          <w:b w:val="0"/>
          <w:color w:val="0F1115"/>
          <w:sz w:val="19"/>
          <w:szCs w:val="19"/>
          <w:shd w:val="clear" w:color="auto" w:fill="FFFFFF"/>
        </w:rPr>
        <w:t>重点分析装置间互联互供的界面风险</w:t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t>（如上游供应中断、质量偏差、压力异常对下游的影响等）。</w:t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br w:type="textWrapping"/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t>3.3 </w:t>
      </w:r>
      <w:r>
        <w:rPr>
          <w:rStyle w:val="10"/>
          <w:rFonts w:ascii="Segoe UI" w:hAnsi="Segoe UI" w:eastAsia="Segoe UI" w:cs="Segoe UI"/>
          <w:b w:val="0"/>
          <w:color w:val="0F1115"/>
          <w:sz w:val="19"/>
          <w:szCs w:val="19"/>
          <w:shd w:val="clear" w:color="auto" w:fill="FFFFFF"/>
        </w:rPr>
        <w:t>会议组织</w:t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t>：</w:t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br w:type="textWrapping"/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t>- 乙方负责制定详细的HAZOP分析计划。</w:t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br w:type="textWrapping"/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t>- 甲方负责提供合适的会议场地、必要的P&amp;ID等设计文件电子版，并组织相关工艺、设备、仪表、操作等专业人员全程参与分析会议。</w:t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br w:type="textWrapping"/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t>- 乙方主席负责引导会议，确保分析深度和效率。</w:t>
      </w:r>
    </w:p>
    <w:p w14:paraId="4FE22055">
      <w:pPr>
        <w:pStyle w:val="6"/>
        <w:widowControl/>
        <w:shd w:val="clear" w:color="auto" w:fill="FFFFFF"/>
        <w:spacing w:before="192" w:after="192"/>
        <w:rPr>
          <w:rFonts w:ascii="Segoe UI" w:hAnsi="Segoe UI" w:eastAsia="Segoe UI" w:cs="Segoe UI"/>
          <w:color w:val="0F1115"/>
          <w:sz w:val="19"/>
          <w:szCs w:val="19"/>
        </w:rPr>
      </w:pPr>
      <w:r>
        <w:rPr>
          <w:rStyle w:val="10"/>
          <w:rFonts w:ascii="Segoe UI" w:hAnsi="Segoe UI" w:eastAsia="Segoe UI" w:cs="Segoe UI"/>
          <w:bCs/>
          <w:color w:val="0F1115"/>
          <w:sz w:val="19"/>
          <w:szCs w:val="19"/>
          <w:shd w:val="clear" w:color="auto" w:fill="FFFFFF"/>
        </w:rPr>
        <w:t>第四条 甲方责任</w:t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br w:type="textWrapping"/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t>4.1 甲方应提供完整、准确的最新版设计文件（P&amp;ID、PFD、物料平衡表、设备数据表等）。</w:t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br w:type="textWrapping"/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t>4.2 甲方应确保其参与分析会议的人员具备相应的专业知识，并能全程投入。</w:t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br w:type="textWrapping"/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t>4.3 甲方应指派一名项目协调人，负责与乙方的日常沟通和协调。</w:t>
      </w:r>
    </w:p>
    <w:p w14:paraId="18E0CE14">
      <w:pPr>
        <w:pStyle w:val="6"/>
        <w:widowControl/>
        <w:shd w:val="clear" w:color="auto" w:fill="FFFFFF"/>
        <w:spacing w:before="192" w:after="192"/>
        <w:rPr>
          <w:rFonts w:ascii="Segoe UI" w:hAnsi="Segoe UI" w:eastAsia="Segoe UI" w:cs="Segoe UI"/>
          <w:color w:val="0F1115"/>
          <w:sz w:val="19"/>
          <w:szCs w:val="19"/>
        </w:rPr>
      </w:pPr>
      <w:r>
        <w:rPr>
          <w:rStyle w:val="10"/>
          <w:rFonts w:ascii="Segoe UI" w:hAnsi="Segoe UI" w:eastAsia="Segoe UI" w:cs="Segoe UI"/>
          <w:bCs/>
          <w:color w:val="0F1115"/>
          <w:sz w:val="19"/>
          <w:szCs w:val="19"/>
          <w:shd w:val="clear" w:color="auto" w:fill="FFFFFF"/>
        </w:rPr>
        <w:t>第五条 交付成果</w:t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br w:type="textWrapping"/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t>乙方需向甲方提交以下交付物：</w:t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br w:type="textWrapping"/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t>5.1 </w:t>
      </w:r>
      <w:r>
        <w:rPr>
          <w:rStyle w:val="10"/>
          <w:rFonts w:ascii="Segoe UI" w:hAnsi="Segoe UI" w:eastAsia="Segoe UI" w:cs="Segoe UI"/>
          <w:b w:val="0"/>
          <w:color w:val="0F1115"/>
          <w:sz w:val="19"/>
          <w:szCs w:val="19"/>
          <w:shd w:val="clear" w:color="auto" w:fill="FFFFFF"/>
        </w:rPr>
        <w:t>HAZOP分析计划书</w:t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t>。</w:t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br w:type="textWrapping"/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t>5.2 </w:t>
      </w:r>
      <w:r>
        <w:rPr>
          <w:rStyle w:val="10"/>
          <w:rFonts w:ascii="Segoe UI" w:hAnsi="Segoe UI" w:eastAsia="Segoe UI" w:cs="Segoe UI"/>
          <w:b w:val="0"/>
          <w:color w:val="0F1115"/>
          <w:sz w:val="19"/>
          <w:szCs w:val="19"/>
          <w:shd w:val="clear" w:color="auto" w:fill="FFFFFF"/>
        </w:rPr>
        <w:t>完整的HAZOP分析会议记录电子版</w:t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t>（需使用专业软件生成，便于查询和管理）。</w:t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br w:type="textWrapping"/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t>5.3 </w:t>
      </w:r>
      <w:r>
        <w:rPr>
          <w:rStyle w:val="10"/>
          <w:rFonts w:ascii="Segoe UI" w:hAnsi="Segoe UI" w:eastAsia="Segoe UI" w:cs="Segoe UI"/>
          <w:b w:val="0"/>
          <w:color w:val="0F1115"/>
          <w:sz w:val="19"/>
          <w:szCs w:val="19"/>
          <w:shd w:val="clear" w:color="auto" w:fill="FFFFFF"/>
        </w:rPr>
        <w:t>正式的HAZOP分析报告</w:t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t>，内容至少包括：</w:t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br w:type="textWrapping"/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t>- 执行摘要</w:t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br w:type="textWrapping"/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t>- 分析方法说明（包括风险矩阵）</w:t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br w:type="textWrapping"/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t>- 分析偏差汇总统计</w:t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br w:type="textWrapping"/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t>- </w:t>
      </w:r>
      <w:r>
        <w:rPr>
          <w:rStyle w:val="10"/>
          <w:rFonts w:ascii="Segoe UI" w:hAnsi="Segoe UI" w:eastAsia="Segoe UI" w:cs="Segoe UI"/>
          <w:b w:val="0"/>
          <w:color w:val="0F1115"/>
          <w:sz w:val="19"/>
          <w:szCs w:val="19"/>
          <w:shd w:val="clear" w:color="auto" w:fill="FFFFFF"/>
        </w:rPr>
        <w:t>所有识别出的危险场景、后果、现有安全措施、风险等级及建议措施清单</w:t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br w:type="textWrapping"/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t>5.4 </w:t>
      </w:r>
      <w:r>
        <w:rPr>
          <w:rStyle w:val="10"/>
          <w:rFonts w:ascii="Segoe UI" w:hAnsi="Segoe UI" w:eastAsia="Segoe UI" w:cs="Segoe UI"/>
          <w:b w:val="0"/>
          <w:color w:val="0F1115"/>
          <w:sz w:val="19"/>
          <w:szCs w:val="19"/>
          <w:shd w:val="clear" w:color="auto" w:fill="FFFFFF"/>
        </w:rPr>
        <w:t>建议措施追踪表</w:t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t>（Excel格式），并协助甲方进行建议措施的关闭与验证。</w:t>
      </w:r>
    </w:p>
    <w:p w14:paraId="47A77358">
      <w:pPr>
        <w:pStyle w:val="6"/>
        <w:widowControl/>
        <w:shd w:val="clear" w:color="auto" w:fill="FFFFFF"/>
        <w:spacing w:before="192" w:after="192"/>
        <w:rPr>
          <w:rFonts w:ascii="Segoe UI" w:hAnsi="Segoe UI" w:eastAsia="Segoe UI" w:cs="Segoe UI"/>
          <w:color w:val="0F1115"/>
          <w:sz w:val="19"/>
          <w:szCs w:val="19"/>
        </w:rPr>
      </w:pPr>
      <w:r>
        <w:rPr>
          <w:rStyle w:val="10"/>
          <w:rFonts w:ascii="Segoe UI" w:hAnsi="Segoe UI" w:eastAsia="Segoe UI" w:cs="Segoe UI"/>
          <w:bCs/>
          <w:color w:val="0F1115"/>
          <w:sz w:val="19"/>
          <w:szCs w:val="19"/>
          <w:shd w:val="clear" w:color="auto" w:fill="FFFFFF"/>
        </w:rPr>
        <w:t>第六条 验收标准</w:t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br w:type="textWrapping"/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t>6.1 甲方将在收到最终报告后15个工作日内组织验收。</w:t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br w:type="textWrapping"/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t>6.2 验收标准如下：</w:t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br w:type="textWrapping"/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t>- 报告内容完整，符合本协议第五条规定。</w:t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br w:type="textWrapping"/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t>- 分析覆盖了约定的所有节点。</w:t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br w:type="textWrapping"/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t>- 识别出的危险场景描述清晰，建议措施具体、可行。</w:t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br w:type="textWrapping"/>
      </w:r>
      <w:r>
        <w:rPr>
          <w:rFonts w:ascii="Segoe UI" w:hAnsi="Segoe UI" w:eastAsia="Segoe UI" w:cs="Segoe UI"/>
          <w:color w:val="0F1115"/>
          <w:sz w:val="19"/>
          <w:szCs w:val="19"/>
          <w:shd w:val="clear" w:color="auto" w:fill="FFFFFF"/>
        </w:rPr>
        <w:t>- 会议记录准确反映了分析讨论过程。</w:t>
      </w:r>
    </w:p>
    <w:p w14:paraId="3A27C2DA">
      <w:pPr>
        <w:widowControl/>
        <w:spacing w:before="384" w:after="384"/>
        <w:rPr>
          <w:rFonts w:ascii="Segoe UI" w:hAnsi="Segoe UI" w:eastAsia="Segoe UI" w:cs="Segoe UI"/>
          <w:b/>
          <w:bCs/>
          <w:color w:val="0F1115"/>
          <w:sz w:val="24"/>
        </w:rPr>
      </w:pPr>
      <w:r>
        <w:rPr>
          <w:rStyle w:val="10"/>
          <w:rFonts w:ascii="Segoe UI" w:hAnsi="Segoe UI" w:eastAsia="Segoe UI" w:cs="Segoe UI"/>
          <w:color w:val="0F1115"/>
          <w:sz w:val="24"/>
          <w:shd w:val="clear" w:color="auto" w:fill="FFFFFF"/>
        </w:rPr>
        <w:t>关键附件清单</w:t>
      </w:r>
    </w:p>
    <w:p w14:paraId="28317BE6">
      <w:pPr>
        <w:pStyle w:val="6"/>
        <w:widowControl/>
      </w:pPr>
      <w:r>
        <w:rPr>
          <w:rStyle w:val="10"/>
          <w:rFonts w:ascii="Segoe UI" w:hAnsi="Segoe UI" w:eastAsia="Segoe UI" w:cs="Segoe UI"/>
          <w:bCs/>
          <w:color w:val="0F1115"/>
          <w:sz w:val="19"/>
          <w:szCs w:val="19"/>
          <w:shd w:val="clear" w:color="auto" w:fill="FFFFFF"/>
        </w:rPr>
        <w:t>附件一：《HAZOP分析节点清单</w:t>
      </w:r>
      <w:r>
        <w:rPr>
          <w:rStyle w:val="10"/>
          <w:rFonts w:hint="eastAsia" w:ascii="Segoe UI" w:hAnsi="Segoe UI" w:eastAsia="宋体" w:cs="Segoe UI"/>
          <w:bCs/>
          <w:color w:val="0F1115"/>
          <w:sz w:val="19"/>
          <w:szCs w:val="19"/>
          <w:shd w:val="clear" w:color="auto" w:fill="FFFFFF"/>
        </w:rPr>
        <w:t>与工作量预估表</w:t>
      </w:r>
      <w:r>
        <w:rPr>
          <w:rStyle w:val="10"/>
          <w:rFonts w:ascii="Segoe UI" w:hAnsi="Segoe UI" w:eastAsia="Segoe UI" w:cs="Segoe UI"/>
          <w:bCs/>
          <w:color w:val="0F1115"/>
          <w:sz w:val="19"/>
          <w:szCs w:val="19"/>
          <w:shd w:val="clear" w:color="auto" w:fill="FFFFFF"/>
        </w:rPr>
        <w:t>》</w:t>
      </w:r>
    </w:p>
    <w:p w14:paraId="7E2575A1">
      <w:pPr>
        <w:pStyle w:val="6"/>
        <w:widowControl/>
      </w:pPr>
      <w:r>
        <w:rPr>
          <w:rStyle w:val="10"/>
          <w:rFonts w:ascii="Segoe UI" w:hAnsi="Segoe UI" w:eastAsia="Segoe UI" w:cs="Segoe UI"/>
          <w:bCs/>
          <w:color w:val="0F1115"/>
          <w:sz w:val="19"/>
          <w:szCs w:val="19"/>
          <w:shd w:val="clear" w:color="auto" w:fill="FFFFFF"/>
        </w:rPr>
        <w:t>附件二：《风险矩阵与引导词定义》</w:t>
      </w:r>
    </w:p>
    <w:p w14:paraId="4690F020">
      <w:pPr>
        <w:pStyle w:val="6"/>
        <w:widowControl/>
      </w:pPr>
      <w:r>
        <w:rPr>
          <w:rStyle w:val="10"/>
          <w:rFonts w:ascii="Segoe UI" w:hAnsi="Segoe UI" w:eastAsia="Segoe UI" w:cs="Segoe UI"/>
          <w:bCs/>
          <w:color w:val="0F1115"/>
          <w:sz w:val="19"/>
          <w:szCs w:val="19"/>
          <w:shd w:val="clear" w:color="auto" w:fill="FFFFFF"/>
        </w:rPr>
        <w:t>附件三：《乙方项目团队主要成员简历与资质证明》</w:t>
      </w:r>
    </w:p>
    <w:p w14:paraId="6CB00E90">
      <w:pPr>
        <w:pStyle w:val="6"/>
        <w:widowControl/>
      </w:pPr>
      <w:r>
        <w:rPr>
          <w:rStyle w:val="10"/>
          <w:rFonts w:ascii="Segoe UI" w:hAnsi="Segoe UI" w:eastAsia="Segoe UI" w:cs="Segoe UI"/>
          <w:bCs/>
          <w:color w:val="0F1115"/>
          <w:sz w:val="19"/>
          <w:szCs w:val="19"/>
          <w:shd w:val="clear" w:color="auto" w:fill="FFFFFF"/>
        </w:rPr>
        <w:t>附件四：《</w:t>
      </w:r>
      <w:r>
        <w:rPr>
          <w:rStyle w:val="10"/>
          <w:rFonts w:hint="eastAsia" w:ascii="Segoe UI" w:hAnsi="Segoe UI" w:eastAsia="宋体" w:cs="Segoe UI"/>
          <w:bCs/>
          <w:color w:val="0F1115"/>
          <w:sz w:val="19"/>
          <w:szCs w:val="19"/>
          <w:shd w:val="clear" w:color="auto" w:fill="FFFFFF"/>
          <w:lang w:val="en-US" w:eastAsia="zh-CN"/>
        </w:rPr>
        <w:t>需</w:t>
      </w:r>
      <w:r>
        <w:rPr>
          <w:rStyle w:val="10"/>
          <w:rFonts w:ascii="Segoe UI" w:hAnsi="Segoe UI" w:eastAsia="Segoe UI" w:cs="Segoe UI"/>
          <w:bCs/>
          <w:color w:val="0F1115"/>
          <w:sz w:val="19"/>
          <w:szCs w:val="19"/>
          <w:shd w:val="clear" w:color="auto" w:fill="FFFFFF"/>
        </w:rPr>
        <w:t>甲方提供的设计文件清单》</w:t>
      </w:r>
    </w:p>
    <w:p w14:paraId="44EC95DC">
      <w:pPr>
        <w:pStyle w:val="6"/>
        <w:widowControl/>
      </w:pPr>
      <w:r>
        <w:rPr>
          <w:rStyle w:val="10"/>
          <w:rFonts w:ascii="Segoe UI" w:hAnsi="Segoe UI" w:eastAsia="Segoe UI" w:cs="Segoe UI"/>
          <w:bCs/>
          <w:color w:val="0F1115"/>
          <w:sz w:val="19"/>
          <w:szCs w:val="19"/>
          <w:shd w:val="clear" w:color="auto" w:fill="FFFFFF"/>
        </w:rPr>
        <w:t>附件五：《项目进度计划表》</w:t>
      </w:r>
    </w:p>
    <w:p w14:paraId="206AC1BF">
      <w:pPr>
        <w:widowControl/>
        <w:spacing w:before="72" w:afterAutospacing="1"/>
        <w:rPr>
          <w:rFonts w:hint="default" w:ascii="Segoe UI" w:hAnsi="Segoe UI" w:cs="Segoe UI" w:eastAsiaTheme="minorEastAsia"/>
          <w:b/>
          <w:bCs/>
          <w:sz w:val="19"/>
          <w:szCs w:val="19"/>
          <w:lang w:val="en-US" w:eastAsia="zh-CN"/>
        </w:rPr>
      </w:pPr>
      <w:r>
        <w:rPr>
          <w:rFonts w:hint="default" w:ascii="Segoe UI" w:hAnsi="Segoe UI" w:cs="Segoe UI"/>
          <w:b/>
          <w:bCs/>
          <w:sz w:val="19"/>
          <w:szCs w:val="19"/>
          <w:lang w:val="en-US" w:eastAsia="zh-CN"/>
        </w:rPr>
        <w:t>备注：附件二、附件三、附件四、附件五</w:t>
      </w:r>
      <w:r>
        <w:rPr>
          <w:rFonts w:hint="eastAsia" w:ascii="Segoe UI" w:hAnsi="Segoe UI" w:cs="Segoe UI"/>
          <w:b/>
          <w:bCs/>
          <w:sz w:val="19"/>
          <w:szCs w:val="19"/>
          <w:lang w:val="en-US" w:eastAsia="zh-CN"/>
        </w:rPr>
        <w:t>需</w:t>
      </w:r>
      <w:r>
        <w:rPr>
          <w:rFonts w:hint="default" w:ascii="Segoe UI" w:hAnsi="Segoe UI" w:cs="Segoe UI"/>
          <w:b/>
          <w:bCs/>
          <w:sz w:val="19"/>
          <w:szCs w:val="19"/>
          <w:lang w:val="en-US" w:eastAsia="zh-CN"/>
        </w:rPr>
        <w:t>乙方提供。</w:t>
      </w:r>
      <w:bookmarkStart w:id="1" w:name="_GoBack"/>
      <w:bookmarkEnd w:id="1"/>
    </w:p>
    <w:p w14:paraId="45A03A75">
      <w:pPr>
        <w:widowControl/>
        <w:spacing w:before="384" w:after="384"/>
        <w:rPr>
          <w:rFonts w:ascii="Segoe UI" w:hAnsi="Segoe UI" w:eastAsia="Segoe UI" w:cs="Segoe UI"/>
          <w:sz w:val="19"/>
          <w:szCs w:val="19"/>
        </w:rPr>
      </w:pPr>
      <w:r>
        <w:pict>
          <v:rect id="_x0000_i1025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51AB4579"/>
    <w:p w14:paraId="6931B450"/>
    <w:p w14:paraId="4966C0E0"/>
    <w:p w14:paraId="73ECB4D0"/>
    <w:p w14:paraId="5A283B63"/>
    <w:p w14:paraId="11527808"/>
    <w:p w14:paraId="5A21C1F2"/>
    <w:p w14:paraId="58459D7C"/>
    <w:p w14:paraId="46F5EB95"/>
    <w:p w14:paraId="12E205B6"/>
    <w:p w14:paraId="23C0F128"/>
    <w:p w14:paraId="4FC1717C"/>
    <w:p w14:paraId="29BF722B"/>
    <w:p w14:paraId="0633661F"/>
    <w:p w14:paraId="6A542457"/>
    <w:p w14:paraId="2FEA80F9"/>
    <w:p w14:paraId="6D5CCEDC">
      <w:pPr>
        <w:pStyle w:val="11"/>
        <w:jc w:val="center"/>
        <w:rPr>
          <w:rFonts w:hint="eastAsia" w:ascii="黑体" w:hAnsi="黑体" w:eastAsia="黑体" w:cs="黑体"/>
          <w:b/>
          <w:bCs/>
          <w:sz w:val="21"/>
          <w:szCs w:val="21"/>
        </w:rPr>
      </w:pPr>
      <w:r>
        <w:rPr>
          <w:rStyle w:val="10"/>
          <w:rFonts w:hint="eastAsia" w:ascii="黑体" w:hAnsi="黑体" w:eastAsia="黑体" w:cs="黑体"/>
          <w:b/>
          <w:bCs/>
          <w:color w:val="0F1115"/>
          <w:sz w:val="21"/>
          <w:szCs w:val="21"/>
          <w:shd w:val="clear" w:color="auto" w:fill="FFFFFF"/>
        </w:rPr>
        <w:t>装置间界面HAZOP分析节点清单与工作量预估表</w:t>
      </w:r>
    </w:p>
    <w:tbl>
      <w:tblPr>
        <w:tblStyle w:val="8"/>
        <w:tblW w:w="10560" w:type="dxa"/>
        <w:tblInd w:w="-94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"/>
        <w:gridCol w:w="971"/>
        <w:gridCol w:w="3066"/>
        <w:gridCol w:w="1287"/>
        <w:gridCol w:w="1592"/>
        <w:gridCol w:w="710"/>
        <w:gridCol w:w="992"/>
        <w:gridCol w:w="1506"/>
      </w:tblGrid>
      <w:tr w14:paraId="670B86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36" w:type="dxa"/>
            <w:vAlign w:val="center"/>
          </w:tcPr>
          <w:p w14:paraId="33BE05C2">
            <w:pPr>
              <w:pStyle w:val="11"/>
              <w:jc w:val="center"/>
              <w:rPr>
                <w:rFonts w:hint="eastAsia" w:ascii="微软雅黑" w:hAnsi="微软雅黑" w:eastAsia="微软雅黑" w:cs="微软雅黑"/>
                <w:b/>
                <w:bCs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</w:rPr>
              <w:t>序号</w:t>
            </w:r>
          </w:p>
        </w:tc>
        <w:tc>
          <w:tcPr>
            <w:tcW w:w="971" w:type="dxa"/>
            <w:vAlign w:val="center"/>
          </w:tcPr>
          <w:p w14:paraId="46AFE7A1">
            <w:pPr>
              <w:pStyle w:val="11"/>
              <w:jc w:val="center"/>
              <w:rPr>
                <w:rFonts w:hint="eastAsia" w:ascii="微软雅黑" w:hAnsi="微软雅黑" w:eastAsia="微软雅黑" w:cs="微软雅黑"/>
                <w:b/>
                <w:bCs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F1115"/>
                <w:shd w:val="clear" w:color="auto" w:fill="FFFFFF"/>
              </w:rPr>
              <w:t>界面节点类别</w:t>
            </w:r>
          </w:p>
        </w:tc>
        <w:tc>
          <w:tcPr>
            <w:tcW w:w="3066" w:type="dxa"/>
            <w:vAlign w:val="center"/>
          </w:tcPr>
          <w:p w14:paraId="7F88D135">
            <w:pPr>
              <w:pStyle w:val="11"/>
              <w:ind w:left="178" w:leftChars="85"/>
              <w:jc w:val="center"/>
              <w:rPr>
                <w:rFonts w:hint="eastAsia" w:ascii="微软雅黑" w:hAnsi="微软雅黑" w:eastAsia="微软雅黑" w:cs="微软雅黑"/>
                <w:b/>
                <w:bCs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F1115"/>
                <w:shd w:val="clear" w:color="auto" w:fill="FFFFFF"/>
              </w:rPr>
              <w:t>界面节点描述                  (上游 → 下游)</w:t>
            </w:r>
          </w:p>
        </w:tc>
        <w:tc>
          <w:tcPr>
            <w:tcW w:w="1287" w:type="dxa"/>
            <w:vAlign w:val="center"/>
          </w:tcPr>
          <w:p w14:paraId="4DEF03B3">
            <w:pPr>
              <w:pStyle w:val="11"/>
              <w:jc w:val="center"/>
              <w:rPr>
                <w:rFonts w:hint="eastAsia" w:ascii="微软雅黑" w:hAnsi="微软雅黑" w:eastAsia="微软雅黑" w:cs="微软雅黑"/>
                <w:b/>
                <w:bCs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F1115"/>
                <w:shd w:val="clear" w:color="auto" w:fill="FFFFFF"/>
              </w:rPr>
              <w:t>介质</w:t>
            </w:r>
          </w:p>
        </w:tc>
        <w:tc>
          <w:tcPr>
            <w:tcW w:w="1592" w:type="dxa"/>
            <w:vAlign w:val="center"/>
          </w:tcPr>
          <w:p w14:paraId="3525D39D">
            <w:pPr>
              <w:pStyle w:val="11"/>
              <w:jc w:val="center"/>
              <w:rPr>
                <w:rFonts w:hint="eastAsia" w:ascii="微软雅黑" w:hAnsi="微软雅黑" w:eastAsia="微软雅黑" w:cs="微软雅黑"/>
                <w:b/>
                <w:bCs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</w:rPr>
              <w:t>关键风险点</w:t>
            </w:r>
          </w:p>
        </w:tc>
        <w:tc>
          <w:tcPr>
            <w:tcW w:w="710" w:type="dxa"/>
            <w:vAlign w:val="center"/>
          </w:tcPr>
          <w:p w14:paraId="6D6529A8">
            <w:pPr>
              <w:pStyle w:val="11"/>
              <w:jc w:val="center"/>
              <w:rPr>
                <w:rFonts w:hint="eastAsia" w:ascii="微软雅黑" w:hAnsi="微软雅黑" w:eastAsia="微软雅黑" w:cs="微软雅黑"/>
                <w:b/>
                <w:bCs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</w:rPr>
              <w:t>预估节点（个）</w:t>
            </w:r>
          </w:p>
        </w:tc>
        <w:tc>
          <w:tcPr>
            <w:tcW w:w="992" w:type="dxa"/>
            <w:vAlign w:val="center"/>
          </w:tcPr>
          <w:p w14:paraId="630D6D2E">
            <w:pPr>
              <w:pStyle w:val="11"/>
              <w:ind w:left="181" w:hanging="180" w:hangingChars="100"/>
              <w:rPr>
                <w:rFonts w:hint="eastAsia" w:ascii="微软雅黑" w:hAnsi="微软雅黑" w:eastAsia="微软雅黑" w:cs="微软雅黑"/>
                <w:b/>
                <w:bCs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F1115"/>
                <w:shd w:val="clear" w:color="auto" w:fill="FFFFFF"/>
              </w:rPr>
              <w:t>预估分析时长</w:t>
            </w:r>
          </w:p>
        </w:tc>
        <w:tc>
          <w:tcPr>
            <w:tcW w:w="1506" w:type="dxa"/>
            <w:vAlign w:val="center"/>
          </w:tcPr>
          <w:p w14:paraId="088DC61A">
            <w:pPr>
              <w:pStyle w:val="11"/>
              <w:jc w:val="center"/>
              <w:rPr>
                <w:rFonts w:hint="eastAsia" w:ascii="微软雅黑" w:hAnsi="微软雅黑" w:eastAsia="微软雅黑" w:cs="微软雅黑"/>
                <w:b/>
                <w:bCs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</w:rPr>
              <w:t>备注</w:t>
            </w:r>
          </w:p>
        </w:tc>
      </w:tr>
      <w:tr w14:paraId="296926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52" w:type="dxa"/>
            <w:gridSpan w:val="5"/>
          </w:tcPr>
          <w:p w14:paraId="09D0C63F">
            <w:pPr>
              <w:pStyle w:val="11"/>
              <w:rPr>
                <w:rStyle w:val="10"/>
                <w:rFonts w:hint="eastAsia" w:ascii="微软雅黑" w:hAnsi="微软雅黑" w:eastAsia="微软雅黑" w:cs="微软雅黑"/>
                <w:bCs/>
                <w:color w:val="0F1115"/>
                <w:highlight w:val="green"/>
                <w:shd w:val="clear" w:color="auto" w:fill="FFFFFF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bCs/>
                <w:color w:val="0F1115"/>
                <w:highlight w:val="green"/>
                <w:shd w:val="clear" w:color="auto" w:fill="FFFFFF"/>
              </w:rPr>
              <w:t>A. 核心工艺物料互联节点</w:t>
            </w:r>
          </w:p>
        </w:tc>
        <w:tc>
          <w:tcPr>
            <w:tcW w:w="3208" w:type="dxa"/>
            <w:gridSpan w:val="3"/>
          </w:tcPr>
          <w:p w14:paraId="38724D64">
            <w:pPr>
              <w:pStyle w:val="11"/>
              <w:rPr>
                <w:rStyle w:val="10"/>
                <w:rFonts w:hint="eastAsia" w:ascii="微软雅黑" w:hAnsi="微软雅黑" w:eastAsia="微软雅黑" w:cs="微软雅黑"/>
                <w:bCs/>
                <w:color w:val="0F1115"/>
                <w:highlight w:val="green"/>
                <w:shd w:val="clear" w:color="auto" w:fill="FFFFFF"/>
              </w:rPr>
            </w:pPr>
          </w:p>
        </w:tc>
      </w:tr>
      <w:tr w14:paraId="627751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" w:type="dxa"/>
            <w:vAlign w:val="center"/>
          </w:tcPr>
          <w:p w14:paraId="5BA9210D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971" w:type="dxa"/>
            <w:vAlign w:val="center"/>
          </w:tcPr>
          <w:p w14:paraId="199CC864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工艺物料</w:t>
            </w:r>
          </w:p>
        </w:tc>
        <w:tc>
          <w:tcPr>
            <w:tcW w:w="3066" w:type="dxa"/>
            <w:vAlign w:val="center"/>
          </w:tcPr>
          <w:p w14:paraId="10A6E7DB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烧碱装置 → 甲烷氯化物/R1234yf装置</w:t>
            </w:r>
          </w:p>
        </w:tc>
        <w:tc>
          <w:tcPr>
            <w:tcW w:w="1287" w:type="dxa"/>
            <w:vAlign w:val="center"/>
          </w:tcPr>
          <w:p w14:paraId="1B05C565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b w:val="0"/>
                <w:color w:val="0F1115"/>
                <w:sz w:val="18"/>
                <w:szCs w:val="18"/>
                <w:shd w:val="clear" w:color="auto" w:fill="FFFFFF"/>
              </w:rPr>
              <w:t>氯气（Cl2）输送管线</w:t>
            </w:r>
          </w:p>
        </w:tc>
        <w:tc>
          <w:tcPr>
            <w:tcW w:w="1592" w:type="dxa"/>
            <w:vAlign w:val="center"/>
          </w:tcPr>
          <w:p w14:paraId="02A73208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供应中断、压力波动、毒性泄漏</w:t>
            </w:r>
          </w:p>
        </w:tc>
        <w:tc>
          <w:tcPr>
            <w:tcW w:w="710" w:type="dxa"/>
            <w:vAlign w:val="center"/>
          </w:tcPr>
          <w:p w14:paraId="6F0029C6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92" w:type="dxa"/>
            <w:vAlign w:val="center"/>
          </w:tcPr>
          <w:p w14:paraId="539747E5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sz w:val="18"/>
                <w:szCs w:val="18"/>
              </w:rPr>
              <w:t>4</w:t>
            </w:r>
          </w:p>
        </w:tc>
        <w:tc>
          <w:tcPr>
            <w:tcW w:w="1506" w:type="dxa"/>
            <w:vAlign w:val="center"/>
          </w:tcPr>
          <w:p w14:paraId="4ED51120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极高危介质</w:t>
            </w:r>
          </w:p>
        </w:tc>
      </w:tr>
      <w:tr w14:paraId="57D8EF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" w:type="dxa"/>
            <w:vAlign w:val="center"/>
          </w:tcPr>
          <w:p w14:paraId="1C9BB51E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71" w:type="dxa"/>
            <w:vAlign w:val="center"/>
          </w:tcPr>
          <w:p w14:paraId="219D0CB7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工艺物料</w:t>
            </w:r>
          </w:p>
        </w:tc>
        <w:tc>
          <w:tcPr>
            <w:tcW w:w="3066" w:type="dxa"/>
            <w:vAlign w:val="center"/>
          </w:tcPr>
          <w:p w14:paraId="6F2CDD67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外部/储运 → 一氯甲烷装置</w:t>
            </w:r>
          </w:p>
        </w:tc>
        <w:tc>
          <w:tcPr>
            <w:tcW w:w="1287" w:type="dxa"/>
            <w:vAlign w:val="center"/>
          </w:tcPr>
          <w:p w14:paraId="5666021A">
            <w:pPr>
              <w:widowControl/>
              <w:spacing w:line="300" w:lineRule="atLeast"/>
              <w:jc w:val="left"/>
              <w:rPr>
                <w:rStyle w:val="10"/>
                <w:rFonts w:hint="eastAsia" w:ascii="微软雅黑" w:hAnsi="微软雅黑" w:eastAsia="微软雅黑" w:cs="微软雅黑"/>
                <w:bCs/>
                <w:color w:val="0F1115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甲醇输送管线</w:t>
            </w:r>
          </w:p>
        </w:tc>
        <w:tc>
          <w:tcPr>
            <w:tcW w:w="1592" w:type="dxa"/>
            <w:vAlign w:val="center"/>
          </w:tcPr>
          <w:p w14:paraId="3E5AAB5F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供应中断、质量偏差</w:t>
            </w:r>
          </w:p>
        </w:tc>
        <w:tc>
          <w:tcPr>
            <w:tcW w:w="710" w:type="dxa"/>
            <w:vAlign w:val="center"/>
          </w:tcPr>
          <w:p w14:paraId="4EF40ED9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992" w:type="dxa"/>
            <w:vAlign w:val="center"/>
          </w:tcPr>
          <w:p w14:paraId="6E0588DA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sz w:val="18"/>
                <w:szCs w:val="18"/>
              </w:rPr>
              <w:t>2</w:t>
            </w:r>
          </w:p>
        </w:tc>
        <w:tc>
          <w:tcPr>
            <w:tcW w:w="1506" w:type="dxa"/>
            <w:vAlign w:val="center"/>
          </w:tcPr>
          <w:p w14:paraId="075148E1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易燃介质</w:t>
            </w:r>
          </w:p>
        </w:tc>
      </w:tr>
      <w:tr w14:paraId="158FFF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" w:type="dxa"/>
            <w:vAlign w:val="center"/>
          </w:tcPr>
          <w:p w14:paraId="3666635F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71" w:type="dxa"/>
            <w:vAlign w:val="center"/>
          </w:tcPr>
          <w:p w14:paraId="0A4D255C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工艺物料</w:t>
            </w:r>
          </w:p>
        </w:tc>
        <w:tc>
          <w:tcPr>
            <w:tcW w:w="3066" w:type="dxa"/>
            <w:vAlign w:val="center"/>
          </w:tcPr>
          <w:p w14:paraId="0F8DD82D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一氯甲烷装置 → 甲烷氯化物装置</w:t>
            </w:r>
          </w:p>
        </w:tc>
        <w:tc>
          <w:tcPr>
            <w:tcW w:w="1287" w:type="dxa"/>
            <w:vAlign w:val="center"/>
          </w:tcPr>
          <w:p w14:paraId="42963603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一氯甲烷输送管线</w:t>
            </w:r>
          </w:p>
        </w:tc>
        <w:tc>
          <w:tcPr>
            <w:tcW w:w="1592" w:type="dxa"/>
            <w:vAlign w:val="center"/>
          </w:tcPr>
          <w:p w14:paraId="28B627D2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供应中断、含氟杂质影响</w:t>
            </w:r>
          </w:p>
        </w:tc>
        <w:tc>
          <w:tcPr>
            <w:tcW w:w="710" w:type="dxa"/>
            <w:vAlign w:val="center"/>
          </w:tcPr>
          <w:p w14:paraId="7B585CE9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92" w:type="dxa"/>
            <w:vAlign w:val="center"/>
          </w:tcPr>
          <w:p w14:paraId="73F714F8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sz w:val="18"/>
                <w:szCs w:val="18"/>
              </w:rPr>
              <w:t>4</w:t>
            </w:r>
          </w:p>
        </w:tc>
        <w:tc>
          <w:tcPr>
            <w:tcW w:w="1506" w:type="dxa"/>
            <w:vAlign w:val="center"/>
          </w:tcPr>
          <w:p w14:paraId="4861294A">
            <w:pP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易燃，甲类</w:t>
            </w:r>
          </w:p>
        </w:tc>
      </w:tr>
      <w:tr w14:paraId="2276C6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36" w:type="dxa"/>
            <w:vAlign w:val="center"/>
          </w:tcPr>
          <w:p w14:paraId="1CB231B5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71" w:type="dxa"/>
            <w:vAlign w:val="center"/>
          </w:tcPr>
          <w:p w14:paraId="395DD0BB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工艺物料</w:t>
            </w:r>
          </w:p>
        </w:tc>
        <w:tc>
          <w:tcPr>
            <w:tcW w:w="3066" w:type="dxa"/>
            <w:vAlign w:val="center"/>
          </w:tcPr>
          <w:p w14:paraId="48EF444E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甲烷氯化物装置 → R22装置</w:t>
            </w:r>
          </w:p>
        </w:tc>
        <w:tc>
          <w:tcPr>
            <w:tcW w:w="1287" w:type="dxa"/>
            <w:vAlign w:val="center"/>
          </w:tcPr>
          <w:p w14:paraId="2B507176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三氯甲烷输送管线</w:t>
            </w:r>
          </w:p>
        </w:tc>
        <w:tc>
          <w:tcPr>
            <w:tcW w:w="1592" w:type="dxa"/>
            <w:vAlign w:val="center"/>
          </w:tcPr>
          <w:p w14:paraId="79009539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供应中断、流量不稳、含水量超标</w:t>
            </w:r>
          </w:p>
        </w:tc>
        <w:tc>
          <w:tcPr>
            <w:tcW w:w="710" w:type="dxa"/>
            <w:vAlign w:val="center"/>
          </w:tcPr>
          <w:p w14:paraId="10530CB8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992" w:type="dxa"/>
            <w:vAlign w:val="center"/>
          </w:tcPr>
          <w:p w14:paraId="1D9FCD4D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sz w:val="18"/>
                <w:szCs w:val="18"/>
              </w:rPr>
              <w:t>2</w:t>
            </w:r>
          </w:p>
        </w:tc>
        <w:tc>
          <w:tcPr>
            <w:tcW w:w="1506" w:type="dxa"/>
            <w:vAlign w:val="center"/>
          </w:tcPr>
          <w:p w14:paraId="3499B05C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核心原料</w:t>
            </w:r>
          </w:p>
        </w:tc>
      </w:tr>
      <w:tr w14:paraId="4F2BA2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36" w:type="dxa"/>
            <w:vAlign w:val="center"/>
          </w:tcPr>
          <w:p w14:paraId="0CD43538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71" w:type="dxa"/>
            <w:vAlign w:val="center"/>
          </w:tcPr>
          <w:p w14:paraId="0AE4F0F7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工艺物料</w:t>
            </w:r>
          </w:p>
        </w:tc>
        <w:tc>
          <w:tcPr>
            <w:tcW w:w="3066" w:type="dxa"/>
            <w:vAlign w:val="center"/>
          </w:tcPr>
          <w:p w14:paraId="3F23B63A">
            <w:pPr>
              <w:widowControl/>
              <w:spacing w:line="300" w:lineRule="atLeas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AHF装置 → R22/R1234yf装置</w:t>
            </w:r>
          </w:p>
        </w:tc>
        <w:tc>
          <w:tcPr>
            <w:tcW w:w="1287" w:type="dxa"/>
            <w:vAlign w:val="center"/>
          </w:tcPr>
          <w:p w14:paraId="350A14CC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无水氟化氢（AHF）输送管线</w:t>
            </w:r>
          </w:p>
        </w:tc>
        <w:tc>
          <w:tcPr>
            <w:tcW w:w="1592" w:type="dxa"/>
            <w:vAlign w:val="center"/>
          </w:tcPr>
          <w:p w14:paraId="306A8247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供应中断、腐蚀、毒性泄漏</w:t>
            </w:r>
          </w:p>
        </w:tc>
        <w:tc>
          <w:tcPr>
            <w:tcW w:w="710" w:type="dxa"/>
            <w:vAlign w:val="center"/>
          </w:tcPr>
          <w:p w14:paraId="0394C564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92" w:type="dxa"/>
            <w:vAlign w:val="center"/>
          </w:tcPr>
          <w:p w14:paraId="655FB222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sz w:val="18"/>
                <w:szCs w:val="18"/>
              </w:rPr>
              <w:t>4</w:t>
            </w:r>
          </w:p>
        </w:tc>
        <w:tc>
          <w:tcPr>
            <w:tcW w:w="1506" w:type="dxa"/>
            <w:vAlign w:val="center"/>
          </w:tcPr>
          <w:p w14:paraId="7A58C421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核心原料、高危介质</w:t>
            </w:r>
          </w:p>
        </w:tc>
      </w:tr>
      <w:tr w14:paraId="69139F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36" w:type="dxa"/>
            <w:vAlign w:val="center"/>
          </w:tcPr>
          <w:p w14:paraId="768EED0D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971" w:type="dxa"/>
            <w:vAlign w:val="center"/>
          </w:tcPr>
          <w:p w14:paraId="3EE08DAA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工艺物料</w:t>
            </w:r>
          </w:p>
        </w:tc>
        <w:tc>
          <w:tcPr>
            <w:tcW w:w="3066" w:type="dxa"/>
            <w:vAlign w:val="center"/>
          </w:tcPr>
          <w:p w14:paraId="4AF1304D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R22装置 → TFE装置</w:t>
            </w:r>
          </w:p>
        </w:tc>
        <w:tc>
          <w:tcPr>
            <w:tcW w:w="1287" w:type="dxa"/>
            <w:vAlign w:val="center"/>
          </w:tcPr>
          <w:p w14:paraId="366B84BE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R22</w:t>
            </w:r>
          </w:p>
          <w:p w14:paraId="648D25AE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输送管线</w:t>
            </w:r>
          </w:p>
        </w:tc>
        <w:tc>
          <w:tcPr>
            <w:tcW w:w="1592" w:type="dxa"/>
            <w:vAlign w:val="center"/>
          </w:tcPr>
          <w:p w14:paraId="1A9D8829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供应中断、流量不稳、氧含量超标</w:t>
            </w:r>
          </w:p>
        </w:tc>
        <w:tc>
          <w:tcPr>
            <w:tcW w:w="710" w:type="dxa"/>
            <w:vAlign w:val="center"/>
          </w:tcPr>
          <w:p w14:paraId="09CA6D1B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992" w:type="dxa"/>
            <w:vAlign w:val="center"/>
          </w:tcPr>
          <w:p w14:paraId="079BFBAD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sz w:val="18"/>
                <w:szCs w:val="18"/>
              </w:rPr>
              <w:t>4</w:t>
            </w:r>
          </w:p>
        </w:tc>
        <w:tc>
          <w:tcPr>
            <w:tcW w:w="1506" w:type="dxa"/>
            <w:vAlign w:val="center"/>
          </w:tcPr>
          <w:p w14:paraId="4DC61592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核心原料</w:t>
            </w:r>
          </w:p>
        </w:tc>
      </w:tr>
      <w:tr w14:paraId="13B638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36" w:type="dxa"/>
            <w:vAlign w:val="center"/>
          </w:tcPr>
          <w:p w14:paraId="1F233BB9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971" w:type="dxa"/>
            <w:vAlign w:val="center"/>
          </w:tcPr>
          <w:p w14:paraId="2A51B535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工艺物料</w:t>
            </w:r>
          </w:p>
        </w:tc>
        <w:tc>
          <w:tcPr>
            <w:tcW w:w="3066" w:type="dxa"/>
            <w:vAlign w:val="center"/>
          </w:tcPr>
          <w:p w14:paraId="36D67B83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TFE装置 → PTFE/FEP/HFP装置</w:t>
            </w:r>
          </w:p>
        </w:tc>
        <w:tc>
          <w:tcPr>
            <w:tcW w:w="1287" w:type="dxa"/>
            <w:vAlign w:val="center"/>
          </w:tcPr>
          <w:p w14:paraId="2DE4D9A5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四氟乙烯单体</w:t>
            </w:r>
          </w:p>
        </w:tc>
        <w:tc>
          <w:tcPr>
            <w:tcW w:w="1592" w:type="dxa"/>
            <w:vAlign w:val="center"/>
          </w:tcPr>
          <w:p w14:paraId="4B4E1A29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供应中断、温度控制（防止自聚）</w:t>
            </w:r>
          </w:p>
        </w:tc>
        <w:tc>
          <w:tcPr>
            <w:tcW w:w="710" w:type="dxa"/>
            <w:vAlign w:val="center"/>
          </w:tcPr>
          <w:p w14:paraId="4CBD3A10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92" w:type="dxa"/>
            <w:vAlign w:val="center"/>
          </w:tcPr>
          <w:p w14:paraId="48EA77E5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506" w:type="dxa"/>
            <w:vAlign w:val="center"/>
          </w:tcPr>
          <w:p w14:paraId="5E5E3E29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易自聚介质</w:t>
            </w:r>
          </w:p>
        </w:tc>
      </w:tr>
      <w:tr w14:paraId="6C5124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436" w:type="dxa"/>
            <w:vAlign w:val="center"/>
          </w:tcPr>
          <w:p w14:paraId="4A0A0BB9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71" w:type="dxa"/>
            <w:vAlign w:val="center"/>
          </w:tcPr>
          <w:p w14:paraId="54395B76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工艺物料</w:t>
            </w:r>
          </w:p>
        </w:tc>
        <w:tc>
          <w:tcPr>
            <w:tcW w:w="3066" w:type="dxa"/>
            <w:vAlign w:val="center"/>
          </w:tcPr>
          <w:p w14:paraId="70BADDEC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烧碱装置 → 蒸发装置→ 片碱装置</w:t>
            </w:r>
          </w:p>
        </w:tc>
        <w:tc>
          <w:tcPr>
            <w:tcW w:w="1287" w:type="dxa"/>
            <w:vAlign w:val="center"/>
          </w:tcPr>
          <w:p w14:paraId="4B77081B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32%液碱/48%液碱</w:t>
            </w:r>
          </w:p>
        </w:tc>
        <w:tc>
          <w:tcPr>
            <w:tcW w:w="1592" w:type="dxa"/>
            <w:vAlign w:val="center"/>
          </w:tcPr>
          <w:p w14:paraId="0812CD15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强腐蚀性</w:t>
            </w:r>
          </w:p>
        </w:tc>
        <w:tc>
          <w:tcPr>
            <w:tcW w:w="710" w:type="dxa"/>
            <w:vAlign w:val="center"/>
          </w:tcPr>
          <w:p w14:paraId="66FEF612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92" w:type="dxa"/>
            <w:vAlign w:val="center"/>
          </w:tcPr>
          <w:p w14:paraId="66A53E96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sz w:val="18"/>
                <w:szCs w:val="18"/>
              </w:rPr>
              <w:t>4</w:t>
            </w:r>
          </w:p>
        </w:tc>
        <w:tc>
          <w:tcPr>
            <w:tcW w:w="1506" w:type="dxa"/>
            <w:vAlign w:val="center"/>
          </w:tcPr>
          <w:p w14:paraId="20B6FA49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</w:p>
        </w:tc>
      </w:tr>
      <w:tr w14:paraId="78BD03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36" w:type="dxa"/>
            <w:vAlign w:val="center"/>
          </w:tcPr>
          <w:p w14:paraId="55D68B3C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971" w:type="dxa"/>
            <w:vAlign w:val="center"/>
          </w:tcPr>
          <w:p w14:paraId="1B40388D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工艺物料</w:t>
            </w:r>
          </w:p>
        </w:tc>
        <w:tc>
          <w:tcPr>
            <w:tcW w:w="3066" w:type="dxa"/>
            <w:vAlign w:val="center"/>
          </w:tcPr>
          <w:p w14:paraId="240CEDAC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外部/储运 → HCC-240装置→ 罐区</w:t>
            </w:r>
          </w:p>
        </w:tc>
        <w:tc>
          <w:tcPr>
            <w:tcW w:w="1287" w:type="dxa"/>
            <w:vAlign w:val="center"/>
          </w:tcPr>
          <w:p w14:paraId="66360B82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VCM单体输送管线</w:t>
            </w:r>
          </w:p>
        </w:tc>
        <w:tc>
          <w:tcPr>
            <w:tcW w:w="1592" w:type="dxa"/>
            <w:vAlign w:val="center"/>
          </w:tcPr>
          <w:p w14:paraId="7C2B3632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供应中断、质量偏差</w:t>
            </w:r>
          </w:p>
        </w:tc>
        <w:tc>
          <w:tcPr>
            <w:tcW w:w="710" w:type="dxa"/>
            <w:vAlign w:val="center"/>
          </w:tcPr>
          <w:p w14:paraId="225A2E71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92" w:type="dxa"/>
            <w:vAlign w:val="center"/>
          </w:tcPr>
          <w:p w14:paraId="037F9F42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sz w:val="18"/>
                <w:szCs w:val="18"/>
              </w:rPr>
              <w:t>4</w:t>
            </w:r>
          </w:p>
        </w:tc>
        <w:tc>
          <w:tcPr>
            <w:tcW w:w="1506" w:type="dxa"/>
            <w:vAlign w:val="center"/>
          </w:tcPr>
          <w:p w14:paraId="3B3B9C44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极易燃</w:t>
            </w:r>
          </w:p>
        </w:tc>
      </w:tr>
      <w:tr w14:paraId="60001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36" w:type="dxa"/>
            <w:vAlign w:val="center"/>
          </w:tcPr>
          <w:p w14:paraId="3CB76519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971" w:type="dxa"/>
            <w:vAlign w:val="center"/>
          </w:tcPr>
          <w:p w14:paraId="219C1894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工艺物料</w:t>
            </w:r>
          </w:p>
        </w:tc>
        <w:tc>
          <w:tcPr>
            <w:tcW w:w="3066" w:type="dxa"/>
            <w:vAlign w:val="center"/>
          </w:tcPr>
          <w:p w14:paraId="43D2BCEE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四氯化碳装置→ HCC-240/R1234yf装置</w:t>
            </w:r>
          </w:p>
        </w:tc>
        <w:tc>
          <w:tcPr>
            <w:tcW w:w="1287" w:type="dxa"/>
            <w:vAlign w:val="center"/>
          </w:tcPr>
          <w:p w14:paraId="68D63599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四氯化碳输送管线</w:t>
            </w:r>
          </w:p>
        </w:tc>
        <w:tc>
          <w:tcPr>
            <w:tcW w:w="1592" w:type="dxa"/>
            <w:vAlign w:val="center"/>
          </w:tcPr>
          <w:p w14:paraId="5CFAEAA1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供应中断、质量偏差</w:t>
            </w:r>
          </w:p>
        </w:tc>
        <w:tc>
          <w:tcPr>
            <w:tcW w:w="710" w:type="dxa"/>
            <w:vAlign w:val="center"/>
          </w:tcPr>
          <w:p w14:paraId="5612EA41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92" w:type="dxa"/>
            <w:vAlign w:val="center"/>
          </w:tcPr>
          <w:p w14:paraId="78AF0F5B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sz w:val="18"/>
                <w:szCs w:val="18"/>
              </w:rPr>
              <w:t>4</w:t>
            </w:r>
          </w:p>
        </w:tc>
        <w:tc>
          <w:tcPr>
            <w:tcW w:w="1506" w:type="dxa"/>
            <w:vAlign w:val="center"/>
          </w:tcPr>
          <w:p w14:paraId="5F090CA9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有毒（不燃）</w:t>
            </w:r>
          </w:p>
        </w:tc>
      </w:tr>
      <w:tr w14:paraId="56D031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36" w:type="dxa"/>
            <w:vAlign w:val="center"/>
          </w:tcPr>
          <w:p w14:paraId="1331801A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11</w:t>
            </w:r>
          </w:p>
        </w:tc>
        <w:tc>
          <w:tcPr>
            <w:tcW w:w="971" w:type="dxa"/>
            <w:vAlign w:val="center"/>
          </w:tcPr>
          <w:p w14:paraId="3EF063E3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工艺物料</w:t>
            </w:r>
          </w:p>
        </w:tc>
        <w:tc>
          <w:tcPr>
            <w:tcW w:w="3066" w:type="dxa"/>
            <w:vAlign w:val="center"/>
          </w:tcPr>
          <w:p w14:paraId="43780765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HFP装置 → R1234yf/FEP装置</w:t>
            </w:r>
          </w:p>
        </w:tc>
        <w:tc>
          <w:tcPr>
            <w:tcW w:w="1287" w:type="dxa"/>
            <w:vAlign w:val="center"/>
          </w:tcPr>
          <w:p w14:paraId="638A06A1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HFP输送管线</w:t>
            </w:r>
          </w:p>
        </w:tc>
        <w:tc>
          <w:tcPr>
            <w:tcW w:w="1592" w:type="dxa"/>
            <w:vAlign w:val="center"/>
          </w:tcPr>
          <w:p w14:paraId="7A2DC328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质量偏差、</w:t>
            </w:r>
            <w:r>
              <w:rPr>
                <w:rStyle w:val="10"/>
                <w:rFonts w:hint="eastAsia" w:ascii="微软雅黑" w:hAnsi="微软雅黑" w:eastAsia="微软雅黑" w:cs="微软雅黑"/>
                <w:b w:val="0"/>
                <w:color w:val="0F1115"/>
                <w:sz w:val="19"/>
                <w:szCs w:val="19"/>
                <w:shd w:val="clear" w:color="auto" w:fill="FFFFFF"/>
              </w:rPr>
              <w:t>流量偏差</w:t>
            </w:r>
          </w:p>
        </w:tc>
        <w:tc>
          <w:tcPr>
            <w:tcW w:w="710" w:type="dxa"/>
            <w:vAlign w:val="center"/>
          </w:tcPr>
          <w:p w14:paraId="5D3BF937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92" w:type="dxa"/>
            <w:vAlign w:val="center"/>
          </w:tcPr>
          <w:p w14:paraId="1A7C1377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sz w:val="18"/>
                <w:szCs w:val="18"/>
              </w:rPr>
              <w:t>4</w:t>
            </w:r>
          </w:p>
        </w:tc>
        <w:tc>
          <w:tcPr>
            <w:tcW w:w="1506" w:type="dxa"/>
            <w:vAlign w:val="center"/>
          </w:tcPr>
          <w:p w14:paraId="353B5953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易燃</w:t>
            </w:r>
          </w:p>
        </w:tc>
      </w:tr>
      <w:tr w14:paraId="491863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36" w:type="dxa"/>
            <w:vAlign w:val="center"/>
          </w:tcPr>
          <w:p w14:paraId="18DBD623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  <w:t>12</w:t>
            </w:r>
          </w:p>
        </w:tc>
        <w:tc>
          <w:tcPr>
            <w:tcW w:w="971" w:type="dxa"/>
            <w:vAlign w:val="center"/>
          </w:tcPr>
          <w:p w14:paraId="44B2B7E9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  <w:t>工艺物料</w:t>
            </w:r>
          </w:p>
        </w:tc>
        <w:tc>
          <w:tcPr>
            <w:tcW w:w="3066" w:type="dxa"/>
            <w:vAlign w:val="center"/>
          </w:tcPr>
          <w:p w14:paraId="17462C28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  <w:t>液体储运罐区→无水氟化氢装置</w:t>
            </w:r>
          </w:p>
        </w:tc>
        <w:tc>
          <w:tcPr>
            <w:tcW w:w="1287" w:type="dxa"/>
            <w:vAlign w:val="center"/>
          </w:tcPr>
          <w:p w14:paraId="7A18AB15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  <w:t>浓硫酸和发烟硫酸供料及输送</w:t>
            </w:r>
          </w:p>
        </w:tc>
        <w:tc>
          <w:tcPr>
            <w:tcW w:w="1592" w:type="dxa"/>
            <w:vAlign w:val="center"/>
          </w:tcPr>
          <w:p w14:paraId="1F683972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  <w:t>供料中断、流量偏差</w:t>
            </w:r>
          </w:p>
        </w:tc>
        <w:tc>
          <w:tcPr>
            <w:tcW w:w="710" w:type="dxa"/>
            <w:vAlign w:val="center"/>
          </w:tcPr>
          <w:p w14:paraId="7C7084C8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  <w:t>2</w:t>
            </w:r>
          </w:p>
        </w:tc>
        <w:tc>
          <w:tcPr>
            <w:tcW w:w="992" w:type="dxa"/>
            <w:vAlign w:val="center"/>
          </w:tcPr>
          <w:p w14:paraId="03A2D99B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sz w:val="18"/>
                <w:szCs w:val="18"/>
                <w:highlight w:val="none"/>
              </w:rPr>
              <w:t>4</w:t>
            </w:r>
          </w:p>
        </w:tc>
        <w:tc>
          <w:tcPr>
            <w:tcW w:w="1506" w:type="dxa"/>
            <w:vAlign w:val="center"/>
          </w:tcPr>
          <w:p w14:paraId="1982C6FC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  <w:t>易凝固、腐蚀性</w:t>
            </w:r>
          </w:p>
        </w:tc>
      </w:tr>
      <w:tr w14:paraId="6E430D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36" w:type="dxa"/>
            <w:vAlign w:val="center"/>
          </w:tcPr>
          <w:p w14:paraId="229CA75D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val="en-US" w:eastAsia="zh-CN" w:bidi="ar"/>
              </w:rPr>
              <w:t>3</w:t>
            </w:r>
          </w:p>
        </w:tc>
        <w:tc>
          <w:tcPr>
            <w:tcW w:w="971" w:type="dxa"/>
            <w:vAlign w:val="center"/>
          </w:tcPr>
          <w:p w14:paraId="6ECD6C28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  <w:t>工艺辅料</w:t>
            </w:r>
          </w:p>
        </w:tc>
        <w:tc>
          <w:tcPr>
            <w:tcW w:w="3066" w:type="dxa"/>
            <w:vAlign w:val="center"/>
          </w:tcPr>
          <w:p w14:paraId="59BB1E69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  <w:t>液体罐区→各装置用户</w:t>
            </w:r>
          </w:p>
        </w:tc>
        <w:tc>
          <w:tcPr>
            <w:tcW w:w="1287" w:type="dxa"/>
            <w:vAlign w:val="center"/>
          </w:tcPr>
          <w:p w14:paraId="7A8A80ED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  <w:t>浓硫酸输送管线</w:t>
            </w:r>
          </w:p>
        </w:tc>
        <w:tc>
          <w:tcPr>
            <w:tcW w:w="1592" w:type="dxa"/>
            <w:vAlign w:val="center"/>
          </w:tcPr>
          <w:p w14:paraId="2E80FBAF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  <w:t>供料中断</w:t>
            </w:r>
          </w:p>
        </w:tc>
        <w:tc>
          <w:tcPr>
            <w:tcW w:w="710" w:type="dxa"/>
            <w:vAlign w:val="center"/>
          </w:tcPr>
          <w:p w14:paraId="25443E85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  <w:t>1</w:t>
            </w:r>
          </w:p>
        </w:tc>
        <w:tc>
          <w:tcPr>
            <w:tcW w:w="992" w:type="dxa"/>
            <w:vAlign w:val="center"/>
          </w:tcPr>
          <w:p w14:paraId="461F34E8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sz w:val="18"/>
                <w:szCs w:val="18"/>
                <w:highlight w:val="none"/>
              </w:rPr>
              <w:t>4</w:t>
            </w:r>
          </w:p>
        </w:tc>
        <w:tc>
          <w:tcPr>
            <w:tcW w:w="1506" w:type="dxa"/>
            <w:vAlign w:val="center"/>
          </w:tcPr>
          <w:p w14:paraId="363D71C9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</w:pPr>
          </w:p>
        </w:tc>
      </w:tr>
      <w:tr w14:paraId="4D7B6B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560" w:type="dxa"/>
            <w:gridSpan w:val="8"/>
            <w:vAlign w:val="center"/>
          </w:tcPr>
          <w:p w14:paraId="6F32B504">
            <w:pPr>
              <w:widowControl/>
              <w:spacing w:line="300" w:lineRule="atLeas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F1115"/>
                <w:kern w:val="0"/>
                <w:sz w:val="18"/>
                <w:szCs w:val="18"/>
                <w:highlight w:val="green"/>
                <w:lang w:bidi="ar"/>
              </w:rPr>
              <w:t>B.重要副产物互联节点</w:t>
            </w:r>
          </w:p>
        </w:tc>
      </w:tr>
      <w:tr w14:paraId="68123A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" w:type="dxa"/>
            <w:vAlign w:val="center"/>
          </w:tcPr>
          <w:p w14:paraId="3C229962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val="en-US" w:eastAsia="zh-CN" w:bidi="ar"/>
              </w:rPr>
              <w:t>4</w:t>
            </w:r>
          </w:p>
        </w:tc>
        <w:tc>
          <w:tcPr>
            <w:tcW w:w="971" w:type="dxa"/>
            <w:vAlign w:val="center"/>
          </w:tcPr>
          <w:p w14:paraId="2F1012A7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  <w:t>工艺辅料</w:t>
            </w:r>
          </w:p>
        </w:tc>
        <w:tc>
          <w:tcPr>
            <w:tcW w:w="3066" w:type="dxa"/>
            <w:vAlign w:val="center"/>
          </w:tcPr>
          <w:p w14:paraId="1D85B433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  <w:t>离子膜烧碱装置</w:t>
            </w: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→</w:t>
            </w: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  <w:t>各装置用户</w:t>
            </w:r>
          </w:p>
        </w:tc>
        <w:tc>
          <w:tcPr>
            <w:tcW w:w="1287" w:type="dxa"/>
            <w:vAlign w:val="center"/>
          </w:tcPr>
          <w:p w14:paraId="0EFFA89E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  <w:t>20%碱液的输送管线</w:t>
            </w:r>
          </w:p>
        </w:tc>
        <w:tc>
          <w:tcPr>
            <w:tcW w:w="1592" w:type="dxa"/>
            <w:vAlign w:val="center"/>
          </w:tcPr>
          <w:p w14:paraId="1BFB7264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  <w:t>供料中断</w:t>
            </w:r>
          </w:p>
        </w:tc>
        <w:tc>
          <w:tcPr>
            <w:tcW w:w="710" w:type="dxa"/>
            <w:vAlign w:val="center"/>
          </w:tcPr>
          <w:p w14:paraId="5C15D379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  <w:t>1</w:t>
            </w:r>
          </w:p>
        </w:tc>
        <w:tc>
          <w:tcPr>
            <w:tcW w:w="992" w:type="dxa"/>
            <w:vAlign w:val="center"/>
          </w:tcPr>
          <w:p w14:paraId="66BF29E1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sz w:val="18"/>
                <w:szCs w:val="18"/>
                <w:highlight w:val="none"/>
              </w:rPr>
              <w:t>4</w:t>
            </w:r>
          </w:p>
        </w:tc>
        <w:tc>
          <w:tcPr>
            <w:tcW w:w="1506" w:type="dxa"/>
            <w:vAlign w:val="center"/>
          </w:tcPr>
          <w:p w14:paraId="5DF56844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 w14:paraId="1F5521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" w:type="dxa"/>
            <w:vAlign w:val="center"/>
          </w:tcPr>
          <w:p w14:paraId="78601376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val="en-US" w:eastAsia="zh-CN" w:bidi="ar"/>
              </w:rPr>
              <w:t>5</w:t>
            </w:r>
          </w:p>
        </w:tc>
        <w:tc>
          <w:tcPr>
            <w:tcW w:w="971" w:type="dxa"/>
            <w:vAlign w:val="center"/>
          </w:tcPr>
          <w:p w14:paraId="4BF27C00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  <w:t>工艺辅料</w:t>
            </w:r>
          </w:p>
        </w:tc>
        <w:tc>
          <w:tcPr>
            <w:tcW w:w="3066" w:type="dxa"/>
            <w:vAlign w:val="center"/>
          </w:tcPr>
          <w:p w14:paraId="7C4E696C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  <w:t>离子膜烧碱装置→各装置用户</w:t>
            </w:r>
          </w:p>
        </w:tc>
        <w:tc>
          <w:tcPr>
            <w:tcW w:w="1287" w:type="dxa"/>
            <w:vAlign w:val="center"/>
          </w:tcPr>
          <w:p w14:paraId="27ED918D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  <w:t>10%次氯酸钠输送管线</w:t>
            </w:r>
          </w:p>
        </w:tc>
        <w:tc>
          <w:tcPr>
            <w:tcW w:w="1592" w:type="dxa"/>
            <w:vAlign w:val="center"/>
          </w:tcPr>
          <w:p w14:paraId="71530981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  <w:t>供料中断</w:t>
            </w:r>
          </w:p>
        </w:tc>
        <w:tc>
          <w:tcPr>
            <w:tcW w:w="710" w:type="dxa"/>
            <w:vAlign w:val="center"/>
          </w:tcPr>
          <w:p w14:paraId="69A7DD9E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  <w:t>1</w:t>
            </w:r>
          </w:p>
        </w:tc>
        <w:tc>
          <w:tcPr>
            <w:tcW w:w="992" w:type="dxa"/>
            <w:vAlign w:val="center"/>
          </w:tcPr>
          <w:p w14:paraId="2A7ADF18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sz w:val="18"/>
                <w:szCs w:val="18"/>
                <w:highlight w:val="none"/>
              </w:rPr>
              <w:t>4</w:t>
            </w:r>
          </w:p>
        </w:tc>
        <w:tc>
          <w:tcPr>
            <w:tcW w:w="1506" w:type="dxa"/>
            <w:vAlign w:val="center"/>
          </w:tcPr>
          <w:p w14:paraId="3C5E5999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 w14:paraId="678D5D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" w:type="dxa"/>
            <w:vAlign w:val="center"/>
          </w:tcPr>
          <w:p w14:paraId="24C48A53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971" w:type="dxa"/>
            <w:vAlign w:val="center"/>
          </w:tcPr>
          <w:p w14:paraId="421B499C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  <w:t>工艺辅料</w:t>
            </w:r>
          </w:p>
        </w:tc>
        <w:tc>
          <w:tcPr>
            <w:tcW w:w="3066" w:type="dxa"/>
            <w:vAlign w:val="center"/>
          </w:tcPr>
          <w:p w14:paraId="7600DB18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bidi="ar"/>
              </w:rPr>
              <w:t>一氯甲烷装置 → 氯化钙装置(盐酸提浓)</w:t>
            </w:r>
          </w:p>
        </w:tc>
        <w:tc>
          <w:tcPr>
            <w:tcW w:w="1287" w:type="dxa"/>
            <w:vAlign w:val="center"/>
          </w:tcPr>
          <w:p w14:paraId="55317B52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bidi="ar"/>
              </w:rPr>
              <w:t>20%盐酸</w:t>
            </w:r>
          </w:p>
        </w:tc>
        <w:tc>
          <w:tcPr>
            <w:tcW w:w="1592" w:type="dxa"/>
            <w:vAlign w:val="center"/>
          </w:tcPr>
          <w:p w14:paraId="5AC913F1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bidi="ar"/>
              </w:rPr>
              <w:t>供应中断/压力波动、含氟杂质、腐蚀</w:t>
            </w:r>
          </w:p>
        </w:tc>
        <w:tc>
          <w:tcPr>
            <w:tcW w:w="710" w:type="dxa"/>
            <w:vAlign w:val="center"/>
          </w:tcPr>
          <w:p w14:paraId="425394BD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992" w:type="dxa"/>
            <w:vAlign w:val="center"/>
          </w:tcPr>
          <w:p w14:paraId="1B7FD6C2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06" w:type="dxa"/>
            <w:vAlign w:val="center"/>
          </w:tcPr>
          <w:p w14:paraId="4B31A3F8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 w14:paraId="4B3851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" w:type="dxa"/>
            <w:vAlign w:val="center"/>
          </w:tcPr>
          <w:p w14:paraId="56A413EA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971" w:type="dxa"/>
            <w:vAlign w:val="center"/>
          </w:tcPr>
          <w:p w14:paraId="2D5BD6C4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  <w:t>工艺辅料</w:t>
            </w:r>
          </w:p>
        </w:tc>
        <w:tc>
          <w:tcPr>
            <w:tcW w:w="3066" w:type="dxa"/>
            <w:vAlign w:val="center"/>
          </w:tcPr>
          <w:p w14:paraId="38F4217D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bidi="ar"/>
              </w:rPr>
              <w:t>R22装置 →盐酸提浓装置</w:t>
            </w:r>
          </w:p>
        </w:tc>
        <w:tc>
          <w:tcPr>
            <w:tcW w:w="1287" w:type="dxa"/>
            <w:vAlign w:val="center"/>
          </w:tcPr>
          <w:p w14:paraId="339CD823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bidi="ar"/>
              </w:rPr>
              <w:t>20%盐酸（含氟））</w:t>
            </w:r>
          </w:p>
        </w:tc>
        <w:tc>
          <w:tcPr>
            <w:tcW w:w="1592" w:type="dxa"/>
            <w:vAlign w:val="center"/>
          </w:tcPr>
          <w:p w14:paraId="2A3D032A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bidi="ar"/>
              </w:rPr>
              <w:t>供应中断/压力波动、杂质、腐蚀</w:t>
            </w:r>
          </w:p>
        </w:tc>
        <w:tc>
          <w:tcPr>
            <w:tcW w:w="710" w:type="dxa"/>
            <w:vAlign w:val="center"/>
          </w:tcPr>
          <w:p w14:paraId="1875D648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992" w:type="dxa"/>
            <w:vAlign w:val="center"/>
          </w:tcPr>
          <w:p w14:paraId="5E6336E9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06" w:type="dxa"/>
            <w:vAlign w:val="center"/>
          </w:tcPr>
          <w:p w14:paraId="3B692F91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 w14:paraId="15A41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" w:type="dxa"/>
            <w:vAlign w:val="center"/>
          </w:tcPr>
          <w:p w14:paraId="00EA76E4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highlight w:val="none"/>
                <w:lang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highlight w:val="none"/>
                <w:lang w:val="en-US" w:eastAsia="zh-CN" w:bidi="ar"/>
              </w:rPr>
              <w:t>8</w:t>
            </w:r>
          </w:p>
        </w:tc>
        <w:tc>
          <w:tcPr>
            <w:tcW w:w="971" w:type="dxa"/>
            <w:vAlign w:val="center"/>
          </w:tcPr>
          <w:p w14:paraId="64D0DDC4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  <w:t>工艺辅料</w:t>
            </w:r>
          </w:p>
        </w:tc>
        <w:tc>
          <w:tcPr>
            <w:tcW w:w="3066" w:type="dxa"/>
            <w:vAlign w:val="center"/>
          </w:tcPr>
          <w:p w14:paraId="31696CBD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highlight w:val="none"/>
                <w:lang w:bidi="ar"/>
              </w:rPr>
              <w:t>甲烷氯化物装置 → 盐酸提浓装置</w:t>
            </w:r>
          </w:p>
        </w:tc>
        <w:tc>
          <w:tcPr>
            <w:tcW w:w="1287" w:type="dxa"/>
            <w:vAlign w:val="center"/>
          </w:tcPr>
          <w:p w14:paraId="6E332404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highlight w:val="none"/>
                <w:lang w:bidi="ar"/>
              </w:rPr>
              <w:t>氯化氢气体（不含氟）</w:t>
            </w:r>
          </w:p>
        </w:tc>
        <w:tc>
          <w:tcPr>
            <w:tcW w:w="1592" w:type="dxa"/>
            <w:vAlign w:val="center"/>
          </w:tcPr>
          <w:p w14:paraId="0BE143FA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highlight w:val="none"/>
                <w:lang w:bidi="ar"/>
              </w:rPr>
              <w:t>供应中断、稳定性</w:t>
            </w:r>
          </w:p>
        </w:tc>
        <w:tc>
          <w:tcPr>
            <w:tcW w:w="710" w:type="dxa"/>
            <w:vAlign w:val="center"/>
          </w:tcPr>
          <w:p w14:paraId="169BC145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highlight w:val="none"/>
                <w:lang w:bidi="ar"/>
              </w:rPr>
              <w:t>1</w:t>
            </w:r>
          </w:p>
        </w:tc>
        <w:tc>
          <w:tcPr>
            <w:tcW w:w="992" w:type="dxa"/>
            <w:vAlign w:val="center"/>
          </w:tcPr>
          <w:p w14:paraId="436CE8B4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1506" w:type="dxa"/>
            <w:vAlign w:val="center"/>
          </w:tcPr>
          <w:p w14:paraId="394317C9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highlight w:val="none"/>
              </w:rPr>
              <w:t>此气相为紧急泄放，确认后路不通的影响</w:t>
            </w:r>
          </w:p>
        </w:tc>
      </w:tr>
      <w:tr w14:paraId="4CE6B7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" w:type="dxa"/>
            <w:vAlign w:val="center"/>
          </w:tcPr>
          <w:p w14:paraId="53CDCE04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971" w:type="dxa"/>
            <w:vAlign w:val="center"/>
          </w:tcPr>
          <w:p w14:paraId="38446F14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  <w:t>工艺辅料</w:t>
            </w:r>
          </w:p>
        </w:tc>
        <w:tc>
          <w:tcPr>
            <w:tcW w:w="3066" w:type="dxa"/>
            <w:vAlign w:val="center"/>
          </w:tcPr>
          <w:p w14:paraId="5534837F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bidi="ar"/>
              </w:rPr>
              <w:t>甲烷氯化物装置 → AHF装置</w:t>
            </w:r>
          </w:p>
        </w:tc>
        <w:tc>
          <w:tcPr>
            <w:tcW w:w="1287" w:type="dxa"/>
            <w:vAlign w:val="center"/>
          </w:tcPr>
          <w:p w14:paraId="7B885F36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bidi="ar"/>
              </w:rPr>
              <w:t>89%硫酸输送管线</w:t>
            </w:r>
          </w:p>
        </w:tc>
        <w:tc>
          <w:tcPr>
            <w:tcW w:w="1592" w:type="dxa"/>
            <w:vAlign w:val="center"/>
          </w:tcPr>
          <w:p w14:paraId="5E41952B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bidi="ar"/>
              </w:rPr>
              <w:t>供应中断、稳定性</w:t>
            </w:r>
          </w:p>
        </w:tc>
        <w:tc>
          <w:tcPr>
            <w:tcW w:w="710" w:type="dxa"/>
            <w:vAlign w:val="center"/>
          </w:tcPr>
          <w:p w14:paraId="1A6D522F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992" w:type="dxa"/>
            <w:vAlign w:val="center"/>
          </w:tcPr>
          <w:p w14:paraId="3705378A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06" w:type="dxa"/>
            <w:vAlign w:val="center"/>
          </w:tcPr>
          <w:p w14:paraId="2F2979F7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bidi="ar"/>
              </w:rPr>
              <w:t>强腐蚀性，液态，无火灾危险性</w:t>
            </w:r>
          </w:p>
        </w:tc>
      </w:tr>
      <w:tr w14:paraId="0891A2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" w:type="dxa"/>
            <w:vAlign w:val="center"/>
          </w:tcPr>
          <w:p w14:paraId="3B1C7882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highlight w:val="none"/>
                <w:lang w:val="en-US" w:eastAsia="zh-CN" w:bidi="ar"/>
              </w:rPr>
              <w:t>20</w:t>
            </w:r>
          </w:p>
        </w:tc>
        <w:tc>
          <w:tcPr>
            <w:tcW w:w="971" w:type="dxa"/>
            <w:vAlign w:val="center"/>
          </w:tcPr>
          <w:p w14:paraId="4E47D9BC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  <w:t>工艺辅料</w:t>
            </w:r>
          </w:p>
        </w:tc>
        <w:tc>
          <w:tcPr>
            <w:tcW w:w="3066" w:type="dxa"/>
            <w:vAlign w:val="center"/>
          </w:tcPr>
          <w:p w14:paraId="3578D837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highlight w:val="none"/>
                <w:lang w:bidi="ar"/>
              </w:rPr>
              <w:t>TFE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bidi="ar"/>
              </w:rPr>
              <w:t xml:space="preserve"> →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highlight w:val="none"/>
                <w:lang w:bidi="ar"/>
              </w:rPr>
              <w:t>含氟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highlight w:val="none"/>
                <w:lang w:val="en-US" w:eastAsia="zh-CN" w:bidi="ar"/>
              </w:rPr>
              <w:t>一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highlight w:val="none"/>
                <w:lang w:bidi="ar"/>
              </w:rPr>
              <w:t>氯甲烷或无水氯化钙</w:t>
            </w:r>
          </w:p>
        </w:tc>
        <w:tc>
          <w:tcPr>
            <w:tcW w:w="1287" w:type="dxa"/>
            <w:vAlign w:val="center"/>
          </w:tcPr>
          <w:p w14:paraId="780B846D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highlight w:val="none"/>
                <w:lang w:bidi="ar"/>
              </w:rPr>
              <w:t>氯化氢气体的输送</w:t>
            </w:r>
          </w:p>
        </w:tc>
        <w:tc>
          <w:tcPr>
            <w:tcW w:w="1592" w:type="dxa"/>
            <w:vAlign w:val="center"/>
          </w:tcPr>
          <w:p w14:paraId="6CE4509E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highlight w:val="none"/>
                <w:lang w:bidi="ar"/>
              </w:rPr>
              <w:t>供料中断、稳定性</w:t>
            </w:r>
          </w:p>
        </w:tc>
        <w:tc>
          <w:tcPr>
            <w:tcW w:w="710" w:type="dxa"/>
            <w:vAlign w:val="center"/>
          </w:tcPr>
          <w:p w14:paraId="0DF5A387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highlight w:val="none"/>
                <w:lang w:bidi="ar"/>
              </w:rPr>
              <w:t>1</w:t>
            </w:r>
          </w:p>
        </w:tc>
        <w:tc>
          <w:tcPr>
            <w:tcW w:w="992" w:type="dxa"/>
            <w:vAlign w:val="center"/>
          </w:tcPr>
          <w:p w14:paraId="238F3BB3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1506" w:type="dxa"/>
            <w:vAlign w:val="center"/>
          </w:tcPr>
          <w:p w14:paraId="48F20AB5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highlight w:val="none"/>
                <w:lang w:bidi="ar"/>
              </w:rPr>
            </w:pPr>
          </w:p>
        </w:tc>
      </w:tr>
      <w:tr w14:paraId="10576B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" w:type="dxa"/>
            <w:vAlign w:val="center"/>
          </w:tcPr>
          <w:p w14:paraId="368DFB9B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val="en-US" w:eastAsia="zh-CN" w:bidi="ar"/>
              </w:rPr>
              <w:t>21</w:t>
            </w:r>
          </w:p>
        </w:tc>
        <w:tc>
          <w:tcPr>
            <w:tcW w:w="971" w:type="dxa"/>
            <w:vAlign w:val="center"/>
          </w:tcPr>
          <w:p w14:paraId="26DD78D1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  <w:t>工艺辅料</w:t>
            </w:r>
          </w:p>
        </w:tc>
        <w:tc>
          <w:tcPr>
            <w:tcW w:w="3066" w:type="dxa"/>
            <w:vAlign w:val="center"/>
          </w:tcPr>
          <w:p w14:paraId="13BA9D98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  <w:t>离子膜烧碱装置→各装置用户</w:t>
            </w:r>
          </w:p>
        </w:tc>
        <w:tc>
          <w:tcPr>
            <w:tcW w:w="1287" w:type="dxa"/>
            <w:vAlign w:val="center"/>
          </w:tcPr>
          <w:p w14:paraId="709F8977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  <w:t>31%盐酸输送管线</w:t>
            </w:r>
          </w:p>
        </w:tc>
        <w:tc>
          <w:tcPr>
            <w:tcW w:w="1592" w:type="dxa"/>
            <w:vAlign w:val="center"/>
          </w:tcPr>
          <w:p w14:paraId="6564ECC4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  <w:t>供料中断</w:t>
            </w:r>
          </w:p>
        </w:tc>
        <w:tc>
          <w:tcPr>
            <w:tcW w:w="710" w:type="dxa"/>
            <w:vAlign w:val="center"/>
          </w:tcPr>
          <w:p w14:paraId="54E6EF53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  <w:t>1</w:t>
            </w:r>
          </w:p>
        </w:tc>
        <w:tc>
          <w:tcPr>
            <w:tcW w:w="992" w:type="dxa"/>
            <w:vAlign w:val="center"/>
          </w:tcPr>
          <w:p w14:paraId="6DF92A46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1506" w:type="dxa"/>
            <w:vAlign w:val="center"/>
          </w:tcPr>
          <w:p w14:paraId="4917AD40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highlight w:val="none"/>
                <w:lang w:bidi="ar"/>
              </w:rPr>
            </w:pPr>
          </w:p>
        </w:tc>
      </w:tr>
      <w:tr w14:paraId="5383CD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" w:type="dxa"/>
            <w:vAlign w:val="center"/>
          </w:tcPr>
          <w:p w14:paraId="2C5BE8C5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yellow"/>
                <w:lang w:bidi="ar"/>
              </w:rPr>
            </w:pPr>
          </w:p>
        </w:tc>
        <w:tc>
          <w:tcPr>
            <w:tcW w:w="971" w:type="dxa"/>
            <w:vAlign w:val="center"/>
          </w:tcPr>
          <w:p w14:paraId="08E52CE0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yellow"/>
                <w:lang w:bidi="ar"/>
              </w:rPr>
            </w:pPr>
          </w:p>
        </w:tc>
        <w:tc>
          <w:tcPr>
            <w:tcW w:w="3066" w:type="dxa"/>
            <w:vAlign w:val="center"/>
          </w:tcPr>
          <w:p w14:paraId="7F08244D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yellow"/>
                <w:lang w:bidi="ar"/>
              </w:rPr>
            </w:pPr>
          </w:p>
        </w:tc>
        <w:tc>
          <w:tcPr>
            <w:tcW w:w="1287" w:type="dxa"/>
            <w:vAlign w:val="center"/>
          </w:tcPr>
          <w:p w14:paraId="7C72A392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yellow"/>
                <w:lang w:bidi="ar"/>
              </w:rPr>
            </w:pPr>
          </w:p>
        </w:tc>
        <w:tc>
          <w:tcPr>
            <w:tcW w:w="1592" w:type="dxa"/>
            <w:vAlign w:val="center"/>
          </w:tcPr>
          <w:p w14:paraId="1FB2E5D2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yellow"/>
                <w:lang w:bidi="ar"/>
              </w:rPr>
            </w:pPr>
          </w:p>
        </w:tc>
        <w:tc>
          <w:tcPr>
            <w:tcW w:w="710" w:type="dxa"/>
            <w:vAlign w:val="center"/>
          </w:tcPr>
          <w:p w14:paraId="63F4669B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yellow"/>
                <w:lang w:bidi="ar"/>
              </w:rPr>
            </w:pPr>
          </w:p>
        </w:tc>
        <w:tc>
          <w:tcPr>
            <w:tcW w:w="992" w:type="dxa"/>
            <w:vAlign w:val="center"/>
          </w:tcPr>
          <w:p w14:paraId="5D7A627F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yellow"/>
                <w:lang w:bidi="ar"/>
              </w:rPr>
            </w:pPr>
          </w:p>
        </w:tc>
        <w:tc>
          <w:tcPr>
            <w:tcW w:w="1506" w:type="dxa"/>
            <w:vAlign w:val="center"/>
          </w:tcPr>
          <w:p w14:paraId="27F69222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yellow"/>
                <w:lang w:bidi="ar"/>
              </w:rPr>
            </w:pPr>
          </w:p>
        </w:tc>
      </w:tr>
      <w:tr w14:paraId="40EF33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60" w:type="dxa"/>
            <w:gridSpan w:val="8"/>
            <w:vAlign w:val="center"/>
          </w:tcPr>
          <w:p w14:paraId="2A132048">
            <w:pPr>
              <w:widowControl/>
              <w:spacing w:line="300" w:lineRule="atLeast"/>
              <w:rPr>
                <w:rStyle w:val="10"/>
                <w:rFonts w:hint="eastAsia" w:ascii="微软雅黑" w:hAnsi="微软雅黑" w:eastAsia="微软雅黑" w:cs="微软雅黑"/>
                <w:bCs/>
                <w:color w:val="0F1115"/>
                <w:sz w:val="18"/>
                <w:szCs w:val="18"/>
                <w:highlight w:val="green"/>
                <w:shd w:val="clear" w:color="auto" w:fill="FFFFFF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bCs/>
                <w:color w:val="0F1115"/>
                <w:sz w:val="18"/>
                <w:szCs w:val="18"/>
                <w:highlight w:val="green"/>
                <w:shd w:val="clear" w:color="auto" w:fill="FFFFFF"/>
              </w:rPr>
              <w:t>C. 公用工程互联节点（系统级分析）</w:t>
            </w:r>
          </w:p>
        </w:tc>
      </w:tr>
      <w:tr w14:paraId="70C2B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" w:type="dxa"/>
            <w:vAlign w:val="center"/>
          </w:tcPr>
          <w:p w14:paraId="09A744BE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971" w:type="dxa"/>
            <w:vAlign w:val="center"/>
          </w:tcPr>
          <w:p w14:paraId="024E9BF8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公用工程</w:t>
            </w:r>
          </w:p>
        </w:tc>
        <w:tc>
          <w:tcPr>
            <w:tcW w:w="3066" w:type="dxa"/>
            <w:vAlign w:val="center"/>
          </w:tcPr>
          <w:p w14:paraId="568D533D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电网/变电站 → 各生产装置</w:t>
            </w:r>
          </w:p>
        </w:tc>
        <w:tc>
          <w:tcPr>
            <w:tcW w:w="1287" w:type="dxa"/>
            <w:vAlign w:val="center"/>
          </w:tcPr>
          <w:p w14:paraId="446BACC9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电力供应（全厂/片区）</w:t>
            </w:r>
          </w:p>
        </w:tc>
        <w:tc>
          <w:tcPr>
            <w:tcW w:w="1592" w:type="dxa"/>
            <w:vAlign w:val="center"/>
          </w:tcPr>
          <w:p w14:paraId="7574FC0F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全厂/片区停电导致的连锁停车、安全仪表系统失效</w:t>
            </w:r>
          </w:p>
        </w:tc>
        <w:tc>
          <w:tcPr>
            <w:tcW w:w="710" w:type="dxa"/>
            <w:vAlign w:val="center"/>
          </w:tcPr>
          <w:p w14:paraId="41EBB9B9">
            <w:pPr>
              <w:widowControl/>
              <w:spacing w:line="300" w:lineRule="atLeast"/>
              <w:ind w:firstLine="180" w:firstLineChars="100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992" w:type="dxa"/>
            <w:vAlign w:val="center"/>
          </w:tcPr>
          <w:p w14:paraId="4D934EA6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sz w:val="18"/>
                <w:szCs w:val="18"/>
              </w:rPr>
              <w:t>4</w:t>
            </w:r>
          </w:p>
        </w:tc>
        <w:tc>
          <w:tcPr>
            <w:tcW w:w="1506" w:type="dxa"/>
            <w:vAlign w:val="center"/>
          </w:tcPr>
          <w:p w14:paraId="549EAF81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分析对整个流程的影响</w:t>
            </w:r>
          </w:p>
        </w:tc>
      </w:tr>
      <w:tr w14:paraId="31DE8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" w:type="dxa"/>
            <w:vAlign w:val="center"/>
          </w:tcPr>
          <w:p w14:paraId="24CB9D70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971" w:type="dxa"/>
            <w:vAlign w:val="center"/>
          </w:tcPr>
          <w:p w14:paraId="530AF23D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公用工程</w:t>
            </w:r>
          </w:p>
        </w:tc>
        <w:tc>
          <w:tcPr>
            <w:tcW w:w="3066" w:type="dxa"/>
            <w:vAlign w:val="center"/>
          </w:tcPr>
          <w:p w14:paraId="5E12E5E0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蒸汽管网 → 各生产装置</w:t>
            </w:r>
          </w:p>
        </w:tc>
        <w:tc>
          <w:tcPr>
            <w:tcW w:w="1287" w:type="dxa"/>
            <w:vAlign w:val="center"/>
          </w:tcPr>
          <w:p w14:paraId="22B7B496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蒸汽供应</w:t>
            </w:r>
          </w:p>
        </w:tc>
        <w:tc>
          <w:tcPr>
            <w:tcW w:w="1592" w:type="dxa"/>
            <w:vAlign w:val="center"/>
          </w:tcPr>
          <w:p w14:paraId="32AEAE4E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蒸汽压力/温度丧失对反应、精馏、汽化的影响</w:t>
            </w:r>
          </w:p>
        </w:tc>
        <w:tc>
          <w:tcPr>
            <w:tcW w:w="710" w:type="dxa"/>
            <w:vAlign w:val="center"/>
          </w:tcPr>
          <w:p w14:paraId="6E935468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92" w:type="dxa"/>
            <w:vAlign w:val="center"/>
          </w:tcPr>
          <w:p w14:paraId="0A3C9911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506" w:type="dxa"/>
            <w:vAlign w:val="center"/>
          </w:tcPr>
          <w:p w14:paraId="043253CA">
            <w:pPr>
              <w:rPr>
                <w:rFonts w:hint="eastAsia" w:ascii="微软雅黑" w:hAnsi="微软雅黑" w:eastAsia="微软雅黑" w:cs="微软雅黑"/>
              </w:rPr>
            </w:pPr>
          </w:p>
        </w:tc>
      </w:tr>
      <w:tr w14:paraId="5B33E1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" w:type="dxa"/>
            <w:vAlign w:val="center"/>
          </w:tcPr>
          <w:p w14:paraId="77B5A677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971" w:type="dxa"/>
            <w:vAlign w:val="center"/>
          </w:tcPr>
          <w:p w14:paraId="2BE9C83F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公用工程</w:t>
            </w:r>
          </w:p>
        </w:tc>
        <w:tc>
          <w:tcPr>
            <w:tcW w:w="3066" w:type="dxa"/>
            <w:vAlign w:val="center"/>
          </w:tcPr>
          <w:p w14:paraId="627391F6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循环水 → 各生产装置</w:t>
            </w:r>
          </w:p>
        </w:tc>
        <w:tc>
          <w:tcPr>
            <w:tcW w:w="1287" w:type="dxa"/>
            <w:vAlign w:val="center"/>
          </w:tcPr>
          <w:p w14:paraId="4F4D0E11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循环冷却水</w:t>
            </w:r>
          </w:p>
        </w:tc>
        <w:tc>
          <w:tcPr>
            <w:tcW w:w="1592" w:type="dxa"/>
            <w:vAlign w:val="center"/>
          </w:tcPr>
          <w:p w14:paraId="2ED60792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冷却水中断导致反应失控、设备超压</w:t>
            </w:r>
          </w:p>
        </w:tc>
        <w:tc>
          <w:tcPr>
            <w:tcW w:w="710" w:type="dxa"/>
            <w:vAlign w:val="center"/>
          </w:tcPr>
          <w:p w14:paraId="3CA362A1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92" w:type="dxa"/>
            <w:vAlign w:val="center"/>
          </w:tcPr>
          <w:p w14:paraId="127D876C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506" w:type="dxa"/>
            <w:vAlign w:val="center"/>
          </w:tcPr>
          <w:p w14:paraId="4A6F3E05">
            <w:pPr>
              <w:rPr>
                <w:rFonts w:hint="eastAsia" w:ascii="微软雅黑" w:hAnsi="微软雅黑" w:eastAsia="微软雅黑" w:cs="微软雅黑"/>
              </w:rPr>
            </w:pPr>
          </w:p>
        </w:tc>
      </w:tr>
      <w:tr w14:paraId="48520A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" w:type="dxa"/>
            <w:vAlign w:val="center"/>
          </w:tcPr>
          <w:p w14:paraId="68C51B1B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val="en-US" w:eastAsia="zh-CN" w:bidi="ar"/>
              </w:rPr>
              <w:t>25</w:t>
            </w:r>
          </w:p>
        </w:tc>
        <w:tc>
          <w:tcPr>
            <w:tcW w:w="971" w:type="dxa"/>
            <w:vAlign w:val="center"/>
          </w:tcPr>
          <w:p w14:paraId="4732724C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  <w:t>公用工程</w:t>
            </w:r>
          </w:p>
        </w:tc>
        <w:tc>
          <w:tcPr>
            <w:tcW w:w="3066" w:type="dxa"/>
            <w:vAlign w:val="center"/>
          </w:tcPr>
          <w:p w14:paraId="1E2E53DE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  <w:t>空压站 → 各生产装置</w:t>
            </w:r>
          </w:p>
        </w:tc>
        <w:tc>
          <w:tcPr>
            <w:tcW w:w="1287" w:type="dxa"/>
            <w:vAlign w:val="center"/>
          </w:tcPr>
          <w:p w14:paraId="412E5EB1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  <w:t>仪表空气/氮气</w:t>
            </w:r>
          </w:p>
        </w:tc>
        <w:tc>
          <w:tcPr>
            <w:tcW w:w="1592" w:type="dxa"/>
            <w:vAlign w:val="center"/>
          </w:tcPr>
          <w:p w14:paraId="7C6FF4CF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  <w:t>仪表风故障导致控制阀失效、全线失控</w:t>
            </w:r>
          </w:p>
        </w:tc>
        <w:tc>
          <w:tcPr>
            <w:tcW w:w="710" w:type="dxa"/>
            <w:vAlign w:val="center"/>
          </w:tcPr>
          <w:p w14:paraId="4A2CECE9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  <w:t>2</w:t>
            </w:r>
          </w:p>
        </w:tc>
        <w:tc>
          <w:tcPr>
            <w:tcW w:w="992" w:type="dxa"/>
            <w:vAlign w:val="center"/>
          </w:tcPr>
          <w:p w14:paraId="31C435F9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sz w:val="18"/>
                <w:szCs w:val="18"/>
                <w:highlight w:val="none"/>
                <w:lang w:val="en-US" w:eastAsia="zh-CN"/>
              </w:rPr>
              <w:t>6</w:t>
            </w:r>
          </w:p>
        </w:tc>
        <w:tc>
          <w:tcPr>
            <w:tcW w:w="1506" w:type="dxa"/>
            <w:vAlign w:val="center"/>
          </w:tcPr>
          <w:p w14:paraId="349C2A04">
            <w:pPr>
              <w:rPr>
                <w:rFonts w:hint="eastAsia" w:ascii="微软雅黑" w:hAnsi="微软雅黑" w:eastAsia="微软雅黑" w:cs="微软雅黑"/>
                <w:sz w:val="18"/>
                <w:szCs w:val="18"/>
                <w:highlight w:val="none"/>
              </w:rPr>
            </w:pPr>
          </w:p>
        </w:tc>
      </w:tr>
      <w:tr w14:paraId="089A32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" w:type="dxa"/>
            <w:vAlign w:val="center"/>
          </w:tcPr>
          <w:p w14:paraId="608075C3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val="en-US" w:eastAsia="zh-CN" w:bidi="ar"/>
              </w:rPr>
              <w:t>6</w:t>
            </w:r>
          </w:p>
        </w:tc>
        <w:tc>
          <w:tcPr>
            <w:tcW w:w="971" w:type="dxa"/>
            <w:vAlign w:val="center"/>
          </w:tcPr>
          <w:p w14:paraId="3B32B4A6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  <w:t>公用工程</w:t>
            </w:r>
          </w:p>
        </w:tc>
        <w:tc>
          <w:tcPr>
            <w:tcW w:w="3066" w:type="dxa"/>
            <w:vAlign w:val="center"/>
          </w:tcPr>
          <w:p w14:paraId="234912FB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  <w:t>燃料气管网-各生产装置</w:t>
            </w:r>
          </w:p>
        </w:tc>
        <w:tc>
          <w:tcPr>
            <w:tcW w:w="1287" w:type="dxa"/>
            <w:vAlign w:val="center"/>
          </w:tcPr>
          <w:p w14:paraId="4569F662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  <w:t>燃料气供应</w:t>
            </w:r>
          </w:p>
        </w:tc>
        <w:tc>
          <w:tcPr>
            <w:tcW w:w="1592" w:type="dxa"/>
            <w:vAlign w:val="center"/>
          </w:tcPr>
          <w:p w14:paraId="0D1DE738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  <w:t>燃料气中断/热值变化等各用户的影响</w:t>
            </w:r>
          </w:p>
        </w:tc>
        <w:tc>
          <w:tcPr>
            <w:tcW w:w="710" w:type="dxa"/>
            <w:vAlign w:val="center"/>
          </w:tcPr>
          <w:p w14:paraId="4F3C0C1C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  <w:t>1</w:t>
            </w:r>
          </w:p>
        </w:tc>
        <w:tc>
          <w:tcPr>
            <w:tcW w:w="992" w:type="dxa"/>
            <w:vAlign w:val="center"/>
          </w:tcPr>
          <w:p w14:paraId="4DA973ED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sz w:val="18"/>
                <w:szCs w:val="18"/>
                <w:highlight w:val="none"/>
              </w:rPr>
              <w:t>4</w:t>
            </w:r>
          </w:p>
        </w:tc>
        <w:tc>
          <w:tcPr>
            <w:tcW w:w="1506" w:type="dxa"/>
            <w:vAlign w:val="center"/>
          </w:tcPr>
          <w:p w14:paraId="78D11832">
            <w:pPr>
              <w:rPr>
                <w:rFonts w:hint="eastAsia" w:ascii="微软雅黑" w:hAnsi="微软雅黑" w:eastAsia="微软雅黑" w:cs="微软雅黑"/>
                <w:sz w:val="18"/>
                <w:szCs w:val="18"/>
                <w:highlight w:val="none"/>
              </w:rPr>
            </w:pPr>
          </w:p>
        </w:tc>
      </w:tr>
      <w:tr w14:paraId="7AEFD7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" w:type="dxa"/>
            <w:vAlign w:val="center"/>
          </w:tcPr>
          <w:p w14:paraId="4569FAF4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val="en-US" w:eastAsia="zh-CN" w:bidi="ar"/>
              </w:rPr>
              <w:t>7</w:t>
            </w:r>
          </w:p>
        </w:tc>
        <w:tc>
          <w:tcPr>
            <w:tcW w:w="971" w:type="dxa"/>
            <w:vAlign w:val="center"/>
          </w:tcPr>
          <w:p w14:paraId="0DCD3BCF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  <w:t>公用工程</w:t>
            </w:r>
          </w:p>
        </w:tc>
        <w:tc>
          <w:tcPr>
            <w:tcW w:w="3066" w:type="dxa"/>
            <w:vAlign w:val="center"/>
          </w:tcPr>
          <w:p w14:paraId="157C2D86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  <w:t>除盐水站-各生产装置</w:t>
            </w:r>
          </w:p>
        </w:tc>
        <w:tc>
          <w:tcPr>
            <w:tcW w:w="1287" w:type="dxa"/>
            <w:vAlign w:val="center"/>
          </w:tcPr>
          <w:p w14:paraId="57EB1F6E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  <w:t>除盐水</w:t>
            </w:r>
          </w:p>
        </w:tc>
        <w:tc>
          <w:tcPr>
            <w:tcW w:w="1592" w:type="dxa"/>
            <w:vAlign w:val="center"/>
          </w:tcPr>
          <w:p w14:paraId="7221B02D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  <w:t>除盐水中断对装置的影响</w:t>
            </w:r>
          </w:p>
        </w:tc>
        <w:tc>
          <w:tcPr>
            <w:tcW w:w="710" w:type="dxa"/>
            <w:vAlign w:val="center"/>
          </w:tcPr>
          <w:p w14:paraId="117099CC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  <w:t>1</w:t>
            </w:r>
          </w:p>
        </w:tc>
        <w:tc>
          <w:tcPr>
            <w:tcW w:w="992" w:type="dxa"/>
            <w:vAlign w:val="center"/>
          </w:tcPr>
          <w:p w14:paraId="27C8ECDF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1506" w:type="dxa"/>
            <w:vAlign w:val="center"/>
          </w:tcPr>
          <w:p w14:paraId="6233DE9B">
            <w:pPr>
              <w:rPr>
                <w:rFonts w:hint="eastAsia" w:ascii="微软雅黑" w:hAnsi="微软雅黑" w:eastAsia="微软雅黑" w:cs="微软雅黑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highlight w:val="none"/>
              </w:rPr>
              <w:t>明确除盐水的用途，中断对生产装置的影响</w:t>
            </w:r>
          </w:p>
        </w:tc>
      </w:tr>
      <w:tr w14:paraId="0CBF59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60" w:type="dxa"/>
            <w:gridSpan w:val="8"/>
            <w:vAlign w:val="center"/>
          </w:tcPr>
          <w:p w14:paraId="472D3A3A">
            <w:pPr>
              <w:widowControl/>
              <w:spacing w:line="300" w:lineRule="atLeast"/>
              <w:rPr>
                <w:rStyle w:val="10"/>
                <w:rFonts w:hint="eastAsia" w:ascii="微软雅黑" w:hAnsi="微软雅黑" w:eastAsia="微软雅黑" w:cs="微软雅黑"/>
                <w:bCs/>
                <w:color w:val="0F1115"/>
                <w:sz w:val="18"/>
                <w:szCs w:val="18"/>
                <w:highlight w:val="green"/>
                <w:shd w:val="clear" w:color="auto" w:fill="FFFFFF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bCs/>
                <w:color w:val="0F1115"/>
                <w:sz w:val="18"/>
                <w:szCs w:val="18"/>
                <w:highlight w:val="green"/>
                <w:shd w:val="clear" w:color="auto" w:fill="FFFFFF"/>
              </w:rPr>
              <w:t>D. 关键辅助系统互联节点</w:t>
            </w:r>
          </w:p>
        </w:tc>
      </w:tr>
      <w:tr w14:paraId="78CF1A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" w:type="dxa"/>
            <w:vAlign w:val="center"/>
          </w:tcPr>
          <w:p w14:paraId="0EFA7EE9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971" w:type="dxa"/>
            <w:vAlign w:val="center"/>
          </w:tcPr>
          <w:p w14:paraId="25DD2A1B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辅助系统</w:t>
            </w:r>
          </w:p>
        </w:tc>
        <w:tc>
          <w:tcPr>
            <w:tcW w:w="3066" w:type="dxa"/>
            <w:vAlign w:val="center"/>
          </w:tcPr>
          <w:p w14:paraId="70ABA3F2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各装置 → 废水处理/回用</w:t>
            </w:r>
          </w:p>
        </w:tc>
        <w:tc>
          <w:tcPr>
            <w:tcW w:w="1287" w:type="dxa"/>
            <w:vAlign w:val="center"/>
          </w:tcPr>
          <w:p w14:paraId="0053C713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含氟/含氯废水</w:t>
            </w:r>
          </w:p>
        </w:tc>
        <w:tc>
          <w:tcPr>
            <w:tcW w:w="1592" w:type="dxa"/>
            <w:vAlign w:val="center"/>
          </w:tcPr>
          <w:p w14:paraId="038FE9BC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污染物混串、冲击处理系统、腐蚀</w:t>
            </w:r>
          </w:p>
        </w:tc>
        <w:tc>
          <w:tcPr>
            <w:tcW w:w="710" w:type="dxa"/>
            <w:vAlign w:val="center"/>
          </w:tcPr>
          <w:p w14:paraId="50EA627C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92" w:type="dxa"/>
            <w:vAlign w:val="center"/>
          </w:tcPr>
          <w:p w14:paraId="789D84F6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sz w:val="18"/>
                <w:szCs w:val="18"/>
              </w:rPr>
              <w:t>6</w:t>
            </w:r>
          </w:p>
        </w:tc>
        <w:tc>
          <w:tcPr>
            <w:tcW w:w="1506" w:type="dxa"/>
            <w:vAlign w:val="center"/>
          </w:tcPr>
          <w:p w14:paraId="69886459"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 w14:paraId="55C6F9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" w:type="dxa"/>
            <w:vAlign w:val="center"/>
          </w:tcPr>
          <w:p w14:paraId="47C5C35D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val="en-US" w:eastAsia="zh-CN" w:bidi="ar"/>
              </w:rPr>
              <w:t>29</w:t>
            </w:r>
          </w:p>
        </w:tc>
        <w:tc>
          <w:tcPr>
            <w:tcW w:w="971" w:type="dxa"/>
            <w:vAlign w:val="center"/>
          </w:tcPr>
          <w:p w14:paraId="3AEEE9CB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辅助系统</w:t>
            </w:r>
          </w:p>
        </w:tc>
        <w:tc>
          <w:tcPr>
            <w:tcW w:w="3066" w:type="dxa"/>
            <w:vAlign w:val="center"/>
          </w:tcPr>
          <w:p w14:paraId="185CDC80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各装置 → 焚烧装置</w:t>
            </w:r>
          </w:p>
        </w:tc>
        <w:tc>
          <w:tcPr>
            <w:tcW w:w="1287" w:type="dxa"/>
            <w:vAlign w:val="center"/>
          </w:tcPr>
          <w:p w14:paraId="2532FB38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有机物</w:t>
            </w:r>
          </w:p>
        </w:tc>
        <w:tc>
          <w:tcPr>
            <w:tcW w:w="1592" w:type="dxa"/>
            <w:vAlign w:val="center"/>
          </w:tcPr>
          <w:p w14:paraId="7C0047A3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处理能力不足、组分冲突</w:t>
            </w:r>
          </w:p>
        </w:tc>
        <w:tc>
          <w:tcPr>
            <w:tcW w:w="710" w:type="dxa"/>
            <w:vAlign w:val="center"/>
          </w:tcPr>
          <w:p w14:paraId="50100623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92" w:type="dxa"/>
            <w:vAlign w:val="center"/>
          </w:tcPr>
          <w:p w14:paraId="22ACF3AA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sz w:val="18"/>
                <w:szCs w:val="18"/>
              </w:rPr>
              <w:t>6</w:t>
            </w:r>
          </w:p>
        </w:tc>
        <w:tc>
          <w:tcPr>
            <w:tcW w:w="1506" w:type="dxa"/>
            <w:vAlign w:val="center"/>
          </w:tcPr>
          <w:p w14:paraId="64753FAF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极高危介质</w:t>
            </w:r>
          </w:p>
        </w:tc>
      </w:tr>
      <w:tr w14:paraId="435ED9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" w:type="dxa"/>
            <w:vAlign w:val="center"/>
          </w:tcPr>
          <w:p w14:paraId="3076A16F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971" w:type="dxa"/>
            <w:vAlign w:val="center"/>
          </w:tcPr>
          <w:p w14:paraId="4147719E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辅助系统</w:t>
            </w:r>
          </w:p>
        </w:tc>
        <w:tc>
          <w:tcPr>
            <w:tcW w:w="3066" w:type="dxa"/>
            <w:vAlign w:val="center"/>
          </w:tcPr>
          <w:p w14:paraId="78FA8A4D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氢气系统 → 用户</w:t>
            </w:r>
          </w:p>
        </w:tc>
        <w:tc>
          <w:tcPr>
            <w:tcW w:w="1287" w:type="dxa"/>
            <w:vAlign w:val="center"/>
          </w:tcPr>
          <w:p w14:paraId="1E1604D7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氢气</w:t>
            </w:r>
          </w:p>
        </w:tc>
        <w:tc>
          <w:tcPr>
            <w:tcW w:w="1592" w:type="dxa"/>
            <w:vAlign w:val="center"/>
          </w:tcPr>
          <w:p w14:paraId="17801888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中断、泄漏、爆炸风险</w:t>
            </w:r>
          </w:p>
        </w:tc>
        <w:tc>
          <w:tcPr>
            <w:tcW w:w="710" w:type="dxa"/>
            <w:vAlign w:val="center"/>
          </w:tcPr>
          <w:p w14:paraId="06FCF7D0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992" w:type="dxa"/>
            <w:vAlign w:val="center"/>
          </w:tcPr>
          <w:p w14:paraId="17C2287B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F1115"/>
                <w:sz w:val="18"/>
                <w:szCs w:val="18"/>
              </w:rPr>
              <w:t>3</w:t>
            </w:r>
          </w:p>
        </w:tc>
        <w:tc>
          <w:tcPr>
            <w:tcW w:w="1506" w:type="dxa"/>
            <w:vAlign w:val="center"/>
          </w:tcPr>
          <w:p w14:paraId="598B2C9A"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 w14:paraId="77F09E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60" w:type="dxa"/>
            <w:gridSpan w:val="8"/>
            <w:vAlign w:val="center"/>
          </w:tcPr>
          <w:p w14:paraId="198DE6A4">
            <w:pPr>
              <w:widowControl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bCs/>
                <w:color w:val="0F1115"/>
                <w:kern w:val="0"/>
                <w:sz w:val="18"/>
                <w:szCs w:val="18"/>
                <w:highlight w:val="green"/>
                <w:lang w:bidi="ar"/>
              </w:rPr>
              <w:t>总计：预估节点总数：46个；预估总分析时长：1</w:t>
            </w:r>
            <w:r>
              <w:rPr>
                <w:rStyle w:val="10"/>
                <w:rFonts w:hint="eastAsia" w:ascii="微软雅黑" w:hAnsi="微软雅黑" w:eastAsia="微软雅黑" w:cs="微软雅黑"/>
                <w:bCs/>
                <w:color w:val="0F1115"/>
                <w:kern w:val="0"/>
                <w:sz w:val="18"/>
                <w:szCs w:val="18"/>
                <w:highlight w:val="green"/>
                <w:lang w:val="en-US" w:eastAsia="zh-CN" w:bidi="ar"/>
              </w:rPr>
              <w:t>13</w:t>
            </w:r>
            <w:r>
              <w:rPr>
                <w:rStyle w:val="10"/>
                <w:rFonts w:hint="eastAsia" w:ascii="微软雅黑" w:hAnsi="微软雅黑" w:eastAsia="微软雅黑" w:cs="微软雅黑"/>
                <w:bCs/>
                <w:color w:val="0F1115"/>
                <w:kern w:val="0"/>
                <w:sz w:val="18"/>
                <w:szCs w:val="18"/>
                <w:highlight w:val="green"/>
                <w:lang w:bidi="ar"/>
              </w:rPr>
              <w:t>小时</w:t>
            </w:r>
          </w:p>
          <w:p w14:paraId="5B714F79">
            <w:pPr>
              <w:rPr>
                <w:rFonts w:hint="eastAsia" w:ascii="微软雅黑" w:hAnsi="微软雅黑" w:eastAsia="微软雅黑" w:cs="微软雅黑"/>
                <w:color w:val="0F1115"/>
                <w:kern w:val="0"/>
                <w:sz w:val="18"/>
                <w:szCs w:val="18"/>
                <w:lang w:bidi="ar"/>
              </w:rPr>
            </w:pPr>
          </w:p>
        </w:tc>
      </w:tr>
    </w:tbl>
    <w:p w14:paraId="25DE9F9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7F" w:usb3="00000000" w:csb0="203F01FF" w:csb1="DFFF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MiSans">
    <w:panose1 w:val="00000500000000000000"/>
    <w:charset w:val="86"/>
    <w:family w:val="auto"/>
    <w:pitch w:val="default"/>
    <w:sig w:usb0="00000001" w:usb1="0A0F1810" w:usb2="00000016" w:usb3="00000000" w:csb0="0004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Yu Gothic Medium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AmdtSymbols">
    <w:panose1 w:val="02000500000000020004"/>
    <w:charset w:val="00"/>
    <w:family w:val="auto"/>
    <w:pitch w:val="default"/>
    <w:sig w:usb0="00000001" w:usb1="00000000" w:usb2="00000000" w:usb3="00000000" w:csb0="00000001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Baskerville Old Face">
    <w:panose1 w:val="02020602080505020303"/>
    <w:charset w:val="00"/>
    <w:family w:val="auto"/>
    <w:pitch w:val="default"/>
    <w:sig w:usb0="00000003" w:usb1="00000000" w:usb2="00000000" w:usb3="00000000" w:csb0="20000001" w:csb1="00000000"/>
  </w:font>
  <w:font w:name="Britannic Bold">
    <w:panose1 w:val="020B0903060703020204"/>
    <w:charset w:val="00"/>
    <w:family w:val="auto"/>
    <w:pitch w:val="default"/>
    <w:sig w:usb0="00000003" w:usb1="00000000" w:usb2="00000000" w:usb3="00000000" w:csb0="20000001" w:csb1="00000000"/>
  </w:font>
  <w:font w:name="Calisto MT">
    <w:panose1 w:val="02040603050505030304"/>
    <w:charset w:val="00"/>
    <w:family w:val="auto"/>
    <w:pitch w:val="default"/>
    <w:sig w:usb0="00000003" w:usb1="00000000" w:usb2="00000000" w:usb3="00000000" w:csb0="20000001" w:csb1="00000000"/>
  </w:font>
  <w:font w:name="Franklin Gothic Demi">
    <w:panose1 w:val="020B0703020102020204"/>
    <w:charset w:val="00"/>
    <w:family w:val="auto"/>
    <w:pitch w:val="default"/>
    <w:sig w:usb0="00000287" w:usb1="00000000" w:usb2="00000000" w:usb3="00000000" w:csb0="2000009F" w:csb1="DFD70000"/>
  </w:font>
  <w:font w:name="Gadugi">
    <w:panose1 w:val="020B0502040204020203"/>
    <w:charset w:val="00"/>
    <w:family w:val="auto"/>
    <w:pitch w:val="default"/>
    <w:sig w:usb0="80000003" w:usb1="02000000" w:usb2="00003000" w:usb3="00000000" w:csb0="00000001" w:csb1="00000000"/>
  </w:font>
  <w:font w:name="Gill Sans Ultra Bold">
    <w:panose1 w:val="020B0A02020104020203"/>
    <w:charset w:val="00"/>
    <w:family w:val="auto"/>
    <w:pitch w:val="default"/>
    <w:sig w:usb0="00000003" w:usb1="00000000" w:usb2="00000000" w:usb3="00000000" w:csb0="20000003" w:csb1="00000000"/>
  </w:font>
  <w:font w:name="Leelawadee UI">
    <w:panose1 w:val="020B0502040204020203"/>
    <w:charset w:val="00"/>
    <w:family w:val="auto"/>
    <w:pitch w:val="default"/>
    <w:sig w:usb0="83000003" w:usb1="00000000" w:usb2="00010000" w:usb3="00000001" w:csb0="00010101" w:csb1="00000000"/>
  </w:font>
  <w:font w:name="Maiandra GD">
    <w:panose1 w:val="020E0502030308020204"/>
    <w:charset w:val="00"/>
    <w:family w:val="auto"/>
    <w:pitch w:val="default"/>
    <w:sig w:usb0="00000003" w:usb1="00000000" w:usb2="00000000" w:usb3="00000000" w:csb0="20000001" w:csb1="00000000"/>
  </w:font>
  <w:font w:name="Rockwell">
    <w:panose1 w:val="02060603020205020403"/>
    <w:charset w:val="00"/>
    <w:family w:val="auto"/>
    <w:pitch w:val="default"/>
    <w:sig w:usb0="00000003" w:usb1="00000000" w:usb2="00000000" w:usb3="00000000" w:csb0="20000001" w:csb1="00000000"/>
  </w:font>
  <w:font w:name="Segoe UI Light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3AC7451"/>
    <w:multiLevelType w:val="singleLevel"/>
    <w:tmpl w:val="B3AC7451"/>
    <w:lvl w:ilvl="0" w:tentative="0">
      <w:start w:val="1"/>
      <w:numFmt w:val="chineseCounting"/>
      <w:suff w:val="space"/>
      <w:lvlText w:val="第%1条"/>
      <w:lvlJc w:val="left"/>
      <w:rPr>
        <w:rFonts w:hint="eastAsia"/>
        <w:b/>
        <w:bCs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1AE2"/>
    <w:rsid w:val="00571AE2"/>
    <w:rsid w:val="0086028A"/>
    <w:rsid w:val="00A86242"/>
    <w:rsid w:val="00C15F7D"/>
    <w:rsid w:val="00CF2557"/>
    <w:rsid w:val="02615F34"/>
    <w:rsid w:val="0A3A5F79"/>
    <w:rsid w:val="1A637AFE"/>
    <w:rsid w:val="276509F1"/>
    <w:rsid w:val="2D8203E7"/>
    <w:rsid w:val="3A2E488E"/>
    <w:rsid w:val="3B8656A2"/>
    <w:rsid w:val="41F02089"/>
    <w:rsid w:val="445A7A26"/>
    <w:rsid w:val="49325BEC"/>
    <w:rsid w:val="4C33447A"/>
    <w:rsid w:val="4EFC70A4"/>
    <w:rsid w:val="59450538"/>
    <w:rsid w:val="5B8E1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uiPriority w:val="0"/>
    <w:pPr>
      <w:jc w:val="left"/>
    </w:pPr>
  </w:style>
  <w:style w:type="paragraph" w:styleId="4">
    <w:name w:val="footer"/>
    <w:basedOn w:val="1"/>
    <w:link w:val="13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rPr>
      <w:sz w:val="24"/>
    </w:rPr>
  </w:style>
  <w:style w:type="table" w:styleId="8">
    <w:name w:val="Table Grid"/>
    <w:basedOn w:val="7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paragraph" w:customStyle="1" w:styleId="11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cs="Arial Unicode MS"/>
      <w:sz w:val="18"/>
      <w:szCs w:val="18"/>
    </w:rPr>
  </w:style>
  <w:style w:type="character" w:customStyle="1" w:styleId="12">
    <w:name w:val="页眉 字符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字符"/>
    <w:basedOn w:val="9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2670</Words>
  <Characters>2954</Characters>
  <Lines>24</Lines>
  <Paragraphs>6</Paragraphs>
  <TotalTime>5</TotalTime>
  <ScaleCrop>false</ScaleCrop>
  <LinksUpToDate>false</LinksUpToDate>
  <CharactersWithSpaces>3061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2025-09-28T01:58:00Z</dcterms:created>
  <dc:creator>wcf07</dc:creator>
  <cp:lastModifiedBy>Je t'aime.</cp:lastModifiedBy>
  <cp:lastPrinted>2025-10-07T08:26:00Z</cp:lastPrinted>
  <dcterms:modified xsi:type="dcterms:W3CDTF">2025-10-08T01:56:00Z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eyJoZGlkIjoiZDhiZjEzYTM4ODFjM2MzZWQwNThmMWE0ZDQxOTY1NjMiLCJ1c2VySWQiOiIzMjc5NDIwODcifQ==</vt:lpwstr>
  </property>
  <property fmtid="{D5CDD505-2E9C-101B-9397-08002B2CF9AE}" pid="4" name="ICV">
    <vt:lpwstr>9C95823EE47846A0A2E0DC7A8B7B85AA_13</vt:lpwstr>
  </property>
</Properties>
</file>