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8EF86">
      <w:pPr>
        <w:snapToGrid w:val="0"/>
        <w:spacing w:line="360" w:lineRule="auto"/>
        <w:jc w:val="both"/>
        <w:rPr>
          <w:rFonts w:hint="eastAsia" w:ascii="宋体" w:hAnsi="宋体" w:eastAsia="宋体" w:cs="宋体"/>
          <w:color w:val="auto"/>
          <w:sz w:val="44"/>
          <w:highlight w:val="none"/>
        </w:rPr>
      </w:pPr>
      <w:bookmarkStart w:id="19" w:name="_GoBack"/>
      <w:bookmarkEnd w:id="19"/>
    </w:p>
    <w:p w14:paraId="08C48F14">
      <w:pPr>
        <w:snapToGrid w:val="0"/>
        <w:spacing w:line="360" w:lineRule="auto"/>
        <w:jc w:val="center"/>
        <w:rPr>
          <w:rFonts w:hint="eastAsia" w:ascii="宋体" w:hAnsi="宋体" w:eastAsia="宋体" w:cs="宋体"/>
          <w:b/>
          <w:color w:val="auto"/>
          <w:sz w:val="48"/>
          <w:szCs w:val="48"/>
          <w:highlight w:val="none"/>
          <w:u w:val="single"/>
          <w:lang w:eastAsia="zh-CN"/>
        </w:rPr>
      </w:pPr>
    </w:p>
    <w:p w14:paraId="77A21E70">
      <w:pPr>
        <w:snapToGrid w:val="0"/>
        <w:spacing w:line="360" w:lineRule="auto"/>
        <w:jc w:val="center"/>
        <w:rPr>
          <w:rFonts w:hint="eastAsia" w:ascii="宋体" w:hAnsi="宋体" w:eastAsia="宋体" w:cs="宋体"/>
          <w:b/>
          <w:color w:val="auto"/>
          <w:sz w:val="36"/>
          <w:szCs w:val="36"/>
          <w:highlight w:val="none"/>
          <w:u w:val="single"/>
          <w:lang w:eastAsia="zh-CN"/>
        </w:rPr>
      </w:pPr>
      <w:r>
        <w:rPr>
          <w:rFonts w:hint="eastAsia" w:ascii="宋体" w:hAnsi="宋体" w:eastAsia="宋体" w:cs="宋体"/>
          <w:b/>
          <w:color w:val="auto"/>
          <w:sz w:val="48"/>
          <w:szCs w:val="48"/>
          <w:highlight w:val="none"/>
          <w:u w:val="none"/>
          <w:lang w:eastAsia="zh-CN"/>
        </w:rPr>
        <w:t>巨化集团有限公司招标代理机构选择</w:t>
      </w:r>
    </w:p>
    <w:p w14:paraId="1034AAE8">
      <w:pPr>
        <w:snapToGrid w:val="0"/>
        <w:spacing w:line="360" w:lineRule="auto"/>
        <w:jc w:val="center"/>
        <w:rPr>
          <w:rFonts w:hint="eastAsia" w:ascii="宋体" w:hAnsi="宋体" w:eastAsia="宋体" w:cs="宋体"/>
          <w:b/>
          <w:color w:val="auto"/>
          <w:sz w:val="36"/>
          <w:szCs w:val="36"/>
          <w:highlight w:val="none"/>
          <w:u w:val="single"/>
          <w:lang w:eastAsia="zh-CN"/>
        </w:rPr>
      </w:pPr>
    </w:p>
    <w:p w14:paraId="3477656F">
      <w:pPr>
        <w:snapToGrid w:val="0"/>
        <w:spacing w:line="360" w:lineRule="auto"/>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公开招标文件</w:t>
      </w:r>
    </w:p>
    <w:p w14:paraId="4B1E6986">
      <w:pPr>
        <w:snapToGrid w:val="0"/>
        <w:spacing w:line="360" w:lineRule="auto"/>
        <w:jc w:val="center"/>
        <w:rPr>
          <w:rFonts w:hint="eastAsia" w:ascii="宋体" w:hAnsi="宋体" w:eastAsia="宋体" w:cs="宋体"/>
          <w:b/>
          <w:color w:val="auto"/>
          <w:sz w:val="48"/>
          <w:szCs w:val="48"/>
          <w:highlight w:val="none"/>
        </w:rPr>
      </w:pPr>
    </w:p>
    <w:p w14:paraId="70B4A19D">
      <w:pPr>
        <w:snapToGrid w:val="0"/>
        <w:spacing w:line="360" w:lineRule="auto"/>
        <w:jc w:val="center"/>
        <w:rPr>
          <w:rFonts w:hint="eastAsia" w:ascii="宋体" w:hAnsi="宋体" w:eastAsia="宋体" w:cs="宋体"/>
          <w:b/>
          <w:color w:val="auto"/>
          <w:sz w:val="48"/>
          <w:szCs w:val="48"/>
          <w:highlight w:val="none"/>
        </w:rPr>
      </w:pPr>
    </w:p>
    <w:p w14:paraId="063251FE">
      <w:pPr>
        <w:snapToGrid w:val="0"/>
        <w:spacing w:line="360" w:lineRule="auto"/>
        <w:jc w:val="center"/>
        <w:rPr>
          <w:rFonts w:hint="eastAsia" w:ascii="宋体" w:hAnsi="宋体" w:eastAsia="宋体" w:cs="宋体"/>
          <w:b/>
          <w:color w:val="auto"/>
          <w:sz w:val="48"/>
          <w:szCs w:val="48"/>
          <w:highlight w:val="none"/>
        </w:rPr>
      </w:pPr>
    </w:p>
    <w:p w14:paraId="36F0ADB2">
      <w:pPr>
        <w:pStyle w:val="5"/>
        <w:snapToGrid w:val="0"/>
        <w:spacing w:before="0" w:beforeLines="0" w:after="0" w:afterLines="0" w:line="360" w:lineRule="auto"/>
        <w:ind w:left="2526" w:leftChars="504" w:hanging="1468" w:hangingChars="481"/>
        <w:rPr>
          <w:rFonts w:hint="eastAsia" w:ascii="宋体" w:hAnsi="宋体" w:eastAsia="宋体" w:cs="宋体"/>
          <w:b/>
          <w:bCs/>
          <w:color w:val="auto"/>
          <w:w w:val="95"/>
          <w:sz w:val="32"/>
          <w:szCs w:val="32"/>
          <w:highlight w:val="none"/>
          <w:lang w:eastAsia="zh-CN"/>
        </w:rPr>
      </w:pPr>
    </w:p>
    <w:p w14:paraId="5AF31F0C">
      <w:pPr>
        <w:pStyle w:val="5"/>
        <w:snapToGrid w:val="0"/>
        <w:spacing w:before="0" w:beforeLines="0" w:after="0" w:afterLines="0" w:line="360" w:lineRule="auto"/>
        <w:ind w:left="2526" w:leftChars="504" w:hanging="1468" w:hangingChars="481"/>
        <w:rPr>
          <w:rFonts w:hint="eastAsia" w:ascii="宋体" w:hAnsi="宋体" w:eastAsia="宋体" w:cs="宋体"/>
          <w:b/>
          <w:bCs/>
          <w:color w:val="auto"/>
          <w:w w:val="95"/>
          <w:sz w:val="32"/>
          <w:szCs w:val="32"/>
          <w:highlight w:val="none"/>
          <w:lang w:eastAsia="zh-CN"/>
        </w:rPr>
      </w:pPr>
    </w:p>
    <w:p w14:paraId="3B15FBFB">
      <w:pPr>
        <w:pStyle w:val="5"/>
        <w:snapToGrid w:val="0"/>
        <w:spacing w:before="0" w:beforeLines="0" w:after="0" w:afterLines="0" w:line="360" w:lineRule="auto"/>
        <w:ind w:left="2526" w:leftChars="504" w:hanging="1468" w:hangingChars="481"/>
        <w:rPr>
          <w:rFonts w:hint="eastAsia" w:ascii="宋体" w:hAnsi="宋体" w:eastAsia="宋体" w:cs="宋体"/>
          <w:b/>
          <w:bCs/>
          <w:color w:val="auto"/>
          <w:w w:val="95"/>
          <w:sz w:val="32"/>
          <w:szCs w:val="32"/>
          <w:highlight w:val="none"/>
          <w:lang w:eastAsia="zh-CN"/>
        </w:rPr>
      </w:pPr>
    </w:p>
    <w:p w14:paraId="1CCBECE9">
      <w:pPr>
        <w:pStyle w:val="5"/>
        <w:snapToGrid w:val="0"/>
        <w:spacing w:before="0" w:beforeLines="0" w:after="0" w:afterLines="0" w:line="360" w:lineRule="auto"/>
        <w:ind w:left="2526" w:leftChars="504" w:hanging="1468" w:hangingChars="481"/>
        <w:rPr>
          <w:rFonts w:hint="eastAsia" w:ascii="宋体" w:hAnsi="宋体" w:eastAsia="宋体" w:cs="宋体"/>
          <w:b/>
          <w:bCs/>
          <w:color w:val="auto"/>
          <w:w w:val="95"/>
          <w:sz w:val="32"/>
          <w:szCs w:val="32"/>
          <w:highlight w:val="none"/>
          <w:lang w:eastAsia="zh-CN"/>
        </w:rPr>
      </w:pPr>
    </w:p>
    <w:p w14:paraId="7F926DD8">
      <w:pPr>
        <w:pStyle w:val="5"/>
        <w:snapToGrid w:val="0"/>
        <w:spacing w:before="0" w:beforeLines="0" w:after="0" w:afterLines="0" w:line="360" w:lineRule="auto"/>
        <w:ind w:left="2526" w:leftChars="504" w:hanging="1468" w:hangingChars="481"/>
        <w:rPr>
          <w:rFonts w:hint="eastAsia" w:ascii="宋体" w:hAnsi="宋体" w:eastAsia="宋体" w:cs="宋体"/>
          <w:b/>
          <w:bCs/>
          <w:color w:val="auto"/>
          <w:w w:val="95"/>
          <w:sz w:val="32"/>
          <w:szCs w:val="32"/>
          <w:highlight w:val="none"/>
          <w:lang w:eastAsia="zh-CN"/>
        </w:rPr>
      </w:pPr>
    </w:p>
    <w:p w14:paraId="61352898">
      <w:pPr>
        <w:pStyle w:val="5"/>
        <w:snapToGrid w:val="0"/>
        <w:spacing w:before="0" w:beforeLines="0" w:after="0" w:afterLines="0" w:line="360" w:lineRule="auto"/>
        <w:ind w:left="0" w:leftChars="0" w:firstLine="0" w:firstLineChars="0"/>
        <w:jc w:val="center"/>
        <w:rPr>
          <w:rFonts w:hint="eastAsia" w:ascii="宋体" w:hAnsi="宋体" w:eastAsia="宋体" w:cs="宋体"/>
          <w:b/>
          <w:bCs/>
          <w:color w:val="auto"/>
          <w:w w:val="95"/>
          <w:sz w:val="32"/>
          <w:szCs w:val="32"/>
          <w:highlight w:val="none"/>
          <w:lang w:eastAsia="zh-CN"/>
        </w:rPr>
      </w:pPr>
      <w:r>
        <w:rPr>
          <w:rFonts w:hint="eastAsia" w:ascii="宋体" w:hAnsi="宋体" w:eastAsia="宋体" w:cs="宋体"/>
          <w:b/>
          <w:bCs/>
          <w:color w:val="auto"/>
          <w:w w:val="95"/>
          <w:sz w:val="32"/>
          <w:szCs w:val="32"/>
          <w:highlight w:val="none"/>
        </w:rPr>
        <w:t>招 标 人：</w:t>
      </w:r>
      <w:r>
        <w:rPr>
          <w:rFonts w:hint="eastAsia" w:ascii="宋体" w:hAnsi="宋体" w:eastAsia="宋体" w:cs="宋体"/>
          <w:b/>
          <w:bCs/>
          <w:color w:val="auto"/>
          <w:w w:val="95"/>
          <w:sz w:val="32"/>
          <w:szCs w:val="32"/>
          <w:highlight w:val="none"/>
          <w:lang w:eastAsia="zh-CN"/>
        </w:rPr>
        <w:t>巨化招标（交易）中心</w:t>
      </w:r>
    </w:p>
    <w:p w14:paraId="4E0BF8DA">
      <w:pPr>
        <w:pStyle w:val="5"/>
        <w:snapToGrid w:val="0"/>
        <w:spacing w:before="0" w:beforeLines="0" w:after="0" w:afterLines="0" w:line="360" w:lineRule="auto"/>
        <w:rPr>
          <w:rFonts w:hint="eastAsia" w:ascii="宋体" w:hAnsi="宋体" w:eastAsia="宋体" w:cs="宋体"/>
          <w:b/>
          <w:bCs/>
          <w:color w:val="auto"/>
          <w:w w:val="95"/>
          <w:sz w:val="32"/>
          <w:szCs w:val="32"/>
          <w:highlight w:val="none"/>
        </w:rPr>
      </w:pPr>
    </w:p>
    <w:p w14:paraId="7B2D3D5C">
      <w:pPr>
        <w:snapToGrid w:val="0"/>
        <w:spacing w:line="360" w:lineRule="auto"/>
        <w:jc w:val="center"/>
        <w:rPr>
          <w:rFonts w:hint="eastAsia" w:ascii="宋体" w:hAnsi="宋体" w:eastAsia="宋体" w:cs="宋体"/>
          <w:b/>
          <w:bCs/>
          <w:color w:val="auto"/>
          <w:w w:val="95"/>
          <w:sz w:val="30"/>
          <w:szCs w:val="30"/>
          <w:highlight w:val="none"/>
        </w:rPr>
        <w:sectPr>
          <w:headerReference r:id="rId3" w:type="first"/>
          <w:footerReference r:id="rId6" w:type="first"/>
          <w:footerReference r:id="rId4" w:type="default"/>
          <w:footerReference r:id="rId5" w:type="even"/>
          <w:pgSz w:w="11906" w:h="16838"/>
          <w:pgMar w:top="1474" w:right="1797" w:bottom="1247" w:left="1797" w:header="851" w:footer="851" w:gutter="0"/>
          <w:pgBorders>
            <w:top w:val="none" w:sz="0" w:space="0"/>
            <w:left w:val="none" w:sz="0" w:space="0"/>
            <w:bottom w:val="none" w:sz="0" w:space="0"/>
            <w:right w:val="none" w:sz="0" w:space="0"/>
          </w:pgBorders>
          <w:cols w:space="720" w:num="1"/>
          <w:docGrid w:linePitch="312" w:charSpace="0"/>
        </w:sectPr>
      </w:pPr>
      <w:r>
        <w:rPr>
          <w:rFonts w:hint="eastAsia" w:ascii="宋体" w:hAnsi="宋体" w:eastAsia="宋体" w:cs="宋体"/>
          <w:b/>
          <w:bCs/>
          <w:color w:val="auto"/>
          <w:w w:val="95"/>
          <w:sz w:val="32"/>
          <w:szCs w:val="32"/>
          <w:highlight w:val="none"/>
          <w:lang w:val="en-US" w:eastAsia="zh-CN"/>
        </w:rPr>
        <w:t>2025年</w:t>
      </w:r>
      <w:r>
        <w:rPr>
          <w:rFonts w:hint="eastAsia" w:ascii="宋体" w:hAnsi="宋体" w:cs="宋体"/>
          <w:b/>
          <w:bCs/>
          <w:color w:val="auto"/>
          <w:w w:val="95"/>
          <w:sz w:val="32"/>
          <w:szCs w:val="32"/>
          <w:highlight w:val="none"/>
          <w:lang w:val="en-US" w:eastAsia="zh-CN"/>
        </w:rPr>
        <w:t>7</w:t>
      </w:r>
      <w:r>
        <w:rPr>
          <w:rFonts w:hint="eastAsia" w:ascii="宋体" w:hAnsi="宋体" w:eastAsia="宋体" w:cs="宋体"/>
          <w:b/>
          <w:bCs/>
          <w:color w:val="auto"/>
          <w:w w:val="95"/>
          <w:sz w:val="32"/>
          <w:szCs w:val="32"/>
          <w:highlight w:val="none"/>
          <w:lang w:val="en-US" w:eastAsia="zh-CN"/>
        </w:rPr>
        <w:t>月</w:t>
      </w:r>
    </w:p>
    <w:p w14:paraId="5ACD7DEE">
      <w:pPr>
        <w:pStyle w:val="5"/>
        <w:snapToGrid w:val="0"/>
        <w:spacing w:before="0" w:beforeLines="0" w:after="0" w:afterLines="0" w:line="360" w:lineRule="auto"/>
        <w:jc w:val="center"/>
        <w:rPr>
          <w:rFonts w:hint="eastAsia" w:ascii="宋体" w:hAnsi="宋体" w:eastAsia="宋体" w:cs="宋体"/>
          <w:color w:val="auto"/>
          <w:sz w:val="36"/>
          <w:szCs w:val="36"/>
          <w:highlight w:val="none"/>
        </w:rPr>
      </w:pPr>
    </w:p>
    <w:p w14:paraId="0FD2355E">
      <w:pPr>
        <w:pStyle w:val="5"/>
        <w:snapToGrid w:val="0"/>
        <w:spacing w:before="0" w:beforeLines="0" w:after="0" w:afterLines="0" w:line="360" w:lineRule="auto"/>
        <w:jc w:val="center"/>
        <w:rPr>
          <w:rFonts w:hint="eastAsia" w:ascii="宋体" w:hAnsi="宋体" w:eastAsia="宋体" w:cs="宋体"/>
          <w:b/>
          <w:color w:val="auto"/>
          <w:sz w:val="36"/>
          <w:szCs w:val="36"/>
          <w:highlight w:val="none"/>
          <w:lang w:eastAsia="zh-CN"/>
        </w:rPr>
      </w:pPr>
      <w:r>
        <w:rPr>
          <w:rFonts w:hint="eastAsia" w:ascii="宋体" w:hAnsi="宋体" w:eastAsia="宋体" w:cs="宋体"/>
          <w:b/>
          <w:color w:val="auto"/>
          <w:sz w:val="36"/>
          <w:szCs w:val="36"/>
          <w:highlight w:val="none"/>
        </w:rPr>
        <w:t>目    录</w:t>
      </w:r>
    </w:p>
    <w:p w14:paraId="31E6B204">
      <w:pPr>
        <w:pStyle w:val="5"/>
        <w:snapToGrid w:val="0"/>
        <w:spacing w:before="0" w:beforeLines="0" w:after="0" w:afterLines="0" w:line="360" w:lineRule="auto"/>
        <w:jc w:val="center"/>
        <w:rPr>
          <w:rFonts w:hint="eastAsia" w:ascii="宋体" w:hAnsi="宋体" w:eastAsia="宋体" w:cs="宋体"/>
          <w:color w:val="auto"/>
          <w:sz w:val="30"/>
          <w:szCs w:val="30"/>
          <w:highlight w:val="none"/>
          <w:lang w:eastAsia="zh-CN"/>
        </w:rPr>
      </w:pPr>
    </w:p>
    <w:p w14:paraId="3CAFE40B">
      <w:pPr>
        <w:pStyle w:val="8"/>
        <w:tabs>
          <w:tab w:val="right" w:leader="dot" w:pos="8312"/>
        </w:tabs>
        <w:rPr>
          <w:rFonts w:hint="eastAsia" w:ascii="宋体" w:hAnsi="宋体" w:eastAsia="宋体" w:cs="宋体"/>
          <w:color w:val="auto"/>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TOC \o "1-2" \h \z \u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_Toc567 </w:instrText>
      </w:r>
      <w:r>
        <w:rPr>
          <w:rFonts w:hint="eastAsia" w:ascii="宋体" w:hAnsi="宋体" w:eastAsia="宋体" w:cs="宋体"/>
          <w:color w:val="auto"/>
          <w:highlight w:val="none"/>
        </w:rPr>
        <w:fldChar w:fldCharType="separate"/>
      </w:r>
      <w:r>
        <w:rPr>
          <w:rFonts w:hint="eastAsia" w:ascii="宋体" w:hAnsi="宋体" w:eastAsia="宋体" w:cs="宋体"/>
          <w:color w:val="auto"/>
          <w:szCs w:val="30"/>
          <w:highlight w:val="none"/>
          <w:lang w:eastAsia="zh-CN"/>
        </w:rPr>
        <w:t>电子投标须知</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_Toc567 \h </w:instrText>
      </w:r>
      <w:r>
        <w:rPr>
          <w:rFonts w:hint="eastAsia" w:ascii="宋体" w:hAnsi="宋体" w:eastAsia="宋体" w:cs="宋体"/>
          <w:color w:val="auto"/>
        </w:rPr>
        <w:fldChar w:fldCharType="separate"/>
      </w:r>
      <w:r>
        <w:rPr>
          <w:rFonts w:hint="eastAsia" w:ascii="宋体" w:hAnsi="宋体" w:eastAsia="宋体" w:cs="宋体"/>
          <w:color w:val="auto"/>
        </w:rPr>
        <w:t>2</w:t>
      </w:r>
      <w:r>
        <w:rPr>
          <w:rFonts w:hint="eastAsia" w:ascii="宋体" w:hAnsi="宋体" w:eastAsia="宋体" w:cs="宋体"/>
          <w:color w:val="auto"/>
        </w:rPr>
        <w:fldChar w:fldCharType="end"/>
      </w:r>
      <w:r>
        <w:rPr>
          <w:rFonts w:hint="eastAsia" w:ascii="宋体" w:hAnsi="宋体" w:eastAsia="宋体" w:cs="宋体"/>
          <w:color w:val="auto"/>
          <w:highlight w:val="none"/>
        </w:rPr>
        <w:fldChar w:fldCharType="end"/>
      </w:r>
    </w:p>
    <w:p w14:paraId="2140B742">
      <w:pPr>
        <w:pStyle w:val="8"/>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_Toc9210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30"/>
          <w:highlight w:val="none"/>
        </w:rPr>
        <w:t xml:space="preserve">第一章  </w:t>
      </w:r>
      <w:r>
        <w:rPr>
          <w:rFonts w:hint="eastAsia" w:ascii="宋体" w:hAnsi="宋体" w:eastAsia="宋体" w:cs="宋体"/>
          <w:color w:val="auto"/>
          <w:szCs w:val="30"/>
          <w:highlight w:val="none"/>
          <w:lang w:eastAsia="zh-CN"/>
        </w:rPr>
        <w:t>招标公告</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_Toc9210 \h </w:instrText>
      </w:r>
      <w:r>
        <w:rPr>
          <w:rFonts w:hint="eastAsia" w:ascii="宋体" w:hAnsi="宋体" w:eastAsia="宋体" w:cs="宋体"/>
          <w:color w:val="auto"/>
        </w:rPr>
        <w:fldChar w:fldCharType="separate"/>
      </w:r>
      <w:r>
        <w:rPr>
          <w:rFonts w:hint="eastAsia" w:ascii="宋体" w:hAnsi="宋体" w:eastAsia="宋体" w:cs="宋体"/>
          <w:color w:val="auto"/>
        </w:rPr>
        <w:t>3</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71ABB7D1">
      <w:pPr>
        <w:pStyle w:val="8"/>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_Toc22349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30"/>
          <w:highlight w:val="none"/>
        </w:rPr>
        <w:t>第二章  投标人须知</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_Toc22349 \h </w:instrText>
      </w:r>
      <w:r>
        <w:rPr>
          <w:rFonts w:hint="eastAsia" w:ascii="宋体" w:hAnsi="宋体" w:eastAsia="宋体" w:cs="宋体"/>
          <w:color w:val="auto"/>
        </w:rPr>
        <w:fldChar w:fldCharType="separate"/>
      </w:r>
      <w:r>
        <w:rPr>
          <w:rFonts w:hint="eastAsia" w:ascii="宋体" w:hAnsi="宋体" w:eastAsia="宋体" w:cs="宋体"/>
          <w:color w:val="auto"/>
        </w:rPr>
        <w:t>5</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728CCE0B">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_Toc3436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投标人须知前附表</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_Toc3436 \h </w:instrText>
      </w:r>
      <w:r>
        <w:rPr>
          <w:rFonts w:hint="eastAsia" w:ascii="宋体" w:hAnsi="宋体" w:eastAsia="宋体" w:cs="宋体"/>
          <w:color w:val="auto"/>
        </w:rPr>
        <w:fldChar w:fldCharType="separate"/>
      </w:r>
      <w:r>
        <w:rPr>
          <w:rFonts w:hint="eastAsia" w:ascii="宋体" w:hAnsi="宋体" w:eastAsia="宋体" w:cs="宋体"/>
          <w:color w:val="auto"/>
        </w:rPr>
        <w:t>5</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0757631B">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_Toc27899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一、总  则</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_Toc27899 \h </w:instrText>
      </w:r>
      <w:r>
        <w:rPr>
          <w:rFonts w:hint="eastAsia" w:ascii="宋体" w:hAnsi="宋体" w:eastAsia="宋体" w:cs="宋体"/>
          <w:color w:val="auto"/>
        </w:rPr>
        <w:fldChar w:fldCharType="separate"/>
      </w:r>
      <w:r>
        <w:rPr>
          <w:rFonts w:hint="eastAsia" w:ascii="宋体" w:hAnsi="宋体" w:eastAsia="宋体" w:cs="宋体"/>
          <w:color w:val="auto"/>
        </w:rPr>
        <w:t>7</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7CA2A553">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_Toc12795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二、招标文件</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_Toc12795 \h </w:instrText>
      </w:r>
      <w:r>
        <w:rPr>
          <w:rFonts w:hint="eastAsia" w:ascii="宋体" w:hAnsi="宋体" w:eastAsia="宋体" w:cs="宋体"/>
          <w:color w:val="auto"/>
        </w:rPr>
        <w:fldChar w:fldCharType="separate"/>
      </w:r>
      <w:r>
        <w:rPr>
          <w:rFonts w:hint="eastAsia" w:ascii="宋体" w:hAnsi="宋体" w:eastAsia="宋体" w:cs="宋体"/>
          <w:color w:val="auto"/>
        </w:rPr>
        <w:t>8</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6BAC66D0">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_Toc15266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三、投标文件的编制</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_Toc15266 \h </w:instrText>
      </w:r>
      <w:r>
        <w:rPr>
          <w:rFonts w:hint="eastAsia" w:ascii="宋体" w:hAnsi="宋体" w:eastAsia="宋体" w:cs="宋体"/>
          <w:color w:val="auto"/>
        </w:rPr>
        <w:fldChar w:fldCharType="separate"/>
      </w:r>
      <w:r>
        <w:rPr>
          <w:rFonts w:hint="eastAsia" w:ascii="宋体" w:hAnsi="宋体" w:eastAsia="宋体" w:cs="宋体"/>
          <w:color w:val="auto"/>
        </w:rPr>
        <w:t>9</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00A6960A">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_Toc18853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四、开标</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_Toc18853 \h </w:instrText>
      </w:r>
      <w:r>
        <w:rPr>
          <w:rFonts w:hint="eastAsia" w:ascii="宋体" w:hAnsi="宋体" w:eastAsia="宋体" w:cs="宋体"/>
          <w:color w:val="auto"/>
        </w:rPr>
        <w:fldChar w:fldCharType="separate"/>
      </w:r>
      <w:r>
        <w:rPr>
          <w:rFonts w:hint="eastAsia" w:ascii="宋体" w:hAnsi="宋体" w:eastAsia="宋体" w:cs="宋体"/>
          <w:color w:val="auto"/>
        </w:rPr>
        <w:t>11</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2B47CC87">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_Toc16359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五、评标</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_Toc16359 \h </w:instrText>
      </w:r>
      <w:r>
        <w:rPr>
          <w:rFonts w:hint="eastAsia" w:ascii="宋体" w:hAnsi="宋体" w:eastAsia="宋体" w:cs="宋体"/>
          <w:color w:val="auto"/>
        </w:rPr>
        <w:fldChar w:fldCharType="separate"/>
      </w:r>
      <w:r>
        <w:rPr>
          <w:rFonts w:hint="eastAsia" w:ascii="宋体" w:hAnsi="宋体" w:eastAsia="宋体" w:cs="宋体"/>
          <w:color w:val="auto"/>
        </w:rPr>
        <w:t>12</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0BB55215">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_Toc22701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六、合同授予</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_Toc22701 \h </w:instrText>
      </w:r>
      <w:r>
        <w:rPr>
          <w:rFonts w:hint="eastAsia" w:ascii="宋体" w:hAnsi="宋体" w:eastAsia="宋体" w:cs="宋体"/>
          <w:color w:val="auto"/>
        </w:rPr>
        <w:fldChar w:fldCharType="separate"/>
      </w:r>
      <w:r>
        <w:rPr>
          <w:rFonts w:hint="eastAsia" w:ascii="宋体" w:hAnsi="宋体" w:eastAsia="宋体" w:cs="宋体"/>
          <w:color w:val="auto"/>
        </w:rPr>
        <w:t>13</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0D8BA8D7">
      <w:pPr>
        <w:pStyle w:val="8"/>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_Toc18026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30"/>
          <w:highlight w:val="none"/>
        </w:rPr>
        <w:t>第三章  评标办法</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_Toc18026 \h </w:instrText>
      </w:r>
      <w:r>
        <w:rPr>
          <w:rFonts w:hint="eastAsia" w:ascii="宋体" w:hAnsi="宋体" w:eastAsia="宋体" w:cs="宋体"/>
          <w:color w:val="auto"/>
        </w:rPr>
        <w:fldChar w:fldCharType="separate"/>
      </w:r>
      <w:r>
        <w:rPr>
          <w:rFonts w:hint="eastAsia" w:ascii="宋体" w:hAnsi="宋体" w:eastAsia="宋体" w:cs="宋体"/>
          <w:color w:val="auto"/>
        </w:rPr>
        <w:t>14</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5245F468">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_Toc5364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一、总则</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_Toc5364 \h </w:instrText>
      </w:r>
      <w:r>
        <w:rPr>
          <w:rFonts w:hint="eastAsia" w:ascii="宋体" w:hAnsi="宋体" w:eastAsia="宋体" w:cs="宋体"/>
          <w:color w:val="auto"/>
        </w:rPr>
        <w:fldChar w:fldCharType="separate"/>
      </w:r>
      <w:r>
        <w:rPr>
          <w:rFonts w:hint="eastAsia" w:ascii="宋体" w:hAnsi="宋体" w:eastAsia="宋体" w:cs="宋体"/>
          <w:color w:val="auto"/>
        </w:rPr>
        <w:t>14</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6771EA83">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_Toc25152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二、资格审查</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_Toc25152 \h </w:instrText>
      </w:r>
      <w:r>
        <w:rPr>
          <w:rFonts w:hint="eastAsia" w:ascii="宋体" w:hAnsi="宋体" w:eastAsia="宋体" w:cs="宋体"/>
          <w:color w:val="auto"/>
        </w:rPr>
        <w:fldChar w:fldCharType="separate"/>
      </w:r>
      <w:r>
        <w:rPr>
          <w:rFonts w:hint="eastAsia" w:ascii="宋体" w:hAnsi="宋体" w:eastAsia="宋体" w:cs="宋体"/>
          <w:color w:val="auto"/>
        </w:rPr>
        <w:t>14</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175E5F6B">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_Toc3856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三、符合性审查</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_Toc3856 \h </w:instrText>
      </w:r>
      <w:r>
        <w:rPr>
          <w:rFonts w:hint="eastAsia" w:ascii="宋体" w:hAnsi="宋体" w:eastAsia="宋体" w:cs="宋体"/>
          <w:color w:val="auto"/>
        </w:rPr>
        <w:fldChar w:fldCharType="separate"/>
      </w:r>
      <w:r>
        <w:rPr>
          <w:rFonts w:hint="eastAsia" w:ascii="宋体" w:hAnsi="宋体" w:eastAsia="宋体" w:cs="宋体"/>
          <w:color w:val="auto"/>
        </w:rPr>
        <w:t>14</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395C59EC">
      <w:pPr>
        <w:pStyle w:val="9"/>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_Toc19508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28"/>
          <w:highlight w:val="none"/>
        </w:rPr>
        <w:t>四、评审内容及标准</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_Toc19508 \h </w:instrText>
      </w:r>
      <w:r>
        <w:rPr>
          <w:rFonts w:hint="eastAsia" w:ascii="宋体" w:hAnsi="宋体" w:eastAsia="宋体" w:cs="宋体"/>
          <w:color w:val="auto"/>
        </w:rPr>
        <w:fldChar w:fldCharType="separate"/>
      </w:r>
      <w:r>
        <w:rPr>
          <w:rFonts w:hint="eastAsia" w:ascii="宋体" w:hAnsi="宋体" w:eastAsia="宋体" w:cs="宋体"/>
          <w:color w:val="auto"/>
        </w:rPr>
        <w:t>15</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12C0AFE7">
      <w:pPr>
        <w:pStyle w:val="8"/>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_Toc1282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30"/>
          <w:highlight w:val="none"/>
        </w:rPr>
        <w:t>第四章  招标内容及需求</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_Toc1282 \h </w:instrText>
      </w:r>
      <w:r>
        <w:rPr>
          <w:rFonts w:hint="eastAsia" w:ascii="宋体" w:hAnsi="宋体" w:eastAsia="宋体" w:cs="宋体"/>
          <w:color w:val="auto"/>
        </w:rPr>
        <w:fldChar w:fldCharType="separate"/>
      </w:r>
      <w:r>
        <w:rPr>
          <w:rFonts w:hint="eastAsia" w:ascii="宋体" w:hAnsi="宋体" w:eastAsia="宋体" w:cs="宋体"/>
          <w:color w:val="auto"/>
        </w:rPr>
        <w:t>18</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48686BA2">
      <w:pPr>
        <w:pStyle w:val="8"/>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_Toc6424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30"/>
          <w:highlight w:val="none"/>
        </w:rPr>
        <w:t>第五章  合同主要条款</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_Toc6424 \h </w:instrText>
      </w:r>
      <w:r>
        <w:rPr>
          <w:rFonts w:hint="eastAsia" w:ascii="宋体" w:hAnsi="宋体" w:eastAsia="宋体" w:cs="宋体"/>
          <w:color w:val="auto"/>
        </w:rPr>
        <w:fldChar w:fldCharType="separate"/>
      </w:r>
      <w:r>
        <w:rPr>
          <w:rFonts w:hint="eastAsia" w:ascii="宋体" w:hAnsi="宋体" w:eastAsia="宋体" w:cs="宋体"/>
          <w:color w:val="auto"/>
        </w:rPr>
        <w:t>22</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7856AEDC">
      <w:pPr>
        <w:pStyle w:val="8"/>
        <w:tabs>
          <w:tab w:val="right" w:leader="dot" w:pos="8312"/>
        </w:tabs>
        <w:rPr>
          <w:rFonts w:hint="eastAsia" w:ascii="宋体" w:hAnsi="宋体" w:eastAsia="宋体" w:cs="宋体"/>
          <w:color w:val="auto"/>
        </w:rPr>
      </w:pPr>
      <w:r>
        <w:rPr>
          <w:rFonts w:hint="eastAsia" w:ascii="宋体" w:hAnsi="宋体" w:eastAsia="宋体" w:cs="宋体"/>
          <w:color w:val="auto"/>
          <w:kern w:val="2"/>
          <w:highlight w:val="none"/>
          <w:lang w:val="en-US" w:eastAsia="zh-CN"/>
        </w:rPr>
        <w:fldChar w:fldCharType="begin"/>
      </w:r>
      <w:r>
        <w:rPr>
          <w:rFonts w:hint="eastAsia" w:ascii="宋体" w:hAnsi="宋体" w:eastAsia="宋体" w:cs="宋体"/>
          <w:color w:val="auto"/>
          <w:kern w:val="2"/>
          <w:highlight w:val="none"/>
          <w:lang w:val="en-US" w:eastAsia="zh-CN"/>
        </w:rPr>
        <w:instrText xml:space="preserve"> HYPERLINK \l _Toc13249 </w:instrText>
      </w:r>
      <w:r>
        <w:rPr>
          <w:rFonts w:hint="eastAsia" w:ascii="宋体" w:hAnsi="宋体" w:eastAsia="宋体" w:cs="宋体"/>
          <w:color w:val="auto"/>
          <w:kern w:val="2"/>
          <w:highlight w:val="none"/>
          <w:lang w:val="en-US" w:eastAsia="zh-CN"/>
        </w:rPr>
        <w:fldChar w:fldCharType="separate"/>
      </w:r>
      <w:r>
        <w:rPr>
          <w:rFonts w:hint="eastAsia" w:ascii="宋体" w:hAnsi="宋体" w:eastAsia="宋体" w:cs="宋体"/>
          <w:color w:val="auto"/>
          <w:szCs w:val="30"/>
          <w:highlight w:val="none"/>
        </w:rPr>
        <w:t>第六章　投标文件格式</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_Toc13249 \h </w:instrText>
      </w:r>
      <w:r>
        <w:rPr>
          <w:rFonts w:hint="eastAsia" w:ascii="宋体" w:hAnsi="宋体" w:eastAsia="宋体" w:cs="宋体"/>
          <w:color w:val="auto"/>
        </w:rPr>
        <w:fldChar w:fldCharType="separate"/>
      </w:r>
      <w:r>
        <w:rPr>
          <w:rFonts w:hint="eastAsia" w:ascii="宋体" w:hAnsi="宋体" w:eastAsia="宋体" w:cs="宋体"/>
          <w:color w:val="auto"/>
        </w:rPr>
        <w:t>26</w:t>
      </w:r>
      <w:r>
        <w:rPr>
          <w:rFonts w:hint="eastAsia" w:ascii="宋体" w:hAnsi="宋体" w:eastAsia="宋体" w:cs="宋体"/>
          <w:color w:val="auto"/>
        </w:rPr>
        <w:fldChar w:fldCharType="end"/>
      </w:r>
      <w:r>
        <w:rPr>
          <w:rFonts w:hint="eastAsia" w:ascii="宋体" w:hAnsi="宋体" w:eastAsia="宋体" w:cs="宋体"/>
          <w:color w:val="auto"/>
          <w:kern w:val="2"/>
          <w:highlight w:val="none"/>
          <w:lang w:val="en-US" w:eastAsia="zh-CN"/>
        </w:rPr>
        <w:fldChar w:fldCharType="end"/>
      </w:r>
    </w:p>
    <w:p w14:paraId="43421935">
      <w:pPr>
        <w:pStyle w:val="5"/>
        <w:snapToGrid w:val="0"/>
        <w:spacing w:before="0" w:beforeLines="0" w:after="0" w:afterLines="0" w:line="360" w:lineRule="auto"/>
        <w:jc w:val="center"/>
        <w:rPr>
          <w:rFonts w:hint="eastAsia" w:ascii="宋体" w:hAnsi="宋体" w:eastAsia="宋体" w:cs="宋体"/>
          <w:color w:val="auto"/>
          <w:sz w:val="44"/>
          <w:szCs w:val="44"/>
          <w:highlight w:val="none"/>
        </w:rPr>
      </w:pPr>
      <w:r>
        <w:rPr>
          <w:rFonts w:hint="eastAsia" w:ascii="宋体" w:hAnsi="宋体" w:eastAsia="宋体" w:cs="宋体"/>
          <w:color w:val="auto"/>
          <w:kern w:val="2"/>
          <w:highlight w:val="none"/>
          <w:lang w:val="en-US" w:eastAsia="zh-CN"/>
        </w:rPr>
        <w:fldChar w:fldCharType="end"/>
      </w:r>
    </w:p>
    <w:p w14:paraId="4662326B">
      <w:pPr>
        <w:pStyle w:val="5"/>
        <w:snapToGrid w:val="0"/>
        <w:spacing w:before="0" w:beforeLines="0" w:after="0" w:afterLines="0" w:line="360" w:lineRule="auto"/>
        <w:jc w:val="center"/>
        <w:rPr>
          <w:rFonts w:hint="eastAsia" w:ascii="宋体" w:hAnsi="宋体" w:eastAsia="宋体" w:cs="宋体"/>
          <w:color w:val="auto"/>
          <w:highlight w:val="none"/>
        </w:rPr>
        <w:sectPr>
          <w:headerReference r:id="rId7" w:type="default"/>
          <w:footerReference r:id="rId8" w:type="default"/>
          <w:pgSz w:w="11906" w:h="16838"/>
          <w:pgMar w:top="1474" w:right="1797" w:bottom="1247" w:left="1797" w:header="851" w:footer="851" w:gutter="0"/>
          <w:pgBorders>
            <w:top w:val="none" w:sz="0" w:space="0"/>
            <w:left w:val="none" w:sz="0" w:space="0"/>
            <w:bottom w:val="none" w:sz="0" w:space="0"/>
            <w:right w:val="none" w:sz="0" w:space="0"/>
          </w:pgBorders>
          <w:pgNumType w:fmt="decimal" w:start="1"/>
          <w:cols w:space="720" w:num="1"/>
          <w:docGrid w:linePitch="312" w:charSpace="0"/>
        </w:sectPr>
      </w:pPr>
    </w:p>
    <w:p w14:paraId="44AD1877">
      <w:pPr>
        <w:pStyle w:val="5"/>
        <w:snapToGrid w:val="0"/>
        <w:spacing w:before="0" w:beforeLines="0" w:after="0" w:afterLines="0" w:line="360" w:lineRule="auto"/>
        <w:jc w:val="center"/>
        <w:rPr>
          <w:rFonts w:hint="eastAsia" w:ascii="宋体" w:hAnsi="宋体" w:eastAsia="宋体" w:cs="宋体"/>
          <w:color w:val="auto"/>
          <w:highlight w:val="none"/>
        </w:rPr>
      </w:pPr>
    </w:p>
    <w:p w14:paraId="6C2D9FA8">
      <w:pPr>
        <w:pStyle w:val="5"/>
        <w:snapToGrid w:val="0"/>
        <w:spacing w:before="0" w:beforeLines="0" w:after="0" w:afterLines="0" w:line="360" w:lineRule="auto"/>
        <w:jc w:val="center"/>
        <w:outlineLvl w:val="0"/>
        <w:rPr>
          <w:rFonts w:hint="eastAsia" w:ascii="宋体" w:hAnsi="宋体" w:eastAsia="宋体" w:cs="宋体"/>
          <w:color w:val="auto"/>
          <w:highlight w:val="none"/>
        </w:rPr>
      </w:pPr>
      <w:bookmarkStart w:id="0" w:name="_Toc567"/>
      <w:r>
        <w:rPr>
          <w:rFonts w:hint="eastAsia" w:ascii="宋体" w:hAnsi="宋体" w:eastAsia="宋体" w:cs="宋体"/>
          <w:b/>
          <w:color w:val="auto"/>
          <w:sz w:val="30"/>
          <w:szCs w:val="30"/>
          <w:highlight w:val="none"/>
          <w:lang w:eastAsia="zh-CN"/>
        </w:rPr>
        <w:t>电子投标须知</w:t>
      </w:r>
      <w:bookmarkEnd w:id="0"/>
    </w:p>
    <w:p w14:paraId="0CD508A0">
      <w:pPr>
        <w:pStyle w:val="5"/>
        <w:adjustRightInd w:val="0"/>
        <w:snapToGrid w:val="0"/>
        <w:spacing w:before="0" w:beforeLines="0" w:after="0" w:afterLines="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本次招标采用电子投标方式，电子投标平台为“巨化数字化招采平台（https://juhua.ccccnet.com/#/）”，注册、投标等相关操作方法详见“电子投标</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操作手册”，获取方式：巨化数字化招采平台首页-</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操作手册（招标），获取网址：</w:t>
      </w:r>
    </w:p>
    <w:p w14:paraId="4B30CF3D">
      <w:pPr>
        <w:pStyle w:val="5"/>
        <w:adjustRightInd w:val="0"/>
        <w:snapToGrid w:val="0"/>
        <w:spacing w:before="0" w:beforeLines="0" w:after="0" w:afterLines="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https://juhua.ccccnet.com/#/detail3/da26a9f6-fe3a-47e9-a806-cb897f77e145</w:t>
      </w:r>
    </w:p>
    <w:p w14:paraId="6F9E78BD">
      <w:pPr>
        <w:pStyle w:val="5"/>
        <w:snapToGrid w:val="0"/>
        <w:spacing w:before="0" w:beforeLines="0" w:after="0" w:afterLines="0" w:line="360" w:lineRule="exact"/>
        <w:ind w:firstLine="480" w:firstLineChars="200"/>
        <w:rPr>
          <w:rFonts w:hint="eastAsia" w:ascii="宋体" w:hAnsi="宋体" w:eastAsia="宋体" w:cs="宋体"/>
          <w:color w:val="auto"/>
          <w:highlight w:val="none"/>
          <w:lang w:eastAsia="zh-CN"/>
        </w:rPr>
      </w:pPr>
    </w:p>
    <w:p w14:paraId="5E8FFFAE">
      <w:pPr>
        <w:pStyle w:val="5"/>
        <w:snapToGrid w:val="0"/>
        <w:spacing w:before="0" w:beforeLines="0" w:after="0" w:afterLines="0" w:line="360" w:lineRule="auto"/>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br w:type="page"/>
      </w:r>
    </w:p>
    <w:p w14:paraId="0515B664">
      <w:pPr>
        <w:pStyle w:val="5"/>
        <w:snapToGrid w:val="0"/>
        <w:spacing w:before="0" w:beforeLines="0" w:after="0" w:afterLines="0" w:line="360" w:lineRule="auto"/>
        <w:jc w:val="center"/>
        <w:outlineLvl w:val="0"/>
        <w:rPr>
          <w:rFonts w:hint="eastAsia" w:ascii="宋体" w:hAnsi="宋体" w:eastAsia="宋体" w:cs="宋体"/>
          <w:b/>
          <w:color w:val="auto"/>
          <w:sz w:val="30"/>
          <w:szCs w:val="30"/>
          <w:highlight w:val="none"/>
          <w:lang w:eastAsia="zh-CN"/>
        </w:rPr>
      </w:pPr>
      <w:bookmarkStart w:id="1" w:name="_Toc9210"/>
      <w:r>
        <w:rPr>
          <w:rFonts w:hint="eastAsia" w:ascii="宋体" w:hAnsi="宋体" w:eastAsia="宋体" w:cs="宋体"/>
          <w:b/>
          <w:color w:val="auto"/>
          <w:sz w:val="30"/>
          <w:szCs w:val="30"/>
          <w:highlight w:val="none"/>
        </w:rPr>
        <w:t xml:space="preserve">第一章  </w:t>
      </w:r>
      <w:r>
        <w:rPr>
          <w:rFonts w:hint="eastAsia" w:ascii="宋体" w:hAnsi="宋体" w:eastAsia="宋体" w:cs="宋体"/>
          <w:b/>
          <w:color w:val="auto"/>
          <w:sz w:val="30"/>
          <w:szCs w:val="30"/>
          <w:highlight w:val="none"/>
          <w:lang w:eastAsia="zh-CN"/>
        </w:rPr>
        <w:t>招标公告</w:t>
      </w:r>
      <w:bookmarkEnd w:id="1"/>
    </w:p>
    <w:p w14:paraId="2AC25017">
      <w:pPr>
        <w:snapToGrid w:val="0"/>
        <w:spacing w:line="360" w:lineRule="auto"/>
        <w:ind w:firstLine="424" w:firstLineChars="176"/>
        <w:rPr>
          <w:rFonts w:hint="eastAsia" w:ascii="宋体" w:hAnsi="宋体" w:eastAsia="宋体" w:cs="宋体"/>
          <w:color w:val="auto"/>
          <w:sz w:val="24"/>
          <w:highlight w:val="none"/>
          <w:lang w:eastAsia="zh-CN"/>
        </w:rPr>
      </w:pPr>
      <w:r>
        <w:rPr>
          <w:rFonts w:hint="eastAsia" w:ascii="宋体" w:hAnsi="宋体" w:eastAsia="宋体" w:cs="宋体"/>
          <w:b/>
          <w:color w:val="auto"/>
          <w:sz w:val="24"/>
          <w:highlight w:val="none"/>
        </w:rPr>
        <w:t>一、项目名称：</w:t>
      </w:r>
      <w:r>
        <w:rPr>
          <w:rFonts w:hint="eastAsia" w:ascii="宋体" w:hAnsi="宋体" w:eastAsia="宋体" w:cs="宋体"/>
          <w:color w:val="auto"/>
          <w:sz w:val="24"/>
          <w:highlight w:val="none"/>
          <w:lang w:eastAsia="zh-CN"/>
        </w:rPr>
        <w:t>巨化集团有限公司招标代理机构选择</w:t>
      </w:r>
    </w:p>
    <w:p w14:paraId="5BBFB3EC">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lang w:val="en-US" w:eastAsia="zh-CN"/>
        </w:rPr>
        <w:t>二</w:t>
      </w:r>
      <w:r>
        <w:rPr>
          <w:rFonts w:hint="eastAsia" w:ascii="宋体" w:hAnsi="宋体" w:eastAsia="宋体" w:cs="宋体"/>
          <w:b/>
          <w:color w:val="auto"/>
          <w:sz w:val="24"/>
          <w:highlight w:val="none"/>
        </w:rPr>
        <w:t>、招标方式：</w:t>
      </w:r>
      <w:r>
        <w:rPr>
          <w:rFonts w:hint="eastAsia" w:ascii="宋体" w:hAnsi="宋体" w:eastAsia="宋体" w:cs="宋体"/>
          <w:color w:val="auto"/>
          <w:sz w:val="24"/>
          <w:highlight w:val="none"/>
        </w:rPr>
        <w:t>公开招标</w:t>
      </w:r>
    </w:p>
    <w:p w14:paraId="4997B42D">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lang w:val="en-US" w:eastAsia="zh-CN"/>
        </w:rPr>
        <w:t>三</w:t>
      </w:r>
      <w:r>
        <w:rPr>
          <w:rFonts w:hint="eastAsia" w:ascii="宋体" w:hAnsi="宋体" w:eastAsia="宋体" w:cs="宋体"/>
          <w:b/>
          <w:color w:val="auto"/>
          <w:sz w:val="24"/>
          <w:highlight w:val="none"/>
        </w:rPr>
        <w:t>、招标内容：</w:t>
      </w:r>
      <w:r>
        <w:rPr>
          <w:rFonts w:hint="eastAsia" w:ascii="宋体" w:hAnsi="宋体" w:eastAsia="宋体" w:cs="宋体"/>
          <w:color w:val="auto"/>
          <w:sz w:val="24"/>
          <w:highlight w:val="none"/>
          <w:lang w:eastAsia="zh-CN"/>
        </w:rPr>
        <w:t>巨化集团有限公司招标代理机构选择，</w:t>
      </w:r>
      <w:r>
        <w:rPr>
          <w:rFonts w:hint="eastAsia" w:ascii="宋体" w:hAnsi="宋体" w:eastAsia="宋体" w:cs="宋体"/>
          <w:color w:val="auto"/>
          <w:sz w:val="24"/>
          <w:highlight w:val="none"/>
        </w:rPr>
        <w:t>详见招标文件。</w:t>
      </w:r>
    </w:p>
    <w:p w14:paraId="7B63AE88">
      <w:pPr>
        <w:snapToGrid w:val="0"/>
        <w:spacing w:line="360" w:lineRule="auto"/>
        <w:ind w:firstLine="422" w:firstLineChars="17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本项目为统谈分签项目，即由</w:t>
      </w:r>
      <w:r>
        <w:rPr>
          <w:rFonts w:hint="eastAsia" w:ascii="宋体" w:hAnsi="宋体" w:eastAsia="宋体" w:cs="宋体"/>
          <w:color w:val="auto"/>
          <w:sz w:val="24"/>
          <w:highlight w:val="none"/>
          <w:lang w:eastAsia="zh-CN"/>
        </w:rPr>
        <w:t>巨化招标（交易）中心</w:t>
      </w:r>
      <w:r>
        <w:rPr>
          <w:rFonts w:hint="eastAsia" w:ascii="宋体" w:hAnsi="宋体" w:eastAsia="宋体" w:cs="宋体"/>
          <w:color w:val="auto"/>
          <w:sz w:val="24"/>
          <w:highlight w:val="none"/>
          <w:lang w:val="en-US" w:eastAsia="zh-CN"/>
        </w:rPr>
        <w:t>作为招标人统谈，招标结果供</w:t>
      </w:r>
      <w:r>
        <w:rPr>
          <w:rFonts w:hint="eastAsia" w:ascii="宋体" w:hAnsi="宋体" w:eastAsia="宋体" w:cs="宋体"/>
          <w:color w:val="auto"/>
          <w:sz w:val="24"/>
          <w:highlight w:val="none"/>
          <w:lang w:eastAsia="zh-CN"/>
        </w:rPr>
        <w:t>巨化集团有限公司</w:t>
      </w:r>
      <w:r>
        <w:rPr>
          <w:rFonts w:hint="eastAsia" w:ascii="宋体" w:hAnsi="宋体" w:eastAsia="宋体" w:cs="宋体"/>
          <w:color w:val="auto"/>
          <w:sz w:val="24"/>
          <w:highlight w:val="none"/>
          <w:lang w:val="en-US" w:eastAsia="zh-CN"/>
        </w:rPr>
        <w:t>及下属二级单位分签。</w:t>
      </w:r>
    </w:p>
    <w:p w14:paraId="6B0F8B97">
      <w:pPr>
        <w:snapToGrid w:val="0"/>
        <w:spacing w:line="360" w:lineRule="auto"/>
        <w:ind w:firstLine="424" w:firstLineChars="176"/>
        <w:rPr>
          <w:rFonts w:hint="eastAsia" w:ascii="宋体" w:hAnsi="宋体" w:eastAsia="宋体" w:cs="宋体"/>
          <w:b/>
          <w:color w:val="auto"/>
          <w:sz w:val="24"/>
          <w:highlight w:val="none"/>
        </w:rPr>
      </w:pPr>
      <w:r>
        <w:rPr>
          <w:rFonts w:hint="eastAsia" w:ascii="宋体" w:hAnsi="宋体" w:eastAsia="宋体" w:cs="宋体"/>
          <w:b/>
          <w:color w:val="auto"/>
          <w:sz w:val="24"/>
          <w:highlight w:val="none"/>
          <w:lang w:val="en-US" w:eastAsia="zh-CN"/>
        </w:rPr>
        <w:t>四</w:t>
      </w:r>
      <w:r>
        <w:rPr>
          <w:rFonts w:hint="eastAsia" w:ascii="宋体" w:hAnsi="宋体" w:eastAsia="宋体" w:cs="宋体"/>
          <w:b/>
          <w:color w:val="auto"/>
          <w:sz w:val="24"/>
          <w:highlight w:val="none"/>
        </w:rPr>
        <w:t>、投标人资格要求：</w:t>
      </w:r>
    </w:p>
    <w:p w14:paraId="08B88010">
      <w:pPr>
        <w:snapToGrid w:val="0"/>
        <w:spacing w:line="360" w:lineRule="auto"/>
        <w:ind w:firstLine="422" w:firstLineChars="176"/>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1.投标人2022年1月1日（以合同签订时间为准）至投标截止时间有化工项目年度（服务期不少于1年）招标代理业绩。证明材料：年度招标代理合同（或协议）。</w:t>
      </w:r>
    </w:p>
    <w:p w14:paraId="72BC1357">
      <w:pPr>
        <w:snapToGrid w:val="0"/>
        <w:spacing w:line="360" w:lineRule="auto"/>
        <w:ind w:firstLine="422" w:firstLineChars="176"/>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投标人2022年1月1日（以合同签订时间为准）至投标截止时间有单个招标项目中标金额不少于1000万元的化工项目招标代理业绩。证明材料：同时提供①招标代理合同（或协议）、②招标公告网页截图、③中标候选人公示网页截图、④招标人盖章的中标通知书。</w:t>
      </w:r>
    </w:p>
    <w:p w14:paraId="7C9CA62D">
      <w:pPr>
        <w:snapToGrid w:val="0"/>
        <w:spacing w:line="360" w:lineRule="auto"/>
        <w:ind w:firstLine="422" w:firstLineChars="176"/>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3.本项目不接受联合体参加投标。</w:t>
      </w:r>
    </w:p>
    <w:p w14:paraId="3CACFEA8">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lang w:val="en-US" w:eastAsia="zh-CN"/>
        </w:rPr>
        <w:t>五</w:t>
      </w:r>
      <w:r>
        <w:rPr>
          <w:rFonts w:hint="eastAsia" w:ascii="宋体" w:hAnsi="宋体" w:eastAsia="宋体" w:cs="宋体"/>
          <w:b/>
          <w:color w:val="auto"/>
          <w:sz w:val="24"/>
          <w:highlight w:val="none"/>
        </w:rPr>
        <w:t>、获取招标文件的时间：</w:t>
      </w:r>
      <w:r>
        <w:rPr>
          <w:rFonts w:hint="eastAsia" w:ascii="宋体" w:hAnsi="宋体" w:eastAsia="宋体" w:cs="宋体"/>
          <w:color w:val="auto"/>
          <w:sz w:val="24"/>
          <w:highlight w:val="none"/>
        </w:rPr>
        <w:t>招标公告发出之日起至投标截止时间。</w:t>
      </w:r>
    </w:p>
    <w:p w14:paraId="4CECAB80">
      <w:pPr>
        <w:snapToGrid w:val="0"/>
        <w:spacing w:line="360" w:lineRule="auto"/>
        <w:ind w:firstLine="424" w:firstLineChars="176"/>
        <w:rPr>
          <w:rFonts w:hint="eastAsia" w:ascii="宋体" w:hAnsi="宋体" w:eastAsia="宋体" w:cs="宋体"/>
          <w:b/>
          <w:color w:val="auto"/>
          <w:sz w:val="24"/>
          <w:highlight w:val="none"/>
        </w:rPr>
      </w:pPr>
      <w:r>
        <w:rPr>
          <w:rFonts w:hint="eastAsia" w:ascii="宋体" w:hAnsi="宋体" w:eastAsia="宋体" w:cs="宋体"/>
          <w:b/>
          <w:color w:val="auto"/>
          <w:sz w:val="24"/>
          <w:highlight w:val="none"/>
          <w:lang w:val="en-US" w:eastAsia="zh-CN"/>
        </w:rPr>
        <w:t>六</w:t>
      </w:r>
      <w:r>
        <w:rPr>
          <w:rFonts w:hint="eastAsia" w:ascii="宋体" w:hAnsi="宋体" w:eastAsia="宋体" w:cs="宋体"/>
          <w:b/>
          <w:color w:val="auto"/>
          <w:sz w:val="24"/>
          <w:highlight w:val="none"/>
        </w:rPr>
        <w:t>、获取招标文件的方式：</w:t>
      </w:r>
    </w:p>
    <w:p w14:paraId="6D5949A3">
      <w:pPr>
        <w:snapToGrid w:val="0"/>
        <w:spacing w:line="360" w:lineRule="auto"/>
        <w:ind w:firstLine="422" w:firstLineChars="176"/>
        <w:rPr>
          <w:rFonts w:hint="eastAsia" w:ascii="宋体" w:hAnsi="宋体" w:eastAsia="宋体" w:cs="宋体"/>
          <w:color w:val="auto"/>
          <w:sz w:val="24"/>
          <w:highlight w:val="none"/>
        </w:rPr>
      </w:pPr>
      <w:r>
        <w:rPr>
          <w:rFonts w:hint="eastAsia" w:ascii="宋体" w:hAnsi="宋体" w:eastAsia="宋体" w:cs="宋体"/>
          <w:color w:val="auto"/>
          <w:sz w:val="24"/>
          <w:highlight w:val="none"/>
        </w:rPr>
        <w:t>1.在巨化数字化招采平台（juhua.ccccnet.com）“招标项目信息”栏的本项目招标公告附件中查看。</w:t>
      </w:r>
    </w:p>
    <w:p w14:paraId="448CAE41">
      <w:pPr>
        <w:snapToGrid w:val="0"/>
        <w:spacing w:line="360" w:lineRule="auto"/>
        <w:ind w:firstLine="422" w:firstLineChars="176"/>
        <w:rPr>
          <w:rFonts w:hint="eastAsia" w:ascii="宋体" w:hAnsi="宋体" w:eastAsia="宋体" w:cs="宋体"/>
          <w:color w:val="auto"/>
          <w:sz w:val="24"/>
          <w:highlight w:val="none"/>
        </w:rPr>
      </w:pPr>
      <w:r>
        <w:rPr>
          <w:rFonts w:hint="eastAsia" w:ascii="宋体" w:hAnsi="宋体" w:eastAsia="宋体" w:cs="宋体"/>
          <w:color w:val="auto"/>
          <w:sz w:val="24"/>
          <w:highlight w:val="none"/>
        </w:rPr>
        <w:t>2.如有意向参加投标，投标人需在巨化数字化招采平台注册、登录并报名。报名方式：登录巨化数字化招采平台后选择“</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门户”-“招标公告”选择本项目招标公告的“查看”，在 “②投标”选择“公开报名”-“报名”。</w:t>
      </w:r>
      <w:r>
        <w:rPr>
          <w:rFonts w:hint="eastAsia" w:ascii="宋体" w:hAnsi="宋体" w:eastAsia="宋体" w:cs="宋体"/>
          <w:color w:val="auto"/>
          <w:sz w:val="24"/>
          <w:highlight w:val="none"/>
          <w:lang w:bidi="ar-SA"/>
        </w:rPr>
        <w:t>递交电子投标文件前还需申领“CA专用数字证书（天谷）”，投标人应充分考虑完成注册、申领数字证书等所需的时间。注册、投标等相关操作方法详见“电子投标</w:t>
      </w:r>
      <w:r>
        <w:rPr>
          <w:rFonts w:hint="eastAsia" w:ascii="宋体" w:hAnsi="宋体" w:eastAsia="宋体" w:cs="宋体"/>
          <w:color w:val="auto"/>
          <w:sz w:val="24"/>
          <w:highlight w:val="none"/>
          <w:lang w:eastAsia="zh-CN" w:bidi="ar-SA"/>
        </w:rPr>
        <w:t>投标人</w:t>
      </w:r>
      <w:r>
        <w:rPr>
          <w:rFonts w:hint="eastAsia" w:ascii="宋体" w:hAnsi="宋体" w:eastAsia="宋体" w:cs="宋体"/>
          <w:color w:val="auto"/>
          <w:sz w:val="24"/>
          <w:highlight w:val="none"/>
          <w:lang w:bidi="ar-SA"/>
        </w:rPr>
        <w:t>操作手册”，获取方式：巨化数字化招采平台首页-“下载中心”-“</w:t>
      </w:r>
      <w:r>
        <w:rPr>
          <w:rFonts w:hint="eastAsia" w:ascii="宋体" w:hAnsi="宋体" w:eastAsia="宋体" w:cs="宋体"/>
          <w:color w:val="auto"/>
          <w:sz w:val="24"/>
          <w:highlight w:val="none"/>
          <w:lang w:eastAsia="zh-CN" w:bidi="ar-SA"/>
        </w:rPr>
        <w:t>投标人</w:t>
      </w:r>
      <w:r>
        <w:rPr>
          <w:rFonts w:hint="eastAsia" w:ascii="宋体" w:hAnsi="宋体" w:eastAsia="宋体" w:cs="宋体"/>
          <w:color w:val="auto"/>
          <w:sz w:val="24"/>
          <w:highlight w:val="none"/>
          <w:lang w:bidi="ar-SA"/>
        </w:rPr>
        <w:t>操作手册（招标）”。</w:t>
      </w:r>
    </w:p>
    <w:p w14:paraId="5B7EC176">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lang w:val="en-US" w:eastAsia="zh-CN"/>
        </w:rPr>
        <w:t>七</w:t>
      </w:r>
      <w:r>
        <w:rPr>
          <w:rFonts w:hint="eastAsia" w:ascii="宋体" w:hAnsi="宋体" w:eastAsia="宋体" w:cs="宋体"/>
          <w:b/>
          <w:color w:val="auto"/>
          <w:sz w:val="24"/>
          <w:highlight w:val="none"/>
        </w:rPr>
        <w:t>、递交投标文件的截止时间和开标时间：</w:t>
      </w:r>
      <w:r>
        <w:rPr>
          <w:rFonts w:hint="eastAsia" w:ascii="宋体" w:hAnsi="宋体" w:eastAsia="宋体" w:cs="宋体"/>
          <w:color w:val="auto"/>
          <w:sz w:val="24"/>
          <w:highlight w:val="none"/>
          <w:lang w:eastAsia="zh-CN"/>
        </w:rPr>
        <w:t>2025年</w:t>
      </w: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18</w:t>
      </w:r>
      <w:r>
        <w:rPr>
          <w:rFonts w:hint="eastAsia" w:ascii="宋体" w:hAnsi="宋体" w:eastAsia="宋体" w:cs="宋体"/>
          <w:color w:val="auto"/>
          <w:sz w:val="24"/>
          <w:highlight w:val="none"/>
        </w:rPr>
        <w:t>日</w:t>
      </w:r>
      <w:r>
        <w:rPr>
          <w:rFonts w:hint="eastAsia" w:ascii="宋体" w:hAnsi="宋体" w:eastAsia="宋体" w:cs="宋体"/>
          <w:color w:val="auto"/>
          <w:sz w:val="24"/>
          <w:highlight w:val="none"/>
          <w:lang w:val="en-US" w:eastAsia="zh-CN"/>
        </w:rPr>
        <w:t>09</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0</w:t>
      </w:r>
    </w:p>
    <w:p w14:paraId="17E8F20B">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lang w:val="en-US" w:eastAsia="zh-CN"/>
        </w:rPr>
        <w:t>八</w:t>
      </w:r>
      <w:r>
        <w:rPr>
          <w:rFonts w:hint="eastAsia" w:ascii="宋体" w:hAnsi="宋体" w:eastAsia="宋体" w:cs="宋体"/>
          <w:b/>
          <w:color w:val="auto"/>
          <w:sz w:val="24"/>
          <w:highlight w:val="none"/>
        </w:rPr>
        <w:t>、递交投标文件的方式：</w:t>
      </w:r>
      <w:r>
        <w:rPr>
          <w:rFonts w:hint="eastAsia" w:ascii="宋体" w:hAnsi="宋体" w:eastAsia="宋体" w:cs="宋体"/>
          <w:color w:val="auto"/>
          <w:sz w:val="24"/>
          <w:highlight w:val="none"/>
        </w:rPr>
        <w:t>巨化数字化招采平台在线递交，无需到场开标。</w:t>
      </w:r>
    </w:p>
    <w:p w14:paraId="3EC5A5DC">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lang w:val="en-US" w:eastAsia="zh-CN"/>
        </w:rPr>
        <w:t>九</w:t>
      </w:r>
      <w:r>
        <w:rPr>
          <w:rFonts w:hint="eastAsia" w:ascii="宋体" w:hAnsi="宋体" w:eastAsia="宋体" w:cs="宋体"/>
          <w:b/>
          <w:color w:val="auto"/>
          <w:sz w:val="24"/>
          <w:highlight w:val="none"/>
        </w:rPr>
        <w:t>、本项目采用电子招标投标方式，潜在投标人访问电子招标投标交易平台的网址：</w:t>
      </w:r>
      <w:r>
        <w:rPr>
          <w:rFonts w:hint="eastAsia" w:ascii="宋体" w:hAnsi="宋体" w:eastAsia="宋体" w:cs="宋体"/>
          <w:color w:val="auto"/>
          <w:sz w:val="24"/>
          <w:highlight w:val="none"/>
        </w:rPr>
        <w:t>巨化数字化招采平台（juhua.ccccnet.com）</w:t>
      </w:r>
    </w:p>
    <w:p w14:paraId="4E76CD89">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rPr>
        <w:t>十、</w:t>
      </w:r>
      <w:r>
        <w:rPr>
          <w:rFonts w:hint="eastAsia" w:ascii="宋体" w:hAnsi="宋体" w:eastAsia="宋体" w:cs="宋体"/>
          <w:b/>
          <w:color w:val="auto"/>
          <w:sz w:val="24"/>
          <w:highlight w:val="none"/>
          <w:lang w:bidi="ar-SA"/>
        </w:rPr>
        <w:t>公告信息发布网站：</w:t>
      </w:r>
      <w:r>
        <w:rPr>
          <w:rFonts w:hint="eastAsia" w:ascii="宋体" w:hAnsi="宋体" w:eastAsia="宋体" w:cs="宋体"/>
          <w:color w:val="auto"/>
          <w:sz w:val="24"/>
          <w:highlight w:val="none"/>
        </w:rPr>
        <w:t>巨化数字化招采平台</w:t>
      </w:r>
    </w:p>
    <w:p w14:paraId="6DFF34D4">
      <w:pPr>
        <w:snapToGrid w:val="0"/>
        <w:spacing w:line="360" w:lineRule="auto"/>
        <w:ind w:firstLine="424" w:firstLineChars="176"/>
        <w:rPr>
          <w:rFonts w:hint="eastAsia" w:ascii="宋体" w:hAnsi="宋体" w:eastAsia="宋体" w:cs="宋体"/>
          <w:color w:val="auto"/>
          <w:sz w:val="24"/>
          <w:highlight w:val="none"/>
        </w:rPr>
      </w:pPr>
      <w:r>
        <w:rPr>
          <w:rFonts w:hint="eastAsia" w:ascii="宋体" w:hAnsi="宋体" w:eastAsia="宋体" w:cs="宋体"/>
          <w:b/>
          <w:color w:val="auto"/>
          <w:sz w:val="24"/>
          <w:highlight w:val="none"/>
        </w:rPr>
        <w:t>十</w:t>
      </w:r>
      <w:r>
        <w:rPr>
          <w:rFonts w:hint="eastAsia" w:ascii="宋体" w:hAnsi="宋体" w:eastAsia="宋体" w:cs="宋体"/>
          <w:b/>
          <w:color w:val="auto"/>
          <w:sz w:val="24"/>
          <w:highlight w:val="none"/>
          <w:lang w:val="en-US" w:eastAsia="zh-CN"/>
        </w:rPr>
        <w:t>一</w:t>
      </w:r>
      <w:r>
        <w:rPr>
          <w:rFonts w:hint="eastAsia" w:ascii="宋体" w:hAnsi="宋体" w:eastAsia="宋体" w:cs="宋体"/>
          <w:b/>
          <w:color w:val="auto"/>
          <w:sz w:val="24"/>
          <w:highlight w:val="none"/>
        </w:rPr>
        <w:t>、其他补充事项：</w:t>
      </w:r>
      <w:r>
        <w:rPr>
          <w:rFonts w:hint="eastAsia" w:ascii="宋体" w:hAnsi="宋体" w:eastAsia="宋体" w:cs="宋体"/>
          <w:color w:val="auto"/>
          <w:sz w:val="24"/>
          <w:highlight w:val="none"/>
          <w:lang w:bidi="ar-SA"/>
        </w:rPr>
        <w:t>电子交易平台如有其他要求的，应遵循电子交易平台要求。</w:t>
      </w:r>
    </w:p>
    <w:p w14:paraId="27F5EEB7">
      <w:pPr>
        <w:snapToGrid w:val="0"/>
        <w:spacing w:line="360" w:lineRule="auto"/>
        <w:ind w:firstLine="424" w:firstLineChars="176"/>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十</w:t>
      </w:r>
      <w:r>
        <w:rPr>
          <w:rFonts w:hint="eastAsia" w:ascii="宋体" w:hAnsi="宋体" w:eastAsia="宋体" w:cs="宋体"/>
          <w:b/>
          <w:color w:val="auto"/>
          <w:sz w:val="24"/>
          <w:highlight w:val="none"/>
          <w:lang w:val="en-US" w:eastAsia="zh-CN"/>
        </w:rPr>
        <w:t>二</w:t>
      </w:r>
      <w:r>
        <w:rPr>
          <w:rFonts w:hint="eastAsia" w:ascii="宋体" w:hAnsi="宋体" w:eastAsia="宋体" w:cs="宋体"/>
          <w:b/>
          <w:color w:val="auto"/>
          <w:sz w:val="24"/>
          <w:highlight w:val="none"/>
        </w:rPr>
        <w:t>、联系方式：</w:t>
      </w:r>
    </w:p>
    <w:p w14:paraId="70CA73F8">
      <w:pPr>
        <w:snapToGrid w:val="0"/>
        <w:spacing w:line="360" w:lineRule="auto"/>
        <w:ind w:firstLine="422" w:firstLineChars="176"/>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招标人：</w:t>
      </w:r>
      <w:r>
        <w:rPr>
          <w:rFonts w:hint="eastAsia" w:ascii="宋体" w:hAnsi="宋体" w:eastAsia="宋体" w:cs="宋体"/>
          <w:color w:val="auto"/>
          <w:sz w:val="24"/>
          <w:highlight w:val="none"/>
          <w:lang w:eastAsia="zh-CN"/>
        </w:rPr>
        <w:t>巨化招标（交易）中心</w:t>
      </w:r>
    </w:p>
    <w:p w14:paraId="67DD616E">
      <w:pPr>
        <w:snapToGrid w:val="0"/>
        <w:spacing w:line="360" w:lineRule="auto"/>
        <w:ind w:firstLine="422" w:firstLineChars="176"/>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地址：浙江省衢州市巨化集团公司</w:t>
      </w:r>
    </w:p>
    <w:p w14:paraId="06E94605">
      <w:pPr>
        <w:snapToGrid w:val="0"/>
        <w:spacing w:line="360" w:lineRule="auto"/>
        <w:ind w:firstLine="422" w:firstLineChars="17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lang w:val="en-US" w:eastAsia="zh-CN"/>
        </w:rPr>
        <w:t>郑先生</w:t>
      </w:r>
    </w:p>
    <w:p w14:paraId="0D9956C6">
      <w:pPr>
        <w:snapToGrid w:val="0"/>
        <w:spacing w:line="360" w:lineRule="auto"/>
        <w:ind w:firstLine="422" w:firstLineChars="176"/>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13967037804</w:t>
      </w:r>
    </w:p>
    <w:p w14:paraId="67B24891">
      <w:pPr>
        <w:snapToGrid w:val="0"/>
        <w:spacing w:line="360" w:lineRule="auto"/>
        <w:ind w:firstLine="422" w:firstLineChars="176"/>
        <w:rPr>
          <w:rFonts w:hint="eastAsia" w:ascii="宋体" w:hAnsi="宋体" w:eastAsia="宋体" w:cs="宋体"/>
          <w:color w:val="auto"/>
          <w:sz w:val="24"/>
          <w:highlight w:val="none"/>
        </w:rPr>
      </w:pPr>
      <w:r>
        <w:rPr>
          <w:rFonts w:hint="eastAsia" w:ascii="宋体" w:hAnsi="宋体" w:eastAsia="宋体" w:cs="宋体"/>
          <w:color w:val="auto"/>
          <w:sz w:val="24"/>
          <w:highlight w:val="none"/>
        </w:rPr>
        <w:t>监督部门：巨化招标办公室</w:t>
      </w:r>
    </w:p>
    <w:p w14:paraId="73213E33">
      <w:pPr>
        <w:snapToGrid w:val="0"/>
        <w:spacing w:line="360" w:lineRule="auto"/>
        <w:ind w:firstLine="422" w:firstLineChars="176"/>
        <w:rPr>
          <w:rFonts w:hint="eastAsia" w:ascii="宋体" w:hAnsi="宋体" w:eastAsia="宋体" w:cs="宋体"/>
          <w:color w:val="auto"/>
          <w:sz w:val="24"/>
          <w:highlight w:val="none"/>
        </w:rPr>
      </w:pPr>
      <w:r>
        <w:rPr>
          <w:rFonts w:hint="eastAsia" w:ascii="宋体" w:hAnsi="宋体" w:eastAsia="宋体" w:cs="宋体"/>
          <w:color w:val="auto"/>
          <w:sz w:val="24"/>
          <w:highlight w:val="none"/>
        </w:rPr>
        <w:t>联系电话：0570-3091876</w:t>
      </w:r>
    </w:p>
    <w:p w14:paraId="3CA860EB">
      <w:pPr>
        <w:snapToGrid w:val="0"/>
        <w:spacing w:line="360" w:lineRule="auto"/>
        <w:ind w:firstLine="422" w:firstLineChars="176"/>
        <w:rPr>
          <w:rFonts w:hint="eastAsia" w:ascii="宋体" w:hAnsi="宋体" w:eastAsia="宋体" w:cs="宋体"/>
          <w:color w:val="auto"/>
          <w:sz w:val="24"/>
          <w:highlight w:val="none"/>
        </w:rPr>
      </w:pPr>
    </w:p>
    <w:p w14:paraId="4E54AD94">
      <w:pPr>
        <w:snapToGrid w:val="0"/>
        <w:spacing w:line="360" w:lineRule="auto"/>
        <w:ind w:firstLine="422" w:firstLineChars="176"/>
        <w:rPr>
          <w:rFonts w:hint="eastAsia" w:ascii="宋体" w:hAnsi="宋体" w:eastAsia="宋体" w:cs="宋体"/>
          <w:color w:val="auto"/>
          <w:sz w:val="24"/>
          <w:highlight w:val="none"/>
        </w:rPr>
      </w:pPr>
    </w:p>
    <w:p w14:paraId="51A70152">
      <w:pPr>
        <w:snapToGrid w:val="0"/>
        <w:spacing w:line="360" w:lineRule="auto"/>
        <w:ind w:firstLine="422" w:firstLineChars="176"/>
        <w:rPr>
          <w:rFonts w:hint="eastAsia" w:ascii="宋体" w:hAnsi="宋体" w:eastAsia="宋体" w:cs="宋体"/>
          <w:color w:val="auto"/>
          <w:sz w:val="24"/>
          <w:highlight w:val="none"/>
        </w:rPr>
      </w:pPr>
    </w:p>
    <w:p w14:paraId="7AED724C">
      <w:pPr>
        <w:snapToGrid w:val="0"/>
        <w:spacing w:line="360" w:lineRule="auto"/>
        <w:ind w:firstLine="422" w:firstLineChars="176"/>
        <w:rPr>
          <w:rFonts w:hint="eastAsia" w:ascii="宋体" w:hAnsi="宋体" w:eastAsia="宋体" w:cs="宋体"/>
          <w:color w:val="auto"/>
          <w:sz w:val="24"/>
          <w:highlight w:val="none"/>
        </w:rPr>
      </w:pPr>
    </w:p>
    <w:p w14:paraId="4DFD05F3">
      <w:pPr>
        <w:snapToGrid w:val="0"/>
        <w:spacing w:line="360" w:lineRule="auto"/>
        <w:ind w:left="238"/>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14:paraId="43D88AA9">
      <w:pPr>
        <w:pStyle w:val="5"/>
        <w:snapToGrid w:val="0"/>
        <w:spacing w:before="0" w:beforeLines="0" w:after="0" w:afterLines="0" w:line="360" w:lineRule="auto"/>
        <w:jc w:val="center"/>
        <w:outlineLvl w:val="0"/>
        <w:rPr>
          <w:rFonts w:hint="eastAsia" w:ascii="宋体" w:hAnsi="宋体" w:eastAsia="宋体" w:cs="宋体"/>
          <w:b/>
          <w:color w:val="auto"/>
          <w:sz w:val="30"/>
          <w:szCs w:val="30"/>
          <w:highlight w:val="none"/>
        </w:rPr>
      </w:pPr>
      <w:bookmarkStart w:id="2" w:name="_Toc22349"/>
      <w:r>
        <w:rPr>
          <w:rFonts w:hint="eastAsia" w:ascii="宋体" w:hAnsi="宋体" w:eastAsia="宋体" w:cs="宋体"/>
          <w:b/>
          <w:color w:val="auto"/>
          <w:sz w:val="30"/>
          <w:szCs w:val="30"/>
          <w:highlight w:val="none"/>
        </w:rPr>
        <w:t>第二章  投标人须知</w:t>
      </w:r>
      <w:bookmarkEnd w:id="2"/>
    </w:p>
    <w:p w14:paraId="292E4649">
      <w:pPr>
        <w:snapToGrid w:val="0"/>
        <w:spacing w:line="360" w:lineRule="auto"/>
        <w:ind w:left="238"/>
        <w:jc w:val="center"/>
        <w:outlineLvl w:val="1"/>
        <w:rPr>
          <w:rFonts w:hint="eastAsia" w:ascii="宋体" w:hAnsi="宋体" w:eastAsia="宋体" w:cs="宋体"/>
          <w:b/>
          <w:color w:val="auto"/>
          <w:sz w:val="28"/>
          <w:szCs w:val="28"/>
          <w:highlight w:val="none"/>
        </w:rPr>
      </w:pPr>
      <w:bookmarkStart w:id="3" w:name="_Toc3436"/>
      <w:r>
        <w:rPr>
          <w:rFonts w:hint="eastAsia" w:ascii="宋体" w:hAnsi="宋体" w:eastAsia="宋体" w:cs="宋体"/>
          <w:b/>
          <w:color w:val="auto"/>
          <w:sz w:val="28"/>
          <w:szCs w:val="28"/>
          <w:highlight w:val="none"/>
        </w:rPr>
        <w:t>投标人须知前附表</w:t>
      </w:r>
      <w:bookmarkEnd w:id="3"/>
    </w:p>
    <w:tbl>
      <w:tblPr>
        <w:tblStyle w:val="10"/>
        <w:tblW w:w="91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60"/>
        <w:gridCol w:w="1440"/>
        <w:gridCol w:w="6864"/>
      </w:tblGrid>
      <w:tr w14:paraId="4BAE8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37469DC">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序号</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1656D016">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名  称</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385A2589">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内   容</w:t>
            </w:r>
          </w:p>
        </w:tc>
      </w:tr>
      <w:tr w14:paraId="2509BD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539C5C7">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5972D14">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2F76D699">
            <w:pPr>
              <w:snapToGrid w:val="0"/>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巨化集团有限公司招标代理机构选择</w:t>
            </w:r>
          </w:p>
        </w:tc>
      </w:tr>
      <w:tr w14:paraId="145E94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DA8DA2F">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511518D">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招标内容及数量</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7EC684F2">
            <w:pPr>
              <w:snapToGrid w:val="0"/>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1.招标内容：巨化集团有限公司本埠及外埠单位招标代理机构选择，不含已单独招标的甘肃项目。</w:t>
            </w:r>
          </w:p>
          <w:p w14:paraId="70EFD260">
            <w:pPr>
              <w:snapToGrid w:val="0"/>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2.服务期：2025年7月起至2028年6月</w:t>
            </w:r>
          </w:p>
          <w:p w14:paraId="2E97B50C">
            <w:pPr>
              <w:snapToGrid w:val="0"/>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3.中标单位数量：3家</w:t>
            </w:r>
          </w:p>
        </w:tc>
      </w:tr>
      <w:tr w14:paraId="709CA0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3BCAA29">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3</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AD8F1F8">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投标报价</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3B2AD1E3">
            <w:pPr>
              <w:snapToGrid w:val="0"/>
              <w:spacing w:line="360" w:lineRule="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1.本次招标采用</w:t>
            </w:r>
            <w:r>
              <w:rPr>
                <w:rFonts w:hint="eastAsia" w:ascii="宋体" w:hAnsi="宋体" w:eastAsia="宋体" w:cs="宋体"/>
                <w:color w:val="auto"/>
                <w:sz w:val="24"/>
                <w:u w:val="single"/>
                <w:lang w:val="en-US" w:eastAsia="zh-CN"/>
              </w:rPr>
              <w:t>折扣率</w:t>
            </w:r>
            <w:r>
              <w:rPr>
                <w:rFonts w:hint="eastAsia" w:ascii="宋体" w:hAnsi="宋体" w:eastAsia="宋体" w:cs="宋体"/>
                <w:color w:val="auto"/>
                <w:sz w:val="24"/>
                <w:lang w:val="en-US" w:eastAsia="zh-CN"/>
              </w:rPr>
              <w:t>报价，投标人参照《招标代理服务收费管理暂行办法》（计价格[2002]1980号）规定收费标准填报折扣率</w:t>
            </w:r>
            <w:r>
              <w:rPr>
                <w:rFonts w:hint="eastAsia" w:ascii="宋体" w:hAnsi="宋体" w:eastAsia="宋体" w:cs="宋体"/>
                <w:color w:val="auto"/>
                <w:sz w:val="24"/>
              </w:rPr>
              <w:t>。</w:t>
            </w:r>
            <w:r>
              <w:rPr>
                <w:rFonts w:hint="eastAsia" w:ascii="宋体" w:hAnsi="宋体" w:eastAsia="宋体" w:cs="宋体"/>
                <w:color w:val="auto"/>
                <w:sz w:val="24"/>
                <w:u w:val="single"/>
                <w:lang w:val="en-US" w:eastAsia="zh-CN"/>
              </w:rPr>
              <w:t>招标代理收费金额=参照《招标代理服务收费管理暂行办法》（计价格[2002]1980号）规定计算的招标代理服务费×中标折扣率</w:t>
            </w:r>
            <w:r>
              <w:rPr>
                <w:rFonts w:hint="eastAsia" w:ascii="宋体" w:hAnsi="宋体" w:eastAsia="宋体" w:cs="宋体"/>
                <w:color w:val="auto"/>
                <w:sz w:val="24"/>
                <w:u w:val="none"/>
                <w:lang w:val="en-US" w:eastAsia="zh-CN"/>
              </w:rPr>
              <w:t>。</w:t>
            </w:r>
          </w:p>
          <w:p w14:paraId="7F44F701">
            <w:pPr>
              <w:snapToGrid w:val="0"/>
              <w:spacing w:line="360" w:lineRule="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2.单个标项代理费不足肆仟元的按肆仟元计，超过捌万元的按捌万元计。</w:t>
            </w:r>
          </w:p>
          <w:p w14:paraId="46DD329B">
            <w:pPr>
              <w:snapToGrid w:val="0"/>
              <w:spacing w:line="360" w:lineRule="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3.投标文件只允许有一个报价，有选择或有附加条件的报价将不予接受；</w:t>
            </w:r>
          </w:p>
          <w:p w14:paraId="69A85DFA">
            <w:pPr>
              <w:snapToGrid w:val="0"/>
              <w:spacing w:line="360" w:lineRule="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4.不论采购结果如何，投标人均应自行承担所有与响应有关的全部费用；</w:t>
            </w:r>
          </w:p>
          <w:p w14:paraId="10D37DEA">
            <w:pPr>
              <w:snapToGrid w:val="0"/>
              <w:spacing w:line="360" w:lineRule="auto"/>
              <w:rPr>
                <w:rFonts w:hint="eastAsia" w:ascii="宋体" w:hAnsi="宋体" w:eastAsia="宋体" w:cs="宋体"/>
                <w:color w:val="auto"/>
                <w:kern w:val="0"/>
                <w:sz w:val="24"/>
                <w:highlight w:val="none"/>
                <w:lang w:val="en-US" w:eastAsia="zh-CN"/>
              </w:rPr>
            </w:pPr>
            <w:r>
              <w:rPr>
                <w:rFonts w:hint="eastAsia" w:ascii="宋体" w:hAnsi="宋体" w:eastAsia="宋体" w:cs="宋体"/>
                <w:color w:val="auto"/>
                <w:sz w:val="24"/>
                <w:lang w:val="en-US" w:eastAsia="zh-CN"/>
              </w:rPr>
              <w:t>5.招标代理费由各代理项目的中标人支付，代理项目的评审专家费由招标代理机构支付，不得要求代理项目的中标人支付评审专家费。</w:t>
            </w:r>
          </w:p>
        </w:tc>
      </w:tr>
      <w:tr w14:paraId="069901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36CCA991">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4</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1AC3AA2">
            <w:pPr>
              <w:snapToGrid w:val="0"/>
              <w:spacing w:line="360" w:lineRule="auto"/>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最高限价</w:t>
            </w:r>
            <w:r>
              <w:rPr>
                <w:rFonts w:hint="eastAsia" w:ascii="宋体" w:hAnsi="宋体" w:eastAsia="宋体" w:cs="宋体"/>
                <w:color w:val="auto"/>
                <w:sz w:val="24"/>
                <w:highlight w:val="none"/>
                <w:lang w:val="en-US" w:eastAsia="zh-CN"/>
              </w:rPr>
              <w:t>/风险控制价</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1D2C8F23">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最高限价</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折扣率60%</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投标价超出最高限价的，投标将被否决。</w:t>
            </w:r>
          </w:p>
          <w:p w14:paraId="61321E5E">
            <w:pPr>
              <w:snapToGrid w:val="0"/>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风险控制价：折扣率50%，低于风险控制价中标的，须向招标人缴纳风险控制金每家2万元，服务期满且无质量问题后60天内无息退还。</w:t>
            </w:r>
          </w:p>
        </w:tc>
      </w:tr>
      <w:tr w14:paraId="773F0D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156B38C8">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5</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4509BD0">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电子交易平台</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0EF6AF3C">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巨化数字化招采平台（juhua.ccccnet.com）</w:t>
            </w:r>
          </w:p>
        </w:tc>
      </w:tr>
      <w:tr w14:paraId="074EA8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DF7BB8F">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6</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44CFA13">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投标保证金</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19DC02F3">
            <w:pPr>
              <w:snapToGrid w:val="0"/>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无需缴纳</w:t>
            </w:r>
          </w:p>
        </w:tc>
      </w:tr>
      <w:tr w14:paraId="521DC8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1FAFD657">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7</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7922774">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招标文</w:t>
            </w:r>
          </w:p>
          <w:p w14:paraId="4F42DAF6">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件澄清</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09F5F377">
            <w:pPr>
              <w:snapToGrid w:val="0"/>
              <w:spacing w:line="360" w:lineRule="auto"/>
              <w:rPr>
                <w:rFonts w:hint="eastAsia" w:ascii="宋体" w:hAnsi="宋体" w:eastAsia="宋体" w:cs="宋体"/>
                <w:color w:val="auto"/>
                <w:kern w:val="2"/>
                <w:sz w:val="24"/>
                <w:szCs w:val="20"/>
                <w:highlight w:val="none"/>
                <w:lang w:val="en-US" w:eastAsia="zh-CN" w:bidi="ar-SA"/>
              </w:rPr>
            </w:pPr>
            <w:r>
              <w:rPr>
                <w:rFonts w:hint="eastAsia" w:ascii="宋体" w:hAnsi="宋体" w:eastAsia="宋体" w:cs="宋体"/>
                <w:color w:val="auto"/>
                <w:sz w:val="24"/>
                <w:highlight w:val="none"/>
              </w:rPr>
              <w:t>投标人如认为招标文件表述不清晰、存在前后矛盾等内容的，应当在投标截止日</w:t>
            </w:r>
            <w:r>
              <w:rPr>
                <w:rFonts w:hint="eastAsia" w:ascii="宋体" w:hAnsi="宋体" w:eastAsia="宋体" w:cs="宋体"/>
                <w:color w:val="auto"/>
                <w:sz w:val="24"/>
                <w:highlight w:val="none"/>
                <w:u w:val="single"/>
              </w:rPr>
              <w:t xml:space="preserve"> 3 </w:t>
            </w:r>
            <w:r>
              <w:rPr>
                <w:rFonts w:hint="eastAsia" w:ascii="宋体" w:hAnsi="宋体" w:eastAsia="宋体" w:cs="宋体"/>
                <w:color w:val="auto"/>
                <w:sz w:val="24"/>
                <w:highlight w:val="none"/>
              </w:rPr>
              <w:t>天前以书面形式要求招标人作出书面澄清。</w:t>
            </w:r>
          </w:p>
        </w:tc>
      </w:tr>
      <w:tr w14:paraId="60DA26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3DCAF985">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8</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8B0D65A">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w:t>
            </w:r>
          </w:p>
          <w:p w14:paraId="342D5ED8">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件组成</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7ACCD18A">
            <w:pPr>
              <w:snapToGrid w:val="0"/>
              <w:spacing w:line="360" w:lineRule="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投标文件由技术资信标书和商务经济标书两部分组成。</w:t>
            </w:r>
          </w:p>
        </w:tc>
      </w:tr>
      <w:tr w14:paraId="14BA5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36094BE5">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9</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387564B">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w:t>
            </w:r>
          </w:p>
          <w:p w14:paraId="6B824884">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编制</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75D0255D">
            <w:pPr>
              <w:snapToGrid w:val="0"/>
              <w:spacing w:line="360" w:lineRule="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按投标人须知“三、投标文件的编制”的要求编制</w:t>
            </w:r>
          </w:p>
        </w:tc>
      </w:tr>
      <w:tr w14:paraId="1101F1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149DFDE">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10</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5C3B26A">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w:t>
            </w:r>
          </w:p>
          <w:p w14:paraId="74E318DE">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的签章</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644E71C9">
            <w:pPr>
              <w:autoSpaceDE w:val="0"/>
              <w:autoSpaceDN w:val="0"/>
              <w:adjustRightInd w:val="0"/>
              <w:snapToGrid w:val="0"/>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采用电子签章。</w:t>
            </w:r>
          </w:p>
        </w:tc>
      </w:tr>
      <w:tr w14:paraId="4EE2C4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8"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8AAEB20">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11</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7ABA7F2">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w:t>
            </w:r>
          </w:p>
          <w:p w14:paraId="40B7319C">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的包装、密封和递交</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470DA72D">
            <w:pPr>
              <w:snapToGrid w:val="0"/>
              <w:spacing w:line="360" w:lineRule="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rPr>
              <w:t>投标人应在投标截止时间前将“电子加密投标文件”成功上传递交至“巨化数字化招采平台”，否则投标无效。</w:t>
            </w:r>
          </w:p>
        </w:tc>
      </w:tr>
      <w:tr w14:paraId="57978B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14B2A170">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12</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8C89A78">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投标截止时间和地址</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29C1A656">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投标截止时间：详见第一章招标公告</w:t>
            </w:r>
          </w:p>
          <w:p w14:paraId="1025108A">
            <w:pPr>
              <w:snapToGrid w:val="0"/>
              <w:spacing w:line="360" w:lineRule="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rPr>
              <w:t>投标地址：</w:t>
            </w:r>
            <w:r>
              <w:rPr>
                <w:rFonts w:hint="eastAsia" w:ascii="宋体" w:hAnsi="宋体" w:eastAsia="宋体" w:cs="宋体"/>
                <w:color w:val="auto"/>
                <w:sz w:val="24"/>
                <w:highlight w:val="none"/>
                <w:lang w:bidi="ar-SA"/>
              </w:rPr>
              <w:t>巨化数字化招采平台（juhua.ccccnet.com），</w:t>
            </w:r>
            <w:r>
              <w:rPr>
                <w:rFonts w:hint="eastAsia" w:ascii="宋体" w:hAnsi="宋体" w:eastAsia="宋体" w:cs="宋体"/>
                <w:bCs/>
                <w:color w:val="auto"/>
                <w:sz w:val="24"/>
                <w:highlight w:val="none"/>
              </w:rPr>
              <w:t>投标人在线投标。</w:t>
            </w:r>
          </w:p>
        </w:tc>
      </w:tr>
      <w:tr w14:paraId="62405F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3C948B7">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13</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0EAAD72">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开标时间和地址</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0512CF17">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开标时间：详见第一章招标公告</w:t>
            </w:r>
          </w:p>
          <w:p w14:paraId="6A400D87">
            <w:pPr>
              <w:snapToGrid w:val="0"/>
              <w:spacing w:line="360" w:lineRule="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rPr>
              <w:t>开标地址：</w:t>
            </w:r>
            <w:r>
              <w:rPr>
                <w:rFonts w:hint="eastAsia" w:ascii="宋体" w:hAnsi="宋体" w:eastAsia="宋体" w:cs="宋体"/>
                <w:color w:val="auto"/>
                <w:sz w:val="24"/>
                <w:highlight w:val="none"/>
                <w:lang w:bidi="ar-SA"/>
              </w:rPr>
              <w:t>巨化数字化招采平台（juhua.ccccnet.com）</w:t>
            </w:r>
            <w:r>
              <w:rPr>
                <w:rFonts w:hint="eastAsia" w:ascii="宋体" w:hAnsi="宋体" w:eastAsia="宋体" w:cs="宋体"/>
                <w:bCs/>
                <w:color w:val="auto"/>
                <w:sz w:val="24"/>
                <w:highlight w:val="none"/>
              </w:rPr>
              <w:t>，投标人在线参加开标。</w:t>
            </w:r>
          </w:p>
        </w:tc>
      </w:tr>
      <w:tr w14:paraId="64767E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93EA359">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14</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1C612B0B">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w:t>
            </w:r>
          </w:p>
          <w:p w14:paraId="3E7B89C0">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有效期</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34F9A6A8">
            <w:pPr>
              <w:autoSpaceDE w:val="0"/>
              <w:autoSpaceDN w:val="0"/>
              <w:snapToGrid w:val="0"/>
              <w:spacing w:line="360" w:lineRule="auto"/>
              <w:textAlignment w:val="bottom"/>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90天</w:t>
            </w:r>
          </w:p>
        </w:tc>
      </w:tr>
      <w:tr w14:paraId="7D0440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F0ADB49">
            <w:pPr>
              <w:snapToGrid w:val="0"/>
              <w:spacing w:line="360" w:lineRule="auto"/>
              <w:jc w:val="center"/>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15</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1260991">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履约保证金</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14D86674">
            <w:pPr>
              <w:snapToGrid w:val="0"/>
              <w:spacing w:line="360" w:lineRule="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color w:val="auto"/>
                <w:sz w:val="24"/>
                <w:highlight w:val="none"/>
              </w:rPr>
              <w:t>本项目无需缴纳。</w:t>
            </w:r>
          </w:p>
        </w:tc>
      </w:tr>
      <w:tr w14:paraId="3F5C9C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1C467595">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16</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15F7782B">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质保金</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72E91F6F">
            <w:pPr>
              <w:snapToGrid w:val="0"/>
              <w:spacing w:line="360" w:lineRule="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本项目无需缴纳。</w:t>
            </w:r>
          </w:p>
        </w:tc>
      </w:tr>
      <w:tr w14:paraId="66D3DB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2017078">
            <w:pPr>
              <w:snapToGrid w:val="0"/>
              <w:spacing w:line="360" w:lineRule="auto"/>
              <w:jc w:val="center"/>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17</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0CFAE43">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解释权</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7D89E033">
            <w:pPr>
              <w:autoSpaceDE w:val="0"/>
              <w:autoSpaceDN w:val="0"/>
              <w:snapToGrid w:val="0"/>
              <w:spacing w:line="360" w:lineRule="auto"/>
              <w:textAlignment w:val="bottom"/>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本招标文件的解释权属于招标人</w:t>
            </w:r>
            <w:r>
              <w:rPr>
                <w:rFonts w:hint="eastAsia" w:ascii="宋体" w:hAnsi="宋体" w:eastAsia="宋体" w:cs="宋体"/>
                <w:color w:val="auto"/>
                <w:sz w:val="24"/>
                <w:highlight w:val="none"/>
                <w:lang w:eastAsia="zh-CN"/>
              </w:rPr>
              <w:t>。</w:t>
            </w:r>
          </w:p>
        </w:tc>
      </w:tr>
      <w:tr w14:paraId="7AB038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4B4A95BF">
            <w:pPr>
              <w:snapToGrid w:val="0"/>
              <w:spacing w:line="360" w:lineRule="auto"/>
              <w:jc w:val="center"/>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18</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834C899">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其他</w:t>
            </w:r>
          </w:p>
        </w:tc>
        <w:tc>
          <w:tcPr>
            <w:tcW w:w="6864" w:type="dxa"/>
            <w:tcBorders>
              <w:top w:val="single" w:color="auto" w:sz="4" w:space="0"/>
              <w:left w:val="single" w:color="auto" w:sz="4" w:space="0"/>
              <w:bottom w:val="single" w:color="auto" w:sz="4" w:space="0"/>
              <w:right w:val="single" w:color="auto" w:sz="4" w:space="0"/>
            </w:tcBorders>
            <w:noWrap w:val="0"/>
            <w:vAlign w:val="center"/>
          </w:tcPr>
          <w:p w14:paraId="7649C48C">
            <w:pPr>
              <w:autoSpaceDE w:val="0"/>
              <w:autoSpaceDN w:val="0"/>
              <w:snapToGrid w:val="0"/>
              <w:spacing w:line="360" w:lineRule="auto"/>
              <w:textAlignment w:val="bottom"/>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根据国家发改委2018年第16号令，本项目为非依法必须招标项目，按照巨化招标管理办法的规定执行。</w:t>
            </w:r>
          </w:p>
        </w:tc>
      </w:tr>
    </w:tbl>
    <w:p w14:paraId="6621A962">
      <w:pPr>
        <w:snapToGrid w:val="0"/>
        <w:spacing w:line="360" w:lineRule="auto"/>
        <w:ind w:left="426"/>
        <w:jc w:val="left"/>
        <w:outlineLvl w:val="1"/>
        <w:rPr>
          <w:rFonts w:hint="eastAsia" w:ascii="宋体" w:hAnsi="宋体" w:eastAsia="宋体" w:cs="宋体"/>
          <w:b/>
          <w:color w:val="auto"/>
          <w:sz w:val="28"/>
          <w:szCs w:val="28"/>
          <w:highlight w:val="none"/>
        </w:rPr>
      </w:pPr>
      <w:r>
        <w:rPr>
          <w:rFonts w:hint="eastAsia" w:ascii="宋体" w:hAnsi="宋体" w:eastAsia="宋体" w:cs="宋体"/>
          <w:color w:val="auto"/>
          <w:highlight w:val="none"/>
        </w:rPr>
        <w:br w:type="page"/>
      </w:r>
      <w:bookmarkStart w:id="4" w:name="_Toc27899"/>
      <w:r>
        <w:rPr>
          <w:rFonts w:hint="eastAsia" w:ascii="宋体" w:hAnsi="宋体" w:eastAsia="宋体" w:cs="宋体"/>
          <w:b/>
          <w:color w:val="auto"/>
          <w:sz w:val="28"/>
          <w:szCs w:val="28"/>
          <w:highlight w:val="none"/>
        </w:rPr>
        <w:t>一、总  则</w:t>
      </w:r>
      <w:bookmarkEnd w:id="4"/>
    </w:p>
    <w:p w14:paraId="4D0416BF">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（一） 适用范围</w:t>
      </w:r>
    </w:p>
    <w:p w14:paraId="01007253">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本招标文件适用于本次招标项目的招标、投标、评标、定标、验收、合同履约、付款等行为（法律、法规另有规定的，从其规定）。</w:t>
      </w:r>
    </w:p>
    <w:p w14:paraId="77968A97">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（二）定义</w:t>
      </w:r>
    </w:p>
    <w:p w14:paraId="48CB8F30">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1.招标单位：系指组织本次招标的招标人。</w:t>
      </w:r>
    </w:p>
    <w:p w14:paraId="68CBB512">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2.投标人：系指按招标文件规定合法获取了招标文件并向招标单位提交投标文件的单位。</w:t>
      </w:r>
    </w:p>
    <w:p w14:paraId="0DCD1443">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3.投标人代表：是指参加本项目投标活动的投标人法定代表人或法定代表人授权代表。</w:t>
      </w:r>
    </w:p>
    <w:p w14:paraId="3DDC0D3F">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4.联合体：是指两个以上投标人组成联合体，以一个投标人的身份参加投标。</w:t>
      </w:r>
    </w:p>
    <w:p w14:paraId="6CD98C8D">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 甲方：是指合同签订的一方，一般与招标人、用户相同。</w:t>
      </w:r>
    </w:p>
    <w:p w14:paraId="04FB5E2A">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 乙方：是指合同签订的另一方，与中标人相同。</w:t>
      </w:r>
    </w:p>
    <w:p w14:paraId="7F30B805">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7.“服务”系指招标文件规定投标人须承担的</w:t>
      </w:r>
      <w:r>
        <w:rPr>
          <w:rFonts w:hint="eastAsia" w:ascii="宋体" w:hAnsi="宋体" w:eastAsia="宋体" w:cs="宋体"/>
          <w:color w:val="auto"/>
          <w:sz w:val="24"/>
          <w:highlight w:val="none"/>
          <w:lang w:val="en-US" w:eastAsia="zh-CN"/>
        </w:rPr>
        <w:t>招标代理</w:t>
      </w:r>
      <w:r>
        <w:rPr>
          <w:rFonts w:hint="eastAsia" w:ascii="宋体" w:hAnsi="宋体" w:eastAsia="宋体" w:cs="宋体"/>
          <w:color w:val="auto"/>
          <w:sz w:val="24"/>
          <w:highlight w:val="none"/>
        </w:rPr>
        <w:t>以及其他类似的义务。</w:t>
      </w:r>
    </w:p>
    <w:p w14:paraId="59048981">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.“项目”系指投标人按招标文件规定向招标人提供的产品和服务。</w:t>
      </w:r>
    </w:p>
    <w:p w14:paraId="2C37CF94">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.“书面形式”包括信函、传真、电报</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电子邮件</w:t>
      </w:r>
      <w:r>
        <w:rPr>
          <w:rFonts w:hint="eastAsia" w:ascii="宋体" w:hAnsi="宋体" w:eastAsia="宋体" w:cs="宋体"/>
          <w:color w:val="auto"/>
          <w:sz w:val="24"/>
          <w:highlight w:val="none"/>
        </w:rPr>
        <w:t>等。</w:t>
      </w:r>
    </w:p>
    <w:p w14:paraId="014774B3">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.“▲”系指实质性要求条款。</w:t>
      </w:r>
    </w:p>
    <w:p w14:paraId="6FC1E213">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（三）招标方式</w:t>
      </w:r>
    </w:p>
    <w:p w14:paraId="4BC9C649">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本次招标采用公开招标方式进行。</w:t>
      </w:r>
    </w:p>
    <w:p w14:paraId="0B39029B">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（四）投标委托</w:t>
      </w:r>
    </w:p>
    <w:p w14:paraId="67CF954D">
      <w:pPr>
        <w:pStyle w:val="4"/>
        <w:snapToGrid w:val="0"/>
        <w:spacing w:line="360" w:lineRule="auto"/>
        <w:ind w:firstLine="426"/>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本项目招标采用全流程电子形式，无需</w:t>
      </w:r>
      <w:r>
        <w:rPr>
          <w:rFonts w:hint="eastAsia" w:ascii="宋体" w:hAnsi="宋体" w:eastAsia="宋体" w:cs="宋体"/>
          <w:color w:val="auto"/>
          <w:sz w:val="24"/>
          <w:szCs w:val="24"/>
          <w:highlight w:val="none"/>
          <w:lang w:val="en-US" w:eastAsia="zh-CN"/>
        </w:rPr>
        <w:t>委托授权代表</w:t>
      </w:r>
      <w:r>
        <w:rPr>
          <w:rFonts w:hint="eastAsia" w:ascii="宋体" w:hAnsi="宋体" w:eastAsia="宋体" w:cs="宋体"/>
          <w:color w:val="auto"/>
          <w:sz w:val="24"/>
          <w:szCs w:val="24"/>
          <w:highlight w:val="none"/>
        </w:rPr>
        <w:t>。</w:t>
      </w:r>
    </w:p>
    <w:p w14:paraId="592A1A5F">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（五）投标费用</w:t>
      </w:r>
    </w:p>
    <w:p w14:paraId="3635EFB5">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不论投标结果如何，投标人均应自行承担所有与投标有关的全部费用。</w:t>
      </w:r>
    </w:p>
    <w:p w14:paraId="22CECF15">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（六）联合体投标</w:t>
      </w:r>
    </w:p>
    <w:p w14:paraId="16A941F0">
      <w:pPr>
        <w:snapToGrid w:val="0"/>
        <w:spacing w:line="360" w:lineRule="auto"/>
        <w:ind w:firstLine="426"/>
        <w:jc w:val="left"/>
        <w:rPr>
          <w:rFonts w:hint="eastAsia" w:ascii="宋体" w:hAnsi="宋体" w:eastAsia="宋体" w:cs="宋体"/>
          <w:i/>
          <w:color w:val="auto"/>
          <w:sz w:val="24"/>
          <w:highlight w:val="none"/>
        </w:rPr>
      </w:pPr>
      <w:r>
        <w:rPr>
          <w:rFonts w:hint="eastAsia" w:ascii="宋体" w:hAnsi="宋体" w:eastAsia="宋体" w:cs="宋体"/>
          <w:color w:val="auto"/>
          <w:kern w:val="0"/>
          <w:sz w:val="24"/>
          <w:highlight w:val="none"/>
        </w:rPr>
        <w:t>本项目不接受联合体投标。</w:t>
      </w:r>
    </w:p>
    <w:p w14:paraId="3C9D00C4">
      <w:pPr>
        <w:snapToGrid w:val="0"/>
        <w:spacing w:line="360" w:lineRule="auto"/>
        <w:ind w:firstLine="426"/>
        <w:rPr>
          <w:rFonts w:hint="eastAsia" w:ascii="宋体" w:hAnsi="宋体" w:eastAsia="宋体" w:cs="宋体"/>
          <w:b/>
          <w:color w:val="auto"/>
          <w:kern w:val="0"/>
          <w:sz w:val="24"/>
          <w:szCs w:val="20"/>
          <w:highlight w:val="none"/>
        </w:rPr>
      </w:pPr>
      <w:r>
        <w:rPr>
          <w:rFonts w:hint="eastAsia" w:ascii="宋体" w:hAnsi="宋体" w:eastAsia="宋体" w:cs="宋体"/>
          <w:b/>
          <w:color w:val="auto"/>
          <w:sz w:val="24"/>
          <w:highlight w:val="none"/>
        </w:rPr>
        <w:t>（七）</w:t>
      </w:r>
      <w:r>
        <w:rPr>
          <w:rFonts w:hint="eastAsia" w:ascii="宋体" w:hAnsi="宋体" w:eastAsia="宋体" w:cs="宋体"/>
          <w:b/>
          <w:color w:val="auto"/>
          <w:kern w:val="0"/>
          <w:sz w:val="24"/>
          <w:highlight w:val="none"/>
        </w:rPr>
        <w:t>转包与分包</w:t>
      </w:r>
    </w:p>
    <w:p w14:paraId="14AFCD56">
      <w:pPr>
        <w:snapToGrid w:val="0"/>
        <w:spacing w:line="360" w:lineRule="auto"/>
        <w:ind w:firstLine="426"/>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1.本项目不允许转包。</w:t>
      </w:r>
    </w:p>
    <w:p w14:paraId="63D0C8F4">
      <w:pPr>
        <w:snapToGrid w:val="0"/>
        <w:spacing w:line="360" w:lineRule="auto"/>
        <w:ind w:firstLine="426"/>
        <w:rPr>
          <w:rFonts w:hint="eastAsia" w:ascii="宋体" w:hAnsi="宋体" w:eastAsia="宋体" w:cs="宋体"/>
          <w:color w:val="auto"/>
          <w:sz w:val="24"/>
          <w:szCs w:val="20"/>
          <w:highlight w:val="none"/>
        </w:rPr>
      </w:pPr>
      <w:r>
        <w:rPr>
          <w:rFonts w:hint="eastAsia" w:ascii="宋体" w:hAnsi="宋体" w:eastAsia="宋体" w:cs="宋体"/>
          <w:color w:val="auto"/>
          <w:kern w:val="0"/>
          <w:sz w:val="24"/>
          <w:highlight w:val="none"/>
        </w:rPr>
        <w:t>2.本项目不允许分包。</w:t>
      </w:r>
    </w:p>
    <w:p w14:paraId="7C8A9111">
      <w:pPr>
        <w:snapToGrid w:val="0"/>
        <w:spacing w:line="360" w:lineRule="auto"/>
        <w:ind w:firstLine="426"/>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（八）特别说明：</w:t>
      </w:r>
    </w:p>
    <w:p w14:paraId="42F49326">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1.本次招标采用电子交易方式。</w:t>
      </w:r>
    </w:p>
    <w:p w14:paraId="60BFB28A">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2.投标人投标所使用的资格、信誉、荣誉、业绩与企业认证证书必须为该投标人所拥有。</w:t>
      </w:r>
    </w:p>
    <w:p w14:paraId="156A85AD">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.投标人应仔细阅读招标文件的所有内容，按照招标文件的要求提交投标文件，并对所提供的全部资料的真实性承担法律责任。</w:t>
      </w:r>
    </w:p>
    <w:p w14:paraId="0B62AE1F">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.招标过程中出现以下情形，导致电子交易平台无法正常运行，或者无法保证电子交易的公平、公正和安全时，招标人可中止电子交易活动：</w:t>
      </w:r>
    </w:p>
    <w:p w14:paraId="74EA8480">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（1）电子交易平台发生故障而无法登录访问的； </w:t>
      </w:r>
    </w:p>
    <w:p w14:paraId="6B1AE8B0">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（2）电子交易平台应用或数据库出现错误，不能进行正常操作的；</w:t>
      </w:r>
    </w:p>
    <w:p w14:paraId="44E8DB44">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（3）电子交易平台发现严重安全漏洞，有潜在泄密危险的；</w:t>
      </w:r>
    </w:p>
    <w:p w14:paraId="0C4EE6EB">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（4）病毒发作导致不能进行正常操作的；</w:t>
      </w:r>
    </w:p>
    <w:p w14:paraId="4F360148">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（5）其他无法保证电子交易的公平、公正和安全的情况。</w:t>
      </w:r>
    </w:p>
    <w:p w14:paraId="35CFCAC6">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出现上述规定情形，不影响招标公平、公正性的，招标</w:t>
      </w:r>
      <w:r>
        <w:rPr>
          <w:rFonts w:hint="eastAsia" w:ascii="宋体" w:hAnsi="宋体" w:eastAsia="宋体" w:cs="宋体"/>
          <w:color w:val="auto"/>
          <w:kern w:val="0"/>
          <w:sz w:val="24"/>
          <w:highlight w:val="none"/>
          <w:lang w:val="en-US" w:eastAsia="zh-CN"/>
        </w:rPr>
        <w:t>人</w:t>
      </w:r>
      <w:r>
        <w:rPr>
          <w:rFonts w:hint="eastAsia" w:ascii="宋体" w:hAnsi="宋体" w:eastAsia="宋体" w:cs="宋体"/>
          <w:color w:val="auto"/>
          <w:kern w:val="0"/>
          <w:sz w:val="24"/>
          <w:highlight w:val="none"/>
        </w:rPr>
        <w:t>可以待上述情形消除后继续组织电子交易活动，也可以决定某些环节以纸质形式进行。</w:t>
      </w:r>
    </w:p>
    <w:p w14:paraId="2E420FAA">
      <w:pPr>
        <w:snapToGrid w:val="0"/>
        <w:spacing w:line="360" w:lineRule="auto"/>
        <w:ind w:left="426"/>
        <w:jc w:val="left"/>
        <w:outlineLvl w:val="1"/>
        <w:rPr>
          <w:rFonts w:hint="eastAsia" w:ascii="宋体" w:hAnsi="宋体" w:eastAsia="宋体" w:cs="宋体"/>
          <w:b/>
          <w:color w:val="auto"/>
          <w:sz w:val="28"/>
          <w:szCs w:val="28"/>
          <w:highlight w:val="none"/>
        </w:rPr>
      </w:pPr>
      <w:bookmarkStart w:id="5" w:name="_Toc12795"/>
      <w:r>
        <w:rPr>
          <w:rFonts w:hint="eastAsia" w:ascii="宋体" w:hAnsi="宋体" w:eastAsia="宋体" w:cs="宋体"/>
          <w:b/>
          <w:color w:val="auto"/>
          <w:sz w:val="28"/>
          <w:szCs w:val="28"/>
          <w:highlight w:val="none"/>
        </w:rPr>
        <w:t>二、招标文件</w:t>
      </w:r>
      <w:bookmarkEnd w:id="5"/>
    </w:p>
    <w:p w14:paraId="30C8673B">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（一）招标文件的构成。本招标文件由以下部份组成：</w:t>
      </w:r>
    </w:p>
    <w:p w14:paraId="7CA27867">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1.招标公告</w:t>
      </w:r>
    </w:p>
    <w:p w14:paraId="34F319B3">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2.投标人须知</w:t>
      </w:r>
    </w:p>
    <w:p w14:paraId="4B20561D">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3.评标办法</w:t>
      </w:r>
    </w:p>
    <w:p w14:paraId="653941BE">
      <w:pPr>
        <w:snapToGrid w:val="0"/>
        <w:spacing w:line="360" w:lineRule="auto"/>
        <w:ind w:firstLine="426"/>
        <w:rPr>
          <w:rFonts w:hint="eastAsia" w:ascii="宋体" w:hAnsi="宋体" w:eastAsia="宋体" w:cs="宋体"/>
          <w:color w:val="auto"/>
          <w:sz w:val="24"/>
          <w:highlight w:val="none"/>
        </w:rPr>
      </w:pPr>
      <w:r>
        <w:rPr>
          <w:rFonts w:hint="eastAsia" w:ascii="宋体" w:hAnsi="宋体" w:eastAsia="宋体" w:cs="宋体"/>
          <w:color w:val="auto"/>
          <w:sz w:val="24"/>
          <w:highlight w:val="none"/>
        </w:rPr>
        <w:t>4.招标内容及需求</w:t>
      </w:r>
    </w:p>
    <w:p w14:paraId="2D38B470">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5.合同主要条款</w:t>
      </w:r>
    </w:p>
    <w:p w14:paraId="0B1BE5A9">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6.投标文件格式</w:t>
      </w:r>
    </w:p>
    <w:p w14:paraId="2DC6B75C">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7.本项目招标文件的澄清、修改内容（如有）</w:t>
      </w:r>
    </w:p>
    <w:p w14:paraId="68D8FCD1">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（二）投标人的风险</w:t>
      </w:r>
    </w:p>
    <w:p w14:paraId="4F803655">
      <w:pPr>
        <w:pStyle w:val="5"/>
        <w:snapToGrid w:val="0"/>
        <w:spacing w:before="0" w:beforeLines="0" w:after="0" w:afterLines="0" w:line="360" w:lineRule="auto"/>
        <w:ind w:firstLine="426"/>
        <w:rPr>
          <w:rFonts w:hint="eastAsia" w:ascii="宋体" w:hAnsi="宋体" w:eastAsia="宋体" w:cs="宋体"/>
          <w:bCs/>
          <w:color w:val="auto"/>
          <w:highlight w:val="none"/>
        </w:rPr>
      </w:pPr>
      <w:r>
        <w:rPr>
          <w:rFonts w:hint="eastAsia" w:ascii="宋体" w:hAnsi="宋体" w:eastAsia="宋体" w:cs="宋体"/>
          <w:bCs/>
          <w:color w:val="auto"/>
          <w:highlight w:val="none"/>
        </w:rPr>
        <w:t>1.投标截止时间前，未将“电子加密投标文件”成功上传至”巨化数字化招采平台”的，投标无效。</w:t>
      </w:r>
    </w:p>
    <w:p w14:paraId="560230F9">
      <w:pPr>
        <w:pStyle w:val="5"/>
        <w:snapToGrid w:val="0"/>
        <w:spacing w:before="0" w:beforeLines="0" w:after="0" w:afterLines="0" w:line="360" w:lineRule="auto"/>
        <w:ind w:firstLine="426"/>
        <w:rPr>
          <w:rFonts w:hint="eastAsia" w:ascii="宋体" w:hAnsi="宋体" w:eastAsia="宋体" w:cs="宋体"/>
          <w:bCs/>
          <w:color w:val="auto"/>
          <w:highlight w:val="none"/>
        </w:rPr>
      </w:pPr>
      <w:r>
        <w:rPr>
          <w:rFonts w:hint="eastAsia" w:ascii="宋体" w:hAnsi="宋体" w:eastAsia="宋体" w:cs="宋体"/>
          <w:bCs/>
          <w:color w:val="auto"/>
          <w:highlight w:val="none"/>
        </w:rPr>
        <w:t>2.投标人没有按照招标文件要求提供全部资料，或者投标人没有对招标文件在各方面作出实质性响应是投标人的风险，并可能导致其投标无效。</w:t>
      </w:r>
    </w:p>
    <w:p w14:paraId="5635E1B2">
      <w:pPr>
        <w:pStyle w:val="2"/>
        <w:widowControl w:val="0"/>
        <w:numPr>
          <w:ilvl w:val="0"/>
          <w:numId w:val="0"/>
        </w:numPr>
        <w:snapToGrid w:val="0"/>
        <w:spacing w:after="0" w:afterLines="0" w:line="360" w:lineRule="auto"/>
        <w:ind w:left="0" w:firstLine="426"/>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 xml:space="preserve">（三）招标文件的澄清与修改 </w:t>
      </w:r>
    </w:p>
    <w:p w14:paraId="372BD4C4">
      <w:pPr>
        <w:pStyle w:val="5"/>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bCs/>
          <w:color w:val="auto"/>
          <w:highlight w:val="none"/>
        </w:rPr>
        <w:t>投标人应认真阅读本招标文件，发现其中有</w:t>
      </w:r>
      <w:r>
        <w:rPr>
          <w:rFonts w:hint="eastAsia" w:ascii="宋体" w:hAnsi="宋体" w:eastAsia="宋体" w:cs="宋体"/>
          <w:color w:val="auto"/>
          <w:highlight w:val="none"/>
        </w:rPr>
        <w:t>表述不清晰、前后矛盾等内容的</w:t>
      </w:r>
      <w:r>
        <w:rPr>
          <w:rFonts w:hint="eastAsia" w:ascii="宋体" w:hAnsi="宋体" w:eastAsia="宋体" w:cs="宋体"/>
          <w:bCs/>
          <w:color w:val="auto"/>
          <w:highlight w:val="none"/>
        </w:rPr>
        <w:t>，投标人可以</w:t>
      </w:r>
      <w:r>
        <w:rPr>
          <w:rFonts w:hint="eastAsia" w:ascii="宋体" w:hAnsi="宋体" w:eastAsia="宋体" w:cs="宋体"/>
          <w:color w:val="auto"/>
          <w:highlight w:val="none"/>
        </w:rPr>
        <w:t>在投标截止日</w:t>
      </w:r>
      <w:r>
        <w:rPr>
          <w:rFonts w:hint="eastAsia" w:ascii="宋体" w:hAnsi="宋体" w:eastAsia="宋体" w:cs="宋体"/>
          <w:color w:val="auto"/>
          <w:highlight w:val="none"/>
          <w:lang w:eastAsia="zh-CN"/>
        </w:rPr>
        <w:t>（投标人须知前附表规定的时间）</w:t>
      </w:r>
      <w:r>
        <w:rPr>
          <w:rFonts w:hint="eastAsia" w:ascii="宋体" w:hAnsi="宋体" w:eastAsia="宋体" w:cs="宋体"/>
          <w:color w:val="auto"/>
          <w:highlight w:val="none"/>
        </w:rPr>
        <w:t>天前</w:t>
      </w:r>
      <w:r>
        <w:rPr>
          <w:rFonts w:hint="eastAsia" w:ascii="宋体" w:hAnsi="宋体" w:eastAsia="宋体" w:cs="宋体"/>
          <w:bCs/>
          <w:color w:val="auto"/>
          <w:highlight w:val="none"/>
        </w:rPr>
        <w:t>以书面形式要求招标人澄清</w:t>
      </w:r>
      <w:r>
        <w:rPr>
          <w:rFonts w:hint="eastAsia" w:ascii="宋体" w:hAnsi="宋体" w:eastAsia="宋体" w:cs="宋体"/>
          <w:color w:val="auto"/>
          <w:highlight w:val="none"/>
        </w:rPr>
        <w:t>。</w:t>
      </w:r>
    </w:p>
    <w:p w14:paraId="7D3C2F06">
      <w:pPr>
        <w:pStyle w:val="5"/>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2.招标人以书面形式答复投标人要求澄清的问题，并将不包含问题来源的答复书面通知所有购买招标文件的投标人；除书面答复以外的其他澄清方式及澄清内容均无效。</w:t>
      </w:r>
    </w:p>
    <w:p w14:paraId="7B3A17EF">
      <w:pPr>
        <w:pStyle w:val="5"/>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3.招标文件澄清、修改的内容为招标文件的组成部分。当招标文件与招标文件的澄清、修改通知就同一内容的表述不一致时，以最后发出的书面文件为准。</w:t>
      </w:r>
    </w:p>
    <w:p w14:paraId="20BB5531">
      <w:pPr>
        <w:pStyle w:val="5"/>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4.招标文件的澄清、修改都应该通过</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巨化数字化招采平台</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发布。</w:t>
      </w:r>
    </w:p>
    <w:p w14:paraId="2034A924">
      <w:pPr>
        <w:snapToGrid w:val="0"/>
        <w:spacing w:line="360" w:lineRule="auto"/>
        <w:ind w:left="426"/>
        <w:jc w:val="left"/>
        <w:outlineLvl w:val="1"/>
        <w:rPr>
          <w:rFonts w:hint="eastAsia" w:ascii="宋体" w:hAnsi="宋体" w:eastAsia="宋体" w:cs="宋体"/>
          <w:b/>
          <w:color w:val="auto"/>
          <w:sz w:val="28"/>
          <w:szCs w:val="28"/>
          <w:highlight w:val="none"/>
        </w:rPr>
      </w:pPr>
      <w:bookmarkStart w:id="6" w:name="_Toc15266"/>
      <w:r>
        <w:rPr>
          <w:rFonts w:hint="eastAsia" w:ascii="宋体" w:hAnsi="宋体" w:eastAsia="宋体" w:cs="宋体"/>
          <w:b/>
          <w:color w:val="auto"/>
          <w:sz w:val="28"/>
          <w:szCs w:val="28"/>
          <w:highlight w:val="none"/>
        </w:rPr>
        <w:t>三、投标文件的编制</w:t>
      </w:r>
      <w:bookmarkEnd w:id="6"/>
    </w:p>
    <w:p w14:paraId="7A51B165">
      <w:pPr>
        <w:snapToGrid w:val="0"/>
        <w:spacing w:line="360" w:lineRule="auto"/>
        <w:ind w:firstLine="426"/>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（一）投标文件的组成</w:t>
      </w:r>
    </w:p>
    <w:p w14:paraId="7816F147">
      <w:pPr>
        <w:pStyle w:val="5"/>
        <w:snapToGrid w:val="0"/>
        <w:spacing w:before="0" w:beforeLines="0" w:after="0" w:afterLines="0" w:line="360" w:lineRule="auto"/>
        <w:ind w:firstLine="426"/>
        <w:rPr>
          <w:rFonts w:hint="eastAsia" w:ascii="宋体" w:hAnsi="宋体" w:eastAsia="宋体" w:cs="宋体"/>
          <w:b/>
          <w:color w:val="auto"/>
          <w:highlight w:val="none"/>
          <w:lang w:eastAsia="zh-CN"/>
        </w:rPr>
      </w:pPr>
      <w:r>
        <w:rPr>
          <w:rFonts w:hint="eastAsia" w:ascii="宋体" w:hAnsi="宋体" w:eastAsia="宋体" w:cs="宋体"/>
          <w:b/>
          <w:color w:val="auto"/>
          <w:highlight w:val="none"/>
        </w:rPr>
        <w:t>1.</w:t>
      </w:r>
      <w:r>
        <w:rPr>
          <w:rFonts w:hint="eastAsia" w:ascii="宋体" w:hAnsi="宋体" w:eastAsia="宋体" w:cs="宋体"/>
          <w:color w:val="auto"/>
          <w:highlight w:val="none"/>
        </w:rPr>
        <w:t xml:space="preserve"> </w:t>
      </w:r>
      <w:r>
        <w:rPr>
          <w:rFonts w:hint="eastAsia" w:ascii="宋体" w:hAnsi="宋体" w:eastAsia="宋体" w:cs="宋体"/>
          <w:b/>
          <w:color w:val="auto"/>
          <w:highlight w:val="none"/>
        </w:rPr>
        <w:t>技术资信标书</w:t>
      </w:r>
    </w:p>
    <w:p w14:paraId="2C4D8D83">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rPr>
        <w:t>技术资信标书封面（格式见附件）</w:t>
      </w:r>
    </w:p>
    <w:p w14:paraId="3AD79D6E">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rPr>
        <w:t>资格证明文件：</w:t>
      </w:r>
    </w:p>
    <w:p w14:paraId="6BD8AE06">
      <w:pPr>
        <w:pStyle w:val="5"/>
        <w:numPr>
          <w:ilvl w:val="0"/>
          <w:numId w:val="3"/>
        </w:numPr>
        <w:snapToGrid w:val="0"/>
        <w:spacing w:before="0" w:beforeLines="0" w:after="0" w:afterLines="0" w:line="360" w:lineRule="auto"/>
        <w:ind w:left="840" w:firstLine="11"/>
        <w:rPr>
          <w:rFonts w:hint="eastAsia" w:ascii="宋体" w:hAnsi="宋体" w:eastAsia="宋体" w:cs="宋体"/>
          <w:color w:val="auto"/>
          <w:highlight w:val="none"/>
        </w:rPr>
      </w:pPr>
      <w:r>
        <w:rPr>
          <w:rFonts w:hint="eastAsia" w:ascii="宋体" w:hAnsi="宋体" w:eastAsia="宋体" w:cs="宋体"/>
          <w:color w:val="auto"/>
          <w:highlight w:val="none"/>
        </w:rPr>
        <w:t>投标人营业执照</w:t>
      </w:r>
    </w:p>
    <w:p w14:paraId="35CD85CC">
      <w:pPr>
        <w:pStyle w:val="5"/>
        <w:numPr>
          <w:ilvl w:val="0"/>
          <w:numId w:val="3"/>
        </w:numPr>
        <w:snapToGrid w:val="0"/>
        <w:spacing w:before="0" w:beforeLines="0" w:after="0" w:afterLines="0" w:line="360" w:lineRule="auto"/>
        <w:ind w:left="840" w:firstLine="11"/>
        <w:rPr>
          <w:rFonts w:hint="eastAsia" w:ascii="宋体" w:hAnsi="宋体" w:eastAsia="宋体" w:cs="宋体"/>
          <w:color w:val="auto"/>
          <w:highlight w:val="none"/>
        </w:rPr>
      </w:pPr>
      <w:r>
        <w:rPr>
          <w:rFonts w:hint="eastAsia" w:ascii="宋体" w:hAnsi="宋体" w:eastAsia="宋体" w:cs="宋体"/>
          <w:color w:val="auto"/>
          <w:highlight w:val="none"/>
          <w:lang w:eastAsia="zh-CN"/>
        </w:rPr>
        <w:t>投标人2022年1月1日（以合同签订时间为准）至投标截止时间有化工项目年度（服务期不少于1年）招标代理业绩。证明材料：年度招标代理合同（或协议）</w:t>
      </w:r>
      <w:r>
        <w:rPr>
          <w:rFonts w:hint="eastAsia" w:ascii="宋体" w:hAnsi="宋体" w:eastAsia="宋体" w:cs="宋体"/>
          <w:color w:val="auto"/>
          <w:highlight w:val="none"/>
        </w:rPr>
        <w:t>。</w:t>
      </w:r>
    </w:p>
    <w:p w14:paraId="0D6A9587">
      <w:pPr>
        <w:pStyle w:val="5"/>
        <w:numPr>
          <w:ilvl w:val="0"/>
          <w:numId w:val="3"/>
        </w:numPr>
        <w:snapToGrid w:val="0"/>
        <w:spacing w:before="0" w:beforeLines="0" w:after="0" w:afterLines="0" w:line="360" w:lineRule="auto"/>
        <w:ind w:left="840" w:firstLine="11"/>
        <w:rPr>
          <w:rFonts w:hint="eastAsia" w:ascii="宋体" w:hAnsi="宋体" w:eastAsia="宋体" w:cs="宋体"/>
          <w:color w:val="auto"/>
          <w:highlight w:val="none"/>
        </w:rPr>
      </w:pPr>
      <w:r>
        <w:rPr>
          <w:rFonts w:hint="eastAsia" w:ascii="宋体" w:hAnsi="宋体" w:eastAsia="宋体" w:cs="宋体"/>
          <w:color w:val="auto"/>
          <w:highlight w:val="none"/>
          <w:lang w:eastAsia="zh-CN"/>
        </w:rPr>
        <w:t>投标人2022年1月1日（以合同签订时间为准）至投标截止时间有单个招标项目中标金额不少于1000万元的化工项目招标代理业绩。</w:t>
      </w:r>
      <w:r>
        <w:rPr>
          <w:rFonts w:hint="eastAsia" w:ascii="宋体" w:hAnsi="宋体" w:eastAsia="宋体" w:cs="宋体"/>
          <w:color w:val="auto"/>
          <w:highlight w:val="none"/>
        </w:rPr>
        <w:t>证明材料：同时提供①招标代理合同（或协议）、②招标公告网页截图、③中标候选人公示网页截图、④招标人盖章的中标通知书。</w:t>
      </w:r>
    </w:p>
    <w:p w14:paraId="6AAC2006">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rPr>
        <w:t>投标函（格式见附件）</w:t>
      </w:r>
    </w:p>
    <w:p w14:paraId="1EF99BA7">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rPr>
        <w:t>技术资信</w:t>
      </w:r>
      <w:r>
        <w:rPr>
          <w:rFonts w:hint="eastAsia" w:ascii="宋体" w:hAnsi="宋体" w:eastAsia="宋体" w:cs="宋体"/>
          <w:color w:val="auto"/>
          <w:highlight w:val="none"/>
          <w:lang w:val="en-US" w:eastAsia="zh-CN"/>
        </w:rPr>
        <w:t>评分要求的资信、业绩证明文件</w:t>
      </w:r>
    </w:p>
    <w:p w14:paraId="133DD9A6">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rPr>
        <w:t>技术响应表（格式见附件）</w:t>
      </w:r>
    </w:p>
    <w:p w14:paraId="4E30B680">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rPr>
        <w:t>商务响应表（格式见附件）</w:t>
      </w:r>
    </w:p>
    <w:p w14:paraId="7228C904">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招标代理服务技术方案</w:t>
      </w:r>
    </w:p>
    <w:p w14:paraId="2C5C7382">
      <w:pPr>
        <w:pStyle w:val="5"/>
        <w:numPr>
          <w:ilvl w:val="1"/>
          <w:numId w:val="2"/>
        </w:numPr>
        <w:snapToGrid w:val="0"/>
        <w:spacing w:before="0" w:beforeLines="0" w:after="0" w:afterLines="0" w:line="360" w:lineRule="auto"/>
        <w:rPr>
          <w:rFonts w:hint="eastAsia" w:ascii="宋体" w:hAnsi="宋体" w:eastAsia="宋体" w:cs="宋体"/>
          <w:color w:val="auto"/>
          <w:highlight w:val="none"/>
        </w:rPr>
      </w:pPr>
      <w:r>
        <w:rPr>
          <w:rFonts w:hint="eastAsia" w:ascii="宋体" w:hAnsi="宋体" w:eastAsia="宋体" w:cs="宋体"/>
          <w:color w:val="auto"/>
          <w:highlight w:val="none"/>
        </w:rPr>
        <w:t>其他评分办法涉及的内容</w:t>
      </w:r>
    </w:p>
    <w:p w14:paraId="60EE920E">
      <w:pPr>
        <w:pStyle w:val="5"/>
        <w:snapToGrid w:val="0"/>
        <w:spacing w:before="0" w:beforeLines="0" w:after="0" w:afterLines="0" w:line="360" w:lineRule="auto"/>
        <w:ind w:firstLine="426"/>
        <w:rPr>
          <w:rFonts w:hint="eastAsia" w:ascii="宋体" w:hAnsi="宋体" w:eastAsia="宋体" w:cs="宋体"/>
          <w:b/>
          <w:color w:val="auto"/>
          <w:highlight w:val="none"/>
          <w:lang w:eastAsia="zh-CN"/>
        </w:rPr>
      </w:pPr>
      <w:r>
        <w:rPr>
          <w:rFonts w:hint="eastAsia" w:ascii="宋体" w:hAnsi="宋体" w:eastAsia="宋体" w:cs="宋体"/>
          <w:b/>
          <w:color w:val="auto"/>
          <w:highlight w:val="none"/>
          <w:lang w:eastAsia="zh-CN"/>
        </w:rPr>
        <w:t>2.</w:t>
      </w:r>
      <w:r>
        <w:rPr>
          <w:rFonts w:hint="eastAsia" w:ascii="宋体" w:hAnsi="宋体" w:eastAsia="宋体" w:cs="宋体"/>
          <w:color w:val="auto"/>
          <w:highlight w:val="none"/>
        </w:rPr>
        <w:t xml:space="preserve"> </w:t>
      </w:r>
      <w:r>
        <w:rPr>
          <w:rFonts w:hint="eastAsia" w:ascii="宋体" w:hAnsi="宋体" w:eastAsia="宋体" w:cs="宋体"/>
          <w:b/>
          <w:color w:val="auto"/>
          <w:highlight w:val="none"/>
          <w:lang w:eastAsia="zh-CN"/>
        </w:rPr>
        <w:t>商务经济标书：</w:t>
      </w:r>
    </w:p>
    <w:p w14:paraId="6BD08987">
      <w:pPr>
        <w:pStyle w:val="5"/>
        <w:numPr>
          <w:ilvl w:val="0"/>
          <w:numId w:val="4"/>
        </w:numPr>
        <w:snapToGrid w:val="0"/>
        <w:spacing w:before="0" w:beforeLines="0" w:after="0" w:afterLines="0" w:line="360" w:lineRule="auto"/>
        <w:ind w:left="1276" w:hanging="425"/>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商务经济标书封面（格式见附件）</w:t>
      </w:r>
    </w:p>
    <w:p w14:paraId="497B580E">
      <w:pPr>
        <w:pStyle w:val="5"/>
        <w:numPr>
          <w:ilvl w:val="0"/>
          <w:numId w:val="4"/>
        </w:numPr>
        <w:snapToGrid w:val="0"/>
        <w:spacing w:before="0" w:beforeLines="0" w:after="0" w:afterLines="0" w:line="360" w:lineRule="auto"/>
        <w:ind w:left="1276" w:hanging="425"/>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开标一览表（格式见附件）</w:t>
      </w:r>
    </w:p>
    <w:p w14:paraId="1362D74E">
      <w:pPr>
        <w:adjustRightInd w:val="0"/>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（二）投标文件的语言及计量</w:t>
      </w:r>
    </w:p>
    <w:p w14:paraId="5CDCE2F9">
      <w:pPr>
        <w:pStyle w:val="5"/>
        <w:snapToGrid w:val="0"/>
        <w:spacing w:before="0" w:beforeLines="0" w:after="0" w:afterLines="0" w:line="360" w:lineRule="auto"/>
        <w:ind w:firstLine="426"/>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 xml:space="preserve">1.投标文件以及投标人与招标人就有关投标事宜的所有来往函电，均应以中文汉语书写。除签名、盖章、专用名称等特殊情形外，以中文汉语以外的文字表述的投标文件视同未提供。 </w:t>
      </w:r>
    </w:p>
    <w:p w14:paraId="522C23CC">
      <w:pPr>
        <w:pStyle w:val="5"/>
        <w:snapToGrid w:val="0"/>
        <w:spacing w:before="0" w:beforeLines="0" w:after="0" w:afterLines="0" w:line="360" w:lineRule="auto"/>
        <w:ind w:firstLine="426"/>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2.投标计量单位，招标文件已有明确规定的，使用招标文件规定的计量单位；招标文件没有规定的，应采用中华人民共和国法定计量单位（货币单位：人民币元），否则视同未响应。</w:t>
      </w:r>
    </w:p>
    <w:p w14:paraId="3894ED19">
      <w:pPr>
        <w:adjustRightInd w:val="0"/>
        <w:snapToGrid w:val="0"/>
        <w:spacing w:line="360" w:lineRule="auto"/>
        <w:ind w:firstLine="426"/>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（三）投标报价</w:t>
      </w:r>
    </w:p>
    <w:p w14:paraId="00E3EB99">
      <w:pPr>
        <w:pStyle w:val="5"/>
        <w:snapToGrid w:val="0"/>
        <w:spacing w:before="0" w:beforeLines="0" w:after="0" w:afterLines="0" w:line="360" w:lineRule="auto"/>
        <w:ind w:firstLine="426"/>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1.投标报价应按招标文件中相关附表格式填写。</w:t>
      </w:r>
    </w:p>
    <w:p w14:paraId="0B1A09BA">
      <w:pPr>
        <w:pStyle w:val="5"/>
        <w:snapToGrid w:val="0"/>
        <w:spacing w:before="0" w:beforeLines="0" w:after="0" w:afterLines="0" w:line="360" w:lineRule="auto"/>
        <w:ind w:firstLine="426"/>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2.投标文件只允许有一个报价，有选择或有条件的报价将不予接受，其投标无效。</w:t>
      </w:r>
    </w:p>
    <w:p w14:paraId="77864062">
      <w:pPr>
        <w:pStyle w:val="2"/>
        <w:widowControl w:val="0"/>
        <w:numPr>
          <w:ilvl w:val="0"/>
          <w:numId w:val="0"/>
        </w:numPr>
        <w:adjustRightInd w:val="0"/>
        <w:snapToGrid w:val="0"/>
        <w:spacing w:after="0" w:afterLines="0" w:line="360" w:lineRule="auto"/>
        <w:ind w:left="0" w:firstLine="426"/>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（四）投标文件的有效期</w:t>
      </w:r>
    </w:p>
    <w:p w14:paraId="7282D7A2">
      <w:pPr>
        <w:pStyle w:val="2"/>
        <w:widowControl w:val="0"/>
        <w:numPr>
          <w:ilvl w:val="0"/>
          <w:numId w:val="0"/>
        </w:numPr>
        <w:adjustRightInd w:val="0"/>
        <w:snapToGrid w:val="0"/>
        <w:spacing w:after="0" w:afterLines="0" w:line="360" w:lineRule="auto"/>
        <w:ind w:left="0" w:firstLine="426"/>
        <w:rPr>
          <w:rFonts w:hint="eastAsia" w:ascii="宋体" w:hAnsi="宋体" w:eastAsia="宋体" w:cs="宋体"/>
          <w:color w:val="auto"/>
          <w:szCs w:val="24"/>
          <w:highlight w:val="none"/>
        </w:rPr>
      </w:pPr>
      <w:r>
        <w:rPr>
          <w:rFonts w:hint="eastAsia" w:ascii="宋体" w:hAnsi="宋体" w:eastAsia="宋体" w:cs="宋体"/>
          <w:color w:val="auto"/>
          <w:szCs w:val="24"/>
          <w:highlight w:val="none"/>
        </w:rPr>
        <w:t>1.自投标截止日起</w:t>
      </w:r>
      <w:r>
        <w:rPr>
          <w:rFonts w:hint="eastAsia" w:ascii="宋体" w:hAnsi="宋体" w:eastAsia="宋体" w:cs="宋体"/>
          <w:color w:val="auto"/>
          <w:szCs w:val="24"/>
          <w:highlight w:val="none"/>
          <w:u w:val="single"/>
        </w:rPr>
        <w:t>90</w:t>
      </w:r>
      <w:r>
        <w:rPr>
          <w:rFonts w:hint="eastAsia" w:ascii="宋体" w:hAnsi="宋体" w:eastAsia="宋体" w:cs="宋体"/>
          <w:color w:val="auto"/>
          <w:szCs w:val="24"/>
          <w:highlight w:val="none"/>
        </w:rPr>
        <w:t>天投标文件应保持有效。有效期不足的投标文件将被视为无效。</w:t>
      </w:r>
    </w:p>
    <w:p w14:paraId="37F64B64">
      <w:pPr>
        <w:pStyle w:val="2"/>
        <w:widowControl w:val="0"/>
        <w:numPr>
          <w:ilvl w:val="0"/>
          <w:numId w:val="0"/>
        </w:numPr>
        <w:adjustRightInd w:val="0"/>
        <w:snapToGrid w:val="0"/>
        <w:spacing w:after="0" w:afterLines="0" w:line="360" w:lineRule="auto"/>
        <w:ind w:left="0" w:firstLine="426"/>
        <w:rPr>
          <w:rFonts w:hint="eastAsia" w:ascii="宋体" w:hAnsi="宋体" w:eastAsia="宋体" w:cs="宋体"/>
          <w:color w:val="auto"/>
          <w:szCs w:val="24"/>
          <w:highlight w:val="none"/>
        </w:rPr>
      </w:pPr>
      <w:r>
        <w:rPr>
          <w:rFonts w:hint="eastAsia" w:ascii="宋体" w:hAnsi="宋体" w:eastAsia="宋体" w:cs="宋体"/>
          <w:color w:val="auto"/>
          <w:szCs w:val="24"/>
          <w:highlight w:val="none"/>
        </w:rPr>
        <w:t>2.在特殊情况下，招标人可与投标人协商延长投标书的有效期，这种要求和答复均以书面形式进行。</w:t>
      </w:r>
    </w:p>
    <w:p w14:paraId="7FC601AC">
      <w:pPr>
        <w:adjustRightInd w:val="0"/>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color w:val="auto"/>
          <w:sz w:val="24"/>
          <w:highlight w:val="none"/>
        </w:rPr>
        <w:t>3.投标人可拒绝接受延期要求。同意延长有效期的，投标人不能修改其投标文件。</w:t>
      </w:r>
    </w:p>
    <w:p w14:paraId="11B5B803">
      <w:pPr>
        <w:adjustRightInd w:val="0"/>
        <w:snapToGrid w:val="0"/>
        <w:spacing w:line="360" w:lineRule="auto"/>
        <w:ind w:firstLine="426"/>
        <w:jc w:val="left"/>
        <w:rPr>
          <w:rFonts w:hint="eastAsia" w:ascii="宋体" w:hAnsi="宋体" w:eastAsia="宋体" w:cs="宋体"/>
          <w:b/>
          <w:color w:val="auto"/>
          <w:sz w:val="24"/>
          <w:highlight w:val="none"/>
        </w:rPr>
      </w:pPr>
      <w:r>
        <w:rPr>
          <w:rFonts w:hint="eastAsia" w:ascii="宋体" w:hAnsi="宋体" w:eastAsia="宋体" w:cs="宋体"/>
          <w:color w:val="auto"/>
          <w:sz w:val="24"/>
          <w:highlight w:val="none"/>
        </w:rPr>
        <w:t>4.中标人的投标文件自开标之日起至合同履行完毕止均应保持有效。</w:t>
      </w:r>
    </w:p>
    <w:p w14:paraId="7AD7FD58">
      <w:pPr>
        <w:adjustRightInd w:val="0"/>
        <w:snapToGrid w:val="0"/>
        <w:spacing w:line="360" w:lineRule="auto"/>
        <w:ind w:firstLine="472" w:firstLineChars="19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（五）投标文件的编制</w:t>
      </w:r>
    </w:p>
    <w:p w14:paraId="5CFF3BB3">
      <w:pPr>
        <w:pStyle w:val="2"/>
        <w:widowControl w:val="0"/>
        <w:numPr>
          <w:ilvl w:val="0"/>
          <w:numId w:val="0"/>
        </w:numPr>
        <w:adjustRightInd w:val="0"/>
        <w:snapToGrid w:val="0"/>
        <w:spacing w:after="0" w:afterLines="0" w:line="360" w:lineRule="auto"/>
        <w:ind w:left="0" w:firstLine="426"/>
        <w:rPr>
          <w:rFonts w:hint="eastAsia" w:ascii="宋体" w:hAnsi="宋体" w:eastAsia="宋体" w:cs="宋体"/>
          <w:color w:val="auto"/>
          <w:szCs w:val="24"/>
          <w:highlight w:val="none"/>
        </w:rPr>
      </w:pPr>
      <w:r>
        <w:rPr>
          <w:rFonts w:hint="eastAsia" w:ascii="宋体" w:hAnsi="宋体" w:eastAsia="宋体" w:cs="宋体"/>
          <w:color w:val="auto"/>
          <w:szCs w:val="24"/>
          <w:highlight w:val="none"/>
        </w:rPr>
        <w:t>本项目要求投标文件通过“电子加密投标文件”的形式提交：</w:t>
      </w:r>
    </w:p>
    <w:p w14:paraId="70BE6CD8">
      <w:pPr>
        <w:pStyle w:val="2"/>
        <w:widowControl w:val="0"/>
        <w:numPr>
          <w:ilvl w:val="0"/>
          <w:numId w:val="0"/>
        </w:numPr>
        <w:adjustRightInd w:val="0"/>
        <w:snapToGrid w:val="0"/>
        <w:spacing w:after="0" w:afterLines="0" w:line="360" w:lineRule="auto"/>
        <w:ind w:left="0" w:firstLine="426"/>
        <w:rPr>
          <w:rFonts w:hint="eastAsia" w:ascii="宋体" w:hAnsi="宋体" w:eastAsia="宋体" w:cs="宋体"/>
          <w:color w:val="auto"/>
          <w:szCs w:val="24"/>
          <w:highlight w:val="none"/>
        </w:rPr>
      </w:pPr>
      <w:r>
        <w:rPr>
          <w:rFonts w:hint="eastAsia" w:ascii="宋体" w:hAnsi="宋体" w:eastAsia="宋体" w:cs="宋体"/>
          <w:color w:val="auto"/>
          <w:szCs w:val="24"/>
          <w:highlight w:val="none"/>
        </w:rPr>
        <w:t>1.“电子加密投标文件”是指通过“巨化数字化招采平台”完成投标文件加密的数据电文形式的投标文件。</w:t>
      </w:r>
    </w:p>
    <w:p w14:paraId="51C1138E">
      <w:pPr>
        <w:pStyle w:val="2"/>
        <w:widowControl w:val="0"/>
        <w:numPr>
          <w:ilvl w:val="0"/>
          <w:numId w:val="0"/>
        </w:numPr>
        <w:adjustRightInd w:val="0"/>
        <w:snapToGrid w:val="0"/>
        <w:spacing w:after="0" w:afterLines="0" w:line="360" w:lineRule="auto"/>
        <w:ind w:left="0" w:firstLine="426"/>
        <w:rPr>
          <w:rFonts w:hint="eastAsia" w:ascii="宋体" w:hAnsi="宋体" w:eastAsia="宋体" w:cs="宋体"/>
          <w:color w:val="auto"/>
          <w:szCs w:val="24"/>
          <w:highlight w:val="none"/>
        </w:rPr>
      </w:pPr>
      <w:r>
        <w:rPr>
          <w:rFonts w:hint="eastAsia" w:ascii="宋体" w:hAnsi="宋体" w:eastAsia="宋体" w:cs="宋体"/>
          <w:color w:val="auto"/>
          <w:szCs w:val="24"/>
          <w:highlight w:val="none"/>
        </w:rPr>
        <w:t>2.投标人应先按照本招标文件和</w:t>
      </w:r>
      <w:r>
        <w:rPr>
          <w:rFonts w:hint="eastAsia" w:ascii="宋体" w:hAnsi="宋体" w:eastAsia="宋体" w:cs="宋体"/>
          <w:color w:val="auto"/>
          <w:szCs w:val="24"/>
          <w:highlight w:val="none"/>
          <w:lang w:eastAsia="zh-CN"/>
        </w:rPr>
        <w:t>“</w:t>
      </w:r>
      <w:r>
        <w:rPr>
          <w:rFonts w:hint="eastAsia" w:ascii="宋体" w:hAnsi="宋体" w:eastAsia="宋体" w:cs="宋体"/>
          <w:color w:val="auto"/>
          <w:szCs w:val="24"/>
          <w:highlight w:val="none"/>
        </w:rPr>
        <w:t>巨化数字化招采平台”的要求，通过“巨化数字化招采平台”加密并提交投标文件。</w:t>
      </w:r>
    </w:p>
    <w:p w14:paraId="0AEA676E">
      <w:pPr>
        <w:autoSpaceDE w:val="0"/>
        <w:autoSpaceDN w:val="0"/>
        <w:adjustRightInd w:val="0"/>
        <w:snapToGrid w:val="0"/>
        <w:spacing w:line="360" w:lineRule="auto"/>
        <w:ind w:firstLine="361" w:firstLineChars="150"/>
        <w:jc w:val="left"/>
        <w:rPr>
          <w:rFonts w:hint="eastAsia" w:ascii="宋体" w:hAnsi="宋体" w:eastAsia="宋体" w:cs="宋体"/>
          <w:b/>
          <w:color w:val="auto"/>
          <w:sz w:val="24"/>
          <w:highlight w:val="none"/>
          <w:lang w:bidi="ar"/>
        </w:rPr>
      </w:pPr>
      <w:r>
        <w:rPr>
          <w:rFonts w:hint="eastAsia" w:ascii="宋体" w:hAnsi="宋体" w:eastAsia="宋体" w:cs="宋体"/>
          <w:b/>
          <w:color w:val="auto"/>
          <w:sz w:val="24"/>
          <w:highlight w:val="none"/>
          <w:lang w:bidi="ar"/>
        </w:rPr>
        <w:t>（六）投标保证金</w:t>
      </w:r>
    </w:p>
    <w:p w14:paraId="38695721">
      <w:pPr>
        <w:adjustRightInd w:val="0"/>
        <w:snapToGrid w:val="0"/>
        <w:spacing w:line="360" w:lineRule="auto"/>
        <w:ind w:firstLine="426"/>
        <w:jc w:val="left"/>
        <w:rPr>
          <w:rFonts w:hint="eastAsia" w:ascii="宋体" w:hAnsi="宋体" w:eastAsia="宋体" w:cs="宋体"/>
          <w:b/>
          <w:color w:val="auto"/>
          <w:sz w:val="24"/>
          <w:highlight w:val="none"/>
          <w:lang w:val="en-US" w:eastAsia="zh-CN"/>
        </w:rPr>
      </w:pPr>
      <w:r>
        <w:rPr>
          <w:rFonts w:hint="eastAsia" w:ascii="宋体" w:hAnsi="宋体" w:eastAsia="宋体" w:cs="宋体"/>
          <w:color w:val="auto"/>
          <w:sz w:val="24"/>
          <w:highlight w:val="none"/>
          <w:lang w:val="en-US" w:eastAsia="zh-CN"/>
        </w:rPr>
        <w:t>无需缴纳</w:t>
      </w:r>
    </w:p>
    <w:p w14:paraId="7E6DFDCC">
      <w:pPr>
        <w:adjustRightInd w:val="0"/>
        <w:snapToGrid w:val="0"/>
        <w:spacing w:line="360" w:lineRule="auto"/>
        <w:ind w:firstLine="354" w:firstLineChars="147"/>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（七）投标文件的签章</w:t>
      </w:r>
    </w:p>
    <w:p w14:paraId="5F6D702F">
      <w:pPr>
        <w:adjustRightInd w:val="0"/>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采用电子签章。</w:t>
      </w:r>
    </w:p>
    <w:p w14:paraId="1FF4F002">
      <w:pPr>
        <w:adjustRightInd w:val="0"/>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（八）投标文件的包装、密封和递交</w:t>
      </w:r>
    </w:p>
    <w:p w14:paraId="64D0AAE1">
      <w:pPr>
        <w:adjustRightInd w:val="0"/>
        <w:snapToGrid w:val="0"/>
        <w:spacing w:line="360" w:lineRule="auto"/>
        <w:ind w:firstLine="426"/>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投标人应在投标截止时间前将“电子加密投标文件”成功上传递交至“巨化数字化招采平台”，否则投标无效。</w:t>
      </w:r>
    </w:p>
    <w:p w14:paraId="584480A2">
      <w:pPr>
        <w:autoSpaceDE w:val="0"/>
        <w:autoSpaceDN w:val="0"/>
        <w:adjustRightInd w:val="0"/>
        <w:snapToGrid w:val="0"/>
        <w:spacing w:line="360" w:lineRule="auto"/>
        <w:ind w:firstLine="482" w:firstLineChars="200"/>
        <w:textAlignment w:val="bottom"/>
        <w:rPr>
          <w:rFonts w:hint="eastAsia" w:ascii="宋体" w:hAnsi="宋体" w:eastAsia="宋体" w:cs="宋体"/>
          <w:b/>
          <w:color w:val="auto"/>
          <w:sz w:val="24"/>
          <w:highlight w:val="none"/>
          <w:lang w:bidi="ar"/>
        </w:rPr>
      </w:pPr>
      <w:r>
        <w:rPr>
          <w:rFonts w:hint="eastAsia" w:ascii="宋体" w:hAnsi="宋体" w:eastAsia="宋体" w:cs="宋体"/>
          <w:b/>
          <w:color w:val="auto"/>
          <w:sz w:val="24"/>
          <w:highlight w:val="none"/>
          <w:lang w:bidi="ar"/>
        </w:rPr>
        <w:t>（九）投标文件的修改和撤回</w:t>
      </w:r>
    </w:p>
    <w:p w14:paraId="75B5B122">
      <w:pPr>
        <w:autoSpaceDE w:val="0"/>
        <w:autoSpaceDN w:val="0"/>
        <w:adjustRightInd w:val="0"/>
        <w:snapToGrid w:val="0"/>
        <w:spacing w:line="360" w:lineRule="auto"/>
        <w:ind w:left="479" w:leftChars="228"/>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1.投标人在投标截止时间前可以补充、修改或者撤回投标文件。</w:t>
      </w:r>
    </w:p>
    <w:p w14:paraId="2D0006AF">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val="en-US" w:eastAsia="zh-CN" w:bidi="ar"/>
        </w:rPr>
      </w:pPr>
      <w:r>
        <w:rPr>
          <w:rFonts w:hint="eastAsia" w:ascii="宋体" w:hAnsi="宋体" w:eastAsia="宋体" w:cs="宋体"/>
          <w:color w:val="auto"/>
          <w:sz w:val="24"/>
          <w:highlight w:val="none"/>
          <w:lang w:bidi="ar"/>
        </w:rPr>
        <w:t>2.补充或者修改投标文件的，应当</w:t>
      </w:r>
      <w:r>
        <w:rPr>
          <w:rFonts w:hint="eastAsia" w:ascii="宋体" w:hAnsi="宋体" w:eastAsia="宋体" w:cs="宋体"/>
          <w:color w:val="auto"/>
          <w:sz w:val="24"/>
          <w:highlight w:val="none"/>
          <w:lang w:val="en-US" w:eastAsia="zh-CN" w:bidi="ar"/>
        </w:rPr>
        <w:t>在</w:t>
      </w:r>
      <w:r>
        <w:rPr>
          <w:rFonts w:hint="eastAsia" w:ascii="宋体" w:hAnsi="宋体" w:eastAsia="宋体" w:cs="宋体"/>
          <w:bCs/>
          <w:color w:val="auto"/>
          <w:sz w:val="24"/>
          <w:highlight w:val="none"/>
        </w:rPr>
        <w:t>“巨化数字化招采平台”</w:t>
      </w:r>
      <w:r>
        <w:rPr>
          <w:rFonts w:hint="eastAsia" w:ascii="宋体" w:hAnsi="宋体" w:eastAsia="宋体" w:cs="宋体"/>
          <w:bCs/>
          <w:color w:val="auto"/>
          <w:sz w:val="24"/>
          <w:highlight w:val="none"/>
          <w:lang w:val="en-US" w:eastAsia="zh-CN"/>
        </w:rPr>
        <w:t>上传覆盖原文件。</w:t>
      </w:r>
    </w:p>
    <w:p w14:paraId="3D625EE4">
      <w:pPr>
        <w:snapToGrid w:val="0"/>
        <w:spacing w:line="360" w:lineRule="auto"/>
        <w:ind w:left="426"/>
        <w:jc w:val="left"/>
        <w:outlineLvl w:val="1"/>
        <w:rPr>
          <w:rFonts w:hint="eastAsia" w:ascii="宋体" w:hAnsi="宋体" w:eastAsia="宋体" w:cs="宋体"/>
          <w:b/>
          <w:color w:val="auto"/>
          <w:sz w:val="28"/>
          <w:szCs w:val="28"/>
          <w:highlight w:val="none"/>
        </w:rPr>
      </w:pPr>
      <w:bookmarkStart w:id="7" w:name="_Toc18853"/>
      <w:r>
        <w:rPr>
          <w:rFonts w:hint="eastAsia" w:ascii="宋体" w:hAnsi="宋体" w:eastAsia="宋体" w:cs="宋体"/>
          <w:b/>
          <w:color w:val="auto"/>
          <w:sz w:val="28"/>
          <w:szCs w:val="28"/>
          <w:highlight w:val="none"/>
        </w:rPr>
        <w:t>四、开标</w:t>
      </w:r>
      <w:bookmarkEnd w:id="7"/>
    </w:p>
    <w:p w14:paraId="09DBE529">
      <w:pPr>
        <w:autoSpaceDE w:val="0"/>
        <w:autoSpaceDN w:val="0"/>
        <w:adjustRightInd w:val="0"/>
        <w:snapToGrid w:val="0"/>
        <w:spacing w:line="360" w:lineRule="auto"/>
        <w:ind w:firstLine="482" w:firstLineChars="200"/>
        <w:textAlignment w:val="bottom"/>
        <w:rPr>
          <w:rFonts w:hint="eastAsia" w:ascii="宋体" w:hAnsi="宋体" w:eastAsia="宋体" w:cs="宋体"/>
          <w:b/>
          <w:color w:val="auto"/>
          <w:sz w:val="24"/>
          <w:highlight w:val="none"/>
          <w:lang w:bidi="ar"/>
        </w:rPr>
      </w:pPr>
      <w:r>
        <w:rPr>
          <w:rFonts w:hint="eastAsia" w:ascii="宋体" w:hAnsi="宋体" w:eastAsia="宋体" w:cs="宋体"/>
          <w:b/>
          <w:color w:val="auto"/>
          <w:sz w:val="24"/>
          <w:highlight w:val="none"/>
          <w:lang w:bidi="ar"/>
        </w:rPr>
        <w:t>（一）开标形式</w:t>
      </w:r>
    </w:p>
    <w:p w14:paraId="22DCB2F5">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招标</w:t>
      </w:r>
      <w:r>
        <w:rPr>
          <w:rFonts w:hint="eastAsia" w:ascii="宋体" w:hAnsi="宋体" w:eastAsia="宋体" w:cs="宋体"/>
          <w:color w:val="auto"/>
          <w:sz w:val="24"/>
          <w:highlight w:val="none"/>
          <w:lang w:val="en-US" w:eastAsia="zh-CN" w:bidi="ar"/>
        </w:rPr>
        <w:t>人</w:t>
      </w:r>
      <w:r>
        <w:rPr>
          <w:rFonts w:hint="eastAsia" w:ascii="宋体" w:hAnsi="宋体" w:eastAsia="宋体" w:cs="宋体"/>
          <w:color w:val="auto"/>
          <w:sz w:val="24"/>
          <w:highlight w:val="none"/>
          <w:lang w:bidi="ar"/>
        </w:rPr>
        <w:t>将按照招标文件规定的时间通过</w:t>
      </w:r>
      <w:r>
        <w:rPr>
          <w:rFonts w:hint="eastAsia" w:ascii="宋体" w:hAnsi="宋体" w:eastAsia="宋体" w:cs="宋体"/>
          <w:color w:val="auto"/>
          <w:sz w:val="24"/>
          <w:highlight w:val="none"/>
          <w:lang w:eastAsia="zh-CN" w:bidi="ar"/>
        </w:rPr>
        <w:t>“</w:t>
      </w:r>
      <w:r>
        <w:rPr>
          <w:rFonts w:hint="eastAsia" w:ascii="宋体" w:hAnsi="宋体" w:eastAsia="宋体" w:cs="宋体"/>
          <w:color w:val="auto"/>
          <w:sz w:val="24"/>
          <w:highlight w:val="none"/>
          <w:lang w:bidi="ar"/>
        </w:rPr>
        <w:t>巨化数字化招采平台”组织在线开标，所有投标人均应当准时在线参加。</w:t>
      </w:r>
    </w:p>
    <w:p w14:paraId="341311BB">
      <w:pPr>
        <w:autoSpaceDE w:val="0"/>
        <w:autoSpaceDN w:val="0"/>
        <w:adjustRightInd w:val="0"/>
        <w:snapToGrid w:val="0"/>
        <w:spacing w:line="360" w:lineRule="auto"/>
        <w:ind w:firstLine="482" w:firstLineChars="200"/>
        <w:textAlignment w:val="bottom"/>
        <w:rPr>
          <w:rFonts w:hint="eastAsia" w:ascii="宋体" w:hAnsi="宋体" w:eastAsia="宋体" w:cs="宋体"/>
          <w:b/>
          <w:color w:val="auto"/>
          <w:sz w:val="24"/>
          <w:highlight w:val="none"/>
          <w:lang w:bidi="ar"/>
        </w:rPr>
      </w:pPr>
      <w:r>
        <w:rPr>
          <w:rFonts w:hint="eastAsia" w:ascii="宋体" w:hAnsi="宋体" w:eastAsia="宋体" w:cs="宋体"/>
          <w:b/>
          <w:color w:val="auto"/>
          <w:sz w:val="24"/>
          <w:highlight w:val="none"/>
          <w:lang w:bidi="ar"/>
        </w:rPr>
        <w:t>（二）开标准备</w:t>
      </w:r>
    </w:p>
    <w:p w14:paraId="14136A47">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1.开标的准备工作由招标</w:t>
      </w:r>
      <w:r>
        <w:rPr>
          <w:rFonts w:hint="eastAsia" w:ascii="宋体" w:hAnsi="宋体" w:eastAsia="宋体" w:cs="宋体"/>
          <w:color w:val="auto"/>
          <w:sz w:val="24"/>
          <w:highlight w:val="none"/>
          <w:lang w:val="en-US" w:eastAsia="zh-CN" w:bidi="ar"/>
        </w:rPr>
        <w:t>人</w:t>
      </w:r>
      <w:r>
        <w:rPr>
          <w:rFonts w:hint="eastAsia" w:ascii="宋体" w:hAnsi="宋体" w:eastAsia="宋体" w:cs="宋体"/>
          <w:color w:val="auto"/>
          <w:sz w:val="24"/>
          <w:highlight w:val="none"/>
          <w:lang w:bidi="ar"/>
        </w:rPr>
        <w:t>负责落实。</w:t>
      </w:r>
    </w:p>
    <w:p w14:paraId="4576BA01">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2.招标</w:t>
      </w:r>
      <w:r>
        <w:rPr>
          <w:rFonts w:hint="eastAsia" w:ascii="宋体" w:hAnsi="宋体" w:eastAsia="宋体" w:cs="宋体"/>
          <w:color w:val="auto"/>
          <w:sz w:val="24"/>
          <w:highlight w:val="none"/>
          <w:lang w:val="en-US" w:eastAsia="zh-CN" w:bidi="ar"/>
        </w:rPr>
        <w:t>人</w:t>
      </w:r>
      <w:r>
        <w:rPr>
          <w:rFonts w:hint="eastAsia" w:ascii="宋体" w:hAnsi="宋体" w:eastAsia="宋体" w:cs="宋体"/>
          <w:color w:val="auto"/>
          <w:sz w:val="24"/>
          <w:highlight w:val="none"/>
          <w:lang w:bidi="ar"/>
        </w:rPr>
        <w:t>将按照招标文件规定的时间通过</w:t>
      </w:r>
      <w:r>
        <w:rPr>
          <w:rFonts w:hint="eastAsia" w:ascii="宋体" w:hAnsi="宋体" w:eastAsia="宋体" w:cs="宋体"/>
          <w:color w:val="auto"/>
          <w:sz w:val="24"/>
          <w:highlight w:val="none"/>
          <w:lang w:eastAsia="zh-CN" w:bidi="ar"/>
        </w:rPr>
        <w:t>“</w:t>
      </w:r>
      <w:r>
        <w:rPr>
          <w:rFonts w:hint="eastAsia" w:ascii="宋体" w:hAnsi="宋体" w:eastAsia="宋体" w:cs="宋体"/>
          <w:color w:val="auto"/>
          <w:sz w:val="24"/>
          <w:highlight w:val="none"/>
          <w:lang w:bidi="ar"/>
        </w:rPr>
        <w:t>巨化数字化招采平台”组织开标，所有投标人均应当准时在线参加。投标人自行承担因不参加在线开标而产生的不利后果。</w:t>
      </w:r>
    </w:p>
    <w:p w14:paraId="04852974">
      <w:pPr>
        <w:autoSpaceDE w:val="0"/>
        <w:autoSpaceDN w:val="0"/>
        <w:adjustRightInd w:val="0"/>
        <w:snapToGrid w:val="0"/>
        <w:spacing w:line="360" w:lineRule="auto"/>
        <w:ind w:firstLine="482" w:firstLineChars="200"/>
        <w:textAlignment w:val="bottom"/>
        <w:rPr>
          <w:rFonts w:hint="eastAsia" w:ascii="宋体" w:hAnsi="宋体" w:eastAsia="宋体" w:cs="宋体"/>
          <w:b/>
          <w:color w:val="auto"/>
          <w:sz w:val="24"/>
          <w:highlight w:val="none"/>
          <w:lang w:bidi="ar"/>
        </w:rPr>
      </w:pPr>
      <w:r>
        <w:rPr>
          <w:rFonts w:hint="eastAsia" w:ascii="宋体" w:hAnsi="宋体" w:eastAsia="宋体" w:cs="宋体"/>
          <w:b/>
          <w:color w:val="auto"/>
          <w:sz w:val="24"/>
          <w:highlight w:val="none"/>
          <w:lang w:bidi="ar"/>
        </w:rPr>
        <w:t>（三）开标流程</w:t>
      </w:r>
    </w:p>
    <w:p w14:paraId="489C4EC6">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1.开标第一阶段</w:t>
      </w:r>
    </w:p>
    <w:p w14:paraId="31740EBC">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（1）投标人在</w:t>
      </w:r>
      <w:r>
        <w:rPr>
          <w:rFonts w:hint="eastAsia" w:ascii="宋体" w:hAnsi="宋体" w:eastAsia="宋体" w:cs="宋体"/>
          <w:color w:val="auto"/>
          <w:sz w:val="24"/>
          <w:highlight w:val="none"/>
          <w:lang w:val="en-US" w:eastAsia="zh-CN" w:bidi="ar"/>
        </w:rPr>
        <w:t>投标截止时间开始</w:t>
      </w:r>
      <w:r>
        <w:rPr>
          <w:rFonts w:hint="eastAsia" w:ascii="宋体" w:hAnsi="宋体" w:eastAsia="宋体" w:cs="宋体"/>
          <w:color w:val="auto"/>
          <w:sz w:val="24"/>
          <w:highlight w:val="none"/>
          <w:lang w:bidi="ar"/>
        </w:rPr>
        <w:t>“电子加密投标文件”解密。</w:t>
      </w:r>
    </w:p>
    <w:p w14:paraId="69D42E7D">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（2）</w:t>
      </w:r>
      <w:r>
        <w:rPr>
          <w:rFonts w:hint="eastAsia" w:ascii="宋体" w:hAnsi="宋体" w:eastAsia="宋体" w:cs="宋体"/>
          <w:color w:val="auto"/>
          <w:sz w:val="24"/>
          <w:highlight w:val="none"/>
          <w:lang w:val="en-US" w:eastAsia="zh-CN" w:bidi="ar"/>
        </w:rPr>
        <w:t>对投标人的</w:t>
      </w:r>
      <w:r>
        <w:rPr>
          <w:rFonts w:hint="eastAsia" w:ascii="宋体" w:hAnsi="宋体" w:eastAsia="宋体" w:cs="宋体"/>
          <w:color w:val="auto"/>
          <w:sz w:val="24"/>
          <w:highlight w:val="none"/>
          <w:lang w:bidi="ar"/>
        </w:rPr>
        <w:t>技术资信标书进行资格审查。</w:t>
      </w:r>
    </w:p>
    <w:p w14:paraId="3B16E74E">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（3）对通过资格审查的投标</w:t>
      </w:r>
      <w:r>
        <w:rPr>
          <w:rFonts w:hint="eastAsia" w:ascii="宋体" w:hAnsi="宋体" w:eastAsia="宋体" w:cs="宋体"/>
          <w:color w:val="auto"/>
          <w:sz w:val="24"/>
          <w:highlight w:val="none"/>
          <w:lang w:val="en-US" w:eastAsia="zh-CN" w:bidi="ar"/>
        </w:rPr>
        <w:t>文件</w:t>
      </w:r>
      <w:r>
        <w:rPr>
          <w:rFonts w:hint="eastAsia" w:ascii="宋体" w:hAnsi="宋体" w:eastAsia="宋体" w:cs="宋体"/>
          <w:color w:val="auto"/>
          <w:sz w:val="24"/>
          <w:highlight w:val="none"/>
          <w:lang w:bidi="ar"/>
        </w:rPr>
        <w:t>进行符合性审查</w:t>
      </w:r>
      <w:r>
        <w:rPr>
          <w:rFonts w:hint="eastAsia" w:ascii="宋体" w:hAnsi="宋体" w:eastAsia="宋体" w:cs="宋体"/>
          <w:color w:val="auto"/>
          <w:sz w:val="24"/>
          <w:highlight w:val="none"/>
          <w:lang w:eastAsia="zh-CN" w:bidi="ar"/>
        </w:rPr>
        <w:t>。</w:t>
      </w:r>
    </w:p>
    <w:p w14:paraId="17C22C8C">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eastAsia="zh-CN" w:bidi="ar"/>
        </w:rPr>
      </w:pPr>
      <w:r>
        <w:rPr>
          <w:rFonts w:hint="eastAsia" w:ascii="宋体" w:hAnsi="宋体" w:eastAsia="宋体" w:cs="宋体"/>
          <w:color w:val="auto"/>
          <w:sz w:val="24"/>
          <w:highlight w:val="none"/>
          <w:lang w:eastAsia="zh-CN" w:bidi="ar"/>
        </w:rPr>
        <w:t>（</w:t>
      </w:r>
      <w:r>
        <w:rPr>
          <w:rFonts w:hint="eastAsia" w:ascii="宋体" w:hAnsi="宋体" w:eastAsia="宋体" w:cs="宋体"/>
          <w:color w:val="auto"/>
          <w:sz w:val="24"/>
          <w:highlight w:val="none"/>
          <w:lang w:val="en-US" w:eastAsia="zh-CN" w:bidi="ar"/>
        </w:rPr>
        <w:t>4</w:t>
      </w:r>
      <w:r>
        <w:rPr>
          <w:rFonts w:hint="eastAsia" w:ascii="宋体" w:hAnsi="宋体" w:eastAsia="宋体" w:cs="宋体"/>
          <w:color w:val="auto"/>
          <w:sz w:val="24"/>
          <w:highlight w:val="none"/>
          <w:lang w:eastAsia="zh-CN" w:bidi="ar"/>
        </w:rPr>
        <w:t>）</w:t>
      </w:r>
      <w:r>
        <w:rPr>
          <w:rFonts w:hint="eastAsia" w:ascii="宋体" w:hAnsi="宋体" w:eastAsia="宋体" w:cs="宋体"/>
          <w:color w:val="auto"/>
          <w:sz w:val="24"/>
          <w:highlight w:val="none"/>
          <w:lang w:bidi="ar"/>
        </w:rPr>
        <w:t>对通过符合性审查</w:t>
      </w:r>
      <w:r>
        <w:rPr>
          <w:rFonts w:hint="eastAsia" w:ascii="宋体" w:hAnsi="宋体" w:eastAsia="宋体" w:cs="宋体"/>
          <w:color w:val="auto"/>
          <w:sz w:val="24"/>
          <w:highlight w:val="none"/>
          <w:lang w:val="en-US" w:eastAsia="zh-CN" w:bidi="ar"/>
        </w:rPr>
        <w:t>的投标文件</w:t>
      </w:r>
      <w:r>
        <w:rPr>
          <w:rFonts w:hint="eastAsia" w:ascii="宋体" w:hAnsi="宋体" w:eastAsia="宋体" w:cs="宋体"/>
          <w:color w:val="auto"/>
          <w:sz w:val="24"/>
          <w:highlight w:val="none"/>
          <w:lang w:bidi="ar"/>
        </w:rPr>
        <w:t>进行技术资信评审</w:t>
      </w:r>
      <w:r>
        <w:rPr>
          <w:rFonts w:hint="eastAsia" w:ascii="宋体" w:hAnsi="宋体" w:eastAsia="宋体" w:cs="宋体"/>
          <w:color w:val="auto"/>
          <w:sz w:val="24"/>
          <w:highlight w:val="none"/>
          <w:lang w:val="en-US" w:eastAsia="zh-CN" w:bidi="ar"/>
        </w:rPr>
        <w:t>评分。</w:t>
      </w:r>
    </w:p>
    <w:p w14:paraId="5D857E48">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2.开标第二阶段</w:t>
      </w:r>
    </w:p>
    <w:p w14:paraId="6855784D">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（1）技术资信评审</w:t>
      </w:r>
      <w:r>
        <w:rPr>
          <w:rFonts w:hint="eastAsia" w:ascii="宋体" w:hAnsi="宋体" w:eastAsia="宋体" w:cs="宋体"/>
          <w:color w:val="auto"/>
          <w:sz w:val="24"/>
          <w:highlight w:val="none"/>
          <w:lang w:val="en-US" w:eastAsia="zh-CN" w:bidi="ar"/>
        </w:rPr>
        <w:t>评分</w:t>
      </w:r>
      <w:r>
        <w:rPr>
          <w:rFonts w:hint="eastAsia" w:ascii="宋体" w:hAnsi="宋体" w:eastAsia="宋体" w:cs="宋体"/>
          <w:color w:val="auto"/>
          <w:sz w:val="24"/>
          <w:highlight w:val="none"/>
          <w:lang w:bidi="ar"/>
        </w:rPr>
        <w:t>结束后，进入开标第二阶段。</w:t>
      </w:r>
    </w:p>
    <w:p w14:paraId="4109A26C">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（2）开启有效投标人的商务经济标书。</w:t>
      </w:r>
    </w:p>
    <w:p w14:paraId="4C0B7A3B">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w:t>
      </w:r>
      <w:r>
        <w:rPr>
          <w:rFonts w:hint="eastAsia" w:ascii="宋体" w:hAnsi="宋体" w:eastAsia="宋体" w:cs="宋体"/>
          <w:color w:val="auto"/>
          <w:sz w:val="24"/>
          <w:highlight w:val="none"/>
          <w:lang w:val="en-US" w:eastAsia="zh-CN" w:bidi="ar"/>
        </w:rPr>
        <w:t>3</w:t>
      </w:r>
      <w:r>
        <w:rPr>
          <w:rFonts w:hint="eastAsia" w:ascii="宋体" w:hAnsi="宋体" w:eastAsia="宋体" w:cs="宋体"/>
          <w:color w:val="auto"/>
          <w:sz w:val="24"/>
          <w:highlight w:val="none"/>
          <w:lang w:bidi="ar"/>
        </w:rPr>
        <w:t>）</w:t>
      </w:r>
      <w:r>
        <w:rPr>
          <w:rFonts w:hint="eastAsia" w:ascii="宋体" w:hAnsi="宋体" w:eastAsia="宋体" w:cs="宋体"/>
          <w:color w:val="auto"/>
          <w:sz w:val="24"/>
          <w:highlight w:val="none"/>
          <w:lang w:val="en-US" w:eastAsia="zh-CN" w:bidi="ar"/>
        </w:rPr>
        <w:t>对</w:t>
      </w:r>
      <w:r>
        <w:rPr>
          <w:rFonts w:hint="eastAsia" w:ascii="宋体" w:hAnsi="宋体" w:eastAsia="宋体" w:cs="宋体"/>
          <w:color w:val="auto"/>
          <w:sz w:val="24"/>
          <w:highlight w:val="none"/>
          <w:lang w:bidi="ar"/>
        </w:rPr>
        <w:t>商务经济标书进行符合性审查。</w:t>
      </w:r>
    </w:p>
    <w:p w14:paraId="5B649D35">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val="en-US" w:eastAsia="zh-CN" w:bidi="ar"/>
        </w:rPr>
      </w:pPr>
      <w:r>
        <w:rPr>
          <w:rFonts w:hint="eastAsia" w:ascii="宋体" w:hAnsi="宋体" w:eastAsia="宋体" w:cs="宋体"/>
          <w:color w:val="auto"/>
          <w:sz w:val="24"/>
          <w:highlight w:val="none"/>
          <w:lang w:bidi="ar"/>
        </w:rPr>
        <w:t>（</w:t>
      </w:r>
      <w:r>
        <w:rPr>
          <w:rFonts w:hint="eastAsia" w:ascii="宋体" w:hAnsi="宋体" w:eastAsia="宋体" w:cs="宋体"/>
          <w:color w:val="auto"/>
          <w:sz w:val="24"/>
          <w:highlight w:val="none"/>
          <w:lang w:val="en-US" w:eastAsia="zh-CN" w:bidi="ar"/>
        </w:rPr>
        <w:t>4</w:t>
      </w:r>
      <w:r>
        <w:rPr>
          <w:rFonts w:hint="eastAsia" w:ascii="宋体" w:hAnsi="宋体" w:eastAsia="宋体" w:cs="宋体"/>
          <w:color w:val="auto"/>
          <w:sz w:val="24"/>
          <w:highlight w:val="none"/>
          <w:lang w:bidi="ar"/>
        </w:rPr>
        <w:t>）</w:t>
      </w:r>
      <w:r>
        <w:rPr>
          <w:rFonts w:hint="eastAsia" w:ascii="宋体" w:hAnsi="宋体" w:eastAsia="宋体" w:cs="宋体"/>
          <w:color w:val="auto"/>
          <w:sz w:val="24"/>
          <w:highlight w:val="none"/>
          <w:lang w:val="en-US" w:eastAsia="zh-CN" w:bidi="ar"/>
        </w:rPr>
        <w:t>对</w:t>
      </w:r>
      <w:r>
        <w:rPr>
          <w:rFonts w:hint="eastAsia" w:ascii="宋体" w:hAnsi="宋体" w:eastAsia="宋体" w:cs="宋体"/>
          <w:color w:val="auto"/>
          <w:sz w:val="24"/>
          <w:highlight w:val="none"/>
          <w:lang w:bidi="ar"/>
        </w:rPr>
        <w:t>通过符合性审查</w:t>
      </w:r>
      <w:r>
        <w:rPr>
          <w:rFonts w:hint="eastAsia" w:ascii="宋体" w:hAnsi="宋体" w:eastAsia="宋体" w:cs="宋体"/>
          <w:color w:val="auto"/>
          <w:sz w:val="24"/>
          <w:highlight w:val="none"/>
          <w:lang w:val="en-US" w:eastAsia="zh-CN" w:bidi="ar"/>
        </w:rPr>
        <w:t>的进行商务经济评分，并汇总得分。</w:t>
      </w:r>
    </w:p>
    <w:p w14:paraId="702BABDE">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bidi="ar"/>
        </w:rPr>
        <w:t>3.其他说明：</w:t>
      </w:r>
    </w:p>
    <w:p w14:paraId="03861F32">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val="en-US" w:eastAsia="zh-CN" w:bidi="ar"/>
        </w:rPr>
        <w:t>（1）如投标人未及时解密的，评标委员会将视情况发出通知，投标人应在评标委员会通知的时间内解密，否则不作为投标人。</w:t>
      </w:r>
    </w:p>
    <w:p w14:paraId="5678EAF2">
      <w:pPr>
        <w:autoSpaceDE w:val="0"/>
        <w:autoSpaceDN w:val="0"/>
        <w:adjustRightInd w:val="0"/>
        <w:snapToGrid w:val="0"/>
        <w:spacing w:line="360" w:lineRule="auto"/>
        <w:ind w:firstLine="480" w:firstLineChars="200"/>
        <w:textAlignment w:val="bottom"/>
        <w:rPr>
          <w:rFonts w:hint="eastAsia" w:ascii="宋体" w:hAnsi="宋体" w:eastAsia="宋体" w:cs="宋体"/>
          <w:color w:val="auto"/>
          <w:sz w:val="24"/>
          <w:highlight w:val="none"/>
          <w:lang w:bidi="ar"/>
        </w:rPr>
      </w:pPr>
      <w:r>
        <w:rPr>
          <w:rFonts w:hint="eastAsia" w:ascii="宋体" w:hAnsi="宋体" w:eastAsia="宋体" w:cs="宋体"/>
          <w:color w:val="auto"/>
          <w:sz w:val="24"/>
          <w:highlight w:val="none"/>
          <w:lang w:eastAsia="zh-CN" w:bidi="ar"/>
        </w:rPr>
        <w:t>（</w:t>
      </w:r>
      <w:r>
        <w:rPr>
          <w:rFonts w:hint="eastAsia" w:ascii="宋体" w:hAnsi="宋体" w:eastAsia="宋体" w:cs="宋体"/>
          <w:color w:val="auto"/>
          <w:sz w:val="24"/>
          <w:highlight w:val="none"/>
          <w:lang w:val="en-US" w:eastAsia="zh-CN" w:bidi="ar"/>
        </w:rPr>
        <w:t>2</w:t>
      </w:r>
      <w:r>
        <w:rPr>
          <w:rFonts w:hint="eastAsia" w:ascii="宋体" w:hAnsi="宋体" w:eastAsia="宋体" w:cs="宋体"/>
          <w:color w:val="auto"/>
          <w:sz w:val="24"/>
          <w:highlight w:val="none"/>
          <w:lang w:eastAsia="zh-CN" w:bidi="ar"/>
        </w:rPr>
        <w:t>）</w:t>
      </w:r>
      <w:r>
        <w:rPr>
          <w:rFonts w:hint="eastAsia" w:ascii="宋体" w:hAnsi="宋体" w:eastAsia="宋体" w:cs="宋体"/>
          <w:color w:val="auto"/>
          <w:sz w:val="24"/>
          <w:highlight w:val="none"/>
          <w:lang w:bidi="ar"/>
        </w:rPr>
        <w:t>如因电子交易平台设置原因导致的程序或投标人界面显示与招标文件的规定不一致的，以电子交易平台的程序或投标人界面显示为准。</w:t>
      </w:r>
    </w:p>
    <w:p w14:paraId="671043C6">
      <w:pPr>
        <w:snapToGrid w:val="0"/>
        <w:spacing w:line="360" w:lineRule="auto"/>
        <w:ind w:left="426"/>
        <w:jc w:val="left"/>
        <w:outlineLvl w:val="1"/>
        <w:rPr>
          <w:rFonts w:hint="eastAsia" w:ascii="宋体" w:hAnsi="宋体" w:eastAsia="宋体" w:cs="宋体"/>
          <w:b/>
          <w:color w:val="auto"/>
          <w:sz w:val="28"/>
          <w:szCs w:val="28"/>
          <w:highlight w:val="none"/>
        </w:rPr>
      </w:pPr>
      <w:bookmarkStart w:id="8" w:name="_Toc16359"/>
      <w:r>
        <w:rPr>
          <w:rFonts w:hint="eastAsia" w:ascii="宋体" w:hAnsi="宋体" w:eastAsia="宋体" w:cs="宋体"/>
          <w:b/>
          <w:color w:val="auto"/>
          <w:sz w:val="28"/>
          <w:szCs w:val="28"/>
          <w:highlight w:val="none"/>
        </w:rPr>
        <w:t>五、评标</w:t>
      </w:r>
      <w:bookmarkEnd w:id="8"/>
    </w:p>
    <w:p w14:paraId="78927858">
      <w:pPr>
        <w:pStyle w:val="5"/>
        <w:adjustRightInd w:val="0"/>
        <w:snapToGrid w:val="0"/>
        <w:spacing w:before="0" w:beforeLines="0" w:after="0" w:afterLines="0" w:line="360" w:lineRule="auto"/>
        <w:ind w:firstLine="426"/>
        <w:rPr>
          <w:rFonts w:hint="eastAsia" w:ascii="宋体" w:hAnsi="宋体" w:eastAsia="宋体" w:cs="宋体"/>
          <w:b/>
          <w:color w:val="auto"/>
          <w:highlight w:val="none"/>
        </w:rPr>
      </w:pPr>
      <w:r>
        <w:rPr>
          <w:rFonts w:hint="eastAsia" w:ascii="宋体" w:hAnsi="宋体" w:eastAsia="宋体" w:cs="宋体"/>
          <w:b/>
          <w:color w:val="auto"/>
          <w:highlight w:val="none"/>
        </w:rPr>
        <w:t>（一）组建评标委员会</w:t>
      </w:r>
    </w:p>
    <w:p w14:paraId="456F68C1">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评标委员会由招标人代表和有关技术、经济等方面的专家组成</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成员人数应当为五人</w:t>
      </w:r>
      <w:r>
        <w:rPr>
          <w:rFonts w:hint="eastAsia" w:ascii="宋体" w:hAnsi="宋体" w:eastAsia="宋体" w:cs="宋体"/>
          <w:color w:val="auto"/>
          <w:highlight w:val="none"/>
          <w:lang w:eastAsia="zh-CN"/>
        </w:rPr>
        <w:t>及</w:t>
      </w:r>
      <w:r>
        <w:rPr>
          <w:rFonts w:hint="eastAsia" w:ascii="宋体" w:hAnsi="宋体" w:eastAsia="宋体" w:cs="宋体"/>
          <w:color w:val="auto"/>
          <w:highlight w:val="none"/>
        </w:rPr>
        <w:t>以上单数。其中</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技术、经济等方面的专家不得少于成员总数的三分之二。</w:t>
      </w:r>
    </w:p>
    <w:p w14:paraId="6CA82F87">
      <w:pPr>
        <w:pStyle w:val="5"/>
        <w:adjustRightInd w:val="0"/>
        <w:snapToGrid w:val="0"/>
        <w:spacing w:before="0" w:beforeLines="0" w:after="0" w:afterLines="0" w:line="360" w:lineRule="auto"/>
        <w:ind w:firstLine="426"/>
        <w:rPr>
          <w:rFonts w:hint="eastAsia" w:ascii="宋体" w:hAnsi="宋体" w:eastAsia="宋体" w:cs="宋体"/>
          <w:b/>
          <w:color w:val="auto"/>
          <w:highlight w:val="none"/>
        </w:rPr>
      </w:pPr>
      <w:r>
        <w:rPr>
          <w:rFonts w:hint="eastAsia" w:ascii="宋体" w:hAnsi="宋体" w:eastAsia="宋体" w:cs="宋体"/>
          <w:b/>
          <w:color w:val="auto"/>
          <w:highlight w:val="none"/>
        </w:rPr>
        <w:t>（</w:t>
      </w:r>
      <w:r>
        <w:rPr>
          <w:rFonts w:hint="eastAsia" w:ascii="宋体" w:hAnsi="宋体" w:eastAsia="宋体" w:cs="宋体"/>
          <w:b/>
          <w:color w:val="auto"/>
          <w:highlight w:val="none"/>
          <w:lang w:eastAsia="zh-CN"/>
        </w:rPr>
        <w:t>二</w:t>
      </w:r>
      <w:r>
        <w:rPr>
          <w:rFonts w:hint="eastAsia" w:ascii="宋体" w:hAnsi="宋体" w:eastAsia="宋体" w:cs="宋体"/>
          <w:b/>
          <w:color w:val="auto"/>
          <w:highlight w:val="none"/>
        </w:rPr>
        <w:t>）评标程序</w:t>
      </w:r>
    </w:p>
    <w:p w14:paraId="2DF240AB">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1.在评标委员会中推选组长。</w:t>
      </w:r>
    </w:p>
    <w:p w14:paraId="623EE6F1">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2.评标委员会组长召集成员认真阅读招标文件以及相关补充、质疑、答复文件、项目书面说明等材料，熟悉招标项目的基本概况，招标项目的质量要求、数量、主要技术标准或服务需求，招标合同主要条款，投标无效情形，评审方法、评审依据、评审标准等。</w:t>
      </w:r>
    </w:p>
    <w:p w14:paraId="1D81DE60">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3.评标委员会对各投标人的资格进行审查，投标人资格条件不符合招标文件要求的投标将被否决，不再进入符合性审查。</w:t>
      </w:r>
    </w:p>
    <w:p w14:paraId="23A0AB62">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4.评标委员会对各投标文件的符合性进行审查，确定是否对招标文件作出了实质性响应。实质上没有响应招标文件要求的投标将被视为无效投标，不再</w:t>
      </w:r>
      <w:r>
        <w:rPr>
          <w:rFonts w:hint="eastAsia" w:ascii="宋体" w:hAnsi="宋体" w:eastAsia="宋体" w:cs="宋体"/>
          <w:bCs/>
          <w:color w:val="auto"/>
          <w:highlight w:val="none"/>
        </w:rPr>
        <w:t>进入下一阶段的评审。</w:t>
      </w:r>
    </w:p>
    <w:p w14:paraId="567383EF">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5.</w:t>
      </w:r>
      <w:r>
        <w:rPr>
          <w:rFonts w:hint="eastAsia" w:ascii="宋体" w:hAnsi="宋体" w:eastAsia="宋体" w:cs="宋体"/>
          <w:color w:val="auto"/>
          <w:highlight w:val="none"/>
          <w:lang w:eastAsia="zh-CN"/>
        </w:rPr>
        <w:t>评标委员会</w:t>
      </w:r>
      <w:r>
        <w:rPr>
          <w:rFonts w:hint="eastAsia" w:ascii="宋体" w:hAnsi="宋体" w:eastAsia="宋体" w:cs="宋体"/>
          <w:color w:val="auto"/>
          <w:highlight w:val="none"/>
        </w:rPr>
        <w:t>按招标文件规定的评审方法和评审标准，依法独立对投标人投标文件进行评估、比较，并给予评价或打分，不受任何单位和个人的干预。</w:t>
      </w:r>
    </w:p>
    <w:p w14:paraId="2B6F25B4">
      <w:pPr>
        <w:adjustRightInd w:val="0"/>
        <w:snapToGrid w:val="0"/>
        <w:spacing w:line="360" w:lineRule="auto"/>
        <w:ind w:firstLine="426"/>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6.各投标人的得分为所有评标委员会的有效评分的算术平均数。</w:t>
      </w:r>
    </w:p>
    <w:p w14:paraId="29139462">
      <w:pPr>
        <w:adjustRightInd w:val="0"/>
        <w:snapToGrid w:val="0"/>
        <w:spacing w:line="360" w:lineRule="auto"/>
        <w:ind w:firstLine="426"/>
        <w:rPr>
          <w:rFonts w:hint="eastAsia" w:ascii="宋体" w:hAnsi="宋体" w:eastAsia="宋体" w:cs="宋体"/>
          <w:color w:val="auto"/>
          <w:sz w:val="24"/>
          <w:highlight w:val="none"/>
        </w:rPr>
      </w:pPr>
      <w:r>
        <w:rPr>
          <w:rFonts w:hint="eastAsia" w:ascii="宋体" w:hAnsi="宋体" w:eastAsia="宋体" w:cs="宋体"/>
          <w:color w:val="auto"/>
          <w:sz w:val="24"/>
          <w:highlight w:val="none"/>
        </w:rPr>
        <w:t>7.评标委员会完成评标后，对各部分得分汇总，计算出本项目最终得分。评标委员会按评标原则推荐中标候选人，同时起草评标报告。</w:t>
      </w:r>
    </w:p>
    <w:p w14:paraId="273C1CEC">
      <w:pPr>
        <w:adjustRightInd w:val="0"/>
        <w:snapToGrid w:val="0"/>
        <w:spacing w:line="360" w:lineRule="auto"/>
        <w:ind w:firstLine="426"/>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8.当</w:t>
      </w:r>
      <w:r>
        <w:rPr>
          <w:rFonts w:hint="eastAsia" w:ascii="宋体" w:hAnsi="宋体" w:eastAsia="宋体" w:cs="宋体"/>
          <w:color w:val="auto"/>
          <w:sz w:val="24"/>
          <w:highlight w:val="none"/>
          <w:lang w:val="en-US" w:eastAsia="zh-CN"/>
        </w:rPr>
        <w:t>有效</w:t>
      </w:r>
      <w:r>
        <w:rPr>
          <w:rFonts w:hint="eastAsia" w:ascii="宋体" w:hAnsi="宋体" w:eastAsia="宋体" w:cs="宋体"/>
          <w:color w:val="auto"/>
          <w:sz w:val="24"/>
          <w:highlight w:val="none"/>
        </w:rPr>
        <w:t>投标人少于3个时，评标委员会应否决全部投标</w:t>
      </w:r>
      <w:r>
        <w:rPr>
          <w:rFonts w:hint="eastAsia" w:ascii="宋体" w:hAnsi="宋体" w:eastAsia="宋体" w:cs="宋体"/>
          <w:bCs/>
          <w:color w:val="auto"/>
          <w:sz w:val="24"/>
          <w:highlight w:val="none"/>
        </w:rPr>
        <w:t>。</w:t>
      </w:r>
    </w:p>
    <w:p w14:paraId="06F5185D">
      <w:pPr>
        <w:adjustRightInd w:val="0"/>
        <w:snapToGrid w:val="0"/>
        <w:spacing w:line="360" w:lineRule="auto"/>
        <w:ind w:firstLine="426"/>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（三）澄清问题的形式</w:t>
      </w:r>
    </w:p>
    <w:p w14:paraId="35E819A1">
      <w:pPr>
        <w:adjustRightInd w:val="0"/>
        <w:snapToGrid w:val="0"/>
        <w:spacing w:line="360" w:lineRule="auto"/>
        <w:ind w:firstLine="426"/>
        <w:rPr>
          <w:rFonts w:hint="eastAsia" w:ascii="宋体" w:hAnsi="宋体" w:eastAsia="宋体" w:cs="宋体"/>
          <w:color w:val="auto"/>
          <w:sz w:val="24"/>
          <w:highlight w:val="none"/>
        </w:rPr>
      </w:pPr>
      <w:r>
        <w:rPr>
          <w:rFonts w:hint="eastAsia" w:ascii="宋体" w:hAnsi="宋体" w:eastAsia="宋体" w:cs="宋体"/>
          <w:color w:val="auto"/>
          <w:sz w:val="24"/>
          <w:highlight w:val="none"/>
        </w:rPr>
        <w:t>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或电子邮件的形式进行。</w:t>
      </w:r>
    </w:p>
    <w:p w14:paraId="17EE9EE7">
      <w:pPr>
        <w:adjustRightInd w:val="0"/>
        <w:snapToGrid w:val="0"/>
        <w:spacing w:line="360" w:lineRule="auto"/>
        <w:ind w:firstLine="426"/>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评标委员会发出澄清内容后，投标人应当在</w:t>
      </w:r>
      <w:r>
        <w:rPr>
          <w:rFonts w:hint="eastAsia" w:ascii="宋体" w:hAnsi="宋体" w:eastAsia="宋体" w:cs="宋体"/>
          <w:color w:val="auto"/>
          <w:sz w:val="24"/>
          <w:highlight w:val="none"/>
          <w:u w:val="single"/>
        </w:rPr>
        <w:t>规定的时间内</w:t>
      </w:r>
      <w:r>
        <w:rPr>
          <w:rFonts w:hint="eastAsia" w:ascii="宋体" w:hAnsi="宋体" w:eastAsia="宋体" w:cs="宋体"/>
          <w:color w:val="auto"/>
          <w:sz w:val="24"/>
          <w:highlight w:val="none"/>
        </w:rPr>
        <w:t>钟内提交澄清说明或补正，否则视为投标人放弃答复，并自行承担因此而产生的不利后果。澄清、说明或者补正不得超出投标文件的范围或者改变投标文件的实质性内容。</w:t>
      </w:r>
    </w:p>
    <w:p w14:paraId="12F95040">
      <w:pPr>
        <w:pStyle w:val="5"/>
        <w:adjustRightInd w:val="0"/>
        <w:snapToGrid w:val="0"/>
        <w:spacing w:before="0" w:beforeLines="0" w:after="0" w:afterLines="0" w:line="360" w:lineRule="auto"/>
        <w:ind w:firstLine="426"/>
        <w:rPr>
          <w:rFonts w:hint="eastAsia" w:ascii="宋体" w:hAnsi="宋体" w:eastAsia="宋体" w:cs="宋体"/>
          <w:b/>
          <w:color w:val="auto"/>
          <w:highlight w:val="none"/>
          <w:lang w:eastAsia="zh-CN"/>
        </w:rPr>
      </w:pPr>
      <w:r>
        <w:rPr>
          <w:rFonts w:hint="eastAsia" w:ascii="宋体" w:hAnsi="宋体" w:eastAsia="宋体" w:cs="宋体"/>
          <w:b/>
          <w:color w:val="auto"/>
          <w:highlight w:val="none"/>
        </w:rPr>
        <w:t>（</w:t>
      </w:r>
      <w:r>
        <w:rPr>
          <w:rFonts w:hint="eastAsia" w:ascii="宋体" w:hAnsi="宋体" w:eastAsia="宋体" w:cs="宋体"/>
          <w:b/>
          <w:color w:val="auto"/>
          <w:highlight w:val="none"/>
          <w:lang w:eastAsia="zh-CN"/>
        </w:rPr>
        <w:t>四</w:t>
      </w:r>
      <w:r>
        <w:rPr>
          <w:rFonts w:hint="eastAsia" w:ascii="宋体" w:hAnsi="宋体" w:eastAsia="宋体" w:cs="宋体"/>
          <w:b/>
          <w:color w:val="auto"/>
          <w:highlight w:val="none"/>
        </w:rPr>
        <w:t>）错误修正</w:t>
      </w:r>
    </w:p>
    <w:p w14:paraId="7AA7D995">
      <w:pPr>
        <w:adjustRightInd w:val="0"/>
        <w:snapToGrid w:val="0"/>
        <w:spacing w:line="360" w:lineRule="auto"/>
        <w:ind w:firstLine="426"/>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投标文件报价出现前后不一致的，按照下列规定修正： </w:t>
      </w:r>
    </w:p>
    <w:p w14:paraId="4E995E5A">
      <w:pPr>
        <w:adjustRightInd w:val="0"/>
        <w:snapToGrid w:val="0"/>
        <w:spacing w:line="360" w:lineRule="auto"/>
        <w:ind w:firstLine="426"/>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1.电子交易平台生成的开标记录表内容与投标文件中相应内容不一致的，非总价小数点或百分比有明显错位、金额单位明显错误的，以</w:t>
      </w:r>
      <w:r>
        <w:rPr>
          <w:rFonts w:hint="eastAsia" w:ascii="宋体" w:hAnsi="宋体" w:eastAsia="宋体" w:cs="宋体"/>
          <w:color w:val="auto"/>
          <w:sz w:val="24"/>
          <w:highlight w:val="none"/>
          <w:lang w:val="en-US" w:eastAsia="zh-CN"/>
        </w:rPr>
        <w:t>投标文件</w:t>
      </w:r>
      <w:r>
        <w:rPr>
          <w:rFonts w:hint="eastAsia" w:ascii="宋体" w:hAnsi="宋体" w:eastAsia="宋体" w:cs="宋体"/>
          <w:color w:val="auto"/>
          <w:sz w:val="24"/>
          <w:highlight w:val="none"/>
        </w:rPr>
        <w:t>的开标记录表为准；因投标人填报失误导致出现总价小数点或百分比有明显错位、金额单位明显错误的，按评委认为的合理价格修正总价</w:t>
      </w:r>
      <w:r>
        <w:rPr>
          <w:rFonts w:hint="eastAsia" w:ascii="宋体" w:hAnsi="宋体" w:eastAsia="宋体" w:cs="宋体"/>
          <w:color w:val="auto"/>
          <w:sz w:val="24"/>
          <w:highlight w:val="none"/>
          <w:lang w:val="en-US" w:eastAsia="zh-CN"/>
        </w:rPr>
        <w:t>。</w:t>
      </w:r>
    </w:p>
    <w:p w14:paraId="7CD4B119">
      <w:pPr>
        <w:adjustRightInd w:val="0"/>
        <w:snapToGrid w:val="0"/>
        <w:spacing w:line="360" w:lineRule="auto"/>
        <w:ind w:firstLine="426"/>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.大写金额和小写金额不一致的，以大写金额为准；</w:t>
      </w:r>
    </w:p>
    <w:p w14:paraId="4BC62135">
      <w:pPr>
        <w:adjustRightInd w:val="0"/>
        <w:snapToGrid w:val="0"/>
        <w:spacing w:line="360" w:lineRule="auto"/>
        <w:ind w:firstLine="426"/>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.总价金额与按单价汇总金额不一致的，以单价金额计算结果为准。</w:t>
      </w:r>
    </w:p>
    <w:p w14:paraId="7F1916B6">
      <w:pPr>
        <w:adjustRightInd w:val="0"/>
        <w:snapToGrid w:val="0"/>
        <w:spacing w:line="360" w:lineRule="auto"/>
        <w:ind w:firstLine="426"/>
        <w:rPr>
          <w:rFonts w:hint="eastAsia" w:ascii="宋体" w:hAnsi="宋体" w:eastAsia="宋体" w:cs="宋体"/>
          <w:color w:val="auto"/>
          <w:sz w:val="24"/>
          <w:highlight w:val="none"/>
        </w:rPr>
      </w:pPr>
      <w:r>
        <w:rPr>
          <w:rFonts w:hint="eastAsia" w:ascii="宋体" w:hAnsi="宋体" w:eastAsia="宋体" w:cs="宋体"/>
          <w:color w:val="auto"/>
          <w:sz w:val="24"/>
          <w:highlight w:val="none"/>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282BB6B5">
      <w:pPr>
        <w:pStyle w:val="5"/>
        <w:tabs>
          <w:tab w:val="left" w:pos="630"/>
        </w:tabs>
        <w:adjustRightInd w:val="0"/>
        <w:snapToGrid w:val="0"/>
        <w:spacing w:before="0" w:beforeLines="0" w:after="0" w:afterLines="0" w:line="360" w:lineRule="auto"/>
        <w:ind w:firstLine="426"/>
        <w:rPr>
          <w:rFonts w:hint="eastAsia" w:ascii="宋体" w:hAnsi="宋体" w:eastAsia="宋体" w:cs="宋体"/>
          <w:b/>
          <w:color w:val="auto"/>
          <w:highlight w:val="none"/>
        </w:rPr>
      </w:pPr>
      <w:r>
        <w:rPr>
          <w:rFonts w:hint="eastAsia" w:ascii="宋体" w:hAnsi="宋体" w:eastAsia="宋体" w:cs="宋体"/>
          <w:b/>
          <w:color w:val="auto"/>
          <w:highlight w:val="none"/>
        </w:rPr>
        <w:t>（</w:t>
      </w:r>
      <w:r>
        <w:rPr>
          <w:rFonts w:hint="eastAsia" w:ascii="宋体" w:hAnsi="宋体" w:eastAsia="宋体" w:cs="宋体"/>
          <w:b/>
          <w:color w:val="auto"/>
          <w:highlight w:val="none"/>
          <w:lang w:eastAsia="zh-CN"/>
        </w:rPr>
        <w:t>五</w:t>
      </w:r>
      <w:r>
        <w:rPr>
          <w:rFonts w:hint="eastAsia" w:ascii="宋体" w:hAnsi="宋体" w:eastAsia="宋体" w:cs="宋体"/>
          <w:b/>
          <w:color w:val="auto"/>
          <w:highlight w:val="none"/>
        </w:rPr>
        <w:t>）评标原则和评标办法</w:t>
      </w:r>
    </w:p>
    <w:p w14:paraId="14783D1D">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1.评标委员会必须公平、公正、客观，不带任何倾向性和启发性；不得向外界透露任何与评标有关的内容；任何单位和个人不得干扰、影响评标的正常进行。</w:t>
      </w:r>
    </w:p>
    <w:p w14:paraId="61703D01">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2.本项目具体评标内容及评分标准等详见第三章《评标办法》。</w:t>
      </w:r>
    </w:p>
    <w:p w14:paraId="39F4E24A">
      <w:pPr>
        <w:snapToGrid w:val="0"/>
        <w:spacing w:line="360" w:lineRule="auto"/>
        <w:ind w:left="426"/>
        <w:jc w:val="left"/>
        <w:outlineLvl w:val="1"/>
        <w:rPr>
          <w:rFonts w:hint="eastAsia" w:ascii="宋体" w:hAnsi="宋体" w:eastAsia="宋体" w:cs="宋体"/>
          <w:b/>
          <w:color w:val="auto"/>
          <w:sz w:val="28"/>
          <w:szCs w:val="28"/>
          <w:highlight w:val="none"/>
        </w:rPr>
      </w:pPr>
      <w:bookmarkStart w:id="9" w:name="_Toc22701"/>
      <w:r>
        <w:rPr>
          <w:rFonts w:hint="eastAsia" w:ascii="宋体" w:hAnsi="宋体" w:eastAsia="宋体" w:cs="宋体"/>
          <w:b/>
          <w:color w:val="auto"/>
          <w:sz w:val="28"/>
          <w:szCs w:val="28"/>
          <w:highlight w:val="none"/>
        </w:rPr>
        <w:t>六、合同授予</w:t>
      </w:r>
      <w:bookmarkEnd w:id="9"/>
    </w:p>
    <w:p w14:paraId="705160B2">
      <w:pPr>
        <w:adjustRightInd w:val="0"/>
        <w:snapToGrid w:val="0"/>
        <w:spacing w:line="360" w:lineRule="auto"/>
        <w:ind w:firstLine="426"/>
        <w:rPr>
          <w:rFonts w:hint="eastAsia" w:ascii="宋体" w:hAnsi="宋体" w:eastAsia="宋体" w:cs="宋体"/>
          <w:b/>
          <w:bCs/>
          <w:color w:val="auto"/>
          <w:sz w:val="24"/>
          <w:szCs w:val="20"/>
          <w:highlight w:val="none"/>
        </w:rPr>
      </w:pPr>
      <w:r>
        <w:rPr>
          <w:rFonts w:hint="eastAsia" w:ascii="宋体" w:hAnsi="宋体" w:eastAsia="宋体" w:cs="宋体"/>
          <w:b/>
          <w:bCs/>
          <w:color w:val="auto"/>
          <w:sz w:val="24"/>
          <w:highlight w:val="none"/>
        </w:rPr>
        <w:t>（一）签订合同</w:t>
      </w:r>
    </w:p>
    <w:p w14:paraId="3B100B1D">
      <w:pPr>
        <w:adjustRightInd w:val="0"/>
        <w:snapToGrid w:val="0"/>
        <w:spacing w:line="360" w:lineRule="auto"/>
        <w:ind w:firstLine="426"/>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1.招标人与中标人应当在《中标通知书》发出之日起30日内签订合同。</w:t>
      </w:r>
    </w:p>
    <w:p w14:paraId="3EBAE82B">
      <w:pPr>
        <w:adjustRightInd w:val="0"/>
        <w:snapToGrid w:val="0"/>
        <w:spacing w:line="360" w:lineRule="auto"/>
        <w:ind w:firstLine="426"/>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2.中标人拖延、拒签合同的，将被取消中标资格。</w:t>
      </w:r>
    </w:p>
    <w:p w14:paraId="37278F06">
      <w:pPr>
        <w:pStyle w:val="5"/>
        <w:adjustRightInd w:val="0"/>
        <w:snapToGrid w:val="0"/>
        <w:spacing w:before="0" w:beforeLines="0" w:after="0" w:afterLines="0" w:line="360" w:lineRule="auto"/>
        <w:ind w:firstLine="426"/>
        <w:rPr>
          <w:rFonts w:hint="eastAsia" w:ascii="宋体" w:hAnsi="宋体" w:eastAsia="宋体" w:cs="宋体"/>
          <w:b/>
          <w:color w:val="auto"/>
          <w:highlight w:val="none"/>
          <w:lang w:eastAsia="zh-CN"/>
        </w:rPr>
      </w:pPr>
      <w:r>
        <w:rPr>
          <w:rFonts w:hint="eastAsia" w:ascii="宋体" w:hAnsi="宋体" w:eastAsia="宋体" w:cs="宋体"/>
          <w:b/>
          <w:color w:val="auto"/>
          <w:highlight w:val="none"/>
        </w:rPr>
        <w:t>（二）履约保证金</w:t>
      </w:r>
    </w:p>
    <w:p w14:paraId="0F51D821">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1.中标人应按招标文件确定的履约保证金金额，向招标人交纳履约保证金。</w:t>
      </w:r>
    </w:p>
    <w:p w14:paraId="1506D305">
      <w:pPr>
        <w:pStyle w:val="5"/>
        <w:adjustRightInd w:val="0"/>
        <w:snapToGrid w:val="0"/>
        <w:spacing w:before="0" w:beforeLines="0" w:after="0" w:afterLines="0" w:line="360" w:lineRule="auto"/>
        <w:ind w:firstLine="426"/>
        <w:rPr>
          <w:rFonts w:hint="eastAsia" w:ascii="宋体" w:hAnsi="宋体" w:eastAsia="宋体" w:cs="宋体"/>
          <w:color w:val="auto"/>
          <w:highlight w:val="none"/>
        </w:rPr>
      </w:pPr>
      <w:r>
        <w:rPr>
          <w:rFonts w:hint="eastAsia" w:ascii="宋体" w:hAnsi="宋体" w:eastAsia="宋体" w:cs="宋体"/>
          <w:color w:val="auto"/>
          <w:highlight w:val="none"/>
        </w:rPr>
        <w:t>2.签订合同后，如中标人不按双方约定履约，则没收其全部履约保证金。</w:t>
      </w:r>
    </w:p>
    <w:p w14:paraId="3334724D">
      <w:pPr>
        <w:snapToGrid w:val="0"/>
        <w:spacing w:line="360" w:lineRule="auto"/>
        <w:ind w:left="238"/>
        <w:jc w:val="center"/>
        <w:rPr>
          <w:rFonts w:hint="eastAsia" w:ascii="宋体" w:hAnsi="宋体" w:eastAsia="宋体" w:cs="宋体"/>
          <w:color w:val="auto"/>
          <w:szCs w:val="21"/>
          <w:highlight w:val="none"/>
        </w:rPr>
      </w:pPr>
      <w:r>
        <w:rPr>
          <w:rFonts w:hint="eastAsia" w:ascii="宋体" w:hAnsi="宋体" w:eastAsia="宋体" w:cs="宋体"/>
          <w:color w:val="auto"/>
          <w:highlight w:val="none"/>
        </w:rPr>
        <w:br w:type="page"/>
      </w:r>
    </w:p>
    <w:p w14:paraId="6B2E76C2">
      <w:pPr>
        <w:pStyle w:val="5"/>
        <w:snapToGrid w:val="0"/>
        <w:spacing w:before="0" w:beforeLines="0" w:after="0" w:afterLines="0" w:line="360" w:lineRule="auto"/>
        <w:jc w:val="center"/>
        <w:outlineLvl w:val="0"/>
        <w:rPr>
          <w:rFonts w:hint="eastAsia" w:ascii="宋体" w:hAnsi="宋体" w:eastAsia="宋体" w:cs="宋体"/>
          <w:color w:val="auto"/>
          <w:highlight w:val="none"/>
        </w:rPr>
      </w:pPr>
      <w:bookmarkStart w:id="10" w:name="_Toc18026"/>
      <w:r>
        <w:rPr>
          <w:rFonts w:hint="eastAsia" w:ascii="宋体" w:hAnsi="宋体" w:eastAsia="宋体" w:cs="宋体"/>
          <w:b/>
          <w:color w:val="auto"/>
          <w:sz w:val="30"/>
          <w:szCs w:val="30"/>
          <w:highlight w:val="none"/>
        </w:rPr>
        <w:t>第三章  评标办法</w:t>
      </w:r>
      <w:bookmarkEnd w:id="10"/>
    </w:p>
    <w:p w14:paraId="215CFE0E">
      <w:pPr>
        <w:snapToGrid w:val="0"/>
        <w:spacing w:line="360" w:lineRule="auto"/>
        <w:ind w:firstLine="420"/>
        <w:rPr>
          <w:rFonts w:hint="eastAsia" w:ascii="宋体" w:hAnsi="宋体" w:eastAsia="宋体" w:cs="宋体"/>
          <w:color w:val="auto"/>
          <w:sz w:val="24"/>
          <w:highlight w:val="none"/>
        </w:rPr>
      </w:pPr>
      <w:r>
        <w:rPr>
          <w:rFonts w:hint="eastAsia" w:ascii="宋体" w:hAnsi="宋体" w:eastAsia="宋体" w:cs="宋体"/>
          <w:color w:val="auto"/>
          <w:sz w:val="24"/>
          <w:highlight w:val="none"/>
        </w:rPr>
        <w:t>为公正、公平、科学地选择中标人，根据有关法律法规的规定，并结合本项目的实际，制定本办法。</w:t>
      </w:r>
    </w:p>
    <w:p w14:paraId="6244C6AB">
      <w:pPr>
        <w:snapToGrid w:val="0"/>
        <w:spacing w:line="360" w:lineRule="auto"/>
        <w:ind w:left="426"/>
        <w:jc w:val="left"/>
        <w:outlineLvl w:val="1"/>
        <w:rPr>
          <w:rFonts w:hint="eastAsia" w:ascii="宋体" w:hAnsi="宋体" w:eastAsia="宋体" w:cs="宋体"/>
          <w:b/>
          <w:color w:val="auto"/>
          <w:sz w:val="28"/>
          <w:szCs w:val="28"/>
          <w:highlight w:val="none"/>
        </w:rPr>
      </w:pPr>
      <w:bookmarkStart w:id="11" w:name="_Toc5364"/>
      <w:r>
        <w:rPr>
          <w:rFonts w:hint="eastAsia" w:ascii="宋体" w:hAnsi="宋体" w:eastAsia="宋体" w:cs="宋体"/>
          <w:b/>
          <w:color w:val="auto"/>
          <w:sz w:val="28"/>
          <w:szCs w:val="28"/>
          <w:highlight w:val="none"/>
        </w:rPr>
        <w:t>一、总则</w:t>
      </w:r>
      <w:bookmarkEnd w:id="11"/>
    </w:p>
    <w:p w14:paraId="711B2F7C">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次评标采用综合评分法，投标人评标综合得分=技术资信得分+商务经济得分，总分为100分。合格投标人的评标得分为各项目汇总得分，中标候选资格按评标得分由高到低顺序排列，得分相同的，按投标报价由低到高顺序排列；得分且投标报价相同的，按技术得分由高到低顺序排列。评分过程中采用四舍五入法，并保留小数2位。评标委员会推荐得分排列</w:t>
      </w:r>
      <w:r>
        <w:rPr>
          <w:rFonts w:hint="eastAsia" w:ascii="宋体" w:hAnsi="宋体" w:eastAsia="宋体" w:cs="宋体"/>
          <w:color w:val="auto"/>
          <w:sz w:val="24"/>
          <w:highlight w:val="none"/>
          <w:u w:val="single"/>
          <w:lang w:val="en-US" w:eastAsia="zh-CN"/>
        </w:rPr>
        <w:t>前3</w:t>
      </w:r>
      <w:r>
        <w:rPr>
          <w:rFonts w:hint="eastAsia" w:ascii="宋体" w:hAnsi="宋体" w:eastAsia="宋体" w:cs="宋体"/>
          <w:color w:val="auto"/>
          <w:sz w:val="24"/>
          <w:highlight w:val="none"/>
        </w:rPr>
        <w:t>的投标人为中标候选人。</w:t>
      </w:r>
    </w:p>
    <w:p w14:paraId="4C056ECC">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技术资信得分=评标委员会所有成员总评分计算权重后的平均值。</w:t>
      </w:r>
    </w:p>
    <w:p w14:paraId="41D9F2AF">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商务经济得分=商务经济得分×商务经济得分权重。</w:t>
      </w:r>
    </w:p>
    <w:p w14:paraId="309B20C3">
      <w:pPr>
        <w:snapToGrid w:val="0"/>
        <w:spacing w:line="360" w:lineRule="auto"/>
        <w:ind w:left="426"/>
        <w:jc w:val="left"/>
        <w:outlineLvl w:val="1"/>
        <w:rPr>
          <w:rFonts w:hint="eastAsia" w:ascii="宋体" w:hAnsi="宋体" w:eastAsia="宋体" w:cs="宋体"/>
          <w:b/>
          <w:color w:val="auto"/>
          <w:sz w:val="28"/>
          <w:szCs w:val="28"/>
          <w:highlight w:val="none"/>
        </w:rPr>
      </w:pPr>
      <w:bookmarkStart w:id="12" w:name="_Toc25152"/>
      <w:r>
        <w:rPr>
          <w:rFonts w:hint="eastAsia" w:ascii="宋体" w:hAnsi="宋体" w:eastAsia="宋体" w:cs="宋体"/>
          <w:b/>
          <w:color w:val="auto"/>
          <w:sz w:val="28"/>
          <w:szCs w:val="28"/>
          <w:highlight w:val="none"/>
        </w:rPr>
        <w:t>二、资格审查</w:t>
      </w:r>
      <w:bookmarkEnd w:id="12"/>
    </w:p>
    <w:p w14:paraId="0035D332">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评标委员会对各投标人的资格进行审查</w:t>
      </w:r>
      <w:r>
        <w:rPr>
          <w:rFonts w:hint="eastAsia" w:ascii="宋体" w:hAnsi="宋体" w:eastAsia="宋体" w:cs="宋体"/>
          <w:color w:val="auto"/>
          <w:highlight w:val="none"/>
        </w:rPr>
        <w:t>，</w:t>
      </w:r>
      <w:r>
        <w:rPr>
          <w:rFonts w:hint="eastAsia" w:ascii="宋体" w:hAnsi="宋体" w:eastAsia="宋体" w:cs="宋体"/>
          <w:color w:val="auto"/>
          <w:sz w:val="24"/>
          <w:highlight w:val="none"/>
        </w:rPr>
        <w:t>投标人资格条件不符合招标文件要求的投标无效，不再进入符合性审查。</w:t>
      </w:r>
    </w:p>
    <w:p w14:paraId="73386CF6">
      <w:pPr>
        <w:snapToGrid w:val="0"/>
        <w:spacing w:line="360" w:lineRule="auto"/>
        <w:ind w:left="426"/>
        <w:jc w:val="left"/>
        <w:outlineLvl w:val="1"/>
        <w:rPr>
          <w:rFonts w:hint="eastAsia" w:ascii="宋体" w:hAnsi="宋体" w:eastAsia="宋体" w:cs="宋体"/>
          <w:b/>
          <w:color w:val="auto"/>
          <w:sz w:val="28"/>
          <w:szCs w:val="28"/>
          <w:highlight w:val="none"/>
        </w:rPr>
      </w:pPr>
      <w:bookmarkStart w:id="13" w:name="_Toc3856"/>
      <w:r>
        <w:rPr>
          <w:rFonts w:hint="eastAsia" w:ascii="宋体" w:hAnsi="宋体" w:eastAsia="宋体" w:cs="宋体"/>
          <w:b/>
          <w:color w:val="auto"/>
          <w:sz w:val="28"/>
          <w:szCs w:val="28"/>
          <w:highlight w:val="none"/>
        </w:rPr>
        <w:t>三、符合性审查</w:t>
      </w:r>
      <w:bookmarkEnd w:id="13"/>
    </w:p>
    <w:p w14:paraId="1B571090">
      <w:pPr>
        <w:snapToGrid w:val="0"/>
        <w:spacing w:line="360" w:lineRule="auto"/>
        <w:ind w:firstLine="480" w:firstLineChars="200"/>
        <w:rPr>
          <w:rFonts w:hint="eastAsia" w:ascii="宋体" w:hAnsi="宋体" w:eastAsia="宋体" w:cs="宋体"/>
          <w:bCs/>
          <w:color w:val="auto"/>
          <w:sz w:val="24"/>
          <w:szCs w:val="20"/>
          <w:highlight w:val="none"/>
        </w:rPr>
      </w:pPr>
      <w:r>
        <w:rPr>
          <w:rFonts w:hint="eastAsia" w:ascii="宋体" w:hAnsi="宋体" w:eastAsia="宋体" w:cs="宋体"/>
          <w:bCs/>
          <w:color w:val="auto"/>
          <w:sz w:val="24"/>
          <w:highlight w:val="none"/>
        </w:rPr>
        <w:t>评标委员会对资格审查合格的投标文件进行符合性审查，确定是否对招标文件作出了实质性响应。符合性审查不合格的投标无效，不再</w:t>
      </w:r>
      <w:r>
        <w:rPr>
          <w:rFonts w:hint="eastAsia" w:ascii="宋体" w:hAnsi="宋体" w:eastAsia="宋体" w:cs="宋体"/>
          <w:color w:val="auto"/>
          <w:sz w:val="24"/>
          <w:highlight w:val="none"/>
        </w:rPr>
        <w:t>进行技术资信评审。</w:t>
      </w:r>
      <w:r>
        <w:rPr>
          <w:rFonts w:hint="eastAsia" w:ascii="宋体" w:hAnsi="宋体" w:eastAsia="宋体" w:cs="宋体"/>
          <w:bCs/>
          <w:color w:val="auto"/>
          <w:sz w:val="24"/>
          <w:highlight w:val="none"/>
        </w:rPr>
        <w:t>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7462E778">
      <w:pPr>
        <w:pStyle w:val="4"/>
        <w:snapToGrid w:val="0"/>
        <w:spacing w:line="360" w:lineRule="auto"/>
        <w:ind w:firstLine="466"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1.</w:t>
      </w:r>
      <w:r>
        <w:rPr>
          <w:rFonts w:hint="eastAsia" w:ascii="宋体" w:hAnsi="宋体" w:eastAsia="宋体" w:cs="宋体"/>
          <w:b/>
          <w:color w:val="auto"/>
          <w:sz w:val="24"/>
          <w:highlight w:val="none"/>
        </w:rPr>
        <w:t>在技术资信</w:t>
      </w:r>
      <w:r>
        <w:rPr>
          <w:rFonts w:hint="eastAsia" w:ascii="宋体" w:hAnsi="宋体" w:eastAsia="宋体" w:cs="宋体"/>
          <w:b/>
          <w:color w:val="auto"/>
          <w:sz w:val="24"/>
          <w:highlight w:val="none"/>
          <w:lang w:eastAsia="zh-CN"/>
        </w:rPr>
        <w:t>标书</w:t>
      </w:r>
      <w:r>
        <w:rPr>
          <w:rFonts w:hint="eastAsia" w:ascii="宋体" w:hAnsi="宋体" w:eastAsia="宋体" w:cs="宋体"/>
          <w:b/>
          <w:color w:val="auto"/>
          <w:sz w:val="24"/>
          <w:highlight w:val="none"/>
        </w:rPr>
        <w:t>评审时，如发现下列情形之一的，投标文件将被视为无效：</w:t>
      </w:r>
    </w:p>
    <w:p w14:paraId="5622B793">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（1）未投标文件未按招标文件要求盖章的；</w:t>
      </w:r>
    </w:p>
    <w:p w14:paraId="275B4770">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）投标有效期不满足招标文件要求的；</w:t>
      </w:r>
    </w:p>
    <w:p w14:paraId="0A438D30">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）未提供或未如实提供投标服务的技术参数，或者投标文件标明的商务、技术响应与事实不符或虚假投标的；</w:t>
      </w:r>
    </w:p>
    <w:p w14:paraId="171DAC51">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）未响应招标文件标注“▲”的实质性要求的；</w:t>
      </w:r>
    </w:p>
    <w:p w14:paraId="735D74A4">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）投标技术方案不明确，存在一个或一个以上备选（替代）投标方案的；</w:t>
      </w:r>
    </w:p>
    <w:p w14:paraId="7DF0E7A2">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）投标文件含有招标人不能接受的附加条件的；</w:t>
      </w:r>
    </w:p>
    <w:p w14:paraId="1D7EEA74">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）不同投标人的投标文件由同一单位或者个人编制的；</w:t>
      </w:r>
    </w:p>
    <w:p w14:paraId="2DD35878">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）不同投标人委托同一单位或者个人办理投标事宜的；</w:t>
      </w:r>
    </w:p>
    <w:p w14:paraId="29AD7DE6">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）不同投标人的投标文件载明的项目管理成员或者联系人员为同一人的；</w:t>
      </w:r>
    </w:p>
    <w:p w14:paraId="175FEDF4">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）不同投标人的投标文件异常一致或者投标报价呈规律性差异的；</w:t>
      </w:r>
    </w:p>
    <w:p w14:paraId="507E30F1">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）不同投标人的投标文件相互混装的；</w:t>
      </w:r>
    </w:p>
    <w:p w14:paraId="5B5A2F7D">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）不同投标人的投标保证金从同一单位或者个人的账户转出的；</w:t>
      </w:r>
    </w:p>
    <w:p w14:paraId="63FCF94A">
      <w:pPr>
        <w:pStyle w:val="4"/>
        <w:snapToGrid w:val="0"/>
        <w:spacing w:line="360" w:lineRule="auto"/>
        <w:ind w:firstLine="464"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法律、法规和招标文件规定的其他无效情形。</w:t>
      </w:r>
    </w:p>
    <w:p w14:paraId="09E845A9">
      <w:pPr>
        <w:pStyle w:val="4"/>
        <w:snapToGrid w:val="0"/>
        <w:spacing w:line="360" w:lineRule="auto"/>
        <w:ind w:firstLine="457" w:firstLineChars="196"/>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2.在商务经济标书评审时，如发现下列情形之一的，投标将被视为无效：</w:t>
      </w:r>
    </w:p>
    <w:p w14:paraId="3DC43892">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（1）投标文件未按招标文件要求盖章的；</w:t>
      </w:r>
    </w:p>
    <w:p w14:paraId="38EA38FC">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（2）报价超过招标文件中规定的最高限价的；</w:t>
      </w:r>
    </w:p>
    <w:p w14:paraId="1E4BB8A4">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（3）投标报价具有选择性的；</w:t>
      </w:r>
    </w:p>
    <w:p w14:paraId="7D814F9F">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（4）不接受按招标文件规定的修正错误原则修正后的报价的；</w:t>
      </w:r>
    </w:p>
    <w:p w14:paraId="18465F6C">
      <w:pPr>
        <w:pStyle w:val="4"/>
        <w:snapToGrid w:val="0"/>
        <w:spacing w:line="360" w:lineRule="auto"/>
        <w:ind w:firstLine="464"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（5）评标委员会认为投标人的报价明显低于其他通过符合性审查投标人的报价，且投标人不能证明其报价合理性，有可能影响</w:t>
      </w:r>
      <w:r>
        <w:rPr>
          <w:rFonts w:hint="eastAsia" w:ascii="宋体" w:hAnsi="宋体" w:eastAsia="宋体" w:cs="宋体"/>
          <w:color w:val="auto"/>
          <w:sz w:val="24"/>
          <w:highlight w:val="none"/>
          <w:lang w:eastAsia="zh-CN"/>
        </w:rPr>
        <w:t>服务</w:t>
      </w:r>
      <w:r>
        <w:rPr>
          <w:rFonts w:hint="eastAsia" w:ascii="宋体" w:hAnsi="宋体" w:eastAsia="宋体" w:cs="宋体"/>
          <w:color w:val="auto"/>
          <w:sz w:val="24"/>
          <w:highlight w:val="none"/>
        </w:rPr>
        <w:t>质量或者不能诚信履约的；</w:t>
      </w:r>
    </w:p>
    <w:p w14:paraId="40D0E99E">
      <w:pPr>
        <w:pStyle w:val="4"/>
        <w:snapToGrid w:val="0"/>
        <w:spacing w:line="360" w:lineRule="auto"/>
        <w:ind w:firstLine="464"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（6）法律、法规和招标文件规定的其他无效情形。</w:t>
      </w:r>
    </w:p>
    <w:p w14:paraId="5F61EE61">
      <w:pPr>
        <w:snapToGrid w:val="0"/>
        <w:spacing w:line="360" w:lineRule="auto"/>
        <w:ind w:left="426"/>
        <w:jc w:val="left"/>
        <w:outlineLvl w:val="1"/>
        <w:rPr>
          <w:rFonts w:hint="eastAsia" w:ascii="宋体" w:hAnsi="宋体" w:eastAsia="宋体" w:cs="宋体"/>
          <w:b/>
          <w:color w:val="auto"/>
          <w:sz w:val="28"/>
          <w:szCs w:val="28"/>
          <w:highlight w:val="none"/>
        </w:rPr>
      </w:pPr>
      <w:bookmarkStart w:id="14" w:name="_Toc19508"/>
      <w:r>
        <w:rPr>
          <w:rFonts w:hint="eastAsia" w:ascii="宋体" w:hAnsi="宋体" w:eastAsia="宋体" w:cs="宋体"/>
          <w:b/>
          <w:color w:val="auto"/>
          <w:sz w:val="28"/>
          <w:szCs w:val="28"/>
          <w:highlight w:val="none"/>
        </w:rPr>
        <w:t>四、评审内容及标准</w:t>
      </w:r>
      <w:bookmarkEnd w:id="14"/>
    </w:p>
    <w:p w14:paraId="60556228">
      <w:pPr>
        <w:snapToGrid w:val="0"/>
        <w:spacing w:line="360" w:lineRule="auto"/>
        <w:ind w:firstLine="482" w:firstLineChars="200"/>
        <w:rPr>
          <w:rFonts w:hint="eastAsia" w:ascii="宋体" w:hAnsi="宋体" w:eastAsia="宋体" w:cs="宋体"/>
          <w:b/>
          <w:color w:val="auto"/>
          <w:sz w:val="24"/>
          <w:highlight w:val="none"/>
        </w:rPr>
      </w:pPr>
      <w:bookmarkStart w:id="15" w:name="_Hlk129018031"/>
      <w:r>
        <w:rPr>
          <w:rFonts w:hint="eastAsia" w:ascii="宋体" w:hAnsi="宋体" w:eastAsia="宋体" w:cs="宋体"/>
          <w:b/>
          <w:color w:val="auto"/>
          <w:sz w:val="24"/>
          <w:highlight w:val="none"/>
        </w:rPr>
        <w:t>（一）技术资信得分（占总分权重的</w:t>
      </w:r>
      <w:r>
        <w:rPr>
          <w:rFonts w:hint="eastAsia" w:ascii="宋体" w:hAnsi="宋体" w:eastAsia="宋体" w:cs="宋体"/>
          <w:b/>
          <w:color w:val="auto"/>
          <w:sz w:val="24"/>
          <w:highlight w:val="none"/>
          <w:lang w:val="en-US" w:eastAsia="zh-CN"/>
        </w:rPr>
        <w:t>5</w:t>
      </w:r>
      <w:r>
        <w:rPr>
          <w:rFonts w:hint="eastAsia" w:ascii="宋体" w:hAnsi="宋体" w:eastAsia="宋体" w:cs="宋体"/>
          <w:b/>
          <w:color w:val="auto"/>
          <w:sz w:val="24"/>
          <w:highlight w:val="none"/>
        </w:rPr>
        <w:t>0%）</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5716"/>
        <w:gridCol w:w="1156"/>
        <w:gridCol w:w="837"/>
      </w:tblGrid>
      <w:tr w14:paraId="1FB4C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noWrap w:val="0"/>
            <w:vAlign w:val="center"/>
          </w:tcPr>
          <w:p w14:paraId="76C7488A">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序号</w:t>
            </w:r>
          </w:p>
        </w:tc>
        <w:tc>
          <w:tcPr>
            <w:tcW w:w="5716" w:type="dxa"/>
            <w:noWrap w:val="0"/>
            <w:vAlign w:val="center"/>
          </w:tcPr>
          <w:p w14:paraId="541BDE8E">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评审内容</w:t>
            </w:r>
          </w:p>
        </w:tc>
        <w:tc>
          <w:tcPr>
            <w:tcW w:w="1156" w:type="dxa"/>
            <w:noWrap w:val="0"/>
            <w:vAlign w:val="center"/>
          </w:tcPr>
          <w:p w14:paraId="778339CE">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分值</w:t>
            </w:r>
          </w:p>
        </w:tc>
        <w:tc>
          <w:tcPr>
            <w:tcW w:w="837" w:type="dxa"/>
            <w:noWrap w:val="0"/>
            <w:vAlign w:val="center"/>
          </w:tcPr>
          <w:p w14:paraId="4FD66883">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权重</w:t>
            </w:r>
          </w:p>
        </w:tc>
      </w:tr>
      <w:tr w14:paraId="4808F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3A0AF62D">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013BE6BF">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投标人业绩：</w:t>
            </w:r>
          </w:p>
          <w:p w14:paraId="3B5B7778">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1.投标人2022年1月1日（以中标通知书发出时间为准）至今完成过单个项目中标金额在2000万元及以上的化工项目的招标代理业绩的，每个得10分；</w:t>
            </w:r>
          </w:p>
          <w:p w14:paraId="37F68ED0">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2.投标人2022年1月1日（以中标通知书发出时间为准）至今完成过单个项目中标金额在1000（含）-2000（不含）万元的化工项目的招标代理业绩的，每个得5分；</w:t>
            </w:r>
          </w:p>
          <w:p w14:paraId="30FEF293">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3.投标人2022年1月1日（以中标通知书发出时间为准）至今完成过单个项目中标金额在200（含）-1000（不含）万元的化工项目的招标代理业绩的，每个得2.5分；</w:t>
            </w:r>
          </w:p>
          <w:p w14:paraId="619824C5">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color w:val="auto"/>
                <w:kern w:val="2"/>
                <w:sz w:val="24"/>
                <w:szCs w:val="24"/>
                <w:highlight w:val="none"/>
                <w:lang w:val="en-US" w:eastAsia="zh-CN" w:bidi="ar-SA"/>
              </w:rPr>
              <w:t>证明材料：同时提供①招标代理合同（或协议）、②招标公告网页截图、③中标候选人公示网页截图、④招标人盖章的中标通知书。同一招标代理合同（或协议）范围内的不同招标项目可以分别得分。</w:t>
            </w:r>
            <w:r>
              <w:rPr>
                <w:rFonts w:hint="eastAsia" w:ascii="宋体" w:hAnsi="宋体" w:eastAsia="宋体" w:cs="宋体"/>
                <w:bCs/>
                <w:color w:val="auto"/>
                <w:kern w:val="2"/>
                <w:sz w:val="24"/>
                <w:szCs w:val="24"/>
                <w:lang w:val="en-US" w:eastAsia="zh-CN" w:bidi="ar-SA"/>
              </w:rPr>
              <w:t>本项满分100分。</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4AC52016">
            <w:pPr>
              <w:snapToGrid w:val="0"/>
              <w:spacing w:line="360" w:lineRule="auto"/>
              <w:jc w:val="center"/>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24FA35C4">
            <w:pPr>
              <w:snapToGrid w:val="0"/>
              <w:spacing w:line="360" w:lineRule="auto"/>
              <w:jc w:val="center"/>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20%</w:t>
            </w:r>
          </w:p>
        </w:tc>
      </w:tr>
      <w:tr w14:paraId="4C377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46864586">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2</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4A2813E0">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项目负责人业绩：</w:t>
            </w:r>
          </w:p>
          <w:p w14:paraId="232F49B3">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项目负责人2022年1月1日（以中标通知书发出时间为准）至今完成过单个项目中标金额在1000（含）万元以上的化工项目的招标代理业绩的，每个得10分；</w:t>
            </w:r>
          </w:p>
          <w:p w14:paraId="4E216DA9">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color w:val="auto"/>
                <w:kern w:val="2"/>
                <w:sz w:val="24"/>
                <w:szCs w:val="24"/>
                <w:highlight w:val="none"/>
                <w:lang w:val="en-US" w:eastAsia="zh-CN" w:bidi="ar-SA"/>
              </w:rPr>
              <w:t>证明材料：同时提供①招标代理合同（或协议）、②招标公告网页截图、③中标候选人公示网页截图、④招标人盖章的中标通知书。同一招标代理合同（或协议）范围内的不同招标项目可以分别得分。如招标代理合同（或协议）中无项目负责人姓名的，另行提供业主证明。</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2D16A585">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48A248F4">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20%</w:t>
            </w:r>
          </w:p>
        </w:tc>
      </w:tr>
      <w:tr w14:paraId="5D090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649329BB">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3</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37B8581D">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投标人同时具备有效的质量管理体系认证证书、环境管理体系认证证书、职业健康安全管理体系认证证书的得100分，否则不得分。</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361221B4">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3B49FAA3">
            <w:pPr>
              <w:snapToGrid w:val="0"/>
              <w:spacing w:line="360" w:lineRule="auto"/>
              <w:jc w:val="center"/>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5%</w:t>
            </w:r>
          </w:p>
        </w:tc>
      </w:tr>
      <w:tr w14:paraId="11B7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666C2DF1">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4</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0538BB5A">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投标人对采购人及其下属单位的化工项目招标管理流程，以及招标过程中可能涉及的审批流程的熟悉程度。</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3A1C539D">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5E3ABF30">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10%</w:t>
            </w:r>
          </w:p>
        </w:tc>
      </w:tr>
      <w:tr w14:paraId="61975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01EE8C5B">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5</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75EA0422">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投标人对本项目涉及招标方式的熟悉程度：提供对各种招标方式的流程阐述。</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137C8B72">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59466E18">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10%</w:t>
            </w:r>
          </w:p>
        </w:tc>
      </w:tr>
      <w:tr w14:paraId="1FC19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5261E1E7">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6</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2A19D5C7">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投标人对完成本项目所涉及的法律法规及相关规定的熟悉情况：罗列法律法规及相关规定的文件清单。</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75E0B325">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4ED278E3">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10%</w:t>
            </w:r>
          </w:p>
        </w:tc>
      </w:tr>
      <w:tr w14:paraId="2441F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052E224D">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7</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291E4CFE">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投标人内部管理制度完整性，提供管理制度文件，包括公司财务制度、保密、人员管理制度、服务质量承诺制度、质疑投诉处理制度等。</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25399057">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5B993AEB">
            <w:pPr>
              <w:snapToGrid w:val="0"/>
              <w:spacing w:line="360" w:lineRule="auto"/>
              <w:jc w:val="center"/>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10%</w:t>
            </w:r>
          </w:p>
        </w:tc>
      </w:tr>
      <w:tr w14:paraId="3FDC3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60766A15">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highlight w:val="none"/>
                <w:lang w:val="en-US" w:eastAsia="zh-CN"/>
              </w:rPr>
              <w:t>8</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2025BC6D">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投标人招标档案管理的规范性：提供档案管理时效承诺、档案管理场所承诺等。</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4D30F591">
            <w:pPr>
              <w:adjustRightInd w:val="0"/>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39AD5F7B">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5%</w:t>
            </w:r>
          </w:p>
        </w:tc>
      </w:tr>
      <w:tr w14:paraId="22B3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9" w:type="dxa"/>
            <w:tcBorders>
              <w:top w:val="single" w:color="auto" w:sz="4" w:space="0"/>
              <w:left w:val="single" w:color="auto" w:sz="4" w:space="0"/>
              <w:bottom w:val="single" w:color="auto" w:sz="4" w:space="0"/>
              <w:right w:val="single" w:color="auto" w:sz="4" w:space="0"/>
            </w:tcBorders>
            <w:noWrap w:val="0"/>
            <w:vAlign w:val="center"/>
          </w:tcPr>
          <w:p w14:paraId="090DE221">
            <w:pPr>
              <w:snapToGrid w:val="0"/>
              <w:spacing w:line="360" w:lineRule="auto"/>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9</w:t>
            </w:r>
          </w:p>
        </w:tc>
        <w:tc>
          <w:tcPr>
            <w:tcW w:w="5716" w:type="dxa"/>
            <w:tcBorders>
              <w:top w:val="single" w:color="auto" w:sz="4" w:space="0"/>
              <w:left w:val="single" w:color="auto" w:sz="4" w:space="0"/>
              <w:bottom w:val="single" w:color="auto" w:sz="4" w:space="0"/>
              <w:right w:val="single" w:color="auto" w:sz="4" w:space="0"/>
            </w:tcBorders>
            <w:noWrap w:val="0"/>
            <w:vAlign w:val="center"/>
          </w:tcPr>
          <w:p w14:paraId="3DA1A124">
            <w:pPr>
              <w:spacing w:line="360" w:lineRule="auto"/>
              <w:jc w:val="left"/>
              <w:rPr>
                <w:rFonts w:hint="eastAsia" w:ascii="宋体" w:hAnsi="宋体" w:eastAsia="宋体" w:cs="宋体"/>
                <w:bCs/>
                <w:color w:val="auto"/>
                <w:kern w:val="2"/>
                <w:sz w:val="24"/>
                <w:szCs w:val="24"/>
                <w:lang w:val="en-US" w:eastAsia="zh-CN" w:bidi="ar-SA"/>
              </w:rPr>
            </w:pPr>
            <w:r>
              <w:rPr>
                <w:rFonts w:hint="eastAsia" w:ascii="宋体" w:hAnsi="宋体" w:eastAsia="宋体" w:cs="宋体"/>
                <w:bCs/>
                <w:color w:val="auto"/>
                <w:kern w:val="2"/>
                <w:sz w:val="24"/>
                <w:szCs w:val="24"/>
                <w:lang w:val="en-US" w:eastAsia="zh-CN" w:bidi="ar-SA"/>
              </w:rPr>
              <w:t>投标人完成本项目所具备的优势。</w:t>
            </w:r>
          </w:p>
        </w:tc>
        <w:tc>
          <w:tcPr>
            <w:tcW w:w="1156" w:type="dxa"/>
            <w:tcBorders>
              <w:top w:val="single" w:color="auto" w:sz="4" w:space="0"/>
              <w:left w:val="single" w:color="auto" w:sz="4" w:space="0"/>
              <w:bottom w:val="single" w:color="auto" w:sz="4" w:space="0"/>
              <w:right w:val="single" w:color="auto" w:sz="4" w:space="0"/>
            </w:tcBorders>
            <w:noWrap w:val="0"/>
            <w:vAlign w:val="center"/>
          </w:tcPr>
          <w:p w14:paraId="1DB267A7">
            <w:pPr>
              <w:adjustRightInd w:val="0"/>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0-100分</w:t>
            </w:r>
          </w:p>
        </w:tc>
        <w:tc>
          <w:tcPr>
            <w:tcW w:w="837" w:type="dxa"/>
            <w:tcBorders>
              <w:top w:val="single" w:color="auto" w:sz="4" w:space="0"/>
              <w:left w:val="single" w:color="auto" w:sz="4" w:space="0"/>
              <w:bottom w:val="single" w:color="auto" w:sz="4" w:space="0"/>
              <w:right w:val="single" w:color="auto" w:sz="4" w:space="0"/>
            </w:tcBorders>
            <w:noWrap w:val="0"/>
            <w:vAlign w:val="center"/>
          </w:tcPr>
          <w:p w14:paraId="11ED044D">
            <w:pPr>
              <w:snapToGrid w:val="0"/>
              <w:spacing w:line="360" w:lineRule="auto"/>
              <w:jc w:val="center"/>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10%</w:t>
            </w:r>
          </w:p>
        </w:tc>
      </w:tr>
    </w:tbl>
    <w:p w14:paraId="09CBAF33">
      <w:pPr>
        <w:pStyle w:val="4"/>
        <w:snapToGrid w:val="0"/>
        <w:spacing w:line="360" w:lineRule="auto"/>
        <w:ind w:firstLine="466" w:firstLineChars="200"/>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w:t>
      </w:r>
      <w:r>
        <w:rPr>
          <w:rFonts w:hint="eastAsia" w:ascii="宋体" w:hAnsi="宋体" w:eastAsia="宋体" w:cs="宋体"/>
          <w:b/>
          <w:color w:val="auto"/>
          <w:sz w:val="24"/>
          <w:highlight w:val="none"/>
          <w:lang w:eastAsia="zh-CN"/>
        </w:rPr>
        <w:t>二</w:t>
      </w:r>
      <w:r>
        <w:rPr>
          <w:rFonts w:hint="eastAsia" w:ascii="宋体" w:hAnsi="宋体" w:eastAsia="宋体" w:cs="宋体"/>
          <w:b/>
          <w:color w:val="auto"/>
          <w:sz w:val="24"/>
          <w:highlight w:val="none"/>
        </w:rPr>
        <w:t>）</w:t>
      </w:r>
      <w:r>
        <w:rPr>
          <w:rFonts w:hint="eastAsia" w:ascii="宋体" w:hAnsi="宋体" w:eastAsia="宋体" w:cs="宋体"/>
          <w:b/>
          <w:bCs/>
          <w:color w:val="auto"/>
          <w:sz w:val="24"/>
          <w:highlight w:val="none"/>
        </w:rPr>
        <w:t>商务经济</w:t>
      </w:r>
      <w:r>
        <w:rPr>
          <w:rFonts w:hint="eastAsia" w:ascii="宋体" w:hAnsi="宋体" w:eastAsia="宋体" w:cs="宋体"/>
          <w:b/>
          <w:bCs/>
          <w:color w:val="auto"/>
          <w:sz w:val="24"/>
          <w:highlight w:val="none"/>
          <w:lang w:eastAsia="zh-CN"/>
        </w:rPr>
        <w:t>得分</w:t>
      </w:r>
      <w:r>
        <w:rPr>
          <w:rFonts w:hint="eastAsia" w:ascii="宋体" w:hAnsi="宋体" w:eastAsia="宋体" w:cs="宋体"/>
          <w:b/>
          <w:color w:val="auto"/>
          <w:sz w:val="24"/>
          <w:highlight w:val="none"/>
        </w:rPr>
        <w:t>（占总分权重的</w:t>
      </w:r>
      <w:r>
        <w:rPr>
          <w:rFonts w:hint="eastAsia" w:ascii="宋体" w:hAnsi="宋体" w:eastAsia="宋体" w:cs="宋体"/>
          <w:b/>
          <w:color w:val="auto"/>
          <w:sz w:val="24"/>
          <w:highlight w:val="none"/>
          <w:lang w:val="en-US" w:eastAsia="zh-CN"/>
        </w:rPr>
        <w:t>5</w:t>
      </w:r>
      <w:r>
        <w:rPr>
          <w:rFonts w:hint="eastAsia" w:ascii="宋体" w:hAnsi="宋体" w:eastAsia="宋体" w:cs="宋体"/>
          <w:b/>
          <w:color w:val="auto"/>
          <w:sz w:val="24"/>
          <w:highlight w:val="none"/>
          <w:lang w:eastAsia="zh-CN"/>
        </w:rPr>
        <w:t>0</w:t>
      </w:r>
      <w:r>
        <w:rPr>
          <w:rFonts w:hint="eastAsia" w:ascii="宋体" w:hAnsi="宋体" w:eastAsia="宋体" w:cs="宋体"/>
          <w:b/>
          <w:color w:val="auto"/>
          <w:sz w:val="24"/>
          <w:highlight w:val="none"/>
        </w:rPr>
        <w:t>%）</w:t>
      </w:r>
    </w:p>
    <w:bookmarkEnd w:id="15"/>
    <w:p w14:paraId="3D91F4FB">
      <w:pPr>
        <w:snapToGrid w:val="0"/>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1.最佳报价：</w:t>
      </w:r>
    </w:p>
    <w:p w14:paraId="083737FC">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rPr>
        <w:t>所有有效投标价的最低报价为最佳报价；</w:t>
      </w:r>
    </w:p>
    <w:p w14:paraId="42D77875">
      <w:pPr>
        <w:snapToGrid w:val="0"/>
        <w:spacing w:line="360" w:lineRule="auto"/>
        <w:ind w:firstLine="480" w:firstLineChars="200"/>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lang w:val="en-US" w:eastAsia="zh-CN"/>
        </w:rPr>
        <w:t>2</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lang w:val="en-US" w:eastAsia="zh-CN"/>
        </w:rPr>
        <w:t>如</w:t>
      </w:r>
      <w:r>
        <w:rPr>
          <w:rFonts w:hint="eastAsia" w:ascii="宋体" w:hAnsi="宋体" w:eastAsia="宋体" w:cs="宋体"/>
          <w:color w:val="auto"/>
          <w:kern w:val="0"/>
          <w:sz w:val="24"/>
          <w:highlight w:val="none"/>
        </w:rPr>
        <w:t>所有有效投标价的最低报价</w:t>
      </w:r>
      <w:r>
        <w:rPr>
          <w:rFonts w:hint="eastAsia" w:ascii="宋体" w:hAnsi="宋体" w:eastAsia="宋体" w:cs="宋体"/>
          <w:color w:val="auto"/>
          <w:kern w:val="0"/>
          <w:sz w:val="24"/>
          <w:highlight w:val="none"/>
          <w:lang w:val="en-US" w:eastAsia="zh-CN"/>
        </w:rPr>
        <w:t>低于风险控制价的，风险控制价即作为最佳报价。</w:t>
      </w:r>
    </w:p>
    <w:p w14:paraId="4C2B2A68">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2.价格得分：</w:t>
      </w:r>
    </w:p>
    <w:p w14:paraId="297D43B1">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（1）评标价等于最佳报价时，得满分100分；</w:t>
      </w:r>
    </w:p>
    <w:p w14:paraId="49F8B6C5">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（2）评标价</w:t>
      </w:r>
      <w:r>
        <w:rPr>
          <w:rFonts w:hint="eastAsia" w:ascii="宋体" w:hAnsi="宋体" w:eastAsia="宋体" w:cs="宋体"/>
          <w:color w:val="auto"/>
          <w:kern w:val="0"/>
          <w:sz w:val="24"/>
          <w:highlight w:val="none"/>
          <w:lang w:val="en-US" w:eastAsia="zh-CN"/>
        </w:rPr>
        <w:t>高</w:t>
      </w:r>
      <w:r>
        <w:rPr>
          <w:rFonts w:hint="eastAsia" w:ascii="宋体" w:hAnsi="宋体" w:eastAsia="宋体" w:cs="宋体"/>
          <w:color w:val="auto"/>
          <w:kern w:val="0"/>
          <w:sz w:val="24"/>
          <w:highlight w:val="none"/>
        </w:rPr>
        <w:t>于最佳报价的价格得分：100-（</w:t>
      </w:r>
      <w:r>
        <w:rPr>
          <w:rFonts w:hint="eastAsia" w:ascii="宋体" w:hAnsi="宋体" w:eastAsia="宋体" w:cs="宋体"/>
          <w:bCs/>
          <w:color w:val="auto"/>
          <w:sz w:val="24"/>
          <w:highlight w:val="none"/>
        </w:rPr>
        <w:t>最佳报价-</w:t>
      </w:r>
      <w:r>
        <w:rPr>
          <w:rFonts w:hint="eastAsia" w:ascii="宋体" w:hAnsi="宋体" w:eastAsia="宋体" w:cs="宋体"/>
          <w:color w:val="auto"/>
          <w:kern w:val="0"/>
          <w:sz w:val="24"/>
          <w:highlight w:val="none"/>
        </w:rPr>
        <w:t>评标价）/</w:t>
      </w:r>
      <w:r>
        <w:rPr>
          <w:rFonts w:hint="eastAsia" w:ascii="宋体" w:hAnsi="宋体" w:eastAsia="宋体" w:cs="宋体"/>
          <w:bCs/>
          <w:color w:val="auto"/>
          <w:sz w:val="24"/>
          <w:highlight w:val="none"/>
        </w:rPr>
        <w:t>最佳报价</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en-US" w:eastAsia="zh-CN"/>
        </w:rPr>
        <w:t>5</w:t>
      </w:r>
      <w:r>
        <w:rPr>
          <w:rFonts w:hint="eastAsia" w:ascii="宋体" w:hAnsi="宋体" w:eastAsia="宋体" w:cs="宋体"/>
          <w:color w:val="auto"/>
          <w:kern w:val="0"/>
          <w:sz w:val="24"/>
          <w:highlight w:val="none"/>
        </w:rPr>
        <w:t>0。</w:t>
      </w:r>
    </w:p>
    <w:p w14:paraId="0312D173">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（3）评标价</w:t>
      </w:r>
      <w:r>
        <w:rPr>
          <w:rFonts w:hint="eastAsia" w:ascii="宋体" w:hAnsi="宋体" w:eastAsia="宋体" w:cs="宋体"/>
          <w:color w:val="auto"/>
          <w:kern w:val="0"/>
          <w:sz w:val="24"/>
          <w:highlight w:val="none"/>
          <w:lang w:val="en-US" w:eastAsia="zh-CN"/>
        </w:rPr>
        <w:t>低于风险控制价</w:t>
      </w:r>
      <w:r>
        <w:rPr>
          <w:rFonts w:hint="eastAsia" w:ascii="宋体" w:hAnsi="宋体" w:eastAsia="宋体" w:cs="宋体"/>
          <w:color w:val="auto"/>
          <w:kern w:val="0"/>
          <w:sz w:val="24"/>
          <w:highlight w:val="none"/>
        </w:rPr>
        <w:t>的价格得分：100-（</w:t>
      </w:r>
      <w:r>
        <w:rPr>
          <w:rFonts w:hint="eastAsia" w:ascii="宋体" w:hAnsi="宋体" w:eastAsia="宋体" w:cs="宋体"/>
          <w:color w:val="auto"/>
          <w:kern w:val="0"/>
          <w:sz w:val="24"/>
          <w:highlight w:val="none"/>
          <w:lang w:val="en-US" w:eastAsia="zh-CN"/>
        </w:rPr>
        <w:t>风险控制价-</w:t>
      </w:r>
      <w:r>
        <w:rPr>
          <w:rFonts w:hint="eastAsia" w:ascii="宋体" w:hAnsi="宋体" w:eastAsia="宋体" w:cs="宋体"/>
          <w:color w:val="auto"/>
          <w:kern w:val="0"/>
          <w:sz w:val="24"/>
          <w:highlight w:val="none"/>
        </w:rPr>
        <w:t>评标价）/</w:t>
      </w:r>
      <w:r>
        <w:rPr>
          <w:rFonts w:hint="eastAsia" w:ascii="宋体" w:hAnsi="宋体" w:eastAsia="宋体" w:cs="宋体"/>
          <w:bCs/>
          <w:color w:val="auto"/>
          <w:sz w:val="24"/>
          <w:highlight w:val="none"/>
        </w:rPr>
        <w:t>最佳报价</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en-US" w:eastAsia="zh-CN"/>
        </w:rPr>
        <w:t>5</w:t>
      </w:r>
      <w:r>
        <w:rPr>
          <w:rFonts w:hint="eastAsia" w:ascii="宋体" w:hAnsi="宋体" w:eastAsia="宋体" w:cs="宋体"/>
          <w:color w:val="auto"/>
          <w:kern w:val="0"/>
          <w:sz w:val="24"/>
          <w:highlight w:val="none"/>
        </w:rPr>
        <w:t>0。</w:t>
      </w:r>
    </w:p>
    <w:p w14:paraId="6770D9A6">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r>
        <w:rPr>
          <w:rFonts w:hint="eastAsia" w:ascii="宋体" w:hAnsi="宋体" w:eastAsia="宋体" w:cs="宋体"/>
          <w:color w:val="auto"/>
          <w:kern w:val="0"/>
          <w:sz w:val="24"/>
          <w:highlight w:val="none"/>
        </w:rPr>
        <w:t>以上</w:t>
      </w:r>
      <w:r>
        <w:rPr>
          <w:rFonts w:hint="eastAsia" w:ascii="宋体" w:hAnsi="宋体" w:eastAsia="宋体" w:cs="宋体"/>
          <w:color w:val="auto"/>
          <w:sz w:val="24"/>
          <w:highlight w:val="none"/>
        </w:rPr>
        <w:t>结果四舍五入小数点后保留2位。</w:t>
      </w:r>
    </w:p>
    <w:p w14:paraId="64E31BC3">
      <w:pPr>
        <w:snapToGrid w:val="0"/>
        <w:spacing w:line="360" w:lineRule="auto"/>
        <w:ind w:firstLine="480" w:firstLineChars="200"/>
        <w:rPr>
          <w:rFonts w:hint="eastAsia" w:ascii="宋体" w:hAnsi="宋体" w:eastAsia="宋体" w:cs="宋体"/>
          <w:color w:val="auto"/>
          <w:kern w:val="0"/>
          <w:sz w:val="24"/>
          <w:highlight w:val="none"/>
        </w:rPr>
      </w:pPr>
    </w:p>
    <w:p w14:paraId="174B844D">
      <w:pPr>
        <w:snapToGrid w:val="0"/>
        <w:spacing w:line="360" w:lineRule="auto"/>
        <w:ind w:firstLine="480" w:firstLineChars="200"/>
        <w:rPr>
          <w:rFonts w:hint="eastAsia" w:ascii="宋体" w:hAnsi="宋体" w:eastAsia="宋体" w:cs="宋体"/>
          <w:color w:val="auto"/>
          <w:sz w:val="24"/>
          <w:highlight w:val="none"/>
        </w:rPr>
      </w:pPr>
    </w:p>
    <w:p w14:paraId="04AF9009">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br w:type="page"/>
      </w:r>
    </w:p>
    <w:p w14:paraId="72B2448E">
      <w:pPr>
        <w:pStyle w:val="5"/>
        <w:snapToGrid w:val="0"/>
        <w:spacing w:before="0" w:beforeLines="0" w:after="0" w:afterLines="0" w:line="360" w:lineRule="auto"/>
        <w:jc w:val="center"/>
        <w:outlineLvl w:val="0"/>
        <w:rPr>
          <w:rFonts w:hint="eastAsia" w:ascii="宋体" w:hAnsi="宋体" w:eastAsia="宋体" w:cs="宋体"/>
          <w:b/>
          <w:color w:val="auto"/>
          <w:sz w:val="30"/>
          <w:szCs w:val="30"/>
          <w:highlight w:val="none"/>
          <w:lang w:eastAsia="zh-CN"/>
        </w:rPr>
      </w:pPr>
      <w:bookmarkStart w:id="16" w:name="_Toc1282"/>
      <w:r>
        <w:rPr>
          <w:rFonts w:hint="eastAsia" w:ascii="宋体" w:hAnsi="宋体" w:eastAsia="宋体" w:cs="宋体"/>
          <w:b/>
          <w:color w:val="auto"/>
          <w:sz w:val="30"/>
          <w:szCs w:val="30"/>
          <w:highlight w:val="none"/>
        </w:rPr>
        <w:t>第四章  招标内容及需求</w:t>
      </w:r>
      <w:bookmarkEnd w:id="16"/>
    </w:p>
    <w:p w14:paraId="6E6E8424">
      <w:pPr>
        <w:snapToGrid w:val="0"/>
        <w:spacing w:line="360" w:lineRule="auto"/>
        <w:rPr>
          <w:rFonts w:hint="eastAsia" w:ascii="宋体" w:hAnsi="宋体" w:eastAsia="宋体" w:cs="宋体"/>
          <w:b/>
          <w:bCs/>
          <w:color w:val="auto"/>
          <w:sz w:val="24"/>
          <w:shd w:val="clear" w:color="auto" w:fill="FFFFFF"/>
          <w:lang w:val="en-US" w:eastAsia="zh-CN"/>
        </w:rPr>
      </w:pPr>
      <w:r>
        <w:rPr>
          <w:rFonts w:hint="eastAsia" w:ascii="宋体" w:hAnsi="宋体" w:eastAsia="宋体" w:cs="宋体"/>
          <w:b/>
          <w:bCs/>
          <w:color w:val="auto"/>
          <w:sz w:val="24"/>
          <w:shd w:val="clear" w:color="auto" w:fill="FFFFFF"/>
          <w:lang w:val="en-US" w:eastAsia="zh-CN"/>
        </w:rPr>
        <w:t>一、采购内容及数量</w:t>
      </w:r>
    </w:p>
    <w:p w14:paraId="01CB3C1F">
      <w:pPr>
        <w:snapToGrid w:val="0"/>
        <w:spacing w:line="360" w:lineRule="auto"/>
        <w:ind w:left="0" w:leftChars="0" w:firstLine="420" w:firstLineChars="175"/>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1.招标内容：巨化集团有限公司本埠及外埠单位招标代理机构选择，不含已单独招标的甘肃项目。</w:t>
      </w:r>
    </w:p>
    <w:p w14:paraId="140D3B03">
      <w:pPr>
        <w:snapToGrid w:val="0"/>
        <w:spacing w:line="360" w:lineRule="auto"/>
        <w:ind w:left="0" w:leftChars="0" w:firstLine="420" w:firstLineChars="175"/>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2.服务期：2025年7月起至2028年6月</w:t>
      </w:r>
    </w:p>
    <w:p w14:paraId="4EBCA3C3">
      <w:pPr>
        <w:snapToGrid w:val="0"/>
        <w:spacing w:line="360" w:lineRule="auto"/>
        <w:ind w:left="0" w:leftChars="0" w:firstLine="420" w:firstLineChars="175"/>
        <w:rPr>
          <w:rFonts w:hint="eastAsia" w:ascii="宋体" w:hAnsi="宋体" w:eastAsia="宋体" w:cs="宋体"/>
          <w:b w:val="0"/>
          <w:bCs/>
          <w:color w:val="auto"/>
          <w:sz w:val="24"/>
          <w:shd w:val="clear" w:color="auto" w:fill="FFFFFF"/>
          <w:lang w:val="en-US" w:eastAsia="zh-CN"/>
        </w:rPr>
      </w:pPr>
      <w:r>
        <w:rPr>
          <w:rFonts w:hint="eastAsia" w:ascii="宋体" w:hAnsi="宋体" w:eastAsia="宋体" w:cs="宋体"/>
          <w:color w:val="auto"/>
          <w:sz w:val="24"/>
          <w:highlight w:val="none"/>
          <w:lang w:val="en-US" w:eastAsia="zh-CN"/>
        </w:rPr>
        <w:t>3.中标单位数量：3家</w:t>
      </w:r>
    </w:p>
    <w:p w14:paraId="056B4F33">
      <w:pPr>
        <w:snapToGrid w:val="0"/>
        <w:spacing w:line="360" w:lineRule="auto"/>
        <w:rPr>
          <w:rFonts w:hint="eastAsia" w:ascii="宋体" w:hAnsi="宋体" w:eastAsia="宋体" w:cs="宋体"/>
          <w:b/>
          <w:color w:val="auto"/>
          <w:sz w:val="24"/>
          <w:shd w:val="clear" w:color="auto" w:fill="FFFFFF"/>
          <w:lang w:val="en-US" w:eastAsia="zh-CN"/>
        </w:rPr>
      </w:pPr>
      <w:r>
        <w:rPr>
          <w:rFonts w:hint="eastAsia" w:ascii="宋体" w:hAnsi="宋体" w:eastAsia="宋体" w:cs="宋体"/>
          <w:b/>
          <w:color w:val="auto"/>
          <w:sz w:val="24"/>
          <w:shd w:val="clear" w:color="auto" w:fill="FFFFFF"/>
        </w:rPr>
        <w:t>二、</w:t>
      </w:r>
      <w:r>
        <w:rPr>
          <w:rFonts w:hint="eastAsia" w:ascii="宋体" w:hAnsi="宋体" w:eastAsia="宋体" w:cs="宋体"/>
          <w:b/>
          <w:color w:val="auto"/>
          <w:sz w:val="24"/>
          <w:shd w:val="clear" w:color="auto" w:fill="FFFFFF"/>
          <w:lang w:val="en-US" w:eastAsia="zh-CN"/>
        </w:rPr>
        <w:t>报价要求</w:t>
      </w:r>
    </w:p>
    <w:p w14:paraId="11A48BD5">
      <w:pPr>
        <w:snapToGrid w:val="0"/>
        <w:spacing w:line="360" w:lineRule="auto"/>
        <w:ind w:left="0" w:leftChars="0" w:firstLine="420" w:firstLineChars="175"/>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1.本次招标采用</w:t>
      </w:r>
      <w:r>
        <w:rPr>
          <w:rFonts w:hint="eastAsia" w:ascii="宋体" w:hAnsi="宋体" w:eastAsia="宋体" w:cs="宋体"/>
          <w:color w:val="auto"/>
          <w:sz w:val="24"/>
          <w:u w:val="single"/>
          <w:lang w:val="en-US" w:eastAsia="zh-CN"/>
        </w:rPr>
        <w:t>折扣率</w:t>
      </w:r>
      <w:r>
        <w:rPr>
          <w:rFonts w:hint="eastAsia" w:ascii="宋体" w:hAnsi="宋体" w:eastAsia="宋体" w:cs="宋体"/>
          <w:color w:val="auto"/>
          <w:sz w:val="24"/>
          <w:lang w:val="en-US" w:eastAsia="zh-CN"/>
        </w:rPr>
        <w:t>报价，投标人参照《招标代理服务收费管理暂行办法》（计价格[2002]1980号）规定收费标准填报折扣率</w:t>
      </w:r>
      <w:r>
        <w:rPr>
          <w:rFonts w:hint="eastAsia" w:ascii="宋体" w:hAnsi="宋体" w:eastAsia="宋体" w:cs="宋体"/>
          <w:color w:val="auto"/>
          <w:sz w:val="24"/>
        </w:rPr>
        <w:t>。</w:t>
      </w:r>
      <w:r>
        <w:rPr>
          <w:rFonts w:hint="eastAsia" w:ascii="宋体" w:hAnsi="宋体" w:eastAsia="宋体" w:cs="宋体"/>
          <w:color w:val="auto"/>
          <w:sz w:val="24"/>
          <w:u w:val="single"/>
          <w:lang w:val="en-US" w:eastAsia="zh-CN"/>
        </w:rPr>
        <w:t>招标代理收费金额=参照《招标代理服务收费管理暂行办法》（计价格[2002]1980号）规定计算的招标代理服务费×中标折扣率</w:t>
      </w:r>
      <w:r>
        <w:rPr>
          <w:rFonts w:hint="eastAsia" w:ascii="宋体" w:hAnsi="宋体" w:eastAsia="宋体" w:cs="宋体"/>
          <w:color w:val="auto"/>
          <w:sz w:val="24"/>
          <w:u w:val="none"/>
          <w:lang w:val="en-US" w:eastAsia="zh-CN"/>
        </w:rPr>
        <w:t>。</w:t>
      </w:r>
    </w:p>
    <w:p w14:paraId="00FACC96">
      <w:pPr>
        <w:snapToGrid w:val="0"/>
        <w:spacing w:line="360" w:lineRule="auto"/>
        <w:ind w:left="0" w:leftChars="0" w:firstLine="420" w:firstLineChars="175"/>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2.单个标项代理费不足肆仟元的按肆仟元计，超过捌万元的按捌万元计。</w:t>
      </w:r>
    </w:p>
    <w:p w14:paraId="74D0F8C7">
      <w:pPr>
        <w:snapToGrid w:val="0"/>
        <w:spacing w:line="360" w:lineRule="auto"/>
        <w:ind w:left="0" w:leftChars="0" w:firstLine="420" w:firstLineChars="175"/>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3.投标文件只允许有一个报价，有选择或有附加条件的报价将不予接受；</w:t>
      </w:r>
    </w:p>
    <w:p w14:paraId="794B92A4">
      <w:pPr>
        <w:snapToGrid w:val="0"/>
        <w:spacing w:line="360" w:lineRule="auto"/>
        <w:ind w:left="0" w:leftChars="0" w:firstLine="420" w:firstLineChars="175"/>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4.不论采购结果如何，投标人均应自行承担所有与响应有关的全部费用；</w:t>
      </w:r>
    </w:p>
    <w:p w14:paraId="657A707E">
      <w:pPr>
        <w:snapToGrid w:val="0"/>
        <w:spacing w:line="360" w:lineRule="auto"/>
        <w:ind w:left="0" w:leftChars="0" w:firstLine="420" w:firstLineChars="175"/>
        <w:rPr>
          <w:rFonts w:hint="eastAsia" w:ascii="宋体" w:hAnsi="宋体" w:eastAsia="宋体" w:cs="宋体"/>
          <w:color w:val="auto"/>
          <w:sz w:val="24"/>
          <w:shd w:val="clear" w:color="auto" w:fill="FFFFFF"/>
        </w:rPr>
      </w:pPr>
      <w:r>
        <w:rPr>
          <w:rFonts w:hint="eastAsia" w:ascii="宋体" w:hAnsi="宋体" w:eastAsia="宋体" w:cs="宋体"/>
          <w:color w:val="auto"/>
          <w:sz w:val="24"/>
          <w:lang w:val="en-US" w:eastAsia="zh-CN"/>
        </w:rPr>
        <w:t>5.招标代理费由各代理项目的中标人支付，代理项目的评审专家费由招标代理机构支付，不得要求代理项目的中标人支付评审专家费。</w:t>
      </w:r>
    </w:p>
    <w:p w14:paraId="1A1D6728">
      <w:pPr>
        <w:snapToGrid w:val="0"/>
        <w:spacing w:line="360" w:lineRule="auto"/>
        <w:rPr>
          <w:rFonts w:hint="eastAsia" w:ascii="宋体" w:hAnsi="宋体" w:eastAsia="宋体" w:cs="宋体"/>
          <w:b/>
          <w:color w:val="auto"/>
          <w:sz w:val="24"/>
          <w:shd w:val="clear" w:color="auto" w:fill="FFFFFF"/>
        </w:rPr>
      </w:pPr>
      <w:r>
        <w:rPr>
          <w:rFonts w:hint="eastAsia" w:ascii="宋体" w:hAnsi="宋体" w:eastAsia="宋体" w:cs="宋体"/>
          <w:b/>
          <w:color w:val="auto"/>
          <w:sz w:val="24"/>
          <w:shd w:val="clear" w:color="auto" w:fill="FFFFFF"/>
          <w:lang w:val="en-US" w:eastAsia="zh-CN"/>
        </w:rPr>
        <w:t>三</w:t>
      </w:r>
      <w:r>
        <w:rPr>
          <w:rFonts w:hint="eastAsia" w:ascii="宋体" w:hAnsi="宋体" w:eastAsia="宋体" w:cs="宋体"/>
          <w:b/>
          <w:color w:val="auto"/>
          <w:sz w:val="24"/>
          <w:shd w:val="clear" w:color="auto" w:fill="FFFFFF"/>
        </w:rPr>
        <w:t>、项目技术规范和服务要求</w:t>
      </w:r>
    </w:p>
    <w:p w14:paraId="1DD66986">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1.根据</w:t>
      </w:r>
      <w:r>
        <w:rPr>
          <w:rFonts w:hint="eastAsia" w:ascii="宋体" w:hAnsi="宋体" w:eastAsia="宋体" w:cs="宋体"/>
          <w:color w:val="auto"/>
          <w:spacing w:val="-6"/>
          <w:sz w:val="24"/>
        </w:rPr>
        <w:t>招标人集团</w:t>
      </w:r>
      <w:r>
        <w:rPr>
          <w:rFonts w:hint="eastAsia" w:ascii="宋体" w:hAnsi="宋体" w:eastAsia="宋体" w:cs="宋体"/>
          <w:color w:val="auto"/>
          <w:sz w:val="24"/>
        </w:rPr>
        <w:t>及下属企业委托的采购项目，负责编制公开招标、邀请招标、</w:t>
      </w:r>
      <w:r>
        <w:rPr>
          <w:rFonts w:hint="eastAsia" w:ascii="宋体" w:hAnsi="宋体" w:eastAsia="宋体" w:cs="宋体"/>
          <w:color w:val="auto"/>
          <w:sz w:val="24"/>
          <w:lang w:val="en-US" w:eastAsia="zh-CN"/>
        </w:rPr>
        <w:t>竞争性询比价、</w:t>
      </w:r>
      <w:r>
        <w:rPr>
          <w:rFonts w:hint="eastAsia" w:ascii="宋体" w:hAnsi="宋体" w:eastAsia="宋体" w:cs="宋体"/>
          <w:color w:val="auto"/>
          <w:sz w:val="24"/>
        </w:rPr>
        <w:t>竞争性谈判等招标文件，发布招标公告信息等；</w:t>
      </w:r>
    </w:p>
    <w:p w14:paraId="30D2CC2E">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2</w:t>
      </w:r>
      <w:r>
        <w:rPr>
          <w:rFonts w:hint="eastAsia" w:ascii="宋体" w:hAnsi="宋体" w:eastAsia="宋体" w:cs="宋体"/>
          <w:color w:val="auto"/>
          <w:sz w:val="24"/>
        </w:rPr>
        <w:t>.根据招标项目特点及其要求，依法设置投标人资格；</w:t>
      </w:r>
    </w:p>
    <w:p w14:paraId="63F9EF4D">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3</w:t>
      </w:r>
      <w:r>
        <w:rPr>
          <w:rFonts w:hint="eastAsia" w:ascii="宋体" w:hAnsi="宋体" w:eastAsia="宋体" w:cs="宋体"/>
          <w:color w:val="auto"/>
          <w:sz w:val="24"/>
        </w:rPr>
        <w:t>.组织招标活动，包括依法组成评标委员会，组织开标评标，依法向中标人发布中标通知书等；</w:t>
      </w:r>
    </w:p>
    <w:p w14:paraId="33EAB59E">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4</w:t>
      </w:r>
      <w:r>
        <w:rPr>
          <w:rFonts w:hint="eastAsia" w:ascii="宋体" w:hAnsi="宋体" w:eastAsia="宋体" w:cs="宋体"/>
          <w:color w:val="auto"/>
          <w:sz w:val="24"/>
        </w:rPr>
        <w:t>.进入公共资源交易中心的项目，按公共资源交易中心、</w:t>
      </w:r>
      <w:r>
        <w:rPr>
          <w:rFonts w:hint="eastAsia" w:ascii="宋体" w:hAnsi="宋体" w:eastAsia="宋体" w:cs="宋体"/>
          <w:color w:val="auto"/>
          <w:sz w:val="24"/>
          <w:lang w:val="en-US" w:eastAsia="zh-CN"/>
        </w:rPr>
        <w:t>政府行业监督部门</w:t>
      </w:r>
      <w:r>
        <w:rPr>
          <w:rFonts w:hint="eastAsia" w:ascii="宋体" w:hAnsi="宋体" w:eastAsia="宋体" w:cs="宋体"/>
          <w:color w:val="auto"/>
          <w:sz w:val="24"/>
        </w:rPr>
        <w:t>的要求执行。进入巨化招标（交易）中心的项目，按巨化招标（交易）中心和巨化招标办公室的要求执行。</w:t>
      </w:r>
    </w:p>
    <w:p w14:paraId="18FE0EC5">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5</w:t>
      </w:r>
      <w:r>
        <w:rPr>
          <w:rFonts w:hint="eastAsia" w:ascii="宋体" w:hAnsi="宋体" w:eastAsia="宋体" w:cs="宋体"/>
          <w:color w:val="auto"/>
          <w:sz w:val="24"/>
        </w:rPr>
        <w:t>.协助招标人协调和处理投标人询问、质疑等事宜；</w:t>
      </w:r>
    </w:p>
    <w:p w14:paraId="5EFECFD7">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6</w:t>
      </w:r>
      <w:r>
        <w:rPr>
          <w:rFonts w:hint="eastAsia" w:ascii="宋体" w:hAnsi="宋体" w:eastAsia="宋体" w:cs="宋体"/>
          <w:color w:val="auto"/>
          <w:sz w:val="24"/>
        </w:rPr>
        <w:t>.委托代理采购相关的其它服务。</w:t>
      </w:r>
    </w:p>
    <w:p w14:paraId="6A3B008C">
      <w:pPr>
        <w:snapToGrid w:val="0"/>
        <w:spacing w:line="360" w:lineRule="auto"/>
        <w:rPr>
          <w:rFonts w:hint="eastAsia" w:ascii="宋体" w:hAnsi="宋体" w:eastAsia="宋体" w:cs="宋体"/>
          <w:b/>
          <w:color w:val="auto"/>
          <w:sz w:val="24"/>
          <w:shd w:val="clear" w:color="auto" w:fill="FFFFFF"/>
        </w:rPr>
      </w:pPr>
      <w:r>
        <w:rPr>
          <w:rFonts w:hint="eastAsia" w:ascii="宋体" w:hAnsi="宋体" w:eastAsia="宋体" w:cs="宋体"/>
          <w:b/>
          <w:color w:val="auto"/>
          <w:sz w:val="24"/>
          <w:shd w:val="clear" w:color="auto" w:fill="FFFFFF"/>
          <w:lang w:val="en-US" w:eastAsia="zh-CN"/>
        </w:rPr>
        <w:t>四</w:t>
      </w:r>
      <w:r>
        <w:rPr>
          <w:rFonts w:hint="eastAsia" w:ascii="宋体" w:hAnsi="宋体" w:eastAsia="宋体" w:cs="宋体"/>
          <w:b/>
          <w:color w:val="auto"/>
          <w:sz w:val="24"/>
          <w:shd w:val="clear" w:color="auto" w:fill="FFFFFF"/>
        </w:rPr>
        <w:t xml:space="preserve">、服务质量要求 </w:t>
      </w:r>
    </w:p>
    <w:p w14:paraId="1A6F6124">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1.在委托代理范围内严格按照法律法规处理相关事务，对招标人提出的</w:t>
      </w:r>
      <w:r>
        <w:rPr>
          <w:rFonts w:hint="eastAsia" w:ascii="宋体" w:hAnsi="宋体" w:eastAsia="宋体" w:cs="宋体"/>
          <w:b w:val="0"/>
          <w:bCs/>
          <w:color w:val="auto"/>
          <w:sz w:val="24"/>
          <w:shd w:val="clear" w:color="auto" w:fill="FFFFFF"/>
          <w:lang w:val="en-US" w:eastAsia="zh-CN"/>
        </w:rPr>
        <w:t>招标</w:t>
      </w:r>
      <w:r>
        <w:rPr>
          <w:rFonts w:hint="eastAsia" w:ascii="宋体" w:hAnsi="宋体" w:eastAsia="宋体" w:cs="宋体"/>
          <w:b w:val="0"/>
          <w:bCs/>
          <w:color w:val="auto"/>
          <w:sz w:val="24"/>
          <w:shd w:val="clear" w:color="auto" w:fill="FFFFFF"/>
        </w:rPr>
        <w:t>内容和要求应依法审查，并对代理事项的合法性负责；</w:t>
      </w:r>
    </w:p>
    <w:p w14:paraId="7B2ACDFB">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2.按规定的程序和要求独立组织招标活动，自觉接受招标人纪检部门的监督，确保招标公开、公平、公正。自觉执行回避制度，遵守廉政规定和招标纪律，并承担相应的保密责任；</w:t>
      </w:r>
    </w:p>
    <w:p w14:paraId="39D47A6A">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3.对外发布有关招标文件和中标结果，在法律法规规定的期限内应经招标人确认同意后发布；</w:t>
      </w:r>
    </w:p>
    <w:p w14:paraId="59D7B252">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4.向招标人提交全套的项目招标文件，以及招标活动全过程原始记录的资料，包括过程资料的电子版、纸质版；</w:t>
      </w:r>
    </w:p>
    <w:p w14:paraId="0127321E">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5.项目中标后20个工作日内向招标人提供招标材料汇编；</w:t>
      </w:r>
    </w:p>
    <w:p w14:paraId="5E22952E">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6.设有固定的对口服务团队和服务责任人（投入服务团队必须全为投标人本公司正式员工），及时响应招标人的各项要求，并按招标人要求及时提供免费上门服务；</w:t>
      </w:r>
    </w:p>
    <w:p w14:paraId="6B3B849E">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7.对委托代理服务中其它事宜，应根据招标人要求积极配合、处理。</w:t>
      </w:r>
    </w:p>
    <w:p w14:paraId="54C9CDCD">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8.更换项目服务人员需征得采购监管办及招标人认可。</w:t>
      </w:r>
    </w:p>
    <w:p w14:paraId="668CEF3D">
      <w:pPr>
        <w:snapToGrid w:val="0"/>
        <w:spacing w:line="360" w:lineRule="auto"/>
        <w:ind w:firstLine="424" w:firstLineChars="177"/>
        <w:rPr>
          <w:rFonts w:hint="eastAsia" w:ascii="宋体" w:hAnsi="宋体" w:eastAsia="宋体" w:cs="宋体"/>
          <w:b w:val="0"/>
          <w:bCs/>
          <w:color w:val="auto"/>
          <w:sz w:val="24"/>
          <w:shd w:val="clear" w:color="auto" w:fill="FFFFFF"/>
          <w:lang w:val="en-US" w:eastAsia="zh-CN"/>
        </w:rPr>
      </w:pPr>
      <w:r>
        <w:rPr>
          <w:rFonts w:hint="eastAsia" w:ascii="宋体" w:hAnsi="宋体" w:eastAsia="宋体" w:cs="宋体"/>
          <w:b w:val="0"/>
          <w:bCs/>
          <w:color w:val="auto"/>
          <w:sz w:val="24"/>
          <w:shd w:val="clear" w:color="auto" w:fill="FFFFFF"/>
          <w:lang w:val="en-US" w:eastAsia="zh-CN"/>
        </w:rPr>
        <w:t>9.中标人须根据根据招标人要求配备远程评标系统（包含评标所需电脑、专用监控软硬件），费用包含在报价中，招标人不另行承担。</w:t>
      </w:r>
    </w:p>
    <w:p w14:paraId="4694FA68">
      <w:pPr>
        <w:snapToGrid w:val="0"/>
        <w:spacing w:line="360" w:lineRule="auto"/>
        <w:rPr>
          <w:rFonts w:hint="eastAsia" w:ascii="宋体" w:hAnsi="宋体" w:eastAsia="宋体" w:cs="宋体"/>
          <w:b/>
          <w:color w:val="auto"/>
          <w:sz w:val="24"/>
          <w:shd w:val="clear" w:color="auto" w:fill="FFFFFF"/>
        </w:rPr>
      </w:pPr>
      <w:r>
        <w:rPr>
          <w:rFonts w:hint="eastAsia" w:ascii="宋体" w:hAnsi="宋体" w:eastAsia="宋体" w:cs="宋体"/>
          <w:b/>
          <w:color w:val="auto"/>
          <w:sz w:val="24"/>
          <w:shd w:val="clear" w:color="auto" w:fill="FFFFFF"/>
          <w:lang w:val="en-US" w:eastAsia="zh-CN"/>
        </w:rPr>
        <w:t>五</w:t>
      </w:r>
      <w:r>
        <w:rPr>
          <w:rFonts w:hint="eastAsia" w:ascii="宋体" w:hAnsi="宋体" w:eastAsia="宋体" w:cs="宋体"/>
          <w:b/>
          <w:color w:val="auto"/>
          <w:sz w:val="24"/>
          <w:shd w:val="clear" w:color="auto" w:fill="FFFFFF"/>
        </w:rPr>
        <w:t>、考核要求</w:t>
      </w:r>
    </w:p>
    <w:p w14:paraId="46557EEB">
      <w:pPr>
        <w:snapToGrid w:val="0"/>
        <w:spacing w:line="360" w:lineRule="auto"/>
        <w:ind w:firstLine="424" w:firstLineChars="177"/>
        <w:rPr>
          <w:rFonts w:hint="eastAsia" w:ascii="宋体" w:hAnsi="宋体" w:eastAsia="宋体" w:cs="宋体"/>
          <w:b w:val="0"/>
          <w:bCs/>
          <w:color w:val="auto"/>
          <w:sz w:val="24"/>
          <w:shd w:val="clear" w:color="auto" w:fill="FFFFFF"/>
        </w:rPr>
      </w:pPr>
      <w:r>
        <w:rPr>
          <w:rFonts w:hint="eastAsia" w:ascii="宋体" w:hAnsi="宋体" w:eastAsia="宋体" w:cs="宋体"/>
          <w:b w:val="0"/>
          <w:bCs/>
          <w:color w:val="auto"/>
          <w:sz w:val="24"/>
          <w:shd w:val="clear" w:color="auto" w:fill="FFFFFF"/>
        </w:rPr>
        <w:t>招标（交易）中心每季度对</w:t>
      </w:r>
      <w:r>
        <w:rPr>
          <w:rFonts w:hint="eastAsia" w:ascii="宋体" w:hAnsi="宋体" w:eastAsia="宋体" w:cs="宋体"/>
          <w:b w:val="0"/>
          <w:bCs/>
          <w:color w:val="auto"/>
          <w:sz w:val="24"/>
          <w:shd w:val="clear" w:color="auto" w:fill="FFFFFF"/>
          <w:lang w:val="en-US" w:eastAsia="zh-CN"/>
        </w:rPr>
        <w:t>中标</w:t>
      </w:r>
      <w:r>
        <w:rPr>
          <w:rFonts w:hint="eastAsia" w:ascii="宋体" w:hAnsi="宋体" w:eastAsia="宋体" w:cs="宋体"/>
          <w:b w:val="0"/>
          <w:bCs/>
          <w:color w:val="auto"/>
          <w:sz w:val="24"/>
          <w:shd w:val="clear" w:color="auto" w:fill="FFFFFF"/>
        </w:rPr>
        <w:t>单位的服务情况进行抽查考评，年度内出现2次（含）以上的考评分值低于60分的，有权单方面终止合同。</w:t>
      </w:r>
    </w:p>
    <w:p w14:paraId="5625DEC6">
      <w:pPr>
        <w:adjustRightInd w:val="0"/>
        <w:snapToGrid w:val="0"/>
        <w:rPr>
          <w:rFonts w:hint="eastAsia" w:ascii="宋体" w:hAnsi="宋体" w:eastAsia="宋体" w:cs="宋体"/>
          <w:color w:val="auto"/>
          <w:sz w:val="28"/>
          <w:szCs w:val="28"/>
        </w:rPr>
      </w:pPr>
      <w:r>
        <w:rPr>
          <w:rFonts w:hint="eastAsia" w:ascii="宋体" w:hAnsi="宋体" w:eastAsia="宋体" w:cs="宋体"/>
          <w:b w:val="0"/>
          <w:bCs/>
          <w:color w:val="auto"/>
          <w:sz w:val="24"/>
          <w:shd w:val="clear" w:color="auto" w:fill="FFFFFF"/>
        </w:rPr>
        <w:br w:type="page"/>
      </w:r>
      <w:r>
        <w:rPr>
          <w:rFonts w:hint="eastAsia" w:ascii="宋体" w:hAnsi="宋体" w:eastAsia="宋体" w:cs="宋体"/>
          <w:color w:val="auto"/>
          <w:sz w:val="28"/>
          <w:szCs w:val="28"/>
        </w:rPr>
        <w:t>附件：</w:t>
      </w:r>
    </w:p>
    <w:p w14:paraId="0F4BDCE1">
      <w:pPr>
        <w:pStyle w:val="5"/>
        <w:adjustRightInd w:val="0"/>
        <w:snapToGrid w:val="0"/>
        <w:spacing w:beforeLines="0" w:afterLines="0" w:line="360" w:lineRule="auto"/>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招标代理机构考评表</w:t>
      </w:r>
    </w:p>
    <w:tbl>
      <w:tblPr>
        <w:tblStyle w:val="10"/>
        <w:tblW w:w="5000"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30"/>
        <w:gridCol w:w="1228"/>
        <w:gridCol w:w="342"/>
        <w:gridCol w:w="752"/>
        <w:gridCol w:w="1092"/>
        <w:gridCol w:w="2401"/>
        <w:gridCol w:w="1117"/>
        <w:gridCol w:w="840"/>
      </w:tblGrid>
      <w:tr w14:paraId="3E9241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62" w:hRule="atLeast"/>
          <w:jc w:val="center"/>
        </w:trPr>
        <w:tc>
          <w:tcPr>
            <w:tcW w:w="1795" w:type="pct"/>
            <w:gridSpan w:val="4"/>
            <w:tcBorders>
              <w:top w:val="single" w:color="000000" w:sz="12" w:space="0"/>
              <w:left w:val="single" w:color="000000" w:sz="12" w:space="0"/>
              <w:bottom w:val="single" w:color="000000" w:sz="6" w:space="0"/>
              <w:right w:val="single" w:color="000000" w:sz="6" w:space="0"/>
            </w:tcBorders>
            <w:shd w:val="clear" w:color="auto" w:fill="auto"/>
            <w:noWrap w:val="0"/>
            <w:tcMar>
              <w:top w:w="0" w:type="dxa"/>
              <w:left w:w="95" w:type="dxa"/>
              <w:bottom w:w="0" w:type="dxa"/>
              <w:right w:w="95" w:type="dxa"/>
            </w:tcMar>
            <w:vAlign w:val="center"/>
          </w:tcPr>
          <w:p w14:paraId="6632A056">
            <w:pPr>
              <w:widowControl/>
              <w:adjustRightInd w:val="0"/>
              <w:snapToGrid w:val="0"/>
              <w:rPr>
                <w:rFonts w:hint="eastAsia" w:ascii="宋体" w:hAnsi="宋体" w:eastAsia="宋体" w:cs="宋体"/>
                <w:color w:val="auto"/>
                <w:kern w:val="0"/>
              </w:rPr>
            </w:pPr>
            <w:r>
              <w:rPr>
                <w:rFonts w:hint="eastAsia" w:ascii="宋体" w:hAnsi="宋体" w:eastAsia="宋体" w:cs="宋体"/>
                <w:b/>
                <w:bCs/>
                <w:color w:val="auto"/>
                <w:kern w:val="0"/>
              </w:rPr>
              <w:t>招标代理机构</w:t>
            </w:r>
          </w:p>
        </w:tc>
        <w:tc>
          <w:tcPr>
            <w:tcW w:w="3205" w:type="pct"/>
            <w:gridSpan w:val="4"/>
            <w:tcBorders>
              <w:top w:val="single" w:color="000000" w:sz="12" w:space="0"/>
              <w:left w:val="nil"/>
              <w:bottom w:val="single" w:color="000000" w:sz="6" w:space="0"/>
              <w:right w:val="single" w:color="000000" w:sz="12" w:space="0"/>
            </w:tcBorders>
            <w:shd w:val="clear" w:color="auto" w:fill="auto"/>
            <w:noWrap w:val="0"/>
            <w:tcMar>
              <w:top w:w="0" w:type="dxa"/>
              <w:left w:w="95" w:type="dxa"/>
              <w:bottom w:w="0" w:type="dxa"/>
              <w:right w:w="95" w:type="dxa"/>
            </w:tcMar>
            <w:vAlign w:val="center"/>
          </w:tcPr>
          <w:p w14:paraId="4A145794">
            <w:pPr>
              <w:widowControl/>
              <w:adjustRightInd w:val="0"/>
              <w:snapToGrid w:val="0"/>
              <w:rPr>
                <w:rFonts w:hint="eastAsia" w:ascii="宋体" w:hAnsi="宋体" w:eastAsia="宋体" w:cs="宋体"/>
                <w:color w:val="auto"/>
                <w:kern w:val="0"/>
              </w:rPr>
            </w:pPr>
          </w:p>
        </w:tc>
      </w:tr>
      <w:tr w14:paraId="7A17C88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62" w:hRule="atLeast"/>
          <w:jc w:val="center"/>
        </w:trPr>
        <w:tc>
          <w:tcPr>
            <w:tcW w:w="1795" w:type="pct"/>
            <w:gridSpan w:val="4"/>
            <w:tcBorders>
              <w:top w:val="nil"/>
              <w:left w:val="single" w:color="000000" w:sz="12" w:space="0"/>
              <w:bottom w:val="single" w:color="000000" w:sz="6" w:space="0"/>
              <w:right w:val="single" w:color="000000" w:sz="6" w:space="0"/>
            </w:tcBorders>
            <w:shd w:val="clear" w:color="auto" w:fill="auto"/>
            <w:noWrap w:val="0"/>
            <w:tcMar>
              <w:top w:w="0" w:type="dxa"/>
              <w:left w:w="95" w:type="dxa"/>
              <w:bottom w:w="0" w:type="dxa"/>
              <w:right w:w="95" w:type="dxa"/>
            </w:tcMar>
            <w:vAlign w:val="center"/>
          </w:tcPr>
          <w:p w14:paraId="22420467">
            <w:pPr>
              <w:widowControl/>
              <w:adjustRightInd w:val="0"/>
              <w:snapToGrid w:val="0"/>
              <w:rPr>
                <w:rFonts w:hint="eastAsia" w:ascii="宋体" w:hAnsi="宋体" w:eastAsia="宋体" w:cs="宋体"/>
                <w:color w:val="auto"/>
                <w:kern w:val="0"/>
              </w:rPr>
            </w:pPr>
            <w:r>
              <w:rPr>
                <w:rFonts w:hint="eastAsia" w:ascii="宋体" w:hAnsi="宋体" w:eastAsia="宋体" w:cs="宋体"/>
                <w:b/>
                <w:bCs/>
                <w:color w:val="auto"/>
                <w:kern w:val="0"/>
              </w:rPr>
              <w:t>项目名称</w:t>
            </w:r>
          </w:p>
        </w:tc>
        <w:tc>
          <w:tcPr>
            <w:tcW w:w="3205" w:type="pct"/>
            <w:gridSpan w:val="4"/>
            <w:tcBorders>
              <w:top w:val="nil"/>
              <w:left w:val="nil"/>
              <w:bottom w:val="single" w:color="000000" w:sz="6" w:space="0"/>
              <w:right w:val="single" w:color="000000" w:sz="12" w:space="0"/>
            </w:tcBorders>
            <w:shd w:val="clear" w:color="auto" w:fill="auto"/>
            <w:noWrap w:val="0"/>
            <w:tcMar>
              <w:top w:w="0" w:type="dxa"/>
              <w:left w:w="95" w:type="dxa"/>
              <w:bottom w:w="0" w:type="dxa"/>
              <w:right w:w="95" w:type="dxa"/>
            </w:tcMar>
            <w:vAlign w:val="center"/>
          </w:tcPr>
          <w:p w14:paraId="74EBDE0A">
            <w:pPr>
              <w:widowControl/>
              <w:adjustRightInd w:val="0"/>
              <w:snapToGrid w:val="0"/>
              <w:rPr>
                <w:rFonts w:hint="eastAsia" w:ascii="宋体" w:hAnsi="宋体" w:eastAsia="宋体" w:cs="宋体"/>
                <w:color w:val="auto"/>
                <w:kern w:val="0"/>
              </w:rPr>
            </w:pPr>
          </w:p>
        </w:tc>
      </w:tr>
      <w:tr w14:paraId="546E56E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62" w:hRule="atLeast"/>
          <w:jc w:val="center"/>
        </w:trPr>
        <w:tc>
          <w:tcPr>
            <w:tcW w:w="1795" w:type="pct"/>
            <w:gridSpan w:val="4"/>
            <w:tcBorders>
              <w:top w:val="nil"/>
              <w:left w:val="single" w:color="000000" w:sz="12" w:space="0"/>
              <w:bottom w:val="single" w:color="000000" w:sz="6" w:space="0"/>
              <w:right w:val="single" w:color="000000" w:sz="6" w:space="0"/>
            </w:tcBorders>
            <w:shd w:val="clear" w:color="auto" w:fill="auto"/>
            <w:noWrap w:val="0"/>
            <w:tcMar>
              <w:top w:w="0" w:type="dxa"/>
              <w:left w:w="95" w:type="dxa"/>
              <w:bottom w:w="0" w:type="dxa"/>
              <w:right w:w="95" w:type="dxa"/>
            </w:tcMar>
            <w:vAlign w:val="center"/>
          </w:tcPr>
          <w:p w14:paraId="3E70B2E9">
            <w:pPr>
              <w:widowControl/>
              <w:adjustRightInd w:val="0"/>
              <w:snapToGrid w:val="0"/>
              <w:rPr>
                <w:rFonts w:hint="eastAsia" w:ascii="宋体" w:hAnsi="宋体" w:eastAsia="宋体" w:cs="宋体"/>
                <w:color w:val="auto"/>
                <w:kern w:val="0"/>
              </w:rPr>
            </w:pPr>
            <w:r>
              <w:rPr>
                <w:rFonts w:hint="eastAsia" w:ascii="宋体" w:hAnsi="宋体" w:eastAsia="宋体" w:cs="宋体"/>
                <w:b/>
                <w:bCs/>
                <w:color w:val="auto"/>
                <w:kern w:val="0"/>
              </w:rPr>
              <w:t>项目编号</w:t>
            </w:r>
          </w:p>
        </w:tc>
        <w:tc>
          <w:tcPr>
            <w:tcW w:w="3205" w:type="pct"/>
            <w:gridSpan w:val="4"/>
            <w:tcBorders>
              <w:top w:val="nil"/>
              <w:left w:val="nil"/>
              <w:bottom w:val="single" w:color="000000" w:sz="6" w:space="0"/>
              <w:right w:val="single" w:color="000000" w:sz="12" w:space="0"/>
            </w:tcBorders>
            <w:shd w:val="clear" w:color="auto" w:fill="auto"/>
            <w:noWrap w:val="0"/>
            <w:tcMar>
              <w:top w:w="0" w:type="dxa"/>
              <w:left w:w="95" w:type="dxa"/>
              <w:bottom w:w="0" w:type="dxa"/>
              <w:right w:w="95" w:type="dxa"/>
            </w:tcMar>
            <w:vAlign w:val="center"/>
          </w:tcPr>
          <w:p w14:paraId="02C14121">
            <w:pPr>
              <w:widowControl/>
              <w:adjustRightInd w:val="0"/>
              <w:snapToGrid w:val="0"/>
              <w:rPr>
                <w:rFonts w:hint="eastAsia" w:ascii="宋体" w:hAnsi="宋体" w:eastAsia="宋体" w:cs="宋体"/>
                <w:color w:val="auto"/>
                <w:kern w:val="0"/>
              </w:rPr>
            </w:pPr>
          </w:p>
        </w:tc>
      </w:tr>
      <w:tr w14:paraId="20B3DFF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1" w:hRule="atLeast"/>
          <w:jc w:val="center"/>
        </w:trPr>
        <w:tc>
          <w:tcPr>
            <w:tcW w:w="5000" w:type="pct"/>
            <w:gridSpan w:val="8"/>
            <w:tcBorders>
              <w:top w:val="nil"/>
              <w:left w:val="single" w:color="000000" w:sz="12" w:space="0"/>
              <w:bottom w:val="single" w:color="auto" w:sz="4" w:space="0"/>
              <w:right w:val="single" w:color="000000" w:sz="12" w:space="0"/>
            </w:tcBorders>
            <w:shd w:val="clear" w:color="auto" w:fill="auto"/>
            <w:noWrap w:val="0"/>
            <w:tcMar>
              <w:top w:w="0" w:type="dxa"/>
              <w:left w:w="95" w:type="dxa"/>
              <w:bottom w:w="0" w:type="dxa"/>
              <w:right w:w="95" w:type="dxa"/>
            </w:tcMar>
            <w:vAlign w:val="top"/>
          </w:tcPr>
          <w:p w14:paraId="4027301E">
            <w:pPr>
              <w:adjustRightInd w:val="0"/>
              <w:snapToGrid w:val="0"/>
              <w:jc w:val="left"/>
              <w:rPr>
                <w:rFonts w:hint="eastAsia" w:ascii="宋体" w:hAnsi="宋体" w:eastAsia="宋体" w:cs="宋体"/>
                <w:color w:val="auto"/>
                <w:kern w:val="0"/>
              </w:rPr>
            </w:pPr>
            <w:r>
              <w:rPr>
                <w:rFonts w:hint="eastAsia" w:ascii="宋体" w:hAnsi="宋体" w:eastAsia="宋体" w:cs="宋体"/>
                <w:b/>
                <w:bCs/>
                <w:color w:val="auto"/>
                <w:kern w:val="0"/>
              </w:rPr>
              <w:t>服务质量评价：</w:t>
            </w:r>
            <w:r>
              <w:rPr>
                <w:rFonts w:hint="eastAsia" w:ascii="宋体" w:hAnsi="宋体" w:eastAsia="宋体" w:cs="宋体"/>
                <w:color w:val="auto"/>
                <w:kern w:val="0"/>
              </w:rPr>
              <w:t>(按相应考核内容和评分标准打分)</w:t>
            </w:r>
          </w:p>
        </w:tc>
      </w:tr>
      <w:tr w14:paraId="737F870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7" w:hRule="atLeast"/>
          <w:jc w:val="center"/>
        </w:trPr>
        <w:tc>
          <w:tcPr>
            <w:tcW w:w="430" w:type="pct"/>
            <w:tcBorders>
              <w:top w:val="single" w:color="auto" w:sz="4" w:space="0"/>
              <w:left w:val="single" w:color="000000" w:sz="12" w:space="0"/>
              <w:bottom w:val="single" w:color="auto" w:sz="4" w:space="0"/>
              <w:right w:val="single" w:color="auto" w:sz="4" w:space="0"/>
            </w:tcBorders>
            <w:shd w:val="clear" w:color="auto" w:fill="auto"/>
            <w:noWrap w:val="0"/>
            <w:tcMar>
              <w:top w:w="0" w:type="dxa"/>
              <w:left w:w="95" w:type="dxa"/>
              <w:bottom w:w="0" w:type="dxa"/>
              <w:right w:w="95" w:type="dxa"/>
            </w:tcMar>
            <w:vAlign w:val="center"/>
          </w:tcPr>
          <w:p w14:paraId="174EA178">
            <w:pPr>
              <w:adjustRightInd w:val="0"/>
              <w:snapToGrid w:val="0"/>
              <w:jc w:val="center"/>
              <w:rPr>
                <w:rFonts w:hint="eastAsia" w:ascii="宋体" w:hAnsi="宋体" w:eastAsia="宋体" w:cs="宋体"/>
                <w:b/>
                <w:bCs/>
                <w:color w:val="auto"/>
                <w:kern w:val="0"/>
              </w:rPr>
            </w:pPr>
            <w:r>
              <w:rPr>
                <w:rFonts w:hint="eastAsia" w:ascii="宋体" w:hAnsi="宋体" w:eastAsia="宋体" w:cs="宋体"/>
                <w:b/>
                <w:bCs/>
                <w:color w:val="auto"/>
                <w:kern w:val="0"/>
              </w:rPr>
              <w:t>序号</w:t>
            </w:r>
          </w:p>
        </w:tc>
        <w:tc>
          <w:tcPr>
            <w:tcW w:w="72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CE2F2A4">
            <w:pPr>
              <w:adjustRightInd w:val="0"/>
              <w:snapToGrid w:val="0"/>
              <w:ind w:firstLine="245"/>
              <w:jc w:val="center"/>
              <w:rPr>
                <w:rFonts w:hint="eastAsia" w:ascii="宋体" w:hAnsi="宋体" w:eastAsia="宋体" w:cs="宋体"/>
                <w:b/>
                <w:bCs/>
                <w:color w:val="auto"/>
                <w:kern w:val="0"/>
              </w:rPr>
            </w:pPr>
            <w:r>
              <w:rPr>
                <w:rFonts w:hint="eastAsia" w:ascii="宋体" w:hAnsi="宋体" w:eastAsia="宋体" w:cs="宋体"/>
                <w:b/>
                <w:bCs/>
                <w:color w:val="auto"/>
                <w:kern w:val="0"/>
              </w:rPr>
              <w:t>考核内容</w:t>
            </w:r>
          </w:p>
        </w:tc>
        <w:tc>
          <w:tcPr>
            <w:tcW w:w="3354" w:type="pct"/>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14:paraId="5B516AFE">
            <w:pPr>
              <w:adjustRightInd w:val="0"/>
              <w:snapToGrid w:val="0"/>
              <w:ind w:firstLine="245"/>
              <w:jc w:val="center"/>
              <w:rPr>
                <w:rFonts w:hint="eastAsia" w:ascii="宋体" w:hAnsi="宋体" w:eastAsia="宋体" w:cs="宋体"/>
                <w:b/>
                <w:bCs/>
                <w:color w:val="auto"/>
                <w:kern w:val="0"/>
              </w:rPr>
            </w:pPr>
            <w:r>
              <w:rPr>
                <w:rFonts w:hint="eastAsia" w:ascii="宋体" w:hAnsi="宋体" w:eastAsia="宋体" w:cs="宋体"/>
                <w:b/>
                <w:bCs/>
                <w:color w:val="auto"/>
                <w:kern w:val="0"/>
              </w:rPr>
              <w:t>评价标准和分值</w:t>
            </w:r>
          </w:p>
        </w:tc>
        <w:tc>
          <w:tcPr>
            <w:tcW w:w="494" w:type="pct"/>
            <w:tcBorders>
              <w:top w:val="single" w:color="auto" w:sz="4" w:space="0"/>
              <w:left w:val="single" w:color="auto" w:sz="4" w:space="0"/>
              <w:bottom w:val="single" w:color="auto" w:sz="4" w:space="0"/>
              <w:right w:val="single" w:color="000000" w:sz="12" w:space="0"/>
            </w:tcBorders>
            <w:shd w:val="clear" w:color="auto" w:fill="auto"/>
            <w:noWrap w:val="0"/>
            <w:vAlign w:val="center"/>
          </w:tcPr>
          <w:p w14:paraId="3B96B392">
            <w:pPr>
              <w:adjustRightInd w:val="0"/>
              <w:snapToGrid w:val="0"/>
              <w:jc w:val="center"/>
              <w:rPr>
                <w:rFonts w:hint="eastAsia" w:ascii="宋体" w:hAnsi="宋体" w:eastAsia="宋体" w:cs="宋体"/>
                <w:b/>
                <w:bCs/>
                <w:color w:val="auto"/>
                <w:kern w:val="0"/>
              </w:rPr>
            </w:pPr>
            <w:r>
              <w:rPr>
                <w:rFonts w:hint="eastAsia" w:ascii="宋体" w:hAnsi="宋体" w:eastAsia="宋体" w:cs="宋体"/>
                <w:b/>
                <w:bCs/>
                <w:color w:val="auto"/>
                <w:kern w:val="0"/>
              </w:rPr>
              <w:t>得分</w:t>
            </w:r>
          </w:p>
        </w:tc>
      </w:tr>
      <w:tr w14:paraId="31646F4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27" w:hRule="atLeast"/>
          <w:jc w:val="center"/>
        </w:trPr>
        <w:tc>
          <w:tcPr>
            <w:tcW w:w="430" w:type="pct"/>
            <w:tcBorders>
              <w:top w:val="single" w:color="auto" w:sz="4" w:space="0"/>
              <w:left w:val="single" w:color="000000" w:sz="12" w:space="0"/>
              <w:bottom w:val="single" w:color="auto" w:sz="4" w:space="0"/>
              <w:right w:val="single" w:color="auto" w:sz="4" w:space="0"/>
            </w:tcBorders>
            <w:shd w:val="clear" w:color="auto" w:fill="auto"/>
            <w:noWrap w:val="0"/>
            <w:tcMar>
              <w:top w:w="0" w:type="dxa"/>
              <w:left w:w="95" w:type="dxa"/>
              <w:bottom w:w="0" w:type="dxa"/>
              <w:right w:w="95" w:type="dxa"/>
            </w:tcMar>
            <w:vAlign w:val="top"/>
          </w:tcPr>
          <w:p w14:paraId="720A2F55">
            <w:pPr>
              <w:adjustRightInd w:val="0"/>
              <w:snapToGrid w:val="0"/>
              <w:ind w:firstLine="245"/>
              <w:jc w:val="center"/>
              <w:rPr>
                <w:rFonts w:hint="eastAsia" w:ascii="宋体" w:hAnsi="宋体" w:eastAsia="宋体" w:cs="宋体"/>
                <w:color w:val="auto"/>
                <w:kern w:val="0"/>
              </w:rPr>
            </w:pPr>
            <w:r>
              <w:rPr>
                <w:rFonts w:hint="eastAsia" w:ascii="宋体" w:hAnsi="宋体" w:eastAsia="宋体" w:cs="宋体"/>
                <w:color w:val="auto"/>
                <w:kern w:val="0"/>
              </w:rPr>
              <w:t>1</w:t>
            </w:r>
          </w:p>
        </w:tc>
        <w:tc>
          <w:tcPr>
            <w:tcW w:w="722"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2ED9B42E">
            <w:pPr>
              <w:adjustRightInd w:val="0"/>
              <w:snapToGrid w:val="0"/>
              <w:jc w:val="left"/>
              <w:rPr>
                <w:rFonts w:hint="eastAsia" w:ascii="宋体" w:hAnsi="宋体" w:eastAsia="宋体" w:cs="宋体"/>
                <w:b/>
                <w:bCs/>
                <w:color w:val="auto"/>
                <w:kern w:val="0"/>
              </w:rPr>
            </w:pPr>
            <w:r>
              <w:rPr>
                <w:rFonts w:hint="eastAsia" w:ascii="宋体" w:hAnsi="宋体" w:eastAsia="宋体" w:cs="宋体"/>
                <w:color w:val="auto"/>
                <w:kern w:val="0"/>
              </w:rPr>
              <w:t>招标文件的编制水平</w:t>
            </w:r>
          </w:p>
        </w:tc>
        <w:tc>
          <w:tcPr>
            <w:tcW w:w="3354" w:type="pct"/>
            <w:gridSpan w:val="5"/>
            <w:tcBorders>
              <w:top w:val="single" w:color="auto" w:sz="4" w:space="0"/>
              <w:left w:val="single" w:color="auto" w:sz="4" w:space="0"/>
              <w:bottom w:val="single" w:color="auto" w:sz="4" w:space="0"/>
              <w:right w:val="single" w:color="auto" w:sz="4" w:space="0"/>
            </w:tcBorders>
            <w:shd w:val="clear" w:color="auto" w:fill="auto"/>
            <w:noWrap w:val="0"/>
            <w:vAlign w:val="top"/>
          </w:tcPr>
          <w:p w14:paraId="299C3E43">
            <w:pPr>
              <w:adjustRightInd w:val="0"/>
              <w:snapToGrid w:val="0"/>
              <w:rPr>
                <w:rFonts w:hint="eastAsia" w:ascii="宋体" w:hAnsi="宋体" w:eastAsia="宋体" w:cs="宋体"/>
                <w:b/>
                <w:bCs/>
                <w:color w:val="auto"/>
                <w:kern w:val="0"/>
              </w:rPr>
            </w:pPr>
            <w:r>
              <w:rPr>
                <w:rFonts w:hint="eastAsia" w:ascii="宋体" w:hAnsi="宋体" w:eastAsia="宋体" w:cs="宋体"/>
                <w:color w:val="auto"/>
                <w:kern w:val="0"/>
              </w:rPr>
              <w:t>根据招标人提供的采购需求，结合国家法律法规和集团内控要求，保质保量，准时、准确的完成采购文件编制工作。满意得15-20分；基本满意得10-15分；不满意得5-10分；很不满意0-5分（0-20分）</w:t>
            </w:r>
          </w:p>
        </w:tc>
        <w:tc>
          <w:tcPr>
            <w:tcW w:w="494" w:type="pct"/>
            <w:tcBorders>
              <w:top w:val="single" w:color="auto" w:sz="4" w:space="0"/>
              <w:left w:val="single" w:color="auto" w:sz="4" w:space="0"/>
              <w:bottom w:val="single" w:color="auto" w:sz="4" w:space="0"/>
              <w:right w:val="single" w:color="000000" w:sz="12" w:space="0"/>
            </w:tcBorders>
            <w:shd w:val="clear" w:color="auto" w:fill="auto"/>
            <w:noWrap w:val="0"/>
            <w:vAlign w:val="top"/>
          </w:tcPr>
          <w:p w14:paraId="42613393">
            <w:pPr>
              <w:adjustRightInd w:val="0"/>
              <w:snapToGrid w:val="0"/>
              <w:ind w:firstLine="245"/>
              <w:jc w:val="left"/>
              <w:rPr>
                <w:rFonts w:hint="eastAsia" w:ascii="宋体" w:hAnsi="宋体" w:eastAsia="宋体" w:cs="宋体"/>
                <w:b/>
                <w:bCs/>
                <w:color w:val="auto"/>
                <w:kern w:val="0"/>
              </w:rPr>
            </w:pPr>
          </w:p>
        </w:tc>
      </w:tr>
      <w:tr w14:paraId="608C39A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5" w:hRule="atLeast"/>
          <w:jc w:val="center"/>
        </w:trPr>
        <w:tc>
          <w:tcPr>
            <w:tcW w:w="430" w:type="pct"/>
            <w:tcBorders>
              <w:top w:val="single" w:color="auto" w:sz="4" w:space="0"/>
              <w:left w:val="single" w:color="000000" w:sz="12" w:space="0"/>
              <w:bottom w:val="single" w:color="auto" w:sz="4" w:space="0"/>
              <w:right w:val="single" w:color="auto" w:sz="4" w:space="0"/>
            </w:tcBorders>
            <w:shd w:val="clear" w:color="auto" w:fill="auto"/>
            <w:noWrap w:val="0"/>
            <w:tcMar>
              <w:top w:w="0" w:type="dxa"/>
              <w:left w:w="95" w:type="dxa"/>
              <w:bottom w:w="0" w:type="dxa"/>
              <w:right w:w="95" w:type="dxa"/>
            </w:tcMar>
            <w:vAlign w:val="top"/>
          </w:tcPr>
          <w:p w14:paraId="6F0BA528">
            <w:pPr>
              <w:adjustRightInd w:val="0"/>
              <w:snapToGrid w:val="0"/>
              <w:jc w:val="center"/>
              <w:rPr>
                <w:rFonts w:hint="eastAsia" w:ascii="宋体" w:hAnsi="宋体" w:eastAsia="宋体" w:cs="宋体"/>
                <w:color w:val="auto"/>
                <w:kern w:val="0"/>
              </w:rPr>
            </w:pPr>
            <w:r>
              <w:rPr>
                <w:rFonts w:hint="eastAsia" w:ascii="宋体" w:hAnsi="宋体" w:eastAsia="宋体" w:cs="宋体"/>
                <w:color w:val="auto"/>
                <w:kern w:val="0"/>
              </w:rPr>
              <w:t>2</w:t>
            </w:r>
          </w:p>
        </w:tc>
        <w:tc>
          <w:tcPr>
            <w:tcW w:w="722"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2FD966B4">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开标、评标工作组织能力和水平</w:t>
            </w:r>
          </w:p>
        </w:tc>
        <w:tc>
          <w:tcPr>
            <w:tcW w:w="3354" w:type="pct"/>
            <w:gridSpan w:val="5"/>
            <w:tcBorders>
              <w:top w:val="single" w:color="auto" w:sz="4" w:space="0"/>
              <w:left w:val="single" w:color="auto" w:sz="4" w:space="0"/>
              <w:bottom w:val="single" w:color="auto" w:sz="4" w:space="0"/>
              <w:right w:val="single" w:color="auto" w:sz="4" w:space="0"/>
            </w:tcBorders>
            <w:shd w:val="clear" w:color="auto" w:fill="auto"/>
            <w:noWrap w:val="0"/>
            <w:vAlign w:val="top"/>
          </w:tcPr>
          <w:p w14:paraId="43A9B1E1">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根据国家法律法规和集团内控要求组织开标、评标工作，包括评审专家抽取、开标、唱标和评审过程的组织能力和水平。满意得15-20分；基本满意得10-15分；不满意得5-10分；很不满意0-5分（0-20分）</w:t>
            </w:r>
          </w:p>
        </w:tc>
        <w:tc>
          <w:tcPr>
            <w:tcW w:w="494" w:type="pct"/>
            <w:tcBorders>
              <w:top w:val="single" w:color="auto" w:sz="4" w:space="0"/>
              <w:left w:val="single" w:color="auto" w:sz="4" w:space="0"/>
              <w:bottom w:val="single" w:color="auto" w:sz="4" w:space="0"/>
              <w:right w:val="single" w:color="000000" w:sz="12" w:space="0"/>
            </w:tcBorders>
            <w:shd w:val="clear" w:color="auto" w:fill="auto"/>
            <w:noWrap w:val="0"/>
            <w:vAlign w:val="top"/>
          </w:tcPr>
          <w:p w14:paraId="57FD1985">
            <w:pPr>
              <w:adjustRightInd w:val="0"/>
              <w:snapToGrid w:val="0"/>
              <w:ind w:firstLine="638"/>
              <w:jc w:val="left"/>
              <w:rPr>
                <w:rFonts w:hint="eastAsia" w:ascii="宋体" w:hAnsi="宋体" w:eastAsia="宋体" w:cs="宋体"/>
                <w:color w:val="auto"/>
                <w:kern w:val="0"/>
              </w:rPr>
            </w:pPr>
          </w:p>
        </w:tc>
      </w:tr>
      <w:tr w14:paraId="18E0447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99" w:hRule="atLeast"/>
          <w:jc w:val="center"/>
        </w:trPr>
        <w:tc>
          <w:tcPr>
            <w:tcW w:w="430" w:type="pct"/>
            <w:tcBorders>
              <w:top w:val="single" w:color="auto" w:sz="4" w:space="0"/>
              <w:left w:val="single" w:color="000000" w:sz="12" w:space="0"/>
              <w:bottom w:val="single" w:color="auto" w:sz="4" w:space="0"/>
              <w:right w:val="single" w:color="auto" w:sz="4" w:space="0"/>
            </w:tcBorders>
            <w:shd w:val="clear" w:color="auto" w:fill="auto"/>
            <w:noWrap w:val="0"/>
            <w:tcMar>
              <w:top w:w="0" w:type="dxa"/>
              <w:left w:w="95" w:type="dxa"/>
              <w:bottom w:w="0" w:type="dxa"/>
              <w:right w:w="95" w:type="dxa"/>
            </w:tcMar>
            <w:vAlign w:val="top"/>
          </w:tcPr>
          <w:p w14:paraId="2B61C812">
            <w:pPr>
              <w:adjustRightInd w:val="0"/>
              <w:snapToGrid w:val="0"/>
              <w:jc w:val="center"/>
              <w:rPr>
                <w:rFonts w:hint="eastAsia" w:ascii="宋体" w:hAnsi="宋体" w:eastAsia="宋体" w:cs="宋体"/>
                <w:color w:val="auto"/>
                <w:kern w:val="0"/>
              </w:rPr>
            </w:pPr>
            <w:r>
              <w:rPr>
                <w:rFonts w:hint="eastAsia" w:ascii="宋体" w:hAnsi="宋体" w:eastAsia="宋体" w:cs="宋体"/>
                <w:color w:val="auto"/>
                <w:kern w:val="0"/>
              </w:rPr>
              <w:t>3</w:t>
            </w:r>
          </w:p>
        </w:tc>
        <w:tc>
          <w:tcPr>
            <w:tcW w:w="722"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4C7593DD">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工作效率</w:t>
            </w:r>
          </w:p>
        </w:tc>
        <w:tc>
          <w:tcPr>
            <w:tcW w:w="3354" w:type="pct"/>
            <w:gridSpan w:val="5"/>
            <w:tcBorders>
              <w:top w:val="single" w:color="auto" w:sz="4" w:space="0"/>
              <w:left w:val="single" w:color="auto" w:sz="4" w:space="0"/>
              <w:bottom w:val="single" w:color="auto" w:sz="4" w:space="0"/>
              <w:right w:val="single" w:color="auto" w:sz="4" w:space="0"/>
            </w:tcBorders>
            <w:shd w:val="clear" w:color="auto" w:fill="auto"/>
            <w:noWrap w:val="0"/>
            <w:vAlign w:val="top"/>
          </w:tcPr>
          <w:p w14:paraId="21AEA9B9">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根据招标人的采购需求，充分考虑人力、物力等资源的安排，能按招标人的计划要求保质保量完成招标和资料整理工作。满意得15-20分；基本满意得10-15分；不满意得5-10分；很不满意0-5分（0-20分）</w:t>
            </w:r>
          </w:p>
        </w:tc>
        <w:tc>
          <w:tcPr>
            <w:tcW w:w="494" w:type="pct"/>
            <w:tcBorders>
              <w:top w:val="single" w:color="auto" w:sz="4" w:space="0"/>
              <w:left w:val="single" w:color="auto" w:sz="4" w:space="0"/>
              <w:bottom w:val="single" w:color="auto" w:sz="4" w:space="0"/>
              <w:right w:val="single" w:color="000000" w:sz="12" w:space="0"/>
            </w:tcBorders>
            <w:shd w:val="clear" w:color="auto" w:fill="auto"/>
            <w:noWrap w:val="0"/>
            <w:vAlign w:val="top"/>
          </w:tcPr>
          <w:p w14:paraId="79884ED2">
            <w:pPr>
              <w:adjustRightInd w:val="0"/>
              <w:snapToGrid w:val="0"/>
              <w:ind w:firstLine="638"/>
              <w:jc w:val="left"/>
              <w:rPr>
                <w:rFonts w:hint="eastAsia" w:ascii="宋体" w:hAnsi="宋体" w:eastAsia="宋体" w:cs="宋体"/>
                <w:color w:val="auto"/>
                <w:kern w:val="0"/>
              </w:rPr>
            </w:pPr>
          </w:p>
        </w:tc>
      </w:tr>
      <w:tr w14:paraId="0EA9C43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1" w:hRule="atLeast"/>
          <w:jc w:val="center"/>
        </w:trPr>
        <w:tc>
          <w:tcPr>
            <w:tcW w:w="430" w:type="pct"/>
            <w:tcBorders>
              <w:top w:val="single" w:color="auto" w:sz="4" w:space="0"/>
              <w:left w:val="single" w:color="000000" w:sz="12" w:space="0"/>
              <w:bottom w:val="single" w:color="auto" w:sz="4" w:space="0"/>
              <w:right w:val="single" w:color="auto" w:sz="4" w:space="0"/>
            </w:tcBorders>
            <w:shd w:val="clear" w:color="auto" w:fill="auto"/>
            <w:noWrap w:val="0"/>
            <w:tcMar>
              <w:top w:w="0" w:type="dxa"/>
              <w:left w:w="95" w:type="dxa"/>
              <w:bottom w:w="0" w:type="dxa"/>
              <w:right w:w="95" w:type="dxa"/>
            </w:tcMar>
            <w:vAlign w:val="top"/>
          </w:tcPr>
          <w:p w14:paraId="6CE0E85F">
            <w:pPr>
              <w:adjustRightInd w:val="0"/>
              <w:snapToGrid w:val="0"/>
              <w:jc w:val="center"/>
              <w:rPr>
                <w:rFonts w:hint="eastAsia" w:ascii="宋体" w:hAnsi="宋体" w:eastAsia="宋体" w:cs="宋体"/>
                <w:color w:val="auto"/>
                <w:kern w:val="0"/>
              </w:rPr>
            </w:pPr>
            <w:r>
              <w:rPr>
                <w:rFonts w:hint="eastAsia" w:ascii="宋体" w:hAnsi="宋体" w:eastAsia="宋体" w:cs="宋体"/>
                <w:color w:val="auto"/>
                <w:kern w:val="0"/>
              </w:rPr>
              <w:t>4</w:t>
            </w:r>
          </w:p>
        </w:tc>
        <w:tc>
          <w:tcPr>
            <w:tcW w:w="722"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38F10E8C">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服务态度和水平</w:t>
            </w:r>
          </w:p>
        </w:tc>
        <w:tc>
          <w:tcPr>
            <w:tcW w:w="3354" w:type="pct"/>
            <w:gridSpan w:val="5"/>
            <w:tcBorders>
              <w:top w:val="single" w:color="auto" w:sz="4" w:space="0"/>
              <w:left w:val="single" w:color="auto" w:sz="4" w:space="0"/>
              <w:bottom w:val="single" w:color="auto" w:sz="4" w:space="0"/>
              <w:right w:val="single" w:color="auto" w:sz="4" w:space="0"/>
            </w:tcBorders>
            <w:shd w:val="clear" w:color="auto" w:fill="auto"/>
            <w:noWrap w:val="0"/>
            <w:vAlign w:val="top"/>
          </w:tcPr>
          <w:p w14:paraId="7CE671CB">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服务人员的态度、主观能动性和沟通能力。质疑和投诉等异常情况的处理。满意得15-20分；基本满意得10-15分；不满意得5-10分；很不满意0-5分（0-20分）</w:t>
            </w:r>
          </w:p>
        </w:tc>
        <w:tc>
          <w:tcPr>
            <w:tcW w:w="494" w:type="pct"/>
            <w:tcBorders>
              <w:top w:val="single" w:color="auto" w:sz="4" w:space="0"/>
              <w:left w:val="single" w:color="auto" w:sz="4" w:space="0"/>
              <w:bottom w:val="single" w:color="auto" w:sz="4" w:space="0"/>
              <w:right w:val="single" w:color="000000" w:sz="12" w:space="0"/>
            </w:tcBorders>
            <w:shd w:val="clear" w:color="auto" w:fill="auto"/>
            <w:noWrap w:val="0"/>
            <w:vAlign w:val="top"/>
          </w:tcPr>
          <w:p w14:paraId="55240043">
            <w:pPr>
              <w:adjustRightInd w:val="0"/>
              <w:snapToGrid w:val="0"/>
              <w:ind w:firstLine="638"/>
              <w:jc w:val="left"/>
              <w:rPr>
                <w:rFonts w:hint="eastAsia" w:ascii="宋体" w:hAnsi="宋体" w:eastAsia="宋体" w:cs="宋体"/>
                <w:color w:val="auto"/>
                <w:kern w:val="0"/>
              </w:rPr>
            </w:pPr>
          </w:p>
        </w:tc>
      </w:tr>
      <w:tr w14:paraId="0B43D28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7" w:hRule="atLeast"/>
          <w:jc w:val="center"/>
        </w:trPr>
        <w:tc>
          <w:tcPr>
            <w:tcW w:w="430" w:type="pct"/>
            <w:tcBorders>
              <w:top w:val="single" w:color="auto" w:sz="4" w:space="0"/>
              <w:left w:val="single" w:color="000000" w:sz="12" w:space="0"/>
              <w:bottom w:val="single" w:color="000000" w:sz="6" w:space="0"/>
              <w:right w:val="single" w:color="auto" w:sz="4" w:space="0"/>
            </w:tcBorders>
            <w:shd w:val="clear" w:color="auto" w:fill="auto"/>
            <w:noWrap w:val="0"/>
            <w:tcMar>
              <w:top w:w="0" w:type="dxa"/>
              <w:left w:w="95" w:type="dxa"/>
              <w:bottom w:w="0" w:type="dxa"/>
              <w:right w:w="95" w:type="dxa"/>
            </w:tcMar>
            <w:vAlign w:val="top"/>
          </w:tcPr>
          <w:p w14:paraId="0D931D4B">
            <w:pPr>
              <w:adjustRightInd w:val="0"/>
              <w:snapToGrid w:val="0"/>
              <w:jc w:val="center"/>
              <w:rPr>
                <w:rFonts w:hint="eastAsia" w:ascii="宋体" w:hAnsi="宋体" w:eastAsia="宋体" w:cs="宋体"/>
                <w:color w:val="auto"/>
                <w:kern w:val="0"/>
              </w:rPr>
            </w:pPr>
            <w:r>
              <w:rPr>
                <w:rFonts w:hint="eastAsia" w:ascii="宋体" w:hAnsi="宋体" w:eastAsia="宋体" w:cs="宋体"/>
                <w:color w:val="auto"/>
                <w:kern w:val="0"/>
              </w:rPr>
              <w:t>5</w:t>
            </w:r>
          </w:p>
        </w:tc>
        <w:tc>
          <w:tcPr>
            <w:tcW w:w="722" w:type="pct"/>
            <w:tcBorders>
              <w:top w:val="single" w:color="auto" w:sz="4" w:space="0"/>
              <w:left w:val="single" w:color="auto" w:sz="4" w:space="0"/>
              <w:bottom w:val="single" w:color="000000" w:sz="6" w:space="0"/>
              <w:right w:val="single" w:color="auto" w:sz="4" w:space="0"/>
            </w:tcBorders>
            <w:shd w:val="clear" w:color="auto" w:fill="auto"/>
            <w:noWrap w:val="0"/>
            <w:vAlign w:val="top"/>
          </w:tcPr>
          <w:p w14:paraId="5A340469">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建设性意见和合理化建议</w:t>
            </w:r>
          </w:p>
        </w:tc>
        <w:tc>
          <w:tcPr>
            <w:tcW w:w="3354" w:type="pct"/>
            <w:gridSpan w:val="5"/>
            <w:tcBorders>
              <w:top w:val="single" w:color="auto" w:sz="4" w:space="0"/>
              <w:left w:val="single" w:color="auto" w:sz="4" w:space="0"/>
              <w:bottom w:val="single" w:color="000000" w:sz="6" w:space="0"/>
              <w:right w:val="single" w:color="auto" w:sz="4" w:space="0"/>
            </w:tcBorders>
            <w:shd w:val="clear" w:color="auto" w:fill="auto"/>
            <w:noWrap w:val="0"/>
            <w:vAlign w:val="top"/>
          </w:tcPr>
          <w:p w14:paraId="52376C61">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就招标标的物、招标方式等采购项目的具体情况，根据自身行业经验提供建设性意见和合理化建议的能力满意得15-20分；基本满意得10-15分；不满意得5-10分；很不满意0-5分（0-20分）</w:t>
            </w:r>
          </w:p>
        </w:tc>
        <w:tc>
          <w:tcPr>
            <w:tcW w:w="494" w:type="pct"/>
            <w:tcBorders>
              <w:top w:val="single" w:color="auto" w:sz="4" w:space="0"/>
              <w:left w:val="single" w:color="auto" w:sz="4" w:space="0"/>
              <w:bottom w:val="single" w:color="000000" w:sz="6" w:space="0"/>
              <w:right w:val="single" w:color="000000" w:sz="12" w:space="0"/>
            </w:tcBorders>
            <w:shd w:val="clear" w:color="auto" w:fill="auto"/>
            <w:noWrap w:val="0"/>
            <w:vAlign w:val="top"/>
          </w:tcPr>
          <w:p w14:paraId="56EB344D">
            <w:pPr>
              <w:adjustRightInd w:val="0"/>
              <w:snapToGrid w:val="0"/>
              <w:ind w:firstLine="638"/>
              <w:jc w:val="left"/>
              <w:rPr>
                <w:rFonts w:hint="eastAsia" w:ascii="宋体" w:hAnsi="宋体" w:eastAsia="宋体" w:cs="宋体"/>
                <w:color w:val="auto"/>
                <w:kern w:val="0"/>
              </w:rPr>
            </w:pPr>
          </w:p>
          <w:p w14:paraId="5A02653F">
            <w:pPr>
              <w:adjustRightInd w:val="0"/>
              <w:snapToGrid w:val="0"/>
              <w:ind w:firstLine="638"/>
              <w:jc w:val="left"/>
              <w:rPr>
                <w:rFonts w:hint="eastAsia" w:ascii="宋体" w:hAnsi="宋体" w:eastAsia="宋体" w:cs="宋体"/>
                <w:color w:val="auto"/>
                <w:kern w:val="0"/>
              </w:rPr>
            </w:pPr>
          </w:p>
          <w:p w14:paraId="1DAFBC10">
            <w:pPr>
              <w:adjustRightInd w:val="0"/>
              <w:snapToGrid w:val="0"/>
              <w:ind w:firstLine="638"/>
              <w:jc w:val="left"/>
              <w:rPr>
                <w:rFonts w:hint="eastAsia" w:ascii="宋体" w:hAnsi="宋体" w:eastAsia="宋体" w:cs="宋体"/>
                <w:color w:val="auto"/>
                <w:kern w:val="0"/>
              </w:rPr>
            </w:pPr>
          </w:p>
          <w:p w14:paraId="61989C96">
            <w:pPr>
              <w:adjustRightInd w:val="0"/>
              <w:snapToGrid w:val="0"/>
              <w:ind w:firstLine="638"/>
              <w:jc w:val="left"/>
              <w:rPr>
                <w:rFonts w:hint="eastAsia" w:ascii="宋体" w:hAnsi="宋体" w:eastAsia="宋体" w:cs="宋体"/>
                <w:color w:val="auto"/>
                <w:kern w:val="0"/>
              </w:rPr>
            </w:pPr>
          </w:p>
          <w:p w14:paraId="098CE88F">
            <w:pPr>
              <w:adjustRightInd w:val="0"/>
              <w:snapToGrid w:val="0"/>
              <w:jc w:val="left"/>
              <w:rPr>
                <w:rFonts w:hint="eastAsia" w:ascii="宋体" w:hAnsi="宋体" w:eastAsia="宋体" w:cs="宋体"/>
                <w:color w:val="auto"/>
                <w:kern w:val="0"/>
              </w:rPr>
            </w:pPr>
          </w:p>
        </w:tc>
      </w:tr>
      <w:tr w14:paraId="24407E5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7" w:hRule="atLeast"/>
          <w:jc w:val="center"/>
        </w:trPr>
        <w:tc>
          <w:tcPr>
            <w:tcW w:w="430" w:type="pct"/>
            <w:tcBorders>
              <w:top w:val="single" w:color="auto" w:sz="4" w:space="0"/>
              <w:left w:val="single" w:color="000000" w:sz="12" w:space="0"/>
              <w:bottom w:val="single" w:color="000000" w:sz="6" w:space="0"/>
              <w:right w:val="single" w:color="auto" w:sz="4" w:space="0"/>
            </w:tcBorders>
            <w:shd w:val="clear" w:color="auto" w:fill="auto"/>
            <w:noWrap w:val="0"/>
            <w:tcMar>
              <w:top w:w="0" w:type="dxa"/>
              <w:left w:w="95" w:type="dxa"/>
              <w:bottom w:w="0" w:type="dxa"/>
              <w:right w:w="95" w:type="dxa"/>
            </w:tcMar>
            <w:vAlign w:val="top"/>
          </w:tcPr>
          <w:p w14:paraId="6149D669">
            <w:pPr>
              <w:adjustRightInd w:val="0"/>
              <w:snapToGrid w:val="0"/>
              <w:jc w:val="center"/>
              <w:rPr>
                <w:rFonts w:hint="eastAsia" w:ascii="宋体" w:hAnsi="宋体" w:eastAsia="宋体" w:cs="宋体"/>
                <w:color w:val="auto"/>
                <w:kern w:val="0"/>
              </w:rPr>
            </w:pPr>
            <w:r>
              <w:rPr>
                <w:rFonts w:hint="eastAsia" w:ascii="宋体" w:hAnsi="宋体" w:eastAsia="宋体" w:cs="宋体"/>
                <w:color w:val="auto"/>
                <w:kern w:val="0"/>
              </w:rPr>
              <w:t>6</w:t>
            </w:r>
          </w:p>
        </w:tc>
        <w:tc>
          <w:tcPr>
            <w:tcW w:w="722" w:type="pct"/>
            <w:tcBorders>
              <w:top w:val="single" w:color="auto" w:sz="4" w:space="0"/>
              <w:left w:val="single" w:color="auto" w:sz="4" w:space="0"/>
              <w:bottom w:val="single" w:color="000000" w:sz="6" w:space="0"/>
              <w:right w:val="single" w:color="auto" w:sz="4" w:space="0"/>
            </w:tcBorders>
            <w:shd w:val="clear" w:color="auto" w:fill="auto"/>
            <w:noWrap w:val="0"/>
            <w:vAlign w:val="top"/>
          </w:tcPr>
          <w:p w14:paraId="29CBEFB9">
            <w:p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投诉反馈</w:t>
            </w:r>
          </w:p>
        </w:tc>
        <w:tc>
          <w:tcPr>
            <w:tcW w:w="3354" w:type="pct"/>
            <w:gridSpan w:val="5"/>
            <w:tcBorders>
              <w:top w:val="single" w:color="auto" w:sz="4" w:space="0"/>
              <w:left w:val="single" w:color="auto" w:sz="4" w:space="0"/>
              <w:bottom w:val="single" w:color="000000" w:sz="6" w:space="0"/>
              <w:right w:val="single" w:color="auto" w:sz="4" w:space="0"/>
            </w:tcBorders>
            <w:shd w:val="clear" w:color="auto" w:fill="auto"/>
            <w:noWrap w:val="0"/>
            <w:vAlign w:val="top"/>
          </w:tcPr>
          <w:p w14:paraId="586F716A">
            <w:pPr>
              <w:numPr>
                <w:ilvl w:val="0"/>
                <w:numId w:val="5"/>
              </w:num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被省、市采购交易中心或行政主管部门提出批评、警告等的每次扣10分。</w:t>
            </w:r>
          </w:p>
          <w:p w14:paraId="39382788">
            <w:pPr>
              <w:numPr>
                <w:ilvl w:val="0"/>
                <w:numId w:val="5"/>
              </w:numPr>
              <w:adjustRightInd w:val="0"/>
              <w:snapToGrid w:val="0"/>
              <w:jc w:val="left"/>
              <w:rPr>
                <w:rFonts w:hint="eastAsia" w:ascii="宋体" w:hAnsi="宋体" w:eastAsia="宋体" w:cs="宋体"/>
                <w:color w:val="auto"/>
                <w:kern w:val="0"/>
              </w:rPr>
            </w:pPr>
            <w:r>
              <w:rPr>
                <w:rFonts w:hint="eastAsia" w:ascii="宋体" w:hAnsi="宋体" w:eastAsia="宋体" w:cs="宋体"/>
                <w:color w:val="auto"/>
                <w:kern w:val="0"/>
              </w:rPr>
              <w:t>被采购主体单位或供应商提出批评、投诉的，经核实情况属实的每次扣5~10分</w:t>
            </w:r>
          </w:p>
        </w:tc>
        <w:tc>
          <w:tcPr>
            <w:tcW w:w="494" w:type="pct"/>
            <w:tcBorders>
              <w:top w:val="single" w:color="auto" w:sz="4" w:space="0"/>
              <w:left w:val="single" w:color="auto" w:sz="4" w:space="0"/>
              <w:bottom w:val="single" w:color="000000" w:sz="6" w:space="0"/>
              <w:right w:val="single" w:color="000000" w:sz="12" w:space="0"/>
            </w:tcBorders>
            <w:shd w:val="clear" w:color="auto" w:fill="auto"/>
            <w:noWrap w:val="0"/>
            <w:vAlign w:val="top"/>
          </w:tcPr>
          <w:p w14:paraId="7471648B">
            <w:pPr>
              <w:adjustRightInd w:val="0"/>
              <w:snapToGrid w:val="0"/>
              <w:jc w:val="left"/>
              <w:rPr>
                <w:rFonts w:hint="eastAsia" w:ascii="宋体" w:hAnsi="宋体" w:eastAsia="宋体" w:cs="宋体"/>
                <w:color w:val="auto"/>
                <w:kern w:val="0"/>
              </w:rPr>
            </w:pPr>
          </w:p>
        </w:tc>
      </w:tr>
      <w:tr w14:paraId="37FE0F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60" w:hRule="atLeast"/>
          <w:jc w:val="center"/>
        </w:trPr>
        <w:tc>
          <w:tcPr>
            <w:tcW w:w="1353" w:type="pct"/>
            <w:gridSpan w:val="3"/>
            <w:tcBorders>
              <w:top w:val="nil"/>
              <w:left w:val="single" w:color="000000" w:sz="12" w:space="0"/>
              <w:bottom w:val="single" w:color="000000" w:sz="6" w:space="0"/>
              <w:right w:val="single" w:color="000000" w:sz="6" w:space="0"/>
            </w:tcBorders>
            <w:shd w:val="clear" w:color="auto" w:fill="auto"/>
            <w:noWrap w:val="0"/>
            <w:tcMar>
              <w:top w:w="0" w:type="dxa"/>
              <w:left w:w="95" w:type="dxa"/>
              <w:bottom w:w="0" w:type="dxa"/>
              <w:right w:w="95" w:type="dxa"/>
            </w:tcMar>
            <w:vAlign w:val="center"/>
          </w:tcPr>
          <w:p w14:paraId="674E5267">
            <w:pPr>
              <w:widowControl/>
              <w:adjustRightInd w:val="0"/>
              <w:snapToGrid w:val="0"/>
              <w:jc w:val="left"/>
              <w:rPr>
                <w:rFonts w:hint="eastAsia" w:ascii="宋体" w:hAnsi="宋体" w:eastAsia="宋体" w:cs="宋体"/>
                <w:color w:val="auto"/>
                <w:kern w:val="0"/>
              </w:rPr>
            </w:pPr>
            <w:r>
              <w:rPr>
                <w:rFonts w:hint="eastAsia" w:ascii="宋体" w:hAnsi="宋体" w:eastAsia="宋体" w:cs="宋体"/>
                <w:b/>
                <w:bCs/>
                <w:color w:val="auto"/>
                <w:kern w:val="0"/>
              </w:rPr>
              <w:t>本项目考评得分</w:t>
            </w:r>
          </w:p>
        </w:tc>
        <w:tc>
          <w:tcPr>
            <w:tcW w:w="1084" w:type="pct"/>
            <w:gridSpan w:val="2"/>
            <w:tcBorders>
              <w:top w:val="nil"/>
              <w:left w:val="nil"/>
              <w:bottom w:val="single" w:color="000000" w:sz="6" w:space="0"/>
              <w:right w:val="single" w:color="000000" w:sz="12" w:space="0"/>
            </w:tcBorders>
            <w:shd w:val="clear" w:color="auto" w:fill="auto"/>
            <w:noWrap w:val="0"/>
            <w:tcMar>
              <w:top w:w="0" w:type="dxa"/>
              <w:left w:w="95" w:type="dxa"/>
              <w:bottom w:w="0" w:type="dxa"/>
              <w:right w:w="95" w:type="dxa"/>
            </w:tcMar>
            <w:vAlign w:val="center"/>
          </w:tcPr>
          <w:p w14:paraId="252528EC">
            <w:pPr>
              <w:widowControl/>
              <w:adjustRightInd w:val="0"/>
              <w:snapToGrid w:val="0"/>
              <w:jc w:val="left"/>
              <w:rPr>
                <w:rFonts w:hint="eastAsia" w:ascii="宋体" w:hAnsi="宋体" w:eastAsia="宋体" w:cs="宋体"/>
                <w:color w:val="auto"/>
                <w:kern w:val="0"/>
              </w:rPr>
            </w:pPr>
          </w:p>
        </w:tc>
        <w:tc>
          <w:tcPr>
            <w:tcW w:w="1412" w:type="pct"/>
            <w:tcBorders>
              <w:top w:val="nil"/>
              <w:left w:val="nil"/>
              <w:bottom w:val="single" w:color="000000" w:sz="6" w:space="0"/>
              <w:right w:val="single" w:color="000000" w:sz="12" w:space="0"/>
            </w:tcBorders>
            <w:shd w:val="clear" w:color="auto" w:fill="auto"/>
            <w:noWrap w:val="0"/>
            <w:tcMar>
              <w:top w:w="0" w:type="dxa"/>
              <w:left w:w="95" w:type="dxa"/>
              <w:bottom w:w="0" w:type="dxa"/>
              <w:right w:w="95" w:type="dxa"/>
            </w:tcMar>
            <w:vAlign w:val="center"/>
          </w:tcPr>
          <w:p w14:paraId="40268D76">
            <w:pPr>
              <w:widowControl/>
              <w:adjustRightInd w:val="0"/>
              <w:snapToGrid w:val="0"/>
              <w:jc w:val="left"/>
              <w:rPr>
                <w:rFonts w:hint="eastAsia" w:ascii="宋体" w:hAnsi="宋体" w:eastAsia="宋体" w:cs="宋体"/>
                <w:color w:val="auto"/>
                <w:kern w:val="0"/>
              </w:rPr>
            </w:pPr>
            <w:r>
              <w:rPr>
                <w:rFonts w:hint="eastAsia" w:ascii="宋体" w:hAnsi="宋体" w:eastAsia="宋体" w:cs="宋体"/>
                <w:b/>
                <w:bCs/>
                <w:color w:val="auto"/>
                <w:kern w:val="0"/>
              </w:rPr>
              <w:t>本项目考评时间</w:t>
            </w:r>
          </w:p>
        </w:tc>
        <w:tc>
          <w:tcPr>
            <w:tcW w:w="1151" w:type="pct"/>
            <w:gridSpan w:val="2"/>
            <w:tcBorders>
              <w:top w:val="nil"/>
              <w:left w:val="nil"/>
              <w:bottom w:val="single" w:color="000000" w:sz="6" w:space="0"/>
              <w:right w:val="single" w:color="000000" w:sz="12" w:space="0"/>
            </w:tcBorders>
            <w:shd w:val="clear" w:color="auto" w:fill="auto"/>
            <w:noWrap w:val="0"/>
            <w:tcMar>
              <w:top w:w="0" w:type="dxa"/>
              <w:left w:w="95" w:type="dxa"/>
              <w:bottom w:w="0" w:type="dxa"/>
              <w:right w:w="95" w:type="dxa"/>
            </w:tcMar>
            <w:vAlign w:val="center"/>
          </w:tcPr>
          <w:p w14:paraId="16A1B39B">
            <w:pPr>
              <w:widowControl/>
              <w:adjustRightInd w:val="0"/>
              <w:snapToGrid w:val="0"/>
              <w:jc w:val="left"/>
              <w:rPr>
                <w:rFonts w:hint="eastAsia" w:ascii="宋体" w:hAnsi="宋体" w:eastAsia="宋体" w:cs="宋体"/>
                <w:color w:val="auto"/>
                <w:kern w:val="0"/>
              </w:rPr>
            </w:pPr>
          </w:p>
        </w:tc>
      </w:tr>
      <w:tr w14:paraId="1682C55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5000" w:type="pct"/>
            <w:gridSpan w:val="8"/>
            <w:tcBorders>
              <w:top w:val="nil"/>
              <w:left w:val="single" w:color="000000" w:sz="12" w:space="0"/>
              <w:bottom w:val="single" w:color="000000" w:sz="12" w:space="0"/>
              <w:right w:val="single" w:color="000000" w:sz="12" w:space="0"/>
            </w:tcBorders>
            <w:shd w:val="clear" w:color="auto" w:fill="auto"/>
            <w:noWrap w:val="0"/>
            <w:tcMar>
              <w:top w:w="0" w:type="dxa"/>
              <w:left w:w="95" w:type="dxa"/>
              <w:bottom w:w="0" w:type="dxa"/>
              <w:right w:w="95" w:type="dxa"/>
            </w:tcMar>
            <w:vAlign w:val="top"/>
          </w:tcPr>
          <w:p w14:paraId="6669C1EE">
            <w:pPr>
              <w:widowControl/>
              <w:adjustRightInd w:val="0"/>
              <w:snapToGrid w:val="0"/>
              <w:jc w:val="left"/>
              <w:rPr>
                <w:rFonts w:hint="eastAsia" w:ascii="宋体" w:hAnsi="宋体" w:eastAsia="宋体" w:cs="宋体"/>
                <w:color w:val="auto"/>
                <w:kern w:val="0"/>
              </w:rPr>
            </w:pPr>
            <w:r>
              <w:rPr>
                <w:rFonts w:hint="eastAsia" w:ascii="宋体" w:hAnsi="宋体" w:eastAsia="宋体" w:cs="宋体"/>
                <w:b/>
                <w:bCs/>
                <w:color w:val="auto"/>
                <w:kern w:val="0"/>
              </w:rPr>
              <w:t>评价人（签字）：</w:t>
            </w:r>
          </w:p>
        </w:tc>
      </w:tr>
    </w:tbl>
    <w:p w14:paraId="30EEB0DA">
      <w:pPr>
        <w:adjustRightInd w:val="0"/>
        <w:snapToGrid w:val="0"/>
        <w:rPr>
          <w:rFonts w:hint="eastAsia" w:ascii="宋体" w:hAnsi="宋体" w:eastAsia="宋体" w:cs="宋体"/>
          <w:color w:val="auto"/>
          <w:sz w:val="28"/>
          <w:szCs w:val="28"/>
        </w:rPr>
      </w:pPr>
      <w:r>
        <w:rPr>
          <w:rFonts w:hint="eastAsia" w:ascii="宋体" w:hAnsi="宋体" w:eastAsia="宋体" w:cs="宋体"/>
          <w:color w:val="auto"/>
          <w:sz w:val="28"/>
          <w:szCs w:val="28"/>
        </w:rPr>
        <w:br w:type="page"/>
      </w:r>
      <w:r>
        <w:rPr>
          <w:rFonts w:hint="eastAsia" w:ascii="宋体" w:hAnsi="宋体" w:eastAsia="宋体" w:cs="宋体"/>
          <w:color w:val="auto"/>
          <w:sz w:val="28"/>
          <w:szCs w:val="28"/>
        </w:rPr>
        <w:t>附件：</w:t>
      </w:r>
    </w:p>
    <w:p w14:paraId="70DE25EC">
      <w:pPr>
        <w:adjustRightInd w:val="0"/>
        <w:snapToGrid w:val="0"/>
        <w:jc w:val="center"/>
        <w:rPr>
          <w:rFonts w:hint="eastAsia" w:ascii="宋体" w:hAnsi="宋体" w:eastAsia="宋体" w:cs="宋体"/>
          <w:color w:val="auto"/>
          <w:szCs w:val="32"/>
        </w:rPr>
      </w:pPr>
      <w:r>
        <w:rPr>
          <w:rFonts w:hint="eastAsia" w:ascii="宋体" w:hAnsi="宋体" w:eastAsia="宋体" w:cs="宋体"/>
          <w:b/>
          <w:bCs/>
          <w:color w:val="auto"/>
          <w:sz w:val="30"/>
          <w:szCs w:val="30"/>
        </w:rPr>
        <w:t>监管项目归档资料清单</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5"/>
        <w:gridCol w:w="4133"/>
        <w:gridCol w:w="2790"/>
      </w:tblGrid>
      <w:tr w14:paraId="224D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3E676632">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序 号</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73A9BF2A">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资 料 名 称</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033ACDA7">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备 注</w:t>
            </w:r>
          </w:p>
        </w:tc>
      </w:tr>
      <w:tr w14:paraId="592F7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2C3629DB">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0DE61C1E">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招标公告备案表/招标公告</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2CE64E5B">
            <w:pPr>
              <w:widowControl/>
              <w:adjustRightInd w:val="0"/>
              <w:snapToGrid w:val="0"/>
              <w:jc w:val="left"/>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OA审批意见下载打印</w:t>
            </w:r>
          </w:p>
        </w:tc>
      </w:tr>
      <w:tr w14:paraId="19949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75D2456E">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2</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0BCEB532">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招标文件</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4862E405">
            <w:pPr>
              <w:adjustRightInd w:val="0"/>
              <w:snapToGrid w:val="0"/>
              <w:jc w:val="center"/>
              <w:rPr>
                <w:rFonts w:hint="eastAsia" w:ascii="宋体" w:hAnsi="宋体" w:eastAsia="宋体" w:cs="宋体"/>
                <w:bCs/>
                <w:snapToGrid w:val="0"/>
                <w:color w:val="auto"/>
                <w:sz w:val="28"/>
                <w:szCs w:val="28"/>
              </w:rPr>
            </w:pPr>
          </w:p>
        </w:tc>
      </w:tr>
      <w:tr w14:paraId="336F8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190C0798">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3</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49C5A37C">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招标文件澄清及签收单</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48EA887B">
            <w:pPr>
              <w:adjustRightInd w:val="0"/>
              <w:snapToGrid w:val="0"/>
              <w:jc w:val="center"/>
              <w:rPr>
                <w:rFonts w:hint="eastAsia" w:ascii="宋体" w:hAnsi="宋体" w:eastAsia="宋体" w:cs="宋体"/>
                <w:bCs/>
                <w:snapToGrid w:val="0"/>
                <w:color w:val="auto"/>
                <w:sz w:val="28"/>
                <w:szCs w:val="28"/>
              </w:rPr>
            </w:pPr>
          </w:p>
        </w:tc>
      </w:tr>
      <w:tr w14:paraId="1BCD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1A363634">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4</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13CB172D">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评标专家签到表/评标费发放清单</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3681BAC7">
            <w:pPr>
              <w:adjustRightInd w:val="0"/>
              <w:snapToGrid w:val="0"/>
              <w:jc w:val="center"/>
              <w:rPr>
                <w:rFonts w:hint="eastAsia" w:ascii="宋体" w:hAnsi="宋体" w:eastAsia="宋体" w:cs="宋体"/>
                <w:bCs/>
                <w:snapToGrid w:val="0"/>
                <w:color w:val="auto"/>
                <w:sz w:val="28"/>
                <w:szCs w:val="28"/>
              </w:rPr>
            </w:pPr>
          </w:p>
        </w:tc>
      </w:tr>
      <w:tr w14:paraId="3D428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4E7944C2">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5</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08495317">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投标书签收表</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5D3ED81B">
            <w:pPr>
              <w:adjustRightInd w:val="0"/>
              <w:snapToGrid w:val="0"/>
              <w:jc w:val="center"/>
              <w:rPr>
                <w:rFonts w:hint="eastAsia" w:ascii="宋体" w:hAnsi="宋体" w:eastAsia="宋体" w:cs="宋体"/>
                <w:bCs/>
                <w:snapToGrid w:val="0"/>
                <w:color w:val="auto"/>
                <w:sz w:val="28"/>
                <w:szCs w:val="28"/>
              </w:rPr>
            </w:pPr>
          </w:p>
        </w:tc>
      </w:tr>
      <w:tr w14:paraId="2C5C8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27AA697D">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6</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641929C2">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投标商资格审查表</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72F38392">
            <w:pPr>
              <w:adjustRightInd w:val="0"/>
              <w:snapToGrid w:val="0"/>
              <w:jc w:val="center"/>
              <w:rPr>
                <w:rFonts w:hint="eastAsia" w:ascii="宋体" w:hAnsi="宋体" w:eastAsia="宋体" w:cs="宋体"/>
                <w:bCs/>
                <w:snapToGrid w:val="0"/>
                <w:color w:val="auto"/>
                <w:sz w:val="28"/>
                <w:szCs w:val="28"/>
              </w:rPr>
            </w:pPr>
          </w:p>
        </w:tc>
      </w:tr>
      <w:tr w14:paraId="2B36E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1A439E54">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7</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2CB67F7E">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技术、资信开标记录</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6ECC9232">
            <w:pPr>
              <w:adjustRightInd w:val="0"/>
              <w:snapToGrid w:val="0"/>
              <w:jc w:val="center"/>
              <w:rPr>
                <w:rFonts w:hint="eastAsia" w:ascii="宋体" w:hAnsi="宋体" w:eastAsia="宋体" w:cs="宋体"/>
                <w:bCs/>
                <w:snapToGrid w:val="0"/>
                <w:color w:val="auto"/>
                <w:sz w:val="28"/>
                <w:szCs w:val="28"/>
              </w:rPr>
            </w:pPr>
          </w:p>
        </w:tc>
      </w:tr>
      <w:tr w14:paraId="11D1C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3BA753FF">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8</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228F6526">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询标记录</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2535209B">
            <w:pPr>
              <w:adjustRightInd w:val="0"/>
              <w:snapToGrid w:val="0"/>
              <w:jc w:val="center"/>
              <w:rPr>
                <w:rFonts w:hint="eastAsia" w:ascii="宋体" w:hAnsi="宋体" w:eastAsia="宋体" w:cs="宋体"/>
                <w:bCs/>
                <w:snapToGrid w:val="0"/>
                <w:color w:val="auto"/>
                <w:sz w:val="28"/>
                <w:szCs w:val="28"/>
              </w:rPr>
            </w:pPr>
          </w:p>
        </w:tc>
      </w:tr>
      <w:tr w14:paraId="6772D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0FAAA9D8">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9</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6C41D8AF">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技术资信评分表</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2AEBAC95">
            <w:pPr>
              <w:adjustRightInd w:val="0"/>
              <w:snapToGrid w:val="0"/>
              <w:jc w:val="center"/>
              <w:rPr>
                <w:rFonts w:hint="eastAsia" w:ascii="宋体" w:hAnsi="宋体" w:eastAsia="宋体" w:cs="宋体"/>
                <w:bCs/>
                <w:snapToGrid w:val="0"/>
                <w:color w:val="auto"/>
                <w:sz w:val="28"/>
                <w:szCs w:val="28"/>
              </w:rPr>
            </w:pPr>
          </w:p>
        </w:tc>
      </w:tr>
      <w:tr w14:paraId="7A77E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14F39541">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10</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086D3734">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技术资信评分分项汇总表</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32892969">
            <w:pPr>
              <w:adjustRightInd w:val="0"/>
              <w:snapToGrid w:val="0"/>
              <w:jc w:val="center"/>
              <w:rPr>
                <w:rFonts w:hint="eastAsia" w:ascii="宋体" w:hAnsi="宋体" w:eastAsia="宋体" w:cs="宋体"/>
                <w:bCs/>
                <w:snapToGrid w:val="0"/>
                <w:color w:val="auto"/>
                <w:sz w:val="28"/>
                <w:szCs w:val="28"/>
              </w:rPr>
            </w:pPr>
          </w:p>
        </w:tc>
      </w:tr>
      <w:tr w14:paraId="65F0E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37546364">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11</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6BD06BEC">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商务报价分项评分表</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759F5138">
            <w:pPr>
              <w:adjustRightInd w:val="0"/>
              <w:snapToGrid w:val="0"/>
              <w:jc w:val="center"/>
              <w:rPr>
                <w:rFonts w:hint="eastAsia" w:ascii="宋体" w:hAnsi="宋体" w:eastAsia="宋体" w:cs="宋体"/>
                <w:bCs/>
                <w:snapToGrid w:val="0"/>
                <w:color w:val="auto"/>
                <w:sz w:val="28"/>
                <w:szCs w:val="28"/>
              </w:rPr>
            </w:pPr>
          </w:p>
        </w:tc>
      </w:tr>
      <w:tr w14:paraId="61DB3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793055BB">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12</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62CE4CE4">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总评分表</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1458094F">
            <w:pPr>
              <w:adjustRightInd w:val="0"/>
              <w:snapToGrid w:val="0"/>
              <w:jc w:val="center"/>
              <w:rPr>
                <w:rFonts w:hint="eastAsia" w:ascii="宋体" w:hAnsi="宋体" w:eastAsia="宋体" w:cs="宋体"/>
                <w:bCs/>
                <w:snapToGrid w:val="0"/>
                <w:color w:val="auto"/>
                <w:sz w:val="28"/>
                <w:szCs w:val="28"/>
              </w:rPr>
            </w:pPr>
          </w:p>
        </w:tc>
      </w:tr>
      <w:tr w14:paraId="3BD97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78929B1E">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13</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2DBA574F">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评标报告(定标报告）</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1642B2EF">
            <w:pPr>
              <w:adjustRightInd w:val="0"/>
              <w:snapToGrid w:val="0"/>
              <w:jc w:val="center"/>
              <w:rPr>
                <w:rFonts w:hint="eastAsia" w:ascii="宋体" w:hAnsi="宋体" w:eastAsia="宋体" w:cs="宋体"/>
                <w:bCs/>
                <w:snapToGrid w:val="0"/>
                <w:color w:val="auto"/>
                <w:sz w:val="28"/>
                <w:szCs w:val="28"/>
              </w:rPr>
            </w:pPr>
          </w:p>
        </w:tc>
      </w:tr>
      <w:tr w14:paraId="1055A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26D3D950">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14</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6C33C122">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投标文件（资信、技术、商务）</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569F6C78">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中标人</w:t>
            </w:r>
          </w:p>
        </w:tc>
      </w:tr>
      <w:tr w14:paraId="6148F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097EF943">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15</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216970BA">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中标候选人公示</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310B6255">
            <w:pPr>
              <w:adjustRightInd w:val="0"/>
              <w:snapToGrid w:val="0"/>
              <w:jc w:val="center"/>
              <w:rPr>
                <w:rFonts w:hint="eastAsia" w:ascii="宋体" w:hAnsi="宋体" w:eastAsia="宋体" w:cs="宋体"/>
                <w:bCs/>
                <w:snapToGrid w:val="0"/>
                <w:color w:val="auto"/>
                <w:sz w:val="28"/>
                <w:szCs w:val="28"/>
              </w:rPr>
            </w:pPr>
          </w:p>
        </w:tc>
      </w:tr>
      <w:tr w14:paraId="13E4C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41" w:type="pct"/>
            <w:tcBorders>
              <w:top w:val="single" w:color="auto" w:sz="4" w:space="0"/>
              <w:left w:val="single" w:color="auto" w:sz="4" w:space="0"/>
              <w:bottom w:val="single" w:color="auto" w:sz="4" w:space="0"/>
              <w:right w:val="single" w:color="auto" w:sz="4" w:space="0"/>
            </w:tcBorders>
            <w:noWrap w:val="0"/>
            <w:vAlign w:val="center"/>
          </w:tcPr>
          <w:p w14:paraId="68BC414B">
            <w:pPr>
              <w:adjustRightInd w:val="0"/>
              <w:snapToGrid w:val="0"/>
              <w:jc w:val="center"/>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16</w:t>
            </w:r>
          </w:p>
        </w:tc>
        <w:tc>
          <w:tcPr>
            <w:tcW w:w="2423" w:type="pct"/>
            <w:tcBorders>
              <w:top w:val="single" w:color="auto" w:sz="4" w:space="0"/>
              <w:left w:val="single" w:color="auto" w:sz="4" w:space="0"/>
              <w:bottom w:val="single" w:color="auto" w:sz="4" w:space="0"/>
              <w:right w:val="single" w:color="auto" w:sz="4" w:space="0"/>
            </w:tcBorders>
            <w:noWrap w:val="0"/>
            <w:vAlign w:val="center"/>
          </w:tcPr>
          <w:p w14:paraId="2A7D9A62">
            <w:pPr>
              <w:adjustRightInd w:val="0"/>
              <w:snapToGrid w:val="0"/>
              <w:rPr>
                <w:rFonts w:hint="eastAsia" w:ascii="宋体" w:hAnsi="宋体" w:eastAsia="宋体" w:cs="宋体"/>
                <w:bCs/>
                <w:snapToGrid w:val="0"/>
                <w:color w:val="auto"/>
                <w:sz w:val="28"/>
                <w:szCs w:val="28"/>
              </w:rPr>
            </w:pPr>
            <w:r>
              <w:rPr>
                <w:rFonts w:hint="eastAsia" w:ascii="宋体" w:hAnsi="宋体" w:eastAsia="宋体" w:cs="宋体"/>
                <w:bCs/>
                <w:snapToGrid w:val="0"/>
                <w:color w:val="auto"/>
                <w:sz w:val="28"/>
                <w:szCs w:val="28"/>
              </w:rPr>
              <w:t>中标通知书</w:t>
            </w:r>
          </w:p>
        </w:tc>
        <w:tc>
          <w:tcPr>
            <w:tcW w:w="1636" w:type="pct"/>
            <w:tcBorders>
              <w:top w:val="single" w:color="auto" w:sz="4" w:space="0"/>
              <w:left w:val="single" w:color="auto" w:sz="4" w:space="0"/>
              <w:bottom w:val="single" w:color="auto" w:sz="4" w:space="0"/>
              <w:right w:val="single" w:color="auto" w:sz="4" w:space="0"/>
            </w:tcBorders>
            <w:noWrap w:val="0"/>
            <w:vAlign w:val="center"/>
          </w:tcPr>
          <w:p w14:paraId="49CD5C21">
            <w:pPr>
              <w:adjustRightInd w:val="0"/>
              <w:snapToGrid w:val="0"/>
              <w:jc w:val="center"/>
              <w:rPr>
                <w:rFonts w:hint="eastAsia" w:ascii="宋体" w:hAnsi="宋体" w:eastAsia="宋体" w:cs="宋体"/>
                <w:bCs/>
                <w:snapToGrid w:val="0"/>
                <w:color w:val="auto"/>
                <w:sz w:val="28"/>
                <w:szCs w:val="28"/>
              </w:rPr>
            </w:pPr>
          </w:p>
        </w:tc>
      </w:tr>
    </w:tbl>
    <w:p w14:paraId="17EAE61F">
      <w:pPr>
        <w:snapToGrid w:val="0"/>
        <w:spacing w:line="360" w:lineRule="auto"/>
        <w:ind w:firstLine="424" w:firstLineChars="177"/>
        <w:rPr>
          <w:rFonts w:hint="eastAsia" w:ascii="宋体" w:hAnsi="宋体" w:eastAsia="宋体" w:cs="宋体"/>
          <w:b w:val="0"/>
          <w:bCs/>
          <w:color w:val="auto"/>
          <w:sz w:val="24"/>
          <w:shd w:val="clear" w:color="auto" w:fill="FFFFFF"/>
        </w:rPr>
      </w:pPr>
    </w:p>
    <w:p w14:paraId="002C7AE8">
      <w:pPr>
        <w:snapToGrid w:val="0"/>
        <w:spacing w:line="360" w:lineRule="auto"/>
        <w:ind w:firstLine="424" w:firstLineChars="177"/>
        <w:rPr>
          <w:rFonts w:hint="eastAsia" w:ascii="宋体" w:hAnsi="宋体" w:eastAsia="宋体" w:cs="宋体"/>
          <w:color w:val="auto"/>
          <w:sz w:val="24"/>
          <w:shd w:val="clear" w:color="auto" w:fill="FFFFFF"/>
        </w:rPr>
      </w:pPr>
    </w:p>
    <w:p w14:paraId="7E0E1B67">
      <w:pPr>
        <w:pStyle w:val="5"/>
        <w:keepNext w:val="0"/>
        <w:keepLines w:val="0"/>
        <w:pageBreakBefore w:val="0"/>
        <w:widowControl w:val="0"/>
        <w:kinsoku/>
        <w:wordWrap/>
        <w:overflowPunct/>
        <w:topLinePunct w:val="0"/>
        <w:autoSpaceDE/>
        <w:autoSpaceDN/>
        <w:bidi w:val="0"/>
        <w:adjustRightInd/>
        <w:snapToGrid/>
        <w:spacing w:before="0" w:beforeLines="0" w:after="0" w:afterLines="0" w:line="360" w:lineRule="auto"/>
        <w:ind w:firstLine="602" w:firstLineChars="200"/>
        <w:textAlignment w:val="auto"/>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br w:type="page"/>
      </w:r>
    </w:p>
    <w:p w14:paraId="555AB903">
      <w:pPr>
        <w:pStyle w:val="5"/>
        <w:snapToGrid w:val="0"/>
        <w:spacing w:before="0" w:beforeLines="0" w:after="0" w:afterLines="0" w:line="360" w:lineRule="auto"/>
        <w:jc w:val="center"/>
        <w:outlineLvl w:val="0"/>
        <w:rPr>
          <w:rFonts w:hint="eastAsia" w:ascii="宋体" w:hAnsi="宋体" w:eastAsia="宋体" w:cs="宋体"/>
          <w:b/>
          <w:color w:val="auto"/>
          <w:sz w:val="30"/>
          <w:szCs w:val="30"/>
          <w:highlight w:val="none"/>
        </w:rPr>
      </w:pPr>
      <w:bookmarkStart w:id="17" w:name="_Toc6424"/>
      <w:r>
        <w:rPr>
          <w:rFonts w:hint="eastAsia" w:ascii="宋体" w:hAnsi="宋体" w:eastAsia="宋体" w:cs="宋体"/>
          <w:b/>
          <w:color w:val="auto"/>
          <w:sz w:val="30"/>
          <w:szCs w:val="30"/>
          <w:highlight w:val="none"/>
        </w:rPr>
        <w:t>第五章  合同主要条款</w:t>
      </w:r>
      <w:bookmarkEnd w:id="17"/>
    </w:p>
    <w:p w14:paraId="2B407A85">
      <w:pPr>
        <w:pStyle w:val="5"/>
        <w:snapToGrid w:val="0"/>
        <w:spacing w:beforeLines="0" w:afterLines="0" w:line="288" w:lineRule="auto"/>
        <w:jc w:val="center"/>
        <w:rPr>
          <w:rFonts w:hint="eastAsia" w:ascii="宋体" w:hAnsi="宋体" w:eastAsia="宋体" w:cs="宋体"/>
          <w:b/>
          <w:color w:val="auto"/>
          <w:spacing w:val="-6"/>
        </w:rPr>
      </w:pPr>
      <w:r>
        <w:rPr>
          <w:rFonts w:hint="eastAsia" w:ascii="宋体" w:hAnsi="宋体" w:eastAsia="宋体" w:cs="宋体"/>
          <w:b/>
          <w:color w:val="auto"/>
          <w:spacing w:val="-6"/>
        </w:rPr>
        <w:t>巨化集团有限公司</w:t>
      </w:r>
    </w:p>
    <w:p w14:paraId="6BC1485E">
      <w:pPr>
        <w:pStyle w:val="5"/>
        <w:snapToGrid w:val="0"/>
        <w:spacing w:beforeLines="0" w:afterLines="0" w:line="288" w:lineRule="auto"/>
        <w:jc w:val="center"/>
        <w:rPr>
          <w:rFonts w:hint="eastAsia" w:ascii="宋体" w:hAnsi="宋体" w:eastAsia="宋体" w:cs="宋体"/>
          <w:b/>
          <w:color w:val="auto"/>
          <w:spacing w:val="-6"/>
        </w:rPr>
      </w:pPr>
      <w:r>
        <w:rPr>
          <w:rFonts w:hint="eastAsia" w:ascii="宋体" w:hAnsi="宋体" w:eastAsia="宋体" w:cs="宋体"/>
          <w:b/>
          <w:color w:val="auto"/>
          <w:spacing w:val="-6"/>
        </w:rPr>
        <w:t>招标代理机构选择项目（待定）</w:t>
      </w:r>
    </w:p>
    <w:p w14:paraId="5F45DB36">
      <w:pPr>
        <w:snapToGrid w:val="0"/>
        <w:spacing w:line="360" w:lineRule="auto"/>
        <w:rPr>
          <w:rFonts w:hint="eastAsia" w:ascii="宋体" w:hAnsi="宋体" w:eastAsia="宋体" w:cs="宋体"/>
          <w:color w:val="auto"/>
          <w:spacing w:val="-6"/>
          <w:sz w:val="24"/>
        </w:rPr>
      </w:pPr>
    </w:p>
    <w:p w14:paraId="60224B4E">
      <w:pPr>
        <w:snapToGrid w:val="0"/>
        <w:spacing w:line="360" w:lineRule="auto"/>
        <w:rPr>
          <w:rFonts w:hint="eastAsia" w:ascii="宋体" w:hAnsi="宋体" w:eastAsia="宋体" w:cs="宋体"/>
          <w:color w:val="auto"/>
          <w:spacing w:val="-6"/>
          <w:sz w:val="24"/>
        </w:rPr>
      </w:pPr>
      <w:r>
        <w:rPr>
          <w:rFonts w:hint="eastAsia" w:ascii="宋体" w:hAnsi="宋体" w:eastAsia="宋体" w:cs="宋体"/>
          <w:color w:val="auto"/>
          <w:spacing w:val="-6"/>
          <w:sz w:val="24"/>
        </w:rPr>
        <w:t>项目名称：巨化集团有限公司招标代理机构选择项目</w:t>
      </w:r>
    </w:p>
    <w:p w14:paraId="477E1D13">
      <w:pPr>
        <w:snapToGrid w:val="0"/>
        <w:spacing w:line="360" w:lineRule="auto"/>
        <w:rPr>
          <w:rFonts w:hint="eastAsia" w:ascii="宋体" w:hAnsi="宋体" w:eastAsia="宋体" w:cs="宋体"/>
          <w:color w:val="auto"/>
          <w:spacing w:val="-6"/>
          <w:sz w:val="24"/>
        </w:rPr>
      </w:pPr>
      <w:r>
        <w:rPr>
          <w:rFonts w:hint="eastAsia" w:ascii="宋体" w:hAnsi="宋体" w:eastAsia="宋体" w:cs="宋体"/>
          <w:color w:val="auto"/>
          <w:spacing w:val="-6"/>
          <w:sz w:val="24"/>
        </w:rPr>
        <w:t>甲方：</w:t>
      </w:r>
    </w:p>
    <w:p w14:paraId="2D0CBD62">
      <w:pPr>
        <w:snapToGrid w:val="0"/>
        <w:spacing w:line="360" w:lineRule="auto"/>
        <w:rPr>
          <w:rFonts w:hint="eastAsia" w:ascii="宋体" w:hAnsi="宋体" w:eastAsia="宋体" w:cs="宋体"/>
          <w:color w:val="auto"/>
          <w:spacing w:val="-6"/>
          <w:sz w:val="24"/>
        </w:rPr>
      </w:pPr>
      <w:r>
        <w:rPr>
          <w:rFonts w:hint="eastAsia" w:ascii="宋体" w:hAnsi="宋体" w:eastAsia="宋体" w:cs="宋体"/>
          <w:color w:val="auto"/>
          <w:spacing w:val="-6"/>
          <w:sz w:val="24"/>
        </w:rPr>
        <w:t>乙方：</w:t>
      </w:r>
    </w:p>
    <w:p w14:paraId="1768350C">
      <w:pPr>
        <w:snapToGrid w:val="0"/>
        <w:spacing w:line="360" w:lineRule="auto"/>
        <w:rPr>
          <w:rFonts w:hint="eastAsia" w:ascii="宋体" w:hAnsi="宋体" w:eastAsia="宋体" w:cs="宋体"/>
          <w:color w:val="auto"/>
          <w:spacing w:val="-6"/>
          <w:sz w:val="24"/>
        </w:rPr>
      </w:pPr>
      <w:r>
        <w:rPr>
          <w:rFonts w:hint="eastAsia" w:ascii="宋体" w:hAnsi="宋体" w:eastAsia="宋体" w:cs="宋体"/>
          <w:color w:val="auto"/>
          <w:spacing w:val="-6"/>
          <w:sz w:val="24"/>
        </w:rPr>
        <w:t>签约时间、地点：202</w:t>
      </w:r>
      <w:r>
        <w:rPr>
          <w:rFonts w:hint="eastAsia" w:ascii="宋体" w:hAnsi="宋体" w:eastAsia="宋体" w:cs="宋体"/>
          <w:color w:val="auto"/>
          <w:spacing w:val="-6"/>
          <w:sz w:val="24"/>
          <w:lang w:val="en-US" w:eastAsia="zh-CN"/>
        </w:rPr>
        <w:t>5</w:t>
      </w:r>
      <w:r>
        <w:rPr>
          <w:rFonts w:hint="eastAsia" w:ascii="宋体" w:hAnsi="宋体" w:eastAsia="宋体" w:cs="宋体"/>
          <w:color w:val="auto"/>
          <w:spacing w:val="-6"/>
          <w:sz w:val="24"/>
        </w:rPr>
        <w:t>年  月   日，衢州</w:t>
      </w:r>
    </w:p>
    <w:p w14:paraId="5ABBC2C3">
      <w:pPr>
        <w:snapToGrid w:val="0"/>
        <w:spacing w:line="360" w:lineRule="auto"/>
        <w:rPr>
          <w:rFonts w:hint="eastAsia" w:ascii="宋体" w:hAnsi="宋体" w:eastAsia="宋体" w:cs="宋体"/>
          <w:b/>
          <w:bCs/>
          <w:color w:val="auto"/>
          <w:spacing w:val="-6"/>
          <w:sz w:val="24"/>
        </w:rPr>
      </w:pPr>
    </w:p>
    <w:p w14:paraId="696BC89B">
      <w:pPr>
        <w:snapToGrid w:val="0"/>
        <w:spacing w:line="360" w:lineRule="auto"/>
        <w:ind w:right="23" w:rightChars="11" w:firstLine="456" w:firstLineChars="200"/>
        <w:rPr>
          <w:rFonts w:hint="eastAsia" w:ascii="宋体" w:hAnsi="宋体" w:eastAsia="宋体" w:cs="宋体"/>
          <w:b/>
          <w:bCs/>
          <w:color w:val="auto"/>
          <w:kern w:val="0"/>
          <w:sz w:val="24"/>
        </w:rPr>
      </w:pPr>
      <w:r>
        <w:rPr>
          <w:rFonts w:hint="eastAsia" w:ascii="宋体" w:hAnsi="宋体" w:eastAsia="宋体" w:cs="宋体"/>
          <w:color w:val="auto"/>
          <w:spacing w:val="-6"/>
          <w:sz w:val="24"/>
        </w:rPr>
        <w:t>甲、乙双方根据</w:t>
      </w:r>
      <w:r>
        <w:rPr>
          <w:rFonts w:hint="eastAsia" w:ascii="宋体" w:hAnsi="宋体" w:eastAsia="宋体" w:cs="宋体"/>
          <w:color w:val="auto"/>
          <w:spacing w:val="-6"/>
          <w:sz w:val="24"/>
          <w:u w:val="single"/>
        </w:rPr>
        <w:t>巨化集团有限公司招标代理机构选择</w:t>
      </w:r>
      <w:r>
        <w:rPr>
          <w:rFonts w:hint="eastAsia" w:ascii="宋体" w:hAnsi="宋体" w:eastAsia="宋体" w:cs="宋体"/>
          <w:color w:val="auto"/>
          <w:spacing w:val="-6"/>
          <w:sz w:val="24"/>
        </w:rPr>
        <w:t>项目公开招标的结果，签署本合同。</w:t>
      </w:r>
    </w:p>
    <w:p w14:paraId="38DDC840">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b/>
          <w:bCs/>
          <w:color w:val="auto"/>
          <w:kern w:val="0"/>
          <w:sz w:val="24"/>
        </w:rPr>
        <w:t>一、委托代理双方</w:t>
      </w:r>
    </w:p>
    <w:p w14:paraId="18C6CC7A">
      <w:pPr>
        <w:widowControl/>
        <w:snapToGrid w:val="0"/>
        <w:spacing w:line="360" w:lineRule="auto"/>
        <w:ind w:firstLine="480" w:firstLineChars="200"/>
        <w:jc w:val="left"/>
        <w:rPr>
          <w:rFonts w:hint="eastAsia" w:ascii="宋体" w:hAnsi="宋体" w:eastAsia="宋体" w:cs="宋体"/>
          <w:color w:val="auto"/>
          <w:kern w:val="0"/>
          <w:sz w:val="24"/>
          <w:u w:val="single"/>
        </w:rPr>
      </w:pPr>
      <w:r>
        <w:rPr>
          <w:rFonts w:hint="eastAsia" w:ascii="宋体" w:hAnsi="宋体" w:eastAsia="宋体" w:cs="宋体"/>
          <w:color w:val="auto"/>
          <w:kern w:val="0"/>
          <w:sz w:val="24"/>
        </w:rPr>
        <w:t>委托方（甲方）：</w:t>
      </w:r>
    </w:p>
    <w:p w14:paraId="35BDB9EE">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代理方（乙方）：</w:t>
      </w:r>
    </w:p>
    <w:p w14:paraId="40905A1D">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b/>
          <w:bCs/>
          <w:color w:val="auto"/>
          <w:kern w:val="0"/>
          <w:sz w:val="24"/>
        </w:rPr>
        <w:t>二、委托代理范围</w:t>
      </w:r>
    </w:p>
    <w:p w14:paraId="058ACFA6">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1.根据</w:t>
      </w:r>
      <w:r>
        <w:rPr>
          <w:rFonts w:hint="eastAsia" w:ascii="宋体" w:hAnsi="宋体" w:eastAsia="宋体" w:cs="宋体"/>
          <w:color w:val="auto"/>
          <w:spacing w:val="-6"/>
          <w:sz w:val="24"/>
        </w:rPr>
        <w:t>招标人集团</w:t>
      </w:r>
      <w:r>
        <w:rPr>
          <w:rFonts w:hint="eastAsia" w:ascii="宋体" w:hAnsi="宋体" w:eastAsia="宋体" w:cs="宋体"/>
          <w:color w:val="auto"/>
          <w:sz w:val="24"/>
        </w:rPr>
        <w:t>及下属企业委托的采购项目，负责编制公开招标、邀请招标、</w:t>
      </w:r>
      <w:r>
        <w:rPr>
          <w:rFonts w:hint="eastAsia" w:ascii="宋体" w:hAnsi="宋体" w:eastAsia="宋体" w:cs="宋体"/>
          <w:color w:val="auto"/>
          <w:sz w:val="24"/>
          <w:lang w:val="en-US" w:eastAsia="zh-CN"/>
        </w:rPr>
        <w:t>竞争性询比价、</w:t>
      </w:r>
      <w:r>
        <w:rPr>
          <w:rFonts w:hint="eastAsia" w:ascii="宋体" w:hAnsi="宋体" w:eastAsia="宋体" w:cs="宋体"/>
          <w:color w:val="auto"/>
          <w:sz w:val="24"/>
        </w:rPr>
        <w:t>竞争性谈判等招标文件，发布招标公告信息等；</w:t>
      </w:r>
    </w:p>
    <w:p w14:paraId="41234627">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2</w:t>
      </w:r>
      <w:r>
        <w:rPr>
          <w:rFonts w:hint="eastAsia" w:ascii="宋体" w:hAnsi="宋体" w:eastAsia="宋体" w:cs="宋体"/>
          <w:color w:val="auto"/>
          <w:sz w:val="24"/>
        </w:rPr>
        <w:t>.根据招标项目特点及其要求，依法设置投标人资格；</w:t>
      </w:r>
    </w:p>
    <w:p w14:paraId="4EC619B7">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3</w:t>
      </w:r>
      <w:r>
        <w:rPr>
          <w:rFonts w:hint="eastAsia" w:ascii="宋体" w:hAnsi="宋体" w:eastAsia="宋体" w:cs="宋体"/>
          <w:color w:val="auto"/>
          <w:sz w:val="24"/>
        </w:rPr>
        <w:t>.组织招标活动，包括依法组成评标委员会，组织开标评标，依法向中标人发布中标通知书等；</w:t>
      </w:r>
    </w:p>
    <w:p w14:paraId="74C94DB2">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4</w:t>
      </w:r>
      <w:r>
        <w:rPr>
          <w:rFonts w:hint="eastAsia" w:ascii="宋体" w:hAnsi="宋体" w:eastAsia="宋体" w:cs="宋体"/>
          <w:color w:val="auto"/>
          <w:sz w:val="24"/>
        </w:rPr>
        <w:t>.进入公共资源交易中心的项目，按公共资源交易中心、</w:t>
      </w:r>
      <w:r>
        <w:rPr>
          <w:rFonts w:hint="eastAsia" w:ascii="宋体" w:hAnsi="宋体" w:eastAsia="宋体" w:cs="宋体"/>
          <w:color w:val="auto"/>
          <w:sz w:val="24"/>
          <w:lang w:val="en-US" w:eastAsia="zh-CN"/>
        </w:rPr>
        <w:t>政府行业监督部门</w:t>
      </w:r>
      <w:r>
        <w:rPr>
          <w:rFonts w:hint="eastAsia" w:ascii="宋体" w:hAnsi="宋体" w:eastAsia="宋体" w:cs="宋体"/>
          <w:color w:val="auto"/>
          <w:sz w:val="24"/>
        </w:rPr>
        <w:t>的要求执行。进入巨化招标（交易）中心的项目，按巨化招标（交易）中心和巨化招标办公室的要求执行。</w:t>
      </w:r>
    </w:p>
    <w:p w14:paraId="450C39AC">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5</w:t>
      </w:r>
      <w:r>
        <w:rPr>
          <w:rFonts w:hint="eastAsia" w:ascii="宋体" w:hAnsi="宋体" w:eastAsia="宋体" w:cs="宋体"/>
          <w:color w:val="auto"/>
          <w:sz w:val="24"/>
        </w:rPr>
        <w:t>.协助招标人协调和处理投标人询问、质疑等事宜；</w:t>
      </w:r>
    </w:p>
    <w:p w14:paraId="47CFADBA">
      <w:pPr>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6</w:t>
      </w:r>
      <w:r>
        <w:rPr>
          <w:rFonts w:hint="eastAsia" w:ascii="宋体" w:hAnsi="宋体" w:eastAsia="宋体" w:cs="宋体"/>
          <w:color w:val="auto"/>
          <w:sz w:val="24"/>
        </w:rPr>
        <w:t>.委托代理采购相关的其它服务。</w:t>
      </w:r>
    </w:p>
    <w:p w14:paraId="5B14C385">
      <w:pPr>
        <w:widowControl/>
        <w:snapToGrid w:val="0"/>
        <w:spacing w:line="360" w:lineRule="auto"/>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 xml:space="preserve">四、双方的权利和义务 </w:t>
      </w:r>
    </w:p>
    <w:p w14:paraId="5244133A">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1.甲方的权利和义务：</w:t>
      </w:r>
    </w:p>
    <w:p w14:paraId="41BD7417">
      <w:pPr>
        <w:widowControl/>
        <w:snapToGrid w:val="0"/>
        <w:spacing w:line="360" w:lineRule="auto"/>
        <w:ind w:firstLine="480" w:firstLineChars="200"/>
        <w:jc w:val="left"/>
        <w:rPr>
          <w:rFonts w:hint="eastAsia" w:ascii="宋体" w:hAnsi="宋体" w:eastAsia="宋体" w:cs="宋体"/>
          <w:b/>
          <w:bCs/>
          <w:color w:val="auto"/>
          <w:kern w:val="0"/>
          <w:sz w:val="24"/>
        </w:rPr>
      </w:pPr>
      <w:r>
        <w:rPr>
          <w:rFonts w:hint="eastAsia" w:ascii="宋体" w:hAnsi="宋体" w:eastAsia="宋体" w:cs="宋体"/>
          <w:color w:val="auto"/>
          <w:kern w:val="0"/>
          <w:sz w:val="24"/>
        </w:rPr>
        <w:t>1.1向乙方提供招标所需的完整的施工图纸及有关技术、服务需求等资料，并对所提供资料的真实性和合法性负责；</w:t>
      </w:r>
      <w:r>
        <w:rPr>
          <w:rFonts w:hint="eastAsia" w:ascii="宋体" w:hAnsi="宋体" w:eastAsia="宋体" w:cs="宋体"/>
          <w:color w:val="auto"/>
          <w:sz w:val="24"/>
        </w:rPr>
        <w:t>配合乙方编制</w:t>
      </w:r>
      <w:r>
        <w:rPr>
          <w:rFonts w:hint="eastAsia" w:ascii="宋体" w:hAnsi="宋体" w:eastAsia="宋体" w:cs="宋体"/>
          <w:color w:val="auto"/>
          <w:kern w:val="0"/>
          <w:sz w:val="24"/>
        </w:rPr>
        <w:t>招标文件</w:t>
      </w:r>
      <w:r>
        <w:rPr>
          <w:rFonts w:hint="eastAsia" w:ascii="宋体" w:hAnsi="宋体" w:eastAsia="宋体" w:cs="宋体"/>
          <w:color w:val="auto"/>
          <w:sz w:val="24"/>
        </w:rPr>
        <w:t>，并对乙方编制的文件予以审核确认；</w:t>
      </w:r>
    </w:p>
    <w:p w14:paraId="213C798D">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1.2对乙方实施的委托代理事项有监督的权利，但不干涉乙方的招标行为，并自觉执行回避制度，按规定履行有关保密的责任；</w:t>
      </w:r>
    </w:p>
    <w:p w14:paraId="51FFF36D">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1.3可以派人参与开标活动、委派招标人代表参与评审工作，负责在规定的时间内确定中标人；</w:t>
      </w:r>
    </w:p>
    <w:p w14:paraId="5ED578E5">
      <w:pPr>
        <w:widowControl/>
        <w:snapToGrid w:val="0"/>
        <w:spacing w:line="360" w:lineRule="auto"/>
        <w:ind w:right="-94" w:rightChars="-45"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1.4中标通知书发出之日起三十日内按照招标文件确定的事项与中标人签订合同。</w:t>
      </w:r>
    </w:p>
    <w:p w14:paraId="5059B0B4">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1.5负责落实招标资金。</w:t>
      </w:r>
    </w:p>
    <w:p w14:paraId="0979900E">
      <w:pPr>
        <w:widowControl/>
        <w:snapToGrid w:val="0"/>
        <w:spacing w:line="360" w:lineRule="auto"/>
        <w:ind w:firstLine="480" w:firstLineChars="200"/>
        <w:jc w:val="left"/>
        <w:rPr>
          <w:rFonts w:hint="eastAsia" w:ascii="宋体" w:hAnsi="宋体" w:eastAsia="宋体" w:cs="宋体"/>
          <w:bCs/>
          <w:color w:val="auto"/>
          <w:kern w:val="0"/>
          <w:sz w:val="24"/>
        </w:rPr>
      </w:pPr>
      <w:r>
        <w:rPr>
          <w:rFonts w:hint="eastAsia" w:ascii="宋体" w:hAnsi="宋体" w:eastAsia="宋体" w:cs="宋体"/>
          <w:bCs/>
          <w:color w:val="auto"/>
          <w:kern w:val="0"/>
          <w:sz w:val="24"/>
        </w:rPr>
        <w:t>2.乙方的权利和义务：</w:t>
      </w:r>
    </w:p>
    <w:p w14:paraId="171E68B0">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2.1在委托代理范围内严格按照法律法规处理相关事务；</w:t>
      </w:r>
    </w:p>
    <w:p w14:paraId="44DBCFA7">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2.2对甲方提出的招标内容和要求依法审查，并对代理事项的合法性负责；</w:t>
      </w:r>
    </w:p>
    <w:p w14:paraId="61D73B06">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2.3按规定的程序和要求独立组织招标活动，自觉接受甲方纪检部门的监督，确保招标项目的公开、公平、公正；</w:t>
      </w:r>
    </w:p>
    <w:p w14:paraId="2561FC3E">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2.4自觉执行回避制度，遵守廉政规定和评审纪律，并承担相应的保密责任；</w:t>
      </w:r>
    </w:p>
    <w:p w14:paraId="07311B03">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2.5向甲方提供委托代理项目装订成册的汇</w:t>
      </w:r>
      <w:r>
        <w:rPr>
          <w:rFonts w:hint="eastAsia" w:ascii="宋体" w:hAnsi="宋体" w:eastAsia="宋体" w:cs="宋体"/>
          <w:color w:val="auto"/>
          <w:kern w:val="0"/>
          <w:sz w:val="24"/>
          <w:lang w:val="en-US" w:eastAsia="zh-CN"/>
        </w:rPr>
        <w:t>编</w:t>
      </w:r>
      <w:r>
        <w:rPr>
          <w:rFonts w:hint="eastAsia" w:ascii="宋体" w:hAnsi="宋体" w:eastAsia="宋体" w:cs="宋体"/>
          <w:color w:val="auto"/>
          <w:kern w:val="0"/>
          <w:sz w:val="24"/>
        </w:rPr>
        <w:t>材料。</w:t>
      </w:r>
    </w:p>
    <w:p w14:paraId="5014FA8F">
      <w:pPr>
        <w:widowControl/>
        <w:snapToGrid w:val="0"/>
        <w:spacing w:line="360" w:lineRule="auto"/>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五、协议期限</w:t>
      </w:r>
    </w:p>
    <w:p w14:paraId="5B1FA1FA">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sz w:val="24"/>
        </w:rPr>
        <w:t xml:space="preserve">本协议有效期限为  </w:t>
      </w:r>
      <w:r>
        <w:rPr>
          <w:rFonts w:hint="eastAsia" w:ascii="宋体" w:hAnsi="宋体" w:eastAsia="宋体" w:cs="宋体"/>
          <w:bCs/>
          <w:color w:val="auto"/>
          <w:sz w:val="24"/>
        </w:rPr>
        <w:t>年  月  日至  年  月  日，</w:t>
      </w:r>
      <w:r>
        <w:rPr>
          <w:rFonts w:hint="eastAsia" w:ascii="宋体" w:hAnsi="宋体" w:eastAsia="宋体" w:cs="宋体"/>
          <w:color w:val="auto"/>
          <w:sz w:val="24"/>
        </w:rPr>
        <w:t>如服务期满后无服务质量问题，可续签。</w:t>
      </w:r>
    </w:p>
    <w:p w14:paraId="1CEB8C6F">
      <w:pPr>
        <w:widowControl/>
        <w:snapToGrid w:val="0"/>
        <w:spacing w:line="360" w:lineRule="auto"/>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六、代理费用收取方式及标准</w:t>
      </w:r>
    </w:p>
    <w:p w14:paraId="7E26427C">
      <w:pPr>
        <w:widowControl/>
        <w:snapToGrid w:val="0"/>
        <w:spacing w:line="360" w:lineRule="auto"/>
        <w:ind w:firstLine="480" w:firstLineChars="200"/>
        <w:jc w:val="left"/>
        <w:rPr>
          <w:rFonts w:hint="eastAsia" w:ascii="宋体" w:hAnsi="宋体" w:eastAsia="宋体" w:cs="宋体"/>
          <w:color w:val="auto"/>
          <w:kern w:val="0"/>
          <w:sz w:val="24"/>
          <w:u w:val="single"/>
        </w:rPr>
      </w:pPr>
      <w:r>
        <w:rPr>
          <w:rFonts w:hint="eastAsia" w:ascii="宋体" w:hAnsi="宋体" w:eastAsia="宋体" w:cs="宋体"/>
          <w:color w:val="auto"/>
          <w:kern w:val="0"/>
          <w:sz w:val="24"/>
        </w:rPr>
        <w:t>招标代理费收费标准参照《国家发展改革委办公厅关于招标代理服务收费有关问题的通知》（发改价格[2011]534号）规定标准的</w:t>
      </w:r>
      <w:r>
        <w:rPr>
          <w:rFonts w:hint="eastAsia" w:ascii="宋体" w:hAnsi="宋体" w:eastAsia="宋体" w:cs="宋体"/>
          <w:color w:val="auto"/>
          <w:kern w:val="0"/>
          <w:sz w:val="24"/>
          <w:lang w:val="en-US" w:eastAsia="zh-CN"/>
        </w:rPr>
        <w:t>折扣</w:t>
      </w:r>
      <w:r>
        <w:rPr>
          <w:rFonts w:hint="eastAsia" w:ascii="宋体" w:hAnsi="宋体" w:eastAsia="宋体" w:cs="宋体"/>
          <w:color w:val="auto"/>
          <w:kern w:val="0"/>
          <w:sz w:val="24"/>
        </w:rPr>
        <w:t>率为：_____%。单个标项代理费不足肆仟元的按肆仟元计，超过捌万元的按捌万元计。</w:t>
      </w:r>
    </w:p>
    <w:p w14:paraId="4262DACA">
      <w:pPr>
        <w:widowControl/>
        <w:snapToGrid w:val="0"/>
        <w:spacing w:line="360" w:lineRule="auto"/>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七、违约责任</w:t>
      </w:r>
    </w:p>
    <w:p w14:paraId="7BA69FF3">
      <w:pPr>
        <w:snapToGrid w:val="0"/>
        <w:spacing w:line="360" w:lineRule="auto"/>
        <w:ind w:right="119" w:firstLine="480" w:firstLineChars="200"/>
        <w:rPr>
          <w:rFonts w:hint="eastAsia" w:ascii="宋体" w:hAnsi="宋体" w:eastAsia="宋体" w:cs="宋体"/>
          <w:color w:val="auto"/>
          <w:sz w:val="24"/>
        </w:rPr>
      </w:pPr>
      <w:r>
        <w:rPr>
          <w:rFonts w:hint="eastAsia" w:ascii="宋体" w:hAnsi="宋体" w:eastAsia="宋体" w:cs="宋体"/>
          <w:color w:val="auto"/>
          <w:sz w:val="24"/>
        </w:rPr>
        <w:t>任何一方违反本协议导致本协议无法继续履行的，违约方需赔偿守约方违约金人民币：</w:t>
      </w:r>
      <w:r>
        <w:rPr>
          <w:rFonts w:hint="eastAsia" w:ascii="宋体" w:hAnsi="宋体" w:eastAsia="宋体" w:cs="宋体"/>
          <w:color w:val="auto"/>
          <w:sz w:val="24"/>
          <w:u w:val="single"/>
          <w:lang w:val="en-US" w:eastAsia="zh-CN"/>
        </w:rPr>
        <w:t>4</w:t>
      </w:r>
      <w:r>
        <w:rPr>
          <w:rFonts w:hint="eastAsia" w:ascii="宋体" w:hAnsi="宋体" w:eastAsia="宋体" w:cs="宋体"/>
          <w:color w:val="auto"/>
          <w:sz w:val="24"/>
          <w:u w:val="single"/>
        </w:rPr>
        <w:t>000</w:t>
      </w:r>
      <w:r>
        <w:rPr>
          <w:rFonts w:hint="eastAsia" w:ascii="宋体" w:hAnsi="宋体" w:eastAsia="宋体" w:cs="宋体"/>
          <w:color w:val="auto"/>
          <w:sz w:val="24"/>
        </w:rPr>
        <w:t>元，该违约金不足以弥补守约方实际损失的，违约方应赔偿守约方所有实际损失。</w:t>
      </w:r>
    </w:p>
    <w:p w14:paraId="73DA703B">
      <w:pPr>
        <w:widowControl/>
        <w:snapToGrid w:val="0"/>
        <w:spacing w:line="360" w:lineRule="auto"/>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八、</w:t>
      </w:r>
      <w:r>
        <w:rPr>
          <w:rFonts w:hint="eastAsia" w:ascii="宋体" w:hAnsi="宋体" w:eastAsia="宋体" w:cs="宋体"/>
          <w:b/>
          <w:color w:val="auto"/>
          <w:sz w:val="24"/>
        </w:rPr>
        <w:t>协议的生效、</w:t>
      </w:r>
      <w:r>
        <w:rPr>
          <w:rFonts w:hint="eastAsia" w:ascii="宋体" w:hAnsi="宋体" w:eastAsia="宋体" w:cs="宋体"/>
          <w:b/>
          <w:bCs/>
          <w:color w:val="auto"/>
          <w:kern w:val="0"/>
          <w:sz w:val="24"/>
        </w:rPr>
        <w:t>解除及终止</w:t>
      </w:r>
    </w:p>
    <w:p w14:paraId="30F727AB">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1.协议的生效：</w:t>
      </w:r>
    </w:p>
    <w:p w14:paraId="2EED5A24">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1.1甲方指定为项目的授权经办人，乙方指定为项目负责人，代表各方收受、审查和签署有关采购文件，具体联系和协调处理招标过程中的有关事务；</w:t>
      </w:r>
    </w:p>
    <w:p w14:paraId="7865206A">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kern w:val="0"/>
          <w:sz w:val="24"/>
        </w:rPr>
        <w:t>1.2</w:t>
      </w:r>
      <w:r>
        <w:rPr>
          <w:rFonts w:hint="eastAsia" w:ascii="宋体" w:hAnsi="宋体" w:eastAsia="宋体" w:cs="宋体"/>
          <w:color w:val="auto"/>
          <w:sz w:val="24"/>
        </w:rPr>
        <w:t>本协议一式肆份，甲乙双方各执两份，具有同等法律效力；</w:t>
      </w:r>
    </w:p>
    <w:p w14:paraId="09322792">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1.3本协议经甲乙双方法定代表人或其</w:t>
      </w:r>
      <w:r>
        <w:rPr>
          <w:rFonts w:hint="eastAsia" w:ascii="宋体" w:hAnsi="宋体" w:eastAsia="宋体" w:cs="宋体"/>
          <w:color w:val="auto"/>
          <w:kern w:val="0"/>
          <w:sz w:val="24"/>
        </w:rPr>
        <w:t>授权经办人（项目负责人）</w:t>
      </w:r>
      <w:r>
        <w:rPr>
          <w:rFonts w:hint="eastAsia" w:ascii="宋体" w:hAnsi="宋体" w:eastAsia="宋体" w:cs="宋体"/>
          <w:color w:val="auto"/>
          <w:sz w:val="24"/>
        </w:rPr>
        <w:t>签字盖章后生效；</w:t>
      </w:r>
    </w:p>
    <w:p w14:paraId="67D44CE7">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1.4协议若有未尽事宜，需经双方共同协商，作出补充规定，补充规定与本协议有同等法律效力。</w:t>
      </w:r>
    </w:p>
    <w:p w14:paraId="1ECA49EA">
      <w:pPr>
        <w:widowControl/>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sz w:val="24"/>
        </w:rPr>
        <w:t>2.协议的解除：</w:t>
      </w:r>
    </w:p>
    <w:p w14:paraId="14D6F461">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2.1甲乙双方协商一致，可以解除本协议。</w:t>
      </w:r>
    </w:p>
    <w:p w14:paraId="518EC285">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2.2有下列情形之一的，甲方可以解除本协议：</w:t>
      </w:r>
    </w:p>
    <w:p w14:paraId="38E71817">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（1）乙方提供的代理服务不符合本协议约定的要求或违反本协议的其他约定，经甲方书面通知其违约情况和应采取的补救措施后28天内未进行补救，则甲方可通过提前14天发出书面通知的形式解除本协议；</w:t>
      </w:r>
    </w:p>
    <w:p w14:paraId="670D7BBF">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（2）乙方进入或有证据表明其将进入清算、解散、破产或重整程序的，甲方可通过发出书面通知的形式立即解除本协议。</w:t>
      </w:r>
    </w:p>
    <w:p w14:paraId="67999EB6">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2.3有下列情形之一的，乙方可以解除本协议：</w:t>
      </w:r>
    </w:p>
    <w:p w14:paraId="1C2D3E02">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（1）如因甲方未按本协议约定支付相关费用或未落实采购资金导致代理项目无法继续履行的，乙方可以通过提前14天发出书面通知的形式解除本协议；</w:t>
      </w:r>
    </w:p>
    <w:p w14:paraId="3D8920FE">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（2）甲方进入或有证据表明其将进入清算、解散、破产或重整程序的，乙方可通过发出书面通知的形式立即解除本协议。</w:t>
      </w:r>
    </w:p>
    <w:p w14:paraId="5E4DBD11">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3.协议的终止</w:t>
      </w:r>
    </w:p>
    <w:p w14:paraId="02317E4D">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3.1本协议解除后即告终止；</w:t>
      </w:r>
    </w:p>
    <w:p w14:paraId="430D05B9">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3.2本协议于双方权利义务履行完毕后终止。</w:t>
      </w:r>
    </w:p>
    <w:p w14:paraId="22F36EB0">
      <w:pPr>
        <w:widowControl/>
        <w:snapToGrid w:val="0"/>
        <w:spacing w:line="360" w:lineRule="auto"/>
        <w:jc w:val="left"/>
        <w:rPr>
          <w:rFonts w:hint="eastAsia" w:ascii="宋体" w:hAnsi="宋体" w:eastAsia="宋体" w:cs="宋体"/>
          <w:b/>
          <w:color w:val="auto"/>
          <w:sz w:val="24"/>
        </w:rPr>
      </w:pPr>
      <w:r>
        <w:rPr>
          <w:rFonts w:hint="eastAsia" w:ascii="宋体" w:hAnsi="宋体" w:eastAsia="宋体" w:cs="宋体"/>
          <w:b/>
          <w:color w:val="auto"/>
          <w:sz w:val="24"/>
        </w:rPr>
        <w:t>九、争议解决</w:t>
      </w:r>
    </w:p>
    <w:p w14:paraId="3B0D25DB">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1.争议的友好解决：</w:t>
      </w:r>
    </w:p>
    <w:p w14:paraId="231C85EA">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因本协议发生的或与本协议相关的任何争议，双方首先应通过友好协商解决。争议的一方应以书面形式通知另一方，说明争议的内容、细节及因由。双方可以就争议自行和解，自行和解达成协议的经双方签字并盖章后作为协议补充文件，双方均应遵照执行。</w:t>
      </w:r>
    </w:p>
    <w:p w14:paraId="49E33F4A">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2.调解：</w:t>
      </w:r>
    </w:p>
    <w:p w14:paraId="2C2E97F4">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如双方不能在收到上述通知后的30天内或双方另行商定的其他时间内解决该争议，可以就该争议请求行政主管部门、行业协会或双方另行约定的第三方进行调解，调解达成协议的，经双方签字并盖章后作为协议补充文件，双方均应遵照执行。</w:t>
      </w:r>
    </w:p>
    <w:p w14:paraId="4F199403">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3.仲裁或诉讼：</w:t>
      </w:r>
    </w:p>
    <w:p w14:paraId="7A895C00">
      <w:pPr>
        <w:widowControl/>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对于因协议及协议有关事项产生的争议，双方均有权不经和解或调解直接向仲裁机构申请仲裁或向有管辖权的人民法院提起诉讼。</w:t>
      </w:r>
    </w:p>
    <w:tbl>
      <w:tblPr>
        <w:tblStyle w:val="10"/>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1"/>
        <w:gridCol w:w="4149"/>
      </w:tblGrid>
      <w:tr w14:paraId="2B101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1" w:type="dxa"/>
            <w:noWrap w:val="0"/>
            <w:vAlign w:val="top"/>
          </w:tcPr>
          <w:p w14:paraId="05F664A1">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甲方（盖章）：</w:t>
            </w:r>
          </w:p>
          <w:p w14:paraId="333B2EAC">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sz w:val="24"/>
              </w:rPr>
              <w:t>法定代表人或</w:t>
            </w:r>
            <w:r>
              <w:rPr>
                <w:rFonts w:hint="eastAsia" w:ascii="宋体" w:hAnsi="宋体" w:eastAsia="宋体" w:cs="宋体"/>
                <w:color w:val="auto"/>
                <w:kern w:val="0"/>
                <w:sz w:val="24"/>
              </w:rPr>
              <w:t>授权经办人（签字）：</w:t>
            </w:r>
          </w:p>
          <w:p w14:paraId="253CBCE3">
            <w:pPr>
              <w:widowControl/>
              <w:snapToGrid w:val="0"/>
              <w:spacing w:line="360" w:lineRule="auto"/>
              <w:jc w:val="left"/>
              <w:rPr>
                <w:rFonts w:hint="eastAsia" w:ascii="宋体" w:hAnsi="宋体" w:eastAsia="宋体" w:cs="宋体"/>
                <w:color w:val="auto"/>
                <w:kern w:val="0"/>
                <w:sz w:val="24"/>
              </w:rPr>
            </w:pPr>
          </w:p>
          <w:p w14:paraId="1143FE4B">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sz w:val="24"/>
              </w:rPr>
              <w:t>地址：</w:t>
            </w:r>
          </w:p>
          <w:p w14:paraId="32286831">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电话：</w:t>
            </w:r>
          </w:p>
          <w:p w14:paraId="5D7A82FE">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传真：</w:t>
            </w:r>
          </w:p>
          <w:p w14:paraId="204A43C3">
            <w:pPr>
              <w:widowControl/>
              <w:snapToGrid w:val="0"/>
              <w:spacing w:line="360" w:lineRule="auto"/>
              <w:jc w:val="left"/>
              <w:rPr>
                <w:rFonts w:hint="eastAsia" w:ascii="宋体" w:hAnsi="宋体" w:eastAsia="宋体" w:cs="宋体"/>
                <w:color w:val="auto"/>
                <w:sz w:val="24"/>
              </w:rPr>
            </w:pPr>
            <w:r>
              <w:rPr>
                <w:rFonts w:hint="eastAsia" w:ascii="宋体" w:hAnsi="宋体" w:eastAsia="宋体" w:cs="宋体"/>
                <w:color w:val="auto"/>
                <w:sz w:val="24"/>
              </w:rPr>
              <w:t>开户银行：</w:t>
            </w:r>
          </w:p>
          <w:p w14:paraId="2EDE14B0">
            <w:pPr>
              <w:widowControl/>
              <w:snapToGrid w:val="0"/>
              <w:spacing w:line="360" w:lineRule="auto"/>
              <w:jc w:val="left"/>
              <w:rPr>
                <w:rFonts w:hint="eastAsia" w:ascii="宋体" w:hAnsi="宋体" w:eastAsia="宋体" w:cs="宋体"/>
                <w:color w:val="auto"/>
                <w:sz w:val="24"/>
              </w:rPr>
            </w:pPr>
            <w:r>
              <w:rPr>
                <w:rFonts w:hint="eastAsia" w:ascii="宋体" w:hAnsi="宋体" w:eastAsia="宋体" w:cs="宋体"/>
                <w:color w:val="auto"/>
                <w:sz w:val="24"/>
              </w:rPr>
              <w:t>帐号：</w:t>
            </w:r>
          </w:p>
          <w:p w14:paraId="1BA96DD8">
            <w:pPr>
              <w:widowControl/>
              <w:snapToGrid w:val="0"/>
              <w:spacing w:line="360" w:lineRule="auto"/>
              <w:jc w:val="left"/>
              <w:rPr>
                <w:rFonts w:hint="eastAsia" w:ascii="宋体" w:hAnsi="宋体" w:eastAsia="宋体" w:cs="宋体"/>
                <w:color w:val="auto"/>
                <w:sz w:val="24"/>
              </w:rPr>
            </w:pPr>
          </w:p>
          <w:p w14:paraId="583C27F3">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sz w:val="24"/>
              </w:rPr>
              <w:t>签署日期：</w:t>
            </w:r>
          </w:p>
        </w:tc>
        <w:tc>
          <w:tcPr>
            <w:tcW w:w="4149" w:type="dxa"/>
            <w:noWrap w:val="0"/>
            <w:vAlign w:val="top"/>
          </w:tcPr>
          <w:p w14:paraId="35DEC535">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乙方（盖章）：</w:t>
            </w:r>
          </w:p>
          <w:p w14:paraId="440CE314">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sz w:val="24"/>
              </w:rPr>
              <w:t>法定代表人或</w:t>
            </w:r>
            <w:r>
              <w:rPr>
                <w:rFonts w:hint="eastAsia" w:ascii="宋体" w:hAnsi="宋体" w:eastAsia="宋体" w:cs="宋体"/>
                <w:color w:val="auto"/>
                <w:kern w:val="0"/>
                <w:sz w:val="24"/>
              </w:rPr>
              <w:t>项目负责人（签字）：</w:t>
            </w:r>
          </w:p>
          <w:p w14:paraId="5106D607">
            <w:pPr>
              <w:widowControl/>
              <w:snapToGrid w:val="0"/>
              <w:spacing w:line="360" w:lineRule="auto"/>
              <w:jc w:val="left"/>
              <w:rPr>
                <w:rFonts w:hint="eastAsia" w:ascii="宋体" w:hAnsi="宋体" w:eastAsia="宋体" w:cs="宋体"/>
                <w:color w:val="auto"/>
                <w:kern w:val="0"/>
                <w:sz w:val="24"/>
              </w:rPr>
            </w:pPr>
          </w:p>
          <w:p w14:paraId="4AEAC5DE">
            <w:pPr>
              <w:widowControl/>
              <w:snapToGrid w:val="0"/>
              <w:spacing w:line="360" w:lineRule="auto"/>
              <w:jc w:val="left"/>
              <w:rPr>
                <w:rFonts w:hint="eastAsia" w:ascii="宋体" w:hAnsi="宋体" w:eastAsia="宋体" w:cs="宋体"/>
                <w:color w:val="auto"/>
                <w:sz w:val="24"/>
              </w:rPr>
            </w:pPr>
            <w:r>
              <w:rPr>
                <w:rFonts w:hint="eastAsia" w:ascii="宋体" w:hAnsi="宋体" w:eastAsia="宋体" w:cs="宋体"/>
                <w:color w:val="auto"/>
                <w:sz w:val="24"/>
              </w:rPr>
              <w:t>地址：</w:t>
            </w:r>
          </w:p>
          <w:p w14:paraId="17A1CE03">
            <w:pPr>
              <w:widowControl/>
              <w:snapToGrid w:val="0"/>
              <w:spacing w:line="360" w:lineRule="auto"/>
              <w:jc w:val="left"/>
              <w:rPr>
                <w:rFonts w:hint="eastAsia" w:ascii="宋体" w:hAnsi="宋体" w:eastAsia="宋体" w:cs="宋体"/>
                <w:color w:val="auto"/>
                <w:sz w:val="24"/>
              </w:rPr>
            </w:pPr>
            <w:r>
              <w:rPr>
                <w:rFonts w:hint="eastAsia" w:ascii="宋体" w:hAnsi="宋体" w:eastAsia="宋体" w:cs="宋体"/>
                <w:color w:val="auto"/>
                <w:sz w:val="24"/>
              </w:rPr>
              <w:t>电话：</w:t>
            </w:r>
          </w:p>
          <w:p w14:paraId="221B2C37">
            <w:pPr>
              <w:widowControl/>
              <w:snapToGrid w:val="0"/>
              <w:spacing w:line="360" w:lineRule="auto"/>
              <w:jc w:val="left"/>
              <w:rPr>
                <w:rFonts w:hint="eastAsia" w:ascii="宋体" w:hAnsi="宋体" w:eastAsia="宋体" w:cs="宋体"/>
                <w:color w:val="auto"/>
                <w:sz w:val="24"/>
              </w:rPr>
            </w:pPr>
            <w:r>
              <w:rPr>
                <w:rFonts w:hint="eastAsia" w:ascii="宋体" w:hAnsi="宋体" w:eastAsia="宋体" w:cs="宋体"/>
                <w:color w:val="auto"/>
                <w:sz w:val="24"/>
              </w:rPr>
              <w:t>传真：</w:t>
            </w:r>
          </w:p>
          <w:p w14:paraId="79A490DC">
            <w:pPr>
              <w:widowControl/>
              <w:snapToGrid w:val="0"/>
              <w:spacing w:line="360" w:lineRule="auto"/>
              <w:jc w:val="left"/>
              <w:rPr>
                <w:rFonts w:hint="eastAsia" w:ascii="宋体" w:hAnsi="宋体" w:eastAsia="宋体" w:cs="宋体"/>
                <w:color w:val="auto"/>
                <w:sz w:val="24"/>
              </w:rPr>
            </w:pPr>
            <w:r>
              <w:rPr>
                <w:rFonts w:hint="eastAsia" w:ascii="宋体" w:hAnsi="宋体" w:eastAsia="宋体" w:cs="宋体"/>
                <w:color w:val="auto"/>
                <w:sz w:val="24"/>
              </w:rPr>
              <w:t>开户银行：</w:t>
            </w:r>
          </w:p>
          <w:p w14:paraId="34F339E4">
            <w:pPr>
              <w:widowControl/>
              <w:snapToGrid w:val="0"/>
              <w:spacing w:line="360" w:lineRule="auto"/>
              <w:jc w:val="left"/>
              <w:rPr>
                <w:rFonts w:hint="eastAsia" w:ascii="宋体" w:hAnsi="宋体" w:eastAsia="宋体" w:cs="宋体"/>
                <w:color w:val="auto"/>
                <w:sz w:val="24"/>
              </w:rPr>
            </w:pPr>
            <w:r>
              <w:rPr>
                <w:rFonts w:hint="eastAsia" w:ascii="宋体" w:hAnsi="宋体" w:eastAsia="宋体" w:cs="宋体"/>
                <w:color w:val="auto"/>
                <w:sz w:val="24"/>
              </w:rPr>
              <w:t>帐号：</w:t>
            </w:r>
          </w:p>
          <w:p w14:paraId="542D17D6">
            <w:pPr>
              <w:widowControl/>
              <w:snapToGrid w:val="0"/>
              <w:spacing w:line="360" w:lineRule="auto"/>
              <w:jc w:val="left"/>
              <w:rPr>
                <w:rFonts w:hint="eastAsia" w:ascii="宋体" w:hAnsi="宋体" w:eastAsia="宋体" w:cs="宋体"/>
                <w:color w:val="auto"/>
                <w:sz w:val="24"/>
              </w:rPr>
            </w:pPr>
          </w:p>
          <w:p w14:paraId="282FBECB">
            <w:pPr>
              <w:widowControl/>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sz w:val="24"/>
              </w:rPr>
              <w:t>签署日期：</w:t>
            </w:r>
          </w:p>
        </w:tc>
      </w:tr>
    </w:tbl>
    <w:p w14:paraId="4078E1D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p>
    <w:p w14:paraId="0F8671A8">
      <w:pPr>
        <w:jc w:val="center"/>
        <w:rPr>
          <w:rFonts w:hint="eastAsia" w:ascii="宋体" w:hAnsi="宋体" w:eastAsia="宋体" w:cs="宋体"/>
          <w:color w:val="auto"/>
          <w:highlight w:val="none"/>
        </w:rPr>
      </w:pPr>
    </w:p>
    <w:p w14:paraId="6C64F909">
      <w:pPr>
        <w:snapToGrid w:val="0"/>
        <w:spacing w:line="360" w:lineRule="auto"/>
        <w:ind w:firstLine="600" w:firstLineChars="200"/>
        <w:jc w:val="center"/>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br w:type="page"/>
      </w:r>
    </w:p>
    <w:p w14:paraId="690F4B35">
      <w:pPr>
        <w:pStyle w:val="5"/>
        <w:snapToGrid w:val="0"/>
        <w:spacing w:before="0" w:beforeLines="0" w:after="0" w:afterLines="0" w:line="360" w:lineRule="auto"/>
        <w:jc w:val="center"/>
        <w:outlineLvl w:val="0"/>
        <w:rPr>
          <w:rFonts w:hint="eastAsia" w:ascii="宋体" w:hAnsi="宋体" w:eastAsia="宋体" w:cs="宋体"/>
          <w:b/>
          <w:color w:val="auto"/>
          <w:sz w:val="30"/>
          <w:szCs w:val="30"/>
          <w:highlight w:val="none"/>
        </w:rPr>
      </w:pPr>
      <w:bookmarkStart w:id="18" w:name="_Toc13249"/>
      <w:r>
        <w:rPr>
          <w:rFonts w:hint="eastAsia" w:ascii="宋体" w:hAnsi="宋体" w:eastAsia="宋体" w:cs="宋体"/>
          <w:b/>
          <w:color w:val="auto"/>
          <w:sz w:val="30"/>
          <w:szCs w:val="30"/>
          <w:highlight w:val="none"/>
        </w:rPr>
        <w:t>第六章　投标文件格式</w:t>
      </w:r>
      <w:bookmarkEnd w:id="18"/>
    </w:p>
    <w:p w14:paraId="611D7A59">
      <w:pPr>
        <w:snapToGrid w:val="0"/>
        <w:spacing w:line="360" w:lineRule="auto"/>
        <w:rPr>
          <w:rFonts w:hint="eastAsia" w:ascii="宋体" w:hAnsi="宋体" w:eastAsia="宋体" w:cs="宋体"/>
          <w:b/>
          <w:color w:val="auto"/>
          <w:sz w:val="24"/>
          <w:highlight w:val="none"/>
        </w:rPr>
      </w:pPr>
    </w:p>
    <w:p w14:paraId="49C183E0">
      <w:pPr>
        <w:snapToGrid w:val="0"/>
        <w:spacing w:line="360" w:lineRule="auto"/>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技术资信标书/商务经济标书封面格式</w:t>
      </w:r>
    </w:p>
    <w:p w14:paraId="79AAE110">
      <w:pPr>
        <w:snapToGrid w:val="0"/>
        <w:spacing w:line="360" w:lineRule="auto"/>
        <w:rPr>
          <w:rFonts w:hint="eastAsia" w:ascii="宋体" w:hAnsi="宋体" w:eastAsia="宋体" w:cs="宋体"/>
          <w:b/>
          <w:bCs/>
          <w:color w:val="auto"/>
          <w:sz w:val="32"/>
          <w:szCs w:val="20"/>
          <w:highlight w:val="none"/>
        </w:rPr>
      </w:pPr>
      <w:r>
        <w:rPr>
          <w:rFonts w:hint="eastAsia" w:ascii="宋体" w:hAnsi="宋体" w:eastAsia="宋体" w:cs="宋体"/>
          <w:color w:val="auto"/>
          <w:sz w:val="24"/>
          <w:highlight w:val="none"/>
        </w:rPr>
        <w:t xml:space="preserve">                                                    </w:t>
      </w:r>
    </w:p>
    <w:p w14:paraId="5422720C">
      <w:pPr>
        <w:snapToGrid w:val="0"/>
        <w:spacing w:line="360" w:lineRule="auto"/>
        <w:jc w:val="center"/>
        <w:rPr>
          <w:rFonts w:hint="eastAsia" w:ascii="宋体" w:hAnsi="宋体" w:eastAsia="宋体" w:cs="宋体"/>
          <w:bCs/>
          <w:color w:val="auto"/>
          <w:sz w:val="24"/>
          <w:szCs w:val="20"/>
          <w:highlight w:val="none"/>
        </w:rPr>
      </w:pPr>
    </w:p>
    <w:p w14:paraId="6F2243AD">
      <w:pPr>
        <w:snapToGrid w:val="0"/>
        <w:spacing w:line="360" w:lineRule="auto"/>
        <w:jc w:val="center"/>
        <w:rPr>
          <w:rFonts w:hint="eastAsia" w:ascii="宋体" w:hAnsi="宋体" w:eastAsia="宋体" w:cs="宋体"/>
          <w:b/>
          <w:bCs/>
          <w:color w:val="auto"/>
          <w:sz w:val="52"/>
          <w:szCs w:val="52"/>
          <w:highlight w:val="none"/>
        </w:rPr>
      </w:pPr>
      <w:r>
        <w:rPr>
          <w:rFonts w:hint="eastAsia" w:ascii="宋体" w:hAnsi="宋体" w:eastAsia="宋体" w:cs="宋体"/>
          <w:b/>
          <w:bCs/>
          <w:color w:val="auto"/>
          <w:sz w:val="52"/>
          <w:szCs w:val="52"/>
          <w:highlight w:val="none"/>
        </w:rPr>
        <w:t>技术资信标书/商务经济标书</w:t>
      </w:r>
    </w:p>
    <w:p w14:paraId="7458C555">
      <w:pPr>
        <w:snapToGrid w:val="0"/>
        <w:spacing w:line="360" w:lineRule="auto"/>
        <w:rPr>
          <w:rFonts w:hint="eastAsia" w:ascii="宋体" w:hAnsi="宋体" w:eastAsia="宋体" w:cs="宋体"/>
          <w:bCs/>
          <w:color w:val="auto"/>
          <w:sz w:val="24"/>
          <w:szCs w:val="20"/>
          <w:highlight w:val="none"/>
        </w:rPr>
      </w:pPr>
    </w:p>
    <w:p w14:paraId="28AD942D">
      <w:pPr>
        <w:snapToGrid w:val="0"/>
        <w:spacing w:line="360" w:lineRule="auto"/>
        <w:ind w:left="989" w:leftChars="471"/>
        <w:rPr>
          <w:rFonts w:hint="eastAsia" w:ascii="宋体" w:hAnsi="宋体" w:eastAsia="宋体" w:cs="宋体"/>
          <w:bCs/>
          <w:color w:val="auto"/>
          <w:sz w:val="28"/>
          <w:szCs w:val="28"/>
          <w:highlight w:val="none"/>
          <w:lang w:eastAsia="zh-CN"/>
        </w:rPr>
      </w:pPr>
      <w:r>
        <w:rPr>
          <w:rFonts w:hint="eastAsia" w:ascii="宋体" w:hAnsi="宋体" w:eastAsia="宋体" w:cs="宋体"/>
          <w:bCs/>
          <w:color w:val="auto"/>
          <w:sz w:val="28"/>
          <w:szCs w:val="28"/>
          <w:highlight w:val="none"/>
        </w:rPr>
        <w:t>招 标 人：</w:t>
      </w:r>
      <w:r>
        <w:rPr>
          <w:rFonts w:hint="eastAsia" w:ascii="宋体" w:hAnsi="宋体" w:eastAsia="宋体" w:cs="宋体"/>
          <w:bCs/>
          <w:color w:val="auto"/>
          <w:sz w:val="28"/>
          <w:szCs w:val="28"/>
          <w:highlight w:val="none"/>
          <w:lang w:eastAsia="zh-CN"/>
        </w:rPr>
        <w:t>巨化招标（交易）中心</w:t>
      </w:r>
    </w:p>
    <w:p w14:paraId="2DBE97B3">
      <w:pPr>
        <w:snapToGrid w:val="0"/>
        <w:spacing w:line="360" w:lineRule="auto"/>
        <w:ind w:left="989" w:leftChars="471"/>
        <w:rPr>
          <w:rFonts w:hint="eastAsia" w:ascii="宋体" w:hAnsi="宋体" w:eastAsia="宋体" w:cs="宋体"/>
          <w:bCs/>
          <w:color w:val="auto"/>
          <w:sz w:val="28"/>
          <w:szCs w:val="28"/>
          <w:highlight w:val="none"/>
          <w:lang w:eastAsia="zh-CN"/>
        </w:rPr>
      </w:pPr>
      <w:r>
        <w:rPr>
          <w:rFonts w:hint="eastAsia" w:ascii="宋体" w:hAnsi="宋体" w:eastAsia="宋体" w:cs="宋体"/>
          <w:bCs/>
          <w:color w:val="auto"/>
          <w:sz w:val="28"/>
          <w:szCs w:val="28"/>
          <w:highlight w:val="none"/>
        </w:rPr>
        <w:t>项目名称：</w:t>
      </w:r>
      <w:r>
        <w:rPr>
          <w:rFonts w:hint="eastAsia" w:ascii="宋体" w:hAnsi="宋体" w:eastAsia="宋体" w:cs="宋体"/>
          <w:bCs/>
          <w:color w:val="auto"/>
          <w:sz w:val="28"/>
          <w:szCs w:val="28"/>
          <w:highlight w:val="none"/>
          <w:lang w:eastAsia="zh-CN"/>
        </w:rPr>
        <w:t>巨化集团有限公司招标代理机构选择</w:t>
      </w:r>
    </w:p>
    <w:p w14:paraId="67B2B9B0">
      <w:pPr>
        <w:snapToGrid w:val="0"/>
        <w:spacing w:line="360" w:lineRule="auto"/>
        <w:ind w:firstLine="1243" w:firstLineChars="444"/>
        <w:rPr>
          <w:rFonts w:hint="eastAsia" w:ascii="宋体" w:hAnsi="宋体" w:eastAsia="宋体" w:cs="宋体"/>
          <w:bCs/>
          <w:color w:val="auto"/>
          <w:sz w:val="28"/>
          <w:szCs w:val="28"/>
          <w:highlight w:val="none"/>
        </w:rPr>
      </w:pPr>
    </w:p>
    <w:p w14:paraId="1A7D15C8">
      <w:pPr>
        <w:snapToGrid w:val="0"/>
        <w:spacing w:line="360" w:lineRule="auto"/>
        <w:ind w:firstLine="1243" w:firstLineChars="444"/>
        <w:rPr>
          <w:rFonts w:hint="eastAsia" w:ascii="宋体" w:hAnsi="宋体" w:eastAsia="宋体" w:cs="宋体"/>
          <w:bCs/>
          <w:color w:val="auto"/>
          <w:sz w:val="28"/>
          <w:szCs w:val="28"/>
          <w:highlight w:val="none"/>
        </w:rPr>
      </w:pPr>
    </w:p>
    <w:p w14:paraId="7FF09241">
      <w:pPr>
        <w:snapToGrid w:val="0"/>
        <w:spacing w:line="360" w:lineRule="auto"/>
        <w:ind w:firstLine="1243" w:firstLineChars="444"/>
        <w:rPr>
          <w:rFonts w:hint="eastAsia" w:ascii="宋体" w:hAnsi="宋体" w:eastAsia="宋体" w:cs="宋体"/>
          <w:bCs/>
          <w:color w:val="auto"/>
          <w:sz w:val="28"/>
          <w:szCs w:val="28"/>
          <w:highlight w:val="none"/>
        </w:rPr>
      </w:pPr>
    </w:p>
    <w:p w14:paraId="14CE3163">
      <w:pPr>
        <w:snapToGrid w:val="0"/>
        <w:spacing w:line="360" w:lineRule="auto"/>
        <w:ind w:firstLine="1243" w:firstLineChars="444"/>
        <w:rPr>
          <w:rFonts w:hint="eastAsia" w:ascii="宋体" w:hAnsi="宋体" w:eastAsia="宋体" w:cs="宋体"/>
          <w:bCs/>
          <w:color w:val="auto"/>
          <w:sz w:val="28"/>
          <w:szCs w:val="28"/>
          <w:highlight w:val="none"/>
        </w:rPr>
      </w:pPr>
    </w:p>
    <w:p w14:paraId="7384E9A7">
      <w:pPr>
        <w:snapToGrid w:val="0"/>
        <w:spacing w:line="360" w:lineRule="auto"/>
        <w:ind w:firstLine="1243" w:firstLineChars="444"/>
        <w:rPr>
          <w:rFonts w:hint="eastAsia" w:ascii="宋体" w:hAnsi="宋体" w:eastAsia="宋体" w:cs="宋体"/>
          <w:bCs/>
          <w:color w:val="auto"/>
          <w:sz w:val="28"/>
          <w:szCs w:val="28"/>
          <w:highlight w:val="none"/>
        </w:rPr>
      </w:pPr>
    </w:p>
    <w:p w14:paraId="31148226">
      <w:pPr>
        <w:snapToGrid w:val="0"/>
        <w:spacing w:line="360" w:lineRule="auto"/>
        <w:ind w:firstLine="1243" w:firstLineChars="444"/>
        <w:rPr>
          <w:rFonts w:hint="eastAsia" w:ascii="宋体" w:hAnsi="宋体" w:eastAsia="宋体" w:cs="宋体"/>
          <w:bCs/>
          <w:color w:val="auto"/>
          <w:sz w:val="28"/>
          <w:szCs w:val="28"/>
          <w:highlight w:val="none"/>
        </w:rPr>
      </w:pPr>
    </w:p>
    <w:p w14:paraId="2E75F395">
      <w:pPr>
        <w:snapToGrid w:val="0"/>
        <w:spacing w:line="360" w:lineRule="auto"/>
        <w:ind w:firstLine="1243" w:firstLineChars="444"/>
        <w:rPr>
          <w:rFonts w:hint="eastAsia" w:ascii="宋体" w:hAnsi="宋体" w:eastAsia="宋体" w:cs="宋体"/>
          <w:bCs/>
          <w:color w:val="auto"/>
          <w:sz w:val="28"/>
          <w:szCs w:val="28"/>
          <w:highlight w:val="none"/>
        </w:rPr>
      </w:pPr>
    </w:p>
    <w:p w14:paraId="3AF1D5FB">
      <w:pPr>
        <w:pStyle w:val="3"/>
        <w:snapToGrid w:val="0"/>
        <w:spacing w:line="360" w:lineRule="auto"/>
        <w:ind w:firstLine="1260" w:firstLineChars="450"/>
        <w:rPr>
          <w:rFonts w:hint="eastAsia" w:ascii="宋体" w:hAnsi="宋体" w:eastAsia="宋体" w:cs="宋体"/>
          <w:bCs/>
          <w:color w:val="auto"/>
          <w:sz w:val="28"/>
          <w:szCs w:val="28"/>
          <w:highlight w:val="none"/>
        </w:rPr>
      </w:pPr>
    </w:p>
    <w:p w14:paraId="008AE438">
      <w:pPr>
        <w:pStyle w:val="3"/>
        <w:snapToGrid w:val="0"/>
        <w:spacing w:line="360" w:lineRule="auto"/>
        <w:ind w:firstLine="1260" w:firstLineChars="45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投标人名称：（盖章）</w:t>
      </w:r>
    </w:p>
    <w:p w14:paraId="274FB1FF">
      <w:pPr>
        <w:pStyle w:val="3"/>
        <w:snapToGrid w:val="0"/>
        <w:spacing w:line="360" w:lineRule="auto"/>
        <w:ind w:firstLine="1260" w:firstLineChars="45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投标人地址：</w:t>
      </w:r>
    </w:p>
    <w:p w14:paraId="1BF46CAC">
      <w:pPr>
        <w:snapToGrid w:val="0"/>
        <w:spacing w:line="360" w:lineRule="auto"/>
        <w:ind w:firstLine="645"/>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p>
    <w:p w14:paraId="1BF56898">
      <w:pPr>
        <w:snapToGrid w:val="0"/>
        <w:spacing w:line="360" w:lineRule="auto"/>
        <w:ind w:firstLine="645"/>
        <w:jc w:val="center"/>
        <w:rPr>
          <w:rFonts w:hint="eastAsia" w:ascii="宋体" w:hAnsi="宋体" w:eastAsia="宋体" w:cs="宋体"/>
          <w:color w:val="auto"/>
          <w:sz w:val="24"/>
          <w:szCs w:val="20"/>
          <w:highlight w:val="none"/>
        </w:rPr>
      </w:pPr>
      <w:r>
        <w:rPr>
          <w:rFonts w:hint="eastAsia" w:ascii="宋体" w:hAnsi="宋体" w:eastAsia="宋体" w:cs="宋体"/>
          <w:color w:val="auto"/>
          <w:sz w:val="28"/>
          <w:szCs w:val="28"/>
          <w:highlight w:val="none"/>
        </w:rPr>
        <w:t>年  月  日</w:t>
      </w:r>
    </w:p>
    <w:p w14:paraId="4A5F72BD">
      <w:pPr>
        <w:snapToGrid w:val="0"/>
        <w:spacing w:line="360" w:lineRule="auto"/>
        <w:jc w:val="left"/>
        <w:rPr>
          <w:rFonts w:hint="eastAsia" w:ascii="宋体" w:hAnsi="宋体" w:eastAsia="宋体" w:cs="宋体"/>
          <w:b/>
          <w:color w:val="auto"/>
          <w:sz w:val="24"/>
          <w:highlight w:val="none"/>
        </w:rPr>
      </w:pPr>
      <w:r>
        <w:rPr>
          <w:rFonts w:hint="eastAsia" w:ascii="宋体" w:hAnsi="宋体" w:eastAsia="宋体" w:cs="宋体"/>
          <w:color w:val="auto"/>
          <w:highlight w:val="none"/>
        </w:rPr>
        <w:br w:type="page"/>
      </w:r>
      <w:r>
        <w:rPr>
          <w:rFonts w:hint="eastAsia" w:ascii="宋体" w:hAnsi="宋体" w:eastAsia="宋体" w:cs="宋体"/>
          <w:b/>
          <w:color w:val="auto"/>
          <w:sz w:val="24"/>
          <w:highlight w:val="none"/>
        </w:rPr>
        <w:t>（三）投标文件的组成</w:t>
      </w:r>
    </w:p>
    <w:p w14:paraId="48CDF7B8">
      <w:pPr>
        <w:pStyle w:val="5"/>
        <w:snapToGrid w:val="0"/>
        <w:spacing w:before="0" w:beforeLines="0" w:after="0" w:afterLines="0" w:line="360" w:lineRule="auto"/>
        <w:ind w:firstLine="426"/>
        <w:rPr>
          <w:rFonts w:hint="eastAsia" w:ascii="宋体" w:hAnsi="宋体" w:eastAsia="宋体" w:cs="宋体"/>
          <w:b/>
          <w:color w:val="auto"/>
          <w:highlight w:val="none"/>
          <w:lang w:eastAsia="zh-CN"/>
        </w:rPr>
      </w:pPr>
      <w:r>
        <w:rPr>
          <w:rFonts w:hint="eastAsia" w:ascii="宋体" w:hAnsi="宋体" w:eastAsia="宋体" w:cs="宋体"/>
          <w:b/>
          <w:color w:val="auto"/>
          <w:highlight w:val="none"/>
          <w:lang w:eastAsia="zh-CN"/>
        </w:rPr>
        <w:t>详见“第二章  投标人须知”- “三、投标文件的编制”-“（一）投标文件的组成”</w:t>
      </w:r>
    </w:p>
    <w:p w14:paraId="1C9EC7B7">
      <w:pPr>
        <w:snapToGrid w:val="0"/>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2F7515B9">
      <w:pPr>
        <w:snapToGrid w:val="0"/>
        <w:spacing w:line="360" w:lineRule="auto"/>
        <w:jc w:val="center"/>
        <w:rPr>
          <w:rFonts w:hint="eastAsia" w:ascii="宋体" w:hAnsi="宋体" w:eastAsia="宋体" w:cs="宋体"/>
          <w:b/>
          <w:color w:val="auto"/>
          <w:sz w:val="30"/>
          <w:szCs w:val="30"/>
          <w:highlight w:val="none"/>
        </w:rPr>
      </w:pPr>
    </w:p>
    <w:p w14:paraId="025EC5B2">
      <w:pPr>
        <w:snapToGrid w:val="0"/>
        <w:spacing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投 标 函</w:t>
      </w:r>
    </w:p>
    <w:p w14:paraId="33BE8402">
      <w:pPr>
        <w:snapToGrid w:val="0"/>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lang w:eastAsia="zh-CN"/>
        </w:rPr>
        <w:t>巨化招标（交易）中心</w:t>
      </w:r>
    </w:p>
    <w:p w14:paraId="0AF048C8">
      <w:pPr>
        <w:snapToGrid w:val="0"/>
        <w:spacing w:line="360" w:lineRule="auto"/>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根据贵方为</w:t>
      </w:r>
      <w:r>
        <w:rPr>
          <w:rFonts w:hint="eastAsia" w:ascii="宋体" w:hAnsi="宋体" w:eastAsia="宋体" w:cs="宋体"/>
          <w:color w:val="auto"/>
          <w:sz w:val="24"/>
          <w:highlight w:val="none"/>
          <w:u w:val="single"/>
          <w:lang w:eastAsia="zh-CN"/>
        </w:rPr>
        <w:t>巨化集团有限公司招标代理机构选择</w:t>
      </w:r>
      <w:r>
        <w:rPr>
          <w:rFonts w:hint="eastAsia" w:ascii="宋体" w:hAnsi="宋体" w:eastAsia="宋体" w:cs="宋体"/>
          <w:color w:val="auto"/>
          <w:sz w:val="24"/>
          <w:highlight w:val="none"/>
        </w:rPr>
        <w:t>的投标</w:t>
      </w:r>
      <w:r>
        <w:rPr>
          <w:rFonts w:hint="eastAsia" w:ascii="宋体" w:hAnsi="宋体" w:eastAsia="宋体" w:cs="宋体"/>
          <w:color w:val="auto"/>
          <w:sz w:val="24"/>
          <w:highlight w:val="none"/>
          <w:lang w:eastAsia="zh-CN"/>
        </w:rPr>
        <w:t>要求，</w:t>
      </w:r>
      <w:r>
        <w:rPr>
          <w:rFonts w:hint="eastAsia" w:ascii="宋体" w:hAnsi="宋体" w:eastAsia="宋体" w:cs="宋体"/>
          <w:color w:val="auto"/>
          <w:sz w:val="24"/>
          <w:highlight w:val="none"/>
        </w:rPr>
        <w:t>投标人</w:t>
      </w:r>
      <w:r>
        <w:rPr>
          <w:rFonts w:hint="eastAsia" w:ascii="宋体" w:hAnsi="宋体" w:eastAsia="宋体" w:cs="宋体"/>
          <w:color w:val="auto"/>
          <w:sz w:val="24"/>
          <w:highlight w:val="none"/>
          <w:u w:val="single"/>
        </w:rPr>
        <w:t>（投标人名称）</w:t>
      </w:r>
      <w:r>
        <w:rPr>
          <w:rFonts w:hint="eastAsia" w:ascii="宋体" w:hAnsi="宋体" w:eastAsia="宋体" w:cs="宋体"/>
          <w:color w:val="auto"/>
          <w:sz w:val="24"/>
          <w:highlight w:val="none"/>
        </w:rPr>
        <w:t>在电子交易平台提交投标文件。</w:t>
      </w:r>
    </w:p>
    <w:p w14:paraId="05E58C8F">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据此函，签字代表宣布同意如下：</w:t>
      </w:r>
    </w:p>
    <w:p w14:paraId="2A7B4F48">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人已详细审查全部“招标文件”，包括修改、澄清文件（如有的话）以及全部参考资料和有关附件，已经了解我方对于招标文件、招标过程、中标结果有依法进行询问、质疑、投诉的权利及相关渠道和要求。</w:t>
      </w:r>
    </w:p>
    <w:p w14:paraId="4AA80E35">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2.投标人在投标之前已经与贵方进行了充分的沟通，完全理解并接受招标文件的各项规定和要求，对招标文件的合理性、合法性不再有异议。</w:t>
      </w:r>
    </w:p>
    <w:p w14:paraId="179465E3">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3.投标有效期自开标日起</w:t>
      </w:r>
      <w:r>
        <w:rPr>
          <w:rFonts w:hint="eastAsia" w:ascii="宋体" w:hAnsi="宋体" w:eastAsia="宋体" w:cs="宋体"/>
          <w:color w:val="auto"/>
          <w:sz w:val="24"/>
          <w:highlight w:val="none"/>
          <w:u w:val="single"/>
        </w:rPr>
        <w:t xml:space="preserve"> 90</w:t>
      </w:r>
      <w:r>
        <w:rPr>
          <w:rFonts w:hint="eastAsia" w:ascii="宋体" w:hAnsi="宋体" w:eastAsia="宋体" w:cs="宋体"/>
          <w:color w:val="auto"/>
          <w:sz w:val="24"/>
          <w:highlight w:val="none"/>
        </w:rPr>
        <w:t>个日历天。</w:t>
      </w:r>
    </w:p>
    <w:p w14:paraId="589DC42E">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4.如中标，本投标文件至本项目合同履行完毕止均保持有效，本投标人将按“招标文件”及招标法律、法规的规定履行合同责任和义务。</w:t>
      </w:r>
    </w:p>
    <w:p w14:paraId="75A61B01">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5.投标人同意按照贵方要求提供与投标有关的一切数据或资料。</w:t>
      </w:r>
    </w:p>
    <w:p w14:paraId="535B9D62">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6.与本投标有关的一切正式往来信函请寄：</w:t>
      </w:r>
    </w:p>
    <w:p w14:paraId="0EAE4BAC">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电话：</w:t>
      </w:r>
      <w:r>
        <w:rPr>
          <w:rFonts w:hint="eastAsia" w:ascii="宋体" w:hAnsi="宋体" w:eastAsia="宋体" w:cs="宋体"/>
          <w:color w:val="auto"/>
          <w:sz w:val="24"/>
          <w:highlight w:val="none"/>
          <w:u w:val="single"/>
        </w:rPr>
        <w:t xml:space="preserve">          </w:t>
      </w:r>
    </w:p>
    <w:p w14:paraId="128FC112">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传真：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联系人姓名：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w:t>
      </w:r>
      <w:r>
        <w:rPr>
          <w:rFonts w:hint="eastAsia" w:ascii="宋体" w:hAnsi="宋体" w:eastAsia="宋体" w:cs="宋体"/>
          <w:color w:val="auto"/>
          <w:sz w:val="24"/>
          <w:highlight w:val="none"/>
          <w:u w:val="single"/>
        </w:rPr>
        <w:t xml:space="preserve">          </w:t>
      </w:r>
    </w:p>
    <w:p w14:paraId="46503C32">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投标人名称:</w:t>
      </w:r>
      <w:r>
        <w:rPr>
          <w:rFonts w:hint="eastAsia" w:ascii="宋体" w:hAnsi="宋体" w:eastAsia="宋体" w:cs="宋体"/>
          <w:color w:val="auto"/>
          <w:sz w:val="24"/>
          <w:highlight w:val="none"/>
          <w:u w:val="single"/>
        </w:rPr>
        <w:t xml:space="preserve">                    （盖章）</w:t>
      </w:r>
    </w:p>
    <w:p w14:paraId="68F72379">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开户银行：</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银行帐号：</w:t>
      </w:r>
      <w:r>
        <w:rPr>
          <w:rFonts w:hint="eastAsia" w:ascii="宋体" w:hAnsi="宋体" w:eastAsia="宋体" w:cs="宋体"/>
          <w:color w:val="auto"/>
          <w:sz w:val="24"/>
          <w:highlight w:val="none"/>
          <w:u w:val="single"/>
        </w:rPr>
        <w:t xml:space="preserve">                    </w:t>
      </w:r>
    </w:p>
    <w:p w14:paraId="09949EF5">
      <w:pPr>
        <w:snapToGrid w:val="0"/>
        <w:spacing w:line="360" w:lineRule="auto"/>
        <w:rPr>
          <w:rFonts w:hint="eastAsia" w:ascii="宋体" w:hAnsi="宋体" w:eastAsia="宋体" w:cs="宋体"/>
          <w:color w:val="auto"/>
          <w:sz w:val="30"/>
          <w:highlight w:val="none"/>
        </w:rPr>
      </w:pPr>
      <w:r>
        <w:rPr>
          <w:rFonts w:hint="eastAsia" w:ascii="宋体" w:hAnsi="宋体" w:eastAsia="宋体" w:cs="宋体"/>
          <w:color w:val="auto"/>
          <w:sz w:val="24"/>
          <w:highlight w:val="none"/>
        </w:rPr>
        <w:t>日期：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37462F65">
      <w:pPr>
        <w:snapToGrid w:val="0"/>
        <w:spacing w:line="360" w:lineRule="auto"/>
        <w:rPr>
          <w:rFonts w:hint="eastAsia" w:ascii="宋体" w:hAnsi="宋体" w:eastAsia="宋体" w:cs="宋体"/>
          <w:color w:val="auto"/>
          <w:sz w:val="30"/>
          <w:szCs w:val="20"/>
          <w:highlight w:val="none"/>
        </w:rPr>
      </w:pPr>
    </w:p>
    <w:p w14:paraId="7EF81E37">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highlight w:val="none"/>
        </w:rPr>
        <w:br w:type="page"/>
      </w:r>
    </w:p>
    <w:p w14:paraId="167B11F9">
      <w:pPr>
        <w:snapToGrid w:val="0"/>
        <w:spacing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技术响应表</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2888"/>
        <w:gridCol w:w="3600"/>
        <w:gridCol w:w="1220"/>
      </w:tblGrid>
      <w:tr w14:paraId="424409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33B2DB99">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2888" w:type="dxa"/>
            <w:tcBorders>
              <w:top w:val="single" w:color="auto" w:sz="4" w:space="0"/>
              <w:left w:val="single" w:color="auto" w:sz="4" w:space="0"/>
              <w:bottom w:val="single" w:color="auto" w:sz="4" w:space="0"/>
              <w:right w:val="single" w:color="auto" w:sz="4" w:space="0"/>
            </w:tcBorders>
            <w:noWrap w:val="0"/>
            <w:vAlign w:val="top"/>
          </w:tcPr>
          <w:p w14:paraId="323FE350">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招标文件要求</w:t>
            </w:r>
          </w:p>
        </w:tc>
        <w:tc>
          <w:tcPr>
            <w:tcW w:w="3600" w:type="dxa"/>
            <w:tcBorders>
              <w:top w:val="single" w:color="auto" w:sz="4" w:space="0"/>
              <w:left w:val="single" w:color="auto" w:sz="4" w:space="0"/>
              <w:bottom w:val="single" w:color="auto" w:sz="4" w:space="0"/>
              <w:right w:val="single" w:color="auto" w:sz="4" w:space="0"/>
            </w:tcBorders>
            <w:noWrap w:val="0"/>
            <w:vAlign w:val="top"/>
          </w:tcPr>
          <w:p w14:paraId="458BC8AF">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noWrap w:val="0"/>
            <w:vAlign w:val="top"/>
          </w:tcPr>
          <w:p w14:paraId="70FBB339">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偏离情况</w:t>
            </w:r>
          </w:p>
        </w:tc>
      </w:tr>
      <w:tr w14:paraId="3B002B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center"/>
          </w:tcPr>
          <w:p w14:paraId="1AA15BE2">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center"/>
          </w:tcPr>
          <w:p w14:paraId="54B18E17">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7DE17E50">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4D325971">
            <w:pPr>
              <w:snapToGrid w:val="0"/>
              <w:spacing w:line="360" w:lineRule="auto"/>
              <w:rPr>
                <w:rFonts w:hint="eastAsia" w:ascii="宋体" w:hAnsi="宋体" w:eastAsia="宋体" w:cs="宋体"/>
                <w:color w:val="auto"/>
                <w:highlight w:val="none"/>
              </w:rPr>
            </w:pPr>
          </w:p>
        </w:tc>
      </w:tr>
      <w:tr w14:paraId="0D3712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val="0"/>
            <w:vAlign w:val="center"/>
          </w:tcPr>
          <w:p w14:paraId="002F382A">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center"/>
          </w:tcPr>
          <w:p w14:paraId="683D4A29">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6C532B4A">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645140A5">
            <w:pPr>
              <w:snapToGrid w:val="0"/>
              <w:spacing w:line="360" w:lineRule="auto"/>
              <w:rPr>
                <w:rFonts w:hint="eastAsia" w:ascii="宋体" w:hAnsi="宋体" w:eastAsia="宋体" w:cs="宋体"/>
                <w:color w:val="auto"/>
                <w:highlight w:val="none"/>
              </w:rPr>
            </w:pPr>
          </w:p>
        </w:tc>
      </w:tr>
      <w:tr w14:paraId="1B03B7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19A8A512">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0B15638A">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19101DFB">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04CB2466">
            <w:pPr>
              <w:snapToGrid w:val="0"/>
              <w:spacing w:line="360" w:lineRule="auto"/>
              <w:rPr>
                <w:rFonts w:hint="eastAsia" w:ascii="宋体" w:hAnsi="宋体" w:eastAsia="宋体" w:cs="宋体"/>
                <w:color w:val="auto"/>
                <w:highlight w:val="none"/>
              </w:rPr>
            </w:pPr>
          </w:p>
        </w:tc>
      </w:tr>
      <w:tr w14:paraId="4A0A07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1E79E25A">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5A072791">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57F75AF2">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259D6A62">
            <w:pPr>
              <w:snapToGrid w:val="0"/>
              <w:spacing w:line="360" w:lineRule="auto"/>
              <w:rPr>
                <w:rFonts w:hint="eastAsia" w:ascii="宋体" w:hAnsi="宋体" w:eastAsia="宋体" w:cs="宋体"/>
                <w:color w:val="auto"/>
                <w:highlight w:val="none"/>
              </w:rPr>
            </w:pPr>
          </w:p>
        </w:tc>
      </w:tr>
      <w:tr w14:paraId="7CEE50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1D7BD550">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596D4F3D">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0124D110">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0604E773">
            <w:pPr>
              <w:snapToGrid w:val="0"/>
              <w:spacing w:line="360" w:lineRule="auto"/>
              <w:rPr>
                <w:rFonts w:hint="eastAsia" w:ascii="宋体" w:hAnsi="宋体" w:eastAsia="宋体" w:cs="宋体"/>
                <w:color w:val="auto"/>
                <w:highlight w:val="none"/>
              </w:rPr>
            </w:pPr>
          </w:p>
        </w:tc>
      </w:tr>
      <w:tr w14:paraId="2ABFB8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029FDA57">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68C6989F">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59045167">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62468292">
            <w:pPr>
              <w:snapToGrid w:val="0"/>
              <w:spacing w:line="360" w:lineRule="auto"/>
              <w:rPr>
                <w:rFonts w:hint="eastAsia" w:ascii="宋体" w:hAnsi="宋体" w:eastAsia="宋体" w:cs="宋体"/>
                <w:color w:val="auto"/>
                <w:highlight w:val="none"/>
              </w:rPr>
            </w:pPr>
          </w:p>
        </w:tc>
      </w:tr>
      <w:tr w14:paraId="64A9CC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7F581A97">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68FC8114">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1310C226">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59FFC8AF">
            <w:pPr>
              <w:snapToGrid w:val="0"/>
              <w:spacing w:line="360" w:lineRule="auto"/>
              <w:rPr>
                <w:rFonts w:hint="eastAsia" w:ascii="宋体" w:hAnsi="宋体" w:eastAsia="宋体" w:cs="宋体"/>
                <w:color w:val="auto"/>
                <w:highlight w:val="none"/>
              </w:rPr>
            </w:pPr>
          </w:p>
        </w:tc>
      </w:tr>
      <w:tr w14:paraId="4940FC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47A478EF">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112E2852">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6EB347D0">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666920F2">
            <w:pPr>
              <w:snapToGrid w:val="0"/>
              <w:spacing w:line="360" w:lineRule="auto"/>
              <w:rPr>
                <w:rFonts w:hint="eastAsia" w:ascii="宋体" w:hAnsi="宋体" w:eastAsia="宋体" w:cs="宋体"/>
                <w:color w:val="auto"/>
                <w:highlight w:val="none"/>
              </w:rPr>
            </w:pPr>
          </w:p>
        </w:tc>
      </w:tr>
      <w:tr w14:paraId="073D4F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7A1EB1D2">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665EC894">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3ED8C37E">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56E297F2">
            <w:pPr>
              <w:snapToGrid w:val="0"/>
              <w:spacing w:line="360" w:lineRule="auto"/>
              <w:rPr>
                <w:rFonts w:hint="eastAsia" w:ascii="宋体" w:hAnsi="宋体" w:eastAsia="宋体" w:cs="宋体"/>
                <w:color w:val="auto"/>
                <w:highlight w:val="none"/>
              </w:rPr>
            </w:pPr>
          </w:p>
        </w:tc>
      </w:tr>
      <w:tr w14:paraId="485D39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5F3A3A85">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6CB4FE5A">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5EF41105">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4319B877">
            <w:pPr>
              <w:snapToGrid w:val="0"/>
              <w:spacing w:line="360" w:lineRule="auto"/>
              <w:rPr>
                <w:rFonts w:hint="eastAsia" w:ascii="宋体" w:hAnsi="宋体" w:eastAsia="宋体" w:cs="宋体"/>
                <w:color w:val="auto"/>
                <w:highlight w:val="none"/>
              </w:rPr>
            </w:pPr>
          </w:p>
        </w:tc>
      </w:tr>
      <w:tr w14:paraId="23A731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val="0"/>
            <w:vAlign w:val="top"/>
          </w:tcPr>
          <w:p w14:paraId="20BE0732">
            <w:pPr>
              <w:snapToGrid w:val="0"/>
              <w:spacing w:line="360" w:lineRule="auto"/>
              <w:rPr>
                <w:rFonts w:hint="eastAsia" w:ascii="宋体" w:hAnsi="宋体" w:eastAsia="宋体" w:cs="宋体"/>
                <w:color w:val="auto"/>
                <w:highlight w:val="none"/>
              </w:rPr>
            </w:pPr>
          </w:p>
        </w:tc>
        <w:tc>
          <w:tcPr>
            <w:tcW w:w="2888" w:type="dxa"/>
            <w:tcBorders>
              <w:top w:val="single" w:color="auto" w:sz="4" w:space="0"/>
              <w:left w:val="single" w:color="auto" w:sz="4" w:space="0"/>
              <w:bottom w:val="single" w:color="auto" w:sz="4" w:space="0"/>
              <w:right w:val="single" w:color="auto" w:sz="4" w:space="0"/>
            </w:tcBorders>
            <w:noWrap w:val="0"/>
            <w:vAlign w:val="top"/>
          </w:tcPr>
          <w:p w14:paraId="4E0AEB84">
            <w:pPr>
              <w:snapToGrid w:val="0"/>
              <w:spacing w:line="360" w:lineRule="auto"/>
              <w:rPr>
                <w:rFonts w:hint="eastAsia" w:ascii="宋体" w:hAnsi="宋体" w:eastAsia="宋体" w:cs="宋体"/>
                <w:color w:val="auto"/>
                <w:highlight w:val="none"/>
              </w:rPr>
            </w:pPr>
          </w:p>
        </w:tc>
        <w:tc>
          <w:tcPr>
            <w:tcW w:w="3600" w:type="dxa"/>
            <w:tcBorders>
              <w:top w:val="single" w:color="auto" w:sz="4" w:space="0"/>
              <w:left w:val="single" w:color="auto" w:sz="4" w:space="0"/>
              <w:bottom w:val="single" w:color="auto" w:sz="4" w:space="0"/>
              <w:right w:val="single" w:color="auto" w:sz="4" w:space="0"/>
            </w:tcBorders>
            <w:noWrap w:val="0"/>
            <w:vAlign w:val="top"/>
          </w:tcPr>
          <w:p w14:paraId="35633D34">
            <w:pPr>
              <w:snapToGrid w:val="0"/>
              <w:spacing w:line="360" w:lineRule="auto"/>
              <w:rPr>
                <w:rFonts w:hint="eastAsia" w:ascii="宋体" w:hAnsi="宋体" w:eastAsia="宋体" w:cs="宋体"/>
                <w:color w:val="auto"/>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6DAADA02">
            <w:pPr>
              <w:snapToGrid w:val="0"/>
              <w:spacing w:line="360" w:lineRule="auto"/>
              <w:rPr>
                <w:rFonts w:hint="eastAsia" w:ascii="宋体" w:hAnsi="宋体" w:eastAsia="宋体" w:cs="宋体"/>
                <w:color w:val="auto"/>
                <w:highlight w:val="none"/>
              </w:rPr>
            </w:pPr>
          </w:p>
        </w:tc>
      </w:tr>
    </w:tbl>
    <w:p w14:paraId="0525DBB0">
      <w:pPr>
        <w:snapToGrid w:val="0"/>
        <w:spacing w:line="360" w:lineRule="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注：投标人应根据投标响应方案对照招标文件第四章 招标内容及技术要求一一对应如实填写，如不填写，则视为完全响应招标文件要求。</w:t>
      </w:r>
    </w:p>
    <w:p w14:paraId="2D96B505">
      <w:pPr>
        <w:snapToGrid w:val="0"/>
        <w:spacing w:line="360" w:lineRule="auto"/>
        <w:rPr>
          <w:rFonts w:hint="eastAsia" w:ascii="宋体" w:hAnsi="宋体" w:eastAsia="宋体" w:cs="宋体"/>
          <w:b/>
          <w:bCs/>
          <w:color w:val="auto"/>
          <w:sz w:val="24"/>
          <w:highlight w:val="none"/>
        </w:rPr>
      </w:pPr>
    </w:p>
    <w:p w14:paraId="58F3A8CF">
      <w:pPr>
        <w:snapToGrid w:val="0"/>
        <w:spacing w:line="360" w:lineRule="auto"/>
        <w:jc w:val="left"/>
        <w:rPr>
          <w:rFonts w:hint="eastAsia" w:ascii="宋体" w:hAnsi="宋体" w:eastAsia="宋体" w:cs="宋体"/>
          <w:color w:val="auto"/>
          <w:sz w:val="24"/>
          <w:highlight w:val="none"/>
        </w:rPr>
      </w:pPr>
    </w:p>
    <w:p w14:paraId="14E392AA">
      <w:pPr>
        <w:snapToGrid w:val="0"/>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pacing w:val="20"/>
          <w:sz w:val="24"/>
          <w:highlight w:val="none"/>
        </w:rPr>
        <w:t>投标人：</w:t>
      </w:r>
      <w:r>
        <w:rPr>
          <w:rFonts w:hint="eastAsia" w:ascii="宋体" w:hAnsi="宋体" w:eastAsia="宋体" w:cs="宋体"/>
          <w:color w:val="auto"/>
          <w:spacing w:val="20"/>
          <w:sz w:val="24"/>
          <w:highlight w:val="none"/>
          <w:u w:val="single"/>
        </w:rPr>
        <w:t xml:space="preserve">      （盖章）      </w:t>
      </w:r>
      <w:r>
        <w:rPr>
          <w:rFonts w:hint="eastAsia" w:ascii="宋体" w:hAnsi="宋体" w:eastAsia="宋体" w:cs="宋体"/>
          <w:color w:val="auto"/>
          <w:spacing w:val="20"/>
          <w:sz w:val="24"/>
          <w:highlight w:val="none"/>
        </w:rPr>
        <w:t xml:space="preserve">     日  期：</w:t>
      </w:r>
      <w:r>
        <w:rPr>
          <w:rFonts w:hint="eastAsia" w:ascii="宋体" w:hAnsi="宋体" w:eastAsia="宋体" w:cs="宋体"/>
          <w:color w:val="auto"/>
          <w:spacing w:val="20"/>
          <w:sz w:val="24"/>
          <w:highlight w:val="none"/>
          <w:u w:val="single"/>
        </w:rPr>
        <w:t xml:space="preserve">              </w:t>
      </w:r>
    </w:p>
    <w:p w14:paraId="4E55C7A9">
      <w:pPr>
        <w:snapToGrid w:val="0"/>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br w:type="page"/>
      </w:r>
    </w:p>
    <w:p w14:paraId="0EF6BFFB">
      <w:pPr>
        <w:snapToGrid w:val="0"/>
        <w:spacing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商务响应表</w:t>
      </w:r>
    </w:p>
    <w:p w14:paraId="4730615A">
      <w:pPr>
        <w:snapToGrid w:val="0"/>
        <w:spacing w:line="360" w:lineRule="auto"/>
        <w:jc w:val="left"/>
        <w:rPr>
          <w:rFonts w:hint="eastAsia" w:ascii="宋体" w:hAnsi="宋体" w:eastAsia="宋体" w:cs="宋体"/>
          <w:color w:val="auto"/>
          <w:sz w:val="24"/>
          <w:highlight w:val="none"/>
          <w:u w:val="single"/>
        </w:rPr>
      </w:pP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8"/>
        <w:gridCol w:w="2700"/>
        <w:gridCol w:w="1814"/>
        <w:gridCol w:w="2466"/>
      </w:tblGrid>
      <w:tr w14:paraId="063138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8" w:type="dxa"/>
            <w:tcBorders>
              <w:top w:val="single" w:color="auto" w:sz="4" w:space="0"/>
              <w:left w:val="single" w:color="auto" w:sz="4" w:space="0"/>
              <w:bottom w:val="single" w:color="auto" w:sz="4" w:space="0"/>
              <w:right w:val="single" w:color="auto" w:sz="4" w:space="0"/>
            </w:tcBorders>
            <w:noWrap w:val="0"/>
            <w:vAlign w:val="top"/>
          </w:tcPr>
          <w:p w14:paraId="416C44DF">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2700" w:type="dxa"/>
            <w:tcBorders>
              <w:top w:val="single" w:color="auto" w:sz="4" w:space="0"/>
              <w:left w:val="single" w:color="auto" w:sz="4" w:space="0"/>
              <w:bottom w:val="single" w:color="auto" w:sz="4" w:space="0"/>
              <w:right w:val="single" w:color="auto" w:sz="4" w:space="0"/>
            </w:tcBorders>
            <w:noWrap w:val="0"/>
            <w:vAlign w:val="top"/>
          </w:tcPr>
          <w:p w14:paraId="4AF8CEF0">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招标文件要求</w:t>
            </w:r>
          </w:p>
        </w:tc>
        <w:tc>
          <w:tcPr>
            <w:tcW w:w="1814" w:type="dxa"/>
            <w:tcBorders>
              <w:top w:val="single" w:color="auto" w:sz="4" w:space="0"/>
              <w:left w:val="single" w:color="auto" w:sz="4" w:space="0"/>
              <w:bottom w:val="single" w:color="auto" w:sz="4" w:space="0"/>
              <w:right w:val="single" w:color="auto" w:sz="4" w:space="0"/>
            </w:tcBorders>
            <w:noWrap w:val="0"/>
            <w:vAlign w:val="top"/>
          </w:tcPr>
          <w:p w14:paraId="1AA91916">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投标文件响应</w:t>
            </w:r>
          </w:p>
        </w:tc>
        <w:tc>
          <w:tcPr>
            <w:tcW w:w="2466" w:type="dxa"/>
            <w:tcBorders>
              <w:top w:val="single" w:color="auto" w:sz="4" w:space="0"/>
              <w:left w:val="single" w:color="auto" w:sz="4" w:space="0"/>
              <w:bottom w:val="single" w:color="auto" w:sz="4" w:space="0"/>
              <w:right w:val="single" w:color="auto" w:sz="4" w:space="0"/>
            </w:tcBorders>
            <w:noWrap w:val="0"/>
            <w:vAlign w:val="top"/>
          </w:tcPr>
          <w:p w14:paraId="05FA5232">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偏离情况</w:t>
            </w:r>
          </w:p>
        </w:tc>
      </w:tr>
      <w:tr w14:paraId="69C731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8" w:type="dxa"/>
            <w:tcBorders>
              <w:top w:val="single" w:color="auto" w:sz="4" w:space="0"/>
              <w:left w:val="single" w:color="auto" w:sz="4" w:space="0"/>
              <w:bottom w:val="single" w:color="auto" w:sz="4" w:space="0"/>
              <w:right w:val="single" w:color="auto" w:sz="4" w:space="0"/>
            </w:tcBorders>
            <w:noWrap w:val="0"/>
            <w:vAlign w:val="top"/>
          </w:tcPr>
          <w:p w14:paraId="64F4E6FC">
            <w:pPr>
              <w:snapToGrid w:val="0"/>
              <w:spacing w:line="360" w:lineRule="auto"/>
              <w:rPr>
                <w:rFonts w:hint="eastAsia" w:ascii="宋体" w:hAnsi="宋体" w:eastAsia="宋体" w:cs="宋体"/>
                <w:color w:val="auto"/>
                <w:sz w:val="24"/>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top"/>
          </w:tcPr>
          <w:p w14:paraId="4BDCAB30">
            <w:pPr>
              <w:snapToGrid w:val="0"/>
              <w:spacing w:line="360" w:lineRule="auto"/>
              <w:rPr>
                <w:rFonts w:hint="eastAsia" w:ascii="宋体" w:hAnsi="宋体" w:eastAsia="宋体" w:cs="宋体"/>
                <w:color w:val="auto"/>
                <w:sz w:val="24"/>
                <w:highlight w:val="none"/>
              </w:rPr>
            </w:pPr>
          </w:p>
        </w:tc>
        <w:tc>
          <w:tcPr>
            <w:tcW w:w="1814" w:type="dxa"/>
            <w:tcBorders>
              <w:top w:val="single" w:color="auto" w:sz="4" w:space="0"/>
              <w:left w:val="single" w:color="auto" w:sz="4" w:space="0"/>
              <w:bottom w:val="single" w:color="auto" w:sz="4" w:space="0"/>
              <w:right w:val="single" w:color="auto" w:sz="4" w:space="0"/>
            </w:tcBorders>
            <w:noWrap w:val="0"/>
            <w:vAlign w:val="top"/>
          </w:tcPr>
          <w:p w14:paraId="56D158AF">
            <w:pPr>
              <w:snapToGrid w:val="0"/>
              <w:spacing w:line="360" w:lineRule="auto"/>
              <w:rPr>
                <w:rFonts w:hint="eastAsia" w:ascii="宋体" w:hAnsi="宋体" w:eastAsia="宋体" w:cs="宋体"/>
                <w:color w:val="auto"/>
                <w:sz w:val="24"/>
                <w:highlight w:val="none"/>
              </w:rPr>
            </w:pPr>
          </w:p>
        </w:tc>
        <w:tc>
          <w:tcPr>
            <w:tcW w:w="2466" w:type="dxa"/>
            <w:tcBorders>
              <w:top w:val="single" w:color="auto" w:sz="4" w:space="0"/>
              <w:left w:val="single" w:color="auto" w:sz="4" w:space="0"/>
              <w:bottom w:val="single" w:color="auto" w:sz="4" w:space="0"/>
              <w:right w:val="single" w:color="auto" w:sz="4" w:space="0"/>
            </w:tcBorders>
            <w:noWrap w:val="0"/>
            <w:vAlign w:val="top"/>
          </w:tcPr>
          <w:p w14:paraId="509D952B">
            <w:pPr>
              <w:snapToGrid w:val="0"/>
              <w:spacing w:line="360" w:lineRule="auto"/>
              <w:rPr>
                <w:rFonts w:hint="eastAsia" w:ascii="宋体" w:hAnsi="宋体" w:eastAsia="宋体" w:cs="宋体"/>
                <w:color w:val="auto"/>
                <w:sz w:val="24"/>
                <w:highlight w:val="none"/>
              </w:rPr>
            </w:pPr>
          </w:p>
        </w:tc>
      </w:tr>
      <w:tr w14:paraId="7AEA22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8" w:type="dxa"/>
            <w:tcBorders>
              <w:top w:val="single" w:color="auto" w:sz="4" w:space="0"/>
              <w:left w:val="single" w:color="auto" w:sz="4" w:space="0"/>
              <w:bottom w:val="single" w:color="auto" w:sz="4" w:space="0"/>
              <w:right w:val="single" w:color="auto" w:sz="4" w:space="0"/>
            </w:tcBorders>
            <w:noWrap w:val="0"/>
            <w:vAlign w:val="top"/>
          </w:tcPr>
          <w:p w14:paraId="52C2456D">
            <w:pPr>
              <w:snapToGrid w:val="0"/>
              <w:spacing w:line="360" w:lineRule="auto"/>
              <w:rPr>
                <w:rFonts w:hint="eastAsia" w:ascii="宋体" w:hAnsi="宋体" w:eastAsia="宋体" w:cs="宋体"/>
                <w:color w:val="auto"/>
                <w:sz w:val="24"/>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top"/>
          </w:tcPr>
          <w:p w14:paraId="60C2BAAA">
            <w:pPr>
              <w:snapToGrid w:val="0"/>
              <w:spacing w:line="360" w:lineRule="auto"/>
              <w:rPr>
                <w:rFonts w:hint="eastAsia" w:ascii="宋体" w:hAnsi="宋体" w:eastAsia="宋体" w:cs="宋体"/>
                <w:color w:val="auto"/>
                <w:sz w:val="24"/>
                <w:highlight w:val="none"/>
              </w:rPr>
            </w:pPr>
          </w:p>
        </w:tc>
        <w:tc>
          <w:tcPr>
            <w:tcW w:w="1814" w:type="dxa"/>
            <w:tcBorders>
              <w:top w:val="single" w:color="auto" w:sz="4" w:space="0"/>
              <w:left w:val="single" w:color="auto" w:sz="4" w:space="0"/>
              <w:bottom w:val="single" w:color="auto" w:sz="4" w:space="0"/>
              <w:right w:val="single" w:color="auto" w:sz="4" w:space="0"/>
            </w:tcBorders>
            <w:noWrap w:val="0"/>
            <w:vAlign w:val="top"/>
          </w:tcPr>
          <w:p w14:paraId="737F8A42">
            <w:pPr>
              <w:snapToGrid w:val="0"/>
              <w:spacing w:line="360" w:lineRule="auto"/>
              <w:rPr>
                <w:rFonts w:hint="eastAsia" w:ascii="宋体" w:hAnsi="宋体" w:eastAsia="宋体" w:cs="宋体"/>
                <w:color w:val="auto"/>
                <w:sz w:val="24"/>
                <w:highlight w:val="none"/>
              </w:rPr>
            </w:pPr>
          </w:p>
        </w:tc>
        <w:tc>
          <w:tcPr>
            <w:tcW w:w="2466" w:type="dxa"/>
            <w:tcBorders>
              <w:top w:val="single" w:color="auto" w:sz="4" w:space="0"/>
              <w:left w:val="single" w:color="auto" w:sz="4" w:space="0"/>
              <w:bottom w:val="single" w:color="auto" w:sz="4" w:space="0"/>
              <w:right w:val="single" w:color="auto" w:sz="4" w:space="0"/>
            </w:tcBorders>
            <w:noWrap w:val="0"/>
            <w:vAlign w:val="top"/>
          </w:tcPr>
          <w:p w14:paraId="035D58AD">
            <w:pPr>
              <w:snapToGrid w:val="0"/>
              <w:spacing w:line="360" w:lineRule="auto"/>
              <w:rPr>
                <w:rFonts w:hint="eastAsia" w:ascii="宋体" w:hAnsi="宋体" w:eastAsia="宋体" w:cs="宋体"/>
                <w:color w:val="auto"/>
                <w:sz w:val="24"/>
                <w:highlight w:val="none"/>
              </w:rPr>
            </w:pPr>
          </w:p>
        </w:tc>
      </w:tr>
      <w:tr w14:paraId="65C096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8" w:type="dxa"/>
            <w:tcBorders>
              <w:top w:val="single" w:color="auto" w:sz="4" w:space="0"/>
              <w:left w:val="single" w:color="auto" w:sz="4" w:space="0"/>
              <w:bottom w:val="single" w:color="auto" w:sz="4" w:space="0"/>
              <w:right w:val="single" w:color="auto" w:sz="4" w:space="0"/>
            </w:tcBorders>
            <w:noWrap w:val="0"/>
            <w:vAlign w:val="top"/>
          </w:tcPr>
          <w:p w14:paraId="60271937">
            <w:pPr>
              <w:snapToGrid w:val="0"/>
              <w:spacing w:line="360" w:lineRule="auto"/>
              <w:rPr>
                <w:rFonts w:hint="eastAsia" w:ascii="宋体" w:hAnsi="宋体" w:eastAsia="宋体" w:cs="宋体"/>
                <w:color w:val="auto"/>
                <w:sz w:val="24"/>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top"/>
          </w:tcPr>
          <w:p w14:paraId="69DC6F9C">
            <w:pPr>
              <w:snapToGrid w:val="0"/>
              <w:spacing w:line="360" w:lineRule="auto"/>
              <w:rPr>
                <w:rFonts w:hint="eastAsia" w:ascii="宋体" w:hAnsi="宋体" w:eastAsia="宋体" w:cs="宋体"/>
                <w:color w:val="auto"/>
                <w:sz w:val="24"/>
                <w:highlight w:val="none"/>
              </w:rPr>
            </w:pPr>
          </w:p>
        </w:tc>
        <w:tc>
          <w:tcPr>
            <w:tcW w:w="1814" w:type="dxa"/>
            <w:tcBorders>
              <w:top w:val="single" w:color="auto" w:sz="4" w:space="0"/>
              <w:left w:val="single" w:color="auto" w:sz="4" w:space="0"/>
              <w:bottom w:val="single" w:color="auto" w:sz="4" w:space="0"/>
              <w:right w:val="single" w:color="auto" w:sz="4" w:space="0"/>
            </w:tcBorders>
            <w:noWrap w:val="0"/>
            <w:vAlign w:val="top"/>
          </w:tcPr>
          <w:p w14:paraId="1DFD5CF4">
            <w:pPr>
              <w:snapToGrid w:val="0"/>
              <w:spacing w:line="360" w:lineRule="auto"/>
              <w:ind w:left="43"/>
              <w:rPr>
                <w:rFonts w:hint="eastAsia" w:ascii="宋体" w:hAnsi="宋体" w:eastAsia="宋体" w:cs="宋体"/>
                <w:color w:val="auto"/>
                <w:sz w:val="24"/>
                <w:highlight w:val="none"/>
              </w:rPr>
            </w:pPr>
          </w:p>
        </w:tc>
        <w:tc>
          <w:tcPr>
            <w:tcW w:w="2466" w:type="dxa"/>
            <w:tcBorders>
              <w:top w:val="single" w:color="auto" w:sz="4" w:space="0"/>
              <w:left w:val="single" w:color="auto" w:sz="4" w:space="0"/>
              <w:bottom w:val="single" w:color="auto" w:sz="4" w:space="0"/>
              <w:right w:val="single" w:color="auto" w:sz="4" w:space="0"/>
            </w:tcBorders>
            <w:noWrap w:val="0"/>
            <w:vAlign w:val="top"/>
          </w:tcPr>
          <w:p w14:paraId="4D2D593D">
            <w:pPr>
              <w:snapToGrid w:val="0"/>
              <w:spacing w:line="360" w:lineRule="auto"/>
              <w:ind w:left="43"/>
              <w:rPr>
                <w:rFonts w:hint="eastAsia" w:ascii="宋体" w:hAnsi="宋体" w:eastAsia="宋体" w:cs="宋体"/>
                <w:color w:val="auto"/>
                <w:sz w:val="24"/>
                <w:highlight w:val="none"/>
              </w:rPr>
            </w:pPr>
          </w:p>
        </w:tc>
      </w:tr>
      <w:tr w14:paraId="2BD644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8" w:type="dxa"/>
            <w:tcBorders>
              <w:top w:val="single" w:color="auto" w:sz="4" w:space="0"/>
              <w:left w:val="single" w:color="auto" w:sz="4" w:space="0"/>
              <w:bottom w:val="single" w:color="auto" w:sz="4" w:space="0"/>
              <w:right w:val="single" w:color="auto" w:sz="4" w:space="0"/>
            </w:tcBorders>
            <w:noWrap w:val="0"/>
            <w:vAlign w:val="top"/>
          </w:tcPr>
          <w:p w14:paraId="33569FC1">
            <w:pPr>
              <w:snapToGrid w:val="0"/>
              <w:spacing w:line="360" w:lineRule="auto"/>
              <w:rPr>
                <w:rFonts w:hint="eastAsia" w:ascii="宋体" w:hAnsi="宋体" w:eastAsia="宋体" w:cs="宋体"/>
                <w:color w:val="auto"/>
                <w:sz w:val="24"/>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top"/>
          </w:tcPr>
          <w:p w14:paraId="2167DEE6">
            <w:pPr>
              <w:snapToGrid w:val="0"/>
              <w:spacing w:line="360" w:lineRule="auto"/>
              <w:rPr>
                <w:rFonts w:hint="eastAsia" w:ascii="宋体" w:hAnsi="宋体" w:eastAsia="宋体" w:cs="宋体"/>
                <w:color w:val="auto"/>
                <w:sz w:val="24"/>
                <w:highlight w:val="none"/>
              </w:rPr>
            </w:pPr>
          </w:p>
        </w:tc>
        <w:tc>
          <w:tcPr>
            <w:tcW w:w="1814" w:type="dxa"/>
            <w:tcBorders>
              <w:top w:val="single" w:color="auto" w:sz="4" w:space="0"/>
              <w:left w:val="single" w:color="auto" w:sz="4" w:space="0"/>
              <w:bottom w:val="single" w:color="auto" w:sz="4" w:space="0"/>
              <w:right w:val="single" w:color="auto" w:sz="4" w:space="0"/>
            </w:tcBorders>
            <w:noWrap w:val="0"/>
            <w:vAlign w:val="top"/>
          </w:tcPr>
          <w:p w14:paraId="1CE58292">
            <w:pPr>
              <w:snapToGrid w:val="0"/>
              <w:spacing w:line="360" w:lineRule="auto"/>
              <w:rPr>
                <w:rFonts w:hint="eastAsia" w:ascii="宋体" w:hAnsi="宋体" w:eastAsia="宋体" w:cs="宋体"/>
                <w:color w:val="auto"/>
                <w:sz w:val="24"/>
                <w:highlight w:val="none"/>
              </w:rPr>
            </w:pPr>
          </w:p>
        </w:tc>
        <w:tc>
          <w:tcPr>
            <w:tcW w:w="2466" w:type="dxa"/>
            <w:tcBorders>
              <w:top w:val="single" w:color="auto" w:sz="4" w:space="0"/>
              <w:left w:val="single" w:color="auto" w:sz="4" w:space="0"/>
              <w:bottom w:val="single" w:color="auto" w:sz="4" w:space="0"/>
              <w:right w:val="single" w:color="auto" w:sz="4" w:space="0"/>
            </w:tcBorders>
            <w:noWrap w:val="0"/>
            <w:vAlign w:val="top"/>
          </w:tcPr>
          <w:p w14:paraId="591FD1B9">
            <w:pPr>
              <w:snapToGrid w:val="0"/>
              <w:spacing w:line="360" w:lineRule="auto"/>
              <w:rPr>
                <w:rFonts w:hint="eastAsia" w:ascii="宋体" w:hAnsi="宋体" w:eastAsia="宋体" w:cs="宋体"/>
                <w:color w:val="auto"/>
                <w:sz w:val="24"/>
                <w:highlight w:val="none"/>
              </w:rPr>
            </w:pPr>
          </w:p>
        </w:tc>
      </w:tr>
      <w:tr w14:paraId="6E7D7B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8" w:type="dxa"/>
            <w:tcBorders>
              <w:top w:val="single" w:color="auto" w:sz="4" w:space="0"/>
              <w:left w:val="single" w:color="auto" w:sz="4" w:space="0"/>
              <w:bottom w:val="single" w:color="auto" w:sz="4" w:space="0"/>
              <w:right w:val="single" w:color="auto" w:sz="4" w:space="0"/>
            </w:tcBorders>
            <w:noWrap w:val="0"/>
            <w:vAlign w:val="top"/>
          </w:tcPr>
          <w:p w14:paraId="29E11E7A">
            <w:pPr>
              <w:snapToGrid w:val="0"/>
              <w:spacing w:line="360" w:lineRule="auto"/>
              <w:rPr>
                <w:rFonts w:hint="eastAsia" w:ascii="宋体" w:hAnsi="宋体" w:eastAsia="宋体" w:cs="宋体"/>
                <w:color w:val="auto"/>
                <w:sz w:val="24"/>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top"/>
          </w:tcPr>
          <w:p w14:paraId="50397965">
            <w:pPr>
              <w:snapToGrid w:val="0"/>
              <w:spacing w:line="360" w:lineRule="auto"/>
              <w:rPr>
                <w:rFonts w:hint="eastAsia" w:ascii="宋体" w:hAnsi="宋体" w:eastAsia="宋体" w:cs="宋体"/>
                <w:color w:val="auto"/>
                <w:sz w:val="24"/>
                <w:highlight w:val="none"/>
              </w:rPr>
            </w:pPr>
          </w:p>
        </w:tc>
        <w:tc>
          <w:tcPr>
            <w:tcW w:w="1814" w:type="dxa"/>
            <w:tcBorders>
              <w:top w:val="single" w:color="auto" w:sz="4" w:space="0"/>
              <w:left w:val="single" w:color="auto" w:sz="4" w:space="0"/>
              <w:bottom w:val="single" w:color="auto" w:sz="4" w:space="0"/>
              <w:right w:val="single" w:color="auto" w:sz="4" w:space="0"/>
            </w:tcBorders>
            <w:noWrap w:val="0"/>
            <w:vAlign w:val="top"/>
          </w:tcPr>
          <w:p w14:paraId="4E540236">
            <w:pPr>
              <w:snapToGrid w:val="0"/>
              <w:spacing w:line="360" w:lineRule="auto"/>
              <w:rPr>
                <w:rFonts w:hint="eastAsia" w:ascii="宋体" w:hAnsi="宋体" w:eastAsia="宋体" w:cs="宋体"/>
                <w:color w:val="auto"/>
                <w:sz w:val="24"/>
                <w:highlight w:val="none"/>
              </w:rPr>
            </w:pPr>
          </w:p>
        </w:tc>
        <w:tc>
          <w:tcPr>
            <w:tcW w:w="2466" w:type="dxa"/>
            <w:tcBorders>
              <w:top w:val="single" w:color="auto" w:sz="4" w:space="0"/>
              <w:left w:val="single" w:color="auto" w:sz="4" w:space="0"/>
              <w:bottom w:val="single" w:color="auto" w:sz="4" w:space="0"/>
              <w:right w:val="single" w:color="auto" w:sz="4" w:space="0"/>
            </w:tcBorders>
            <w:noWrap w:val="0"/>
            <w:vAlign w:val="top"/>
          </w:tcPr>
          <w:p w14:paraId="3662F6D6">
            <w:pPr>
              <w:snapToGrid w:val="0"/>
              <w:spacing w:line="360" w:lineRule="auto"/>
              <w:rPr>
                <w:rFonts w:hint="eastAsia" w:ascii="宋体" w:hAnsi="宋体" w:eastAsia="宋体" w:cs="宋体"/>
                <w:color w:val="auto"/>
                <w:sz w:val="24"/>
                <w:highlight w:val="none"/>
              </w:rPr>
            </w:pPr>
          </w:p>
        </w:tc>
      </w:tr>
      <w:tr w14:paraId="496E27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8" w:type="dxa"/>
            <w:tcBorders>
              <w:top w:val="single" w:color="auto" w:sz="4" w:space="0"/>
              <w:left w:val="single" w:color="auto" w:sz="4" w:space="0"/>
              <w:bottom w:val="single" w:color="auto" w:sz="4" w:space="0"/>
              <w:right w:val="single" w:color="auto" w:sz="4" w:space="0"/>
            </w:tcBorders>
            <w:noWrap w:val="0"/>
            <w:vAlign w:val="top"/>
          </w:tcPr>
          <w:p w14:paraId="4408045B">
            <w:pPr>
              <w:snapToGrid w:val="0"/>
              <w:spacing w:line="360" w:lineRule="auto"/>
              <w:rPr>
                <w:rFonts w:hint="eastAsia" w:ascii="宋体" w:hAnsi="宋体" w:eastAsia="宋体" w:cs="宋体"/>
                <w:color w:val="auto"/>
                <w:sz w:val="24"/>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top"/>
          </w:tcPr>
          <w:p w14:paraId="6422C264">
            <w:pPr>
              <w:snapToGrid w:val="0"/>
              <w:spacing w:line="360" w:lineRule="auto"/>
              <w:rPr>
                <w:rFonts w:hint="eastAsia" w:ascii="宋体" w:hAnsi="宋体" w:eastAsia="宋体" w:cs="宋体"/>
                <w:color w:val="auto"/>
                <w:sz w:val="24"/>
                <w:highlight w:val="none"/>
              </w:rPr>
            </w:pPr>
          </w:p>
        </w:tc>
        <w:tc>
          <w:tcPr>
            <w:tcW w:w="1814" w:type="dxa"/>
            <w:tcBorders>
              <w:top w:val="single" w:color="auto" w:sz="4" w:space="0"/>
              <w:left w:val="single" w:color="auto" w:sz="4" w:space="0"/>
              <w:bottom w:val="single" w:color="auto" w:sz="4" w:space="0"/>
              <w:right w:val="single" w:color="auto" w:sz="4" w:space="0"/>
            </w:tcBorders>
            <w:noWrap w:val="0"/>
            <w:vAlign w:val="top"/>
          </w:tcPr>
          <w:p w14:paraId="3CD93600">
            <w:pPr>
              <w:snapToGrid w:val="0"/>
              <w:spacing w:line="360" w:lineRule="auto"/>
              <w:rPr>
                <w:rFonts w:hint="eastAsia" w:ascii="宋体" w:hAnsi="宋体" w:eastAsia="宋体" w:cs="宋体"/>
                <w:color w:val="auto"/>
                <w:sz w:val="24"/>
                <w:highlight w:val="none"/>
              </w:rPr>
            </w:pPr>
          </w:p>
        </w:tc>
        <w:tc>
          <w:tcPr>
            <w:tcW w:w="2466" w:type="dxa"/>
            <w:tcBorders>
              <w:top w:val="single" w:color="auto" w:sz="4" w:space="0"/>
              <w:left w:val="single" w:color="auto" w:sz="4" w:space="0"/>
              <w:bottom w:val="single" w:color="auto" w:sz="4" w:space="0"/>
              <w:right w:val="single" w:color="auto" w:sz="4" w:space="0"/>
            </w:tcBorders>
            <w:noWrap w:val="0"/>
            <w:vAlign w:val="top"/>
          </w:tcPr>
          <w:p w14:paraId="0569B1F8">
            <w:pPr>
              <w:snapToGrid w:val="0"/>
              <w:spacing w:line="360" w:lineRule="auto"/>
              <w:rPr>
                <w:rFonts w:hint="eastAsia" w:ascii="宋体" w:hAnsi="宋体" w:eastAsia="宋体" w:cs="宋体"/>
                <w:color w:val="auto"/>
                <w:sz w:val="24"/>
                <w:highlight w:val="none"/>
              </w:rPr>
            </w:pPr>
          </w:p>
        </w:tc>
      </w:tr>
    </w:tbl>
    <w:p w14:paraId="0EDBC9C7">
      <w:pPr>
        <w:snapToGrid w:val="0"/>
        <w:spacing w:line="360" w:lineRule="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注：投标人应根据投标响应方案对照招标文件第五章  主要合同条款要求一一对应如实填写，如不填写，则视为完全响应招标文件要求。</w:t>
      </w:r>
    </w:p>
    <w:p w14:paraId="7048FD49">
      <w:pPr>
        <w:snapToGrid w:val="0"/>
        <w:spacing w:line="360" w:lineRule="auto"/>
        <w:rPr>
          <w:rFonts w:hint="eastAsia" w:ascii="宋体" w:hAnsi="宋体" w:eastAsia="宋体" w:cs="宋体"/>
          <w:color w:val="auto"/>
          <w:sz w:val="24"/>
          <w:highlight w:val="none"/>
        </w:rPr>
      </w:pPr>
    </w:p>
    <w:p w14:paraId="290EA9AD">
      <w:pPr>
        <w:snapToGrid w:val="0"/>
        <w:spacing w:line="360" w:lineRule="auto"/>
        <w:rPr>
          <w:rFonts w:hint="eastAsia" w:ascii="宋体" w:hAnsi="宋体" w:eastAsia="宋体" w:cs="宋体"/>
          <w:color w:val="auto"/>
          <w:sz w:val="24"/>
          <w:highlight w:val="none"/>
        </w:rPr>
      </w:pPr>
    </w:p>
    <w:p w14:paraId="5B5F8221">
      <w:pPr>
        <w:snapToGrid w:val="0"/>
        <w:spacing w:line="360" w:lineRule="auto"/>
        <w:rPr>
          <w:rFonts w:hint="eastAsia" w:ascii="宋体" w:hAnsi="宋体" w:eastAsia="宋体" w:cs="宋体"/>
          <w:color w:val="auto"/>
          <w:spacing w:val="20"/>
          <w:sz w:val="24"/>
          <w:highlight w:val="none"/>
          <w:u w:val="single"/>
        </w:rPr>
      </w:pPr>
      <w:r>
        <w:rPr>
          <w:rFonts w:hint="eastAsia" w:ascii="宋体" w:hAnsi="宋体" w:eastAsia="宋体" w:cs="宋体"/>
          <w:color w:val="auto"/>
          <w:spacing w:val="20"/>
          <w:sz w:val="24"/>
          <w:highlight w:val="none"/>
        </w:rPr>
        <w:t>投标人：</w:t>
      </w:r>
      <w:r>
        <w:rPr>
          <w:rFonts w:hint="eastAsia" w:ascii="宋体" w:hAnsi="宋体" w:eastAsia="宋体" w:cs="宋体"/>
          <w:color w:val="auto"/>
          <w:spacing w:val="20"/>
          <w:sz w:val="24"/>
          <w:highlight w:val="none"/>
          <w:u w:val="single"/>
        </w:rPr>
        <w:t xml:space="preserve">      （盖章）      </w:t>
      </w:r>
      <w:r>
        <w:rPr>
          <w:rFonts w:hint="eastAsia" w:ascii="宋体" w:hAnsi="宋体" w:eastAsia="宋体" w:cs="宋体"/>
          <w:color w:val="auto"/>
          <w:spacing w:val="20"/>
          <w:sz w:val="24"/>
          <w:highlight w:val="none"/>
        </w:rPr>
        <w:t xml:space="preserve">     日  期：</w:t>
      </w:r>
      <w:r>
        <w:rPr>
          <w:rFonts w:hint="eastAsia" w:ascii="宋体" w:hAnsi="宋体" w:eastAsia="宋体" w:cs="宋体"/>
          <w:color w:val="auto"/>
          <w:spacing w:val="20"/>
          <w:sz w:val="24"/>
          <w:highlight w:val="none"/>
          <w:u w:val="single"/>
        </w:rPr>
        <w:t xml:space="preserve">          </w:t>
      </w:r>
    </w:p>
    <w:p w14:paraId="6D1C1EA6">
      <w:pPr>
        <w:adjustRightInd w:val="0"/>
        <w:snapToGrid w:val="0"/>
        <w:spacing w:line="360" w:lineRule="auto"/>
        <w:jc w:val="center"/>
        <w:rPr>
          <w:rFonts w:hint="eastAsia" w:ascii="宋体" w:hAnsi="宋体" w:eastAsia="宋体" w:cs="宋体"/>
          <w:b/>
          <w:color w:val="auto"/>
          <w:sz w:val="30"/>
          <w:szCs w:val="30"/>
          <w:highlight w:val="none"/>
        </w:rPr>
      </w:pPr>
      <w:r>
        <w:rPr>
          <w:rFonts w:hint="eastAsia" w:ascii="宋体" w:hAnsi="宋体" w:eastAsia="宋体" w:cs="宋体"/>
          <w:color w:val="auto"/>
          <w:spacing w:val="20"/>
          <w:sz w:val="24"/>
          <w:highlight w:val="none"/>
          <w:u w:val="single"/>
        </w:rPr>
        <w:br w:type="page"/>
      </w:r>
      <w:r>
        <w:rPr>
          <w:rFonts w:hint="eastAsia" w:ascii="宋体" w:hAnsi="宋体" w:eastAsia="宋体" w:cs="宋体"/>
          <w:b/>
          <w:color w:val="auto"/>
          <w:sz w:val="30"/>
          <w:szCs w:val="30"/>
          <w:highlight w:val="none"/>
        </w:rPr>
        <w:t>开标一览表</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70"/>
        <w:gridCol w:w="2756"/>
        <w:gridCol w:w="3469"/>
        <w:gridCol w:w="1333"/>
      </w:tblGrid>
      <w:tr w14:paraId="0FFE460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226" w:hRule="atLeast"/>
        </w:trPr>
        <w:tc>
          <w:tcPr>
            <w:tcW w:w="970" w:type="dxa"/>
            <w:noWrap w:val="0"/>
            <w:vAlign w:val="center"/>
          </w:tcPr>
          <w:p w14:paraId="41EFDDBE">
            <w:pPr>
              <w:adjustRightInd w:val="0"/>
              <w:snapToGrid w:val="0"/>
              <w:spacing w:line="360" w:lineRule="auto"/>
              <w:ind w:right="-21" w:rightChars="-10"/>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2756" w:type="dxa"/>
            <w:noWrap w:val="0"/>
            <w:vAlign w:val="center"/>
          </w:tcPr>
          <w:p w14:paraId="75F7A295">
            <w:pPr>
              <w:adjustRightInd w:val="0"/>
              <w:snapToGrid w:val="0"/>
              <w:spacing w:line="360" w:lineRule="auto"/>
              <w:ind w:right="-21" w:rightChars="-10"/>
              <w:jc w:val="center"/>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投标人</w:t>
            </w:r>
          </w:p>
        </w:tc>
        <w:tc>
          <w:tcPr>
            <w:tcW w:w="3469" w:type="dxa"/>
            <w:noWrap w:val="0"/>
            <w:vAlign w:val="center"/>
          </w:tcPr>
          <w:p w14:paraId="5119B4D3">
            <w:pPr>
              <w:adjustRightInd w:val="0"/>
              <w:snapToGrid w:val="0"/>
              <w:spacing w:line="360" w:lineRule="auto"/>
              <w:ind w:right="-21" w:rightChars="-10"/>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投标</w:t>
            </w:r>
            <w:r>
              <w:rPr>
                <w:rFonts w:hint="eastAsia" w:ascii="宋体" w:hAnsi="宋体" w:eastAsia="宋体" w:cs="宋体"/>
                <w:b/>
                <w:color w:val="auto"/>
                <w:sz w:val="24"/>
                <w:highlight w:val="none"/>
                <w:lang w:val="en-US" w:eastAsia="zh-CN"/>
              </w:rPr>
              <w:t>折扣率</w:t>
            </w:r>
          </w:p>
        </w:tc>
        <w:tc>
          <w:tcPr>
            <w:tcW w:w="1333" w:type="dxa"/>
            <w:noWrap w:val="0"/>
            <w:vAlign w:val="center"/>
          </w:tcPr>
          <w:p w14:paraId="36C616B3">
            <w:pPr>
              <w:adjustRightInd w:val="0"/>
              <w:snapToGrid w:val="0"/>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备注</w:t>
            </w:r>
          </w:p>
        </w:tc>
      </w:tr>
      <w:tr w14:paraId="6F133C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25" w:hRule="atLeast"/>
        </w:trPr>
        <w:tc>
          <w:tcPr>
            <w:tcW w:w="970" w:type="dxa"/>
            <w:noWrap w:val="0"/>
            <w:vAlign w:val="center"/>
          </w:tcPr>
          <w:p w14:paraId="7E52970C">
            <w:pPr>
              <w:adjustRightInd w:val="0"/>
              <w:snapToGrid w:val="0"/>
              <w:spacing w:line="360" w:lineRule="auto"/>
              <w:ind w:right="-21" w:rightChars="-1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2756" w:type="dxa"/>
            <w:noWrap w:val="0"/>
            <w:vAlign w:val="center"/>
          </w:tcPr>
          <w:p w14:paraId="7E4F94C2">
            <w:pPr>
              <w:adjustRightInd w:val="0"/>
              <w:snapToGrid w:val="0"/>
              <w:spacing w:line="360" w:lineRule="auto"/>
              <w:ind w:right="-21" w:rightChars="-10"/>
              <w:jc w:val="center"/>
              <w:rPr>
                <w:rFonts w:hint="eastAsia" w:ascii="宋体" w:hAnsi="宋体" w:eastAsia="宋体" w:cs="宋体"/>
                <w:color w:val="auto"/>
                <w:sz w:val="24"/>
                <w:highlight w:val="none"/>
              </w:rPr>
            </w:pPr>
          </w:p>
        </w:tc>
        <w:tc>
          <w:tcPr>
            <w:tcW w:w="3469" w:type="dxa"/>
            <w:noWrap w:val="0"/>
            <w:vAlign w:val="center"/>
          </w:tcPr>
          <w:p w14:paraId="5D9BE4A5">
            <w:pPr>
              <w:adjustRightInd w:val="0"/>
              <w:snapToGrid w:val="0"/>
              <w:spacing w:line="360" w:lineRule="auto"/>
              <w:ind w:right="-21" w:rightChars="-10"/>
              <w:jc w:val="center"/>
              <w:rPr>
                <w:rFonts w:hint="eastAsia" w:ascii="宋体" w:hAnsi="宋体" w:eastAsia="宋体" w:cs="宋体"/>
                <w:b/>
                <w:color w:val="auto"/>
                <w:sz w:val="24"/>
                <w:highlight w:val="none"/>
              </w:rPr>
            </w:pPr>
          </w:p>
        </w:tc>
        <w:tc>
          <w:tcPr>
            <w:tcW w:w="1333" w:type="dxa"/>
            <w:noWrap w:val="0"/>
            <w:vAlign w:val="center"/>
          </w:tcPr>
          <w:p w14:paraId="01AC5715">
            <w:pPr>
              <w:adjustRightInd w:val="0"/>
              <w:snapToGrid w:val="0"/>
              <w:spacing w:line="360" w:lineRule="auto"/>
              <w:ind w:right="-21" w:rightChars="-10"/>
              <w:jc w:val="center"/>
              <w:rPr>
                <w:rFonts w:hint="eastAsia" w:ascii="宋体" w:hAnsi="宋体" w:eastAsia="宋体" w:cs="宋体"/>
                <w:color w:val="auto"/>
                <w:sz w:val="24"/>
                <w:highlight w:val="none"/>
              </w:rPr>
            </w:pPr>
          </w:p>
        </w:tc>
      </w:tr>
    </w:tbl>
    <w:p w14:paraId="501F471A">
      <w:pPr>
        <w:snapToGrid w:val="0"/>
        <w:spacing w:line="360" w:lineRule="auto"/>
        <w:rPr>
          <w:rFonts w:hint="eastAsia" w:ascii="宋体" w:hAnsi="宋体" w:eastAsia="宋体" w:cs="宋体"/>
          <w:color w:val="auto"/>
          <w:highlight w:val="none"/>
          <w:lang w:val="en-US"/>
        </w:rPr>
      </w:pPr>
      <w:r>
        <w:rPr>
          <w:rFonts w:hint="eastAsia" w:ascii="宋体" w:hAnsi="宋体" w:eastAsia="宋体" w:cs="宋体"/>
          <w:color w:val="auto"/>
          <w:highlight w:val="none"/>
          <w:lang w:val="en-US"/>
        </w:rPr>
        <w:t>备注：本项目巨化数字化招采平台的投标界面的投标单价和投标总价均填写投标</w:t>
      </w:r>
      <w:r>
        <w:rPr>
          <w:rFonts w:hint="eastAsia" w:ascii="宋体" w:hAnsi="宋体" w:eastAsia="宋体" w:cs="宋体"/>
          <w:color w:val="auto"/>
          <w:highlight w:val="none"/>
          <w:lang w:val="en-US" w:eastAsia="zh-CN"/>
        </w:rPr>
        <w:t>折扣率</w:t>
      </w:r>
      <w:r>
        <w:rPr>
          <w:rFonts w:hint="eastAsia" w:ascii="宋体" w:hAnsi="宋体" w:eastAsia="宋体" w:cs="宋体"/>
          <w:color w:val="auto"/>
          <w:highlight w:val="none"/>
          <w:lang w:val="en-US"/>
        </w:rPr>
        <w:t>数值即可。投标界面中的“投标单价（元）”和“投标单项总价（元）”为固定格式，价格单位按“价格单位”显示的“%”为准，见下图：</w:t>
      </w:r>
    </w:p>
    <w:p w14:paraId="195BCF04">
      <w:pPr>
        <w:snapToGrid w:val="0"/>
        <w:spacing w:line="360" w:lineRule="auto"/>
        <w:rPr>
          <w:rFonts w:hint="eastAsia" w:ascii="宋体" w:hAnsi="宋体" w:eastAsia="宋体" w:cs="宋体"/>
          <w:color w:val="auto"/>
          <w:highlight w:val="none"/>
          <w:lang w:val="en-US"/>
        </w:rPr>
      </w:pPr>
    </w:p>
    <w:p w14:paraId="2D70846C">
      <w:pPr>
        <w:snapToGrid w:val="0"/>
        <w:spacing w:line="360" w:lineRule="auto"/>
        <w:rPr>
          <w:rFonts w:hint="eastAsia" w:ascii="宋体" w:hAnsi="宋体" w:eastAsia="宋体" w:cs="宋体"/>
          <w:color w:val="auto"/>
          <w:highlight w:val="none"/>
          <w:lang w:val="en-US"/>
        </w:rPr>
      </w:pPr>
      <w:r>
        <w:rPr>
          <w:rFonts w:hint="eastAsia" w:ascii="宋体" w:hAnsi="宋体" w:eastAsia="宋体" w:cs="宋体"/>
          <w:color w:val="auto"/>
          <w:highlight w:val="none"/>
          <w:lang w:val="en-US"/>
        </w:rPr>
        <w:t>例：如投标费率为</w:t>
      </w:r>
      <w:r>
        <w:rPr>
          <w:rFonts w:hint="eastAsia" w:ascii="宋体" w:hAnsi="宋体" w:eastAsia="宋体" w:cs="宋体"/>
          <w:color w:val="auto"/>
          <w:highlight w:val="none"/>
          <w:lang w:val="en-US" w:eastAsia="zh-CN"/>
        </w:rPr>
        <w:t>50</w:t>
      </w:r>
      <w:r>
        <w:rPr>
          <w:rFonts w:hint="eastAsia" w:ascii="宋体" w:hAnsi="宋体" w:eastAsia="宋体" w:cs="宋体"/>
          <w:color w:val="auto"/>
          <w:highlight w:val="none"/>
          <w:lang w:val="en-US"/>
        </w:rPr>
        <w:t>%，则“投标单价（元）”和“投标单项总价（元）”处均填写</w:t>
      </w:r>
      <w:r>
        <w:rPr>
          <w:rFonts w:hint="eastAsia" w:ascii="宋体" w:hAnsi="宋体" w:eastAsia="宋体" w:cs="宋体"/>
          <w:color w:val="auto"/>
          <w:highlight w:val="none"/>
          <w:lang w:val="en-US" w:eastAsia="zh-CN"/>
        </w:rPr>
        <w:t>50</w:t>
      </w:r>
      <w:r>
        <w:rPr>
          <w:rFonts w:hint="eastAsia" w:ascii="宋体" w:hAnsi="宋体" w:eastAsia="宋体" w:cs="宋体"/>
          <w:color w:val="auto"/>
          <w:highlight w:val="none"/>
          <w:lang w:val="en-US"/>
        </w:rPr>
        <w:t>。</w:t>
      </w:r>
    </w:p>
    <w:p w14:paraId="2EEED542">
      <w:pPr>
        <w:adjustRightInd w:val="0"/>
        <w:snapToGrid w:val="0"/>
        <w:spacing w:line="360" w:lineRule="auto"/>
        <w:ind w:firstLine="424" w:firstLineChars="177"/>
        <w:rPr>
          <w:rFonts w:hint="eastAsia" w:ascii="宋体" w:hAnsi="宋体" w:eastAsia="宋体" w:cs="宋体"/>
          <w:color w:val="auto"/>
          <w:sz w:val="24"/>
          <w:highlight w:val="none"/>
        </w:rPr>
      </w:pPr>
    </w:p>
    <w:p w14:paraId="7F5B402A">
      <w:pPr>
        <w:snapToGrid w:val="0"/>
        <w:spacing w:line="360" w:lineRule="auto"/>
        <w:jc w:val="left"/>
        <w:rPr>
          <w:rFonts w:hint="eastAsia" w:ascii="宋体" w:hAnsi="宋体" w:eastAsia="宋体" w:cs="宋体"/>
          <w:color w:val="auto"/>
          <w:spacing w:val="20"/>
          <w:sz w:val="24"/>
          <w:highlight w:val="none"/>
        </w:rPr>
      </w:pPr>
      <w:r>
        <w:rPr>
          <w:rFonts w:hint="eastAsia" w:ascii="宋体" w:hAnsi="宋体" w:eastAsia="宋体" w:cs="宋体"/>
          <w:color w:val="auto"/>
          <w:spacing w:val="20"/>
          <w:sz w:val="24"/>
          <w:highlight w:val="none"/>
        </w:rPr>
        <w:t>投标人：</w:t>
      </w:r>
      <w:r>
        <w:rPr>
          <w:rFonts w:hint="eastAsia" w:ascii="宋体" w:hAnsi="宋体" w:eastAsia="宋体" w:cs="宋体"/>
          <w:color w:val="auto"/>
          <w:spacing w:val="20"/>
          <w:sz w:val="24"/>
          <w:highlight w:val="none"/>
          <w:u w:val="single"/>
        </w:rPr>
        <w:t xml:space="preserve">      （盖章）      </w:t>
      </w:r>
      <w:r>
        <w:rPr>
          <w:rFonts w:hint="eastAsia" w:ascii="宋体" w:hAnsi="宋体" w:eastAsia="宋体" w:cs="宋体"/>
          <w:color w:val="auto"/>
          <w:spacing w:val="20"/>
          <w:sz w:val="24"/>
          <w:highlight w:val="none"/>
        </w:rPr>
        <w:t xml:space="preserve">     日  期：</w:t>
      </w:r>
      <w:r>
        <w:rPr>
          <w:rFonts w:hint="eastAsia" w:ascii="宋体" w:hAnsi="宋体" w:eastAsia="宋体" w:cs="宋体"/>
          <w:color w:val="auto"/>
          <w:spacing w:val="20"/>
          <w:sz w:val="24"/>
          <w:highlight w:val="none"/>
          <w:u w:val="single"/>
        </w:rPr>
        <w:t xml:space="preserve">          </w:t>
      </w:r>
    </w:p>
    <w:p w14:paraId="42CECD8F"/>
    <w:sectPr>
      <w:footerReference r:id="rId9" w:type="even"/>
      <w:pgSz w:w="11906" w:h="16838"/>
      <w:pgMar w:top="1474" w:right="1797" w:bottom="1247" w:left="1797"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0E398">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6FD5F">
    <w:pPr>
      <w:pStyle w:val="6"/>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separate"/>
    </w:r>
    <w:r>
      <w:rPr>
        <w:rStyle w:val="12"/>
        <w:vanish/>
      </w:rPr>
      <w:t xml:space="preserve"> </w:t>
    </w:r>
    <w:r>
      <w:rPr>
        <w:rStyle w:val="12"/>
      </w:rPr>
      <w:fldChar w:fldCharType="end"/>
    </w:r>
  </w:p>
  <w:p w14:paraId="224BFB9E">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0465F">
    <w:pPr>
      <w:pStyle w:val="6"/>
      <w:jc w:val="center"/>
    </w:pPr>
    <w:r>
      <w:fldChar w:fldCharType="begin"/>
    </w:r>
    <w:r>
      <w:instrText xml:space="preserve"> PAGE   \* MERGEFORMAT </w:instrText>
    </w:r>
    <w:r>
      <w:fldChar w:fldCharType="separate"/>
    </w:r>
    <w:r>
      <w:rPr>
        <w:lang w:val="zh-CN"/>
      </w:rPr>
      <w:t>2</w:t>
    </w:r>
    <w:r>
      <w:fldChar w:fldCharType="end"/>
    </w:r>
  </w:p>
  <w:p w14:paraId="2F900D5A">
    <w:pPr>
      <w:pStyle w:val="6"/>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8B16E">
    <w:pPr>
      <w:pStyle w:val="6"/>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DA30A1">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0DA30A1">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DF347">
    <w:pPr>
      <w:pStyle w:val="6"/>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separate"/>
    </w:r>
    <w:r>
      <w:rPr>
        <w:rStyle w:val="12"/>
      </w:rPr>
      <w:t>55</w:t>
    </w:r>
    <w:r>
      <w:rPr>
        <w:rStyle w:val="12"/>
      </w:rPr>
      <w:fldChar w:fldCharType="end"/>
    </w:r>
  </w:p>
  <w:p w14:paraId="3F7B6A55">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6E8BB">
    <w:pPr>
      <w:pStyle w:val="7"/>
    </w:pPr>
    <w:r>
      <w:rPr>
        <w:rFonts w:hint="eastAsia" w:ascii="宋体" w:hAnsi="宋体" w:cs="宋体"/>
        <w:sz w:val="21"/>
        <w:szCs w:val="21"/>
        <w:u w:val="single"/>
        <w:lang w:bidi="ar-SA"/>
      </w:rPr>
      <w:t>浙江省国际技术设备招标有限公司                               公开招标文件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CCA1D">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F37716"/>
    <w:multiLevelType w:val="singleLevel"/>
    <w:tmpl w:val="C0F37716"/>
    <w:lvl w:ilvl="0" w:tentative="0">
      <w:start w:val="1"/>
      <w:numFmt w:val="decimal"/>
      <w:suff w:val="nothing"/>
      <w:lvlText w:val="%1、"/>
      <w:lvlJc w:val="left"/>
    </w:lvl>
  </w:abstractNum>
  <w:abstractNum w:abstractNumId="1">
    <w:nsid w:val="02A16671"/>
    <w:multiLevelType w:val="multilevel"/>
    <w:tmpl w:val="02A16671"/>
    <w:lvl w:ilvl="0" w:tentative="0">
      <w:start w:val="1"/>
      <w:numFmt w:val="decimal"/>
      <w:lvlText w:val="1.%1"/>
      <w:lvlJc w:val="left"/>
      <w:pPr>
        <w:ind w:left="1686" w:hanging="420"/>
      </w:pPr>
      <w:rPr>
        <w:rFonts w:hint="eastAsia"/>
      </w:rPr>
    </w:lvl>
    <w:lvl w:ilvl="1" w:tentative="0">
      <w:start w:val="1"/>
      <w:numFmt w:val="decimal"/>
      <w:suff w:val="nothing"/>
      <w:lvlText w:val="1.%2"/>
      <w:lvlJc w:val="left"/>
      <w:pPr>
        <w:ind w:left="840" w:hanging="420"/>
      </w:pPr>
      <w:rPr>
        <w:rFonts w:hint="default" w:ascii="宋体" w:hAnsi="宋体" w:eastAsia="宋体"/>
        <w:color w:val="auto"/>
      </w:rPr>
    </w:lvl>
    <w:lvl w:ilvl="2" w:tentative="0">
      <w:start w:val="1"/>
      <w:numFmt w:val="decimal"/>
      <w:lvlText w:val="（%3）"/>
      <w:lvlJc w:val="left"/>
      <w:pPr>
        <w:ind w:left="1560" w:hanging="720"/>
      </w:pPr>
      <w:rPr>
        <w:rFonts w:hint="default"/>
      </w:rPr>
    </w:lvl>
    <w:lvl w:ilvl="3" w:tentative="0">
      <w:start w:val="1"/>
      <w:numFmt w:val="decimal"/>
      <w:lvlText w:val="%4）"/>
      <w:lvlJc w:val="left"/>
      <w:pPr>
        <w:ind w:left="1620" w:hanging="36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7E5F443"/>
    <w:multiLevelType w:val="multilevel"/>
    <w:tmpl w:val="57E5F443"/>
    <w:lvl w:ilvl="0" w:tentative="0">
      <w:start w:val="1"/>
      <w:numFmt w:val="decimal"/>
      <w:suff w:val="nothing"/>
      <w:lvlText w:val="2.%1"/>
      <w:lvlJc w:val="righ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8D64542"/>
    <w:multiLevelType w:val="multilevel"/>
    <w:tmpl w:val="58D64542"/>
    <w:lvl w:ilvl="0" w:tentative="0">
      <w:start w:val="1"/>
      <w:numFmt w:val="decimal"/>
      <w:lvlText w:val="（%1）"/>
      <w:lvlJc w:val="left"/>
      <w:pPr>
        <w:ind w:left="84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decimal"/>
      <w:lvlText w:val="（%3）"/>
      <w:lvlJc w:val="righ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BFDD47F"/>
    <w:multiLevelType w:val="singleLevel"/>
    <w:tmpl w:val="7BFDD47F"/>
    <w:lvl w:ilvl="0" w:tentative="0">
      <w:start w:val="1"/>
      <w:numFmt w:val="decimal"/>
      <w:pStyle w:val="2"/>
      <w:lvlText w:val="%1."/>
      <w:lvlJc w:val="left"/>
      <w:pPr>
        <w:tabs>
          <w:tab w:val="left" w:pos="360"/>
        </w:tabs>
        <w:ind w:left="360" w:hanging="36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3F250E2B"/>
    <w:rsid w:val="4A547C23"/>
    <w:rsid w:val="77F2760E"/>
    <w:rsid w:val="CAD7B3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2">
    <w:name w:val="List Number"/>
    <w:basedOn w:val="1"/>
    <w:uiPriority w:val="0"/>
    <w:pPr>
      <w:numPr>
        <w:ilvl w:val="0"/>
        <w:numId w:val="1"/>
      </w:numPr>
    </w:pPr>
  </w:style>
  <w:style w:type="paragraph" w:styleId="3">
    <w:name w:val="Normal Indent"/>
    <w:basedOn w:val="1"/>
    <w:qFormat/>
    <w:uiPriority w:val="0"/>
    <w:pPr>
      <w:ind w:firstLine="420"/>
    </w:pPr>
    <w:rPr>
      <w:kern w:val="0"/>
      <w:sz w:val="20"/>
      <w:szCs w:val="20"/>
    </w:rPr>
  </w:style>
  <w:style w:type="paragraph" w:styleId="4">
    <w:name w:val="Body Text Indent"/>
    <w:basedOn w:val="1"/>
    <w:qFormat/>
    <w:uiPriority w:val="0"/>
    <w:pPr>
      <w:spacing w:line="200" w:lineRule="exact"/>
      <w:ind w:firstLine="301"/>
    </w:pPr>
    <w:rPr>
      <w:rFonts w:ascii="宋体"/>
      <w:spacing w:val="-4"/>
      <w:kern w:val="0"/>
      <w:sz w:val="18"/>
      <w:szCs w:val="20"/>
    </w:rPr>
  </w:style>
  <w:style w:type="paragraph" w:styleId="5">
    <w:name w:val="Plain Text"/>
    <w:basedOn w:val="1"/>
    <w:qFormat/>
    <w:uiPriority w:val="0"/>
    <w:pPr>
      <w:spacing w:before="50" w:beforeLines="50" w:after="50" w:afterLines="50" w:line="400" w:lineRule="exact"/>
    </w:pPr>
    <w:rPr>
      <w:rFonts w:ascii="宋体"/>
      <w:kern w:val="0"/>
      <w:sz w:val="24"/>
    </w:rPr>
  </w:style>
  <w:style w:type="paragraph" w:styleId="6">
    <w:name w:val="footer"/>
    <w:basedOn w:val="1"/>
    <w:qFormat/>
    <w:uiPriority w:val="0"/>
    <w:pPr>
      <w:tabs>
        <w:tab w:val="center" w:pos="4153"/>
        <w:tab w:val="right" w:pos="8306"/>
      </w:tabs>
      <w:snapToGrid w:val="0"/>
      <w:jc w:val="left"/>
    </w:pPr>
    <w:rPr>
      <w:rFonts w:eastAsia="黑体"/>
      <w:snapToGrid w:val="0"/>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eastAsia="仿宋_GB2312"/>
      <w:kern w:val="0"/>
      <w:sz w:val="18"/>
      <w:szCs w:val="20"/>
    </w:rPr>
  </w:style>
  <w:style w:type="paragraph" w:styleId="8">
    <w:name w:val="toc 1"/>
    <w:basedOn w:val="1"/>
    <w:next w:val="1"/>
    <w:qFormat/>
    <w:uiPriority w:val="0"/>
  </w:style>
  <w:style w:type="paragraph" w:styleId="9">
    <w:name w:val="toc 2"/>
    <w:basedOn w:val="1"/>
    <w:next w:val="1"/>
    <w:qFormat/>
    <w:uiPriority w:val="0"/>
    <w:pPr>
      <w:ind w:left="200" w:leftChars="200"/>
    </w:pPr>
    <w:rPr>
      <w:rFonts w:ascii="Calibri" w:hAnsi="Calibri"/>
      <w:szCs w:val="22"/>
    </w:r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10171</Words>
  <Characters>10786</Characters>
  <Lines>0</Lines>
  <Paragraphs>0</Paragraphs>
  <TotalTime>3.33333333333333</TotalTime>
  <ScaleCrop>false</ScaleCrop>
  <LinksUpToDate>false</LinksUpToDate>
  <CharactersWithSpaces>10851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晓净</cp:lastModifiedBy>
  <dcterms:modified xsi:type="dcterms:W3CDTF">2025-07-09T07:59:30Z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eyJoZGlkIjoiYTJiN2YwNjZlMzYwMDQ4NmUxOTIzNTRkM2ZiODAxNjgiLCJ1c2VySWQiOiIzNzA4NjA5NTkifQ==</vt:lpwstr>
  </property>
  <property fmtid="{D5CDD505-2E9C-101B-9397-08002B2CF9AE}" pid="4" name="ICV">
    <vt:lpwstr>FDEDFACA729E4FB584A9AB59B131E5EA_13</vt:lpwstr>
  </property>
</Properties>
</file>