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F8E6B5">
      <w:pPr>
        <w:widowControl/>
        <w:spacing w:line="276" w:lineRule="auto"/>
        <w:ind w:firstLine="480"/>
        <w:jc w:val="center"/>
        <w:rPr>
          <w:rFonts w:ascii="仿宋" w:hAnsi="仿宋" w:eastAsia="仿宋" w:cs="仿宋"/>
          <w:b/>
          <w:bCs/>
          <w:sz w:val="32"/>
          <w:szCs w:val="32"/>
          <w:shd w:val="clear" w:color="auto" w:fill="FFFFFF"/>
        </w:rPr>
      </w:pPr>
      <w:r>
        <w:rPr>
          <w:rFonts w:hint="eastAsia" w:ascii="仿宋" w:hAnsi="仿宋" w:eastAsia="仿宋" w:cs="仿宋"/>
          <w:b/>
          <w:bCs/>
          <w:sz w:val="32"/>
          <w:szCs w:val="32"/>
          <w:shd w:val="clear" w:color="auto" w:fill="FFFFFF"/>
        </w:rPr>
        <w:t>浙江巨化信息技术有限公司</w:t>
      </w:r>
    </w:p>
    <w:p w14:paraId="0FBA92F0">
      <w:pPr>
        <w:widowControl/>
        <w:spacing w:line="276" w:lineRule="auto"/>
        <w:ind w:firstLine="480"/>
        <w:jc w:val="center"/>
        <w:rPr>
          <w:rFonts w:ascii="仿宋" w:hAnsi="仿宋" w:eastAsia="仿宋" w:cs="仿宋"/>
          <w:b/>
          <w:bCs/>
          <w:sz w:val="32"/>
          <w:szCs w:val="32"/>
          <w:shd w:val="clear" w:color="auto" w:fill="FFFFFF"/>
        </w:rPr>
      </w:pPr>
      <w:r>
        <w:rPr>
          <w:rFonts w:hint="eastAsia" w:ascii="仿宋" w:hAnsi="仿宋" w:eastAsia="仿宋" w:cs="仿宋"/>
          <w:b/>
          <w:bCs/>
          <w:sz w:val="32"/>
          <w:szCs w:val="32"/>
          <w:shd w:val="clear" w:color="auto" w:fill="FFFFFF"/>
        </w:rPr>
        <w:t>“系统集成2025-0501”项目采购文件</w:t>
      </w:r>
    </w:p>
    <w:p w14:paraId="0EFB3D9E">
      <w:pPr>
        <w:widowControl/>
        <w:spacing w:line="360" w:lineRule="auto"/>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根据《民法典》等有关法律及巨化集团有限公司采购相关规定，浙江巨化信息技术有限公司就其“系统集成2025-0501”项目进行采购，现将有关事宜公告如下。</w:t>
      </w:r>
    </w:p>
    <w:p w14:paraId="36C5093C">
      <w:pPr>
        <w:spacing w:line="360" w:lineRule="auto"/>
        <w:jc w:val="left"/>
        <w:rPr>
          <w:rStyle w:val="18"/>
          <w:rFonts w:ascii="仿宋" w:hAnsi="仿宋" w:eastAsia="仿宋" w:cs="仿宋"/>
          <w:sz w:val="28"/>
          <w:szCs w:val="28"/>
        </w:rPr>
      </w:pPr>
      <w:r>
        <w:rPr>
          <w:rStyle w:val="18"/>
          <w:rFonts w:hint="eastAsia" w:ascii="仿宋" w:hAnsi="仿宋" w:eastAsia="仿宋" w:cs="仿宋"/>
          <w:sz w:val="28"/>
          <w:szCs w:val="28"/>
        </w:rPr>
        <w:t>一、项目基本情况</w:t>
      </w:r>
    </w:p>
    <w:p w14:paraId="40001CF0">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项目编号：见巨化数字化招采平台。</w:t>
      </w:r>
    </w:p>
    <w:p w14:paraId="3FAD1435">
      <w:pPr>
        <w:widowControl/>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项目名称：浙江巨化信息技术有限公司</w:t>
      </w:r>
      <w:r>
        <w:rPr>
          <w:rFonts w:hint="eastAsia" w:ascii="仿宋" w:hAnsi="仿宋" w:eastAsia="仿宋" w:cs="仿宋"/>
          <w:kern w:val="0"/>
          <w:sz w:val="28"/>
          <w:szCs w:val="28"/>
        </w:rPr>
        <w:t>“系统集成2025-05011”项目</w:t>
      </w:r>
    </w:p>
    <w:p w14:paraId="6F78D472">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预算金额： 36.</w:t>
      </w:r>
      <w:r>
        <w:rPr>
          <w:rFonts w:hint="eastAsia" w:ascii="仿宋" w:hAnsi="仿宋" w:eastAsia="仿宋" w:cs="仿宋"/>
          <w:sz w:val="28"/>
          <w:szCs w:val="28"/>
          <w:lang w:val="en-US" w:eastAsia="zh-CN"/>
        </w:rPr>
        <w:t>5</w:t>
      </w:r>
      <w:bookmarkStart w:id="0" w:name="_GoBack"/>
      <w:bookmarkEnd w:id="0"/>
      <w:r>
        <w:rPr>
          <w:rFonts w:hint="eastAsia" w:ascii="仿宋" w:hAnsi="仿宋" w:eastAsia="仿宋" w:cs="仿宋"/>
          <w:sz w:val="28"/>
          <w:szCs w:val="28"/>
        </w:rPr>
        <w:t>万元。</w:t>
      </w:r>
    </w:p>
    <w:p w14:paraId="429DD2B7">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采购需求:</w:t>
      </w:r>
    </w:p>
    <w:tbl>
      <w:tblPr>
        <w:tblStyle w:val="16"/>
        <w:tblpPr w:leftFromText="180" w:rightFromText="180" w:vertAnchor="text" w:horzAnchor="page" w:tblpX="1646" w:tblpY="188"/>
        <w:tblOverlap w:val="never"/>
        <w:tblW w:w="9175" w:type="dxa"/>
        <w:tblInd w:w="0" w:type="dxa"/>
        <w:tblLayout w:type="fixed"/>
        <w:tblCellMar>
          <w:top w:w="15" w:type="dxa"/>
          <w:left w:w="15" w:type="dxa"/>
          <w:bottom w:w="15" w:type="dxa"/>
          <w:right w:w="15" w:type="dxa"/>
        </w:tblCellMar>
      </w:tblPr>
      <w:tblGrid>
        <w:gridCol w:w="663"/>
        <w:gridCol w:w="2976"/>
        <w:gridCol w:w="714"/>
        <w:gridCol w:w="703"/>
        <w:gridCol w:w="2774"/>
        <w:gridCol w:w="1345"/>
      </w:tblGrid>
      <w:tr w14:paraId="22D969A0">
        <w:tblPrEx>
          <w:tblCellMar>
            <w:top w:w="15" w:type="dxa"/>
            <w:left w:w="15" w:type="dxa"/>
            <w:bottom w:w="15" w:type="dxa"/>
            <w:right w:w="15" w:type="dxa"/>
          </w:tblCellMar>
        </w:tblPrEx>
        <w:trPr>
          <w:trHeight w:val="1047" w:hRule="atLeast"/>
        </w:trPr>
        <w:tc>
          <w:tcPr>
            <w:tcW w:w="663" w:type="dxa"/>
            <w:tcBorders>
              <w:top w:val="single" w:color="auto" w:sz="6" w:space="0"/>
              <w:left w:val="single" w:color="auto" w:sz="6" w:space="0"/>
              <w:bottom w:val="single" w:color="auto" w:sz="4" w:space="0"/>
              <w:right w:val="single" w:color="auto" w:sz="6" w:space="0"/>
            </w:tcBorders>
            <w:noWrap/>
            <w:tcMar>
              <w:top w:w="0" w:type="dxa"/>
              <w:left w:w="105" w:type="dxa"/>
              <w:bottom w:w="0" w:type="dxa"/>
              <w:right w:w="105" w:type="dxa"/>
            </w:tcMar>
            <w:vAlign w:val="center"/>
          </w:tcPr>
          <w:p w14:paraId="3454A240">
            <w:pPr>
              <w:pStyle w:val="13"/>
              <w:spacing w:before="0" w:beforeAutospacing="0" w:after="0" w:afterAutospacing="0" w:line="360" w:lineRule="auto"/>
              <w:jc w:val="center"/>
              <w:rPr>
                <w:rFonts w:ascii="仿宋" w:hAnsi="仿宋" w:eastAsia="仿宋" w:cs="仿宋"/>
                <w:sz w:val="28"/>
                <w:szCs w:val="28"/>
              </w:rPr>
            </w:pPr>
            <w:r>
              <w:rPr>
                <w:rFonts w:hint="eastAsia" w:ascii="仿宋" w:hAnsi="仿宋" w:eastAsia="仿宋" w:cs="仿宋"/>
                <w:sz w:val="28"/>
                <w:szCs w:val="28"/>
              </w:rPr>
              <w:t>序号</w:t>
            </w:r>
          </w:p>
        </w:tc>
        <w:tc>
          <w:tcPr>
            <w:tcW w:w="2976" w:type="dxa"/>
            <w:tcBorders>
              <w:top w:val="single" w:color="auto" w:sz="6" w:space="0"/>
              <w:left w:val="nil"/>
              <w:bottom w:val="single" w:color="auto" w:sz="4" w:space="0"/>
              <w:right w:val="single" w:color="auto" w:sz="6" w:space="0"/>
            </w:tcBorders>
            <w:noWrap/>
            <w:tcMar>
              <w:top w:w="0" w:type="dxa"/>
              <w:left w:w="105" w:type="dxa"/>
              <w:bottom w:w="0" w:type="dxa"/>
              <w:right w:w="105" w:type="dxa"/>
            </w:tcMar>
            <w:vAlign w:val="center"/>
          </w:tcPr>
          <w:p w14:paraId="2DE1379C">
            <w:pPr>
              <w:pStyle w:val="13"/>
              <w:spacing w:before="0" w:beforeAutospacing="0" w:after="0" w:afterAutospacing="0" w:line="360" w:lineRule="auto"/>
              <w:jc w:val="center"/>
              <w:rPr>
                <w:rFonts w:ascii="仿宋" w:hAnsi="仿宋" w:eastAsia="仿宋" w:cs="仿宋"/>
                <w:sz w:val="28"/>
                <w:szCs w:val="28"/>
              </w:rPr>
            </w:pPr>
            <w:r>
              <w:rPr>
                <w:rFonts w:hint="eastAsia" w:ascii="仿宋" w:hAnsi="仿宋" w:eastAsia="仿宋" w:cs="仿宋"/>
                <w:sz w:val="28"/>
                <w:szCs w:val="28"/>
              </w:rPr>
              <w:t>标项内容</w:t>
            </w:r>
          </w:p>
        </w:tc>
        <w:tc>
          <w:tcPr>
            <w:tcW w:w="714" w:type="dxa"/>
            <w:tcBorders>
              <w:top w:val="single" w:color="auto" w:sz="6" w:space="0"/>
              <w:left w:val="nil"/>
              <w:bottom w:val="single" w:color="auto" w:sz="4" w:space="0"/>
              <w:right w:val="single" w:color="auto" w:sz="6" w:space="0"/>
            </w:tcBorders>
            <w:noWrap/>
            <w:tcMar>
              <w:top w:w="0" w:type="dxa"/>
              <w:left w:w="105" w:type="dxa"/>
              <w:bottom w:w="0" w:type="dxa"/>
              <w:right w:w="105" w:type="dxa"/>
            </w:tcMar>
            <w:vAlign w:val="center"/>
          </w:tcPr>
          <w:p w14:paraId="341F24A7">
            <w:pPr>
              <w:pStyle w:val="13"/>
              <w:spacing w:before="0" w:beforeAutospacing="0" w:after="0" w:afterAutospacing="0" w:line="360" w:lineRule="auto"/>
              <w:jc w:val="center"/>
              <w:rPr>
                <w:rFonts w:ascii="仿宋" w:hAnsi="仿宋" w:eastAsia="仿宋" w:cs="仿宋"/>
                <w:sz w:val="28"/>
                <w:szCs w:val="28"/>
              </w:rPr>
            </w:pPr>
            <w:r>
              <w:rPr>
                <w:rFonts w:hint="eastAsia" w:ascii="仿宋" w:hAnsi="仿宋" w:eastAsia="仿宋" w:cs="仿宋"/>
                <w:sz w:val="28"/>
                <w:szCs w:val="28"/>
              </w:rPr>
              <w:t>数量</w:t>
            </w:r>
          </w:p>
        </w:tc>
        <w:tc>
          <w:tcPr>
            <w:tcW w:w="703" w:type="dxa"/>
            <w:tcBorders>
              <w:top w:val="single" w:color="auto" w:sz="6" w:space="0"/>
              <w:left w:val="nil"/>
              <w:bottom w:val="single" w:color="auto" w:sz="4" w:space="0"/>
              <w:right w:val="single" w:color="auto" w:sz="6" w:space="0"/>
            </w:tcBorders>
            <w:noWrap/>
            <w:tcMar>
              <w:top w:w="0" w:type="dxa"/>
              <w:left w:w="105" w:type="dxa"/>
              <w:bottom w:w="0" w:type="dxa"/>
              <w:right w:w="105" w:type="dxa"/>
            </w:tcMar>
            <w:vAlign w:val="center"/>
          </w:tcPr>
          <w:p w14:paraId="29CDF15D">
            <w:pPr>
              <w:pStyle w:val="13"/>
              <w:spacing w:before="0" w:beforeAutospacing="0" w:after="0" w:afterAutospacing="0" w:line="360" w:lineRule="auto"/>
              <w:jc w:val="center"/>
              <w:rPr>
                <w:rFonts w:ascii="仿宋" w:hAnsi="仿宋" w:eastAsia="仿宋" w:cs="仿宋"/>
                <w:sz w:val="28"/>
                <w:szCs w:val="28"/>
              </w:rPr>
            </w:pPr>
            <w:r>
              <w:rPr>
                <w:rFonts w:hint="eastAsia" w:ascii="仿宋" w:hAnsi="仿宋" w:eastAsia="仿宋" w:cs="仿宋"/>
                <w:sz w:val="28"/>
                <w:szCs w:val="28"/>
              </w:rPr>
              <w:t>单位</w:t>
            </w:r>
          </w:p>
        </w:tc>
        <w:tc>
          <w:tcPr>
            <w:tcW w:w="2774" w:type="dxa"/>
            <w:tcBorders>
              <w:top w:val="single" w:color="auto" w:sz="6" w:space="0"/>
              <w:left w:val="nil"/>
              <w:bottom w:val="single" w:color="auto" w:sz="4" w:space="0"/>
              <w:right w:val="single" w:color="auto" w:sz="6" w:space="0"/>
            </w:tcBorders>
            <w:noWrap/>
            <w:tcMar>
              <w:top w:w="0" w:type="dxa"/>
              <w:left w:w="105" w:type="dxa"/>
              <w:bottom w:w="0" w:type="dxa"/>
              <w:right w:w="105" w:type="dxa"/>
            </w:tcMar>
            <w:vAlign w:val="center"/>
          </w:tcPr>
          <w:p w14:paraId="5CB13654">
            <w:pPr>
              <w:pStyle w:val="13"/>
              <w:spacing w:before="0" w:beforeAutospacing="0" w:after="0" w:afterAutospacing="0" w:line="360" w:lineRule="auto"/>
              <w:jc w:val="center"/>
              <w:rPr>
                <w:rFonts w:ascii="仿宋" w:hAnsi="仿宋" w:eastAsia="仿宋" w:cs="仿宋"/>
                <w:sz w:val="28"/>
                <w:szCs w:val="28"/>
              </w:rPr>
            </w:pPr>
            <w:r>
              <w:rPr>
                <w:rFonts w:hint="eastAsia" w:ascii="仿宋" w:hAnsi="仿宋" w:eastAsia="仿宋" w:cs="仿宋"/>
                <w:sz w:val="28"/>
                <w:szCs w:val="28"/>
              </w:rPr>
              <w:t>设备清单及功能要求</w:t>
            </w:r>
          </w:p>
        </w:tc>
        <w:tc>
          <w:tcPr>
            <w:tcW w:w="1345" w:type="dxa"/>
            <w:tcBorders>
              <w:top w:val="single" w:color="auto" w:sz="6" w:space="0"/>
              <w:left w:val="nil"/>
              <w:bottom w:val="single" w:color="auto" w:sz="4" w:space="0"/>
              <w:right w:val="single" w:color="auto" w:sz="6" w:space="0"/>
            </w:tcBorders>
            <w:noWrap/>
            <w:tcMar>
              <w:top w:w="0" w:type="dxa"/>
              <w:left w:w="105" w:type="dxa"/>
              <w:bottom w:w="0" w:type="dxa"/>
              <w:right w:w="105" w:type="dxa"/>
            </w:tcMar>
            <w:vAlign w:val="center"/>
          </w:tcPr>
          <w:p w14:paraId="157E218A">
            <w:pPr>
              <w:pStyle w:val="13"/>
              <w:spacing w:before="0" w:beforeAutospacing="0" w:after="0" w:afterAutospacing="0" w:line="360" w:lineRule="auto"/>
              <w:jc w:val="center"/>
              <w:rPr>
                <w:rFonts w:ascii="仿宋" w:hAnsi="仿宋" w:eastAsia="仿宋" w:cs="仿宋"/>
                <w:sz w:val="28"/>
                <w:szCs w:val="28"/>
              </w:rPr>
            </w:pPr>
            <w:r>
              <w:rPr>
                <w:rFonts w:hint="eastAsia" w:ascii="仿宋" w:hAnsi="仿宋" w:eastAsia="仿宋" w:cs="仿宋"/>
                <w:sz w:val="28"/>
                <w:szCs w:val="28"/>
              </w:rPr>
              <w:t>最高限价</w:t>
            </w:r>
          </w:p>
        </w:tc>
      </w:tr>
      <w:tr w14:paraId="2DF75FE6">
        <w:tblPrEx>
          <w:tblCellMar>
            <w:top w:w="15" w:type="dxa"/>
            <w:left w:w="15" w:type="dxa"/>
            <w:bottom w:w="15" w:type="dxa"/>
            <w:right w:w="15" w:type="dxa"/>
          </w:tblCellMar>
        </w:tblPrEx>
        <w:trPr>
          <w:trHeight w:val="1081" w:hRule="atLeast"/>
        </w:trPr>
        <w:tc>
          <w:tcPr>
            <w:tcW w:w="663" w:type="dxa"/>
            <w:tcBorders>
              <w:top w:val="single" w:color="auto" w:sz="4" w:space="0"/>
              <w:left w:val="single" w:color="auto" w:sz="4" w:space="0"/>
              <w:bottom w:val="single" w:color="auto" w:sz="4" w:space="0"/>
              <w:right w:val="single" w:color="auto" w:sz="4" w:space="0"/>
            </w:tcBorders>
            <w:noWrap/>
            <w:tcMar>
              <w:top w:w="0" w:type="dxa"/>
              <w:left w:w="105" w:type="dxa"/>
              <w:bottom w:w="0" w:type="dxa"/>
              <w:right w:w="105" w:type="dxa"/>
            </w:tcMar>
            <w:vAlign w:val="center"/>
          </w:tcPr>
          <w:p w14:paraId="09B5E556">
            <w:pPr>
              <w:pStyle w:val="13"/>
              <w:spacing w:before="0" w:beforeAutospacing="0" w:after="0" w:afterAutospacing="0" w:line="360" w:lineRule="auto"/>
              <w:jc w:val="center"/>
              <w:rPr>
                <w:rFonts w:ascii="仿宋" w:hAnsi="仿宋" w:eastAsia="仿宋" w:cs="仿宋"/>
                <w:sz w:val="28"/>
                <w:szCs w:val="28"/>
              </w:rPr>
            </w:pPr>
            <w:r>
              <w:rPr>
                <w:rFonts w:hint="eastAsia" w:ascii="仿宋" w:hAnsi="仿宋" w:eastAsia="仿宋" w:cs="仿宋"/>
                <w:sz w:val="28"/>
                <w:szCs w:val="28"/>
              </w:rPr>
              <w:t>1</w:t>
            </w:r>
          </w:p>
        </w:tc>
        <w:tc>
          <w:tcPr>
            <w:tcW w:w="2976" w:type="dxa"/>
            <w:tcBorders>
              <w:top w:val="single" w:color="auto" w:sz="4" w:space="0"/>
              <w:left w:val="single" w:color="auto" w:sz="4" w:space="0"/>
              <w:bottom w:val="single" w:color="auto" w:sz="4" w:space="0"/>
              <w:right w:val="single" w:color="auto" w:sz="4" w:space="0"/>
            </w:tcBorders>
            <w:noWrap/>
            <w:tcMar>
              <w:top w:w="0" w:type="dxa"/>
              <w:left w:w="105" w:type="dxa"/>
              <w:bottom w:w="0" w:type="dxa"/>
              <w:right w:w="105" w:type="dxa"/>
            </w:tcMar>
            <w:vAlign w:val="center"/>
          </w:tcPr>
          <w:p w14:paraId="222BCF4A">
            <w:pPr>
              <w:widowControl/>
              <w:spacing w:line="360" w:lineRule="auto"/>
              <w:jc w:val="center"/>
              <w:rPr>
                <w:rFonts w:ascii="仿宋" w:hAnsi="仿宋" w:eastAsia="仿宋" w:cs="仿宋"/>
                <w:kern w:val="0"/>
                <w:sz w:val="28"/>
                <w:szCs w:val="28"/>
              </w:rPr>
            </w:pPr>
            <w:r>
              <w:rPr>
                <w:rFonts w:hint="eastAsia" w:ascii="仿宋" w:hAnsi="仿宋" w:eastAsia="仿宋" w:cs="仿宋"/>
                <w:kern w:val="0"/>
                <w:sz w:val="28"/>
                <w:szCs w:val="28"/>
              </w:rPr>
              <w:t>“系统集成2025-0501”项目</w:t>
            </w:r>
          </w:p>
        </w:tc>
        <w:tc>
          <w:tcPr>
            <w:tcW w:w="714" w:type="dxa"/>
            <w:tcBorders>
              <w:top w:val="single" w:color="auto" w:sz="4" w:space="0"/>
              <w:left w:val="single" w:color="auto" w:sz="4" w:space="0"/>
              <w:bottom w:val="single" w:color="auto" w:sz="4" w:space="0"/>
              <w:right w:val="single" w:color="auto" w:sz="4" w:space="0"/>
            </w:tcBorders>
            <w:noWrap/>
            <w:tcMar>
              <w:top w:w="0" w:type="dxa"/>
              <w:left w:w="105" w:type="dxa"/>
              <w:bottom w:w="0" w:type="dxa"/>
              <w:right w:w="105" w:type="dxa"/>
            </w:tcMar>
            <w:vAlign w:val="center"/>
          </w:tcPr>
          <w:p w14:paraId="05BC0275">
            <w:pPr>
              <w:pStyle w:val="13"/>
              <w:spacing w:before="0" w:beforeAutospacing="0" w:after="0" w:afterAutospacing="0" w:line="360" w:lineRule="auto"/>
              <w:jc w:val="center"/>
              <w:rPr>
                <w:rFonts w:ascii="仿宋" w:hAnsi="仿宋" w:eastAsia="仿宋" w:cs="仿宋"/>
                <w:sz w:val="28"/>
                <w:szCs w:val="28"/>
              </w:rPr>
            </w:pPr>
            <w:r>
              <w:rPr>
                <w:rFonts w:hint="eastAsia" w:ascii="仿宋" w:hAnsi="仿宋" w:eastAsia="仿宋" w:cs="仿宋"/>
                <w:sz w:val="28"/>
                <w:szCs w:val="28"/>
              </w:rPr>
              <w:t>1</w:t>
            </w:r>
          </w:p>
        </w:tc>
        <w:tc>
          <w:tcPr>
            <w:tcW w:w="703" w:type="dxa"/>
            <w:tcBorders>
              <w:top w:val="single" w:color="auto" w:sz="4" w:space="0"/>
              <w:left w:val="single" w:color="auto" w:sz="4" w:space="0"/>
              <w:bottom w:val="single" w:color="auto" w:sz="4" w:space="0"/>
              <w:right w:val="single" w:color="auto" w:sz="4" w:space="0"/>
            </w:tcBorders>
            <w:noWrap/>
            <w:tcMar>
              <w:top w:w="0" w:type="dxa"/>
              <w:left w:w="105" w:type="dxa"/>
              <w:bottom w:w="0" w:type="dxa"/>
              <w:right w:w="105" w:type="dxa"/>
            </w:tcMar>
            <w:vAlign w:val="center"/>
          </w:tcPr>
          <w:p w14:paraId="18B6FB4D">
            <w:pPr>
              <w:pStyle w:val="13"/>
              <w:spacing w:before="0" w:beforeAutospacing="0" w:after="0" w:afterAutospacing="0" w:line="360" w:lineRule="auto"/>
              <w:jc w:val="center"/>
              <w:rPr>
                <w:rFonts w:ascii="仿宋" w:hAnsi="仿宋" w:eastAsia="仿宋" w:cs="仿宋"/>
                <w:sz w:val="28"/>
                <w:szCs w:val="28"/>
              </w:rPr>
            </w:pPr>
            <w:r>
              <w:rPr>
                <w:rFonts w:hint="eastAsia" w:ascii="仿宋" w:hAnsi="仿宋" w:eastAsia="仿宋" w:cs="仿宋"/>
                <w:sz w:val="28"/>
                <w:szCs w:val="28"/>
              </w:rPr>
              <w:t>项</w:t>
            </w:r>
          </w:p>
        </w:tc>
        <w:tc>
          <w:tcPr>
            <w:tcW w:w="2774" w:type="dxa"/>
            <w:tcBorders>
              <w:top w:val="single" w:color="auto" w:sz="4" w:space="0"/>
              <w:left w:val="single" w:color="auto" w:sz="4" w:space="0"/>
              <w:bottom w:val="single" w:color="auto" w:sz="4" w:space="0"/>
              <w:right w:val="single" w:color="auto" w:sz="4" w:space="0"/>
            </w:tcBorders>
            <w:noWrap/>
            <w:tcMar>
              <w:top w:w="0" w:type="dxa"/>
              <w:left w:w="105" w:type="dxa"/>
              <w:bottom w:w="0" w:type="dxa"/>
              <w:right w:w="105" w:type="dxa"/>
            </w:tcMar>
            <w:vAlign w:val="center"/>
          </w:tcPr>
          <w:p w14:paraId="3ED386AC">
            <w:pPr>
              <w:pStyle w:val="13"/>
              <w:spacing w:before="0" w:beforeAutospacing="0" w:after="0" w:afterAutospacing="0" w:line="360" w:lineRule="auto"/>
              <w:jc w:val="center"/>
              <w:rPr>
                <w:rFonts w:ascii="仿宋" w:hAnsi="仿宋" w:eastAsia="仿宋" w:cs="仿宋"/>
                <w:sz w:val="28"/>
                <w:szCs w:val="28"/>
              </w:rPr>
            </w:pPr>
            <w:r>
              <w:rPr>
                <w:rFonts w:hint="eastAsia" w:ascii="仿宋" w:hAnsi="仿宋" w:eastAsia="仿宋" w:cs="仿宋"/>
                <w:sz w:val="28"/>
                <w:szCs w:val="28"/>
              </w:rPr>
              <w:t>详见第三条内容</w:t>
            </w:r>
          </w:p>
        </w:tc>
        <w:tc>
          <w:tcPr>
            <w:tcW w:w="1345" w:type="dxa"/>
            <w:tcBorders>
              <w:top w:val="single" w:color="auto" w:sz="4" w:space="0"/>
              <w:left w:val="single" w:color="auto" w:sz="4" w:space="0"/>
              <w:bottom w:val="single" w:color="auto" w:sz="4" w:space="0"/>
              <w:right w:val="single" w:color="auto" w:sz="4" w:space="0"/>
            </w:tcBorders>
            <w:noWrap/>
            <w:tcMar>
              <w:top w:w="0" w:type="dxa"/>
              <w:left w:w="105" w:type="dxa"/>
              <w:bottom w:w="0" w:type="dxa"/>
              <w:right w:w="105" w:type="dxa"/>
            </w:tcMar>
            <w:vAlign w:val="center"/>
          </w:tcPr>
          <w:p w14:paraId="53E25C2F">
            <w:pPr>
              <w:pStyle w:val="13"/>
              <w:spacing w:before="0" w:beforeAutospacing="0" w:after="0" w:afterAutospacing="0" w:line="360" w:lineRule="auto"/>
              <w:jc w:val="center"/>
              <w:rPr>
                <w:rFonts w:ascii="仿宋" w:hAnsi="仿宋" w:eastAsia="仿宋" w:cs="仿宋"/>
                <w:sz w:val="28"/>
                <w:szCs w:val="28"/>
              </w:rPr>
            </w:pPr>
            <w:r>
              <w:rPr>
                <w:rFonts w:hint="eastAsia" w:ascii="仿宋" w:hAnsi="仿宋" w:eastAsia="仿宋" w:cs="仿宋"/>
                <w:sz w:val="28"/>
                <w:szCs w:val="28"/>
              </w:rPr>
              <w:t>36.</w:t>
            </w:r>
            <w:r>
              <w:rPr>
                <w:rFonts w:hint="eastAsia" w:ascii="仿宋" w:hAnsi="仿宋" w:eastAsia="仿宋" w:cs="仿宋"/>
                <w:sz w:val="28"/>
                <w:szCs w:val="28"/>
                <w:lang w:val="en-US" w:eastAsia="zh-CN"/>
              </w:rPr>
              <w:t>1</w:t>
            </w:r>
            <w:r>
              <w:rPr>
                <w:rFonts w:hint="eastAsia" w:ascii="仿宋" w:hAnsi="仿宋" w:eastAsia="仿宋" w:cs="仿宋"/>
                <w:sz w:val="28"/>
                <w:szCs w:val="28"/>
              </w:rPr>
              <w:t>万</w:t>
            </w:r>
          </w:p>
        </w:tc>
      </w:tr>
      <w:tr w14:paraId="58B3C589">
        <w:tblPrEx>
          <w:tblCellMar>
            <w:top w:w="15" w:type="dxa"/>
            <w:left w:w="15" w:type="dxa"/>
            <w:bottom w:w="15" w:type="dxa"/>
            <w:right w:w="15" w:type="dxa"/>
          </w:tblCellMar>
        </w:tblPrEx>
        <w:trPr>
          <w:trHeight w:val="733" w:hRule="atLeast"/>
        </w:trPr>
        <w:tc>
          <w:tcPr>
            <w:tcW w:w="663" w:type="dxa"/>
            <w:tcBorders>
              <w:top w:val="single" w:color="auto" w:sz="4" w:space="0"/>
              <w:left w:val="single" w:color="auto" w:sz="4" w:space="0"/>
              <w:bottom w:val="single" w:color="auto" w:sz="4" w:space="0"/>
              <w:right w:val="single" w:color="auto" w:sz="4" w:space="0"/>
            </w:tcBorders>
            <w:noWrap/>
            <w:tcMar>
              <w:top w:w="0" w:type="dxa"/>
              <w:left w:w="105" w:type="dxa"/>
              <w:bottom w:w="0" w:type="dxa"/>
              <w:right w:w="105" w:type="dxa"/>
            </w:tcMar>
            <w:vAlign w:val="center"/>
          </w:tcPr>
          <w:p w14:paraId="0626D8D1">
            <w:pPr>
              <w:pStyle w:val="13"/>
              <w:spacing w:before="0" w:beforeAutospacing="0" w:after="0" w:afterAutospacing="0" w:line="360" w:lineRule="auto"/>
              <w:jc w:val="center"/>
              <w:rPr>
                <w:rFonts w:ascii="仿宋" w:hAnsi="仿宋" w:eastAsia="仿宋" w:cs="仿宋"/>
                <w:sz w:val="28"/>
                <w:szCs w:val="28"/>
              </w:rPr>
            </w:pPr>
            <w:r>
              <w:rPr>
                <w:rFonts w:hint="eastAsia" w:ascii="仿宋" w:hAnsi="仿宋" w:eastAsia="仿宋" w:cs="仿宋"/>
                <w:sz w:val="28"/>
                <w:szCs w:val="28"/>
              </w:rPr>
              <w:t>2</w:t>
            </w:r>
          </w:p>
        </w:tc>
        <w:tc>
          <w:tcPr>
            <w:tcW w:w="2976" w:type="dxa"/>
            <w:tcBorders>
              <w:top w:val="single" w:color="auto" w:sz="4" w:space="0"/>
              <w:left w:val="single" w:color="auto" w:sz="4" w:space="0"/>
              <w:bottom w:val="single" w:color="auto" w:sz="4" w:space="0"/>
              <w:right w:val="single" w:color="auto" w:sz="4" w:space="0"/>
            </w:tcBorders>
            <w:noWrap/>
            <w:tcMar>
              <w:top w:w="0" w:type="dxa"/>
              <w:left w:w="105" w:type="dxa"/>
              <w:bottom w:w="0" w:type="dxa"/>
              <w:right w:w="105" w:type="dxa"/>
            </w:tcMar>
            <w:vAlign w:val="center"/>
          </w:tcPr>
          <w:p w14:paraId="1B5890BC">
            <w:pPr>
              <w:pStyle w:val="13"/>
              <w:spacing w:before="0" w:beforeAutospacing="0" w:after="0" w:afterAutospacing="0" w:line="360" w:lineRule="auto"/>
              <w:jc w:val="center"/>
              <w:rPr>
                <w:rFonts w:ascii="仿宋" w:hAnsi="仿宋" w:eastAsia="仿宋" w:cs="仿宋"/>
                <w:sz w:val="28"/>
                <w:szCs w:val="28"/>
              </w:rPr>
            </w:pPr>
            <w:r>
              <w:rPr>
                <w:rFonts w:hint="eastAsia" w:ascii="仿宋" w:hAnsi="仿宋" w:eastAsia="仿宋" w:cs="仿宋"/>
                <w:sz w:val="28"/>
                <w:szCs w:val="28"/>
              </w:rPr>
              <w:t>工期要求</w:t>
            </w:r>
          </w:p>
        </w:tc>
        <w:tc>
          <w:tcPr>
            <w:tcW w:w="5536" w:type="dxa"/>
            <w:gridSpan w:val="4"/>
            <w:tcBorders>
              <w:top w:val="single" w:color="auto" w:sz="4" w:space="0"/>
              <w:left w:val="single" w:color="auto" w:sz="4" w:space="0"/>
              <w:bottom w:val="single" w:color="auto" w:sz="4" w:space="0"/>
              <w:right w:val="single" w:color="auto" w:sz="4" w:space="0"/>
            </w:tcBorders>
            <w:noWrap/>
            <w:tcMar>
              <w:top w:w="0" w:type="dxa"/>
              <w:left w:w="105" w:type="dxa"/>
              <w:bottom w:w="0" w:type="dxa"/>
              <w:right w:w="105" w:type="dxa"/>
            </w:tcMar>
            <w:vAlign w:val="center"/>
          </w:tcPr>
          <w:p w14:paraId="2FB548BA">
            <w:pPr>
              <w:pStyle w:val="13"/>
              <w:spacing w:before="0" w:beforeAutospacing="0" w:after="0" w:afterAutospacing="0" w:line="360" w:lineRule="auto"/>
              <w:ind w:firstLine="280" w:firstLineChars="100"/>
              <w:jc w:val="center"/>
              <w:rPr>
                <w:rFonts w:ascii="仿宋" w:hAnsi="仿宋" w:eastAsia="仿宋" w:cs="仿宋"/>
                <w:sz w:val="28"/>
                <w:szCs w:val="28"/>
              </w:rPr>
            </w:pPr>
            <w:r>
              <w:rPr>
                <w:rFonts w:hint="eastAsia" w:ascii="仿宋" w:hAnsi="仿宋" w:eastAsia="仿宋" w:cs="仿宋"/>
                <w:sz w:val="28"/>
                <w:szCs w:val="28"/>
              </w:rPr>
              <w:t>合同签订后15日内</w:t>
            </w:r>
          </w:p>
        </w:tc>
      </w:tr>
    </w:tbl>
    <w:p w14:paraId="44802DFD">
      <w:pPr>
        <w:widowControl/>
        <w:spacing w:line="360" w:lineRule="auto"/>
        <w:jc w:val="left"/>
        <w:rPr>
          <w:rFonts w:ascii="仿宋" w:hAnsi="仿宋" w:eastAsia="仿宋" w:cs="仿宋"/>
          <w:b/>
          <w:kern w:val="0"/>
          <w:sz w:val="28"/>
          <w:szCs w:val="28"/>
        </w:rPr>
      </w:pPr>
      <w:r>
        <w:rPr>
          <w:rFonts w:hint="eastAsia" w:ascii="仿宋" w:hAnsi="仿宋" w:eastAsia="仿宋" w:cs="仿宋"/>
          <w:b/>
          <w:kern w:val="0"/>
          <w:sz w:val="28"/>
          <w:szCs w:val="28"/>
        </w:rPr>
        <w:t>二、供应商资格要求</w:t>
      </w:r>
    </w:p>
    <w:p w14:paraId="04711F3A">
      <w:pPr>
        <w:widowControl/>
        <w:spacing w:line="360" w:lineRule="auto"/>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2.1符合《中华人民共和国政府采购法》第二十二条的规定：</w:t>
      </w:r>
    </w:p>
    <w:p w14:paraId="02C79F28">
      <w:pPr>
        <w:widowControl/>
        <w:spacing w:line="360" w:lineRule="auto"/>
        <w:ind w:firstLine="700" w:firstLineChars="250"/>
        <w:jc w:val="left"/>
        <w:rPr>
          <w:rFonts w:ascii="仿宋" w:hAnsi="仿宋" w:eastAsia="仿宋" w:cs="仿宋"/>
          <w:kern w:val="0"/>
          <w:sz w:val="28"/>
          <w:szCs w:val="28"/>
        </w:rPr>
      </w:pPr>
      <w:r>
        <w:rPr>
          <w:rFonts w:hint="eastAsia" w:ascii="仿宋" w:hAnsi="仿宋" w:eastAsia="仿宋" w:cs="仿宋"/>
          <w:kern w:val="0"/>
          <w:sz w:val="28"/>
          <w:szCs w:val="28"/>
        </w:rPr>
        <w:t>（1）具有独立承担民事责任的能力；</w:t>
      </w:r>
    </w:p>
    <w:p w14:paraId="3F318604">
      <w:pPr>
        <w:widowControl/>
        <w:spacing w:line="360" w:lineRule="auto"/>
        <w:ind w:firstLine="700" w:firstLineChars="250"/>
        <w:jc w:val="left"/>
        <w:rPr>
          <w:rFonts w:ascii="仿宋" w:hAnsi="仿宋" w:eastAsia="仿宋" w:cs="仿宋"/>
          <w:kern w:val="0"/>
          <w:sz w:val="28"/>
          <w:szCs w:val="28"/>
        </w:rPr>
      </w:pPr>
      <w:r>
        <w:rPr>
          <w:rFonts w:hint="eastAsia" w:ascii="仿宋" w:hAnsi="仿宋" w:eastAsia="仿宋" w:cs="仿宋"/>
          <w:kern w:val="0"/>
          <w:sz w:val="28"/>
          <w:szCs w:val="28"/>
        </w:rPr>
        <w:t>（2）具有良好的商业信誉和健全的财务会计制度；</w:t>
      </w:r>
    </w:p>
    <w:p w14:paraId="69EF220B">
      <w:pPr>
        <w:widowControl/>
        <w:spacing w:line="360" w:lineRule="auto"/>
        <w:ind w:firstLine="700" w:firstLineChars="250"/>
        <w:jc w:val="left"/>
        <w:rPr>
          <w:rFonts w:ascii="仿宋" w:hAnsi="仿宋" w:eastAsia="仿宋" w:cs="仿宋"/>
          <w:kern w:val="0"/>
          <w:sz w:val="28"/>
          <w:szCs w:val="28"/>
        </w:rPr>
      </w:pPr>
      <w:r>
        <w:rPr>
          <w:rFonts w:hint="eastAsia" w:ascii="仿宋" w:hAnsi="仿宋" w:eastAsia="仿宋" w:cs="仿宋"/>
          <w:kern w:val="0"/>
          <w:sz w:val="28"/>
          <w:szCs w:val="28"/>
        </w:rPr>
        <w:t>（3）具有履行合同所必需的设备和专业技术能力；</w:t>
      </w:r>
    </w:p>
    <w:p w14:paraId="15F9E1A1">
      <w:pPr>
        <w:widowControl/>
        <w:spacing w:line="360" w:lineRule="auto"/>
        <w:ind w:firstLine="700" w:firstLineChars="250"/>
        <w:jc w:val="left"/>
        <w:rPr>
          <w:rFonts w:ascii="仿宋" w:hAnsi="仿宋" w:eastAsia="仿宋" w:cs="仿宋"/>
          <w:kern w:val="0"/>
          <w:sz w:val="28"/>
          <w:szCs w:val="28"/>
        </w:rPr>
      </w:pPr>
      <w:r>
        <w:rPr>
          <w:rFonts w:hint="eastAsia" w:ascii="仿宋" w:hAnsi="仿宋" w:eastAsia="仿宋" w:cs="仿宋"/>
          <w:kern w:val="0"/>
          <w:sz w:val="28"/>
          <w:szCs w:val="28"/>
        </w:rPr>
        <w:t>（4） 有依法缴纳税收和社会保障资金的良好记录；</w:t>
      </w:r>
    </w:p>
    <w:p w14:paraId="2E51AAF7">
      <w:pPr>
        <w:widowControl/>
        <w:spacing w:line="360" w:lineRule="auto"/>
        <w:ind w:firstLine="700" w:firstLineChars="250"/>
        <w:jc w:val="left"/>
        <w:rPr>
          <w:rFonts w:ascii="仿宋" w:hAnsi="仿宋" w:eastAsia="仿宋" w:cs="仿宋"/>
          <w:kern w:val="0"/>
          <w:sz w:val="28"/>
          <w:szCs w:val="28"/>
        </w:rPr>
      </w:pPr>
      <w:r>
        <w:rPr>
          <w:rFonts w:hint="eastAsia" w:ascii="仿宋" w:hAnsi="仿宋" w:eastAsia="仿宋" w:cs="仿宋"/>
          <w:kern w:val="0"/>
          <w:sz w:val="28"/>
          <w:szCs w:val="28"/>
        </w:rPr>
        <w:t>（5）参加采购活动近三年内，在经营活动中没有重大违法记录；</w:t>
      </w:r>
    </w:p>
    <w:p w14:paraId="0E189888">
      <w:pPr>
        <w:widowControl/>
        <w:spacing w:line="360" w:lineRule="auto"/>
        <w:ind w:firstLine="700" w:firstLineChars="250"/>
        <w:jc w:val="left"/>
        <w:rPr>
          <w:rFonts w:ascii="仿宋" w:hAnsi="仿宋" w:eastAsia="仿宋" w:cs="仿宋"/>
          <w:kern w:val="0"/>
          <w:sz w:val="28"/>
          <w:szCs w:val="28"/>
        </w:rPr>
      </w:pPr>
      <w:r>
        <w:rPr>
          <w:rFonts w:hint="eastAsia" w:ascii="仿宋" w:hAnsi="仿宋" w:eastAsia="仿宋" w:cs="仿宋"/>
          <w:kern w:val="0"/>
          <w:sz w:val="28"/>
          <w:szCs w:val="28"/>
        </w:rPr>
        <w:t>（6）法律、行政法规规定的其他条件。</w:t>
      </w:r>
    </w:p>
    <w:p w14:paraId="60A041DE">
      <w:pPr>
        <w:widowControl/>
        <w:spacing w:line="360" w:lineRule="auto"/>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2.2未被“信用中国”（www.creditchina.gov.cn）、中国政府采购网（www.ccgp.gov.cn）列入失信被执行人、重大税收违法案件当事人名单、政府采购严重违法失信行为记录名单；</w:t>
      </w:r>
    </w:p>
    <w:p w14:paraId="7F0BBEC8">
      <w:pPr>
        <w:widowControl/>
        <w:spacing w:line="360" w:lineRule="auto"/>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2.3本次招标不接受联合体投标。</w:t>
      </w:r>
    </w:p>
    <w:p w14:paraId="00A2F665">
      <w:pPr>
        <w:widowControl/>
        <w:spacing w:line="360" w:lineRule="auto"/>
        <w:jc w:val="left"/>
        <w:rPr>
          <w:rFonts w:ascii="仿宋" w:hAnsi="仿宋" w:eastAsia="仿宋" w:cs="仿宋"/>
          <w:b/>
          <w:kern w:val="0"/>
          <w:sz w:val="28"/>
          <w:szCs w:val="28"/>
        </w:rPr>
      </w:pPr>
      <w:r>
        <w:rPr>
          <w:rFonts w:hint="eastAsia" w:ascii="仿宋" w:hAnsi="仿宋" w:eastAsia="仿宋" w:cs="仿宋"/>
          <w:b/>
          <w:kern w:val="0"/>
          <w:sz w:val="28"/>
          <w:szCs w:val="28"/>
        </w:rPr>
        <w:t>三、工程量费用明细清单</w:t>
      </w:r>
    </w:p>
    <w:p w14:paraId="35FC4890">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详见附件一</w:t>
      </w:r>
    </w:p>
    <w:p w14:paraId="3EC3B047">
      <w:pPr>
        <w:widowControl/>
        <w:spacing w:line="360" w:lineRule="auto"/>
        <w:jc w:val="left"/>
        <w:rPr>
          <w:rFonts w:ascii="仿宋" w:hAnsi="仿宋" w:eastAsia="仿宋" w:cs="仿宋"/>
          <w:b/>
          <w:kern w:val="0"/>
          <w:sz w:val="28"/>
          <w:szCs w:val="28"/>
        </w:rPr>
      </w:pPr>
      <w:r>
        <w:rPr>
          <w:rFonts w:hint="eastAsia" w:ascii="仿宋" w:hAnsi="仿宋" w:eastAsia="仿宋" w:cs="仿宋"/>
          <w:b/>
          <w:kern w:val="0"/>
          <w:sz w:val="28"/>
          <w:szCs w:val="28"/>
        </w:rPr>
        <w:t>四、施工内容</w:t>
      </w:r>
    </w:p>
    <w:p w14:paraId="4CB78138">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1、根据原有的地库停车场升级管理需要，针对地库停车场系统进行改造，对原老系统设备进行更换。</w:t>
      </w:r>
    </w:p>
    <w:p w14:paraId="2FF81705">
      <w:pPr>
        <w:spacing w:line="360" w:lineRule="auto"/>
        <w:ind w:firstLine="560" w:firstLineChars="200"/>
        <w:jc w:val="left"/>
        <w:rPr>
          <w:rFonts w:ascii="仿宋" w:hAnsi="仿宋" w:eastAsia="仿宋" w:cs="仿宋"/>
          <w:sz w:val="28"/>
          <w:szCs w:val="28"/>
        </w:rPr>
      </w:pPr>
      <w:r>
        <w:rPr>
          <w:rFonts w:ascii="仿宋" w:hAnsi="仿宋" w:eastAsia="仿宋" w:cs="仿宋"/>
          <w:sz w:val="28"/>
          <w:szCs w:val="28"/>
        </w:rPr>
        <w:t>2</w:t>
      </w:r>
      <w:r>
        <w:rPr>
          <w:rFonts w:hint="eastAsia" w:ascii="仿宋" w:hAnsi="仿宋" w:eastAsia="仿宋" w:cs="仿宋"/>
          <w:sz w:val="28"/>
          <w:szCs w:val="28"/>
        </w:rPr>
        <w:t>、本次地库停车场管理系统升级方案聚焦高效管理与用户体验，通过更新智能车牌识别摄像头、道闸及网络设备，构建双网冗余保障；</w:t>
      </w:r>
    </w:p>
    <w:p w14:paraId="6599532D">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3、软件端实现A/B/亲属/无车位车辆分类管理，支持跨停车场包期共享、闲时低价包期及亲属车限时免费功能，结合AI异常监控与出场二次核验，有效杜绝逃欠费行为。</w:t>
      </w:r>
    </w:p>
    <w:p w14:paraId="1B193985">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4、系统无缝对接税务平台，实现APP自动开票，并通过云端运维实时监测设备与数据状态，7×24小时应急响应。为物业与车主提供智能化、一体化的停车服务解决方案。</w:t>
      </w:r>
    </w:p>
    <w:p w14:paraId="796DF867">
      <w:pPr>
        <w:spacing w:line="360" w:lineRule="auto"/>
        <w:ind w:firstLine="560" w:firstLineChars="200"/>
        <w:jc w:val="left"/>
        <w:rPr>
          <w:rFonts w:hint="eastAsia" w:ascii="仿宋" w:hAnsi="仿宋" w:eastAsia="仿宋" w:cs="仿宋"/>
          <w:sz w:val="28"/>
          <w:szCs w:val="28"/>
        </w:rPr>
      </w:pPr>
    </w:p>
    <w:p w14:paraId="3320B338">
      <w:pPr>
        <w:widowControl/>
        <w:spacing w:line="360" w:lineRule="auto"/>
        <w:jc w:val="left"/>
        <w:rPr>
          <w:rFonts w:ascii="仿宋" w:hAnsi="仿宋" w:eastAsia="仿宋" w:cs="仿宋"/>
          <w:b/>
          <w:kern w:val="0"/>
          <w:sz w:val="28"/>
          <w:szCs w:val="28"/>
        </w:rPr>
      </w:pPr>
      <w:r>
        <w:rPr>
          <w:rFonts w:hint="eastAsia" w:ascii="仿宋" w:hAnsi="仿宋" w:eastAsia="仿宋" w:cs="仿宋"/>
          <w:b/>
          <w:kern w:val="0"/>
          <w:sz w:val="28"/>
          <w:szCs w:val="28"/>
        </w:rPr>
        <w:t>五、技术要求</w:t>
      </w:r>
    </w:p>
    <w:p w14:paraId="78F368DE">
      <w:pPr>
        <w:widowControl/>
        <w:spacing w:line="360" w:lineRule="auto"/>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5.1 项目建设及实施方案要求：</w:t>
      </w:r>
    </w:p>
    <w:p w14:paraId="7977672B">
      <w:pPr>
        <w:widowControl/>
        <w:spacing w:line="360" w:lineRule="auto"/>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应标方需提供详细的项目建设及实施方案，内容应包括但不限于以下方面：</w:t>
      </w:r>
    </w:p>
    <w:p w14:paraId="03B82C9D">
      <w:pPr>
        <w:widowControl/>
        <w:spacing w:line="360" w:lineRule="auto"/>
        <w:ind w:firstLine="700" w:firstLineChars="250"/>
        <w:jc w:val="left"/>
        <w:rPr>
          <w:rFonts w:ascii="仿宋" w:hAnsi="仿宋" w:eastAsia="仿宋" w:cs="仿宋"/>
          <w:kern w:val="0"/>
          <w:sz w:val="28"/>
          <w:szCs w:val="28"/>
        </w:rPr>
      </w:pPr>
      <w:r>
        <w:rPr>
          <w:rFonts w:hint="eastAsia" w:ascii="仿宋" w:hAnsi="仿宋" w:eastAsia="仿宋" w:cs="仿宋"/>
          <w:kern w:val="0"/>
          <w:sz w:val="28"/>
          <w:szCs w:val="28"/>
        </w:rPr>
        <w:t>（1）项目施工图：包括平面布置图、网络拓扑图等，确保施工依据明确。</w:t>
      </w:r>
    </w:p>
    <w:p w14:paraId="3C6D3CE7">
      <w:pPr>
        <w:widowControl/>
        <w:spacing w:line="360" w:lineRule="auto"/>
        <w:ind w:firstLine="700" w:firstLineChars="250"/>
        <w:jc w:val="left"/>
        <w:rPr>
          <w:rFonts w:ascii="仿宋" w:hAnsi="仿宋" w:eastAsia="仿宋" w:cs="仿宋"/>
          <w:kern w:val="0"/>
          <w:sz w:val="28"/>
          <w:szCs w:val="28"/>
        </w:rPr>
      </w:pPr>
      <w:r>
        <w:rPr>
          <w:rFonts w:hint="eastAsia" w:ascii="仿宋" w:hAnsi="仿宋" w:eastAsia="仿宋" w:cs="仿宋"/>
          <w:kern w:val="0"/>
          <w:sz w:val="28"/>
          <w:szCs w:val="28"/>
        </w:rPr>
        <w:t>（2）施工进度计划表：明确各阶段施工时间节点，确保项目按期完成。</w:t>
      </w:r>
    </w:p>
    <w:p w14:paraId="3E549855">
      <w:pPr>
        <w:widowControl/>
        <w:spacing w:line="360" w:lineRule="auto"/>
        <w:ind w:firstLine="700" w:firstLineChars="250"/>
        <w:jc w:val="left"/>
        <w:rPr>
          <w:rFonts w:ascii="仿宋" w:hAnsi="仿宋" w:eastAsia="仿宋" w:cs="仿宋"/>
          <w:kern w:val="0"/>
          <w:sz w:val="28"/>
          <w:szCs w:val="28"/>
        </w:rPr>
      </w:pPr>
      <w:r>
        <w:rPr>
          <w:rFonts w:hint="eastAsia" w:ascii="仿宋" w:hAnsi="仿宋" w:eastAsia="仿宋" w:cs="仿宋"/>
          <w:kern w:val="0"/>
          <w:sz w:val="28"/>
          <w:szCs w:val="28"/>
        </w:rPr>
        <w:t>（3）保修期限：明确质保期内的服务范围及响应时间。</w:t>
      </w:r>
    </w:p>
    <w:p w14:paraId="29F1E99F">
      <w:pPr>
        <w:widowControl/>
        <w:spacing w:line="360" w:lineRule="auto"/>
        <w:ind w:firstLine="700" w:firstLineChars="250"/>
        <w:jc w:val="left"/>
        <w:rPr>
          <w:rFonts w:ascii="仿宋" w:hAnsi="仿宋" w:eastAsia="仿宋" w:cs="仿宋"/>
          <w:kern w:val="0"/>
          <w:sz w:val="28"/>
          <w:szCs w:val="28"/>
        </w:rPr>
      </w:pPr>
      <w:r>
        <w:rPr>
          <w:rFonts w:hint="eastAsia" w:ascii="仿宋" w:hAnsi="仿宋" w:eastAsia="仿宋" w:cs="仿宋"/>
          <w:kern w:val="0"/>
          <w:sz w:val="28"/>
          <w:szCs w:val="28"/>
        </w:rPr>
        <w:t>（4）售后服务承诺：包括故障响应时间（如≤4小时）、维修服务范围及技术支持方式等。</w:t>
      </w:r>
    </w:p>
    <w:p w14:paraId="54773397">
      <w:pPr>
        <w:widowControl/>
        <w:spacing w:line="360" w:lineRule="auto"/>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5.2 施工队伍要求：</w:t>
      </w:r>
    </w:p>
    <w:p w14:paraId="2785EFA5">
      <w:pPr>
        <w:widowControl/>
        <w:spacing w:line="360" w:lineRule="auto"/>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施工队伍需配备齐全的专业人员，包括项目经理、技术负责人、施工人员等，确保施工质量和进度。施工人员需具备相关资质（如电工证、产品认证工程师证等），并熟悉相关品牌停车场设备及系统的安装与调试，具备同类型停车场系统安装施工经验。</w:t>
      </w:r>
    </w:p>
    <w:p w14:paraId="2880EA5C">
      <w:pPr>
        <w:widowControl/>
        <w:spacing w:line="360" w:lineRule="auto"/>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5.3 现场勘察及报价要求：</w:t>
      </w:r>
    </w:p>
    <w:p w14:paraId="723F7A68">
      <w:pPr>
        <w:widowControl/>
        <w:spacing w:line="360" w:lineRule="auto"/>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本项目施工现场环境复杂，涉及多品牌产品系统接入及停车场软件产品定制开发，技术要求较高。投标人须在报价前与招标人联系进行现场勘察，充分了解施工条件及技术要求，并填写《现场勘察确认书》（附件四）。</w:t>
      </w:r>
    </w:p>
    <w:p w14:paraId="63D58713">
      <w:pPr>
        <w:widowControl/>
        <w:spacing w:line="360" w:lineRule="auto"/>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未进行现场勘察、未提交《现场勘察确认书》的投标人，其报价视为无效。</w:t>
      </w:r>
    </w:p>
    <w:p w14:paraId="48B1823A">
      <w:pPr>
        <w:widowControl/>
        <w:spacing w:line="360" w:lineRule="auto"/>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5.4 质保期要求：</w:t>
      </w:r>
    </w:p>
    <w:p w14:paraId="0DAA0147">
      <w:pPr>
        <w:widowControl/>
        <w:spacing w:line="360" w:lineRule="auto"/>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本项目质保期为3年，自竣工验收合格之日起计算。</w:t>
      </w:r>
    </w:p>
    <w:p w14:paraId="2593C4C6">
      <w:pPr>
        <w:widowControl/>
        <w:spacing w:line="360" w:lineRule="auto"/>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质保期内，应标方需提供免费维修服务，故障响应时间不超过4小时，确保系统正常运行。</w:t>
      </w:r>
    </w:p>
    <w:p w14:paraId="765E4347">
      <w:pPr>
        <w:widowControl/>
        <w:numPr>
          <w:ilvl w:val="0"/>
          <w:numId w:val="1"/>
        </w:numPr>
        <w:spacing w:line="360" w:lineRule="auto"/>
        <w:jc w:val="left"/>
        <w:rPr>
          <w:rFonts w:ascii="仿宋" w:hAnsi="仿宋" w:eastAsia="仿宋" w:cs="仿宋"/>
          <w:b/>
          <w:kern w:val="0"/>
          <w:sz w:val="28"/>
          <w:szCs w:val="28"/>
        </w:rPr>
      </w:pPr>
      <w:r>
        <w:rPr>
          <w:rFonts w:hint="eastAsia" w:ascii="仿宋" w:hAnsi="仿宋" w:eastAsia="仿宋" w:cs="仿宋"/>
          <w:b/>
          <w:kern w:val="0"/>
          <w:sz w:val="28"/>
          <w:szCs w:val="28"/>
        </w:rPr>
        <w:t>施工期限要求</w:t>
      </w:r>
    </w:p>
    <w:p w14:paraId="02EA5967">
      <w:pPr>
        <w:widowControl/>
        <w:spacing w:line="360" w:lineRule="auto"/>
        <w:ind w:firstLine="560" w:firstLineChars="200"/>
        <w:jc w:val="left"/>
        <w:rPr>
          <w:rFonts w:ascii="仿宋" w:hAnsi="仿宋" w:eastAsia="仿宋" w:cs="仿宋"/>
          <w:sz w:val="28"/>
          <w:szCs w:val="28"/>
        </w:rPr>
      </w:pPr>
      <w:r>
        <w:rPr>
          <w:rFonts w:hint="eastAsia" w:ascii="仿宋" w:hAnsi="仿宋" w:eastAsia="仿宋" w:cs="仿宋"/>
          <w:kern w:val="0"/>
          <w:sz w:val="28"/>
          <w:szCs w:val="28"/>
        </w:rPr>
        <w:t>合同签订后15日内完工。</w:t>
      </w:r>
    </w:p>
    <w:p w14:paraId="038542BB">
      <w:pPr>
        <w:widowControl/>
        <w:numPr>
          <w:ilvl w:val="0"/>
          <w:numId w:val="1"/>
        </w:numPr>
        <w:spacing w:line="360" w:lineRule="auto"/>
        <w:jc w:val="left"/>
        <w:rPr>
          <w:rFonts w:ascii="仿宋" w:hAnsi="仿宋" w:eastAsia="仿宋" w:cs="仿宋"/>
          <w:b/>
          <w:kern w:val="0"/>
          <w:sz w:val="28"/>
          <w:szCs w:val="28"/>
        </w:rPr>
      </w:pPr>
      <w:r>
        <w:rPr>
          <w:rFonts w:hint="eastAsia" w:ascii="仿宋" w:hAnsi="仿宋" w:eastAsia="仿宋" w:cs="仿宋"/>
          <w:b/>
          <w:kern w:val="0"/>
          <w:sz w:val="28"/>
          <w:szCs w:val="28"/>
        </w:rPr>
        <w:t>结算方式</w:t>
      </w:r>
    </w:p>
    <w:p w14:paraId="70E7A310">
      <w:pPr>
        <w:spacing w:line="360" w:lineRule="auto"/>
        <w:ind w:firstLine="560" w:firstLineChars="200"/>
        <w:rPr>
          <w:rFonts w:ascii="仿宋" w:hAnsi="仿宋" w:eastAsia="仿宋" w:cs="仿宋"/>
          <w:kern w:val="0"/>
          <w:sz w:val="28"/>
          <w:szCs w:val="28"/>
        </w:rPr>
      </w:pPr>
      <w:r>
        <w:rPr>
          <w:rFonts w:hint="eastAsia" w:ascii="仿宋" w:hAnsi="仿宋" w:eastAsia="仿宋" w:cs="仿宋"/>
          <w:kern w:val="0"/>
          <w:sz w:val="28"/>
          <w:szCs w:val="28"/>
        </w:rPr>
        <w:t>7.1预付款：合同签订后10日内，甲方在收到业主方的预付款后，甲方以现金转账方式向乙方支付合同总金额的30%作为预付款。</w:t>
      </w:r>
    </w:p>
    <w:p w14:paraId="180AFA02">
      <w:pPr>
        <w:spacing w:line="360" w:lineRule="auto"/>
        <w:ind w:firstLine="560" w:firstLineChars="200"/>
        <w:rPr>
          <w:rFonts w:ascii="仿宋" w:hAnsi="仿宋" w:eastAsia="仿宋" w:cs="仿宋"/>
          <w:kern w:val="0"/>
          <w:sz w:val="28"/>
          <w:szCs w:val="28"/>
        </w:rPr>
      </w:pPr>
      <w:r>
        <w:rPr>
          <w:rFonts w:hint="eastAsia" w:ascii="仿宋" w:hAnsi="仿宋" w:eastAsia="仿宋" w:cs="仿宋"/>
          <w:kern w:val="0"/>
          <w:sz w:val="28"/>
          <w:szCs w:val="28"/>
        </w:rPr>
        <w:t>7.2进度款：乙方完成设备供货、安装后15日内，甲方在收到业主方的进度款后，甲方以现金转账方式向乙方支付至合同总金额的70%。</w:t>
      </w:r>
    </w:p>
    <w:p w14:paraId="30B390DB">
      <w:pPr>
        <w:spacing w:line="360" w:lineRule="auto"/>
        <w:ind w:firstLine="560" w:firstLineChars="200"/>
        <w:rPr>
          <w:rFonts w:ascii="仿宋" w:hAnsi="仿宋" w:eastAsia="仿宋" w:cs="仿宋"/>
          <w:kern w:val="0"/>
          <w:sz w:val="28"/>
          <w:szCs w:val="28"/>
        </w:rPr>
      </w:pPr>
      <w:r>
        <w:rPr>
          <w:rFonts w:hint="eastAsia" w:ascii="仿宋" w:hAnsi="仿宋" w:eastAsia="仿宋" w:cs="仿宋"/>
          <w:kern w:val="0"/>
          <w:sz w:val="28"/>
          <w:szCs w:val="28"/>
        </w:rPr>
        <w:t>7.3验收款：工程竣工验收合格后15日内，甲方在收到业主方的进度款后，甲方以现金转账方式向乙方支付至合同总金额的95%。</w:t>
      </w:r>
    </w:p>
    <w:p w14:paraId="1B1376FF">
      <w:pPr>
        <w:spacing w:line="360" w:lineRule="auto"/>
        <w:ind w:firstLine="560" w:firstLineChars="200"/>
        <w:rPr>
          <w:rFonts w:ascii="仿宋" w:hAnsi="仿宋" w:eastAsia="仿宋" w:cs="仿宋"/>
          <w:kern w:val="0"/>
          <w:sz w:val="28"/>
          <w:szCs w:val="28"/>
        </w:rPr>
      </w:pPr>
      <w:r>
        <w:rPr>
          <w:rFonts w:hint="eastAsia" w:ascii="仿宋" w:hAnsi="仿宋" w:eastAsia="仿宋" w:cs="仿宋"/>
          <w:kern w:val="0"/>
          <w:sz w:val="28"/>
          <w:szCs w:val="28"/>
        </w:rPr>
        <w:t>7.3质保尾款：质保期满（3年）后15日内，甲方在收到业主方的质保尾款后，甲方以现金转账方式向乙方支付剩余合同总金额的5%。</w:t>
      </w:r>
    </w:p>
    <w:p w14:paraId="75868EFA">
      <w:pPr>
        <w:widowControl/>
        <w:spacing w:line="360" w:lineRule="auto"/>
        <w:jc w:val="left"/>
        <w:rPr>
          <w:rFonts w:ascii="仿宋" w:hAnsi="仿宋" w:eastAsia="仿宋" w:cs="仿宋"/>
          <w:b/>
          <w:kern w:val="0"/>
          <w:sz w:val="28"/>
          <w:szCs w:val="28"/>
        </w:rPr>
      </w:pPr>
      <w:r>
        <w:rPr>
          <w:rFonts w:hint="eastAsia" w:ascii="仿宋" w:hAnsi="仿宋" w:eastAsia="仿宋" w:cs="仿宋"/>
          <w:b/>
          <w:kern w:val="0"/>
          <w:sz w:val="28"/>
          <w:szCs w:val="28"/>
        </w:rPr>
        <w:t>八、竞价流程</w:t>
      </w:r>
    </w:p>
    <w:p w14:paraId="348DD301">
      <w:pPr>
        <w:widowControl/>
        <w:spacing w:line="360" w:lineRule="auto"/>
        <w:ind w:firstLine="560" w:firstLineChars="200"/>
        <w:jc w:val="left"/>
        <w:rPr>
          <w:rFonts w:ascii="仿宋" w:hAnsi="仿宋" w:eastAsia="仿宋" w:cs="仿宋"/>
          <w:sz w:val="28"/>
          <w:szCs w:val="28"/>
        </w:rPr>
      </w:pPr>
      <w:r>
        <w:rPr>
          <w:rFonts w:hint="eastAsia" w:ascii="仿宋" w:hAnsi="仿宋" w:eastAsia="仿宋" w:cs="仿宋"/>
          <w:kern w:val="0"/>
          <w:sz w:val="28"/>
          <w:szCs w:val="28"/>
        </w:rPr>
        <w:t>8.1有意向的供应商需要先在巨化数字化招采平台https://jhscm.ccccnet.com/user/login中注册成为供应商。</w:t>
      </w:r>
    </w:p>
    <w:p w14:paraId="05EDBA85">
      <w:pPr>
        <w:widowControl/>
        <w:spacing w:line="360" w:lineRule="auto"/>
        <w:ind w:firstLine="560" w:firstLineChars="200"/>
        <w:jc w:val="left"/>
        <w:rPr>
          <w:rFonts w:ascii="仿宋" w:hAnsi="仿宋" w:eastAsia="仿宋" w:cs="仿宋"/>
          <w:sz w:val="28"/>
          <w:szCs w:val="28"/>
        </w:rPr>
      </w:pPr>
      <w:r>
        <w:rPr>
          <w:rFonts w:hint="eastAsia" w:ascii="仿宋" w:hAnsi="仿宋" w:eastAsia="仿宋" w:cs="仿宋"/>
          <w:kern w:val="0"/>
          <w:sz w:val="28"/>
          <w:szCs w:val="28"/>
        </w:rPr>
        <w:t>8.2截止时间内在巨化数字化招采平台https://jhscm.ccccnet.com/user/login上传投标响应文件（详见投标响应文件的组成）。投标响应文件以扫描件形式上传。</w:t>
      </w:r>
    </w:p>
    <w:p w14:paraId="0C192D6D">
      <w:pPr>
        <w:widowControl/>
        <w:spacing w:line="360" w:lineRule="auto"/>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8.3招标方组建不少于3人的评审小组，评审小组对具体投标响应文件按评分标准进行评标，得分最高者成为推荐中标候选人。经公示后确定为中标人，发中标通知书。</w:t>
      </w:r>
    </w:p>
    <w:p w14:paraId="3CF06F69">
      <w:pPr>
        <w:pStyle w:val="59"/>
        <w:widowControl/>
        <w:spacing w:line="360" w:lineRule="auto"/>
        <w:ind w:firstLine="0" w:firstLineChars="0"/>
        <w:jc w:val="left"/>
        <w:rPr>
          <w:rFonts w:ascii="仿宋" w:hAnsi="仿宋" w:eastAsia="仿宋" w:cs="仿宋"/>
          <w:b/>
          <w:kern w:val="0"/>
          <w:sz w:val="28"/>
          <w:szCs w:val="28"/>
        </w:rPr>
      </w:pPr>
      <w:r>
        <w:rPr>
          <w:rFonts w:hint="eastAsia" w:ascii="仿宋" w:hAnsi="仿宋" w:eastAsia="仿宋" w:cs="仿宋"/>
          <w:b/>
          <w:kern w:val="0"/>
          <w:sz w:val="28"/>
          <w:szCs w:val="28"/>
        </w:rPr>
        <w:t>九、投标响应文件</w:t>
      </w:r>
    </w:p>
    <w:p w14:paraId="6EEEED8D">
      <w:pPr>
        <w:widowControl/>
        <w:spacing w:line="360" w:lineRule="auto"/>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9.1总体要求</w:t>
      </w:r>
    </w:p>
    <w:p w14:paraId="5F1C3554">
      <w:pPr>
        <w:widowControl/>
        <w:spacing w:line="360" w:lineRule="auto"/>
        <w:jc w:val="left"/>
        <w:rPr>
          <w:rFonts w:ascii="仿宋" w:hAnsi="仿宋" w:eastAsia="仿宋" w:cs="仿宋"/>
          <w:kern w:val="0"/>
          <w:sz w:val="28"/>
          <w:szCs w:val="28"/>
        </w:rPr>
      </w:pPr>
      <w:r>
        <w:rPr>
          <w:rFonts w:hint="eastAsia" w:ascii="仿宋" w:hAnsi="仿宋" w:eastAsia="仿宋" w:cs="仿宋"/>
          <w:kern w:val="0"/>
          <w:sz w:val="28"/>
          <w:szCs w:val="28"/>
        </w:rPr>
        <w:t>应标方应仔细阅读招标文件的所有内容，按本文件的要求提供投标响应文件，并保证所提供的全部资料的真实性，以使其投标文件对招标文件作出实质性响应，否则，其应标文件可能导致废标处理。</w:t>
      </w:r>
    </w:p>
    <w:p w14:paraId="5836C223">
      <w:pPr>
        <w:widowControl/>
        <w:spacing w:line="360" w:lineRule="auto"/>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9.2投标响应文件的组成</w:t>
      </w:r>
    </w:p>
    <w:p w14:paraId="508803B0">
      <w:pPr>
        <w:widowControl/>
        <w:spacing w:line="360" w:lineRule="auto"/>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（1）投标响应文件应提供电子版扫描件上传至巨化数字化招采平台</w:t>
      </w:r>
    </w:p>
    <w:p w14:paraId="1137A3D6">
      <w:pPr>
        <w:widowControl/>
        <w:spacing w:line="360" w:lineRule="auto"/>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（2）三证（五证）合一的营业执照复印件（加盖公章）；</w:t>
      </w:r>
    </w:p>
    <w:p w14:paraId="1E94F7CD">
      <w:pPr>
        <w:widowControl/>
        <w:spacing w:line="360" w:lineRule="auto"/>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（3）报价明细表（附件一）</w:t>
      </w:r>
    </w:p>
    <w:p w14:paraId="51F09326">
      <w:pPr>
        <w:widowControl/>
        <w:spacing w:line="360" w:lineRule="auto"/>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（4）投标声明书（附件二）</w:t>
      </w:r>
    </w:p>
    <w:p w14:paraId="0829451D">
      <w:pPr>
        <w:widowControl/>
        <w:spacing w:line="360" w:lineRule="auto"/>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（5）供应商（服务商）承诺书（附件三）</w:t>
      </w:r>
    </w:p>
    <w:p w14:paraId="53F329A5">
      <w:pPr>
        <w:widowControl/>
        <w:spacing w:line="360" w:lineRule="auto"/>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（6）现场勘察确认书（附件四）</w:t>
      </w:r>
    </w:p>
    <w:p w14:paraId="3291854B">
      <w:pPr>
        <w:widowControl/>
        <w:spacing w:line="360" w:lineRule="auto"/>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（7）廉洁承诺书（附件五）</w:t>
      </w:r>
    </w:p>
    <w:p w14:paraId="0A5FB405">
      <w:pPr>
        <w:widowControl/>
        <w:spacing w:line="360" w:lineRule="auto"/>
        <w:ind w:firstLine="560" w:firstLineChars="200"/>
        <w:jc w:val="left"/>
        <w:rPr>
          <w:rFonts w:ascii="仿宋" w:hAnsi="仿宋" w:eastAsia="仿宋" w:cs="仿宋"/>
          <w:b/>
          <w:kern w:val="0"/>
          <w:sz w:val="28"/>
          <w:szCs w:val="28"/>
        </w:rPr>
      </w:pPr>
      <w:r>
        <w:rPr>
          <w:rFonts w:hint="eastAsia" w:ascii="仿宋" w:hAnsi="仿宋" w:eastAsia="仿宋" w:cs="仿宋"/>
          <w:kern w:val="0"/>
          <w:sz w:val="28"/>
          <w:szCs w:val="28"/>
        </w:rPr>
        <w:t>（8）投标人认为需要的其他资质技术资料(如有)。</w:t>
      </w:r>
    </w:p>
    <w:p w14:paraId="655F1DA5">
      <w:pPr>
        <w:widowControl/>
        <w:spacing w:line="360" w:lineRule="auto"/>
        <w:jc w:val="left"/>
        <w:rPr>
          <w:rFonts w:ascii="仿宋" w:hAnsi="仿宋" w:eastAsia="仿宋" w:cs="仿宋"/>
          <w:b/>
          <w:kern w:val="0"/>
          <w:sz w:val="28"/>
          <w:szCs w:val="28"/>
        </w:rPr>
      </w:pPr>
      <w:r>
        <w:rPr>
          <w:rFonts w:hint="eastAsia" w:ascii="仿宋" w:hAnsi="仿宋" w:eastAsia="仿宋" w:cs="仿宋"/>
          <w:b/>
          <w:kern w:val="0"/>
          <w:sz w:val="28"/>
          <w:szCs w:val="28"/>
        </w:rPr>
        <w:t>十、项目验收</w:t>
      </w:r>
    </w:p>
    <w:p w14:paraId="696983E2">
      <w:pPr>
        <w:spacing w:line="360" w:lineRule="auto"/>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10.1 验收标准及责任</w:t>
      </w:r>
    </w:p>
    <w:p w14:paraId="6117E07A">
      <w:pPr>
        <w:spacing w:line="360" w:lineRule="auto"/>
        <w:ind w:firstLine="700" w:firstLineChars="250"/>
        <w:jc w:val="left"/>
        <w:rPr>
          <w:rFonts w:ascii="仿宋" w:hAnsi="仿宋" w:eastAsia="仿宋" w:cs="仿宋"/>
          <w:kern w:val="0"/>
          <w:sz w:val="28"/>
          <w:szCs w:val="28"/>
        </w:rPr>
      </w:pPr>
      <w:r>
        <w:rPr>
          <w:rFonts w:hint="eastAsia" w:ascii="仿宋" w:hAnsi="仿宋" w:eastAsia="仿宋" w:cs="仿宋"/>
          <w:kern w:val="0"/>
          <w:sz w:val="28"/>
          <w:szCs w:val="28"/>
        </w:rPr>
        <w:t>（1）验收文件要求：应标方需提供标的物的有效检验文件（如验收报告、检测报告等），经招标方认可后，作为验收依据之一；验收标准包括：合同约定的性能指标、技术协议中的具体要求、响应文件中的承诺内容。</w:t>
      </w:r>
    </w:p>
    <w:p w14:paraId="17CA04DD">
      <w:pPr>
        <w:spacing w:line="360" w:lineRule="auto"/>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若上述标准存在冲突，以双方签订的合同条款为准。</w:t>
      </w:r>
    </w:p>
    <w:p w14:paraId="4CFB6071">
      <w:pPr>
        <w:spacing w:line="360" w:lineRule="auto"/>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2）验收不合格处理：若验收中发现标的物未达到验收标准或合同规定的性能指标，应标方须在招标方规定的时间内进行调整或更换，并承担由此产生的全部费用。若因标的物不合格导致招标方损失，应标方应予以赔偿。</w:t>
      </w:r>
    </w:p>
    <w:p w14:paraId="5A21C448">
      <w:pPr>
        <w:spacing w:line="360" w:lineRule="auto"/>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10.2 施工监制及责任</w:t>
      </w:r>
    </w:p>
    <w:p w14:paraId="1F95D14F">
      <w:pPr>
        <w:spacing w:line="360" w:lineRule="auto"/>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（1）监制权利：在项目实施过程中，招标方有权派代表随时到施工现场进行监制，检查施工质量及进度。</w:t>
      </w:r>
    </w:p>
    <w:p w14:paraId="7622E31D">
      <w:pPr>
        <w:spacing w:line="360" w:lineRule="auto"/>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（2）责任划分：无论招标方是否参与监制，均不免除应标方对合同设备及施工质量的责任和义务。应标方须确保施工质量符合合同要求，并对设备及施工质量承担全部责任。</w:t>
      </w:r>
    </w:p>
    <w:p w14:paraId="1D614B8A">
      <w:pPr>
        <w:widowControl/>
        <w:spacing w:line="360" w:lineRule="auto"/>
        <w:jc w:val="left"/>
        <w:rPr>
          <w:rFonts w:ascii="仿宋" w:hAnsi="仿宋" w:eastAsia="仿宋" w:cs="仿宋"/>
          <w:b/>
          <w:kern w:val="0"/>
          <w:sz w:val="28"/>
          <w:szCs w:val="28"/>
        </w:rPr>
      </w:pPr>
      <w:r>
        <w:rPr>
          <w:rFonts w:hint="eastAsia" w:ascii="仿宋" w:hAnsi="仿宋" w:eastAsia="仿宋" w:cs="仿宋"/>
          <w:b/>
          <w:kern w:val="0"/>
          <w:sz w:val="28"/>
          <w:szCs w:val="28"/>
        </w:rPr>
        <w:t>十一、评分标准</w:t>
      </w:r>
    </w:p>
    <w:p w14:paraId="37280799">
      <w:pPr>
        <w:spacing w:line="360" w:lineRule="auto"/>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11.1 本次招标采用商务评标与技术评标相结合的综合评标办法，其中商务70分，技术30分，以分数高者中标。</w:t>
      </w:r>
    </w:p>
    <w:p w14:paraId="76C01CC9">
      <w:pPr>
        <w:spacing w:line="360" w:lineRule="auto"/>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11.2商务部分</w:t>
      </w:r>
    </w:p>
    <w:p w14:paraId="30192F0D">
      <w:pPr>
        <w:spacing w:line="360" w:lineRule="auto"/>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基准价为满足评标要求且投标价格最低的投标报价。投标报价得分=(基准价／投标报价)×70%×100，四舍五入，保留两位小数。报价高于预算价（最高限价）的，其投标文件作无效处理。</w:t>
      </w:r>
    </w:p>
    <w:p w14:paraId="31E5D528">
      <w:pPr>
        <w:spacing w:line="360" w:lineRule="auto"/>
        <w:ind w:firstLine="560" w:firstLineChars="200"/>
        <w:rPr>
          <w:rFonts w:ascii="仿宋" w:hAnsi="仿宋" w:eastAsia="仿宋" w:cs="仿宋"/>
          <w:kern w:val="0"/>
          <w:sz w:val="28"/>
          <w:szCs w:val="28"/>
        </w:rPr>
      </w:pPr>
      <w:r>
        <w:rPr>
          <w:rFonts w:hint="eastAsia" w:ascii="仿宋" w:hAnsi="仿宋" w:eastAsia="仿宋" w:cs="仿宋"/>
          <w:kern w:val="0"/>
          <w:sz w:val="28"/>
          <w:szCs w:val="28"/>
        </w:rPr>
        <w:t>11.3技术资信部分</w:t>
      </w:r>
    </w:p>
    <w:tbl>
      <w:tblPr>
        <w:tblStyle w:val="16"/>
        <w:tblpPr w:leftFromText="180" w:rightFromText="180" w:vertAnchor="text" w:horzAnchor="page" w:tblpX="1881" w:tblpY="781"/>
        <w:tblOverlap w:val="never"/>
        <w:tblW w:w="5214"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74"/>
        <w:gridCol w:w="745"/>
        <w:gridCol w:w="5548"/>
        <w:gridCol w:w="893"/>
        <w:gridCol w:w="624"/>
        <w:gridCol w:w="603"/>
      </w:tblGrid>
      <w:tr w14:paraId="407061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447" w:hRule="atLeast"/>
        </w:trPr>
        <w:tc>
          <w:tcPr>
            <w:tcW w:w="5000" w:type="pct"/>
            <w:gridSpan w:val="6"/>
            <w:tcBorders>
              <w:top w:val="single" w:color="000000" w:sz="4" w:space="0"/>
              <w:left w:val="single" w:color="000000" w:sz="4" w:space="0"/>
              <w:bottom w:val="single" w:color="000000" w:sz="4" w:space="0"/>
              <w:right w:val="single" w:color="000000" w:sz="4" w:space="0"/>
            </w:tcBorders>
            <w:vAlign w:val="center"/>
          </w:tcPr>
          <w:p w14:paraId="7095E98C">
            <w:pPr>
              <w:jc w:val="center"/>
              <w:rPr>
                <w:rFonts w:ascii="仿宋" w:hAnsi="仿宋" w:eastAsia="仿宋" w:cs="仿宋"/>
                <w:sz w:val="24"/>
                <w:szCs w:val="24"/>
              </w:rPr>
            </w:pPr>
            <w:r>
              <w:rPr>
                <w:rFonts w:hint="eastAsia" w:ascii="仿宋" w:hAnsi="仿宋" w:eastAsia="仿宋" w:cs="仿宋"/>
                <w:sz w:val="24"/>
                <w:szCs w:val="24"/>
              </w:rPr>
              <w:t>技术资信评审30%</w:t>
            </w:r>
          </w:p>
        </w:tc>
      </w:tr>
      <w:tr w14:paraId="4AE935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90" w:hRule="atLeast"/>
        </w:trPr>
        <w:tc>
          <w:tcPr>
            <w:tcW w:w="267" w:type="pct"/>
            <w:tcBorders>
              <w:top w:val="single" w:color="000000" w:sz="4" w:space="0"/>
              <w:left w:val="single" w:color="000000" w:sz="4" w:space="0"/>
              <w:bottom w:val="single" w:color="000000" w:sz="4" w:space="0"/>
              <w:right w:val="single" w:color="000000" w:sz="4" w:space="0"/>
            </w:tcBorders>
            <w:vAlign w:val="center"/>
          </w:tcPr>
          <w:p w14:paraId="3733D663">
            <w:pPr>
              <w:rPr>
                <w:rFonts w:ascii="仿宋" w:hAnsi="仿宋" w:eastAsia="仿宋" w:cs="仿宋"/>
                <w:sz w:val="24"/>
                <w:szCs w:val="24"/>
              </w:rPr>
            </w:pPr>
            <w:r>
              <w:rPr>
                <w:rFonts w:hint="eastAsia" w:ascii="仿宋" w:hAnsi="仿宋" w:eastAsia="仿宋" w:cs="仿宋"/>
                <w:sz w:val="24"/>
                <w:szCs w:val="24"/>
              </w:rPr>
              <w:t>序号</w:t>
            </w:r>
          </w:p>
        </w:tc>
        <w:tc>
          <w:tcPr>
            <w:tcW w:w="419" w:type="pct"/>
            <w:tcBorders>
              <w:top w:val="single" w:color="000000" w:sz="4" w:space="0"/>
              <w:left w:val="single" w:color="000000" w:sz="4" w:space="0"/>
              <w:bottom w:val="single" w:color="000000" w:sz="4" w:space="0"/>
              <w:right w:val="single" w:color="000000" w:sz="4" w:space="0"/>
            </w:tcBorders>
            <w:vAlign w:val="center"/>
          </w:tcPr>
          <w:p w14:paraId="492DEF6C">
            <w:pPr>
              <w:rPr>
                <w:rFonts w:ascii="仿宋" w:hAnsi="仿宋" w:eastAsia="仿宋" w:cs="仿宋"/>
                <w:sz w:val="24"/>
                <w:szCs w:val="24"/>
              </w:rPr>
            </w:pPr>
            <w:r>
              <w:rPr>
                <w:rFonts w:hint="eastAsia" w:ascii="仿宋" w:hAnsi="仿宋" w:eastAsia="仿宋" w:cs="仿宋"/>
                <w:sz w:val="24"/>
                <w:szCs w:val="24"/>
              </w:rPr>
              <w:t>评审</w:t>
            </w:r>
          </w:p>
          <w:p w14:paraId="1FBDFCCF">
            <w:pPr>
              <w:rPr>
                <w:rFonts w:ascii="仿宋" w:hAnsi="仿宋" w:eastAsia="仿宋" w:cs="仿宋"/>
                <w:sz w:val="24"/>
                <w:szCs w:val="24"/>
              </w:rPr>
            </w:pPr>
            <w:r>
              <w:rPr>
                <w:rFonts w:hint="eastAsia" w:ascii="仿宋" w:hAnsi="仿宋" w:eastAsia="仿宋" w:cs="仿宋"/>
                <w:sz w:val="24"/>
                <w:szCs w:val="24"/>
              </w:rPr>
              <w:t>项目</w:t>
            </w:r>
          </w:p>
        </w:tc>
        <w:tc>
          <w:tcPr>
            <w:tcW w:w="3122" w:type="pct"/>
            <w:tcBorders>
              <w:top w:val="single" w:color="000000" w:sz="4" w:space="0"/>
              <w:left w:val="nil"/>
              <w:bottom w:val="single" w:color="000000" w:sz="4" w:space="0"/>
              <w:right w:val="single" w:color="000000" w:sz="4" w:space="0"/>
            </w:tcBorders>
            <w:vAlign w:val="center"/>
          </w:tcPr>
          <w:p w14:paraId="6BC2267E">
            <w:pPr>
              <w:rPr>
                <w:rFonts w:ascii="仿宋" w:hAnsi="仿宋" w:eastAsia="仿宋" w:cs="仿宋"/>
                <w:sz w:val="24"/>
                <w:szCs w:val="24"/>
              </w:rPr>
            </w:pPr>
            <w:r>
              <w:rPr>
                <w:rFonts w:hint="eastAsia" w:ascii="仿宋" w:hAnsi="仿宋" w:eastAsia="仿宋" w:cs="仿宋"/>
                <w:sz w:val="24"/>
                <w:szCs w:val="24"/>
              </w:rPr>
              <w:t>评审内容及规则</w:t>
            </w:r>
          </w:p>
        </w:tc>
        <w:tc>
          <w:tcPr>
            <w:tcW w:w="502" w:type="pct"/>
            <w:tcBorders>
              <w:top w:val="single" w:color="000000" w:sz="4" w:space="0"/>
              <w:left w:val="nil"/>
              <w:bottom w:val="single" w:color="000000" w:sz="4" w:space="0"/>
              <w:right w:val="single" w:color="000000" w:sz="4" w:space="0"/>
            </w:tcBorders>
            <w:vAlign w:val="center"/>
          </w:tcPr>
          <w:p w14:paraId="476F5916">
            <w:pPr>
              <w:rPr>
                <w:rFonts w:ascii="仿宋" w:hAnsi="仿宋" w:eastAsia="仿宋" w:cs="仿宋"/>
                <w:sz w:val="24"/>
                <w:szCs w:val="24"/>
              </w:rPr>
            </w:pPr>
            <w:r>
              <w:rPr>
                <w:rFonts w:hint="eastAsia" w:ascii="仿宋" w:hAnsi="仿宋" w:eastAsia="仿宋" w:cs="仿宋"/>
                <w:sz w:val="24"/>
                <w:szCs w:val="24"/>
              </w:rPr>
              <w:t>分值</w:t>
            </w:r>
          </w:p>
        </w:tc>
        <w:tc>
          <w:tcPr>
            <w:tcW w:w="351" w:type="pct"/>
            <w:tcBorders>
              <w:top w:val="single" w:color="000000" w:sz="4" w:space="0"/>
              <w:left w:val="nil"/>
              <w:bottom w:val="single" w:color="000000" w:sz="4" w:space="0"/>
              <w:right w:val="single" w:color="000000" w:sz="4" w:space="0"/>
            </w:tcBorders>
            <w:vAlign w:val="center"/>
          </w:tcPr>
          <w:p w14:paraId="649E0E8E">
            <w:pPr>
              <w:rPr>
                <w:rFonts w:ascii="仿宋" w:hAnsi="仿宋" w:eastAsia="仿宋" w:cs="仿宋"/>
                <w:sz w:val="24"/>
                <w:szCs w:val="24"/>
              </w:rPr>
            </w:pPr>
            <w:r>
              <w:rPr>
                <w:rFonts w:hint="eastAsia" w:ascii="仿宋" w:hAnsi="仿宋" w:eastAsia="仿宋" w:cs="仿宋"/>
                <w:sz w:val="24"/>
                <w:szCs w:val="24"/>
              </w:rPr>
              <w:t>权重</w:t>
            </w:r>
          </w:p>
        </w:tc>
        <w:tc>
          <w:tcPr>
            <w:tcW w:w="337" w:type="pct"/>
            <w:tcBorders>
              <w:top w:val="single" w:color="000000" w:sz="4" w:space="0"/>
              <w:left w:val="nil"/>
              <w:bottom w:val="single" w:color="000000" w:sz="4" w:space="0"/>
              <w:right w:val="single" w:color="000000" w:sz="4" w:space="0"/>
            </w:tcBorders>
            <w:vAlign w:val="center"/>
          </w:tcPr>
          <w:p w14:paraId="0D1E49E4">
            <w:pPr>
              <w:rPr>
                <w:rFonts w:ascii="仿宋" w:hAnsi="仿宋" w:eastAsia="仿宋" w:cs="仿宋"/>
                <w:sz w:val="24"/>
                <w:szCs w:val="24"/>
              </w:rPr>
            </w:pPr>
            <w:r>
              <w:rPr>
                <w:rFonts w:hint="eastAsia" w:ascii="仿宋" w:hAnsi="仿宋" w:eastAsia="仿宋" w:cs="仿宋"/>
                <w:sz w:val="24"/>
                <w:szCs w:val="24"/>
              </w:rPr>
              <w:t>得分</w:t>
            </w:r>
          </w:p>
        </w:tc>
      </w:tr>
      <w:tr w14:paraId="5A9C69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073" w:hRule="atLeast"/>
        </w:trPr>
        <w:tc>
          <w:tcPr>
            <w:tcW w:w="267" w:type="pct"/>
            <w:tcBorders>
              <w:top w:val="single" w:color="000000" w:sz="4" w:space="0"/>
              <w:left w:val="single" w:color="000000" w:sz="4" w:space="0"/>
              <w:bottom w:val="single" w:color="000000" w:sz="4" w:space="0"/>
              <w:right w:val="single" w:color="000000" w:sz="4" w:space="0"/>
            </w:tcBorders>
            <w:vAlign w:val="center"/>
          </w:tcPr>
          <w:p w14:paraId="7C80938B">
            <w:pPr>
              <w:rPr>
                <w:rFonts w:ascii="仿宋" w:hAnsi="仿宋" w:eastAsia="仿宋" w:cs="仿宋"/>
                <w:sz w:val="24"/>
                <w:szCs w:val="24"/>
              </w:rPr>
            </w:pPr>
            <w:r>
              <w:rPr>
                <w:rFonts w:hint="eastAsia" w:ascii="仿宋" w:hAnsi="仿宋" w:eastAsia="仿宋" w:cs="仿宋"/>
                <w:sz w:val="24"/>
                <w:szCs w:val="24"/>
              </w:rPr>
              <w:t>1</w:t>
            </w:r>
          </w:p>
        </w:tc>
        <w:tc>
          <w:tcPr>
            <w:tcW w:w="419" w:type="pct"/>
            <w:tcBorders>
              <w:top w:val="single" w:color="000000" w:sz="4" w:space="0"/>
              <w:left w:val="single" w:color="000000" w:sz="4" w:space="0"/>
              <w:bottom w:val="single" w:color="000000" w:sz="4" w:space="0"/>
              <w:right w:val="single" w:color="000000" w:sz="4" w:space="0"/>
            </w:tcBorders>
            <w:vAlign w:val="center"/>
          </w:tcPr>
          <w:p w14:paraId="7AA2263D">
            <w:pPr>
              <w:rPr>
                <w:rFonts w:ascii="仿宋" w:hAnsi="仿宋" w:eastAsia="仿宋" w:cs="仿宋"/>
                <w:sz w:val="24"/>
                <w:szCs w:val="24"/>
              </w:rPr>
            </w:pPr>
            <w:r>
              <w:rPr>
                <w:rFonts w:hint="eastAsia" w:ascii="仿宋" w:hAnsi="仿宋" w:eastAsia="仿宋" w:cs="仿宋"/>
                <w:sz w:val="24"/>
                <w:szCs w:val="24"/>
              </w:rPr>
              <w:t>同类业绩</w:t>
            </w:r>
          </w:p>
        </w:tc>
        <w:tc>
          <w:tcPr>
            <w:tcW w:w="3122" w:type="pct"/>
            <w:tcBorders>
              <w:top w:val="single" w:color="000000" w:sz="4" w:space="0"/>
              <w:left w:val="nil"/>
              <w:bottom w:val="single" w:color="000000" w:sz="4" w:space="0"/>
              <w:right w:val="single" w:color="000000" w:sz="4" w:space="0"/>
            </w:tcBorders>
            <w:vAlign w:val="center"/>
          </w:tcPr>
          <w:p w14:paraId="5B8F3C25">
            <w:pPr>
              <w:rPr>
                <w:rFonts w:ascii="仿宋" w:hAnsi="仿宋" w:eastAsia="仿宋" w:cs="仿宋"/>
                <w:sz w:val="24"/>
                <w:szCs w:val="24"/>
              </w:rPr>
            </w:pPr>
            <w:r>
              <w:rPr>
                <w:rFonts w:hint="eastAsia" w:ascii="仿宋" w:hAnsi="仿宋" w:eastAsia="仿宋" w:cs="仿宋"/>
                <w:sz w:val="24"/>
                <w:szCs w:val="24"/>
              </w:rPr>
              <w:t>近三年以来，投标人中标实施的类似停车场系统业绩合同，合同金额≥20万每个得10分，≥100万每个得30分，≥300万每个得60分，最多得100分。</w:t>
            </w:r>
          </w:p>
        </w:tc>
        <w:tc>
          <w:tcPr>
            <w:tcW w:w="502" w:type="pct"/>
            <w:tcBorders>
              <w:top w:val="single" w:color="000000" w:sz="4" w:space="0"/>
              <w:left w:val="nil"/>
              <w:bottom w:val="single" w:color="000000" w:sz="4" w:space="0"/>
              <w:right w:val="single" w:color="000000" w:sz="4" w:space="0"/>
            </w:tcBorders>
            <w:vAlign w:val="center"/>
          </w:tcPr>
          <w:p w14:paraId="0403404D">
            <w:pPr>
              <w:rPr>
                <w:rFonts w:ascii="仿宋" w:hAnsi="仿宋" w:eastAsia="仿宋" w:cs="仿宋"/>
                <w:sz w:val="24"/>
                <w:szCs w:val="24"/>
              </w:rPr>
            </w:pPr>
            <w:r>
              <w:rPr>
                <w:rFonts w:hint="eastAsia" w:ascii="仿宋" w:hAnsi="仿宋" w:eastAsia="仿宋" w:cs="仿宋"/>
                <w:sz w:val="24"/>
                <w:szCs w:val="24"/>
              </w:rPr>
              <w:t>0-100</w:t>
            </w:r>
          </w:p>
        </w:tc>
        <w:tc>
          <w:tcPr>
            <w:tcW w:w="351" w:type="pct"/>
            <w:tcBorders>
              <w:top w:val="single" w:color="000000" w:sz="4" w:space="0"/>
              <w:left w:val="nil"/>
              <w:bottom w:val="single" w:color="000000" w:sz="4" w:space="0"/>
              <w:right w:val="single" w:color="000000" w:sz="4" w:space="0"/>
            </w:tcBorders>
            <w:vAlign w:val="center"/>
          </w:tcPr>
          <w:p w14:paraId="4E09B372">
            <w:pPr>
              <w:rPr>
                <w:rFonts w:ascii="仿宋" w:hAnsi="仿宋" w:eastAsia="仿宋" w:cs="仿宋"/>
                <w:sz w:val="24"/>
                <w:szCs w:val="24"/>
              </w:rPr>
            </w:pPr>
            <w:r>
              <w:rPr>
                <w:rFonts w:hint="eastAsia" w:ascii="仿宋" w:hAnsi="仿宋" w:eastAsia="仿宋" w:cs="仿宋"/>
                <w:sz w:val="24"/>
                <w:szCs w:val="24"/>
              </w:rPr>
              <w:t>10%</w:t>
            </w:r>
          </w:p>
        </w:tc>
        <w:tc>
          <w:tcPr>
            <w:tcW w:w="337" w:type="pct"/>
            <w:tcBorders>
              <w:top w:val="single" w:color="000000" w:sz="4" w:space="0"/>
              <w:left w:val="nil"/>
              <w:bottom w:val="single" w:color="000000" w:sz="4" w:space="0"/>
              <w:right w:val="single" w:color="000000" w:sz="4" w:space="0"/>
            </w:tcBorders>
            <w:vAlign w:val="center"/>
          </w:tcPr>
          <w:p w14:paraId="20BBD4BF">
            <w:pPr>
              <w:rPr>
                <w:rFonts w:ascii="仿宋" w:hAnsi="仿宋" w:eastAsia="仿宋" w:cs="仿宋"/>
                <w:sz w:val="24"/>
                <w:szCs w:val="24"/>
              </w:rPr>
            </w:pPr>
            <w:r>
              <w:rPr>
                <w:rFonts w:hint="eastAsia" w:ascii="仿宋" w:hAnsi="仿宋" w:eastAsia="仿宋" w:cs="仿宋"/>
                <w:sz w:val="24"/>
                <w:szCs w:val="24"/>
              </w:rPr>
              <w:t>3</w:t>
            </w:r>
          </w:p>
        </w:tc>
      </w:tr>
      <w:tr w14:paraId="09557F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90" w:hRule="atLeast"/>
        </w:trPr>
        <w:tc>
          <w:tcPr>
            <w:tcW w:w="267" w:type="pct"/>
            <w:tcBorders>
              <w:top w:val="single" w:color="000000" w:sz="4" w:space="0"/>
              <w:left w:val="single" w:color="000000" w:sz="4" w:space="0"/>
              <w:bottom w:val="single" w:color="000000" w:sz="4" w:space="0"/>
              <w:right w:val="single" w:color="000000" w:sz="4" w:space="0"/>
            </w:tcBorders>
            <w:vAlign w:val="center"/>
          </w:tcPr>
          <w:p w14:paraId="1887C52E">
            <w:pPr>
              <w:rPr>
                <w:rFonts w:ascii="仿宋" w:hAnsi="仿宋" w:eastAsia="仿宋" w:cs="仿宋"/>
                <w:sz w:val="24"/>
                <w:szCs w:val="24"/>
              </w:rPr>
            </w:pPr>
            <w:r>
              <w:rPr>
                <w:rFonts w:hint="eastAsia" w:ascii="仿宋" w:hAnsi="仿宋" w:eastAsia="仿宋" w:cs="仿宋"/>
                <w:sz w:val="24"/>
                <w:szCs w:val="24"/>
              </w:rPr>
              <w:t>2</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2DA124">
            <w:pPr>
              <w:rPr>
                <w:rFonts w:ascii="仿宋" w:hAnsi="仿宋" w:eastAsia="仿宋" w:cs="仿宋"/>
                <w:sz w:val="24"/>
                <w:szCs w:val="24"/>
                <w:lang w:val="zh-CN"/>
              </w:rPr>
            </w:pPr>
            <w:r>
              <w:rPr>
                <w:rFonts w:hint="eastAsia" w:ascii="仿宋" w:hAnsi="仿宋" w:eastAsia="仿宋" w:cs="仿宋"/>
                <w:sz w:val="24"/>
                <w:szCs w:val="24"/>
              </w:rPr>
              <w:t>企业</w:t>
            </w:r>
            <w:r>
              <w:rPr>
                <w:rFonts w:hint="eastAsia" w:ascii="仿宋" w:hAnsi="仿宋" w:eastAsia="仿宋" w:cs="仿宋"/>
                <w:sz w:val="24"/>
                <w:szCs w:val="24"/>
                <w:lang w:val="zh-CN"/>
              </w:rPr>
              <w:t>实力</w:t>
            </w:r>
          </w:p>
        </w:tc>
        <w:tc>
          <w:tcPr>
            <w:tcW w:w="3122" w:type="pct"/>
            <w:tcBorders>
              <w:top w:val="single" w:color="000000" w:sz="4" w:space="0"/>
              <w:left w:val="nil"/>
              <w:bottom w:val="single" w:color="000000" w:sz="4" w:space="0"/>
              <w:right w:val="single" w:color="000000" w:sz="4" w:space="0"/>
            </w:tcBorders>
            <w:shd w:val="clear" w:color="auto" w:fill="auto"/>
            <w:vAlign w:val="center"/>
          </w:tcPr>
          <w:p w14:paraId="62591772">
            <w:pPr>
              <w:numPr>
                <w:ilvl w:val="0"/>
                <w:numId w:val="0"/>
              </w:numPr>
              <w:rPr>
                <w:rFonts w:ascii="仿宋" w:hAnsi="仿宋" w:eastAsia="仿宋" w:cs="仿宋"/>
                <w:color w:val="auto"/>
                <w:sz w:val="24"/>
                <w:szCs w:val="24"/>
              </w:rPr>
            </w:pPr>
            <w:r>
              <w:rPr>
                <w:rFonts w:ascii="仿宋" w:hAnsi="仿宋" w:eastAsia="仿宋" w:cs="仿宋"/>
                <w:color w:val="auto"/>
                <w:kern w:val="2"/>
                <w:sz w:val="24"/>
                <w:szCs w:val="24"/>
                <w:lang w:val="en-US" w:eastAsia="zh-CN" w:bidi="ar-SA"/>
              </w:rPr>
              <w:t>1、</w:t>
            </w:r>
            <w:r>
              <w:rPr>
                <w:rFonts w:hint="eastAsia" w:ascii="仿宋" w:hAnsi="仿宋" w:eastAsia="仿宋" w:cs="仿宋"/>
                <w:color w:val="auto"/>
                <w:sz w:val="24"/>
                <w:szCs w:val="24"/>
              </w:rPr>
              <w:t>企业技术实力：投标单位具有安全技术防范行业资信资质三级及以上或电子智能化二级及以上得20分。</w:t>
            </w:r>
          </w:p>
          <w:p w14:paraId="04CED50C">
            <w:pPr>
              <w:numPr>
                <w:ilvl w:val="0"/>
                <w:numId w:val="0"/>
              </w:numPr>
              <w:rPr>
                <w:rFonts w:ascii="仿宋" w:hAnsi="仿宋" w:eastAsia="仿宋" w:cs="仿宋"/>
                <w:color w:val="auto"/>
                <w:sz w:val="24"/>
                <w:szCs w:val="24"/>
              </w:rPr>
            </w:pPr>
            <w:r>
              <w:rPr>
                <w:rFonts w:ascii="仿宋" w:hAnsi="仿宋" w:eastAsia="仿宋" w:cs="仿宋"/>
                <w:color w:val="auto"/>
                <w:kern w:val="2"/>
                <w:sz w:val="24"/>
                <w:szCs w:val="24"/>
                <w:lang w:val="en-US" w:eastAsia="zh-CN" w:bidi="ar-SA"/>
              </w:rPr>
              <w:t>2、</w:t>
            </w:r>
            <w:r>
              <w:rPr>
                <w:rFonts w:hint="eastAsia" w:ascii="仿宋" w:hAnsi="仿宋" w:eastAsia="仿宋" w:cs="仿宋"/>
                <w:color w:val="auto"/>
                <w:sz w:val="24"/>
                <w:szCs w:val="24"/>
              </w:rPr>
              <w:t>投标人项目组中人员配置；成员具有投标要求产品认证技术工程师证书的，一个得10分，最高得20分；项目组成员具备安防资格证一个得10分，最高得30分。提供电工证书一个得5分，最高得10分，</w:t>
            </w:r>
            <w:r>
              <w:rPr>
                <w:rFonts w:hint="eastAsia" w:ascii="仿宋" w:hAnsi="仿宋" w:eastAsia="仿宋" w:cs="仿宋"/>
                <w:color w:val="auto"/>
                <w:sz w:val="24"/>
                <w:szCs w:val="24"/>
                <w:lang w:val="en-US" w:eastAsia="zh-CN"/>
              </w:rPr>
              <w:t>单人多个证书可累计得分，</w:t>
            </w:r>
            <w:r>
              <w:rPr>
                <w:rFonts w:hint="eastAsia" w:ascii="仿宋" w:hAnsi="仿宋" w:eastAsia="仿宋" w:cs="仿宋"/>
                <w:color w:val="auto"/>
                <w:sz w:val="24"/>
                <w:szCs w:val="24"/>
              </w:rPr>
              <w:t xml:space="preserve">以上需提供最近三个月社保证明，否则不得分 </w:t>
            </w:r>
          </w:p>
          <w:p w14:paraId="4B1D79D8">
            <w:pPr>
              <w:rPr>
                <w:rFonts w:ascii="仿宋" w:hAnsi="仿宋" w:eastAsia="仿宋" w:cs="仿宋"/>
                <w:color w:val="auto"/>
                <w:sz w:val="24"/>
                <w:szCs w:val="24"/>
              </w:rPr>
            </w:pPr>
            <w:r>
              <w:rPr>
                <w:rFonts w:hint="eastAsia" w:ascii="仿宋" w:hAnsi="仿宋" w:eastAsia="仿宋" w:cs="仿宋"/>
                <w:color w:val="auto"/>
                <w:sz w:val="24"/>
                <w:szCs w:val="24"/>
              </w:rPr>
              <w:t>3、项目授权：投标单位具有本项目中停车场类产品厂商设备安装售后服务及质保授权得20分，否则不得分</w:t>
            </w:r>
          </w:p>
          <w:p w14:paraId="6C03D748">
            <w:pPr>
              <w:rPr>
                <w:rFonts w:ascii="仿宋" w:hAnsi="仿宋" w:eastAsia="仿宋" w:cs="仿宋"/>
                <w:sz w:val="24"/>
                <w:szCs w:val="24"/>
                <w:lang w:val="zh-CN"/>
              </w:rPr>
            </w:pPr>
            <w:r>
              <w:rPr>
                <w:rFonts w:hint="eastAsia" w:ascii="仿宋" w:hAnsi="仿宋" w:eastAsia="仿宋" w:cs="仿宋"/>
                <w:color w:val="auto"/>
                <w:sz w:val="24"/>
                <w:szCs w:val="24"/>
              </w:rPr>
              <w:t>评标委员会将根据供应商提交的投标文件内容，结合但不限于上述评分标准，进行综合评分。</w:t>
            </w:r>
          </w:p>
        </w:tc>
        <w:tc>
          <w:tcPr>
            <w:tcW w:w="502" w:type="pct"/>
            <w:tcBorders>
              <w:top w:val="single" w:color="000000" w:sz="4" w:space="0"/>
              <w:left w:val="nil"/>
              <w:bottom w:val="single" w:color="000000" w:sz="4" w:space="0"/>
              <w:right w:val="single" w:color="000000" w:sz="4" w:space="0"/>
            </w:tcBorders>
            <w:shd w:val="clear" w:color="auto" w:fill="auto"/>
            <w:vAlign w:val="center"/>
          </w:tcPr>
          <w:p w14:paraId="73760A01">
            <w:pPr>
              <w:rPr>
                <w:rFonts w:ascii="仿宋" w:hAnsi="仿宋" w:eastAsia="仿宋" w:cs="仿宋"/>
                <w:sz w:val="24"/>
                <w:szCs w:val="24"/>
                <w:lang w:val="zh-CN"/>
              </w:rPr>
            </w:pPr>
            <w:r>
              <w:rPr>
                <w:rFonts w:hint="eastAsia" w:ascii="仿宋" w:hAnsi="仿宋" w:eastAsia="仿宋" w:cs="仿宋"/>
                <w:sz w:val="24"/>
                <w:szCs w:val="24"/>
                <w:lang w:val="zh-CN"/>
              </w:rPr>
              <w:t>0-</w:t>
            </w:r>
            <w:r>
              <w:rPr>
                <w:rFonts w:hint="eastAsia" w:ascii="仿宋" w:hAnsi="仿宋" w:eastAsia="仿宋" w:cs="仿宋"/>
                <w:sz w:val="24"/>
                <w:szCs w:val="24"/>
              </w:rPr>
              <w:t>100</w:t>
            </w:r>
          </w:p>
        </w:tc>
        <w:tc>
          <w:tcPr>
            <w:tcW w:w="351" w:type="pct"/>
            <w:tcBorders>
              <w:top w:val="single" w:color="000000" w:sz="4" w:space="0"/>
              <w:left w:val="nil"/>
              <w:bottom w:val="single" w:color="000000" w:sz="4" w:space="0"/>
              <w:right w:val="single" w:color="000000" w:sz="4" w:space="0"/>
            </w:tcBorders>
            <w:vAlign w:val="center"/>
          </w:tcPr>
          <w:p w14:paraId="0C083418">
            <w:pPr>
              <w:rPr>
                <w:rFonts w:ascii="仿宋" w:hAnsi="仿宋" w:eastAsia="仿宋" w:cs="仿宋"/>
                <w:sz w:val="24"/>
                <w:szCs w:val="24"/>
              </w:rPr>
            </w:pPr>
            <w:r>
              <w:rPr>
                <w:rFonts w:hint="eastAsia" w:ascii="仿宋" w:hAnsi="仿宋" w:eastAsia="仿宋" w:cs="仿宋"/>
                <w:sz w:val="24"/>
                <w:szCs w:val="24"/>
              </w:rPr>
              <w:t>25%</w:t>
            </w:r>
          </w:p>
        </w:tc>
        <w:tc>
          <w:tcPr>
            <w:tcW w:w="337" w:type="pct"/>
            <w:tcBorders>
              <w:top w:val="single" w:color="000000" w:sz="4" w:space="0"/>
              <w:left w:val="nil"/>
              <w:bottom w:val="single" w:color="000000" w:sz="4" w:space="0"/>
              <w:right w:val="single" w:color="000000" w:sz="4" w:space="0"/>
            </w:tcBorders>
            <w:vAlign w:val="center"/>
          </w:tcPr>
          <w:p w14:paraId="1B217064">
            <w:pPr>
              <w:rPr>
                <w:rFonts w:ascii="仿宋" w:hAnsi="仿宋" w:eastAsia="仿宋" w:cs="仿宋"/>
                <w:sz w:val="24"/>
                <w:szCs w:val="24"/>
              </w:rPr>
            </w:pPr>
            <w:r>
              <w:rPr>
                <w:rFonts w:hint="eastAsia" w:ascii="仿宋" w:hAnsi="仿宋" w:eastAsia="仿宋" w:cs="仿宋"/>
                <w:sz w:val="24"/>
                <w:szCs w:val="24"/>
              </w:rPr>
              <w:t>7.5</w:t>
            </w:r>
          </w:p>
        </w:tc>
      </w:tr>
      <w:tr w14:paraId="66A9D6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90" w:hRule="atLeast"/>
        </w:trPr>
        <w:tc>
          <w:tcPr>
            <w:tcW w:w="267" w:type="pct"/>
            <w:tcBorders>
              <w:top w:val="single" w:color="000000" w:sz="4" w:space="0"/>
              <w:left w:val="single" w:color="000000" w:sz="4" w:space="0"/>
              <w:bottom w:val="single" w:color="000000" w:sz="4" w:space="0"/>
              <w:right w:val="single" w:color="000000" w:sz="4" w:space="0"/>
            </w:tcBorders>
            <w:vAlign w:val="center"/>
          </w:tcPr>
          <w:p w14:paraId="1F128EBC">
            <w:pPr>
              <w:rPr>
                <w:rFonts w:ascii="仿宋" w:hAnsi="仿宋" w:eastAsia="仿宋" w:cs="仿宋"/>
                <w:sz w:val="24"/>
                <w:szCs w:val="24"/>
              </w:rPr>
            </w:pPr>
            <w:r>
              <w:rPr>
                <w:rFonts w:hint="eastAsia" w:ascii="仿宋" w:hAnsi="仿宋" w:eastAsia="仿宋" w:cs="仿宋"/>
                <w:sz w:val="24"/>
                <w:szCs w:val="24"/>
              </w:rPr>
              <w:t>3</w:t>
            </w:r>
          </w:p>
        </w:tc>
        <w:tc>
          <w:tcPr>
            <w:tcW w:w="419" w:type="pct"/>
            <w:tcBorders>
              <w:top w:val="single" w:color="000000" w:sz="4" w:space="0"/>
              <w:left w:val="single" w:color="000000" w:sz="4" w:space="0"/>
              <w:bottom w:val="single" w:color="000000" w:sz="4" w:space="0"/>
              <w:right w:val="single" w:color="000000" w:sz="4" w:space="0"/>
            </w:tcBorders>
            <w:vAlign w:val="center"/>
          </w:tcPr>
          <w:p w14:paraId="68EE2A92">
            <w:pPr>
              <w:rPr>
                <w:rFonts w:ascii="仿宋" w:hAnsi="仿宋" w:eastAsia="仿宋" w:cs="仿宋"/>
                <w:sz w:val="24"/>
                <w:szCs w:val="24"/>
              </w:rPr>
            </w:pPr>
            <w:r>
              <w:rPr>
                <w:rFonts w:hint="eastAsia" w:ascii="仿宋" w:hAnsi="仿宋" w:eastAsia="仿宋" w:cs="仿宋"/>
                <w:sz w:val="24"/>
                <w:szCs w:val="24"/>
              </w:rPr>
              <w:t>施工方案</w:t>
            </w:r>
          </w:p>
        </w:tc>
        <w:tc>
          <w:tcPr>
            <w:tcW w:w="3122" w:type="pct"/>
            <w:tcBorders>
              <w:top w:val="single" w:color="000000" w:sz="4" w:space="0"/>
              <w:left w:val="nil"/>
              <w:bottom w:val="single" w:color="000000" w:sz="4" w:space="0"/>
              <w:right w:val="single" w:color="000000" w:sz="4" w:space="0"/>
            </w:tcBorders>
            <w:vAlign w:val="center"/>
          </w:tcPr>
          <w:p w14:paraId="2CE97DCF">
            <w:pPr>
              <w:rPr>
                <w:rFonts w:ascii="仿宋" w:hAnsi="仿宋" w:eastAsia="仿宋" w:cs="仿宋"/>
                <w:sz w:val="24"/>
                <w:szCs w:val="24"/>
              </w:rPr>
            </w:pPr>
            <w:r>
              <w:rPr>
                <w:rFonts w:hint="eastAsia" w:ascii="仿宋" w:hAnsi="仿宋" w:eastAsia="仿宋" w:cs="仿宋"/>
                <w:spacing w:val="9"/>
                <w:sz w:val="24"/>
                <w:szCs w:val="24"/>
              </w:rPr>
              <w:t>1</w:t>
            </w:r>
            <w:r>
              <w:rPr>
                <w:rFonts w:hint="eastAsia" w:ascii="仿宋" w:hAnsi="仿宋" w:eastAsia="仿宋" w:cs="仿宋"/>
                <w:sz w:val="24"/>
                <w:szCs w:val="24"/>
              </w:rPr>
              <w:t>.根据供应商提供的针对本项目制定的实施方案的合理性、完整性，是否涵盖了 采购文件列明的所有工作内容进行综合评议。方案合理内容全面完整的得 30-50分， 方案较合理内容较完整的得 15-30（含）分，方案基本合理内容基本完整的得 0-15（含）分。</w:t>
            </w:r>
          </w:p>
          <w:p w14:paraId="6A7212AA">
            <w:pPr>
              <w:rPr>
                <w:rFonts w:ascii="仿宋" w:hAnsi="仿宋" w:eastAsia="仿宋" w:cs="仿宋"/>
                <w:sz w:val="24"/>
                <w:szCs w:val="24"/>
                <w:lang w:val="zh-CN"/>
              </w:rPr>
            </w:pPr>
            <w:r>
              <w:rPr>
                <w:rFonts w:hint="eastAsia" w:ascii="仿宋" w:hAnsi="仿宋" w:eastAsia="仿宋" w:cs="仿宋"/>
                <w:sz w:val="24"/>
                <w:szCs w:val="24"/>
              </w:rPr>
              <w:t>2.根据供应商提供的针对本项目的二次深化设计的图纸进行综合评议。图纸完整，且符合实际效果并有所优化的得 30-50 分；图纸较完整，较符合实际效果部分有所 优化的得 15-30（含）分；图纸基本合理，基本能体现实际效果的得 0-15（含）分。</w:t>
            </w:r>
          </w:p>
        </w:tc>
        <w:tc>
          <w:tcPr>
            <w:tcW w:w="502" w:type="pct"/>
            <w:tcBorders>
              <w:top w:val="single" w:color="000000" w:sz="4" w:space="0"/>
              <w:left w:val="nil"/>
              <w:bottom w:val="single" w:color="000000" w:sz="4" w:space="0"/>
              <w:right w:val="single" w:color="000000" w:sz="4" w:space="0"/>
            </w:tcBorders>
            <w:vAlign w:val="center"/>
          </w:tcPr>
          <w:p w14:paraId="40B3372D">
            <w:pPr>
              <w:rPr>
                <w:rFonts w:ascii="仿宋" w:hAnsi="仿宋" w:eastAsia="仿宋" w:cs="仿宋"/>
                <w:sz w:val="24"/>
                <w:szCs w:val="24"/>
              </w:rPr>
            </w:pPr>
            <w:r>
              <w:rPr>
                <w:rFonts w:hint="eastAsia" w:ascii="仿宋" w:hAnsi="仿宋" w:eastAsia="仿宋" w:cs="仿宋"/>
                <w:sz w:val="24"/>
                <w:szCs w:val="24"/>
              </w:rPr>
              <w:t>0-100</w:t>
            </w:r>
          </w:p>
        </w:tc>
        <w:tc>
          <w:tcPr>
            <w:tcW w:w="351" w:type="pct"/>
            <w:tcBorders>
              <w:top w:val="single" w:color="000000" w:sz="4" w:space="0"/>
              <w:left w:val="nil"/>
              <w:bottom w:val="single" w:color="000000" w:sz="4" w:space="0"/>
              <w:right w:val="single" w:color="000000" w:sz="4" w:space="0"/>
            </w:tcBorders>
            <w:vAlign w:val="center"/>
          </w:tcPr>
          <w:p w14:paraId="5EE72F98">
            <w:pPr>
              <w:rPr>
                <w:rFonts w:ascii="仿宋" w:hAnsi="仿宋" w:eastAsia="仿宋" w:cs="仿宋"/>
                <w:sz w:val="24"/>
                <w:szCs w:val="24"/>
              </w:rPr>
            </w:pPr>
            <w:r>
              <w:rPr>
                <w:rFonts w:hint="eastAsia" w:ascii="仿宋" w:hAnsi="仿宋" w:eastAsia="仿宋" w:cs="仿宋"/>
                <w:sz w:val="24"/>
                <w:szCs w:val="24"/>
              </w:rPr>
              <w:t>20%</w:t>
            </w:r>
          </w:p>
        </w:tc>
        <w:tc>
          <w:tcPr>
            <w:tcW w:w="337" w:type="pct"/>
            <w:tcBorders>
              <w:top w:val="single" w:color="000000" w:sz="4" w:space="0"/>
              <w:left w:val="nil"/>
              <w:bottom w:val="single" w:color="000000" w:sz="4" w:space="0"/>
              <w:right w:val="single" w:color="000000" w:sz="4" w:space="0"/>
            </w:tcBorders>
            <w:vAlign w:val="center"/>
          </w:tcPr>
          <w:p w14:paraId="226EB5D4">
            <w:pPr>
              <w:rPr>
                <w:rFonts w:ascii="仿宋" w:hAnsi="仿宋" w:eastAsia="仿宋" w:cs="仿宋"/>
                <w:sz w:val="24"/>
                <w:szCs w:val="24"/>
              </w:rPr>
            </w:pPr>
            <w:r>
              <w:rPr>
                <w:rFonts w:hint="eastAsia" w:ascii="仿宋" w:hAnsi="仿宋" w:eastAsia="仿宋" w:cs="仿宋"/>
                <w:sz w:val="24"/>
                <w:szCs w:val="24"/>
              </w:rPr>
              <w:t>6</w:t>
            </w:r>
          </w:p>
        </w:tc>
      </w:tr>
      <w:tr w14:paraId="403CD6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682" w:hRule="atLeast"/>
        </w:trPr>
        <w:tc>
          <w:tcPr>
            <w:tcW w:w="267" w:type="pct"/>
            <w:tcBorders>
              <w:top w:val="single" w:color="000000" w:sz="4" w:space="0"/>
              <w:left w:val="single" w:color="000000" w:sz="4" w:space="0"/>
              <w:bottom w:val="single" w:color="000000" w:sz="4" w:space="0"/>
              <w:right w:val="single" w:color="000000" w:sz="4" w:space="0"/>
            </w:tcBorders>
            <w:vAlign w:val="center"/>
          </w:tcPr>
          <w:p w14:paraId="324A5A7C">
            <w:pPr>
              <w:rPr>
                <w:rFonts w:ascii="仿宋" w:hAnsi="仿宋" w:eastAsia="仿宋" w:cs="仿宋"/>
                <w:sz w:val="24"/>
                <w:szCs w:val="24"/>
              </w:rPr>
            </w:pPr>
            <w:r>
              <w:rPr>
                <w:rFonts w:hint="eastAsia" w:ascii="仿宋" w:hAnsi="仿宋" w:eastAsia="仿宋" w:cs="仿宋"/>
                <w:sz w:val="24"/>
                <w:szCs w:val="24"/>
              </w:rPr>
              <w:t>4</w:t>
            </w:r>
          </w:p>
        </w:tc>
        <w:tc>
          <w:tcPr>
            <w:tcW w:w="419" w:type="pct"/>
            <w:tcBorders>
              <w:top w:val="single" w:color="000000" w:sz="4" w:space="0"/>
              <w:left w:val="single" w:color="000000" w:sz="4" w:space="0"/>
              <w:bottom w:val="single" w:color="000000" w:sz="4" w:space="0"/>
              <w:right w:val="single" w:color="000000" w:sz="4" w:space="0"/>
            </w:tcBorders>
            <w:vAlign w:val="center"/>
          </w:tcPr>
          <w:p w14:paraId="595B2392">
            <w:pPr>
              <w:rPr>
                <w:rFonts w:ascii="仿宋" w:hAnsi="仿宋" w:eastAsia="仿宋" w:cs="仿宋"/>
                <w:sz w:val="24"/>
                <w:szCs w:val="24"/>
              </w:rPr>
            </w:pPr>
            <w:r>
              <w:rPr>
                <w:rFonts w:hint="eastAsia" w:ascii="仿宋" w:hAnsi="仿宋" w:eastAsia="仿宋" w:cs="仿宋"/>
                <w:sz w:val="24"/>
                <w:szCs w:val="24"/>
              </w:rPr>
              <w:t>投标产品响应程度</w:t>
            </w:r>
          </w:p>
        </w:tc>
        <w:tc>
          <w:tcPr>
            <w:tcW w:w="3122" w:type="pct"/>
            <w:tcBorders>
              <w:top w:val="single" w:color="000000" w:sz="4" w:space="0"/>
              <w:left w:val="nil"/>
              <w:bottom w:val="single" w:color="000000" w:sz="4" w:space="0"/>
              <w:right w:val="single" w:color="000000" w:sz="4" w:space="0"/>
            </w:tcBorders>
            <w:vAlign w:val="center"/>
          </w:tcPr>
          <w:p w14:paraId="79670EFF">
            <w:pPr>
              <w:rPr>
                <w:rFonts w:ascii="仿宋" w:hAnsi="仿宋" w:eastAsia="仿宋" w:cs="仿宋"/>
                <w:color w:val="auto"/>
                <w:sz w:val="24"/>
                <w:szCs w:val="24"/>
                <w:lang w:val="zh-CN"/>
              </w:rPr>
            </w:pPr>
            <w:r>
              <w:rPr>
                <w:rFonts w:hint="eastAsia" w:ascii="仿宋" w:hAnsi="仿宋" w:eastAsia="仿宋" w:cs="仿宋"/>
                <w:color w:val="auto"/>
                <w:sz w:val="24"/>
                <w:szCs w:val="24"/>
                <w:lang w:val="zh-CN"/>
              </w:rPr>
              <w:t>根据现场停车场车辆管理</w:t>
            </w:r>
            <w:r>
              <w:rPr>
                <w:rFonts w:hint="eastAsia" w:ascii="仿宋" w:hAnsi="仿宋" w:eastAsia="仿宋" w:cs="仿宋"/>
                <w:color w:val="auto"/>
                <w:sz w:val="24"/>
                <w:szCs w:val="24"/>
                <w:lang w:val="en-US" w:eastAsia="zh-CN"/>
              </w:rPr>
              <w:t>及整体系统运行的兼容性需要</w:t>
            </w:r>
            <w:r>
              <w:rPr>
                <w:rFonts w:hint="eastAsia" w:ascii="仿宋" w:hAnsi="仿宋" w:eastAsia="仿宋" w:cs="仿宋"/>
                <w:color w:val="auto"/>
                <w:sz w:val="24"/>
                <w:szCs w:val="24"/>
                <w:lang w:val="zh-CN"/>
              </w:rPr>
              <w:t>，</w:t>
            </w:r>
            <w:r>
              <w:rPr>
                <w:rFonts w:hint="eastAsia" w:ascii="仿宋" w:hAnsi="仿宋" w:eastAsia="仿宋" w:cs="仿宋"/>
                <w:color w:val="auto"/>
                <w:sz w:val="24"/>
                <w:szCs w:val="24"/>
                <w:lang w:val="en-US" w:eastAsia="zh-CN"/>
              </w:rPr>
              <w:t>投标方提供</w:t>
            </w:r>
            <w:r>
              <w:rPr>
                <w:rFonts w:hint="eastAsia" w:ascii="仿宋" w:hAnsi="仿宋" w:eastAsia="仿宋" w:cs="仿宋"/>
                <w:color w:val="auto"/>
                <w:sz w:val="24"/>
                <w:szCs w:val="24"/>
                <w:lang w:val="zh-CN"/>
              </w:rPr>
              <w:t>软件</w:t>
            </w:r>
            <w:r>
              <w:rPr>
                <w:rFonts w:hint="eastAsia" w:ascii="仿宋" w:hAnsi="仿宋" w:eastAsia="仿宋" w:cs="仿宋"/>
                <w:color w:val="auto"/>
                <w:sz w:val="24"/>
                <w:szCs w:val="24"/>
                <w:lang w:val="en-US" w:eastAsia="zh-CN"/>
              </w:rPr>
              <w:t>必须和现场在使用软件品牌一致，并且</w:t>
            </w:r>
            <w:r>
              <w:rPr>
                <w:rFonts w:hint="eastAsia" w:ascii="仿宋" w:hAnsi="仿宋" w:eastAsia="仿宋" w:cs="仿宋"/>
                <w:color w:val="auto"/>
                <w:sz w:val="24"/>
                <w:szCs w:val="24"/>
                <w:lang w:val="zh-CN"/>
              </w:rPr>
              <w:t>须具备以下管理功能，提供</w:t>
            </w:r>
            <w:r>
              <w:rPr>
                <w:rFonts w:hint="eastAsia" w:ascii="仿宋" w:hAnsi="仿宋" w:eastAsia="仿宋" w:cs="仿宋"/>
                <w:color w:val="auto"/>
                <w:sz w:val="24"/>
                <w:szCs w:val="24"/>
                <w:lang w:val="en-US" w:eastAsia="zh-CN"/>
              </w:rPr>
              <w:t>软件</w:t>
            </w:r>
            <w:r>
              <w:rPr>
                <w:rFonts w:hint="eastAsia" w:ascii="仿宋" w:hAnsi="仿宋" w:eastAsia="仿宋" w:cs="仿宋"/>
                <w:color w:val="auto"/>
                <w:sz w:val="24"/>
                <w:szCs w:val="24"/>
                <w:lang w:val="zh-CN"/>
              </w:rPr>
              <w:t>检测报告。</w:t>
            </w:r>
            <w:r>
              <w:rPr>
                <w:rFonts w:hint="eastAsia" w:ascii="仿宋" w:hAnsi="仿宋" w:eastAsia="仿宋" w:cs="仿宋"/>
                <w:color w:val="auto"/>
                <w:sz w:val="24"/>
                <w:szCs w:val="24"/>
              </w:rPr>
              <w:t>每项20分</w:t>
            </w:r>
          </w:p>
          <w:p w14:paraId="0B51578B">
            <w:pPr>
              <w:rPr>
                <w:rFonts w:ascii="仿宋" w:hAnsi="仿宋" w:eastAsia="仿宋" w:cs="仿宋"/>
                <w:color w:val="auto"/>
                <w:sz w:val="24"/>
                <w:szCs w:val="24"/>
                <w:lang w:val="zh-CN"/>
              </w:rPr>
            </w:pPr>
            <w:r>
              <w:rPr>
                <w:rFonts w:hint="eastAsia" w:ascii="仿宋" w:hAnsi="仿宋" w:eastAsia="仿宋" w:cs="仿宋"/>
                <w:color w:val="auto"/>
                <w:sz w:val="24"/>
                <w:szCs w:val="24"/>
                <w:lang w:val="zh-CN"/>
              </w:rPr>
              <w:t>逃欠费管理：</w:t>
            </w:r>
          </w:p>
          <w:p w14:paraId="24E20761">
            <w:pPr>
              <w:rPr>
                <w:rFonts w:ascii="仿宋" w:hAnsi="仿宋" w:eastAsia="仿宋" w:cs="仿宋"/>
                <w:color w:val="auto"/>
                <w:sz w:val="24"/>
                <w:szCs w:val="24"/>
                <w:lang w:val="zh-CN"/>
              </w:rPr>
            </w:pPr>
            <w:r>
              <w:rPr>
                <w:rFonts w:hint="eastAsia" w:ascii="仿宋" w:hAnsi="仿宋" w:eastAsia="仿宋" w:cs="仿宋"/>
                <w:color w:val="auto"/>
                <w:sz w:val="24"/>
                <w:szCs w:val="24"/>
                <w:lang w:val="zh-CN"/>
              </w:rPr>
              <w:t>1.系统自动筛选识别疑似跟车逃费出去的车辆记录；</w:t>
            </w:r>
          </w:p>
          <w:p w14:paraId="70D15B9E">
            <w:pPr>
              <w:rPr>
                <w:rFonts w:ascii="仿宋" w:hAnsi="仿宋" w:eastAsia="仿宋" w:cs="仿宋"/>
                <w:color w:val="auto"/>
                <w:sz w:val="24"/>
                <w:szCs w:val="24"/>
                <w:lang w:val="zh-CN"/>
              </w:rPr>
            </w:pPr>
            <w:r>
              <w:rPr>
                <w:rFonts w:hint="eastAsia" w:ascii="仿宋" w:hAnsi="仿宋" w:eastAsia="仿宋" w:cs="仿宋"/>
                <w:color w:val="auto"/>
                <w:sz w:val="24"/>
                <w:szCs w:val="24"/>
                <w:lang w:val="zh-CN"/>
              </w:rPr>
              <w:t>2.对疑似跟车逃费车辆可人工复核，查看抓拍图片、逃费时间、录像，确认是否 逃费；</w:t>
            </w:r>
          </w:p>
          <w:p w14:paraId="08676185">
            <w:pPr>
              <w:rPr>
                <w:rFonts w:ascii="仿宋" w:hAnsi="仿宋" w:eastAsia="仿宋" w:cs="仿宋"/>
                <w:color w:val="auto"/>
                <w:sz w:val="24"/>
                <w:szCs w:val="24"/>
                <w:lang w:val="zh-CN"/>
              </w:rPr>
            </w:pPr>
            <w:r>
              <w:rPr>
                <w:rFonts w:hint="eastAsia" w:ascii="仿宋" w:hAnsi="仿宋" w:eastAsia="仿宋" w:cs="仿宋"/>
                <w:color w:val="auto"/>
                <w:sz w:val="24"/>
                <w:szCs w:val="24"/>
                <w:lang w:val="zh-CN"/>
              </w:rPr>
              <w:t>3.对确认逃费车辆，可生成欠费或免费出场；</w:t>
            </w:r>
          </w:p>
          <w:p w14:paraId="6C7E826F">
            <w:pPr>
              <w:rPr>
                <w:rFonts w:ascii="仿宋" w:hAnsi="仿宋" w:eastAsia="仿宋" w:cs="仿宋"/>
                <w:color w:val="auto"/>
                <w:sz w:val="24"/>
                <w:szCs w:val="24"/>
                <w:lang w:val="zh-CN"/>
              </w:rPr>
            </w:pPr>
            <w:r>
              <w:rPr>
                <w:rFonts w:hint="eastAsia" w:ascii="仿宋" w:hAnsi="仿宋" w:eastAsia="仿宋" w:cs="仿宋"/>
                <w:color w:val="auto"/>
                <w:sz w:val="24"/>
                <w:szCs w:val="24"/>
                <w:lang w:val="zh-CN"/>
              </w:rPr>
              <w:t>4.生成欠费账单后，车主可在公众号进行欠费缴纳，也可在车辆下次出场时，叠 加欠缴费用车场可在平台手动发起欠费提醒，提醒将通过公众号发送给对应车牌 车主。</w:t>
            </w:r>
          </w:p>
          <w:p w14:paraId="1C22B27F">
            <w:pPr>
              <w:rPr>
                <w:rFonts w:ascii="仿宋" w:hAnsi="仿宋" w:eastAsia="仿宋" w:cs="仿宋"/>
                <w:color w:val="auto"/>
                <w:sz w:val="24"/>
                <w:szCs w:val="24"/>
                <w:lang w:val="zh-CN"/>
              </w:rPr>
            </w:pPr>
            <w:r>
              <w:rPr>
                <w:rFonts w:hint="eastAsia" w:ascii="仿宋" w:hAnsi="仿宋" w:eastAsia="仿宋" w:cs="仿宋"/>
                <w:color w:val="auto"/>
                <w:sz w:val="24"/>
                <w:szCs w:val="24"/>
                <w:lang w:val="zh-CN"/>
              </w:rPr>
              <w:t>假出场管理：</w:t>
            </w:r>
          </w:p>
          <w:p w14:paraId="62EADBC3">
            <w:pPr>
              <w:rPr>
                <w:rFonts w:ascii="仿宋" w:hAnsi="仿宋" w:eastAsia="仿宋" w:cs="仿宋"/>
                <w:color w:val="auto"/>
                <w:sz w:val="24"/>
                <w:szCs w:val="24"/>
                <w:lang w:val="zh-CN"/>
              </w:rPr>
            </w:pPr>
            <w:r>
              <w:rPr>
                <w:rFonts w:hint="eastAsia" w:ascii="仿宋" w:hAnsi="仿宋" w:eastAsia="仿宋" w:cs="仿宋"/>
                <w:color w:val="auto"/>
                <w:sz w:val="24"/>
                <w:szCs w:val="24"/>
                <w:lang w:val="zh-CN"/>
              </w:rPr>
              <w:t>车辆进场后在免费时段内到出口触发抓拍，抬杆后车辆又倒回车场，抓拍机智能  识别车辆倒回行为，并重新生成入车记录.下次出场时重新匹配停车订单。</w:t>
            </w:r>
          </w:p>
          <w:p w14:paraId="6534040D">
            <w:pPr>
              <w:rPr>
                <w:rFonts w:ascii="仿宋" w:hAnsi="仿宋" w:eastAsia="仿宋" w:cs="仿宋"/>
                <w:color w:val="auto"/>
                <w:sz w:val="24"/>
                <w:szCs w:val="24"/>
                <w:lang w:val="zh-CN"/>
              </w:rPr>
            </w:pPr>
            <w:r>
              <w:rPr>
                <w:rFonts w:hint="eastAsia" w:ascii="仿宋" w:hAnsi="仿宋" w:eastAsia="仿宋" w:cs="仿宋"/>
                <w:color w:val="auto"/>
                <w:sz w:val="24"/>
                <w:szCs w:val="24"/>
                <w:lang w:val="zh-CN"/>
              </w:rPr>
              <w:t>限免时长车辆：</w:t>
            </w:r>
          </w:p>
          <w:p w14:paraId="0EC1D9F7">
            <w:pPr>
              <w:rPr>
                <w:rFonts w:ascii="仿宋" w:hAnsi="仿宋" w:eastAsia="仿宋" w:cs="仿宋"/>
                <w:color w:val="auto"/>
                <w:sz w:val="24"/>
                <w:szCs w:val="24"/>
                <w:lang w:val="zh-CN"/>
              </w:rPr>
            </w:pPr>
            <w:r>
              <w:rPr>
                <w:rFonts w:hint="eastAsia" w:ascii="仿宋" w:hAnsi="仿宋" w:eastAsia="仿宋" w:cs="仿宋"/>
                <w:color w:val="auto"/>
                <w:sz w:val="24"/>
                <w:szCs w:val="24"/>
                <w:lang w:val="zh-CN"/>
              </w:rPr>
              <w:t>1.对车辆按日、月、年，设置每周期免费停车时长；</w:t>
            </w:r>
          </w:p>
          <w:p w14:paraId="138C3564">
            <w:pPr>
              <w:rPr>
                <w:rFonts w:ascii="仿宋" w:hAnsi="仿宋" w:eastAsia="仿宋" w:cs="仿宋"/>
                <w:color w:val="auto"/>
                <w:sz w:val="24"/>
                <w:szCs w:val="24"/>
                <w:lang w:val="zh-CN"/>
              </w:rPr>
            </w:pPr>
            <w:r>
              <w:rPr>
                <w:rFonts w:hint="eastAsia" w:ascii="仿宋" w:hAnsi="仿宋" w:eastAsia="仿宋" w:cs="仿宋"/>
                <w:color w:val="auto"/>
                <w:sz w:val="24"/>
                <w:szCs w:val="24"/>
                <w:lang w:val="zh-CN"/>
              </w:rPr>
              <w:t>2.超过免费停车时长后按临停进行计费。</w:t>
            </w:r>
          </w:p>
          <w:p w14:paraId="3C283363">
            <w:pPr>
              <w:rPr>
                <w:rFonts w:ascii="仿宋" w:hAnsi="仿宋" w:eastAsia="仿宋" w:cs="仿宋"/>
                <w:color w:val="auto"/>
                <w:sz w:val="24"/>
                <w:szCs w:val="24"/>
                <w:lang w:val="zh-CN"/>
              </w:rPr>
            </w:pPr>
            <w:r>
              <w:rPr>
                <w:rFonts w:hint="eastAsia" w:ascii="仿宋" w:hAnsi="仿宋" w:eastAsia="仿宋" w:cs="仿宋"/>
                <w:color w:val="auto"/>
                <w:sz w:val="24"/>
                <w:szCs w:val="24"/>
                <w:lang w:val="zh-CN"/>
              </w:rPr>
              <w:t>闲时包期</w:t>
            </w:r>
          </w:p>
          <w:p w14:paraId="47B5DE36">
            <w:pPr>
              <w:rPr>
                <w:rFonts w:ascii="仿宋" w:hAnsi="仿宋" w:eastAsia="仿宋" w:cs="仿宋"/>
                <w:color w:val="auto"/>
                <w:sz w:val="24"/>
                <w:szCs w:val="24"/>
                <w:lang w:val="zh-CN"/>
              </w:rPr>
            </w:pPr>
            <w:r>
              <w:rPr>
                <w:rFonts w:hint="eastAsia" w:ascii="仿宋" w:hAnsi="仿宋" w:eastAsia="仿宋" w:cs="仿宋"/>
                <w:color w:val="auto"/>
                <w:sz w:val="24"/>
                <w:szCs w:val="24"/>
                <w:lang w:val="zh-CN"/>
              </w:rPr>
              <w:t xml:space="preserve">支持在闲时将车位租给需要的用户，时段内免费进出，超出时段按临停车收费。 </w:t>
            </w:r>
          </w:p>
          <w:p w14:paraId="769C3128">
            <w:pPr>
              <w:rPr>
                <w:rFonts w:ascii="仿宋" w:hAnsi="仿宋" w:eastAsia="仿宋" w:cs="仿宋"/>
                <w:color w:val="auto"/>
                <w:sz w:val="24"/>
                <w:szCs w:val="24"/>
                <w:lang w:val="zh-CN"/>
              </w:rPr>
            </w:pPr>
            <w:r>
              <w:rPr>
                <w:rFonts w:hint="eastAsia" w:ascii="仿宋" w:hAnsi="仿宋" w:eastAsia="仿宋" w:cs="仿宋"/>
                <w:color w:val="auto"/>
                <w:sz w:val="24"/>
                <w:szCs w:val="24"/>
                <w:lang w:val="zh-CN"/>
              </w:rPr>
              <w:t>多车场共享包期</w:t>
            </w:r>
          </w:p>
          <w:p w14:paraId="69684F4F">
            <w:pPr>
              <w:rPr>
                <w:rFonts w:ascii="仿宋" w:hAnsi="仿宋" w:eastAsia="仿宋" w:cs="仿宋"/>
                <w:color w:val="auto"/>
                <w:sz w:val="24"/>
                <w:szCs w:val="24"/>
              </w:rPr>
            </w:pPr>
            <w:r>
              <w:rPr>
                <w:rFonts w:hint="eastAsia" w:ascii="仿宋" w:hAnsi="仿宋" w:eastAsia="仿宋" w:cs="仿宋"/>
                <w:color w:val="auto"/>
                <w:sz w:val="24"/>
                <w:szCs w:val="24"/>
                <w:lang w:val="zh-CN"/>
              </w:rPr>
              <w:t>包期规则可关联多个停车场，同一车辆可在车场组范围内的全部停车场都享有包 期车的权利。</w:t>
            </w:r>
          </w:p>
        </w:tc>
        <w:tc>
          <w:tcPr>
            <w:tcW w:w="502" w:type="pct"/>
            <w:tcBorders>
              <w:top w:val="single" w:color="000000" w:sz="4" w:space="0"/>
              <w:left w:val="nil"/>
              <w:bottom w:val="single" w:color="000000" w:sz="4" w:space="0"/>
              <w:right w:val="single" w:color="000000" w:sz="4" w:space="0"/>
            </w:tcBorders>
            <w:vAlign w:val="center"/>
          </w:tcPr>
          <w:p w14:paraId="5E4D3B8B">
            <w:pPr>
              <w:rPr>
                <w:rFonts w:ascii="仿宋" w:hAnsi="仿宋" w:eastAsia="仿宋" w:cs="仿宋"/>
                <w:sz w:val="24"/>
                <w:szCs w:val="24"/>
              </w:rPr>
            </w:pPr>
            <w:r>
              <w:rPr>
                <w:rFonts w:hint="eastAsia" w:ascii="仿宋" w:hAnsi="仿宋" w:eastAsia="仿宋" w:cs="仿宋"/>
                <w:sz w:val="24"/>
                <w:szCs w:val="24"/>
              </w:rPr>
              <w:t>0-100</w:t>
            </w:r>
          </w:p>
        </w:tc>
        <w:tc>
          <w:tcPr>
            <w:tcW w:w="351" w:type="pct"/>
            <w:tcBorders>
              <w:top w:val="single" w:color="000000" w:sz="4" w:space="0"/>
              <w:left w:val="nil"/>
              <w:bottom w:val="single" w:color="000000" w:sz="4" w:space="0"/>
              <w:right w:val="single" w:color="000000" w:sz="4" w:space="0"/>
            </w:tcBorders>
            <w:vAlign w:val="center"/>
          </w:tcPr>
          <w:p w14:paraId="16C6D2BB">
            <w:pPr>
              <w:rPr>
                <w:rFonts w:ascii="仿宋" w:hAnsi="仿宋" w:eastAsia="仿宋" w:cs="仿宋"/>
                <w:sz w:val="24"/>
                <w:szCs w:val="24"/>
              </w:rPr>
            </w:pPr>
            <w:r>
              <w:rPr>
                <w:rFonts w:hint="eastAsia" w:ascii="仿宋" w:hAnsi="仿宋" w:eastAsia="仿宋" w:cs="仿宋"/>
                <w:sz w:val="24"/>
                <w:szCs w:val="24"/>
              </w:rPr>
              <w:t>30%</w:t>
            </w:r>
          </w:p>
        </w:tc>
        <w:tc>
          <w:tcPr>
            <w:tcW w:w="337" w:type="pct"/>
            <w:tcBorders>
              <w:top w:val="single" w:color="000000" w:sz="4" w:space="0"/>
              <w:left w:val="nil"/>
              <w:bottom w:val="single" w:color="000000" w:sz="4" w:space="0"/>
              <w:right w:val="single" w:color="000000" w:sz="4" w:space="0"/>
            </w:tcBorders>
            <w:vAlign w:val="center"/>
          </w:tcPr>
          <w:p w14:paraId="4629653C">
            <w:pPr>
              <w:rPr>
                <w:rFonts w:ascii="仿宋" w:hAnsi="仿宋" w:eastAsia="仿宋" w:cs="仿宋"/>
                <w:sz w:val="24"/>
                <w:szCs w:val="24"/>
              </w:rPr>
            </w:pPr>
            <w:r>
              <w:rPr>
                <w:rFonts w:hint="eastAsia" w:ascii="仿宋" w:hAnsi="仿宋" w:eastAsia="仿宋" w:cs="仿宋"/>
                <w:sz w:val="24"/>
                <w:szCs w:val="24"/>
              </w:rPr>
              <w:t>9</w:t>
            </w:r>
          </w:p>
        </w:tc>
      </w:tr>
      <w:tr w14:paraId="667369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199" w:hRule="atLeast"/>
        </w:trPr>
        <w:tc>
          <w:tcPr>
            <w:tcW w:w="267" w:type="pct"/>
            <w:tcBorders>
              <w:top w:val="single" w:color="000000" w:sz="4" w:space="0"/>
              <w:left w:val="single" w:color="000000" w:sz="4" w:space="0"/>
              <w:bottom w:val="single" w:color="000000" w:sz="4" w:space="0"/>
              <w:right w:val="single" w:color="000000" w:sz="4" w:space="0"/>
            </w:tcBorders>
            <w:vAlign w:val="center"/>
          </w:tcPr>
          <w:p w14:paraId="095123C7">
            <w:pPr>
              <w:rPr>
                <w:rFonts w:ascii="仿宋" w:hAnsi="仿宋" w:eastAsia="仿宋" w:cs="仿宋"/>
                <w:sz w:val="24"/>
                <w:szCs w:val="24"/>
              </w:rPr>
            </w:pPr>
            <w:r>
              <w:rPr>
                <w:rFonts w:hint="eastAsia" w:ascii="仿宋" w:hAnsi="仿宋" w:eastAsia="仿宋" w:cs="仿宋"/>
                <w:sz w:val="24"/>
                <w:szCs w:val="24"/>
              </w:rPr>
              <w:t>5</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132C01">
            <w:pPr>
              <w:rPr>
                <w:rFonts w:ascii="仿宋" w:hAnsi="仿宋" w:eastAsia="仿宋" w:cs="仿宋"/>
                <w:sz w:val="24"/>
                <w:szCs w:val="24"/>
              </w:rPr>
            </w:pPr>
            <w:r>
              <w:rPr>
                <w:rFonts w:hint="eastAsia" w:ascii="仿宋" w:hAnsi="仿宋" w:eastAsia="仿宋" w:cs="仿宋"/>
                <w:sz w:val="24"/>
                <w:szCs w:val="24"/>
              </w:rPr>
              <w:t>保障措施</w:t>
            </w:r>
          </w:p>
        </w:tc>
        <w:tc>
          <w:tcPr>
            <w:tcW w:w="3122" w:type="pct"/>
            <w:tcBorders>
              <w:top w:val="single" w:color="000000" w:sz="4" w:space="0"/>
              <w:left w:val="nil"/>
              <w:bottom w:val="single" w:color="000000" w:sz="4" w:space="0"/>
              <w:right w:val="single" w:color="000000" w:sz="4" w:space="0"/>
            </w:tcBorders>
            <w:shd w:val="clear" w:color="auto" w:fill="auto"/>
          </w:tcPr>
          <w:p w14:paraId="265D3208">
            <w:pPr>
              <w:rPr>
                <w:rFonts w:ascii="仿宋" w:hAnsi="仿宋" w:eastAsia="仿宋" w:cs="仿宋"/>
                <w:color w:val="auto"/>
                <w:sz w:val="24"/>
                <w:szCs w:val="24"/>
              </w:rPr>
            </w:pPr>
            <w:r>
              <w:rPr>
                <w:rFonts w:hint="eastAsia" w:ascii="仿宋" w:hAnsi="仿宋" w:eastAsia="仿宋" w:cs="仿宋"/>
                <w:color w:val="auto"/>
                <w:spacing w:val="9"/>
                <w:sz w:val="24"/>
                <w:szCs w:val="24"/>
              </w:rPr>
              <w:t>根据供应商提供的针对本项目制定的安全文明措施、质量管理控制</w:t>
            </w:r>
            <w:r>
              <w:rPr>
                <w:rFonts w:hint="eastAsia" w:ascii="仿宋" w:hAnsi="仿宋" w:eastAsia="仿宋" w:cs="仿宋"/>
                <w:color w:val="auto"/>
                <w:spacing w:val="8"/>
                <w:sz w:val="24"/>
                <w:szCs w:val="24"/>
              </w:rPr>
              <w:t>措施、进度管</w:t>
            </w:r>
            <w:r>
              <w:rPr>
                <w:rFonts w:hint="eastAsia" w:ascii="仿宋" w:hAnsi="仿宋" w:eastAsia="仿宋" w:cs="仿宋"/>
                <w:color w:val="auto"/>
                <w:sz w:val="24"/>
                <w:szCs w:val="24"/>
              </w:rPr>
              <w:t xml:space="preserve"> </w:t>
            </w:r>
            <w:r>
              <w:rPr>
                <w:rFonts w:hint="eastAsia" w:ascii="仿宋" w:hAnsi="仿宋" w:eastAsia="仿宋" w:cs="仿宋"/>
                <w:color w:val="auto"/>
                <w:spacing w:val="10"/>
                <w:sz w:val="24"/>
                <w:szCs w:val="24"/>
              </w:rPr>
              <w:t>理控制措施进行综合评议。措施全面、合理、</w:t>
            </w:r>
            <w:r>
              <w:rPr>
                <w:rFonts w:hint="eastAsia" w:ascii="仿宋" w:hAnsi="仿宋" w:eastAsia="仿宋" w:cs="仿宋"/>
                <w:color w:val="auto"/>
                <w:spacing w:val="9"/>
                <w:sz w:val="24"/>
                <w:szCs w:val="24"/>
              </w:rPr>
              <w:t>可行、具有良好的实施性的得</w:t>
            </w:r>
            <w:r>
              <w:rPr>
                <w:rFonts w:hint="eastAsia" w:ascii="仿宋" w:hAnsi="仿宋" w:eastAsia="仿宋" w:cs="仿宋"/>
                <w:color w:val="auto"/>
                <w:spacing w:val="-34"/>
                <w:sz w:val="24"/>
                <w:szCs w:val="24"/>
              </w:rPr>
              <w:t xml:space="preserve"> </w:t>
            </w:r>
            <w:r>
              <w:rPr>
                <w:rFonts w:hint="eastAsia" w:ascii="仿宋" w:hAnsi="仿宋" w:eastAsia="仿宋" w:cs="仿宋"/>
                <w:color w:val="auto"/>
                <w:spacing w:val="9"/>
                <w:sz w:val="24"/>
                <w:szCs w:val="24"/>
              </w:rPr>
              <w:t>60-100</w:t>
            </w:r>
            <w:r>
              <w:rPr>
                <w:rFonts w:hint="eastAsia" w:ascii="仿宋" w:hAnsi="仿宋" w:eastAsia="仿宋" w:cs="仿宋"/>
                <w:color w:val="auto"/>
                <w:spacing w:val="5"/>
                <w:sz w:val="24"/>
                <w:szCs w:val="24"/>
              </w:rPr>
              <w:t>分；措施较全面、合理、可行、较能满足采购需求的得</w:t>
            </w:r>
            <w:r>
              <w:rPr>
                <w:rFonts w:hint="eastAsia" w:ascii="仿宋" w:hAnsi="仿宋" w:eastAsia="仿宋" w:cs="仿宋"/>
                <w:color w:val="auto"/>
                <w:spacing w:val="-6"/>
                <w:sz w:val="24"/>
                <w:szCs w:val="24"/>
              </w:rPr>
              <w:t xml:space="preserve"> </w:t>
            </w:r>
            <w:r>
              <w:rPr>
                <w:rFonts w:hint="eastAsia" w:ascii="仿宋" w:hAnsi="仿宋" w:eastAsia="仿宋" w:cs="仿宋"/>
                <w:color w:val="auto"/>
                <w:spacing w:val="5"/>
                <w:sz w:val="24"/>
                <w:szCs w:val="24"/>
              </w:rPr>
              <w:t>30-60（含）分；基本全面、</w:t>
            </w:r>
            <w:r>
              <w:rPr>
                <w:rFonts w:hint="eastAsia" w:ascii="仿宋" w:hAnsi="仿宋" w:eastAsia="仿宋" w:cs="仿宋"/>
                <w:color w:val="auto"/>
                <w:sz w:val="24"/>
                <w:szCs w:val="24"/>
              </w:rPr>
              <w:t xml:space="preserve"> </w:t>
            </w:r>
            <w:r>
              <w:rPr>
                <w:rFonts w:hint="eastAsia" w:ascii="仿宋" w:hAnsi="仿宋" w:eastAsia="仿宋" w:cs="仿宋"/>
                <w:color w:val="auto"/>
                <w:spacing w:val="6"/>
                <w:sz w:val="24"/>
                <w:szCs w:val="24"/>
              </w:rPr>
              <w:t>合理、可行、能够满足采购需求的得</w:t>
            </w:r>
            <w:r>
              <w:rPr>
                <w:rFonts w:hint="eastAsia" w:ascii="仿宋" w:hAnsi="仿宋" w:eastAsia="仿宋" w:cs="仿宋"/>
                <w:color w:val="auto"/>
                <w:spacing w:val="-20"/>
                <w:sz w:val="24"/>
                <w:szCs w:val="24"/>
              </w:rPr>
              <w:t xml:space="preserve"> </w:t>
            </w:r>
            <w:r>
              <w:rPr>
                <w:rFonts w:hint="eastAsia" w:ascii="仿宋" w:hAnsi="仿宋" w:eastAsia="仿宋" w:cs="仿宋"/>
                <w:color w:val="auto"/>
                <w:spacing w:val="6"/>
                <w:sz w:val="24"/>
                <w:szCs w:val="24"/>
              </w:rPr>
              <w:t>0-30（含）分；未提供的不得分。</w:t>
            </w:r>
          </w:p>
        </w:tc>
        <w:tc>
          <w:tcPr>
            <w:tcW w:w="502" w:type="pct"/>
            <w:tcBorders>
              <w:top w:val="single" w:color="000000" w:sz="4" w:space="0"/>
              <w:left w:val="nil"/>
              <w:bottom w:val="single" w:color="000000" w:sz="4" w:space="0"/>
              <w:right w:val="single" w:color="000000" w:sz="4" w:space="0"/>
            </w:tcBorders>
            <w:vAlign w:val="center"/>
          </w:tcPr>
          <w:p w14:paraId="396A54B2">
            <w:pPr>
              <w:rPr>
                <w:rFonts w:ascii="仿宋" w:hAnsi="仿宋" w:eastAsia="仿宋" w:cs="仿宋"/>
                <w:sz w:val="24"/>
                <w:szCs w:val="24"/>
              </w:rPr>
            </w:pPr>
            <w:r>
              <w:rPr>
                <w:rFonts w:hint="eastAsia" w:ascii="仿宋" w:hAnsi="仿宋" w:eastAsia="仿宋" w:cs="仿宋"/>
                <w:sz w:val="24"/>
                <w:szCs w:val="24"/>
              </w:rPr>
              <w:t>0-100</w:t>
            </w:r>
          </w:p>
        </w:tc>
        <w:tc>
          <w:tcPr>
            <w:tcW w:w="351" w:type="pct"/>
            <w:tcBorders>
              <w:top w:val="single" w:color="000000" w:sz="4" w:space="0"/>
              <w:left w:val="nil"/>
              <w:bottom w:val="single" w:color="000000" w:sz="4" w:space="0"/>
              <w:right w:val="single" w:color="000000" w:sz="4" w:space="0"/>
            </w:tcBorders>
            <w:vAlign w:val="center"/>
          </w:tcPr>
          <w:p w14:paraId="50AD18EB">
            <w:pPr>
              <w:rPr>
                <w:rFonts w:ascii="仿宋" w:hAnsi="仿宋" w:eastAsia="仿宋" w:cs="仿宋"/>
                <w:sz w:val="24"/>
                <w:szCs w:val="24"/>
              </w:rPr>
            </w:pPr>
            <w:r>
              <w:rPr>
                <w:rFonts w:hint="eastAsia" w:ascii="仿宋" w:hAnsi="仿宋" w:eastAsia="仿宋" w:cs="仿宋"/>
                <w:sz w:val="24"/>
                <w:szCs w:val="24"/>
              </w:rPr>
              <w:t>5%</w:t>
            </w:r>
          </w:p>
        </w:tc>
        <w:tc>
          <w:tcPr>
            <w:tcW w:w="337" w:type="pct"/>
            <w:tcBorders>
              <w:top w:val="single" w:color="000000" w:sz="4" w:space="0"/>
              <w:left w:val="nil"/>
              <w:bottom w:val="single" w:color="000000" w:sz="4" w:space="0"/>
              <w:right w:val="single" w:color="000000" w:sz="4" w:space="0"/>
            </w:tcBorders>
            <w:vAlign w:val="center"/>
          </w:tcPr>
          <w:p w14:paraId="0FF380DC">
            <w:pPr>
              <w:rPr>
                <w:rFonts w:ascii="仿宋" w:hAnsi="仿宋" w:eastAsia="仿宋" w:cs="仿宋"/>
                <w:sz w:val="24"/>
                <w:szCs w:val="24"/>
              </w:rPr>
            </w:pPr>
            <w:r>
              <w:rPr>
                <w:rFonts w:hint="eastAsia" w:ascii="仿宋" w:hAnsi="仿宋" w:eastAsia="仿宋" w:cs="仿宋"/>
                <w:sz w:val="24"/>
                <w:szCs w:val="24"/>
              </w:rPr>
              <w:t>1.5</w:t>
            </w:r>
          </w:p>
        </w:tc>
      </w:tr>
      <w:tr w14:paraId="340742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961" w:hRule="atLeast"/>
        </w:trPr>
        <w:tc>
          <w:tcPr>
            <w:tcW w:w="267" w:type="pct"/>
            <w:tcBorders>
              <w:top w:val="single" w:color="000000" w:sz="4" w:space="0"/>
              <w:left w:val="single" w:color="000000" w:sz="4" w:space="0"/>
              <w:bottom w:val="single" w:color="000000" w:sz="4" w:space="0"/>
              <w:right w:val="single" w:color="000000" w:sz="4" w:space="0"/>
            </w:tcBorders>
            <w:vAlign w:val="center"/>
          </w:tcPr>
          <w:p w14:paraId="45441BBA">
            <w:pPr>
              <w:rPr>
                <w:rFonts w:ascii="仿宋" w:hAnsi="仿宋" w:eastAsia="仿宋" w:cs="仿宋"/>
                <w:sz w:val="24"/>
                <w:szCs w:val="24"/>
              </w:rPr>
            </w:pPr>
            <w:r>
              <w:rPr>
                <w:rFonts w:hint="eastAsia" w:ascii="仿宋" w:hAnsi="仿宋" w:eastAsia="仿宋" w:cs="仿宋"/>
                <w:sz w:val="24"/>
                <w:szCs w:val="24"/>
              </w:rPr>
              <w:t>6</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7532D6">
            <w:pPr>
              <w:rPr>
                <w:rFonts w:ascii="仿宋" w:hAnsi="仿宋" w:eastAsia="仿宋" w:cs="仿宋"/>
                <w:sz w:val="24"/>
                <w:szCs w:val="24"/>
              </w:rPr>
            </w:pPr>
            <w:r>
              <w:rPr>
                <w:rFonts w:hint="eastAsia" w:ascii="仿宋" w:hAnsi="仿宋" w:eastAsia="仿宋" w:cs="仿宋"/>
                <w:sz w:val="24"/>
                <w:szCs w:val="24"/>
              </w:rPr>
              <w:t>培训方案</w:t>
            </w:r>
          </w:p>
        </w:tc>
        <w:tc>
          <w:tcPr>
            <w:tcW w:w="3122" w:type="pct"/>
            <w:tcBorders>
              <w:top w:val="single" w:color="000000" w:sz="4" w:space="0"/>
              <w:left w:val="nil"/>
              <w:bottom w:val="single" w:color="000000" w:sz="4" w:space="0"/>
              <w:right w:val="single" w:color="000000" w:sz="4" w:space="0"/>
            </w:tcBorders>
            <w:shd w:val="clear" w:color="auto" w:fill="auto"/>
          </w:tcPr>
          <w:p w14:paraId="7B6C281B">
            <w:pPr>
              <w:rPr>
                <w:rFonts w:ascii="仿宋" w:hAnsi="仿宋" w:eastAsia="仿宋" w:cs="仿宋"/>
                <w:color w:val="auto"/>
                <w:sz w:val="24"/>
                <w:szCs w:val="24"/>
              </w:rPr>
            </w:pPr>
            <w:r>
              <w:rPr>
                <w:rFonts w:hint="eastAsia" w:ascii="仿宋" w:hAnsi="仿宋" w:eastAsia="仿宋" w:cs="仿宋"/>
                <w:color w:val="auto"/>
                <w:spacing w:val="9"/>
                <w:sz w:val="24"/>
                <w:szCs w:val="24"/>
              </w:rPr>
              <w:t>根据供应商提供的针对本项目制定的培训方案的合理性、科学性，是否符合本项 目的工作内容等进行综合评议。方案合理科学的得 60-100分；方案基本合理、较科 学的得 30-60分（含）；方案不够不太合理，不够科学的得 0-30分（含）；未提供的不得分。</w:t>
            </w:r>
          </w:p>
        </w:tc>
        <w:tc>
          <w:tcPr>
            <w:tcW w:w="502" w:type="pct"/>
            <w:tcBorders>
              <w:top w:val="single" w:color="000000" w:sz="4" w:space="0"/>
              <w:left w:val="nil"/>
              <w:bottom w:val="single" w:color="000000" w:sz="4" w:space="0"/>
              <w:right w:val="single" w:color="000000" w:sz="4" w:space="0"/>
            </w:tcBorders>
            <w:vAlign w:val="center"/>
          </w:tcPr>
          <w:p w14:paraId="72001BBB">
            <w:pPr>
              <w:rPr>
                <w:rFonts w:ascii="仿宋" w:hAnsi="仿宋" w:eastAsia="仿宋" w:cs="仿宋"/>
                <w:sz w:val="24"/>
                <w:szCs w:val="24"/>
              </w:rPr>
            </w:pPr>
            <w:r>
              <w:rPr>
                <w:rFonts w:hint="eastAsia" w:ascii="仿宋" w:hAnsi="仿宋" w:eastAsia="仿宋" w:cs="仿宋"/>
                <w:sz w:val="24"/>
                <w:szCs w:val="24"/>
              </w:rPr>
              <w:t>0-100</w:t>
            </w:r>
          </w:p>
        </w:tc>
        <w:tc>
          <w:tcPr>
            <w:tcW w:w="351" w:type="pct"/>
            <w:tcBorders>
              <w:top w:val="single" w:color="000000" w:sz="4" w:space="0"/>
              <w:left w:val="nil"/>
              <w:bottom w:val="single" w:color="000000" w:sz="4" w:space="0"/>
              <w:right w:val="single" w:color="000000" w:sz="4" w:space="0"/>
            </w:tcBorders>
            <w:vAlign w:val="center"/>
          </w:tcPr>
          <w:p w14:paraId="04A43321">
            <w:pPr>
              <w:rPr>
                <w:rFonts w:ascii="仿宋" w:hAnsi="仿宋" w:eastAsia="仿宋" w:cs="仿宋"/>
                <w:sz w:val="24"/>
                <w:szCs w:val="24"/>
              </w:rPr>
            </w:pPr>
            <w:r>
              <w:rPr>
                <w:rFonts w:hint="eastAsia" w:ascii="仿宋" w:hAnsi="仿宋" w:eastAsia="仿宋" w:cs="仿宋"/>
                <w:sz w:val="24"/>
                <w:szCs w:val="24"/>
              </w:rPr>
              <w:t>5%</w:t>
            </w:r>
          </w:p>
        </w:tc>
        <w:tc>
          <w:tcPr>
            <w:tcW w:w="337" w:type="pct"/>
            <w:tcBorders>
              <w:top w:val="single" w:color="000000" w:sz="4" w:space="0"/>
              <w:left w:val="nil"/>
              <w:bottom w:val="single" w:color="000000" w:sz="4" w:space="0"/>
              <w:right w:val="single" w:color="000000" w:sz="4" w:space="0"/>
            </w:tcBorders>
            <w:vAlign w:val="center"/>
          </w:tcPr>
          <w:p w14:paraId="30FA80EF">
            <w:pPr>
              <w:rPr>
                <w:rFonts w:ascii="仿宋" w:hAnsi="仿宋" w:eastAsia="仿宋" w:cs="仿宋"/>
                <w:sz w:val="24"/>
                <w:szCs w:val="24"/>
              </w:rPr>
            </w:pPr>
            <w:r>
              <w:rPr>
                <w:rFonts w:hint="eastAsia" w:ascii="仿宋" w:hAnsi="仿宋" w:eastAsia="仿宋" w:cs="仿宋"/>
                <w:sz w:val="24"/>
                <w:szCs w:val="24"/>
              </w:rPr>
              <w:t>1.5</w:t>
            </w:r>
          </w:p>
        </w:tc>
      </w:tr>
      <w:tr w14:paraId="05F257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05" w:hRule="atLeast"/>
        </w:trPr>
        <w:tc>
          <w:tcPr>
            <w:tcW w:w="267" w:type="pct"/>
            <w:tcBorders>
              <w:top w:val="single" w:color="000000" w:sz="4" w:space="0"/>
              <w:left w:val="single" w:color="000000" w:sz="4" w:space="0"/>
              <w:bottom w:val="single" w:color="000000" w:sz="4" w:space="0"/>
              <w:right w:val="single" w:color="000000" w:sz="4" w:space="0"/>
            </w:tcBorders>
            <w:vAlign w:val="center"/>
          </w:tcPr>
          <w:p w14:paraId="239F7857">
            <w:pPr>
              <w:rPr>
                <w:rFonts w:ascii="仿宋" w:hAnsi="仿宋" w:eastAsia="仿宋" w:cs="仿宋"/>
                <w:sz w:val="24"/>
                <w:szCs w:val="24"/>
              </w:rPr>
            </w:pPr>
            <w:r>
              <w:rPr>
                <w:rFonts w:hint="eastAsia" w:ascii="仿宋" w:hAnsi="仿宋" w:eastAsia="仿宋" w:cs="仿宋"/>
                <w:sz w:val="24"/>
                <w:szCs w:val="24"/>
              </w:rPr>
              <w:t>7</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38752B">
            <w:pPr>
              <w:rPr>
                <w:rFonts w:ascii="仿宋" w:hAnsi="仿宋" w:eastAsia="仿宋" w:cs="仿宋"/>
                <w:sz w:val="24"/>
                <w:szCs w:val="24"/>
              </w:rPr>
            </w:pPr>
            <w:r>
              <w:rPr>
                <w:rFonts w:hint="eastAsia" w:ascii="仿宋" w:hAnsi="仿宋" w:eastAsia="仿宋" w:cs="仿宋"/>
                <w:sz w:val="24"/>
                <w:szCs w:val="24"/>
              </w:rPr>
              <w:t>售后服务</w:t>
            </w:r>
          </w:p>
        </w:tc>
        <w:tc>
          <w:tcPr>
            <w:tcW w:w="3122" w:type="pct"/>
            <w:tcBorders>
              <w:top w:val="single" w:color="000000" w:sz="4" w:space="0"/>
              <w:left w:val="nil"/>
              <w:bottom w:val="single" w:color="000000" w:sz="4" w:space="0"/>
              <w:right w:val="single" w:color="000000" w:sz="4" w:space="0"/>
            </w:tcBorders>
            <w:shd w:val="clear" w:color="auto" w:fill="auto"/>
            <w:vAlign w:val="center"/>
          </w:tcPr>
          <w:p w14:paraId="6769E9AB">
            <w:pPr>
              <w:rPr>
                <w:rFonts w:ascii="仿宋" w:hAnsi="仿宋" w:eastAsia="仿宋" w:cs="仿宋"/>
                <w:sz w:val="24"/>
                <w:szCs w:val="24"/>
              </w:rPr>
            </w:pPr>
            <w:r>
              <w:rPr>
                <w:rFonts w:hint="eastAsia" w:ascii="仿宋" w:hAnsi="仿宋" w:eastAsia="仿宋" w:cs="仿宋"/>
                <w:spacing w:val="9"/>
                <w:sz w:val="24"/>
                <w:szCs w:val="24"/>
              </w:rPr>
              <w:t>根据供应商提供对本项目售后服务体系、售后服务方案、响应时间及承诺、服务 场所的稳定性进行综合评议。服务方案和体系能高效满足采购人需求，响应时间 短，承诺内容完善的得 60-100 分；服务方案和体系基本完整、响应时间及承诺基本 完善的得 30-60（含）分；不够完整、响应时间及承诺不够完善的得0-30（含）分； 未提供的不得分。</w:t>
            </w:r>
          </w:p>
        </w:tc>
        <w:tc>
          <w:tcPr>
            <w:tcW w:w="502" w:type="pct"/>
            <w:tcBorders>
              <w:top w:val="single" w:color="000000" w:sz="4" w:space="0"/>
              <w:left w:val="nil"/>
              <w:bottom w:val="single" w:color="000000" w:sz="4" w:space="0"/>
              <w:right w:val="single" w:color="000000" w:sz="4" w:space="0"/>
            </w:tcBorders>
            <w:shd w:val="clear" w:color="auto" w:fill="auto"/>
            <w:vAlign w:val="center"/>
          </w:tcPr>
          <w:p w14:paraId="0E4A3FB7">
            <w:pPr>
              <w:rPr>
                <w:rFonts w:ascii="仿宋" w:hAnsi="仿宋" w:eastAsia="仿宋" w:cs="仿宋"/>
                <w:sz w:val="24"/>
                <w:szCs w:val="24"/>
              </w:rPr>
            </w:pPr>
            <w:r>
              <w:rPr>
                <w:rFonts w:hint="eastAsia" w:ascii="仿宋" w:hAnsi="仿宋" w:eastAsia="仿宋" w:cs="仿宋"/>
                <w:sz w:val="24"/>
                <w:szCs w:val="24"/>
              </w:rPr>
              <w:t>0-100</w:t>
            </w:r>
          </w:p>
        </w:tc>
        <w:tc>
          <w:tcPr>
            <w:tcW w:w="351" w:type="pct"/>
            <w:tcBorders>
              <w:top w:val="single" w:color="000000" w:sz="4" w:space="0"/>
              <w:left w:val="nil"/>
              <w:bottom w:val="single" w:color="000000" w:sz="4" w:space="0"/>
              <w:right w:val="single" w:color="000000" w:sz="4" w:space="0"/>
            </w:tcBorders>
            <w:shd w:val="clear" w:color="auto" w:fill="auto"/>
            <w:vAlign w:val="center"/>
          </w:tcPr>
          <w:p w14:paraId="7FF88270">
            <w:pPr>
              <w:rPr>
                <w:rFonts w:ascii="仿宋" w:hAnsi="仿宋" w:eastAsia="仿宋" w:cs="仿宋"/>
                <w:sz w:val="24"/>
                <w:szCs w:val="24"/>
              </w:rPr>
            </w:pPr>
            <w:r>
              <w:rPr>
                <w:rFonts w:hint="eastAsia" w:ascii="仿宋" w:hAnsi="仿宋" w:eastAsia="仿宋" w:cs="仿宋"/>
                <w:sz w:val="24"/>
                <w:szCs w:val="24"/>
              </w:rPr>
              <w:t>5%</w:t>
            </w:r>
          </w:p>
        </w:tc>
        <w:tc>
          <w:tcPr>
            <w:tcW w:w="337" w:type="pct"/>
            <w:tcBorders>
              <w:top w:val="single" w:color="000000" w:sz="4" w:space="0"/>
              <w:left w:val="nil"/>
              <w:bottom w:val="single" w:color="000000" w:sz="4" w:space="0"/>
              <w:right w:val="single" w:color="000000" w:sz="4" w:space="0"/>
            </w:tcBorders>
            <w:vAlign w:val="center"/>
          </w:tcPr>
          <w:p w14:paraId="736B07CC">
            <w:pPr>
              <w:rPr>
                <w:rFonts w:ascii="仿宋" w:hAnsi="仿宋" w:eastAsia="仿宋" w:cs="仿宋"/>
                <w:sz w:val="24"/>
                <w:szCs w:val="24"/>
              </w:rPr>
            </w:pPr>
            <w:r>
              <w:rPr>
                <w:rFonts w:hint="eastAsia" w:ascii="仿宋" w:hAnsi="仿宋" w:eastAsia="仿宋" w:cs="仿宋"/>
                <w:sz w:val="24"/>
                <w:szCs w:val="24"/>
              </w:rPr>
              <w:t>1.5</w:t>
            </w:r>
          </w:p>
        </w:tc>
      </w:tr>
    </w:tbl>
    <w:p w14:paraId="4EEBE1B6">
      <w:pPr>
        <w:widowControl/>
        <w:spacing w:line="360" w:lineRule="auto"/>
        <w:jc w:val="left"/>
        <w:rPr>
          <w:rFonts w:ascii="仿宋" w:hAnsi="仿宋" w:eastAsia="仿宋" w:cs="仿宋"/>
          <w:b/>
          <w:kern w:val="0"/>
          <w:sz w:val="28"/>
          <w:szCs w:val="28"/>
        </w:rPr>
      </w:pPr>
      <w:r>
        <w:rPr>
          <w:rFonts w:hint="eastAsia" w:ascii="仿宋" w:hAnsi="仿宋" w:eastAsia="仿宋" w:cs="仿宋"/>
          <w:b/>
          <w:kern w:val="0"/>
          <w:sz w:val="28"/>
          <w:szCs w:val="28"/>
        </w:rPr>
        <w:t>十二、联系人和联系电话</w:t>
      </w:r>
    </w:p>
    <w:p w14:paraId="42D28BDE">
      <w:pPr>
        <w:widowControl/>
        <w:spacing w:line="360" w:lineRule="auto"/>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 xml:space="preserve">联系人：王峰 </w:t>
      </w:r>
    </w:p>
    <w:p w14:paraId="79568CA0">
      <w:pPr>
        <w:widowControl/>
        <w:spacing w:line="360" w:lineRule="auto"/>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联系电话：18905701680   邮箱：</w:t>
      </w:r>
      <w:r>
        <w:rPr>
          <w:rFonts w:hint="eastAsia" w:ascii="仿宋" w:hAnsi="仿宋" w:eastAsia="仿宋" w:cs="仿宋"/>
          <w:sz w:val="28"/>
          <w:szCs w:val="28"/>
        </w:rPr>
        <w:t>wangfeng@juhua.com.cn</w:t>
      </w:r>
    </w:p>
    <w:p w14:paraId="0E43E577">
      <w:pPr>
        <w:widowControl/>
        <w:jc w:val="left"/>
        <w:rPr>
          <w:rFonts w:ascii="仿宋" w:hAnsi="仿宋" w:eastAsia="仿宋" w:cs="仿宋"/>
          <w:b/>
          <w:kern w:val="0"/>
          <w:sz w:val="32"/>
          <w:szCs w:val="32"/>
        </w:rPr>
      </w:pPr>
    </w:p>
    <w:p w14:paraId="5DC6C8FD">
      <w:pPr>
        <w:widowControl/>
        <w:jc w:val="left"/>
        <w:rPr>
          <w:rFonts w:ascii="仿宋" w:hAnsi="仿宋" w:eastAsia="仿宋" w:cs="仿宋"/>
          <w:b/>
          <w:kern w:val="0"/>
          <w:sz w:val="32"/>
          <w:szCs w:val="32"/>
        </w:rPr>
      </w:pPr>
    </w:p>
    <w:p w14:paraId="2E198C0B">
      <w:pPr>
        <w:widowControl/>
        <w:jc w:val="left"/>
        <w:rPr>
          <w:rFonts w:ascii="仿宋" w:hAnsi="仿宋" w:eastAsia="仿宋" w:cs="仿宋"/>
          <w:b/>
          <w:kern w:val="0"/>
          <w:sz w:val="32"/>
          <w:szCs w:val="32"/>
        </w:rPr>
      </w:pPr>
    </w:p>
    <w:p w14:paraId="251E5EAF">
      <w:pPr>
        <w:widowControl/>
        <w:jc w:val="left"/>
        <w:rPr>
          <w:rFonts w:ascii="仿宋" w:hAnsi="仿宋" w:eastAsia="仿宋" w:cs="仿宋"/>
          <w:b/>
          <w:kern w:val="0"/>
          <w:sz w:val="32"/>
          <w:szCs w:val="32"/>
        </w:rPr>
      </w:pPr>
    </w:p>
    <w:p w14:paraId="19232D81">
      <w:pPr>
        <w:widowControl/>
        <w:jc w:val="left"/>
        <w:rPr>
          <w:rFonts w:ascii="仿宋" w:hAnsi="仿宋" w:eastAsia="仿宋" w:cs="仿宋"/>
          <w:b/>
          <w:kern w:val="0"/>
          <w:sz w:val="32"/>
          <w:szCs w:val="32"/>
        </w:rPr>
      </w:pPr>
    </w:p>
    <w:p w14:paraId="75955DBD">
      <w:pPr>
        <w:widowControl/>
        <w:jc w:val="left"/>
        <w:rPr>
          <w:rFonts w:ascii="仿宋" w:hAnsi="仿宋" w:eastAsia="仿宋" w:cs="仿宋"/>
          <w:b/>
          <w:kern w:val="0"/>
          <w:sz w:val="32"/>
          <w:szCs w:val="32"/>
        </w:rPr>
      </w:pPr>
    </w:p>
    <w:p w14:paraId="7E3A1E7B">
      <w:pPr>
        <w:widowControl/>
        <w:jc w:val="left"/>
        <w:rPr>
          <w:rFonts w:ascii="仿宋" w:hAnsi="仿宋" w:eastAsia="仿宋" w:cs="仿宋"/>
          <w:b/>
          <w:kern w:val="0"/>
          <w:sz w:val="32"/>
          <w:szCs w:val="32"/>
        </w:rPr>
      </w:pPr>
    </w:p>
    <w:p w14:paraId="16B05A95">
      <w:pPr>
        <w:widowControl/>
        <w:jc w:val="left"/>
        <w:rPr>
          <w:rFonts w:ascii="仿宋" w:hAnsi="仿宋" w:eastAsia="仿宋" w:cs="仿宋"/>
          <w:b/>
          <w:kern w:val="0"/>
          <w:sz w:val="32"/>
          <w:szCs w:val="32"/>
        </w:rPr>
      </w:pPr>
    </w:p>
    <w:p w14:paraId="068FD063">
      <w:pPr>
        <w:widowControl/>
        <w:jc w:val="left"/>
        <w:rPr>
          <w:rFonts w:ascii="仿宋" w:hAnsi="仿宋" w:eastAsia="仿宋" w:cs="仿宋"/>
          <w:b/>
          <w:kern w:val="0"/>
          <w:sz w:val="32"/>
          <w:szCs w:val="32"/>
        </w:rPr>
      </w:pPr>
    </w:p>
    <w:p w14:paraId="563A19AA">
      <w:pPr>
        <w:widowControl/>
        <w:jc w:val="left"/>
        <w:rPr>
          <w:rFonts w:ascii="仿宋" w:hAnsi="仿宋" w:eastAsia="仿宋" w:cs="仿宋"/>
          <w:b/>
          <w:kern w:val="0"/>
          <w:sz w:val="32"/>
          <w:szCs w:val="32"/>
        </w:rPr>
      </w:pPr>
    </w:p>
    <w:p w14:paraId="0DF77557">
      <w:pPr>
        <w:widowControl/>
        <w:jc w:val="left"/>
        <w:rPr>
          <w:rFonts w:ascii="仿宋" w:hAnsi="仿宋" w:eastAsia="仿宋" w:cs="仿宋"/>
          <w:b/>
          <w:kern w:val="0"/>
          <w:sz w:val="32"/>
          <w:szCs w:val="32"/>
        </w:rPr>
      </w:pPr>
    </w:p>
    <w:p w14:paraId="695D3144">
      <w:pPr>
        <w:widowControl/>
        <w:jc w:val="left"/>
        <w:rPr>
          <w:rFonts w:ascii="仿宋" w:hAnsi="仿宋" w:eastAsia="仿宋" w:cs="仿宋"/>
          <w:b/>
          <w:kern w:val="0"/>
          <w:sz w:val="32"/>
          <w:szCs w:val="32"/>
        </w:rPr>
      </w:pPr>
    </w:p>
    <w:p w14:paraId="3737F36B">
      <w:pPr>
        <w:widowControl/>
        <w:jc w:val="left"/>
        <w:rPr>
          <w:rFonts w:ascii="仿宋" w:hAnsi="仿宋" w:eastAsia="仿宋" w:cs="仿宋"/>
          <w:b/>
          <w:kern w:val="0"/>
          <w:sz w:val="32"/>
          <w:szCs w:val="32"/>
        </w:rPr>
      </w:pPr>
    </w:p>
    <w:p w14:paraId="7882110E">
      <w:pPr>
        <w:widowControl/>
        <w:jc w:val="left"/>
        <w:rPr>
          <w:rFonts w:ascii="仿宋" w:hAnsi="仿宋" w:eastAsia="仿宋" w:cs="仿宋"/>
          <w:b/>
          <w:kern w:val="0"/>
          <w:sz w:val="32"/>
          <w:szCs w:val="32"/>
        </w:rPr>
      </w:pPr>
    </w:p>
    <w:p w14:paraId="49B0CFD9">
      <w:pPr>
        <w:widowControl/>
        <w:jc w:val="left"/>
        <w:rPr>
          <w:rFonts w:ascii="仿宋" w:hAnsi="仿宋" w:eastAsia="仿宋" w:cs="仿宋"/>
          <w:b/>
          <w:kern w:val="0"/>
          <w:sz w:val="32"/>
          <w:szCs w:val="32"/>
        </w:rPr>
      </w:pPr>
    </w:p>
    <w:p w14:paraId="0A82DFE5">
      <w:pPr>
        <w:widowControl/>
        <w:jc w:val="left"/>
        <w:rPr>
          <w:rFonts w:ascii="仿宋" w:hAnsi="仿宋" w:eastAsia="仿宋" w:cs="仿宋"/>
          <w:b/>
          <w:kern w:val="0"/>
          <w:sz w:val="32"/>
          <w:szCs w:val="32"/>
        </w:rPr>
      </w:pPr>
      <w:r>
        <w:rPr>
          <w:rFonts w:hint="eastAsia" w:ascii="仿宋" w:hAnsi="仿宋" w:eastAsia="仿宋" w:cs="仿宋"/>
          <w:b/>
          <w:kern w:val="0"/>
          <w:sz w:val="32"/>
          <w:szCs w:val="32"/>
        </w:rPr>
        <w:t>附件一：报价明细表</w:t>
      </w:r>
    </w:p>
    <w:tbl>
      <w:tblPr>
        <w:tblStyle w:val="16"/>
        <w:tblW w:w="4998" w:type="pct"/>
        <w:tblInd w:w="0" w:type="dxa"/>
        <w:tblBorders>
          <w:top w:val="single" w:color="000000" w:sz="8" w:space="0"/>
          <w:left w:val="single" w:color="000000" w:sz="8" w:space="0"/>
          <w:bottom w:val="single" w:color="000000" w:sz="8" w:space="0"/>
          <w:right w:val="single" w:color="000000" w:sz="4" w:space="0"/>
          <w:insideH w:val="single" w:color="000000" w:sz="8" w:space="0"/>
          <w:insideV w:val="single" w:color="000000" w:sz="4" w:space="0"/>
        </w:tblBorders>
        <w:tblLayout w:type="fixed"/>
        <w:tblCellMar>
          <w:top w:w="0" w:type="dxa"/>
          <w:left w:w="108" w:type="dxa"/>
          <w:bottom w:w="0" w:type="dxa"/>
          <w:right w:w="108" w:type="dxa"/>
        </w:tblCellMar>
      </w:tblPr>
      <w:tblGrid>
        <w:gridCol w:w="416"/>
        <w:gridCol w:w="1176"/>
        <w:gridCol w:w="4051"/>
        <w:gridCol w:w="1263"/>
        <w:gridCol w:w="734"/>
        <w:gridCol w:w="879"/>
      </w:tblGrid>
      <w:tr w14:paraId="79B672B9">
        <w:tblPrEx>
          <w:tblBorders>
            <w:top w:val="single" w:color="000000" w:sz="8" w:space="0"/>
            <w:left w:val="single" w:color="000000" w:sz="8" w:space="0"/>
            <w:bottom w:val="single" w:color="000000" w:sz="8" w:space="0"/>
            <w:right w:val="single" w:color="000000" w:sz="4" w:space="0"/>
            <w:insideH w:val="single" w:color="000000" w:sz="8" w:space="0"/>
            <w:insideV w:val="single" w:color="000000" w:sz="4" w:space="0"/>
          </w:tblBorders>
          <w:tblCellMar>
            <w:top w:w="0" w:type="dxa"/>
            <w:left w:w="108" w:type="dxa"/>
            <w:bottom w:w="0" w:type="dxa"/>
            <w:right w:w="108" w:type="dxa"/>
          </w:tblCellMar>
        </w:tblPrEx>
        <w:trPr>
          <w:trHeight w:val="285" w:hRule="atLeast"/>
        </w:trPr>
        <w:tc>
          <w:tcPr>
            <w:tcW w:w="244" w:type="pct"/>
            <w:tcBorders>
              <w:tl2br w:val="nil"/>
              <w:tr2bl w:val="nil"/>
            </w:tcBorders>
            <w:shd w:val="clear" w:color="FFFFFF" w:fill="FFFFFF"/>
            <w:vAlign w:val="center"/>
          </w:tcPr>
          <w:p w14:paraId="0C88204E">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序号</w:t>
            </w:r>
          </w:p>
        </w:tc>
        <w:tc>
          <w:tcPr>
            <w:tcW w:w="690" w:type="pct"/>
            <w:tcBorders>
              <w:tl2br w:val="nil"/>
              <w:tr2bl w:val="nil"/>
            </w:tcBorders>
            <w:shd w:val="clear" w:color="FFFFFF" w:fill="FFFFFF"/>
            <w:vAlign w:val="center"/>
          </w:tcPr>
          <w:p w14:paraId="019CDADE">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项目名称</w:t>
            </w:r>
          </w:p>
        </w:tc>
        <w:tc>
          <w:tcPr>
            <w:tcW w:w="2377" w:type="pct"/>
            <w:tcBorders>
              <w:tl2br w:val="nil"/>
              <w:tr2bl w:val="nil"/>
            </w:tcBorders>
            <w:shd w:val="clear" w:color="FFFFFF" w:fill="FFFFFF"/>
            <w:vAlign w:val="center"/>
          </w:tcPr>
          <w:p w14:paraId="5EF9C523">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项目特征</w:t>
            </w:r>
          </w:p>
        </w:tc>
        <w:tc>
          <w:tcPr>
            <w:tcW w:w="741" w:type="pct"/>
            <w:tcBorders>
              <w:tl2br w:val="nil"/>
              <w:tr2bl w:val="nil"/>
            </w:tcBorders>
            <w:shd w:val="clear" w:color="FFFFFF" w:fill="FFFFFF"/>
            <w:vAlign w:val="center"/>
          </w:tcPr>
          <w:p w14:paraId="64073791">
            <w:pPr>
              <w:rPr>
                <w:rFonts w:ascii="仿宋" w:hAnsi="仿宋" w:eastAsia="仿宋" w:cs="仿宋"/>
                <w:sz w:val="20"/>
                <w:szCs w:val="20"/>
              </w:rPr>
            </w:pPr>
            <w:r>
              <w:rPr>
                <w:rFonts w:hint="eastAsia" w:ascii="仿宋" w:hAnsi="仿宋" w:eastAsia="仿宋" w:cs="仿宋"/>
                <w:sz w:val="20"/>
                <w:szCs w:val="20"/>
              </w:rPr>
              <w:t>品牌型号</w:t>
            </w:r>
          </w:p>
        </w:tc>
        <w:tc>
          <w:tcPr>
            <w:tcW w:w="430" w:type="pct"/>
            <w:tcBorders>
              <w:tl2br w:val="nil"/>
              <w:tr2bl w:val="nil"/>
            </w:tcBorders>
            <w:shd w:val="clear" w:color="FFFFFF" w:fill="FFFFFF"/>
            <w:vAlign w:val="center"/>
          </w:tcPr>
          <w:p w14:paraId="7E5992A7">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计量单位</w:t>
            </w:r>
          </w:p>
        </w:tc>
        <w:tc>
          <w:tcPr>
            <w:tcW w:w="515" w:type="pct"/>
            <w:tcBorders>
              <w:tl2br w:val="nil"/>
              <w:tr2bl w:val="nil"/>
            </w:tcBorders>
            <w:shd w:val="clear" w:color="FFFFFF" w:fill="FFFFFF"/>
            <w:vAlign w:val="center"/>
          </w:tcPr>
          <w:p w14:paraId="253BF6B6">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工程量</w:t>
            </w:r>
          </w:p>
        </w:tc>
      </w:tr>
      <w:tr w14:paraId="29C1A1B6">
        <w:tblPrEx>
          <w:tblBorders>
            <w:top w:val="single" w:color="000000" w:sz="8" w:space="0"/>
            <w:left w:val="single" w:color="000000" w:sz="8" w:space="0"/>
            <w:bottom w:val="single" w:color="000000" w:sz="8" w:space="0"/>
            <w:right w:val="single" w:color="000000" w:sz="4" w:space="0"/>
            <w:insideH w:val="single" w:color="000000" w:sz="8" w:space="0"/>
            <w:insideV w:val="single" w:color="000000" w:sz="4" w:space="0"/>
          </w:tblBorders>
          <w:tblCellMar>
            <w:top w:w="0" w:type="dxa"/>
            <w:left w:w="108" w:type="dxa"/>
            <w:bottom w:w="0" w:type="dxa"/>
            <w:right w:w="108" w:type="dxa"/>
          </w:tblCellMar>
        </w:tblPrEx>
        <w:trPr>
          <w:trHeight w:val="285" w:hRule="atLeast"/>
        </w:trPr>
        <w:tc>
          <w:tcPr>
            <w:tcW w:w="244" w:type="pct"/>
            <w:tcBorders>
              <w:tl2br w:val="nil"/>
              <w:tr2bl w:val="nil"/>
            </w:tcBorders>
            <w:shd w:val="clear" w:color="FFFFFF" w:fill="FFFFFF"/>
            <w:vAlign w:val="center"/>
          </w:tcPr>
          <w:p w14:paraId="77744D73">
            <w:pPr>
              <w:jc w:val="right"/>
              <w:rPr>
                <w:rFonts w:ascii="仿宋" w:hAnsi="仿宋" w:eastAsia="仿宋" w:cs="仿宋"/>
                <w:sz w:val="20"/>
                <w:szCs w:val="20"/>
              </w:rPr>
            </w:pPr>
          </w:p>
        </w:tc>
        <w:tc>
          <w:tcPr>
            <w:tcW w:w="690" w:type="pct"/>
            <w:tcBorders>
              <w:tl2br w:val="nil"/>
              <w:tr2bl w:val="nil"/>
            </w:tcBorders>
            <w:shd w:val="clear" w:color="FFFFFF" w:fill="FFFFFF"/>
            <w:vAlign w:val="center"/>
          </w:tcPr>
          <w:p w14:paraId="03FC7806">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停车管理系统</w:t>
            </w:r>
          </w:p>
        </w:tc>
        <w:tc>
          <w:tcPr>
            <w:tcW w:w="2377" w:type="pct"/>
            <w:tcBorders>
              <w:tl2br w:val="nil"/>
              <w:tr2bl w:val="nil"/>
            </w:tcBorders>
            <w:shd w:val="clear" w:color="FFFFFF" w:fill="FFFFFF"/>
            <w:vAlign w:val="center"/>
          </w:tcPr>
          <w:p w14:paraId="526E0BFD">
            <w:pPr>
              <w:jc w:val="left"/>
              <w:rPr>
                <w:rFonts w:ascii="仿宋" w:hAnsi="仿宋" w:eastAsia="仿宋" w:cs="仿宋"/>
                <w:sz w:val="20"/>
                <w:szCs w:val="20"/>
              </w:rPr>
            </w:pPr>
          </w:p>
        </w:tc>
        <w:tc>
          <w:tcPr>
            <w:tcW w:w="741" w:type="pct"/>
            <w:tcBorders>
              <w:tl2br w:val="nil"/>
              <w:tr2bl w:val="nil"/>
            </w:tcBorders>
            <w:shd w:val="clear" w:color="FFFFFF" w:fill="FFFFFF"/>
            <w:vAlign w:val="center"/>
          </w:tcPr>
          <w:p w14:paraId="2424C03E">
            <w:pPr>
              <w:jc w:val="left"/>
              <w:rPr>
                <w:rFonts w:ascii="仿宋" w:hAnsi="仿宋" w:eastAsia="仿宋" w:cs="仿宋"/>
                <w:sz w:val="20"/>
                <w:szCs w:val="20"/>
              </w:rPr>
            </w:pPr>
          </w:p>
        </w:tc>
        <w:tc>
          <w:tcPr>
            <w:tcW w:w="430" w:type="pct"/>
            <w:tcBorders>
              <w:tl2br w:val="nil"/>
              <w:tr2bl w:val="nil"/>
            </w:tcBorders>
            <w:shd w:val="clear" w:color="FFFFFF" w:fill="FFFFFF"/>
            <w:vAlign w:val="center"/>
          </w:tcPr>
          <w:p w14:paraId="4B959176">
            <w:pPr>
              <w:jc w:val="center"/>
              <w:rPr>
                <w:rFonts w:ascii="仿宋" w:hAnsi="仿宋" w:eastAsia="仿宋" w:cs="仿宋"/>
                <w:sz w:val="20"/>
                <w:szCs w:val="20"/>
              </w:rPr>
            </w:pPr>
          </w:p>
        </w:tc>
        <w:tc>
          <w:tcPr>
            <w:tcW w:w="515" w:type="pct"/>
            <w:tcBorders>
              <w:tl2br w:val="nil"/>
              <w:tr2bl w:val="nil"/>
            </w:tcBorders>
            <w:shd w:val="clear" w:color="FFFFFF" w:fill="FFFFFF"/>
            <w:vAlign w:val="center"/>
          </w:tcPr>
          <w:p w14:paraId="45474B26">
            <w:pPr>
              <w:jc w:val="center"/>
              <w:rPr>
                <w:rFonts w:ascii="仿宋" w:hAnsi="仿宋" w:eastAsia="仿宋" w:cs="仿宋"/>
                <w:sz w:val="20"/>
                <w:szCs w:val="20"/>
              </w:rPr>
            </w:pPr>
          </w:p>
        </w:tc>
      </w:tr>
      <w:tr w14:paraId="25935707">
        <w:tblPrEx>
          <w:tblBorders>
            <w:top w:val="single" w:color="000000" w:sz="8" w:space="0"/>
            <w:left w:val="single" w:color="000000" w:sz="8" w:space="0"/>
            <w:bottom w:val="single" w:color="000000" w:sz="8" w:space="0"/>
            <w:right w:val="single" w:color="000000" w:sz="4" w:space="0"/>
            <w:insideH w:val="single" w:color="000000" w:sz="8" w:space="0"/>
            <w:insideV w:val="single" w:color="000000" w:sz="4" w:space="0"/>
          </w:tblBorders>
          <w:tblCellMar>
            <w:top w:w="0" w:type="dxa"/>
            <w:left w:w="108" w:type="dxa"/>
            <w:bottom w:w="0" w:type="dxa"/>
            <w:right w:w="108" w:type="dxa"/>
          </w:tblCellMar>
        </w:tblPrEx>
        <w:trPr>
          <w:trHeight w:val="960" w:hRule="atLeast"/>
        </w:trPr>
        <w:tc>
          <w:tcPr>
            <w:tcW w:w="244" w:type="pct"/>
            <w:tcBorders>
              <w:tl2br w:val="nil"/>
              <w:tr2bl w:val="nil"/>
            </w:tcBorders>
            <w:shd w:val="clear" w:color="FFFFFF" w:fill="FFFFFF"/>
            <w:vAlign w:val="center"/>
          </w:tcPr>
          <w:p w14:paraId="0D1E93DB">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1</w:t>
            </w:r>
          </w:p>
        </w:tc>
        <w:tc>
          <w:tcPr>
            <w:tcW w:w="690" w:type="pct"/>
            <w:tcBorders>
              <w:tl2br w:val="nil"/>
              <w:tr2bl w:val="nil"/>
            </w:tcBorders>
            <w:shd w:val="clear" w:color="FFFFFF" w:fill="FFFFFF"/>
            <w:vAlign w:val="center"/>
          </w:tcPr>
          <w:p w14:paraId="662AA35C">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路由器</w:t>
            </w:r>
          </w:p>
        </w:tc>
        <w:tc>
          <w:tcPr>
            <w:tcW w:w="2377" w:type="pct"/>
            <w:tcBorders>
              <w:tl2br w:val="nil"/>
              <w:tr2bl w:val="nil"/>
            </w:tcBorders>
            <w:shd w:val="clear" w:color="FFFFFF" w:fill="FFFFFF"/>
            <w:vAlign w:val="center"/>
          </w:tcPr>
          <w:p w14:paraId="019F4D78">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 xml:space="preserve">1、名称：千兆路由器 含安装、调试   </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2、型号规格：6口全千兆路由器   3、机架式，固化3个千兆电口，1个combo口，1个千兆级联口，推荐带终端数250台，推荐带宽1000Mbps，内置AC功能，</w:t>
            </w:r>
          </w:p>
        </w:tc>
        <w:tc>
          <w:tcPr>
            <w:tcW w:w="741" w:type="pct"/>
            <w:tcBorders>
              <w:tl2br w:val="nil"/>
              <w:tr2bl w:val="nil"/>
            </w:tcBorders>
            <w:shd w:val="clear" w:color="FFFFFF" w:fill="FFFFFF"/>
            <w:vAlign w:val="center"/>
          </w:tcPr>
          <w:p w14:paraId="36A2751A">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TP-LINK TL-ER3220R</w:t>
            </w:r>
          </w:p>
        </w:tc>
        <w:tc>
          <w:tcPr>
            <w:tcW w:w="430" w:type="pct"/>
            <w:tcBorders>
              <w:tl2br w:val="nil"/>
              <w:tr2bl w:val="nil"/>
            </w:tcBorders>
            <w:shd w:val="clear" w:color="FFFFFF" w:fill="FFFFFF"/>
            <w:vAlign w:val="center"/>
          </w:tcPr>
          <w:p w14:paraId="4A3691E5">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台</w:t>
            </w:r>
          </w:p>
        </w:tc>
        <w:tc>
          <w:tcPr>
            <w:tcW w:w="515" w:type="pct"/>
            <w:tcBorders>
              <w:tl2br w:val="nil"/>
              <w:tr2bl w:val="nil"/>
            </w:tcBorders>
            <w:shd w:val="clear" w:color="FFFFFF" w:fill="FFFFFF"/>
            <w:vAlign w:val="center"/>
          </w:tcPr>
          <w:p w14:paraId="4D70FA45">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 xml:space="preserve">1.00 </w:t>
            </w:r>
          </w:p>
        </w:tc>
      </w:tr>
      <w:tr w14:paraId="35CF39BE">
        <w:tblPrEx>
          <w:tblBorders>
            <w:top w:val="single" w:color="000000" w:sz="8" w:space="0"/>
            <w:left w:val="single" w:color="000000" w:sz="8" w:space="0"/>
            <w:bottom w:val="single" w:color="000000" w:sz="8" w:space="0"/>
            <w:right w:val="single" w:color="000000" w:sz="4" w:space="0"/>
            <w:insideH w:val="single" w:color="000000" w:sz="8" w:space="0"/>
            <w:insideV w:val="single" w:color="000000" w:sz="4" w:space="0"/>
          </w:tblBorders>
          <w:tblCellMar>
            <w:top w:w="0" w:type="dxa"/>
            <w:left w:w="108" w:type="dxa"/>
            <w:bottom w:w="0" w:type="dxa"/>
            <w:right w:w="108" w:type="dxa"/>
          </w:tblCellMar>
        </w:tblPrEx>
        <w:trPr>
          <w:trHeight w:val="480" w:hRule="atLeast"/>
        </w:trPr>
        <w:tc>
          <w:tcPr>
            <w:tcW w:w="244" w:type="pct"/>
            <w:tcBorders>
              <w:tl2br w:val="nil"/>
              <w:tr2bl w:val="nil"/>
            </w:tcBorders>
            <w:shd w:val="clear" w:color="FFFFFF" w:fill="FFFFFF"/>
            <w:vAlign w:val="center"/>
          </w:tcPr>
          <w:p w14:paraId="6142231E">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2</w:t>
            </w:r>
          </w:p>
        </w:tc>
        <w:tc>
          <w:tcPr>
            <w:tcW w:w="690" w:type="pct"/>
            <w:tcBorders>
              <w:tl2br w:val="nil"/>
              <w:tr2bl w:val="nil"/>
            </w:tcBorders>
            <w:shd w:val="clear" w:color="FFFFFF" w:fill="FFFFFF"/>
            <w:vAlign w:val="center"/>
          </w:tcPr>
          <w:p w14:paraId="15AE9F24">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交换机</w:t>
            </w:r>
          </w:p>
        </w:tc>
        <w:tc>
          <w:tcPr>
            <w:tcW w:w="2377" w:type="pct"/>
            <w:tcBorders>
              <w:tl2br w:val="nil"/>
              <w:tr2bl w:val="nil"/>
            </w:tcBorders>
            <w:shd w:val="clear" w:color="FFFFFF" w:fill="FFFFFF"/>
            <w:vAlign w:val="center"/>
          </w:tcPr>
          <w:p w14:paraId="23F2CB57">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 xml:space="preserve">1、名称：千兆管理交换机  含安装、调试   </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2、型号规格：24口千兆电口</w:t>
            </w:r>
          </w:p>
        </w:tc>
        <w:tc>
          <w:tcPr>
            <w:tcW w:w="741" w:type="pct"/>
            <w:tcBorders>
              <w:tl2br w:val="nil"/>
              <w:tr2bl w:val="nil"/>
            </w:tcBorders>
            <w:shd w:val="clear" w:color="FFFFFF" w:fill="FFFFFF"/>
            <w:vAlign w:val="center"/>
          </w:tcPr>
          <w:p w14:paraId="5F472358">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华为 S100-24TR</w:t>
            </w:r>
          </w:p>
        </w:tc>
        <w:tc>
          <w:tcPr>
            <w:tcW w:w="430" w:type="pct"/>
            <w:tcBorders>
              <w:tl2br w:val="nil"/>
              <w:tr2bl w:val="nil"/>
            </w:tcBorders>
            <w:shd w:val="clear" w:color="FFFFFF" w:fill="FFFFFF"/>
            <w:vAlign w:val="center"/>
          </w:tcPr>
          <w:p w14:paraId="4CAE09A8">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台</w:t>
            </w:r>
          </w:p>
        </w:tc>
        <w:tc>
          <w:tcPr>
            <w:tcW w:w="515" w:type="pct"/>
            <w:tcBorders>
              <w:tl2br w:val="nil"/>
              <w:tr2bl w:val="nil"/>
            </w:tcBorders>
            <w:shd w:val="clear" w:color="FFFFFF" w:fill="FFFFFF"/>
            <w:vAlign w:val="center"/>
          </w:tcPr>
          <w:p w14:paraId="3642055C">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 xml:space="preserve">2.00 </w:t>
            </w:r>
          </w:p>
        </w:tc>
      </w:tr>
      <w:tr w14:paraId="50AD81AC">
        <w:tblPrEx>
          <w:tblBorders>
            <w:top w:val="single" w:color="000000" w:sz="8" w:space="0"/>
            <w:left w:val="single" w:color="000000" w:sz="8" w:space="0"/>
            <w:bottom w:val="single" w:color="000000" w:sz="8" w:space="0"/>
            <w:right w:val="single" w:color="000000" w:sz="4" w:space="0"/>
            <w:insideH w:val="single" w:color="000000" w:sz="8" w:space="0"/>
            <w:insideV w:val="single" w:color="000000" w:sz="4" w:space="0"/>
          </w:tblBorders>
          <w:tblCellMar>
            <w:top w:w="0" w:type="dxa"/>
            <w:left w:w="108" w:type="dxa"/>
            <w:bottom w:w="0" w:type="dxa"/>
            <w:right w:w="108" w:type="dxa"/>
          </w:tblCellMar>
        </w:tblPrEx>
        <w:trPr>
          <w:trHeight w:val="3120" w:hRule="atLeast"/>
        </w:trPr>
        <w:tc>
          <w:tcPr>
            <w:tcW w:w="244" w:type="pct"/>
            <w:tcBorders>
              <w:tl2br w:val="nil"/>
              <w:tr2bl w:val="nil"/>
            </w:tcBorders>
            <w:shd w:val="clear" w:color="FFFFFF" w:fill="FFFFFF"/>
            <w:vAlign w:val="center"/>
          </w:tcPr>
          <w:p w14:paraId="40D19081">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3</w:t>
            </w:r>
          </w:p>
        </w:tc>
        <w:tc>
          <w:tcPr>
            <w:tcW w:w="690" w:type="pct"/>
            <w:tcBorders>
              <w:tl2br w:val="nil"/>
              <w:tr2bl w:val="nil"/>
            </w:tcBorders>
            <w:shd w:val="clear" w:color="FFFFFF" w:fill="FFFFFF"/>
            <w:vAlign w:val="center"/>
          </w:tcPr>
          <w:p w14:paraId="37E7399A">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收发器机架式机槽</w:t>
            </w:r>
          </w:p>
        </w:tc>
        <w:tc>
          <w:tcPr>
            <w:tcW w:w="2377" w:type="pct"/>
            <w:tcBorders>
              <w:tl2br w:val="nil"/>
              <w:tr2bl w:val="nil"/>
            </w:tcBorders>
            <w:shd w:val="clear" w:color="FFFFFF" w:fill="FFFFFF"/>
            <w:vAlign w:val="center"/>
          </w:tcPr>
          <w:p w14:paraId="16D27FD7">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14槽位机架式光收发器</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1.主、备电源配置保证系统不间断工作</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2.支持AC220V和DC-48V两种供电方式，使系统适用于多种工作环境</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3.支持多种型号速率的模块卡同时工作，极大地提高了系统的适用性</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4.支持插入14个独立式光纤收发器，每个光收发器可以不同类型</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5.每个式光纤收发器独立插拔</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6.电源保护：过压保护，过流保护，短路保护</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7.结构设计，精巧美观，良好通风导热性设计</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8.支持双纤多模、双纤单模和单纤单模多种光纤口选择</w:t>
            </w:r>
          </w:p>
        </w:tc>
        <w:tc>
          <w:tcPr>
            <w:tcW w:w="741" w:type="pct"/>
            <w:tcBorders>
              <w:tl2br w:val="nil"/>
              <w:tr2bl w:val="nil"/>
            </w:tcBorders>
            <w:shd w:val="clear" w:color="FFFFFF" w:fill="FFFFFF"/>
            <w:vAlign w:val="center"/>
          </w:tcPr>
          <w:p w14:paraId="666CE93B">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国产 定制</w:t>
            </w:r>
          </w:p>
        </w:tc>
        <w:tc>
          <w:tcPr>
            <w:tcW w:w="430" w:type="pct"/>
            <w:tcBorders>
              <w:tl2br w:val="nil"/>
              <w:tr2bl w:val="nil"/>
            </w:tcBorders>
            <w:shd w:val="clear" w:color="FFFFFF" w:fill="FFFFFF"/>
            <w:vAlign w:val="center"/>
          </w:tcPr>
          <w:p w14:paraId="67845EDF">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台</w:t>
            </w:r>
          </w:p>
        </w:tc>
        <w:tc>
          <w:tcPr>
            <w:tcW w:w="515" w:type="pct"/>
            <w:tcBorders>
              <w:tl2br w:val="nil"/>
              <w:tr2bl w:val="nil"/>
            </w:tcBorders>
            <w:shd w:val="clear" w:color="FFFFFF" w:fill="FFFFFF"/>
            <w:vAlign w:val="center"/>
          </w:tcPr>
          <w:p w14:paraId="48A26F25">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 xml:space="preserve">2.00 </w:t>
            </w:r>
          </w:p>
        </w:tc>
      </w:tr>
      <w:tr w14:paraId="582CA2D7">
        <w:tblPrEx>
          <w:tblBorders>
            <w:top w:val="single" w:color="000000" w:sz="8" w:space="0"/>
            <w:left w:val="single" w:color="000000" w:sz="8" w:space="0"/>
            <w:bottom w:val="single" w:color="000000" w:sz="8" w:space="0"/>
            <w:right w:val="single" w:color="000000" w:sz="4" w:space="0"/>
            <w:insideH w:val="single" w:color="000000" w:sz="8" w:space="0"/>
            <w:insideV w:val="single" w:color="000000" w:sz="4" w:space="0"/>
          </w:tblBorders>
          <w:tblCellMar>
            <w:top w:w="0" w:type="dxa"/>
            <w:left w:w="108" w:type="dxa"/>
            <w:bottom w:w="0" w:type="dxa"/>
            <w:right w:w="108" w:type="dxa"/>
          </w:tblCellMar>
        </w:tblPrEx>
        <w:trPr>
          <w:trHeight w:val="1200" w:hRule="atLeast"/>
        </w:trPr>
        <w:tc>
          <w:tcPr>
            <w:tcW w:w="244" w:type="pct"/>
            <w:tcBorders>
              <w:tl2br w:val="nil"/>
              <w:tr2bl w:val="nil"/>
            </w:tcBorders>
            <w:shd w:val="clear" w:color="FFFFFF" w:fill="FFFFFF"/>
            <w:vAlign w:val="center"/>
          </w:tcPr>
          <w:p w14:paraId="40106B6F">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4</w:t>
            </w:r>
          </w:p>
        </w:tc>
        <w:tc>
          <w:tcPr>
            <w:tcW w:w="690" w:type="pct"/>
            <w:tcBorders>
              <w:tl2br w:val="nil"/>
              <w:tr2bl w:val="nil"/>
            </w:tcBorders>
            <w:shd w:val="clear" w:color="FFFFFF" w:fill="FFFFFF"/>
            <w:vAlign w:val="center"/>
          </w:tcPr>
          <w:p w14:paraId="15F13807">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插座</w:t>
            </w:r>
          </w:p>
        </w:tc>
        <w:tc>
          <w:tcPr>
            <w:tcW w:w="2377" w:type="pct"/>
            <w:tcBorders>
              <w:tl2br w:val="nil"/>
              <w:tr2bl w:val="nil"/>
            </w:tcBorders>
            <w:shd w:val="clear" w:color="FFFFFF" w:fill="FFFFFF"/>
            <w:vAlign w:val="center"/>
          </w:tcPr>
          <w:p w14:paraId="7BF2F297">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 xml:space="preserve">1、名称：机架式 PDU  含安装、调试   </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2、规格型号：</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 xml:space="preserve">3、技术参数：插座 </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国标，220V10A   10孔标准PDU，机架式安装，含安装</w:t>
            </w:r>
          </w:p>
        </w:tc>
        <w:tc>
          <w:tcPr>
            <w:tcW w:w="741" w:type="pct"/>
            <w:tcBorders>
              <w:tl2br w:val="nil"/>
              <w:tr2bl w:val="nil"/>
            </w:tcBorders>
            <w:shd w:val="clear" w:color="FFFFFF" w:fill="FFFFFF"/>
            <w:vAlign w:val="center"/>
          </w:tcPr>
          <w:p w14:paraId="3CBA8B96">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国产 定制</w:t>
            </w:r>
          </w:p>
        </w:tc>
        <w:tc>
          <w:tcPr>
            <w:tcW w:w="430" w:type="pct"/>
            <w:tcBorders>
              <w:tl2br w:val="nil"/>
              <w:tr2bl w:val="nil"/>
            </w:tcBorders>
            <w:shd w:val="clear" w:color="FFFFFF" w:fill="FFFFFF"/>
            <w:vAlign w:val="center"/>
          </w:tcPr>
          <w:p w14:paraId="7005C65E">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个</w:t>
            </w:r>
          </w:p>
        </w:tc>
        <w:tc>
          <w:tcPr>
            <w:tcW w:w="515" w:type="pct"/>
            <w:tcBorders>
              <w:tl2br w:val="nil"/>
              <w:tr2bl w:val="nil"/>
            </w:tcBorders>
            <w:shd w:val="clear" w:color="FFFFFF" w:fill="FFFFFF"/>
            <w:vAlign w:val="center"/>
          </w:tcPr>
          <w:p w14:paraId="6A946FA7">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 xml:space="preserve">2.00 </w:t>
            </w:r>
          </w:p>
        </w:tc>
      </w:tr>
      <w:tr w14:paraId="36895BD0">
        <w:tblPrEx>
          <w:tblBorders>
            <w:top w:val="single" w:color="000000" w:sz="8" w:space="0"/>
            <w:left w:val="single" w:color="000000" w:sz="8" w:space="0"/>
            <w:bottom w:val="single" w:color="000000" w:sz="8" w:space="0"/>
            <w:right w:val="single" w:color="000000" w:sz="4" w:space="0"/>
            <w:insideH w:val="single" w:color="000000" w:sz="8" w:space="0"/>
            <w:insideV w:val="single" w:color="000000" w:sz="4" w:space="0"/>
          </w:tblBorders>
          <w:tblCellMar>
            <w:top w:w="0" w:type="dxa"/>
            <w:left w:w="108" w:type="dxa"/>
            <w:bottom w:w="0" w:type="dxa"/>
            <w:right w:w="108" w:type="dxa"/>
          </w:tblCellMar>
        </w:tblPrEx>
        <w:trPr>
          <w:trHeight w:val="1200" w:hRule="atLeast"/>
        </w:trPr>
        <w:tc>
          <w:tcPr>
            <w:tcW w:w="244" w:type="pct"/>
            <w:tcBorders>
              <w:tl2br w:val="nil"/>
              <w:tr2bl w:val="nil"/>
            </w:tcBorders>
            <w:shd w:val="clear" w:color="FFFFFF" w:fill="FFFFFF"/>
            <w:vAlign w:val="center"/>
          </w:tcPr>
          <w:p w14:paraId="1BBF6590">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5</w:t>
            </w:r>
          </w:p>
        </w:tc>
        <w:tc>
          <w:tcPr>
            <w:tcW w:w="690" w:type="pct"/>
            <w:tcBorders>
              <w:tl2br w:val="nil"/>
              <w:tr2bl w:val="nil"/>
            </w:tcBorders>
            <w:shd w:val="clear" w:color="FFFFFF" w:fill="FFFFFF"/>
            <w:vAlign w:val="center"/>
          </w:tcPr>
          <w:p w14:paraId="1068BB82">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机柜、机架</w:t>
            </w:r>
          </w:p>
        </w:tc>
        <w:tc>
          <w:tcPr>
            <w:tcW w:w="2377" w:type="pct"/>
            <w:tcBorders>
              <w:tl2br w:val="nil"/>
              <w:tr2bl w:val="nil"/>
            </w:tcBorders>
            <w:shd w:val="clear" w:color="FFFFFF" w:fill="FFFFFF"/>
            <w:vAlign w:val="center"/>
          </w:tcPr>
          <w:p w14:paraId="7257E999">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1、名称：设备机柜</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2、规格型号：1.2米国标</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3、技术参数：1、国标19英寸机柜；2、机柜规格600*600*1200MM；3、采用冷轧镀锌钢板材质，，壁厚2.0MM</w:t>
            </w:r>
          </w:p>
        </w:tc>
        <w:tc>
          <w:tcPr>
            <w:tcW w:w="741" w:type="pct"/>
            <w:tcBorders>
              <w:tl2br w:val="nil"/>
              <w:tr2bl w:val="nil"/>
            </w:tcBorders>
            <w:shd w:val="clear" w:color="FFFFFF" w:fill="FFFFFF"/>
            <w:vAlign w:val="center"/>
          </w:tcPr>
          <w:p w14:paraId="49591C1C">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国产 定制</w:t>
            </w:r>
          </w:p>
        </w:tc>
        <w:tc>
          <w:tcPr>
            <w:tcW w:w="430" w:type="pct"/>
            <w:tcBorders>
              <w:tl2br w:val="nil"/>
              <w:tr2bl w:val="nil"/>
            </w:tcBorders>
            <w:shd w:val="clear" w:color="FFFFFF" w:fill="FFFFFF"/>
            <w:vAlign w:val="center"/>
          </w:tcPr>
          <w:p w14:paraId="78A70EB3">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台</w:t>
            </w:r>
          </w:p>
        </w:tc>
        <w:tc>
          <w:tcPr>
            <w:tcW w:w="515" w:type="pct"/>
            <w:tcBorders>
              <w:tl2br w:val="nil"/>
              <w:tr2bl w:val="nil"/>
            </w:tcBorders>
            <w:shd w:val="clear" w:color="FFFFFF" w:fill="FFFFFF"/>
            <w:vAlign w:val="center"/>
          </w:tcPr>
          <w:p w14:paraId="57500A60">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 xml:space="preserve">1.00 </w:t>
            </w:r>
          </w:p>
        </w:tc>
      </w:tr>
      <w:tr w14:paraId="5DCDF51B">
        <w:tblPrEx>
          <w:tblBorders>
            <w:top w:val="single" w:color="000000" w:sz="8" w:space="0"/>
            <w:left w:val="single" w:color="000000" w:sz="8" w:space="0"/>
            <w:bottom w:val="single" w:color="000000" w:sz="8" w:space="0"/>
            <w:right w:val="single" w:color="000000" w:sz="4" w:space="0"/>
            <w:insideH w:val="single" w:color="000000" w:sz="8" w:space="0"/>
            <w:insideV w:val="single" w:color="000000" w:sz="4" w:space="0"/>
          </w:tblBorders>
          <w:tblCellMar>
            <w:top w:w="0" w:type="dxa"/>
            <w:left w:w="108" w:type="dxa"/>
            <w:bottom w:w="0" w:type="dxa"/>
            <w:right w:w="108" w:type="dxa"/>
          </w:tblCellMar>
        </w:tblPrEx>
        <w:trPr>
          <w:trHeight w:val="720" w:hRule="atLeast"/>
        </w:trPr>
        <w:tc>
          <w:tcPr>
            <w:tcW w:w="244" w:type="pct"/>
            <w:tcBorders>
              <w:tl2br w:val="nil"/>
              <w:tr2bl w:val="nil"/>
            </w:tcBorders>
            <w:shd w:val="clear" w:color="FFFFFF" w:fill="FFFFFF"/>
            <w:vAlign w:val="center"/>
          </w:tcPr>
          <w:p w14:paraId="2476359D">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6</w:t>
            </w:r>
          </w:p>
        </w:tc>
        <w:tc>
          <w:tcPr>
            <w:tcW w:w="690" w:type="pct"/>
            <w:tcBorders>
              <w:tl2br w:val="nil"/>
              <w:tr2bl w:val="nil"/>
            </w:tcBorders>
            <w:shd w:val="clear" w:color="FFFFFF" w:fill="FFFFFF"/>
            <w:vAlign w:val="center"/>
          </w:tcPr>
          <w:p w14:paraId="40B105AF">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光缆</w:t>
            </w:r>
          </w:p>
        </w:tc>
        <w:tc>
          <w:tcPr>
            <w:tcW w:w="2377" w:type="pct"/>
            <w:tcBorders>
              <w:tl2br w:val="nil"/>
              <w:tr2bl w:val="nil"/>
            </w:tcBorders>
            <w:shd w:val="clear" w:color="FFFFFF" w:fill="FFFFFF"/>
            <w:vAlign w:val="center"/>
          </w:tcPr>
          <w:p w14:paraId="1BB932C3">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 xml:space="preserve">1、名称：室外铠装光缆  含安装、调试   </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2、规格型号：单模6芯</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3、技术参数：光缆</w:t>
            </w:r>
          </w:p>
        </w:tc>
        <w:tc>
          <w:tcPr>
            <w:tcW w:w="741" w:type="pct"/>
            <w:tcBorders>
              <w:tl2br w:val="nil"/>
              <w:tr2bl w:val="nil"/>
            </w:tcBorders>
            <w:shd w:val="clear" w:color="FFFFFF" w:fill="FFFFFF"/>
            <w:vAlign w:val="center"/>
          </w:tcPr>
          <w:p w14:paraId="7AE47EA8">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国产 定制</w:t>
            </w:r>
          </w:p>
        </w:tc>
        <w:tc>
          <w:tcPr>
            <w:tcW w:w="430" w:type="pct"/>
            <w:tcBorders>
              <w:tl2br w:val="nil"/>
              <w:tr2bl w:val="nil"/>
            </w:tcBorders>
            <w:shd w:val="clear" w:color="FFFFFF" w:fill="FFFFFF"/>
            <w:vAlign w:val="center"/>
          </w:tcPr>
          <w:p w14:paraId="0A14E614">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m</w:t>
            </w:r>
          </w:p>
        </w:tc>
        <w:tc>
          <w:tcPr>
            <w:tcW w:w="515" w:type="pct"/>
            <w:tcBorders>
              <w:tl2br w:val="nil"/>
              <w:tr2bl w:val="nil"/>
            </w:tcBorders>
            <w:shd w:val="clear" w:color="FFFFFF" w:fill="FFFFFF"/>
            <w:vAlign w:val="center"/>
          </w:tcPr>
          <w:p w14:paraId="7C7DD452">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 xml:space="preserve">2199.08 </w:t>
            </w:r>
          </w:p>
        </w:tc>
      </w:tr>
      <w:tr w14:paraId="587432B8">
        <w:tblPrEx>
          <w:tblBorders>
            <w:top w:val="single" w:color="000000" w:sz="8" w:space="0"/>
            <w:left w:val="single" w:color="000000" w:sz="8" w:space="0"/>
            <w:bottom w:val="single" w:color="000000" w:sz="8" w:space="0"/>
            <w:right w:val="single" w:color="000000" w:sz="4" w:space="0"/>
            <w:insideH w:val="single" w:color="000000" w:sz="8" w:space="0"/>
            <w:insideV w:val="single" w:color="000000" w:sz="4" w:space="0"/>
          </w:tblBorders>
          <w:tblCellMar>
            <w:top w:w="0" w:type="dxa"/>
            <w:left w:w="108" w:type="dxa"/>
            <w:bottom w:w="0" w:type="dxa"/>
            <w:right w:w="108" w:type="dxa"/>
          </w:tblCellMar>
        </w:tblPrEx>
        <w:trPr>
          <w:trHeight w:val="720" w:hRule="atLeast"/>
        </w:trPr>
        <w:tc>
          <w:tcPr>
            <w:tcW w:w="244" w:type="pct"/>
            <w:tcBorders>
              <w:tl2br w:val="nil"/>
              <w:tr2bl w:val="nil"/>
            </w:tcBorders>
            <w:shd w:val="clear" w:color="FFFFFF" w:fill="FFFFFF"/>
            <w:vAlign w:val="center"/>
          </w:tcPr>
          <w:p w14:paraId="074769E9">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7</w:t>
            </w:r>
          </w:p>
        </w:tc>
        <w:tc>
          <w:tcPr>
            <w:tcW w:w="690" w:type="pct"/>
            <w:tcBorders>
              <w:tl2br w:val="nil"/>
              <w:tr2bl w:val="nil"/>
            </w:tcBorders>
            <w:shd w:val="clear" w:color="FFFFFF" w:fill="FFFFFF"/>
            <w:vAlign w:val="center"/>
          </w:tcPr>
          <w:p w14:paraId="6BFEE096">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光缆</w:t>
            </w:r>
          </w:p>
        </w:tc>
        <w:tc>
          <w:tcPr>
            <w:tcW w:w="2377" w:type="pct"/>
            <w:tcBorders>
              <w:tl2br w:val="nil"/>
              <w:tr2bl w:val="nil"/>
            </w:tcBorders>
            <w:shd w:val="clear" w:color="FFFFFF" w:fill="FFFFFF"/>
            <w:vAlign w:val="center"/>
          </w:tcPr>
          <w:p w14:paraId="2C4569A8">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 xml:space="preserve">1、名称：室外铠装光缆  含安装、调试   </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2、规格型号：单模4芯</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3、技术参数：光缆</w:t>
            </w:r>
          </w:p>
        </w:tc>
        <w:tc>
          <w:tcPr>
            <w:tcW w:w="741" w:type="pct"/>
            <w:tcBorders>
              <w:tl2br w:val="nil"/>
              <w:tr2bl w:val="nil"/>
            </w:tcBorders>
            <w:shd w:val="clear" w:color="FFFFFF" w:fill="FFFFFF"/>
            <w:vAlign w:val="center"/>
          </w:tcPr>
          <w:p w14:paraId="412C32D5">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国产 定制</w:t>
            </w:r>
          </w:p>
        </w:tc>
        <w:tc>
          <w:tcPr>
            <w:tcW w:w="430" w:type="pct"/>
            <w:tcBorders>
              <w:tl2br w:val="nil"/>
              <w:tr2bl w:val="nil"/>
            </w:tcBorders>
            <w:shd w:val="clear" w:color="FFFFFF" w:fill="FFFFFF"/>
            <w:vAlign w:val="center"/>
          </w:tcPr>
          <w:p w14:paraId="758C71F8">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m</w:t>
            </w:r>
          </w:p>
        </w:tc>
        <w:tc>
          <w:tcPr>
            <w:tcW w:w="515" w:type="pct"/>
            <w:tcBorders>
              <w:tl2br w:val="nil"/>
              <w:tr2bl w:val="nil"/>
            </w:tcBorders>
            <w:shd w:val="clear" w:color="FFFFFF" w:fill="FFFFFF"/>
            <w:vAlign w:val="center"/>
          </w:tcPr>
          <w:p w14:paraId="5A0FE6FA">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 xml:space="preserve">23954.57 </w:t>
            </w:r>
          </w:p>
        </w:tc>
      </w:tr>
      <w:tr w14:paraId="1BEDF34B">
        <w:tblPrEx>
          <w:tblBorders>
            <w:top w:val="single" w:color="000000" w:sz="8" w:space="0"/>
            <w:left w:val="single" w:color="000000" w:sz="8" w:space="0"/>
            <w:bottom w:val="single" w:color="000000" w:sz="8" w:space="0"/>
            <w:right w:val="single" w:color="000000" w:sz="4" w:space="0"/>
            <w:insideH w:val="single" w:color="000000" w:sz="8" w:space="0"/>
            <w:insideV w:val="single" w:color="000000" w:sz="4" w:space="0"/>
          </w:tblBorders>
          <w:tblCellMar>
            <w:top w:w="0" w:type="dxa"/>
            <w:left w:w="108" w:type="dxa"/>
            <w:bottom w:w="0" w:type="dxa"/>
            <w:right w:w="108" w:type="dxa"/>
          </w:tblCellMar>
        </w:tblPrEx>
        <w:trPr>
          <w:trHeight w:val="335" w:hRule="atLeast"/>
        </w:trPr>
        <w:tc>
          <w:tcPr>
            <w:tcW w:w="244" w:type="pct"/>
            <w:tcBorders>
              <w:tl2br w:val="nil"/>
              <w:tr2bl w:val="nil"/>
            </w:tcBorders>
            <w:shd w:val="clear" w:color="FFFFFF" w:fill="FFFFFF"/>
            <w:vAlign w:val="center"/>
          </w:tcPr>
          <w:p w14:paraId="5196A5A2">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8</w:t>
            </w:r>
          </w:p>
        </w:tc>
        <w:tc>
          <w:tcPr>
            <w:tcW w:w="690" w:type="pct"/>
            <w:tcBorders>
              <w:tl2br w:val="nil"/>
              <w:tr2bl w:val="nil"/>
            </w:tcBorders>
            <w:shd w:val="clear" w:color="FFFFFF" w:fill="FFFFFF"/>
            <w:vAlign w:val="center"/>
          </w:tcPr>
          <w:p w14:paraId="50373A65">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分线接线箱（盒）</w:t>
            </w:r>
          </w:p>
        </w:tc>
        <w:tc>
          <w:tcPr>
            <w:tcW w:w="2377" w:type="pct"/>
            <w:tcBorders>
              <w:tl2br w:val="nil"/>
              <w:tr2bl w:val="nil"/>
            </w:tcBorders>
            <w:shd w:val="clear" w:color="FFFFFF" w:fill="FFFFFF"/>
            <w:vAlign w:val="center"/>
          </w:tcPr>
          <w:p w14:paraId="5624DD5F">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1、名称：不锈钢室外落地设备箱，外观尺寸300*400*150</w:t>
            </w:r>
          </w:p>
        </w:tc>
        <w:tc>
          <w:tcPr>
            <w:tcW w:w="741" w:type="pct"/>
            <w:tcBorders>
              <w:tl2br w:val="nil"/>
              <w:tr2bl w:val="nil"/>
            </w:tcBorders>
            <w:shd w:val="clear" w:color="FFFFFF" w:fill="FFFFFF"/>
            <w:vAlign w:val="center"/>
          </w:tcPr>
          <w:p w14:paraId="579B058B">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国产 定制</w:t>
            </w:r>
          </w:p>
        </w:tc>
        <w:tc>
          <w:tcPr>
            <w:tcW w:w="430" w:type="pct"/>
            <w:tcBorders>
              <w:tl2br w:val="nil"/>
              <w:tr2bl w:val="nil"/>
            </w:tcBorders>
            <w:shd w:val="clear" w:color="FFFFFF" w:fill="FFFFFF"/>
            <w:vAlign w:val="center"/>
          </w:tcPr>
          <w:p w14:paraId="637B365C">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个</w:t>
            </w:r>
          </w:p>
        </w:tc>
        <w:tc>
          <w:tcPr>
            <w:tcW w:w="515" w:type="pct"/>
            <w:tcBorders>
              <w:tl2br w:val="nil"/>
              <w:tr2bl w:val="nil"/>
            </w:tcBorders>
            <w:shd w:val="clear" w:color="FFFFFF" w:fill="FFFFFF"/>
            <w:vAlign w:val="center"/>
          </w:tcPr>
          <w:p w14:paraId="171F1883">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 xml:space="preserve">23.00 </w:t>
            </w:r>
          </w:p>
        </w:tc>
      </w:tr>
      <w:tr w14:paraId="12DEE644">
        <w:tblPrEx>
          <w:tblBorders>
            <w:top w:val="single" w:color="000000" w:sz="8" w:space="0"/>
            <w:left w:val="single" w:color="000000" w:sz="8" w:space="0"/>
            <w:bottom w:val="single" w:color="000000" w:sz="8" w:space="0"/>
            <w:right w:val="single" w:color="000000" w:sz="4" w:space="0"/>
            <w:insideH w:val="single" w:color="000000" w:sz="8" w:space="0"/>
            <w:insideV w:val="single" w:color="000000" w:sz="4" w:space="0"/>
          </w:tblBorders>
          <w:tblCellMar>
            <w:top w:w="0" w:type="dxa"/>
            <w:left w:w="108" w:type="dxa"/>
            <w:bottom w:w="0" w:type="dxa"/>
            <w:right w:w="108" w:type="dxa"/>
          </w:tblCellMar>
        </w:tblPrEx>
        <w:trPr>
          <w:trHeight w:val="285" w:hRule="atLeast"/>
        </w:trPr>
        <w:tc>
          <w:tcPr>
            <w:tcW w:w="244" w:type="pct"/>
            <w:tcBorders>
              <w:tl2br w:val="nil"/>
              <w:tr2bl w:val="nil"/>
            </w:tcBorders>
            <w:shd w:val="clear" w:color="FFFFFF" w:fill="FFFFFF"/>
            <w:vAlign w:val="center"/>
          </w:tcPr>
          <w:p w14:paraId="5F4C2067">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9</w:t>
            </w:r>
          </w:p>
        </w:tc>
        <w:tc>
          <w:tcPr>
            <w:tcW w:w="690" w:type="pct"/>
            <w:tcBorders>
              <w:tl2br w:val="nil"/>
              <w:tr2bl w:val="nil"/>
            </w:tcBorders>
            <w:shd w:val="clear" w:color="FFFFFF" w:fill="FFFFFF"/>
            <w:vAlign w:val="center"/>
          </w:tcPr>
          <w:p w14:paraId="64C552DD">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光纤连接</w:t>
            </w:r>
          </w:p>
        </w:tc>
        <w:tc>
          <w:tcPr>
            <w:tcW w:w="2377" w:type="pct"/>
            <w:tcBorders>
              <w:tl2br w:val="nil"/>
              <w:tr2bl w:val="nil"/>
            </w:tcBorders>
            <w:shd w:val="clear" w:color="FFFFFF" w:fill="FFFFFF"/>
            <w:vAlign w:val="center"/>
          </w:tcPr>
          <w:p w14:paraId="7851C838">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1、名称：光纤熔接</w:t>
            </w:r>
          </w:p>
        </w:tc>
        <w:tc>
          <w:tcPr>
            <w:tcW w:w="741" w:type="pct"/>
            <w:tcBorders>
              <w:tl2br w:val="nil"/>
              <w:tr2bl w:val="nil"/>
            </w:tcBorders>
            <w:shd w:val="clear" w:color="FFFFFF" w:fill="FFFFFF"/>
            <w:vAlign w:val="center"/>
          </w:tcPr>
          <w:p w14:paraId="40F893C6">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国产 定制</w:t>
            </w:r>
          </w:p>
        </w:tc>
        <w:tc>
          <w:tcPr>
            <w:tcW w:w="430" w:type="pct"/>
            <w:tcBorders>
              <w:tl2br w:val="nil"/>
              <w:tr2bl w:val="nil"/>
            </w:tcBorders>
            <w:shd w:val="clear" w:color="FFFFFF" w:fill="FFFFFF"/>
            <w:vAlign w:val="center"/>
          </w:tcPr>
          <w:p w14:paraId="150FBE67">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芯</w:t>
            </w:r>
          </w:p>
        </w:tc>
        <w:tc>
          <w:tcPr>
            <w:tcW w:w="515" w:type="pct"/>
            <w:tcBorders>
              <w:tl2br w:val="nil"/>
              <w:tr2bl w:val="nil"/>
            </w:tcBorders>
            <w:shd w:val="clear" w:color="FFFFFF" w:fill="FFFFFF"/>
            <w:vAlign w:val="center"/>
          </w:tcPr>
          <w:p w14:paraId="4195E638">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 xml:space="preserve">264.00 </w:t>
            </w:r>
          </w:p>
        </w:tc>
      </w:tr>
      <w:tr w14:paraId="0F266049">
        <w:tblPrEx>
          <w:tblBorders>
            <w:top w:val="single" w:color="000000" w:sz="8" w:space="0"/>
            <w:left w:val="single" w:color="000000" w:sz="8" w:space="0"/>
            <w:bottom w:val="single" w:color="000000" w:sz="8" w:space="0"/>
            <w:right w:val="single" w:color="000000" w:sz="4" w:space="0"/>
            <w:insideH w:val="single" w:color="000000" w:sz="8" w:space="0"/>
            <w:insideV w:val="single" w:color="000000" w:sz="4" w:space="0"/>
          </w:tblBorders>
          <w:tblCellMar>
            <w:top w:w="0" w:type="dxa"/>
            <w:left w:w="108" w:type="dxa"/>
            <w:bottom w:w="0" w:type="dxa"/>
            <w:right w:w="108" w:type="dxa"/>
          </w:tblCellMar>
        </w:tblPrEx>
        <w:trPr>
          <w:trHeight w:val="720" w:hRule="atLeast"/>
        </w:trPr>
        <w:tc>
          <w:tcPr>
            <w:tcW w:w="244" w:type="pct"/>
            <w:tcBorders>
              <w:tl2br w:val="nil"/>
              <w:tr2bl w:val="nil"/>
            </w:tcBorders>
            <w:shd w:val="clear" w:color="FFFFFF" w:fill="FFFFFF"/>
            <w:vAlign w:val="center"/>
          </w:tcPr>
          <w:p w14:paraId="0D592642">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10</w:t>
            </w:r>
          </w:p>
        </w:tc>
        <w:tc>
          <w:tcPr>
            <w:tcW w:w="690" w:type="pct"/>
            <w:tcBorders>
              <w:tl2br w:val="nil"/>
              <w:tr2bl w:val="nil"/>
            </w:tcBorders>
            <w:shd w:val="clear" w:color="FFFFFF" w:fill="FFFFFF"/>
            <w:vAlign w:val="center"/>
          </w:tcPr>
          <w:p w14:paraId="5D50148A">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布放尾纤</w:t>
            </w:r>
          </w:p>
        </w:tc>
        <w:tc>
          <w:tcPr>
            <w:tcW w:w="2377" w:type="pct"/>
            <w:tcBorders>
              <w:tl2br w:val="nil"/>
              <w:tr2bl w:val="nil"/>
            </w:tcBorders>
            <w:shd w:val="clear" w:color="FFFFFF" w:fill="FFFFFF"/>
            <w:vAlign w:val="center"/>
          </w:tcPr>
          <w:p w14:paraId="5FFF1EF4">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1、名称：尾纤</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2、规格型号：SC-SC</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3、技术参数：3M</w:t>
            </w:r>
          </w:p>
        </w:tc>
        <w:tc>
          <w:tcPr>
            <w:tcW w:w="741" w:type="pct"/>
            <w:tcBorders>
              <w:tl2br w:val="nil"/>
              <w:tr2bl w:val="nil"/>
            </w:tcBorders>
            <w:shd w:val="clear" w:color="FFFFFF" w:fill="FFFFFF"/>
            <w:vAlign w:val="center"/>
          </w:tcPr>
          <w:p w14:paraId="09444B5F">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国产 定制</w:t>
            </w:r>
          </w:p>
        </w:tc>
        <w:tc>
          <w:tcPr>
            <w:tcW w:w="430" w:type="pct"/>
            <w:tcBorders>
              <w:tl2br w:val="nil"/>
              <w:tr2bl w:val="nil"/>
            </w:tcBorders>
            <w:shd w:val="clear" w:color="FFFFFF" w:fill="FFFFFF"/>
            <w:vAlign w:val="center"/>
          </w:tcPr>
          <w:p w14:paraId="09CD9392">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根</w:t>
            </w:r>
          </w:p>
        </w:tc>
        <w:tc>
          <w:tcPr>
            <w:tcW w:w="515" w:type="pct"/>
            <w:tcBorders>
              <w:tl2br w:val="nil"/>
              <w:tr2bl w:val="nil"/>
            </w:tcBorders>
            <w:shd w:val="clear" w:color="FFFFFF" w:fill="FFFFFF"/>
            <w:vAlign w:val="center"/>
          </w:tcPr>
          <w:p w14:paraId="1294851C">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 xml:space="preserve">116.00 </w:t>
            </w:r>
          </w:p>
        </w:tc>
      </w:tr>
      <w:tr w14:paraId="3D2F21E6">
        <w:tblPrEx>
          <w:tblBorders>
            <w:top w:val="single" w:color="000000" w:sz="8" w:space="0"/>
            <w:left w:val="single" w:color="000000" w:sz="8" w:space="0"/>
            <w:bottom w:val="single" w:color="000000" w:sz="8" w:space="0"/>
            <w:right w:val="single" w:color="000000" w:sz="4" w:space="0"/>
            <w:insideH w:val="single" w:color="000000" w:sz="8" w:space="0"/>
            <w:insideV w:val="single" w:color="000000" w:sz="4" w:space="0"/>
          </w:tblBorders>
          <w:tblCellMar>
            <w:top w:w="0" w:type="dxa"/>
            <w:left w:w="108" w:type="dxa"/>
            <w:bottom w:w="0" w:type="dxa"/>
            <w:right w:w="108" w:type="dxa"/>
          </w:tblCellMar>
        </w:tblPrEx>
        <w:trPr>
          <w:trHeight w:val="1200" w:hRule="atLeast"/>
        </w:trPr>
        <w:tc>
          <w:tcPr>
            <w:tcW w:w="244" w:type="pct"/>
            <w:tcBorders>
              <w:tl2br w:val="nil"/>
              <w:tr2bl w:val="nil"/>
            </w:tcBorders>
            <w:shd w:val="clear" w:color="FFFFFF" w:fill="FFFFFF"/>
            <w:vAlign w:val="center"/>
          </w:tcPr>
          <w:p w14:paraId="3B73413E">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11</w:t>
            </w:r>
          </w:p>
        </w:tc>
        <w:tc>
          <w:tcPr>
            <w:tcW w:w="690" w:type="pct"/>
            <w:tcBorders>
              <w:tl2br w:val="nil"/>
              <w:tr2bl w:val="nil"/>
            </w:tcBorders>
            <w:shd w:val="clear" w:color="FFFFFF" w:fill="FFFFFF"/>
            <w:vAlign w:val="center"/>
          </w:tcPr>
          <w:p w14:paraId="37787C6C">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光缆终端盒</w:t>
            </w:r>
          </w:p>
        </w:tc>
        <w:tc>
          <w:tcPr>
            <w:tcW w:w="2377" w:type="pct"/>
            <w:tcBorders>
              <w:tl2br w:val="nil"/>
              <w:tr2bl w:val="nil"/>
            </w:tcBorders>
            <w:shd w:val="clear" w:color="FFFFFF" w:fill="FFFFFF"/>
            <w:vAlign w:val="center"/>
          </w:tcPr>
          <w:p w14:paraId="57C01EA1">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1、名称：光缆终端盒</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2、规格型号：4芯国标</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3、技术参数：光缆终端盒 ，采用冷轧镀锌钢板材质，外部烤漆工艺处理，电信级加厚型，厚度1.5MM；</w:t>
            </w:r>
          </w:p>
        </w:tc>
        <w:tc>
          <w:tcPr>
            <w:tcW w:w="741" w:type="pct"/>
            <w:tcBorders>
              <w:tl2br w:val="nil"/>
              <w:tr2bl w:val="nil"/>
            </w:tcBorders>
            <w:shd w:val="clear" w:color="FFFFFF" w:fill="FFFFFF"/>
            <w:vAlign w:val="center"/>
          </w:tcPr>
          <w:p w14:paraId="1A260B78">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国产 定制</w:t>
            </w:r>
          </w:p>
        </w:tc>
        <w:tc>
          <w:tcPr>
            <w:tcW w:w="430" w:type="pct"/>
            <w:tcBorders>
              <w:tl2br w:val="nil"/>
              <w:tr2bl w:val="nil"/>
            </w:tcBorders>
            <w:shd w:val="clear" w:color="FFFFFF" w:fill="FFFFFF"/>
            <w:vAlign w:val="center"/>
          </w:tcPr>
          <w:p w14:paraId="193C2605">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个</w:t>
            </w:r>
          </w:p>
        </w:tc>
        <w:tc>
          <w:tcPr>
            <w:tcW w:w="515" w:type="pct"/>
            <w:tcBorders>
              <w:tl2br w:val="nil"/>
              <w:tr2bl w:val="nil"/>
            </w:tcBorders>
            <w:shd w:val="clear" w:color="FFFFFF" w:fill="FFFFFF"/>
            <w:vAlign w:val="center"/>
          </w:tcPr>
          <w:p w14:paraId="085AC5EE">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 xml:space="preserve">23.00 </w:t>
            </w:r>
          </w:p>
        </w:tc>
      </w:tr>
      <w:tr w14:paraId="61D8564B">
        <w:tblPrEx>
          <w:tblBorders>
            <w:top w:val="single" w:color="000000" w:sz="8" w:space="0"/>
            <w:left w:val="single" w:color="000000" w:sz="8" w:space="0"/>
            <w:bottom w:val="single" w:color="000000" w:sz="8" w:space="0"/>
            <w:right w:val="single" w:color="000000" w:sz="4" w:space="0"/>
            <w:insideH w:val="single" w:color="000000" w:sz="8" w:space="0"/>
            <w:insideV w:val="single" w:color="000000" w:sz="4" w:space="0"/>
          </w:tblBorders>
          <w:tblCellMar>
            <w:top w:w="0" w:type="dxa"/>
            <w:left w:w="108" w:type="dxa"/>
            <w:bottom w:w="0" w:type="dxa"/>
            <w:right w:w="108" w:type="dxa"/>
          </w:tblCellMar>
        </w:tblPrEx>
        <w:trPr>
          <w:trHeight w:val="1200" w:hRule="atLeast"/>
        </w:trPr>
        <w:tc>
          <w:tcPr>
            <w:tcW w:w="244" w:type="pct"/>
            <w:tcBorders>
              <w:tl2br w:val="nil"/>
              <w:tr2bl w:val="nil"/>
            </w:tcBorders>
            <w:shd w:val="clear" w:color="FFFFFF" w:fill="FFFFFF"/>
            <w:vAlign w:val="center"/>
          </w:tcPr>
          <w:p w14:paraId="1C48F837">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12</w:t>
            </w:r>
          </w:p>
        </w:tc>
        <w:tc>
          <w:tcPr>
            <w:tcW w:w="690" w:type="pct"/>
            <w:tcBorders>
              <w:tl2br w:val="nil"/>
              <w:tr2bl w:val="nil"/>
            </w:tcBorders>
            <w:shd w:val="clear" w:color="FFFFFF" w:fill="FFFFFF"/>
            <w:vAlign w:val="center"/>
          </w:tcPr>
          <w:p w14:paraId="578AC900">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光缆终端盒</w:t>
            </w:r>
          </w:p>
        </w:tc>
        <w:tc>
          <w:tcPr>
            <w:tcW w:w="2377" w:type="pct"/>
            <w:tcBorders>
              <w:tl2br w:val="nil"/>
              <w:tr2bl w:val="nil"/>
            </w:tcBorders>
            <w:shd w:val="clear" w:color="FFFFFF" w:fill="FFFFFF"/>
            <w:vAlign w:val="center"/>
          </w:tcPr>
          <w:p w14:paraId="5D5AB1B3">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1、名称：光缆终端盒</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2、规格型号：6芯国标</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3、技术参数：光缆终端盒 ，采用冷轧镀锌钢板材质，外部烤漆工艺处理，电信级加厚型，厚度1.5MM；</w:t>
            </w:r>
          </w:p>
        </w:tc>
        <w:tc>
          <w:tcPr>
            <w:tcW w:w="741" w:type="pct"/>
            <w:tcBorders>
              <w:tl2br w:val="nil"/>
              <w:tr2bl w:val="nil"/>
            </w:tcBorders>
            <w:shd w:val="clear" w:color="FFFFFF" w:fill="FFFFFF"/>
            <w:vAlign w:val="center"/>
          </w:tcPr>
          <w:p w14:paraId="1CF9B332">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国产 定制</w:t>
            </w:r>
          </w:p>
        </w:tc>
        <w:tc>
          <w:tcPr>
            <w:tcW w:w="430" w:type="pct"/>
            <w:tcBorders>
              <w:tl2br w:val="nil"/>
              <w:tr2bl w:val="nil"/>
            </w:tcBorders>
            <w:shd w:val="clear" w:color="FFFFFF" w:fill="FFFFFF"/>
            <w:vAlign w:val="center"/>
          </w:tcPr>
          <w:p w14:paraId="4E0E9707">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个</w:t>
            </w:r>
          </w:p>
        </w:tc>
        <w:tc>
          <w:tcPr>
            <w:tcW w:w="515" w:type="pct"/>
            <w:tcBorders>
              <w:tl2br w:val="nil"/>
              <w:tr2bl w:val="nil"/>
            </w:tcBorders>
            <w:shd w:val="clear" w:color="FFFFFF" w:fill="FFFFFF"/>
            <w:vAlign w:val="center"/>
          </w:tcPr>
          <w:p w14:paraId="5E8A2A67">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 xml:space="preserve">2.00 </w:t>
            </w:r>
          </w:p>
        </w:tc>
      </w:tr>
      <w:tr w14:paraId="46B51DDB">
        <w:tblPrEx>
          <w:tblBorders>
            <w:top w:val="single" w:color="000000" w:sz="8" w:space="0"/>
            <w:left w:val="single" w:color="000000" w:sz="8" w:space="0"/>
            <w:bottom w:val="single" w:color="000000" w:sz="8" w:space="0"/>
            <w:right w:val="single" w:color="000000" w:sz="4" w:space="0"/>
            <w:insideH w:val="single" w:color="000000" w:sz="8" w:space="0"/>
            <w:insideV w:val="single" w:color="000000" w:sz="4" w:space="0"/>
          </w:tblBorders>
          <w:tblCellMar>
            <w:top w:w="0" w:type="dxa"/>
            <w:left w:w="108" w:type="dxa"/>
            <w:bottom w:w="0" w:type="dxa"/>
            <w:right w:w="108" w:type="dxa"/>
          </w:tblCellMar>
        </w:tblPrEx>
        <w:trPr>
          <w:trHeight w:val="480" w:hRule="atLeast"/>
        </w:trPr>
        <w:tc>
          <w:tcPr>
            <w:tcW w:w="244" w:type="pct"/>
            <w:tcBorders>
              <w:tl2br w:val="nil"/>
              <w:tr2bl w:val="nil"/>
            </w:tcBorders>
            <w:shd w:val="clear" w:color="FFFFFF" w:fill="FFFFFF"/>
            <w:vAlign w:val="center"/>
          </w:tcPr>
          <w:p w14:paraId="3AE7FFDB">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13</w:t>
            </w:r>
          </w:p>
        </w:tc>
        <w:tc>
          <w:tcPr>
            <w:tcW w:w="690" w:type="pct"/>
            <w:tcBorders>
              <w:tl2br w:val="nil"/>
              <w:tr2bl w:val="nil"/>
            </w:tcBorders>
            <w:shd w:val="clear" w:color="FFFFFF" w:fill="FFFFFF"/>
            <w:vAlign w:val="center"/>
          </w:tcPr>
          <w:p w14:paraId="452FCAA9">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收发器</w:t>
            </w:r>
          </w:p>
        </w:tc>
        <w:tc>
          <w:tcPr>
            <w:tcW w:w="2377" w:type="pct"/>
            <w:tcBorders>
              <w:tl2br w:val="nil"/>
              <w:tr2bl w:val="nil"/>
            </w:tcBorders>
            <w:shd w:val="clear" w:color="FFFFFF" w:fill="FFFFFF"/>
            <w:vAlign w:val="center"/>
          </w:tcPr>
          <w:p w14:paraId="739DC67D">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1、名称：光纤收发器</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2、规格型号：千兆</w:t>
            </w:r>
          </w:p>
        </w:tc>
        <w:tc>
          <w:tcPr>
            <w:tcW w:w="741" w:type="pct"/>
            <w:tcBorders>
              <w:tl2br w:val="nil"/>
              <w:tr2bl w:val="nil"/>
            </w:tcBorders>
            <w:shd w:val="clear" w:color="FFFFFF" w:fill="FFFFFF"/>
            <w:vAlign w:val="center"/>
          </w:tcPr>
          <w:p w14:paraId="35D36D4A">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海康威视 定制</w:t>
            </w:r>
          </w:p>
        </w:tc>
        <w:tc>
          <w:tcPr>
            <w:tcW w:w="430" w:type="pct"/>
            <w:tcBorders>
              <w:tl2br w:val="nil"/>
              <w:tr2bl w:val="nil"/>
            </w:tcBorders>
            <w:shd w:val="clear" w:color="FFFFFF" w:fill="FFFFFF"/>
            <w:vAlign w:val="center"/>
          </w:tcPr>
          <w:p w14:paraId="033572A0">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台</w:t>
            </w:r>
          </w:p>
        </w:tc>
        <w:tc>
          <w:tcPr>
            <w:tcW w:w="515" w:type="pct"/>
            <w:tcBorders>
              <w:tl2br w:val="nil"/>
              <w:tr2bl w:val="nil"/>
            </w:tcBorders>
            <w:shd w:val="clear" w:color="FFFFFF" w:fill="FFFFFF"/>
            <w:vAlign w:val="center"/>
          </w:tcPr>
          <w:p w14:paraId="513A019E">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 xml:space="preserve">25.00 </w:t>
            </w:r>
          </w:p>
        </w:tc>
      </w:tr>
      <w:tr w14:paraId="496F086F">
        <w:tblPrEx>
          <w:tblBorders>
            <w:top w:val="single" w:color="000000" w:sz="8" w:space="0"/>
            <w:left w:val="single" w:color="000000" w:sz="8" w:space="0"/>
            <w:bottom w:val="single" w:color="000000" w:sz="8" w:space="0"/>
            <w:right w:val="single" w:color="000000" w:sz="4" w:space="0"/>
            <w:insideH w:val="single" w:color="000000" w:sz="8" w:space="0"/>
            <w:insideV w:val="single" w:color="000000" w:sz="4" w:space="0"/>
          </w:tblBorders>
          <w:tblCellMar>
            <w:top w:w="0" w:type="dxa"/>
            <w:left w:w="108" w:type="dxa"/>
            <w:bottom w:w="0" w:type="dxa"/>
            <w:right w:w="108" w:type="dxa"/>
          </w:tblCellMar>
        </w:tblPrEx>
        <w:trPr>
          <w:trHeight w:val="720" w:hRule="atLeast"/>
        </w:trPr>
        <w:tc>
          <w:tcPr>
            <w:tcW w:w="244" w:type="pct"/>
            <w:tcBorders>
              <w:tl2br w:val="nil"/>
              <w:tr2bl w:val="nil"/>
            </w:tcBorders>
            <w:shd w:val="clear" w:color="FFFFFF" w:fill="FFFFFF"/>
            <w:vAlign w:val="center"/>
          </w:tcPr>
          <w:p w14:paraId="5FA1D652">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14</w:t>
            </w:r>
          </w:p>
        </w:tc>
        <w:tc>
          <w:tcPr>
            <w:tcW w:w="690" w:type="pct"/>
            <w:tcBorders>
              <w:tl2br w:val="nil"/>
              <w:tr2bl w:val="nil"/>
            </w:tcBorders>
            <w:shd w:val="clear" w:color="FFFFFF" w:fill="FFFFFF"/>
            <w:vAlign w:val="center"/>
          </w:tcPr>
          <w:p w14:paraId="1FFC303B">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交换机</w:t>
            </w:r>
          </w:p>
        </w:tc>
        <w:tc>
          <w:tcPr>
            <w:tcW w:w="2377" w:type="pct"/>
            <w:tcBorders>
              <w:tl2br w:val="nil"/>
              <w:tr2bl w:val="nil"/>
            </w:tcBorders>
            <w:shd w:val="clear" w:color="FFFFFF" w:fill="FFFFFF"/>
            <w:vAlign w:val="center"/>
          </w:tcPr>
          <w:p w14:paraId="4BF96456">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1、名称：高强度金属外壳，即插即用，存储转发交换模式，8口百兆以太网接口，支持视频红口保障技术，交换机</w:t>
            </w:r>
          </w:p>
        </w:tc>
        <w:tc>
          <w:tcPr>
            <w:tcW w:w="741" w:type="pct"/>
            <w:tcBorders>
              <w:tl2br w:val="nil"/>
              <w:tr2bl w:val="nil"/>
            </w:tcBorders>
            <w:shd w:val="clear" w:color="FFFFFF" w:fill="FFFFFF"/>
            <w:vAlign w:val="center"/>
          </w:tcPr>
          <w:p w14:paraId="70D205D5">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海康威视 定制</w:t>
            </w:r>
          </w:p>
        </w:tc>
        <w:tc>
          <w:tcPr>
            <w:tcW w:w="430" w:type="pct"/>
            <w:tcBorders>
              <w:tl2br w:val="nil"/>
              <w:tr2bl w:val="nil"/>
            </w:tcBorders>
            <w:shd w:val="clear" w:color="FFFFFF" w:fill="FFFFFF"/>
            <w:vAlign w:val="center"/>
          </w:tcPr>
          <w:p w14:paraId="4A8C9EC9">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台</w:t>
            </w:r>
          </w:p>
        </w:tc>
        <w:tc>
          <w:tcPr>
            <w:tcW w:w="515" w:type="pct"/>
            <w:tcBorders>
              <w:tl2br w:val="nil"/>
              <w:tr2bl w:val="nil"/>
            </w:tcBorders>
            <w:shd w:val="clear" w:color="FFFFFF" w:fill="FFFFFF"/>
            <w:vAlign w:val="center"/>
          </w:tcPr>
          <w:p w14:paraId="22722060">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 xml:space="preserve">23.00 </w:t>
            </w:r>
          </w:p>
        </w:tc>
      </w:tr>
      <w:tr w14:paraId="484A5CCF">
        <w:tblPrEx>
          <w:tblBorders>
            <w:top w:val="single" w:color="000000" w:sz="8" w:space="0"/>
            <w:left w:val="single" w:color="000000" w:sz="8" w:space="0"/>
            <w:bottom w:val="single" w:color="000000" w:sz="8" w:space="0"/>
            <w:right w:val="single" w:color="000000" w:sz="4" w:space="0"/>
            <w:insideH w:val="single" w:color="000000" w:sz="8" w:space="0"/>
            <w:insideV w:val="single" w:color="000000" w:sz="4" w:space="0"/>
          </w:tblBorders>
          <w:tblCellMar>
            <w:top w:w="0" w:type="dxa"/>
            <w:left w:w="108" w:type="dxa"/>
            <w:bottom w:w="0" w:type="dxa"/>
            <w:right w:w="108" w:type="dxa"/>
          </w:tblCellMar>
        </w:tblPrEx>
        <w:trPr>
          <w:trHeight w:val="1680" w:hRule="atLeast"/>
        </w:trPr>
        <w:tc>
          <w:tcPr>
            <w:tcW w:w="244" w:type="pct"/>
            <w:tcBorders>
              <w:tl2br w:val="nil"/>
              <w:tr2bl w:val="nil"/>
            </w:tcBorders>
            <w:shd w:val="clear" w:color="FFFFFF" w:fill="FFFFFF"/>
            <w:vAlign w:val="center"/>
          </w:tcPr>
          <w:p w14:paraId="5194001F">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15</w:t>
            </w:r>
          </w:p>
        </w:tc>
        <w:tc>
          <w:tcPr>
            <w:tcW w:w="690" w:type="pct"/>
            <w:tcBorders>
              <w:tl2br w:val="nil"/>
              <w:tr2bl w:val="nil"/>
            </w:tcBorders>
            <w:shd w:val="clear" w:color="FFFFFF" w:fill="FFFFFF"/>
            <w:vAlign w:val="center"/>
          </w:tcPr>
          <w:p w14:paraId="18ACF1E1">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配线架</w:t>
            </w:r>
          </w:p>
        </w:tc>
        <w:tc>
          <w:tcPr>
            <w:tcW w:w="2377" w:type="pct"/>
            <w:tcBorders>
              <w:tl2br w:val="nil"/>
              <w:tr2bl w:val="nil"/>
            </w:tcBorders>
            <w:shd w:val="clear" w:color="FFFFFF" w:fill="FFFFFF"/>
            <w:vAlign w:val="center"/>
          </w:tcPr>
          <w:p w14:paraId="34944951">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 xml:space="preserve">1、名称：光纤配线架  含安装、调试   </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2、规格型号：国标48芯</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3、技术参数：光纤配线架</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1、采用冷轧镀锌钢板材质，外部烤漆工艺处理，电信级加厚型，厚度1.5MM；2、430*244*250CM；标准19英寸机架，强度高，材质厚实，经久耐</w:t>
            </w:r>
            <w:r>
              <w:rPr>
                <w:rFonts w:hint="eastAsia" w:ascii="仿宋" w:hAnsi="仿宋" w:eastAsia="仿宋" w:cs="仿宋"/>
                <w:kern w:val="0"/>
                <w:sz w:val="20"/>
                <w:szCs w:val="20"/>
                <w:lang w:val="en-US" w:eastAsia="zh-CN" w:bidi="ar"/>
              </w:rPr>
              <w:t>用</w:t>
            </w:r>
            <w:r>
              <w:rPr>
                <w:rFonts w:hint="eastAsia" w:ascii="仿宋" w:hAnsi="仿宋" w:eastAsia="仿宋" w:cs="仿宋"/>
                <w:kern w:val="0"/>
                <w:sz w:val="20"/>
                <w:szCs w:val="20"/>
                <w:lang w:bidi="ar"/>
              </w:rPr>
              <w:t>接口数量24芯，尾纤满配。</w:t>
            </w:r>
          </w:p>
        </w:tc>
        <w:tc>
          <w:tcPr>
            <w:tcW w:w="741" w:type="pct"/>
            <w:tcBorders>
              <w:tl2br w:val="nil"/>
              <w:tr2bl w:val="nil"/>
            </w:tcBorders>
            <w:shd w:val="clear" w:color="FFFFFF" w:fill="FFFFFF"/>
            <w:vAlign w:val="center"/>
          </w:tcPr>
          <w:p w14:paraId="03DB1CB7">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国产 定制</w:t>
            </w:r>
          </w:p>
        </w:tc>
        <w:tc>
          <w:tcPr>
            <w:tcW w:w="430" w:type="pct"/>
            <w:tcBorders>
              <w:tl2br w:val="nil"/>
              <w:tr2bl w:val="nil"/>
            </w:tcBorders>
            <w:shd w:val="clear" w:color="FFFFFF" w:fill="FFFFFF"/>
            <w:vAlign w:val="center"/>
          </w:tcPr>
          <w:p w14:paraId="0585CB61">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个</w:t>
            </w:r>
          </w:p>
        </w:tc>
        <w:tc>
          <w:tcPr>
            <w:tcW w:w="515" w:type="pct"/>
            <w:tcBorders>
              <w:tl2br w:val="nil"/>
              <w:tr2bl w:val="nil"/>
            </w:tcBorders>
            <w:shd w:val="clear" w:color="FFFFFF" w:fill="FFFFFF"/>
            <w:vAlign w:val="center"/>
          </w:tcPr>
          <w:p w14:paraId="09E86CA0">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 xml:space="preserve">2.00 </w:t>
            </w:r>
          </w:p>
        </w:tc>
      </w:tr>
      <w:tr w14:paraId="24D55D47">
        <w:tblPrEx>
          <w:tblBorders>
            <w:top w:val="single" w:color="000000" w:sz="8" w:space="0"/>
            <w:left w:val="single" w:color="000000" w:sz="8" w:space="0"/>
            <w:bottom w:val="single" w:color="000000" w:sz="8" w:space="0"/>
            <w:right w:val="single" w:color="000000" w:sz="4" w:space="0"/>
            <w:insideH w:val="single" w:color="000000" w:sz="8" w:space="0"/>
            <w:insideV w:val="single" w:color="000000" w:sz="4" w:space="0"/>
          </w:tblBorders>
          <w:tblCellMar>
            <w:top w:w="0" w:type="dxa"/>
            <w:left w:w="108" w:type="dxa"/>
            <w:bottom w:w="0" w:type="dxa"/>
            <w:right w:w="108" w:type="dxa"/>
          </w:tblCellMar>
        </w:tblPrEx>
        <w:trPr>
          <w:trHeight w:val="960" w:hRule="atLeast"/>
        </w:trPr>
        <w:tc>
          <w:tcPr>
            <w:tcW w:w="244" w:type="pct"/>
            <w:tcBorders>
              <w:tl2br w:val="nil"/>
              <w:tr2bl w:val="nil"/>
            </w:tcBorders>
            <w:shd w:val="clear" w:color="FFFFFF" w:fill="FFFFFF"/>
            <w:vAlign w:val="center"/>
          </w:tcPr>
          <w:p w14:paraId="51C0681A">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16</w:t>
            </w:r>
          </w:p>
        </w:tc>
        <w:tc>
          <w:tcPr>
            <w:tcW w:w="690" w:type="pct"/>
            <w:tcBorders>
              <w:tl2br w:val="nil"/>
              <w:tr2bl w:val="nil"/>
            </w:tcBorders>
            <w:shd w:val="clear" w:color="FFFFFF" w:fill="FFFFFF"/>
            <w:vAlign w:val="center"/>
          </w:tcPr>
          <w:p w14:paraId="36161B72">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插座</w:t>
            </w:r>
          </w:p>
        </w:tc>
        <w:tc>
          <w:tcPr>
            <w:tcW w:w="2377" w:type="pct"/>
            <w:tcBorders>
              <w:tl2br w:val="nil"/>
              <w:tr2bl w:val="nil"/>
            </w:tcBorders>
            <w:shd w:val="clear" w:color="FFFFFF" w:fill="FFFFFF"/>
            <w:vAlign w:val="center"/>
          </w:tcPr>
          <w:p w14:paraId="7743488A">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1、名称：插座</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2、规格型号：8孔</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3、技术参数：插座 8孔标准插座，最大功率3KW，放置于室外设备箱</w:t>
            </w:r>
          </w:p>
        </w:tc>
        <w:tc>
          <w:tcPr>
            <w:tcW w:w="741" w:type="pct"/>
            <w:tcBorders>
              <w:tl2br w:val="nil"/>
              <w:tr2bl w:val="nil"/>
            </w:tcBorders>
            <w:shd w:val="clear" w:color="FFFFFF" w:fill="FFFFFF"/>
            <w:vAlign w:val="center"/>
          </w:tcPr>
          <w:p w14:paraId="5CAAEDEB">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国产 定制</w:t>
            </w:r>
          </w:p>
        </w:tc>
        <w:tc>
          <w:tcPr>
            <w:tcW w:w="430" w:type="pct"/>
            <w:tcBorders>
              <w:tl2br w:val="nil"/>
              <w:tr2bl w:val="nil"/>
            </w:tcBorders>
            <w:shd w:val="clear" w:color="FFFFFF" w:fill="FFFFFF"/>
            <w:vAlign w:val="center"/>
          </w:tcPr>
          <w:p w14:paraId="5FA6F288">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个</w:t>
            </w:r>
          </w:p>
        </w:tc>
        <w:tc>
          <w:tcPr>
            <w:tcW w:w="515" w:type="pct"/>
            <w:tcBorders>
              <w:tl2br w:val="nil"/>
              <w:tr2bl w:val="nil"/>
            </w:tcBorders>
            <w:shd w:val="clear" w:color="FFFFFF" w:fill="FFFFFF"/>
            <w:vAlign w:val="center"/>
          </w:tcPr>
          <w:p w14:paraId="621CFB4C">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 xml:space="preserve">23.00 </w:t>
            </w:r>
          </w:p>
        </w:tc>
      </w:tr>
      <w:tr w14:paraId="13B6FBA3">
        <w:tblPrEx>
          <w:tblBorders>
            <w:top w:val="single" w:color="000000" w:sz="8" w:space="0"/>
            <w:left w:val="single" w:color="000000" w:sz="8" w:space="0"/>
            <w:bottom w:val="single" w:color="000000" w:sz="8" w:space="0"/>
            <w:right w:val="single" w:color="000000" w:sz="4" w:space="0"/>
            <w:insideH w:val="single" w:color="000000" w:sz="8" w:space="0"/>
            <w:insideV w:val="single" w:color="000000" w:sz="4" w:space="0"/>
          </w:tblBorders>
          <w:tblCellMar>
            <w:top w:w="0" w:type="dxa"/>
            <w:left w:w="108" w:type="dxa"/>
            <w:bottom w:w="0" w:type="dxa"/>
            <w:right w:w="108" w:type="dxa"/>
          </w:tblCellMar>
        </w:tblPrEx>
        <w:trPr>
          <w:trHeight w:val="720" w:hRule="atLeast"/>
        </w:trPr>
        <w:tc>
          <w:tcPr>
            <w:tcW w:w="244" w:type="pct"/>
            <w:tcBorders>
              <w:tl2br w:val="nil"/>
              <w:tr2bl w:val="nil"/>
            </w:tcBorders>
            <w:shd w:val="clear" w:color="FFFFFF" w:fill="FFFFFF"/>
            <w:vAlign w:val="center"/>
          </w:tcPr>
          <w:p w14:paraId="5063CCD5">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17</w:t>
            </w:r>
          </w:p>
        </w:tc>
        <w:tc>
          <w:tcPr>
            <w:tcW w:w="690" w:type="pct"/>
            <w:tcBorders>
              <w:tl2br w:val="nil"/>
              <w:tr2bl w:val="nil"/>
            </w:tcBorders>
            <w:shd w:val="clear" w:color="FFFFFF" w:fill="FFFFFF"/>
            <w:vAlign w:val="center"/>
          </w:tcPr>
          <w:p w14:paraId="121FF502">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控制设备</w:t>
            </w:r>
          </w:p>
        </w:tc>
        <w:tc>
          <w:tcPr>
            <w:tcW w:w="2377" w:type="pct"/>
            <w:tcBorders>
              <w:tl2br w:val="nil"/>
              <w:tr2bl w:val="nil"/>
            </w:tcBorders>
            <w:shd w:val="clear" w:color="FFFFFF" w:fill="FFFFFF"/>
            <w:vAlign w:val="center"/>
          </w:tcPr>
          <w:p w14:paraId="3DC885C6">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1、名称：8路 HDMI+鼠标+键盘全位切换器，5-10S循环自动切换，支持面板按键切换，支持增益调节，配原装HDMI吊头线，钢制外壳。</w:t>
            </w:r>
          </w:p>
        </w:tc>
        <w:tc>
          <w:tcPr>
            <w:tcW w:w="741" w:type="pct"/>
            <w:tcBorders>
              <w:tl2br w:val="nil"/>
              <w:tr2bl w:val="nil"/>
            </w:tcBorders>
            <w:shd w:val="clear" w:color="FFFFFF" w:fill="FFFFFF"/>
            <w:vAlign w:val="center"/>
          </w:tcPr>
          <w:p w14:paraId="37C4DCBF">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国产 定制</w:t>
            </w:r>
          </w:p>
        </w:tc>
        <w:tc>
          <w:tcPr>
            <w:tcW w:w="430" w:type="pct"/>
            <w:tcBorders>
              <w:tl2br w:val="nil"/>
              <w:tr2bl w:val="nil"/>
            </w:tcBorders>
            <w:shd w:val="clear" w:color="FFFFFF" w:fill="FFFFFF"/>
            <w:vAlign w:val="center"/>
          </w:tcPr>
          <w:p w14:paraId="2C1D3DA6">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台</w:t>
            </w:r>
          </w:p>
        </w:tc>
        <w:tc>
          <w:tcPr>
            <w:tcW w:w="515" w:type="pct"/>
            <w:tcBorders>
              <w:tl2br w:val="nil"/>
              <w:tr2bl w:val="nil"/>
            </w:tcBorders>
            <w:shd w:val="clear" w:color="FFFFFF" w:fill="FFFFFF"/>
            <w:vAlign w:val="center"/>
          </w:tcPr>
          <w:p w14:paraId="52DDCE5B">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 xml:space="preserve">1.00 </w:t>
            </w:r>
          </w:p>
        </w:tc>
      </w:tr>
      <w:tr w14:paraId="133F479D">
        <w:tblPrEx>
          <w:tblBorders>
            <w:top w:val="single" w:color="000000" w:sz="8" w:space="0"/>
            <w:left w:val="single" w:color="000000" w:sz="8" w:space="0"/>
            <w:bottom w:val="single" w:color="000000" w:sz="8" w:space="0"/>
            <w:right w:val="single" w:color="000000" w:sz="4" w:space="0"/>
            <w:insideH w:val="single" w:color="000000" w:sz="8" w:space="0"/>
            <w:insideV w:val="single" w:color="000000" w:sz="4" w:space="0"/>
          </w:tblBorders>
          <w:tblCellMar>
            <w:top w:w="0" w:type="dxa"/>
            <w:left w:w="108" w:type="dxa"/>
            <w:bottom w:w="0" w:type="dxa"/>
            <w:right w:w="108" w:type="dxa"/>
          </w:tblCellMar>
        </w:tblPrEx>
        <w:trPr>
          <w:trHeight w:val="720" w:hRule="atLeast"/>
        </w:trPr>
        <w:tc>
          <w:tcPr>
            <w:tcW w:w="244" w:type="pct"/>
            <w:tcBorders>
              <w:tl2br w:val="nil"/>
              <w:tr2bl w:val="nil"/>
            </w:tcBorders>
            <w:shd w:val="clear" w:color="FFFFFF" w:fill="FFFFFF"/>
            <w:vAlign w:val="center"/>
          </w:tcPr>
          <w:p w14:paraId="6FCB1282">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18</w:t>
            </w:r>
          </w:p>
        </w:tc>
        <w:tc>
          <w:tcPr>
            <w:tcW w:w="690" w:type="pct"/>
            <w:tcBorders>
              <w:tl2br w:val="nil"/>
              <w:tr2bl w:val="nil"/>
            </w:tcBorders>
            <w:shd w:val="clear" w:color="FFFFFF" w:fill="FFFFFF"/>
            <w:vAlign w:val="center"/>
          </w:tcPr>
          <w:p w14:paraId="30241358">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控制设备</w:t>
            </w:r>
          </w:p>
        </w:tc>
        <w:tc>
          <w:tcPr>
            <w:tcW w:w="2377" w:type="pct"/>
            <w:tcBorders>
              <w:tl2br w:val="nil"/>
              <w:tr2bl w:val="nil"/>
            </w:tcBorders>
            <w:shd w:val="clear" w:color="FFFFFF" w:fill="FFFFFF"/>
            <w:vAlign w:val="center"/>
          </w:tcPr>
          <w:p w14:paraId="7F884160">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1、名称：4路 HDMI+鼠标+键盘全位切换器，5-10S循环自动切换，支持面板按键切换，支持增益调节，配原装HDMI吊头线，钢制外壳。</w:t>
            </w:r>
          </w:p>
        </w:tc>
        <w:tc>
          <w:tcPr>
            <w:tcW w:w="741" w:type="pct"/>
            <w:tcBorders>
              <w:tl2br w:val="nil"/>
              <w:tr2bl w:val="nil"/>
            </w:tcBorders>
            <w:shd w:val="clear" w:color="FFFFFF" w:fill="FFFFFF"/>
            <w:vAlign w:val="center"/>
          </w:tcPr>
          <w:p w14:paraId="6B13A696">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国产 定制</w:t>
            </w:r>
          </w:p>
        </w:tc>
        <w:tc>
          <w:tcPr>
            <w:tcW w:w="430" w:type="pct"/>
            <w:tcBorders>
              <w:tl2br w:val="nil"/>
              <w:tr2bl w:val="nil"/>
            </w:tcBorders>
            <w:shd w:val="clear" w:color="FFFFFF" w:fill="FFFFFF"/>
            <w:vAlign w:val="center"/>
          </w:tcPr>
          <w:p w14:paraId="05601968">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台</w:t>
            </w:r>
          </w:p>
        </w:tc>
        <w:tc>
          <w:tcPr>
            <w:tcW w:w="515" w:type="pct"/>
            <w:tcBorders>
              <w:tl2br w:val="nil"/>
              <w:tr2bl w:val="nil"/>
            </w:tcBorders>
            <w:shd w:val="clear" w:color="FFFFFF" w:fill="FFFFFF"/>
            <w:vAlign w:val="center"/>
          </w:tcPr>
          <w:p w14:paraId="57A0F05E">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 xml:space="preserve">2.00 </w:t>
            </w:r>
          </w:p>
        </w:tc>
      </w:tr>
      <w:tr w14:paraId="3B5B0147">
        <w:tblPrEx>
          <w:tblBorders>
            <w:top w:val="single" w:color="000000" w:sz="8" w:space="0"/>
            <w:left w:val="single" w:color="000000" w:sz="8" w:space="0"/>
            <w:bottom w:val="single" w:color="000000" w:sz="8" w:space="0"/>
            <w:right w:val="single" w:color="000000" w:sz="4" w:space="0"/>
            <w:insideH w:val="single" w:color="000000" w:sz="8" w:space="0"/>
            <w:insideV w:val="single" w:color="000000" w:sz="4" w:space="0"/>
          </w:tblBorders>
          <w:tblCellMar>
            <w:top w:w="0" w:type="dxa"/>
            <w:left w:w="108" w:type="dxa"/>
            <w:bottom w:w="0" w:type="dxa"/>
            <w:right w:w="108" w:type="dxa"/>
          </w:tblCellMar>
        </w:tblPrEx>
        <w:trPr>
          <w:trHeight w:val="90" w:hRule="atLeast"/>
        </w:trPr>
        <w:tc>
          <w:tcPr>
            <w:tcW w:w="244" w:type="pct"/>
            <w:tcBorders>
              <w:tl2br w:val="nil"/>
              <w:tr2bl w:val="nil"/>
            </w:tcBorders>
            <w:shd w:val="clear" w:color="FFFFFF" w:fill="FFFFFF"/>
            <w:vAlign w:val="center"/>
          </w:tcPr>
          <w:p w14:paraId="411EED51">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19</w:t>
            </w:r>
          </w:p>
        </w:tc>
        <w:tc>
          <w:tcPr>
            <w:tcW w:w="690" w:type="pct"/>
            <w:tcBorders>
              <w:tl2br w:val="nil"/>
              <w:tr2bl w:val="nil"/>
            </w:tcBorders>
            <w:shd w:val="clear" w:color="FFFFFF" w:fill="FFFFFF"/>
            <w:vAlign w:val="center"/>
          </w:tcPr>
          <w:p w14:paraId="5250555C">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显示设备</w:t>
            </w:r>
          </w:p>
        </w:tc>
        <w:tc>
          <w:tcPr>
            <w:tcW w:w="2377" w:type="pct"/>
            <w:tcBorders>
              <w:tl2br w:val="nil"/>
              <w:tr2bl w:val="nil"/>
            </w:tcBorders>
            <w:shd w:val="clear" w:color="FFFFFF" w:fill="FFFFFF"/>
            <w:vAlign w:val="center"/>
          </w:tcPr>
          <w:p w14:paraId="1DEFA433">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 xml:space="preserve">1、名称：显示屏 含安装、调试 </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2、规格型号：24寸</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3、技术参数： 含支架</w:t>
            </w:r>
          </w:p>
        </w:tc>
        <w:tc>
          <w:tcPr>
            <w:tcW w:w="741" w:type="pct"/>
            <w:tcBorders>
              <w:tl2br w:val="nil"/>
              <w:tr2bl w:val="nil"/>
            </w:tcBorders>
            <w:shd w:val="clear" w:color="FFFFFF" w:fill="FFFFFF"/>
            <w:vAlign w:val="center"/>
          </w:tcPr>
          <w:p w14:paraId="0218DBB9">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国产 定制</w:t>
            </w:r>
          </w:p>
        </w:tc>
        <w:tc>
          <w:tcPr>
            <w:tcW w:w="430" w:type="pct"/>
            <w:tcBorders>
              <w:tl2br w:val="nil"/>
              <w:tr2bl w:val="nil"/>
            </w:tcBorders>
            <w:shd w:val="clear" w:color="FFFFFF" w:fill="FFFFFF"/>
            <w:vAlign w:val="center"/>
          </w:tcPr>
          <w:p w14:paraId="7779984F">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台</w:t>
            </w:r>
          </w:p>
        </w:tc>
        <w:tc>
          <w:tcPr>
            <w:tcW w:w="515" w:type="pct"/>
            <w:tcBorders>
              <w:tl2br w:val="nil"/>
              <w:tr2bl w:val="nil"/>
            </w:tcBorders>
            <w:shd w:val="clear" w:color="FFFFFF" w:fill="FFFFFF"/>
            <w:vAlign w:val="center"/>
          </w:tcPr>
          <w:p w14:paraId="07FF5711">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 xml:space="preserve">2.00 </w:t>
            </w:r>
          </w:p>
        </w:tc>
      </w:tr>
      <w:tr w14:paraId="672BD464">
        <w:tblPrEx>
          <w:tblBorders>
            <w:top w:val="single" w:color="000000" w:sz="8" w:space="0"/>
            <w:left w:val="single" w:color="000000" w:sz="8" w:space="0"/>
            <w:bottom w:val="single" w:color="000000" w:sz="8" w:space="0"/>
            <w:right w:val="single" w:color="000000" w:sz="4" w:space="0"/>
            <w:insideH w:val="single" w:color="000000" w:sz="8" w:space="0"/>
            <w:insideV w:val="single" w:color="000000" w:sz="4" w:space="0"/>
          </w:tblBorders>
          <w:tblCellMar>
            <w:top w:w="0" w:type="dxa"/>
            <w:left w:w="108" w:type="dxa"/>
            <w:bottom w:w="0" w:type="dxa"/>
            <w:right w:w="108" w:type="dxa"/>
          </w:tblCellMar>
        </w:tblPrEx>
        <w:trPr>
          <w:trHeight w:val="285" w:hRule="atLeast"/>
        </w:trPr>
        <w:tc>
          <w:tcPr>
            <w:tcW w:w="244" w:type="pct"/>
            <w:tcBorders>
              <w:tl2br w:val="nil"/>
              <w:tr2bl w:val="nil"/>
            </w:tcBorders>
            <w:shd w:val="clear" w:color="FFFFFF" w:fill="FFFFFF"/>
            <w:vAlign w:val="center"/>
          </w:tcPr>
          <w:p w14:paraId="75CA80B5">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20</w:t>
            </w:r>
          </w:p>
        </w:tc>
        <w:tc>
          <w:tcPr>
            <w:tcW w:w="690" w:type="pct"/>
            <w:tcBorders>
              <w:tl2br w:val="nil"/>
              <w:tr2bl w:val="nil"/>
            </w:tcBorders>
            <w:shd w:val="clear" w:color="FFFFFF" w:fill="FFFFFF"/>
            <w:vAlign w:val="center"/>
          </w:tcPr>
          <w:p w14:paraId="77300CE1">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射频同轴电缆</w:t>
            </w:r>
          </w:p>
        </w:tc>
        <w:tc>
          <w:tcPr>
            <w:tcW w:w="2377" w:type="pct"/>
            <w:tcBorders>
              <w:tl2br w:val="nil"/>
              <w:tr2bl w:val="nil"/>
            </w:tcBorders>
            <w:shd w:val="clear" w:color="FFFFFF" w:fill="FFFFFF"/>
            <w:vAlign w:val="center"/>
          </w:tcPr>
          <w:p w14:paraId="3A1F2D5F">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1、名称：HDMI高清线</w:t>
            </w:r>
          </w:p>
        </w:tc>
        <w:tc>
          <w:tcPr>
            <w:tcW w:w="741" w:type="pct"/>
            <w:tcBorders>
              <w:tl2br w:val="nil"/>
              <w:tr2bl w:val="nil"/>
            </w:tcBorders>
            <w:shd w:val="clear" w:color="FFFFFF" w:fill="FFFFFF"/>
            <w:vAlign w:val="center"/>
          </w:tcPr>
          <w:p w14:paraId="17FEEF3E">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国产 定制</w:t>
            </w:r>
          </w:p>
        </w:tc>
        <w:tc>
          <w:tcPr>
            <w:tcW w:w="430" w:type="pct"/>
            <w:tcBorders>
              <w:tl2br w:val="nil"/>
              <w:tr2bl w:val="nil"/>
            </w:tcBorders>
            <w:shd w:val="clear" w:color="FFFFFF" w:fill="FFFFFF"/>
            <w:vAlign w:val="center"/>
          </w:tcPr>
          <w:p w14:paraId="483239DF">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m</w:t>
            </w:r>
          </w:p>
        </w:tc>
        <w:tc>
          <w:tcPr>
            <w:tcW w:w="515" w:type="pct"/>
            <w:tcBorders>
              <w:tl2br w:val="nil"/>
              <w:tr2bl w:val="nil"/>
            </w:tcBorders>
            <w:shd w:val="clear" w:color="FFFFFF" w:fill="FFFFFF"/>
            <w:vAlign w:val="center"/>
          </w:tcPr>
          <w:p w14:paraId="48997AC6">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 xml:space="preserve">90.00 </w:t>
            </w:r>
          </w:p>
        </w:tc>
      </w:tr>
      <w:tr w14:paraId="56898C78">
        <w:tblPrEx>
          <w:tblBorders>
            <w:top w:val="single" w:color="000000" w:sz="8" w:space="0"/>
            <w:left w:val="single" w:color="000000" w:sz="8" w:space="0"/>
            <w:bottom w:val="single" w:color="000000" w:sz="8" w:space="0"/>
            <w:right w:val="single" w:color="000000" w:sz="4" w:space="0"/>
            <w:insideH w:val="single" w:color="000000" w:sz="8" w:space="0"/>
            <w:insideV w:val="single" w:color="000000" w:sz="4" w:space="0"/>
          </w:tblBorders>
          <w:tblCellMar>
            <w:top w:w="0" w:type="dxa"/>
            <w:left w:w="108" w:type="dxa"/>
            <w:bottom w:w="0" w:type="dxa"/>
            <w:right w:w="108" w:type="dxa"/>
          </w:tblCellMar>
        </w:tblPrEx>
        <w:trPr>
          <w:trHeight w:val="960" w:hRule="atLeast"/>
        </w:trPr>
        <w:tc>
          <w:tcPr>
            <w:tcW w:w="244" w:type="pct"/>
            <w:tcBorders>
              <w:tl2br w:val="nil"/>
              <w:tr2bl w:val="nil"/>
            </w:tcBorders>
            <w:shd w:val="clear" w:color="FFFFFF" w:fill="FFFFFF"/>
            <w:vAlign w:val="center"/>
          </w:tcPr>
          <w:p w14:paraId="760745E3">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21</w:t>
            </w:r>
          </w:p>
        </w:tc>
        <w:tc>
          <w:tcPr>
            <w:tcW w:w="690" w:type="pct"/>
            <w:tcBorders>
              <w:tl2br w:val="nil"/>
              <w:tr2bl w:val="nil"/>
            </w:tcBorders>
            <w:shd w:val="clear" w:color="FFFFFF" w:fill="FFFFFF"/>
            <w:vAlign w:val="center"/>
          </w:tcPr>
          <w:p w14:paraId="35479AE9">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双绞线缆</w:t>
            </w:r>
          </w:p>
        </w:tc>
        <w:tc>
          <w:tcPr>
            <w:tcW w:w="2377" w:type="pct"/>
            <w:tcBorders>
              <w:tl2br w:val="nil"/>
              <w:tr2bl w:val="nil"/>
            </w:tcBorders>
            <w:shd w:val="clear" w:color="FFFFFF" w:fill="FFFFFF"/>
            <w:vAlign w:val="center"/>
          </w:tcPr>
          <w:p w14:paraId="7601C900">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 xml:space="preserve">1、名称：数据线  含安装、调试   </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 xml:space="preserve">2、规格型号：UTP5E  </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3、技术参数：8*0.5无氧铜材质；2、内置抗拉绳，抗拉强度高；</w:t>
            </w:r>
          </w:p>
        </w:tc>
        <w:tc>
          <w:tcPr>
            <w:tcW w:w="741" w:type="pct"/>
            <w:tcBorders>
              <w:tl2br w:val="nil"/>
              <w:tr2bl w:val="nil"/>
            </w:tcBorders>
            <w:shd w:val="clear" w:color="FFFFFF" w:fill="FFFFFF"/>
            <w:vAlign w:val="center"/>
          </w:tcPr>
          <w:p w14:paraId="1D4E2204">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国产 定制</w:t>
            </w:r>
          </w:p>
        </w:tc>
        <w:tc>
          <w:tcPr>
            <w:tcW w:w="430" w:type="pct"/>
            <w:tcBorders>
              <w:tl2br w:val="nil"/>
              <w:tr2bl w:val="nil"/>
            </w:tcBorders>
            <w:shd w:val="clear" w:color="FFFFFF" w:fill="FFFFFF"/>
            <w:vAlign w:val="center"/>
          </w:tcPr>
          <w:p w14:paraId="53ACF862">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m</w:t>
            </w:r>
          </w:p>
        </w:tc>
        <w:tc>
          <w:tcPr>
            <w:tcW w:w="515" w:type="pct"/>
            <w:tcBorders>
              <w:tl2br w:val="nil"/>
              <w:tr2bl w:val="nil"/>
            </w:tcBorders>
            <w:shd w:val="clear" w:color="FFFFFF" w:fill="FFFFFF"/>
            <w:vAlign w:val="center"/>
          </w:tcPr>
          <w:p w14:paraId="386A8AF3">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 xml:space="preserve">1476.00 </w:t>
            </w:r>
          </w:p>
        </w:tc>
      </w:tr>
      <w:tr w14:paraId="6E987081">
        <w:tblPrEx>
          <w:tblBorders>
            <w:top w:val="single" w:color="000000" w:sz="8" w:space="0"/>
            <w:left w:val="single" w:color="000000" w:sz="8" w:space="0"/>
            <w:bottom w:val="single" w:color="000000" w:sz="8" w:space="0"/>
            <w:right w:val="single" w:color="000000" w:sz="4" w:space="0"/>
            <w:insideH w:val="single" w:color="000000" w:sz="8" w:space="0"/>
            <w:insideV w:val="single" w:color="000000" w:sz="4" w:space="0"/>
          </w:tblBorders>
          <w:tblCellMar>
            <w:top w:w="0" w:type="dxa"/>
            <w:left w:w="108" w:type="dxa"/>
            <w:bottom w:w="0" w:type="dxa"/>
            <w:right w:w="108" w:type="dxa"/>
          </w:tblCellMar>
        </w:tblPrEx>
        <w:trPr>
          <w:trHeight w:val="1200" w:hRule="atLeast"/>
        </w:trPr>
        <w:tc>
          <w:tcPr>
            <w:tcW w:w="244" w:type="pct"/>
            <w:tcBorders>
              <w:tl2br w:val="nil"/>
              <w:tr2bl w:val="nil"/>
            </w:tcBorders>
            <w:shd w:val="clear" w:color="FFFFFF" w:fill="FFFFFF"/>
            <w:vAlign w:val="center"/>
          </w:tcPr>
          <w:p w14:paraId="67936EF2">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22</w:t>
            </w:r>
          </w:p>
        </w:tc>
        <w:tc>
          <w:tcPr>
            <w:tcW w:w="690" w:type="pct"/>
            <w:tcBorders>
              <w:tl2br w:val="nil"/>
              <w:tr2bl w:val="nil"/>
            </w:tcBorders>
            <w:shd w:val="clear" w:color="FFFFFF" w:fill="FFFFFF"/>
            <w:vAlign w:val="center"/>
          </w:tcPr>
          <w:p w14:paraId="4CE4E706">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配线</w:t>
            </w:r>
          </w:p>
        </w:tc>
        <w:tc>
          <w:tcPr>
            <w:tcW w:w="2377" w:type="pct"/>
            <w:tcBorders>
              <w:tl2br w:val="nil"/>
              <w:tr2bl w:val="nil"/>
            </w:tcBorders>
            <w:shd w:val="clear" w:color="FFFFFF" w:fill="FFFFFF"/>
            <w:vAlign w:val="center"/>
          </w:tcPr>
          <w:p w14:paraId="7ECF5B10">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1、名称：电源线</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2、规格型号：RVV2*1.5</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 xml:space="preserve">3、技术参数：配线 </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1、两芯RVV2*1.5护套软线；2、加粗抗拉绳，抗拉强度高；3、双层橡胶防护套；</w:t>
            </w:r>
          </w:p>
        </w:tc>
        <w:tc>
          <w:tcPr>
            <w:tcW w:w="741" w:type="pct"/>
            <w:tcBorders>
              <w:tl2br w:val="nil"/>
              <w:tr2bl w:val="nil"/>
            </w:tcBorders>
            <w:shd w:val="clear" w:color="FFFFFF" w:fill="FFFFFF"/>
            <w:vAlign w:val="center"/>
          </w:tcPr>
          <w:p w14:paraId="775A9A0D">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国产 定制</w:t>
            </w:r>
          </w:p>
        </w:tc>
        <w:tc>
          <w:tcPr>
            <w:tcW w:w="430" w:type="pct"/>
            <w:tcBorders>
              <w:tl2br w:val="nil"/>
              <w:tr2bl w:val="nil"/>
            </w:tcBorders>
            <w:shd w:val="clear" w:color="FFFFFF" w:fill="FFFFFF"/>
            <w:vAlign w:val="center"/>
          </w:tcPr>
          <w:p w14:paraId="63BD2206">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m</w:t>
            </w:r>
          </w:p>
        </w:tc>
        <w:tc>
          <w:tcPr>
            <w:tcW w:w="515" w:type="pct"/>
            <w:tcBorders>
              <w:tl2br w:val="nil"/>
              <w:tr2bl w:val="nil"/>
            </w:tcBorders>
            <w:shd w:val="clear" w:color="FFFFFF" w:fill="FFFFFF"/>
            <w:vAlign w:val="center"/>
          </w:tcPr>
          <w:p w14:paraId="6988FAA4">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 xml:space="preserve">728.00 </w:t>
            </w:r>
          </w:p>
        </w:tc>
      </w:tr>
      <w:tr w14:paraId="43575711">
        <w:tblPrEx>
          <w:tblBorders>
            <w:top w:val="single" w:color="000000" w:sz="8" w:space="0"/>
            <w:left w:val="single" w:color="000000" w:sz="8" w:space="0"/>
            <w:bottom w:val="single" w:color="000000" w:sz="8" w:space="0"/>
            <w:right w:val="single" w:color="000000" w:sz="4" w:space="0"/>
            <w:insideH w:val="single" w:color="000000" w:sz="8" w:space="0"/>
            <w:insideV w:val="single" w:color="000000" w:sz="4" w:space="0"/>
          </w:tblBorders>
          <w:tblCellMar>
            <w:top w:w="0" w:type="dxa"/>
            <w:left w:w="108" w:type="dxa"/>
            <w:bottom w:w="0" w:type="dxa"/>
            <w:right w:w="108" w:type="dxa"/>
          </w:tblCellMar>
        </w:tblPrEx>
        <w:trPr>
          <w:trHeight w:val="1200" w:hRule="atLeast"/>
        </w:trPr>
        <w:tc>
          <w:tcPr>
            <w:tcW w:w="244" w:type="pct"/>
            <w:tcBorders>
              <w:tl2br w:val="nil"/>
              <w:tr2bl w:val="nil"/>
            </w:tcBorders>
            <w:shd w:val="clear" w:color="FFFFFF" w:fill="FFFFFF"/>
            <w:vAlign w:val="center"/>
          </w:tcPr>
          <w:p w14:paraId="3592F678">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23</w:t>
            </w:r>
          </w:p>
        </w:tc>
        <w:tc>
          <w:tcPr>
            <w:tcW w:w="690" w:type="pct"/>
            <w:tcBorders>
              <w:tl2br w:val="nil"/>
              <w:tr2bl w:val="nil"/>
            </w:tcBorders>
            <w:shd w:val="clear" w:color="FFFFFF" w:fill="FFFFFF"/>
            <w:vAlign w:val="center"/>
          </w:tcPr>
          <w:p w14:paraId="1782BAF4">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配线</w:t>
            </w:r>
          </w:p>
        </w:tc>
        <w:tc>
          <w:tcPr>
            <w:tcW w:w="2377" w:type="pct"/>
            <w:tcBorders>
              <w:tl2br w:val="nil"/>
              <w:tr2bl w:val="nil"/>
            </w:tcBorders>
            <w:shd w:val="clear" w:color="FFFFFF" w:fill="FFFFFF"/>
            <w:vAlign w:val="center"/>
          </w:tcPr>
          <w:p w14:paraId="57DA0BC7">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1、名称：电源线</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2、规格型号：RVV3*1.5</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 xml:space="preserve">3、技术参数：配线 </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1、两芯RVV2*1.5护套软线；2、加粗抗拉绳，抗拉强度高；3、双层橡胶防护套；</w:t>
            </w:r>
          </w:p>
        </w:tc>
        <w:tc>
          <w:tcPr>
            <w:tcW w:w="741" w:type="pct"/>
            <w:tcBorders>
              <w:tl2br w:val="nil"/>
              <w:tr2bl w:val="nil"/>
            </w:tcBorders>
            <w:shd w:val="clear" w:color="FFFFFF" w:fill="FFFFFF"/>
            <w:vAlign w:val="center"/>
          </w:tcPr>
          <w:p w14:paraId="1667E45B">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国产 定制</w:t>
            </w:r>
          </w:p>
        </w:tc>
        <w:tc>
          <w:tcPr>
            <w:tcW w:w="430" w:type="pct"/>
            <w:tcBorders>
              <w:tl2br w:val="nil"/>
              <w:tr2bl w:val="nil"/>
            </w:tcBorders>
            <w:shd w:val="clear" w:color="FFFFFF" w:fill="FFFFFF"/>
            <w:vAlign w:val="center"/>
          </w:tcPr>
          <w:p w14:paraId="5612A1C6">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m</w:t>
            </w:r>
          </w:p>
        </w:tc>
        <w:tc>
          <w:tcPr>
            <w:tcW w:w="515" w:type="pct"/>
            <w:tcBorders>
              <w:tl2br w:val="nil"/>
              <w:tr2bl w:val="nil"/>
            </w:tcBorders>
            <w:shd w:val="clear" w:color="FFFFFF" w:fill="FFFFFF"/>
            <w:vAlign w:val="center"/>
          </w:tcPr>
          <w:p w14:paraId="2C921C8F">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 xml:space="preserve">1460.00 </w:t>
            </w:r>
          </w:p>
        </w:tc>
      </w:tr>
      <w:tr w14:paraId="56F0EC8F">
        <w:tblPrEx>
          <w:tblBorders>
            <w:top w:val="single" w:color="000000" w:sz="8" w:space="0"/>
            <w:left w:val="single" w:color="000000" w:sz="8" w:space="0"/>
            <w:bottom w:val="single" w:color="000000" w:sz="8" w:space="0"/>
            <w:right w:val="single" w:color="000000" w:sz="4" w:space="0"/>
            <w:insideH w:val="single" w:color="000000" w:sz="8" w:space="0"/>
            <w:insideV w:val="single" w:color="000000" w:sz="4" w:space="0"/>
          </w:tblBorders>
          <w:tblCellMar>
            <w:top w:w="0" w:type="dxa"/>
            <w:left w:w="108" w:type="dxa"/>
            <w:bottom w:w="0" w:type="dxa"/>
            <w:right w:w="108" w:type="dxa"/>
          </w:tblCellMar>
        </w:tblPrEx>
        <w:trPr>
          <w:trHeight w:val="720" w:hRule="atLeast"/>
        </w:trPr>
        <w:tc>
          <w:tcPr>
            <w:tcW w:w="244" w:type="pct"/>
            <w:tcBorders>
              <w:tl2br w:val="nil"/>
              <w:tr2bl w:val="nil"/>
            </w:tcBorders>
            <w:shd w:val="clear" w:color="FFFFFF" w:fill="FFFFFF"/>
            <w:vAlign w:val="center"/>
          </w:tcPr>
          <w:p w14:paraId="28FC5F51">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24</w:t>
            </w:r>
          </w:p>
        </w:tc>
        <w:tc>
          <w:tcPr>
            <w:tcW w:w="690" w:type="pct"/>
            <w:tcBorders>
              <w:tl2br w:val="nil"/>
              <w:tr2bl w:val="nil"/>
            </w:tcBorders>
            <w:shd w:val="clear" w:color="FFFFFF" w:fill="FFFFFF"/>
            <w:vAlign w:val="center"/>
          </w:tcPr>
          <w:p w14:paraId="7B4C85CF">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配管</w:t>
            </w:r>
          </w:p>
        </w:tc>
        <w:tc>
          <w:tcPr>
            <w:tcW w:w="2377" w:type="pct"/>
            <w:tcBorders>
              <w:tl2br w:val="nil"/>
              <w:tr2bl w:val="nil"/>
            </w:tcBorders>
            <w:shd w:val="clear" w:color="FFFFFF" w:fill="FFFFFF"/>
            <w:vAlign w:val="center"/>
          </w:tcPr>
          <w:p w14:paraId="17439C57">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1、名称：阻燃PVC管</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2、规格型号：20</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3、技术参数：阻燃中型PVC管材</w:t>
            </w:r>
          </w:p>
        </w:tc>
        <w:tc>
          <w:tcPr>
            <w:tcW w:w="741" w:type="pct"/>
            <w:tcBorders>
              <w:tl2br w:val="nil"/>
              <w:tr2bl w:val="nil"/>
            </w:tcBorders>
            <w:shd w:val="clear" w:color="FFFFFF" w:fill="FFFFFF"/>
            <w:vAlign w:val="center"/>
          </w:tcPr>
          <w:p w14:paraId="320E958D">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国产 定制</w:t>
            </w:r>
          </w:p>
        </w:tc>
        <w:tc>
          <w:tcPr>
            <w:tcW w:w="430" w:type="pct"/>
            <w:tcBorders>
              <w:tl2br w:val="nil"/>
              <w:tr2bl w:val="nil"/>
            </w:tcBorders>
            <w:shd w:val="clear" w:color="FFFFFF" w:fill="FFFFFF"/>
            <w:vAlign w:val="center"/>
          </w:tcPr>
          <w:p w14:paraId="278C4165">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m</w:t>
            </w:r>
          </w:p>
        </w:tc>
        <w:tc>
          <w:tcPr>
            <w:tcW w:w="515" w:type="pct"/>
            <w:tcBorders>
              <w:tl2br w:val="nil"/>
              <w:tr2bl w:val="nil"/>
            </w:tcBorders>
            <w:shd w:val="clear" w:color="FFFFFF" w:fill="FFFFFF"/>
            <w:vAlign w:val="center"/>
          </w:tcPr>
          <w:p w14:paraId="16E3F5FE">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 xml:space="preserve">2150.00 </w:t>
            </w:r>
          </w:p>
        </w:tc>
      </w:tr>
      <w:tr w14:paraId="6304A11E">
        <w:tblPrEx>
          <w:tblBorders>
            <w:top w:val="single" w:color="000000" w:sz="8" w:space="0"/>
            <w:left w:val="single" w:color="000000" w:sz="8" w:space="0"/>
            <w:bottom w:val="single" w:color="000000" w:sz="8" w:space="0"/>
            <w:right w:val="single" w:color="000000" w:sz="4" w:space="0"/>
            <w:insideH w:val="single" w:color="000000" w:sz="8" w:space="0"/>
            <w:insideV w:val="single" w:color="000000" w:sz="4" w:space="0"/>
          </w:tblBorders>
          <w:tblCellMar>
            <w:top w:w="0" w:type="dxa"/>
            <w:left w:w="108" w:type="dxa"/>
            <w:bottom w:w="0" w:type="dxa"/>
            <w:right w:w="108" w:type="dxa"/>
          </w:tblCellMar>
        </w:tblPrEx>
        <w:trPr>
          <w:trHeight w:val="720" w:hRule="atLeast"/>
        </w:trPr>
        <w:tc>
          <w:tcPr>
            <w:tcW w:w="244" w:type="pct"/>
            <w:tcBorders>
              <w:tl2br w:val="nil"/>
              <w:tr2bl w:val="nil"/>
            </w:tcBorders>
            <w:shd w:val="clear" w:color="FFFFFF" w:fill="FFFFFF"/>
            <w:vAlign w:val="center"/>
          </w:tcPr>
          <w:p w14:paraId="4F46D2DC">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25</w:t>
            </w:r>
          </w:p>
        </w:tc>
        <w:tc>
          <w:tcPr>
            <w:tcW w:w="690" w:type="pct"/>
            <w:tcBorders>
              <w:tl2br w:val="nil"/>
              <w:tr2bl w:val="nil"/>
            </w:tcBorders>
            <w:shd w:val="clear" w:color="FFFFFF" w:fill="FFFFFF"/>
            <w:vAlign w:val="center"/>
          </w:tcPr>
          <w:p w14:paraId="4148C6D0">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人（手）孔井</w:t>
            </w:r>
          </w:p>
        </w:tc>
        <w:tc>
          <w:tcPr>
            <w:tcW w:w="2377" w:type="pct"/>
            <w:tcBorders>
              <w:tl2br w:val="nil"/>
              <w:tr2bl w:val="nil"/>
            </w:tcBorders>
            <w:shd w:val="clear" w:color="FFFFFF" w:fill="FFFFFF"/>
            <w:vAlign w:val="center"/>
          </w:tcPr>
          <w:p w14:paraId="418C288A">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400*400*300弱电井（内空），复合材质井盖，共80mm厚碎石垫层+C15混凝土垫层，120厚砖砌井壁，具体详见弱电手孔井大样图</w:t>
            </w:r>
          </w:p>
        </w:tc>
        <w:tc>
          <w:tcPr>
            <w:tcW w:w="741" w:type="pct"/>
            <w:tcBorders>
              <w:tl2br w:val="nil"/>
              <w:tr2bl w:val="nil"/>
            </w:tcBorders>
            <w:shd w:val="clear" w:color="FFFFFF" w:fill="FFFFFF"/>
            <w:vAlign w:val="center"/>
          </w:tcPr>
          <w:p w14:paraId="6EC45C06">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国产 定制</w:t>
            </w:r>
          </w:p>
        </w:tc>
        <w:tc>
          <w:tcPr>
            <w:tcW w:w="430" w:type="pct"/>
            <w:tcBorders>
              <w:tl2br w:val="nil"/>
              <w:tr2bl w:val="nil"/>
            </w:tcBorders>
            <w:shd w:val="clear" w:color="FFFFFF" w:fill="FFFFFF"/>
            <w:vAlign w:val="center"/>
          </w:tcPr>
          <w:p w14:paraId="24BD2F63">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座</w:t>
            </w:r>
          </w:p>
        </w:tc>
        <w:tc>
          <w:tcPr>
            <w:tcW w:w="515" w:type="pct"/>
            <w:tcBorders>
              <w:tl2br w:val="nil"/>
              <w:tr2bl w:val="nil"/>
            </w:tcBorders>
            <w:shd w:val="clear" w:color="FFFFFF" w:fill="FFFFFF"/>
            <w:vAlign w:val="center"/>
          </w:tcPr>
          <w:p w14:paraId="1A042ECB">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 xml:space="preserve">16.00 </w:t>
            </w:r>
          </w:p>
        </w:tc>
      </w:tr>
      <w:tr w14:paraId="75820EAA">
        <w:tblPrEx>
          <w:tblBorders>
            <w:top w:val="single" w:color="000000" w:sz="8" w:space="0"/>
            <w:left w:val="single" w:color="000000" w:sz="8" w:space="0"/>
            <w:bottom w:val="single" w:color="000000" w:sz="8" w:space="0"/>
            <w:right w:val="single" w:color="000000" w:sz="4" w:space="0"/>
            <w:insideH w:val="single" w:color="000000" w:sz="8" w:space="0"/>
            <w:insideV w:val="single" w:color="000000" w:sz="4" w:space="0"/>
          </w:tblBorders>
          <w:tblCellMar>
            <w:top w:w="0" w:type="dxa"/>
            <w:left w:w="108" w:type="dxa"/>
            <w:bottom w:w="0" w:type="dxa"/>
            <w:right w:w="108" w:type="dxa"/>
          </w:tblCellMar>
        </w:tblPrEx>
        <w:trPr>
          <w:trHeight w:val="285" w:hRule="atLeast"/>
        </w:trPr>
        <w:tc>
          <w:tcPr>
            <w:tcW w:w="244" w:type="pct"/>
            <w:tcBorders>
              <w:tl2br w:val="nil"/>
              <w:tr2bl w:val="nil"/>
            </w:tcBorders>
            <w:shd w:val="clear" w:color="FFFFFF" w:fill="FFFFFF"/>
            <w:vAlign w:val="center"/>
          </w:tcPr>
          <w:p w14:paraId="3D15CF1B">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26</w:t>
            </w:r>
          </w:p>
        </w:tc>
        <w:tc>
          <w:tcPr>
            <w:tcW w:w="690" w:type="pct"/>
            <w:tcBorders>
              <w:tl2br w:val="nil"/>
              <w:tr2bl w:val="nil"/>
            </w:tcBorders>
            <w:shd w:val="clear" w:color="FFFFFF" w:fill="FFFFFF"/>
            <w:vAlign w:val="center"/>
          </w:tcPr>
          <w:p w14:paraId="74C86394">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拆除路面</w:t>
            </w:r>
          </w:p>
        </w:tc>
        <w:tc>
          <w:tcPr>
            <w:tcW w:w="2377" w:type="pct"/>
            <w:tcBorders>
              <w:tl2br w:val="nil"/>
              <w:tr2bl w:val="nil"/>
            </w:tcBorders>
            <w:shd w:val="clear" w:color="FFFFFF" w:fill="FFFFFF"/>
            <w:vAlign w:val="center"/>
          </w:tcPr>
          <w:p w14:paraId="1D8BDC4F">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拆除沥青柏油类路面层</w:t>
            </w:r>
          </w:p>
        </w:tc>
        <w:tc>
          <w:tcPr>
            <w:tcW w:w="741" w:type="pct"/>
            <w:tcBorders>
              <w:tl2br w:val="nil"/>
              <w:tr2bl w:val="nil"/>
            </w:tcBorders>
            <w:shd w:val="clear" w:color="FFFFFF" w:fill="FFFFFF"/>
            <w:vAlign w:val="center"/>
          </w:tcPr>
          <w:p w14:paraId="3398832F">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国产 定制</w:t>
            </w:r>
          </w:p>
        </w:tc>
        <w:tc>
          <w:tcPr>
            <w:tcW w:w="430" w:type="pct"/>
            <w:tcBorders>
              <w:tl2br w:val="nil"/>
              <w:tr2bl w:val="nil"/>
            </w:tcBorders>
            <w:shd w:val="clear" w:color="FFFFFF" w:fill="FFFFFF"/>
            <w:vAlign w:val="center"/>
          </w:tcPr>
          <w:p w14:paraId="42BA7746">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m2</w:t>
            </w:r>
          </w:p>
        </w:tc>
        <w:tc>
          <w:tcPr>
            <w:tcW w:w="515" w:type="pct"/>
            <w:tcBorders>
              <w:tl2br w:val="nil"/>
              <w:tr2bl w:val="nil"/>
            </w:tcBorders>
            <w:shd w:val="clear" w:color="FFFFFF" w:fill="FFFFFF"/>
            <w:vAlign w:val="center"/>
          </w:tcPr>
          <w:p w14:paraId="0010D158">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 xml:space="preserve">20.70 </w:t>
            </w:r>
          </w:p>
        </w:tc>
      </w:tr>
      <w:tr w14:paraId="51CAA04B">
        <w:tblPrEx>
          <w:tblBorders>
            <w:top w:val="single" w:color="000000" w:sz="8" w:space="0"/>
            <w:left w:val="single" w:color="000000" w:sz="8" w:space="0"/>
            <w:bottom w:val="single" w:color="000000" w:sz="8" w:space="0"/>
            <w:right w:val="single" w:color="000000" w:sz="4" w:space="0"/>
            <w:insideH w:val="single" w:color="000000" w:sz="8" w:space="0"/>
            <w:insideV w:val="single" w:color="000000" w:sz="4" w:space="0"/>
          </w:tblBorders>
          <w:tblCellMar>
            <w:top w:w="0" w:type="dxa"/>
            <w:left w:w="108" w:type="dxa"/>
            <w:bottom w:w="0" w:type="dxa"/>
            <w:right w:w="108" w:type="dxa"/>
          </w:tblCellMar>
        </w:tblPrEx>
        <w:trPr>
          <w:trHeight w:val="285" w:hRule="atLeast"/>
        </w:trPr>
        <w:tc>
          <w:tcPr>
            <w:tcW w:w="244" w:type="pct"/>
            <w:tcBorders>
              <w:tl2br w:val="nil"/>
              <w:tr2bl w:val="nil"/>
            </w:tcBorders>
            <w:shd w:val="clear" w:color="FFFFFF" w:fill="FFFFFF"/>
            <w:vAlign w:val="center"/>
          </w:tcPr>
          <w:p w14:paraId="7AC2ECEF">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27</w:t>
            </w:r>
          </w:p>
        </w:tc>
        <w:tc>
          <w:tcPr>
            <w:tcW w:w="690" w:type="pct"/>
            <w:tcBorders>
              <w:tl2br w:val="nil"/>
              <w:tr2bl w:val="nil"/>
            </w:tcBorders>
            <w:shd w:val="clear" w:color="FFFFFF" w:fill="FFFFFF"/>
            <w:vAlign w:val="center"/>
          </w:tcPr>
          <w:p w14:paraId="2C496F5E">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沥青混凝土</w:t>
            </w:r>
          </w:p>
        </w:tc>
        <w:tc>
          <w:tcPr>
            <w:tcW w:w="2377" w:type="pct"/>
            <w:tcBorders>
              <w:tl2br w:val="nil"/>
              <w:tr2bl w:val="nil"/>
            </w:tcBorders>
            <w:shd w:val="clear" w:color="FFFFFF" w:fill="FFFFFF"/>
            <w:vAlign w:val="center"/>
          </w:tcPr>
          <w:p w14:paraId="0E6D4FC1">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恢复沥青柏油类路面层</w:t>
            </w:r>
          </w:p>
        </w:tc>
        <w:tc>
          <w:tcPr>
            <w:tcW w:w="741" w:type="pct"/>
            <w:tcBorders>
              <w:tl2br w:val="nil"/>
              <w:tr2bl w:val="nil"/>
            </w:tcBorders>
            <w:shd w:val="clear" w:color="FFFFFF" w:fill="FFFFFF"/>
            <w:vAlign w:val="center"/>
          </w:tcPr>
          <w:p w14:paraId="5EE10A02">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国产 定制</w:t>
            </w:r>
          </w:p>
        </w:tc>
        <w:tc>
          <w:tcPr>
            <w:tcW w:w="430" w:type="pct"/>
            <w:tcBorders>
              <w:tl2br w:val="nil"/>
              <w:tr2bl w:val="nil"/>
            </w:tcBorders>
            <w:shd w:val="clear" w:color="FFFFFF" w:fill="FFFFFF"/>
            <w:vAlign w:val="center"/>
          </w:tcPr>
          <w:p w14:paraId="2975B316">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m2</w:t>
            </w:r>
          </w:p>
        </w:tc>
        <w:tc>
          <w:tcPr>
            <w:tcW w:w="515" w:type="pct"/>
            <w:tcBorders>
              <w:tl2br w:val="nil"/>
              <w:tr2bl w:val="nil"/>
            </w:tcBorders>
            <w:shd w:val="clear" w:color="FFFFFF" w:fill="FFFFFF"/>
            <w:vAlign w:val="center"/>
          </w:tcPr>
          <w:p w14:paraId="47D4BDCF">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 xml:space="preserve">20.70 </w:t>
            </w:r>
          </w:p>
        </w:tc>
      </w:tr>
      <w:tr w14:paraId="04116A97">
        <w:tblPrEx>
          <w:tblBorders>
            <w:top w:val="single" w:color="000000" w:sz="8" w:space="0"/>
            <w:left w:val="single" w:color="000000" w:sz="8" w:space="0"/>
            <w:bottom w:val="single" w:color="000000" w:sz="8" w:space="0"/>
            <w:right w:val="single" w:color="000000" w:sz="4" w:space="0"/>
            <w:insideH w:val="single" w:color="000000" w:sz="8" w:space="0"/>
            <w:insideV w:val="single" w:color="000000" w:sz="4" w:space="0"/>
          </w:tblBorders>
          <w:tblCellMar>
            <w:top w:w="0" w:type="dxa"/>
            <w:left w:w="108" w:type="dxa"/>
            <w:bottom w:w="0" w:type="dxa"/>
            <w:right w:w="108" w:type="dxa"/>
          </w:tblCellMar>
        </w:tblPrEx>
        <w:trPr>
          <w:trHeight w:val="285" w:hRule="atLeast"/>
        </w:trPr>
        <w:tc>
          <w:tcPr>
            <w:tcW w:w="244" w:type="pct"/>
            <w:tcBorders>
              <w:tl2br w:val="nil"/>
              <w:tr2bl w:val="nil"/>
            </w:tcBorders>
            <w:shd w:val="clear" w:color="FFFFFF" w:fill="FFFFFF"/>
            <w:vAlign w:val="center"/>
          </w:tcPr>
          <w:p w14:paraId="431449B6">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28</w:t>
            </w:r>
          </w:p>
        </w:tc>
        <w:tc>
          <w:tcPr>
            <w:tcW w:w="690" w:type="pct"/>
            <w:tcBorders>
              <w:tl2br w:val="nil"/>
              <w:tr2bl w:val="nil"/>
            </w:tcBorders>
            <w:shd w:val="clear" w:color="FFFFFF" w:fill="FFFFFF"/>
            <w:vAlign w:val="center"/>
          </w:tcPr>
          <w:p w14:paraId="08593BC1">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挖一般土方</w:t>
            </w:r>
          </w:p>
        </w:tc>
        <w:tc>
          <w:tcPr>
            <w:tcW w:w="2377" w:type="pct"/>
            <w:tcBorders>
              <w:tl2br w:val="nil"/>
              <w:tr2bl w:val="nil"/>
            </w:tcBorders>
            <w:shd w:val="clear" w:color="FFFFFF" w:fill="FFFFFF"/>
            <w:vAlign w:val="center"/>
          </w:tcPr>
          <w:p w14:paraId="7967D19B">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挖一般土方</w:t>
            </w:r>
          </w:p>
        </w:tc>
        <w:tc>
          <w:tcPr>
            <w:tcW w:w="741" w:type="pct"/>
            <w:tcBorders>
              <w:tl2br w:val="nil"/>
              <w:tr2bl w:val="nil"/>
            </w:tcBorders>
            <w:shd w:val="clear" w:color="FFFFFF" w:fill="FFFFFF"/>
            <w:vAlign w:val="center"/>
          </w:tcPr>
          <w:p w14:paraId="7AD06790">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国产 定制</w:t>
            </w:r>
          </w:p>
        </w:tc>
        <w:tc>
          <w:tcPr>
            <w:tcW w:w="430" w:type="pct"/>
            <w:tcBorders>
              <w:tl2br w:val="nil"/>
              <w:tr2bl w:val="nil"/>
            </w:tcBorders>
            <w:shd w:val="clear" w:color="FFFFFF" w:fill="FFFFFF"/>
            <w:vAlign w:val="center"/>
          </w:tcPr>
          <w:p w14:paraId="1D2E5970">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m3</w:t>
            </w:r>
          </w:p>
        </w:tc>
        <w:tc>
          <w:tcPr>
            <w:tcW w:w="515" w:type="pct"/>
            <w:tcBorders>
              <w:tl2br w:val="nil"/>
              <w:tr2bl w:val="nil"/>
            </w:tcBorders>
            <w:shd w:val="clear" w:color="FFFFFF" w:fill="FFFFFF"/>
            <w:vAlign w:val="center"/>
          </w:tcPr>
          <w:p w14:paraId="1FD27005">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 xml:space="preserve">57.90 </w:t>
            </w:r>
          </w:p>
        </w:tc>
      </w:tr>
      <w:tr w14:paraId="5ECFCBC6">
        <w:tblPrEx>
          <w:tblBorders>
            <w:top w:val="single" w:color="000000" w:sz="8" w:space="0"/>
            <w:left w:val="single" w:color="000000" w:sz="8" w:space="0"/>
            <w:bottom w:val="single" w:color="000000" w:sz="8" w:space="0"/>
            <w:right w:val="single" w:color="000000" w:sz="4" w:space="0"/>
            <w:insideH w:val="single" w:color="000000" w:sz="8" w:space="0"/>
            <w:insideV w:val="single" w:color="000000" w:sz="4" w:space="0"/>
          </w:tblBorders>
          <w:tblCellMar>
            <w:top w:w="0" w:type="dxa"/>
            <w:left w:w="108" w:type="dxa"/>
            <w:bottom w:w="0" w:type="dxa"/>
            <w:right w:w="108" w:type="dxa"/>
          </w:tblCellMar>
        </w:tblPrEx>
        <w:trPr>
          <w:trHeight w:val="285" w:hRule="atLeast"/>
        </w:trPr>
        <w:tc>
          <w:tcPr>
            <w:tcW w:w="244" w:type="pct"/>
            <w:tcBorders>
              <w:tl2br w:val="nil"/>
              <w:tr2bl w:val="nil"/>
            </w:tcBorders>
            <w:shd w:val="clear" w:color="FFFFFF" w:fill="FFFFFF"/>
            <w:vAlign w:val="center"/>
          </w:tcPr>
          <w:p w14:paraId="619B0B1E">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29</w:t>
            </w:r>
          </w:p>
        </w:tc>
        <w:tc>
          <w:tcPr>
            <w:tcW w:w="690" w:type="pct"/>
            <w:tcBorders>
              <w:tl2br w:val="nil"/>
              <w:tr2bl w:val="nil"/>
            </w:tcBorders>
            <w:shd w:val="clear" w:color="FFFFFF" w:fill="FFFFFF"/>
            <w:vAlign w:val="center"/>
          </w:tcPr>
          <w:p w14:paraId="76FF2272">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回填方</w:t>
            </w:r>
          </w:p>
        </w:tc>
        <w:tc>
          <w:tcPr>
            <w:tcW w:w="2377" w:type="pct"/>
            <w:tcBorders>
              <w:tl2br w:val="nil"/>
              <w:tr2bl w:val="nil"/>
            </w:tcBorders>
            <w:shd w:val="clear" w:color="FFFFFF" w:fill="FFFFFF"/>
            <w:vAlign w:val="center"/>
          </w:tcPr>
          <w:p w14:paraId="185FFDAF">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回填方</w:t>
            </w:r>
          </w:p>
        </w:tc>
        <w:tc>
          <w:tcPr>
            <w:tcW w:w="741" w:type="pct"/>
            <w:tcBorders>
              <w:tl2br w:val="nil"/>
              <w:tr2bl w:val="nil"/>
            </w:tcBorders>
            <w:shd w:val="clear" w:color="FFFFFF" w:fill="FFFFFF"/>
            <w:vAlign w:val="center"/>
          </w:tcPr>
          <w:p w14:paraId="7EDDDEE3">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国产 定制</w:t>
            </w:r>
          </w:p>
        </w:tc>
        <w:tc>
          <w:tcPr>
            <w:tcW w:w="430" w:type="pct"/>
            <w:tcBorders>
              <w:tl2br w:val="nil"/>
              <w:tr2bl w:val="nil"/>
            </w:tcBorders>
            <w:shd w:val="clear" w:color="FFFFFF" w:fill="FFFFFF"/>
            <w:vAlign w:val="center"/>
          </w:tcPr>
          <w:p w14:paraId="0E5C69B7">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m3</w:t>
            </w:r>
          </w:p>
        </w:tc>
        <w:tc>
          <w:tcPr>
            <w:tcW w:w="515" w:type="pct"/>
            <w:tcBorders>
              <w:tl2br w:val="nil"/>
              <w:tr2bl w:val="nil"/>
            </w:tcBorders>
            <w:shd w:val="clear" w:color="FFFFFF" w:fill="FFFFFF"/>
            <w:vAlign w:val="center"/>
          </w:tcPr>
          <w:p w14:paraId="024073C2">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 xml:space="preserve">57.90 </w:t>
            </w:r>
          </w:p>
        </w:tc>
      </w:tr>
      <w:tr w14:paraId="15CE3AE5">
        <w:tblPrEx>
          <w:tblBorders>
            <w:top w:val="single" w:color="000000" w:sz="8" w:space="0"/>
            <w:left w:val="single" w:color="000000" w:sz="8" w:space="0"/>
            <w:bottom w:val="single" w:color="000000" w:sz="8" w:space="0"/>
            <w:right w:val="single" w:color="000000" w:sz="4" w:space="0"/>
            <w:insideH w:val="single" w:color="000000" w:sz="8" w:space="0"/>
            <w:insideV w:val="single" w:color="000000" w:sz="4" w:space="0"/>
          </w:tblBorders>
          <w:tblCellMar>
            <w:top w:w="0" w:type="dxa"/>
            <w:left w:w="108" w:type="dxa"/>
            <w:bottom w:w="0" w:type="dxa"/>
            <w:right w:w="108" w:type="dxa"/>
          </w:tblCellMar>
        </w:tblPrEx>
        <w:trPr>
          <w:trHeight w:val="285" w:hRule="atLeast"/>
        </w:trPr>
        <w:tc>
          <w:tcPr>
            <w:tcW w:w="244" w:type="pct"/>
            <w:tcBorders>
              <w:tl2br w:val="nil"/>
              <w:tr2bl w:val="nil"/>
            </w:tcBorders>
            <w:shd w:val="clear" w:color="FFFFFF" w:fill="FFFFFF"/>
            <w:vAlign w:val="center"/>
          </w:tcPr>
          <w:p w14:paraId="10BCA189">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30</w:t>
            </w:r>
          </w:p>
        </w:tc>
        <w:tc>
          <w:tcPr>
            <w:tcW w:w="690" w:type="pct"/>
            <w:tcBorders>
              <w:tl2br w:val="nil"/>
              <w:tr2bl w:val="nil"/>
            </w:tcBorders>
            <w:shd w:val="clear" w:color="FFFFFF" w:fill="FFFFFF"/>
            <w:vAlign w:val="center"/>
          </w:tcPr>
          <w:p w14:paraId="5D437294">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垫层</w:t>
            </w:r>
          </w:p>
        </w:tc>
        <w:tc>
          <w:tcPr>
            <w:tcW w:w="2377" w:type="pct"/>
            <w:tcBorders>
              <w:tl2br w:val="nil"/>
              <w:tr2bl w:val="nil"/>
            </w:tcBorders>
            <w:shd w:val="clear" w:color="FFFFFF" w:fill="FFFFFF"/>
            <w:vAlign w:val="center"/>
          </w:tcPr>
          <w:p w14:paraId="03A6EA51">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管道沟槽砂垫层，厚100mm</w:t>
            </w:r>
          </w:p>
        </w:tc>
        <w:tc>
          <w:tcPr>
            <w:tcW w:w="741" w:type="pct"/>
            <w:tcBorders>
              <w:tl2br w:val="nil"/>
              <w:tr2bl w:val="nil"/>
            </w:tcBorders>
            <w:shd w:val="clear" w:color="FFFFFF" w:fill="FFFFFF"/>
            <w:vAlign w:val="center"/>
          </w:tcPr>
          <w:p w14:paraId="05E54DCD">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国产 定制</w:t>
            </w:r>
          </w:p>
        </w:tc>
        <w:tc>
          <w:tcPr>
            <w:tcW w:w="430" w:type="pct"/>
            <w:tcBorders>
              <w:tl2br w:val="nil"/>
              <w:tr2bl w:val="nil"/>
            </w:tcBorders>
            <w:shd w:val="clear" w:color="FFFFFF" w:fill="FFFFFF"/>
            <w:vAlign w:val="center"/>
          </w:tcPr>
          <w:p w14:paraId="657FD126">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m3</w:t>
            </w:r>
          </w:p>
        </w:tc>
        <w:tc>
          <w:tcPr>
            <w:tcW w:w="515" w:type="pct"/>
            <w:tcBorders>
              <w:tl2br w:val="nil"/>
              <w:tr2bl w:val="nil"/>
            </w:tcBorders>
            <w:shd w:val="clear" w:color="FFFFFF" w:fill="FFFFFF"/>
            <w:vAlign w:val="center"/>
          </w:tcPr>
          <w:p w14:paraId="07C9AA62">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 xml:space="preserve">11.58 </w:t>
            </w:r>
          </w:p>
        </w:tc>
      </w:tr>
      <w:tr w14:paraId="392C4BE5">
        <w:tblPrEx>
          <w:tblBorders>
            <w:top w:val="single" w:color="000000" w:sz="8" w:space="0"/>
            <w:left w:val="single" w:color="000000" w:sz="8" w:space="0"/>
            <w:bottom w:val="single" w:color="000000" w:sz="8" w:space="0"/>
            <w:right w:val="single" w:color="000000" w:sz="4" w:space="0"/>
            <w:insideH w:val="single" w:color="000000" w:sz="8" w:space="0"/>
            <w:insideV w:val="single" w:color="000000" w:sz="4" w:space="0"/>
          </w:tblBorders>
          <w:tblCellMar>
            <w:top w:w="0" w:type="dxa"/>
            <w:left w:w="108" w:type="dxa"/>
            <w:bottom w:w="0" w:type="dxa"/>
            <w:right w:w="108" w:type="dxa"/>
          </w:tblCellMar>
        </w:tblPrEx>
        <w:trPr>
          <w:trHeight w:val="407" w:hRule="atLeast"/>
        </w:trPr>
        <w:tc>
          <w:tcPr>
            <w:tcW w:w="244" w:type="pct"/>
            <w:tcBorders>
              <w:tl2br w:val="nil"/>
              <w:tr2bl w:val="nil"/>
            </w:tcBorders>
            <w:shd w:val="clear" w:color="FFFFFF" w:fill="FFFFFF"/>
            <w:vAlign w:val="center"/>
          </w:tcPr>
          <w:p w14:paraId="3D3624FB">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31</w:t>
            </w:r>
          </w:p>
        </w:tc>
        <w:tc>
          <w:tcPr>
            <w:tcW w:w="690" w:type="pct"/>
            <w:tcBorders>
              <w:tl2br w:val="nil"/>
              <w:tr2bl w:val="nil"/>
            </w:tcBorders>
            <w:shd w:val="clear" w:color="FFFFFF" w:fill="FFFFFF"/>
            <w:vAlign w:val="center"/>
          </w:tcPr>
          <w:p w14:paraId="2EF6D582">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监控摄像设备</w:t>
            </w:r>
          </w:p>
        </w:tc>
        <w:tc>
          <w:tcPr>
            <w:tcW w:w="2377" w:type="pct"/>
            <w:tcBorders>
              <w:tl2br w:val="nil"/>
              <w:tr2bl w:val="nil"/>
            </w:tcBorders>
            <w:shd w:val="clear" w:color="FFFFFF" w:fill="FFFFFF"/>
            <w:vAlign w:val="center"/>
          </w:tcPr>
          <w:p w14:paraId="1B0915F6">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 xml:space="preserve">1、名称：红外线摄像机含安装、调试   </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2、规格型号：400万</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3、技术参数：传感器类型：1/3英寸CMOS；</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像素：400万；最大分辨率：2688 × 1520；</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最低照度：0.002Lux（彩色模式）；0.0002Lux（黑白模式）；0Lux（补光灯开启）；最大补光距离：30m（暖光）；镜头类型：定焦；镜头焦距：3.6mm；</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通用行为分析：区域入侵；绊线入侵；</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视频压缩标准：H.265；H.264；H.264B；MJPEG（仅辅码流支持）；</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智能编码：H.264：支持H.265：支持；宽动态：120dB；</w:t>
            </w:r>
          </w:p>
        </w:tc>
        <w:tc>
          <w:tcPr>
            <w:tcW w:w="741" w:type="pct"/>
            <w:tcBorders>
              <w:tl2br w:val="nil"/>
              <w:tr2bl w:val="nil"/>
            </w:tcBorders>
            <w:shd w:val="clear" w:color="FFFFFF" w:fill="FFFFFF"/>
            <w:vAlign w:val="center"/>
          </w:tcPr>
          <w:p w14:paraId="78275295">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海康威视 定制</w:t>
            </w:r>
          </w:p>
        </w:tc>
        <w:tc>
          <w:tcPr>
            <w:tcW w:w="430" w:type="pct"/>
            <w:tcBorders>
              <w:tl2br w:val="nil"/>
              <w:tr2bl w:val="nil"/>
            </w:tcBorders>
            <w:shd w:val="clear" w:color="FFFFFF" w:fill="FFFFFF"/>
            <w:vAlign w:val="center"/>
          </w:tcPr>
          <w:p w14:paraId="2E17E8FA">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台</w:t>
            </w:r>
          </w:p>
        </w:tc>
        <w:tc>
          <w:tcPr>
            <w:tcW w:w="515" w:type="pct"/>
            <w:tcBorders>
              <w:tl2br w:val="nil"/>
              <w:tr2bl w:val="nil"/>
            </w:tcBorders>
            <w:shd w:val="clear" w:color="FFFFFF" w:fill="FFFFFF"/>
            <w:vAlign w:val="center"/>
          </w:tcPr>
          <w:p w14:paraId="61A8C330">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 xml:space="preserve">14.00 </w:t>
            </w:r>
          </w:p>
        </w:tc>
      </w:tr>
      <w:tr w14:paraId="6669C19A">
        <w:tblPrEx>
          <w:tblBorders>
            <w:top w:val="single" w:color="000000" w:sz="8" w:space="0"/>
            <w:left w:val="single" w:color="000000" w:sz="8" w:space="0"/>
            <w:bottom w:val="single" w:color="000000" w:sz="8" w:space="0"/>
            <w:right w:val="single" w:color="000000" w:sz="4" w:space="0"/>
            <w:insideH w:val="single" w:color="000000" w:sz="8" w:space="0"/>
            <w:insideV w:val="single" w:color="000000" w:sz="4" w:space="0"/>
          </w:tblBorders>
          <w:tblCellMar>
            <w:top w:w="0" w:type="dxa"/>
            <w:left w:w="108" w:type="dxa"/>
            <w:bottom w:w="0" w:type="dxa"/>
            <w:right w:w="108" w:type="dxa"/>
          </w:tblCellMar>
        </w:tblPrEx>
        <w:trPr>
          <w:trHeight w:val="285" w:hRule="atLeast"/>
        </w:trPr>
        <w:tc>
          <w:tcPr>
            <w:tcW w:w="244" w:type="pct"/>
            <w:tcBorders>
              <w:tl2br w:val="nil"/>
              <w:tr2bl w:val="nil"/>
            </w:tcBorders>
            <w:shd w:val="clear" w:color="FFFFFF" w:fill="FFFFFF"/>
            <w:vAlign w:val="center"/>
          </w:tcPr>
          <w:p w14:paraId="6AE37104">
            <w:pPr>
              <w:jc w:val="center"/>
              <w:rPr>
                <w:rFonts w:ascii="仿宋" w:hAnsi="仿宋" w:eastAsia="仿宋" w:cs="仿宋"/>
                <w:sz w:val="20"/>
                <w:szCs w:val="20"/>
              </w:rPr>
            </w:pPr>
          </w:p>
        </w:tc>
        <w:tc>
          <w:tcPr>
            <w:tcW w:w="690" w:type="pct"/>
            <w:tcBorders>
              <w:tl2br w:val="nil"/>
              <w:tr2bl w:val="nil"/>
            </w:tcBorders>
            <w:shd w:val="clear" w:color="FFFFFF" w:fill="FFFFFF"/>
            <w:vAlign w:val="center"/>
          </w:tcPr>
          <w:p w14:paraId="558B279C">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监控摄像设备</w:t>
            </w:r>
          </w:p>
        </w:tc>
        <w:tc>
          <w:tcPr>
            <w:tcW w:w="2377" w:type="pct"/>
            <w:tcBorders>
              <w:tl2br w:val="nil"/>
              <w:tr2bl w:val="nil"/>
            </w:tcBorders>
            <w:shd w:val="clear" w:color="FFFFFF" w:fill="FFFFFF"/>
            <w:vAlign w:val="center"/>
          </w:tcPr>
          <w:p w14:paraId="61894624">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1、名称：1.0-1.5M专用监控立杆，壁装L型支架</w:t>
            </w:r>
          </w:p>
        </w:tc>
        <w:tc>
          <w:tcPr>
            <w:tcW w:w="741" w:type="pct"/>
            <w:tcBorders>
              <w:tl2br w:val="nil"/>
              <w:tr2bl w:val="nil"/>
            </w:tcBorders>
            <w:shd w:val="clear" w:color="FFFFFF" w:fill="FFFFFF"/>
            <w:vAlign w:val="center"/>
          </w:tcPr>
          <w:p w14:paraId="4DC5D6C8">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国产 定制</w:t>
            </w:r>
          </w:p>
        </w:tc>
        <w:tc>
          <w:tcPr>
            <w:tcW w:w="430" w:type="pct"/>
            <w:tcBorders>
              <w:tl2br w:val="nil"/>
              <w:tr2bl w:val="nil"/>
            </w:tcBorders>
            <w:shd w:val="clear" w:color="FFFFFF" w:fill="FFFFFF"/>
            <w:vAlign w:val="center"/>
          </w:tcPr>
          <w:p w14:paraId="37FFE892">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台</w:t>
            </w:r>
          </w:p>
        </w:tc>
        <w:tc>
          <w:tcPr>
            <w:tcW w:w="515" w:type="pct"/>
            <w:tcBorders>
              <w:tl2br w:val="nil"/>
              <w:tr2bl w:val="nil"/>
            </w:tcBorders>
            <w:shd w:val="clear" w:color="FFFFFF" w:fill="FFFFFF"/>
            <w:vAlign w:val="center"/>
          </w:tcPr>
          <w:p w14:paraId="58B8D00E">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 xml:space="preserve">14.00 </w:t>
            </w:r>
          </w:p>
        </w:tc>
      </w:tr>
      <w:tr w14:paraId="304D2CCE">
        <w:tblPrEx>
          <w:tblBorders>
            <w:top w:val="single" w:color="000000" w:sz="8" w:space="0"/>
            <w:left w:val="single" w:color="000000" w:sz="8" w:space="0"/>
            <w:bottom w:val="single" w:color="000000" w:sz="8" w:space="0"/>
            <w:right w:val="single" w:color="000000" w:sz="4" w:space="0"/>
            <w:insideH w:val="single" w:color="000000" w:sz="8" w:space="0"/>
            <w:insideV w:val="single" w:color="000000" w:sz="4" w:space="0"/>
          </w:tblBorders>
          <w:tblCellMar>
            <w:top w:w="0" w:type="dxa"/>
            <w:left w:w="108" w:type="dxa"/>
            <w:bottom w:w="0" w:type="dxa"/>
            <w:right w:w="108" w:type="dxa"/>
          </w:tblCellMar>
        </w:tblPrEx>
        <w:trPr>
          <w:trHeight w:val="480" w:hRule="atLeast"/>
        </w:trPr>
        <w:tc>
          <w:tcPr>
            <w:tcW w:w="244" w:type="pct"/>
            <w:tcBorders>
              <w:tl2br w:val="nil"/>
              <w:tr2bl w:val="nil"/>
            </w:tcBorders>
            <w:shd w:val="clear" w:color="FFFFFF" w:fill="FFFFFF"/>
            <w:vAlign w:val="center"/>
          </w:tcPr>
          <w:p w14:paraId="61652585">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33</w:t>
            </w:r>
          </w:p>
        </w:tc>
        <w:tc>
          <w:tcPr>
            <w:tcW w:w="690" w:type="pct"/>
            <w:tcBorders>
              <w:tl2br w:val="nil"/>
              <w:tr2bl w:val="nil"/>
            </w:tcBorders>
            <w:shd w:val="clear" w:color="FFFFFF" w:fill="FFFFFF"/>
            <w:vAlign w:val="center"/>
          </w:tcPr>
          <w:p w14:paraId="62AC4B4A">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交换机</w:t>
            </w:r>
          </w:p>
        </w:tc>
        <w:tc>
          <w:tcPr>
            <w:tcW w:w="2377" w:type="pct"/>
            <w:tcBorders>
              <w:tl2br w:val="nil"/>
              <w:tr2bl w:val="nil"/>
            </w:tcBorders>
            <w:shd w:val="clear" w:color="FFFFFF" w:fill="FFFFFF"/>
            <w:vAlign w:val="center"/>
          </w:tcPr>
          <w:p w14:paraId="200E5493">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 xml:space="preserve">1、名称：POE交换机  含安装、调试   </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2、规格型号：8口POE  100M</w:t>
            </w:r>
          </w:p>
        </w:tc>
        <w:tc>
          <w:tcPr>
            <w:tcW w:w="741" w:type="pct"/>
            <w:tcBorders>
              <w:tl2br w:val="nil"/>
              <w:tr2bl w:val="nil"/>
            </w:tcBorders>
            <w:shd w:val="clear" w:color="FFFFFF" w:fill="FFFFFF"/>
            <w:vAlign w:val="center"/>
          </w:tcPr>
          <w:p w14:paraId="3FDBA051">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海康威视 定制</w:t>
            </w:r>
          </w:p>
        </w:tc>
        <w:tc>
          <w:tcPr>
            <w:tcW w:w="430" w:type="pct"/>
            <w:tcBorders>
              <w:tl2br w:val="nil"/>
              <w:tr2bl w:val="nil"/>
            </w:tcBorders>
            <w:shd w:val="clear" w:color="FFFFFF" w:fill="FFFFFF"/>
            <w:vAlign w:val="center"/>
          </w:tcPr>
          <w:p w14:paraId="2FA7552F">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台</w:t>
            </w:r>
          </w:p>
        </w:tc>
        <w:tc>
          <w:tcPr>
            <w:tcW w:w="515" w:type="pct"/>
            <w:tcBorders>
              <w:tl2br w:val="nil"/>
              <w:tr2bl w:val="nil"/>
            </w:tcBorders>
            <w:shd w:val="clear" w:color="FFFFFF" w:fill="FFFFFF"/>
            <w:vAlign w:val="center"/>
          </w:tcPr>
          <w:p w14:paraId="02E5357F">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 xml:space="preserve">10.00 </w:t>
            </w:r>
          </w:p>
        </w:tc>
      </w:tr>
      <w:tr w14:paraId="2C1E56EE">
        <w:tblPrEx>
          <w:tblBorders>
            <w:top w:val="single" w:color="000000" w:sz="8" w:space="0"/>
            <w:left w:val="single" w:color="000000" w:sz="8" w:space="0"/>
            <w:bottom w:val="single" w:color="000000" w:sz="8" w:space="0"/>
            <w:right w:val="single" w:color="000000" w:sz="4" w:space="0"/>
            <w:insideH w:val="single" w:color="000000" w:sz="8" w:space="0"/>
            <w:insideV w:val="single" w:color="000000" w:sz="4" w:space="0"/>
          </w:tblBorders>
          <w:tblCellMar>
            <w:top w:w="0" w:type="dxa"/>
            <w:left w:w="108" w:type="dxa"/>
            <w:bottom w:w="0" w:type="dxa"/>
            <w:right w:w="108" w:type="dxa"/>
          </w:tblCellMar>
        </w:tblPrEx>
        <w:trPr>
          <w:trHeight w:val="285" w:hRule="atLeast"/>
        </w:trPr>
        <w:tc>
          <w:tcPr>
            <w:tcW w:w="5000" w:type="pct"/>
            <w:gridSpan w:val="6"/>
            <w:tcBorders>
              <w:tl2br w:val="nil"/>
              <w:tr2bl w:val="nil"/>
            </w:tcBorders>
            <w:shd w:val="clear" w:color="FFFFFF" w:fill="FFFFFF"/>
            <w:vAlign w:val="center"/>
          </w:tcPr>
          <w:p w14:paraId="1541EABB">
            <w:pPr>
              <w:jc w:val="center"/>
              <w:rPr>
                <w:rFonts w:ascii="仿宋" w:hAnsi="仿宋" w:eastAsia="仿宋" w:cs="仿宋"/>
                <w:sz w:val="20"/>
                <w:szCs w:val="20"/>
              </w:rPr>
            </w:pPr>
            <w:r>
              <w:rPr>
                <w:rFonts w:hint="eastAsia" w:ascii="仿宋" w:hAnsi="仿宋" w:eastAsia="仿宋" w:cs="仿宋"/>
                <w:kern w:val="0"/>
                <w:sz w:val="20"/>
                <w:szCs w:val="20"/>
                <w:lang w:bidi="ar"/>
              </w:rPr>
              <w:t>原老系统设备更换</w:t>
            </w:r>
          </w:p>
        </w:tc>
      </w:tr>
      <w:tr w14:paraId="1BC99B6A">
        <w:tblPrEx>
          <w:tblBorders>
            <w:top w:val="single" w:color="000000" w:sz="8" w:space="0"/>
            <w:left w:val="single" w:color="000000" w:sz="8" w:space="0"/>
            <w:bottom w:val="single" w:color="000000" w:sz="8" w:space="0"/>
            <w:right w:val="single" w:color="000000" w:sz="4" w:space="0"/>
            <w:insideH w:val="single" w:color="000000" w:sz="8" w:space="0"/>
            <w:insideV w:val="single" w:color="000000" w:sz="4" w:space="0"/>
          </w:tblBorders>
          <w:tblCellMar>
            <w:top w:w="0" w:type="dxa"/>
            <w:left w:w="108" w:type="dxa"/>
            <w:bottom w:w="0" w:type="dxa"/>
            <w:right w:w="108" w:type="dxa"/>
          </w:tblCellMar>
        </w:tblPrEx>
        <w:trPr>
          <w:trHeight w:val="285" w:hRule="atLeast"/>
        </w:trPr>
        <w:tc>
          <w:tcPr>
            <w:tcW w:w="244" w:type="pct"/>
            <w:tcBorders>
              <w:tl2br w:val="nil"/>
              <w:tr2bl w:val="nil"/>
            </w:tcBorders>
            <w:shd w:val="clear" w:color="FFFFFF" w:fill="FFFFFF"/>
            <w:vAlign w:val="center"/>
          </w:tcPr>
          <w:p w14:paraId="334797D1">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34</w:t>
            </w:r>
          </w:p>
        </w:tc>
        <w:tc>
          <w:tcPr>
            <w:tcW w:w="690" w:type="pct"/>
            <w:tcBorders>
              <w:tl2br w:val="nil"/>
              <w:tr2bl w:val="nil"/>
            </w:tcBorders>
            <w:shd w:val="clear" w:color="FFFFFF" w:fill="FFFFFF"/>
            <w:vAlign w:val="center"/>
          </w:tcPr>
          <w:p w14:paraId="791C02D0">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控制器</w:t>
            </w:r>
          </w:p>
        </w:tc>
        <w:tc>
          <w:tcPr>
            <w:tcW w:w="2377" w:type="pct"/>
            <w:tcBorders>
              <w:tl2br w:val="nil"/>
              <w:tr2bl w:val="nil"/>
            </w:tcBorders>
            <w:shd w:val="clear" w:color="FFFFFF" w:fill="FFFFFF"/>
            <w:vAlign w:val="center"/>
          </w:tcPr>
          <w:p w14:paraId="20A7BCFE">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定制道闸控制器</w:t>
            </w:r>
          </w:p>
        </w:tc>
        <w:tc>
          <w:tcPr>
            <w:tcW w:w="741" w:type="pct"/>
            <w:tcBorders>
              <w:tl2br w:val="nil"/>
              <w:tr2bl w:val="nil"/>
            </w:tcBorders>
            <w:shd w:val="clear" w:color="FFFFFF" w:fill="FFFFFF"/>
            <w:vAlign w:val="center"/>
          </w:tcPr>
          <w:p w14:paraId="3F7876AD">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国产 定制</w:t>
            </w:r>
          </w:p>
        </w:tc>
        <w:tc>
          <w:tcPr>
            <w:tcW w:w="430" w:type="pct"/>
            <w:tcBorders>
              <w:tl2br w:val="nil"/>
              <w:tr2bl w:val="nil"/>
            </w:tcBorders>
            <w:shd w:val="clear" w:color="FFFFFF" w:fill="FFFFFF"/>
            <w:vAlign w:val="center"/>
          </w:tcPr>
          <w:p w14:paraId="14AE105C">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台</w:t>
            </w:r>
          </w:p>
        </w:tc>
        <w:tc>
          <w:tcPr>
            <w:tcW w:w="515" w:type="pct"/>
            <w:tcBorders>
              <w:tl2br w:val="nil"/>
              <w:tr2bl w:val="nil"/>
            </w:tcBorders>
            <w:shd w:val="clear" w:color="FFFFFF" w:fill="FFFFFF"/>
            <w:vAlign w:val="center"/>
          </w:tcPr>
          <w:p w14:paraId="0620F904">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 xml:space="preserve">13.00 </w:t>
            </w:r>
          </w:p>
        </w:tc>
      </w:tr>
      <w:tr w14:paraId="13A15376">
        <w:tblPrEx>
          <w:tblBorders>
            <w:top w:val="single" w:color="000000" w:sz="8" w:space="0"/>
            <w:left w:val="single" w:color="000000" w:sz="8" w:space="0"/>
            <w:bottom w:val="single" w:color="000000" w:sz="8" w:space="0"/>
            <w:right w:val="single" w:color="000000" w:sz="4" w:space="0"/>
            <w:insideH w:val="single" w:color="000000" w:sz="8" w:space="0"/>
            <w:insideV w:val="single" w:color="000000" w:sz="4" w:space="0"/>
          </w:tblBorders>
          <w:tblCellMar>
            <w:top w:w="0" w:type="dxa"/>
            <w:left w:w="108" w:type="dxa"/>
            <w:bottom w:w="0" w:type="dxa"/>
            <w:right w:w="108" w:type="dxa"/>
          </w:tblCellMar>
        </w:tblPrEx>
        <w:trPr>
          <w:trHeight w:val="6720" w:hRule="atLeast"/>
        </w:trPr>
        <w:tc>
          <w:tcPr>
            <w:tcW w:w="244" w:type="pct"/>
            <w:tcBorders>
              <w:tl2br w:val="nil"/>
              <w:tr2bl w:val="nil"/>
            </w:tcBorders>
            <w:shd w:val="clear" w:color="FFFFFF" w:fill="FFFFFF"/>
            <w:vAlign w:val="center"/>
          </w:tcPr>
          <w:p w14:paraId="6383ADC6">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35</w:t>
            </w:r>
          </w:p>
        </w:tc>
        <w:tc>
          <w:tcPr>
            <w:tcW w:w="690" w:type="pct"/>
            <w:tcBorders>
              <w:tl2br w:val="nil"/>
              <w:tr2bl w:val="nil"/>
            </w:tcBorders>
            <w:shd w:val="clear" w:color="FFFFFF" w:fill="FFFFFF"/>
            <w:vAlign w:val="center"/>
          </w:tcPr>
          <w:p w14:paraId="0AFDCC28">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停车场管理设备</w:t>
            </w:r>
          </w:p>
        </w:tc>
        <w:tc>
          <w:tcPr>
            <w:tcW w:w="2377" w:type="pct"/>
            <w:tcBorders>
              <w:tl2br w:val="nil"/>
              <w:tr2bl w:val="nil"/>
            </w:tcBorders>
            <w:shd w:val="clear" w:color="FFFFFF" w:fill="FFFFFF"/>
            <w:vAlign w:val="center"/>
          </w:tcPr>
          <w:p w14:paraId="75CCBF09">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海康图像图像格式：JPEG</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最大图像尺寸：1920*1200</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帧率：25fps(1920*1200)</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图像设置：饱和度,亮度,对比度,白平衡,增益,3D降噪通过软件可调</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摄像机传感器类型：1/3" Progressive Scan CMOS</w:t>
            </w:r>
            <w:r>
              <w:rPr>
                <w:rFonts w:hint="eastAsia" w:ascii="仿宋" w:hAnsi="仿宋" w:eastAsia="仿宋" w:cs="仿宋"/>
                <w:kern w:val="0"/>
                <w:sz w:val="20"/>
                <w:szCs w:val="20"/>
                <w:lang w:eastAsia="zh-CN" w:bidi="ar"/>
              </w:rPr>
              <w:t>；</w:t>
            </w:r>
            <w:r>
              <w:rPr>
                <w:rFonts w:hint="eastAsia" w:ascii="仿宋" w:hAnsi="仿宋" w:eastAsia="仿宋" w:cs="仿宋"/>
                <w:kern w:val="0"/>
                <w:sz w:val="20"/>
                <w:szCs w:val="20"/>
                <w:lang w:bidi="ar"/>
              </w:rPr>
              <w:t>最低照度：彩色0.04Lux@(F1.2,AGC ON) 黑白0.021Lux @(F1.2,AGC ON)</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快门：1/30秒至1/100,000秒</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镜头：4mm/6mm  自动光圈：DC驱动</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ICR切换：支持  日夜转换模式：ICR红外滤片式</w:t>
            </w:r>
            <w:r>
              <w:rPr>
                <w:rFonts w:hint="eastAsia" w:ascii="仿宋" w:hAnsi="仿宋" w:eastAsia="仿宋" w:cs="仿宋"/>
                <w:kern w:val="0"/>
                <w:sz w:val="20"/>
                <w:szCs w:val="20"/>
                <w:lang w:eastAsia="zh-CN" w:bidi="ar"/>
              </w:rPr>
              <w:t>；</w:t>
            </w:r>
            <w:r>
              <w:rPr>
                <w:rFonts w:hint="eastAsia" w:ascii="仿宋" w:hAnsi="仿宋" w:eastAsia="仿宋" w:cs="仿宋"/>
                <w:kern w:val="0"/>
                <w:sz w:val="20"/>
                <w:szCs w:val="20"/>
                <w:lang w:bidi="ar"/>
              </w:rPr>
              <w:t>数字降噪：3D数字降噪</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视频压缩标准：H.264/H.265/MJPEG</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视频压缩码率：32 Kbps~16M bps 支持协议：TCP/IP,HTTP,DHCP,DNS,RTP,RTSP,NTP,支持FTP上传图片</w:t>
            </w:r>
            <w:r>
              <w:rPr>
                <w:rFonts w:hint="eastAsia" w:ascii="仿宋" w:hAnsi="仿宋" w:eastAsia="仿宋" w:cs="仿宋"/>
                <w:kern w:val="0"/>
                <w:sz w:val="20"/>
                <w:szCs w:val="20"/>
                <w:lang w:eastAsia="zh-CN" w:bidi="ar"/>
              </w:rPr>
              <w:t>；</w:t>
            </w:r>
            <w:r>
              <w:rPr>
                <w:rFonts w:hint="eastAsia" w:ascii="仿宋" w:hAnsi="仿宋" w:eastAsia="仿宋" w:cs="仿宋"/>
                <w:kern w:val="0"/>
                <w:sz w:val="20"/>
                <w:szCs w:val="20"/>
                <w:lang w:bidi="ar"/>
              </w:rPr>
              <w:t>通用功能：心跳,密码保护,NTP校时；车牌识别补光灯控制：补光灯自动光控、时控可选；通讯接口：1 个RJ45 10M/100M 自适应以太网口 ,1个 RS-485 接口</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音频输出：1路音频输出</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补光灯：支持2个内置LED灯，白光红外可切换</w:t>
            </w:r>
            <w:r>
              <w:rPr>
                <w:rFonts w:hint="eastAsia" w:ascii="仿宋" w:hAnsi="仿宋" w:eastAsia="仿宋" w:cs="仿宋"/>
                <w:kern w:val="0"/>
                <w:sz w:val="20"/>
                <w:szCs w:val="20"/>
                <w:lang w:eastAsia="zh-CN" w:bidi="ar"/>
              </w:rPr>
              <w:t>；</w:t>
            </w:r>
            <w:r>
              <w:rPr>
                <w:rFonts w:hint="eastAsia" w:ascii="仿宋" w:hAnsi="仿宋" w:eastAsia="仿宋" w:cs="仿宋"/>
                <w:kern w:val="0"/>
                <w:sz w:val="20"/>
                <w:szCs w:val="20"/>
                <w:lang w:bidi="ar"/>
              </w:rPr>
              <w:t>外部接口：2路触发输入，其中1路IO触发输入(可复用报警输入)、1路报警输入</w:t>
            </w:r>
            <w:r>
              <w:rPr>
                <w:rFonts w:hint="eastAsia" w:ascii="仿宋" w:hAnsi="仿宋" w:eastAsia="仿宋" w:cs="仿宋"/>
                <w:kern w:val="0"/>
                <w:sz w:val="20"/>
                <w:szCs w:val="20"/>
                <w:lang w:eastAsia="zh-CN" w:bidi="ar"/>
              </w:rPr>
              <w:t>；</w:t>
            </w:r>
            <w:r>
              <w:rPr>
                <w:rFonts w:hint="eastAsia" w:ascii="仿宋" w:hAnsi="仿宋" w:eastAsia="仿宋" w:cs="仿宋"/>
                <w:kern w:val="0"/>
                <w:sz w:val="20"/>
                <w:szCs w:val="20"/>
                <w:lang w:bidi="ar"/>
              </w:rPr>
              <w:t>工作温度和湿度：-25℃~70℃,湿度小于90%(无凝结)</w:t>
            </w:r>
            <w:r>
              <w:rPr>
                <w:rFonts w:hint="eastAsia" w:ascii="仿宋" w:hAnsi="仿宋" w:eastAsia="仿宋" w:cs="仿宋"/>
                <w:kern w:val="0"/>
                <w:sz w:val="20"/>
                <w:szCs w:val="20"/>
                <w:lang w:eastAsia="zh-CN" w:bidi="ar"/>
              </w:rPr>
              <w:t>；</w:t>
            </w:r>
            <w:r>
              <w:rPr>
                <w:rFonts w:hint="eastAsia" w:ascii="仿宋" w:hAnsi="仿宋" w:eastAsia="仿宋" w:cs="仿宋"/>
                <w:kern w:val="0"/>
                <w:sz w:val="20"/>
                <w:szCs w:val="20"/>
                <w:lang w:bidi="ar"/>
              </w:rPr>
              <w:t>电源供应：AC100V~240V</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功耗：最大30W，平均15W</w:t>
            </w:r>
            <w:r>
              <w:rPr>
                <w:rFonts w:hint="eastAsia" w:ascii="仿宋" w:hAnsi="仿宋" w:eastAsia="仿宋" w:cs="仿宋"/>
                <w:kern w:val="0"/>
                <w:sz w:val="20"/>
                <w:szCs w:val="20"/>
                <w:lang w:bidi="ar"/>
              </w:rPr>
              <w:br w:type="textWrapping"/>
            </w:r>
            <w:r>
              <w:rPr>
                <w:rFonts w:hint="eastAsia" w:ascii="仿宋" w:hAnsi="仿宋" w:eastAsia="仿宋" w:cs="仿宋"/>
                <w:kern w:val="0"/>
                <w:sz w:val="20"/>
                <w:szCs w:val="20"/>
                <w:lang w:bidi="ar"/>
              </w:rPr>
              <w:t>防护等级：IP67</w:t>
            </w:r>
          </w:p>
        </w:tc>
        <w:tc>
          <w:tcPr>
            <w:tcW w:w="741" w:type="pct"/>
            <w:tcBorders>
              <w:tl2br w:val="nil"/>
              <w:tr2bl w:val="nil"/>
            </w:tcBorders>
            <w:shd w:val="clear" w:color="FFFFFF" w:fill="FFFFFF"/>
            <w:vAlign w:val="center"/>
          </w:tcPr>
          <w:p w14:paraId="5D399A55">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海康威视定制</w:t>
            </w:r>
          </w:p>
        </w:tc>
        <w:tc>
          <w:tcPr>
            <w:tcW w:w="430" w:type="pct"/>
            <w:tcBorders>
              <w:tl2br w:val="nil"/>
              <w:tr2bl w:val="nil"/>
            </w:tcBorders>
            <w:shd w:val="clear" w:color="FFFFFF" w:fill="FFFFFF"/>
            <w:vAlign w:val="center"/>
          </w:tcPr>
          <w:p w14:paraId="14B773CC">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台</w:t>
            </w:r>
          </w:p>
        </w:tc>
        <w:tc>
          <w:tcPr>
            <w:tcW w:w="515" w:type="pct"/>
            <w:tcBorders>
              <w:tl2br w:val="nil"/>
              <w:tr2bl w:val="nil"/>
            </w:tcBorders>
            <w:shd w:val="clear" w:color="FFFFFF" w:fill="FFFFFF"/>
            <w:vAlign w:val="center"/>
          </w:tcPr>
          <w:p w14:paraId="4D2FB4CC">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 xml:space="preserve">2.00 </w:t>
            </w:r>
          </w:p>
        </w:tc>
      </w:tr>
      <w:tr w14:paraId="4C4F57F3">
        <w:tblPrEx>
          <w:tblBorders>
            <w:top w:val="single" w:color="000000" w:sz="8" w:space="0"/>
            <w:left w:val="single" w:color="000000" w:sz="8" w:space="0"/>
            <w:bottom w:val="single" w:color="000000" w:sz="8" w:space="0"/>
            <w:right w:val="single" w:color="000000" w:sz="4" w:space="0"/>
            <w:insideH w:val="single" w:color="000000" w:sz="8" w:space="0"/>
            <w:insideV w:val="single" w:color="000000" w:sz="4" w:space="0"/>
          </w:tblBorders>
          <w:tblCellMar>
            <w:top w:w="0" w:type="dxa"/>
            <w:left w:w="108" w:type="dxa"/>
            <w:bottom w:w="0" w:type="dxa"/>
            <w:right w:w="108" w:type="dxa"/>
          </w:tblCellMar>
        </w:tblPrEx>
        <w:trPr>
          <w:trHeight w:val="620" w:hRule="atLeast"/>
        </w:trPr>
        <w:tc>
          <w:tcPr>
            <w:tcW w:w="244" w:type="pct"/>
            <w:tcBorders>
              <w:tl2br w:val="nil"/>
              <w:tr2bl w:val="nil"/>
            </w:tcBorders>
            <w:shd w:val="clear" w:color="FFFFFF" w:fill="FFFFFF"/>
            <w:vAlign w:val="center"/>
          </w:tcPr>
          <w:p w14:paraId="6D6EB9C7">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36</w:t>
            </w:r>
          </w:p>
        </w:tc>
        <w:tc>
          <w:tcPr>
            <w:tcW w:w="690" w:type="pct"/>
            <w:tcBorders>
              <w:tl2br w:val="nil"/>
              <w:tr2bl w:val="nil"/>
            </w:tcBorders>
            <w:shd w:val="clear" w:color="FFFFFF" w:fill="FFFFFF"/>
            <w:vAlign w:val="center"/>
          </w:tcPr>
          <w:p w14:paraId="486D9FE3">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停车场管理设备</w:t>
            </w:r>
          </w:p>
        </w:tc>
        <w:tc>
          <w:tcPr>
            <w:tcW w:w="2377" w:type="pct"/>
            <w:tcBorders>
              <w:tl2br w:val="nil"/>
              <w:tr2bl w:val="nil"/>
            </w:tcBorders>
            <w:shd w:val="clear" w:color="FFFFFF" w:fill="FFFFFF"/>
            <w:vAlign w:val="center"/>
          </w:tcPr>
          <w:p w14:paraId="373AC33C">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停车场激光雷达</w:t>
            </w:r>
          </w:p>
        </w:tc>
        <w:tc>
          <w:tcPr>
            <w:tcW w:w="741" w:type="pct"/>
            <w:tcBorders>
              <w:tl2br w:val="nil"/>
              <w:tr2bl w:val="nil"/>
            </w:tcBorders>
            <w:shd w:val="clear" w:color="FFFFFF" w:fill="FFFFFF"/>
            <w:vAlign w:val="center"/>
          </w:tcPr>
          <w:p w14:paraId="1DAFA4B1">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国产 定制</w:t>
            </w:r>
          </w:p>
        </w:tc>
        <w:tc>
          <w:tcPr>
            <w:tcW w:w="430" w:type="pct"/>
            <w:tcBorders>
              <w:tl2br w:val="nil"/>
              <w:tr2bl w:val="nil"/>
            </w:tcBorders>
            <w:shd w:val="clear" w:color="FFFFFF" w:fill="FFFFFF"/>
            <w:vAlign w:val="center"/>
          </w:tcPr>
          <w:p w14:paraId="76CFC2A0">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台</w:t>
            </w:r>
          </w:p>
        </w:tc>
        <w:tc>
          <w:tcPr>
            <w:tcW w:w="515" w:type="pct"/>
            <w:tcBorders>
              <w:tl2br w:val="nil"/>
              <w:tr2bl w:val="nil"/>
            </w:tcBorders>
            <w:shd w:val="clear" w:color="FFFFFF" w:fill="FFFFFF"/>
            <w:vAlign w:val="center"/>
          </w:tcPr>
          <w:p w14:paraId="547758EA">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 xml:space="preserve">4.00 </w:t>
            </w:r>
          </w:p>
        </w:tc>
      </w:tr>
      <w:tr w14:paraId="6CC47E8F">
        <w:tblPrEx>
          <w:tblBorders>
            <w:top w:val="single" w:color="000000" w:sz="8" w:space="0"/>
            <w:left w:val="single" w:color="000000" w:sz="8" w:space="0"/>
            <w:bottom w:val="single" w:color="000000" w:sz="8" w:space="0"/>
            <w:right w:val="single" w:color="000000" w:sz="4" w:space="0"/>
            <w:insideH w:val="single" w:color="000000" w:sz="8" w:space="0"/>
            <w:insideV w:val="single" w:color="000000" w:sz="4" w:space="0"/>
          </w:tblBorders>
          <w:tblCellMar>
            <w:top w:w="0" w:type="dxa"/>
            <w:left w:w="108" w:type="dxa"/>
            <w:bottom w:w="0" w:type="dxa"/>
            <w:right w:w="108" w:type="dxa"/>
          </w:tblCellMar>
        </w:tblPrEx>
        <w:trPr>
          <w:trHeight w:val="505" w:hRule="atLeast"/>
        </w:trPr>
        <w:tc>
          <w:tcPr>
            <w:tcW w:w="244" w:type="pct"/>
            <w:tcBorders>
              <w:tl2br w:val="nil"/>
              <w:tr2bl w:val="nil"/>
            </w:tcBorders>
            <w:shd w:val="clear" w:color="FFFFFF" w:fill="FFFFFF"/>
            <w:vAlign w:val="center"/>
          </w:tcPr>
          <w:p w14:paraId="569A3F2A">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37</w:t>
            </w:r>
          </w:p>
        </w:tc>
        <w:tc>
          <w:tcPr>
            <w:tcW w:w="690" w:type="pct"/>
            <w:tcBorders>
              <w:tl2br w:val="nil"/>
              <w:tr2bl w:val="nil"/>
            </w:tcBorders>
            <w:shd w:val="clear" w:color="FFFFFF" w:fill="FFFFFF"/>
            <w:vAlign w:val="center"/>
          </w:tcPr>
          <w:p w14:paraId="044BCF4B">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控制器</w:t>
            </w:r>
          </w:p>
        </w:tc>
        <w:tc>
          <w:tcPr>
            <w:tcW w:w="2377" w:type="pct"/>
            <w:tcBorders>
              <w:tl2br w:val="nil"/>
              <w:tr2bl w:val="nil"/>
            </w:tcBorders>
            <w:shd w:val="clear" w:color="FFFFFF" w:fill="FFFFFF"/>
            <w:vAlign w:val="center"/>
          </w:tcPr>
          <w:p w14:paraId="105E03B3">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专用道闸控制器主板</w:t>
            </w:r>
          </w:p>
        </w:tc>
        <w:tc>
          <w:tcPr>
            <w:tcW w:w="741" w:type="pct"/>
            <w:tcBorders>
              <w:tl2br w:val="nil"/>
              <w:tr2bl w:val="nil"/>
            </w:tcBorders>
            <w:shd w:val="clear" w:color="FFFFFF" w:fill="FFFFFF"/>
            <w:vAlign w:val="center"/>
          </w:tcPr>
          <w:p w14:paraId="29AB628B">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国产 定制</w:t>
            </w:r>
          </w:p>
        </w:tc>
        <w:tc>
          <w:tcPr>
            <w:tcW w:w="430" w:type="pct"/>
            <w:tcBorders>
              <w:tl2br w:val="nil"/>
              <w:tr2bl w:val="nil"/>
            </w:tcBorders>
            <w:shd w:val="clear" w:color="FFFFFF" w:fill="FFFFFF"/>
            <w:vAlign w:val="center"/>
          </w:tcPr>
          <w:p w14:paraId="28569DFE">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台</w:t>
            </w:r>
          </w:p>
        </w:tc>
        <w:tc>
          <w:tcPr>
            <w:tcW w:w="515" w:type="pct"/>
            <w:tcBorders>
              <w:tl2br w:val="nil"/>
              <w:tr2bl w:val="nil"/>
            </w:tcBorders>
            <w:shd w:val="clear" w:color="FFFFFF" w:fill="FFFFFF"/>
            <w:vAlign w:val="center"/>
          </w:tcPr>
          <w:p w14:paraId="27DF8595">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 xml:space="preserve">1.00 </w:t>
            </w:r>
          </w:p>
        </w:tc>
      </w:tr>
      <w:tr w14:paraId="4D9813AB">
        <w:tblPrEx>
          <w:tblBorders>
            <w:top w:val="single" w:color="000000" w:sz="8" w:space="0"/>
            <w:left w:val="single" w:color="000000" w:sz="8" w:space="0"/>
            <w:bottom w:val="single" w:color="000000" w:sz="8" w:space="0"/>
            <w:right w:val="single" w:color="000000" w:sz="4" w:space="0"/>
            <w:insideH w:val="single" w:color="000000" w:sz="8" w:space="0"/>
            <w:insideV w:val="single" w:color="000000" w:sz="4" w:space="0"/>
          </w:tblBorders>
          <w:tblCellMar>
            <w:top w:w="0" w:type="dxa"/>
            <w:left w:w="108" w:type="dxa"/>
            <w:bottom w:w="0" w:type="dxa"/>
            <w:right w:w="108" w:type="dxa"/>
          </w:tblCellMar>
        </w:tblPrEx>
        <w:trPr>
          <w:trHeight w:val="425" w:hRule="atLeast"/>
        </w:trPr>
        <w:tc>
          <w:tcPr>
            <w:tcW w:w="244" w:type="pct"/>
            <w:tcBorders>
              <w:tl2br w:val="nil"/>
              <w:tr2bl w:val="nil"/>
            </w:tcBorders>
            <w:shd w:val="clear" w:color="FFFFFF" w:fill="FFFFFF"/>
            <w:vAlign w:val="center"/>
          </w:tcPr>
          <w:p w14:paraId="3110B86D">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38</w:t>
            </w:r>
          </w:p>
        </w:tc>
        <w:tc>
          <w:tcPr>
            <w:tcW w:w="690" w:type="pct"/>
            <w:tcBorders>
              <w:tl2br w:val="nil"/>
              <w:tr2bl w:val="nil"/>
            </w:tcBorders>
            <w:shd w:val="clear" w:color="FFFFFF" w:fill="FFFFFF"/>
            <w:vAlign w:val="center"/>
          </w:tcPr>
          <w:p w14:paraId="55D5ECD8">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软件</w:t>
            </w:r>
          </w:p>
        </w:tc>
        <w:tc>
          <w:tcPr>
            <w:tcW w:w="2377" w:type="pct"/>
            <w:tcBorders>
              <w:tl2br w:val="nil"/>
              <w:tr2bl w:val="nil"/>
            </w:tcBorders>
            <w:shd w:val="clear" w:color="FFFFFF" w:fill="FFFFFF"/>
            <w:vAlign w:val="center"/>
          </w:tcPr>
          <w:p w14:paraId="37DD07CA">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定制开发，按照姜家山停车场，九个区块住户人员亲属特性要求，临时性出入要求，临时计价需求，定制软件开发配置A车，B车，亲属车辆，无车位业主车辆功能，新老停车场软件定制亲情车分组设置个性化功能定制等相关软件开发</w:t>
            </w:r>
          </w:p>
        </w:tc>
        <w:tc>
          <w:tcPr>
            <w:tcW w:w="741" w:type="pct"/>
            <w:tcBorders>
              <w:tl2br w:val="nil"/>
              <w:tr2bl w:val="nil"/>
            </w:tcBorders>
            <w:shd w:val="clear" w:color="FFFFFF" w:fill="FFFFFF"/>
            <w:vAlign w:val="center"/>
          </w:tcPr>
          <w:p w14:paraId="37DA938C">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海康威视 定制</w:t>
            </w:r>
          </w:p>
        </w:tc>
        <w:tc>
          <w:tcPr>
            <w:tcW w:w="430" w:type="pct"/>
            <w:tcBorders>
              <w:tl2br w:val="nil"/>
              <w:tr2bl w:val="nil"/>
            </w:tcBorders>
            <w:shd w:val="clear" w:color="FFFFFF" w:fill="FFFFFF"/>
            <w:vAlign w:val="center"/>
          </w:tcPr>
          <w:p w14:paraId="028B0354">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套</w:t>
            </w:r>
          </w:p>
        </w:tc>
        <w:tc>
          <w:tcPr>
            <w:tcW w:w="515" w:type="pct"/>
            <w:tcBorders>
              <w:tl2br w:val="nil"/>
              <w:tr2bl w:val="nil"/>
            </w:tcBorders>
            <w:shd w:val="clear" w:color="FFFFFF" w:fill="FFFFFF"/>
            <w:vAlign w:val="center"/>
          </w:tcPr>
          <w:p w14:paraId="6A577FBA">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 xml:space="preserve">1.00 </w:t>
            </w:r>
          </w:p>
        </w:tc>
      </w:tr>
      <w:tr w14:paraId="535D8ABA">
        <w:tblPrEx>
          <w:tblBorders>
            <w:top w:val="single" w:color="000000" w:sz="8" w:space="0"/>
            <w:left w:val="single" w:color="000000" w:sz="8" w:space="0"/>
            <w:bottom w:val="single" w:color="000000" w:sz="8" w:space="0"/>
            <w:right w:val="single" w:color="000000" w:sz="4" w:space="0"/>
            <w:insideH w:val="single" w:color="000000" w:sz="8" w:space="0"/>
            <w:insideV w:val="single" w:color="000000" w:sz="4" w:space="0"/>
          </w:tblBorders>
          <w:tblCellMar>
            <w:top w:w="0" w:type="dxa"/>
            <w:left w:w="108" w:type="dxa"/>
            <w:bottom w:w="0" w:type="dxa"/>
            <w:right w:w="108" w:type="dxa"/>
          </w:tblCellMar>
        </w:tblPrEx>
        <w:trPr>
          <w:trHeight w:val="1680" w:hRule="atLeast"/>
        </w:trPr>
        <w:tc>
          <w:tcPr>
            <w:tcW w:w="244" w:type="pct"/>
            <w:tcBorders>
              <w:tl2br w:val="nil"/>
              <w:tr2bl w:val="nil"/>
            </w:tcBorders>
            <w:shd w:val="clear" w:color="FFFFFF" w:fill="FFFFFF"/>
            <w:vAlign w:val="center"/>
          </w:tcPr>
          <w:p w14:paraId="08C14FA4">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39</w:t>
            </w:r>
          </w:p>
        </w:tc>
        <w:tc>
          <w:tcPr>
            <w:tcW w:w="690" w:type="pct"/>
            <w:tcBorders>
              <w:tl2br w:val="nil"/>
              <w:tr2bl w:val="nil"/>
            </w:tcBorders>
            <w:shd w:val="clear" w:color="FFFFFF" w:fill="FFFFFF"/>
            <w:vAlign w:val="center"/>
          </w:tcPr>
          <w:p w14:paraId="555056CC">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专用云平台</w:t>
            </w:r>
          </w:p>
        </w:tc>
        <w:tc>
          <w:tcPr>
            <w:tcW w:w="2377" w:type="pct"/>
            <w:tcBorders>
              <w:tl2br w:val="nil"/>
              <w:tr2bl w:val="nil"/>
            </w:tcBorders>
            <w:shd w:val="clear" w:color="FFFFFF" w:fill="FFFFFF"/>
            <w:vAlign w:val="center"/>
          </w:tcPr>
          <w:p w14:paraId="26118B13">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软件定制云平台费用，独立收费计费系统，定制软件对接诺诺税务开票系统，手机APP远程开票，九大区块46个停车场硬件网络及外部网络定时测试巡查，平台软件运行监测维护，现场设备日常系统巡查，数据网络巡查，测试，平台异常数据及车辆数据处理，平台的外部平台或数据对接，平台软件故障应急在线处理。</w:t>
            </w:r>
          </w:p>
        </w:tc>
        <w:tc>
          <w:tcPr>
            <w:tcW w:w="741" w:type="pct"/>
            <w:tcBorders>
              <w:tl2br w:val="nil"/>
              <w:tr2bl w:val="nil"/>
            </w:tcBorders>
            <w:shd w:val="clear" w:color="FFFFFF" w:fill="FFFFFF"/>
            <w:vAlign w:val="center"/>
          </w:tcPr>
          <w:p w14:paraId="19C2EBC0">
            <w:pPr>
              <w:widowControl/>
              <w:jc w:val="left"/>
              <w:textAlignment w:val="center"/>
              <w:rPr>
                <w:rFonts w:ascii="仿宋" w:hAnsi="仿宋" w:eastAsia="仿宋" w:cs="仿宋"/>
                <w:sz w:val="20"/>
                <w:szCs w:val="20"/>
              </w:rPr>
            </w:pPr>
            <w:r>
              <w:rPr>
                <w:rFonts w:hint="eastAsia" w:ascii="仿宋" w:hAnsi="仿宋" w:eastAsia="仿宋" w:cs="仿宋"/>
                <w:kern w:val="0"/>
                <w:sz w:val="20"/>
                <w:szCs w:val="20"/>
                <w:lang w:bidi="ar"/>
              </w:rPr>
              <w:t>海康威视 定制</w:t>
            </w:r>
          </w:p>
        </w:tc>
        <w:tc>
          <w:tcPr>
            <w:tcW w:w="430" w:type="pct"/>
            <w:tcBorders>
              <w:tl2br w:val="nil"/>
              <w:tr2bl w:val="nil"/>
            </w:tcBorders>
            <w:shd w:val="clear" w:color="FFFFFF" w:fill="FFFFFF"/>
            <w:vAlign w:val="center"/>
          </w:tcPr>
          <w:p w14:paraId="1DE327C4">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套</w:t>
            </w:r>
          </w:p>
        </w:tc>
        <w:tc>
          <w:tcPr>
            <w:tcW w:w="515" w:type="pct"/>
            <w:tcBorders>
              <w:tl2br w:val="nil"/>
              <w:tr2bl w:val="nil"/>
            </w:tcBorders>
            <w:shd w:val="clear" w:color="FFFFFF" w:fill="FFFFFF"/>
            <w:vAlign w:val="center"/>
          </w:tcPr>
          <w:p w14:paraId="50BA514F">
            <w:pPr>
              <w:widowControl/>
              <w:jc w:val="center"/>
              <w:textAlignment w:val="center"/>
              <w:rPr>
                <w:rFonts w:ascii="仿宋" w:hAnsi="仿宋" w:eastAsia="仿宋" w:cs="仿宋"/>
                <w:sz w:val="20"/>
                <w:szCs w:val="20"/>
              </w:rPr>
            </w:pPr>
            <w:r>
              <w:rPr>
                <w:rFonts w:hint="eastAsia" w:ascii="仿宋" w:hAnsi="仿宋" w:eastAsia="仿宋" w:cs="仿宋"/>
                <w:kern w:val="0"/>
                <w:sz w:val="20"/>
                <w:szCs w:val="20"/>
                <w:lang w:bidi="ar"/>
              </w:rPr>
              <w:t xml:space="preserve">46.00 </w:t>
            </w:r>
          </w:p>
        </w:tc>
      </w:tr>
    </w:tbl>
    <w:p w14:paraId="1823849C">
      <w:pPr>
        <w:rPr>
          <w:rFonts w:ascii="仿宋" w:hAnsi="仿宋" w:eastAsia="仿宋" w:cs="仿宋"/>
          <w:b/>
          <w:sz w:val="32"/>
          <w:szCs w:val="32"/>
        </w:rPr>
      </w:pPr>
    </w:p>
    <w:p w14:paraId="4475ADEE">
      <w:pPr>
        <w:rPr>
          <w:rFonts w:ascii="仿宋" w:hAnsi="仿宋" w:eastAsia="仿宋" w:cs="仿宋"/>
          <w:b/>
          <w:sz w:val="32"/>
          <w:szCs w:val="32"/>
        </w:rPr>
      </w:pPr>
      <w:r>
        <w:rPr>
          <w:rFonts w:hint="eastAsia" w:ascii="仿宋" w:hAnsi="仿宋" w:eastAsia="仿宋" w:cs="仿宋"/>
          <w:b/>
          <w:sz w:val="32"/>
          <w:szCs w:val="32"/>
        </w:rPr>
        <w:br w:type="page"/>
      </w:r>
    </w:p>
    <w:p w14:paraId="3A3A6F93">
      <w:pPr>
        <w:pStyle w:val="64"/>
        <w:spacing w:line="440" w:lineRule="exact"/>
        <w:rPr>
          <w:rFonts w:ascii="仿宋" w:hAnsi="仿宋" w:eastAsia="仿宋" w:cs="仿宋_GB2312"/>
          <w:b/>
          <w:sz w:val="32"/>
          <w:szCs w:val="32"/>
        </w:rPr>
      </w:pPr>
      <w:r>
        <w:rPr>
          <w:rFonts w:ascii="仿宋" w:hAnsi="仿宋" w:eastAsia="仿宋" w:cs="仿宋_GB2312"/>
          <w:b/>
          <w:sz w:val="32"/>
          <w:szCs w:val="32"/>
        </w:rPr>
        <w:t>附件二：</w:t>
      </w:r>
      <w:r>
        <w:rPr>
          <w:rFonts w:hint="eastAsia" w:ascii="仿宋" w:hAnsi="仿宋" w:eastAsia="仿宋" w:cs="仿宋_GB2312"/>
          <w:b/>
          <w:sz w:val="32"/>
          <w:szCs w:val="32"/>
        </w:rPr>
        <w:t>投 标 声 明 书</w:t>
      </w:r>
    </w:p>
    <w:p w14:paraId="5DBB15C4">
      <w:pPr>
        <w:pStyle w:val="64"/>
        <w:spacing w:line="440" w:lineRule="exact"/>
        <w:rPr>
          <w:rFonts w:ascii="仿宋" w:hAnsi="仿宋" w:eastAsia="仿宋" w:cs="仿宋_GB2312"/>
          <w:b/>
          <w:sz w:val="32"/>
          <w:szCs w:val="32"/>
        </w:rPr>
      </w:pPr>
    </w:p>
    <w:p w14:paraId="75C32836">
      <w:pPr>
        <w:pStyle w:val="64"/>
        <w:spacing w:line="440" w:lineRule="exact"/>
        <w:jc w:val="center"/>
        <w:rPr>
          <w:rFonts w:ascii="仿宋" w:hAnsi="仿宋" w:eastAsia="仿宋" w:cs="仿宋_GB2312"/>
          <w:b/>
          <w:sz w:val="32"/>
          <w:szCs w:val="32"/>
        </w:rPr>
      </w:pPr>
      <w:r>
        <w:rPr>
          <w:rFonts w:hint="eastAsia" w:ascii="仿宋" w:hAnsi="仿宋" w:eastAsia="仿宋" w:cs="仿宋_GB2312"/>
          <w:b/>
          <w:sz w:val="32"/>
          <w:szCs w:val="32"/>
        </w:rPr>
        <w:t>投 标 声 明 书</w:t>
      </w:r>
    </w:p>
    <w:p w14:paraId="5AEA8B4A">
      <w:pPr>
        <w:pStyle w:val="64"/>
        <w:snapToGrid w:val="0"/>
        <w:spacing w:line="500" w:lineRule="exact"/>
        <w:jc w:val="center"/>
        <w:rPr>
          <w:rFonts w:ascii="仿宋" w:hAnsi="仿宋" w:eastAsia="仿宋" w:cs="仿宋_GB2312"/>
          <w:b/>
          <w:bCs/>
          <w:sz w:val="28"/>
          <w:szCs w:val="28"/>
        </w:rPr>
      </w:pPr>
    </w:p>
    <w:p w14:paraId="72EE7078">
      <w:pPr>
        <w:pStyle w:val="64"/>
        <w:spacing w:line="460" w:lineRule="exact"/>
        <w:jc w:val="left"/>
        <w:rPr>
          <w:rFonts w:ascii="仿宋" w:hAnsi="仿宋" w:eastAsia="仿宋" w:cs="仿宋_GB2312"/>
          <w:sz w:val="28"/>
          <w:szCs w:val="28"/>
        </w:rPr>
      </w:pPr>
      <w:r>
        <w:rPr>
          <w:rFonts w:hint="eastAsia" w:ascii="仿宋" w:hAnsi="仿宋" w:eastAsia="仿宋" w:cs="仿宋_GB2312"/>
          <w:sz w:val="28"/>
          <w:szCs w:val="28"/>
        </w:rPr>
        <w:t>致：浙江巨化信息技术有限公司</w:t>
      </w:r>
    </w:p>
    <w:p w14:paraId="624CFD08">
      <w:pPr>
        <w:pStyle w:val="64"/>
        <w:spacing w:line="460" w:lineRule="exact"/>
        <w:rPr>
          <w:rFonts w:ascii="仿宋" w:hAnsi="仿宋" w:eastAsia="仿宋" w:cs="仿宋_GB2312"/>
          <w:sz w:val="28"/>
          <w:szCs w:val="28"/>
        </w:rPr>
      </w:pPr>
      <w:r>
        <w:rPr>
          <w:rFonts w:hint="eastAsia" w:ascii="仿宋" w:hAnsi="仿宋" w:eastAsia="仿宋" w:cs="仿宋_GB2312"/>
          <w:sz w:val="28"/>
          <w:szCs w:val="28"/>
        </w:rPr>
        <w:t xml:space="preserve">     </w:t>
      </w:r>
      <w:r>
        <w:rPr>
          <w:rFonts w:hint="eastAsia" w:ascii="仿宋" w:hAnsi="仿宋" w:eastAsia="仿宋" w:cs="仿宋_GB2312"/>
          <w:sz w:val="28"/>
          <w:szCs w:val="28"/>
          <w:u w:val="single"/>
        </w:rPr>
        <w:t xml:space="preserve">                     </w:t>
      </w:r>
      <w:r>
        <w:rPr>
          <w:rFonts w:hint="eastAsia" w:ascii="仿宋" w:hAnsi="仿宋" w:eastAsia="仿宋" w:cs="仿宋_GB2312"/>
          <w:sz w:val="28"/>
          <w:szCs w:val="28"/>
        </w:rPr>
        <w:t>(单位全称)授权</w:t>
      </w:r>
      <w:r>
        <w:rPr>
          <w:rFonts w:hint="eastAsia" w:ascii="仿宋" w:hAnsi="仿宋" w:eastAsia="仿宋" w:cs="仿宋_GB2312"/>
          <w:sz w:val="28"/>
          <w:szCs w:val="28"/>
          <w:u w:val="single"/>
        </w:rPr>
        <w:t xml:space="preserve">              </w:t>
      </w:r>
      <w:r>
        <w:rPr>
          <w:rFonts w:hint="eastAsia" w:ascii="仿宋" w:hAnsi="仿宋" w:eastAsia="仿宋" w:cs="仿宋_GB2312"/>
          <w:sz w:val="28"/>
          <w:szCs w:val="28"/>
        </w:rPr>
        <w:t>（全名、职务）为全权代表，参加贵方组织</w:t>
      </w:r>
      <w:r>
        <w:rPr>
          <w:rFonts w:hint="eastAsia" w:ascii="仿宋" w:hAnsi="仿宋" w:eastAsia="仿宋" w:cs="仿宋_GB2312"/>
          <w:sz w:val="28"/>
          <w:szCs w:val="28"/>
          <w:u w:val="single"/>
        </w:rPr>
        <w:t xml:space="preserve">              </w:t>
      </w:r>
      <w:r>
        <w:rPr>
          <w:rFonts w:hint="eastAsia" w:ascii="仿宋" w:hAnsi="仿宋" w:eastAsia="仿宋" w:cs="仿宋_GB2312"/>
          <w:sz w:val="28"/>
          <w:szCs w:val="28"/>
        </w:rPr>
        <w:t>项目（编号为</w:t>
      </w:r>
      <w:r>
        <w:rPr>
          <w:rFonts w:hint="eastAsia" w:ascii="仿宋" w:hAnsi="仿宋" w:eastAsia="仿宋" w:cs="仿宋_GB2312"/>
          <w:sz w:val="28"/>
          <w:szCs w:val="28"/>
          <w:u w:val="single"/>
        </w:rPr>
        <w:t xml:space="preserve">          </w:t>
      </w:r>
      <w:r>
        <w:rPr>
          <w:rFonts w:hint="eastAsia" w:ascii="仿宋" w:hAnsi="仿宋" w:eastAsia="仿宋" w:cs="仿宋_GB2312"/>
          <w:sz w:val="28"/>
          <w:szCs w:val="28"/>
        </w:rPr>
        <w:t>）招标采购有关活动，并进行投标。为此：</w:t>
      </w:r>
    </w:p>
    <w:p w14:paraId="3E94143E">
      <w:pPr>
        <w:pStyle w:val="64"/>
        <w:spacing w:line="46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1.提供招标须知规定的全部招标响应文件。</w:t>
      </w:r>
    </w:p>
    <w:p w14:paraId="51D95D6C">
      <w:pPr>
        <w:pStyle w:val="64"/>
        <w:spacing w:line="46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2.供应商承诺承担供货期发生的标的物出厂价、运输费、包装费、运输损耗、劳务费、抽测费、保险、利润、税金、卸车费的相关费用及所有风险、责任等各项应有费用。</w:t>
      </w:r>
    </w:p>
    <w:p w14:paraId="1AE1DC57">
      <w:pPr>
        <w:pStyle w:val="64"/>
        <w:spacing w:line="46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3.供应商已详细审查全部采购文件，同意招标须知的各项要求。</w:t>
      </w:r>
    </w:p>
    <w:p w14:paraId="65CEC2DB">
      <w:pPr>
        <w:pStyle w:val="64"/>
        <w:spacing w:line="46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4.若成交，供应商将按采购文件及响应文件的规定履行合同责任和义务。</w:t>
      </w:r>
    </w:p>
    <w:p w14:paraId="48162FD0">
      <w:pPr>
        <w:pStyle w:val="64"/>
        <w:spacing w:line="46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5.供应商同意提供按照贵方可能要求的与其投标有关的一切数据或资料，并保证其真实性、合法性。</w:t>
      </w:r>
    </w:p>
    <w:p w14:paraId="163519C1">
      <w:pPr>
        <w:pStyle w:val="64"/>
        <w:spacing w:line="460" w:lineRule="exact"/>
        <w:ind w:left="540" w:firstLine="30"/>
        <w:jc w:val="left"/>
        <w:rPr>
          <w:rFonts w:ascii="仿宋" w:hAnsi="仿宋" w:eastAsia="仿宋" w:cs="仿宋_GB2312"/>
          <w:sz w:val="28"/>
          <w:szCs w:val="28"/>
        </w:rPr>
      </w:pPr>
      <w:r>
        <w:rPr>
          <w:rFonts w:hint="eastAsia" w:ascii="仿宋" w:hAnsi="仿宋" w:eastAsia="仿宋" w:cs="仿宋_GB2312"/>
          <w:sz w:val="28"/>
          <w:szCs w:val="28"/>
        </w:rPr>
        <w:t>6.我方与本次招标投标有关的一切正式来往通讯请寄：</w:t>
      </w:r>
    </w:p>
    <w:p w14:paraId="0E29B6C4">
      <w:pPr>
        <w:pStyle w:val="64"/>
        <w:spacing w:line="460" w:lineRule="exact"/>
        <w:ind w:left="540" w:firstLine="30"/>
        <w:jc w:val="left"/>
        <w:rPr>
          <w:rFonts w:ascii="仿宋" w:hAnsi="仿宋" w:eastAsia="仿宋" w:cs="仿宋_GB2312"/>
          <w:sz w:val="28"/>
          <w:szCs w:val="28"/>
        </w:rPr>
      </w:pPr>
      <w:r>
        <w:rPr>
          <w:rFonts w:hint="eastAsia" w:ascii="仿宋" w:hAnsi="仿宋" w:eastAsia="仿宋" w:cs="仿宋_GB2312"/>
          <w:sz w:val="28"/>
          <w:szCs w:val="28"/>
        </w:rPr>
        <w:t xml:space="preserve">       </w:t>
      </w:r>
    </w:p>
    <w:p w14:paraId="4E952AAC">
      <w:pPr>
        <w:pStyle w:val="64"/>
        <w:spacing w:line="460" w:lineRule="exact"/>
        <w:ind w:left="540" w:firstLine="30"/>
        <w:jc w:val="left"/>
        <w:rPr>
          <w:rFonts w:ascii="仿宋" w:hAnsi="仿宋" w:eastAsia="仿宋" w:cs="仿宋_GB2312"/>
          <w:sz w:val="28"/>
          <w:szCs w:val="28"/>
        </w:rPr>
      </w:pPr>
    </w:p>
    <w:p w14:paraId="5DD75D37">
      <w:pPr>
        <w:pStyle w:val="64"/>
        <w:spacing w:line="460" w:lineRule="exact"/>
        <w:ind w:left="540" w:firstLine="30"/>
        <w:jc w:val="left"/>
        <w:rPr>
          <w:rFonts w:ascii="仿宋" w:hAnsi="仿宋" w:eastAsia="仿宋" w:cs="仿宋_GB2312"/>
          <w:sz w:val="28"/>
          <w:szCs w:val="28"/>
        </w:rPr>
      </w:pPr>
    </w:p>
    <w:p w14:paraId="54A8BC54">
      <w:pPr>
        <w:pStyle w:val="64"/>
        <w:spacing w:line="460" w:lineRule="exact"/>
        <w:jc w:val="left"/>
        <w:rPr>
          <w:rFonts w:ascii="仿宋" w:hAnsi="仿宋" w:eastAsia="仿宋" w:cs="仿宋_GB2312"/>
          <w:sz w:val="28"/>
          <w:szCs w:val="28"/>
        </w:rPr>
      </w:pPr>
    </w:p>
    <w:p w14:paraId="7F121014">
      <w:pPr>
        <w:pStyle w:val="64"/>
        <w:spacing w:line="460" w:lineRule="exact"/>
        <w:ind w:left="540" w:firstLine="30"/>
        <w:jc w:val="left"/>
        <w:rPr>
          <w:rFonts w:ascii="仿宋" w:hAnsi="仿宋" w:eastAsia="仿宋" w:cs="仿宋_GB2312"/>
          <w:sz w:val="28"/>
          <w:szCs w:val="28"/>
        </w:rPr>
      </w:pPr>
    </w:p>
    <w:p w14:paraId="0BD39AF7">
      <w:pPr>
        <w:pStyle w:val="64"/>
        <w:spacing w:line="460" w:lineRule="exact"/>
        <w:ind w:firstLine="3360" w:firstLineChars="1200"/>
        <w:jc w:val="left"/>
        <w:rPr>
          <w:rFonts w:ascii="仿宋" w:hAnsi="仿宋" w:eastAsia="仿宋" w:cs="仿宋_GB2312"/>
          <w:sz w:val="28"/>
          <w:szCs w:val="28"/>
        </w:rPr>
      </w:pPr>
    </w:p>
    <w:p w14:paraId="715532C6">
      <w:pPr>
        <w:pStyle w:val="64"/>
        <w:spacing w:line="460" w:lineRule="exact"/>
        <w:ind w:firstLine="3360" w:firstLineChars="1200"/>
        <w:jc w:val="left"/>
        <w:rPr>
          <w:rFonts w:ascii="仿宋" w:hAnsi="仿宋" w:eastAsia="仿宋" w:cs="仿宋_GB2312"/>
          <w:sz w:val="28"/>
          <w:szCs w:val="28"/>
        </w:rPr>
      </w:pPr>
      <w:r>
        <w:rPr>
          <w:rFonts w:hint="eastAsia" w:ascii="仿宋" w:hAnsi="仿宋" w:eastAsia="仿宋" w:cs="仿宋_GB2312"/>
          <w:sz w:val="28"/>
          <w:szCs w:val="28"/>
        </w:rPr>
        <w:t>单位名称（盖  章）：</w:t>
      </w:r>
    </w:p>
    <w:p w14:paraId="05E9977D">
      <w:pPr>
        <w:ind w:firstLine="1680" w:firstLineChars="600"/>
        <w:rPr>
          <w:rFonts w:ascii="仿宋" w:hAnsi="仿宋" w:eastAsia="仿宋" w:cs="仿宋_GB2312"/>
          <w:sz w:val="28"/>
          <w:szCs w:val="28"/>
        </w:rPr>
      </w:pPr>
      <w:r>
        <w:rPr>
          <w:rFonts w:ascii="仿宋" w:hAnsi="仿宋" w:eastAsia="仿宋" w:cs="仿宋_GB2312"/>
          <w:sz w:val="28"/>
          <w:szCs w:val="28"/>
        </w:rPr>
        <w:t>法定代表人（或授权人）（签名）：</w:t>
      </w:r>
    </w:p>
    <w:p w14:paraId="66EF0FFC">
      <w:pPr>
        <w:ind w:firstLine="5320" w:firstLineChars="1900"/>
        <w:rPr>
          <w:rFonts w:ascii="仿宋" w:hAnsi="仿宋" w:eastAsia="仿宋" w:cs="仿宋_GB2312"/>
          <w:sz w:val="28"/>
          <w:szCs w:val="28"/>
        </w:rPr>
      </w:pPr>
      <w:r>
        <w:rPr>
          <w:rFonts w:hint="eastAsia" w:ascii="仿宋" w:hAnsi="仿宋" w:eastAsia="仿宋" w:cs="仿宋_GB2312"/>
          <w:sz w:val="28"/>
          <w:szCs w:val="28"/>
        </w:rPr>
        <w:t>地址：</w:t>
      </w:r>
    </w:p>
    <w:p w14:paraId="2D31AFBE">
      <w:pPr>
        <w:ind w:firstLine="5320" w:firstLineChars="1900"/>
        <w:rPr>
          <w:rFonts w:ascii="仿宋" w:hAnsi="仿宋" w:eastAsia="仿宋" w:cs="仿宋_GB2312"/>
          <w:sz w:val="28"/>
          <w:szCs w:val="28"/>
        </w:rPr>
      </w:pPr>
      <w:r>
        <w:rPr>
          <w:rFonts w:hint="eastAsia" w:ascii="仿宋" w:hAnsi="仿宋" w:eastAsia="仿宋" w:cs="仿宋_GB2312"/>
          <w:sz w:val="28"/>
          <w:szCs w:val="28"/>
        </w:rPr>
        <w:t xml:space="preserve">日期： </w:t>
      </w:r>
    </w:p>
    <w:p w14:paraId="6196C306">
      <w:pPr>
        <w:rPr>
          <w:rFonts w:ascii="仿宋" w:hAnsi="仿宋" w:eastAsia="仿宋" w:cs="仿宋_GB2312"/>
          <w:sz w:val="28"/>
          <w:szCs w:val="28"/>
        </w:rPr>
      </w:pPr>
      <w:r>
        <w:rPr>
          <w:rFonts w:hint="eastAsia" w:ascii="仿宋" w:hAnsi="仿宋" w:eastAsia="仿宋" w:cs="仿宋_GB2312"/>
          <w:sz w:val="28"/>
          <w:szCs w:val="28"/>
        </w:rPr>
        <w:br w:type="page"/>
      </w:r>
    </w:p>
    <w:p w14:paraId="2B413368">
      <w:pPr>
        <w:pStyle w:val="64"/>
        <w:spacing w:line="440" w:lineRule="exact"/>
        <w:rPr>
          <w:rFonts w:ascii="仿宋" w:hAnsi="仿宋" w:eastAsia="仿宋" w:cs="仿宋_GB2312"/>
          <w:b/>
          <w:sz w:val="32"/>
          <w:szCs w:val="32"/>
        </w:rPr>
      </w:pPr>
      <w:r>
        <w:rPr>
          <w:rFonts w:hint="eastAsia" w:ascii="仿宋" w:hAnsi="仿宋" w:eastAsia="仿宋" w:cs="仿宋_GB2312"/>
          <w:b/>
          <w:sz w:val="32"/>
          <w:szCs w:val="32"/>
        </w:rPr>
        <w:t>附件三：供应商（服务商）承诺书</w:t>
      </w:r>
    </w:p>
    <w:p w14:paraId="0820BCD4">
      <w:pPr>
        <w:pStyle w:val="64"/>
        <w:spacing w:line="440" w:lineRule="exact"/>
        <w:rPr>
          <w:rFonts w:ascii="仿宋" w:hAnsi="仿宋" w:eastAsia="仿宋" w:cs="仿宋_GB2312"/>
          <w:b/>
          <w:sz w:val="32"/>
          <w:szCs w:val="32"/>
        </w:rPr>
      </w:pPr>
    </w:p>
    <w:p w14:paraId="7B50EDD5">
      <w:pPr>
        <w:pStyle w:val="64"/>
        <w:spacing w:line="440" w:lineRule="exact"/>
        <w:jc w:val="center"/>
        <w:rPr>
          <w:rFonts w:ascii="仿宋" w:hAnsi="仿宋" w:eastAsia="仿宋" w:cs="仿宋_GB2312"/>
          <w:b/>
          <w:sz w:val="32"/>
          <w:szCs w:val="32"/>
        </w:rPr>
      </w:pPr>
      <w:r>
        <w:rPr>
          <w:rFonts w:hint="eastAsia" w:ascii="仿宋" w:hAnsi="仿宋" w:eastAsia="仿宋" w:cs="仿宋_GB2312"/>
          <w:b/>
          <w:sz w:val="32"/>
          <w:szCs w:val="32"/>
        </w:rPr>
        <w:t>供应商（服务商）承诺书</w:t>
      </w:r>
    </w:p>
    <w:p w14:paraId="07613655">
      <w:pPr>
        <w:pStyle w:val="64"/>
        <w:spacing w:line="460" w:lineRule="exact"/>
        <w:jc w:val="left"/>
        <w:rPr>
          <w:rFonts w:ascii="仿宋" w:hAnsi="仿宋" w:eastAsia="仿宋" w:cs="仿宋_GB2312"/>
          <w:sz w:val="24"/>
        </w:rPr>
      </w:pPr>
    </w:p>
    <w:p w14:paraId="376E06CA">
      <w:pPr>
        <w:pStyle w:val="64"/>
        <w:spacing w:line="460" w:lineRule="exact"/>
        <w:jc w:val="left"/>
        <w:rPr>
          <w:rFonts w:ascii="仿宋" w:hAnsi="仿宋" w:eastAsia="仿宋" w:cs="仿宋_GB2312"/>
          <w:sz w:val="28"/>
          <w:szCs w:val="28"/>
        </w:rPr>
      </w:pPr>
      <w:r>
        <w:rPr>
          <w:rFonts w:ascii="仿宋" w:hAnsi="仿宋" w:eastAsia="仿宋" w:cs="仿宋_GB2312"/>
          <w:sz w:val="28"/>
          <w:szCs w:val="28"/>
        </w:rPr>
        <w:t>本人</w:t>
      </w:r>
      <w:r>
        <w:rPr>
          <w:rFonts w:ascii="仿宋" w:hAnsi="仿宋" w:eastAsia="仿宋" w:cs="仿宋_GB2312"/>
          <w:sz w:val="28"/>
          <w:szCs w:val="28"/>
          <w:u w:val="single"/>
        </w:rPr>
        <w:t xml:space="preserve">          </w:t>
      </w:r>
      <w:r>
        <w:rPr>
          <w:rFonts w:hint="eastAsia" w:ascii="仿宋" w:hAnsi="仿宋" w:eastAsia="仿宋" w:cs="仿宋_GB2312"/>
          <w:sz w:val="28"/>
          <w:szCs w:val="28"/>
        </w:rPr>
        <w:t>（姓名）</w:t>
      </w:r>
      <w:r>
        <w:rPr>
          <w:rFonts w:ascii="仿宋" w:hAnsi="仿宋" w:eastAsia="仿宋" w:cs="仿宋_GB2312"/>
          <w:sz w:val="28"/>
          <w:szCs w:val="28"/>
        </w:rPr>
        <w:t xml:space="preserve"> 经由</w:t>
      </w:r>
      <w:r>
        <w:rPr>
          <w:rFonts w:ascii="仿宋" w:hAnsi="仿宋" w:eastAsia="仿宋" w:cs="仿宋_GB2312"/>
          <w:sz w:val="28"/>
          <w:szCs w:val="28"/>
          <w:u w:val="single"/>
        </w:rPr>
        <w:t xml:space="preserve">             </w:t>
      </w:r>
      <w:r>
        <w:rPr>
          <w:rFonts w:ascii="仿宋" w:hAnsi="仿宋" w:eastAsia="仿宋" w:cs="仿宋_GB2312"/>
          <w:sz w:val="28"/>
          <w:szCs w:val="28"/>
        </w:rPr>
        <w:t>（单位）法人</w:t>
      </w:r>
      <w:r>
        <w:rPr>
          <w:rFonts w:ascii="仿宋" w:hAnsi="仿宋" w:eastAsia="仿宋" w:cs="仿宋_GB2312"/>
          <w:sz w:val="28"/>
          <w:szCs w:val="28"/>
          <w:u w:val="single"/>
        </w:rPr>
        <w:t xml:space="preserve">      </w:t>
      </w:r>
      <w:r>
        <w:rPr>
          <w:rFonts w:hint="eastAsia" w:ascii="仿宋" w:hAnsi="仿宋" w:eastAsia="仿宋" w:cs="仿宋_GB2312"/>
          <w:sz w:val="28"/>
          <w:szCs w:val="28"/>
          <w:u w:val="single"/>
        </w:rPr>
        <w:t xml:space="preserve">  </w:t>
      </w:r>
      <w:r>
        <w:rPr>
          <w:rFonts w:ascii="仿宋" w:hAnsi="仿宋" w:eastAsia="仿宋" w:cs="仿宋_GB2312"/>
          <w:sz w:val="28"/>
          <w:szCs w:val="28"/>
        </w:rPr>
        <w:t>（姓名）合法授权参加</w:t>
      </w:r>
      <w:r>
        <w:rPr>
          <w:rFonts w:ascii="仿宋" w:hAnsi="仿宋" w:eastAsia="仿宋" w:cs="仿宋_GB2312"/>
          <w:sz w:val="28"/>
          <w:szCs w:val="28"/>
          <w:u w:val="single"/>
        </w:rPr>
        <w:t xml:space="preserve">                      </w:t>
      </w:r>
      <w:r>
        <w:rPr>
          <w:rFonts w:ascii="仿宋" w:hAnsi="仿宋" w:eastAsia="仿宋" w:cs="仿宋_GB2312"/>
          <w:sz w:val="28"/>
          <w:szCs w:val="28"/>
        </w:rPr>
        <w:t xml:space="preserve">项目的采购活动，经与本单位法人代表（负责人）确认，现就有关公平竞争事项郑重承诺如下： </w:t>
      </w:r>
    </w:p>
    <w:p w14:paraId="130737CC">
      <w:pPr>
        <w:pStyle w:val="64"/>
        <w:spacing w:line="460" w:lineRule="exact"/>
        <w:jc w:val="left"/>
        <w:rPr>
          <w:rFonts w:ascii="仿宋" w:hAnsi="仿宋" w:eastAsia="仿宋" w:cs="仿宋_GB2312"/>
          <w:sz w:val="28"/>
          <w:szCs w:val="28"/>
        </w:rPr>
      </w:pPr>
      <w:r>
        <w:rPr>
          <w:rFonts w:ascii="仿宋" w:hAnsi="仿宋" w:eastAsia="仿宋" w:cs="仿宋_GB2312"/>
          <w:sz w:val="28"/>
          <w:szCs w:val="28"/>
        </w:rPr>
        <w:t>本单位承诺不存在与关联关系的企业共同参与本次采购活动，所述的关联关系是具有以下情形之一：</w:t>
      </w:r>
    </w:p>
    <w:p w14:paraId="16F43A5E">
      <w:pPr>
        <w:pStyle w:val="64"/>
        <w:spacing w:line="460" w:lineRule="exact"/>
        <w:jc w:val="left"/>
        <w:rPr>
          <w:rFonts w:ascii="仿宋" w:hAnsi="仿宋" w:eastAsia="仿宋" w:cs="仿宋_GB2312"/>
          <w:sz w:val="28"/>
          <w:szCs w:val="28"/>
        </w:rPr>
      </w:pPr>
      <w:r>
        <w:rPr>
          <w:rFonts w:ascii="仿宋" w:hAnsi="仿宋" w:eastAsia="仿宋" w:cs="仿宋_GB2312"/>
          <w:sz w:val="28"/>
          <w:szCs w:val="28"/>
        </w:rPr>
        <w:t>A.法定代表人或负责人或实际控制人是同一人</w:t>
      </w:r>
    </w:p>
    <w:p w14:paraId="326FF6E6">
      <w:pPr>
        <w:pStyle w:val="64"/>
        <w:spacing w:line="460" w:lineRule="exact"/>
        <w:jc w:val="left"/>
        <w:rPr>
          <w:rFonts w:ascii="仿宋" w:hAnsi="仿宋" w:eastAsia="仿宋" w:cs="仿宋_GB2312"/>
          <w:sz w:val="28"/>
          <w:szCs w:val="28"/>
        </w:rPr>
      </w:pPr>
      <w:r>
        <w:rPr>
          <w:rFonts w:ascii="仿宋" w:hAnsi="仿宋" w:eastAsia="仿宋" w:cs="仿宋_GB2312"/>
          <w:sz w:val="28"/>
          <w:szCs w:val="28"/>
        </w:rPr>
        <w:t>B.法定代表人或负责人或实际控制人是夫妻关系</w:t>
      </w:r>
    </w:p>
    <w:p w14:paraId="0C5FABBA">
      <w:pPr>
        <w:pStyle w:val="64"/>
        <w:spacing w:line="460" w:lineRule="exact"/>
        <w:jc w:val="left"/>
        <w:rPr>
          <w:rFonts w:ascii="仿宋" w:hAnsi="仿宋" w:eastAsia="仿宋" w:cs="仿宋_GB2312"/>
          <w:sz w:val="28"/>
          <w:szCs w:val="28"/>
        </w:rPr>
      </w:pPr>
      <w:r>
        <w:rPr>
          <w:rFonts w:ascii="仿宋" w:hAnsi="仿宋" w:eastAsia="仿宋" w:cs="仿宋_GB2312"/>
          <w:sz w:val="28"/>
          <w:szCs w:val="28"/>
        </w:rPr>
        <w:t>C.法定代表人或负责人或实际控制人是直系血亲关系</w:t>
      </w:r>
    </w:p>
    <w:p w14:paraId="4D4BADB3">
      <w:pPr>
        <w:pStyle w:val="64"/>
        <w:spacing w:line="460" w:lineRule="exact"/>
        <w:jc w:val="left"/>
        <w:rPr>
          <w:rFonts w:ascii="仿宋" w:hAnsi="仿宋" w:eastAsia="仿宋" w:cs="仿宋_GB2312"/>
          <w:sz w:val="28"/>
          <w:szCs w:val="28"/>
        </w:rPr>
      </w:pPr>
      <w:r>
        <w:rPr>
          <w:rFonts w:ascii="仿宋" w:hAnsi="仿宋" w:eastAsia="仿宋" w:cs="仿宋_GB2312"/>
          <w:sz w:val="28"/>
          <w:szCs w:val="28"/>
        </w:rPr>
        <w:t>D.法定代表人或负责人或实际控制人存在三代以内旁系血亲关系</w:t>
      </w:r>
    </w:p>
    <w:p w14:paraId="6B538F88">
      <w:pPr>
        <w:pStyle w:val="64"/>
        <w:spacing w:line="460" w:lineRule="exact"/>
        <w:jc w:val="left"/>
        <w:rPr>
          <w:rFonts w:ascii="仿宋" w:hAnsi="仿宋" w:eastAsia="仿宋" w:cs="仿宋_GB2312"/>
          <w:sz w:val="28"/>
          <w:szCs w:val="28"/>
        </w:rPr>
      </w:pPr>
      <w:r>
        <w:rPr>
          <w:rFonts w:ascii="仿宋" w:hAnsi="仿宋" w:eastAsia="仿宋" w:cs="仿宋_GB2312"/>
          <w:sz w:val="28"/>
          <w:szCs w:val="28"/>
        </w:rPr>
        <w:t>E.法定代表人或负责人或实际控制人存在近姻亲关系</w:t>
      </w:r>
    </w:p>
    <w:p w14:paraId="7FB636A2">
      <w:pPr>
        <w:pStyle w:val="64"/>
        <w:spacing w:line="460" w:lineRule="exact"/>
        <w:jc w:val="left"/>
        <w:rPr>
          <w:rFonts w:ascii="仿宋" w:hAnsi="仿宋" w:eastAsia="仿宋" w:cs="仿宋_GB2312"/>
          <w:sz w:val="28"/>
          <w:szCs w:val="28"/>
        </w:rPr>
      </w:pPr>
      <w:r>
        <w:rPr>
          <w:rFonts w:ascii="仿宋" w:hAnsi="仿宋" w:eastAsia="仿宋" w:cs="仿宋_GB2312"/>
          <w:sz w:val="28"/>
          <w:szCs w:val="28"/>
        </w:rPr>
        <w:t>F.法定代表人或负责人或实际控制人存在股份控制或实际控制关系</w:t>
      </w:r>
    </w:p>
    <w:p w14:paraId="0C5AEA27">
      <w:pPr>
        <w:pStyle w:val="64"/>
        <w:spacing w:line="460" w:lineRule="exact"/>
        <w:jc w:val="left"/>
        <w:rPr>
          <w:rFonts w:ascii="仿宋" w:hAnsi="仿宋" w:eastAsia="仿宋" w:cs="仿宋_GB2312"/>
          <w:sz w:val="28"/>
          <w:szCs w:val="28"/>
        </w:rPr>
      </w:pPr>
      <w:r>
        <w:rPr>
          <w:rFonts w:ascii="仿宋" w:hAnsi="仿宋" w:eastAsia="仿宋" w:cs="仿宋_GB2312"/>
          <w:sz w:val="28"/>
          <w:szCs w:val="28"/>
        </w:rPr>
        <w:t>G.存在共同直接或间接投资设立子公司、联营企业和合营企业情况</w:t>
      </w:r>
    </w:p>
    <w:p w14:paraId="16D5930B">
      <w:pPr>
        <w:pStyle w:val="64"/>
        <w:spacing w:line="460" w:lineRule="exact"/>
        <w:jc w:val="left"/>
        <w:rPr>
          <w:rFonts w:ascii="仿宋" w:hAnsi="仿宋" w:eastAsia="仿宋" w:cs="仿宋_GB2312"/>
          <w:sz w:val="28"/>
          <w:szCs w:val="28"/>
        </w:rPr>
      </w:pPr>
      <w:r>
        <w:rPr>
          <w:rFonts w:ascii="仿宋" w:hAnsi="仿宋" w:eastAsia="仿宋" w:cs="仿宋_GB2312"/>
          <w:sz w:val="28"/>
          <w:szCs w:val="28"/>
        </w:rPr>
        <w:t>H.存在分级代理或代销关系、同一生产制造商关系、管理关系、重要业务（占主营业务收入50%以上）或重要财务往来关系（如融资）等其他实质性控制关系</w:t>
      </w:r>
    </w:p>
    <w:p w14:paraId="1A76BB4E">
      <w:pPr>
        <w:pStyle w:val="64"/>
        <w:spacing w:line="460" w:lineRule="exact"/>
        <w:jc w:val="left"/>
        <w:rPr>
          <w:rFonts w:ascii="仿宋" w:hAnsi="仿宋" w:eastAsia="仿宋" w:cs="仿宋_GB2312"/>
          <w:sz w:val="28"/>
          <w:szCs w:val="28"/>
        </w:rPr>
      </w:pPr>
      <w:r>
        <w:rPr>
          <w:rFonts w:ascii="仿宋" w:hAnsi="仿宋" w:eastAsia="仿宋" w:cs="仿宋_GB2312"/>
          <w:sz w:val="28"/>
          <w:szCs w:val="28"/>
        </w:rPr>
        <w:t>I.其他利害关系情况                              。</w:t>
      </w:r>
    </w:p>
    <w:p w14:paraId="57FC5C8D">
      <w:pPr>
        <w:pStyle w:val="64"/>
        <w:spacing w:line="460" w:lineRule="exact"/>
        <w:jc w:val="left"/>
        <w:rPr>
          <w:rFonts w:ascii="仿宋" w:hAnsi="仿宋" w:eastAsia="仿宋" w:cs="仿宋_GB2312"/>
          <w:sz w:val="28"/>
          <w:szCs w:val="28"/>
        </w:rPr>
      </w:pPr>
      <w:r>
        <w:rPr>
          <w:rFonts w:ascii="仿宋" w:hAnsi="仿宋" w:eastAsia="仿宋" w:cs="仿宋_GB2312"/>
          <w:sz w:val="28"/>
          <w:szCs w:val="28"/>
        </w:rPr>
        <w:t>二、本单位承诺在本次投标中无关联企业参与投标，未组织、未参与任何围标、串标活动，如有违反，愿承担招标方及巨化集团规定的，包括没收投标保证金、列入供应商黑名单等在内所有处罚措施和相应的法律责任。</w:t>
      </w:r>
    </w:p>
    <w:p w14:paraId="0777766D">
      <w:pPr>
        <w:pStyle w:val="64"/>
        <w:spacing w:line="460" w:lineRule="exact"/>
        <w:jc w:val="left"/>
        <w:rPr>
          <w:rFonts w:ascii="仿宋" w:hAnsi="仿宋" w:eastAsia="仿宋" w:cs="仿宋_GB2312"/>
          <w:sz w:val="28"/>
          <w:szCs w:val="28"/>
        </w:rPr>
      </w:pPr>
      <w:r>
        <w:rPr>
          <w:rFonts w:ascii="仿宋" w:hAnsi="仿宋" w:eastAsia="仿宋" w:cs="仿宋_GB2312"/>
          <w:sz w:val="28"/>
          <w:szCs w:val="28"/>
        </w:rPr>
        <w:t>三、本单位已清楚知道上述规定并严格遵守招标法律法规和承诺要求。</w:t>
      </w:r>
    </w:p>
    <w:p w14:paraId="65A430C2">
      <w:pPr>
        <w:pStyle w:val="64"/>
        <w:spacing w:line="460" w:lineRule="exact"/>
        <w:ind w:firstLine="3920" w:firstLineChars="1400"/>
        <w:jc w:val="left"/>
        <w:rPr>
          <w:rFonts w:ascii="仿宋" w:hAnsi="仿宋" w:eastAsia="仿宋" w:cs="仿宋_GB2312"/>
          <w:sz w:val="28"/>
          <w:szCs w:val="28"/>
        </w:rPr>
      </w:pPr>
    </w:p>
    <w:p w14:paraId="5F1A04EF">
      <w:pPr>
        <w:pStyle w:val="64"/>
        <w:spacing w:line="460" w:lineRule="exact"/>
        <w:ind w:firstLine="3920" w:firstLineChars="1400"/>
        <w:jc w:val="left"/>
        <w:rPr>
          <w:rFonts w:ascii="仿宋" w:hAnsi="仿宋" w:eastAsia="仿宋" w:cs="仿宋_GB2312"/>
          <w:sz w:val="28"/>
          <w:szCs w:val="28"/>
        </w:rPr>
      </w:pPr>
    </w:p>
    <w:p w14:paraId="0D06E7FA">
      <w:pPr>
        <w:pStyle w:val="64"/>
        <w:spacing w:line="460" w:lineRule="exact"/>
        <w:ind w:firstLine="3920" w:firstLineChars="1400"/>
        <w:jc w:val="left"/>
        <w:rPr>
          <w:rFonts w:ascii="仿宋" w:hAnsi="仿宋" w:eastAsia="仿宋" w:cs="仿宋_GB2312"/>
          <w:sz w:val="28"/>
          <w:szCs w:val="28"/>
        </w:rPr>
      </w:pPr>
      <w:r>
        <w:rPr>
          <w:rFonts w:ascii="仿宋" w:hAnsi="仿宋" w:eastAsia="仿宋" w:cs="仿宋_GB2312"/>
          <w:sz w:val="28"/>
          <w:szCs w:val="28"/>
        </w:rPr>
        <w:t xml:space="preserve">单位名称（盖章）： </w:t>
      </w:r>
    </w:p>
    <w:p w14:paraId="52DF0E67">
      <w:pPr>
        <w:pStyle w:val="64"/>
        <w:spacing w:line="460" w:lineRule="exact"/>
        <w:ind w:firstLine="1960" w:firstLineChars="700"/>
        <w:jc w:val="left"/>
        <w:rPr>
          <w:rFonts w:ascii="仿宋" w:hAnsi="仿宋" w:eastAsia="仿宋" w:cs="仿宋_GB2312"/>
          <w:sz w:val="28"/>
          <w:szCs w:val="28"/>
        </w:rPr>
      </w:pPr>
      <w:r>
        <w:rPr>
          <w:rFonts w:ascii="仿宋" w:hAnsi="仿宋" w:eastAsia="仿宋" w:cs="仿宋_GB2312"/>
          <w:sz w:val="28"/>
          <w:szCs w:val="28"/>
        </w:rPr>
        <w:t xml:space="preserve">法定代表人（或授权人）（签名）：              </w:t>
      </w:r>
    </w:p>
    <w:p w14:paraId="5CFE1405">
      <w:pPr>
        <w:pStyle w:val="64"/>
        <w:spacing w:line="460" w:lineRule="exact"/>
        <w:ind w:firstLine="5600" w:firstLineChars="2000"/>
        <w:jc w:val="left"/>
        <w:rPr>
          <w:rFonts w:ascii="仿宋" w:hAnsi="仿宋" w:eastAsia="仿宋" w:cs="仿宋_GB2312"/>
          <w:sz w:val="28"/>
          <w:szCs w:val="28"/>
        </w:rPr>
      </w:pPr>
      <w:r>
        <w:rPr>
          <w:rFonts w:ascii="仿宋" w:hAnsi="仿宋" w:eastAsia="仿宋" w:cs="仿宋_GB2312"/>
          <w:sz w:val="28"/>
          <w:szCs w:val="28"/>
        </w:rPr>
        <w:t>日期：</w:t>
      </w:r>
    </w:p>
    <w:p w14:paraId="1A52F87B">
      <w:pPr>
        <w:pStyle w:val="64"/>
        <w:spacing w:line="460" w:lineRule="exact"/>
        <w:jc w:val="left"/>
        <w:rPr>
          <w:rFonts w:ascii="仿宋" w:hAnsi="仿宋" w:eastAsia="仿宋" w:cs="仿宋_GB2312"/>
          <w:sz w:val="32"/>
          <w:szCs w:val="32"/>
        </w:rPr>
      </w:pPr>
      <w:r>
        <w:rPr>
          <w:rFonts w:ascii="仿宋" w:hAnsi="仿宋" w:eastAsia="仿宋" w:cs="仿宋_GB2312"/>
          <w:sz w:val="24"/>
        </w:rPr>
        <w:br w:type="page"/>
      </w:r>
      <w:r>
        <w:rPr>
          <w:rFonts w:hint="eastAsia" w:ascii="仿宋" w:hAnsi="仿宋" w:eastAsia="仿宋" w:cs="宋体"/>
          <w:b/>
          <w:kern w:val="0"/>
          <w:sz w:val="32"/>
          <w:szCs w:val="32"/>
        </w:rPr>
        <w:t>附件四：现场勘察确认书</w:t>
      </w:r>
    </w:p>
    <w:p w14:paraId="73388C5E">
      <w:pPr>
        <w:widowControl/>
        <w:jc w:val="center"/>
        <w:rPr>
          <w:rFonts w:ascii="仿宋" w:hAnsi="仿宋" w:eastAsia="仿宋" w:cs="宋体"/>
          <w:b/>
          <w:kern w:val="0"/>
          <w:sz w:val="32"/>
          <w:szCs w:val="32"/>
        </w:rPr>
      </w:pPr>
    </w:p>
    <w:p w14:paraId="7C135967">
      <w:pPr>
        <w:widowControl/>
        <w:jc w:val="center"/>
        <w:rPr>
          <w:rFonts w:ascii="仿宋" w:hAnsi="仿宋" w:eastAsia="仿宋" w:cs="宋体"/>
          <w:b/>
          <w:kern w:val="0"/>
          <w:sz w:val="32"/>
          <w:szCs w:val="32"/>
        </w:rPr>
      </w:pPr>
      <w:r>
        <w:rPr>
          <w:rFonts w:hint="eastAsia" w:ascii="仿宋" w:hAnsi="仿宋" w:eastAsia="仿宋" w:cs="宋体"/>
          <w:b/>
          <w:kern w:val="0"/>
          <w:sz w:val="32"/>
          <w:szCs w:val="32"/>
        </w:rPr>
        <w:t>现场勘察确认书</w:t>
      </w:r>
    </w:p>
    <w:p w14:paraId="0D59B2A4">
      <w:pPr>
        <w:widowControl/>
        <w:jc w:val="center"/>
        <w:rPr>
          <w:rFonts w:ascii="仿宋" w:hAnsi="仿宋" w:eastAsia="仿宋" w:cs="宋体"/>
          <w:b/>
          <w:kern w:val="0"/>
          <w:sz w:val="28"/>
          <w:szCs w:val="28"/>
        </w:rPr>
      </w:pPr>
    </w:p>
    <w:p w14:paraId="4526F88C">
      <w:pPr>
        <w:pStyle w:val="64"/>
        <w:spacing w:line="276" w:lineRule="auto"/>
        <w:jc w:val="left"/>
        <w:rPr>
          <w:rFonts w:ascii="仿宋" w:hAnsi="仿宋" w:eastAsia="仿宋" w:cs="仿宋_GB2312"/>
          <w:sz w:val="28"/>
          <w:szCs w:val="28"/>
        </w:rPr>
      </w:pPr>
      <w:r>
        <w:rPr>
          <w:rFonts w:hint="eastAsia" w:ascii="仿宋" w:hAnsi="仿宋" w:eastAsia="仿宋" w:cs="仿宋_GB2312"/>
          <w:sz w:val="28"/>
          <w:szCs w:val="28"/>
        </w:rPr>
        <w:t>浙江巨化信息技术有限公司：</w:t>
      </w:r>
    </w:p>
    <w:p w14:paraId="768E6F8C">
      <w:pPr>
        <w:pStyle w:val="64"/>
        <w:spacing w:line="276" w:lineRule="auto"/>
        <w:ind w:firstLine="564"/>
        <w:rPr>
          <w:rFonts w:ascii="仿宋" w:hAnsi="仿宋" w:eastAsia="仿宋" w:cs="仿宋_GB2312"/>
          <w:sz w:val="28"/>
          <w:szCs w:val="28"/>
        </w:rPr>
      </w:pPr>
      <w:r>
        <w:rPr>
          <w:rFonts w:hint="eastAsia" w:ascii="仿宋" w:hAnsi="仿宋" w:eastAsia="仿宋" w:cs="仿宋_GB2312"/>
          <w:sz w:val="28"/>
          <w:szCs w:val="28"/>
        </w:rPr>
        <w:t>我公司已联系本招标书中指定联系人，完成了本投标项目的现场环境实地勘察，已了解施工现场环境的复杂程度及施工要求。投标人认为</w:t>
      </w:r>
      <w:r>
        <w:rPr>
          <w:rFonts w:ascii="仿宋" w:hAnsi="仿宋" w:eastAsia="仿宋" w:cs="仿宋_GB2312"/>
          <w:sz w:val="28"/>
          <w:szCs w:val="28"/>
        </w:rPr>
        <w:t>已充分理解招标人需求，并作出以下承诺</w:t>
      </w:r>
      <w:r>
        <w:rPr>
          <w:rFonts w:hint="eastAsia" w:ascii="仿宋" w:hAnsi="仿宋" w:eastAsia="仿宋" w:cs="仿宋_GB2312"/>
          <w:sz w:val="28"/>
          <w:szCs w:val="28"/>
        </w:rPr>
        <w:t>：</w:t>
      </w:r>
      <w:r>
        <w:rPr>
          <w:rFonts w:ascii="仿宋" w:hAnsi="仿宋" w:eastAsia="仿宋" w:cs="仿宋_GB2312"/>
          <w:sz w:val="28"/>
          <w:szCs w:val="28"/>
        </w:rPr>
        <w:t xml:space="preserve">    </w:t>
      </w:r>
      <w:r>
        <w:rPr>
          <w:rFonts w:ascii="仿宋" w:hAnsi="仿宋" w:eastAsia="仿宋" w:cs="仿宋_GB2312"/>
          <w:sz w:val="28"/>
          <w:szCs w:val="28"/>
        </w:rPr>
        <w:tab/>
      </w:r>
      <w:r>
        <w:rPr>
          <w:rFonts w:ascii="仿宋" w:hAnsi="仿宋" w:eastAsia="仿宋" w:cs="仿宋_GB2312"/>
          <w:sz w:val="28"/>
          <w:szCs w:val="28"/>
        </w:rPr>
        <w:t xml:space="preserve"> </w:t>
      </w:r>
    </w:p>
    <w:p w14:paraId="0319EAD4">
      <w:pPr>
        <w:pStyle w:val="64"/>
        <w:spacing w:line="276" w:lineRule="auto"/>
        <w:ind w:firstLine="564"/>
        <w:rPr>
          <w:rFonts w:ascii="仿宋" w:hAnsi="仿宋" w:eastAsia="仿宋" w:cs="仿宋_GB2312"/>
          <w:sz w:val="28"/>
          <w:szCs w:val="28"/>
        </w:rPr>
      </w:pPr>
      <w:r>
        <w:rPr>
          <w:rFonts w:hint="eastAsia" w:ascii="仿宋" w:hAnsi="仿宋" w:eastAsia="仿宋" w:cs="仿宋_GB2312"/>
          <w:sz w:val="28"/>
          <w:szCs w:val="28"/>
        </w:rPr>
        <w:t>1、</w:t>
      </w:r>
      <w:r>
        <w:rPr>
          <w:rFonts w:ascii="仿宋" w:hAnsi="仿宋" w:eastAsia="仿宋" w:cs="仿宋_GB2312"/>
          <w:sz w:val="28"/>
          <w:szCs w:val="28"/>
        </w:rPr>
        <w:t>根据勘察结果，我们向贵公司项目负责人提交了初步的施工设想及方案，并得到了其认可。</w:t>
      </w:r>
    </w:p>
    <w:p w14:paraId="3F9B0750">
      <w:pPr>
        <w:pStyle w:val="58"/>
        <w:snapToGrid w:val="0"/>
        <w:spacing w:line="360" w:lineRule="auto"/>
        <w:ind w:firstLine="560" w:firstLineChars="200"/>
        <w:rPr>
          <w:rFonts w:hint="default" w:ascii="仿宋" w:hAnsi="仿宋" w:eastAsia="仿宋" w:cs="仿宋_GB2312"/>
          <w:sz w:val="28"/>
          <w:szCs w:val="28"/>
        </w:rPr>
      </w:pPr>
      <w:r>
        <w:rPr>
          <w:rFonts w:ascii="仿宋" w:hAnsi="仿宋" w:eastAsia="仿宋" w:cs="仿宋_GB2312"/>
          <w:sz w:val="28"/>
          <w:szCs w:val="28"/>
        </w:rPr>
        <w:t>2、明白本项目实行总价包干，招标文件提供的工程量清单仅供参考，需由投标人根据招标人需求进行现场实地测量，如投标人在投标时存在漏项或数量不足，承诺无偿完成相关漏项内容，满足招标人需求。</w:t>
      </w:r>
    </w:p>
    <w:p w14:paraId="39745C82">
      <w:pPr>
        <w:pStyle w:val="58"/>
        <w:snapToGrid w:val="0"/>
        <w:spacing w:line="360" w:lineRule="auto"/>
        <w:ind w:firstLine="560" w:firstLineChars="200"/>
        <w:rPr>
          <w:rFonts w:hint="default" w:ascii="仿宋" w:hAnsi="仿宋" w:eastAsia="仿宋" w:cs="仿宋_GB2312"/>
          <w:sz w:val="28"/>
          <w:szCs w:val="28"/>
        </w:rPr>
      </w:pPr>
      <w:r>
        <w:rPr>
          <w:rFonts w:ascii="仿宋" w:hAnsi="仿宋" w:eastAsia="仿宋" w:cs="仿宋_GB2312"/>
          <w:sz w:val="28"/>
          <w:szCs w:val="28"/>
        </w:rPr>
        <w:t>3、明白本项目涉及与设备安装施工承包商、空调安装服务商等方面的施工配合，由投标人自行与相关方做好对接与施工衔接。</w:t>
      </w:r>
    </w:p>
    <w:p w14:paraId="3C9C3527">
      <w:pPr>
        <w:pStyle w:val="64"/>
        <w:spacing w:line="276" w:lineRule="auto"/>
        <w:ind w:firstLine="564"/>
        <w:rPr>
          <w:rFonts w:ascii="仿宋" w:hAnsi="仿宋" w:eastAsia="仿宋" w:cs="仿宋_GB2312"/>
          <w:sz w:val="28"/>
          <w:szCs w:val="28"/>
        </w:rPr>
      </w:pPr>
      <w:r>
        <w:rPr>
          <w:rFonts w:hint="eastAsia" w:ascii="仿宋" w:hAnsi="仿宋" w:eastAsia="仿宋" w:cs="仿宋_GB2312"/>
          <w:sz w:val="28"/>
          <w:szCs w:val="28"/>
        </w:rPr>
        <w:t>特此确认。</w:t>
      </w:r>
    </w:p>
    <w:p w14:paraId="4FAFF508">
      <w:pPr>
        <w:widowControl/>
        <w:jc w:val="center"/>
        <w:rPr>
          <w:rFonts w:ascii="仿宋" w:hAnsi="仿宋" w:eastAsia="仿宋" w:cs="宋体"/>
          <w:kern w:val="0"/>
          <w:sz w:val="28"/>
          <w:szCs w:val="28"/>
        </w:rPr>
      </w:pPr>
    </w:p>
    <w:p w14:paraId="404B74F7">
      <w:pPr>
        <w:widowControl/>
        <w:jc w:val="center"/>
        <w:rPr>
          <w:rFonts w:ascii="仿宋" w:hAnsi="仿宋" w:eastAsia="仿宋" w:cs="仿宋_GB2312"/>
          <w:sz w:val="28"/>
          <w:szCs w:val="28"/>
        </w:rPr>
      </w:pPr>
    </w:p>
    <w:p w14:paraId="2C5801E8">
      <w:pPr>
        <w:widowControl/>
        <w:jc w:val="center"/>
        <w:rPr>
          <w:rFonts w:ascii="仿宋" w:hAnsi="仿宋" w:eastAsia="仿宋" w:cs="仿宋_GB2312"/>
          <w:sz w:val="28"/>
          <w:szCs w:val="28"/>
          <w:u w:val="single"/>
        </w:rPr>
      </w:pPr>
      <w:r>
        <w:rPr>
          <w:rFonts w:hint="eastAsia" w:ascii="仿宋" w:hAnsi="仿宋" w:eastAsia="仿宋" w:cs="仿宋_GB2312"/>
          <w:sz w:val="28"/>
          <w:szCs w:val="28"/>
        </w:rPr>
        <w:t xml:space="preserve">            投标方盖章：</w:t>
      </w:r>
    </w:p>
    <w:p w14:paraId="474DFE7E">
      <w:pPr>
        <w:widowControl/>
        <w:jc w:val="center"/>
        <w:rPr>
          <w:rFonts w:ascii="仿宋" w:hAnsi="仿宋" w:eastAsia="仿宋" w:cs="仿宋_GB2312"/>
          <w:sz w:val="28"/>
          <w:szCs w:val="28"/>
        </w:rPr>
      </w:pPr>
      <w:r>
        <w:rPr>
          <w:rFonts w:hint="eastAsia" w:ascii="仿宋" w:hAnsi="仿宋" w:eastAsia="仿宋" w:cs="仿宋_GB2312"/>
          <w:sz w:val="28"/>
          <w:szCs w:val="28"/>
        </w:rPr>
        <w:t xml:space="preserve">  招标方项目负责人签字：</w:t>
      </w:r>
    </w:p>
    <w:p w14:paraId="452EF322">
      <w:pPr>
        <w:widowControl/>
        <w:ind w:firstLine="5040" w:firstLineChars="1800"/>
        <w:rPr>
          <w:rFonts w:ascii="仿宋" w:hAnsi="仿宋" w:eastAsia="仿宋" w:cs="仿宋"/>
          <w:kern w:val="0"/>
          <w:sz w:val="28"/>
          <w:szCs w:val="28"/>
        </w:rPr>
      </w:pPr>
      <w:r>
        <w:rPr>
          <w:rFonts w:hint="eastAsia" w:ascii="仿宋" w:hAnsi="仿宋" w:eastAsia="仿宋" w:cs="仿宋"/>
          <w:kern w:val="0"/>
          <w:sz w:val="28"/>
          <w:szCs w:val="28"/>
        </w:rPr>
        <w:t>日期：</w:t>
      </w:r>
    </w:p>
    <w:p w14:paraId="0FE07BEE">
      <w:pPr>
        <w:rPr>
          <w:rFonts w:ascii="仿宋" w:hAnsi="仿宋" w:eastAsia="仿宋" w:cs="仿宋"/>
          <w:b/>
          <w:kern w:val="0"/>
          <w:sz w:val="32"/>
          <w:szCs w:val="32"/>
        </w:rPr>
      </w:pPr>
      <w:r>
        <w:rPr>
          <w:rFonts w:hint="eastAsia" w:ascii="仿宋" w:hAnsi="仿宋" w:eastAsia="仿宋" w:cs="仿宋"/>
          <w:b/>
          <w:kern w:val="0"/>
          <w:sz w:val="32"/>
          <w:szCs w:val="32"/>
        </w:rPr>
        <w:br w:type="page"/>
      </w:r>
    </w:p>
    <w:p w14:paraId="00148315">
      <w:pPr>
        <w:spacing w:after="156" w:afterLines="50"/>
        <w:rPr>
          <w:rFonts w:ascii="仿宋" w:hAnsi="仿宋" w:eastAsia="仿宋" w:cs="仿宋"/>
          <w:b/>
          <w:kern w:val="0"/>
          <w:sz w:val="32"/>
          <w:szCs w:val="32"/>
        </w:rPr>
      </w:pPr>
      <w:r>
        <w:rPr>
          <w:rFonts w:hint="eastAsia" w:ascii="仿宋" w:hAnsi="仿宋" w:eastAsia="仿宋" w:cs="仿宋"/>
          <w:b/>
          <w:kern w:val="0"/>
          <w:sz w:val="32"/>
          <w:szCs w:val="32"/>
        </w:rPr>
        <w:t>附件五：</w:t>
      </w:r>
      <w:r>
        <w:rPr>
          <w:rFonts w:hint="eastAsia" w:ascii="仿宋" w:hAnsi="仿宋" w:eastAsia="仿宋" w:cs="仿宋"/>
          <w:b/>
          <w:sz w:val="32"/>
          <w:szCs w:val="32"/>
        </w:rPr>
        <w:t>廉洁承诺书</w:t>
      </w:r>
    </w:p>
    <w:p w14:paraId="6A0089C6">
      <w:pPr>
        <w:spacing w:after="156" w:afterLines="50"/>
        <w:jc w:val="center"/>
        <w:rPr>
          <w:rFonts w:ascii="仿宋" w:hAnsi="仿宋" w:eastAsia="仿宋" w:cs="仿宋"/>
          <w:b/>
          <w:sz w:val="32"/>
          <w:szCs w:val="32"/>
        </w:rPr>
      </w:pPr>
      <w:r>
        <w:rPr>
          <w:rFonts w:hint="eastAsia" w:ascii="仿宋" w:hAnsi="仿宋" w:eastAsia="仿宋" w:cs="仿宋"/>
          <w:b/>
          <w:sz w:val="32"/>
          <w:szCs w:val="32"/>
        </w:rPr>
        <w:t>廉洁承诺书</w:t>
      </w:r>
    </w:p>
    <w:p w14:paraId="31B271A8">
      <w:pPr>
        <w:pStyle w:val="64"/>
        <w:spacing w:line="50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浙江巨化信息技术有限公司：       </w:t>
      </w:r>
    </w:p>
    <w:p w14:paraId="25BF161F">
      <w:pPr>
        <w:pStyle w:val="64"/>
        <w:spacing w:line="500" w:lineRule="exact"/>
        <w:ind w:firstLine="560" w:firstLineChars="200"/>
        <w:rPr>
          <w:rFonts w:ascii="仿宋" w:hAnsi="仿宋" w:eastAsia="仿宋" w:cs="仿宋"/>
          <w:sz w:val="28"/>
          <w:szCs w:val="28"/>
        </w:rPr>
      </w:pPr>
      <w:r>
        <w:rPr>
          <w:rFonts w:hint="eastAsia" w:ascii="仿宋" w:hAnsi="仿宋" w:eastAsia="仿宋" w:cs="仿宋"/>
          <w:sz w:val="28"/>
          <w:szCs w:val="28"/>
        </w:rPr>
        <w:t>作为贵公司潜在供应商，我单位现作如下郑重承诺：</w:t>
      </w:r>
    </w:p>
    <w:p w14:paraId="2EC05FCE">
      <w:pPr>
        <w:pStyle w:val="64"/>
        <w:spacing w:line="500" w:lineRule="exact"/>
        <w:ind w:firstLine="560" w:firstLineChars="200"/>
        <w:rPr>
          <w:rFonts w:ascii="仿宋" w:hAnsi="仿宋" w:eastAsia="仿宋" w:cs="仿宋"/>
          <w:sz w:val="28"/>
          <w:szCs w:val="28"/>
        </w:rPr>
      </w:pPr>
      <w:r>
        <w:rPr>
          <w:rFonts w:hint="eastAsia" w:ascii="仿宋" w:hAnsi="仿宋" w:eastAsia="仿宋" w:cs="仿宋"/>
          <w:sz w:val="28"/>
          <w:szCs w:val="28"/>
        </w:rPr>
        <w:t>1. 本单位在与贵公司的业务往来中，将严格遵守廉洁从业各项规定。不向贵方相关工作人员及其配偶、近亲属和其他特定关系人等赠送礼品、礼金、消费卡和有价证券、股权、其他金融产品等财物，不为其报销和支付各种应由个人支付的费用。</w:t>
      </w:r>
    </w:p>
    <w:p w14:paraId="252832AF">
      <w:pPr>
        <w:pStyle w:val="64"/>
        <w:spacing w:line="500" w:lineRule="exact"/>
        <w:ind w:firstLine="560" w:firstLineChars="200"/>
        <w:rPr>
          <w:rFonts w:ascii="仿宋" w:hAnsi="仿宋" w:eastAsia="仿宋" w:cs="仿宋"/>
          <w:sz w:val="28"/>
          <w:szCs w:val="28"/>
        </w:rPr>
      </w:pPr>
      <w:r>
        <w:rPr>
          <w:rFonts w:hint="eastAsia" w:ascii="仿宋" w:hAnsi="仿宋" w:eastAsia="仿宋" w:cs="仿宋"/>
          <w:sz w:val="28"/>
          <w:szCs w:val="28"/>
        </w:rPr>
        <w:t>2. 在与贵公司的业务往来过程中，不做违反中央八项规定精神和“四风”的事情，不向贵公司工作人员提供宴请、旅游、健身、娱乐等活动安排。</w:t>
      </w:r>
    </w:p>
    <w:p w14:paraId="122D3D0B">
      <w:pPr>
        <w:pStyle w:val="64"/>
        <w:spacing w:line="50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3. 对贵公司工作人员主动向我单位为其本人或亲属索取好处或有相关暗示的不良行为，我单位承诺立即向贵公司如实反映（举报电话：0570-3097055；巨化采购监管办公室投诉邮箱： </w:t>
      </w:r>
      <w:r>
        <w:fldChar w:fldCharType="begin"/>
      </w:r>
      <w:r>
        <w:instrText xml:space="preserve"> HYPERLINK "mailto:3091876@juhua.com" </w:instrText>
      </w:r>
      <w:r>
        <w:fldChar w:fldCharType="separate"/>
      </w:r>
      <w:r>
        <w:rPr>
          <w:rFonts w:hint="eastAsia" w:ascii="仿宋" w:hAnsi="仿宋" w:eastAsia="仿宋" w:cs="仿宋"/>
          <w:sz w:val="28"/>
          <w:szCs w:val="28"/>
        </w:rPr>
        <w:t>3091876@juhua.com</w:t>
      </w:r>
      <w:r>
        <w:rPr>
          <w:rFonts w:hint="eastAsia" w:ascii="仿宋" w:hAnsi="仿宋" w:eastAsia="仿宋" w:cs="仿宋"/>
          <w:sz w:val="28"/>
          <w:szCs w:val="28"/>
        </w:rPr>
        <w:fldChar w:fldCharType="end"/>
      </w:r>
      <w:r>
        <w:rPr>
          <w:rFonts w:hint="eastAsia" w:ascii="仿宋" w:hAnsi="仿宋" w:eastAsia="仿宋" w:cs="仿宋"/>
          <w:sz w:val="28"/>
          <w:szCs w:val="28"/>
        </w:rPr>
        <w:t>）。反映内容如系恶意虚假，我单位愿承担相应的法律责任。</w:t>
      </w:r>
    </w:p>
    <w:p w14:paraId="6C8B7DD3">
      <w:pPr>
        <w:pStyle w:val="64"/>
        <w:spacing w:line="500" w:lineRule="exact"/>
        <w:ind w:firstLine="560" w:firstLineChars="200"/>
        <w:rPr>
          <w:rFonts w:ascii="仿宋" w:hAnsi="仿宋" w:eastAsia="仿宋" w:cs="仿宋"/>
          <w:sz w:val="28"/>
          <w:szCs w:val="28"/>
        </w:rPr>
      </w:pPr>
      <w:r>
        <w:rPr>
          <w:rFonts w:hint="eastAsia" w:ascii="仿宋" w:hAnsi="仿宋" w:eastAsia="仿宋" w:cs="仿宋"/>
          <w:sz w:val="28"/>
          <w:szCs w:val="28"/>
        </w:rPr>
        <w:t>4. 我单位承诺，向贵公司提供的资料，真实可靠，无任何虚假内容。并通过正当途径开展业务活动，不弄虚作假、不损人利己、不影响双方信誉、不泄露双方商业机密。若我单位违反以上承诺或隐瞒相关情况，贵公司有权取消与我单位的合作，同时我单位愿承担由此导致的一切损失和赔偿责任。</w:t>
      </w:r>
    </w:p>
    <w:p w14:paraId="3E66F5A6">
      <w:pPr>
        <w:pStyle w:val="64"/>
        <w:spacing w:line="500" w:lineRule="exact"/>
        <w:ind w:firstLine="560" w:firstLineChars="200"/>
        <w:rPr>
          <w:rFonts w:ascii="仿宋" w:hAnsi="仿宋" w:eastAsia="仿宋" w:cs="仿宋"/>
          <w:sz w:val="28"/>
          <w:szCs w:val="28"/>
        </w:rPr>
      </w:pPr>
      <w:r>
        <w:rPr>
          <w:rFonts w:hint="eastAsia" w:ascii="仿宋" w:hAnsi="仿宋" w:eastAsia="仿宋" w:cs="仿宋"/>
          <w:sz w:val="28"/>
          <w:szCs w:val="28"/>
        </w:rPr>
        <w:t>本承诺书作为响应附件提供给采购单位。</w:t>
      </w:r>
    </w:p>
    <w:p w14:paraId="0EEAADA9">
      <w:pPr>
        <w:pStyle w:val="64"/>
        <w:spacing w:line="276" w:lineRule="auto"/>
        <w:ind w:firstLine="564"/>
        <w:rPr>
          <w:rFonts w:ascii="仿宋" w:hAnsi="仿宋" w:eastAsia="仿宋" w:cs="仿宋_GB2312"/>
          <w:sz w:val="28"/>
          <w:szCs w:val="28"/>
        </w:rPr>
      </w:pPr>
    </w:p>
    <w:p w14:paraId="5C14E364">
      <w:pPr>
        <w:pStyle w:val="64"/>
        <w:spacing w:line="276" w:lineRule="auto"/>
        <w:ind w:firstLine="4480" w:firstLineChars="1600"/>
        <w:rPr>
          <w:rFonts w:ascii="仿宋" w:hAnsi="仿宋" w:eastAsia="仿宋" w:cs="仿宋_GB2312"/>
          <w:sz w:val="28"/>
          <w:szCs w:val="28"/>
        </w:rPr>
      </w:pPr>
      <w:r>
        <w:rPr>
          <w:rFonts w:hint="eastAsia" w:ascii="仿宋" w:hAnsi="仿宋" w:eastAsia="仿宋" w:cs="仿宋_GB2312"/>
          <w:sz w:val="28"/>
          <w:szCs w:val="28"/>
        </w:rPr>
        <w:t>承诺单位（盖章）：</w:t>
      </w:r>
    </w:p>
    <w:p w14:paraId="42A4E82B">
      <w:pPr>
        <w:pStyle w:val="64"/>
        <w:spacing w:line="276" w:lineRule="auto"/>
        <w:ind w:firstLine="3080" w:firstLineChars="1100"/>
        <w:rPr>
          <w:rFonts w:ascii="仿宋" w:hAnsi="仿宋" w:eastAsia="仿宋" w:cs="仿宋_GB2312"/>
          <w:sz w:val="28"/>
          <w:szCs w:val="28"/>
        </w:rPr>
      </w:pPr>
      <w:r>
        <w:rPr>
          <w:rFonts w:hint="eastAsia" w:ascii="仿宋" w:hAnsi="仿宋" w:eastAsia="仿宋" w:cs="仿宋_GB2312"/>
          <w:sz w:val="28"/>
          <w:szCs w:val="28"/>
        </w:rPr>
        <w:t>法定代表人（或授权人）签字：</w:t>
      </w:r>
    </w:p>
    <w:p w14:paraId="6A674D22">
      <w:pPr>
        <w:pStyle w:val="64"/>
        <w:spacing w:line="276" w:lineRule="auto"/>
        <w:ind w:firstLine="6160" w:firstLineChars="2200"/>
        <w:rPr>
          <w:rFonts w:ascii="仿宋" w:hAnsi="仿宋" w:eastAsia="仿宋" w:cs="仿宋_GB2312"/>
          <w:sz w:val="28"/>
          <w:szCs w:val="28"/>
        </w:rPr>
      </w:pPr>
      <w:r>
        <w:rPr>
          <w:rFonts w:hint="eastAsia" w:ascii="仿宋" w:hAnsi="仿宋" w:eastAsia="仿宋" w:cs="仿宋_GB2312"/>
          <w:sz w:val="28"/>
          <w:szCs w:val="28"/>
        </w:rPr>
        <w:t>日期：</w:t>
      </w: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8F3AE7"/>
    <w:multiLevelType w:val="singleLevel"/>
    <w:tmpl w:val="8D8F3AE7"/>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ZhNTY1YWNkZjM4ZmVjMTg4OTVmZDNjYmViODA3NjkifQ=="/>
  </w:docVars>
  <w:rsids>
    <w:rsidRoot w:val="00F270A8"/>
    <w:rsid w:val="00013B9C"/>
    <w:rsid w:val="00017BCE"/>
    <w:rsid w:val="00026A03"/>
    <w:rsid w:val="00037089"/>
    <w:rsid w:val="000430D9"/>
    <w:rsid w:val="00056D64"/>
    <w:rsid w:val="000748A3"/>
    <w:rsid w:val="00076557"/>
    <w:rsid w:val="00095D2F"/>
    <w:rsid w:val="000A31AF"/>
    <w:rsid w:val="000A5A5E"/>
    <w:rsid w:val="000A6918"/>
    <w:rsid w:val="000B1FD0"/>
    <w:rsid w:val="000B2708"/>
    <w:rsid w:val="000B7DC3"/>
    <w:rsid w:val="000C1441"/>
    <w:rsid w:val="000C579F"/>
    <w:rsid w:val="000E303C"/>
    <w:rsid w:val="000E3782"/>
    <w:rsid w:val="001116E7"/>
    <w:rsid w:val="001154E8"/>
    <w:rsid w:val="00126954"/>
    <w:rsid w:val="00142BF3"/>
    <w:rsid w:val="00143781"/>
    <w:rsid w:val="001446C6"/>
    <w:rsid w:val="001553D7"/>
    <w:rsid w:val="00171176"/>
    <w:rsid w:val="00171B1E"/>
    <w:rsid w:val="001A605B"/>
    <w:rsid w:val="001B150F"/>
    <w:rsid w:val="001B426C"/>
    <w:rsid w:val="001C34F1"/>
    <w:rsid w:val="001C5B1A"/>
    <w:rsid w:val="001D43BC"/>
    <w:rsid w:val="001D6BA9"/>
    <w:rsid w:val="001E1147"/>
    <w:rsid w:val="001E37A1"/>
    <w:rsid w:val="002006DB"/>
    <w:rsid w:val="0020505D"/>
    <w:rsid w:val="00210807"/>
    <w:rsid w:val="002136C8"/>
    <w:rsid w:val="00214472"/>
    <w:rsid w:val="00216BFB"/>
    <w:rsid w:val="002178E9"/>
    <w:rsid w:val="002219E3"/>
    <w:rsid w:val="00222213"/>
    <w:rsid w:val="002305BC"/>
    <w:rsid w:val="00236200"/>
    <w:rsid w:val="0024348D"/>
    <w:rsid w:val="00245723"/>
    <w:rsid w:val="00261641"/>
    <w:rsid w:val="00265DF5"/>
    <w:rsid w:val="00270529"/>
    <w:rsid w:val="0027415D"/>
    <w:rsid w:val="00277453"/>
    <w:rsid w:val="002823B6"/>
    <w:rsid w:val="00284A16"/>
    <w:rsid w:val="002901C5"/>
    <w:rsid w:val="002939CD"/>
    <w:rsid w:val="00296BFE"/>
    <w:rsid w:val="00296F9E"/>
    <w:rsid w:val="002D0B13"/>
    <w:rsid w:val="002E1B78"/>
    <w:rsid w:val="002E3FAC"/>
    <w:rsid w:val="002E5338"/>
    <w:rsid w:val="002E7459"/>
    <w:rsid w:val="002F3A4F"/>
    <w:rsid w:val="002F4763"/>
    <w:rsid w:val="002F5228"/>
    <w:rsid w:val="00302658"/>
    <w:rsid w:val="00314641"/>
    <w:rsid w:val="003276AE"/>
    <w:rsid w:val="00327D47"/>
    <w:rsid w:val="00337A4C"/>
    <w:rsid w:val="003463D7"/>
    <w:rsid w:val="00366C76"/>
    <w:rsid w:val="00367DD9"/>
    <w:rsid w:val="003A33FB"/>
    <w:rsid w:val="003B6EEE"/>
    <w:rsid w:val="003B7AB5"/>
    <w:rsid w:val="003C0CBB"/>
    <w:rsid w:val="003C5EE1"/>
    <w:rsid w:val="003D3EF4"/>
    <w:rsid w:val="003D5DC2"/>
    <w:rsid w:val="003E7DD0"/>
    <w:rsid w:val="003F1331"/>
    <w:rsid w:val="003F6CF2"/>
    <w:rsid w:val="00402489"/>
    <w:rsid w:val="00405845"/>
    <w:rsid w:val="00416139"/>
    <w:rsid w:val="00492D8E"/>
    <w:rsid w:val="004A204C"/>
    <w:rsid w:val="004A39AF"/>
    <w:rsid w:val="004B0F73"/>
    <w:rsid w:val="004E4A55"/>
    <w:rsid w:val="004F11A0"/>
    <w:rsid w:val="004F6A56"/>
    <w:rsid w:val="004F6D96"/>
    <w:rsid w:val="004F7D22"/>
    <w:rsid w:val="00522FCD"/>
    <w:rsid w:val="00533318"/>
    <w:rsid w:val="00540AF2"/>
    <w:rsid w:val="0054254B"/>
    <w:rsid w:val="005519E1"/>
    <w:rsid w:val="005537C4"/>
    <w:rsid w:val="00561E97"/>
    <w:rsid w:val="00571610"/>
    <w:rsid w:val="00573667"/>
    <w:rsid w:val="00575EA9"/>
    <w:rsid w:val="00582D48"/>
    <w:rsid w:val="00596CF8"/>
    <w:rsid w:val="005A59AB"/>
    <w:rsid w:val="00601AE0"/>
    <w:rsid w:val="006156D7"/>
    <w:rsid w:val="00615A8B"/>
    <w:rsid w:val="00617D1D"/>
    <w:rsid w:val="00631AD8"/>
    <w:rsid w:val="00635EA5"/>
    <w:rsid w:val="00643ACA"/>
    <w:rsid w:val="006457ED"/>
    <w:rsid w:val="00645C2A"/>
    <w:rsid w:val="0066349B"/>
    <w:rsid w:val="00664636"/>
    <w:rsid w:val="006713A9"/>
    <w:rsid w:val="0067306B"/>
    <w:rsid w:val="00673C54"/>
    <w:rsid w:val="00677643"/>
    <w:rsid w:val="0069114A"/>
    <w:rsid w:val="0069484B"/>
    <w:rsid w:val="006A53AA"/>
    <w:rsid w:val="006C752B"/>
    <w:rsid w:val="006D1450"/>
    <w:rsid w:val="006D3B54"/>
    <w:rsid w:val="006D3CD4"/>
    <w:rsid w:val="006F7E0D"/>
    <w:rsid w:val="007059C6"/>
    <w:rsid w:val="00706EFE"/>
    <w:rsid w:val="007154AC"/>
    <w:rsid w:val="00721351"/>
    <w:rsid w:val="0072440A"/>
    <w:rsid w:val="00732E54"/>
    <w:rsid w:val="00747FD0"/>
    <w:rsid w:val="00754F45"/>
    <w:rsid w:val="007569EA"/>
    <w:rsid w:val="00756B41"/>
    <w:rsid w:val="007752C4"/>
    <w:rsid w:val="00780BA1"/>
    <w:rsid w:val="00785069"/>
    <w:rsid w:val="007A2598"/>
    <w:rsid w:val="007C3361"/>
    <w:rsid w:val="007D35B1"/>
    <w:rsid w:val="007E119F"/>
    <w:rsid w:val="007F20D3"/>
    <w:rsid w:val="007F33B0"/>
    <w:rsid w:val="00805B2C"/>
    <w:rsid w:val="00813DC4"/>
    <w:rsid w:val="0082032B"/>
    <w:rsid w:val="00833C19"/>
    <w:rsid w:val="00836896"/>
    <w:rsid w:val="00836A2F"/>
    <w:rsid w:val="00847BE5"/>
    <w:rsid w:val="00850843"/>
    <w:rsid w:val="00861895"/>
    <w:rsid w:val="00870C5F"/>
    <w:rsid w:val="008937D7"/>
    <w:rsid w:val="00895661"/>
    <w:rsid w:val="008A0A07"/>
    <w:rsid w:val="008A7BCD"/>
    <w:rsid w:val="008B3A43"/>
    <w:rsid w:val="008C2C49"/>
    <w:rsid w:val="008D2A83"/>
    <w:rsid w:val="008D69A1"/>
    <w:rsid w:val="008F2472"/>
    <w:rsid w:val="008F32A0"/>
    <w:rsid w:val="008F32C5"/>
    <w:rsid w:val="008F5CDA"/>
    <w:rsid w:val="00910C30"/>
    <w:rsid w:val="00912A58"/>
    <w:rsid w:val="00917F66"/>
    <w:rsid w:val="009352DA"/>
    <w:rsid w:val="009354EA"/>
    <w:rsid w:val="00946C6A"/>
    <w:rsid w:val="0095468A"/>
    <w:rsid w:val="009557EB"/>
    <w:rsid w:val="009720F6"/>
    <w:rsid w:val="00983381"/>
    <w:rsid w:val="009879EB"/>
    <w:rsid w:val="00992882"/>
    <w:rsid w:val="009959FF"/>
    <w:rsid w:val="009A02BF"/>
    <w:rsid w:val="009A1AF8"/>
    <w:rsid w:val="009A4493"/>
    <w:rsid w:val="009A4D37"/>
    <w:rsid w:val="009B076C"/>
    <w:rsid w:val="009C312B"/>
    <w:rsid w:val="009C5223"/>
    <w:rsid w:val="009D2B85"/>
    <w:rsid w:val="009D370F"/>
    <w:rsid w:val="009D470F"/>
    <w:rsid w:val="009D65E4"/>
    <w:rsid w:val="009F4E48"/>
    <w:rsid w:val="00A012F9"/>
    <w:rsid w:val="00A03988"/>
    <w:rsid w:val="00A04F32"/>
    <w:rsid w:val="00A123B6"/>
    <w:rsid w:val="00A12C3E"/>
    <w:rsid w:val="00A14474"/>
    <w:rsid w:val="00A26A1E"/>
    <w:rsid w:val="00A3057D"/>
    <w:rsid w:val="00A3742A"/>
    <w:rsid w:val="00A51B18"/>
    <w:rsid w:val="00A55679"/>
    <w:rsid w:val="00A56095"/>
    <w:rsid w:val="00A70513"/>
    <w:rsid w:val="00A73A18"/>
    <w:rsid w:val="00A746E3"/>
    <w:rsid w:val="00A76EE6"/>
    <w:rsid w:val="00A80BB4"/>
    <w:rsid w:val="00A9283A"/>
    <w:rsid w:val="00AA1006"/>
    <w:rsid w:val="00AA2023"/>
    <w:rsid w:val="00AA5A92"/>
    <w:rsid w:val="00AA7CE8"/>
    <w:rsid w:val="00AD4AE1"/>
    <w:rsid w:val="00AD64B9"/>
    <w:rsid w:val="00AE0897"/>
    <w:rsid w:val="00AE7E8B"/>
    <w:rsid w:val="00AF06AD"/>
    <w:rsid w:val="00B04090"/>
    <w:rsid w:val="00B0523A"/>
    <w:rsid w:val="00B154D8"/>
    <w:rsid w:val="00B15871"/>
    <w:rsid w:val="00B24CDA"/>
    <w:rsid w:val="00B40331"/>
    <w:rsid w:val="00B40ABC"/>
    <w:rsid w:val="00B41014"/>
    <w:rsid w:val="00B61A50"/>
    <w:rsid w:val="00B66261"/>
    <w:rsid w:val="00B82119"/>
    <w:rsid w:val="00B82D41"/>
    <w:rsid w:val="00BA0796"/>
    <w:rsid w:val="00BA08D5"/>
    <w:rsid w:val="00BB1DB5"/>
    <w:rsid w:val="00BB4F60"/>
    <w:rsid w:val="00BB667F"/>
    <w:rsid w:val="00BB6F64"/>
    <w:rsid w:val="00BC1464"/>
    <w:rsid w:val="00BC459A"/>
    <w:rsid w:val="00BF44FC"/>
    <w:rsid w:val="00C03AD8"/>
    <w:rsid w:val="00C06F92"/>
    <w:rsid w:val="00C10F8E"/>
    <w:rsid w:val="00C13ED7"/>
    <w:rsid w:val="00C15201"/>
    <w:rsid w:val="00C15FBC"/>
    <w:rsid w:val="00C266B9"/>
    <w:rsid w:val="00C277C0"/>
    <w:rsid w:val="00C3066B"/>
    <w:rsid w:val="00C32254"/>
    <w:rsid w:val="00C33948"/>
    <w:rsid w:val="00C33D72"/>
    <w:rsid w:val="00C66522"/>
    <w:rsid w:val="00C67AA6"/>
    <w:rsid w:val="00C835D1"/>
    <w:rsid w:val="00C857EA"/>
    <w:rsid w:val="00C97DFD"/>
    <w:rsid w:val="00CA0CBD"/>
    <w:rsid w:val="00CA3934"/>
    <w:rsid w:val="00CC0D6C"/>
    <w:rsid w:val="00CC7D63"/>
    <w:rsid w:val="00CD27A6"/>
    <w:rsid w:val="00CD7B6F"/>
    <w:rsid w:val="00D208F7"/>
    <w:rsid w:val="00D53A3A"/>
    <w:rsid w:val="00D55E0F"/>
    <w:rsid w:val="00D77850"/>
    <w:rsid w:val="00D8043E"/>
    <w:rsid w:val="00D82640"/>
    <w:rsid w:val="00D82B78"/>
    <w:rsid w:val="00D9342D"/>
    <w:rsid w:val="00DA2884"/>
    <w:rsid w:val="00DD7466"/>
    <w:rsid w:val="00DE1985"/>
    <w:rsid w:val="00DE5606"/>
    <w:rsid w:val="00DF4321"/>
    <w:rsid w:val="00E013D2"/>
    <w:rsid w:val="00E01438"/>
    <w:rsid w:val="00E206FA"/>
    <w:rsid w:val="00E26498"/>
    <w:rsid w:val="00E40D8B"/>
    <w:rsid w:val="00E47319"/>
    <w:rsid w:val="00E5023D"/>
    <w:rsid w:val="00E62D8C"/>
    <w:rsid w:val="00E70F81"/>
    <w:rsid w:val="00E74BAB"/>
    <w:rsid w:val="00E848A7"/>
    <w:rsid w:val="00E91193"/>
    <w:rsid w:val="00E91711"/>
    <w:rsid w:val="00E92894"/>
    <w:rsid w:val="00E941F6"/>
    <w:rsid w:val="00E9541B"/>
    <w:rsid w:val="00E972B8"/>
    <w:rsid w:val="00EA0653"/>
    <w:rsid w:val="00EA48FE"/>
    <w:rsid w:val="00EB3493"/>
    <w:rsid w:val="00ED551C"/>
    <w:rsid w:val="00ED7C0A"/>
    <w:rsid w:val="00ED7C20"/>
    <w:rsid w:val="00EE3D56"/>
    <w:rsid w:val="00EF2DBF"/>
    <w:rsid w:val="00EF5615"/>
    <w:rsid w:val="00EF7388"/>
    <w:rsid w:val="00F04E88"/>
    <w:rsid w:val="00F2478E"/>
    <w:rsid w:val="00F270A8"/>
    <w:rsid w:val="00F275AF"/>
    <w:rsid w:val="00F37580"/>
    <w:rsid w:val="00F40446"/>
    <w:rsid w:val="00F46419"/>
    <w:rsid w:val="00F47724"/>
    <w:rsid w:val="00F479BC"/>
    <w:rsid w:val="00F54C3D"/>
    <w:rsid w:val="00F57F80"/>
    <w:rsid w:val="00F600DB"/>
    <w:rsid w:val="00F64892"/>
    <w:rsid w:val="00F73CC1"/>
    <w:rsid w:val="00F742BB"/>
    <w:rsid w:val="00F8688C"/>
    <w:rsid w:val="00F91F9C"/>
    <w:rsid w:val="00F94C63"/>
    <w:rsid w:val="00F95ECC"/>
    <w:rsid w:val="00F96161"/>
    <w:rsid w:val="00FA2743"/>
    <w:rsid w:val="00FA4E2D"/>
    <w:rsid w:val="00FA584A"/>
    <w:rsid w:val="00FB31E6"/>
    <w:rsid w:val="00FB7627"/>
    <w:rsid w:val="00FC11AD"/>
    <w:rsid w:val="00FD6E10"/>
    <w:rsid w:val="00FE30D9"/>
    <w:rsid w:val="00FE7555"/>
    <w:rsid w:val="00FE77D9"/>
    <w:rsid w:val="00FF26AB"/>
    <w:rsid w:val="00FF379C"/>
    <w:rsid w:val="00FF6973"/>
    <w:rsid w:val="023A4BFB"/>
    <w:rsid w:val="03031491"/>
    <w:rsid w:val="046643CE"/>
    <w:rsid w:val="04877EA0"/>
    <w:rsid w:val="04B47157"/>
    <w:rsid w:val="053A13B6"/>
    <w:rsid w:val="06623584"/>
    <w:rsid w:val="0714483A"/>
    <w:rsid w:val="075079D3"/>
    <w:rsid w:val="078801B7"/>
    <w:rsid w:val="07DE0E20"/>
    <w:rsid w:val="07EC4BEA"/>
    <w:rsid w:val="08030185"/>
    <w:rsid w:val="0808579C"/>
    <w:rsid w:val="08361C9F"/>
    <w:rsid w:val="090441B5"/>
    <w:rsid w:val="097A7FD3"/>
    <w:rsid w:val="0A0C1573"/>
    <w:rsid w:val="0A140428"/>
    <w:rsid w:val="0A430D0D"/>
    <w:rsid w:val="0C3E79DE"/>
    <w:rsid w:val="0D7F3E0A"/>
    <w:rsid w:val="0E38393A"/>
    <w:rsid w:val="10AC760C"/>
    <w:rsid w:val="11902A8A"/>
    <w:rsid w:val="13964589"/>
    <w:rsid w:val="144162BD"/>
    <w:rsid w:val="1606692A"/>
    <w:rsid w:val="16F75866"/>
    <w:rsid w:val="175956CC"/>
    <w:rsid w:val="18371EB1"/>
    <w:rsid w:val="1B2B737F"/>
    <w:rsid w:val="1B860A5A"/>
    <w:rsid w:val="1BC872C4"/>
    <w:rsid w:val="1C4B0373"/>
    <w:rsid w:val="1C782A98"/>
    <w:rsid w:val="1D7278D3"/>
    <w:rsid w:val="1E875215"/>
    <w:rsid w:val="1EB83620"/>
    <w:rsid w:val="1EBD0C36"/>
    <w:rsid w:val="217F1C4A"/>
    <w:rsid w:val="223C00C4"/>
    <w:rsid w:val="2318468D"/>
    <w:rsid w:val="23353491"/>
    <w:rsid w:val="23BE3486"/>
    <w:rsid w:val="23FC5D5D"/>
    <w:rsid w:val="247C49E9"/>
    <w:rsid w:val="257539AC"/>
    <w:rsid w:val="267918E7"/>
    <w:rsid w:val="26CF7759"/>
    <w:rsid w:val="270A69E3"/>
    <w:rsid w:val="2AB54EB7"/>
    <w:rsid w:val="2AC31382"/>
    <w:rsid w:val="2BA70CA4"/>
    <w:rsid w:val="2C255C8F"/>
    <w:rsid w:val="2C7566AC"/>
    <w:rsid w:val="2D0D29E9"/>
    <w:rsid w:val="2DF47AA5"/>
    <w:rsid w:val="2EB21E3A"/>
    <w:rsid w:val="2F0A1743"/>
    <w:rsid w:val="2F25260C"/>
    <w:rsid w:val="2F5A7DDB"/>
    <w:rsid w:val="30550CCF"/>
    <w:rsid w:val="307355F9"/>
    <w:rsid w:val="313B4368"/>
    <w:rsid w:val="319E66A5"/>
    <w:rsid w:val="32792706"/>
    <w:rsid w:val="32DB1233"/>
    <w:rsid w:val="353335A8"/>
    <w:rsid w:val="35834F8A"/>
    <w:rsid w:val="35FF6B8C"/>
    <w:rsid w:val="36061493"/>
    <w:rsid w:val="38716B0A"/>
    <w:rsid w:val="3A8D3E72"/>
    <w:rsid w:val="3A9B5E78"/>
    <w:rsid w:val="3BA7084C"/>
    <w:rsid w:val="3BF8347B"/>
    <w:rsid w:val="3C177780"/>
    <w:rsid w:val="3CEE70C4"/>
    <w:rsid w:val="3D4A148F"/>
    <w:rsid w:val="3DFFE089"/>
    <w:rsid w:val="3E671124"/>
    <w:rsid w:val="3ED123BC"/>
    <w:rsid w:val="3FB2485B"/>
    <w:rsid w:val="43111E5A"/>
    <w:rsid w:val="4388593B"/>
    <w:rsid w:val="43CF26EE"/>
    <w:rsid w:val="43E10421"/>
    <w:rsid w:val="45A71B75"/>
    <w:rsid w:val="4609638B"/>
    <w:rsid w:val="46EC6AC7"/>
    <w:rsid w:val="47462CC7"/>
    <w:rsid w:val="488937B4"/>
    <w:rsid w:val="48B40105"/>
    <w:rsid w:val="49441489"/>
    <w:rsid w:val="4B1732F9"/>
    <w:rsid w:val="4CB66B41"/>
    <w:rsid w:val="4CBB7CB4"/>
    <w:rsid w:val="4CE4545C"/>
    <w:rsid w:val="4D834C75"/>
    <w:rsid w:val="4E5867CE"/>
    <w:rsid w:val="50265D8C"/>
    <w:rsid w:val="507340E6"/>
    <w:rsid w:val="507A7515"/>
    <w:rsid w:val="50F809EE"/>
    <w:rsid w:val="515FA72F"/>
    <w:rsid w:val="51BC24EA"/>
    <w:rsid w:val="51BF3801"/>
    <w:rsid w:val="522B035C"/>
    <w:rsid w:val="52AF69AF"/>
    <w:rsid w:val="52F83A10"/>
    <w:rsid w:val="54A86D6F"/>
    <w:rsid w:val="54FA3343"/>
    <w:rsid w:val="570A1F63"/>
    <w:rsid w:val="57664CC0"/>
    <w:rsid w:val="57B74614"/>
    <w:rsid w:val="58027DEC"/>
    <w:rsid w:val="5B975D90"/>
    <w:rsid w:val="5BD1096E"/>
    <w:rsid w:val="5BF1724E"/>
    <w:rsid w:val="5CCC55D8"/>
    <w:rsid w:val="5CF96FB1"/>
    <w:rsid w:val="5E9B4569"/>
    <w:rsid w:val="5F6D365E"/>
    <w:rsid w:val="617A5F38"/>
    <w:rsid w:val="62B66415"/>
    <w:rsid w:val="63A454EE"/>
    <w:rsid w:val="659B022A"/>
    <w:rsid w:val="66410DD2"/>
    <w:rsid w:val="66846F11"/>
    <w:rsid w:val="671D183F"/>
    <w:rsid w:val="677B47B7"/>
    <w:rsid w:val="686422BC"/>
    <w:rsid w:val="69FA5E67"/>
    <w:rsid w:val="6AF64881"/>
    <w:rsid w:val="6B016D82"/>
    <w:rsid w:val="6B8C6F93"/>
    <w:rsid w:val="6CF546C4"/>
    <w:rsid w:val="6DB8406F"/>
    <w:rsid w:val="6E040736"/>
    <w:rsid w:val="6F0532E4"/>
    <w:rsid w:val="72B22CB9"/>
    <w:rsid w:val="73740A39"/>
    <w:rsid w:val="73FEB358"/>
    <w:rsid w:val="762B2703"/>
    <w:rsid w:val="774D3A7A"/>
    <w:rsid w:val="77C13386"/>
    <w:rsid w:val="7A8E1E30"/>
    <w:rsid w:val="7A9A62AA"/>
    <w:rsid w:val="7B8B5D75"/>
    <w:rsid w:val="7BAB4A34"/>
    <w:rsid w:val="7BAE6AB2"/>
    <w:rsid w:val="7C725D31"/>
    <w:rsid w:val="7CC07F62"/>
    <w:rsid w:val="7DCE5370"/>
    <w:rsid w:val="7DD65E4C"/>
    <w:rsid w:val="7F2552DD"/>
    <w:rsid w:val="7F800765"/>
    <w:rsid w:val="EDB30CB1"/>
    <w:rsid w:val="FFFD5EBC"/>
    <w:rsid w:val="FFFF0EF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qFormat="1" w:unhideWhenUsed="0" w:uiPriority="99" w:semiHidden="0"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qFormat="1" w:uiPriority="99" w:semiHidden="0"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3">
    <w:name w:val="heading 4"/>
    <w:basedOn w:val="1"/>
    <w:next w:val="1"/>
    <w:semiHidden/>
    <w:unhideWhenUsed/>
    <w:qFormat/>
    <w:uiPriority w:val="9"/>
    <w:pPr>
      <w:spacing w:beforeAutospacing="1" w:afterAutospacing="1"/>
      <w:jc w:val="left"/>
      <w:outlineLvl w:val="3"/>
    </w:pPr>
    <w:rPr>
      <w:rFonts w:hint="eastAsia" w:ascii="宋体" w:hAnsi="宋体" w:eastAsia="宋体" w:cs="Times New Roman"/>
      <w:b/>
      <w:bCs/>
      <w:kern w:val="0"/>
      <w:sz w:val="24"/>
      <w:szCs w:val="24"/>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semiHidden/>
    <w:unhideWhenUsed/>
    <w:qFormat/>
    <w:uiPriority w:val="99"/>
    <w:pPr>
      <w:jc w:val="left"/>
    </w:pPr>
  </w:style>
  <w:style w:type="paragraph" w:styleId="5">
    <w:name w:val="Body Text"/>
    <w:basedOn w:val="1"/>
    <w:link w:val="60"/>
    <w:semiHidden/>
    <w:unhideWhenUsed/>
    <w:qFormat/>
    <w:uiPriority w:val="99"/>
    <w:pPr>
      <w:spacing w:after="120"/>
    </w:pPr>
  </w:style>
  <w:style w:type="paragraph" w:styleId="6">
    <w:name w:val="Body Text Indent"/>
    <w:basedOn w:val="1"/>
    <w:next w:val="7"/>
    <w:link w:val="65"/>
    <w:semiHidden/>
    <w:unhideWhenUsed/>
    <w:qFormat/>
    <w:uiPriority w:val="99"/>
    <w:pPr>
      <w:spacing w:after="120"/>
      <w:ind w:left="420" w:leftChars="200"/>
    </w:pPr>
  </w:style>
  <w:style w:type="paragraph" w:customStyle="1" w:styleId="7">
    <w:name w:val="正文文本首行缩进 2"/>
    <w:basedOn w:val="6"/>
    <w:qFormat/>
    <w:uiPriority w:val="99"/>
    <w:pPr>
      <w:spacing w:line="200" w:lineRule="atLeast"/>
      <w:ind w:firstLine="420"/>
    </w:pPr>
    <w:rPr>
      <w:rFonts w:ascii="宋体" w:hAnsi="Courier New"/>
      <w:spacing w:val="-4"/>
      <w:sz w:val="18"/>
    </w:rPr>
  </w:style>
  <w:style w:type="paragraph" w:styleId="8">
    <w:name w:val="Block Text"/>
    <w:basedOn w:val="1"/>
    <w:unhideWhenUsed/>
    <w:qFormat/>
    <w:uiPriority w:val="99"/>
    <w:pPr>
      <w:spacing w:after="120"/>
      <w:ind w:left="1440" w:leftChars="700" w:right="1440" w:rightChars="700"/>
    </w:pPr>
  </w:style>
  <w:style w:type="paragraph" w:styleId="9">
    <w:name w:val="Plain Text"/>
    <w:basedOn w:val="1"/>
    <w:next w:val="1"/>
    <w:link w:val="67"/>
    <w:qFormat/>
    <w:uiPriority w:val="0"/>
    <w:rPr>
      <w:rFonts w:ascii="宋体" w:hAnsi="Courier New" w:eastAsia="宋体" w:cs="Times New Roman"/>
      <w:szCs w:val="20"/>
    </w:rPr>
  </w:style>
  <w:style w:type="paragraph" w:styleId="10">
    <w:name w:val="footer"/>
    <w:basedOn w:val="1"/>
    <w:link w:val="23"/>
    <w:unhideWhenUsed/>
    <w:qFormat/>
    <w:uiPriority w:val="99"/>
    <w:pPr>
      <w:tabs>
        <w:tab w:val="center" w:pos="4153"/>
        <w:tab w:val="right" w:pos="8306"/>
      </w:tabs>
      <w:snapToGrid w:val="0"/>
      <w:jc w:val="left"/>
    </w:pPr>
    <w:rPr>
      <w:sz w:val="18"/>
      <w:szCs w:val="18"/>
    </w:rPr>
  </w:style>
  <w:style w:type="paragraph" w:styleId="11">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6"/>
    <w:basedOn w:val="1"/>
    <w:next w:val="1"/>
    <w:qFormat/>
    <w:uiPriority w:val="99"/>
    <w:pPr>
      <w:ind w:left="840"/>
      <w:jc w:val="left"/>
    </w:pPr>
    <w:rPr>
      <w:rFonts w:ascii="Cambria" w:hAnsi="Cambria" w:eastAsia="宋体" w:cs="Cambria"/>
      <w:sz w:val="20"/>
      <w:szCs w:val="20"/>
    </w:rPr>
  </w:style>
  <w:style w:type="paragraph" w:styleId="13">
    <w:name w:val="Normal (Web)"/>
    <w:basedOn w:val="1"/>
    <w:qFormat/>
    <w:uiPriority w:val="99"/>
    <w:pPr>
      <w:widowControl/>
      <w:spacing w:before="100" w:beforeAutospacing="1" w:after="100" w:afterAutospacing="1"/>
      <w:jc w:val="left"/>
    </w:pPr>
    <w:rPr>
      <w:rFonts w:ascii="宋体" w:hAnsi="宋体" w:eastAsia="宋体" w:cs="Times New Roman"/>
      <w:kern w:val="0"/>
      <w:sz w:val="24"/>
      <w:szCs w:val="24"/>
    </w:rPr>
  </w:style>
  <w:style w:type="paragraph" w:styleId="14">
    <w:name w:val="Body Text First Indent"/>
    <w:basedOn w:val="5"/>
    <w:link w:val="61"/>
    <w:qFormat/>
    <w:uiPriority w:val="0"/>
    <w:pPr>
      <w:ind w:firstLine="420" w:firstLineChars="100"/>
    </w:pPr>
    <w:rPr>
      <w:rFonts w:ascii="Times New Roman" w:hAnsi="Times New Roman" w:eastAsia="宋体" w:cs="Times New Roman"/>
      <w:szCs w:val="24"/>
    </w:rPr>
  </w:style>
  <w:style w:type="paragraph" w:styleId="15">
    <w:name w:val="Body Text First Indent 2"/>
    <w:basedOn w:val="6"/>
    <w:next w:val="1"/>
    <w:link w:val="66"/>
    <w:semiHidden/>
    <w:unhideWhenUsed/>
    <w:qFormat/>
    <w:uiPriority w:val="99"/>
    <w:pPr>
      <w:ind w:firstLine="420" w:firstLineChars="200"/>
    </w:pPr>
  </w:style>
  <w:style w:type="character" w:styleId="18">
    <w:name w:val="Strong"/>
    <w:qFormat/>
    <w:uiPriority w:val="0"/>
    <w:rPr>
      <w:b/>
    </w:rPr>
  </w:style>
  <w:style w:type="character" w:styleId="19">
    <w:name w:val="FollowedHyperlink"/>
    <w:basedOn w:val="17"/>
    <w:semiHidden/>
    <w:unhideWhenUsed/>
    <w:qFormat/>
    <w:uiPriority w:val="99"/>
    <w:rPr>
      <w:color w:val="954F72"/>
      <w:u w:val="single"/>
    </w:rPr>
  </w:style>
  <w:style w:type="character" w:styleId="20">
    <w:name w:val="Hyperlink"/>
    <w:basedOn w:val="17"/>
    <w:unhideWhenUsed/>
    <w:qFormat/>
    <w:uiPriority w:val="99"/>
    <w:rPr>
      <w:color w:val="0563C1"/>
      <w:u w:val="single"/>
    </w:rPr>
  </w:style>
  <w:style w:type="character" w:customStyle="1" w:styleId="21">
    <w:name w:val="标题 1 Char"/>
    <w:basedOn w:val="17"/>
    <w:link w:val="2"/>
    <w:qFormat/>
    <w:uiPriority w:val="0"/>
    <w:rPr>
      <w:rFonts w:ascii="Calibri" w:hAnsi="Calibri" w:eastAsia="宋体" w:cs="Times New Roman"/>
      <w:b/>
      <w:bCs/>
      <w:kern w:val="44"/>
      <w:sz w:val="44"/>
      <w:szCs w:val="44"/>
    </w:rPr>
  </w:style>
  <w:style w:type="character" w:customStyle="1" w:styleId="22">
    <w:name w:val="页眉 Char"/>
    <w:basedOn w:val="17"/>
    <w:link w:val="11"/>
    <w:qFormat/>
    <w:uiPriority w:val="99"/>
    <w:rPr>
      <w:sz w:val="18"/>
      <w:szCs w:val="18"/>
    </w:rPr>
  </w:style>
  <w:style w:type="character" w:customStyle="1" w:styleId="23">
    <w:name w:val="页脚 Char"/>
    <w:basedOn w:val="17"/>
    <w:link w:val="10"/>
    <w:qFormat/>
    <w:uiPriority w:val="99"/>
    <w:rPr>
      <w:sz w:val="18"/>
      <w:szCs w:val="18"/>
    </w:rPr>
  </w:style>
  <w:style w:type="paragraph" w:customStyle="1" w:styleId="24">
    <w:name w:val="msonormal"/>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25">
    <w:name w:val="font5"/>
    <w:basedOn w:val="1"/>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26">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b/>
      <w:bCs/>
      <w:kern w:val="0"/>
      <w:sz w:val="24"/>
      <w:szCs w:val="24"/>
    </w:rPr>
  </w:style>
  <w:style w:type="paragraph" w:customStyle="1" w:styleId="27">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28">
    <w:name w:val="xl68"/>
    <w:basedOn w:val="1"/>
    <w:qFormat/>
    <w:uiPriority w:val="0"/>
    <w:pPr>
      <w:widowControl/>
      <w:pBdr>
        <w:top w:val="single" w:color="auto" w:sz="4" w:space="0"/>
        <w:left w:val="single" w:color="auto" w:sz="4" w:space="0"/>
        <w:bottom w:val="single" w:color="auto" w:sz="4" w:space="0"/>
        <w:right w:val="single" w:color="auto" w:sz="4" w:space="0"/>
      </w:pBdr>
      <w:shd w:val="clear" w:color="000000" w:fill="4472C4"/>
      <w:spacing w:before="100" w:beforeAutospacing="1" w:after="100" w:afterAutospacing="1"/>
      <w:jc w:val="left"/>
    </w:pPr>
    <w:rPr>
      <w:rFonts w:ascii="宋体" w:hAnsi="宋体" w:eastAsia="宋体" w:cs="宋体"/>
      <w:kern w:val="0"/>
      <w:sz w:val="24"/>
      <w:szCs w:val="24"/>
    </w:rPr>
  </w:style>
  <w:style w:type="paragraph" w:customStyle="1" w:styleId="29">
    <w:name w:val="xl69"/>
    <w:basedOn w:val="1"/>
    <w:qFormat/>
    <w:uiPriority w:val="0"/>
    <w:pPr>
      <w:widowControl/>
      <w:pBdr>
        <w:top w:val="single" w:color="auto" w:sz="4" w:space="0"/>
        <w:left w:val="single" w:color="auto" w:sz="4" w:space="0"/>
        <w:bottom w:val="single" w:color="auto" w:sz="4" w:space="0"/>
        <w:right w:val="single" w:color="auto" w:sz="4" w:space="0"/>
      </w:pBdr>
      <w:shd w:val="clear" w:color="000000" w:fill="4472C4"/>
      <w:spacing w:before="100" w:beforeAutospacing="1" w:after="100" w:afterAutospacing="1"/>
      <w:jc w:val="center"/>
      <w:textAlignment w:val="center"/>
    </w:pPr>
    <w:rPr>
      <w:rFonts w:ascii="仿宋" w:hAnsi="仿宋" w:eastAsia="仿宋" w:cs="宋体"/>
      <w:kern w:val="0"/>
      <w:sz w:val="24"/>
      <w:szCs w:val="24"/>
    </w:rPr>
  </w:style>
  <w:style w:type="paragraph" w:customStyle="1" w:styleId="30">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4"/>
      <w:szCs w:val="24"/>
    </w:rPr>
  </w:style>
  <w:style w:type="paragraph" w:customStyle="1" w:styleId="31">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4"/>
      <w:szCs w:val="24"/>
    </w:rPr>
  </w:style>
  <w:style w:type="paragraph" w:customStyle="1" w:styleId="32">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4"/>
      <w:szCs w:val="24"/>
    </w:rPr>
  </w:style>
  <w:style w:type="paragraph" w:customStyle="1" w:styleId="33">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4"/>
      <w:szCs w:val="24"/>
    </w:rPr>
  </w:style>
  <w:style w:type="paragraph" w:customStyle="1" w:styleId="34">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35">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4"/>
      <w:szCs w:val="24"/>
    </w:rPr>
  </w:style>
  <w:style w:type="paragraph" w:customStyle="1" w:styleId="36">
    <w:name w:val="xl7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仿宋" w:hAnsi="仿宋" w:eastAsia="仿宋" w:cs="宋体"/>
      <w:kern w:val="0"/>
      <w:sz w:val="24"/>
      <w:szCs w:val="24"/>
    </w:rPr>
  </w:style>
  <w:style w:type="paragraph" w:customStyle="1" w:styleId="37">
    <w:name w:val="xl7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center"/>
    </w:pPr>
    <w:rPr>
      <w:rFonts w:ascii="仿宋" w:hAnsi="仿宋" w:eastAsia="仿宋" w:cs="宋体"/>
      <w:kern w:val="0"/>
      <w:sz w:val="24"/>
      <w:szCs w:val="24"/>
    </w:rPr>
  </w:style>
  <w:style w:type="paragraph" w:customStyle="1" w:styleId="38">
    <w:name w:val="xl7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仿宋" w:hAnsi="仿宋" w:eastAsia="仿宋" w:cs="宋体"/>
      <w:kern w:val="0"/>
      <w:sz w:val="24"/>
      <w:szCs w:val="24"/>
    </w:rPr>
  </w:style>
  <w:style w:type="paragraph" w:customStyle="1" w:styleId="39">
    <w:name w:val="xl7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center"/>
    </w:pPr>
    <w:rPr>
      <w:rFonts w:ascii="宋体" w:hAnsi="宋体" w:eastAsia="宋体" w:cs="宋体"/>
      <w:kern w:val="0"/>
      <w:sz w:val="24"/>
      <w:szCs w:val="24"/>
    </w:rPr>
  </w:style>
  <w:style w:type="paragraph" w:customStyle="1" w:styleId="40">
    <w:name w:val="xl8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center"/>
    </w:pPr>
    <w:rPr>
      <w:rFonts w:ascii="宋体" w:hAnsi="宋体" w:eastAsia="宋体" w:cs="宋体"/>
      <w:kern w:val="0"/>
      <w:sz w:val="24"/>
      <w:szCs w:val="24"/>
    </w:rPr>
  </w:style>
  <w:style w:type="paragraph" w:customStyle="1" w:styleId="41">
    <w:name w:val="xl8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42">
    <w:name w:val="xl82"/>
    <w:basedOn w:val="1"/>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43">
    <w:name w:val="xl8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44">
    <w:name w:val="xl84"/>
    <w:basedOn w:val="1"/>
    <w:qFormat/>
    <w:uiPriority w:val="0"/>
    <w:pPr>
      <w:widowControl/>
      <w:pBdr>
        <w:top w:val="single" w:color="auto" w:sz="4" w:space="0"/>
        <w:left w:val="single" w:color="auto" w:sz="4" w:space="0"/>
        <w:bottom w:val="single" w:color="auto" w:sz="4" w:space="0"/>
        <w:right w:val="single" w:color="auto" w:sz="4" w:space="0"/>
      </w:pBdr>
      <w:shd w:val="clear" w:color="000000" w:fill="0070C0"/>
      <w:spacing w:before="100" w:beforeAutospacing="1" w:after="100" w:afterAutospacing="1"/>
      <w:jc w:val="left"/>
    </w:pPr>
    <w:rPr>
      <w:rFonts w:ascii="宋体" w:hAnsi="宋体" w:eastAsia="宋体" w:cs="宋体"/>
      <w:kern w:val="0"/>
      <w:sz w:val="24"/>
      <w:szCs w:val="24"/>
    </w:rPr>
  </w:style>
  <w:style w:type="paragraph" w:customStyle="1" w:styleId="45">
    <w:name w:val="xl85"/>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仿宋" w:hAnsi="仿宋" w:eastAsia="仿宋" w:cs="宋体"/>
      <w:b/>
      <w:bCs/>
      <w:kern w:val="0"/>
      <w:sz w:val="24"/>
      <w:szCs w:val="24"/>
    </w:rPr>
  </w:style>
  <w:style w:type="paragraph" w:customStyle="1" w:styleId="46">
    <w:name w:val="xl86"/>
    <w:basedOn w:val="1"/>
    <w:qFormat/>
    <w:uiPriority w:val="0"/>
    <w:pPr>
      <w:widowControl/>
      <w:pBdr>
        <w:top w:val="single" w:color="auto" w:sz="4" w:space="0"/>
        <w:left w:val="single" w:color="auto" w:sz="4" w:space="0"/>
        <w:bottom w:val="single" w:color="auto" w:sz="4" w:space="0"/>
        <w:right w:val="single" w:color="auto" w:sz="4" w:space="0"/>
      </w:pBdr>
      <w:shd w:val="clear" w:color="000000" w:fill="0070C0"/>
      <w:spacing w:before="100" w:beforeAutospacing="1" w:after="100" w:afterAutospacing="1"/>
      <w:jc w:val="center"/>
      <w:textAlignment w:val="center"/>
    </w:pPr>
    <w:rPr>
      <w:rFonts w:ascii="仿宋" w:hAnsi="仿宋" w:eastAsia="仿宋" w:cs="宋体"/>
      <w:kern w:val="0"/>
      <w:sz w:val="24"/>
      <w:szCs w:val="24"/>
    </w:rPr>
  </w:style>
  <w:style w:type="paragraph" w:customStyle="1" w:styleId="47">
    <w:name w:val="xl87"/>
    <w:basedOn w:val="1"/>
    <w:qFormat/>
    <w:uiPriority w:val="0"/>
    <w:pPr>
      <w:widowControl/>
      <w:pBdr>
        <w:top w:val="single" w:color="auto" w:sz="4" w:space="0"/>
        <w:left w:val="single" w:color="auto" w:sz="4" w:space="0"/>
        <w:bottom w:val="single" w:color="auto" w:sz="4" w:space="0"/>
        <w:right w:val="single" w:color="auto" w:sz="4" w:space="0"/>
      </w:pBdr>
      <w:shd w:val="clear" w:color="000000" w:fill="0070C0"/>
      <w:spacing w:before="100" w:beforeAutospacing="1" w:after="100" w:afterAutospacing="1"/>
      <w:jc w:val="left"/>
      <w:textAlignment w:val="center"/>
    </w:pPr>
    <w:rPr>
      <w:rFonts w:ascii="仿宋" w:hAnsi="仿宋" w:eastAsia="仿宋" w:cs="宋体"/>
      <w:kern w:val="0"/>
      <w:sz w:val="24"/>
      <w:szCs w:val="24"/>
    </w:rPr>
  </w:style>
  <w:style w:type="paragraph" w:customStyle="1" w:styleId="48">
    <w:name w:val="xl88"/>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center"/>
      <w:textAlignment w:val="center"/>
    </w:pPr>
    <w:rPr>
      <w:rFonts w:ascii="仿宋" w:hAnsi="仿宋" w:eastAsia="仿宋" w:cs="宋体"/>
      <w:b/>
      <w:bCs/>
      <w:kern w:val="0"/>
      <w:sz w:val="24"/>
      <w:szCs w:val="24"/>
    </w:rPr>
  </w:style>
  <w:style w:type="paragraph" w:customStyle="1" w:styleId="49">
    <w:name w:val="xl89"/>
    <w:basedOn w:val="1"/>
    <w:qFormat/>
    <w:uiPriority w:val="0"/>
    <w:pPr>
      <w:widowControl/>
      <w:pBdr>
        <w:top w:val="single" w:color="auto" w:sz="4" w:space="0"/>
        <w:left w:val="single" w:color="auto" w:sz="4" w:space="0"/>
        <w:bottom w:val="single" w:color="auto" w:sz="4" w:space="0"/>
      </w:pBdr>
      <w:shd w:val="clear" w:color="000000" w:fill="4472C4"/>
      <w:spacing w:before="100" w:beforeAutospacing="1" w:after="100" w:afterAutospacing="1"/>
      <w:jc w:val="center"/>
      <w:textAlignment w:val="center"/>
    </w:pPr>
    <w:rPr>
      <w:rFonts w:ascii="仿宋" w:hAnsi="仿宋" w:eastAsia="仿宋" w:cs="宋体"/>
      <w:kern w:val="0"/>
      <w:sz w:val="24"/>
      <w:szCs w:val="24"/>
    </w:rPr>
  </w:style>
  <w:style w:type="paragraph" w:customStyle="1" w:styleId="50">
    <w:name w:val="xl90"/>
    <w:basedOn w:val="1"/>
    <w:qFormat/>
    <w:uiPriority w:val="0"/>
    <w:pPr>
      <w:widowControl/>
      <w:pBdr>
        <w:top w:val="single" w:color="auto" w:sz="4" w:space="0"/>
        <w:bottom w:val="single" w:color="auto" w:sz="4" w:space="0"/>
      </w:pBdr>
      <w:shd w:val="clear" w:color="000000" w:fill="4472C4"/>
      <w:spacing w:before="100" w:beforeAutospacing="1" w:after="100" w:afterAutospacing="1"/>
      <w:jc w:val="center"/>
      <w:textAlignment w:val="center"/>
    </w:pPr>
    <w:rPr>
      <w:rFonts w:ascii="仿宋" w:hAnsi="仿宋" w:eastAsia="仿宋" w:cs="宋体"/>
      <w:kern w:val="0"/>
      <w:sz w:val="24"/>
      <w:szCs w:val="24"/>
    </w:rPr>
  </w:style>
  <w:style w:type="paragraph" w:customStyle="1" w:styleId="51">
    <w:name w:val="xl91"/>
    <w:basedOn w:val="1"/>
    <w:qFormat/>
    <w:uiPriority w:val="0"/>
    <w:pPr>
      <w:widowControl/>
      <w:pBdr>
        <w:top w:val="single" w:color="auto" w:sz="4" w:space="0"/>
        <w:bottom w:val="single" w:color="auto" w:sz="4" w:space="0"/>
        <w:right w:val="single" w:color="auto" w:sz="4" w:space="0"/>
      </w:pBdr>
      <w:shd w:val="clear" w:color="000000" w:fill="4472C4"/>
      <w:spacing w:before="100" w:beforeAutospacing="1" w:after="100" w:afterAutospacing="1"/>
      <w:jc w:val="center"/>
      <w:textAlignment w:val="center"/>
    </w:pPr>
    <w:rPr>
      <w:rFonts w:ascii="仿宋" w:hAnsi="仿宋" w:eastAsia="仿宋" w:cs="宋体"/>
      <w:kern w:val="0"/>
      <w:sz w:val="24"/>
      <w:szCs w:val="24"/>
    </w:rPr>
  </w:style>
  <w:style w:type="paragraph" w:customStyle="1" w:styleId="52">
    <w:name w:val="xl92"/>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仿宋" w:hAnsi="仿宋" w:eastAsia="仿宋" w:cs="宋体"/>
      <w:kern w:val="0"/>
      <w:sz w:val="24"/>
      <w:szCs w:val="24"/>
    </w:rPr>
  </w:style>
  <w:style w:type="paragraph" w:customStyle="1" w:styleId="53">
    <w:name w:val="xl93"/>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ascii="仿宋" w:hAnsi="仿宋" w:eastAsia="仿宋" w:cs="宋体"/>
      <w:kern w:val="0"/>
      <w:sz w:val="24"/>
      <w:szCs w:val="24"/>
    </w:rPr>
  </w:style>
  <w:style w:type="paragraph" w:customStyle="1" w:styleId="54">
    <w:name w:val="xl94"/>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4"/>
      <w:szCs w:val="24"/>
    </w:rPr>
  </w:style>
  <w:style w:type="paragraph" w:customStyle="1" w:styleId="55">
    <w:name w:val="xl95"/>
    <w:basedOn w:val="1"/>
    <w:qFormat/>
    <w:uiPriority w:val="0"/>
    <w:pPr>
      <w:widowControl/>
      <w:pBdr>
        <w:top w:val="single" w:color="auto" w:sz="4" w:space="0"/>
        <w:left w:val="single" w:color="auto" w:sz="4" w:space="0"/>
        <w:bottom w:val="single" w:color="auto" w:sz="4" w:space="0"/>
      </w:pBdr>
      <w:shd w:val="clear" w:color="000000" w:fill="4472C4"/>
      <w:spacing w:before="100" w:beforeAutospacing="1" w:after="100" w:afterAutospacing="1"/>
      <w:jc w:val="center"/>
    </w:pPr>
    <w:rPr>
      <w:rFonts w:ascii="宋体" w:hAnsi="宋体" w:eastAsia="宋体" w:cs="宋体"/>
      <w:kern w:val="0"/>
      <w:sz w:val="24"/>
      <w:szCs w:val="24"/>
    </w:rPr>
  </w:style>
  <w:style w:type="paragraph" w:customStyle="1" w:styleId="56">
    <w:name w:val="xl96"/>
    <w:basedOn w:val="1"/>
    <w:qFormat/>
    <w:uiPriority w:val="0"/>
    <w:pPr>
      <w:widowControl/>
      <w:pBdr>
        <w:top w:val="single" w:color="auto" w:sz="4" w:space="0"/>
        <w:bottom w:val="single" w:color="auto" w:sz="4" w:space="0"/>
      </w:pBdr>
      <w:shd w:val="clear" w:color="000000" w:fill="4472C4"/>
      <w:spacing w:before="100" w:beforeAutospacing="1" w:after="100" w:afterAutospacing="1"/>
      <w:jc w:val="center"/>
    </w:pPr>
    <w:rPr>
      <w:rFonts w:ascii="宋体" w:hAnsi="宋体" w:eastAsia="宋体" w:cs="宋体"/>
      <w:kern w:val="0"/>
      <w:sz w:val="24"/>
      <w:szCs w:val="24"/>
    </w:rPr>
  </w:style>
  <w:style w:type="paragraph" w:customStyle="1" w:styleId="57">
    <w:name w:val="xl97"/>
    <w:basedOn w:val="1"/>
    <w:qFormat/>
    <w:uiPriority w:val="0"/>
    <w:pPr>
      <w:widowControl/>
      <w:pBdr>
        <w:top w:val="single" w:color="auto" w:sz="4" w:space="0"/>
        <w:bottom w:val="single" w:color="auto" w:sz="4" w:space="0"/>
        <w:right w:val="single" w:color="auto" w:sz="4" w:space="0"/>
      </w:pBdr>
      <w:shd w:val="clear" w:color="000000" w:fill="4472C4"/>
      <w:spacing w:before="100" w:beforeAutospacing="1" w:after="100" w:afterAutospacing="1"/>
      <w:jc w:val="center"/>
    </w:pPr>
    <w:rPr>
      <w:rFonts w:ascii="宋体" w:hAnsi="宋体" w:eastAsia="宋体" w:cs="宋体"/>
      <w:kern w:val="0"/>
      <w:sz w:val="24"/>
      <w:szCs w:val="24"/>
    </w:rPr>
  </w:style>
  <w:style w:type="paragraph" w:customStyle="1" w:styleId="58">
    <w:name w:val="纯文本1"/>
    <w:basedOn w:val="1"/>
    <w:qFormat/>
    <w:uiPriority w:val="0"/>
    <w:pPr>
      <w:widowControl/>
      <w:jc w:val="left"/>
    </w:pPr>
    <w:rPr>
      <w:rFonts w:hint="eastAsia" w:ascii="宋体" w:hAnsi="Courier New" w:eastAsia="宋体" w:cs="Times New Roman"/>
      <w:szCs w:val="20"/>
    </w:rPr>
  </w:style>
  <w:style w:type="paragraph" w:styleId="59">
    <w:name w:val="List Paragraph"/>
    <w:basedOn w:val="1"/>
    <w:qFormat/>
    <w:uiPriority w:val="34"/>
    <w:pPr>
      <w:ind w:firstLine="420" w:firstLineChars="200"/>
    </w:pPr>
  </w:style>
  <w:style w:type="character" w:customStyle="1" w:styleId="60">
    <w:name w:val="正文文本 Char"/>
    <w:basedOn w:val="17"/>
    <w:link w:val="5"/>
    <w:semiHidden/>
    <w:qFormat/>
    <w:uiPriority w:val="99"/>
  </w:style>
  <w:style w:type="character" w:customStyle="1" w:styleId="61">
    <w:name w:val="正文首行缩进 Char"/>
    <w:basedOn w:val="60"/>
    <w:link w:val="14"/>
    <w:qFormat/>
    <w:uiPriority w:val="0"/>
    <w:rPr>
      <w:rFonts w:ascii="Times New Roman" w:hAnsi="Times New Roman" w:eastAsia="宋体" w:cs="Times New Roman"/>
      <w:szCs w:val="24"/>
    </w:rPr>
  </w:style>
  <w:style w:type="paragraph" w:customStyle="1" w:styleId="62">
    <w:name w:val="BodyText"/>
    <w:basedOn w:val="1"/>
    <w:next w:val="63"/>
    <w:qFormat/>
    <w:uiPriority w:val="0"/>
    <w:rPr>
      <w:rFonts w:ascii="Times New Roman" w:hAnsi="Times New Roman" w:eastAsia="黑体" w:cs="Times New Roman"/>
      <w:b/>
      <w:bCs/>
      <w:spacing w:val="20"/>
      <w:kern w:val="52"/>
      <w:sz w:val="56"/>
      <w:szCs w:val="24"/>
    </w:rPr>
  </w:style>
  <w:style w:type="paragraph" w:customStyle="1" w:styleId="63">
    <w:name w:val="BodyText1I"/>
    <w:basedOn w:val="62"/>
    <w:qFormat/>
    <w:uiPriority w:val="0"/>
    <w:pPr>
      <w:spacing w:after="120" w:line="360" w:lineRule="auto"/>
      <w:ind w:firstLine="420"/>
    </w:pPr>
    <w:rPr>
      <w:rFonts w:eastAsia="楷体_GB2312"/>
      <w:b w:val="0"/>
      <w:bCs w:val="0"/>
      <w:kern w:val="0"/>
      <w:sz w:val="24"/>
      <w:szCs w:val="20"/>
    </w:rPr>
  </w:style>
  <w:style w:type="paragraph" w:customStyle="1" w:styleId="64">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65">
    <w:name w:val="正文文本缩进 Char"/>
    <w:basedOn w:val="17"/>
    <w:link w:val="6"/>
    <w:semiHidden/>
    <w:qFormat/>
    <w:uiPriority w:val="99"/>
  </w:style>
  <w:style w:type="character" w:customStyle="1" w:styleId="66">
    <w:name w:val="正文首行缩进 2 Char"/>
    <w:basedOn w:val="65"/>
    <w:link w:val="15"/>
    <w:semiHidden/>
    <w:qFormat/>
    <w:uiPriority w:val="99"/>
  </w:style>
  <w:style w:type="character" w:customStyle="1" w:styleId="67">
    <w:name w:val="纯文本 Char"/>
    <w:basedOn w:val="17"/>
    <w:link w:val="9"/>
    <w:qFormat/>
    <w:uiPriority w:val="0"/>
    <w:rPr>
      <w:rFonts w:ascii="宋体" w:hAnsi="Courier New" w:eastAsia="宋体" w:cs="Times New Roman"/>
      <w:szCs w:val="20"/>
    </w:rPr>
  </w:style>
  <w:style w:type="paragraph" w:customStyle="1" w:styleId="68">
    <w:name w:val="reader-word-layer reader-word-s27-4"/>
    <w:basedOn w:val="1"/>
    <w:qFormat/>
    <w:uiPriority w:val="0"/>
    <w:pPr>
      <w:widowControl/>
      <w:spacing w:before="100" w:beforeAutospacing="1" w:after="100" w:afterAutospacing="1" w:line="440" w:lineRule="exact"/>
      <w:ind w:firstLine="1040" w:firstLineChars="200"/>
      <w:jc w:val="left"/>
    </w:pPr>
    <w:rPr>
      <w:rFonts w:hint="eastAsia" w:ascii="宋体" w:hAnsi="宋体" w:eastAsia="微软雅黑" w:cs="Times New Roman"/>
      <w:kern w:val="0"/>
      <w:sz w:val="24"/>
      <w:szCs w:val="24"/>
    </w:rPr>
  </w:style>
  <w:style w:type="paragraph" w:customStyle="1" w:styleId="69">
    <w:name w:val="纯文本2"/>
    <w:basedOn w:val="1"/>
    <w:qFormat/>
    <w:uiPriority w:val="0"/>
    <w:pPr>
      <w:widowControl/>
      <w:jc w:val="left"/>
    </w:pPr>
    <w:rPr>
      <w:rFonts w:hint="eastAsia" w:ascii="宋体" w:hAnsi="Courier New" w:eastAsia="宋体" w:cs="Times New Roman"/>
      <w:szCs w:val="20"/>
    </w:rPr>
  </w:style>
  <w:style w:type="paragraph" w:customStyle="1" w:styleId="70">
    <w:name w:val="纯文本3"/>
    <w:basedOn w:val="1"/>
    <w:qFormat/>
    <w:uiPriority w:val="0"/>
    <w:pPr>
      <w:widowControl/>
      <w:jc w:val="left"/>
    </w:pPr>
    <w:rPr>
      <w:rFonts w:hint="eastAsia" w:ascii="Courier New" w:hAnsi="Courier New" w:cs="@仿宋_GB2312"/>
      <w:szCs w:val="20"/>
    </w:rPr>
  </w:style>
  <w:style w:type="character" w:customStyle="1" w:styleId="71">
    <w:name w:val="font11"/>
    <w:basedOn w:val="17"/>
    <w:qFormat/>
    <w:uiPriority w:val="0"/>
    <w:rPr>
      <w:rFonts w:hint="eastAsia" w:ascii="宋体" w:hAnsi="宋体" w:eastAsia="宋体" w:cs="宋体"/>
      <w:b/>
      <w:bCs/>
      <w:color w:val="000000"/>
      <w:sz w:val="28"/>
      <w:szCs w:val="28"/>
      <w:u w:val="none"/>
    </w:rPr>
  </w:style>
  <w:style w:type="character" w:customStyle="1" w:styleId="72">
    <w:name w:val="font31"/>
    <w:basedOn w:val="17"/>
    <w:qFormat/>
    <w:uiPriority w:val="0"/>
    <w:rPr>
      <w:rFonts w:hint="eastAsia" w:ascii="宋体" w:hAnsi="宋体" w:eastAsia="宋体" w:cs="宋体"/>
      <w:color w:val="000000"/>
      <w:sz w:val="22"/>
      <w:szCs w:val="22"/>
      <w:u w:val="none"/>
    </w:rPr>
  </w:style>
  <w:style w:type="paragraph" w:customStyle="1" w:styleId="73">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74">
    <w:name w:val="Table Text"/>
    <w:basedOn w:val="1"/>
    <w:semiHidden/>
    <w:qFormat/>
    <w:uiPriority w:val="0"/>
    <w:rPr>
      <w:rFonts w:ascii="宋体" w:hAnsi="宋体" w:eastAsia="宋体" w:cs="宋体"/>
      <w:sz w:val="20"/>
      <w:szCs w:val="20"/>
      <w:lang w:eastAsia="en-US"/>
    </w:rPr>
  </w:style>
  <w:style w:type="table" w:customStyle="1" w:styleId="7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7255</Words>
  <Characters>8362</Characters>
  <Lines>73</Lines>
  <Paragraphs>20</Paragraphs>
  <TotalTime>145</TotalTime>
  <ScaleCrop>false</ScaleCrop>
  <LinksUpToDate>false</LinksUpToDate>
  <CharactersWithSpaces>8710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2021-12-11T09:18:00Z</dcterms:created>
  <dc:creator>Administrator</dc:creator>
  <cp:lastModifiedBy>王　颖</cp:lastModifiedBy>
  <cp:lastPrinted>2025-02-28T01:55:00Z</cp:lastPrinted>
  <dcterms:modified xsi:type="dcterms:W3CDTF">2025-05-23T08:04:55Z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SEDS_HWMT_d46a6755">
    <vt:lpwstr>f245c4a6_mFV3wz85ICk0PcpOmXv5rWLottQ=_8QYrr15fIzUrXdNOkhOdqCri5LSotaCtmpiOADGQxu4Gjv+RJ7a5JB6nWIPl2mAPNqgDURIaISvWPZWYf1GQAdKFAWM=_6c62e8af</vt:lpwstr>
  </property>
  <property fmtid="{D5CDD505-2E9C-101B-9397-08002B2CF9AE}" pid="3" name="KSOProductBuildVer">
    <vt:lpwstr>2052-12.1.0.21171</vt:lpwstr>
  </property>
  <property fmtid="{D5CDD505-2E9C-101B-9397-08002B2CF9AE}" pid="4" name="ICV">
    <vt:lpwstr>45A23F0E22674445BAF3842D21862816_13</vt:lpwstr>
  </property>
  <property fmtid="{D5CDD505-2E9C-101B-9397-08002B2CF9AE}" pid="5" name="KSOTemplateDocerSaveRecord">
    <vt:lpwstr>eyJoZGlkIjoiYmZhNTY1YWNkZjM4ZmVjMTg4OTVmZDNjYmViODA3NjkiLCJ1c2VySWQiOiIxMzE5NzQ5MzE4In0=</vt:lpwstr>
  </property>
</Properties>
</file>