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DD2B6">
      <w:pPr>
        <w:rPr>
          <w:rFonts w:ascii="宋体" w:hAnsi="宋体"/>
          <w:b/>
          <w:bCs/>
          <w:sz w:val="44"/>
          <w:szCs w:val="44"/>
        </w:rPr>
      </w:pPr>
    </w:p>
    <w:p w14:paraId="062F223D">
      <w:pPr>
        <w:jc w:val="center"/>
        <w:rPr>
          <w:rFonts w:ascii="宋体" w:hAnsi="宋体"/>
          <w:b/>
          <w:bCs/>
          <w:sz w:val="48"/>
          <w:szCs w:val="48"/>
        </w:rPr>
      </w:pPr>
      <w:r>
        <w:rPr>
          <w:rFonts w:hint="eastAsia" w:ascii="宋体" w:hAnsi="宋体"/>
          <w:b/>
          <w:bCs/>
          <w:sz w:val="48"/>
          <w:szCs w:val="48"/>
        </w:rPr>
        <w:t>浙江巨化股份有限公司电化厂（含巨塑、聚荟公司）2025-2027年部分产品及原材料包装搬运装卸劳务外包项目</w:t>
      </w:r>
    </w:p>
    <w:p w14:paraId="0111381A">
      <w:pPr>
        <w:pStyle w:val="2"/>
      </w:pPr>
    </w:p>
    <w:p w14:paraId="3589AF07">
      <w:pPr>
        <w:spacing w:line="360" w:lineRule="auto"/>
        <w:jc w:val="center"/>
        <w:rPr>
          <w:b/>
          <w:bCs/>
          <w:sz w:val="48"/>
          <w:szCs w:val="48"/>
        </w:rPr>
      </w:pPr>
      <w:r>
        <w:rPr>
          <w:rFonts w:hint="eastAsia"/>
          <w:b/>
          <w:bCs/>
          <w:sz w:val="48"/>
          <w:szCs w:val="48"/>
        </w:rPr>
        <w:t>招标文件</w:t>
      </w:r>
    </w:p>
    <w:p w14:paraId="7A7D5931">
      <w:pPr>
        <w:jc w:val="center"/>
        <w:rPr>
          <w:rFonts w:ascii="宋体" w:hAnsi="宋体"/>
          <w:sz w:val="32"/>
          <w:szCs w:val="32"/>
        </w:rPr>
      </w:pPr>
    </w:p>
    <w:p w14:paraId="6740EFDD">
      <w:pPr>
        <w:jc w:val="center"/>
        <w:rPr>
          <w:rFonts w:ascii="宋体" w:hAnsi="宋体"/>
          <w:sz w:val="32"/>
          <w:szCs w:val="32"/>
        </w:rPr>
      </w:pPr>
      <w:r>
        <w:rPr>
          <w:rFonts w:ascii="宋体" w:hAnsi="宋体"/>
          <w:sz w:val="32"/>
          <w:szCs w:val="32"/>
        </w:rPr>
        <w:t>（招标编号：</w:t>
      </w:r>
      <w:r>
        <w:rPr>
          <w:rFonts w:hint="eastAsia" w:ascii="宋体" w:hAnsi="宋体"/>
          <w:sz w:val="32"/>
          <w:szCs w:val="32"/>
        </w:rPr>
        <w:t xml:space="preserve">NFZB-20250435 </w:t>
      </w:r>
      <w:r>
        <w:rPr>
          <w:rFonts w:ascii="宋体" w:hAnsi="宋体"/>
          <w:sz w:val="32"/>
          <w:szCs w:val="32"/>
        </w:rPr>
        <w:t>）</w:t>
      </w:r>
    </w:p>
    <w:p w14:paraId="3F39CAC4">
      <w:pPr>
        <w:jc w:val="center"/>
        <w:rPr>
          <w:sz w:val="32"/>
        </w:rPr>
      </w:pPr>
    </w:p>
    <w:p w14:paraId="79EB6288">
      <w:pPr>
        <w:jc w:val="center"/>
        <w:rPr>
          <w:sz w:val="32"/>
        </w:rPr>
      </w:pPr>
    </w:p>
    <w:p w14:paraId="21E45386">
      <w:pPr>
        <w:jc w:val="center"/>
        <w:rPr>
          <w:sz w:val="32"/>
        </w:rPr>
      </w:pPr>
    </w:p>
    <w:p w14:paraId="45C740C5">
      <w:pPr>
        <w:jc w:val="center"/>
        <w:rPr>
          <w:sz w:val="32"/>
        </w:rPr>
      </w:pPr>
    </w:p>
    <w:p w14:paraId="758FE05F">
      <w:pPr>
        <w:jc w:val="center"/>
        <w:rPr>
          <w:sz w:val="32"/>
        </w:rPr>
      </w:pPr>
    </w:p>
    <w:p w14:paraId="5347D10C">
      <w:pPr>
        <w:ind w:firstLine="302" w:firstLineChars="99"/>
        <w:rPr>
          <w:b/>
          <w:spacing w:val="-8"/>
          <w:sz w:val="32"/>
        </w:rPr>
      </w:pPr>
    </w:p>
    <w:p w14:paraId="33EB6C40">
      <w:pPr>
        <w:ind w:firstLine="302" w:firstLineChars="99"/>
        <w:rPr>
          <w:b/>
          <w:spacing w:val="-8"/>
          <w:sz w:val="32"/>
        </w:rPr>
      </w:pPr>
    </w:p>
    <w:p w14:paraId="25654BFA">
      <w:pPr>
        <w:ind w:firstLine="302" w:firstLineChars="99"/>
        <w:rPr>
          <w:b/>
          <w:spacing w:val="-8"/>
          <w:sz w:val="32"/>
        </w:rPr>
      </w:pPr>
    </w:p>
    <w:p w14:paraId="2DBC1A30">
      <w:pPr>
        <w:ind w:firstLine="302" w:firstLineChars="99"/>
        <w:rPr>
          <w:b/>
          <w:spacing w:val="-8"/>
          <w:sz w:val="32"/>
        </w:rPr>
      </w:pPr>
    </w:p>
    <w:p w14:paraId="2564169B">
      <w:pPr>
        <w:pStyle w:val="26"/>
        <w:spacing w:line="480" w:lineRule="auto"/>
        <w:ind w:firstLine="967" w:firstLineChars="344"/>
        <w:rPr>
          <w:sz w:val="28"/>
          <w:szCs w:val="28"/>
        </w:rPr>
      </w:pPr>
    </w:p>
    <w:p w14:paraId="7C8345F5">
      <w:pPr>
        <w:pStyle w:val="26"/>
        <w:spacing w:line="480" w:lineRule="auto"/>
        <w:ind w:firstLine="967" w:firstLineChars="344"/>
        <w:outlineLvl w:val="0"/>
        <w:rPr>
          <w:sz w:val="28"/>
          <w:szCs w:val="28"/>
        </w:rPr>
      </w:pPr>
      <w:bookmarkStart w:id="0" w:name="_Toc15962"/>
      <w:bookmarkStart w:id="1" w:name="_Toc29895"/>
      <w:r>
        <w:rPr>
          <w:rFonts w:hint="eastAsia"/>
          <w:sz w:val="28"/>
          <w:szCs w:val="28"/>
        </w:rPr>
        <w:t>招   标   人：</w:t>
      </w:r>
      <w:r>
        <w:rPr>
          <w:rFonts w:hint="eastAsia"/>
          <w:sz w:val="28"/>
          <w:szCs w:val="28"/>
          <w:u w:val="single"/>
        </w:rPr>
        <w:t>浙江巨化股份有限公司电化厂</w:t>
      </w:r>
      <w:r>
        <w:rPr>
          <w:rFonts w:hint="eastAsia"/>
          <w:sz w:val="28"/>
          <w:szCs w:val="28"/>
        </w:rPr>
        <w:t>（盖章）</w:t>
      </w:r>
      <w:bookmarkEnd w:id="0"/>
      <w:bookmarkEnd w:id="1"/>
    </w:p>
    <w:p w14:paraId="2D301878">
      <w:pPr>
        <w:pStyle w:val="26"/>
        <w:spacing w:line="480" w:lineRule="auto"/>
        <w:ind w:firstLine="967" w:firstLineChars="344"/>
        <w:rPr>
          <w:sz w:val="28"/>
          <w:szCs w:val="28"/>
          <w:u w:val="single"/>
        </w:rPr>
      </w:pPr>
      <w:r>
        <w:rPr>
          <w:rFonts w:hint="eastAsia"/>
          <w:sz w:val="28"/>
          <w:szCs w:val="28"/>
        </w:rPr>
        <w:t>招标代理机构：</w:t>
      </w:r>
      <w:r>
        <w:rPr>
          <w:rFonts w:hint="eastAsia"/>
          <w:sz w:val="28"/>
          <w:szCs w:val="28"/>
          <w:u w:val="single"/>
        </w:rPr>
        <w:t>浙江南方工程咨询管理有限公司</w:t>
      </w:r>
      <w:r>
        <w:rPr>
          <w:rFonts w:hint="eastAsia"/>
          <w:sz w:val="28"/>
          <w:szCs w:val="28"/>
        </w:rPr>
        <w:t>（盖章）</w:t>
      </w:r>
    </w:p>
    <w:p w14:paraId="01E029DB">
      <w:pPr>
        <w:pStyle w:val="26"/>
        <w:spacing w:line="480" w:lineRule="auto"/>
        <w:ind w:firstLine="967" w:firstLineChars="344"/>
        <w:rPr>
          <w:sz w:val="28"/>
          <w:szCs w:val="28"/>
          <w:u w:val="single"/>
        </w:rPr>
      </w:pPr>
      <w:r>
        <w:rPr>
          <w:rFonts w:hint="eastAsia" w:cs="宋体"/>
          <w:sz w:val="28"/>
          <w:szCs w:val="28"/>
        </w:rPr>
        <w:t>审 核 单 位 ：</w:t>
      </w:r>
      <w:r>
        <w:rPr>
          <w:rFonts w:hint="eastAsia"/>
          <w:sz w:val="28"/>
          <w:szCs w:val="28"/>
          <w:u w:val="single"/>
        </w:rPr>
        <w:t xml:space="preserve">巨化招标办公室              </w:t>
      </w:r>
      <w:r>
        <w:rPr>
          <w:rFonts w:hint="eastAsia"/>
          <w:sz w:val="28"/>
          <w:szCs w:val="28"/>
        </w:rPr>
        <w:t>（盖章）</w:t>
      </w:r>
    </w:p>
    <w:p w14:paraId="4DB77394">
      <w:pPr>
        <w:pStyle w:val="26"/>
        <w:spacing w:line="480" w:lineRule="auto"/>
        <w:rPr>
          <w:sz w:val="28"/>
          <w:szCs w:val="28"/>
        </w:rPr>
      </w:pPr>
    </w:p>
    <w:p w14:paraId="72702354">
      <w:pPr>
        <w:spacing w:line="480" w:lineRule="auto"/>
        <w:ind w:firstLine="3373" w:firstLineChars="1200"/>
        <w:rPr>
          <w:b/>
          <w:bCs/>
          <w:sz w:val="30"/>
          <w:szCs w:val="30"/>
        </w:rPr>
      </w:pPr>
      <w:r>
        <w:rPr>
          <w:rFonts w:hint="eastAsia"/>
          <w:b/>
          <w:sz w:val="28"/>
          <w:szCs w:val="28"/>
        </w:rPr>
        <w:t>日期：  2025年5月</w:t>
      </w:r>
    </w:p>
    <w:p w14:paraId="65D4756B">
      <w:pPr>
        <w:pStyle w:val="3"/>
        <w:ind w:left="210" w:leftChars="100"/>
        <w:rPr>
          <w:rFonts w:ascii="Times New Roman" w:hAnsi="Times New Roman"/>
        </w:rPr>
      </w:pPr>
    </w:p>
    <w:sdt>
      <w:sdtPr>
        <w:rPr>
          <w:rFonts w:ascii="宋体" w:hAnsi="宋体"/>
          <w:sz w:val="32"/>
          <w:szCs w:val="32"/>
        </w:rPr>
        <w:id w:val="147451170"/>
        <w15:color w:val="DBDBDB"/>
        <w:docPartObj>
          <w:docPartGallery w:val="Table of Contents"/>
          <w:docPartUnique/>
        </w:docPartObj>
      </w:sdtPr>
      <w:sdtEndPr>
        <w:rPr>
          <w:rFonts w:ascii="Times New Roman" w:hAnsi="Times New Roman"/>
          <w:sz w:val="21"/>
          <w:szCs w:val="24"/>
        </w:rPr>
      </w:sdtEndPr>
      <w:sdtContent>
        <w:p w14:paraId="25E76DA2">
          <w:pPr>
            <w:spacing w:line="360" w:lineRule="auto"/>
            <w:jc w:val="center"/>
            <w:rPr>
              <w:sz w:val="32"/>
              <w:szCs w:val="32"/>
            </w:rPr>
          </w:pPr>
          <w:r>
            <w:rPr>
              <w:rFonts w:ascii="宋体" w:hAnsi="宋体"/>
              <w:sz w:val="32"/>
              <w:szCs w:val="32"/>
            </w:rPr>
            <w:t>目录</w:t>
          </w:r>
        </w:p>
        <w:p w14:paraId="0ABE5A4D">
          <w:pPr>
            <w:pStyle w:val="17"/>
            <w:tabs>
              <w:tab w:val="right" w:leader="dot" w:pos="9355"/>
            </w:tabs>
            <w:spacing w:line="360" w:lineRule="auto"/>
            <w:rPr>
              <w:sz w:val="28"/>
              <w:szCs w:val="28"/>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"_Toc1207" </w:instrText>
          </w:r>
          <w:r>
            <w:fldChar w:fldCharType="separate"/>
          </w:r>
          <w:r>
            <w:rPr>
              <w:rFonts w:hint="eastAsia" w:ascii="宋体" w:cs="宋体"/>
              <w:sz w:val="28"/>
              <w:szCs w:val="28"/>
            </w:rPr>
            <w:t>电子交易须知</w:t>
          </w:r>
          <w:r>
            <w:rPr>
              <w:sz w:val="28"/>
              <w:szCs w:val="28"/>
            </w:rPr>
            <w:tab/>
          </w:r>
          <w:r>
            <w:rPr>
              <w:sz w:val="28"/>
              <w:szCs w:val="28"/>
            </w:rPr>
            <w:fldChar w:fldCharType="begin"/>
          </w:r>
          <w:r>
            <w:rPr>
              <w:sz w:val="28"/>
              <w:szCs w:val="28"/>
            </w:rPr>
            <w:instrText xml:space="preserve"> PAGEREF _Toc1207 \h </w:instrText>
          </w:r>
          <w:r>
            <w:rPr>
              <w:sz w:val="28"/>
              <w:szCs w:val="28"/>
            </w:rPr>
            <w:fldChar w:fldCharType="separate"/>
          </w:r>
          <w:r>
            <w:rPr>
              <w:sz w:val="28"/>
              <w:szCs w:val="28"/>
            </w:rPr>
            <w:t>1</w:t>
          </w:r>
          <w:r>
            <w:rPr>
              <w:sz w:val="28"/>
              <w:szCs w:val="28"/>
            </w:rPr>
            <w:fldChar w:fldCharType="end"/>
          </w:r>
          <w:r>
            <w:rPr>
              <w:sz w:val="28"/>
              <w:szCs w:val="28"/>
            </w:rPr>
            <w:fldChar w:fldCharType="end"/>
          </w:r>
        </w:p>
        <w:p w14:paraId="2E95A655">
          <w:pPr>
            <w:pStyle w:val="17"/>
            <w:tabs>
              <w:tab w:val="right" w:leader="dot" w:pos="9355"/>
            </w:tabs>
            <w:spacing w:line="360" w:lineRule="auto"/>
            <w:rPr>
              <w:sz w:val="28"/>
              <w:szCs w:val="28"/>
            </w:rPr>
          </w:pPr>
          <w:r>
            <w:fldChar w:fldCharType="begin"/>
          </w:r>
          <w:r>
            <w:instrText xml:space="preserve"> HYPERLINK \l "_Toc4178" </w:instrText>
          </w:r>
          <w:r>
            <w:fldChar w:fldCharType="separate"/>
          </w:r>
          <w:r>
            <w:rPr>
              <w:rFonts w:hint="eastAsia"/>
              <w:bCs/>
              <w:sz w:val="28"/>
              <w:szCs w:val="28"/>
            </w:rPr>
            <w:t>第一章 招标公告</w:t>
          </w:r>
          <w:r>
            <w:rPr>
              <w:sz w:val="28"/>
              <w:szCs w:val="28"/>
            </w:rPr>
            <w:tab/>
          </w:r>
          <w:r>
            <w:rPr>
              <w:sz w:val="28"/>
              <w:szCs w:val="28"/>
            </w:rPr>
            <w:fldChar w:fldCharType="begin"/>
          </w:r>
          <w:r>
            <w:rPr>
              <w:sz w:val="28"/>
              <w:szCs w:val="28"/>
            </w:rPr>
            <w:instrText xml:space="preserve"> PAGEREF _Toc4178 \h </w:instrText>
          </w:r>
          <w:r>
            <w:rPr>
              <w:sz w:val="28"/>
              <w:szCs w:val="28"/>
            </w:rPr>
            <w:fldChar w:fldCharType="separate"/>
          </w:r>
          <w:r>
            <w:rPr>
              <w:sz w:val="28"/>
              <w:szCs w:val="28"/>
            </w:rPr>
            <w:t>2</w:t>
          </w:r>
          <w:r>
            <w:rPr>
              <w:sz w:val="28"/>
              <w:szCs w:val="28"/>
            </w:rPr>
            <w:fldChar w:fldCharType="end"/>
          </w:r>
          <w:r>
            <w:rPr>
              <w:sz w:val="28"/>
              <w:szCs w:val="28"/>
            </w:rPr>
            <w:fldChar w:fldCharType="end"/>
          </w:r>
        </w:p>
        <w:p w14:paraId="310694A7">
          <w:pPr>
            <w:pStyle w:val="17"/>
            <w:tabs>
              <w:tab w:val="right" w:leader="dot" w:pos="9355"/>
            </w:tabs>
            <w:spacing w:line="360" w:lineRule="auto"/>
            <w:rPr>
              <w:sz w:val="28"/>
              <w:szCs w:val="28"/>
            </w:rPr>
          </w:pPr>
          <w:r>
            <w:fldChar w:fldCharType="begin"/>
          </w:r>
          <w:r>
            <w:instrText xml:space="preserve"> HYPERLINK \l "_Toc16539" </w:instrText>
          </w:r>
          <w:r>
            <w:fldChar w:fldCharType="separate"/>
          </w:r>
          <w:r>
            <w:rPr>
              <w:rFonts w:hint="eastAsia"/>
              <w:bCs/>
              <w:sz w:val="28"/>
              <w:szCs w:val="28"/>
            </w:rPr>
            <w:t>第二章 投标人须知</w:t>
          </w:r>
          <w:r>
            <w:rPr>
              <w:sz w:val="28"/>
              <w:szCs w:val="28"/>
            </w:rPr>
            <w:tab/>
          </w:r>
          <w:r>
            <w:rPr>
              <w:sz w:val="28"/>
              <w:szCs w:val="28"/>
            </w:rPr>
            <w:fldChar w:fldCharType="begin"/>
          </w:r>
          <w:r>
            <w:rPr>
              <w:sz w:val="28"/>
              <w:szCs w:val="28"/>
            </w:rPr>
            <w:instrText xml:space="preserve"> PAGEREF _Toc16539 \h </w:instrText>
          </w:r>
          <w:r>
            <w:rPr>
              <w:sz w:val="28"/>
              <w:szCs w:val="28"/>
            </w:rPr>
            <w:fldChar w:fldCharType="separate"/>
          </w:r>
          <w:r>
            <w:rPr>
              <w:sz w:val="28"/>
              <w:szCs w:val="28"/>
            </w:rPr>
            <w:t>5</w:t>
          </w:r>
          <w:r>
            <w:rPr>
              <w:sz w:val="28"/>
              <w:szCs w:val="28"/>
            </w:rPr>
            <w:fldChar w:fldCharType="end"/>
          </w:r>
          <w:r>
            <w:rPr>
              <w:sz w:val="28"/>
              <w:szCs w:val="28"/>
            </w:rPr>
            <w:fldChar w:fldCharType="end"/>
          </w:r>
        </w:p>
        <w:p w14:paraId="71B5584D">
          <w:pPr>
            <w:pStyle w:val="17"/>
            <w:tabs>
              <w:tab w:val="right" w:leader="dot" w:pos="9355"/>
            </w:tabs>
            <w:spacing w:line="360" w:lineRule="auto"/>
            <w:rPr>
              <w:sz w:val="28"/>
              <w:szCs w:val="28"/>
            </w:rPr>
          </w:pPr>
          <w:r>
            <w:fldChar w:fldCharType="begin"/>
          </w:r>
          <w:r>
            <w:instrText xml:space="preserve"> HYPERLINK \l "_Toc10466" </w:instrText>
          </w:r>
          <w:r>
            <w:fldChar w:fldCharType="separate"/>
          </w:r>
          <w:r>
            <w:rPr>
              <w:rFonts w:hint="eastAsia"/>
              <w:bCs/>
              <w:sz w:val="28"/>
              <w:szCs w:val="28"/>
            </w:rPr>
            <w:t>第三章 评标办法（综合评分法）</w:t>
          </w:r>
          <w:r>
            <w:rPr>
              <w:sz w:val="28"/>
              <w:szCs w:val="28"/>
            </w:rPr>
            <w:tab/>
          </w:r>
          <w:r>
            <w:rPr>
              <w:sz w:val="28"/>
              <w:szCs w:val="28"/>
            </w:rPr>
            <w:fldChar w:fldCharType="begin"/>
          </w:r>
          <w:r>
            <w:rPr>
              <w:sz w:val="28"/>
              <w:szCs w:val="28"/>
            </w:rPr>
            <w:instrText xml:space="preserve"> PAGEREF _Toc10466 \h </w:instrText>
          </w:r>
          <w:r>
            <w:rPr>
              <w:sz w:val="28"/>
              <w:szCs w:val="28"/>
            </w:rPr>
            <w:fldChar w:fldCharType="separate"/>
          </w:r>
          <w:r>
            <w:rPr>
              <w:sz w:val="28"/>
              <w:szCs w:val="28"/>
            </w:rPr>
            <w:t>23</w:t>
          </w:r>
          <w:r>
            <w:rPr>
              <w:sz w:val="28"/>
              <w:szCs w:val="28"/>
            </w:rPr>
            <w:fldChar w:fldCharType="end"/>
          </w:r>
          <w:r>
            <w:rPr>
              <w:sz w:val="28"/>
              <w:szCs w:val="28"/>
            </w:rPr>
            <w:fldChar w:fldCharType="end"/>
          </w:r>
        </w:p>
        <w:p w14:paraId="6D670FBC">
          <w:pPr>
            <w:pStyle w:val="17"/>
            <w:tabs>
              <w:tab w:val="right" w:leader="dot" w:pos="9355"/>
            </w:tabs>
            <w:spacing w:line="360" w:lineRule="auto"/>
            <w:rPr>
              <w:sz w:val="28"/>
              <w:szCs w:val="28"/>
            </w:rPr>
          </w:pPr>
          <w:r>
            <w:fldChar w:fldCharType="begin"/>
          </w:r>
          <w:r>
            <w:instrText xml:space="preserve"> HYPERLINK \l "_Toc27990" </w:instrText>
          </w:r>
          <w:r>
            <w:fldChar w:fldCharType="separate"/>
          </w:r>
          <w:r>
            <w:rPr>
              <w:rFonts w:hint="eastAsia" w:ascii="宋体" w:hAnsi="宋体"/>
              <w:bCs/>
              <w:sz w:val="28"/>
              <w:szCs w:val="28"/>
            </w:rPr>
            <w:t>第四章 合同主要条款</w:t>
          </w:r>
          <w:r>
            <w:rPr>
              <w:sz w:val="28"/>
              <w:szCs w:val="28"/>
            </w:rPr>
            <w:tab/>
          </w:r>
          <w:r>
            <w:rPr>
              <w:rFonts w:hint="eastAsia"/>
              <w:sz w:val="28"/>
              <w:szCs w:val="28"/>
            </w:rPr>
            <w:t>2</w:t>
          </w:r>
          <w:r>
            <w:rPr>
              <w:rFonts w:hint="eastAsia"/>
              <w:sz w:val="28"/>
              <w:szCs w:val="28"/>
            </w:rPr>
            <w:fldChar w:fldCharType="end"/>
          </w:r>
          <w:r>
            <w:rPr>
              <w:rFonts w:hint="eastAsia"/>
              <w:sz w:val="28"/>
              <w:szCs w:val="28"/>
            </w:rPr>
            <w:t>7</w:t>
          </w:r>
        </w:p>
        <w:p w14:paraId="28628BCB">
          <w:pPr>
            <w:pStyle w:val="17"/>
            <w:tabs>
              <w:tab w:val="right" w:leader="dot" w:pos="9355"/>
            </w:tabs>
            <w:spacing w:line="360" w:lineRule="auto"/>
            <w:rPr>
              <w:sz w:val="28"/>
              <w:szCs w:val="28"/>
            </w:rPr>
          </w:pPr>
          <w:r>
            <w:fldChar w:fldCharType="begin"/>
          </w:r>
          <w:r>
            <w:instrText xml:space="preserve"> HYPERLINK \l "_Toc28626" </w:instrText>
          </w:r>
          <w:r>
            <w:fldChar w:fldCharType="separate"/>
          </w:r>
          <w:r>
            <w:rPr>
              <w:rFonts w:hint="eastAsia"/>
              <w:bCs/>
              <w:sz w:val="28"/>
              <w:szCs w:val="28"/>
            </w:rPr>
            <w:t>第五章 投标文件格式</w:t>
          </w:r>
          <w:r>
            <w:rPr>
              <w:sz w:val="28"/>
              <w:szCs w:val="28"/>
            </w:rPr>
            <w:tab/>
          </w:r>
          <w:r>
            <w:rPr>
              <w:sz w:val="28"/>
              <w:szCs w:val="28"/>
            </w:rPr>
            <w:fldChar w:fldCharType="begin"/>
          </w:r>
          <w:r>
            <w:rPr>
              <w:sz w:val="28"/>
              <w:szCs w:val="28"/>
            </w:rPr>
            <w:instrText xml:space="preserve"> PAGEREF _Toc28626 \h </w:instrText>
          </w:r>
          <w:r>
            <w:rPr>
              <w:sz w:val="28"/>
              <w:szCs w:val="28"/>
            </w:rPr>
            <w:fldChar w:fldCharType="separate"/>
          </w:r>
          <w:r>
            <w:rPr>
              <w:sz w:val="28"/>
              <w:szCs w:val="28"/>
            </w:rPr>
            <w:t>40</w:t>
          </w:r>
          <w:r>
            <w:rPr>
              <w:sz w:val="28"/>
              <w:szCs w:val="28"/>
            </w:rPr>
            <w:fldChar w:fldCharType="end"/>
          </w:r>
          <w:r>
            <w:rPr>
              <w:sz w:val="28"/>
              <w:szCs w:val="28"/>
            </w:rPr>
            <w:fldChar w:fldCharType="end"/>
          </w:r>
        </w:p>
        <w:p w14:paraId="062F18D7">
          <w:pPr>
            <w:spacing w:line="360" w:lineRule="auto"/>
          </w:pPr>
          <w:r>
            <w:rPr>
              <w:sz w:val="28"/>
              <w:szCs w:val="28"/>
            </w:rPr>
            <w:fldChar w:fldCharType="end"/>
          </w:r>
        </w:p>
      </w:sdtContent>
    </w:sdt>
    <w:p w14:paraId="0B5C6611"/>
    <w:p w14:paraId="3C2AC88B"/>
    <w:p w14:paraId="023BB02E"/>
    <w:p w14:paraId="141CE964"/>
    <w:p w14:paraId="466448E0"/>
    <w:p w14:paraId="71FD3990"/>
    <w:p w14:paraId="571B6E6B">
      <w:p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5CF981E8">
      <w:pPr>
        <w:snapToGrid w:val="0"/>
        <w:spacing w:line="360" w:lineRule="auto"/>
        <w:jc w:val="center"/>
        <w:outlineLvl w:val="0"/>
        <w:rPr>
          <w:rStyle w:val="31"/>
          <w:rFonts w:ascii="宋体" w:cs="宋体"/>
          <w:b/>
          <w:sz w:val="30"/>
          <w:szCs w:val="30"/>
        </w:rPr>
      </w:pPr>
      <w:bookmarkStart w:id="2" w:name="_Toc1207"/>
      <w:r>
        <w:rPr>
          <w:rStyle w:val="31"/>
          <w:rFonts w:hint="eastAsia" w:ascii="宋体" w:cs="宋体"/>
          <w:b/>
          <w:sz w:val="30"/>
          <w:szCs w:val="30"/>
        </w:rPr>
        <w:t>电子交易须知</w:t>
      </w:r>
      <w:bookmarkEnd w:id="2"/>
    </w:p>
    <w:p w14:paraId="6377E495">
      <w:pPr>
        <w:snapToGrid w:val="0"/>
        <w:spacing w:line="360" w:lineRule="auto"/>
        <w:ind w:firstLine="424" w:firstLineChars="177"/>
        <w:rPr>
          <w:rStyle w:val="31"/>
          <w:rFonts w:ascii="宋体" w:cs="宋体"/>
          <w:sz w:val="24"/>
        </w:rPr>
      </w:pPr>
    </w:p>
    <w:p w14:paraId="6C798208">
      <w:pPr>
        <w:pStyle w:val="12"/>
        <w:spacing w:line="360" w:lineRule="auto"/>
        <w:ind w:firstLine="480" w:firstLineChars="200"/>
        <w:jc w:val="left"/>
        <w:rPr>
          <w:sz w:val="24"/>
          <w:szCs w:val="24"/>
        </w:rPr>
      </w:pPr>
      <w:r>
        <w:rPr>
          <w:rFonts w:hint="eastAsia"/>
          <w:sz w:val="24"/>
          <w:szCs w:val="24"/>
        </w:rPr>
        <w:t>本次招标采用电子投标方式，电子投标平台为“巨化数字化招采平台（juhua.ccccnet.com）”（下同），参考操作顺序如下：</w:t>
      </w:r>
    </w:p>
    <w:p w14:paraId="300026EB">
      <w:pPr>
        <w:pStyle w:val="12"/>
        <w:spacing w:line="360" w:lineRule="auto"/>
        <w:ind w:firstLine="480" w:firstLineChars="200"/>
        <w:jc w:val="left"/>
        <w:rPr>
          <w:sz w:val="24"/>
          <w:szCs w:val="24"/>
        </w:rPr>
      </w:pPr>
      <w:r>
        <w:rPr>
          <w:rFonts w:hint="eastAsia"/>
          <w:sz w:val="24"/>
          <w:szCs w:val="24"/>
        </w:rPr>
        <w:t>1.注册：</w:t>
      </w:r>
    </w:p>
    <w:p w14:paraId="65BC55C3">
      <w:pPr>
        <w:pStyle w:val="12"/>
        <w:spacing w:line="360" w:lineRule="auto"/>
        <w:ind w:firstLine="480" w:firstLineChars="200"/>
        <w:jc w:val="left"/>
        <w:rPr>
          <w:sz w:val="24"/>
          <w:szCs w:val="24"/>
        </w:rPr>
      </w:pPr>
      <w:r>
        <w:rPr>
          <w:rFonts w:hint="eastAsia"/>
          <w:sz w:val="24"/>
          <w:szCs w:val="24"/>
        </w:rPr>
        <w:t>在“巨化数字化招采平台”完成注册。</w:t>
      </w:r>
    </w:p>
    <w:p w14:paraId="655D7303">
      <w:pPr>
        <w:pStyle w:val="12"/>
        <w:spacing w:line="360" w:lineRule="auto"/>
        <w:ind w:firstLine="480" w:firstLineChars="200"/>
        <w:jc w:val="left"/>
        <w:rPr>
          <w:sz w:val="24"/>
          <w:szCs w:val="24"/>
        </w:rPr>
      </w:pPr>
      <w:r>
        <w:rPr>
          <w:rFonts w:hint="eastAsia"/>
          <w:sz w:val="24"/>
          <w:szCs w:val="24"/>
        </w:rPr>
        <w:t>2.</w:t>
      </w:r>
      <w:r>
        <w:rPr>
          <w:sz w:val="24"/>
          <w:szCs w:val="24"/>
        </w:rPr>
        <w:t>CA申请：</w:t>
      </w:r>
    </w:p>
    <w:p w14:paraId="2C1FB30D">
      <w:pPr>
        <w:pStyle w:val="12"/>
        <w:spacing w:line="360" w:lineRule="auto"/>
        <w:ind w:firstLine="480" w:firstLineChars="200"/>
        <w:jc w:val="left"/>
        <w:rPr>
          <w:sz w:val="24"/>
          <w:szCs w:val="24"/>
        </w:rPr>
      </w:pPr>
      <w:r>
        <w:rPr>
          <w:rFonts w:hint="eastAsia"/>
          <w:sz w:val="24"/>
          <w:szCs w:val="24"/>
        </w:rPr>
        <w:t>在“</w:t>
      </w:r>
      <w:r>
        <w:fldChar w:fldCharType="begin"/>
      </w:r>
      <w:r>
        <w:instrText xml:space="preserve"> HYPERLINK "http://www.tseal.cn/tcloud/common.xhtml?projId=81" </w:instrText>
      </w:r>
      <w:r>
        <w:fldChar w:fldCharType="separate"/>
      </w:r>
      <w:r>
        <w:rPr>
          <w:rStyle w:val="24"/>
          <w:rFonts w:hint="eastAsia"/>
          <w:color w:val="auto"/>
          <w:sz w:val="24"/>
          <w:szCs w:val="24"/>
        </w:rPr>
        <w:t>巨化集团公司专用数字证书用户自助申报系统</w:t>
      </w:r>
      <w:r>
        <w:rPr>
          <w:rStyle w:val="24"/>
          <w:rFonts w:hint="eastAsia"/>
          <w:color w:val="auto"/>
          <w:sz w:val="24"/>
          <w:szCs w:val="24"/>
        </w:rPr>
        <w:fldChar w:fldCharType="end"/>
      </w:r>
      <w:r>
        <w:rPr>
          <w:rFonts w:hint="eastAsia"/>
          <w:sz w:val="24"/>
          <w:szCs w:val="24"/>
        </w:rPr>
        <w:t>” 完成CA申请</w:t>
      </w:r>
      <w:r>
        <w:rPr>
          <w:sz w:val="24"/>
          <w:szCs w:val="24"/>
        </w:rPr>
        <w:t>。</w:t>
      </w:r>
      <w:r>
        <w:rPr>
          <w:rFonts w:hint="eastAsia"/>
          <w:sz w:val="24"/>
          <w:szCs w:val="24"/>
        </w:rPr>
        <w:t>CA数字证书申请后须邮寄实体介质，因CA邮寄时间导致延误投标的责任由投标人自行承担。</w:t>
      </w:r>
    </w:p>
    <w:p w14:paraId="2970E06A">
      <w:pPr>
        <w:pStyle w:val="12"/>
        <w:spacing w:line="360" w:lineRule="auto"/>
        <w:ind w:firstLine="480" w:firstLineChars="200"/>
        <w:jc w:val="left"/>
        <w:rPr>
          <w:sz w:val="24"/>
          <w:szCs w:val="24"/>
        </w:rPr>
      </w:pPr>
      <w:r>
        <w:rPr>
          <w:sz w:val="24"/>
          <w:szCs w:val="24"/>
        </w:rPr>
        <w:t>3.</w:t>
      </w:r>
      <w:r>
        <w:rPr>
          <w:rFonts w:hint="eastAsia"/>
          <w:sz w:val="24"/>
          <w:szCs w:val="24"/>
        </w:rPr>
        <w:t>报名：</w:t>
      </w:r>
    </w:p>
    <w:p w14:paraId="35B2E708">
      <w:pPr>
        <w:pStyle w:val="12"/>
        <w:spacing w:line="360" w:lineRule="auto"/>
        <w:ind w:firstLine="480" w:firstLineChars="200"/>
        <w:jc w:val="left"/>
        <w:rPr>
          <w:sz w:val="24"/>
          <w:szCs w:val="24"/>
        </w:rPr>
      </w:pPr>
      <w:r>
        <w:rPr>
          <w:rFonts w:hint="eastAsia"/>
          <w:sz w:val="24"/>
          <w:szCs w:val="24"/>
        </w:rPr>
        <w:t>登录“巨化数字化招采平台”→“供应商门户”→“招标公告”→“查看”本项目招标公告→“公开报名”→“报名”，并与招标代理联系缴纳资料费。</w:t>
      </w:r>
    </w:p>
    <w:p w14:paraId="47B133B4">
      <w:pPr>
        <w:pStyle w:val="12"/>
        <w:spacing w:line="360" w:lineRule="auto"/>
        <w:ind w:firstLine="480" w:firstLineChars="200"/>
        <w:jc w:val="left"/>
        <w:rPr>
          <w:sz w:val="24"/>
          <w:szCs w:val="24"/>
        </w:rPr>
      </w:pPr>
      <w:r>
        <w:rPr>
          <w:sz w:val="24"/>
          <w:szCs w:val="24"/>
        </w:rPr>
        <w:t>4.</w:t>
      </w:r>
      <w:r>
        <w:rPr>
          <w:rFonts w:hint="eastAsia"/>
          <w:sz w:val="24"/>
          <w:szCs w:val="24"/>
        </w:rPr>
        <w:t>编制投标文件：</w:t>
      </w:r>
    </w:p>
    <w:p w14:paraId="2F782D2D">
      <w:pPr>
        <w:pStyle w:val="12"/>
        <w:spacing w:line="360" w:lineRule="auto"/>
        <w:ind w:firstLine="480" w:firstLineChars="200"/>
        <w:jc w:val="left"/>
        <w:rPr>
          <w:sz w:val="24"/>
          <w:szCs w:val="24"/>
        </w:rPr>
      </w:pPr>
      <w:r>
        <w:rPr>
          <w:rFonts w:hint="eastAsia"/>
          <w:sz w:val="24"/>
          <w:szCs w:val="24"/>
        </w:rPr>
        <w:t>根据本招标文件第二章第二节第3</w:t>
      </w:r>
      <w:r>
        <w:rPr>
          <w:sz w:val="24"/>
          <w:szCs w:val="24"/>
        </w:rPr>
        <w:t>.1款</w:t>
      </w:r>
      <w:r>
        <w:rPr>
          <w:rFonts w:hint="eastAsia"/>
          <w:sz w:val="24"/>
          <w:szCs w:val="24"/>
        </w:rPr>
        <w:t>“投标文件的组成”的要求编制“技术资信标书”和“商务经济标书”电子版。</w:t>
      </w:r>
    </w:p>
    <w:p w14:paraId="76241319">
      <w:pPr>
        <w:pStyle w:val="12"/>
        <w:spacing w:line="360" w:lineRule="auto"/>
        <w:ind w:firstLine="480" w:firstLineChars="200"/>
        <w:jc w:val="left"/>
        <w:rPr>
          <w:sz w:val="24"/>
          <w:szCs w:val="24"/>
        </w:rPr>
      </w:pPr>
      <w:r>
        <w:rPr>
          <w:sz w:val="24"/>
          <w:szCs w:val="24"/>
        </w:rPr>
        <w:t>5.</w:t>
      </w:r>
      <w:r>
        <w:rPr>
          <w:rFonts w:hint="eastAsia"/>
          <w:sz w:val="24"/>
          <w:szCs w:val="24"/>
        </w:rPr>
        <w:t>投标：</w:t>
      </w:r>
    </w:p>
    <w:p w14:paraId="168780BC">
      <w:pPr>
        <w:pStyle w:val="12"/>
        <w:spacing w:line="360" w:lineRule="auto"/>
        <w:ind w:firstLine="480" w:firstLineChars="200"/>
        <w:jc w:val="left"/>
        <w:rPr>
          <w:sz w:val="24"/>
          <w:szCs w:val="24"/>
        </w:rPr>
      </w:pPr>
      <w:r>
        <w:rPr>
          <w:rFonts w:hint="eastAsia"/>
          <w:sz w:val="24"/>
          <w:szCs w:val="24"/>
        </w:rPr>
        <w:t>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54FE5EFF">
      <w:pPr>
        <w:pStyle w:val="12"/>
        <w:spacing w:line="360" w:lineRule="auto"/>
        <w:ind w:firstLine="480" w:firstLineChars="200"/>
        <w:jc w:val="left"/>
        <w:rPr>
          <w:sz w:val="24"/>
          <w:szCs w:val="24"/>
        </w:rPr>
      </w:pPr>
      <w:r>
        <w:rPr>
          <w:sz w:val="24"/>
          <w:szCs w:val="24"/>
        </w:rPr>
        <w:t>6.</w:t>
      </w:r>
      <w:r>
        <w:rPr>
          <w:rFonts w:hint="eastAsia"/>
          <w:sz w:val="24"/>
          <w:szCs w:val="24"/>
        </w:rPr>
        <w:t>注册、投标等相关操作方法详见</w:t>
      </w:r>
      <w:r>
        <w:rPr>
          <w:sz w:val="24"/>
          <w:szCs w:val="24"/>
        </w:rPr>
        <w:t>《</w:t>
      </w:r>
      <w:r>
        <w:rPr>
          <w:rFonts w:hint="eastAsia"/>
          <w:sz w:val="24"/>
          <w:szCs w:val="24"/>
        </w:rPr>
        <w:t>电子投标供应商操作手册</w:t>
      </w:r>
      <w:r>
        <w:rPr>
          <w:sz w:val="24"/>
          <w:szCs w:val="24"/>
        </w:rPr>
        <w:t>》</w:t>
      </w:r>
      <w:r>
        <w:rPr>
          <w:rFonts w:hint="eastAsia"/>
          <w:sz w:val="24"/>
          <w:szCs w:val="24"/>
        </w:rPr>
        <w:t>，获取方式：</w:t>
      </w:r>
      <w:r>
        <w:fldChar w:fldCharType="begin"/>
      </w:r>
      <w:r>
        <w:instrText xml:space="preserve"> HYPERLINK "https://juhua.ccccnet.com/" </w:instrText>
      </w:r>
      <w:r>
        <w:fldChar w:fldCharType="separate"/>
      </w:r>
      <w:r>
        <w:rPr>
          <w:rStyle w:val="24"/>
          <w:rFonts w:hint="eastAsia"/>
          <w:color w:val="auto"/>
          <w:sz w:val="24"/>
          <w:szCs w:val="24"/>
        </w:rPr>
        <w:t>巨化数字化招采平台首页-供应商操作手册（招标）</w:t>
      </w:r>
      <w:r>
        <w:rPr>
          <w:rStyle w:val="24"/>
          <w:rFonts w:hint="eastAsia"/>
          <w:color w:val="auto"/>
          <w:sz w:val="24"/>
          <w:szCs w:val="24"/>
        </w:rPr>
        <w:fldChar w:fldCharType="end"/>
      </w:r>
      <w:r>
        <w:rPr>
          <w:rFonts w:hint="eastAsia"/>
          <w:sz w:val="24"/>
          <w:szCs w:val="24"/>
        </w:rPr>
        <w:t>。</w:t>
      </w:r>
    </w:p>
    <w:p w14:paraId="14670082">
      <w:pPr>
        <w:pStyle w:val="12"/>
        <w:spacing w:line="360" w:lineRule="auto"/>
        <w:ind w:firstLine="480" w:firstLineChars="200"/>
        <w:jc w:val="left"/>
        <w:rPr>
          <w:sz w:val="24"/>
          <w:szCs w:val="24"/>
        </w:rPr>
      </w:pPr>
      <w:r>
        <w:rPr>
          <w:sz w:val="24"/>
          <w:szCs w:val="24"/>
        </w:rPr>
        <w:t>7.</w:t>
      </w:r>
      <w:r>
        <w:rPr>
          <w:rFonts w:hint="eastAsia"/>
          <w:sz w:val="24"/>
          <w:szCs w:val="24"/>
        </w:rPr>
        <w:t>投标人在参加电子交易过程中，有CA或平台问题的，请联系：</w:t>
      </w:r>
    </w:p>
    <w:p w14:paraId="311C12A6">
      <w:pPr>
        <w:pStyle w:val="12"/>
        <w:spacing w:line="360" w:lineRule="auto"/>
        <w:ind w:firstLine="480" w:firstLineChars="200"/>
        <w:jc w:val="left"/>
        <w:rPr>
          <w:sz w:val="24"/>
          <w:szCs w:val="24"/>
        </w:rPr>
      </w:pPr>
      <w:r>
        <w:rPr>
          <w:rFonts w:hint="eastAsia"/>
          <w:sz w:val="24"/>
          <w:szCs w:val="24"/>
        </w:rPr>
        <w:t>巨化招采平台供应商线上支持QQ群：</w:t>
      </w:r>
      <w:r>
        <w:rPr>
          <w:rFonts w:hint="eastAsia" w:cs="宋体"/>
          <w:sz w:val="24"/>
        </w:rPr>
        <w:t>256350034、319810100</w:t>
      </w:r>
      <w:r>
        <w:rPr>
          <w:rFonts w:hint="eastAsia"/>
          <w:sz w:val="24"/>
          <w:szCs w:val="24"/>
        </w:rPr>
        <w:t>（首选）</w:t>
      </w:r>
    </w:p>
    <w:p w14:paraId="3A74D2CC">
      <w:pPr>
        <w:pStyle w:val="12"/>
        <w:spacing w:line="360" w:lineRule="auto"/>
        <w:ind w:firstLine="480" w:firstLineChars="200"/>
        <w:jc w:val="left"/>
        <w:rPr>
          <w:sz w:val="24"/>
          <w:szCs w:val="24"/>
        </w:rPr>
      </w:pPr>
      <w:r>
        <w:rPr>
          <w:rFonts w:hint="eastAsia"/>
          <w:sz w:val="24"/>
          <w:szCs w:val="24"/>
        </w:rPr>
        <w:t>联系电话：0570-3615336</w:t>
      </w:r>
    </w:p>
    <w:p w14:paraId="66F7938A">
      <w:pPr>
        <w:rPr>
          <w:b/>
          <w:bCs/>
          <w:sz w:val="30"/>
          <w:szCs w:val="30"/>
        </w:rPr>
      </w:pPr>
      <w:r>
        <w:rPr>
          <w:rFonts w:hint="eastAsia"/>
          <w:sz w:val="24"/>
        </w:rPr>
        <w:t>不论中标与否均需邮寄或发送《退还投标保证金申请书》后方可退还投标保证金，建议尽早邮寄或发送，以免耽误投标保证金的退还。</w:t>
      </w:r>
    </w:p>
    <w:p w14:paraId="72DCAB20">
      <w:pPr>
        <w:pStyle w:val="20"/>
        <w:ind w:firstLine="602"/>
        <w:rPr>
          <w:b/>
          <w:bCs/>
          <w:sz w:val="30"/>
          <w:szCs w:val="30"/>
        </w:rPr>
      </w:pPr>
    </w:p>
    <w:p w14:paraId="58F1FE2A">
      <w:pPr>
        <w:rPr>
          <w:b/>
          <w:bCs/>
          <w:sz w:val="30"/>
          <w:szCs w:val="30"/>
        </w:rPr>
      </w:pPr>
    </w:p>
    <w:p w14:paraId="0FDA584A"/>
    <w:p w14:paraId="1AB562BC">
      <w:pPr>
        <w:numPr>
          <w:ilvl w:val="0"/>
          <w:numId w:val="3"/>
        </w:numPr>
        <w:spacing w:line="440" w:lineRule="exact"/>
        <w:jc w:val="center"/>
        <w:outlineLvl w:val="0"/>
        <w:rPr>
          <w:b/>
          <w:bCs/>
          <w:sz w:val="24"/>
        </w:rPr>
      </w:pPr>
      <w:r>
        <w:rPr>
          <w:rFonts w:hint="eastAsia"/>
          <w:b/>
          <w:bCs/>
          <w:sz w:val="24"/>
        </w:rPr>
        <w:t xml:space="preserve"> </w:t>
      </w:r>
      <w:bookmarkStart w:id="3" w:name="_Toc4178"/>
      <w:r>
        <w:rPr>
          <w:rFonts w:hint="eastAsia"/>
          <w:b/>
          <w:bCs/>
          <w:sz w:val="24"/>
        </w:rPr>
        <w:t>招标公告</w:t>
      </w:r>
      <w:bookmarkEnd w:id="3"/>
    </w:p>
    <w:p w14:paraId="561EFC16">
      <w:pPr>
        <w:snapToGrid w:val="0"/>
        <w:spacing w:line="440" w:lineRule="exact"/>
        <w:ind w:firstLine="424" w:firstLineChars="177"/>
        <w:rPr>
          <w:rFonts w:ascii="宋体" w:hAnsi="宋体"/>
          <w:sz w:val="24"/>
        </w:rPr>
      </w:pPr>
      <w:r>
        <w:rPr>
          <w:rFonts w:hint="eastAsia" w:ascii="宋体" w:hAnsi="宋体"/>
          <w:sz w:val="24"/>
          <w:u w:val="single"/>
        </w:rPr>
        <w:t>浙江南方工程咨询管理有限公司</w:t>
      </w:r>
      <w:r>
        <w:rPr>
          <w:rFonts w:hint="eastAsia" w:ascii="宋体" w:hAnsi="宋体"/>
          <w:sz w:val="24"/>
        </w:rPr>
        <w:t>受</w:t>
      </w:r>
      <w:r>
        <w:rPr>
          <w:rFonts w:hint="eastAsia" w:ascii="宋体" w:hAnsi="宋体"/>
          <w:sz w:val="24"/>
          <w:u w:val="single"/>
        </w:rPr>
        <w:t>浙江巨化股份有限公司电化厂</w:t>
      </w:r>
      <w:r>
        <w:rPr>
          <w:rFonts w:hint="eastAsia" w:ascii="宋体" w:hAnsi="宋体"/>
          <w:sz w:val="24"/>
        </w:rPr>
        <w:t>的委托，就</w:t>
      </w:r>
      <w:r>
        <w:rPr>
          <w:rFonts w:hint="eastAsia" w:ascii="宋体" w:hAnsi="宋体"/>
          <w:sz w:val="24"/>
          <w:u w:val="single"/>
        </w:rPr>
        <w:t>浙江巨化股份有限公司电化厂（含巨塑、聚荟公司）2025-2027年部分产品及原材料包装搬运装卸劳务外包项目</w:t>
      </w:r>
      <w:r>
        <w:rPr>
          <w:rFonts w:hint="eastAsia" w:ascii="宋体" w:hAnsi="宋体"/>
          <w:sz w:val="24"/>
        </w:rPr>
        <w:t>进行公开招标，本次招标采用资格后审的方法确定合格投标人，潜在投标人应在</w:t>
      </w:r>
      <w:r>
        <w:rPr>
          <w:rFonts w:hint="eastAsia" w:ascii="宋体" w:hAnsi="宋体"/>
          <w:sz w:val="24"/>
          <w:u w:val="single"/>
        </w:rPr>
        <w:t>化工云商网（巨化数字化招采平台）https://juhua.ccccnet.com/</w:t>
      </w:r>
      <w:r>
        <w:rPr>
          <w:rFonts w:hint="eastAsia" w:ascii="宋体" w:hAnsi="宋体"/>
          <w:sz w:val="24"/>
        </w:rPr>
        <w:t>获取（下载）招标文件，并于</w:t>
      </w:r>
      <w:r>
        <w:rPr>
          <w:rFonts w:hint="eastAsia" w:ascii="宋体" w:hAnsi="宋体"/>
          <w:sz w:val="24"/>
          <w:u w:val="single"/>
        </w:rPr>
        <w:t>2025年</w:t>
      </w:r>
      <w:r>
        <w:rPr>
          <w:rFonts w:hint="eastAsia" w:ascii="宋体" w:hAnsi="宋体"/>
          <w:sz w:val="24"/>
          <w:u w:val="single"/>
          <w:lang w:val="en-US" w:eastAsia="zh-CN"/>
        </w:rPr>
        <w:t>5</w:t>
      </w:r>
      <w:r>
        <w:rPr>
          <w:rFonts w:hint="eastAsia" w:ascii="宋体" w:hAnsi="宋体"/>
          <w:sz w:val="24"/>
          <w:u w:val="single"/>
        </w:rPr>
        <w:t>月</w:t>
      </w:r>
      <w:r>
        <w:rPr>
          <w:rFonts w:hint="eastAsia" w:ascii="宋体" w:hAnsi="宋体"/>
          <w:sz w:val="24"/>
          <w:u w:val="single"/>
          <w:lang w:val="en-US" w:eastAsia="zh-CN"/>
        </w:rPr>
        <w:t>21</w:t>
      </w:r>
      <w:r>
        <w:rPr>
          <w:rFonts w:hint="eastAsia" w:ascii="宋体" w:hAnsi="宋体"/>
          <w:sz w:val="24"/>
          <w:u w:val="single"/>
        </w:rPr>
        <w:t>日</w:t>
      </w:r>
      <w:r>
        <w:rPr>
          <w:rFonts w:hint="eastAsia" w:ascii="宋体" w:hAnsi="宋体"/>
          <w:sz w:val="24"/>
          <w:u w:val="single"/>
          <w:lang w:val="en-US" w:eastAsia="zh-CN"/>
        </w:rPr>
        <w:t>14</w:t>
      </w:r>
      <w:r>
        <w:rPr>
          <w:rFonts w:hint="eastAsia" w:ascii="宋体" w:hAnsi="宋体"/>
          <w:sz w:val="24"/>
          <w:u w:val="single"/>
        </w:rPr>
        <w:t>时00分</w:t>
      </w:r>
      <w:r>
        <w:rPr>
          <w:rFonts w:hint="eastAsia" w:ascii="宋体" w:hAnsi="宋体"/>
          <w:bCs/>
          <w:sz w:val="24"/>
          <w:u w:val="single"/>
        </w:rPr>
        <w:t>（北京时间）</w:t>
      </w:r>
      <w:r>
        <w:rPr>
          <w:rFonts w:hint="eastAsia" w:ascii="宋体" w:hAnsi="宋体"/>
          <w:bCs/>
          <w:sz w:val="24"/>
        </w:rPr>
        <w:t>前递交（上传）投标</w:t>
      </w:r>
      <w:r>
        <w:rPr>
          <w:rFonts w:ascii="宋体" w:hAnsi="宋体"/>
          <w:bCs/>
          <w:sz w:val="24"/>
        </w:rPr>
        <w:t>文件</w:t>
      </w:r>
      <w:r>
        <w:rPr>
          <w:rFonts w:hint="eastAsia" w:ascii="宋体" w:hAnsi="宋体"/>
          <w:sz w:val="24"/>
        </w:rPr>
        <w:t>。本项目是非政府采购项目。</w:t>
      </w:r>
    </w:p>
    <w:p w14:paraId="6FAC3DA5">
      <w:pPr>
        <w:snapToGrid w:val="0"/>
        <w:spacing w:line="440" w:lineRule="exact"/>
        <w:ind w:firstLine="241" w:firstLineChars="100"/>
        <w:rPr>
          <w:rFonts w:ascii="宋体" w:hAnsi="宋体" w:cs="宋体"/>
          <w:sz w:val="24"/>
        </w:rPr>
      </w:pPr>
      <w:r>
        <w:rPr>
          <w:rFonts w:hint="eastAsia" w:ascii="宋体" w:hAnsi="宋体" w:cs="宋体"/>
          <w:b/>
          <w:bCs/>
          <w:sz w:val="24"/>
        </w:rPr>
        <w:t>一、招标编号：</w:t>
      </w:r>
      <w:r>
        <w:rPr>
          <w:rFonts w:hint="eastAsia" w:ascii="宋体" w:hAnsi="宋体" w:cs="宋体"/>
          <w:sz w:val="24"/>
        </w:rPr>
        <w:t>NFZB-20250435</w:t>
      </w:r>
    </w:p>
    <w:p w14:paraId="10A846C8">
      <w:pPr>
        <w:pStyle w:val="40"/>
        <w:numPr>
          <w:ilvl w:val="0"/>
          <w:numId w:val="0"/>
        </w:numPr>
        <w:overflowPunct w:val="0"/>
        <w:spacing w:before="240" w:after="120" w:line="440" w:lineRule="exact"/>
        <w:ind w:firstLine="240" w:firstLineChars="100"/>
        <w:rPr>
          <w:rFonts w:ascii="宋体" w:hAnsi="宋体" w:eastAsia="宋体" w:cs="宋体"/>
          <w:sz w:val="24"/>
        </w:rPr>
      </w:pPr>
      <w:r>
        <w:rPr>
          <w:rFonts w:hint="eastAsia" w:ascii="宋体" w:hAnsi="宋体" w:cs="宋体"/>
          <w:sz w:val="24"/>
        </w:rPr>
        <w:t>二、</w:t>
      </w:r>
      <w:r>
        <w:rPr>
          <w:rFonts w:hint="eastAsia" w:ascii="宋体" w:hAnsi="宋体" w:eastAsia="宋体"/>
          <w:b/>
          <w:bCs/>
          <w:kern w:val="2"/>
          <w:sz w:val="24"/>
          <w:szCs w:val="24"/>
        </w:rPr>
        <w:t>项目概况与招标范围</w:t>
      </w:r>
    </w:p>
    <w:p w14:paraId="48FF5918">
      <w:pPr>
        <w:snapToGrid w:val="0"/>
        <w:spacing w:line="440" w:lineRule="exact"/>
        <w:ind w:firstLine="417" w:firstLineChars="177"/>
        <w:rPr>
          <w:rFonts w:ascii="宋体" w:hAnsi="宋体" w:cs="宋体"/>
          <w:sz w:val="24"/>
        </w:rPr>
      </w:pPr>
      <w:r>
        <w:rPr>
          <w:rFonts w:hint="eastAsia" w:ascii="宋体" w:hAnsi="宋体" w:cs="宋体"/>
          <w:spacing w:val="-2"/>
          <w:sz w:val="24"/>
        </w:rPr>
        <w:t>（1）</w:t>
      </w:r>
      <w:r>
        <w:rPr>
          <w:rFonts w:ascii="宋体" w:hAnsi="宋体" w:cs="宋体"/>
          <w:spacing w:val="-2"/>
          <w:sz w:val="24"/>
        </w:rPr>
        <w:t>本次招标</w:t>
      </w:r>
      <w:r>
        <w:rPr>
          <w:rFonts w:hint="eastAsia" w:ascii="宋体" w:hAnsi="宋体"/>
          <w:sz w:val="24"/>
          <w:u w:val="single"/>
        </w:rPr>
        <w:t>浙江巨化股份有限公司电化厂（含巨塑、聚荟公司）2025-2027年部分产品及原材料包装搬运装卸劳务外包项目</w:t>
      </w:r>
    </w:p>
    <w:p w14:paraId="5C297111">
      <w:pPr>
        <w:snapToGrid w:val="0"/>
        <w:spacing w:line="440" w:lineRule="exact"/>
        <w:ind w:firstLine="424" w:firstLineChars="177"/>
        <w:rPr>
          <w:rFonts w:ascii="宋体" w:hAnsi="宋体" w:cs="宋体"/>
          <w:sz w:val="24"/>
        </w:rPr>
      </w:pPr>
      <w:r>
        <w:rPr>
          <w:rFonts w:hint="eastAsia" w:ascii="宋体" w:hAnsi="宋体" w:cs="宋体"/>
          <w:sz w:val="24"/>
        </w:rPr>
        <w:t>（2）服务期：合同签订之日起至2027年5月底止。</w:t>
      </w:r>
    </w:p>
    <w:p w14:paraId="571D5BA0">
      <w:pPr>
        <w:snapToGrid w:val="0"/>
        <w:spacing w:line="360" w:lineRule="auto"/>
        <w:ind w:firstLine="480" w:firstLineChars="200"/>
        <w:rPr>
          <w:rFonts w:ascii="宋体" w:hAnsi="宋体" w:cs="宋体"/>
          <w:sz w:val="24"/>
          <w:lang w:val="zh-CN"/>
        </w:rPr>
      </w:pPr>
      <w:r>
        <w:rPr>
          <w:rFonts w:hint="eastAsia" w:ascii="宋体" w:hAnsi="宋体" w:cs="宋体"/>
          <w:sz w:val="24"/>
        </w:rPr>
        <w:t>（3）本次招标</w:t>
      </w:r>
      <w:r>
        <w:rPr>
          <w:rFonts w:hint="eastAsia" w:ascii="宋体" w:hAnsi="宋体" w:cs="宋体"/>
          <w:sz w:val="24"/>
          <w:lang w:val="zh-CN"/>
        </w:rPr>
        <w:t>将分为</w:t>
      </w:r>
      <w:r>
        <w:rPr>
          <w:rFonts w:hint="eastAsia" w:ascii="宋体" w:hAnsi="宋体" w:cs="宋体"/>
          <w:sz w:val="24"/>
        </w:rPr>
        <w:t>二</w:t>
      </w:r>
      <w:r>
        <w:rPr>
          <w:rFonts w:hint="eastAsia" w:ascii="宋体" w:hAnsi="宋体" w:cs="宋体"/>
          <w:sz w:val="24"/>
          <w:lang w:val="zh-CN"/>
        </w:rPr>
        <w:t>个标段进行</w:t>
      </w:r>
      <w:r>
        <w:rPr>
          <w:rFonts w:hint="eastAsia" w:ascii="宋体" w:hAnsi="宋体" w:cs="宋体"/>
          <w:sz w:val="24"/>
        </w:rPr>
        <w:t>招标</w:t>
      </w:r>
      <w:r>
        <w:rPr>
          <w:rFonts w:hint="eastAsia" w:ascii="宋体" w:hAnsi="宋体" w:cs="宋体"/>
          <w:sz w:val="24"/>
          <w:lang w:val="zh-CN"/>
        </w:rPr>
        <w:t>。</w:t>
      </w:r>
    </w:p>
    <w:p w14:paraId="649297D8">
      <w:pPr>
        <w:snapToGrid w:val="0"/>
        <w:spacing w:line="360" w:lineRule="auto"/>
        <w:ind w:firstLine="480" w:firstLineChars="200"/>
        <w:rPr>
          <w:rFonts w:ascii="宋体" w:hAnsi="宋体" w:cs="宋体"/>
          <w:sz w:val="24"/>
          <w:lang w:val="zh-CN"/>
        </w:rPr>
      </w:pPr>
      <w:r>
        <w:rPr>
          <w:rFonts w:hint="eastAsia" w:ascii="宋体" w:hAnsi="宋体" w:cs="宋体"/>
          <w:sz w:val="24"/>
          <w:lang w:val="zh-CN"/>
        </w:rPr>
        <w:t xml:space="preserve">标段一 </w:t>
      </w:r>
      <w:r>
        <w:rPr>
          <w:rFonts w:ascii="宋体" w:hAnsi="宋体" w:cs="宋体"/>
          <w:sz w:val="24"/>
        </w:rPr>
        <w:t>“</w:t>
      </w:r>
      <w:r>
        <w:rPr>
          <w:rFonts w:hint="eastAsia" w:ascii="宋体" w:hAnsi="宋体" w:cs="宋体"/>
          <w:sz w:val="24"/>
        </w:rPr>
        <w:t>部分产品包装搬运装卸项目</w:t>
      </w:r>
      <w:r>
        <w:rPr>
          <w:rFonts w:ascii="宋体" w:hAnsi="宋体" w:cs="宋体"/>
          <w:sz w:val="24"/>
        </w:rPr>
        <w:t>”</w:t>
      </w:r>
      <w:r>
        <w:rPr>
          <w:rFonts w:hint="eastAsia" w:ascii="宋体" w:hAnsi="宋体" w:cs="宋体"/>
          <w:sz w:val="24"/>
          <w:lang w:val="zh-CN"/>
        </w:rPr>
        <w:t>。</w:t>
      </w:r>
      <w:r>
        <w:rPr>
          <w:rFonts w:hint="eastAsia" w:ascii="宋体" w:hAnsi="宋体" w:cs="宋体"/>
          <w:sz w:val="24"/>
        </w:rPr>
        <w:t>浙江巨化股份有限公司电化厂（含巨塑、聚荟公司）2025-2027年部分产品包装搬运装卸劳务外包项目</w:t>
      </w:r>
      <w:r>
        <w:rPr>
          <w:rFonts w:hint="eastAsia" w:ascii="宋体" w:hAnsi="宋体" w:cs="宋体"/>
          <w:sz w:val="24"/>
          <w:lang w:val="zh-CN"/>
        </w:rPr>
        <w:t>，</w:t>
      </w:r>
      <w:r>
        <w:rPr>
          <w:rFonts w:hint="eastAsia" w:ascii="宋体" w:hAnsi="宋体" w:cs="宋体"/>
          <w:color w:val="000000"/>
          <w:sz w:val="24"/>
        </w:rPr>
        <w:t>乙方负责完成甲方以下项目：PVDC、PVDF产品造粒、包装、入库、短驳、转运、发货；142b、143a生产过程中产生的副产物的包装、装卸、搬运；火车皮篷布装卸、折叠、清理铁路沿线及盐斗区域铁丝、绳头等垃圾；电石卸车、破碎、清灰；乙炔发生器排渣清理；化工辅料装卸搬运；回收包装桶清洗；其他相关项目，工完场清。</w:t>
      </w:r>
      <w:r>
        <w:rPr>
          <w:rFonts w:hint="eastAsia" w:ascii="宋体" w:hAnsi="宋体" w:cs="宋体"/>
          <w:sz w:val="24"/>
          <w:lang w:val="zh-CN"/>
        </w:rPr>
        <w:t>。预估价为</w:t>
      </w:r>
      <w:r>
        <w:rPr>
          <w:rFonts w:hint="eastAsia" w:ascii="宋体" w:hAnsi="宋体" w:cs="宋体"/>
          <w:sz w:val="24"/>
        </w:rPr>
        <w:t>11</w:t>
      </w:r>
      <w:r>
        <w:rPr>
          <w:rFonts w:hint="eastAsia" w:ascii="宋体" w:hAnsi="宋体" w:cs="宋体"/>
          <w:sz w:val="24"/>
          <w:lang w:val="zh-CN"/>
        </w:rPr>
        <w:t>00万元/年。</w:t>
      </w:r>
    </w:p>
    <w:p w14:paraId="34D2CCB4">
      <w:pPr>
        <w:snapToGrid w:val="0"/>
        <w:spacing w:line="360" w:lineRule="auto"/>
        <w:ind w:firstLine="480" w:firstLineChars="200"/>
        <w:rPr>
          <w:rFonts w:ascii="宋体" w:hAnsi="宋体" w:cs="宋体"/>
          <w:color w:val="000000"/>
          <w:sz w:val="24"/>
          <w:lang w:val="zh-CN"/>
        </w:rPr>
      </w:pPr>
      <w:r>
        <w:rPr>
          <w:rFonts w:hint="eastAsia" w:ascii="宋体" w:hAnsi="宋体" w:cs="宋体"/>
          <w:sz w:val="24"/>
          <w:lang w:val="zh-CN"/>
        </w:rPr>
        <w:t xml:space="preserve">标段二 </w:t>
      </w:r>
      <w:r>
        <w:rPr>
          <w:rFonts w:ascii="宋体" w:hAnsi="宋体" w:cs="宋体"/>
          <w:sz w:val="24"/>
        </w:rPr>
        <w:t>“</w:t>
      </w:r>
      <w:r>
        <w:rPr>
          <w:rFonts w:hint="eastAsia" w:ascii="宋体" w:hAnsi="宋体" w:cs="宋体"/>
          <w:sz w:val="24"/>
        </w:rPr>
        <w:t>卸盐化盐项目</w:t>
      </w:r>
      <w:r>
        <w:rPr>
          <w:rFonts w:ascii="宋体" w:hAnsi="宋体" w:cs="宋体"/>
          <w:sz w:val="24"/>
        </w:rPr>
        <w:t>”</w:t>
      </w:r>
      <w:r>
        <w:rPr>
          <w:rFonts w:hint="eastAsia" w:ascii="宋体" w:hAnsi="宋体" w:cs="宋体"/>
          <w:sz w:val="24"/>
          <w:lang w:val="zh-CN"/>
        </w:rPr>
        <w:t>。</w:t>
      </w:r>
      <w:r>
        <w:rPr>
          <w:rFonts w:hint="eastAsia" w:ascii="宋体" w:hAnsi="宋体" w:cs="宋体"/>
          <w:color w:val="000000"/>
          <w:sz w:val="24"/>
        </w:rPr>
        <w:t>浙江巨化股份有限公司电化厂2025-2027年卸盐化盐劳务外包项目</w:t>
      </w:r>
      <w:r>
        <w:rPr>
          <w:rFonts w:hint="eastAsia" w:ascii="宋体" w:hAnsi="宋体" w:cs="宋体"/>
          <w:color w:val="000000"/>
          <w:sz w:val="24"/>
          <w:lang w:val="zh-CN"/>
        </w:rPr>
        <w:t>。</w:t>
      </w:r>
      <w:r>
        <w:rPr>
          <w:rFonts w:hint="eastAsia" w:ascii="宋体" w:hAnsi="宋体" w:cs="宋体"/>
          <w:color w:val="000000"/>
          <w:sz w:val="24"/>
        </w:rPr>
        <w:t>乙方</w:t>
      </w:r>
      <w:r>
        <w:rPr>
          <w:rFonts w:hint="eastAsia" w:ascii="宋体" w:hAnsi="宋体" w:cs="宋体"/>
          <w:color w:val="000000"/>
          <w:sz w:val="24"/>
          <w:lang w:val="zh-CN"/>
        </w:rPr>
        <w:t>负责完成甲方</w:t>
      </w:r>
      <w:r>
        <w:rPr>
          <w:rFonts w:hint="eastAsia" w:ascii="宋体" w:hAnsi="宋体" w:cs="宋体"/>
          <w:color w:val="000000"/>
          <w:sz w:val="24"/>
        </w:rPr>
        <w:t>3#4#盐仓卸盐、挖盐、转运、盐斗上盐；2#盐仓挖盐、转运；一次盐水装置皮带机上盐、化盐、垃圾清理；氯化钡、氯化镁到货卸车、溶液配制、废袋装车、配制池清理；其他相关项目。</w:t>
      </w:r>
      <w:r>
        <w:rPr>
          <w:rFonts w:hint="eastAsia" w:ascii="宋体" w:hAnsi="宋体" w:cs="宋体"/>
          <w:color w:val="000000"/>
          <w:sz w:val="24"/>
          <w:lang w:val="zh-CN"/>
        </w:rPr>
        <w:t>。预估价为</w:t>
      </w:r>
      <w:r>
        <w:rPr>
          <w:rFonts w:hint="eastAsia" w:ascii="宋体" w:hAnsi="宋体" w:cs="宋体"/>
          <w:color w:val="000000"/>
          <w:sz w:val="24"/>
        </w:rPr>
        <w:t>44</w:t>
      </w:r>
      <w:r>
        <w:rPr>
          <w:rFonts w:hint="eastAsia" w:ascii="宋体" w:hAnsi="宋体" w:cs="宋体"/>
          <w:color w:val="000000"/>
          <w:sz w:val="24"/>
          <w:lang w:val="zh-CN"/>
        </w:rPr>
        <w:t>0万元/年。</w:t>
      </w:r>
    </w:p>
    <w:p w14:paraId="3C17105E">
      <w:pPr>
        <w:snapToGrid w:val="0"/>
        <w:spacing w:line="360" w:lineRule="auto"/>
        <w:ind w:firstLine="480" w:firstLineChars="200"/>
      </w:pPr>
      <w:r>
        <w:rPr>
          <w:rFonts w:hint="eastAsia" w:ascii="宋体" w:hAnsi="宋体" w:cs="宋体"/>
          <w:sz w:val="24"/>
          <w:lang w:val="zh-CN"/>
        </w:rPr>
        <w:t>投标人可以选择投标其中一个标项，也可以选择投标</w:t>
      </w:r>
      <w:r>
        <w:rPr>
          <w:rFonts w:hint="eastAsia" w:ascii="宋体" w:hAnsi="宋体" w:cs="宋体"/>
          <w:sz w:val="24"/>
        </w:rPr>
        <w:t>二</w:t>
      </w:r>
      <w:r>
        <w:rPr>
          <w:rFonts w:hint="eastAsia" w:ascii="宋体" w:hAnsi="宋体" w:cs="宋体"/>
          <w:sz w:val="24"/>
          <w:lang w:val="zh-CN"/>
        </w:rPr>
        <w:t>个标项，每一个标段招募</w:t>
      </w:r>
      <w:r>
        <w:rPr>
          <w:rFonts w:hint="eastAsia" w:ascii="宋体" w:hAnsi="宋体" w:cs="宋体"/>
          <w:sz w:val="24"/>
        </w:rPr>
        <w:t>两</w:t>
      </w:r>
      <w:r>
        <w:rPr>
          <w:rFonts w:hint="eastAsia" w:ascii="宋体" w:hAnsi="宋体" w:cs="宋体"/>
          <w:sz w:val="24"/>
          <w:lang w:val="zh-CN"/>
        </w:rPr>
        <w:t>家合作单位。</w:t>
      </w:r>
    </w:p>
    <w:p w14:paraId="593E2AEF">
      <w:pPr>
        <w:adjustRightInd w:val="0"/>
        <w:snapToGrid w:val="0"/>
        <w:spacing w:line="440" w:lineRule="exact"/>
        <w:ind w:firstLine="120" w:firstLineChars="50"/>
        <w:jc w:val="left"/>
        <w:rPr>
          <w:rFonts w:ascii="宋体" w:hAnsi="宋体" w:cs="宋体"/>
          <w:b/>
          <w:bCs/>
          <w:sz w:val="24"/>
        </w:rPr>
      </w:pPr>
      <w:r>
        <w:rPr>
          <w:rFonts w:hint="eastAsia" w:ascii="宋体" w:hAnsi="宋体" w:cs="宋体"/>
          <w:b/>
          <w:bCs/>
          <w:sz w:val="24"/>
        </w:rPr>
        <w:t>*三、投标人资格要求</w:t>
      </w:r>
    </w:p>
    <w:p w14:paraId="6C6020C0">
      <w:pPr>
        <w:snapToGrid w:val="0"/>
        <w:spacing w:line="440" w:lineRule="exact"/>
        <w:ind w:firstLine="424" w:firstLineChars="177"/>
        <w:rPr>
          <w:rFonts w:ascii="宋体" w:hAnsi="宋体" w:cs="宋体"/>
          <w:sz w:val="24"/>
        </w:rPr>
      </w:pPr>
      <w:r>
        <w:rPr>
          <w:rFonts w:hint="eastAsia" w:ascii="宋体" w:hAnsi="宋体" w:cs="宋体"/>
          <w:sz w:val="24"/>
        </w:rPr>
        <w:t>（一）基本资格条件：</w:t>
      </w:r>
    </w:p>
    <w:p w14:paraId="28900DB6">
      <w:pPr>
        <w:snapToGrid w:val="0"/>
        <w:spacing w:line="440" w:lineRule="exact"/>
        <w:ind w:firstLine="480" w:firstLineChars="200"/>
        <w:jc w:val="left"/>
        <w:rPr>
          <w:rFonts w:ascii="宋体" w:cs="宋体"/>
          <w:sz w:val="24"/>
        </w:rPr>
      </w:pPr>
      <w:r>
        <w:rPr>
          <w:rFonts w:hint="eastAsia" w:ascii="宋体" w:cs="宋体"/>
          <w:sz w:val="24"/>
        </w:rPr>
        <w:t>（1）投标人具备独立承担民事责任的能力，未被巨化集团禁止参加采购活动。</w:t>
      </w:r>
    </w:p>
    <w:p w14:paraId="352E80FD">
      <w:pPr>
        <w:snapToGrid w:val="0"/>
        <w:spacing w:line="440" w:lineRule="exact"/>
        <w:ind w:firstLine="480" w:firstLineChars="200"/>
        <w:jc w:val="left"/>
        <w:rPr>
          <w:rFonts w:ascii="宋体" w:cs="宋体"/>
          <w:sz w:val="24"/>
        </w:rPr>
      </w:pPr>
      <w:r>
        <w:rPr>
          <w:rFonts w:hint="eastAsia" w:ascii="宋体" w:cs="宋体"/>
          <w:sz w:val="24"/>
        </w:rPr>
        <w:t>（2）投标人未被“信用中国”（www.creditchina.gov.cn)列入失信被执行人、重大税收违法案件当事人名单。</w:t>
      </w:r>
    </w:p>
    <w:p w14:paraId="0F129475">
      <w:pPr>
        <w:snapToGrid w:val="0"/>
        <w:spacing w:line="440" w:lineRule="exact"/>
        <w:ind w:firstLine="424" w:firstLineChars="177"/>
        <w:rPr>
          <w:rFonts w:ascii="宋体" w:hAnsi="宋体" w:cs="宋体"/>
          <w:sz w:val="24"/>
        </w:rPr>
      </w:pPr>
      <w:r>
        <w:rPr>
          <w:rFonts w:hint="eastAsia" w:ascii="宋体" w:hAnsi="宋体" w:cs="宋体"/>
          <w:sz w:val="24"/>
        </w:rPr>
        <w:t>（3）具有良好的商业信誉和健全的财务会计制度；</w:t>
      </w:r>
    </w:p>
    <w:p w14:paraId="34730E50">
      <w:pPr>
        <w:snapToGrid w:val="0"/>
        <w:spacing w:line="440" w:lineRule="exact"/>
        <w:ind w:firstLine="424" w:firstLineChars="177"/>
        <w:rPr>
          <w:rFonts w:ascii="宋体" w:hAnsi="宋体" w:cs="宋体"/>
          <w:sz w:val="24"/>
        </w:rPr>
      </w:pPr>
      <w:r>
        <w:rPr>
          <w:rFonts w:hint="eastAsia" w:ascii="宋体" w:hAnsi="宋体" w:cs="宋体"/>
          <w:sz w:val="24"/>
        </w:rPr>
        <w:t>（4）具有履行合同所必需的资质和专业技术能力；</w:t>
      </w:r>
    </w:p>
    <w:p w14:paraId="30F04344">
      <w:pPr>
        <w:snapToGrid w:val="0"/>
        <w:spacing w:line="440" w:lineRule="exact"/>
        <w:ind w:firstLine="424" w:firstLineChars="177"/>
        <w:rPr>
          <w:rFonts w:ascii="宋体" w:hAnsi="宋体" w:cs="宋体"/>
          <w:sz w:val="24"/>
        </w:rPr>
      </w:pPr>
      <w:r>
        <w:rPr>
          <w:rFonts w:hint="eastAsia" w:ascii="宋体" w:hAnsi="宋体" w:cs="宋体"/>
          <w:sz w:val="24"/>
        </w:rPr>
        <w:t>（5）有依法缴纳税收和社会保障资金的良好记录；</w:t>
      </w:r>
    </w:p>
    <w:p w14:paraId="01AEC15D">
      <w:pPr>
        <w:snapToGrid w:val="0"/>
        <w:spacing w:line="440" w:lineRule="exact"/>
        <w:ind w:firstLine="424" w:firstLineChars="177"/>
        <w:rPr>
          <w:rFonts w:ascii="宋体" w:hAnsi="宋体" w:cs="宋体"/>
          <w:sz w:val="24"/>
        </w:rPr>
      </w:pPr>
      <w:r>
        <w:rPr>
          <w:rFonts w:hint="eastAsia" w:ascii="宋体" w:hAnsi="宋体" w:cs="宋体"/>
          <w:sz w:val="24"/>
        </w:rPr>
        <w:t>（6）法律、行政法规规定的其他条件。</w:t>
      </w:r>
    </w:p>
    <w:p w14:paraId="7B80814E">
      <w:pPr>
        <w:snapToGrid w:val="0"/>
        <w:spacing w:line="440" w:lineRule="exact"/>
        <w:ind w:firstLine="480" w:firstLineChars="200"/>
        <w:jc w:val="left"/>
        <w:rPr>
          <w:rFonts w:ascii="宋体" w:cs="宋体"/>
          <w:sz w:val="24"/>
        </w:rPr>
      </w:pPr>
      <w:r>
        <w:rPr>
          <w:rFonts w:hint="eastAsia" w:ascii="宋体" w:cs="宋体"/>
          <w:sz w:val="24"/>
        </w:rPr>
        <w:t>（7）单位负责人为同一人或者存在控股、管理关系的不同单位，存在关联关系的不同单位，不得参加同一标项投标。</w:t>
      </w:r>
    </w:p>
    <w:p w14:paraId="7E49E69B">
      <w:pPr>
        <w:snapToGrid w:val="0"/>
        <w:spacing w:line="440" w:lineRule="exact"/>
        <w:ind w:firstLine="424" w:firstLineChars="177"/>
        <w:rPr>
          <w:rFonts w:ascii="宋体" w:hAnsi="宋体" w:cs="宋体"/>
          <w:sz w:val="24"/>
        </w:rPr>
      </w:pPr>
      <w:r>
        <w:rPr>
          <w:rFonts w:hint="eastAsia" w:ascii="宋体" w:hAnsi="宋体" w:cs="宋体"/>
          <w:sz w:val="24"/>
        </w:rPr>
        <w:t xml:space="preserve">（二）特定条件（投标文件中提供证明材料）： </w:t>
      </w:r>
    </w:p>
    <w:p w14:paraId="787D11AC">
      <w:pPr>
        <w:snapToGrid w:val="0"/>
        <w:spacing w:line="440" w:lineRule="exact"/>
        <w:ind w:firstLine="424" w:firstLineChars="177"/>
        <w:rPr>
          <w:rFonts w:ascii="宋体" w:hAnsi="宋体" w:cs="宋体"/>
          <w:sz w:val="24"/>
        </w:rPr>
      </w:pPr>
      <w:r>
        <w:rPr>
          <w:rFonts w:hint="eastAsia" w:ascii="宋体" w:hAnsi="宋体" w:cs="宋体"/>
          <w:sz w:val="24"/>
        </w:rPr>
        <w:t>（1）具备工商行政主管部门核发的劳务等相应资质，并具有独立法人资格。</w:t>
      </w:r>
    </w:p>
    <w:p w14:paraId="54D73470">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）在巨化集团内无不良行为记录。</w:t>
      </w:r>
    </w:p>
    <w:p w14:paraId="66F8A3F6">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）近三年内未发生重大及以上伤亡事故。</w:t>
      </w:r>
    </w:p>
    <w:p w14:paraId="7A88F4AE">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）近三年内未发生三人及以上群体劳务纠纷。</w:t>
      </w:r>
    </w:p>
    <w:p w14:paraId="5600EEA2">
      <w:pPr>
        <w:snapToGrid w:val="0"/>
        <w:spacing w:line="440" w:lineRule="exact"/>
        <w:ind w:firstLine="424" w:firstLineChars="177"/>
        <w:rPr>
          <w:rFonts w:ascii="宋体" w:hAnsi="宋体" w:cs="宋体"/>
          <w:sz w:val="24"/>
        </w:rPr>
      </w:pPr>
      <w:r>
        <w:rPr>
          <w:rFonts w:hint="eastAsia" w:ascii="宋体" w:hAnsi="宋体" w:cs="宋体"/>
          <w:sz w:val="24"/>
        </w:rPr>
        <w:t>（三）本项目不允许联合体投标。</w:t>
      </w:r>
    </w:p>
    <w:p w14:paraId="445E0B56">
      <w:pPr>
        <w:snapToGrid w:val="0"/>
        <w:spacing w:line="440" w:lineRule="exact"/>
        <w:ind w:firstLine="426" w:firstLineChars="177"/>
        <w:rPr>
          <w:rFonts w:ascii="宋体" w:hAnsi="宋体" w:cs="宋体"/>
          <w:b/>
          <w:bCs/>
          <w:sz w:val="24"/>
        </w:rPr>
      </w:pPr>
      <w:r>
        <w:rPr>
          <w:rFonts w:hint="eastAsia" w:ascii="宋体" w:hAnsi="宋体" w:cs="宋体"/>
          <w:b/>
          <w:bCs/>
          <w:sz w:val="24"/>
        </w:rPr>
        <w:t>四、获取招标文件：</w:t>
      </w:r>
    </w:p>
    <w:p w14:paraId="5E269B61">
      <w:pPr>
        <w:snapToGrid w:val="0"/>
        <w:spacing w:line="440" w:lineRule="exact"/>
        <w:ind w:firstLine="424" w:firstLineChars="177"/>
        <w:rPr>
          <w:rFonts w:ascii="宋体" w:hAnsi="宋体" w:cs="宋体"/>
          <w:sz w:val="24"/>
        </w:rPr>
      </w:pPr>
      <w:r>
        <w:rPr>
          <w:rFonts w:hint="eastAsia" w:ascii="宋体" w:hAnsi="宋体" w:cs="宋体"/>
          <w:sz w:val="24"/>
        </w:rPr>
        <w:t>1.时间：自本公告发布之日起至投标截止时间。</w:t>
      </w:r>
    </w:p>
    <w:p w14:paraId="7E0B87D8">
      <w:pPr>
        <w:snapToGrid w:val="0"/>
        <w:spacing w:line="440" w:lineRule="exact"/>
        <w:ind w:firstLine="424" w:firstLineChars="177"/>
        <w:rPr>
          <w:rFonts w:ascii="宋体" w:hAnsi="宋体" w:cs="宋体"/>
          <w:sz w:val="24"/>
        </w:rPr>
      </w:pPr>
      <w:r>
        <w:rPr>
          <w:rFonts w:hint="eastAsia" w:ascii="宋体" w:hAnsi="宋体" w:cs="宋体"/>
          <w:sz w:val="24"/>
        </w:rPr>
        <w:t>1.在巨化数字化招采平台（juhua.ccccnet.com）“招标项目信息”栏的本项目招标公告附件中查看。</w:t>
      </w:r>
    </w:p>
    <w:p w14:paraId="4D629AE2">
      <w:pPr>
        <w:snapToGrid w:val="0"/>
        <w:spacing w:line="440" w:lineRule="exact"/>
        <w:ind w:firstLine="424" w:firstLineChars="177"/>
        <w:rPr>
          <w:rFonts w:ascii="宋体" w:hAnsi="宋体" w:cs="宋体"/>
          <w:sz w:val="24"/>
        </w:rPr>
      </w:pPr>
      <w:r>
        <w:rPr>
          <w:rFonts w:hint="eastAsia" w:ascii="宋体" w:hAnsi="宋体" w:cs="宋体"/>
          <w:sz w:val="24"/>
        </w:rPr>
        <w:t>3.如有意向参加投标，投标人需在巨化数字化招采平台注册、登录并报名。报名方式：登录巨化数字化招采平台后选择“供应商门户”-“招标公告”选择本项目招标公告的“查看”，在 “②投标”选择“公开报名”-“报名”。递交电子投标文件前还需申领“CA专用数字证书（天谷）”，投标人应充分考虑完成注册、申领数字证书等所需的时间。注册、投标等相关操作方法详见“电子投标供应商操作手册”，获取方式：巨化数字化招采平台首页-“下载中心”-“供应商操作手册（招标）”。</w:t>
      </w:r>
    </w:p>
    <w:p w14:paraId="40E2C189">
      <w:pPr>
        <w:snapToGrid w:val="0"/>
        <w:spacing w:line="440" w:lineRule="exact"/>
        <w:ind w:firstLine="424" w:firstLineChars="177"/>
        <w:rPr>
          <w:rFonts w:ascii="宋体" w:hAnsi="宋体" w:cs="宋体"/>
          <w:sz w:val="24"/>
        </w:rPr>
      </w:pPr>
      <w:r>
        <w:rPr>
          <w:rFonts w:hint="eastAsia" w:ascii="宋体" w:hAnsi="宋体" w:cs="宋体"/>
          <w:sz w:val="24"/>
        </w:rPr>
        <w:t>4.招标文件价格：500元人民币，售后不退。</w:t>
      </w:r>
    </w:p>
    <w:p w14:paraId="1812C223">
      <w:pPr>
        <w:snapToGrid w:val="0"/>
        <w:spacing w:line="440" w:lineRule="exact"/>
        <w:ind w:firstLine="424" w:firstLineChars="177"/>
      </w:pPr>
      <w:r>
        <w:rPr>
          <w:rFonts w:hint="eastAsia" w:ascii="宋体" w:hAnsi="宋体" w:cs="宋体"/>
          <w:sz w:val="24"/>
        </w:rPr>
        <w:t>5. 获取招标文件所需提交资料：有效的营业执照</w:t>
      </w:r>
    </w:p>
    <w:p w14:paraId="014C7948">
      <w:pPr>
        <w:spacing w:before="120" w:beforeLines="50" w:after="120" w:afterLines="50" w:line="440" w:lineRule="exact"/>
        <w:ind w:firstLine="482" w:firstLineChars="200"/>
        <w:rPr>
          <w:rFonts w:ascii="宋体" w:cs="宋体"/>
          <w:b/>
          <w:bCs/>
          <w:sz w:val="24"/>
        </w:rPr>
      </w:pPr>
      <w:r>
        <w:rPr>
          <w:rFonts w:hint="eastAsia" w:ascii="宋体" w:cs="宋体"/>
          <w:b/>
          <w:bCs/>
          <w:sz w:val="24"/>
        </w:rPr>
        <w:t>五、递交投标文件的截止时间、开标时间和地点</w:t>
      </w:r>
    </w:p>
    <w:p w14:paraId="5DCBE710">
      <w:pPr>
        <w:snapToGrid w:val="0"/>
        <w:spacing w:line="440" w:lineRule="exact"/>
        <w:ind w:firstLine="480" w:firstLineChars="200"/>
        <w:rPr>
          <w:rFonts w:ascii="宋体" w:cs="宋体"/>
          <w:sz w:val="24"/>
        </w:rPr>
      </w:pPr>
      <w:r>
        <w:rPr>
          <w:rFonts w:hint="eastAsia" w:ascii="宋体"/>
          <w:sz w:val="24"/>
        </w:rPr>
        <w:t>1.投标截止时间：</w:t>
      </w:r>
      <w:r>
        <w:rPr>
          <w:rFonts w:hint="eastAsia" w:ascii="宋体"/>
          <w:bCs/>
          <w:sz w:val="24"/>
          <w:u w:val="single"/>
        </w:rPr>
        <w:t xml:space="preserve">2025年5月 </w:t>
      </w:r>
      <w:r>
        <w:rPr>
          <w:rFonts w:hint="eastAsia" w:ascii="宋体"/>
          <w:bCs/>
          <w:sz w:val="24"/>
          <w:u w:val="single"/>
          <w:lang w:val="en-US" w:eastAsia="zh-CN"/>
        </w:rPr>
        <w:t>21</w:t>
      </w:r>
      <w:r>
        <w:rPr>
          <w:rFonts w:hint="eastAsia" w:ascii="宋体"/>
          <w:bCs/>
          <w:sz w:val="24"/>
          <w:u w:val="single"/>
        </w:rPr>
        <w:t xml:space="preserve"> 日</w:t>
      </w:r>
      <w:r>
        <w:rPr>
          <w:rFonts w:hint="eastAsia" w:ascii="宋体"/>
          <w:bCs/>
          <w:sz w:val="24"/>
          <w:u w:val="single"/>
          <w:lang w:val="en-US" w:eastAsia="zh-CN"/>
        </w:rPr>
        <w:t>14</w:t>
      </w:r>
      <w:r>
        <w:rPr>
          <w:rFonts w:hint="eastAsia" w:ascii="宋体"/>
          <w:bCs/>
          <w:sz w:val="24"/>
          <w:u w:val="single"/>
        </w:rPr>
        <w:t>时</w:t>
      </w:r>
      <w:r>
        <w:rPr>
          <w:rFonts w:hint="eastAsia" w:ascii="宋体"/>
          <w:bCs/>
          <w:sz w:val="24"/>
          <w:u w:val="single"/>
          <w:lang w:val="en-US" w:eastAsia="zh-CN"/>
        </w:rPr>
        <w:t>00</w:t>
      </w:r>
      <w:r>
        <w:rPr>
          <w:rFonts w:hint="eastAsia" w:ascii="宋体"/>
          <w:bCs/>
          <w:sz w:val="24"/>
          <w:u w:val="single"/>
        </w:rPr>
        <w:t>分</w:t>
      </w:r>
      <w:r>
        <w:rPr>
          <w:rFonts w:hint="eastAsia" w:ascii="宋体" w:cs="宋体"/>
          <w:sz w:val="24"/>
        </w:rPr>
        <w:t>（北京时间）</w:t>
      </w:r>
    </w:p>
    <w:p w14:paraId="766E4CAF">
      <w:pPr>
        <w:snapToGrid w:val="0"/>
        <w:spacing w:line="440" w:lineRule="exact"/>
        <w:ind w:firstLine="480" w:firstLineChars="200"/>
        <w:rPr>
          <w:rFonts w:hAnsi="宋体"/>
          <w:sz w:val="24"/>
        </w:rPr>
      </w:pPr>
      <w:r>
        <w:rPr>
          <w:rFonts w:hint="eastAsia" w:ascii="宋体" w:cs="宋体"/>
          <w:bCs/>
          <w:sz w:val="24"/>
        </w:rPr>
        <w:t>2</w:t>
      </w:r>
      <w:r>
        <w:rPr>
          <w:rFonts w:hint="eastAsia" w:ascii="宋体"/>
          <w:sz w:val="24"/>
        </w:rPr>
        <w:t>.解密签到截止时间：</w:t>
      </w:r>
      <w:r>
        <w:rPr>
          <w:rFonts w:hint="eastAsia" w:ascii="宋体"/>
          <w:bCs/>
          <w:sz w:val="24"/>
          <w:u w:val="single"/>
        </w:rPr>
        <w:t>2025年5月</w:t>
      </w:r>
      <w:r>
        <w:rPr>
          <w:rFonts w:hint="eastAsia" w:ascii="宋体"/>
          <w:bCs/>
          <w:sz w:val="24"/>
          <w:u w:val="single"/>
          <w:lang w:val="en-US" w:eastAsia="zh-CN"/>
        </w:rPr>
        <w:t>21</w:t>
      </w:r>
      <w:r>
        <w:rPr>
          <w:rFonts w:hint="eastAsia" w:ascii="宋体"/>
          <w:bCs/>
          <w:sz w:val="24"/>
          <w:u w:val="single"/>
        </w:rPr>
        <w:t xml:space="preserve"> 日</w:t>
      </w:r>
      <w:r>
        <w:rPr>
          <w:rFonts w:hint="eastAsia" w:ascii="宋体"/>
          <w:bCs/>
          <w:sz w:val="24"/>
          <w:u w:val="single"/>
          <w:lang w:val="en-US" w:eastAsia="zh-CN"/>
        </w:rPr>
        <w:t>14</w:t>
      </w:r>
      <w:r>
        <w:rPr>
          <w:rFonts w:hint="eastAsia" w:ascii="宋体"/>
          <w:bCs/>
          <w:sz w:val="24"/>
          <w:u w:val="single"/>
        </w:rPr>
        <w:t>时</w:t>
      </w:r>
      <w:r>
        <w:rPr>
          <w:rFonts w:hint="eastAsia" w:ascii="宋体"/>
          <w:bCs/>
          <w:sz w:val="24"/>
          <w:u w:val="single"/>
          <w:lang w:val="en-US" w:eastAsia="zh-CN"/>
        </w:rPr>
        <w:t>30</w:t>
      </w:r>
      <w:bookmarkStart w:id="73" w:name="_GoBack"/>
      <w:bookmarkEnd w:id="73"/>
      <w:r>
        <w:rPr>
          <w:rFonts w:hint="eastAsia" w:ascii="宋体"/>
          <w:bCs/>
          <w:sz w:val="24"/>
          <w:u w:val="single"/>
        </w:rPr>
        <w:t>分</w:t>
      </w:r>
      <w:r>
        <w:rPr>
          <w:rFonts w:hint="eastAsia" w:ascii="宋体" w:cs="宋体"/>
          <w:sz w:val="24"/>
        </w:rPr>
        <w:t>（北京时间）</w:t>
      </w:r>
    </w:p>
    <w:p w14:paraId="3778DB7B">
      <w:pPr>
        <w:spacing w:line="440" w:lineRule="exact"/>
        <w:ind w:firstLine="480" w:firstLineChars="200"/>
        <w:rPr>
          <w:rFonts w:ascii="宋体"/>
          <w:sz w:val="24"/>
        </w:rPr>
      </w:pPr>
      <w:r>
        <w:rPr>
          <w:rFonts w:hint="eastAsia" w:ascii="宋体"/>
          <w:sz w:val="24"/>
        </w:rPr>
        <w:t>3.</w:t>
      </w:r>
      <w:r>
        <w:rPr>
          <w:rFonts w:hint="eastAsia" w:ascii="宋体" w:cs="宋体"/>
          <w:bCs/>
          <w:sz w:val="24"/>
        </w:rPr>
        <w:t>投标地点：</w:t>
      </w:r>
      <w:r>
        <w:rPr>
          <w:rFonts w:hint="eastAsia" w:ascii="宋体"/>
          <w:sz w:val="24"/>
        </w:rPr>
        <w:t>巨化数字化招采平台在线递交，无需到场开标。</w:t>
      </w:r>
    </w:p>
    <w:p w14:paraId="0C58BD92">
      <w:pPr>
        <w:spacing w:before="120" w:beforeLines="50" w:after="120" w:afterLines="50" w:line="440" w:lineRule="exact"/>
        <w:ind w:firstLine="482" w:firstLineChars="200"/>
        <w:rPr>
          <w:rFonts w:ascii="宋体" w:cs="宋体"/>
          <w:b/>
          <w:bCs/>
          <w:sz w:val="24"/>
        </w:rPr>
      </w:pPr>
      <w:r>
        <w:rPr>
          <w:rFonts w:hint="eastAsia" w:ascii="宋体" w:cs="宋体"/>
          <w:b/>
          <w:bCs/>
          <w:sz w:val="24"/>
        </w:rPr>
        <w:t>六、投标方式</w:t>
      </w:r>
    </w:p>
    <w:p w14:paraId="098DDE81">
      <w:pPr>
        <w:snapToGrid w:val="0"/>
        <w:spacing w:line="440" w:lineRule="exact"/>
        <w:ind w:firstLine="480" w:firstLineChars="200"/>
        <w:rPr>
          <w:rFonts w:ascii="宋体"/>
          <w:sz w:val="24"/>
        </w:rPr>
      </w:pPr>
      <w:r>
        <w:rPr>
          <w:rFonts w:hint="eastAsia" w:ascii="宋体"/>
          <w:sz w:val="24"/>
        </w:rPr>
        <w:t>本项目采用电子招标投标方式，电子招标投标交易平台：</w:t>
      </w:r>
      <w:r>
        <w:fldChar w:fldCharType="begin"/>
      </w:r>
      <w:r>
        <w:instrText xml:space="preserve"> HYPERLINK "https://juhua.ccccnet.com/" </w:instrText>
      </w:r>
      <w:r>
        <w:fldChar w:fldCharType="separate"/>
      </w:r>
      <w:r>
        <w:rPr>
          <w:rStyle w:val="24"/>
          <w:rFonts w:hint="eastAsia" w:ascii="宋体" w:cs="宋体"/>
          <w:color w:val="auto"/>
          <w:sz w:val="24"/>
        </w:rPr>
        <w:t>巨化数字化招采平台</w:t>
      </w:r>
      <w:r>
        <w:rPr>
          <w:rStyle w:val="24"/>
          <w:rFonts w:hint="eastAsia" w:ascii="宋体" w:cs="宋体"/>
          <w:color w:val="auto"/>
          <w:sz w:val="24"/>
        </w:rPr>
        <w:fldChar w:fldCharType="end"/>
      </w:r>
      <w:r>
        <w:rPr>
          <w:rFonts w:hint="eastAsia" w:ascii="宋体"/>
          <w:sz w:val="24"/>
        </w:rPr>
        <w:t>。</w:t>
      </w:r>
    </w:p>
    <w:p w14:paraId="6237843A">
      <w:pPr>
        <w:snapToGrid w:val="0"/>
        <w:spacing w:line="440" w:lineRule="exact"/>
        <w:ind w:firstLine="426" w:firstLineChars="177"/>
        <w:rPr>
          <w:rFonts w:ascii="宋体" w:hAnsi="宋体" w:cs="宋体"/>
          <w:b/>
          <w:bCs/>
          <w:sz w:val="24"/>
        </w:rPr>
      </w:pPr>
      <w:r>
        <w:rPr>
          <w:rFonts w:hint="eastAsia" w:ascii="宋体" w:hAnsi="宋体" w:cs="宋体"/>
          <w:b/>
          <w:bCs/>
          <w:sz w:val="24"/>
        </w:rPr>
        <w:t>*七、投标保证金：</w:t>
      </w:r>
    </w:p>
    <w:p w14:paraId="505B307A">
      <w:pPr>
        <w:snapToGrid w:val="0"/>
        <w:spacing w:line="440" w:lineRule="exact"/>
        <w:ind w:firstLine="424" w:firstLineChars="177"/>
        <w:rPr>
          <w:rFonts w:ascii="宋体" w:cs="宋体"/>
          <w:sz w:val="24"/>
        </w:rPr>
      </w:pPr>
      <w:r>
        <w:rPr>
          <w:rFonts w:hint="eastAsia" w:ascii="宋体" w:hAnsi="宋体" w:cs="宋体"/>
          <w:sz w:val="24"/>
        </w:rPr>
        <w:t>标段一12000元整，标段二9000元整；</w:t>
      </w:r>
      <w:r>
        <w:rPr>
          <w:rFonts w:hint="eastAsia" w:ascii="宋体" w:cs="宋体"/>
          <w:sz w:val="24"/>
        </w:rPr>
        <w:t>支付方式：银行汇款、银行转帐等形式；（备注：</w:t>
      </w:r>
      <w:r>
        <w:rPr>
          <w:rFonts w:hint="eastAsia" w:ascii="宋体" w:hAnsi="宋体" w:cs="宋体"/>
          <w:sz w:val="24"/>
        </w:rPr>
        <w:t>电化产品装卸劳务标段一保证金/电化产品装卸劳务标段二保证金</w:t>
      </w:r>
      <w:r>
        <w:rPr>
          <w:rFonts w:hint="eastAsia" w:ascii="宋体" w:cs="宋体"/>
          <w:sz w:val="24"/>
        </w:rPr>
        <w:t>）</w:t>
      </w:r>
    </w:p>
    <w:p w14:paraId="7288496C">
      <w:pPr>
        <w:snapToGrid w:val="0"/>
        <w:spacing w:line="440" w:lineRule="exact"/>
        <w:ind w:firstLine="424" w:firstLineChars="177"/>
        <w:rPr>
          <w:rFonts w:ascii="宋体" w:cs="宋体"/>
          <w:sz w:val="24"/>
        </w:rPr>
      </w:pPr>
      <w:r>
        <w:rPr>
          <w:rFonts w:hint="eastAsia" w:ascii="宋体" w:cs="宋体"/>
          <w:sz w:val="24"/>
        </w:rPr>
        <w:t>收款单位（户名）：浙江南方工程咨询管理有限公司；</w:t>
      </w:r>
    </w:p>
    <w:p w14:paraId="20FF86B7">
      <w:pPr>
        <w:snapToGrid w:val="0"/>
        <w:spacing w:line="440" w:lineRule="exact"/>
        <w:ind w:firstLine="424" w:firstLineChars="177"/>
        <w:rPr>
          <w:rFonts w:ascii="宋体" w:cs="宋体"/>
          <w:sz w:val="24"/>
        </w:rPr>
      </w:pPr>
      <w:r>
        <w:rPr>
          <w:rFonts w:hint="eastAsia" w:ascii="宋体" w:cs="宋体"/>
          <w:sz w:val="24"/>
        </w:rPr>
        <w:t>开户行：建行衢化支行；</w:t>
      </w:r>
    </w:p>
    <w:p w14:paraId="3282CACF">
      <w:pPr>
        <w:snapToGrid w:val="0"/>
        <w:spacing w:line="440" w:lineRule="exact"/>
        <w:ind w:firstLine="424" w:firstLineChars="177"/>
        <w:rPr>
          <w:rFonts w:ascii="宋体" w:hAnsi="宋体"/>
          <w:sz w:val="24"/>
        </w:rPr>
      </w:pPr>
      <w:r>
        <w:rPr>
          <w:rFonts w:hint="eastAsia" w:ascii="宋体" w:cs="宋体"/>
          <w:sz w:val="24"/>
        </w:rPr>
        <w:t>账  号：33001685200050002982</w:t>
      </w:r>
    </w:p>
    <w:p w14:paraId="5E46C0AD">
      <w:pPr>
        <w:numPr>
          <w:ilvl w:val="0"/>
          <w:numId w:val="4"/>
        </w:numPr>
        <w:snapToGrid w:val="0"/>
        <w:spacing w:line="440" w:lineRule="exact"/>
        <w:ind w:firstLine="426" w:firstLineChars="177"/>
        <w:rPr>
          <w:rFonts w:ascii="宋体" w:hAnsi="宋体" w:cs="宋体"/>
          <w:b/>
          <w:bCs/>
          <w:sz w:val="24"/>
        </w:rPr>
      </w:pPr>
      <w:r>
        <w:rPr>
          <w:rFonts w:hint="eastAsia" w:ascii="宋体" w:hAnsi="宋体" w:cs="宋体"/>
          <w:b/>
          <w:bCs/>
          <w:sz w:val="24"/>
        </w:rPr>
        <w:t>公告信息发布网站：</w:t>
      </w:r>
    </w:p>
    <w:p w14:paraId="58479549">
      <w:pPr>
        <w:snapToGrid w:val="0"/>
        <w:spacing w:line="440" w:lineRule="exact"/>
        <w:ind w:firstLine="480" w:firstLineChars="200"/>
        <w:rPr>
          <w:rFonts w:ascii="宋体" w:hAnsi="宋体" w:cs="宋体"/>
          <w:sz w:val="24"/>
        </w:rPr>
      </w:pPr>
      <w:r>
        <w:rPr>
          <w:rFonts w:hint="eastAsia" w:ascii="宋体" w:hAnsi="宋体" w:cs="宋体"/>
          <w:sz w:val="24"/>
        </w:rPr>
        <w:t>本次招标公告同时在巨化数字化招采平台、浙江政府采购网、浙江企业采购信息服务网上发布。</w:t>
      </w:r>
    </w:p>
    <w:p w14:paraId="7B58261D">
      <w:pPr>
        <w:snapToGrid w:val="0"/>
        <w:spacing w:line="440" w:lineRule="exact"/>
        <w:ind w:firstLine="426" w:firstLineChars="177"/>
      </w:pPr>
      <w:r>
        <w:rPr>
          <w:rFonts w:hint="eastAsia" w:ascii="宋体" w:hAnsi="宋体" w:cs="宋体"/>
          <w:b/>
          <w:bCs/>
          <w:sz w:val="24"/>
        </w:rPr>
        <w:t>九、其他补充事项</w:t>
      </w:r>
      <w:r>
        <w:rPr>
          <w:rFonts w:hint="eastAsia" w:ascii="宋体" w:hAnsi="宋体" w:cs="宋体"/>
          <w:sz w:val="24"/>
        </w:rPr>
        <w:t>：电子交易平台如有其他要求的，应遵循电子交易平台要求。</w:t>
      </w:r>
    </w:p>
    <w:p w14:paraId="396C011B">
      <w:pPr>
        <w:snapToGrid w:val="0"/>
        <w:spacing w:line="440" w:lineRule="exact"/>
        <w:ind w:firstLine="426" w:firstLineChars="177"/>
        <w:rPr>
          <w:rFonts w:ascii="宋体" w:hAnsi="宋体" w:cs="宋体"/>
          <w:b/>
          <w:bCs/>
          <w:sz w:val="24"/>
        </w:rPr>
      </w:pPr>
      <w:r>
        <w:rPr>
          <w:rFonts w:hint="eastAsia" w:ascii="宋体" w:hAnsi="宋体" w:cs="宋体"/>
          <w:b/>
          <w:bCs/>
          <w:sz w:val="24"/>
        </w:rPr>
        <w:t>十、联系方法：</w:t>
      </w:r>
    </w:p>
    <w:p w14:paraId="1F3A1D23">
      <w:pPr>
        <w:snapToGrid w:val="0"/>
        <w:spacing w:line="440" w:lineRule="exact"/>
        <w:ind w:firstLine="424" w:firstLineChars="177"/>
        <w:rPr>
          <w:rFonts w:ascii="宋体" w:hAnsi="宋体" w:cs="宋体"/>
          <w:sz w:val="24"/>
        </w:rPr>
      </w:pPr>
      <w:r>
        <w:rPr>
          <w:rFonts w:hint="eastAsia" w:ascii="宋体" w:hAnsi="宋体" w:cs="宋体"/>
          <w:sz w:val="24"/>
        </w:rPr>
        <w:t xml:space="preserve">招 标 人：浙江巨化股份有限公司电化厂 </w:t>
      </w:r>
    </w:p>
    <w:p w14:paraId="35924FB4">
      <w:pPr>
        <w:snapToGrid w:val="0"/>
        <w:spacing w:line="440" w:lineRule="exact"/>
        <w:ind w:firstLine="424" w:firstLineChars="177"/>
        <w:rPr>
          <w:rFonts w:ascii="宋体" w:hAnsi="宋体" w:cs="宋体"/>
          <w:sz w:val="24"/>
        </w:rPr>
      </w:pPr>
      <w:r>
        <w:rPr>
          <w:rFonts w:hint="eastAsia" w:ascii="宋体" w:hAnsi="宋体" w:cs="宋体"/>
          <w:sz w:val="24"/>
        </w:rPr>
        <w:t xml:space="preserve">联系人：袁明松     </w:t>
      </w:r>
    </w:p>
    <w:p w14:paraId="5A7CF803">
      <w:pPr>
        <w:snapToGrid w:val="0"/>
        <w:spacing w:line="440" w:lineRule="exact"/>
        <w:ind w:firstLine="424" w:firstLineChars="177"/>
        <w:rPr>
          <w:rFonts w:ascii="宋体" w:hAnsi="宋体" w:cs="宋体"/>
          <w:sz w:val="24"/>
        </w:rPr>
      </w:pPr>
      <w:r>
        <w:rPr>
          <w:rFonts w:hint="eastAsia" w:ascii="宋体" w:hAnsi="宋体" w:cs="宋体"/>
          <w:sz w:val="24"/>
        </w:rPr>
        <w:t>联系电话：0570-3096229   13819005156（671156）</w:t>
      </w:r>
    </w:p>
    <w:p w14:paraId="32A53B70">
      <w:pPr>
        <w:snapToGrid w:val="0"/>
        <w:spacing w:line="440" w:lineRule="exact"/>
        <w:ind w:firstLine="424" w:firstLineChars="177"/>
        <w:rPr>
          <w:rFonts w:ascii="宋体" w:hAnsi="宋体" w:cs="宋体"/>
          <w:sz w:val="24"/>
        </w:rPr>
      </w:pPr>
      <w:r>
        <w:rPr>
          <w:rFonts w:hint="eastAsia" w:ascii="宋体" w:hAnsi="宋体" w:cs="宋体"/>
          <w:sz w:val="24"/>
        </w:rPr>
        <w:t>招标代理机构：浙江南方工程咨询管理有限公司</w:t>
      </w:r>
    </w:p>
    <w:p w14:paraId="4411EF88">
      <w:pPr>
        <w:snapToGrid w:val="0"/>
        <w:spacing w:line="440" w:lineRule="exact"/>
        <w:ind w:firstLine="424" w:firstLineChars="177"/>
        <w:rPr>
          <w:rFonts w:ascii="宋体" w:hAnsi="宋体" w:cs="宋体"/>
          <w:sz w:val="24"/>
        </w:rPr>
      </w:pPr>
      <w:r>
        <w:rPr>
          <w:rFonts w:hint="eastAsia" w:ascii="宋体" w:hAnsi="宋体" w:cs="宋体"/>
          <w:sz w:val="24"/>
        </w:rPr>
        <w:t>地址：浙江省衢州市柯城区衢化街道文昌路99号九州大厦四楼</w:t>
      </w:r>
    </w:p>
    <w:p w14:paraId="588088EA">
      <w:pPr>
        <w:snapToGrid w:val="0"/>
        <w:spacing w:line="440" w:lineRule="exact"/>
        <w:ind w:firstLine="424" w:firstLineChars="177"/>
        <w:rPr>
          <w:rFonts w:ascii="宋体" w:hAnsi="宋体" w:cs="宋体"/>
          <w:sz w:val="24"/>
          <w:lang w:val="zh-CN"/>
        </w:rPr>
      </w:pPr>
      <w:r>
        <w:rPr>
          <w:rFonts w:hint="eastAsia" w:ascii="宋体" w:hAnsi="宋体" w:cs="宋体"/>
          <w:sz w:val="24"/>
        </w:rPr>
        <w:t>联系人：</w:t>
      </w:r>
      <w:r>
        <w:rPr>
          <w:rFonts w:hint="eastAsia" w:ascii="宋体" w:hAnsi="宋体" w:cs="宋体"/>
          <w:sz w:val="24"/>
          <w:lang w:val="zh-CN"/>
        </w:rPr>
        <w:t xml:space="preserve">王靓 </w:t>
      </w:r>
    </w:p>
    <w:p w14:paraId="58C72486">
      <w:pPr>
        <w:snapToGrid w:val="0"/>
        <w:spacing w:line="440" w:lineRule="exact"/>
        <w:ind w:firstLine="424" w:firstLineChars="177"/>
        <w:rPr>
          <w:rFonts w:ascii="宋体" w:hAnsi="宋体" w:cs="宋体"/>
          <w:sz w:val="24"/>
        </w:rPr>
      </w:pPr>
      <w:r>
        <w:rPr>
          <w:rFonts w:hint="eastAsia" w:ascii="宋体" w:hAnsi="宋体" w:cs="宋体"/>
          <w:sz w:val="24"/>
          <w:lang w:val="zh-CN"/>
        </w:rPr>
        <w:t xml:space="preserve">联系电话：13059721359（585525） </w:t>
      </w:r>
    </w:p>
    <w:p w14:paraId="748A01FB">
      <w:pPr>
        <w:snapToGrid w:val="0"/>
        <w:spacing w:line="440" w:lineRule="exact"/>
        <w:ind w:firstLine="424" w:firstLineChars="177"/>
        <w:rPr>
          <w:rFonts w:ascii="宋体" w:hAnsi="宋体" w:cs="宋体"/>
          <w:sz w:val="24"/>
        </w:rPr>
      </w:pPr>
      <w:r>
        <w:rPr>
          <w:rFonts w:hint="eastAsia" w:ascii="宋体" w:hAnsi="宋体" w:cs="宋体"/>
          <w:sz w:val="24"/>
        </w:rPr>
        <w:t xml:space="preserve">监督部门：巨化招标办公室  </w:t>
      </w:r>
    </w:p>
    <w:p w14:paraId="66D62875">
      <w:pPr>
        <w:snapToGrid w:val="0"/>
        <w:spacing w:line="440" w:lineRule="exact"/>
        <w:ind w:firstLine="424" w:firstLineChars="177"/>
        <w:rPr>
          <w:rFonts w:ascii="宋体" w:hAnsi="宋体" w:cs="宋体"/>
          <w:sz w:val="24"/>
        </w:rPr>
      </w:pPr>
      <w:r>
        <w:rPr>
          <w:rFonts w:hint="eastAsia" w:ascii="宋体" w:hAnsi="宋体" w:cs="宋体"/>
          <w:sz w:val="24"/>
        </w:rPr>
        <w:t>联系电话：0570-3091876</w:t>
      </w:r>
    </w:p>
    <w:p w14:paraId="6719C79A">
      <w:pPr>
        <w:spacing w:line="440" w:lineRule="exact"/>
        <w:rPr>
          <w:rFonts w:ascii="宋体" w:hAnsi="宋体"/>
          <w:szCs w:val="21"/>
        </w:rPr>
      </w:pPr>
      <w:r>
        <w:rPr>
          <w:rFonts w:hint="eastAsia" w:ascii="宋体" w:hAnsi="宋体"/>
          <w:szCs w:val="21"/>
        </w:rPr>
        <w:t xml:space="preserve">                              </w:t>
      </w:r>
    </w:p>
    <w:p w14:paraId="3C0BF689">
      <w:pPr>
        <w:rPr>
          <w:rFonts w:ascii="宋体" w:hAnsi="宋体"/>
          <w:szCs w:val="21"/>
        </w:rPr>
      </w:pPr>
    </w:p>
    <w:p w14:paraId="48285136">
      <w:pPr>
        <w:pStyle w:val="2"/>
      </w:pPr>
    </w:p>
    <w:p w14:paraId="41FB3125">
      <w:pPr>
        <w:rPr>
          <w:b/>
          <w:bCs/>
          <w:sz w:val="30"/>
          <w:szCs w:val="30"/>
        </w:rPr>
      </w:pPr>
    </w:p>
    <w:p w14:paraId="3F07D298">
      <w:pPr>
        <w:pStyle w:val="20"/>
        <w:ind w:firstLine="560"/>
      </w:pPr>
    </w:p>
    <w:p w14:paraId="581E7013">
      <w:pPr>
        <w:jc w:val="center"/>
        <w:outlineLvl w:val="0"/>
        <w:rPr>
          <w:b/>
          <w:bCs/>
          <w:sz w:val="30"/>
          <w:szCs w:val="30"/>
        </w:rPr>
      </w:pPr>
    </w:p>
    <w:p w14:paraId="2D2340FB">
      <w:pPr>
        <w:jc w:val="center"/>
        <w:outlineLvl w:val="0"/>
        <w:rPr>
          <w:b/>
          <w:bCs/>
          <w:sz w:val="30"/>
          <w:szCs w:val="30"/>
        </w:rPr>
      </w:pPr>
    </w:p>
    <w:p w14:paraId="0A5B4D99">
      <w:pPr>
        <w:jc w:val="center"/>
        <w:outlineLvl w:val="0"/>
        <w:rPr>
          <w:b/>
          <w:bCs/>
          <w:sz w:val="30"/>
          <w:szCs w:val="30"/>
        </w:rPr>
      </w:pPr>
    </w:p>
    <w:p w14:paraId="071A209A">
      <w:pPr>
        <w:jc w:val="center"/>
        <w:outlineLvl w:val="0"/>
        <w:rPr>
          <w:b/>
          <w:bCs/>
          <w:sz w:val="30"/>
          <w:szCs w:val="30"/>
        </w:rPr>
      </w:pPr>
    </w:p>
    <w:p w14:paraId="67357061">
      <w:pPr>
        <w:jc w:val="center"/>
        <w:outlineLvl w:val="0"/>
        <w:rPr>
          <w:b/>
          <w:bCs/>
          <w:sz w:val="30"/>
          <w:szCs w:val="30"/>
        </w:rPr>
      </w:pPr>
    </w:p>
    <w:p w14:paraId="541A80B3">
      <w:pPr>
        <w:jc w:val="center"/>
        <w:outlineLvl w:val="0"/>
        <w:rPr>
          <w:b/>
          <w:bCs/>
          <w:sz w:val="30"/>
          <w:szCs w:val="30"/>
        </w:rPr>
      </w:pPr>
    </w:p>
    <w:p w14:paraId="381BC8A4">
      <w:pPr>
        <w:jc w:val="center"/>
        <w:outlineLvl w:val="0"/>
        <w:rPr>
          <w:b/>
          <w:bCs/>
          <w:sz w:val="30"/>
          <w:szCs w:val="30"/>
        </w:rPr>
      </w:pPr>
    </w:p>
    <w:p w14:paraId="55E8FAFB">
      <w:pPr>
        <w:jc w:val="center"/>
        <w:outlineLvl w:val="0"/>
        <w:rPr>
          <w:b/>
          <w:bCs/>
          <w:sz w:val="30"/>
          <w:szCs w:val="30"/>
        </w:rPr>
      </w:pPr>
    </w:p>
    <w:p w14:paraId="738EC188">
      <w:pPr>
        <w:jc w:val="center"/>
        <w:outlineLvl w:val="0"/>
        <w:rPr>
          <w:b/>
          <w:bCs/>
          <w:sz w:val="30"/>
          <w:szCs w:val="30"/>
        </w:rPr>
      </w:pPr>
      <w:bookmarkStart w:id="4" w:name="_Toc16539"/>
      <w:r>
        <w:rPr>
          <w:rFonts w:hint="eastAsia"/>
          <w:b/>
          <w:bCs/>
          <w:sz w:val="30"/>
          <w:szCs w:val="30"/>
        </w:rPr>
        <w:t>第二章  投标人须知</w:t>
      </w:r>
      <w:bookmarkEnd w:id="4"/>
    </w:p>
    <w:p w14:paraId="0AA3E7BA">
      <w:pPr>
        <w:jc w:val="center"/>
      </w:pPr>
      <w:r>
        <w:rPr>
          <w:b/>
          <w:bCs/>
          <w:sz w:val="30"/>
          <w:szCs w:val="30"/>
        </w:rPr>
        <w:t>投标</w:t>
      </w:r>
      <w:r>
        <w:rPr>
          <w:rFonts w:hint="eastAsia"/>
          <w:b/>
          <w:bCs/>
          <w:sz w:val="30"/>
          <w:szCs w:val="30"/>
        </w:rPr>
        <w:t>人</w:t>
      </w:r>
      <w:r>
        <w:rPr>
          <w:b/>
          <w:bCs/>
          <w:sz w:val="30"/>
          <w:szCs w:val="30"/>
        </w:rPr>
        <w:t>须知前附表</w:t>
      </w:r>
    </w:p>
    <w:tbl>
      <w:tblPr>
        <w:tblStyle w:val="21"/>
        <w:tblW w:w="102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90"/>
        <w:gridCol w:w="7639"/>
      </w:tblGrid>
      <w:tr w14:paraId="35147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92" w:type="dxa"/>
            <w:vAlign w:val="center"/>
          </w:tcPr>
          <w:p w14:paraId="679E226A">
            <w:pPr>
              <w:spacing w:line="360" w:lineRule="auto"/>
              <w:rPr>
                <w:sz w:val="24"/>
              </w:rPr>
            </w:pPr>
            <w:r>
              <w:rPr>
                <w:rFonts w:hint="eastAsia"/>
                <w:sz w:val="24"/>
              </w:rPr>
              <w:t>序号</w:t>
            </w:r>
          </w:p>
        </w:tc>
        <w:tc>
          <w:tcPr>
            <w:tcW w:w="1590" w:type="dxa"/>
            <w:vAlign w:val="center"/>
          </w:tcPr>
          <w:p w14:paraId="6FCBFE6D">
            <w:pPr>
              <w:spacing w:line="360" w:lineRule="auto"/>
              <w:jc w:val="center"/>
              <w:rPr>
                <w:sz w:val="24"/>
              </w:rPr>
            </w:pPr>
            <w:r>
              <w:rPr>
                <w:rFonts w:hint="eastAsia"/>
                <w:sz w:val="24"/>
              </w:rPr>
              <w:t>条 款 名 称</w:t>
            </w:r>
          </w:p>
        </w:tc>
        <w:tc>
          <w:tcPr>
            <w:tcW w:w="7639" w:type="dxa"/>
            <w:vAlign w:val="center"/>
          </w:tcPr>
          <w:p w14:paraId="398D9755">
            <w:pPr>
              <w:spacing w:line="360" w:lineRule="auto"/>
              <w:jc w:val="center"/>
              <w:rPr>
                <w:sz w:val="24"/>
              </w:rPr>
            </w:pPr>
            <w:r>
              <w:rPr>
                <w:rFonts w:hint="eastAsia"/>
                <w:sz w:val="24"/>
              </w:rPr>
              <w:t>编  列  内  容</w:t>
            </w:r>
          </w:p>
        </w:tc>
      </w:tr>
      <w:tr w14:paraId="564C7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2" w:type="dxa"/>
            <w:vAlign w:val="center"/>
          </w:tcPr>
          <w:p w14:paraId="553490DB">
            <w:pPr>
              <w:spacing w:line="360" w:lineRule="auto"/>
              <w:jc w:val="center"/>
              <w:rPr>
                <w:sz w:val="24"/>
              </w:rPr>
            </w:pPr>
            <w:r>
              <w:rPr>
                <w:rFonts w:hint="eastAsia"/>
                <w:sz w:val="24"/>
              </w:rPr>
              <w:t>1</w:t>
            </w:r>
          </w:p>
        </w:tc>
        <w:tc>
          <w:tcPr>
            <w:tcW w:w="1590" w:type="dxa"/>
            <w:vAlign w:val="center"/>
          </w:tcPr>
          <w:p w14:paraId="20BD592A">
            <w:pPr>
              <w:spacing w:line="360" w:lineRule="auto"/>
              <w:jc w:val="left"/>
              <w:rPr>
                <w:sz w:val="24"/>
              </w:rPr>
            </w:pPr>
            <w:r>
              <w:rPr>
                <w:rFonts w:hint="eastAsia"/>
                <w:sz w:val="24"/>
              </w:rPr>
              <w:t>招标人</w:t>
            </w:r>
          </w:p>
        </w:tc>
        <w:tc>
          <w:tcPr>
            <w:tcW w:w="7639" w:type="dxa"/>
            <w:vAlign w:val="center"/>
          </w:tcPr>
          <w:p w14:paraId="3E491CE9">
            <w:pPr>
              <w:snapToGrid w:val="0"/>
              <w:spacing w:line="360" w:lineRule="auto"/>
              <w:rPr>
                <w:rFonts w:ascii="宋体" w:hAnsi="宋体" w:cs="宋体"/>
                <w:sz w:val="24"/>
              </w:rPr>
            </w:pPr>
            <w:r>
              <w:rPr>
                <w:rFonts w:hint="eastAsia" w:ascii="宋体" w:hAnsi="宋体" w:cs="宋体"/>
                <w:sz w:val="24"/>
              </w:rPr>
              <w:t xml:space="preserve">招 标 人：浙江巨化股份有限公司电化厂 </w:t>
            </w:r>
          </w:p>
          <w:p w14:paraId="4A30C8BB">
            <w:pPr>
              <w:snapToGrid w:val="0"/>
              <w:spacing w:line="360" w:lineRule="auto"/>
              <w:rPr>
                <w:sz w:val="24"/>
              </w:rPr>
            </w:pPr>
            <w:r>
              <w:rPr>
                <w:rFonts w:hint="eastAsia" w:ascii="宋体" w:hAnsi="宋体" w:cs="宋体"/>
                <w:sz w:val="24"/>
              </w:rPr>
              <w:t>联系人：袁明松  联系电话：0570-3096229  13819005156（671156）</w:t>
            </w:r>
          </w:p>
        </w:tc>
      </w:tr>
      <w:tr w14:paraId="02E2B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992" w:type="dxa"/>
            <w:vAlign w:val="center"/>
          </w:tcPr>
          <w:p w14:paraId="19B8165A">
            <w:pPr>
              <w:spacing w:line="360" w:lineRule="auto"/>
              <w:jc w:val="center"/>
              <w:rPr>
                <w:sz w:val="24"/>
              </w:rPr>
            </w:pPr>
            <w:r>
              <w:rPr>
                <w:rFonts w:hint="eastAsia"/>
                <w:sz w:val="24"/>
              </w:rPr>
              <w:t>2</w:t>
            </w:r>
          </w:p>
        </w:tc>
        <w:tc>
          <w:tcPr>
            <w:tcW w:w="1590" w:type="dxa"/>
            <w:vAlign w:val="center"/>
          </w:tcPr>
          <w:p w14:paraId="1C037B95">
            <w:pPr>
              <w:spacing w:line="360" w:lineRule="auto"/>
              <w:jc w:val="left"/>
              <w:rPr>
                <w:sz w:val="24"/>
              </w:rPr>
            </w:pPr>
            <w:r>
              <w:rPr>
                <w:rFonts w:hint="eastAsia"/>
                <w:sz w:val="24"/>
              </w:rPr>
              <w:t>招标代理机构</w:t>
            </w:r>
          </w:p>
        </w:tc>
        <w:tc>
          <w:tcPr>
            <w:tcW w:w="7639" w:type="dxa"/>
            <w:vAlign w:val="center"/>
          </w:tcPr>
          <w:p w14:paraId="2000D49C">
            <w:pPr>
              <w:spacing w:line="360" w:lineRule="auto"/>
              <w:rPr>
                <w:sz w:val="24"/>
                <w:lang w:val="zh-CN"/>
              </w:rPr>
            </w:pPr>
            <w:r>
              <w:rPr>
                <w:rFonts w:hint="eastAsia"/>
                <w:sz w:val="24"/>
                <w:lang w:val="zh-CN"/>
              </w:rPr>
              <w:t>招标代理机构：浙江南方工程咨询管理有限公司</w:t>
            </w:r>
          </w:p>
          <w:p w14:paraId="457504CE">
            <w:pPr>
              <w:spacing w:line="360" w:lineRule="auto"/>
              <w:rPr>
                <w:sz w:val="24"/>
              </w:rPr>
            </w:pPr>
            <w:r>
              <w:rPr>
                <w:rFonts w:hint="eastAsia"/>
                <w:sz w:val="24"/>
                <w:lang w:val="zh-CN"/>
              </w:rPr>
              <w:t>联 系 人：</w:t>
            </w:r>
            <w:r>
              <w:rPr>
                <w:rFonts w:hint="eastAsia"/>
                <w:sz w:val="24"/>
              </w:rPr>
              <w:t>王靓</w:t>
            </w:r>
            <w:r>
              <w:rPr>
                <w:rFonts w:hint="eastAsia"/>
                <w:sz w:val="24"/>
                <w:lang w:val="zh-CN"/>
              </w:rPr>
              <w:t xml:space="preserve"> 联系电话：</w:t>
            </w:r>
            <w:r>
              <w:rPr>
                <w:rFonts w:hint="eastAsia"/>
                <w:sz w:val="24"/>
              </w:rPr>
              <w:t>13059721359</w:t>
            </w:r>
            <w:r>
              <w:rPr>
                <w:rFonts w:hint="eastAsia"/>
                <w:sz w:val="24"/>
                <w:lang w:val="zh-CN"/>
              </w:rPr>
              <w:t>（58</w:t>
            </w:r>
            <w:r>
              <w:rPr>
                <w:rFonts w:hint="eastAsia"/>
                <w:sz w:val="24"/>
              </w:rPr>
              <w:t>5525</w:t>
            </w:r>
            <w:r>
              <w:rPr>
                <w:rFonts w:hint="eastAsia"/>
                <w:sz w:val="24"/>
                <w:lang w:val="zh-CN"/>
              </w:rPr>
              <w:t>）</w:t>
            </w:r>
          </w:p>
        </w:tc>
      </w:tr>
      <w:tr w14:paraId="4E23C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trPr>
        <w:tc>
          <w:tcPr>
            <w:tcW w:w="992" w:type="dxa"/>
            <w:vAlign w:val="center"/>
          </w:tcPr>
          <w:p w14:paraId="033015A9">
            <w:pPr>
              <w:spacing w:line="360" w:lineRule="auto"/>
              <w:jc w:val="center"/>
              <w:rPr>
                <w:sz w:val="24"/>
              </w:rPr>
            </w:pPr>
            <w:r>
              <w:rPr>
                <w:rFonts w:hint="eastAsia"/>
                <w:sz w:val="24"/>
              </w:rPr>
              <w:t>3</w:t>
            </w:r>
          </w:p>
        </w:tc>
        <w:tc>
          <w:tcPr>
            <w:tcW w:w="1590" w:type="dxa"/>
            <w:vAlign w:val="center"/>
          </w:tcPr>
          <w:p w14:paraId="35074CB5">
            <w:pPr>
              <w:spacing w:line="360" w:lineRule="auto"/>
              <w:jc w:val="left"/>
              <w:rPr>
                <w:sz w:val="24"/>
              </w:rPr>
            </w:pPr>
            <w:r>
              <w:rPr>
                <w:rFonts w:hint="eastAsia"/>
                <w:sz w:val="24"/>
              </w:rPr>
              <w:t>项目名称</w:t>
            </w:r>
          </w:p>
        </w:tc>
        <w:tc>
          <w:tcPr>
            <w:tcW w:w="7639" w:type="dxa"/>
            <w:vAlign w:val="center"/>
          </w:tcPr>
          <w:p w14:paraId="22627D8B">
            <w:pPr>
              <w:spacing w:line="360" w:lineRule="auto"/>
              <w:jc w:val="left"/>
              <w:rPr>
                <w:rFonts w:ascii="宋体" w:hAnsi="宋体" w:cs="宋体"/>
                <w:sz w:val="24"/>
              </w:rPr>
            </w:pPr>
            <w:r>
              <w:rPr>
                <w:rFonts w:hint="eastAsia"/>
                <w:sz w:val="24"/>
                <w:lang w:val="zh-CN"/>
              </w:rPr>
              <w:t>浙江巨化股份有限公司电化厂（含巨塑、聚荟公司）2025-2027年部分产品及原材料包装搬运装卸劳务外包项目劳务外包</w:t>
            </w:r>
          </w:p>
        </w:tc>
      </w:tr>
      <w:tr w14:paraId="7CBF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exact"/>
        </w:trPr>
        <w:tc>
          <w:tcPr>
            <w:tcW w:w="992" w:type="dxa"/>
            <w:vAlign w:val="center"/>
          </w:tcPr>
          <w:p w14:paraId="015D2BFA">
            <w:pPr>
              <w:spacing w:line="360" w:lineRule="auto"/>
              <w:jc w:val="center"/>
              <w:rPr>
                <w:sz w:val="24"/>
              </w:rPr>
            </w:pPr>
            <w:r>
              <w:rPr>
                <w:rFonts w:hint="eastAsia"/>
                <w:sz w:val="24"/>
              </w:rPr>
              <w:t>4</w:t>
            </w:r>
          </w:p>
        </w:tc>
        <w:tc>
          <w:tcPr>
            <w:tcW w:w="1590" w:type="dxa"/>
            <w:vAlign w:val="center"/>
          </w:tcPr>
          <w:p w14:paraId="4BBBA46E">
            <w:pPr>
              <w:spacing w:line="360" w:lineRule="auto"/>
              <w:jc w:val="left"/>
              <w:rPr>
                <w:sz w:val="24"/>
              </w:rPr>
            </w:pPr>
            <w:r>
              <w:rPr>
                <w:rFonts w:hint="eastAsia"/>
                <w:sz w:val="24"/>
              </w:rPr>
              <w:t>建设地点</w:t>
            </w:r>
          </w:p>
        </w:tc>
        <w:tc>
          <w:tcPr>
            <w:tcW w:w="7639" w:type="dxa"/>
            <w:vAlign w:val="center"/>
          </w:tcPr>
          <w:p w14:paraId="10DD8939">
            <w:pPr>
              <w:snapToGrid w:val="0"/>
              <w:spacing w:line="360" w:lineRule="auto"/>
              <w:rPr>
                <w:rFonts w:ascii="宋体" w:hAnsi="宋体" w:cs="宋体"/>
                <w:sz w:val="24"/>
              </w:rPr>
            </w:pPr>
            <w:r>
              <w:rPr>
                <w:rFonts w:hint="eastAsia" w:ascii="宋体" w:hAnsi="宋体" w:cs="宋体"/>
                <w:sz w:val="24"/>
              </w:rPr>
              <w:t>浙江巨化股份有限公司电化厂 (含巨塑公司、聚荟公司) 内</w:t>
            </w:r>
          </w:p>
        </w:tc>
      </w:tr>
      <w:tr w14:paraId="3B8CA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exact"/>
        </w:trPr>
        <w:tc>
          <w:tcPr>
            <w:tcW w:w="992" w:type="dxa"/>
            <w:vAlign w:val="center"/>
          </w:tcPr>
          <w:p w14:paraId="07099A22">
            <w:pPr>
              <w:spacing w:line="360" w:lineRule="auto"/>
              <w:jc w:val="center"/>
              <w:rPr>
                <w:sz w:val="24"/>
              </w:rPr>
            </w:pPr>
            <w:r>
              <w:rPr>
                <w:rFonts w:hint="eastAsia"/>
                <w:sz w:val="24"/>
              </w:rPr>
              <w:t>5</w:t>
            </w:r>
          </w:p>
        </w:tc>
        <w:tc>
          <w:tcPr>
            <w:tcW w:w="1590" w:type="dxa"/>
            <w:vAlign w:val="center"/>
          </w:tcPr>
          <w:p w14:paraId="7CBA40D3">
            <w:pPr>
              <w:spacing w:line="360" w:lineRule="auto"/>
              <w:jc w:val="left"/>
              <w:rPr>
                <w:sz w:val="24"/>
              </w:rPr>
            </w:pPr>
            <w:r>
              <w:rPr>
                <w:rFonts w:hint="eastAsia"/>
                <w:sz w:val="24"/>
              </w:rPr>
              <w:t>服务期</w:t>
            </w:r>
          </w:p>
        </w:tc>
        <w:tc>
          <w:tcPr>
            <w:tcW w:w="7639" w:type="dxa"/>
            <w:vAlign w:val="center"/>
          </w:tcPr>
          <w:p w14:paraId="4E54E363">
            <w:pPr>
              <w:spacing w:line="360" w:lineRule="auto"/>
              <w:jc w:val="left"/>
              <w:rPr>
                <w:sz w:val="24"/>
              </w:rPr>
            </w:pPr>
            <w:r>
              <w:rPr>
                <w:rFonts w:hint="eastAsia" w:ascii="宋体" w:hAnsi="宋体" w:cs="宋体"/>
                <w:sz w:val="24"/>
                <w:lang w:val="zh-CN"/>
              </w:rPr>
              <w:t>合同签订之日起两年。如合同执行期间集团有类似集量招标的，且价格低于本次合同价的，要求按照集团统一价格执行。</w:t>
            </w:r>
          </w:p>
        </w:tc>
      </w:tr>
      <w:tr w14:paraId="5C9B2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trPr>
        <w:tc>
          <w:tcPr>
            <w:tcW w:w="992" w:type="dxa"/>
            <w:vAlign w:val="center"/>
          </w:tcPr>
          <w:p w14:paraId="46799D6E">
            <w:pPr>
              <w:spacing w:line="360" w:lineRule="auto"/>
              <w:jc w:val="center"/>
              <w:rPr>
                <w:sz w:val="24"/>
              </w:rPr>
            </w:pPr>
            <w:r>
              <w:rPr>
                <w:rFonts w:hint="eastAsia"/>
                <w:sz w:val="24"/>
              </w:rPr>
              <w:t>6</w:t>
            </w:r>
          </w:p>
        </w:tc>
        <w:tc>
          <w:tcPr>
            <w:tcW w:w="1590" w:type="dxa"/>
            <w:vAlign w:val="center"/>
          </w:tcPr>
          <w:p w14:paraId="3B938CD8">
            <w:pPr>
              <w:spacing w:line="360" w:lineRule="auto"/>
              <w:rPr>
                <w:sz w:val="24"/>
              </w:rPr>
            </w:pPr>
            <w:r>
              <w:rPr>
                <w:rFonts w:hint="eastAsia"/>
                <w:sz w:val="24"/>
              </w:rPr>
              <w:t>是否接受联合体投标</w:t>
            </w:r>
          </w:p>
        </w:tc>
        <w:tc>
          <w:tcPr>
            <w:tcW w:w="7639" w:type="dxa"/>
            <w:vAlign w:val="center"/>
          </w:tcPr>
          <w:p w14:paraId="7D9029AE">
            <w:pPr>
              <w:spacing w:line="360" w:lineRule="auto"/>
              <w:rPr>
                <w:sz w:val="24"/>
              </w:rPr>
            </w:pPr>
            <w:r>
              <w:rPr>
                <w:rFonts w:hint="eastAsia"/>
                <w:sz w:val="24"/>
              </w:rPr>
              <w:t>不接受</w:t>
            </w:r>
          </w:p>
        </w:tc>
      </w:tr>
      <w:tr w14:paraId="326D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992" w:type="dxa"/>
            <w:vAlign w:val="center"/>
          </w:tcPr>
          <w:p w14:paraId="1A20ABB7">
            <w:pPr>
              <w:spacing w:line="360" w:lineRule="auto"/>
              <w:jc w:val="center"/>
              <w:rPr>
                <w:sz w:val="24"/>
              </w:rPr>
            </w:pPr>
            <w:r>
              <w:rPr>
                <w:rFonts w:hint="eastAsia"/>
                <w:sz w:val="24"/>
              </w:rPr>
              <w:t>7</w:t>
            </w:r>
          </w:p>
        </w:tc>
        <w:tc>
          <w:tcPr>
            <w:tcW w:w="1590" w:type="dxa"/>
            <w:vAlign w:val="center"/>
          </w:tcPr>
          <w:p w14:paraId="00A236C4">
            <w:pPr>
              <w:spacing w:line="360" w:lineRule="auto"/>
              <w:rPr>
                <w:sz w:val="24"/>
              </w:rPr>
            </w:pPr>
            <w:r>
              <w:rPr>
                <w:rFonts w:hint="eastAsia"/>
                <w:sz w:val="24"/>
              </w:rPr>
              <w:t>踏勘现场</w:t>
            </w:r>
          </w:p>
        </w:tc>
        <w:tc>
          <w:tcPr>
            <w:tcW w:w="7639" w:type="dxa"/>
            <w:vAlign w:val="center"/>
          </w:tcPr>
          <w:p w14:paraId="0B5F8467">
            <w:pPr>
              <w:spacing w:line="360" w:lineRule="auto"/>
              <w:rPr>
                <w:sz w:val="24"/>
              </w:rPr>
            </w:pPr>
            <w:r>
              <w:rPr>
                <w:rFonts w:hint="eastAsia"/>
                <w:sz w:val="24"/>
              </w:rPr>
              <w:t>由投标人自行前往，费用自理。</w:t>
            </w:r>
          </w:p>
        </w:tc>
      </w:tr>
      <w:tr w14:paraId="64C8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92" w:type="dxa"/>
            <w:vAlign w:val="center"/>
          </w:tcPr>
          <w:p w14:paraId="1B8B7D57">
            <w:pPr>
              <w:spacing w:line="360" w:lineRule="auto"/>
              <w:jc w:val="center"/>
              <w:rPr>
                <w:sz w:val="24"/>
              </w:rPr>
            </w:pPr>
            <w:bookmarkStart w:id="5" w:name="OLE_LINK12" w:colFirst="1" w:colLast="2"/>
            <w:r>
              <w:rPr>
                <w:rFonts w:hint="eastAsia"/>
                <w:sz w:val="24"/>
              </w:rPr>
              <w:t>8</w:t>
            </w:r>
          </w:p>
        </w:tc>
        <w:tc>
          <w:tcPr>
            <w:tcW w:w="1590" w:type="dxa"/>
            <w:vAlign w:val="center"/>
          </w:tcPr>
          <w:p w14:paraId="3E56BFDB">
            <w:pPr>
              <w:snapToGrid w:val="0"/>
              <w:spacing w:line="360" w:lineRule="auto"/>
              <w:jc w:val="center"/>
              <w:rPr>
                <w:sz w:val="24"/>
              </w:rPr>
            </w:pPr>
            <w:r>
              <w:rPr>
                <w:rFonts w:ascii="宋体" w:hAnsi="宋体"/>
                <w:sz w:val="24"/>
              </w:rPr>
              <w:t>招标文件澄清</w:t>
            </w:r>
          </w:p>
        </w:tc>
        <w:tc>
          <w:tcPr>
            <w:tcW w:w="7639" w:type="dxa"/>
            <w:vAlign w:val="center"/>
          </w:tcPr>
          <w:p w14:paraId="459C630D">
            <w:pPr>
              <w:snapToGrid w:val="0"/>
              <w:spacing w:line="360" w:lineRule="auto"/>
              <w:rPr>
                <w:sz w:val="24"/>
              </w:rPr>
            </w:pPr>
            <w:r>
              <w:rPr>
                <w:rFonts w:ascii="宋体" w:hAnsi="宋体"/>
                <w:sz w:val="24"/>
              </w:rPr>
              <w:t>投标人如认为招标文件表述不清晰、存在前后矛盾等内容的，应当在投标截止日</w:t>
            </w:r>
            <w:r>
              <w:rPr>
                <w:rFonts w:hint="eastAsia" w:ascii="宋体" w:hAnsi="宋体"/>
                <w:sz w:val="24"/>
              </w:rPr>
              <w:t>3</w:t>
            </w:r>
            <w:r>
              <w:rPr>
                <w:rFonts w:ascii="宋体" w:hAnsi="宋体"/>
                <w:sz w:val="24"/>
              </w:rPr>
              <w:t>天前以书面形式要求招标人作出书面澄清。</w:t>
            </w:r>
          </w:p>
        </w:tc>
      </w:tr>
      <w:bookmarkEnd w:id="5"/>
      <w:tr w14:paraId="3EFAB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992" w:type="dxa"/>
            <w:vAlign w:val="center"/>
          </w:tcPr>
          <w:p w14:paraId="22624FAF">
            <w:pPr>
              <w:spacing w:line="360" w:lineRule="auto"/>
              <w:jc w:val="center"/>
              <w:rPr>
                <w:sz w:val="24"/>
              </w:rPr>
            </w:pPr>
            <w:r>
              <w:rPr>
                <w:rFonts w:hint="eastAsia"/>
                <w:sz w:val="24"/>
              </w:rPr>
              <w:t>9</w:t>
            </w:r>
          </w:p>
        </w:tc>
        <w:tc>
          <w:tcPr>
            <w:tcW w:w="1590" w:type="dxa"/>
            <w:vAlign w:val="center"/>
          </w:tcPr>
          <w:p w14:paraId="7C7B2073">
            <w:pPr>
              <w:spacing w:line="360" w:lineRule="auto"/>
              <w:rPr>
                <w:sz w:val="24"/>
              </w:rPr>
            </w:pPr>
            <w:r>
              <w:rPr>
                <w:rFonts w:hint="eastAsia"/>
                <w:sz w:val="24"/>
              </w:rPr>
              <w:t>投标有效期</w:t>
            </w:r>
          </w:p>
        </w:tc>
        <w:tc>
          <w:tcPr>
            <w:tcW w:w="7639" w:type="dxa"/>
            <w:vAlign w:val="center"/>
          </w:tcPr>
          <w:p w14:paraId="6D8E3455">
            <w:pPr>
              <w:spacing w:line="360" w:lineRule="auto"/>
              <w:rPr>
                <w:sz w:val="24"/>
              </w:rPr>
            </w:pPr>
            <w:r>
              <w:rPr>
                <w:rFonts w:hint="eastAsia"/>
                <w:sz w:val="24"/>
                <w:u w:val="single"/>
              </w:rPr>
              <w:t xml:space="preserve">  90  </w:t>
            </w:r>
            <w:r>
              <w:rPr>
                <w:rFonts w:hint="eastAsia"/>
                <w:sz w:val="24"/>
              </w:rPr>
              <w:t>天</w:t>
            </w:r>
          </w:p>
        </w:tc>
      </w:tr>
      <w:tr w14:paraId="1EDD9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92" w:type="dxa"/>
            <w:vAlign w:val="center"/>
          </w:tcPr>
          <w:p w14:paraId="714F254B">
            <w:pPr>
              <w:spacing w:line="360" w:lineRule="auto"/>
              <w:jc w:val="center"/>
              <w:rPr>
                <w:sz w:val="24"/>
              </w:rPr>
            </w:pPr>
            <w:r>
              <w:rPr>
                <w:rFonts w:hint="eastAsia"/>
                <w:sz w:val="24"/>
              </w:rPr>
              <w:t>10</w:t>
            </w:r>
          </w:p>
        </w:tc>
        <w:tc>
          <w:tcPr>
            <w:tcW w:w="1590" w:type="dxa"/>
            <w:vAlign w:val="center"/>
          </w:tcPr>
          <w:p w14:paraId="6CB56540">
            <w:pPr>
              <w:spacing w:line="360" w:lineRule="auto"/>
              <w:rPr>
                <w:sz w:val="24"/>
              </w:rPr>
            </w:pPr>
            <w:r>
              <w:rPr>
                <w:rFonts w:hint="eastAsia"/>
                <w:sz w:val="24"/>
              </w:rPr>
              <w:t>投标保证金</w:t>
            </w:r>
          </w:p>
        </w:tc>
        <w:tc>
          <w:tcPr>
            <w:tcW w:w="7639" w:type="dxa"/>
            <w:vAlign w:val="center"/>
          </w:tcPr>
          <w:p w14:paraId="504BB37B">
            <w:pPr>
              <w:snapToGrid w:val="0"/>
              <w:spacing w:line="360" w:lineRule="auto"/>
              <w:rPr>
                <w:sz w:val="24"/>
              </w:rPr>
            </w:pPr>
            <w:r>
              <w:rPr>
                <w:rFonts w:ascii="宋体" w:hAnsi="宋体"/>
                <w:sz w:val="24"/>
              </w:rPr>
              <w:t>详见</w:t>
            </w:r>
            <w:r>
              <w:rPr>
                <w:rFonts w:hint="eastAsia" w:ascii="宋体" w:hAnsi="宋体"/>
                <w:sz w:val="24"/>
              </w:rPr>
              <w:t>“</w:t>
            </w:r>
            <w:r>
              <w:rPr>
                <w:rFonts w:ascii="宋体" w:hAnsi="宋体"/>
                <w:sz w:val="24"/>
              </w:rPr>
              <w:t>第一章 招标公告</w:t>
            </w:r>
            <w:r>
              <w:rPr>
                <w:rFonts w:hint="eastAsia" w:ascii="宋体" w:hAnsi="宋体"/>
                <w:sz w:val="24"/>
              </w:rPr>
              <w:t>”</w:t>
            </w:r>
          </w:p>
        </w:tc>
      </w:tr>
      <w:tr w14:paraId="558ED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2" w:type="dxa"/>
            <w:vAlign w:val="center"/>
          </w:tcPr>
          <w:p w14:paraId="4C069A06">
            <w:pPr>
              <w:spacing w:line="360" w:lineRule="auto"/>
              <w:jc w:val="center"/>
              <w:rPr>
                <w:sz w:val="24"/>
              </w:rPr>
            </w:pPr>
            <w:r>
              <w:rPr>
                <w:rFonts w:hint="eastAsia"/>
                <w:sz w:val="24"/>
              </w:rPr>
              <w:t>11</w:t>
            </w:r>
          </w:p>
        </w:tc>
        <w:tc>
          <w:tcPr>
            <w:tcW w:w="1590" w:type="dxa"/>
            <w:vAlign w:val="center"/>
          </w:tcPr>
          <w:p w14:paraId="6C033BF2">
            <w:pPr>
              <w:snapToGrid w:val="0"/>
              <w:spacing w:line="360" w:lineRule="auto"/>
              <w:jc w:val="center"/>
              <w:rPr>
                <w:sz w:val="24"/>
              </w:rPr>
            </w:pPr>
            <w:r>
              <w:rPr>
                <w:rFonts w:ascii="宋体" w:hAnsi="宋体"/>
                <w:sz w:val="24"/>
              </w:rPr>
              <w:t>投标保证金退还</w:t>
            </w:r>
          </w:p>
        </w:tc>
        <w:tc>
          <w:tcPr>
            <w:tcW w:w="7639" w:type="dxa"/>
            <w:vAlign w:val="center"/>
          </w:tcPr>
          <w:p w14:paraId="19A92B48">
            <w:pPr>
              <w:snapToGrid w:val="0"/>
              <w:spacing w:line="360" w:lineRule="auto"/>
              <w:rPr>
                <w:rFonts w:ascii="宋体" w:hAnsi="宋体"/>
                <w:sz w:val="24"/>
              </w:rPr>
            </w:pPr>
            <w:r>
              <w:rPr>
                <w:rFonts w:ascii="宋体" w:hAnsi="宋体"/>
                <w:sz w:val="24"/>
              </w:rPr>
              <w:t>除招标文件规定不予退还保证金的情形外， 招标人与中标人签订合同后5个工作日内，向未中标的投标人和中标人退还投标保证金。</w:t>
            </w:r>
          </w:p>
          <w:p w14:paraId="5E2D0F55">
            <w:pPr>
              <w:snapToGrid w:val="0"/>
              <w:spacing w:line="360" w:lineRule="auto"/>
              <w:rPr>
                <w:rFonts w:ascii="宋体" w:hAnsi="宋体"/>
                <w:sz w:val="24"/>
              </w:rPr>
            </w:pPr>
            <w:r>
              <w:rPr>
                <w:rFonts w:ascii="宋体" w:hAnsi="宋体"/>
                <w:sz w:val="24"/>
              </w:rPr>
              <w:t>投标人应当提供</w:t>
            </w:r>
            <w:r>
              <w:rPr>
                <w:rFonts w:hint="eastAsia" w:ascii="宋体" w:hAnsi="宋体"/>
                <w:sz w:val="24"/>
              </w:rPr>
              <w:t>“</w:t>
            </w:r>
            <w:r>
              <w:rPr>
                <w:rFonts w:ascii="宋体" w:hAnsi="宋体"/>
                <w:sz w:val="24"/>
              </w:rPr>
              <w:t>退还投标保证金申请书</w:t>
            </w:r>
            <w:r>
              <w:rPr>
                <w:rFonts w:hint="eastAsia" w:ascii="宋体" w:hAnsi="宋体"/>
                <w:sz w:val="24"/>
              </w:rPr>
              <w:t>”</w:t>
            </w:r>
            <w:r>
              <w:rPr>
                <w:rFonts w:ascii="宋体" w:hAnsi="宋体"/>
                <w:sz w:val="24"/>
              </w:rPr>
              <w:t>（格式见附件）。招标代理机构凭</w:t>
            </w:r>
            <w:r>
              <w:rPr>
                <w:rFonts w:hint="eastAsia" w:ascii="宋体" w:hAnsi="宋体"/>
                <w:sz w:val="24"/>
              </w:rPr>
              <w:t>“</w:t>
            </w:r>
            <w:r>
              <w:rPr>
                <w:rFonts w:ascii="宋体" w:hAnsi="宋体"/>
                <w:sz w:val="24"/>
              </w:rPr>
              <w:t>退还投标保证金申请书</w:t>
            </w:r>
            <w:r>
              <w:rPr>
                <w:rFonts w:hint="eastAsia" w:ascii="宋体" w:hAnsi="宋体"/>
                <w:sz w:val="24"/>
              </w:rPr>
              <w:t>”</w:t>
            </w:r>
            <w:r>
              <w:rPr>
                <w:rFonts w:ascii="宋体" w:hAnsi="宋体"/>
                <w:sz w:val="24"/>
              </w:rPr>
              <w:t>或投标人另行开具的退还投标保证金收据以电汇或转账方式予以退还。</w:t>
            </w:r>
          </w:p>
          <w:p w14:paraId="734B1B0F">
            <w:pPr>
              <w:snapToGrid w:val="0"/>
              <w:spacing w:line="360" w:lineRule="auto"/>
              <w:rPr>
                <w:sz w:val="24"/>
              </w:rPr>
            </w:pPr>
            <w:r>
              <w:rPr>
                <w:rFonts w:hint="eastAsia" w:ascii="宋体" w:hAnsi="宋体"/>
                <w:sz w:val="24"/>
              </w:rPr>
              <w:t>“</w:t>
            </w:r>
            <w:r>
              <w:rPr>
                <w:rFonts w:ascii="宋体" w:hAnsi="宋体"/>
                <w:sz w:val="24"/>
              </w:rPr>
              <w:t>退还投标保证金申请书</w:t>
            </w:r>
            <w:r>
              <w:rPr>
                <w:rFonts w:hint="eastAsia" w:ascii="宋体" w:hAnsi="宋体"/>
                <w:sz w:val="24"/>
              </w:rPr>
              <w:t>”扫描件可以发送招标代理或邮寄。</w:t>
            </w:r>
          </w:p>
        </w:tc>
      </w:tr>
      <w:tr w14:paraId="1E58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92" w:type="dxa"/>
            <w:vAlign w:val="center"/>
          </w:tcPr>
          <w:p w14:paraId="41374B3A">
            <w:pPr>
              <w:spacing w:line="360" w:lineRule="auto"/>
              <w:jc w:val="center"/>
              <w:rPr>
                <w:sz w:val="24"/>
              </w:rPr>
            </w:pPr>
            <w:r>
              <w:rPr>
                <w:rFonts w:hint="eastAsia"/>
                <w:sz w:val="24"/>
              </w:rPr>
              <w:t>12</w:t>
            </w:r>
          </w:p>
        </w:tc>
        <w:tc>
          <w:tcPr>
            <w:tcW w:w="1590" w:type="dxa"/>
            <w:vAlign w:val="center"/>
          </w:tcPr>
          <w:p w14:paraId="6939C932">
            <w:pPr>
              <w:snapToGrid w:val="0"/>
              <w:spacing w:line="360" w:lineRule="auto"/>
              <w:jc w:val="center"/>
              <w:rPr>
                <w:sz w:val="24"/>
              </w:rPr>
            </w:pPr>
            <w:r>
              <w:rPr>
                <w:rFonts w:hint="eastAsia" w:ascii="宋体" w:hAnsi="宋体"/>
                <w:sz w:val="24"/>
              </w:rPr>
              <w:t>投标文件的签章</w:t>
            </w:r>
          </w:p>
        </w:tc>
        <w:tc>
          <w:tcPr>
            <w:tcW w:w="7639" w:type="dxa"/>
            <w:vAlign w:val="center"/>
          </w:tcPr>
          <w:p w14:paraId="5FFD64AE">
            <w:pPr>
              <w:autoSpaceDE w:val="0"/>
              <w:autoSpaceDN w:val="0"/>
              <w:adjustRightInd w:val="0"/>
              <w:spacing w:line="360" w:lineRule="auto"/>
              <w:jc w:val="left"/>
              <w:rPr>
                <w:sz w:val="24"/>
              </w:rPr>
            </w:pPr>
            <w:r>
              <w:rPr>
                <w:rFonts w:hint="eastAsia" w:ascii="宋体" w:hAnsi="宋体"/>
                <w:sz w:val="24"/>
              </w:rPr>
              <w:t>投标文件的签章采用经证实合法有效的投标单位的电子签章。</w:t>
            </w:r>
          </w:p>
        </w:tc>
      </w:tr>
      <w:tr w14:paraId="0284C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92" w:type="dxa"/>
            <w:vAlign w:val="center"/>
          </w:tcPr>
          <w:p w14:paraId="71D904F7">
            <w:pPr>
              <w:spacing w:line="360" w:lineRule="auto"/>
              <w:jc w:val="center"/>
              <w:rPr>
                <w:sz w:val="24"/>
              </w:rPr>
            </w:pPr>
            <w:r>
              <w:rPr>
                <w:rFonts w:hint="eastAsia"/>
                <w:sz w:val="24"/>
              </w:rPr>
              <w:t>13</w:t>
            </w:r>
          </w:p>
        </w:tc>
        <w:tc>
          <w:tcPr>
            <w:tcW w:w="1590" w:type="dxa"/>
            <w:vAlign w:val="center"/>
          </w:tcPr>
          <w:p w14:paraId="1F6CAAC2">
            <w:pPr>
              <w:spacing w:line="360" w:lineRule="auto"/>
              <w:rPr>
                <w:sz w:val="24"/>
              </w:rPr>
            </w:pPr>
            <w:r>
              <w:rPr>
                <w:rFonts w:hint="eastAsia" w:ascii="宋体" w:cs="宋体"/>
                <w:sz w:val="24"/>
              </w:rPr>
              <w:t>*</w:t>
            </w:r>
            <w:r>
              <w:rPr>
                <w:rFonts w:hint="eastAsia"/>
                <w:sz w:val="24"/>
              </w:rPr>
              <w:t>投标文件组成</w:t>
            </w:r>
          </w:p>
        </w:tc>
        <w:tc>
          <w:tcPr>
            <w:tcW w:w="7639" w:type="dxa"/>
            <w:vAlign w:val="center"/>
          </w:tcPr>
          <w:p w14:paraId="4B0B102E">
            <w:pPr>
              <w:spacing w:line="360" w:lineRule="auto"/>
              <w:rPr>
                <w:rFonts w:ascii="宋体" w:hAnsi="宋体" w:cs="宋体"/>
                <w:sz w:val="24"/>
                <w:lang w:val="zh-CN"/>
              </w:rPr>
            </w:pPr>
            <w:r>
              <w:rPr>
                <w:rFonts w:hint="eastAsia" w:ascii="宋体" w:hAnsi="宋体" w:cs="宋体"/>
                <w:sz w:val="24"/>
                <w:lang w:val="zh-CN"/>
              </w:rPr>
              <w:t>投标文件由技术资信文件（符合性审查文件、技术</w:t>
            </w:r>
            <w:r>
              <w:rPr>
                <w:rFonts w:hint="eastAsia" w:ascii="宋体" w:hAnsi="宋体" w:cs="宋体"/>
                <w:sz w:val="24"/>
              </w:rPr>
              <w:t>文件</w:t>
            </w:r>
            <w:r>
              <w:rPr>
                <w:rFonts w:hint="eastAsia" w:ascii="宋体" w:hAnsi="宋体" w:cs="宋体"/>
                <w:sz w:val="24"/>
                <w:lang w:val="zh-CN"/>
              </w:rPr>
              <w:t>）、商务经济文件两部分组成。</w:t>
            </w:r>
          </w:p>
          <w:p w14:paraId="7EC50188">
            <w:pPr>
              <w:spacing w:line="360" w:lineRule="auto"/>
              <w:rPr>
                <w:rFonts w:ascii="宋体" w:hAnsi="宋体" w:cs="宋体"/>
                <w:sz w:val="24"/>
                <w:lang w:val="zh-CN"/>
              </w:rPr>
            </w:pPr>
            <w:r>
              <w:rPr>
                <w:rFonts w:hint="eastAsia" w:ascii="宋体" w:cs="宋体"/>
                <w:b/>
                <w:bCs/>
                <w:sz w:val="24"/>
                <w:lang w:val="zh-CN"/>
              </w:rPr>
              <w:t>其中符合性审查文件、技术文件</w:t>
            </w:r>
            <w:r>
              <w:rPr>
                <w:rFonts w:hint="eastAsia" w:ascii="宋体" w:cs="宋体"/>
                <w:b/>
                <w:bCs/>
                <w:sz w:val="24"/>
              </w:rPr>
              <w:t>合并</w:t>
            </w:r>
            <w:r>
              <w:rPr>
                <w:rFonts w:hint="eastAsia" w:ascii="宋体" w:cs="宋体"/>
                <w:b/>
                <w:bCs/>
                <w:sz w:val="24"/>
                <w:lang w:val="zh-CN"/>
              </w:rPr>
              <w:t>上传至技术资信客户端；商务经济文件制作为上传至商务经济客户端；</w:t>
            </w:r>
          </w:p>
        </w:tc>
      </w:tr>
      <w:tr w14:paraId="3E51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992" w:type="dxa"/>
            <w:vAlign w:val="center"/>
          </w:tcPr>
          <w:p w14:paraId="57611DC1">
            <w:pPr>
              <w:spacing w:line="360" w:lineRule="auto"/>
              <w:jc w:val="center"/>
              <w:rPr>
                <w:sz w:val="24"/>
              </w:rPr>
            </w:pPr>
            <w:r>
              <w:rPr>
                <w:rFonts w:hint="eastAsia"/>
                <w:sz w:val="24"/>
              </w:rPr>
              <w:t>14</w:t>
            </w:r>
          </w:p>
        </w:tc>
        <w:tc>
          <w:tcPr>
            <w:tcW w:w="1590" w:type="dxa"/>
            <w:vAlign w:val="center"/>
          </w:tcPr>
          <w:p w14:paraId="1762164A">
            <w:pPr>
              <w:spacing w:line="360" w:lineRule="auto"/>
              <w:jc w:val="center"/>
              <w:rPr>
                <w:sz w:val="24"/>
              </w:rPr>
            </w:pPr>
            <w:r>
              <w:rPr>
                <w:rFonts w:hint="eastAsia" w:ascii="宋体" w:hAnsi="宋体"/>
                <w:sz w:val="24"/>
                <w:lang w:val="zh-CN"/>
              </w:rPr>
              <w:t>投标文件编制</w:t>
            </w:r>
          </w:p>
        </w:tc>
        <w:tc>
          <w:tcPr>
            <w:tcW w:w="7639" w:type="dxa"/>
            <w:vAlign w:val="center"/>
          </w:tcPr>
          <w:p w14:paraId="0EF7A306">
            <w:pPr>
              <w:spacing w:line="360" w:lineRule="auto"/>
              <w:rPr>
                <w:rFonts w:ascii="宋体" w:hAnsi="宋体"/>
                <w:sz w:val="24"/>
              </w:rPr>
            </w:pPr>
            <w:r>
              <w:rPr>
                <w:rFonts w:ascii="宋体" w:hAnsi="宋体"/>
                <w:sz w:val="24"/>
                <w:lang w:val="zh-CN"/>
              </w:rPr>
              <w:t>投标文件应按照“投标文件格式”进行编写，并</w:t>
            </w:r>
            <w:r>
              <w:rPr>
                <w:rFonts w:hint="eastAsia" w:ascii="宋体" w:hAnsi="宋体"/>
                <w:sz w:val="24"/>
                <w:lang w:val="zh-CN"/>
              </w:rPr>
              <w:t>对招标文件有关资格证明、投标报价、付款条件、人员要求、投标有效期、投标保证金等实质性内容作出响应</w:t>
            </w:r>
          </w:p>
        </w:tc>
      </w:tr>
      <w:tr w14:paraId="3A804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992" w:type="dxa"/>
            <w:vAlign w:val="center"/>
          </w:tcPr>
          <w:p w14:paraId="4BA74A6F">
            <w:pPr>
              <w:spacing w:line="360" w:lineRule="auto"/>
              <w:jc w:val="center"/>
              <w:rPr>
                <w:sz w:val="24"/>
              </w:rPr>
            </w:pPr>
            <w:r>
              <w:rPr>
                <w:rFonts w:hint="eastAsia"/>
                <w:sz w:val="24"/>
              </w:rPr>
              <w:t>15</w:t>
            </w:r>
          </w:p>
        </w:tc>
        <w:tc>
          <w:tcPr>
            <w:tcW w:w="1590" w:type="dxa"/>
            <w:vAlign w:val="center"/>
          </w:tcPr>
          <w:p w14:paraId="0E64097E">
            <w:pPr>
              <w:spacing w:line="360" w:lineRule="auto"/>
              <w:rPr>
                <w:rFonts w:ascii="宋体" w:hAnsi="宋体"/>
                <w:sz w:val="24"/>
                <w:lang w:val="zh-CN"/>
              </w:rPr>
            </w:pPr>
            <w:r>
              <w:rPr>
                <w:rFonts w:hint="eastAsia" w:ascii="宋体" w:hAnsi="宋体"/>
                <w:sz w:val="24"/>
                <w:lang w:val="zh-CN"/>
              </w:rPr>
              <w:t>投标文件</w:t>
            </w:r>
          </w:p>
          <w:p w14:paraId="3F3A5C12">
            <w:pPr>
              <w:spacing w:line="360" w:lineRule="auto"/>
              <w:rPr>
                <w:rFonts w:ascii="宋体" w:hAnsi="宋体"/>
                <w:sz w:val="24"/>
              </w:rPr>
            </w:pPr>
            <w:r>
              <w:rPr>
                <w:rFonts w:hint="eastAsia" w:ascii="宋体" w:hAnsi="宋体"/>
                <w:sz w:val="24"/>
                <w:lang w:val="zh-CN"/>
              </w:rPr>
              <w:t>的包装、密封和递交</w:t>
            </w:r>
          </w:p>
        </w:tc>
        <w:tc>
          <w:tcPr>
            <w:tcW w:w="7639" w:type="dxa"/>
            <w:vAlign w:val="center"/>
          </w:tcPr>
          <w:p w14:paraId="632FF01C">
            <w:pPr>
              <w:spacing w:line="360" w:lineRule="auto"/>
              <w:rPr>
                <w:rFonts w:ascii="宋体" w:hAnsi="宋体" w:cs="宋体"/>
                <w:sz w:val="24"/>
                <w:lang w:val="zh-CN"/>
              </w:rPr>
            </w:pPr>
            <w:r>
              <w:rPr>
                <w:rFonts w:hint="eastAsia" w:ascii="宋体" w:hAnsi="宋体" w:cs="宋体"/>
                <w:sz w:val="24"/>
                <w:lang w:val="zh-CN"/>
              </w:rPr>
              <w:t>1.“电子加密投标文件”的递交：在线上传递交。</w:t>
            </w:r>
          </w:p>
          <w:p w14:paraId="16858364">
            <w:pPr>
              <w:spacing w:line="360" w:lineRule="auto"/>
              <w:rPr>
                <w:rFonts w:ascii="宋体" w:hAnsi="宋体" w:cs="宋体"/>
                <w:sz w:val="24"/>
                <w:lang w:val="zh-CN"/>
              </w:rPr>
            </w:pPr>
            <w:r>
              <w:rPr>
                <w:rFonts w:hint="eastAsia" w:ascii="宋体" w:hAnsi="宋体" w:cs="宋体"/>
                <w:sz w:val="24"/>
                <w:lang w:val="zh-CN"/>
              </w:rPr>
              <w:t>（1）投标人应在投标截止时间前将“电子加密投标文件”成功上传递交至“化工云商网（巨化数字化招采平台）”，否则投标无效。</w:t>
            </w:r>
          </w:p>
          <w:p w14:paraId="39545B1F">
            <w:pPr>
              <w:spacing w:line="360" w:lineRule="auto"/>
              <w:rPr>
                <w:rFonts w:ascii="宋体" w:hAnsi="宋体" w:cs="宋体"/>
                <w:sz w:val="24"/>
                <w:lang w:val="zh-CN"/>
              </w:rPr>
            </w:pPr>
            <w:r>
              <w:rPr>
                <w:rFonts w:hint="eastAsia" w:ascii="宋体" w:hAnsi="宋体" w:cs="宋体"/>
                <w:sz w:val="24"/>
                <w:lang w:val="zh-CN"/>
              </w:rPr>
              <w:t>2.“纸质投标文件”：</w:t>
            </w:r>
          </w:p>
          <w:p w14:paraId="3DCF1D80">
            <w:pPr>
              <w:spacing w:line="360" w:lineRule="auto"/>
              <w:rPr>
                <w:rFonts w:ascii="宋体" w:hAnsi="宋体"/>
                <w:sz w:val="24"/>
              </w:rPr>
            </w:pPr>
            <w:r>
              <w:rPr>
                <w:rFonts w:hint="eastAsia" w:ascii="宋体" w:hAnsi="宋体" w:cs="宋体"/>
                <w:sz w:val="24"/>
                <w:lang w:val="zh-CN"/>
              </w:rPr>
              <w:t>投标时无需提供“纸质投标文件”，中标人须在中标候选人公示发出后5个工作日内提供</w:t>
            </w:r>
            <w:r>
              <w:rPr>
                <w:rFonts w:hint="eastAsia" w:ascii="宋体" w:hAnsi="宋体" w:cs="宋体"/>
                <w:sz w:val="24"/>
              </w:rPr>
              <w:t>2</w:t>
            </w:r>
            <w:r>
              <w:rPr>
                <w:rFonts w:hint="eastAsia" w:ascii="宋体" w:hAnsi="宋体" w:cs="宋体"/>
                <w:sz w:val="24"/>
                <w:lang w:val="zh-CN"/>
              </w:rPr>
              <w:t>套纸质投标文件，纸质投标文件须打印有签章的电子投标文件，纸质投标文件可以将技术资信文件、商务经济文件两部分装订成册直接邮寄，邮寄或送达地址：</w:t>
            </w:r>
            <w:r>
              <w:rPr>
                <w:rFonts w:hint="eastAsia" w:ascii="宋体" w:hAnsi="宋体" w:cs="宋体"/>
                <w:sz w:val="24"/>
              </w:rPr>
              <w:t>浙江省衢州市柯城区衢化街道文昌路99号九州大厦四楼</w:t>
            </w:r>
            <w:r>
              <w:rPr>
                <w:rFonts w:hint="eastAsia" w:ascii="宋体" w:hAnsi="宋体" w:cs="宋体"/>
                <w:sz w:val="24"/>
                <w:lang w:val="zh-CN"/>
              </w:rPr>
              <w:t>，收件人：王靓，13059721359。</w:t>
            </w:r>
          </w:p>
        </w:tc>
      </w:tr>
      <w:tr w14:paraId="125C8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92" w:type="dxa"/>
            <w:vAlign w:val="center"/>
          </w:tcPr>
          <w:p w14:paraId="1E517A9F">
            <w:pPr>
              <w:spacing w:line="360" w:lineRule="auto"/>
              <w:jc w:val="center"/>
              <w:rPr>
                <w:sz w:val="24"/>
              </w:rPr>
            </w:pPr>
            <w:r>
              <w:rPr>
                <w:rFonts w:hint="eastAsia"/>
                <w:sz w:val="24"/>
              </w:rPr>
              <w:t>16</w:t>
            </w:r>
          </w:p>
        </w:tc>
        <w:tc>
          <w:tcPr>
            <w:tcW w:w="1590" w:type="dxa"/>
            <w:vAlign w:val="center"/>
          </w:tcPr>
          <w:p w14:paraId="44069CAA">
            <w:pPr>
              <w:spacing w:line="360" w:lineRule="auto"/>
              <w:rPr>
                <w:sz w:val="24"/>
              </w:rPr>
            </w:pPr>
            <w:r>
              <w:rPr>
                <w:rFonts w:hint="eastAsia" w:ascii="宋体" w:hAnsi="宋体"/>
                <w:sz w:val="24"/>
                <w:lang w:val="zh-CN"/>
              </w:rPr>
              <w:t>投标截止时间和地址</w:t>
            </w:r>
          </w:p>
        </w:tc>
        <w:tc>
          <w:tcPr>
            <w:tcW w:w="7639" w:type="dxa"/>
            <w:vAlign w:val="center"/>
          </w:tcPr>
          <w:p w14:paraId="717718FA">
            <w:pPr>
              <w:spacing w:line="360" w:lineRule="auto"/>
              <w:rPr>
                <w:rFonts w:ascii="宋体" w:hAnsi="宋体" w:cs="宋体"/>
                <w:sz w:val="24"/>
                <w:lang w:val="zh-CN"/>
              </w:rPr>
            </w:pPr>
            <w:r>
              <w:rPr>
                <w:rFonts w:hint="eastAsia" w:ascii="宋体" w:hAnsi="宋体" w:cs="宋体"/>
                <w:sz w:val="24"/>
                <w:lang w:val="zh-CN"/>
              </w:rPr>
              <w:t>投标截止时间：详见第一章“招标公告”。</w:t>
            </w:r>
          </w:p>
          <w:p w14:paraId="11EA2372">
            <w:pPr>
              <w:spacing w:line="360" w:lineRule="auto"/>
              <w:rPr>
                <w:sz w:val="24"/>
              </w:rPr>
            </w:pPr>
            <w:r>
              <w:rPr>
                <w:rFonts w:hint="eastAsia" w:ascii="宋体" w:hAnsi="宋体" w:cs="宋体"/>
                <w:sz w:val="24"/>
                <w:lang w:val="zh-CN"/>
              </w:rPr>
              <w:t>投标地址：巨化数字化招采平台。</w:t>
            </w:r>
          </w:p>
        </w:tc>
      </w:tr>
      <w:tr w14:paraId="05D2D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92" w:type="dxa"/>
            <w:vAlign w:val="center"/>
          </w:tcPr>
          <w:p w14:paraId="2103EBD4">
            <w:pPr>
              <w:spacing w:line="360" w:lineRule="auto"/>
              <w:jc w:val="center"/>
              <w:rPr>
                <w:sz w:val="24"/>
              </w:rPr>
            </w:pPr>
            <w:r>
              <w:rPr>
                <w:rFonts w:hint="eastAsia"/>
                <w:sz w:val="24"/>
              </w:rPr>
              <w:t>17</w:t>
            </w:r>
          </w:p>
        </w:tc>
        <w:tc>
          <w:tcPr>
            <w:tcW w:w="1590" w:type="dxa"/>
            <w:vAlign w:val="center"/>
          </w:tcPr>
          <w:p w14:paraId="1A3F2098">
            <w:pPr>
              <w:snapToGrid w:val="0"/>
              <w:spacing w:line="360" w:lineRule="auto"/>
              <w:rPr>
                <w:rFonts w:ascii="宋体" w:hAnsi="宋体"/>
                <w:sz w:val="24"/>
                <w:lang w:val="zh-CN"/>
              </w:rPr>
            </w:pPr>
            <w:r>
              <w:rPr>
                <w:rFonts w:hint="eastAsia" w:ascii="宋体"/>
                <w:sz w:val="24"/>
                <w:highlight w:val="yellow"/>
                <w:lang w:val="zh-CN"/>
              </w:rPr>
              <w:t>投标人报价</w:t>
            </w:r>
          </w:p>
        </w:tc>
        <w:tc>
          <w:tcPr>
            <w:tcW w:w="7639" w:type="dxa"/>
            <w:vAlign w:val="center"/>
          </w:tcPr>
          <w:p w14:paraId="2660C066">
            <w:pPr>
              <w:spacing w:line="360" w:lineRule="auto"/>
              <w:rPr>
                <w:sz w:val="24"/>
                <w:lang w:val="zh-CN"/>
              </w:rPr>
            </w:pPr>
            <w:r>
              <w:rPr>
                <w:rFonts w:hint="eastAsia"/>
                <w:sz w:val="24"/>
              </w:rPr>
              <w:t>1、</w:t>
            </w:r>
            <w:r>
              <w:rPr>
                <w:rFonts w:hint="eastAsia"/>
                <w:sz w:val="24"/>
                <w:lang w:val="zh-CN"/>
              </w:rPr>
              <w:t>本项目投标应以投标结算率报价。</w:t>
            </w:r>
          </w:p>
          <w:p w14:paraId="63D8DB99">
            <w:pPr>
              <w:spacing w:line="360" w:lineRule="auto"/>
              <w:rPr>
                <w:sz w:val="24"/>
                <w:lang w:val="zh-CN"/>
              </w:rPr>
            </w:pPr>
            <w:r>
              <w:rPr>
                <w:rFonts w:hint="eastAsia"/>
                <w:sz w:val="24"/>
              </w:rPr>
              <w:t>2、</w:t>
            </w:r>
            <w:r>
              <w:rPr>
                <w:rFonts w:hint="eastAsia"/>
                <w:sz w:val="24"/>
                <w:lang w:val="zh-CN"/>
              </w:rPr>
              <w:t>报价方式：在《</w:t>
            </w:r>
            <w:r>
              <w:rPr>
                <w:rFonts w:hint="eastAsia"/>
                <w:sz w:val="24"/>
              </w:rPr>
              <w:t>部分产品包装搬运装卸项目价目表</w:t>
            </w:r>
            <w:r>
              <w:rPr>
                <w:rFonts w:hint="eastAsia"/>
                <w:sz w:val="24"/>
                <w:lang w:val="zh-CN"/>
              </w:rPr>
              <w:t>》</w:t>
            </w:r>
            <w:r>
              <w:rPr>
                <w:rFonts w:hint="eastAsia"/>
                <w:sz w:val="24"/>
              </w:rPr>
              <w:t>/</w:t>
            </w:r>
            <w:r>
              <w:rPr>
                <w:rFonts w:hint="eastAsia"/>
                <w:sz w:val="24"/>
                <w:lang w:val="zh-CN"/>
              </w:rPr>
              <w:t>《</w:t>
            </w:r>
            <w:r>
              <w:rPr>
                <w:rFonts w:hint="eastAsia"/>
                <w:sz w:val="24"/>
              </w:rPr>
              <w:t>卸盐化盐项目劳务费用结算价目表</w:t>
            </w:r>
            <w:r>
              <w:rPr>
                <w:rFonts w:hint="eastAsia"/>
                <w:sz w:val="24"/>
                <w:lang w:val="zh-CN"/>
              </w:rPr>
              <w:t>》的基础上，</w:t>
            </w:r>
            <w:r>
              <w:rPr>
                <w:rFonts w:hint="eastAsia"/>
                <w:sz w:val="24"/>
              </w:rPr>
              <w:t>投标</w:t>
            </w:r>
            <w:r>
              <w:rPr>
                <w:rFonts w:hint="eastAsia"/>
                <w:sz w:val="24"/>
                <w:lang w:val="zh-CN"/>
              </w:rPr>
              <w:t>结算率为 95.0%（含）～99.0% （含）。</w:t>
            </w:r>
          </w:p>
          <w:p w14:paraId="49A7EBE7">
            <w:pPr>
              <w:spacing w:line="360" w:lineRule="auto"/>
              <w:rPr>
                <w:sz w:val="24"/>
                <w:lang w:val="zh-CN"/>
              </w:rPr>
            </w:pPr>
            <w:r>
              <w:rPr>
                <w:rFonts w:hint="eastAsia"/>
                <w:sz w:val="24"/>
              </w:rPr>
              <w:t>3、</w:t>
            </w:r>
            <w:r>
              <w:rPr>
                <w:rFonts w:hint="eastAsia"/>
                <w:sz w:val="24"/>
                <w:lang w:val="zh-CN"/>
              </w:rPr>
              <w:t>结算时按招标文件《部分产品包装搬运装卸项目价目表》</w:t>
            </w:r>
            <w:r>
              <w:rPr>
                <w:rFonts w:hint="eastAsia"/>
                <w:sz w:val="24"/>
              </w:rPr>
              <w:t>/</w:t>
            </w:r>
            <w:r>
              <w:rPr>
                <w:rFonts w:hint="eastAsia"/>
                <w:sz w:val="24"/>
                <w:lang w:val="zh-CN"/>
              </w:rPr>
              <w:t>《</w:t>
            </w:r>
            <w:r>
              <w:rPr>
                <w:rFonts w:hint="eastAsia"/>
                <w:sz w:val="24"/>
              </w:rPr>
              <w:t>卸盐化盐项目劳务费用结算价目表</w:t>
            </w:r>
            <w:r>
              <w:rPr>
                <w:rFonts w:hint="eastAsia"/>
                <w:sz w:val="24"/>
                <w:lang w:val="zh-CN"/>
              </w:rPr>
              <w:t>》的劳务费报价×投标结算率</w:t>
            </w:r>
            <w:r>
              <w:rPr>
                <w:rFonts w:hint="eastAsia"/>
                <w:sz w:val="24"/>
                <w:highlight w:val="yellow"/>
                <w:u w:val="single"/>
              </w:rPr>
              <w:t xml:space="preserve">    </w:t>
            </w:r>
            <w:r>
              <w:rPr>
                <w:rFonts w:hint="eastAsia"/>
                <w:sz w:val="24"/>
              </w:rPr>
              <w:t>%</w:t>
            </w:r>
            <w:r>
              <w:rPr>
                <w:rFonts w:hint="eastAsia"/>
                <w:sz w:val="24"/>
                <w:lang w:val="zh-CN"/>
              </w:rPr>
              <w:t>计算劳务费用。劳务费报价已包含</w:t>
            </w:r>
            <w:r>
              <w:rPr>
                <w:rFonts w:hint="eastAsia"/>
                <w:sz w:val="24"/>
              </w:rPr>
              <w:t>薪酬</w:t>
            </w:r>
            <w:r>
              <w:rPr>
                <w:rFonts w:hint="eastAsia"/>
                <w:sz w:val="24"/>
                <w:lang w:val="zh-CN"/>
              </w:rPr>
              <w:t>、劳保用品、福利、门禁、住宿、餐费、交通、税收、管理费、社会保险、入职和职业健康体检、法定节假日加班费、夜餐津贴、高温津贴等费用。</w:t>
            </w:r>
          </w:p>
          <w:p w14:paraId="685F0258">
            <w:pPr>
              <w:spacing w:line="360" w:lineRule="auto"/>
              <w:rPr>
                <w:sz w:val="24"/>
                <w:lang w:val="zh-CN"/>
              </w:rPr>
            </w:pPr>
            <w:r>
              <w:rPr>
                <w:rFonts w:hint="eastAsia"/>
                <w:sz w:val="24"/>
              </w:rPr>
              <w:t>4、</w:t>
            </w:r>
            <w:r>
              <w:rPr>
                <w:rFonts w:hint="eastAsia"/>
                <w:sz w:val="24"/>
                <w:lang w:val="zh-CN"/>
              </w:rPr>
              <w:t>中标人的工作完成清单由人力资源部负责统计确认。</w:t>
            </w:r>
            <w:r>
              <w:rPr>
                <w:rFonts w:hint="eastAsia"/>
                <w:sz w:val="24"/>
              </w:rPr>
              <w:t>招标人</w:t>
            </w:r>
            <w:r>
              <w:rPr>
                <w:rFonts w:hint="eastAsia"/>
                <w:sz w:val="24"/>
                <w:lang w:val="zh-CN"/>
              </w:rPr>
              <w:t>依据</w:t>
            </w:r>
            <w:r>
              <w:rPr>
                <w:rFonts w:hint="eastAsia"/>
                <w:sz w:val="24"/>
              </w:rPr>
              <w:t>中标人</w:t>
            </w:r>
            <w:r>
              <w:rPr>
                <w:rFonts w:hint="eastAsia"/>
                <w:sz w:val="24"/>
                <w:lang w:val="zh-CN"/>
              </w:rPr>
              <w:t>完成本标段承包业务按月通过银行转账向乙方支付劳务费。</w:t>
            </w:r>
          </w:p>
          <w:p w14:paraId="5023BC33">
            <w:pPr>
              <w:spacing w:line="360" w:lineRule="auto"/>
              <w:rPr>
                <w:sz w:val="24"/>
                <w:lang w:val="zh-CN"/>
              </w:rPr>
            </w:pPr>
            <w:r>
              <w:rPr>
                <w:rFonts w:hint="eastAsia"/>
                <w:sz w:val="24"/>
              </w:rPr>
              <w:t>5、</w:t>
            </w:r>
            <w:r>
              <w:rPr>
                <w:rFonts w:hint="eastAsia"/>
                <w:sz w:val="24"/>
                <w:lang w:val="zh-CN"/>
              </w:rPr>
              <w:t>中标人承诺：各项费用在实际发生的次月结算。</w:t>
            </w:r>
          </w:p>
          <w:p w14:paraId="13F95888">
            <w:pPr>
              <w:spacing w:line="360" w:lineRule="auto"/>
              <w:rPr>
                <w:rFonts w:ascii="宋体" w:hAnsi="宋体"/>
                <w:sz w:val="24"/>
                <w:lang w:val="zh-CN"/>
              </w:rPr>
            </w:pPr>
            <w:r>
              <w:rPr>
                <w:rFonts w:hint="eastAsia"/>
                <w:sz w:val="24"/>
              </w:rPr>
              <w:t>6、</w:t>
            </w:r>
            <w:r>
              <w:rPr>
                <w:rFonts w:hint="eastAsia"/>
                <w:sz w:val="24"/>
                <w:lang w:val="zh-CN"/>
              </w:rPr>
              <w:t>不论投标结果如何，投标人均应自行承担所有与投标有关的全部费用。</w:t>
            </w:r>
          </w:p>
        </w:tc>
      </w:tr>
      <w:tr w14:paraId="2936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992" w:type="dxa"/>
            <w:vAlign w:val="center"/>
          </w:tcPr>
          <w:p w14:paraId="125D69BB">
            <w:pPr>
              <w:spacing w:line="360" w:lineRule="auto"/>
              <w:jc w:val="center"/>
              <w:rPr>
                <w:sz w:val="24"/>
              </w:rPr>
            </w:pPr>
            <w:r>
              <w:rPr>
                <w:rFonts w:hint="eastAsia"/>
                <w:sz w:val="24"/>
              </w:rPr>
              <w:t>18</w:t>
            </w:r>
          </w:p>
        </w:tc>
        <w:tc>
          <w:tcPr>
            <w:tcW w:w="1590" w:type="dxa"/>
            <w:vAlign w:val="center"/>
          </w:tcPr>
          <w:p w14:paraId="15D8B50C">
            <w:pPr>
              <w:spacing w:line="360" w:lineRule="auto"/>
              <w:rPr>
                <w:rFonts w:ascii="宋体" w:hAnsi="宋体"/>
                <w:sz w:val="24"/>
                <w:lang w:val="zh-CN"/>
              </w:rPr>
            </w:pPr>
            <w:r>
              <w:rPr>
                <w:rFonts w:hint="eastAsia" w:ascii="宋体"/>
                <w:sz w:val="24"/>
                <w:lang w:val="zh-CN"/>
              </w:rPr>
              <w:t>中标人</w:t>
            </w:r>
            <w:r>
              <w:rPr>
                <w:rFonts w:hint="eastAsia" w:ascii="宋体"/>
                <w:sz w:val="24"/>
              </w:rPr>
              <w:t>数量</w:t>
            </w:r>
          </w:p>
        </w:tc>
        <w:tc>
          <w:tcPr>
            <w:tcW w:w="7639" w:type="dxa"/>
            <w:vAlign w:val="center"/>
          </w:tcPr>
          <w:p w14:paraId="6F696262">
            <w:pPr>
              <w:snapToGrid w:val="0"/>
              <w:spacing w:line="360" w:lineRule="auto"/>
              <w:rPr>
                <w:rFonts w:ascii="宋体" w:hAnsi="宋体" w:cs="宋体"/>
                <w:sz w:val="24"/>
                <w:lang w:val="zh-CN"/>
              </w:rPr>
            </w:pPr>
            <w:r>
              <w:rPr>
                <w:rFonts w:hint="eastAsia" w:ascii="宋体" w:hAnsi="宋体" w:cs="宋体"/>
                <w:sz w:val="24"/>
                <w:lang w:val="zh-CN"/>
              </w:rPr>
              <w:t xml:space="preserve">标段一  </w:t>
            </w:r>
            <w:r>
              <w:rPr>
                <w:rFonts w:ascii="宋体" w:hAnsi="宋体" w:cs="宋体"/>
                <w:sz w:val="24"/>
              </w:rPr>
              <w:t>“</w:t>
            </w:r>
            <w:r>
              <w:rPr>
                <w:rFonts w:hint="eastAsia" w:ascii="宋体" w:hAnsi="宋体" w:cs="宋体"/>
                <w:sz w:val="24"/>
              </w:rPr>
              <w:t>部分产品包装搬运装卸项目</w:t>
            </w:r>
            <w:r>
              <w:rPr>
                <w:rFonts w:ascii="宋体" w:hAnsi="宋体" w:cs="宋体"/>
                <w:sz w:val="24"/>
              </w:rPr>
              <w:t>”</w:t>
            </w:r>
            <w:r>
              <w:rPr>
                <w:rFonts w:hint="eastAsia" w:ascii="宋体" w:hAnsi="宋体" w:cs="宋体"/>
                <w:sz w:val="24"/>
                <w:lang w:val="zh-CN"/>
              </w:rPr>
              <w:t>。</w:t>
            </w:r>
            <w:r>
              <w:rPr>
                <w:rFonts w:hint="eastAsia" w:ascii="宋体"/>
                <w:sz w:val="24"/>
                <w:lang w:val="zh-CN"/>
              </w:rPr>
              <w:t>中标候选人数：</w:t>
            </w:r>
            <w:r>
              <w:rPr>
                <w:rFonts w:hint="eastAsia" w:ascii="宋体"/>
                <w:sz w:val="24"/>
              </w:rPr>
              <w:t>1</w:t>
            </w:r>
            <w:r>
              <w:rPr>
                <w:rFonts w:hint="eastAsia" w:ascii="宋体"/>
                <w:sz w:val="24"/>
                <w:lang w:val="zh-CN"/>
              </w:rPr>
              <w:t xml:space="preserve"> 家。</w:t>
            </w:r>
          </w:p>
          <w:p w14:paraId="5871BEE6">
            <w:pPr>
              <w:spacing w:line="360" w:lineRule="auto"/>
              <w:rPr>
                <w:sz w:val="24"/>
                <w:lang w:val="zh-CN"/>
              </w:rPr>
            </w:pPr>
            <w:r>
              <w:rPr>
                <w:rFonts w:hint="eastAsia" w:ascii="宋体" w:hAnsi="宋体" w:cs="宋体"/>
                <w:sz w:val="24"/>
                <w:lang w:val="zh-CN"/>
              </w:rPr>
              <w:t xml:space="preserve">标段二 </w:t>
            </w:r>
            <w:r>
              <w:rPr>
                <w:rFonts w:ascii="宋体" w:hAnsi="宋体" w:cs="宋体"/>
                <w:sz w:val="24"/>
              </w:rPr>
              <w:t>“</w:t>
            </w:r>
            <w:r>
              <w:rPr>
                <w:rFonts w:hint="eastAsia" w:ascii="宋体" w:hAnsi="宋体" w:cs="宋体"/>
                <w:sz w:val="24"/>
              </w:rPr>
              <w:t>卸盐化盐项目</w:t>
            </w:r>
            <w:r>
              <w:rPr>
                <w:rFonts w:ascii="宋体" w:hAnsi="宋体" w:cs="宋体"/>
                <w:sz w:val="24"/>
              </w:rPr>
              <w:t>”</w:t>
            </w:r>
            <w:r>
              <w:rPr>
                <w:rFonts w:hint="eastAsia" w:ascii="宋体" w:hAnsi="宋体" w:cs="宋体"/>
                <w:sz w:val="24"/>
                <w:lang w:val="zh-CN"/>
              </w:rPr>
              <w:t>。</w:t>
            </w:r>
            <w:r>
              <w:rPr>
                <w:rFonts w:hint="eastAsia" w:ascii="宋体"/>
                <w:sz w:val="24"/>
                <w:lang w:val="zh-CN"/>
              </w:rPr>
              <w:t>中标候选人数：</w:t>
            </w:r>
            <w:r>
              <w:rPr>
                <w:rFonts w:hint="eastAsia" w:ascii="宋体"/>
                <w:sz w:val="24"/>
              </w:rPr>
              <w:t>1</w:t>
            </w:r>
            <w:r>
              <w:rPr>
                <w:rFonts w:hint="eastAsia" w:ascii="宋体"/>
                <w:sz w:val="24"/>
                <w:lang w:val="zh-CN"/>
              </w:rPr>
              <w:t xml:space="preserve"> 家。</w:t>
            </w:r>
          </w:p>
        </w:tc>
      </w:tr>
      <w:tr w14:paraId="44D87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92" w:type="dxa"/>
            <w:vAlign w:val="center"/>
          </w:tcPr>
          <w:p w14:paraId="1410AF74">
            <w:pPr>
              <w:spacing w:line="360" w:lineRule="auto"/>
              <w:jc w:val="center"/>
              <w:rPr>
                <w:sz w:val="24"/>
              </w:rPr>
            </w:pPr>
            <w:r>
              <w:rPr>
                <w:rFonts w:hint="eastAsia"/>
                <w:sz w:val="24"/>
              </w:rPr>
              <w:t>19</w:t>
            </w:r>
          </w:p>
        </w:tc>
        <w:tc>
          <w:tcPr>
            <w:tcW w:w="1590" w:type="dxa"/>
            <w:vAlign w:val="center"/>
          </w:tcPr>
          <w:p w14:paraId="6051DB6A">
            <w:pPr>
              <w:spacing w:line="360" w:lineRule="auto"/>
              <w:rPr>
                <w:rFonts w:ascii="宋体" w:hAnsi="宋体"/>
                <w:sz w:val="24"/>
                <w:lang w:val="zh-CN"/>
              </w:rPr>
            </w:pPr>
            <w:r>
              <w:rPr>
                <w:rFonts w:hint="eastAsia"/>
                <w:sz w:val="24"/>
              </w:rPr>
              <w:t>中标通知</w:t>
            </w:r>
          </w:p>
        </w:tc>
        <w:tc>
          <w:tcPr>
            <w:tcW w:w="7639" w:type="dxa"/>
            <w:vAlign w:val="center"/>
          </w:tcPr>
          <w:p w14:paraId="56DDC805">
            <w:pPr>
              <w:spacing w:line="360" w:lineRule="auto"/>
              <w:rPr>
                <w:rFonts w:ascii="宋体" w:hAnsi="宋体"/>
                <w:sz w:val="24"/>
              </w:rPr>
            </w:pPr>
            <w:r>
              <w:rPr>
                <w:rFonts w:hint="eastAsia"/>
                <w:sz w:val="24"/>
              </w:rPr>
              <w:t>在投标有效期内，招标人以书面形式向中标人发出中标通知书</w:t>
            </w:r>
            <w:r>
              <w:rPr>
                <w:rFonts w:hint="eastAsia" w:ascii="宋体"/>
                <w:sz w:val="24"/>
                <w:lang w:val="zh-CN"/>
              </w:rPr>
              <w:t>。</w:t>
            </w:r>
          </w:p>
        </w:tc>
      </w:tr>
      <w:tr w14:paraId="62ECF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92" w:type="dxa"/>
            <w:vAlign w:val="center"/>
          </w:tcPr>
          <w:p w14:paraId="0535F7DE">
            <w:pPr>
              <w:spacing w:line="360" w:lineRule="auto"/>
              <w:jc w:val="center"/>
              <w:rPr>
                <w:sz w:val="24"/>
              </w:rPr>
            </w:pPr>
            <w:r>
              <w:rPr>
                <w:rFonts w:hint="eastAsia"/>
                <w:sz w:val="24"/>
              </w:rPr>
              <w:t>20</w:t>
            </w:r>
          </w:p>
        </w:tc>
        <w:tc>
          <w:tcPr>
            <w:tcW w:w="1590" w:type="dxa"/>
            <w:vAlign w:val="center"/>
          </w:tcPr>
          <w:p w14:paraId="1CA8A7EB">
            <w:pPr>
              <w:spacing w:line="360" w:lineRule="auto"/>
              <w:rPr>
                <w:rFonts w:ascii="宋体" w:hAnsi="宋体"/>
                <w:sz w:val="24"/>
              </w:rPr>
            </w:pPr>
            <w:r>
              <w:rPr>
                <w:rFonts w:hint="eastAsia" w:ascii="宋体" w:cs="宋体"/>
                <w:b/>
                <w:bCs/>
                <w:sz w:val="24"/>
              </w:rPr>
              <w:t>*</w:t>
            </w:r>
            <w:r>
              <w:rPr>
                <w:rFonts w:hint="eastAsia"/>
                <w:b/>
                <w:bCs/>
                <w:sz w:val="24"/>
              </w:rPr>
              <w:t>履约担保</w:t>
            </w:r>
          </w:p>
        </w:tc>
        <w:tc>
          <w:tcPr>
            <w:tcW w:w="7639" w:type="dxa"/>
            <w:vAlign w:val="center"/>
          </w:tcPr>
          <w:p w14:paraId="7143D069">
            <w:pPr>
              <w:spacing w:line="360" w:lineRule="auto"/>
              <w:rPr>
                <w:sz w:val="24"/>
                <w:lang w:val="zh-CN"/>
              </w:rPr>
            </w:pPr>
            <w:r>
              <w:rPr>
                <w:rFonts w:hint="eastAsia"/>
                <w:sz w:val="24"/>
              </w:rPr>
              <w:t>1.</w:t>
            </w:r>
            <w:r>
              <w:rPr>
                <w:rFonts w:hint="eastAsia"/>
                <w:sz w:val="24"/>
                <w:lang w:val="zh-CN"/>
              </w:rPr>
              <w:t>履约担保的金额：中标人应提交金额为</w:t>
            </w:r>
            <w:r>
              <w:rPr>
                <w:rFonts w:hint="eastAsia"/>
                <w:sz w:val="24"/>
              </w:rPr>
              <w:t>1</w:t>
            </w:r>
            <w:r>
              <w:rPr>
                <w:sz w:val="24"/>
              </w:rPr>
              <w:t>0</w:t>
            </w:r>
            <w:r>
              <w:rPr>
                <w:rFonts w:hint="eastAsia"/>
                <w:sz w:val="24"/>
              </w:rPr>
              <w:t>000</w:t>
            </w:r>
            <w:r>
              <w:rPr>
                <w:rFonts w:hint="eastAsia"/>
                <w:sz w:val="24"/>
                <w:lang w:val="zh-CN"/>
              </w:rPr>
              <w:t>元的履约担保（无息）；</w:t>
            </w:r>
            <w:r>
              <w:rPr>
                <w:rFonts w:hint="eastAsia"/>
                <w:sz w:val="24"/>
              </w:rPr>
              <w:t>2</w:t>
            </w:r>
            <w:r>
              <w:rPr>
                <w:rFonts w:hint="eastAsia"/>
                <w:sz w:val="24"/>
                <w:lang w:val="zh-CN"/>
              </w:rPr>
              <w:t>.履约担保的缴纳时间：以银行转账方式缴纳的，在中标通知书发出后</w:t>
            </w:r>
            <w:r>
              <w:rPr>
                <w:rFonts w:hint="eastAsia"/>
                <w:sz w:val="24"/>
              </w:rPr>
              <w:t>15</w:t>
            </w:r>
            <w:r>
              <w:rPr>
                <w:rFonts w:hint="eastAsia"/>
                <w:sz w:val="24"/>
                <w:lang w:val="zh-CN"/>
              </w:rPr>
              <w:t>个工作日内必须汇入招标人指定账户；采用履约保函的，自合同签订后20日历天内提交，逾期将取消中标资格。</w:t>
            </w:r>
          </w:p>
          <w:p w14:paraId="13E9B87C">
            <w:pPr>
              <w:spacing w:line="360" w:lineRule="auto"/>
              <w:rPr>
                <w:rFonts w:ascii="宋体" w:hAnsi="宋体"/>
                <w:bCs/>
                <w:sz w:val="24"/>
              </w:rPr>
            </w:pPr>
            <w:r>
              <w:rPr>
                <w:rFonts w:hint="eastAsia"/>
                <w:sz w:val="24"/>
              </w:rPr>
              <w:t>3</w:t>
            </w:r>
            <w:r>
              <w:rPr>
                <w:rFonts w:hint="eastAsia"/>
                <w:sz w:val="24"/>
                <w:lang w:val="zh-CN"/>
              </w:rPr>
              <w:t>.中标单位履约担保年度招标服务结束后1个月内退还（无息）。如有违约，扣除违约金后其余无息退还。</w:t>
            </w:r>
          </w:p>
        </w:tc>
      </w:tr>
      <w:tr w14:paraId="05760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2" w:type="dxa"/>
            <w:vAlign w:val="center"/>
          </w:tcPr>
          <w:p w14:paraId="43230BC3">
            <w:pPr>
              <w:spacing w:line="360" w:lineRule="auto"/>
              <w:jc w:val="center"/>
              <w:rPr>
                <w:sz w:val="24"/>
              </w:rPr>
            </w:pPr>
            <w:r>
              <w:rPr>
                <w:rFonts w:hint="eastAsia"/>
                <w:sz w:val="24"/>
              </w:rPr>
              <w:t>21</w:t>
            </w:r>
          </w:p>
        </w:tc>
        <w:tc>
          <w:tcPr>
            <w:tcW w:w="1590" w:type="dxa"/>
            <w:vAlign w:val="center"/>
          </w:tcPr>
          <w:p w14:paraId="0B2C3C5B">
            <w:pPr>
              <w:spacing w:line="360" w:lineRule="auto"/>
              <w:rPr>
                <w:rFonts w:ascii="宋体" w:hAnsi="宋体"/>
                <w:sz w:val="24"/>
                <w:lang w:val="zh-CN"/>
              </w:rPr>
            </w:pPr>
            <w:r>
              <w:rPr>
                <w:rFonts w:hint="eastAsia"/>
                <w:sz w:val="24"/>
              </w:rPr>
              <w:t>社保证明</w:t>
            </w:r>
          </w:p>
        </w:tc>
        <w:tc>
          <w:tcPr>
            <w:tcW w:w="7639" w:type="dxa"/>
            <w:vAlign w:val="center"/>
          </w:tcPr>
          <w:p w14:paraId="646E9597">
            <w:pPr>
              <w:spacing w:line="360" w:lineRule="auto"/>
              <w:rPr>
                <w:sz w:val="24"/>
                <w:lang w:val="zh-CN"/>
              </w:rPr>
            </w:pPr>
            <w:r>
              <w:rPr>
                <w:rFonts w:hint="eastAsia"/>
                <w:sz w:val="24"/>
              </w:rPr>
              <w:t>投标人须提供为项目负责人缴纳的投标截止日前近一个月的社保证明，否则作否决处理。</w:t>
            </w:r>
          </w:p>
        </w:tc>
      </w:tr>
      <w:tr w14:paraId="123B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92" w:type="dxa"/>
            <w:vAlign w:val="center"/>
          </w:tcPr>
          <w:p w14:paraId="4B0B8F99">
            <w:pPr>
              <w:spacing w:line="360" w:lineRule="auto"/>
              <w:jc w:val="center"/>
              <w:rPr>
                <w:sz w:val="24"/>
              </w:rPr>
            </w:pPr>
            <w:r>
              <w:rPr>
                <w:rFonts w:hint="eastAsia"/>
                <w:sz w:val="24"/>
              </w:rPr>
              <w:t>22</w:t>
            </w:r>
          </w:p>
        </w:tc>
        <w:tc>
          <w:tcPr>
            <w:tcW w:w="1590" w:type="dxa"/>
            <w:vAlign w:val="center"/>
          </w:tcPr>
          <w:p w14:paraId="1A8C5B30">
            <w:pPr>
              <w:snapToGrid w:val="0"/>
              <w:spacing w:line="360" w:lineRule="auto"/>
              <w:rPr>
                <w:rFonts w:ascii="宋体" w:hAnsi="宋体"/>
                <w:sz w:val="24"/>
              </w:rPr>
            </w:pPr>
            <w:r>
              <w:rPr>
                <w:rFonts w:ascii="宋体" w:hAnsi="宋体"/>
                <w:sz w:val="24"/>
              </w:rPr>
              <w:t>解释权</w:t>
            </w:r>
          </w:p>
        </w:tc>
        <w:tc>
          <w:tcPr>
            <w:tcW w:w="7639" w:type="dxa"/>
            <w:vAlign w:val="center"/>
          </w:tcPr>
          <w:p w14:paraId="1309B56C">
            <w:pPr>
              <w:autoSpaceDE w:val="0"/>
              <w:autoSpaceDN w:val="0"/>
              <w:snapToGrid w:val="0"/>
              <w:spacing w:line="360" w:lineRule="auto"/>
              <w:textAlignment w:val="bottom"/>
              <w:rPr>
                <w:rFonts w:ascii="宋体" w:hAnsi="宋体"/>
                <w:bCs/>
                <w:sz w:val="24"/>
              </w:rPr>
            </w:pPr>
            <w:r>
              <w:rPr>
                <w:rFonts w:ascii="宋体" w:hAnsi="宋体"/>
                <w:sz w:val="24"/>
              </w:rPr>
              <w:t>本招标文件的解释权属于招标人和招标代理机构。</w:t>
            </w:r>
          </w:p>
        </w:tc>
      </w:tr>
      <w:tr w14:paraId="19C50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992" w:type="dxa"/>
            <w:vAlign w:val="center"/>
          </w:tcPr>
          <w:p w14:paraId="696A2B74">
            <w:pPr>
              <w:spacing w:line="360" w:lineRule="auto"/>
              <w:jc w:val="center"/>
              <w:rPr>
                <w:sz w:val="24"/>
              </w:rPr>
            </w:pPr>
            <w:r>
              <w:rPr>
                <w:rFonts w:hint="eastAsia"/>
                <w:sz w:val="24"/>
              </w:rPr>
              <w:t>23</w:t>
            </w:r>
          </w:p>
        </w:tc>
        <w:tc>
          <w:tcPr>
            <w:tcW w:w="9229" w:type="dxa"/>
            <w:gridSpan w:val="2"/>
            <w:vAlign w:val="center"/>
          </w:tcPr>
          <w:p w14:paraId="19E39DC2">
            <w:pPr>
              <w:spacing w:line="360" w:lineRule="auto"/>
              <w:rPr>
                <w:sz w:val="24"/>
              </w:rPr>
            </w:pPr>
            <w:r>
              <w:rPr>
                <w:rFonts w:hint="eastAsia"/>
                <w:sz w:val="24"/>
              </w:rPr>
              <w:t>根据国家发改委2018年第16号令，本项目为非依法必须招标的项目，不适用依法必须招标的相关条款规定。</w:t>
            </w:r>
          </w:p>
        </w:tc>
      </w:tr>
      <w:tr w14:paraId="584EA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221" w:type="dxa"/>
            <w:gridSpan w:val="3"/>
            <w:vAlign w:val="center"/>
          </w:tcPr>
          <w:p w14:paraId="7115FA23">
            <w:pPr>
              <w:autoSpaceDE w:val="0"/>
              <w:autoSpaceDN w:val="0"/>
              <w:snapToGrid w:val="0"/>
              <w:spacing w:line="360" w:lineRule="auto"/>
              <w:textAlignment w:val="bottom"/>
              <w:rPr>
                <w:rFonts w:ascii="宋体" w:hAnsi="宋体"/>
                <w:sz w:val="24"/>
              </w:rPr>
            </w:pPr>
            <w:r>
              <w:rPr>
                <w:rFonts w:hint="eastAsia" w:ascii="宋体" w:cs="宋体"/>
                <w:sz w:val="24"/>
              </w:rPr>
              <w:t>*</w:t>
            </w:r>
            <w:r>
              <w:rPr>
                <w:rFonts w:ascii="宋体" w:hAnsi="宋体"/>
                <w:b/>
                <w:bCs/>
                <w:sz w:val="24"/>
              </w:rPr>
              <w:t>最高限价和风险控制价</w:t>
            </w:r>
          </w:p>
        </w:tc>
      </w:tr>
      <w:tr w14:paraId="477E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21" w:type="dxa"/>
            <w:gridSpan w:val="3"/>
            <w:vAlign w:val="center"/>
          </w:tcPr>
          <w:p w14:paraId="456BCF97">
            <w:pPr>
              <w:autoSpaceDE w:val="0"/>
              <w:autoSpaceDN w:val="0"/>
              <w:snapToGrid w:val="0"/>
              <w:spacing w:line="360" w:lineRule="auto"/>
              <w:ind w:firstLine="482" w:firstLineChars="200"/>
              <w:textAlignment w:val="bottom"/>
              <w:rPr>
                <w:rFonts w:ascii="宋体" w:hAnsi="宋体" w:cs="宋体"/>
                <w:b/>
                <w:bCs/>
                <w:sz w:val="24"/>
              </w:rPr>
            </w:pPr>
            <w:r>
              <w:rPr>
                <w:rFonts w:hint="eastAsia" w:ascii="宋体" w:hAnsi="宋体" w:cs="宋体"/>
                <w:b/>
                <w:bCs/>
                <w:sz w:val="24"/>
              </w:rPr>
              <w:t>本次招标报价限价为：在《部分产品包装搬运装卸项目价目表》/</w:t>
            </w:r>
            <w:r>
              <w:rPr>
                <w:rFonts w:hint="eastAsia" w:ascii="宋体" w:hAnsi="宋体" w:cs="宋体"/>
                <w:b/>
                <w:bCs/>
                <w:sz w:val="24"/>
                <w:lang w:val="zh-CN"/>
              </w:rPr>
              <w:t>《</w:t>
            </w:r>
            <w:r>
              <w:rPr>
                <w:rFonts w:hint="eastAsia" w:ascii="宋体" w:hAnsi="宋体" w:cs="宋体"/>
                <w:b/>
                <w:bCs/>
                <w:sz w:val="24"/>
              </w:rPr>
              <w:t>卸盐化盐项目劳务费用结算价目表</w:t>
            </w:r>
            <w:r>
              <w:rPr>
                <w:rFonts w:hint="eastAsia" w:ascii="宋体" w:hAnsi="宋体" w:cs="宋体"/>
                <w:b/>
                <w:bCs/>
                <w:sz w:val="24"/>
                <w:lang w:val="zh-CN"/>
              </w:rPr>
              <w:t>》</w:t>
            </w:r>
            <w:r>
              <w:rPr>
                <w:rFonts w:hint="eastAsia" w:ascii="宋体" w:hAnsi="宋体" w:cs="宋体"/>
                <w:b/>
                <w:bCs/>
                <w:sz w:val="24"/>
              </w:rPr>
              <w:t>的基础上，结算率为 95.0%（含）～99.0% （含）。</w:t>
            </w:r>
          </w:p>
          <w:p w14:paraId="28DEB86A">
            <w:pPr>
              <w:snapToGrid w:val="0"/>
              <w:spacing w:line="360" w:lineRule="auto"/>
              <w:ind w:firstLine="482" w:firstLineChars="200"/>
              <w:rPr>
                <w:rFonts w:ascii="宋体" w:cs="宋体"/>
                <w:b/>
                <w:bCs/>
                <w:sz w:val="24"/>
              </w:rPr>
            </w:pPr>
            <w:r>
              <w:rPr>
                <w:rFonts w:hint="eastAsia" w:ascii="宋体" w:cs="宋体"/>
                <w:b/>
                <w:bCs/>
                <w:sz w:val="24"/>
              </w:rPr>
              <w:t>本工程招标报价最高限价为：以下列报价为基准，结算率99.0% ，凡投标价高于最高报价作否决处理。</w:t>
            </w:r>
          </w:p>
          <w:p w14:paraId="2F6DCC9F">
            <w:pPr>
              <w:snapToGrid w:val="0"/>
              <w:spacing w:line="360" w:lineRule="auto"/>
              <w:ind w:firstLine="482" w:firstLineChars="200"/>
              <w:rPr>
                <w:rFonts w:ascii="宋体" w:cs="宋体"/>
                <w:b/>
                <w:bCs/>
                <w:sz w:val="24"/>
              </w:rPr>
            </w:pPr>
            <w:r>
              <w:rPr>
                <w:rFonts w:hint="eastAsia" w:ascii="宋体" w:cs="宋体"/>
                <w:b/>
                <w:bCs/>
                <w:sz w:val="24"/>
              </w:rPr>
              <w:t>本工程招标风险控制价为：以下列报价为基准，结算率95.0%。</w:t>
            </w:r>
          </w:p>
          <w:p w14:paraId="21BB62FF">
            <w:pPr>
              <w:spacing w:line="360" w:lineRule="auto"/>
              <w:ind w:firstLine="482" w:firstLineChars="200"/>
              <w:rPr>
                <w:sz w:val="24"/>
              </w:rPr>
            </w:pPr>
            <w:r>
              <w:rPr>
                <w:rFonts w:hint="eastAsia" w:ascii="宋体" w:cs="宋体"/>
                <w:b/>
                <w:bCs/>
                <w:sz w:val="24"/>
              </w:rPr>
              <w:t>投标人所报的投标结算率百分数小数部分最多保留一位小数（如XX.X%），否则其投标予以否决。</w:t>
            </w:r>
          </w:p>
        </w:tc>
      </w:tr>
      <w:tr w14:paraId="6DC8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221" w:type="dxa"/>
            <w:gridSpan w:val="3"/>
            <w:vAlign w:val="center"/>
          </w:tcPr>
          <w:p w14:paraId="6687D94D">
            <w:pPr>
              <w:spacing w:line="360" w:lineRule="auto"/>
              <w:rPr>
                <w:sz w:val="24"/>
              </w:rPr>
            </w:pPr>
            <w:r>
              <w:rPr>
                <w:rFonts w:hint="eastAsia" w:ascii="宋体" w:hAnsi="宋体"/>
                <w:b/>
                <w:bCs/>
                <w:sz w:val="24"/>
              </w:rPr>
              <w:t>中标公示</w:t>
            </w:r>
          </w:p>
        </w:tc>
      </w:tr>
      <w:tr w14:paraId="4F998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10221" w:type="dxa"/>
            <w:gridSpan w:val="3"/>
            <w:vAlign w:val="center"/>
          </w:tcPr>
          <w:p w14:paraId="42CCEB9A">
            <w:pPr>
              <w:snapToGrid w:val="0"/>
              <w:spacing w:line="360" w:lineRule="auto"/>
              <w:ind w:firstLine="424" w:firstLineChars="177"/>
              <w:rPr>
                <w:sz w:val="24"/>
              </w:rPr>
            </w:pPr>
            <w:r>
              <w:rPr>
                <w:rFonts w:hint="eastAsia"/>
                <w:sz w:val="24"/>
              </w:rPr>
              <w:t>在中标通知书发出前，招标人将中标人的情况在化工云商网（巨化数字化招采平台）https://juhua.ccccnet.com/予以公示，公示期为3日。</w:t>
            </w:r>
          </w:p>
        </w:tc>
      </w:tr>
    </w:tbl>
    <w:p w14:paraId="0F7A8A37">
      <w:pPr>
        <w:pStyle w:val="8"/>
        <w:ind w:firstLine="422"/>
        <w:rPr>
          <w:szCs w:val="21"/>
        </w:rPr>
      </w:pPr>
      <w:r>
        <w:rPr>
          <w:b/>
          <w:szCs w:val="21"/>
        </w:rPr>
        <w:t>注明：投标人须知前附表与投标人须知不一致时，以投标人须知前附表为准。</w:t>
      </w:r>
    </w:p>
    <w:p w14:paraId="251DBCE6">
      <w:pPr>
        <w:pStyle w:val="8"/>
        <w:ind w:firstLine="0" w:firstLineChars="0"/>
      </w:pPr>
    </w:p>
    <w:p w14:paraId="4BE6F137">
      <w:pPr>
        <w:pStyle w:val="8"/>
        <w:ind w:firstLine="0" w:firstLineChars="0"/>
        <w:sectPr>
          <w:headerReference r:id="rId10" w:type="first"/>
          <w:headerReference r:id="rId9" w:type="default"/>
          <w:footerReference r:id="rId11" w:type="default"/>
          <w:pgSz w:w="11907" w:h="16840"/>
          <w:pgMar w:top="1440" w:right="1080" w:bottom="1440" w:left="1080" w:header="680" w:footer="964" w:gutter="0"/>
          <w:pgNumType w:start="1"/>
          <w:cols w:space="720" w:num="1"/>
          <w:docGrid w:linePitch="271" w:charSpace="0"/>
        </w:sectPr>
      </w:pPr>
    </w:p>
    <w:p w14:paraId="70E8B1F1">
      <w:pPr>
        <w:pStyle w:val="4"/>
        <w:spacing w:before="0" w:after="0" w:line="240" w:lineRule="auto"/>
        <w:jc w:val="center"/>
      </w:pPr>
      <w:bookmarkStart w:id="6" w:name="_Toc81196546"/>
      <w:bookmarkStart w:id="7" w:name="_Toc81196554"/>
      <w:r>
        <w:t>投标</w:t>
      </w:r>
      <w:r>
        <w:rPr>
          <w:rFonts w:hint="eastAsia"/>
        </w:rPr>
        <w:t>人</w:t>
      </w:r>
      <w:r>
        <w:t>须知</w:t>
      </w:r>
      <w:bookmarkEnd w:id="6"/>
      <w:r>
        <w:rPr>
          <w:rFonts w:hint="eastAsia"/>
        </w:rPr>
        <w:t>正文</w:t>
      </w:r>
      <w:bookmarkStart w:id="8" w:name="_Toc81196547"/>
      <w:r>
        <w:rPr>
          <w:rFonts w:hint="eastAsia"/>
        </w:rPr>
        <w:t>部分</w:t>
      </w:r>
    </w:p>
    <w:bookmarkEnd w:id="7"/>
    <w:bookmarkEnd w:id="8"/>
    <w:p w14:paraId="59151130">
      <w:pPr>
        <w:pStyle w:val="5"/>
        <w:spacing w:before="0" w:after="0" w:line="360" w:lineRule="auto"/>
        <w:rPr>
          <w:b w:val="0"/>
          <w:sz w:val="24"/>
          <w:szCs w:val="24"/>
        </w:rPr>
      </w:pPr>
      <w:r>
        <w:rPr>
          <w:rFonts w:hint="eastAsia"/>
          <w:b w:val="0"/>
          <w:sz w:val="24"/>
          <w:szCs w:val="24"/>
        </w:rPr>
        <w:t>1. 总则</w:t>
      </w:r>
      <w:bookmarkStart w:id="9" w:name="_Toc81196548"/>
    </w:p>
    <w:p w14:paraId="00A0CB2F">
      <w:pPr>
        <w:snapToGrid w:val="0"/>
        <w:spacing w:line="360" w:lineRule="auto"/>
        <w:ind w:firstLine="426"/>
        <w:rPr>
          <w:rFonts w:ascii="宋体" w:hAnsi="宋体"/>
          <w:b/>
          <w:bCs/>
          <w:kern w:val="0"/>
          <w:sz w:val="24"/>
        </w:rPr>
      </w:pPr>
      <w:r>
        <w:rPr>
          <w:rFonts w:hint="eastAsia" w:ascii="宋体" w:hAnsi="宋体"/>
          <w:b/>
          <w:bCs/>
          <w:kern w:val="0"/>
          <w:sz w:val="24"/>
        </w:rPr>
        <w:t>1.1适用范围</w:t>
      </w:r>
    </w:p>
    <w:p w14:paraId="57176529">
      <w:pPr>
        <w:tabs>
          <w:tab w:val="left" w:pos="0"/>
          <w:tab w:val="left" w:pos="900"/>
          <w:tab w:val="left" w:pos="7020"/>
          <w:tab w:val="left" w:pos="8460"/>
        </w:tabs>
        <w:snapToGrid w:val="0"/>
        <w:spacing w:line="360" w:lineRule="auto"/>
        <w:ind w:firstLine="426"/>
        <w:rPr>
          <w:rFonts w:ascii="宋体" w:hAnsi="宋体"/>
          <w:kern w:val="0"/>
          <w:sz w:val="24"/>
        </w:rPr>
      </w:pPr>
      <w:r>
        <w:rPr>
          <w:rFonts w:hint="eastAsia" w:ascii="宋体" w:hAnsi="宋体"/>
          <w:kern w:val="0"/>
          <w:sz w:val="24"/>
        </w:rPr>
        <w:t>本招标文件仅适用于本次招标项目的招标、投标、评标、定标、验收、合同履约、付款等行为。</w:t>
      </w:r>
    </w:p>
    <w:p w14:paraId="7226F2A1">
      <w:pPr>
        <w:snapToGrid w:val="0"/>
        <w:spacing w:line="360" w:lineRule="auto"/>
        <w:ind w:firstLine="426"/>
        <w:rPr>
          <w:rFonts w:ascii="宋体" w:hAnsi="宋体"/>
          <w:b/>
          <w:bCs/>
          <w:kern w:val="0"/>
          <w:sz w:val="24"/>
        </w:rPr>
      </w:pPr>
      <w:r>
        <w:rPr>
          <w:rFonts w:hint="eastAsia" w:ascii="宋体" w:hAnsi="宋体"/>
          <w:b/>
          <w:bCs/>
          <w:kern w:val="0"/>
          <w:sz w:val="24"/>
        </w:rPr>
        <w:t>1.2定义</w:t>
      </w:r>
    </w:p>
    <w:p w14:paraId="0B60F0FE">
      <w:pPr>
        <w:snapToGrid w:val="0"/>
        <w:spacing w:line="360" w:lineRule="auto"/>
        <w:ind w:firstLine="426"/>
        <w:rPr>
          <w:rFonts w:ascii="宋体" w:hAnsi="宋体"/>
          <w:kern w:val="0"/>
          <w:sz w:val="24"/>
        </w:rPr>
      </w:pPr>
      <w:r>
        <w:rPr>
          <w:rFonts w:hint="eastAsia" w:ascii="宋体" w:hAnsi="宋体"/>
          <w:kern w:val="0"/>
          <w:sz w:val="24"/>
        </w:rPr>
        <w:t>“招标代理机构”系指组织本次招标</w:t>
      </w:r>
      <w:r>
        <w:rPr>
          <w:rFonts w:hint="eastAsia" w:ascii="宋体" w:hAnsi="宋体"/>
          <w:kern w:val="0"/>
          <w:sz w:val="24"/>
          <w:lang w:val="zh-CN"/>
        </w:rPr>
        <w:t>的浙江南方工程咨询管理有限公司。</w:t>
      </w:r>
    </w:p>
    <w:p w14:paraId="007B4024">
      <w:pPr>
        <w:snapToGrid w:val="0"/>
        <w:spacing w:line="360" w:lineRule="auto"/>
        <w:ind w:firstLine="426"/>
        <w:rPr>
          <w:rFonts w:ascii="宋体" w:hAnsi="宋体"/>
          <w:kern w:val="0"/>
          <w:sz w:val="24"/>
        </w:rPr>
      </w:pPr>
      <w:r>
        <w:rPr>
          <w:rFonts w:hint="eastAsia" w:ascii="宋体" w:hAnsi="宋体"/>
          <w:kern w:val="0"/>
          <w:sz w:val="24"/>
        </w:rPr>
        <w:t>“招标人”系指提出本次招标的委托单位：浙江巨化股份有限公司电化厂。</w:t>
      </w:r>
    </w:p>
    <w:p w14:paraId="29D3F9E9">
      <w:pPr>
        <w:snapToGrid w:val="0"/>
        <w:spacing w:line="360" w:lineRule="auto"/>
        <w:ind w:firstLine="426"/>
        <w:rPr>
          <w:rFonts w:ascii="宋体" w:hAnsi="宋体"/>
          <w:kern w:val="0"/>
          <w:sz w:val="24"/>
        </w:rPr>
      </w:pPr>
      <w:r>
        <w:rPr>
          <w:rFonts w:hint="eastAsia" w:ascii="宋体" w:hAnsi="宋体"/>
          <w:kern w:val="0"/>
          <w:sz w:val="24"/>
        </w:rPr>
        <w:t>“投标人”系指向招标人提交投标文件的供应商。</w:t>
      </w:r>
    </w:p>
    <w:p w14:paraId="76F20569">
      <w:pPr>
        <w:snapToGrid w:val="0"/>
        <w:spacing w:line="360" w:lineRule="auto"/>
        <w:ind w:firstLine="426"/>
        <w:rPr>
          <w:rFonts w:ascii="宋体" w:hAnsi="宋体"/>
          <w:kern w:val="0"/>
          <w:sz w:val="24"/>
        </w:rPr>
      </w:pPr>
      <w:r>
        <w:rPr>
          <w:rFonts w:hint="eastAsia" w:ascii="宋体" w:hAnsi="宋体"/>
          <w:kern w:val="0"/>
          <w:sz w:val="24"/>
        </w:rPr>
        <w:t>“服务”系指根据本合同规定，投标人必须承担本项目服务、资料整理以及其他类似的义务。</w:t>
      </w:r>
    </w:p>
    <w:p w14:paraId="324B1FF4">
      <w:pPr>
        <w:snapToGrid w:val="0"/>
        <w:spacing w:line="360" w:lineRule="auto"/>
        <w:ind w:firstLine="426"/>
        <w:rPr>
          <w:rFonts w:ascii="宋体" w:hAnsi="宋体"/>
          <w:b/>
          <w:bCs/>
          <w:kern w:val="0"/>
          <w:sz w:val="24"/>
        </w:rPr>
      </w:pPr>
      <w:r>
        <w:rPr>
          <w:rFonts w:hint="eastAsia" w:ascii="宋体" w:hAnsi="宋体"/>
          <w:b/>
          <w:bCs/>
          <w:kern w:val="0"/>
          <w:sz w:val="24"/>
        </w:rPr>
        <w:t>1.3投标费用</w:t>
      </w:r>
    </w:p>
    <w:p w14:paraId="7ACB4432">
      <w:pPr>
        <w:tabs>
          <w:tab w:val="left" w:pos="0"/>
          <w:tab w:val="left" w:pos="900"/>
          <w:tab w:val="left" w:pos="7020"/>
          <w:tab w:val="left" w:pos="8460"/>
        </w:tabs>
        <w:snapToGrid w:val="0"/>
        <w:spacing w:line="360" w:lineRule="auto"/>
        <w:ind w:firstLine="426"/>
        <w:rPr>
          <w:rFonts w:ascii="宋体" w:hAnsi="宋体"/>
          <w:kern w:val="0"/>
          <w:sz w:val="24"/>
        </w:rPr>
      </w:pPr>
      <w:r>
        <w:rPr>
          <w:rFonts w:hint="eastAsia" w:ascii="宋体" w:hAnsi="宋体"/>
          <w:kern w:val="0"/>
          <w:sz w:val="24"/>
        </w:rPr>
        <w:t>不论投标结果如何，投标人均应自行承担所有与投标有关的全部费用。</w:t>
      </w:r>
    </w:p>
    <w:p w14:paraId="125FADE9">
      <w:pPr>
        <w:snapToGrid w:val="0"/>
        <w:spacing w:line="360" w:lineRule="auto"/>
        <w:ind w:firstLine="426"/>
        <w:rPr>
          <w:rFonts w:ascii="宋体" w:hAnsi="宋体"/>
          <w:b/>
          <w:bCs/>
          <w:kern w:val="0"/>
          <w:sz w:val="24"/>
        </w:rPr>
      </w:pPr>
      <w:r>
        <w:rPr>
          <w:rFonts w:hint="eastAsia" w:ascii="宋体" w:hAnsi="宋体"/>
          <w:b/>
          <w:bCs/>
          <w:kern w:val="0"/>
          <w:sz w:val="24"/>
        </w:rPr>
        <w:t>1.4招标方式</w:t>
      </w:r>
    </w:p>
    <w:p w14:paraId="6404EC1F">
      <w:pPr>
        <w:snapToGrid w:val="0"/>
        <w:spacing w:line="360" w:lineRule="auto"/>
        <w:ind w:firstLine="426"/>
        <w:rPr>
          <w:rFonts w:ascii="宋体" w:hAnsi="宋体"/>
          <w:kern w:val="0"/>
          <w:sz w:val="24"/>
        </w:rPr>
      </w:pPr>
      <w:r>
        <w:rPr>
          <w:rFonts w:hint="eastAsia" w:ascii="宋体" w:hAnsi="宋体"/>
          <w:kern w:val="0"/>
          <w:sz w:val="24"/>
        </w:rPr>
        <w:t>本次招标采用公开招标的方式进行。</w:t>
      </w:r>
    </w:p>
    <w:p w14:paraId="4E1DC498">
      <w:pPr>
        <w:snapToGrid w:val="0"/>
        <w:spacing w:line="360" w:lineRule="auto"/>
        <w:ind w:firstLine="426"/>
        <w:rPr>
          <w:rFonts w:ascii="宋体" w:hAnsi="宋体"/>
          <w:b/>
          <w:bCs/>
          <w:kern w:val="0"/>
          <w:sz w:val="24"/>
        </w:rPr>
      </w:pPr>
      <w:r>
        <w:rPr>
          <w:rFonts w:hint="eastAsia" w:ascii="宋体" w:hAnsi="宋体"/>
          <w:b/>
          <w:bCs/>
          <w:kern w:val="0"/>
          <w:sz w:val="24"/>
        </w:rPr>
        <w:t>1.5投标委托</w:t>
      </w:r>
    </w:p>
    <w:p w14:paraId="2D32D840">
      <w:pPr>
        <w:pStyle w:val="9"/>
        <w:snapToGrid w:val="0"/>
        <w:spacing w:line="360" w:lineRule="auto"/>
        <w:jc w:val="left"/>
        <w:rPr>
          <w:rFonts w:hAnsi="宋体"/>
          <w:sz w:val="24"/>
        </w:rPr>
      </w:pPr>
      <w:r>
        <w:rPr>
          <w:rFonts w:hAnsi="宋体"/>
          <w:sz w:val="24"/>
        </w:rPr>
        <w:t>如投标人代表不是法定代表人，投标文件应当提供法定代表人出具的授权委托书（格式见</w:t>
      </w:r>
      <w:r>
        <w:rPr>
          <w:rFonts w:hint="eastAsia" w:hAnsi="宋体"/>
          <w:sz w:val="24"/>
        </w:rPr>
        <w:t>附件</w:t>
      </w:r>
      <w:r>
        <w:rPr>
          <w:rFonts w:hAnsi="宋体"/>
          <w:sz w:val="24"/>
        </w:rPr>
        <w:t>）。</w:t>
      </w:r>
    </w:p>
    <w:p w14:paraId="2F75ABFB">
      <w:pPr>
        <w:snapToGrid w:val="0"/>
        <w:spacing w:line="360" w:lineRule="auto"/>
        <w:ind w:firstLine="426"/>
        <w:rPr>
          <w:rFonts w:ascii="宋体" w:hAnsi="宋体"/>
          <w:b/>
          <w:bCs/>
          <w:kern w:val="0"/>
          <w:sz w:val="24"/>
        </w:rPr>
      </w:pPr>
      <w:r>
        <w:rPr>
          <w:rFonts w:hint="eastAsia" w:ascii="宋体" w:hAnsi="宋体"/>
          <w:b/>
          <w:bCs/>
          <w:kern w:val="0"/>
          <w:sz w:val="24"/>
        </w:rPr>
        <w:t>11.6联合体投标</w:t>
      </w:r>
    </w:p>
    <w:p w14:paraId="6260FD25">
      <w:pPr>
        <w:snapToGrid w:val="0"/>
        <w:spacing w:line="360" w:lineRule="auto"/>
        <w:ind w:firstLine="426"/>
        <w:rPr>
          <w:rFonts w:ascii="宋体" w:hAnsi="宋体"/>
          <w:kern w:val="0"/>
          <w:sz w:val="24"/>
        </w:rPr>
      </w:pPr>
      <w:r>
        <w:rPr>
          <w:rFonts w:hint="eastAsia" w:ascii="宋体" w:hAnsi="宋体"/>
          <w:kern w:val="0"/>
          <w:sz w:val="24"/>
        </w:rPr>
        <w:t>本项目不接受联合体投标。</w:t>
      </w:r>
    </w:p>
    <w:p w14:paraId="45E3F633">
      <w:pPr>
        <w:snapToGrid w:val="0"/>
        <w:spacing w:line="360" w:lineRule="auto"/>
        <w:ind w:firstLine="426"/>
        <w:rPr>
          <w:rFonts w:ascii="宋体" w:hAnsi="宋体"/>
          <w:b/>
          <w:bCs/>
          <w:kern w:val="0"/>
          <w:sz w:val="24"/>
        </w:rPr>
      </w:pPr>
      <w:r>
        <w:rPr>
          <w:rFonts w:hint="eastAsia" w:ascii="宋体" w:hAnsi="宋体"/>
          <w:b/>
          <w:bCs/>
          <w:kern w:val="0"/>
          <w:sz w:val="24"/>
        </w:rPr>
        <w:t>1.7转包与分包</w:t>
      </w:r>
    </w:p>
    <w:p w14:paraId="6888D8F2">
      <w:pPr>
        <w:snapToGrid w:val="0"/>
        <w:spacing w:line="360" w:lineRule="auto"/>
        <w:ind w:firstLine="426"/>
        <w:rPr>
          <w:rFonts w:ascii="宋体" w:hAnsi="宋体"/>
          <w:kern w:val="0"/>
          <w:sz w:val="24"/>
        </w:rPr>
      </w:pPr>
      <w:r>
        <w:rPr>
          <w:rFonts w:hint="eastAsia" w:ascii="宋体" w:hAnsi="宋体"/>
          <w:kern w:val="0"/>
          <w:sz w:val="24"/>
        </w:rPr>
        <w:t>本项目不允许转包。</w:t>
      </w:r>
    </w:p>
    <w:p w14:paraId="7CCF0703">
      <w:pPr>
        <w:snapToGrid w:val="0"/>
        <w:spacing w:line="360" w:lineRule="auto"/>
        <w:ind w:firstLine="426"/>
        <w:rPr>
          <w:rFonts w:ascii="宋体" w:hAnsi="宋体"/>
          <w:b/>
          <w:bCs/>
          <w:kern w:val="0"/>
          <w:sz w:val="24"/>
        </w:rPr>
      </w:pPr>
      <w:r>
        <w:rPr>
          <w:rFonts w:hint="eastAsia" w:ascii="宋体" w:hAnsi="宋体"/>
          <w:b/>
          <w:bCs/>
          <w:kern w:val="0"/>
          <w:sz w:val="24"/>
        </w:rPr>
        <w:t>1.8投标人不得存在下列情形之一</w:t>
      </w:r>
    </w:p>
    <w:p w14:paraId="51AD5F2E">
      <w:pPr>
        <w:snapToGrid w:val="0"/>
        <w:spacing w:line="360" w:lineRule="auto"/>
        <w:ind w:firstLine="426"/>
        <w:rPr>
          <w:rFonts w:ascii="宋体" w:hAnsi="宋体"/>
          <w:kern w:val="0"/>
          <w:sz w:val="24"/>
        </w:rPr>
      </w:pPr>
      <w:r>
        <w:rPr>
          <w:rFonts w:hint="eastAsia" w:ascii="宋体" w:hAnsi="宋体"/>
          <w:kern w:val="0"/>
          <w:sz w:val="24"/>
        </w:rPr>
        <w:t>▲投标人投标所使用的资格、与企业认证必须为本法人所拥有。投标人投标所使用的招标项目实施人员必须为本法人员工（或必须为本法人或控股公司正式员工）。</w:t>
      </w:r>
    </w:p>
    <w:p w14:paraId="1E2406CD">
      <w:pPr>
        <w:snapToGrid w:val="0"/>
        <w:spacing w:line="360" w:lineRule="auto"/>
        <w:ind w:firstLine="426"/>
        <w:rPr>
          <w:rFonts w:ascii="宋体" w:hAnsi="宋体"/>
          <w:kern w:val="0"/>
          <w:sz w:val="24"/>
        </w:rPr>
      </w:pPr>
      <w:r>
        <w:rPr>
          <w:rFonts w:hint="eastAsia" w:ascii="宋体" w:hAnsi="宋体"/>
          <w:kern w:val="0"/>
          <w:sz w:val="24"/>
        </w:rPr>
        <w:t>▲除单一来源采购项目外，为招标项目提供整体设计、规范编制或者项目管理、监理、检测等服务的供应商，不得再参加该招标项目的其他招标活动。</w:t>
      </w:r>
    </w:p>
    <w:p w14:paraId="6C8837ED">
      <w:pPr>
        <w:snapToGrid w:val="0"/>
        <w:spacing w:line="360" w:lineRule="auto"/>
        <w:ind w:firstLine="426"/>
        <w:rPr>
          <w:rFonts w:ascii="宋体" w:hAnsi="宋体"/>
          <w:kern w:val="0"/>
          <w:sz w:val="24"/>
        </w:rPr>
      </w:pPr>
      <w:r>
        <w:rPr>
          <w:rFonts w:hint="eastAsia" w:ascii="宋体" w:hAnsi="宋体"/>
          <w:kern w:val="0"/>
          <w:sz w:val="24"/>
        </w:rPr>
        <w:t>▲投标人应仔细阅读招标文件的所有内容，按照招标文件的要求提交投标文件，并对所提供的全部资料的真实性承担法律责任。</w:t>
      </w:r>
    </w:p>
    <w:p w14:paraId="71A00356">
      <w:pPr>
        <w:snapToGrid w:val="0"/>
        <w:spacing w:line="360" w:lineRule="auto"/>
        <w:ind w:firstLine="426"/>
        <w:rPr>
          <w:rFonts w:ascii="宋体" w:hAnsi="宋体"/>
          <w:kern w:val="0"/>
          <w:sz w:val="24"/>
        </w:rPr>
      </w:pPr>
      <w:r>
        <w:rPr>
          <w:rFonts w:hint="eastAsia" w:ascii="宋体" w:hAnsi="宋体"/>
          <w:kern w:val="0"/>
          <w:sz w:val="24"/>
        </w:rPr>
        <w:t>▲投标人在投标活动中提供任何虚假材料,其投标无效，并报监管部门查处；中标后发现的,投标人须依照相关规定双倍赔偿招标人，且民事赔偿并不免除违法投标人的行政与刑事责任。</w:t>
      </w:r>
    </w:p>
    <w:bookmarkEnd w:id="9"/>
    <w:p w14:paraId="704D1258">
      <w:pPr>
        <w:ind w:firstLine="426"/>
        <w:rPr>
          <w:rFonts w:ascii="宋体" w:hAnsi="宋体"/>
          <w:b/>
          <w:bCs/>
          <w:kern w:val="0"/>
          <w:sz w:val="24"/>
        </w:rPr>
      </w:pPr>
      <w:bookmarkStart w:id="10" w:name="_Toc81196563"/>
      <w:bookmarkStart w:id="11" w:name="_Toc81196561"/>
      <w:r>
        <w:rPr>
          <w:rFonts w:hint="eastAsia" w:ascii="宋体" w:hAnsi="宋体"/>
          <w:b/>
          <w:bCs/>
          <w:kern w:val="0"/>
          <w:sz w:val="24"/>
        </w:rPr>
        <w:t>1.9特别说明</w:t>
      </w:r>
    </w:p>
    <w:p w14:paraId="01CC5C4D">
      <w:pPr>
        <w:snapToGrid w:val="0"/>
        <w:spacing w:line="360" w:lineRule="auto"/>
        <w:ind w:firstLine="426"/>
        <w:rPr>
          <w:rFonts w:ascii="宋体" w:hAnsi="宋体"/>
          <w:kern w:val="0"/>
          <w:sz w:val="24"/>
        </w:rPr>
      </w:pPr>
      <w:r>
        <w:rPr>
          <w:rFonts w:hint="eastAsia" w:ascii="宋体" w:hAnsi="宋体"/>
          <w:kern w:val="0"/>
          <w:sz w:val="24"/>
        </w:rPr>
        <w:t>1.本次招标采用电子交易方式。</w:t>
      </w:r>
    </w:p>
    <w:p w14:paraId="771D7F22">
      <w:pPr>
        <w:snapToGrid w:val="0"/>
        <w:spacing w:line="360" w:lineRule="auto"/>
        <w:ind w:firstLine="426"/>
        <w:rPr>
          <w:rFonts w:ascii="宋体" w:hAnsi="宋体"/>
          <w:kern w:val="0"/>
          <w:sz w:val="24"/>
        </w:rPr>
      </w:pPr>
      <w:r>
        <w:rPr>
          <w:rFonts w:hint="eastAsia" w:ascii="宋体" w:hAnsi="宋体"/>
          <w:kern w:val="0"/>
          <w:sz w:val="24"/>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3ECB0431">
      <w:pPr>
        <w:snapToGrid w:val="0"/>
        <w:spacing w:line="360" w:lineRule="auto"/>
        <w:ind w:firstLine="426"/>
        <w:rPr>
          <w:rFonts w:ascii="宋体" w:hAnsi="宋体"/>
          <w:kern w:val="0"/>
          <w:sz w:val="24"/>
        </w:rPr>
      </w:pPr>
      <w:r>
        <w:rPr>
          <w:rFonts w:hint="eastAsia" w:ascii="宋体" w:hAnsi="宋体"/>
          <w:kern w:val="0"/>
          <w:sz w:val="24"/>
        </w:rPr>
        <w:t>3.</w:t>
      </w:r>
      <w:r>
        <w:rPr>
          <w:rFonts w:ascii="宋体" w:hAnsi="宋体"/>
          <w:kern w:val="0"/>
          <w:sz w:val="24"/>
        </w:rPr>
        <w:t>投标人投标所使用的资格、信誉、荣誉、业绩与企业认证</w:t>
      </w:r>
      <w:r>
        <w:rPr>
          <w:rFonts w:hint="eastAsia" w:ascii="宋体" w:hAnsi="宋体"/>
          <w:kern w:val="0"/>
          <w:sz w:val="24"/>
        </w:rPr>
        <w:t>证书</w:t>
      </w:r>
      <w:r>
        <w:rPr>
          <w:rFonts w:ascii="宋体" w:hAnsi="宋体"/>
          <w:kern w:val="0"/>
          <w:sz w:val="24"/>
        </w:rPr>
        <w:t>必须为</w:t>
      </w:r>
      <w:r>
        <w:rPr>
          <w:rFonts w:hint="eastAsia" w:ascii="宋体" w:hAnsi="宋体"/>
          <w:kern w:val="0"/>
          <w:sz w:val="24"/>
        </w:rPr>
        <w:t>该投标人</w:t>
      </w:r>
      <w:r>
        <w:rPr>
          <w:rFonts w:ascii="宋体" w:hAnsi="宋体"/>
          <w:kern w:val="0"/>
          <w:sz w:val="24"/>
        </w:rPr>
        <w:t>所拥有。</w:t>
      </w:r>
    </w:p>
    <w:p w14:paraId="3539CB0E">
      <w:pPr>
        <w:snapToGrid w:val="0"/>
        <w:spacing w:line="360" w:lineRule="auto"/>
        <w:ind w:firstLine="426"/>
        <w:rPr>
          <w:rFonts w:ascii="宋体" w:hAnsi="宋体"/>
          <w:kern w:val="0"/>
          <w:sz w:val="24"/>
        </w:rPr>
      </w:pPr>
      <w:r>
        <w:rPr>
          <w:rFonts w:hint="eastAsia" w:ascii="宋体" w:hAnsi="宋体"/>
          <w:kern w:val="0"/>
          <w:sz w:val="24"/>
        </w:rPr>
        <w:t>4.</w:t>
      </w:r>
      <w:r>
        <w:rPr>
          <w:rFonts w:ascii="宋体" w:hAnsi="宋体"/>
          <w:kern w:val="0"/>
          <w:sz w:val="24"/>
        </w:rPr>
        <w:t>投标人应仔细阅读招标文件的所有内容，按照招标文件的要求提交投标文件，并对所提供的全部资料的真实性承担法律责任。</w:t>
      </w:r>
    </w:p>
    <w:p w14:paraId="03F6FD5C">
      <w:pPr>
        <w:snapToGrid w:val="0"/>
        <w:spacing w:line="360" w:lineRule="auto"/>
        <w:ind w:firstLine="426"/>
        <w:rPr>
          <w:rFonts w:ascii="宋体" w:hAnsi="宋体"/>
          <w:kern w:val="0"/>
          <w:sz w:val="24"/>
        </w:rPr>
      </w:pPr>
      <w:r>
        <w:rPr>
          <w:rFonts w:hint="eastAsia" w:ascii="宋体" w:hAnsi="宋体"/>
          <w:kern w:val="0"/>
          <w:sz w:val="24"/>
        </w:rPr>
        <w:t>5.招标过程中出现以下情形，导致电子交易平台无法正常运行，或者无法保证电子交易的公平、公正和安全时，招标人（或招标代理机构）可中止电子交易活动：</w:t>
      </w:r>
    </w:p>
    <w:p w14:paraId="78A25E15">
      <w:pPr>
        <w:snapToGrid w:val="0"/>
        <w:spacing w:line="360" w:lineRule="auto"/>
        <w:ind w:firstLine="426"/>
        <w:rPr>
          <w:rFonts w:ascii="宋体" w:hAnsi="宋体"/>
          <w:kern w:val="0"/>
          <w:sz w:val="24"/>
        </w:rPr>
      </w:pPr>
      <w:r>
        <w:rPr>
          <w:rFonts w:hint="eastAsia" w:ascii="宋体" w:hAnsi="宋体"/>
          <w:kern w:val="0"/>
          <w:sz w:val="24"/>
        </w:rPr>
        <w:t xml:space="preserve">（1）电子交易平台发生故障而无法登录访问的； </w:t>
      </w:r>
    </w:p>
    <w:p w14:paraId="2AF5DE1B">
      <w:pPr>
        <w:snapToGrid w:val="0"/>
        <w:spacing w:line="360" w:lineRule="auto"/>
        <w:ind w:firstLine="426"/>
        <w:rPr>
          <w:rFonts w:ascii="宋体" w:hAnsi="宋体"/>
          <w:kern w:val="0"/>
          <w:sz w:val="24"/>
        </w:rPr>
      </w:pPr>
      <w:r>
        <w:rPr>
          <w:rFonts w:hint="eastAsia" w:ascii="宋体" w:hAnsi="宋体"/>
          <w:kern w:val="0"/>
          <w:sz w:val="24"/>
        </w:rPr>
        <w:t>（2）电子交易平台应用或数据库出现错误，不能进行正常操作的；</w:t>
      </w:r>
    </w:p>
    <w:p w14:paraId="323F0015">
      <w:pPr>
        <w:snapToGrid w:val="0"/>
        <w:spacing w:line="360" w:lineRule="auto"/>
        <w:ind w:firstLine="426"/>
        <w:rPr>
          <w:rFonts w:ascii="宋体" w:hAnsi="宋体"/>
          <w:kern w:val="0"/>
          <w:sz w:val="24"/>
        </w:rPr>
      </w:pPr>
      <w:r>
        <w:rPr>
          <w:rFonts w:hint="eastAsia" w:ascii="宋体" w:hAnsi="宋体"/>
          <w:kern w:val="0"/>
          <w:sz w:val="24"/>
        </w:rPr>
        <w:t>（3）电子交易平台发现严重安全漏洞，有潜在泄密危险的；</w:t>
      </w:r>
    </w:p>
    <w:p w14:paraId="56CD5BF3">
      <w:pPr>
        <w:snapToGrid w:val="0"/>
        <w:spacing w:line="360" w:lineRule="auto"/>
        <w:ind w:firstLine="426"/>
        <w:rPr>
          <w:rFonts w:ascii="宋体" w:hAnsi="宋体"/>
          <w:kern w:val="0"/>
          <w:sz w:val="24"/>
        </w:rPr>
      </w:pPr>
      <w:r>
        <w:rPr>
          <w:rFonts w:hint="eastAsia" w:ascii="宋体" w:hAnsi="宋体"/>
          <w:kern w:val="0"/>
          <w:sz w:val="24"/>
        </w:rPr>
        <w:t>（4）病毒发作导致不能进行正常操作的；</w:t>
      </w:r>
    </w:p>
    <w:p w14:paraId="3D1E0EC7">
      <w:pPr>
        <w:snapToGrid w:val="0"/>
        <w:spacing w:line="360" w:lineRule="auto"/>
        <w:ind w:firstLine="426"/>
        <w:rPr>
          <w:rFonts w:ascii="宋体" w:hAnsi="宋体"/>
          <w:kern w:val="0"/>
          <w:sz w:val="24"/>
        </w:rPr>
      </w:pPr>
      <w:r>
        <w:rPr>
          <w:rFonts w:hint="eastAsia" w:ascii="宋体" w:hAnsi="宋体"/>
          <w:kern w:val="0"/>
          <w:sz w:val="24"/>
        </w:rPr>
        <w:t>（5）其他无法保证电子交易的公平、公正和安全的情况。</w:t>
      </w:r>
    </w:p>
    <w:p w14:paraId="37C8622E">
      <w:pPr>
        <w:snapToGrid w:val="0"/>
        <w:spacing w:line="360" w:lineRule="auto"/>
        <w:ind w:firstLine="426"/>
        <w:rPr>
          <w:sz w:val="24"/>
        </w:rPr>
      </w:pPr>
      <w:r>
        <w:rPr>
          <w:rFonts w:hint="eastAsia" w:ascii="宋体" w:hAnsi="宋体"/>
          <w:kern w:val="0"/>
          <w:sz w:val="24"/>
        </w:rPr>
        <w:t>出现上述规定情形，不影响采购公平、公正性的，招标（或招标代理机构）可以待上述情形消除后继续组织电子交易活动，也可以决定某些环节以纸质形式进行。</w:t>
      </w:r>
    </w:p>
    <w:p w14:paraId="4F4AE1F1">
      <w:pPr>
        <w:pStyle w:val="5"/>
        <w:spacing w:before="0" w:after="0" w:line="360" w:lineRule="auto"/>
        <w:rPr>
          <w:b w:val="0"/>
          <w:sz w:val="24"/>
          <w:szCs w:val="24"/>
        </w:rPr>
      </w:pPr>
      <w:r>
        <w:rPr>
          <w:rFonts w:hint="eastAsia"/>
          <w:b w:val="0"/>
          <w:sz w:val="24"/>
          <w:szCs w:val="24"/>
        </w:rPr>
        <w:t>2 招标文件</w:t>
      </w:r>
      <w:bookmarkStart w:id="12" w:name="_Toc81196555"/>
    </w:p>
    <w:p w14:paraId="058DA422">
      <w:pPr>
        <w:pStyle w:val="4"/>
        <w:spacing w:before="0" w:after="0" w:line="360" w:lineRule="auto"/>
        <w:rPr>
          <w:sz w:val="24"/>
          <w:szCs w:val="24"/>
        </w:rPr>
      </w:pPr>
      <w:r>
        <w:rPr>
          <w:rFonts w:hint="eastAsia"/>
          <w:sz w:val="24"/>
          <w:szCs w:val="24"/>
        </w:rPr>
        <w:t xml:space="preserve">2.1 </w:t>
      </w:r>
      <w:r>
        <w:rPr>
          <w:sz w:val="24"/>
          <w:szCs w:val="24"/>
        </w:rPr>
        <w:t>招标文件的组成</w:t>
      </w:r>
      <w:bookmarkEnd w:id="12"/>
    </w:p>
    <w:p w14:paraId="633C90FD">
      <w:pPr>
        <w:spacing w:line="360" w:lineRule="auto"/>
        <w:ind w:firstLine="480" w:firstLineChars="200"/>
        <w:rPr>
          <w:sz w:val="24"/>
        </w:rPr>
      </w:pPr>
      <w:r>
        <w:rPr>
          <w:rFonts w:hint="eastAsia"/>
          <w:sz w:val="24"/>
        </w:rPr>
        <w:t>本</w:t>
      </w:r>
      <w:r>
        <w:rPr>
          <w:sz w:val="24"/>
        </w:rPr>
        <w:t>招标文件包括下列内容：</w:t>
      </w:r>
    </w:p>
    <w:p w14:paraId="7BE61863">
      <w:pPr>
        <w:spacing w:line="360" w:lineRule="auto"/>
        <w:ind w:firstLine="410" w:firstLineChars="171"/>
        <w:rPr>
          <w:sz w:val="24"/>
        </w:rPr>
      </w:pPr>
      <w:r>
        <w:rPr>
          <w:rFonts w:hint="eastAsia"/>
          <w:sz w:val="24"/>
        </w:rPr>
        <w:t>（1）招标公告</w:t>
      </w:r>
    </w:p>
    <w:p w14:paraId="1395C153">
      <w:pPr>
        <w:spacing w:line="360" w:lineRule="auto"/>
        <w:ind w:firstLine="410" w:firstLineChars="171"/>
        <w:rPr>
          <w:sz w:val="24"/>
        </w:rPr>
      </w:pPr>
      <w:r>
        <w:rPr>
          <w:rFonts w:hint="eastAsia"/>
          <w:sz w:val="24"/>
        </w:rPr>
        <w:t>（2）投标人须知；</w:t>
      </w:r>
    </w:p>
    <w:p w14:paraId="3E4A99C2">
      <w:pPr>
        <w:spacing w:line="360" w:lineRule="auto"/>
        <w:ind w:firstLine="410" w:firstLineChars="171"/>
        <w:rPr>
          <w:sz w:val="24"/>
        </w:rPr>
      </w:pPr>
      <w:r>
        <w:rPr>
          <w:rFonts w:hint="eastAsia"/>
          <w:sz w:val="24"/>
        </w:rPr>
        <w:t>（3）评标办法；</w:t>
      </w:r>
    </w:p>
    <w:p w14:paraId="2F725B0C">
      <w:pPr>
        <w:spacing w:line="360" w:lineRule="auto"/>
        <w:ind w:firstLine="410" w:firstLineChars="171"/>
        <w:rPr>
          <w:sz w:val="24"/>
        </w:rPr>
      </w:pPr>
      <w:r>
        <w:rPr>
          <w:rFonts w:hint="eastAsia"/>
          <w:sz w:val="24"/>
        </w:rPr>
        <w:t>（4）招标内容及技术要求；</w:t>
      </w:r>
    </w:p>
    <w:p w14:paraId="5C9A88BC">
      <w:pPr>
        <w:spacing w:line="360" w:lineRule="auto"/>
        <w:ind w:firstLine="410" w:firstLineChars="171"/>
        <w:rPr>
          <w:sz w:val="24"/>
        </w:rPr>
      </w:pPr>
      <w:r>
        <w:rPr>
          <w:rFonts w:hint="eastAsia"/>
          <w:sz w:val="24"/>
        </w:rPr>
        <w:t>（5）投标文件格式。</w:t>
      </w:r>
    </w:p>
    <w:p w14:paraId="549470E3">
      <w:pPr>
        <w:spacing w:line="360" w:lineRule="auto"/>
        <w:ind w:firstLine="480" w:firstLineChars="200"/>
        <w:rPr>
          <w:sz w:val="24"/>
        </w:rPr>
      </w:pPr>
      <w:r>
        <w:rPr>
          <w:rFonts w:hint="eastAsia"/>
          <w:sz w:val="24"/>
        </w:rPr>
        <w:t>根据本章第2.2款和第2.3款对招标文件所作的澄清、修改，构成招标文件的组成部分。</w:t>
      </w:r>
    </w:p>
    <w:p w14:paraId="3BFB2F74">
      <w:pPr>
        <w:snapToGrid w:val="0"/>
        <w:spacing w:line="360" w:lineRule="auto"/>
        <w:jc w:val="left"/>
        <w:rPr>
          <w:b/>
          <w:bCs/>
          <w:sz w:val="24"/>
        </w:rPr>
      </w:pPr>
      <w:bookmarkStart w:id="13" w:name="_Toc81196556"/>
      <w:r>
        <w:rPr>
          <w:rFonts w:hint="eastAsia"/>
          <w:b/>
          <w:bCs/>
          <w:sz w:val="24"/>
        </w:rPr>
        <w:t>2.2</w:t>
      </w:r>
      <w:r>
        <w:rPr>
          <w:b/>
          <w:bCs/>
          <w:sz w:val="24"/>
        </w:rPr>
        <w:t>投标人的风险</w:t>
      </w:r>
    </w:p>
    <w:p w14:paraId="66AAA998">
      <w:pPr>
        <w:pStyle w:val="12"/>
        <w:snapToGrid w:val="0"/>
        <w:spacing w:line="360" w:lineRule="auto"/>
        <w:ind w:firstLine="426"/>
        <w:rPr>
          <w:rFonts w:hAnsi="宋体"/>
          <w:bCs/>
          <w:sz w:val="24"/>
          <w:szCs w:val="24"/>
        </w:rPr>
      </w:pPr>
      <w:r>
        <w:rPr>
          <w:rFonts w:hint="eastAsia" w:hAnsi="宋体"/>
          <w:bCs/>
          <w:sz w:val="24"/>
          <w:szCs w:val="24"/>
        </w:rPr>
        <w:t>1. 投标截止时间前，投标人未将“电子加密投标文件” 成功上传至“</w:t>
      </w:r>
      <w:r>
        <w:rPr>
          <w:rFonts w:hint="eastAsia" w:hAnsi="宋体"/>
          <w:sz w:val="24"/>
        </w:rPr>
        <w:t>化工云商网（巨化数字化招采平台）</w:t>
      </w:r>
      <w:r>
        <w:rPr>
          <w:rFonts w:hint="eastAsia" w:hAnsi="宋体"/>
          <w:bCs/>
          <w:sz w:val="24"/>
          <w:szCs w:val="24"/>
        </w:rPr>
        <w:t>”的，投标无效。</w:t>
      </w:r>
    </w:p>
    <w:p w14:paraId="2A26F12D">
      <w:pPr>
        <w:pStyle w:val="12"/>
        <w:snapToGrid w:val="0"/>
        <w:spacing w:line="360" w:lineRule="auto"/>
        <w:ind w:firstLine="426"/>
        <w:rPr>
          <w:sz w:val="24"/>
          <w:szCs w:val="24"/>
        </w:rPr>
      </w:pPr>
      <w:r>
        <w:rPr>
          <w:rFonts w:hint="eastAsia" w:hAnsi="宋体"/>
          <w:bCs/>
          <w:sz w:val="24"/>
          <w:szCs w:val="24"/>
        </w:rPr>
        <w:t>2.投标人没有按照招标文件要求提供全部资料，或者投标人没有对招标文件在各方面作出实质性响应是投标人的风险，并可能导致其投标无效。</w:t>
      </w:r>
    </w:p>
    <w:p w14:paraId="4BEB830C">
      <w:pPr>
        <w:pStyle w:val="4"/>
        <w:spacing w:before="0" w:after="0" w:line="360" w:lineRule="auto"/>
        <w:rPr>
          <w:sz w:val="24"/>
          <w:szCs w:val="24"/>
        </w:rPr>
      </w:pPr>
      <w:r>
        <w:rPr>
          <w:rFonts w:hint="eastAsia"/>
          <w:sz w:val="24"/>
          <w:szCs w:val="24"/>
        </w:rPr>
        <w:t xml:space="preserve">2.3 </w:t>
      </w:r>
      <w:r>
        <w:rPr>
          <w:sz w:val="24"/>
          <w:szCs w:val="24"/>
        </w:rPr>
        <w:t>招标文件的澄清</w:t>
      </w:r>
      <w:bookmarkEnd w:id="13"/>
    </w:p>
    <w:p w14:paraId="28763A8D">
      <w:pPr>
        <w:pStyle w:val="12"/>
        <w:snapToGrid w:val="0"/>
        <w:spacing w:line="360" w:lineRule="auto"/>
        <w:ind w:firstLine="426"/>
        <w:rPr>
          <w:rFonts w:hAnsi="宋体"/>
          <w:sz w:val="24"/>
          <w:szCs w:val="24"/>
        </w:rPr>
      </w:pPr>
      <w:bookmarkStart w:id="14" w:name="_Toc81196557"/>
      <w:r>
        <w:rPr>
          <w:rFonts w:hAnsi="宋体"/>
          <w:sz w:val="24"/>
          <w:szCs w:val="24"/>
        </w:rPr>
        <w:t>1.</w:t>
      </w:r>
      <w:r>
        <w:rPr>
          <w:rFonts w:hAnsi="宋体"/>
          <w:bCs/>
          <w:sz w:val="24"/>
          <w:szCs w:val="24"/>
        </w:rPr>
        <w:t>投标人应认真阅读本招标文件，发现其中有</w:t>
      </w:r>
      <w:r>
        <w:rPr>
          <w:rFonts w:hAnsi="宋体"/>
          <w:sz w:val="24"/>
          <w:szCs w:val="24"/>
        </w:rPr>
        <w:t>表述不清晰、前后矛盾等内容的</w:t>
      </w:r>
      <w:r>
        <w:rPr>
          <w:rFonts w:hAnsi="宋体"/>
          <w:bCs/>
          <w:sz w:val="24"/>
          <w:szCs w:val="24"/>
        </w:rPr>
        <w:t>，投标人可以</w:t>
      </w:r>
      <w:r>
        <w:rPr>
          <w:rFonts w:hAnsi="宋体"/>
          <w:sz w:val="24"/>
          <w:szCs w:val="24"/>
        </w:rPr>
        <w:t>在投标截止日</w:t>
      </w:r>
      <w:r>
        <w:rPr>
          <w:rFonts w:hint="eastAsia" w:hAnsi="宋体"/>
          <w:sz w:val="24"/>
          <w:szCs w:val="24"/>
        </w:rPr>
        <w:t>3</w:t>
      </w:r>
      <w:r>
        <w:rPr>
          <w:rFonts w:hAnsi="宋体"/>
          <w:sz w:val="24"/>
          <w:szCs w:val="24"/>
        </w:rPr>
        <w:t>天前</w:t>
      </w:r>
      <w:r>
        <w:rPr>
          <w:rFonts w:hAnsi="宋体"/>
          <w:bCs/>
          <w:sz w:val="24"/>
          <w:szCs w:val="24"/>
        </w:rPr>
        <w:t>以书面形式要求招标人澄清</w:t>
      </w:r>
      <w:r>
        <w:rPr>
          <w:rFonts w:hAnsi="宋体"/>
          <w:sz w:val="24"/>
          <w:szCs w:val="24"/>
        </w:rPr>
        <w:t>。</w:t>
      </w:r>
    </w:p>
    <w:p w14:paraId="5BEDAB8D">
      <w:pPr>
        <w:pStyle w:val="12"/>
        <w:snapToGrid w:val="0"/>
        <w:spacing w:line="360" w:lineRule="auto"/>
        <w:ind w:firstLine="426"/>
        <w:rPr>
          <w:rFonts w:hAnsi="宋体"/>
          <w:sz w:val="24"/>
          <w:szCs w:val="24"/>
        </w:rPr>
      </w:pPr>
      <w:r>
        <w:rPr>
          <w:rFonts w:hAnsi="宋体"/>
          <w:sz w:val="24"/>
          <w:szCs w:val="24"/>
        </w:rPr>
        <w:t>2.招标人以书面形式答复投标人要求澄清的问题，并将不包含问题来源的答复书面通知所有购买招标文件的投标人；除书面答复以外的其他澄清方式及澄清内容均无效。</w:t>
      </w:r>
    </w:p>
    <w:p w14:paraId="1D37F0DB">
      <w:pPr>
        <w:pStyle w:val="12"/>
        <w:snapToGrid w:val="0"/>
        <w:spacing w:line="360" w:lineRule="auto"/>
        <w:ind w:firstLine="426"/>
        <w:rPr>
          <w:rFonts w:hAnsi="宋体"/>
          <w:sz w:val="24"/>
          <w:szCs w:val="24"/>
        </w:rPr>
      </w:pPr>
      <w:r>
        <w:rPr>
          <w:rFonts w:hAnsi="宋体"/>
          <w:sz w:val="24"/>
          <w:szCs w:val="24"/>
        </w:rPr>
        <w:t>3.招标文件澄清、修改的内容为招标文件的组成部分。当招标文件与招标文件的澄清、修改通知就同一内容的表述不一致时，以最后发出的书面文件为准。</w:t>
      </w:r>
    </w:p>
    <w:p w14:paraId="4B0F9B80">
      <w:pPr>
        <w:pStyle w:val="12"/>
        <w:snapToGrid w:val="0"/>
        <w:spacing w:line="360" w:lineRule="auto"/>
        <w:ind w:firstLine="426"/>
        <w:rPr>
          <w:rFonts w:hAnsi="宋体"/>
          <w:sz w:val="24"/>
          <w:szCs w:val="24"/>
        </w:rPr>
      </w:pPr>
      <w:r>
        <w:rPr>
          <w:rFonts w:hAnsi="宋体"/>
          <w:sz w:val="24"/>
          <w:szCs w:val="24"/>
        </w:rPr>
        <w:t>4.招标文件的澄清、修改都应该通过本项目招标代理机构发布。</w:t>
      </w:r>
    </w:p>
    <w:bookmarkEnd w:id="14"/>
    <w:p w14:paraId="59DA7A5C">
      <w:pPr>
        <w:pStyle w:val="5"/>
        <w:spacing w:before="0" w:after="0" w:line="360" w:lineRule="auto"/>
        <w:rPr>
          <w:b w:val="0"/>
          <w:sz w:val="24"/>
          <w:szCs w:val="24"/>
        </w:rPr>
      </w:pPr>
      <w:r>
        <w:rPr>
          <w:rFonts w:hint="eastAsia"/>
          <w:b w:val="0"/>
          <w:sz w:val="24"/>
          <w:szCs w:val="24"/>
        </w:rPr>
        <w:t>3 投标文件</w:t>
      </w:r>
    </w:p>
    <w:p w14:paraId="7B41CA95">
      <w:pPr>
        <w:pStyle w:val="4"/>
        <w:spacing w:before="0" w:after="0" w:line="360" w:lineRule="auto"/>
        <w:rPr>
          <w:sz w:val="24"/>
          <w:szCs w:val="24"/>
        </w:rPr>
      </w:pPr>
      <w:bookmarkStart w:id="15" w:name="_Toc81196559"/>
      <w:r>
        <w:rPr>
          <w:rFonts w:hint="eastAsia" w:ascii="宋体" w:cs="宋体"/>
          <w:sz w:val="24"/>
          <w:szCs w:val="24"/>
        </w:rPr>
        <w:t>*</w:t>
      </w:r>
      <w:r>
        <w:rPr>
          <w:rFonts w:hint="eastAsia"/>
          <w:sz w:val="24"/>
          <w:szCs w:val="24"/>
        </w:rPr>
        <w:t xml:space="preserve">3.1 </w:t>
      </w:r>
      <w:r>
        <w:rPr>
          <w:sz w:val="24"/>
          <w:szCs w:val="24"/>
        </w:rPr>
        <w:t>投标文件的组成</w:t>
      </w:r>
      <w:bookmarkEnd w:id="15"/>
    </w:p>
    <w:p w14:paraId="33BAF78E">
      <w:pPr>
        <w:pStyle w:val="37"/>
        <w:snapToGrid w:val="0"/>
        <w:spacing w:line="360" w:lineRule="auto"/>
        <w:ind w:firstLine="426"/>
        <w:rPr>
          <w:rFonts w:cs="宋体"/>
          <w:sz w:val="24"/>
          <w:szCs w:val="24"/>
        </w:rPr>
      </w:pPr>
      <w:r>
        <w:rPr>
          <w:rFonts w:hint="eastAsia" w:hAnsi="宋体" w:cs="宋体"/>
          <w:sz w:val="24"/>
        </w:rPr>
        <w:t>3.1.1 投标文件由</w:t>
      </w:r>
      <w:r>
        <w:rPr>
          <w:rFonts w:hint="eastAsia"/>
          <w:b/>
          <w:sz w:val="24"/>
        </w:rPr>
        <w:t>技术资信文件</w:t>
      </w:r>
      <w:r>
        <w:rPr>
          <w:rFonts w:hint="eastAsia" w:cs="宋体"/>
          <w:sz w:val="24"/>
          <w:szCs w:val="24"/>
        </w:rPr>
        <w:t>（</w:t>
      </w:r>
      <w:r>
        <w:rPr>
          <w:rFonts w:hint="eastAsia" w:cs="宋体"/>
          <w:bCs/>
          <w:sz w:val="24"/>
          <w:szCs w:val="24"/>
          <w:lang w:val="zh-CN"/>
        </w:rPr>
        <w:t>符合性审查文件、技术文件</w:t>
      </w:r>
      <w:r>
        <w:rPr>
          <w:rFonts w:hint="eastAsia" w:cs="宋体"/>
          <w:sz w:val="24"/>
          <w:szCs w:val="24"/>
        </w:rPr>
        <w:t>）</w:t>
      </w:r>
      <w:r>
        <w:rPr>
          <w:rFonts w:hint="eastAsia" w:cs="宋体"/>
          <w:b/>
          <w:sz w:val="24"/>
        </w:rPr>
        <w:t>和</w:t>
      </w:r>
      <w:r>
        <w:rPr>
          <w:rFonts w:hint="eastAsia"/>
          <w:b/>
          <w:sz w:val="24"/>
        </w:rPr>
        <w:t>商务经济文件</w:t>
      </w:r>
      <w:r>
        <w:rPr>
          <w:rFonts w:hint="eastAsia" w:cs="宋体"/>
          <w:sz w:val="24"/>
        </w:rPr>
        <w:t>两部分组成</w:t>
      </w:r>
      <w:r>
        <w:rPr>
          <w:rFonts w:hint="eastAsia" w:cs="宋体"/>
          <w:b/>
          <w:sz w:val="24"/>
          <w:szCs w:val="24"/>
        </w:rPr>
        <w:t>技术资信文件</w:t>
      </w:r>
      <w:r>
        <w:rPr>
          <w:rFonts w:hint="eastAsia" w:hAnsi="宋体" w:cs="宋体"/>
          <w:sz w:val="24"/>
          <w:szCs w:val="24"/>
          <w:lang w:val="zh-CN"/>
        </w:rPr>
        <w:t>中必须包括：</w:t>
      </w:r>
    </w:p>
    <w:p w14:paraId="66754EBE">
      <w:pPr>
        <w:pStyle w:val="37"/>
        <w:snapToGrid w:val="0"/>
        <w:spacing w:line="360" w:lineRule="auto"/>
        <w:ind w:firstLine="426"/>
        <w:rPr>
          <w:sz w:val="24"/>
          <w:szCs w:val="24"/>
        </w:rPr>
      </w:pPr>
      <w:r>
        <w:rPr>
          <w:rFonts w:hint="eastAsia" w:cs="宋体"/>
          <w:b/>
          <w:sz w:val="24"/>
          <w:szCs w:val="24"/>
        </w:rPr>
        <w:t>技术资信文件</w:t>
      </w:r>
      <w:r>
        <w:rPr>
          <w:rFonts w:hint="eastAsia" w:hAnsi="宋体" w:cs="宋体"/>
          <w:sz w:val="24"/>
          <w:szCs w:val="24"/>
          <w:lang w:val="zh-CN"/>
        </w:rPr>
        <w:t>中必须包括：</w:t>
      </w:r>
    </w:p>
    <w:p w14:paraId="091B6F3A">
      <w:pPr>
        <w:widowControl/>
        <w:spacing w:line="440" w:lineRule="exact"/>
        <w:textAlignment w:val="baseline"/>
        <w:rPr>
          <w:sz w:val="24"/>
        </w:rPr>
      </w:pPr>
      <w:r>
        <w:rPr>
          <w:rFonts w:hint="eastAsia"/>
          <w:sz w:val="24"/>
        </w:rPr>
        <w:t>（一）技术资信标书封面（格式见附件）</w:t>
      </w:r>
    </w:p>
    <w:p w14:paraId="3D180905">
      <w:pPr>
        <w:widowControl/>
        <w:spacing w:line="440" w:lineRule="exact"/>
        <w:textAlignment w:val="baseline"/>
        <w:rPr>
          <w:sz w:val="24"/>
        </w:rPr>
      </w:pPr>
      <w:r>
        <w:rPr>
          <w:rFonts w:hint="eastAsia"/>
          <w:sz w:val="24"/>
        </w:rPr>
        <w:t>（二）▲</w:t>
      </w:r>
      <w:r>
        <w:rPr>
          <w:rFonts w:hint="eastAsia" w:ascii="宋体" w:cs="宋体"/>
          <w:bCs/>
          <w:sz w:val="24"/>
          <w:lang w:val="zh-CN"/>
        </w:rPr>
        <w:t>符合性审查文件</w:t>
      </w:r>
      <w:r>
        <w:rPr>
          <w:rFonts w:hint="eastAsia"/>
          <w:sz w:val="24"/>
        </w:rPr>
        <w:t>：</w:t>
      </w:r>
    </w:p>
    <w:p w14:paraId="04133941">
      <w:pPr>
        <w:pStyle w:val="12"/>
        <w:snapToGrid w:val="0"/>
        <w:spacing w:line="360" w:lineRule="auto"/>
        <w:ind w:firstLine="426"/>
        <w:jc w:val="left"/>
        <w:rPr>
          <w:rFonts w:hAnsi="宋体"/>
          <w:sz w:val="24"/>
          <w:szCs w:val="24"/>
        </w:rPr>
      </w:pPr>
      <w:r>
        <w:rPr>
          <w:rFonts w:hint="eastAsia"/>
          <w:sz w:val="24"/>
          <w:szCs w:val="24"/>
        </w:rPr>
        <w:t>①投标人资格承诺函（格式见附件）；</w:t>
      </w:r>
    </w:p>
    <w:p w14:paraId="11182F6E">
      <w:pPr>
        <w:pStyle w:val="12"/>
        <w:snapToGrid w:val="0"/>
        <w:spacing w:line="360" w:lineRule="auto"/>
        <w:ind w:firstLine="426"/>
        <w:jc w:val="left"/>
        <w:rPr>
          <w:rFonts w:hAnsi="宋体"/>
          <w:sz w:val="24"/>
          <w:szCs w:val="24"/>
        </w:rPr>
      </w:pPr>
      <w:r>
        <w:rPr>
          <w:rFonts w:hint="eastAsia"/>
          <w:sz w:val="24"/>
          <w:szCs w:val="24"/>
        </w:rPr>
        <w:t>②</w:t>
      </w:r>
      <w:r>
        <w:rPr>
          <w:sz w:val="24"/>
          <w:szCs w:val="24"/>
        </w:rPr>
        <w:t>投标人</w:t>
      </w:r>
      <w:r>
        <w:rPr>
          <w:rFonts w:hint="eastAsia" w:cs="宋体"/>
          <w:sz w:val="24"/>
          <w:szCs w:val="24"/>
          <w:lang w:val="zh-CN"/>
        </w:rPr>
        <w:t>工商行政主管部门核发的劳务等相应资质，</w:t>
      </w:r>
      <w:r>
        <w:rPr>
          <w:sz w:val="24"/>
          <w:szCs w:val="24"/>
        </w:rPr>
        <w:t>投标人营业执照</w:t>
      </w:r>
      <w:r>
        <w:rPr>
          <w:rFonts w:hint="eastAsia"/>
          <w:sz w:val="24"/>
          <w:szCs w:val="24"/>
        </w:rPr>
        <w:t>；</w:t>
      </w:r>
    </w:p>
    <w:p w14:paraId="14496F0F">
      <w:pPr>
        <w:pStyle w:val="12"/>
        <w:snapToGrid w:val="0"/>
        <w:spacing w:line="360" w:lineRule="auto"/>
        <w:ind w:firstLine="426"/>
        <w:jc w:val="left"/>
        <w:rPr>
          <w:sz w:val="24"/>
          <w:szCs w:val="24"/>
        </w:rPr>
      </w:pPr>
      <w:r>
        <w:rPr>
          <w:rFonts w:hint="eastAsia"/>
          <w:sz w:val="24"/>
          <w:szCs w:val="24"/>
        </w:rPr>
        <w:t>③</w:t>
      </w:r>
      <w:r>
        <w:rPr>
          <w:rFonts w:hint="eastAsia"/>
          <w:sz w:val="24"/>
          <w:szCs w:val="24"/>
          <w:lang w:val="zh-CN"/>
        </w:rPr>
        <w:t>法定代表人身份证明或法定代表人授权委托书法定代表人授权委托书；</w:t>
      </w:r>
    </w:p>
    <w:p w14:paraId="3B627A28">
      <w:pPr>
        <w:pStyle w:val="12"/>
        <w:snapToGrid w:val="0"/>
        <w:spacing w:line="360" w:lineRule="auto"/>
        <w:ind w:firstLine="426"/>
        <w:rPr>
          <w:sz w:val="24"/>
          <w:szCs w:val="24"/>
        </w:rPr>
      </w:pPr>
      <w:r>
        <w:rPr>
          <w:rFonts w:hint="eastAsia" w:cs="宋体"/>
          <w:sz w:val="24"/>
        </w:rPr>
        <w:t>④</w:t>
      </w:r>
      <w:r>
        <w:rPr>
          <w:rFonts w:hint="eastAsia"/>
          <w:sz w:val="24"/>
          <w:szCs w:val="24"/>
          <w:lang w:val="zh-CN"/>
        </w:rPr>
        <w:t>投标人须具有良好的经营业绩和银行资信状况，有良好的依法纳税和社会保障金记录。（</w:t>
      </w:r>
      <w:r>
        <w:rPr>
          <w:rFonts w:hint="eastAsia"/>
          <w:sz w:val="24"/>
          <w:szCs w:val="24"/>
        </w:rPr>
        <w:t>提供承诺书或其他相关证明文件）</w:t>
      </w:r>
    </w:p>
    <w:p w14:paraId="10E7512F">
      <w:pPr>
        <w:pStyle w:val="12"/>
        <w:snapToGrid w:val="0"/>
        <w:spacing w:line="360" w:lineRule="auto"/>
        <w:ind w:firstLine="426"/>
        <w:rPr>
          <w:sz w:val="24"/>
          <w:szCs w:val="24"/>
          <w:lang w:val="zh-CN"/>
        </w:rPr>
      </w:pPr>
      <w:r>
        <w:rPr>
          <w:rFonts w:hint="eastAsia"/>
          <w:sz w:val="24"/>
          <w:szCs w:val="24"/>
        </w:rPr>
        <w:t>⑤</w:t>
      </w:r>
      <w:r>
        <w:rPr>
          <w:rFonts w:hint="eastAsia"/>
          <w:sz w:val="24"/>
          <w:szCs w:val="24"/>
          <w:lang w:val="zh-CN"/>
        </w:rPr>
        <w:t>在巨化集团内无不良行为记录。（</w:t>
      </w:r>
      <w:r>
        <w:rPr>
          <w:rFonts w:hint="eastAsia"/>
          <w:sz w:val="24"/>
          <w:szCs w:val="24"/>
        </w:rPr>
        <w:t>提供承诺书或其他相关证明文件）</w:t>
      </w:r>
    </w:p>
    <w:p w14:paraId="63126177">
      <w:pPr>
        <w:pStyle w:val="12"/>
        <w:snapToGrid w:val="0"/>
        <w:spacing w:line="360" w:lineRule="auto"/>
        <w:ind w:firstLine="426"/>
        <w:rPr>
          <w:sz w:val="24"/>
          <w:szCs w:val="24"/>
        </w:rPr>
      </w:pPr>
      <w:r>
        <w:rPr>
          <w:rFonts w:hint="eastAsia"/>
          <w:sz w:val="24"/>
          <w:szCs w:val="24"/>
        </w:rPr>
        <w:t>⑥近三年内未发生重大及以上伤亡事故。</w:t>
      </w:r>
      <w:r>
        <w:rPr>
          <w:rFonts w:hint="eastAsia"/>
          <w:sz w:val="24"/>
          <w:szCs w:val="24"/>
          <w:lang w:val="zh-CN"/>
        </w:rPr>
        <w:t>（</w:t>
      </w:r>
      <w:r>
        <w:rPr>
          <w:rFonts w:hint="eastAsia"/>
          <w:sz w:val="24"/>
          <w:szCs w:val="24"/>
        </w:rPr>
        <w:t>提供承诺书或其他相关证明文件）</w:t>
      </w:r>
    </w:p>
    <w:p w14:paraId="0BBB9910">
      <w:pPr>
        <w:pStyle w:val="12"/>
        <w:snapToGrid w:val="0"/>
        <w:spacing w:line="360" w:lineRule="auto"/>
        <w:ind w:firstLine="426"/>
        <w:rPr>
          <w:sz w:val="24"/>
          <w:szCs w:val="24"/>
        </w:rPr>
      </w:pPr>
      <w:r>
        <w:rPr>
          <w:rFonts w:hint="eastAsia"/>
          <w:sz w:val="24"/>
          <w:szCs w:val="24"/>
        </w:rPr>
        <w:t>⑦近三年内未发生三人及以上群体劳务纠纷。</w:t>
      </w:r>
      <w:r>
        <w:rPr>
          <w:rFonts w:hint="eastAsia"/>
          <w:sz w:val="24"/>
          <w:szCs w:val="24"/>
          <w:lang w:val="zh-CN"/>
        </w:rPr>
        <w:t>（</w:t>
      </w:r>
      <w:r>
        <w:rPr>
          <w:rFonts w:hint="eastAsia"/>
          <w:sz w:val="24"/>
          <w:szCs w:val="24"/>
        </w:rPr>
        <w:t>提供承诺书或其他相关证明文件）</w:t>
      </w:r>
    </w:p>
    <w:p w14:paraId="0BC3D55C">
      <w:pPr>
        <w:pStyle w:val="12"/>
        <w:snapToGrid w:val="0"/>
        <w:spacing w:line="360" w:lineRule="auto"/>
        <w:ind w:firstLine="426"/>
        <w:jc w:val="left"/>
        <w:rPr>
          <w:sz w:val="24"/>
          <w:szCs w:val="24"/>
        </w:rPr>
      </w:pPr>
      <w:r>
        <w:rPr>
          <w:rFonts w:hint="eastAsia"/>
          <w:sz w:val="24"/>
          <w:szCs w:val="24"/>
        </w:rPr>
        <w:t>⑧</w:t>
      </w:r>
      <w:r>
        <w:rPr>
          <w:rFonts w:hint="eastAsia"/>
          <w:sz w:val="24"/>
          <w:szCs w:val="24"/>
          <w:lang w:val="zh-CN"/>
        </w:rPr>
        <w:t>投标声明书（格式见附件）</w:t>
      </w:r>
    </w:p>
    <w:p w14:paraId="30DF03FB">
      <w:pPr>
        <w:pStyle w:val="12"/>
        <w:snapToGrid w:val="0"/>
        <w:spacing w:line="360" w:lineRule="auto"/>
        <w:ind w:firstLine="426"/>
        <w:rPr>
          <w:sz w:val="24"/>
          <w:szCs w:val="24"/>
        </w:rPr>
      </w:pPr>
      <w:r>
        <w:rPr>
          <w:rFonts w:hint="eastAsia"/>
          <w:sz w:val="24"/>
          <w:szCs w:val="24"/>
        </w:rPr>
        <w:t>⑨</w:t>
      </w:r>
      <w:r>
        <w:rPr>
          <w:rFonts w:hint="eastAsia"/>
          <w:sz w:val="24"/>
          <w:szCs w:val="24"/>
          <w:lang w:val="zh-CN"/>
        </w:rPr>
        <w:t>提供供应商（服务商）承诺书</w:t>
      </w:r>
      <w:r>
        <w:rPr>
          <w:rFonts w:hint="eastAsia"/>
          <w:sz w:val="24"/>
          <w:szCs w:val="24"/>
        </w:rPr>
        <w:t>及</w:t>
      </w:r>
      <w:r>
        <w:rPr>
          <w:rFonts w:hint="eastAsia"/>
          <w:sz w:val="24"/>
          <w:szCs w:val="24"/>
          <w:lang w:val="zh-CN"/>
        </w:rPr>
        <w:t>廉洁承诺书；（格式见 投标文件格式）。</w:t>
      </w:r>
    </w:p>
    <w:p w14:paraId="3522C4F6">
      <w:pPr>
        <w:spacing w:line="360" w:lineRule="auto"/>
        <w:ind w:firstLine="240" w:firstLineChars="100"/>
        <w:rPr>
          <w:kern w:val="0"/>
          <w:sz w:val="24"/>
        </w:rPr>
      </w:pPr>
      <w:r>
        <w:rPr>
          <w:kern w:val="0"/>
          <w:sz w:val="24"/>
        </w:rPr>
        <w:t>以上为资格证明必备条件，所提供的材料必须在有效期内。资格审查未通过的，投标文件作</w:t>
      </w:r>
      <w:r>
        <w:rPr>
          <w:b/>
          <w:bCs/>
          <w:kern w:val="0"/>
          <w:sz w:val="24"/>
        </w:rPr>
        <w:t>否决</w:t>
      </w:r>
      <w:r>
        <w:rPr>
          <w:kern w:val="0"/>
          <w:sz w:val="24"/>
        </w:rPr>
        <w:t>处理。</w:t>
      </w:r>
    </w:p>
    <w:p w14:paraId="5C44F0E3">
      <w:pPr>
        <w:spacing w:line="440" w:lineRule="exact"/>
        <w:ind w:firstLine="480" w:firstLineChars="200"/>
        <w:rPr>
          <w:rFonts w:ascii="宋体" w:hAnsi="宋体" w:cs="宋体"/>
          <w:sz w:val="24"/>
        </w:rPr>
      </w:pPr>
      <w:r>
        <w:rPr>
          <w:rFonts w:hint="eastAsia" w:ascii="宋体" w:hAnsi="宋体" w:cs="宋体"/>
          <w:sz w:val="24"/>
        </w:rPr>
        <w:t>（三）技术文件中必须包括以下内容，装订时请依照本文所述次序排列：</w:t>
      </w:r>
    </w:p>
    <w:p w14:paraId="5FC5F77C">
      <w:pPr>
        <w:spacing w:line="440" w:lineRule="exact"/>
        <w:ind w:firstLine="480" w:firstLineChars="200"/>
        <w:rPr>
          <w:rFonts w:ascii="宋体" w:hAnsi="宋体" w:cs="宋体"/>
          <w:sz w:val="24"/>
          <w:lang w:val="zh-CN"/>
        </w:rPr>
      </w:pPr>
      <w:r>
        <w:rPr>
          <w:rFonts w:hint="eastAsia" w:ascii="宋体" w:hAnsi="宋体" w:cs="宋体"/>
          <w:sz w:val="24"/>
          <w:lang w:val="zh-CN"/>
        </w:rPr>
        <w:t>（1）</w:t>
      </w:r>
      <w:r>
        <w:rPr>
          <w:rFonts w:hint="eastAsia" w:ascii="宋体" w:hAnsi="宋体" w:cs="宋体"/>
          <w:sz w:val="24"/>
        </w:rPr>
        <w:t>自评分索引表；</w:t>
      </w:r>
    </w:p>
    <w:p w14:paraId="49F768A4">
      <w:pPr>
        <w:spacing w:line="440" w:lineRule="exact"/>
        <w:ind w:firstLine="480" w:firstLineChars="200"/>
        <w:rPr>
          <w:rFonts w:ascii="宋体" w:hAnsi="宋体" w:cs="宋体"/>
          <w:sz w:val="24"/>
          <w:lang w:val="zh-CN"/>
        </w:rPr>
      </w:pPr>
      <w:r>
        <w:rPr>
          <w:rFonts w:hint="eastAsia" w:ascii="宋体" w:hAnsi="宋体" w:cs="宋体"/>
          <w:sz w:val="24"/>
          <w:lang w:val="zh-CN"/>
        </w:rPr>
        <w:t>（2）</w:t>
      </w:r>
      <w:r>
        <w:rPr>
          <w:rFonts w:hint="eastAsia" w:ascii="宋体" w:cs="宋体"/>
          <w:kern w:val="0"/>
          <w:sz w:val="24"/>
          <w:lang w:val="zh-CN"/>
        </w:rPr>
        <w:t>评分办法要求的其他内容:</w:t>
      </w:r>
    </w:p>
    <w:p w14:paraId="2D99341E">
      <w:pPr>
        <w:spacing w:line="440" w:lineRule="exact"/>
        <w:ind w:firstLine="480" w:firstLineChars="200"/>
        <w:rPr>
          <w:rFonts w:ascii="宋体" w:hAnsi="宋体" w:cs="宋体"/>
          <w:sz w:val="24"/>
        </w:rPr>
      </w:pPr>
      <w:r>
        <w:rPr>
          <w:rFonts w:hint="eastAsia" w:ascii="宋体" w:hAnsi="宋体" w:cs="宋体"/>
          <w:sz w:val="24"/>
          <w:lang w:val="zh-CN"/>
        </w:rPr>
        <w:t>（</w:t>
      </w:r>
      <w:r>
        <w:rPr>
          <w:rFonts w:hint="eastAsia" w:ascii="宋体" w:hAnsi="宋体" w:cs="宋体"/>
          <w:sz w:val="24"/>
        </w:rPr>
        <w:t>3</w:t>
      </w:r>
      <w:r>
        <w:rPr>
          <w:rFonts w:hint="eastAsia" w:ascii="宋体" w:hAnsi="宋体" w:cs="宋体"/>
          <w:sz w:val="24"/>
          <w:lang w:val="zh-CN"/>
        </w:rPr>
        <w:t>）</w:t>
      </w:r>
      <w:r>
        <w:rPr>
          <w:rFonts w:hint="eastAsia" w:ascii="宋体" w:cs="宋体"/>
          <w:kern w:val="0"/>
          <w:sz w:val="24"/>
        </w:rPr>
        <w:t>投标人认为需要提供的其他文件和资料。</w:t>
      </w:r>
    </w:p>
    <w:p w14:paraId="093507A8">
      <w:pPr>
        <w:pStyle w:val="37"/>
        <w:snapToGrid w:val="0"/>
        <w:spacing w:line="360" w:lineRule="auto"/>
        <w:ind w:firstLine="426"/>
        <w:rPr>
          <w:rFonts w:hAnsi="宋体" w:cs="宋体"/>
          <w:sz w:val="24"/>
          <w:szCs w:val="24"/>
          <w:lang w:val="zh-CN"/>
        </w:rPr>
      </w:pPr>
      <w:r>
        <w:rPr>
          <w:rFonts w:hint="eastAsia" w:cs="宋体"/>
          <w:b/>
          <w:sz w:val="24"/>
          <w:szCs w:val="24"/>
        </w:rPr>
        <w:t>商务经济文件</w:t>
      </w:r>
      <w:r>
        <w:rPr>
          <w:rFonts w:hint="eastAsia" w:hAnsi="宋体" w:cs="宋体"/>
          <w:sz w:val="24"/>
          <w:szCs w:val="24"/>
          <w:lang w:val="zh-CN"/>
        </w:rPr>
        <w:t>中必须包括：</w:t>
      </w:r>
    </w:p>
    <w:p w14:paraId="1E5CCEB7">
      <w:pPr>
        <w:spacing w:line="440" w:lineRule="exact"/>
        <w:ind w:firstLine="480" w:firstLineChars="200"/>
        <w:rPr>
          <w:rFonts w:ascii="宋体" w:hAnsi="宋体" w:cs="宋体"/>
          <w:sz w:val="24"/>
          <w:lang w:val="zh-CN"/>
        </w:rPr>
      </w:pPr>
      <w:r>
        <w:rPr>
          <w:rFonts w:hint="eastAsia" w:ascii="宋体" w:hAnsi="宋体" w:cs="宋体"/>
          <w:sz w:val="24"/>
          <w:lang w:val="zh-CN"/>
        </w:rPr>
        <w:t>（1）</w:t>
      </w:r>
      <w:r>
        <w:rPr>
          <w:rFonts w:hint="eastAsia" w:ascii="宋体" w:hAnsi="宋体" w:cs="宋体"/>
          <w:sz w:val="24"/>
        </w:rPr>
        <w:t>报价文件</w:t>
      </w:r>
      <w:r>
        <w:rPr>
          <w:rFonts w:hint="eastAsia" w:ascii="宋体" w:hAnsi="宋体" w:cs="宋体"/>
          <w:sz w:val="24"/>
          <w:lang w:val="zh-CN"/>
        </w:rPr>
        <w:t>封面；</w:t>
      </w:r>
    </w:p>
    <w:p w14:paraId="48C3E4F0">
      <w:pPr>
        <w:spacing w:line="360" w:lineRule="auto"/>
        <w:ind w:firstLine="480" w:firstLineChars="200"/>
        <w:rPr>
          <w:rFonts w:ascii="宋体" w:cs="宋体"/>
          <w:sz w:val="24"/>
          <w:lang w:val="zh-CN"/>
        </w:rPr>
      </w:pPr>
      <w:r>
        <w:rPr>
          <w:rFonts w:hint="eastAsia" w:ascii="宋体" w:cs="宋体"/>
          <w:sz w:val="24"/>
          <w:lang w:val="zh-CN"/>
        </w:rPr>
        <w:t>（2）投标函及</w:t>
      </w:r>
      <w:r>
        <w:rPr>
          <w:rFonts w:hint="eastAsia" w:ascii="宋体" w:cs="宋体"/>
          <w:sz w:val="24"/>
        </w:rPr>
        <w:t>开标一览表</w:t>
      </w:r>
      <w:r>
        <w:rPr>
          <w:rFonts w:hint="eastAsia" w:ascii="宋体" w:cs="宋体"/>
          <w:sz w:val="24"/>
          <w:lang w:val="zh-CN"/>
        </w:rPr>
        <w:t>；</w:t>
      </w:r>
    </w:p>
    <w:p w14:paraId="45582D4E">
      <w:pPr>
        <w:spacing w:line="360" w:lineRule="auto"/>
        <w:ind w:firstLine="240" w:firstLineChars="100"/>
        <w:rPr>
          <w:rFonts w:ascii="宋体" w:hAnsi="宋体" w:cs="宋体"/>
          <w:sz w:val="24"/>
        </w:rPr>
      </w:pPr>
      <w:r>
        <w:rPr>
          <w:rFonts w:hint="eastAsia" w:ascii="宋体" w:cs="宋体"/>
          <w:sz w:val="24"/>
        </w:rPr>
        <w:t>*</w:t>
      </w:r>
      <w:r>
        <w:rPr>
          <w:b/>
          <w:bCs/>
          <w:sz w:val="24"/>
        </w:rPr>
        <w:t xml:space="preserve">3.2 </w:t>
      </w:r>
      <w:r>
        <w:rPr>
          <w:rFonts w:hint="eastAsia"/>
          <w:b/>
          <w:bCs/>
          <w:sz w:val="24"/>
        </w:rPr>
        <w:t xml:space="preserve">投标报价 </w:t>
      </w:r>
    </w:p>
    <w:p w14:paraId="79F2DB58">
      <w:pPr>
        <w:autoSpaceDE w:val="0"/>
        <w:autoSpaceDN w:val="0"/>
        <w:snapToGrid w:val="0"/>
        <w:spacing w:line="440" w:lineRule="exact"/>
        <w:ind w:firstLine="240" w:firstLineChars="100"/>
        <w:textAlignment w:val="bottom"/>
        <w:rPr>
          <w:rFonts w:ascii="宋体" w:cs="宋体"/>
          <w:sz w:val="24"/>
        </w:rPr>
      </w:pPr>
      <w:r>
        <w:rPr>
          <w:rFonts w:hint="eastAsia" w:ascii="宋体" w:cs="宋体"/>
          <w:sz w:val="24"/>
        </w:rPr>
        <w:t>3.2.1 编制依据：招标文件、招标答疑和招标补充文件；</w:t>
      </w:r>
    </w:p>
    <w:p w14:paraId="7D7CEE8D">
      <w:pPr>
        <w:autoSpaceDE w:val="0"/>
        <w:autoSpaceDN w:val="0"/>
        <w:snapToGrid w:val="0"/>
        <w:spacing w:line="440" w:lineRule="exact"/>
        <w:textAlignment w:val="bottom"/>
        <w:rPr>
          <w:rFonts w:ascii="宋体" w:cs="宋体"/>
          <w:sz w:val="24"/>
        </w:rPr>
      </w:pPr>
      <w:r>
        <w:rPr>
          <w:rFonts w:hint="eastAsia" w:ascii="宋体" w:cs="宋体"/>
          <w:sz w:val="24"/>
        </w:rPr>
        <w:t xml:space="preserve">  3.2.2投标报价为投标人在投标文件中提出的各项支付金额的总和，且投标总报价应已包含一切费用。 </w:t>
      </w:r>
    </w:p>
    <w:p w14:paraId="354924E2">
      <w:pPr>
        <w:autoSpaceDE w:val="0"/>
        <w:autoSpaceDN w:val="0"/>
        <w:snapToGrid w:val="0"/>
        <w:spacing w:line="440" w:lineRule="exact"/>
        <w:textAlignment w:val="bottom"/>
        <w:rPr>
          <w:rFonts w:ascii="宋体" w:cs="宋体"/>
          <w:sz w:val="24"/>
        </w:rPr>
      </w:pPr>
      <w:r>
        <w:rPr>
          <w:rFonts w:hint="eastAsia" w:ascii="宋体" w:cs="宋体"/>
          <w:sz w:val="24"/>
        </w:rPr>
        <w:t xml:space="preserve">  3.2.3 投标人的投标总价，应是完成本招标文件和合同条款上所列招标项目范围及期限的全部所有费用。 </w:t>
      </w:r>
    </w:p>
    <w:p w14:paraId="4AF8FCC1">
      <w:pPr>
        <w:autoSpaceDE w:val="0"/>
        <w:autoSpaceDN w:val="0"/>
        <w:snapToGrid w:val="0"/>
        <w:spacing w:line="440" w:lineRule="exact"/>
        <w:textAlignment w:val="bottom"/>
        <w:rPr>
          <w:rFonts w:ascii="宋体" w:cs="宋体"/>
          <w:sz w:val="24"/>
        </w:rPr>
      </w:pPr>
      <w:r>
        <w:rPr>
          <w:rFonts w:hint="eastAsia" w:ascii="宋体" w:cs="宋体"/>
          <w:sz w:val="24"/>
        </w:rPr>
        <w:t xml:space="preserve">  3.2.4除非招标人对招标文件予以修改，否则投标人应按招标人提供的项目和数量填报单价和总价。每一项目只允许有一个报价。任何有选择的报价将不予接受。投标人未填单价或总价的设备项目，在实施后，招标人将不予以支付，并视为该项费用已包括在其他有价款的单价或总价内。 </w:t>
      </w:r>
    </w:p>
    <w:p w14:paraId="28190645">
      <w:pPr>
        <w:autoSpaceDE w:val="0"/>
        <w:autoSpaceDN w:val="0"/>
        <w:snapToGrid w:val="0"/>
        <w:spacing w:line="440" w:lineRule="exact"/>
        <w:textAlignment w:val="bottom"/>
        <w:rPr>
          <w:sz w:val="24"/>
        </w:rPr>
      </w:pPr>
      <w:r>
        <w:rPr>
          <w:rFonts w:hint="eastAsia" w:ascii="宋体" w:cs="宋体"/>
          <w:sz w:val="24"/>
        </w:rPr>
        <w:t xml:space="preserve">  3.2.5技术规范要求的费用应包括在投标报价中。</w:t>
      </w:r>
    </w:p>
    <w:p w14:paraId="15E40BFF">
      <w:pPr>
        <w:spacing w:line="360" w:lineRule="auto"/>
        <w:ind w:firstLine="240" w:firstLineChars="100"/>
        <w:rPr>
          <w:rFonts w:ascii="宋体" w:cs="宋体"/>
          <w:sz w:val="24"/>
        </w:rPr>
      </w:pPr>
      <w:r>
        <w:rPr>
          <w:rFonts w:hint="eastAsia" w:ascii="宋体" w:cs="宋体"/>
          <w:sz w:val="24"/>
        </w:rPr>
        <w:t>3.2.3报价方式</w:t>
      </w:r>
    </w:p>
    <w:p w14:paraId="12D12981">
      <w:pPr>
        <w:spacing w:line="360" w:lineRule="auto"/>
        <w:ind w:firstLine="240" w:firstLineChars="100"/>
        <w:rPr>
          <w:rFonts w:ascii="宋体" w:hAnsi="宋体"/>
          <w:sz w:val="24"/>
        </w:rPr>
      </w:pPr>
      <w:r>
        <w:rPr>
          <w:rFonts w:hint="eastAsia" w:ascii="宋体" w:hAnsi="宋体"/>
          <w:sz w:val="24"/>
        </w:rPr>
        <w:t>投标人应根据上述依据结合本招标项目的特点和自身的能力、管理水平及市场行情等因素，确定本招标项目的最终报价。</w:t>
      </w:r>
    </w:p>
    <w:p w14:paraId="7A9CB2DB">
      <w:pPr>
        <w:spacing w:line="360" w:lineRule="auto"/>
        <w:ind w:firstLine="241" w:firstLineChars="100"/>
        <w:rPr>
          <w:rFonts w:ascii="宋体" w:hAnsi="宋体"/>
          <w:sz w:val="24"/>
        </w:rPr>
      </w:pPr>
      <w:r>
        <w:rPr>
          <w:rFonts w:hint="eastAsia" w:ascii="宋体" w:hAnsi="宋体"/>
          <w:b/>
          <w:bCs/>
          <w:sz w:val="24"/>
        </w:rPr>
        <w:t>投标人的报价</w:t>
      </w:r>
      <w:r>
        <w:rPr>
          <w:rFonts w:ascii="宋体" w:hAnsi="宋体"/>
          <w:sz w:val="24"/>
        </w:rPr>
        <w:t>包含投标人雇佣员工的工资、津贴、加班费、社保福利、培训、就餐、服装、住宿、管理费、规费、税费、健康证办理等费用；工作以外的办公室租赁、用水、用电、网络、通信、日常办公物品和易耗品消耗；投标人为自有产权的设备、财产及雇佣人员的保险费支出。合同履约过程中，</w:t>
      </w:r>
      <w:r>
        <w:rPr>
          <w:rFonts w:hint="eastAsia" w:ascii="宋体" w:hAnsi="宋体"/>
          <w:sz w:val="24"/>
        </w:rPr>
        <w:t>招标人</w:t>
      </w:r>
      <w:r>
        <w:rPr>
          <w:rFonts w:ascii="宋体" w:hAnsi="宋体"/>
          <w:sz w:val="24"/>
        </w:rPr>
        <w:t>不再为上述项目支付其他任何额外费用。</w:t>
      </w:r>
    </w:p>
    <w:bookmarkEnd w:id="10"/>
    <w:bookmarkEnd w:id="11"/>
    <w:p w14:paraId="4469F618">
      <w:pPr>
        <w:snapToGrid w:val="0"/>
        <w:spacing w:line="440" w:lineRule="exact"/>
        <w:ind w:firstLine="482" w:firstLineChars="200"/>
        <w:outlineLvl w:val="1"/>
        <w:rPr>
          <w:rFonts w:ascii="宋体" w:hAnsi="宋体" w:cs="宋体"/>
          <w:b/>
          <w:bCs/>
          <w:sz w:val="24"/>
        </w:rPr>
      </w:pPr>
      <w:bookmarkStart w:id="16" w:name="_Toc81196568"/>
      <w:r>
        <w:rPr>
          <w:rFonts w:hint="eastAsia" w:ascii="宋体" w:hAnsi="宋体" w:cs="宋体"/>
          <w:b/>
          <w:bCs/>
          <w:sz w:val="24"/>
        </w:rPr>
        <w:t>*3.2.3本次招标的投标人的投标报价采用投标结算率进行报价。</w:t>
      </w:r>
    </w:p>
    <w:p w14:paraId="41FFB44A">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本次招标报价限价为：在《部分产品包装搬运装卸项目价目表》/</w:t>
      </w:r>
      <w:r>
        <w:rPr>
          <w:rFonts w:hint="eastAsia" w:ascii="宋体" w:hAnsi="宋体" w:cs="宋体"/>
          <w:b/>
          <w:bCs/>
          <w:sz w:val="24"/>
          <w:lang w:val="zh-CN"/>
        </w:rPr>
        <w:t>《</w:t>
      </w:r>
      <w:r>
        <w:rPr>
          <w:rFonts w:hint="eastAsia" w:ascii="宋体" w:hAnsi="宋体" w:cs="宋体"/>
          <w:b/>
          <w:bCs/>
          <w:sz w:val="24"/>
        </w:rPr>
        <w:t>卸盐化盐项目劳务费用结算价目表</w:t>
      </w:r>
      <w:r>
        <w:rPr>
          <w:rFonts w:hint="eastAsia" w:ascii="宋体" w:hAnsi="宋体" w:cs="宋体"/>
          <w:b/>
          <w:bCs/>
          <w:sz w:val="24"/>
          <w:lang w:val="zh-CN"/>
        </w:rPr>
        <w:t>》</w:t>
      </w:r>
      <w:r>
        <w:rPr>
          <w:rFonts w:hint="eastAsia" w:ascii="宋体" w:hAnsi="宋体" w:cs="宋体"/>
          <w:b/>
          <w:bCs/>
          <w:sz w:val="24"/>
        </w:rPr>
        <w:t>的基础上，结算率为 95.0%（含）～99.0% （含）。投标人所报的投标结算率百分号前保留一位小数（如XX.X%），否则其投标予以否决。</w:t>
      </w:r>
    </w:p>
    <w:p w14:paraId="52050357">
      <w:pPr>
        <w:snapToGrid w:val="0"/>
        <w:spacing w:line="400" w:lineRule="exact"/>
        <w:ind w:firstLine="480" w:firstLineChars="200"/>
        <w:rPr>
          <w:rFonts w:ascii="宋体" w:cs="宋体"/>
          <w:b/>
          <w:bCs/>
          <w:sz w:val="24"/>
        </w:rPr>
      </w:pPr>
      <w:r>
        <w:rPr>
          <w:rFonts w:hint="eastAsia" w:ascii="宋体" w:cs="宋体"/>
          <w:sz w:val="24"/>
        </w:rPr>
        <w:t>本工程招标报价最高限价为：以下列报价为基准，</w:t>
      </w:r>
      <w:r>
        <w:rPr>
          <w:rFonts w:hint="eastAsia" w:ascii="宋体" w:cs="宋体"/>
          <w:b/>
          <w:bCs/>
          <w:sz w:val="24"/>
        </w:rPr>
        <w:t>结算率99.0% ，凡投标价高于最高报价作否决处理。</w:t>
      </w:r>
    </w:p>
    <w:p w14:paraId="7E78555A">
      <w:pPr>
        <w:snapToGrid w:val="0"/>
        <w:spacing w:line="400" w:lineRule="exact"/>
        <w:ind w:firstLine="480" w:firstLineChars="200"/>
        <w:rPr>
          <w:rFonts w:ascii="宋体" w:cs="宋体"/>
          <w:b/>
          <w:bCs/>
          <w:sz w:val="24"/>
        </w:rPr>
      </w:pPr>
      <w:r>
        <w:rPr>
          <w:rFonts w:hint="eastAsia" w:ascii="宋体" w:cs="宋体"/>
          <w:sz w:val="24"/>
        </w:rPr>
        <w:t>本工程招标风险控制价为：以下列报价为基准，</w:t>
      </w:r>
      <w:r>
        <w:rPr>
          <w:rFonts w:hint="eastAsia" w:ascii="宋体" w:cs="宋体"/>
          <w:b/>
          <w:bCs/>
          <w:sz w:val="24"/>
        </w:rPr>
        <w:t>结算率95.0%。</w:t>
      </w:r>
    </w:p>
    <w:p w14:paraId="70860FBC">
      <w:pPr>
        <w:spacing w:line="420" w:lineRule="exact"/>
        <w:ind w:firstLine="480" w:firstLineChars="200"/>
        <w:rPr>
          <w:rFonts w:ascii="宋体" w:cs="宋体"/>
          <w:sz w:val="24"/>
        </w:rPr>
      </w:pPr>
      <w:r>
        <w:rPr>
          <w:rFonts w:hint="eastAsia" w:ascii="宋体" w:cs="宋体"/>
          <w:sz w:val="24"/>
        </w:rPr>
        <w:t>投标人所报的投标结算率百分数小数部分最多保留一位小数（如XX.X%），否则其投标予以否决。</w:t>
      </w:r>
    </w:p>
    <w:p w14:paraId="2396F152">
      <w:pPr>
        <w:snapToGrid w:val="0"/>
        <w:spacing w:line="440" w:lineRule="exact"/>
        <w:ind w:firstLine="482" w:firstLineChars="200"/>
        <w:outlineLvl w:val="1"/>
        <w:rPr>
          <w:rFonts w:ascii="宋体" w:hAnsi="宋体" w:cs="宋体"/>
          <w:b/>
          <w:bCs/>
          <w:sz w:val="24"/>
        </w:rPr>
      </w:pPr>
    </w:p>
    <w:p w14:paraId="621300CC">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3.2.4标段一：部分产品包装搬运装卸项目费用预估价（含税）：</w:t>
      </w:r>
    </w:p>
    <w:p w14:paraId="2E9B9B4B">
      <w:pPr>
        <w:spacing w:line="91" w:lineRule="exact"/>
      </w:pPr>
    </w:p>
    <w:tbl>
      <w:tblPr>
        <w:tblStyle w:val="33"/>
        <w:tblW w:w="9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1"/>
        <w:gridCol w:w="2025"/>
        <w:gridCol w:w="3634"/>
        <w:gridCol w:w="1722"/>
        <w:gridCol w:w="1758"/>
      </w:tblGrid>
      <w:tr w14:paraId="520BC4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741" w:type="dxa"/>
            <w:vAlign w:val="center"/>
          </w:tcPr>
          <w:p w14:paraId="39B652E0">
            <w:pPr>
              <w:ind w:left="135"/>
              <w:jc w:val="center"/>
              <w:rPr>
                <w:rFonts w:ascii="宋体" w:hAnsi="宋体" w:cs="宋体"/>
                <w:sz w:val="24"/>
              </w:rPr>
            </w:pPr>
            <w:r>
              <w:rPr>
                <w:rFonts w:ascii="宋体" w:hAnsi="宋体" w:cs="宋体"/>
                <w:spacing w:val="-3"/>
                <w:sz w:val="24"/>
                <w14:textOutline w14:w="3048" w14:cap="flat" w14:cmpd="sng" w14:algn="ctr">
                  <w14:solidFill>
                    <w14:srgbClr w14:val="000000"/>
                  </w14:solidFill>
                  <w14:prstDash w14:val="solid"/>
                  <w14:miter w14:val="0"/>
                </w14:textOutline>
              </w:rPr>
              <w:t>序号</w:t>
            </w:r>
          </w:p>
        </w:tc>
        <w:tc>
          <w:tcPr>
            <w:tcW w:w="2025" w:type="dxa"/>
            <w:vAlign w:val="center"/>
          </w:tcPr>
          <w:p w14:paraId="26FB2D8C">
            <w:pPr>
              <w:ind w:right="185"/>
              <w:jc w:val="center"/>
              <w:rPr>
                <w:rFonts w:ascii="宋体" w:hAnsi="宋体" w:cs="宋体"/>
                <w:sz w:val="24"/>
              </w:rPr>
            </w:pPr>
            <w:r>
              <w:rPr>
                <w:rFonts w:hint="eastAsia" w:ascii="宋体" w:hAnsi="宋体" w:cs="宋体"/>
                <w:spacing w:val="-1"/>
                <w:sz w:val="24"/>
                <w14:textOutline w14:w="3048" w14:cap="flat" w14:cmpd="sng" w14:algn="ctr">
                  <w14:solidFill>
                    <w14:srgbClr w14:val="000000"/>
                  </w14:solidFill>
                  <w14:prstDash w14:val="solid"/>
                  <w14:miter w14:val="0"/>
                </w14:textOutline>
              </w:rPr>
              <w:t>劳务外包</w:t>
            </w:r>
            <w:r>
              <w:rPr>
                <w:rFonts w:ascii="宋体" w:hAnsi="宋体" w:cs="宋体"/>
                <w:sz w:val="24"/>
                <w14:textOutline w14:w="3048" w14:cap="flat" w14:cmpd="sng" w14:algn="ctr">
                  <w14:solidFill>
                    <w14:srgbClr w14:val="000000"/>
                  </w14:solidFill>
                  <w14:prstDash w14:val="solid"/>
                  <w14:miter w14:val="0"/>
                </w14:textOutline>
              </w:rPr>
              <w:t>项目</w:t>
            </w:r>
          </w:p>
        </w:tc>
        <w:tc>
          <w:tcPr>
            <w:tcW w:w="3634" w:type="dxa"/>
            <w:vAlign w:val="center"/>
          </w:tcPr>
          <w:p w14:paraId="2E8CE7C0">
            <w:pPr>
              <w:jc w:val="center"/>
              <w:rPr>
                <w:rFonts w:ascii="宋体" w:hAnsi="宋体" w:cs="宋体"/>
                <w:sz w:val="24"/>
              </w:rPr>
            </w:pPr>
            <w:r>
              <w:rPr>
                <w:rFonts w:ascii="宋体" w:hAnsi="宋体" w:cs="宋体"/>
                <w:spacing w:val="-2"/>
                <w:sz w:val="24"/>
                <w14:textOutline w14:w="3048" w14:cap="flat" w14:cmpd="sng" w14:algn="ctr">
                  <w14:solidFill>
                    <w14:srgbClr w14:val="000000"/>
                  </w14:solidFill>
                  <w14:prstDash w14:val="solid"/>
                  <w14:miter w14:val="0"/>
                </w14:textOutline>
              </w:rPr>
              <w:t>内</w:t>
            </w:r>
            <w:r>
              <w:rPr>
                <w:rFonts w:ascii="宋体" w:hAnsi="宋体" w:cs="宋体"/>
                <w:spacing w:val="-2"/>
                <w:sz w:val="24"/>
              </w:rPr>
              <w:t xml:space="preserve">        </w:t>
            </w:r>
            <w:r>
              <w:rPr>
                <w:rFonts w:ascii="宋体" w:hAnsi="宋体" w:cs="宋体"/>
                <w:spacing w:val="-1"/>
                <w:sz w:val="24"/>
              </w:rPr>
              <w:t xml:space="preserve">  </w:t>
            </w:r>
            <w:r>
              <w:rPr>
                <w:rFonts w:ascii="宋体" w:hAnsi="宋体" w:cs="宋体"/>
                <w:spacing w:val="-1"/>
                <w:sz w:val="24"/>
                <w14:textOutline w14:w="3048" w14:cap="flat" w14:cmpd="sng" w14:algn="ctr">
                  <w14:solidFill>
                    <w14:srgbClr w14:val="000000"/>
                  </w14:solidFill>
                  <w14:prstDash w14:val="solid"/>
                  <w14:miter w14:val="0"/>
                </w14:textOutline>
              </w:rPr>
              <w:t>容</w:t>
            </w:r>
          </w:p>
        </w:tc>
        <w:tc>
          <w:tcPr>
            <w:tcW w:w="1722" w:type="dxa"/>
            <w:vAlign w:val="center"/>
          </w:tcPr>
          <w:p w14:paraId="7A178E63">
            <w:pPr>
              <w:ind w:right="103" w:firstLine="524" w:firstLineChars="200"/>
              <w:rPr>
                <w:rFonts w:ascii="宋体" w:hAnsi="宋体" w:cs="宋体"/>
                <w:sz w:val="24"/>
              </w:rPr>
            </w:pPr>
            <w:r>
              <w:rPr>
                <w:rFonts w:hint="eastAsia" w:ascii="宋体" w:hAnsi="宋体" w:cs="宋体"/>
                <w:spacing w:val="11"/>
                <w:sz w:val="24"/>
                <w14:textOutline w14:w="3048" w14:cap="flat" w14:cmpd="sng" w14:algn="ctr">
                  <w14:solidFill>
                    <w14:srgbClr w14:val="000000"/>
                  </w14:solidFill>
                  <w14:prstDash w14:val="solid"/>
                  <w14:miter w14:val="0"/>
                </w14:textOutline>
              </w:rPr>
              <w:t>预估价</w:t>
            </w:r>
          </w:p>
        </w:tc>
        <w:tc>
          <w:tcPr>
            <w:tcW w:w="1758" w:type="dxa"/>
            <w:vAlign w:val="center"/>
          </w:tcPr>
          <w:p w14:paraId="0D0D6120">
            <w:pPr>
              <w:ind w:left="118"/>
              <w:jc w:val="center"/>
              <w:rPr>
                <w:rFonts w:ascii="宋体" w:hAnsi="宋体" w:cs="宋体"/>
                <w:sz w:val="24"/>
              </w:rPr>
            </w:pPr>
            <w:r>
              <w:rPr>
                <w:rFonts w:ascii="宋体" w:hAnsi="宋体" w:cs="宋体"/>
                <w:spacing w:val="1"/>
                <w:sz w:val="24"/>
                <w14:textOutline w14:w="3048" w14:cap="flat" w14:cmpd="sng" w14:algn="ctr">
                  <w14:solidFill>
                    <w14:srgbClr w14:val="000000"/>
                  </w14:solidFill>
                  <w14:prstDash w14:val="solid"/>
                  <w14:miter w14:val="0"/>
                </w14:textOutline>
              </w:rPr>
              <w:t>单价(元</w:t>
            </w:r>
            <w:r>
              <w:rPr>
                <w:rFonts w:ascii="宋体" w:hAnsi="宋体" w:cs="宋体"/>
                <w:sz w:val="24"/>
                <w14:textOutline w14:w="3048" w14:cap="flat" w14:cmpd="sng" w14:algn="ctr">
                  <w14:solidFill>
                    <w14:srgbClr w14:val="000000"/>
                  </w14:solidFill>
                  <w14:prstDash w14:val="solid"/>
                  <w14:miter w14:val="0"/>
                </w14:textOutline>
              </w:rPr>
              <w:t>/吨)</w:t>
            </w:r>
          </w:p>
        </w:tc>
      </w:tr>
      <w:tr w14:paraId="2F356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2" w:hRule="atLeast"/>
          <w:jc w:val="center"/>
        </w:trPr>
        <w:tc>
          <w:tcPr>
            <w:tcW w:w="741" w:type="dxa"/>
            <w:vAlign w:val="center"/>
          </w:tcPr>
          <w:p w14:paraId="4DBD8ABD">
            <w:pPr>
              <w:ind w:left="134"/>
              <w:jc w:val="center"/>
              <w:rPr>
                <w:rFonts w:ascii="宋体" w:hAnsi="宋体" w:cs="宋体"/>
                <w:sz w:val="24"/>
              </w:rPr>
            </w:pPr>
            <w:r>
              <w:rPr>
                <w:rFonts w:ascii="宋体" w:hAnsi="宋体" w:cs="宋体"/>
                <w:sz w:val="24"/>
              </w:rPr>
              <w:t>1</w:t>
            </w:r>
          </w:p>
        </w:tc>
        <w:tc>
          <w:tcPr>
            <w:tcW w:w="2025" w:type="dxa"/>
            <w:vAlign w:val="center"/>
          </w:tcPr>
          <w:p w14:paraId="1446BE89">
            <w:pPr>
              <w:ind w:left="115"/>
              <w:jc w:val="center"/>
              <w:rPr>
                <w:rFonts w:ascii="宋体" w:hAnsi="宋体" w:cs="宋体"/>
                <w:sz w:val="24"/>
              </w:rPr>
            </w:pPr>
            <w:r>
              <w:rPr>
                <w:rFonts w:hint="eastAsia" w:ascii="宋体" w:hAnsi="宋体" w:cs="宋体"/>
                <w:sz w:val="24"/>
              </w:rPr>
              <w:t>部分产品包装搬运装卸项目</w:t>
            </w:r>
          </w:p>
        </w:tc>
        <w:tc>
          <w:tcPr>
            <w:tcW w:w="3634" w:type="dxa"/>
            <w:vAlign w:val="center"/>
          </w:tcPr>
          <w:p w14:paraId="28130F55">
            <w:pPr>
              <w:ind w:left="116" w:right="103" w:firstLine="1"/>
              <w:jc w:val="center"/>
              <w:rPr>
                <w:rFonts w:ascii="宋体" w:hAnsi="宋体" w:cs="宋体"/>
                <w:sz w:val="24"/>
              </w:rPr>
            </w:pPr>
            <w:r>
              <w:rPr>
                <w:rFonts w:hint="eastAsia" w:ascii="宋体" w:hAnsi="宋体" w:cs="宋体"/>
                <w:sz w:val="24"/>
              </w:rPr>
              <w:t>浙江巨化股份有限公司电化厂（含巨塑、聚荟公司）2025-2027年部分产品及原材料包装搬运装卸劳务外包项目</w:t>
            </w:r>
          </w:p>
        </w:tc>
        <w:tc>
          <w:tcPr>
            <w:tcW w:w="1722" w:type="dxa"/>
            <w:vAlign w:val="center"/>
          </w:tcPr>
          <w:p w14:paraId="5957378A">
            <w:pPr>
              <w:ind w:left="296"/>
              <w:jc w:val="center"/>
              <w:rPr>
                <w:rFonts w:ascii="宋体" w:hAnsi="宋体" w:cs="宋体"/>
                <w:sz w:val="24"/>
              </w:rPr>
            </w:pPr>
            <w:r>
              <w:rPr>
                <w:rFonts w:hint="eastAsia" w:ascii="宋体" w:hAnsi="宋体" w:cs="宋体"/>
                <w:sz w:val="24"/>
              </w:rPr>
              <w:t>1100万元/年</w:t>
            </w:r>
          </w:p>
        </w:tc>
        <w:tc>
          <w:tcPr>
            <w:tcW w:w="1758" w:type="dxa"/>
            <w:vAlign w:val="center"/>
          </w:tcPr>
          <w:p w14:paraId="2771B61F">
            <w:pPr>
              <w:jc w:val="center"/>
              <w:rPr>
                <w:rFonts w:ascii="Arial"/>
              </w:rPr>
            </w:pPr>
            <w:r>
              <w:rPr>
                <w:rFonts w:hint="eastAsia" w:ascii="Arial"/>
              </w:rPr>
              <w:t>详见结算价目表</w:t>
            </w:r>
          </w:p>
        </w:tc>
      </w:tr>
      <w:tr w14:paraId="11DCA7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741" w:type="dxa"/>
            <w:vAlign w:val="center"/>
          </w:tcPr>
          <w:p w14:paraId="5E862A87">
            <w:pPr>
              <w:ind w:left="120"/>
              <w:jc w:val="center"/>
              <w:rPr>
                <w:rFonts w:ascii="宋体" w:hAnsi="宋体" w:cs="宋体"/>
                <w:sz w:val="24"/>
              </w:rPr>
            </w:pPr>
            <w:r>
              <w:rPr>
                <w:rFonts w:ascii="宋体" w:hAnsi="宋体" w:cs="宋体"/>
                <w:sz w:val="24"/>
              </w:rPr>
              <w:t>2</w:t>
            </w:r>
          </w:p>
        </w:tc>
        <w:tc>
          <w:tcPr>
            <w:tcW w:w="7381" w:type="dxa"/>
            <w:gridSpan w:val="3"/>
            <w:vAlign w:val="center"/>
          </w:tcPr>
          <w:p w14:paraId="178CEBB2">
            <w:pPr>
              <w:ind w:right="97"/>
              <w:jc w:val="center"/>
              <w:rPr>
                <w:rFonts w:ascii="宋体" w:hAnsi="宋体" w:cs="宋体"/>
                <w:sz w:val="24"/>
              </w:rPr>
            </w:pPr>
            <w:r>
              <w:rPr>
                <w:rFonts w:ascii="宋体" w:hAnsi="宋体" w:cs="宋体"/>
                <w:spacing w:val="-4"/>
                <w:sz w:val="24"/>
              </w:rPr>
              <w:t>总</w:t>
            </w:r>
            <w:r>
              <w:rPr>
                <w:rFonts w:ascii="宋体" w:hAnsi="宋体" w:cs="宋体"/>
                <w:spacing w:val="-3"/>
                <w:sz w:val="24"/>
              </w:rPr>
              <w:t>价</w:t>
            </w:r>
          </w:p>
        </w:tc>
        <w:tc>
          <w:tcPr>
            <w:tcW w:w="1758" w:type="dxa"/>
            <w:vAlign w:val="center"/>
          </w:tcPr>
          <w:p w14:paraId="23040CFA">
            <w:pPr>
              <w:jc w:val="center"/>
              <w:rPr>
                <w:rFonts w:ascii="Arial"/>
              </w:rPr>
            </w:pPr>
            <w:r>
              <w:rPr>
                <w:rFonts w:hint="eastAsia" w:ascii="Arial"/>
              </w:rPr>
              <w:t>预估1100万元/年</w:t>
            </w:r>
          </w:p>
        </w:tc>
      </w:tr>
    </w:tbl>
    <w:p w14:paraId="0D70CDEF">
      <w:pPr>
        <w:snapToGrid w:val="0"/>
        <w:spacing w:line="360" w:lineRule="auto"/>
        <w:ind w:firstLine="420" w:firstLineChars="200"/>
      </w:pPr>
    </w:p>
    <w:p w14:paraId="325E677D">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标段二：卸盐化盐项目费用预估价（含税）：</w:t>
      </w:r>
    </w:p>
    <w:p w14:paraId="0F573829">
      <w:pPr>
        <w:spacing w:line="91" w:lineRule="exact"/>
      </w:pPr>
    </w:p>
    <w:tbl>
      <w:tblPr>
        <w:tblStyle w:val="33"/>
        <w:tblW w:w="9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1"/>
        <w:gridCol w:w="2025"/>
        <w:gridCol w:w="3634"/>
        <w:gridCol w:w="1722"/>
        <w:gridCol w:w="1758"/>
      </w:tblGrid>
      <w:tr w14:paraId="45322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741" w:type="dxa"/>
            <w:vAlign w:val="center"/>
          </w:tcPr>
          <w:p w14:paraId="0BA55B97">
            <w:pPr>
              <w:ind w:left="135"/>
              <w:jc w:val="center"/>
              <w:rPr>
                <w:rFonts w:ascii="宋体" w:hAnsi="宋体" w:cs="宋体"/>
                <w:sz w:val="24"/>
              </w:rPr>
            </w:pPr>
            <w:r>
              <w:rPr>
                <w:rFonts w:ascii="宋体" w:hAnsi="宋体" w:cs="宋体"/>
                <w:spacing w:val="-3"/>
                <w:sz w:val="24"/>
                <w14:textOutline w14:w="3048" w14:cap="flat" w14:cmpd="sng" w14:algn="ctr">
                  <w14:solidFill>
                    <w14:srgbClr w14:val="000000"/>
                  </w14:solidFill>
                  <w14:prstDash w14:val="solid"/>
                  <w14:miter w14:val="0"/>
                </w14:textOutline>
              </w:rPr>
              <w:t>序号</w:t>
            </w:r>
          </w:p>
        </w:tc>
        <w:tc>
          <w:tcPr>
            <w:tcW w:w="2025" w:type="dxa"/>
            <w:vAlign w:val="center"/>
          </w:tcPr>
          <w:p w14:paraId="26F84A37">
            <w:pPr>
              <w:ind w:right="185"/>
              <w:jc w:val="center"/>
              <w:rPr>
                <w:rFonts w:ascii="宋体" w:hAnsi="宋体" w:cs="宋体"/>
                <w:sz w:val="24"/>
              </w:rPr>
            </w:pPr>
            <w:r>
              <w:rPr>
                <w:rFonts w:hint="eastAsia" w:ascii="宋体" w:hAnsi="宋体" w:cs="宋体"/>
                <w:spacing w:val="-1"/>
                <w:sz w:val="24"/>
                <w14:textOutline w14:w="3048" w14:cap="flat" w14:cmpd="sng" w14:algn="ctr">
                  <w14:solidFill>
                    <w14:srgbClr w14:val="000000"/>
                  </w14:solidFill>
                  <w14:prstDash w14:val="solid"/>
                  <w14:miter w14:val="0"/>
                </w14:textOutline>
              </w:rPr>
              <w:t>劳务外包</w:t>
            </w:r>
            <w:r>
              <w:rPr>
                <w:rFonts w:ascii="宋体" w:hAnsi="宋体" w:cs="宋体"/>
                <w:sz w:val="24"/>
                <w14:textOutline w14:w="3048" w14:cap="flat" w14:cmpd="sng" w14:algn="ctr">
                  <w14:solidFill>
                    <w14:srgbClr w14:val="000000"/>
                  </w14:solidFill>
                  <w14:prstDash w14:val="solid"/>
                  <w14:miter w14:val="0"/>
                </w14:textOutline>
              </w:rPr>
              <w:t>项目</w:t>
            </w:r>
          </w:p>
        </w:tc>
        <w:tc>
          <w:tcPr>
            <w:tcW w:w="3634" w:type="dxa"/>
            <w:vAlign w:val="center"/>
          </w:tcPr>
          <w:p w14:paraId="611E1634">
            <w:pPr>
              <w:jc w:val="center"/>
              <w:rPr>
                <w:rFonts w:ascii="宋体" w:hAnsi="宋体" w:cs="宋体"/>
                <w:sz w:val="24"/>
              </w:rPr>
            </w:pPr>
            <w:r>
              <w:rPr>
                <w:rFonts w:ascii="宋体" w:hAnsi="宋体" w:cs="宋体"/>
                <w:spacing w:val="-2"/>
                <w:sz w:val="24"/>
                <w14:textOutline w14:w="3048" w14:cap="flat" w14:cmpd="sng" w14:algn="ctr">
                  <w14:solidFill>
                    <w14:srgbClr w14:val="000000"/>
                  </w14:solidFill>
                  <w14:prstDash w14:val="solid"/>
                  <w14:miter w14:val="0"/>
                </w14:textOutline>
              </w:rPr>
              <w:t>内</w:t>
            </w:r>
            <w:r>
              <w:rPr>
                <w:rFonts w:ascii="宋体" w:hAnsi="宋体" w:cs="宋体"/>
                <w:spacing w:val="-2"/>
                <w:sz w:val="24"/>
              </w:rPr>
              <w:t xml:space="preserve">        </w:t>
            </w:r>
            <w:r>
              <w:rPr>
                <w:rFonts w:ascii="宋体" w:hAnsi="宋体" w:cs="宋体"/>
                <w:spacing w:val="-1"/>
                <w:sz w:val="24"/>
              </w:rPr>
              <w:t xml:space="preserve">  </w:t>
            </w:r>
            <w:r>
              <w:rPr>
                <w:rFonts w:ascii="宋体" w:hAnsi="宋体" w:cs="宋体"/>
                <w:spacing w:val="-1"/>
                <w:sz w:val="24"/>
                <w14:textOutline w14:w="3048" w14:cap="flat" w14:cmpd="sng" w14:algn="ctr">
                  <w14:solidFill>
                    <w14:srgbClr w14:val="000000"/>
                  </w14:solidFill>
                  <w14:prstDash w14:val="solid"/>
                  <w14:miter w14:val="0"/>
                </w14:textOutline>
              </w:rPr>
              <w:t>容</w:t>
            </w:r>
          </w:p>
        </w:tc>
        <w:tc>
          <w:tcPr>
            <w:tcW w:w="1722" w:type="dxa"/>
            <w:vAlign w:val="center"/>
          </w:tcPr>
          <w:p w14:paraId="2C46B0CC">
            <w:pPr>
              <w:ind w:right="103" w:firstLine="524" w:firstLineChars="200"/>
              <w:rPr>
                <w:rFonts w:ascii="宋体" w:hAnsi="宋体" w:cs="宋体"/>
                <w:sz w:val="24"/>
              </w:rPr>
            </w:pPr>
            <w:r>
              <w:rPr>
                <w:rFonts w:hint="eastAsia" w:ascii="宋体" w:hAnsi="宋体" w:cs="宋体"/>
                <w:spacing w:val="11"/>
                <w:sz w:val="24"/>
                <w14:textOutline w14:w="3048" w14:cap="flat" w14:cmpd="sng" w14:algn="ctr">
                  <w14:solidFill>
                    <w14:srgbClr w14:val="000000"/>
                  </w14:solidFill>
                  <w14:prstDash w14:val="solid"/>
                  <w14:miter w14:val="0"/>
                </w14:textOutline>
              </w:rPr>
              <w:t>预估价</w:t>
            </w:r>
          </w:p>
        </w:tc>
        <w:tc>
          <w:tcPr>
            <w:tcW w:w="1758" w:type="dxa"/>
            <w:vAlign w:val="center"/>
          </w:tcPr>
          <w:p w14:paraId="43439194">
            <w:pPr>
              <w:ind w:left="118"/>
              <w:jc w:val="center"/>
              <w:rPr>
                <w:rFonts w:ascii="宋体" w:hAnsi="宋体" w:cs="宋体"/>
                <w:sz w:val="24"/>
              </w:rPr>
            </w:pPr>
            <w:r>
              <w:rPr>
                <w:rFonts w:ascii="宋体" w:hAnsi="宋体" w:cs="宋体"/>
                <w:spacing w:val="1"/>
                <w:sz w:val="24"/>
                <w14:textOutline w14:w="3048" w14:cap="flat" w14:cmpd="sng" w14:algn="ctr">
                  <w14:solidFill>
                    <w14:srgbClr w14:val="000000"/>
                  </w14:solidFill>
                  <w14:prstDash w14:val="solid"/>
                  <w14:miter w14:val="0"/>
                </w14:textOutline>
              </w:rPr>
              <w:t>单价(元</w:t>
            </w:r>
            <w:r>
              <w:rPr>
                <w:rFonts w:ascii="宋体" w:hAnsi="宋体" w:cs="宋体"/>
                <w:sz w:val="24"/>
                <w14:textOutline w14:w="3048" w14:cap="flat" w14:cmpd="sng" w14:algn="ctr">
                  <w14:solidFill>
                    <w14:srgbClr w14:val="000000"/>
                  </w14:solidFill>
                  <w14:prstDash w14:val="solid"/>
                  <w14:miter w14:val="0"/>
                </w14:textOutline>
              </w:rPr>
              <w:t>/吨)</w:t>
            </w:r>
          </w:p>
        </w:tc>
      </w:tr>
      <w:tr w14:paraId="678DF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2" w:hRule="atLeast"/>
          <w:jc w:val="center"/>
        </w:trPr>
        <w:tc>
          <w:tcPr>
            <w:tcW w:w="741" w:type="dxa"/>
            <w:vAlign w:val="center"/>
          </w:tcPr>
          <w:p w14:paraId="7012F0DD">
            <w:pPr>
              <w:ind w:left="134"/>
              <w:jc w:val="center"/>
              <w:rPr>
                <w:rFonts w:ascii="宋体" w:hAnsi="宋体" w:cs="宋体"/>
                <w:sz w:val="24"/>
              </w:rPr>
            </w:pPr>
            <w:r>
              <w:rPr>
                <w:rFonts w:ascii="宋体" w:hAnsi="宋体" w:cs="宋体"/>
                <w:sz w:val="24"/>
              </w:rPr>
              <w:t>1</w:t>
            </w:r>
          </w:p>
        </w:tc>
        <w:tc>
          <w:tcPr>
            <w:tcW w:w="2025" w:type="dxa"/>
            <w:vAlign w:val="center"/>
          </w:tcPr>
          <w:p w14:paraId="66C0DB07">
            <w:pPr>
              <w:ind w:left="115"/>
              <w:jc w:val="center"/>
              <w:rPr>
                <w:rFonts w:ascii="宋体" w:hAnsi="宋体" w:cs="宋体"/>
                <w:sz w:val="24"/>
              </w:rPr>
            </w:pPr>
            <w:r>
              <w:rPr>
                <w:rFonts w:hint="eastAsia" w:ascii="宋体" w:hAnsi="宋体" w:cs="宋体"/>
                <w:sz w:val="24"/>
              </w:rPr>
              <w:t>卸盐化盐项目</w:t>
            </w:r>
          </w:p>
        </w:tc>
        <w:tc>
          <w:tcPr>
            <w:tcW w:w="3634" w:type="dxa"/>
            <w:vAlign w:val="center"/>
          </w:tcPr>
          <w:p w14:paraId="72745A86">
            <w:pPr>
              <w:ind w:left="116" w:right="103" w:firstLine="1"/>
              <w:jc w:val="center"/>
              <w:rPr>
                <w:rFonts w:ascii="宋体" w:hAnsi="宋体" w:cs="宋体"/>
                <w:sz w:val="24"/>
              </w:rPr>
            </w:pPr>
            <w:r>
              <w:rPr>
                <w:rFonts w:hint="eastAsia" w:ascii="宋体" w:hAnsi="宋体" w:cs="宋体"/>
                <w:sz w:val="24"/>
              </w:rPr>
              <w:t>浙江巨化股份有限公司电化厂2025-2027年卸盐化盐劳务外包项目</w:t>
            </w:r>
          </w:p>
        </w:tc>
        <w:tc>
          <w:tcPr>
            <w:tcW w:w="1722" w:type="dxa"/>
            <w:vAlign w:val="center"/>
          </w:tcPr>
          <w:p w14:paraId="2B10A5C5">
            <w:pPr>
              <w:ind w:left="296"/>
              <w:jc w:val="center"/>
              <w:rPr>
                <w:rFonts w:ascii="宋体" w:hAnsi="宋体" w:cs="宋体"/>
                <w:sz w:val="24"/>
              </w:rPr>
            </w:pPr>
            <w:r>
              <w:rPr>
                <w:rFonts w:hint="eastAsia" w:ascii="宋体" w:hAnsi="宋体" w:cs="宋体"/>
                <w:sz w:val="24"/>
              </w:rPr>
              <w:t>440万元/年</w:t>
            </w:r>
          </w:p>
        </w:tc>
        <w:tc>
          <w:tcPr>
            <w:tcW w:w="1758" w:type="dxa"/>
            <w:vAlign w:val="center"/>
          </w:tcPr>
          <w:p w14:paraId="164B8164">
            <w:pPr>
              <w:jc w:val="center"/>
              <w:rPr>
                <w:rFonts w:ascii="Arial"/>
              </w:rPr>
            </w:pPr>
            <w:r>
              <w:rPr>
                <w:rFonts w:hint="eastAsia" w:ascii="Arial"/>
              </w:rPr>
              <w:t>详见结算价目表</w:t>
            </w:r>
          </w:p>
        </w:tc>
      </w:tr>
      <w:tr w14:paraId="0DAF9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741" w:type="dxa"/>
            <w:vAlign w:val="center"/>
          </w:tcPr>
          <w:p w14:paraId="49EE0163">
            <w:pPr>
              <w:ind w:left="120"/>
              <w:jc w:val="center"/>
              <w:rPr>
                <w:rFonts w:ascii="宋体" w:hAnsi="宋体" w:cs="宋体"/>
                <w:sz w:val="24"/>
              </w:rPr>
            </w:pPr>
            <w:r>
              <w:rPr>
                <w:rFonts w:ascii="宋体" w:hAnsi="宋体" w:cs="宋体"/>
                <w:sz w:val="24"/>
              </w:rPr>
              <w:t>2</w:t>
            </w:r>
          </w:p>
        </w:tc>
        <w:tc>
          <w:tcPr>
            <w:tcW w:w="7381" w:type="dxa"/>
            <w:gridSpan w:val="3"/>
            <w:vAlign w:val="center"/>
          </w:tcPr>
          <w:p w14:paraId="1F16AED7">
            <w:pPr>
              <w:ind w:right="97"/>
              <w:jc w:val="center"/>
              <w:rPr>
                <w:rFonts w:ascii="宋体" w:hAnsi="宋体" w:cs="宋体"/>
                <w:sz w:val="24"/>
              </w:rPr>
            </w:pPr>
            <w:r>
              <w:rPr>
                <w:rFonts w:ascii="宋体" w:hAnsi="宋体" w:cs="宋体"/>
                <w:spacing w:val="-4"/>
                <w:sz w:val="24"/>
              </w:rPr>
              <w:t>总</w:t>
            </w:r>
            <w:r>
              <w:rPr>
                <w:rFonts w:ascii="宋体" w:hAnsi="宋体" w:cs="宋体"/>
                <w:spacing w:val="-3"/>
                <w:sz w:val="24"/>
              </w:rPr>
              <w:t>价</w:t>
            </w:r>
          </w:p>
        </w:tc>
        <w:tc>
          <w:tcPr>
            <w:tcW w:w="1758" w:type="dxa"/>
            <w:vAlign w:val="center"/>
          </w:tcPr>
          <w:p w14:paraId="06D35538">
            <w:pPr>
              <w:jc w:val="center"/>
              <w:rPr>
                <w:rFonts w:ascii="Arial"/>
              </w:rPr>
            </w:pPr>
            <w:r>
              <w:rPr>
                <w:rFonts w:hint="eastAsia" w:ascii="Arial"/>
              </w:rPr>
              <w:t>预估440万元/年</w:t>
            </w:r>
          </w:p>
        </w:tc>
      </w:tr>
    </w:tbl>
    <w:p w14:paraId="647CA9C8">
      <w:pPr>
        <w:snapToGrid w:val="0"/>
        <w:spacing w:line="360" w:lineRule="auto"/>
      </w:pPr>
    </w:p>
    <w:p w14:paraId="7E27113E">
      <w:pPr>
        <w:snapToGrid w:val="0"/>
        <w:spacing w:line="360" w:lineRule="auto"/>
        <w:ind w:firstLine="482" w:firstLineChars="200"/>
        <w:outlineLvl w:val="3"/>
        <w:rPr>
          <w:rFonts w:ascii="宋体" w:hAnsi="宋体" w:cs="宋体"/>
          <w:sz w:val="24"/>
        </w:rPr>
      </w:pPr>
      <w:r>
        <w:rPr>
          <w:rFonts w:hint="eastAsia" w:ascii="宋体" w:cs="宋体"/>
          <w:b/>
          <w:sz w:val="24"/>
        </w:rPr>
        <w:t>3.3.5报价依据计算规则</w:t>
      </w:r>
    </w:p>
    <w:p w14:paraId="2D915143">
      <w:pPr>
        <w:autoSpaceDE w:val="0"/>
        <w:autoSpaceDN w:val="0"/>
        <w:spacing w:line="360" w:lineRule="auto"/>
        <w:ind w:left="19" w:leftChars="9" w:firstLine="19" w:firstLineChars="8"/>
        <w:rPr>
          <w:rFonts w:ascii="仿宋" w:hAnsi="仿宋" w:eastAsia="仿宋" w:cs="仿宋"/>
          <w:b/>
          <w:snapToGrid w:val="0"/>
          <w:sz w:val="24"/>
        </w:rPr>
      </w:pPr>
      <w:r>
        <w:rPr>
          <w:rFonts w:hint="eastAsia" w:ascii="宋体" w:hAnsi="宋体" w:cs="宋体"/>
          <w:b/>
          <w:bCs/>
          <w:sz w:val="24"/>
        </w:rPr>
        <w:t>标段一：</w:t>
      </w:r>
      <w:r>
        <w:rPr>
          <w:rFonts w:hint="eastAsia" w:ascii="仿宋" w:hAnsi="仿宋" w:eastAsia="仿宋" w:cs="仿宋"/>
          <w:b/>
          <w:snapToGrid w:val="0"/>
          <w:sz w:val="24"/>
        </w:rPr>
        <w:t>部分产品包装搬运装卸项目价目表</w:t>
      </w:r>
    </w:p>
    <w:tbl>
      <w:tblPr>
        <w:tblStyle w:val="21"/>
        <w:tblW w:w="9505" w:type="dxa"/>
        <w:jc w:val="center"/>
        <w:tblLayout w:type="fixed"/>
        <w:tblCellMar>
          <w:top w:w="0" w:type="dxa"/>
          <w:left w:w="108" w:type="dxa"/>
          <w:bottom w:w="0" w:type="dxa"/>
          <w:right w:w="108" w:type="dxa"/>
        </w:tblCellMar>
      </w:tblPr>
      <w:tblGrid>
        <w:gridCol w:w="486"/>
        <w:gridCol w:w="743"/>
        <w:gridCol w:w="1317"/>
        <w:gridCol w:w="4817"/>
        <w:gridCol w:w="2142"/>
      </w:tblGrid>
      <w:tr w14:paraId="28CDA8C1">
        <w:tblPrEx>
          <w:tblCellMar>
            <w:top w:w="0" w:type="dxa"/>
            <w:left w:w="108" w:type="dxa"/>
            <w:bottom w:w="0" w:type="dxa"/>
            <w:right w:w="108" w:type="dxa"/>
          </w:tblCellMar>
        </w:tblPrEx>
        <w:trPr>
          <w:trHeight w:val="86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69C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序号</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8E0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单位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EC9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项目</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4D9C">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kern w:val="0"/>
                <w:sz w:val="22"/>
                <w:szCs w:val="22"/>
                <w:lang w:bidi="ar"/>
                <w14:textFill>
                  <w14:solidFill>
                    <w14:schemeClr w14:val="tx1"/>
                  </w14:solidFill>
                </w14:textFill>
              </w:rPr>
              <w:t>工作内容</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BD3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单价</w:t>
            </w:r>
          </w:p>
        </w:tc>
      </w:tr>
      <w:tr w14:paraId="336AC3DF">
        <w:tblPrEx>
          <w:tblCellMar>
            <w:top w:w="0" w:type="dxa"/>
            <w:left w:w="108" w:type="dxa"/>
            <w:bottom w:w="0" w:type="dxa"/>
            <w:right w:w="108" w:type="dxa"/>
          </w:tblCellMar>
        </w:tblPrEx>
        <w:trPr>
          <w:trHeight w:val="2413"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B18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C5E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D9C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包装（含吨袋、小包装）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87B68">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树脂（含吨袋、小包装）包装、入库、装置部内短驳移库、干燥厂房清洁等，要求干净整洁，避免物料损失及外观污损。产量按月结算:250吨及以下阶梯278元/吨，251-480吨阶梯258元/吨，480吨以上阶梯228元/吨。月保底200吨，按阶梯258元/吨核算，停产当月取消保底</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9FF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278-228元/吨</w:t>
            </w:r>
          </w:p>
        </w:tc>
      </w:tr>
      <w:tr w14:paraId="5C87E0AB">
        <w:tblPrEx>
          <w:tblCellMar>
            <w:top w:w="0" w:type="dxa"/>
            <w:left w:w="108" w:type="dxa"/>
            <w:bottom w:w="0" w:type="dxa"/>
            <w:right w:w="108" w:type="dxa"/>
          </w:tblCellMar>
        </w:tblPrEx>
        <w:trPr>
          <w:trHeight w:val="556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2FA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81C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330C">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粉料舀粉（筛料）翻包包装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9884">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1.舀粉翻包：人工将大包装粉料分装至小包装，称重，静置放气，换箱，封装，贴标签，481元/吨；</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2.筛料翻包：人工将粉料舀到筛网，手工筛出杂质，重新包装，称重，静置放气，换箱，封装，贴标签，481元/吨；</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3.内袋破袋翻包：人工拆箱，将袋内粉料重新倒出装新袋，装箱，贴标签，封装，481元/吨；</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4.小包装翻包/换外包装破箱：静置放气，换箱，封装，贴标签，481×60%</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5.换标签（箱）：扯掉旧标签，换贴新标签，481×25%元/吨</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要求干净整洁，避免物料损失、外观污损、贴错标签等。</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月保底89吨，按481元/吨核算，停产当月取消保底</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4E7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481元/吨</w:t>
            </w:r>
          </w:p>
        </w:tc>
      </w:tr>
      <w:tr w14:paraId="18172D1D">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7C4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49A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491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发货、装置部外短驳</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0059">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PVDF产品按要求装车发货、短驳至装置部外仓库</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32C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33.2元/吨</w:t>
            </w:r>
          </w:p>
        </w:tc>
      </w:tr>
      <w:tr w14:paraId="2D4E1BDB">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853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AC8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C8A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悬浮粉料小包装（锂电料等）打托</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9A3B">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把PVDF悬浮粉料小包装码到托盘上进行打包、缠绕，固定不散架，便于装卸、搬运入库</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BEE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12.9元/托</w:t>
            </w:r>
          </w:p>
        </w:tc>
      </w:tr>
      <w:tr w14:paraId="3C31B187">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5D5C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5</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E39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274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造粒</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E656">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用真空上料机将粉料抽到挤出机料斗中加热熔化，将熔体进行冷却，切割成颗粒包装、转运，控制好造粒过程指标</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22C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130元/吨</w:t>
            </w:r>
          </w:p>
        </w:tc>
      </w:tr>
      <w:tr w14:paraId="642DE8B1">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CEA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6</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E66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3A87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除磁</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117E">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吊吨包（小包装料翻入吨包）到二楼，人工舀料到整理箱，整理箱舀进振动筛，电磁出料口包装，每班清理两次磁棒箱，一次电磁芯</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440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713元/吨</w:t>
            </w:r>
          </w:p>
        </w:tc>
      </w:tr>
      <w:tr w14:paraId="4AFBFEC1">
        <w:tblPrEx>
          <w:tblCellMar>
            <w:top w:w="0" w:type="dxa"/>
            <w:left w:w="108" w:type="dxa"/>
            <w:bottom w:w="0" w:type="dxa"/>
            <w:right w:w="108" w:type="dxa"/>
          </w:tblCellMar>
        </w:tblPrEx>
        <w:trPr>
          <w:trHeight w:val="94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223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7</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60E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379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厂外转运</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324D7">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每车保底4吨，按93.5/吨核算。超出4吨据实核算</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C56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93.5/吨</w:t>
            </w:r>
          </w:p>
        </w:tc>
      </w:tr>
      <w:tr w14:paraId="488356D8">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FBD8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8</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6C06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DE7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分子筛清理更换</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7596">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将废旧分子筛挖出、装袋（贴标签）、搬运至指定点；将新分子筛从仓库搬运至干燥器并回装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410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二期2300元/台，三期2800元/台</w:t>
            </w:r>
          </w:p>
        </w:tc>
      </w:tr>
      <w:tr w14:paraId="75B23DE5">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164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9</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D42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PVDF</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2E7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固碱、硅胶干燥器填料更换</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2D2D6">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将干燥器旧填料挖出、装袋、搬运至指定点，其中固碱干燥器填料需装车送至氯化钙装置部；然后将新填料从仓库搬运至干燥器并回装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5B5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固碱2000元/台；硅胶800元/台</w:t>
            </w:r>
          </w:p>
        </w:tc>
      </w:tr>
      <w:tr w14:paraId="63AD1A8E">
        <w:tblPrEx>
          <w:tblCellMar>
            <w:top w:w="0" w:type="dxa"/>
            <w:left w:w="108" w:type="dxa"/>
            <w:bottom w:w="0" w:type="dxa"/>
            <w:right w:w="108" w:type="dxa"/>
          </w:tblCellMar>
        </w:tblPrEx>
        <w:trPr>
          <w:trHeight w:val="841"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062D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10</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814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142b</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F40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有水酸灌装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5FFA">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做好142b有水酸灌装检查工作，穿戴好防护物品，安全灌装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3B9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12.2元/吨</w:t>
            </w:r>
          </w:p>
        </w:tc>
      </w:tr>
      <w:tr w14:paraId="7A9C4B0D">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CC9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11</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E6F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4C2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乙炔发生器排渣清理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1F2A">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四班三倒，乙炔发生器排渣池按要求跟班及时清理，不得影响正常生产</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DF7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10.8元/吨.电石</w:t>
            </w:r>
          </w:p>
        </w:tc>
      </w:tr>
      <w:tr w14:paraId="60A4CB50">
        <w:tblPrEx>
          <w:tblCellMar>
            <w:top w:w="0" w:type="dxa"/>
            <w:left w:w="108" w:type="dxa"/>
            <w:bottom w:w="0" w:type="dxa"/>
            <w:right w:w="108" w:type="dxa"/>
          </w:tblCellMar>
        </w:tblPrEx>
        <w:trPr>
          <w:trHeight w:val="86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C40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12</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0F6C">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53B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电石卸车破碎</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FE20">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电石卸车、破碎、清灰等</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70D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23.2元/吨.电石</w:t>
            </w:r>
          </w:p>
        </w:tc>
      </w:tr>
      <w:tr w14:paraId="29A3E8EE">
        <w:tblPrEx>
          <w:tblCellMar>
            <w:top w:w="0" w:type="dxa"/>
            <w:left w:w="108" w:type="dxa"/>
            <w:bottom w:w="0" w:type="dxa"/>
            <w:right w:w="108" w:type="dxa"/>
          </w:tblCellMar>
        </w:tblPrEx>
        <w:trPr>
          <w:trHeight w:val="118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A7E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13</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D00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06F2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乙炔皮带机地坑电石灰清理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40088">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电石灰清理，装袋移至冲灰池</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9D3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420元/次</w:t>
            </w:r>
          </w:p>
        </w:tc>
      </w:tr>
      <w:tr w14:paraId="4BBBE68F">
        <w:tblPrEx>
          <w:tblCellMar>
            <w:top w:w="0" w:type="dxa"/>
            <w:left w:w="108" w:type="dxa"/>
            <w:bottom w:w="0" w:type="dxa"/>
            <w:right w:w="108" w:type="dxa"/>
          </w:tblCellMar>
        </w:tblPrEx>
        <w:trPr>
          <w:trHeight w:val="86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737D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14</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4DF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70B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乙炔清液池清淤</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1833">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清液池淤泥装袋装车移至化池，泥浆装车移至排渣池，工作期限由生产装置部安排</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742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2000元/次</w:t>
            </w:r>
          </w:p>
        </w:tc>
      </w:tr>
      <w:tr w14:paraId="2E762092">
        <w:tblPrEx>
          <w:tblCellMar>
            <w:top w:w="0" w:type="dxa"/>
            <w:left w:w="108" w:type="dxa"/>
            <w:bottom w:w="0" w:type="dxa"/>
            <w:right w:w="108" w:type="dxa"/>
          </w:tblCellMar>
        </w:tblPrEx>
        <w:trPr>
          <w:trHeight w:val="86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0E9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15</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F6A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0CF1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电石料仓清理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CD92F">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将反应器的电石和残渣清理干净，工完场清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9EA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481元/台次</w:t>
            </w:r>
          </w:p>
        </w:tc>
      </w:tr>
      <w:tr w14:paraId="08CC060D">
        <w:tblPrEx>
          <w:tblCellMar>
            <w:top w:w="0" w:type="dxa"/>
            <w:left w:w="108" w:type="dxa"/>
            <w:bottom w:w="0" w:type="dxa"/>
            <w:right w:w="108" w:type="dxa"/>
          </w:tblCellMar>
        </w:tblPrEx>
        <w:trPr>
          <w:trHeight w:val="841"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167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16</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775A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TCE</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7520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提升机清理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1EEC">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提升机内，地坑内电石清理干净，现场工完场清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AF3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450元/次</w:t>
            </w:r>
          </w:p>
        </w:tc>
      </w:tr>
      <w:tr w14:paraId="4A46AB02">
        <w:tblPrEx>
          <w:tblCellMar>
            <w:top w:w="0" w:type="dxa"/>
            <w:left w:w="108" w:type="dxa"/>
            <w:bottom w:w="0" w:type="dxa"/>
            <w:right w:w="108" w:type="dxa"/>
          </w:tblCellMar>
        </w:tblPrEx>
        <w:trPr>
          <w:trHeight w:val="94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760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17</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38B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供应</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CB3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化工辅料装卸搬运</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143A9">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化工辅料装卸、短驳、移库、送货等</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5DA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35.5元/吨</w:t>
            </w:r>
          </w:p>
        </w:tc>
      </w:tr>
      <w:tr w14:paraId="270DA94C">
        <w:tblPrEx>
          <w:tblCellMar>
            <w:top w:w="0" w:type="dxa"/>
            <w:left w:w="108" w:type="dxa"/>
            <w:bottom w:w="0" w:type="dxa"/>
            <w:right w:w="108" w:type="dxa"/>
          </w:tblCellMar>
        </w:tblPrEx>
        <w:trPr>
          <w:trHeight w:val="94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58F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18</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6A7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供应</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0F2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PVDC厂外转运</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19C5">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根据需要转运至指定厂外区域</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17C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93.5元/吨</w:t>
            </w:r>
          </w:p>
        </w:tc>
      </w:tr>
      <w:tr w14:paraId="4BEF6CF4">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74BA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19</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B053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供应</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B5F1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盐车皮篷布折叠</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0DCC">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对场地上的篷布进行网格线清理、折叠、核对号码、码放、装上铁路篷车，同时清理铁路沿线即盐仓周边垃圾</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DF19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30.25元/块</w:t>
            </w:r>
          </w:p>
        </w:tc>
      </w:tr>
      <w:tr w14:paraId="0FAC6786">
        <w:tblPrEx>
          <w:tblCellMar>
            <w:top w:w="0" w:type="dxa"/>
            <w:left w:w="108" w:type="dxa"/>
            <w:bottom w:w="0" w:type="dxa"/>
            <w:right w:w="108" w:type="dxa"/>
          </w:tblCellMar>
        </w:tblPrEx>
        <w:trPr>
          <w:trHeight w:val="178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3C63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20</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96C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ED7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树脂（10wt、不含2.8wt）包装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6FA2">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PVDC树脂（10wt、不含2.8wt）包装、入库、装置部内短驳移库、厂房保洁、磁棒箱、旋振筛、搅合机清理，要求干净整洁，避免物料损失及外观污损。月保底197吨，按项目价格核算，停产当月取消保底</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F9E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90元/吨</w:t>
            </w:r>
          </w:p>
        </w:tc>
      </w:tr>
      <w:tr w14:paraId="36300188">
        <w:tblPrEx>
          <w:tblCellMar>
            <w:top w:w="0" w:type="dxa"/>
            <w:left w:w="108" w:type="dxa"/>
            <w:bottom w:w="0" w:type="dxa"/>
            <w:right w:w="108" w:type="dxa"/>
          </w:tblCellMar>
        </w:tblPrEx>
        <w:trPr>
          <w:trHeight w:val="86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570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21</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3B1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E97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乳液包装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280A">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PVDC乳液包装、入库、装置部内短驳移库、厂房保洁、卸返回空桶、返抽料</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B4A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36.8元/吨</w:t>
            </w:r>
          </w:p>
        </w:tc>
      </w:tr>
      <w:tr w14:paraId="53CDEE03">
        <w:tblPrEx>
          <w:tblCellMar>
            <w:top w:w="0" w:type="dxa"/>
            <w:left w:w="108" w:type="dxa"/>
            <w:bottom w:w="0" w:type="dxa"/>
            <w:right w:w="108" w:type="dxa"/>
          </w:tblCellMar>
        </w:tblPrEx>
        <w:trPr>
          <w:trHeight w:val="2099"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44A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22</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0DF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7FFD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搅合机（含中控、10wt、2.8wt现场）操作</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2ACA">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按PVDC树脂（含MA等）产量核算。与前后工序稳定衔接，遵守搅合机操作规程，做好各项检查工作，开机搅拌前，查看投料是否准确无误。监控搅拌机是否运转异常，如有异常必须立即汇报、处理。观察原料混合情况，混合完全后及时停机备用</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0A8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31元/吨</w:t>
            </w:r>
          </w:p>
        </w:tc>
      </w:tr>
      <w:tr w14:paraId="73C64140">
        <w:tblPrEx>
          <w:tblCellMar>
            <w:top w:w="0" w:type="dxa"/>
            <w:left w:w="108" w:type="dxa"/>
            <w:bottom w:w="0" w:type="dxa"/>
            <w:right w:w="108" w:type="dxa"/>
          </w:tblCellMar>
        </w:tblPrEx>
        <w:trPr>
          <w:trHeight w:val="2099"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C30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23</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EE4F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175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PVDC（树脂、MA、乳液等）发货、装置部外短驳</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5A9D">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PVDC（含树脂、MA、乳液等）按要求剪膜、换板、换标、装车发货、短驳至装置部外仓库</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AE7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24.5元/吨</w:t>
            </w:r>
          </w:p>
        </w:tc>
      </w:tr>
      <w:tr w14:paraId="7C47353C">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69CF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24</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C23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561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PVDC（MA）出口料打托</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395F">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PVDC（MA）出口料按要求缠膜、打托、搬运等</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48B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26元/吨</w:t>
            </w:r>
          </w:p>
        </w:tc>
      </w:tr>
      <w:tr w14:paraId="32FEBD84">
        <w:tblPrEx>
          <w:tblCellMar>
            <w:top w:w="0" w:type="dxa"/>
            <w:left w:w="108" w:type="dxa"/>
            <w:bottom w:w="0" w:type="dxa"/>
            <w:right w:w="108" w:type="dxa"/>
          </w:tblCellMar>
        </w:tblPrEx>
        <w:trPr>
          <w:trHeight w:val="2413"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10F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25</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63B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925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PVDC（安姆科、希悦尔、巴西料等）小配方及色母料配方</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1694">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按配方料吨数核算。从立体库四楼料仓人工放料，用白袋分装好送至老成品二楼；按照配方要求电子秤计量出相应的用量，人工倒入高速混料机中混料；混料完毕后人工分装搬至立体库三楼至搅合机钢平台秤量；按搅合机每台次人工加料混料</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916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545元/吨</w:t>
            </w:r>
          </w:p>
        </w:tc>
      </w:tr>
      <w:tr w14:paraId="1B1163E9">
        <w:tblPrEx>
          <w:tblCellMar>
            <w:top w:w="0" w:type="dxa"/>
            <w:left w:w="108" w:type="dxa"/>
            <w:bottom w:w="0" w:type="dxa"/>
            <w:right w:w="108" w:type="dxa"/>
          </w:tblCellMar>
        </w:tblPrEx>
        <w:trPr>
          <w:trHeight w:val="115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BCE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26</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FB8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609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旧树脂混料</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823FB">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将1楼旧树脂吨袋分料包装，用电动葫芦搬运至楼上分批倒入新树脂成品槽，三班倒配合作业，工完场清</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AFD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144.6元/吨</w:t>
            </w:r>
          </w:p>
        </w:tc>
      </w:tr>
      <w:tr w14:paraId="2D758AD4">
        <w:tblPrEx>
          <w:tblCellMar>
            <w:top w:w="0" w:type="dxa"/>
            <w:left w:w="108" w:type="dxa"/>
            <w:bottom w:w="0" w:type="dxa"/>
            <w:right w:w="108" w:type="dxa"/>
          </w:tblCellMar>
        </w:tblPrEx>
        <w:trPr>
          <w:trHeight w:val="1186"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304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27</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3B2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D0788">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回收利用乳液包装吨桶清洗</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480E">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按要求清洗干净，确保正常回收使用。注：未列入项目规格容积的回收桶，核算价格=非项目规格容积/吨*项目价格</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E18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80元/吨桶</w:t>
            </w:r>
          </w:p>
        </w:tc>
      </w:tr>
      <w:tr w14:paraId="1847EEFB">
        <w:tblPrEx>
          <w:tblCellMar>
            <w:top w:w="0" w:type="dxa"/>
            <w:left w:w="108" w:type="dxa"/>
            <w:bottom w:w="0" w:type="dxa"/>
            <w:right w:w="108" w:type="dxa"/>
          </w:tblCellMar>
        </w:tblPrEx>
        <w:trPr>
          <w:trHeight w:val="112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02A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28</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C1DA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D87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树脂换包</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2BE9">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按生产要求批量换包，含叉车配合费用</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512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吨袋换小包170元/吨袋；吨袋换吨袋80元/袋</w:t>
            </w:r>
          </w:p>
        </w:tc>
      </w:tr>
      <w:tr w14:paraId="17F18E4C">
        <w:tblPrEx>
          <w:tblCellMar>
            <w:top w:w="0" w:type="dxa"/>
            <w:left w:w="108" w:type="dxa"/>
            <w:bottom w:w="0" w:type="dxa"/>
            <w:right w:w="108" w:type="dxa"/>
          </w:tblCellMar>
        </w:tblPrEx>
        <w:trPr>
          <w:trHeight w:val="178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734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29</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622F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6721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废乳液处理</w:t>
            </w:r>
          </w:p>
        </w:tc>
        <w:tc>
          <w:tcPr>
            <w:tcW w:w="4817" w:type="dxa"/>
            <w:tcBorders>
              <w:top w:val="single" w:color="000000" w:sz="4" w:space="0"/>
              <w:left w:val="single" w:color="000000" w:sz="4" w:space="0"/>
              <w:bottom w:val="nil"/>
              <w:right w:val="single" w:color="000000" w:sz="4" w:space="0"/>
            </w:tcBorders>
            <w:shd w:val="clear" w:color="auto" w:fill="auto"/>
            <w:vAlign w:val="center"/>
          </w:tcPr>
          <w:p w14:paraId="5BB33A3F">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拆桶钢架，割开塑料桶，将桶装废乳液倒入专用池并清理干净，甲方叉车配合。</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注：未列入项目规格容积的废旧桶，核算价格=非项目规格容积/相近标准规格容积*项目价格</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1DBC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50升桶50元/桶，200升桶、吨桶130元/桶</w:t>
            </w:r>
          </w:p>
        </w:tc>
      </w:tr>
      <w:tr w14:paraId="0B9E4999">
        <w:tblPrEx>
          <w:tblCellMar>
            <w:top w:w="0" w:type="dxa"/>
            <w:left w:w="108" w:type="dxa"/>
            <w:bottom w:w="0" w:type="dxa"/>
            <w:right w:w="108" w:type="dxa"/>
          </w:tblCellMar>
        </w:tblPrEx>
        <w:trPr>
          <w:trHeight w:val="1029"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0BE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30</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CD9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PVDC</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EE3D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乳酸钙助剂破碎</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7BAC">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板结乳酸钙助剂破碎、筛分、装袋</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A71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75元/箱</w:t>
            </w:r>
          </w:p>
        </w:tc>
      </w:tr>
      <w:tr w14:paraId="07971D43">
        <w:tblPrEx>
          <w:tblCellMar>
            <w:top w:w="0" w:type="dxa"/>
            <w:left w:w="108" w:type="dxa"/>
            <w:bottom w:w="0" w:type="dxa"/>
            <w:right w:w="108" w:type="dxa"/>
          </w:tblCellMar>
        </w:tblPrEx>
        <w:trPr>
          <w:trHeight w:val="4918"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829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31</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DDD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通用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AA4D">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清洗、装卸搬运、处理废旧桶</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181B1">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1.清洗码放装袋：将助剂桶清洗干净，码放整齐，污水收集好装入指定容器内；</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2.装车转运卸车：承包商自备车辆，将清洗码放好的助剂桶装车、搬运到指定地点，卸车；</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3.破碎及装袋：送到破碎机破碎后装入吨袋。确保废桶破碎后符合化治焚烧装置要求</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注：未列入项目规格容积的废旧桶，核算价格=非项目规格容积/相近标准规格容积*项目价格</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CA9C">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1.清洗码放：3.破碎及装袋：20升桶5元/只，50升桶8元/只，200升桶20元/只，吨桶50元/只；</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2.装车转运卸车：20升桶5元/只，50升桶8元/只，200升桶20元/只，吨桶50元/只；</w:t>
            </w:r>
            <w:r>
              <w:rPr>
                <w:rFonts w:hint="eastAsia" w:ascii="仿宋" w:hAnsi="仿宋" w:eastAsia="仿宋" w:cs="仿宋"/>
                <w:color w:val="000000" w:themeColor="text1"/>
                <w:kern w:val="0"/>
                <w:sz w:val="24"/>
                <w:lang w:bidi="ar"/>
                <w14:textFill>
                  <w14:solidFill>
                    <w14:schemeClr w14:val="tx1"/>
                  </w14:solidFill>
                </w14:textFill>
              </w:rPr>
              <w:br w:type="textWrapping"/>
            </w:r>
            <w:r>
              <w:rPr>
                <w:rFonts w:hint="eastAsia" w:ascii="仿宋" w:hAnsi="仿宋" w:eastAsia="仿宋" w:cs="仿宋"/>
                <w:color w:val="000000" w:themeColor="text1"/>
                <w:kern w:val="0"/>
                <w:sz w:val="24"/>
                <w:lang w:bidi="ar"/>
                <w14:textFill>
                  <w14:solidFill>
                    <w14:schemeClr w14:val="tx1"/>
                  </w14:solidFill>
                </w14:textFill>
              </w:rPr>
              <w:t>3.破碎及装袋：20升桶5元/只，50升桶8元/只，200升桶20元/只，吨桶50元/只</w:t>
            </w:r>
          </w:p>
        </w:tc>
      </w:tr>
      <w:tr w14:paraId="4339C702">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FD6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32</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66AF">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通用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18C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泥浆、糊状物、胶体清理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AB59">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装袋50元/吨，装车15元/吨，转运30元/吨，卸车15元/吨，小计110元/吨。有加重盖板、受限空间等情形的，装袋另加20元/吨</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045F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110元/吨</w:t>
            </w:r>
          </w:p>
        </w:tc>
      </w:tr>
      <w:tr w14:paraId="34F219E5">
        <w:tblPrEx>
          <w:tblCellMar>
            <w:top w:w="0" w:type="dxa"/>
            <w:left w:w="108" w:type="dxa"/>
            <w:bottom w:w="0" w:type="dxa"/>
            <w:right w:w="108" w:type="dxa"/>
          </w:tblCellMar>
        </w:tblPrEx>
        <w:trPr>
          <w:trHeight w:val="1470"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DC23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33</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64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通用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0F1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固态、絮状物物料清理</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6A61">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装袋40元/吨，装车15元/吨，转运30元/吨，卸车15元/吨，小计100元/吨。有加重盖板、受限空间等情形的，装袋另加20元/吨</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128E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100元/吨</w:t>
            </w:r>
          </w:p>
        </w:tc>
      </w:tr>
      <w:tr w14:paraId="4239318F">
        <w:tblPrEx>
          <w:tblCellMar>
            <w:top w:w="0" w:type="dxa"/>
            <w:left w:w="108" w:type="dxa"/>
            <w:bottom w:w="0" w:type="dxa"/>
            <w:right w:w="108" w:type="dxa"/>
          </w:tblCellMar>
        </w:tblPrEx>
        <w:trPr>
          <w:trHeight w:val="2302"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2808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34</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B40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通用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E07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临时性、突发性杂工</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4524">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安全稳定高效完成临时性、突发性业务（涉及高危装置及物料、特种及复杂设备的业务须由具备资质的人员作业）。抢进度作业的，原则1工时为6小时；普通作业的，原则1工时为8小时；乙方合理安排休息时间，不得疲劳作业；根据劳动强度（环境）、连续作业时长、业务完成质量设置0.8-1.3的考核系数</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A70F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216/工时×（系数0.8～1.3）</w:t>
            </w:r>
          </w:p>
        </w:tc>
      </w:tr>
      <w:tr w14:paraId="2CDDBCCD">
        <w:tblPrEx>
          <w:tblCellMar>
            <w:top w:w="0" w:type="dxa"/>
            <w:left w:w="108" w:type="dxa"/>
            <w:bottom w:w="0" w:type="dxa"/>
            <w:right w:w="108" w:type="dxa"/>
          </w:tblCellMar>
        </w:tblPrEx>
        <w:trPr>
          <w:trHeight w:val="1095" w:hRule="atLeast"/>
          <w:jc w:val="center"/>
        </w:trPr>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62AF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35</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001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通用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FA06">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新增项目</w:t>
            </w:r>
          </w:p>
        </w:tc>
        <w:tc>
          <w:tcPr>
            <w:tcW w:w="4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F644">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1.可按临时用工试运行，项目成熟后双方协商确定价格；2.其他外包业务中有类似项目的可参照结算</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DDD0">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216/工时×（系数0.8～1.3）或参照同类项目价</w:t>
            </w:r>
          </w:p>
        </w:tc>
      </w:tr>
    </w:tbl>
    <w:p w14:paraId="5FFD4E68">
      <w:pPr>
        <w:autoSpaceDE w:val="0"/>
        <w:autoSpaceDN w:val="0"/>
        <w:spacing w:line="360" w:lineRule="auto"/>
        <w:ind w:left="19" w:leftChars="9" w:firstLine="19" w:firstLineChars="8"/>
        <w:rPr>
          <w:rFonts w:ascii="仿宋" w:hAnsi="仿宋" w:eastAsia="仿宋" w:cs="仿宋"/>
          <w:b/>
          <w:snapToGrid w:val="0"/>
          <w:sz w:val="24"/>
        </w:rPr>
      </w:pPr>
    </w:p>
    <w:p w14:paraId="34D9FE1C">
      <w:pPr>
        <w:autoSpaceDE w:val="0"/>
        <w:autoSpaceDN w:val="0"/>
        <w:spacing w:line="360" w:lineRule="auto"/>
        <w:ind w:left="19" w:leftChars="9" w:firstLine="19" w:firstLineChars="8"/>
        <w:rPr>
          <w:rFonts w:ascii="仿宋" w:hAnsi="仿宋" w:eastAsia="仿宋" w:cs="仿宋"/>
          <w:b/>
          <w:snapToGrid w:val="0"/>
          <w:sz w:val="24"/>
        </w:rPr>
      </w:pPr>
      <w:r>
        <w:rPr>
          <w:rFonts w:hint="eastAsia" w:ascii="仿宋" w:hAnsi="仿宋" w:eastAsia="仿宋" w:cs="仿宋"/>
          <w:b/>
          <w:snapToGrid w:val="0"/>
          <w:sz w:val="24"/>
        </w:rPr>
        <w:t>标段二：卸盐化盐项目劳务费用结算价目表</w:t>
      </w:r>
    </w:p>
    <w:tbl>
      <w:tblPr>
        <w:tblStyle w:val="21"/>
        <w:tblW w:w="9418" w:type="dxa"/>
        <w:jc w:val="center"/>
        <w:tblLayout w:type="autofit"/>
        <w:tblCellMar>
          <w:top w:w="0" w:type="dxa"/>
          <w:left w:w="108" w:type="dxa"/>
          <w:bottom w:w="0" w:type="dxa"/>
          <w:right w:w="108" w:type="dxa"/>
        </w:tblCellMar>
      </w:tblPr>
      <w:tblGrid>
        <w:gridCol w:w="810"/>
        <w:gridCol w:w="1507"/>
        <w:gridCol w:w="5866"/>
        <w:gridCol w:w="1235"/>
      </w:tblGrid>
      <w:tr w14:paraId="448BD397">
        <w:tblPrEx>
          <w:tblCellMar>
            <w:top w:w="0" w:type="dxa"/>
            <w:left w:w="108" w:type="dxa"/>
            <w:bottom w:w="0" w:type="dxa"/>
            <w:right w:w="108" w:type="dxa"/>
          </w:tblCellMar>
        </w:tblPrEx>
        <w:trPr>
          <w:trHeight w:val="91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B5A23">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序号</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FBE7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项目</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A424">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工作内容</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59EC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单价</w:t>
            </w:r>
          </w:p>
        </w:tc>
      </w:tr>
      <w:tr w14:paraId="7A34C6DA">
        <w:tblPrEx>
          <w:tblCellMar>
            <w:top w:w="0" w:type="dxa"/>
            <w:left w:w="108" w:type="dxa"/>
            <w:bottom w:w="0" w:type="dxa"/>
            <w:right w:w="108" w:type="dxa"/>
          </w:tblCellMar>
        </w:tblPrEx>
        <w:trPr>
          <w:trHeight w:val="118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748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8156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3#盐仓卸盐</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8E2F">
            <w:pPr>
              <w:widowControl/>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卸盐、按比例装盐等卸盐相关业务工作，一节盐车皮按70吨盐核算。每月保底化盐量按18000吨结算，停产当月取消保底</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C01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1.8元/吨</w:t>
            </w:r>
          </w:p>
        </w:tc>
      </w:tr>
      <w:tr w14:paraId="4D6AF73A">
        <w:tblPrEx>
          <w:tblCellMar>
            <w:top w:w="0" w:type="dxa"/>
            <w:left w:w="108" w:type="dxa"/>
            <w:bottom w:w="0" w:type="dxa"/>
            <w:right w:w="108" w:type="dxa"/>
          </w:tblCellMar>
        </w:tblPrEx>
        <w:trPr>
          <w:trHeight w:val="161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FFA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C96E">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一次盐水化盐</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C21D8">
            <w:pPr>
              <w:widowControl/>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皮带机上盐、盐水浓度调节、清理垃圾或杂物等化盐相关业务工作。化盐量按折百碱产量乘以盐耗计算。乙方为每条皮带机每班各配备不少于1名员工。每月保底化盐量按42000吨结算，停产当月取消保底</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94F1">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1.6元/吨</w:t>
            </w:r>
          </w:p>
        </w:tc>
      </w:tr>
      <w:tr w14:paraId="1E66F854">
        <w:tblPrEx>
          <w:tblCellMar>
            <w:top w:w="0" w:type="dxa"/>
            <w:left w:w="108" w:type="dxa"/>
            <w:bottom w:w="0" w:type="dxa"/>
            <w:right w:w="108" w:type="dxa"/>
          </w:tblCellMar>
        </w:tblPrEx>
        <w:trPr>
          <w:trHeight w:val="2081"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49F9">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3</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C1424">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2#和3#盐仓各1台挖掘机配合卸盐、转运、抢修配合等</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C7F2">
            <w:pPr>
              <w:widowControl/>
              <w:jc w:val="left"/>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按2#3#盐仓采购入库量核算。2#3#盐仓各1台挖掘机及时响应（20分钟内）配合卸盐、转运、抢修等工作，</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7017">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1.7元/吨</w:t>
            </w:r>
          </w:p>
        </w:tc>
      </w:tr>
      <w:tr w14:paraId="2052A6F7">
        <w:tblPrEx>
          <w:tblCellMar>
            <w:top w:w="0" w:type="dxa"/>
            <w:left w:w="108" w:type="dxa"/>
            <w:bottom w:w="0" w:type="dxa"/>
            <w:right w:w="108" w:type="dxa"/>
          </w:tblCellMar>
        </w:tblPrEx>
        <w:trPr>
          <w:trHeight w:val="974"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2A1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4</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DE3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氯化镁、氯化钡卸车配制</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D2CA">
            <w:pPr>
              <w:widowControl/>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氯化镁、氯化钡到货卸车、溶液配制、废袋装车、配制池清理</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08D1A">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101元/吨</w:t>
            </w:r>
          </w:p>
        </w:tc>
      </w:tr>
      <w:tr w14:paraId="07D3244C">
        <w:tblPrEx>
          <w:tblCellMar>
            <w:top w:w="0" w:type="dxa"/>
            <w:left w:w="108" w:type="dxa"/>
            <w:bottom w:w="0" w:type="dxa"/>
            <w:right w:w="108" w:type="dxa"/>
          </w:tblCellMar>
        </w:tblPrEx>
        <w:trPr>
          <w:trHeight w:val="1041"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79265">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5</w:t>
            </w:r>
          </w:p>
        </w:tc>
        <w:tc>
          <w:tcPr>
            <w:tcW w:w="1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83B32">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零星装载机配合</w:t>
            </w:r>
          </w:p>
        </w:tc>
        <w:tc>
          <w:tcPr>
            <w:tcW w:w="5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5D59">
            <w:pPr>
              <w:widowControl/>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装载机配合转运原盐、配合装载固废等</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FE40B">
            <w:pPr>
              <w:widowControl/>
              <w:jc w:val="center"/>
              <w:textAlignment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lang w:bidi="ar"/>
                <w14:textFill>
                  <w14:solidFill>
                    <w14:schemeClr w14:val="tx1"/>
                  </w14:solidFill>
                </w14:textFill>
              </w:rPr>
              <w:t>212元/h</w:t>
            </w:r>
          </w:p>
        </w:tc>
      </w:tr>
    </w:tbl>
    <w:p w14:paraId="711822D6">
      <w:pPr>
        <w:snapToGrid w:val="0"/>
        <w:spacing w:line="440" w:lineRule="exact"/>
        <w:ind w:firstLine="480" w:firstLineChars="200"/>
        <w:outlineLvl w:val="1"/>
        <w:rPr>
          <w:rFonts w:ascii="宋体" w:hAnsi="宋体" w:cs="宋体"/>
          <w:sz w:val="24"/>
        </w:rPr>
      </w:pPr>
      <w:r>
        <w:rPr>
          <w:rFonts w:hint="eastAsia" w:ascii="宋体" w:hAnsi="宋体" w:cs="宋体"/>
          <w:sz w:val="24"/>
        </w:rPr>
        <w:t>3.2.6报价内容：投标报价应是招标文件所确定的招标范围内全部标的物及服务内容的价格。</w:t>
      </w:r>
    </w:p>
    <w:p w14:paraId="12F2641F">
      <w:pPr>
        <w:snapToGrid w:val="0"/>
        <w:spacing w:line="440" w:lineRule="exact"/>
        <w:ind w:firstLine="480" w:firstLineChars="200"/>
        <w:outlineLvl w:val="1"/>
        <w:rPr>
          <w:b/>
          <w:bCs/>
          <w:sz w:val="24"/>
        </w:rPr>
      </w:pPr>
      <w:r>
        <w:rPr>
          <w:rFonts w:hint="eastAsia" w:ascii="宋体" w:hAnsi="宋体" w:cs="宋体"/>
          <w:sz w:val="24"/>
        </w:rPr>
        <w:t>3.2.7投标货币：本项目的投标应以</w:t>
      </w:r>
      <w:r>
        <w:rPr>
          <w:rFonts w:hint="eastAsia" w:ascii="宋体" w:hAnsi="宋体" w:cs="宋体"/>
          <w:b/>
          <w:bCs/>
          <w:sz w:val="24"/>
        </w:rPr>
        <w:t>投标结算率</w:t>
      </w:r>
      <w:r>
        <w:rPr>
          <w:rFonts w:hint="eastAsia" w:ascii="宋体" w:hAnsi="宋体" w:cs="宋体"/>
          <w:sz w:val="24"/>
        </w:rPr>
        <w:t>报价。</w:t>
      </w:r>
    </w:p>
    <w:p w14:paraId="2D292F40">
      <w:pPr>
        <w:spacing w:line="360" w:lineRule="auto"/>
        <w:ind w:firstLine="241" w:firstLineChars="100"/>
        <w:rPr>
          <w:b/>
          <w:bCs/>
          <w:sz w:val="24"/>
        </w:rPr>
      </w:pPr>
      <w:r>
        <w:rPr>
          <w:b/>
          <w:bCs/>
          <w:sz w:val="24"/>
        </w:rPr>
        <w:t xml:space="preserve">3.3 </w:t>
      </w:r>
      <w:r>
        <w:rPr>
          <w:rFonts w:hint="eastAsia"/>
          <w:b/>
          <w:bCs/>
          <w:sz w:val="24"/>
        </w:rPr>
        <w:t>投标有效期</w:t>
      </w:r>
    </w:p>
    <w:p w14:paraId="1D9C393A">
      <w:pPr>
        <w:spacing w:line="360" w:lineRule="auto"/>
        <w:ind w:firstLine="240" w:firstLineChars="100"/>
        <w:rPr>
          <w:sz w:val="24"/>
        </w:rPr>
      </w:pPr>
      <w:r>
        <w:rPr>
          <w:sz w:val="24"/>
        </w:rPr>
        <w:t>3.3</w:t>
      </w:r>
      <w:r>
        <w:rPr>
          <w:rFonts w:hint="eastAsia"/>
          <w:sz w:val="24"/>
        </w:rPr>
        <w:t>.1投标有效期见本须知前附表所规定的期限，在此期限内，凡符合本招标文件要求的投标文件均保持有效。</w:t>
      </w:r>
    </w:p>
    <w:p w14:paraId="365B26CB">
      <w:pPr>
        <w:spacing w:line="360" w:lineRule="auto"/>
        <w:ind w:firstLine="240" w:firstLineChars="100"/>
        <w:rPr>
          <w:sz w:val="24"/>
        </w:rPr>
      </w:pPr>
      <w:r>
        <w:rPr>
          <w:sz w:val="24"/>
        </w:rPr>
        <w:t>3.3.</w:t>
      </w:r>
      <w:r>
        <w:rPr>
          <w:rFonts w:hint="eastAsia"/>
          <w:sz w:val="24"/>
        </w:rPr>
        <w:t>2在特殊情况下，招标人在原定投标有效期内，可以根据需要以书面形式向投标人提出延长投标有效期的要求，对此要求投标人须以书面形式予以答复，投标人可以拒绝招标人这种要求。</w:t>
      </w:r>
    </w:p>
    <w:p w14:paraId="2CB3AB17">
      <w:pPr>
        <w:spacing w:line="360" w:lineRule="auto"/>
        <w:ind w:firstLine="241" w:firstLineChars="100"/>
        <w:rPr>
          <w:b/>
          <w:bCs/>
          <w:sz w:val="24"/>
        </w:rPr>
      </w:pPr>
      <w:bookmarkStart w:id="17" w:name="_Toc81196564"/>
      <w:r>
        <w:rPr>
          <w:b/>
          <w:bCs/>
          <w:sz w:val="24"/>
        </w:rPr>
        <w:t xml:space="preserve">3.4 </w:t>
      </w:r>
      <w:r>
        <w:rPr>
          <w:rFonts w:hint="eastAsia"/>
          <w:b/>
          <w:bCs/>
          <w:sz w:val="24"/>
        </w:rPr>
        <w:t>投标</w:t>
      </w:r>
      <w:bookmarkEnd w:id="17"/>
      <w:r>
        <w:rPr>
          <w:rFonts w:hint="eastAsia"/>
          <w:b/>
          <w:bCs/>
          <w:sz w:val="24"/>
        </w:rPr>
        <w:t>保证金</w:t>
      </w:r>
    </w:p>
    <w:p w14:paraId="7E48545D">
      <w:pPr>
        <w:spacing w:line="360" w:lineRule="auto"/>
        <w:ind w:firstLine="240" w:firstLineChars="100"/>
        <w:rPr>
          <w:sz w:val="24"/>
        </w:rPr>
      </w:pPr>
      <w:r>
        <w:rPr>
          <w:sz w:val="24"/>
        </w:rPr>
        <w:t>3.4</w:t>
      </w:r>
      <w:r>
        <w:rPr>
          <w:rFonts w:hint="eastAsia"/>
          <w:sz w:val="24"/>
        </w:rPr>
        <w:t>.1</w:t>
      </w:r>
      <w:r>
        <w:rPr>
          <w:sz w:val="24"/>
        </w:rPr>
        <w:t xml:space="preserve"> 投标人在递交投标文件的同时，应按招标公告规定的金额、担保形式递交投标保证金，并作为其投标文件的组成部分。</w:t>
      </w:r>
    </w:p>
    <w:p w14:paraId="35191FA2">
      <w:pPr>
        <w:spacing w:line="360" w:lineRule="auto"/>
        <w:ind w:firstLine="240" w:firstLineChars="100"/>
        <w:rPr>
          <w:sz w:val="24"/>
        </w:rPr>
      </w:pPr>
      <w:r>
        <w:rPr>
          <w:sz w:val="24"/>
        </w:rPr>
        <w:t>3.4.2 投标人不按招标公告要求提交投标保证金的，其投标文件招标人不予受理。</w:t>
      </w:r>
    </w:p>
    <w:p w14:paraId="75BE2ADE">
      <w:pPr>
        <w:spacing w:line="360" w:lineRule="auto"/>
        <w:ind w:firstLine="240" w:firstLineChars="100"/>
        <w:rPr>
          <w:sz w:val="24"/>
        </w:rPr>
      </w:pPr>
      <w:r>
        <w:rPr>
          <w:sz w:val="24"/>
        </w:rPr>
        <w:t>3.4.3 招标人与中标人签订合同后5个工作日内，向未中标的投标人和中标人退还投标保证金。</w:t>
      </w:r>
    </w:p>
    <w:p w14:paraId="7EC8F281">
      <w:pPr>
        <w:spacing w:line="360" w:lineRule="auto"/>
        <w:ind w:firstLine="240" w:firstLineChars="100"/>
        <w:rPr>
          <w:sz w:val="24"/>
        </w:rPr>
      </w:pPr>
      <w:r>
        <w:rPr>
          <w:sz w:val="24"/>
        </w:rPr>
        <w:t xml:space="preserve">3.4.4 有下列情形之一的，投标保证金将不予退还： </w:t>
      </w:r>
    </w:p>
    <w:p w14:paraId="3C7E9F15">
      <w:pPr>
        <w:spacing w:line="360" w:lineRule="auto"/>
        <w:ind w:firstLine="240" w:firstLineChars="100"/>
        <w:rPr>
          <w:sz w:val="24"/>
        </w:rPr>
      </w:pPr>
      <w:r>
        <w:rPr>
          <w:sz w:val="24"/>
        </w:rPr>
        <w:t>（1）投标人在规定的投标有效期内撤销或修改其投标文件；</w:t>
      </w:r>
    </w:p>
    <w:p w14:paraId="00FED3F8">
      <w:pPr>
        <w:spacing w:line="360" w:lineRule="auto"/>
        <w:ind w:firstLine="240" w:firstLineChars="100"/>
        <w:rPr>
          <w:sz w:val="24"/>
        </w:rPr>
      </w:pPr>
      <w:r>
        <w:rPr>
          <w:sz w:val="24"/>
        </w:rPr>
        <w:t>（2）中标人在收到中标通知书后，无正当理由拒签合同协议书或未按招标文件规定提交履约担保。</w:t>
      </w:r>
    </w:p>
    <w:p w14:paraId="57267D0D">
      <w:pPr>
        <w:spacing w:line="360" w:lineRule="auto"/>
        <w:ind w:firstLine="241" w:firstLineChars="100"/>
        <w:rPr>
          <w:b/>
          <w:bCs/>
          <w:sz w:val="24"/>
        </w:rPr>
      </w:pPr>
      <w:r>
        <w:rPr>
          <w:b/>
          <w:bCs/>
          <w:sz w:val="24"/>
        </w:rPr>
        <w:t>3.5 投标文件的编制</w:t>
      </w:r>
    </w:p>
    <w:p w14:paraId="1616738C">
      <w:pPr>
        <w:spacing w:line="360" w:lineRule="auto"/>
        <w:ind w:firstLine="240" w:firstLineChars="100"/>
        <w:rPr>
          <w:sz w:val="24"/>
        </w:rPr>
      </w:pPr>
      <w:r>
        <w:rPr>
          <w:sz w:val="24"/>
        </w:rPr>
        <w:t>3.5.1投标文件应按“投标文件格式”进行编写，如有必要，可以增加附页，作为投标文件的组成部分。</w:t>
      </w:r>
    </w:p>
    <w:p w14:paraId="2A677AB7">
      <w:pPr>
        <w:spacing w:line="360" w:lineRule="auto"/>
        <w:ind w:firstLine="240" w:firstLineChars="100"/>
        <w:rPr>
          <w:sz w:val="24"/>
        </w:rPr>
      </w:pPr>
      <w:r>
        <w:rPr>
          <w:sz w:val="24"/>
        </w:rPr>
        <w:t>3.5.2 投标文件应当对招标文件有关工期、投标有效期、质量要求、技术标准和要求、招标范围等实质性内容作出响应。</w:t>
      </w:r>
    </w:p>
    <w:bookmarkEnd w:id="16"/>
    <w:p w14:paraId="0A2474DB">
      <w:pPr>
        <w:pStyle w:val="7"/>
        <w:numPr>
          <w:ilvl w:val="0"/>
          <w:numId w:val="0"/>
        </w:numPr>
        <w:snapToGrid w:val="0"/>
        <w:spacing w:line="360" w:lineRule="auto"/>
        <w:ind w:firstLine="240" w:firstLineChars="100"/>
        <w:rPr>
          <w:rFonts w:ascii="宋体" w:hAnsi="宋体"/>
          <w:sz w:val="24"/>
        </w:rPr>
      </w:pPr>
      <w:r>
        <w:rPr>
          <w:rFonts w:hint="eastAsia" w:ascii="宋体" w:hAnsi="宋体"/>
          <w:sz w:val="24"/>
        </w:rPr>
        <w:t>3.5.3“电子加密投标文件”：</w:t>
      </w:r>
    </w:p>
    <w:p w14:paraId="62D7340C">
      <w:pPr>
        <w:pStyle w:val="7"/>
        <w:numPr>
          <w:ilvl w:val="0"/>
          <w:numId w:val="0"/>
        </w:numPr>
        <w:snapToGrid w:val="0"/>
        <w:spacing w:line="360" w:lineRule="auto"/>
        <w:ind w:firstLine="426"/>
        <w:rPr>
          <w:rFonts w:ascii="宋体" w:hAnsi="宋体"/>
          <w:sz w:val="24"/>
        </w:rPr>
      </w:pPr>
      <w:r>
        <w:rPr>
          <w:rFonts w:hint="eastAsia" w:ascii="宋体" w:hAnsi="宋体"/>
          <w:sz w:val="24"/>
        </w:rPr>
        <w:t>（1）“电子加密投标文件”是指通过“化工云商网（巨化数字化招采平台）”完成投标文件编制后生成并加密的数据电文形式的投标文件。</w:t>
      </w:r>
    </w:p>
    <w:p w14:paraId="7F930B24">
      <w:pPr>
        <w:pStyle w:val="5"/>
        <w:spacing w:before="0" w:after="0" w:line="360" w:lineRule="auto"/>
        <w:rPr>
          <w:b w:val="0"/>
          <w:sz w:val="24"/>
          <w:szCs w:val="24"/>
        </w:rPr>
      </w:pPr>
      <w:r>
        <w:rPr>
          <w:rFonts w:hint="eastAsia"/>
          <w:b w:val="0"/>
          <w:sz w:val="24"/>
          <w:szCs w:val="24"/>
        </w:rPr>
        <w:t>4 投标</w:t>
      </w:r>
    </w:p>
    <w:p w14:paraId="541FC0AA">
      <w:pPr>
        <w:snapToGrid w:val="0"/>
        <w:spacing w:before="120" w:beforeLines="50" w:line="360" w:lineRule="auto"/>
        <w:ind w:firstLine="354" w:firstLineChars="147"/>
        <w:jc w:val="left"/>
        <w:rPr>
          <w:rFonts w:ascii="宋体" w:hAnsi="宋体"/>
          <w:b/>
          <w:bCs/>
          <w:sz w:val="24"/>
        </w:rPr>
      </w:pPr>
      <w:r>
        <w:rPr>
          <w:b/>
          <w:bCs/>
          <w:sz w:val="24"/>
        </w:rPr>
        <w:t xml:space="preserve">4.1 </w:t>
      </w:r>
      <w:r>
        <w:rPr>
          <w:rFonts w:hint="eastAsia" w:ascii="宋体" w:hAnsi="宋体"/>
          <w:b/>
          <w:bCs/>
          <w:sz w:val="24"/>
        </w:rPr>
        <w:t>投标文件的签章</w:t>
      </w:r>
    </w:p>
    <w:p w14:paraId="0FB7B1BD">
      <w:pPr>
        <w:snapToGrid w:val="0"/>
        <w:spacing w:line="360" w:lineRule="auto"/>
        <w:ind w:firstLine="426"/>
        <w:jc w:val="left"/>
        <w:rPr>
          <w:rFonts w:ascii="宋体" w:hAnsi="宋体"/>
          <w:sz w:val="24"/>
        </w:rPr>
      </w:pPr>
      <w:r>
        <w:rPr>
          <w:rFonts w:hint="eastAsia" w:ascii="宋体" w:hAnsi="宋体"/>
          <w:sz w:val="24"/>
        </w:rPr>
        <w:t>采用电子签章。</w:t>
      </w:r>
    </w:p>
    <w:p w14:paraId="3B922883">
      <w:pPr>
        <w:spacing w:line="360" w:lineRule="auto"/>
        <w:ind w:firstLine="241" w:firstLineChars="100"/>
        <w:rPr>
          <w:rFonts w:ascii="宋体" w:hAnsi="宋体"/>
          <w:b/>
          <w:sz w:val="24"/>
        </w:rPr>
      </w:pPr>
      <w:r>
        <w:rPr>
          <w:rFonts w:hint="eastAsia"/>
          <w:b/>
          <w:bCs/>
          <w:sz w:val="24"/>
        </w:rPr>
        <w:t>4.2</w:t>
      </w:r>
      <w:r>
        <w:rPr>
          <w:b/>
          <w:bCs/>
          <w:sz w:val="24"/>
        </w:rPr>
        <w:t xml:space="preserve"> </w:t>
      </w:r>
      <w:r>
        <w:rPr>
          <w:rFonts w:hint="eastAsia" w:ascii="宋体" w:hAnsi="宋体"/>
          <w:b/>
          <w:bCs/>
          <w:sz w:val="24"/>
        </w:rPr>
        <w:t>投标</w:t>
      </w:r>
      <w:r>
        <w:rPr>
          <w:rFonts w:hint="eastAsia" w:ascii="宋体" w:hAnsi="宋体"/>
          <w:b/>
          <w:sz w:val="24"/>
        </w:rPr>
        <w:t>文件的包装、密封和递交</w:t>
      </w:r>
    </w:p>
    <w:p w14:paraId="0CD3966A">
      <w:pPr>
        <w:snapToGrid w:val="0"/>
        <w:spacing w:line="360" w:lineRule="auto"/>
        <w:ind w:firstLine="426"/>
        <w:jc w:val="left"/>
        <w:rPr>
          <w:rFonts w:ascii="宋体" w:hAnsi="宋体"/>
          <w:sz w:val="24"/>
        </w:rPr>
      </w:pPr>
      <w:r>
        <w:rPr>
          <w:rFonts w:hint="eastAsia" w:ascii="宋体" w:hAnsi="宋体"/>
          <w:sz w:val="24"/>
        </w:rPr>
        <w:t>1、“电子加密投标文件”的递交：在线上传递交。</w:t>
      </w:r>
    </w:p>
    <w:p w14:paraId="37BA9366">
      <w:pPr>
        <w:snapToGrid w:val="0"/>
        <w:spacing w:line="360" w:lineRule="auto"/>
        <w:ind w:firstLine="426"/>
        <w:jc w:val="left"/>
        <w:rPr>
          <w:rFonts w:ascii="宋体" w:hAnsi="宋体"/>
          <w:sz w:val="24"/>
        </w:rPr>
      </w:pPr>
      <w:r>
        <w:rPr>
          <w:rFonts w:hint="eastAsia" w:ascii="宋体" w:hAnsi="宋体"/>
          <w:sz w:val="24"/>
        </w:rPr>
        <w:t>（1）投标人应在投标截止时间前将“电子加密投标文件”成功上传递交至“化工云商网（巨化数字化招采平台）”，否则投标无效。</w:t>
      </w:r>
    </w:p>
    <w:p w14:paraId="0F4115F8">
      <w:pPr>
        <w:snapToGrid w:val="0"/>
        <w:spacing w:before="120" w:beforeLines="50" w:line="360" w:lineRule="auto"/>
        <w:ind w:firstLine="354" w:firstLineChars="147"/>
        <w:jc w:val="left"/>
        <w:rPr>
          <w:rFonts w:ascii="宋体" w:hAnsi="宋体"/>
          <w:b/>
          <w:sz w:val="24"/>
        </w:rPr>
      </w:pPr>
      <w:r>
        <w:rPr>
          <w:rFonts w:hint="eastAsia" w:ascii="宋体" w:hAnsi="宋体"/>
          <w:b/>
          <w:sz w:val="24"/>
        </w:rPr>
        <w:t>4.3 投标文件的修改和撤回</w:t>
      </w:r>
    </w:p>
    <w:p w14:paraId="321929D0">
      <w:pPr>
        <w:autoSpaceDE w:val="0"/>
        <w:autoSpaceDN w:val="0"/>
        <w:snapToGrid w:val="0"/>
        <w:spacing w:line="360" w:lineRule="auto"/>
        <w:ind w:left="479" w:leftChars="228"/>
        <w:textAlignment w:val="bottom"/>
        <w:rPr>
          <w:rFonts w:ascii="宋体" w:hAnsi="宋体" w:cs="宋体"/>
          <w:sz w:val="24"/>
          <w:lang w:bidi="ar"/>
        </w:rPr>
      </w:pPr>
      <w:r>
        <w:rPr>
          <w:rFonts w:hint="eastAsia" w:ascii="宋体" w:hAnsi="宋体" w:cs="宋体"/>
          <w:sz w:val="24"/>
          <w:lang w:bidi="ar"/>
        </w:rPr>
        <w:t>1、投标人在投标截止时间前可以补充、修改或者撤回投标文件。</w:t>
      </w:r>
    </w:p>
    <w:p w14:paraId="2560BE6C">
      <w:pPr>
        <w:autoSpaceDE w:val="0"/>
        <w:autoSpaceDN w:val="0"/>
        <w:snapToGrid w:val="0"/>
        <w:spacing w:line="360" w:lineRule="auto"/>
        <w:ind w:firstLine="480" w:firstLineChars="200"/>
        <w:textAlignment w:val="bottom"/>
        <w:rPr>
          <w:rFonts w:ascii="宋体" w:hAnsi="宋体" w:cs="宋体"/>
          <w:sz w:val="24"/>
          <w:lang w:bidi="ar"/>
        </w:rPr>
      </w:pPr>
      <w:r>
        <w:rPr>
          <w:rFonts w:hint="eastAsia" w:ascii="宋体" w:hAnsi="宋体" w:cs="宋体"/>
          <w:sz w:val="24"/>
          <w:lang w:bidi="ar"/>
        </w:rPr>
        <w:t>2、补充或者修改投标文件的，应当先行撤回原投标文件，补充、修改后重新上传递交。</w:t>
      </w:r>
    </w:p>
    <w:p w14:paraId="538853AE">
      <w:pPr>
        <w:autoSpaceDE w:val="0"/>
        <w:autoSpaceDN w:val="0"/>
        <w:snapToGrid w:val="0"/>
        <w:spacing w:line="360" w:lineRule="auto"/>
        <w:ind w:left="479" w:leftChars="228"/>
        <w:textAlignment w:val="bottom"/>
        <w:rPr>
          <w:sz w:val="24"/>
        </w:rPr>
      </w:pPr>
      <w:r>
        <w:rPr>
          <w:rFonts w:hint="eastAsia" w:ascii="宋体" w:hAnsi="宋体" w:cs="宋体"/>
          <w:sz w:val="24"/>
          <w:lang w:bidi="ar"/>
        </w:rPr>
        <w:t>3、投标截止时间前未完成上传的，视为撤回投标文件。</w:t>
      </w:r>
    </w:p>
    <w:p w14:paraId="3D14F183">
      <w:pPr>
        <w:pStyle w:val="5"/>
        <w:spacing w:before="0" w:after="0" w:line="360" w:lineRule="auto"/>
        <w:rPr>
          <w:b w:val="0"/>
          <w:sz w:val="24"/>
          <w:szCs w:val="24"/>
        </w:rPr>
      </w:pPr>
      <w:bookmarkStart w:id="18" w:name="_Toc81196574"/>
      <w:r>
        <w:rPr>
          <w:rFonts w:hint="eastAsia"/>
          <w:b w:val="0"/>
          <w:sz w:val="24"/>
          <w:szCs w:val="24"/>
        </w:rPr>
        <w:t>5 开标</w:t>
      </w:r>
      <w:bookmarkEnd w:id="18"/>
      <w:bookmarkStart w:id="19" w:name="_Toc81196575"/>
    </w:p>
    <w:p w14:paraId="00FD22AC">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5.1 开标形式</w:t>
      </w:r>
    </w:p>
    <w:p w14:paraId="71E11D75">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招标组织机构将按照招标文件规定的时间通过”巨化数字化招采平台”组织在线开标，所有投标人均应当准时在线参加。</w:t>
      </w:r>
    </w:p>
    <w:p w14:paraId="58362BE9">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 xml:space="preserve">5.2 </w:t>
      </w:r>
      <w:r>
        <w:rPr>
          <w:rFonts w:ascii="宋体" w:hAnsi="宋体" w:cs="宋体"/>
          <w:b/>
          <w:sz w:val="24"/>
          <w:lang w:bidi="ar"/>
        </w:rPr>
        <w:t>开标准备</w:t>
      </w:r>
    </w:p>
    <w:p w14:paraId="5B925CFB">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1.开标的准备工作由招标组织机构负责落实。</w:t>
      </w:r>
    </w:p>
    <w:p w14:paraId="701B125B">
      <w:pPr>
        <w:autoSpaceDE w:val="0"/>
        <w:autoSpaceDN w:val="0"/>
        <w:adjustRightInd w:val="0"/>
        <w:snapToGrid w:val="0"/>
        <w:spacing w:line="360" w:lineRule="auto"/>
        <w:ind w:firstLine="480" w:firstLineChars="200"/>
        <w:textAlignment w:val="bottom"/>
        <w:rPr>
          <w:rFonts w:ascii="宋体" w:hAnsi="宋体" w:cs="宋体"/>
          <w:sz w:val="24"/>
          <w:lang w:bidi="ar"/>
        </w:rPr>
      </w:pPr>
      <w:r>
        <w:rPr>
          <w:rFonts w:hint="eastAsia" w:ascii="宋体" w:cs="宋体"/>
          <w:sz w:val="24"/>
          <w:lang w:bidi="ar"/>
        </w:rPr>
        <w:t>2.招标组织机构将按照招标文件规定的时间通过”巨化数字化招采平台”组织开标，所有投标人均应当准时在线参加。投标人自行承担因不参加在线开标而产生的不利后果。</w:t>
      </w:r>
    </w:p>
    <w:p w14:paraId="1CF0294F">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 xml:space="preserve">5.3 </w:t>
      </w:r>
      <w:r>
        <w:rPr>
          <w:rFonts w:ascii="宋体" w:hAnsi="宋体" w:cs="宋体"/>
          <w:b/>
          <w:sz w:val="24"/>
          <w:lang w:bidi="ar"/>
        </w:rPr>
        <w:t>开标</w:t>
      </w:r>
      <w:r>
        <w:rPr>
          <w:rFonts w:hint="eastAsia" w:ascii="宋体" w:hAnsi="宋体" w:cs="宋体"/>
          <w:b/>
          <w:sz w:val="24"/>
          <w:lang w:bidi="ar"/>
        </w:rPr>
        <w:t>流程</w:t>
      </w:r>
    </w:p>
    <w:bookmarkEnd w:id="19"/>
    <w:p w14:paraId="10035DD5">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hAnsi="宋体" w:cs="宋体"/>
          <w:sz w:val="24"/>
          <w:lang w:bidi="ar"/>
        </w:rPr>
        <w:t>本项目分为两个标段评审。先评审</w:t>
      </w:r>
      <w:r>
        <w:rPr>
          <w:rFonts w:hint="eastAsia" w:ascii="宋体"/>
          <w:sz w:val="24"/>
        </w:rPr>
        <w:t>标段一</w:t>
      </w:r>
      <w:r>
        <w:rPr>
          <w:rFonts w:hint="eastAsia" w:ascii="宋体"/>
          <w:sz w:val="24"/>
          <w:lang w:val="zh-CN"/>
        </w:rPr>
        <w:t>“</w:t>
      </w:r>
      <w:r>
        <w:rPr>
          <w:rFonts w:hint="eastAsia" w:ascii="宋体" w:hAnsi="宋体" w:cs="宋体"/>
          <w:b/>
          <w:bCs/>
          <w:sz w:val="24"/>
        </w:rPr>
        <w:t>部分产品包装搬运装卸项目</w:t>
      </w:r>
      <w:r>
        <w:rPr>
          <w:rFonts w:hint="eastAsia" w:ascii="宋体"/>
          <w:sz w:val="24"/>
          <w:lang w:val="zh-CN"/>
        </w:rPr>
        <w:t>”</w:t>
      </w:r>
      <w:r>
        <w:rPr>
          <w:rFonts w:hint="eastAsia" w:ascii="宋体" w:hAnsi="宋体" w:cs="宋体"/>
          <w:sz w:val="24"/>
          <w:lang w:bidi="ar"/>
        </w:rPr>
        <w:t>，再评审</w:t>
      </w:r>
      <w:r>
        <w:rPr>
          <w:rFonts w:hint="eastAsia" w:ascii="宋体"/>
          <w:sz w:val="24"/>
          <w:lang w:val="zh-CN"/>
        </w:rPr>
        <w:t>标段二 “</w:t>
      </w:r>
      <w:r>
        <w:rPr>
          <w:rFonts w:hint="eastAsia" w:ascii="宋体" w:hAnsi="宋体" w:cs="宋体"/>
          <w:b/>
          <w:bCs/>
          <w:sz w:val="24"/>
        </w:rPr>
        <w:t>卸盐化盐项目</w:t>
      </w:r>
      <w:r>
        <w:rPr>
          <w:rFonts w:hint="eastAsia" w:ascii="宋体"/>
          <w:sz w:val="24"/>
          <w:lang w:val="zh-CN"/>
        </w:rPr>
        <w:t>”</w:t>
      </w:r>
      <w:r>
        <w:rPr>
          <w:rFonts w:hint="eastAsia" w:ascii="宋体" w:hAnsi="宋体" w:cs="宋体"/>
          <w:sz w:val="24"/>
          <w:lang w:val="zh-CN"/>
        </w:rPr>
        <w:t>。</w:t>
      </w:r>
    </w:p>
    <w:p w14:paraId="6308439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1.开标第一阶段</w:t>
      </w:r>
    </w:p>
    <w:p w14:paraId="1C0BF3B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（1）投标人在投标截止时间开始“电子加密投标文件”解密。</w:t>
      </w:r>
    </w:p>
    <w:p w14:paraId="598F8670">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（2）对投标人的技术资信标书进行资格审查。</w:t>
      </w:r>
    </w:p>
    <w:p w14:paraId="3DA0AB4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（3）对通过资格审查的投标文件进行符合性审查。</w:t>
      </w:r>
    </w:p>
    <w:p w14:paraId="0D941C38">
      <w:pPr>
        <w:autoSpaceDE w:val="0"/>
        <w:autoSpaceDN w:val="0"/>
        <w:adjustRightInd w:val="0"/>
        <w:snapToGrid w:val="0"/>
        <w:spacing w:line="360" w:lineRule="auto"/>
        <w:ind w:firstLine="480" w:firstLineChars="200"/>
        <w:textAlignment w:val="bottom"/>
        <w:rPr>
          <w:rFonts w:ascii="宋体" w:hAnsi="宋体" w:cs="宋体"/>
          <w:sz w:val="24"/>
          <w:lang w:bidi="ar"/>
        </w:rPr>
      </w:pPr>
      <w:r>
        <w:rPr>
          <w:rFonts w:hint="eastAsia" w:ascii="宋体" w:cs="宋体"/>
          <w:sz w:val="24"/>
          <w:lang w:bidi="ar"/>
        </w:rPr>
        <w:t>（4）对通过符合性审查的投标文件进行技术资信评审评分。</w:t>
      </w:r>
    </w:p>
    <w:p w14:paraId="4DB3C57E">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2.开标第二阶段</w:t>
      </w:r>
    </w:p>
    <w:p w14:paraId="6C37D5F3">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（1）技术资信评审评分结束后，进入开标第二阶段。</w:t>
      </w:r>
    </w:p>
    <w:p w14:paraId="29599537">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（2）开启有效投标人的商务经济标书。</w:t>
      </w:r>
    </w:p>
    <w:p w14:paraId="77C8E8AE">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（3）对商务经济标书进行符合性审查。</w:t>
      </w:r>
    </w:p>
    <w:p w14:paraId="1930E555">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（4）对通过符合性审查的投标文件进行商务经济评审评分。商务经济标书评审结束后，通过电子交易平台公布综合得分。</w:t>
      </w:r>
    </w:p>
    <w:p w14:paraId="420D6244">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3.其他说明：</w:t>
      </w:r>
    </w:p>
    <w:p w14:paraId="0C3AB175">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（1）如投标人未及时解密的，评标委员会将视情况发出通知，投标人应在评标委员会通知的时间内解密，否则不作为投标人。</w:t>
      </w:r>
    </w:p>
    <w:p w14:paraId="615730A4">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（2）如因电子交易平台设置原因导致的程序或投标人界面显示与招标文件的规定不一致的，以电子交易平台的程序或投标人界面显示为准。</w:t>
      </w:r>
    </w:p>
    <w:p w14:paraId="5100F684">
      <w:pPr>
        <w:pStyle w:val="5"/>
        <w:spacing w:before="0" w:after="0" w:line="360" w:lineRule="auto"/>
        <w:ind w:firstLine="240" w:firstLineChars="100"/>
        <w:rPr>
          <w:b w:val="0"/>
          <w:sz w:val="24"/>
          <w:szCs w:val="24"/>
        </w:rPr>
      </w:pPr>
      <w:r>
        <w:rPr>
          <w:rFonts w:hint="eastAsia"/>
          <w:b w:val="0"/>
          <w:sz w:val="24"/>
          <w:szCs w:val="24"/>
        </w:rPr>
        <w:t>6 评标</w:t>
      </w:r>
    </w:p>
    <w:p w14:paraId="3533D245">
      <w:pPr>
        <w:spacing w:line="360" w:lineRule="auto"/>
        <w:ind w:firstLine="241" w:firstLineChars="100"/>
        <w:rPr>
          <w:b/>
          <w:bCs/>
          <w:sz w:val="24"/>
        </w:rPr>
      </w:pPr>
      <w:bookmarkStart w:id="20" w:name="_Toc152045563"/>
      <w:bookmarkStart w:id="21" w:name="_Toc179632581"/>
      <w:bookmarkStart w:id="22" w:name="_Toc144974531"/>
      <w:bookmarkStart w:id="23" w:name="_Toc152042339"/>
      <w:bookmarkStart w:id="24" w:name="_Toc81196578"/>
      <w:r>
        <w:rPr>
          <w:b/>
          <w:bCs/>
          <w:sz w:val="24"/>
        </w:rPr>
        <w:t xml:space="preserve">6.1 </w:t>
      </w:r>
      <w:r>
        <w:rPr>
          <w:rFonts w:hint="eastAsia"/>
          <w:b/>
          <w:bCs/>
          <w:sz w:val="24"/>
        </w:rPr>
        <w:t>组建</w:t>
      </w:r>
      <w:r>
        <w:rPr>
          <w:b/>
          <w:bCs/>
          <w:sz w:val="24"/>
        </w:rPr>
        <w:t>评标委员会</w:t>
      </w:r>
      <w:bookmarkEnd w:id="20"/>
      <w:bookmarkEnd w:id="21"/>
      <w:bookmarkEnd w:id="22"/>
      <w:bookmarkEnd w:id="23"/>
    </w:p>
    <w:bookmarkEnd w:id="24"/>
    <w:p w14:paraId="16469798">
      <w:pPr>
        <w:spacing w:line="360" w:lineRule="auto"/>
        <w:ind w:firstLine="240" w:firstLineChars="100"/>
        <w:rPr>
          <w:sz w:val="24"/>
        </w:rPr>
      </w:pPr>
      <w:bookmarkStart w:id="25" w:name="_Toc179632584"/>
      <w:bookmarkStart w:id="26" w:name="_Toc152042342"/>
      <w:bookmarkStart w:id="27" w:name="_Toc144974534"/>
      <w:bookmarkStart w:id="28" w:name="_Toc152045566"/>
      <w:r>
        <w:rPr>
          <w:rFonts w:hint="eastAsia"/>
          <w:sz w:val="24"/>
        </w:rPr>
        <w:t>6.1.1</w:t>
      </w:r>
      <w:r>
        <w:rPr>
          <w:sz w:val="24"/>
        </w:rPr>
        <w:t>评标委员会</w:t>
      </w:r>
      <w:r>
        <w:rPr>
          <w:rFonts w:hint="eastAsia"/>
          <w:sz w:val="24"/>
        </w:rPr>
        <w:t>由招标人代表和有关技术、经济等方面的专家组成，成员人数应当为五人及以上单数。其中，技术、经济等方面的专家不得少于成员总数的三分之二。</w:t>
      </w:r>
    </w:p>
    <w:p w14:paraId="36E2172A">
      <w:pPr>
        <w:spacing w:line="360" w:lineRule="auto"/>
        <w:ind w:firstLine="240" w:firstLineChars="100"/>
        <w:rPr>
          <w:sz w:val="24"/>
        </w:rPr>
      </w:pPr>
      <w:r>
        <w:rPr>
          <w:sz w:val="24"/>
        </w:rPr>
        <w:t>6.1.2 评标委员会成员有下列情形之一的，应当回避：</w:t>
      </w:r>
    </w:p>
    <w:p w14:paraId="55054D43">
      <w:pPr>
        <w:spacing w:line="360" w:lineRule="auto"/>
        <w:ind w:firstLine="240" w:firstLineChars="100"/>
        <w:rPr>
          <w:sz w:val="24"/>
        </w:rPr>
      </w:pPr>
      <w:r>
        <w:rPr>
          <w:sz w:val="24"/>
        </w:rPr>
        <w:t>（1）招标人或投标人的主要负责人的近亲属；</w:t>
      </w:r>
    </w:p>
    <w:p w14:paraId="588ADA4F">
      <w:pPr>
        <w:spacing w:line="360" w:lineRule="auto"/>
        <w:ind w:firstLine="240" w:firstLineChars="100"/>
        <w:rPr>
          <w:sz w:val="24"/>
        </w:rPr>
      </w:pPr>
      <w:r>
        <w:rPr>
          <w:sz w:val="24"/>
        </w:rPr>
        <w:t>（2）项目主管部门或者行政监督部门的人员；</w:t>
      </w:r>
    </w:p>
    <w:p w14:paraId="468122DA">
      <w:pPr>
        <w:spacing w:line="360" w:lineRule="auto"/>
        <w:ind w:firstLine="240" w:firstLineChars="100"/>
        <w:rPr>
          <w:sz w:val="24"/>
        </w:rPr>
      </w:pPr>
      <w:r>
        <w:rPr>
          <w:sz w:val="24"/>
        </w:rPr>
        <w:t>（3）与投标人有经济利益关系，可能影响对投标公正评审的；</w:t>
      </w:r>
    </w:p>
    <w:p w14:paraId="79623AC2">
      <w:pPr>
        <w:spacing w:line="360" w:lineRule="auto"/>
        <w:ind w:firstLine="240" w:firstLineChars="100"/>
        <w:rPr>
          <w:sz w:val="24"/>
        </w:rPr>
      </w:pPr>
      <w:r>
        <w:rPr>
          <w:sz w:val="24"/>
        </w:rPr>
        <w:t>（4）曾因在招标、评标以及其他与招标投标有关活动中从事违法行为而受过行政处罚或刑事处罚的。</w:t>
      </w:r>
    </w:p>
    <w:p w14:paraId="6F94C57F">
      <w:pPr>
        <w:pStyle w:val="12"/>
        <w:snapToGrid w:val="0"/>
        <w:spacing w:line="360" w:lineRule="auto"/>
        <w:ind w:firstLine="426"/>
        <w:rPr>
          <w:rFonts w:hAnsi="宋体"/>
          <w:b/>
          <w:sz w:val="24"/>
          <w:szCs w:val="24"/>
        </w:rPr>
      </w:pPr>
      <w:r>
        <w:rPr>
          <w:rFonts w:hint="eastAsia" w:hAnsi="宋体"/>
          <w:b/>
          <w:sz w:val="24"/>
          <w:szCs w:val="24"/>
        </w:rPr>
        <w:t>6.2</w:t>
      </w:r>
      <w:r>
        <w:rPr>
          <w:rFonts w:hAnsi="宋体"/>
          <w:b/>
          <w:sz w:val="24"/>
          <w:szCs w:val="24"/>
        </w:rPr>
        <w:t>评标程序</w:t>
      </w:r>
    </w:p>
    <w:p w14:paraId="12C6ECEA">
      <w:pPr>
        <w:pStyle w:val="12"/>
        <w:snapToGrid w:val="0"/>
        <w:spacing w:line="360" w:lineRule="auto"/>
        <w:ind w:firstLine="426"/>
        <w:rPr>
          <w:rFonts w:hAnsi="宋体"/>
          <w:sz w:val="24"/>
          <w:szCs w:val="24"/>
        </w:rPr>
      </w:pPr>
      <w:r>
        <w:rPr>
          <w:rFonts w:hAnsi="宋体"/>
          <w:sz w:val="24"/>
          <w:szCs w:val="24"/>
        </w:rPr>
        <w:t>1.在</w:t>
      </w:r>
      <w:r>
        <w:rPr>
          <w:rFonts w:hint="eastAsia" w:hAnsi="宋体"/>
          <w:sz w:val="24"/>
          <w:szCs w:val="24"/>
        </w:rPr>
        <w:t>评标委员会</w:t>
      </w:r>
      <w:r>
        <w:rPr>
          <w:rFonts w:hAnsi="宋体"/>
          <w:sz w:val="24"/>
          <w:szCs w:val="24"/>
        </w:rPr>
        <w:t>中推选组长。</w:t>
      </w:r>
    </w:p>
    <w:p w14:paraId="69FF390D">
      <w:pPr>
        <w:pStyle w:val="12"/>
        <w:snapToGrid w:val="0"/>
        <w:spacing w:line="360" w:lineRule="auto"/>
        <w:ind w:firstLine="426"/>
        <w:rPr>
          <w:rFonts w:hAnsi="宋体"/>
          <w:sz w:val="24"/>
          <w:szCs w:val="24"/>
        </w:rPr>
      </w:pPr>
      <w:r>
        <w:rPr>
          <w:rFonts w:hAnsi="宋体"/>
          <w:sz w:val="24"/>
          <w:szCs w:val="24"/>
        </w:rPr>
        <w:t>2.</w:t>
      </w:r>
      <w:r>
        <w:rPr>
          <w:rFonts w:hint="eastAsia" w:hAnsi="宋体"/>
          <w:sz w:val="24"/>
          <w:szCs w:val="24"/>
        </w:rPr>
        <w:t xml:space="preserve"> 评标委员会</w:t>
      </w:r>
      <w:r>
        <w:rPr>
          <w:rFonts w:hAnsi="宋体"/>
          <w:sz w:val="24"/>
          <w:szCs w:val="24"/>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2F2B1933">
      <w:pPr>
        <w:pStyle w:val="12"/>
        <w:snapToGrid w:val="0"/>
        <w:spacing w:line="360" w:lineRule="auto"/>
        <w:ind w:firstLine="426"/>
        <w:rPr>
          <w:rFonts w:hAnsi="宋体"/>
          <w:sz w:val="24"/>
          <w:szCs w:val="24"/>
        </w:rPr>
      </w:pPr>
      <w:r>
        <w:rPr>
          <w:rFonts w:hAnsi="宋体"/>
          <w:sz w:val="24"/>
          <w:szCs w:val="24"/>
        </w:rPr>
        <w:t>3.评标委员会对各投标人的资格进行审查，投标人资格条件不符合招标文件要求的投标将被否决，</w:t>
      </w:r>
      <w:r>
        <w:rPr>
          <w:rFonts w:hAnsi="宋体"/>
          <w:bCs/>
          <w:sz w:val="24"/>
          <w:szCs w:val="24"/>
        </w:rPr>
        <w:t>不再进入符合性审查。</w:t>
      </w:r>
    </w:p>
    <w:p w14:paraId="4F64904A">
      <w:pPr>
        <w:pStyle w:val="12"/>
        <w:snapToGrid w:val="0"/>
        <w:spacing w:line="360" w:lineRule="auto"/>
        <w:ind w:firstLine="426"/>
        <w:rPr>
          <w:rFonts w:hAnsi="宋体"/>
          <w:sz w:val="24"/>
          <w:szCs w:val="24"/>
        </w:rPr>
      </w:pPr>
      <w:r>
        <w:rPr>
          <w:rFonts w:hAnsi="宋体"/>
          <w:sz w:val="24"/>
          <w:szCs w:val="24"/>
        </w:rPr>
        <w:t>4.</w:t>
      </w:r>
      <w:r>
        <w:rPr>
          <w:rFonts w:hint="eastAsia" w:hAnsi="宋体"/>
          <w:sz w:val="24"/>
          <w:szCs w:val="24"/>
        </w:rPr>
        <w:t xml:space="preserve"> 评标委员会</w:t>
      </w:r>
      <w:r>
        <w:rPr>
          <w:rFonts w:hAnsi="宋体"/>
          <w:sz w:val="24"/>
          <w:szCs w:val="24"/>
        </w:rPr>
        <w:t>对各投标文件的符合性进行审查，确定是否对招标文件作出了实质性响应。</w:t>
      </w:r>
      <w:r>
        <w:rPr>
          <w:rFonts w:hAnsi="宋体"/>
          <w:bCs/>
          <w:sz w:val="24"/>
          <w:szCs w:val="24"/>
        </w:rPr>
        <w:t>实质上没有响应招标文件要求的投标将被视为无效投标，不再进入下一阶段的评审。</w:t>
      </w:r>
    </w:p>
    <w:p w14:paraId="2538B6F0">
      <w:pPr>
        <w:pStyle w:val="12"/>
        <w:snapToGrid w:val="0"/>
        <w:spacing w:line="360" w:lineRule="auto"/>
        <w:ind w:firstLine="426"/>
        <w:rPr>
          <w:rFonts w:hAnsi="宋体"/>
          <w:sz w:val="24"/>
          <w:szCs w:val="24"/>
        </w:rPr>
      </w:pPr>
      <w:r>
        <w:rPr>
          <w:rFonts w:hAnsi="宋体"/>
          <w:sz w:val="24"/>
          <w:szCs w:val="24"/>
        </w:rPr>
        <w:t>5.</w:t>
      </w:r>
      <w:r>
        <w:rPr>
          <w:rFonts w:hint="eastAsia" w:hAnsi="宋体"/>
          <w:sz w:val="24"/>
          <w:szCs w:val="24"/>
        </w:rPr>
        <w:t xml:space="preserve"> 评标委员会</w:t>
      </w:r>
      <w:r>
        <w:rPr>
          <w:rFonts w:hAnsi="宋体"/>
          <w:sz w:val="24"/>
          <w:szCs w:val="24"/>
        </w:rPr>
        <w:t>按招标文件规定的评审方法和评审标准，依法独立对投标人投标文件进行评估、比较，并给予评价或打分，不受任何单位和个人的干预。</w:t>
      </w:r>
    </w:p>
    <w:p w14:paraId="4403B19A">
      <w:pPr>
        <w:snapToGrid w:val="0"/>
        <w:spacing w:line="360" w:lineRule="auto"/>
        <w:ind w:firstLine="426"/>
        <w:rPr>
          <w:rFonts w:ascii="宋体" w:hAnsi="宋体"/>
          <w:sz w:val="24"/>
        </w:rPr>
      </w:pPr>
      <w:r>
        <w:rPr>
          <w:rFonts w:ascii="宋体" w:hAnsi="宋体"/>
          <w:sz w:val="24"/>
        </w:rPr>
        <w:t>6.各投标人的得分为所有</w:t>
      </w:r>
      <w:r>
        <w:rPr>
          <w:rFonts w:hint="eastAsia" w:ascii="宋体" w:hAnsi="宋体"/>
          <w:sz w:val="24"/>
        </w:rPr>
        <w:t>评标委员会</w:t>
      </w:r>
      <w:r>
        <w:rPr>
          <w:rFonts w:ascii="宋体" w:hAnsi="宋体"/>
          <w:sz w:val="24"/>
        </w:rPr>
        <w:t>的有效评分的算术平均数，由指定专人进行计算复核。</w:t>
      </w:r>
    </w:p>
    <w:p w14:paraId="240D8F4B">
      <w:pPr>
        <w:snapToGrid w:val="0"/>
        <w:spacing w:line="360" w:lineRule="auto"/>
        <w:ind w:firstLine="426"/>
        <w:rPr>
          <w:rFonts w:ascii="宋体" w:hAnsi="宋体"/>
          <w:sz w:val="24"/>
        </w:rPr>
      </w:pPr>
      <w:r>
        <w:rPr>
          <w:rFonts w:ascii="宋体" w:hAnsi="宋体"/>
          <w:sz w:val="24"/>
        </w:rPr>
        <w:t>7.评标委员会完成评标后，对各部分得分汇总，计算出本项目最终得分。评标委员会按评标原则推荐中标候选人，同时起草评标报告。</w:t>
      </w:r>
    </w:p>
    <w:p w14:paraId="79287184">
      <w:pPr>
        <w:snapToGrid w:val="0"/>
        <w:spacing w:line="360" w:lineRule="auto"/>
        <w:ind w:firstLine="426"/>
        <w:rPr>
          <w:rFonts w:ascii="宋体" w:hAnsi="宋体"/>
          <w:sz w:val="24"/>
        </w:rPr>
      </w:pPr>
      <w:r>
        <w:rPr>
          <w:rFonts w:ascii="宋体" w:hAnsi="宋体"/>
          <w:sz w:val="24"/>
        </w:rPr>
        <w:t>8. 当否决投标后，剩余投标人少于</w:t>
      </w:r>
      <w:r>
        <w:rPr>
          <w:rFonts w:hint="eastAsia" w:ascii="宋体" w:hAnsi="宋体"/>
          <w:sz w:val="24"/>
        </w:rPr>
        <w:t>3</w:t>
      </w:r>
      <w:r>
        <w:rPr>
          <w:rFonts w:ascii="宋体" w:hAnsi="宋体"/>
          <w:sz w:val="24"/>
        </w:rPr>
        <w:t>个时，</w:t>
      </w:r>
      <w:r>
        <w:rPr>
          <w:rFonts w:hint="eastAsia" w:ascii="宋体" w:hAnsi="宋体"/>
          <w:sz w:val="24"/>
        </w:rPr>
        <w:t>将重新招标。</w:t>
      </w:r>
    </w:p>
    <w:p w14:paraId="5C47E7E0">
      <w:pPr>
        <w:snapToGrid w:val="0"/>
        <w:spacing w:line="360" w:lineRule="auto"/>
        <w:ind w:firstLine="426"/>
        <w:rPr>
          <w:rFonts w:ascii="宋体" w:hAnsi="宋体"/>
          <w:b/>
          <w:sz w:val="24"/>
        </w:rPr>
      </w:pPr>
      <w:r>
        <w:rPr>
          <w:rFonts w:hint="eastAsia" w:ascii="宋体" w:hAnsi="宋体"/>
          <w:b/>
          <w:sz w:val="24"/>
        </w:rPr>
        <w:t xml:space="preserve">6.3 </w:t>
      </w:r>
      <w:r>
        <w:rPr>
          <w:rFonts w:ascii="宋体" w:hAnsi="宋体"/>
          <w:b/>
          <w:sz w:val="24"/>
        </w:rPr>
        <w:t>澄清问题的形式</w:t>
      </w:r>
    </w:p>
    <w:p w14:paraId="162A5369">
      <w:pPr>
        <w:snapToGrid w:val="0"/>
        <w:spacing w:line="360" w:lineRule="auto"/>
        <w:ind w:firstLine="426"/>
        <w:rPr>
          <w:rFonts w:ascii="宋体" w:hAnsi="宋体"/>
          <w:sz w:val="24"/>
        </w:rPr>
      </w:pPr>
      <w:r>
        <w:rPr>
          <w:rFonts w:hint="eastAsia" w:ascii="宋体" w:hAnsi="宋体"/>
          <w:sz w:val="24"/>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4821C3E3">
      <w:pPr>
        <w:snapToGrid w:val="0"/>
        <w:spacing w:line="360" w:lineRule="auto"/>
        <w:ind w:firstLine="426"/>
        <w:rPr>
          <w:rFonts w:ascii="宋体" w:hAnsi="宋体"/>
          <w:sz w:val="24"/>
        </w:rPr>
      </w:pPr>
      <w:r>
        <w:rPr>
          <w:rFonts w:hint="eastAsia" w:ascii="宋体" w:hAnsi="宋体"/>
          <w:sz w:val="24"/>
        </w:rPr>
        <w:t>评标委员会发出澄清内容后，投标人应当在</w:t>
      </w:r>
      <w:r>
        <w:rPr>
          <w:rFonts w:hint="eastAsia" w:ascii="宋体" w:hAnsi="宋体"/>
          <w:sz w:val="24"/>
          <w:u w:val="single"/>
        </w:rPr>
        <w:t>规定的时间内</w:t>
      </w:r>
      <w:r>
        <w:rPr>
          <w:rFonts w:hint="eastAsia" w:ascii="宋体" w:hAnsi="宋体"/>
          <w:sz w:val="24"/>
        </w:rPr>
        <w:t>钟内提交澄清说明或补正，否则视为投标人放弃答复，并自行承担因此而产生的不利后果。澄清、说明或者补正不得超出投标文件的范围或者改变投标文件的实质性内容。</w:t>
      </w:r>
    </w:p>
    <w:p w14:paraId="15933CFE">
      <w:pPr>
        <w:pStyle w:val="12"/>
        <w:snapToGrid w:val="0"/>
        <w:spacing w:line="360" w:lineRule="auto"/>
        <w:ind w:firstLine="426"/>
        <w:rPr>
          <w:rFonts w:hAnsi="宋体"/>
          <w:b/>
          <w:sz w:val="24"/>
          <w:szCs w:val="24"/>
        </w:rPr>
      </w:pPr>
      <w:r>
        <w:rPr>
          <w:rFonts w:hint="eastAsia" w:hAnsi="宋体"/>
          <w:b/>
          <w:sz w:val="24"/>
          <w:szCs w:val="24"/>
        </w:rPr>
        <w:t>6.4</w:t>
      </w:r>
      <w:r>
        <w:rPr>
          <w:rFonts w:hAnsi="宋体"/>
          <w:b/>
          <w:sz w:val="24"/>
          <w:szCs w:val="24"/>
        </w:rPr>
        <w:t>错误修正</w:t>
      </w:r>
    </w:p>
    <w:p w14:paraId="1A5EC740">
      <w:pPr>
        <w:adjustRightInd w:val="0"/>
        <w:snapToGrid w:val="0"/>
        <w:spacing w:line="360" w:lineRule="auto"/>
        <w:ind w:firstLine="426"/>
        <w:rPr>
          <w:rFonts w:ascii="宋体"/>
          <w:sz w:val="24"/>
        </w:rPr>
      </w:pPr>
      <w:r>
        <w:rPr>
          <w:rFonts w:hint="eastAsia" w:ascii="宋体"/>
          <w:sz w:val="24"/>
        </w:rPr>
        <w:t xml:space="preserve">投标文件报价出现前后不一致的，按照下列规定修正： </w:t>
      </w:r>
    </w:p>
    <w:p w14:paraId="237E230C">
      <w:pPr>
        <w:spacing w:line="480" w:lineRule="exact"/>
        <w:ind w:firstLine="424" w:firstLineChars="177"/>
        <w:rPr>
          <w:rFonts w:ascii="宋体"/>
          <w:sz w:val="24"/>
        </w:rPr>
      </w:pPr>
      <w:r>
        <w:rPr>
          <w:rFonts w:hint="eastAsia" w:ascii="宋体"/>
          <w:sz w:val="24"/>
        </w:rPr>
        <w:t>1.电子交易平台生成的开标记录表内容与投标文件中相应内容不一致的，非总价小数点或百分比有明显错位、金额单位明显错误的，以投标文件中相应内容为准；因投标人填报失误导致出现总价小数点或百分比有明显错位、金额单位明显错误的，按评委认为的合理价格修正总价。</w:t>
      </w:r>
    </w:p>
    <w:p w14:paraId="479EF2DB">
      <w:pPr>
        <w:spacing w:line="480" w:lineRule="exact"/>
        <w:ind w:firstLine="424" w:firstLineChars="177"/>
        <w:rPr>
          <w:rFonts w:ascii="宋体"/>
          <w:sz w:val="24"/>
        </w:rPr>
      </w:pPr>
      <w:r>
        <w:rPr>
          <w:rFonts w:hint="eastAsia" w:ascii="宋体"/>
          <w:sz w:val="24"/>
        </w:rPr>
        <w:t>2.大写金额和小写金额不一致的，以大写金额为准；</w:t>
      </w:r>
    </w:p>
    <w:p w14:paraId="3EEDEBF8">
      <w:pPr>
        <w:spacing w:line="480" w:lineRule="exact"/>
        <w:ind w:firstLine="424" w:firstLineChars="177"/>
        <w:rPr>
          <w:rFonts w:ascii="宋体"/>
          <w:sz w:val="24"/>
        </w:rPr>
      </w:pPr>
      <w:r>
        <w:rPr>
          <w:rFonts w:hint="eastAsia" w:ascii="宋体"/>
          <w:sz w:val="24"/>
        </w:rPr>
        <w:t>3.总价金额与按单价汇总金额不一致的，以单价金额计算结果为准。</w:t>
      </w:r>
    </w:p>
    <w:p w14:paraId="0FD211DA">
      <w:pPr>
        <w:spacing w:line="480" w:lineRule="exact"/>
        <w:ind w:firstLine="424" w:firstLineChars="177"/>
        <w:rPr>
          <w:rFonts w:ascii="宋体"/>
          <w:sz w:val="24"/>
        </w:rPr>
      </w:pPr>
      <w:r>
        <w:rPr>
          <w:rFonts w:hint="eastAsia" w:ascii="宋体"/>
          <w:sz w:val="24"/>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1C737672">
      <w:pPr>
        <w:pStyle w:val="12"/>
        <w:tabs>
          <w:tab w:val="left" w:pos="630"/>
        </w:tabs>
        <w:snapToGrid w:val="0"/>
        <w:spacing w:line="360" w:lineRule="auto"/>
        <w:ind w:firstLine="426"/>
        <w:rPr>
          <w:rFonts w:hAnsi="宋体"/>
          <w:b/>
          <w:sz w:val="24"/>
          <w:szCs w:val="24"/>
        </w:rPr>
      </w:pPr>
      <w:r>
        <w:rPr>
          <w:rFonts w:hint="eastAsia" w:hAnsi="宋体"/>
          <w:b/>
          <w:sz w:val="24"/>
          <w:szCs w:val="24"/>
        </w:rPr>
        <w:t>6.5</w:t>
      </w:r>
      <w:r>
        <w:rPr>
          <w:rFonts w:hAnsi="宋体"/>
          <w:b/>
          <w:sz w:val="24"/>
          <w:szCs w:val="24"/>
        </w:rPr>
        <w:t>评标原则和评标办法</w:t>
      </w:r>
    </w:p>
    <w:p w14:paraId="750A7E17">
      <w:pPr>
        <w:pStyle w:val="12"/>
        <w:snapToGrid w:val="0"/>
        <w:spacing w:line="360" w:lineRule="auto"/>
        <w:ind w:firstLine="426"/>
        <w:rPr>
          <w:rFonts w:hAnsi="宋体"/>
          <w:sz w:val="24"/>
          <w:szCs w:val="24"/>
        </w:rPr>
      </w:pPr>
      <w:r>
        <w:rPr>
          <w:rFonts w:hAnsi="宋体"/>
          <w:sz w:val="24"/>
          <w:szCs w:val="24"/>
        </w:rPr>
        <w:t>1.评标委员会必须公平、公正、客观，不带任何倾向性和启发性；不得向外界透露任何与评标有关的内容；任何单位和个人不得干扰、影响评标的正常进行。</w:t>
      </w:r>
    </w:p>
    <w:p w14:paraId="3BA78680">
      <w:pPr>
        <w:pStyle w:val="12"/>
        <w:snapToGrid w:val="0"/>
        <w:spacing w:line="360" w:lineRule="auto"/>
        <w:ind w:firstLine="426"/>
        <w:rPr>
          <w:rFonts w:hAnsi="宋体"/>
          <w:sz w:val="24"/>
          <w:szCs w:val="24"/>
        </w:rPr>
      </w:pPr>
      <w:r>
        <w:rPr>
          <w:rFonts w:hAnsi="宋体"/>
          <w:sz w:val="24"/>
          <w:szCs w:val="24"/>
        </w:rPr>
        <w:t>2.本项目具体评标内容及评分标准等详见《评标办法》。</w:t>
      </w:r>
    </w:p>
    <w:p w14:paraId="4193F47A">
      <w:pPr>
        <w:pStyle w:val="5"/>
        <w:spacing w:before="0" w:after="0" w:line="360" w:lineRule="auto"/>
        <w:rPr>
          <w:b w:val="0"/>
          <w:sz w:val="24"/>
          <w:szCs w:val="24"/>
        </w:rPr>
      </w:pPr>
      <w:r>
        <w:rPr>
          <w:rFonts w:hint="eastAsia"/>
          <w:b w:val="0"/>
          <w:sz w:val="24"/>
          <w:szCs w:val="24"/>
        </w:rPr>
        <w:t>7. 合同授予</w:t>
      </w:r>
      <w:bookmarkEnd w:id="25"/>
      <w:bookmarkEnd w:id="26"/>
      <w:bookmarkEnd w:id="27"/>
      <w:bookmarkEnd w:id="28"/>
    </w:p>
    <w:p w14:paraId="4820D3CF">
      <w:pPr>
        <w:spacing w:line="360" w:lineRule="auto"/>
        <w:ind w:firstLine="241" w:firstLineChars="100"/>
        <w:rPr>
          <w:rFonts w:ascii="宋体" w:hAnsi="宋体" w:cs="ˎ̥"/>
          <w:b/>
          <w:sz w:val="24"/>
        </w:rPr>
      </w:pPr>
      <w:bookmarkStart w:id="29" w:name="_Toc152045567"/>
      <w:bookmarkStart w:id="30" w:name="_Toc144974535"/>
      <w:bookmarkStart w:id="31" w:name="_Toc179632585"/>
      <w:bookmarkStart w:id="32" w:name="_Toc152042343"/>
      <w:r>
        <w:rPr>
          <w:rFonts w:hint="eastAsia" w:ascii="宋体" w:hAnsi="宋体" w:cs="ˎ̥"/>
          <w:b/>
          <w:sz w:val="24"/>
        </w:rPr>
        <w:t>7.1 定标方式</w:t>
      </w:r>
      <w:bookmarkEnd w:id="29"/>
      <w:bookmarkEnd w:id="30"/>
      <w:bookmarkEnd w:id="31"/>
      <w:bookmarkEnd w:id="32"/>
    </w:p>
    <w:p w14:paraId="041FBA7D">
      <w:pPr>
        <w:spacing w:line="360" w:lineRule="auto"/>
        <w:ind w:firstLine="240" w:firstLineChars="100"/>
        <w:rPr>
          <w:sz w:val="24"/>
        </w:rPr>
      </w:pPr>
      <w:r>
        <w:rPr>
          <w:sz w:val="24"/>
        </w:rPr>
        <w:t>除投标人须知前附表规定评标委员会直接确定中标人外，招标人依据评标委员会推荐的中标候选人确定中标人，评标委员会推荐中标候选人的人数见投标人须知前附表。</w:t>
      </w:r>
    </w:p>
    <w:p w14:paraId="50EA8042">
      <w:pPr>
        <w:spacing w:line="360" w:lineRule="auto"/>
        <w:ind w:firstLine="241" w:firstLineChars="100"/>
        <w:rPr>
          <w:rFonts w:ascii="宋体" w:hAnsi="宋体" w:cs="ˎ̥"/>
          <w:b/>
          <w:sz w:val="24"/>
        </w:rPr>
      </w:pPr>
      <w:bookmarkStart w:id="33" w:name="_Toc179632586"/>
      <w:bookmarkStart w:id="34" w:name="_Toc152042344"/>
      <w:bookmarkStart w:id="35" w:name="_Toc144974536"/>
      <w:bookmarkStart w:id="36" w:name="_Toc152045568"/>
      <w:r>
        <w:rPr>
          <w:rFonts w:hint="eastAsia" w:ascii="宋体" w:hAnsi="宋体" w:cs="ˎ̥"/>
          <w:b/>
          <w:sz w:val="24"/>
        </w:rPr>
        <w:t>7.2 中标通知</w:t>
      </w:r>
      <w:bookmarkEnd w:id="33"/>
      <w:bookmarkEnd w:id="34"/>
      <w:bookmarkEnd w:id="35"/>
      <w:bookmarkEnd w:id="36"/>
    </w:p>
    <w:p w14:paraId="531ABCCA">
      <w:pPr>
        <w:spacing w:line="360" w:lineRule="auto"/>
        <w:ind w:firstLine="240" w:firstLineChars="100"/>
        <w:rPr>
          <w:sz w:val="24"/>
        </w:rPr>
      </w:pPr>
      <w:r>
        <w:rPr>
          <w:sz w:val="24"/>
        </w:rPr>
        <w:t>7.2.1 在本章第3.3款规定的投标有效期内，招标人以书面形式向中标人发出中标通知书，同时将中标结果通知未中标的投标人。</w:t>
      </w:r>
    </w:p>
    <w:p w14:paraId="1BD68679">
      <w:pPr>
        <w:spacing w:line="360" w:lineRule="auto"/>
        <w:ind w:firstLine="240" w:firstLineChars="100"/>
        <w:rPr>
          <w:sz w:val="24"/>
        </w:rPr>
      </w:pPr>
      <w:r>
        <w:rPr>
          <w:rFonts w:hint="eastAsia"/>
          <w:sz w:val="24"/>
        </w:rPr>
        <w:t>*</w:t>
      </w:r>
      <w:r>
        <w:rPr>
          <w:sz w:val="24"/>
        </w:rPr>
        <w:t xml:space="preserve">7.2.2  </w:t>
      </w:r>
      <w:r>
        <w:rPr>
          <w:rFonts w:hint="eastAsia"/>
          <w:sz w:val="24"/>
        </w:rPr>
        <w:t>中标人在领取中标通知书时，向招标代理单位缴纳招标服务费。招标服务费按国家计委关于印发《招标代理服务收费管理暂行办法》的通知价格【2002】1980号文件规定50%计费。不足肆仟按肆仟计。在报价表中不单列报价子项，由投标人自行在企业运营成本等或各单价中分摊。</w:t>
      </w:r>
    </w:p>
    <w:p w14:paraId="10A39AC7">
      <w:pPr>
        <w:spacing w:line="360" w:lineRule="auto"/>
        <w:ind w:firstLine="241" w:firstLineChars="100"/>
        <w:rPr>
          <w:rFonts w:ascii="宋体" w:hAnsi="宋体" w:cs="ˎ̥"/>
          <w:b/>
          <w:sz w:val="24"/>
        </w:rPr>
      </w:pPr>
      <w:bookmarkStart w:id="37" w:name="_Toc144974537"/>
      <w:bookmarkStart w:id="38" w:name="_Toc179632587"/>
      <w:bookmarkStart w:id="39" w:name="_Toc152045569"/>
      <w:bookmarkStart w:id="40" w:name="_Toc152042345"/>
      <w:r>
        <w:rPr>
          <w:rFonts w:hint="eastAsia" w:ascii="宋体" w:hAnsi="宋体" w:cs="ˎ̥"/>
          <w:b/>
          <w:sz w:val="24"/>
        </w:rPr>
        <w:t>7.3 履约担保</w:t>
      </w:r>
      <w:bookmarkEnd w:id="37"/>
      <w:bookmarkEnd w:id="38"/>
      <w:bookmarkEnd w:id="39"/>
      <w:bookmarkEnd w:id="40"/>
    </w:p>
    <w:p w14:paraId="2BB026DF">
      <w:pPr>
        <w:spacing w:line="360" w:lineRule="auto"/>
        <w:ind w:firstLine="240" w:firstLineChars="100"/>
        <w:rPr>
          <w:sz w:val="24"/>
        </w:rPr>
      </w:pPr>
      <w:bookmarkStart w:id="41" w:name="_Toc152042348"/>
      <w:bookmarkStart w:id="42" w:name="_Toc179632590"/>
      <w:bookmarkStart w:id="43" w:name="_Toc144974540"/>
      <w:bookmarkStart w:id="44" w:name="_Toc152045572"/>
      <w:r>
        <w:rPr>
          <w:sz w:val="24"/>
        </w:rPr>
        <w:t>7.3.1</w:t>
      </w:r>
      <w:r>
        <w:rPr>
          <w:rFonts w:hint="eastAsia"/>
          <w:sz w:val="24"/>
        </w:rPr>
        <w:t>在签订协议前，中标人应按投标人须知前附表规定的金额、担保形式规定的履约担保格式向招标人提交履约担保。</w:t>
      </w:r>
    </w:p>
    <w:p w14:paraId="2A4335C1">
      <w:pPr>
        <w:spacing w:line="360" w:lineRule="auto"/>
        <w:ind w:firstLine="240" w:firstLineChars="100"/>
        <w:rPr>
          <w:sz w:val="24"/>
        </w:rPr>
      </w:pPr>
      <w:r>
        <w:rPr>
          <w:rFonts w:hint="eastAsia"/>
          <w:sz w:val="24"/>
        </w:rPr>
        <w:t>7.3.2</w:t>
      </w:r>
      <w:r>
        <w:rPr>
          <w:sz w:val="24"/>
        </w:rPr>
        <w:t>若中标人不能按本须知第</w:t>
      </w:r>
      <w:r>
        <w:rPr>
          <w:rFonts w:hint="eastAsia"/>
          <w:sz w:val="24"/>
        </w:rPr>
        <w:t>7.3</w:t>
      </w:r>
      <w:r>
        <w:rPr>
          <w:sz w:val="24"/>
        </w:rPr>
        <w:t>.1款的规定执行，招标人将有充分的理由解除合同，并没收其投标保证金</w:t>
      </w:r>
      <w:r>
        <w:rPr>
          <w:rFonts w:hint="eastAsia"/>
          <w:sz w:val="24"/>
        </w:rPr>
        <w:t>。</w:t>
      </w:r>
    </w:p>
    <w:p w14:paraId="1170CC63">
      <w:pPr>
        <w:spacing w:line="360" w:lineRule="auto"/>
        <w:ind w:firstLine="241" w:firstLineChars="100"/>
        <w:rPr>
          <w:rFonts w:ascii="宋体" w:hAnsi="宋体" w:cs="ˎ̥"/>
          <w:b/>
          <w:sz w:val="24"/>
        </w:rPr>
      </w:pPr>
      <w:r>
        <w:rPr>
          <w:rFonts w:hint="eastAsia" w:ascii="宋体" w:hAnsi="宋体" w:cs="ˎ̥"/>
          <w:b/>
          <w:sz w:val="24"/>
        </w:rPr>
        <w:t>7.4 签订协议</w:t>
      </w:r>
    </w:p>
    <w:p w14:paraId="70465158">
      <w:pPr>
        <w:spacing w:line="360" w:lineRule="auto"/>
        <w:ind w:firstLine="240" w:firstLineChars="100"/>
        <w:rPr>
          <w:sz w:val="24"/>
        </w:rPr>
      </w:pPr>
      <w:r>
        <w:rPr>
          <w:sz w:val="24"/>
        </w:rPr>
        <w:t>7.4.1招标人和中标人应当自中标通知书发出之日起10天内，根据招标文件和中标人的投标文件订立书面协议</w:t>
      </w:r>
      <w:r>
        <w:rPr>
          <w:rFonts w:hint="eastAsia"/>
          <w:sz w:val="24"/>
        </w:rPr>
        <w:t>（分别于电化厂和巨塑公司签订协议）</w:t>
      </w:r>
      <w:r>
        <w:rPr>
          <w:sz w:val="24"/>
        </w:rPr>
        <w:t>。中标人无正当理由拒签协议的，招标人取消其中标资格，其投标保证金不予退还。</w:t>
      </w:r>
      <w:r>
        <w:rPr>
          <w:b/>
          <w:bCs/>
          <w:sz w:val="24"/>
        </w:rPr>
        <w:t>招标人将提请巨化招投标监管部门将此不良行为记载并予以公示，且不得参加</w:t>
      </w:r>
      <w:r>
        <w:rPr>
          <w:rFonts w:hint="eastAsia"/>
          <w:b/>
          <w:bCs/>
          <w:sz w:val="24"/>
        </w:rPr>
        <w:t>浙江巨化股份有限公司电化厂</w:t>
      </w:r>
      <w:r>
        <w:rPr>
          <w:b/>
          <w:bCs/>
          <w:sz w:val="24"/>
        </w:rPr>
        <w:t>下一轮</w:t>
      </w:r>
      <w:r>
        <w:rPr>
          <w:rFonts w:hint="eastAsia"/>
          <w:b/>
          <w:bCs/>
          <w:sz w:val="24"/>
        </w:rPr>
        <w:t>劳务</w:t>
      </w:r>
      <w:r>
        <w:rPr>
          <w:b/>
          <w:bCs/>
          <w:sz w:val="24"/>
        </w:rPr>
        <w:t>招标。</w:t>
      </w:r>
    </w:p>
    <w:p w14:paraId="6711F052">
      <w:pPr>
        <w:pStyle w:val="5"/>
        <w:spacing w:before="0" w:after="0" w:line="360" w:lineRule="auto"/>
        <w:rPr>
          <w:b w:val="0"/>
          <w:sz w:val="24"/>
          <w:szCs w:val="24"/>
        </w:rPr>
      </w:pPr>
      <w:r>
        <w:rPr>
          <w:rFonts w:hint="eastAsia"/>
          <w:b w:val="0"/>
          <w:sz w:val="24"/>
          <w:szCs w:val="24"/>
        </w:rPr>
        <w:t>8 重新招标和不再招标</w:t>
      </w:r>
    </w:p>
    <w:p w14:paraId="3470A554">
      <w:pPr>
        <w:spacing w:line="360" w:lineRule="auto"/>
        <w:ind w:firstLine="241" w:firstLineChars="100"/>
        <w:rPr>
          <w:rFonts w:ascii="宋体" w:hAnsi="宋体" w:cs="ˎ̥"/>
          <w:b/>
          <w:sz w:val="24"/>
        </w:rPr>
      </w:pPr>
      <w:r>
        <w:rPr>
          <w:rFonts w:hint="eastAsia" w:ascii="宋体" w:hAnsi="宋体" w:cs="ˎ̥"/>
          <w:b/>
          <w:sz w:val="24"/>
        </w:rPr>
        <w:t>8.1 重新招标</w:t>
      </w:r>
      <w:bookmarkEnd w:id="41"/>
      <w:bookmarkEnd w:id="42"/>
      <w:bookmarkEnd w:id="43"/>
      <w:bookmarkEnd w:id="44"/>
    </w:p>
    <w:p w14:paraId="62B194B7">
      <w:pPr>
        <w:spacing w:line="360" w:lineRule="auto"/>
        <w:ind w:firstLine="240" w:firstLineChars="100"/>
        <w:rPr>
          <w:sz w:val="24"/>
        </w:rPr>
      </w:pPr>
      <w:r>
        <w:rPr>
          <w:sz w:val="24"/>
        </w:rPr>
        <w:t>有下列情形之一的，招标人将重新招标：</w:t>
      </w:r>
    </w:p>
    <w:p w14:paraId="5477B36A">
      <w:pPr>
        <w:spacing w:line="360" w:lineRule="auto"/>
        <w:ind w:firstLine="240" w:firstLineChars="100"/>
        <w:rPr>
          <w:sz w:val="24"/>
        </w:rPr>
      </w:pPr>
      <w:r>
        <w:rPr>
          <w:sz w:val="24"/>
        </w:rPr>
        <w:t>（1）投标截止时间止，投标人少于</w:t>
      </w:r>
      <w:r>
        <w:rPr>
          <w:rFonts w:hint="eastAsia"/>
          <w:sz w:val="24"/>
        </w:rPr>
        <w:t>3</w:t>
      </w:r>
      <w:r>
        <w:rPr>
          <w:sz w:val="24"/>
        </w:rPr>
        <w:t>个的；</w:t>
      </w:r>
    </w:p>
    <w:p w14:paraId="17E34675">
      <w:pPr>
        <w:spacing w:line="360" w:lineRule="auto"/>
        <w:ind w:firstLine="240" w:firstLineChars="100"/>
        <w:rPr>
          <w:sz w:val="24"/>
        </w:rPr>
      </w:pPr>
      <w:bookmarkStart w:id="45" w:name="_Toc152042349"/>
      <w:bookmarkStart w:id="46" w:name="_Toc144974541"/>
      <w:bookmarkStart w:id="47" w:name="_Toc152045573"/>
      <w:bookmarkStart w:id="48" w:name="_Toc179632591"/>
      <w:r>
        <w:rPr>
          <w:sz w:val="24"/>
        </w:rPr>
        <w:t>（2）经评标委员会评审后否决所有投标的。</w:t>
      </w:r>
    </w:p>
    <w:p w14:paraId="5F108D6A">
      <w:pPr>
        <w:spacing w:line="360" w:lineRule="auto"/>
        <w:ind w:firstLine="241" w:firstLineChars="100"/>
        <w:rPr>
          <w:rFonts w:ascii="宋体" w:hAnsi="宋体" w:cs="ˎ̥"/>
          <w:b/>
          <w:sz w:val="24"/>
        </w:rPr>
      </w:pPr>
      <w:r>
        <w:rPr>
          <w:rFonts w:hint="eastAsia" w:ascii="宋体" w:hAnsi="宋体" w:cs="ˎ̥"/>
          <w:b/>
          <w:sz w:val="24"/>
        </w:rPr>
        <w:t>8.2 不再招标</w:t>
      </w:r>
      <w:bookmarkEnd w:id="45"/>
      <w:bookmarkEnd w:id="46"/>
      <w:bookmarkEnd w:id="47"/>
      <w:bookmarkEnd w:id="48"/>
    </w:p>
    <w:p w14:paraId="17DF21D4">
      <w:pPr>
        <w:spacing w:line="360" w:lineRule="auto"/>
        <w:ind w:firstLine="240" w:firstLineChars="100"/>
        <w:rPr>
          <w:sz w:val="24"/>
        </w:rPr>
      </w:pPr>
      <w:r>
        <w:rPr>
          <w:sz w:val="24"/>
        </w:rPr>
        <w:t>重新招标后投标人仍少于</w:t>
      </w:r>
      <w:r>
        <w:rPr>
          <w:rFonts w:hint="eastAsia"/>
          <w:sz w:val="24"/>
        </w:rPr>
        <w:t>3</w:t>
      </w:r>
      <w:r>
        <w:rPr>
          <w:sz w:val="24"/>
        </w:rPr>
        <w:t>个或者所有投标被否决的，属于必须审批或核准的工程建设项目，经原审批或核准部门批准后不再进行招标。</w:t>
      </w:r>
    </w:p>
    <w:p w14:paraId="280F4419">
      <w:pPr>
        <w:pStyle w:val="5"/>
        <w:spacing w:before="0" w:after="0" w:line="360" w:lineRule="auto"/>
        <w:rPr>
          <w:b w:val="0"/>
          <w:sz w:val="24"/>
          <w:szCs w:val="24"/>
        </w:rPr>
      </w:pPr>
      <w:r>
        <w:rPr>
          <w:rFonts w:hint="eastAsia"/>
          <w:b w:val="0"/>
          <w:sz w:val="24"/>
          <w:szCs w:val="24"/>
        </w:rPr>
        <w:t>9 招标结束</w:t>
      </w:r>
    </w:p>
    <w:p w14:paraId="2CD7DF2D">
      <w:pPr>
        <w:spacing w:line="360" w:lineRule="auto"/>
        <w:ind w:firstLine="352" w:firstLineChars="147"/>
        <w:rPr>
          <w:b/>
          <w:sz w:val="24"/>
        </w:rPr>
      </w:pPr>
      <w:r>
        <w:rPr>
          <w:rFonts w:hint="eastAsia"/>
          <w:sz w:val="24"/>
        </w:rPr>
        <w:t>中标人与招标人签订项目承包合同，并缴纳履约保证金后，即为招标结束，招标人对招标结果不负责解释。</w:t>
      </w:r>
      <w:r>
        <w:rPr>
          <w:sz w:val="24"/>
        </w:rPr>
        <w:t xml:space="preserve"> </w:t>
      </w:r>
    </w:p>
    <w:p w14:paraId="0BAE2A7D">
      <w:pPr>
        <w:spacing w:line="360" w:lineRule="auto"/>
        <w:rPr>
          <w:b/>
          <w:szCs w:val="21"/>
        </w:rPr>
        <w:sectPr>
          <w:pgSz w:w="11907" w:h="16840"/>
          <w:pgMar w:top="1304" w:right="1247" w:bottom="1134" w:left="1304" w:header="680" w:footer="964" w:gutter="0"/>
          <w:cols w:space="720" w:num="1"/>
          <w:docGrid w:linePitch="271" w:charSpace="0"/>
        </w:sectPr>
      </w:pPr>
    </w:p>
    <w:p w14:paraId="7B7F0352">
      <w:pPr>
        <w:jc w:val="center"/>
        <w:outlineLvl w:val="0"/>
        <w:rPr>
          <w:b/>
          <w:bCs/>
          <w:sz w:val="32"/>
          <w:szCs w:val="32"/>
        </w:rPr>
      </w:pPr>
      <w:bookmarkStart w:id="49" w:name="_Toc10466"/>
      <w:r>
        <w:rPr>
          <w:rFonts w:hint="eastAsia"/>
          <w:b/>
          <w:bCs/>
          <w:sz w:val="32"/>
          <w:szCs w:val="32"/>
        </w:rPr>
        <w:t>第三章 评标办法（综合评分法）</w:t>
      </w:r>
      <w:bookmarkEnd w:id="49"/>
    </w:p>
    <w:p w14:paraId="15313B6F">
      <w:pPr>
        <w:spacing w:line="440" w:lineRule="exact"/>
        <w:jc w:val="left"/>
        <w:rPr>
          <w:rFonts w:ascii="宋体" w:hAnsi="宋体" w:cs="宋体"/>
          <w:b/>
          <w:bCs/>
          <w:sz w:val="30"/>
          <w:szCs w:val="30"/>
        </w:rPr>
      </w:pPr>
      <w:bookmarkStart w:id="50" w:name="_Toc127277070"/>
    </w:p>
    <w:p w14:paraId="79846DAE">
      <w:pPr>
        <w:adjustRightInd w:val="0"/>
        <w:snapToGrid w:val="0"/>
        <w:spacing w:line="360" w:lineRule="auto"/>
        <w:ind w:firstLine="420"/>
        <w:contextualSpacing/>
        <w:rPr>
          <w:rFonts w:ascii="宋体"/>
          <w:sz w:val="24"/>
        </w:rPr>
      </w:pPr>
      <w:r>
        <w:rPr>
          <w:rFonts w:hint="eastAsia" w:ascii="宋体"/>
          <w:sz w:val="24"/>
        </w:rPr>
        <w:t>为公正、公平、科学地选择中标人，根据有关法律法规的规定，并结合本项目的实际，制定本办法。</w:t>
      </w:r>
    </w:p>
    <w:p w14:paraId="452BF8E3">
      <w:pPr>
        <w:snapToGrid w:val="0"/>
        <w:spacing w:line="360" w:lineRule="auto"/>
        <w:ind w:left="426"/>
        <w:jc w:val="left"/>
        <w:outlineLvl w:val="1"/>
        <w:rPr>
          <w:rFonts w:ascii="宋体" w:hAnsi="宋体"/>
          <w:b/>
          <w:sz w:val="28"/>
          <w:szCs w:val="28"/>
        </w:rPr>
      </w:pPr>
      <w:bookmarkStart w:id="51" w:name="_Toc151893110"/>
      <w:r>
        <w:rPr>
          <w:rFonts w:hint="eastAsia" w:ascii="宋体" w:hAnsi="宋体"/>
          <w:b/>
          <w:sz w:val="28"/>
          <w:szCs w:val="28"/>
        </w:rPr>
        <w:t>一、总则</w:t>
      </w:r>
      <w:bookmarkEnd w:id="51"/>
    </w:p>
    <w:p w14:paraId="6734D1CA">
      <w:pPr>
        <w:snapToGrid w:val="0"/>
        <w:spacing w:line="360" w:lineRule="auto"/>
        <w:ind w:firstLine="480" w:firstLineChars="200"/>
        <w:rPr>
          <w:rFonts w:ascii="宋体"/>
          <w:sz w:val="24"/>
        </w:rPr>
      </w:pPr>
      <w:r>
        <w:rPr>
          <w:rFonts w:hint="eastAsia" w:ascii="宋体"/>
          <w:sz w:val="24"/>
        </w:rPr>
        <w:t>本次评标采用综合评分法，投标人评标综合得分=技术资信得分+商务经济得分，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评标委员会推荐每标段得分排列前1名的投标人为中标候选人。</w:t>
      </w:r>
    </w:p>
    <w:p w14:paraId="6B604AA5">
      <w:pPr>
        <w:snapToGrid w:val="0"/>
        <w:spacing w:line="360" w:lineRule="auto"/>
        <w:ind w:firstLine="480" w:firstLineChars="200"/>
        <w:rPr>
          <w:rFonts w:ascii="宋体"/>
          <w:sz w:val="24"/>
        </w:rPr>
      </w:pPr>
      <w:r>
        <w:rPr>
          <w:rFonts w:hint="eastAsia" w:ascii="宋体"/>
          <w:sz w:val="24"/>
        </w:rPr>
        <w:t>技术资信得分=评标委员会所有成员总评分计算权重后的平均值。</w:t>
      </w:r>
    </w:p>
    <w:p w14:paraId="381B4CEC">
      <w:pPr>
        <w:snapToGrid w:val="0"/>
        <w:spacing w:line="360" w:lineRule="auto"/>
        <w:ind w:firstLine="480" w:firstLineChars="200"/>
        <w:rPr>
          <w:rFonts w:ascii="宋体"/>
          <w:sz w:val="24"/>
        </w:rPr>
      </w:pPr>
      <w:r>
        <w:rPr>
          <w:rFonts w:hint="eastAsia" w:ascii="宋体"/>
          <w:sz w:val="24"/>
        </w:rPr>
        <w:t>商务经济得分=商务经济得分×商务经济得分权重。</w:t>
      </w:r>
    </w:p>
    <w:p w14:paraId="74A2C244">
      <w:pPr>
        <w:snapToGrid w:val="0"/>
        <w:spacing w:line="360" w:lineRule="auto"/>
        <w:ind w:left="426"/>
        <w:jc w:val="left"/>
        <w:outlineLvl w:val="1"/>
        <w:rPr>
          <w:rFonts w:ascii="宋体" w:hAnsi="宋体"/>
          <w:b/>
          <w:sz w:val="28"/>
          <w:szCs w:val="28"/>
        </w:rPr>
      </w:pPr>
      <w:bookmarkStart w:id="52" w:name="_Toc127277068"/>
      <w:r>
        <w:rPr>
          <w:rFonts w:hint="eastAsia" w:ascii="宋体" w:hAnsi="宋体"/>
          <w:b/>
          <w:sz w:val="28"/>
          <w:szCs w:val="28"/>
        </w:rPr>
        <w:t>二、资格审查</w:t>
      </w:r>
      <w:bookmarkEnd w:id="52"/>
    </w:p>
    <w:p w14:paraId="22BDA5C2">
      <w:pPr>
        <w:snapToGrid w:val="0"/>
        <w:spacing w:line="360" w:lineRule="auto"/>
        <w:ind w:firstLine="480" w:firstLineChars="200"/>
        <w:rPr>
          <w:rFonts w:ascii="宋体" w:hAnsi="宋体"/>
          <w:sz w:val="24"/>
        </w:rPr>
      </w:pPr>
      <w:r>
        <w:rPr>
          <w:rFonts w:hint="eastAsia" w:ascii="宋体" w:hAnsi="宋体"/>
          <w:sz w:val="24"/>
        </w:rPr>
        <w:t>评标委员会对各投标人的资格进行审查</w:t>
      </w:r>
      <w:r>
        <w:rPr>
          <w:rFonts w:hint="eastAsia" w:ascii="宋体" w:hAnsi="宋体"/>
        </w:rPr>
        <w:t>，</w:t>
      </w:r>
      <w:r>
        <w:rPr>
          <w:rFonts w:hint="eastAsia" w:ascii="宋体" w:hAnsi="宋体"/>
          <w:sz w:val="24"/>
        </w:rPr>
        <w:t>投标人资格条件不符合招标文件要求的投标无效，不再进入符合性审查。</w:t>
      </w:r>
    </w:p>
    <w:p w14:paraId="4F61AAD4">
      <w:pPr>
        <w:snapToGrid w:val="0"/>
        <w:spacing w:line="360" w:lineRule="auto"/>
        <w:ind w:left="426"/>
        <w:jc w:val="left"/>
        <w:outlineLvl w:val="1"/>
        <w:rPr>
          <w:rFonts w:ascii="宋体" w:hAnsi="宋体"/>
          <w:b/>
          <w:sz w:val="28"/>
          <w:szCs w:val="28"/>
        </w:rPr>
      </w:pPr>
      <w:bookmarkStart w:id="53" w:name="_Toc127277069"/>
      <w:r>
        <w:rPr>
          <w:rFonts w:hint="eastAsia" w:ascii="宋体" w:hAnsi="宋体"/>
          <w:b/>
          <w:sz w:val="28"/>
          <w:szCs w:val="28"/>
        </w:rPr>
        <w:t>三、符合性审查</w:t>
      </w:r>
      <w:bookmarkEnd w:id="53"/>
    </w:p>
    <w:p w14:paraId="6B230EF9">
      <w:pPr>
        <w:adjustRightInd w:val="0"/>
        <w:snapToGrid w:val="0"/>
        <w:spacing w:line="360" w:lineRule="auto"/>
        <w:ind w:firstLine="420"/>
        <w:contextualSpacing/>
        <w:rPr>
          <w:rFonts w:ascii="宋体"/>
          <w:bCs/>
          <w:sz w:val="24"/>
        </w:rPr>
      </w:pPr>
      <w:r>
        <w:rPr>
          <w:rFonts w:hint="eastAsia" w:ascii="宋体"/>
          <w:bCs/>
          <w:sz w:val="24"/>
        </w:rPr>
        <w:t>评标委员会对投标所提交的投标文件进行符合性审查，确定是否对招标文件作出了实质性响应。</w:t>
      </w:r>
      <w:r>
        <w:rPr>
          <w:rFonts w:hint="eastAsia" w:ascii="宋体"/>
          <w:b/>
          <w:bCs/>
          <w:sz w:val="24"/>
        </w:rPr>
        <w:t>符合性审查文件</w:t>
      </w:r>
      <w:r>
        <w:rPr>
          <w:rFonts w:hint="eastAsia" w:ascii="宋体"/>
          <w:bCs/>
          <w:sz w:val="24"/>
        </w:rPr>
        <w:t>不合格的投标无效，不再</w:t>
      </w:r>
      <w:r>
        <w:rPr>
          <w:rFonts w:hint="eastAsia" w:ascii="宋体"/>
          <w:sz w:val="24"/>
        </w:rPr>
        <w:t>进行技术资信文件评审。</w:t>
      </w:r>
      <w:r>
        <w:rPr>
          <w:rFonts w:hint="eastAsia" w:ascii="宋体"/>
          <w:bCs/>
          <w:sz w:val="24"/>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40A7901E">
      <w:pPr>
        <w:adjustRightInd w:val="0"/>
        <w:snapToGrid w:val="0"/>
        <w:spacing w:line="360" w:lineRule="auto"/>
        <w:ind w:firstLine="420"/>
        <w:contextualSpacing/>
        <w:rPr>
          <w:rFonts w:ascii="宋体"/>
          <w:b/>
          <w:sz w:val="24"/>
        </w:rPr>
      </w:pPr>
      <w:r>
        <w:rPr>
          <w:rFonts w:hint="eastAsia" w:ascii="宋体"/>
          <w:b/>
          <w:sz w:val="24"/>
        </w:rPr>
        <w:t>1.在技术资信标文件评审时，如发现下列情形之一的，投标文件将被视为无效：</w:t>
      </w:r>
    </w:p>
    <w:p w14:paraId="6BDE0481">
      <w:pPr>
        <w:adjustRightInd w:val="0"/>
        <w:snapToGrid w:val="0"/>
        <w:spacing w:line="360" w:lineRule="auto"/>
        <w:ind w:firstLine="420"/>
        <w:contextualSpacing/>
        <w:rPr>
          <w:rFonts w:ascii="宋体"/>
          <w:sz w:val="24"/>
        </w:rPr>
      </w:pPr>
      <w:r>
        <w:rPr>
          <w:rFonts w:hint="eastAsia" w:ascii="宋体"/>
          <w:sz w:val="24"/>
        </w:rPr>
        <w:t>（1）未按招标文件要求盖章的；</w:t>
      </w:r>
    </w:p>
    <w:p w14:paraId="0D3A5E4B">
      <w:pPr>
        <w:adjustRightInd w:val="0"/>
        <w:snapToGrid w:val="0"/>
        <w:spacing w:line="360" w:lineRule="auto"/>
        <w:ind w:firstLine="420"/>
        <w:contextualSpacing/>
        <w:rPr>
          <w:rFonts w:ascii="宋体"/>
          <w:sz w:val="24"/>
        </w:rPr>
      </w:pPr>
      <w:r>
        <w:rPr>
          <w:rFonts w:hint="eastAsia" w:ascii="宋体"/>
          <w:sz w:val="24"/>
        </w:rPr>
        <w:t>（2）未按招标文件的规定提交招标文件资料费或投标保证金的；</w:t>
      </w:r>
    </w:p>
    <w:p w14:paraId="0E9DF54B">
      <w:pPr>
        <w:adjustRightInd w:val="0"/>
        <w:snapToGrid w:val="0"/>
        <w:spacing w:line="360" w:lineRule="auto"/>
        <w:ind w:firstLine="420"/>
        <w:contextualSpacing/>
        <w:rPr>
          <w:rFonts w:ascii="宋体"/>
          <w:sz w:val="24"/>
        </w:rPr>
      </w:pPr>
      <w:r>
        <w:rPr>
          <w:rFonts w:hint="eastAsia" w:ascii="宋体"/>
          <w:sz w:val="24"/>
        </w:rPr>
        <w:t>（3）投标有效期不满足招标文件要求的；</w:t>
      </w:r>
    </w:p>
    <w:p w14:paraId="7A25DFE2">
      <w:pPr>
        <w:adjustRightInd w:val="0"/>
        <w:snapToGrid w:val="0"/>
        <w:spacing w:line="360" w:lineRule="auto"/>
        <w:ind w:firstLine="420"/>
        <w:contextualSpacing/>
        <w:rPr>
          <w:rFonts w:ascii="宋体"/>
          <w:sz w:val="24"/>
        </w:rPr>
      </w:pPr>
      <w:r>
        <w:rPr>
          <w:rFonts w:hint="eastAsia" w:ascii="宋体"/>
          <w:sz w:val="24"/>
        </w:rPr>
        <w:t>（4）以联合体形式进行投标的，在投标文件中未提交联合体协议的；</w:t>
      </w:r>
    </w:p>
    <w:p w14:paraId="3B64EF7C">
      <w:pPr>
        <w:adjustRightInd w:val="0"/>
        <w:snapToGrid w:val="0"/>
        <w:spacing w:line="360" w:lineRule="auto"/>
        <w:ind w:firstLine="420"/>
        <w:contextualSpacing/>
        <w:rPr>
          <w:rFonts w:ascii="宋体"/>
          <w:sz w:val="24"/>
        </w:rPr>
      </w:pPr>
      <w:r>
        <w:rPr>
          <w:rFonts w:hint="eastAsia" w:ascii="宋体"/>
          <w:sz w:val="24"/>
        </w:rPr>
        <w:t>（5）投标文件标明的商务、技术响应与事实不符或虚假投标的；</w:t>
      </w:r>
    </w:p>
    <w:p w14:paraId="09FB333B">
      <w:pPr>
        <w:adjustRightInd w:val="0"/>
        <w:snapToGrid w:val="0"/>
        <w:spacing w:line="360" w:lineRule="auto"/>
        <w:ind w:firstLine="420"/>
        <w:contextualSpacing/>
        <w:rPr>
          <w:rFonts w:ascii="宋体"/>
          <w:sz w:val="24"/>
        </w:rPr>
      </w:pPr>
      <w:r>
        <w:rPr>
          <w:rFonts w:hint="eastAsia" w:ascii="宋体"/>
          <w:sz w:val="24"/>
        </w:rPr>
        <w:t>（6）未响应招标文件的实质性要求的或招标文件规定不允许偏离而偏离的；</w:t>
      </w:r>
    </w:p>
    <w:p w14:paraId="5F039C1A">
      <w:pPr>
        <w:adjustRightInd w:val="0"/>
        <w:snapToGrid w:val="0"/>
        <w:spacing w:line="360" w:lineRule="auto"/>
        <w:ind w:firstLine="420"/>
        <w:contextualSpacing/>
        <w:rPr>
          <w:rFonts w:ascii="宋体"/>
          <w:sz w:val="24"/>
        </w:rPr>
      </w:pPr>
      <w:r>
        <w:rPr>
          <w:rFonts w:hint="eastAsia" w:ascii="宋体"/>
          <w:sz w:val="24"/>
        </w:rPr>
        <w:t>（7）投标技术方案不明确，存在一个或一个以上备选（替代）投标方案的；</w:t>
      </w:r>
    </w:p>
    <w:p w14:paraId="476142ED">
      <w:pPr>
        <w:adjustRightInd w:val="0"/>
        <w:snapToGrid w:val="0"/>
        <w:spacing w:line="360" w:lineRule="auto"/>
        <w:ind w:firstLine="420"/>
        <w:contextualSpacing/>
        <w:rPr>
          <w:rFonts w:ascii="宋体"/>
          <w:sz w:val="24"/>
        </w:rPr>
      </w:pPr>
      <w:r>
        <w:rPr>
          <w:rFonts w:hint="eastAsia" w:ascii="宋体"/>
          <w:sz w:val="24"/>
        </w:rPr>
        <w:t>（8）投标文件含有招标人不能接受的附加条件的；</w:t>
      </w:r>
    </w:p>
    <w:p w14:paraId="56B48C94">
      <w:pPr>
        <w:adjustRightInd w:val="0"/>
        <w:snapToGrid w:val="0"/>
        <w:spacing w:line="360" w:lineRule="auto"/>
        <w:ind w:firstLine="420"/>
        <w:contextualSpacing/>
        <w:rPr>
          <w:rFonts w:ascii="宋体"/>
          <w:sz w:val="24"/>
        </w:rPr>
      </w:pPr>
      <w:r>
        <w:rPr>
          <w:rFonts w:hint="eastAsia" w:ascii="宋体"/>
          <w:sz w:val="24"/>
        </w:rPr>
        <w:t>（9）不同投标人的投标文件由同一单位IP地址或者个人编制的；</w:t>
      </w:r>
    </w:p>
    <w:p w14:paraId="3DFB2098">
      <w:pPr>
        <w:adjustRightInd w:val="0"/>
        <w:snapToGrid w:val="0"/>
        <w:spacing w:line="360" w:lineRule="auto"/>
        <w:ind w:firstLine="420"/>
        <w:contextualSpacing/>
        <w:rPr>
          <w:rFonts w:ascii="宋体"/>
          <w:sz w:val="24"/>
        </w:rPr>
      </w:pPr>
      <w:r>
        <w:rPr>
          <w:rFonts w:hint="eastAsia" w:ascii="宋体"/>
          <w:sz w:val="24"/>
        </w:rPr>
        <w:t>（10）电子投标文件超过规定时间（开标后30分钟内）未解密的；</w:t>
      </w:r>
    </w:p>
    <w:p w14:paraId="4A8A2094">
      <w:pPr>
        <w:adjustRightInd w:val="0"/>
        <w:snapToGrid w:val="0"/>
        <w:spacing w:line="360" w:lineRule="auto"/>
        <w:ind w:firstLine="420"/>
        <w:contextualSpacing/>
        <w:rPr>
          <w:rFonts w:ascii="宋体"/>
          <w:sz w:val="24"/>
        </w:rPr>
      </w:pPr>
      <w:r>
        <w:rPr>
          <w:rFonts w:hint="eastAsia" w:ascii="宋体"/>
          <w:sz w:val="24"/>
        </w:rPr>
        <w:t>（11） 不同投标人的投标文件载明的项目管理成员或者联系人员为同一人的；</w:t>
      </w:r>
    </w:p>
    <w:p w14:paraId="7177E198">
      <w:pPr>
        <w:adjustRightInd w:val="0"/>
        <w:snapToGrid w:val="0"/>
        <w:spacing w:line="360" w:lineRule="auto"/>
        <w:ind w:firstLine="420"/>
        <w:contextualSpacing/>
        <w:rPr>
          <w:rFonts w:ascii="宋体"/>
          <w:sz w:val="24"/>
        </w:rPr>
      </w:pPr>
      <w:r>
        <w:rPr>
          <w:rFonts w:hint="eastAsia" w:ascii="宋体"/>
          <w:sz w:val="24"/>
        </w:rPr>
        <w:t>（12）不同投标人的投标文件异常一致或者投标报价呈规律性差异的；</w:t>
      </w:r>
    </w:p>
    <w:p w14:paraId="07025238">
      <w:pPr>
        <w:adjustRightInd w:val="0"/>
        <w:snapToGrid w:val="0"/>
        <w:spacing w:line="360" w:lineRule="auto"/>
        <w:ind w:firstLine="420"/>
        <w:contextualSpacing/>
        <w:rPr>
          <w:rFonts w:ascii="宋体"/>
          <w:sz w:val="24"/>
        </w:rPr>
      </w:pPr>
      <w:r>
        <w:rPr>
          <w:rFonts w:hint="eastAsia" w:ascii="宋体"/>
          <w:sz w:val="24"/>
        </w:rPr>
        <w:t>（13）不同投标人的投标文件相互混装的；</w:t>
      </w:r>
    </w:p>
    <w:p w14:paraId="466D9F43">
      <w:pPr>
        <w:adjustRightInd w:val="0"/>
        <w:snapToGrid w:val="0"/>
        <w:spacing w:line="360" w:lineRule="auto"/>
        <w:ind w:firstLine="420"/>
        <w:contextualSpacing/>
        <w:rPr>
          <w:rFonts w:ascii="宋体"/>
          <w:sz w:val="24"/>
        </w:rPr>
      </w:pPr>
      <w:r>
        <w:rPr>
          <w:rFonts w:hint="eastAsia" w:ascii="宋体"/>
          <w:sz w:val="24"/>
        </w:rPr>
        <w:t>（14）不同投标人的投标保证金从同一单位或者个人的账户转出的；</w:t>
      </w:r>
    </w:p>
    <w:p w14:paraId="480D26F9">
      <w:pPr>
        <w:adjustRightInd w:val="0"/>
        <w:snapToGrid w:val="0"/>
        <w:spacing w:line="360" w:lineRule="auto"/>
        <w:ind w:firstLine="420"/>
        <w:contextualSpacing/>
        <w:rPr>
          <w:rFonts w:ascii="宋体"/>
          <w:sz w:val="24"/>
        </w:rPr>
      </w:pPr>
      <w:r>
        <w:rPr>
          <w:rFonts w:hint="eastAsia" w:ascii="宋体"/>
          <w:sz w:val="24"/>
        </w:rPr>
        <w:t>（15）法律、法规和招标文件规定的其他无效情形。</w:t>
      </w:r>
    </w:p>
    <w:p w14:paraId="2CC407CC">
      <w:pPr>
        <w:adjustRightInd w:val="0"/>
        <w:snapToGrid w:val="0"/>
        <w:spacing w:line="360" w:lineRule="auto"/>
        <w:ind w:firstLine="420"/>
        <w:contextualSpacing/>
        <w:rPr>
          <w:rFonts w:ascii="宋体"/>
          <w:b/>
          <w:bCs/>
          <w:sz w:val="24"/>
        </w:rPr>
      </w:pPr>
      <w:r>
        <w:rPr>
          <w:rFonts w:hint="eastAsia" w:ascii="宋体"/>
          <w:b/>
          <w:bCs/>
          <w:sz w:val="24"/>
        </w:rPr>
        <w:t>2.在商务经济文件评审时，如发现下列情形之一的，投标将被视为无效：</w:t>
      </w:r>
    </w:p>
    <w:p w14:paraId="25DB9897">
      <w:pPr>
        <w:adjustRightInd w:val="0"/>
        <w:snapToGrid w:val="0"/>
        <w:spacing w:line="360" w:lineRule="auto"/>
        <w:ind w:firstLine="420"/>
        <w:contextualSpacing/>
        <w:rPr>
          <w:rFonts w:ascii="宋体"/>
          <w:sz w:val="24"/>
        </w:rPr>
      </w:pPr>
      <w:r>
        <w:rPr>
          <w:rFonts w:hint="eastAsia" w:ascii="宋体"/>
          <w:sz w:val="24"/>
        </w:rPr>
        <w:t>（1）未按招标文件要求盖章的；</w:t>
      </w:r>
    </w:p>
    <w:p w14:paraId="3B9DF2A6">
      <w:pPr>
        <w:adjustRightInd w:val="0"/>
        <w:snapToGrid w:val="0"/>
        <w:spacing w:line="360" w:lineRule="auto"/>
        <w:ind w:firstLine="420"/>
        <w:contextualSpacing/>
        <w:rPr>
          <w:rFonts w:ascii="宋体"/>
          <w:sz w:val="24"/>
        </w:rPr>
      </w:pPr>
      <w:r>
        <w:rPr>
          <w:rFonts w:hint="eastAsia" w:ascii="宋体"/>
          <w:sz w:val="24"/>
        </w:rPr>
        <w:t>（2）报价超过招标文件中规定的最高限价的；</w:t>
      </w:r>
    </w:p>
    <w:p w14:paraId="49989A9F">
      <w:pPr>
        <w:adjustRightInd w:val="0"/>
        <w:snapToGrid w:val="0"/>
        <w:spacing w:line="360" w:lineRule="auto"/>
        <w:ind w:firstLine="420"/>
        <w:contextualSpacing/>
        <w:rPr>
          <w:rFonts w:ascii="宋体"/>
          <w:sz w:val="24"/>
        </w:rPr>
      </w:pPr>
      <w:r>
        <w:rPr>
          <w:rFonts w:hint="eastAsia" w:ascii="宋体"/>
          <w:sz w:val="24"/>
        </w:rPr>
        <w:t>（3）投标报价具有选择性的；</w:t>
      </w:r>
    </w:p>
    <w:p w14:paraId="1CF879F3">
      <w:pPr>
        <w:adjustRightInd w:val="0"/>
        <w:snapToGrid w:val="0"/>
        <w:spacing w:line="360" w:lineRule="auto"/>
        <w:ind w:firstLine="420"/>
        <w:contextualSpacing/>
        <w:rPr>
          <w:rFonts w:ascii="宋体"/>
          <w:sz w:val="24"/>
        </w:rPr>
      </w:pPr>
      <w:r>
        <w:rPr>
          <w:rFonts w:hint="eastAsia" w:ascii="宋体"/>
          <w:sz w:val="24"/>
        </w:rPr>
        <w:t>（4）不接受按招标文件规定的修正错误原则修正后的报价的；</w:t>
      </w:r>
    </w:p>
    <w:p w14:paraId="2B57B7E9">
      <w:pPr>
        <w:adjustRightInd w:val="0"/>
        <w:snapToGrid w:val="0"/>
        <w:spacing w:line="360" w:lineRule="auto"/>
        <w:ind w:firstLine="420"/>
        <w:contextualSpacing/>
        <w:rPr>
          <w:rFonts w:ascii="宋体"/>
          <w:sz w:val="24"/>
        </w:rPr>
      </w:pPr>
      <w:r>
        <w:rPr>
          <w:rFonts w:hint="eastAsia" w:ascii="宋体"/>
          <w:sz w:val="24"/>
        </w:rPr>
        <w:t>（5）评标委员会认为投标人的报价明显低于其他通过符合性审查投标人的报价，且投标人不能证明其报价合理性，有可能影响服务质量或者不能诚信履约的；</w:t>
      </w:r>
    </w:p>
    <w:p w14:paraId="03829064">
      <w:pPr>
        <w:adjustRightInd w:val="0"/>
        <w:snapToGrid w:val="0"/>
        <w:spacing w:line="360" w:lineRule="auto"/>
        <w:ind w:firstLine="420"/>
        <w:contextualSpacing/>
        <w:rPr>
          <w:rFonts w:ascii="宋体"/>
          <w:sz w:val="24"/>
        </w:rPr>
      </w:pPr>
      <w:r>
        <w:rPr>
          <w:rFonts w:hint="eastAsia" w:ascii="宋体"/>
          <w:sz w:val="24"/>
        </w:rPr>
        <w:t>（6）法律、法规和招标文件规定的其他无效情形。</w:t>
      </w:r>
    </w:p>
    <w:p w14:paraId="7DD3D354">
      <w:pPr>
        <w:snapToGrid w:val="0"/>
        <w:spacing w:line="360" w:lineRule="auto"/>
        <w:ind w:left="426"/>
        <w:jc w:val="left"/>
        <w:outlineLvl w:val="1"/>
        <w:rPr>
          <w:rFonts w:ascii="宋体" w:hAnsi="宋体"/>
          <w:b/>
          <w:sz w:val="28"/>
          <w:szCs w:val="28"/>
        </w:rPr>
      </w:pPr>
      <w:r>
        <w:rPr>
          <w:rFonts w:hint="eastAsia" w:ascii="宋体" w:hAnsi="宋体"/>
          <w:b/>
          <w:sz w:val="28"/>
          <w:szCs w:val="28"/>
        </w:rPr>
        <w:t>五、评审内容及标准</w:t>
      </w:r>
      <w:bookmarkEnd w:id="50"/>
    </w:p>
    <w:p w14:paraId="6951340B">
      <w:pPr>
        <w:spacing w:line="430" w:lineRule="exact"/>
        <w:ind w:left="420"/>
        <w:rPr>
          <w:rFonts w:ascii="宋体" w:hAnsi="宋体" w:cs="宋体"/>
          <w:sz w:val="24"/>
        </w:rPr>
      </w:pPr>
      <w:r>
        <w:rPr>
          <w:rFonts w:hint="eastAsia" w:ascii="宋体" w:hAnsi="宋体" w:cs="宋体"/>
          <w:sz w:val="24"/>
        </w:rPr>
        <w:t>（一）技术资信文件得分</w:t>
      </w:r>
      <w:r>
        <w:rPr>
          <w:rFonts w:hint="eastAsia" w:ascii="宋体" w:hAnsi="宋体" w:cs="宋体"/>
          <w:b/>
          <w:bCs/>
          <w:sz w:val="24"/>
        </w:rPr>
        <w:t>（占总分权重的20%）</w:t>
      </w:r>
    </w:p>
    <w:p w14:paraId="44D67681">
      <w:pPr>
        <w:snapToGrid w:val="0"/>
        <w:spacing w:line="480" w:lineRule="exact"/>
        <w:ind w:firstLine="480" w:firstLineChars="200"/>
        <w:rPr>
          <w:rFonts w:ascii="宋体" w:hAnsi="宋体"/>
          <w:sz w:val="24"/>
        </w:rPr>
      </w:pPr>
      <w:r>
        <w:rPr>
          <w:rFonts w:hint="eastAsia" w:ascii="宋体" w:hAnsi="宋体"/>
          <w:sz w:val="24"/>
        </w:rPr>
        <w:t>具体评审方法如下：</w:t>
      </w:r>
    </w:p>
    <w:p w14:paraId="77139FFB">
      <w:pPr>
        <w:spacing w:line="430" w:lineRule="exact"/>
        <w:rPr>
          <w:rFonts w:ascii="宋体" w:hAnsi="宋体"/>
          <w:sz w:val="24"/>
        </w:rPr>
      </w:pPr>
      <w:r>
        <w:rPr>
          <w:rFonts w:hint="eastAsia" w:ascii="宋体" w:hAnsi="宋体" w:cs="宋体"/>
          <w:sz w:val="24"/>
        </w:rPr>
        <w:t>标段一  技术资信得分：</w:t>
      </w:r>
    </w:p>
    <w:tbl>
      <w:tblPr>
        <w:tblStyle w:val="21"/>
        <w:tblW w:w="9579"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681"/>
        <w:gridCol w:w="6761"/>
        <w:gridCol w:w="818"/>
        <w:gridCol w:w="818"/>
      </w:tblGrid>
      <w:tr w14:paraId="21FE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trPr>
        <w:tc>
          <w:tcPr>
            <w:tcW w:w="501" w:type="dxa"/>
            <w:noWrap/>
            <w:vAlign w:val="center"/>
          </w:tcPr>
          <w:p w14:paraId="40523963">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681" w:type="dxa"/>
            <w:noWrap/>
            <w:vAlign w:val="center"/>
          </w:tcPr>
          <w:p w14:paraId="7BEB0C6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评审项目</w:t>
            </w:r>
          </w:p>
        </w:tc>
        <w:tc>
          <w:tcPr>
            <w:tcW w:w="6761" w:type="dxa"/>
            <w:noWrap/>
            <w:vAlign w:val="center"/>
          </w:tcPr>
          <w:p w14:paraId="61F8A365">
            <w:pPr>
              <w:spacing w:line="38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评审标准</w:t>
            </w:r>
          </w:p>
        </w:tc>
        <w:tc>
          <w:tcPr>
            <w:tcW w:w="818" w:type="dxa"/>
            <w:noWrap/>
            <w:vAlign w:val="center"/>
          </w:tcPr>
          <w:p w14:paraId="4239D3DE">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分值</w:t>
            </w:r>
          </w:p>
        </w:tc>
        <w:tc>
          <w:tcPr>
            <w:tcW w:w="818" w:type="dxa"/>
            <w:noWrap/>
            <w:vAlign w:val="center"/>
          </w:tcPr>
          <w:p w14:paraId="1A9761C5">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权重</w:t>
            </w:r>
          </w:p>
        </w:tc>
      </w:tr>
      <w:tr w14:paraId="17735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501" w:type="dxa"/>
            <w:vMerge w:val="restart"/>
            <w:noWrap/>
            <w:vAlign w:val="center"/>
          </w:tcPr>
          <w:p w14:paraId="34F96D33">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681" w:type="dxa"/>
            <w:vMerge w:val="restart"/>
            <w:noWrap/>
            <w:vAlign w:val="center"/>
          </w:tcPr>
          <w:p w14:paraId="2A8F8C4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企业综合实力</w:t>
            </w:r>
          </w:p>
        </w:tc>
        <w:tc>
          <w:tcPr>
            <w:tcW w:w="6761" w:type="dxa"/>
            <w:noWrap/>
            <w:vAlign w:val="center"/>
          </w:tcPr>
          <w:p w14:paraId="0FA76E18">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1、评委可根据供应商所提供的相关资料，包括经营范围、口碑评价</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近三年内获得荣誉等的酌情打分。</w:t>
            </w:r>
          </w:p>
        </w:tc>
        <w:tc>
          <w:tcPr>
            <w:tcW w:w="818" w:type="dxa"/>
            <w:noWrap/>
            <w:vAlign w:val="center"/>
          </w:tcPr>
          <w:p w14:paraId="6984506B">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1BDA9E67">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15%</w:t>
            </w:r>
          </w:p>
        </w:tc>
      </w:tr>
      <w:tr w14:paraId="73FAD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501" w:type="dxa"/>
            <w:vMerge w:val="continue"/>
            <w:noWrap/>
            <w:vAlign w:val="center"/>
          </w:tcPr>
          <w:p w14:paraId="4903DD86">
            <w:pPr>
              <w:spacing w:line="380" w:lineRule="exact"/>
              <w:rPr>
                <w:rFonts w:ascii="宋体" w:hAnsi="宋体" w:cs="宋体"/>
                <w:color w:val="000000" w:themeColor="text1"/>
                <w:sz w:val="24"/>
                <w14:textFill>
                  <w14:solidFill>
                    <w14:schemeClr w14:val="tx1"/>
                  </w14:solidFill>
                </w14:textFill>
              </w:rPr>
            </w:pPr>
          </w:p>
        </w:tc>
        <w:tc>
          <w:tcPr>
            <w:tcW w:w="681" w:type="dxa"/>
            <w:vMerge w:val="continue"/>
            <w:noWrap/>
            <w:vAlign w:val="center"/>
          </w:tcPr>
          <w:p w14:paraId="2A4F04D4">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3BC2E4E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2、从业人员</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20（含）人以上的，得100分。从业人员</w:t>
            </w: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0（含）-</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00（不含）人，得70分。从业人员</w:t>
            </w: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0人以下，得</w:t>
            </w:r>
            <w:r>
              <w:rPr>
                <w:rFonts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0分。要求必须提供社会保险、雇主责任险参保证明。</w:t>
            </w:r>
          </w:p>
        </w:tc>
        <w:tc>
          <w:tcPr>
            <w:tcW w:w="818" w:type="dxa"/>
            <w:noWrap/>
            <w:vAlign w:val="center"/>
          </w:tcPr>
          <w:p w14:paraId="0F673085">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208389F0">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r>
              <w:rPr>
                <w:rFonts w:ascii="宋体" w:hAnsi="宋体" w:cs="宋体"/>
                <w:color w:val="000000" w:themeColor="text1"/>
                <w:sz w:val="24"/>
                <w14:textFill>
                  <w14:solidFill>
                    <w14:schemeClr w14:val="tx1"/>
                  </w14:solidFill>
                </w14:textFill>
              </w:rPr>
              <w:t>%</w:t>
            </w:r>
          </w:p>
        </w:tc>
      </w:tr>
      <w:tr w14:paraId="2246B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5" w:hRule="atLeast"/>
        </w:trPr>
        <w:tc>
          <w:tcPr>
            <w:tcW w:w="501" w:type="dxa"/>
            <w:vMerge w:val="continue"/>
            <w:noWrap/>
            <w:vAlign w:val="center"/>
          </w:tcPr>
          <w:p w14:paraId="2C1F8DD0">
            <w:pPr>
              <w:spacing w:line="380" w:lineRule="exact"/>
              <w:rPr>
                <w:rFonts w:ascii="宋体" w:hAnsi="宋体" w:cs="宋体"/>
                <w:color w:val="000000" w:themeColor="text1"/>
                <w:sz w:val="24"/>
                <w14:textFill>
                  <w14:solidFill>
                    <w14:schemeClr w14:val="tx1"/>
                  </w14:solidFill>
                </w14:textFill>
              </w:rPr>
            </w:pPr>
          </w:p>
        </w:tc>
        <w:tc>
          <w:tcPr>
            <w:tcW w:w="681" w:type="dxa"/>
            <w:vMerge w:val="continue"/>
            <w:noWrap/>
            <w:vAlign w:val="center"/>
          </w:tcPr>
          <w:p w14:paraId="50DB995B">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571DDCC1">
            <w:pPr>
              <w:spacing w:line="380" w:lineRule="exac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、具有包装</w:t>
            </w:r>
            <w:r>
              <w:rPr>
                <w:rFonts w:ascii="宋体" w:hAnsi="宋体" w:cs="宋体"/>
                <w:color w:val="000000" w:themeColor="text1"/>
                <w:sz w:val="24"/>
                <w14:textFill>
                  <w14:solidFill>
                    <w14:schemeClr w14:val="tx1"/>
                  </w14:solidFill>
                </w14:textFill>
              </w:rPr>
              <w:t>、装卸、搬运专用设备（含</w:t>
            </w:r>
            <w:r>
              <w:rPr>
                <w:rFonts w:hint="eastAsia" w:ascii="宋体" w:hAnsi="宋体" w:cs="宋体"/>
                <w:color w:val="000000" w:themeColor="text1"/>
                <w:sz w:val="24"/>
                <w14:textFill>
                  <w14:solidFill>
                    <w14:schemeClr w14:val="tx1"/>
                  </w14:solidFill>
                </w14:textFill>
              </w:rPr>
              <w:t>货车移动平台、平板货车、内燃叉车、电动叉车）大于等于18台，同时具备</w:t>
            </w:r>
            <w:r>
              <w:rPr>
                <w:rFonts w:ascii="宋体" w:hAnsi="宋体" w:cs="宋体"/>
                <w:color w:val="000000" w:themeColor="text1"/>
                <w:sz w:val="24"/>
                <w14:textFill>
                  <w14:solidFill>
                    <w14:schemeClr w14:val="tx1"/>
                  </w14:solidFill>
                </w14:textFill>
              </w:rPr>
              <w:t>专业操作人员</w:t>
            </w:r>
            <w:r>
              <w:rPr>
                <w:rFonts w:hint="eastAsia" w:ascii="宋体" w:hAnsi="宋体" w:cs="宋体"/>
                <w:color w:val="000000" w:themeColor="text1"/>
                <w:sz w:val="24"/>
                <w14:textFill>
                  <w14:solidFill>
                    <w14:schemeClr w14:val="tx1"/>
                  </w14:solidFill>
                </w14:textFill>
              </w:rPr>
              <w:t>及作业证、</w:t>
            </w:r>
            <w:r>
              <w:rPr>
                <w:rFonts w:ascii="宋体" w:hAnsi="宋体" w:cs="宋体"/>
                <w:color w:val="000000" w:themeColor="text1"/>
                <w:sz w:val="24"/>
                <w14:textFill>
                  <w14:solidFill>
                    <w14:schemeClr w14:val="tx1"/>
                  </w14:solidFill>
                </w14:textFill>
              </w:rPr>
              <w:t>立体仓库</w:t>
            </w:r>
            <w:r>
              <w:rPr>
                <w:rFonts w:hint="eastAsia" w:ascii="宋体" w:hAnsi="宋体" w:cs="宋体"/>
                <w:color w:val="000000" w:themeColor="text1"/>
                <w:sz w:val="24"/>
                <w14:textFill>
                  <w14:solidFill>
                    <w14:schemeClr w14:val="tx1"/>
                  </w14:solidFill>
                </w14:textFill>
              </w:rPr>
              <w:t>操作</w:t>
            </w:r>
            <w:r>
              <w:rPr>
                <w:rFonts w:ascii="宋体" w:hAnsi="宋体" w:cs="宋体"/>
                <w:color w:val="000000" w:themeColor="text1"/>
                <w:sz w:val="24"/>
                <w14:textFill>
                  <w14:solidFill>
                    <w14:schemeClr w14:val="tx1"/>
                  </w14:solidFill>
                </w14:textFill>
              </w:rPr>
              <w:t>技术，</w:t>
            </w:r>
            <w:r>
              <w:rPr>
                <w:rFonts w:hint="eastAsia" w:ascii="宋体" w:hAnsi="宋体" w:cs="宋体"/>
                <w:color w:val="000000" w:themeColor="text1"/>
                <w:sz w:val="24"/>
                <w14:textFill>
                  <w14:solidFill>
                    <w14:schemeClr w14:val="tx1"/>
                  </w14:solidFill>
                </w14:textFill>
              </w:rPr>
              <w:t>得</w:t>
            </w:r>
            <w:r>
              <w:rPr>
                <w:rFonts w:ascii="宋体" w:hAnsi="宋体" w:cs="宋体"/>
                <w:color w:val="000000" w:themeColor="text1"/>
                <w:sz w:val="24"/>
                <w14:textFill>
                  <w14:solidFill>
                    <w14:schemeClr w14:val="tx1"/>
                  </w14:solidFill>
                </w14:textFill>
              </w:rPr>
              <w:t>100</w:t>
            </w:r>
            <w:r>
              <w:rPr>
                <w:rFonts w:hint="eastAsia" w:ascii="宋体" w:hAnsi="宋体" w:cs="宋体"/>
                <w:color w:val="000000" w:themeColor="text1"/>
                <w:sz w:val="24"/>
                <w14:textFill>
                  <w14:solidFill>
                    <w14:schemeClr w14:val="tx1"/>
                  </w14:solidFill>
                </w14:textFill>
              </w:rPr>
              <w:t>分；</w:t>
            </w:r>
            <w:r>
              <w:rPr>
                <w:rFonts w:ascii="宋体" w:hAnsi="宋体" w:cs="宋体"/>
                <w:color w:val="000000" w:themeColor="text1"/>
                <w:sz w:val="24"/>
                <w14:textFill>
                  <w14:solidFill>
                    <w14:schemeClr w14:val="tx1"/>
                  </w14:solidFill>
                </w14:textFill>
              </w:rPr>
              <w:t>12</w:t>
            </w:r>
            <w:r>
              <w:rPr>
                <w:rFonts w:hint="eastAsia" w:ascii="宋体" w:hAnsi="宋体" w:cs="宋体"/>
                <w:color w:val="000000" w:themeColor="text1"/>
                <w:sz w:val="24"/>
                <w14:textFill>
                  <w14:solidFill>
                    <w14:schemeClr w14:val="tx1"/>
                  </w14:solidFill>
                </w14:textFill>
              </w:rPr>
              <w:t>（含）-</w:t>
            </w:r>
            <w:r>
              <w:rPr>
                <w:rFonts w:ascii="宋体" w:hAnsi="宋体" w:cs="宋体"/>
                <w:color w:val="000000" w:themeColor="text1"/>
                <w:sz w:val="24"/>
                <w14:textFill>
                  <w14:solidFill>
                    <w14:schemeClr w14:val="tx1"/>
                  </w14:solidFill>
                </w14:textFill>
              </w:rPr>
              <w:t>17</w:t>
            </w:r>
            <w:r>
              <w:rPr>
                <w:rFonts w:hint="eastAsia" w:ascii="宋体" w:hAnsi="宋体" w:cs="宋体"/>
                <w:color w:val="000000" w:themeColor="text1"/>
                <w:sz w:val="24"/>
                <w14:textFill>
                  <w14:solidFill>
                    <w14:schemeClr w14:val="tx1"/>
                  </w14:solidFill>
                </w14:textFill>
              </w:rPr>
              <w:t>（含）台</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同时</w:t>
            </w:r>
            <w:r>
              <w:rPr>
                <w:rFonts w:ascii="宋体" w:hAnsi="宋体" w:cs="宋体"/>
                <w:color w:val="000000" w:themeColor="text1"/>
                <w:sz w:val="24"/>
                <w14:textFill>
                  <w14:solidFill>
                    <w14:schemeClr w14:val="tx1"/>
                  </w14:solidFill>
                </w14:textFill>
              </w:rPr>
              <w:t>配备专业操作人员</w:t>
            </w:r>
            <w:r>
              <w:rPr>
                <w:rFonts w:hint="eastAsia" w:ascii="宋体" w:hAnsi="宋体" w:cs="宋体"/>
                <w:color w:val="000000" w:themeColor="text1"/>
                <w:sz w:val="24"/>
                <w14:textFill>
                  <w14:solidFill>
                    <w14:schemeClr w14:val="tx1"/>
                  </w14:solidFill>
                </w14:textFill>
              </w:rPr>
              <w:t>及作业证</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得</w:t>
            </w:r>
            <w:r>
              <w:rPr>
                <w:rFonts w:ascii="宋体" w:hAnsi="宋体" w:cs="宋体"/>
                <w:color w:val="000000" w:themeColor="text1"/>
                <w:sz w:val="24"/>
                <w14:textFill>
                  <w14:solidFill>
                    <w14:schemeClr w14:val="tx1"/>
                  </w14:solidFill>
                </w14:textFill>
              </w:rPr>
              <w:t>60</w:t>
            </w:r>
            <w:r>
              <w:rPr>
                <w:rFonts w:hint="eastAsia" w:ascii="宋体" w:hAnsi="宋体" w:cs="宋体"/>
                <w:color w:val="000000" w:themeColor="text1"/>
                <w:sz w:val="24"/>
                <w14:textFill>
                  <w14:solidFill>
                    <w14:schemeClr w14:val="tx1"/>
                  </w14:solidFill>
                </w14:textFill>
              </w:rPr>
              <w:t>分；</w:t>
            </w:r>
            <w:r>
              <w:rPr>
                <w:rFonts w:ascii="宋体" w:hAnsi="宋体" w:cs="宋体"/>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（含）-</w:t>
            </w:r>
            <w:r>
              <w:rPr>
                <w:rFonts w:ascii="宋体" w:hAnsi="宋体" w:cs="宋体"/>
                <w:color w:val="000000" w:themeColor="text1"/>
                <w:sz w:val="24"/>
                <w14:textFill>
                  <w14:solidFill>
                    <w14:schemeClr w14:val="tx1"/>
                  </w14:solidFill>
                </w14:textFill>
              </w:rPr>
              <w:t>11</w:t>
            </w:r>
            <w:r>
              <w:rPr>
                <w:rFonts w:hint="eastAsia" w:ascii="宋体" w:hAnsi="宋体" w:cs="宋体"/>
                <w:color w:val="000000" w:themeColor="text1"/>
                <w:sz w:val="24"/>
                <w14:textFill>
                  <w14:solidFill>
                    <w14:schemeClr w14:val="tx1"/>
                  </w14:solidFill>
                </w14:textFill>
              </w:rPr>
              <w:t>（含）</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同时</w:t>
            </w:r>
            <w:r>
              <w:rPr>
                <w:rFonts w:ascii="宋体" w:hAnsi="宋体" w:cs="宋体"/>
                <w:color w:val="000000" w:themeColor="text1"/>
                <w:sz w:val="24"/>
                <w14:textFill>
                  <w14:solidFill>
                    <w14:schemeClr w14:val="tx1"/>
                  </w14:solidFill>
                </w14:textFill>
              </w:rPr>
              <w:t>配备专业操作人员</w:t>
            </w:r>
            <w:r>
              <w:rPr>
                <w:rFonts w:hint="eastAsia" w:ascii="宋体" w:hAnsi="宋体" w:cs="宋体"/>
                <w:color w:val="000000" w:themeColor="text1"/>
                <w:sz w:val="24"/>
                <w14:textFill>
                  <w14:solidFill>
                    <w14:schemeClr w14:val="tx1"/>
                  </w14:solidFill>
                </w14:textFill>
              </w:rPr>
              <w:t>及作业证</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得30分</w:t>
            </w:r>
            <w:r>
              <w:rPr>
                <w:rFonts w:ascii="宋体" w:hAnsi="宋体" w:cs="宋体"/>
                <w:color w:val="000000" w:themeColor="text1"/>
                <w:sz w:val="24"/>
                <w14:textFill>
                  <w14:solidFill>
                    <w14:schemeClr w14:val="tx1"/>
                  </w14:solidFill>
                </w14:textFill>
              </w:rPr>
              <w:t>；小于6</w:t>
            </w:r>
            <w:r>
              <w:rPr>
                <w:rFonts w:hint="eastAsia" w:ascii="宋体" w:hAnsi="宋体" w:cs="宋体"/>
                <w:color w:val="000000" w:themeColor="text1"/>
                <w:sz w:val="24"/>
                <w14:textFill>
                  <w14:solidFill>
                    <w14:schemeClr w14:val="tx1"/>
                  </w14:solidFill>
                </w14:textFill>
              </w:rPr>
              <w:t>台</w:t>
            </w:r>
            <w:r>
              <w:rPr>
                <w:rFonts w:ascii="宋体" w:hAnsi="宋体" w:cs="宋体"/>
                <w:color w:val="000000" w:themeColor="text1"/>
                <w:sz w:val="24"/>
                <w14:textFill>
                  <w14:solidFill>
                    <w14:schemeClr w14:val="tx1"/>
                  </w14:solidFill>
                </w14:textFill>
              </w:rPr>
              <w:t>，不得分</w:t>
            </w:r>
            <w:r>
              <w:rPr>
                <w:rFonts w:hint="eastAsia" w:ascii="宋体" w:hAnsi="宋体" w:cs="宋体"/>
                <w:color w:val="000000" w:themeColor="text1"/>
                <w:sz w:val="24"/>
                <w14:textFill>
                  <w14:solidFill>
                    <w14:schemeClr w14:val="tx1"/>
                  </w14:solidFill>
                </w14:textFill>
              </w:rPr>
              <w:t>。</w:t>
            </w:r>
          </w:p>
        </w:tc>
        <w:tc>
          <w:tcPr>
            <w:tcW w:w="818" w:type="dxa"/>
            <w:noWrap/>
            <w:vAlign w:val="center"/>
          </w:tcPr>
          <w:p w14:paraId="3AA8045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2C90637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w:t>
            </w:r>
          </w:p>
        </w:tc>
      </w:tr>
      <w:tr w14:paraId="54D50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501" w:type="dxa"/>
            <w:vMerge w:val="continue"/>
            <w:noWrap/>
            <w:vAlign w:val="center"/>
          </w:tcPr>
          <w:p w14:paraId="3DCA6739">
            <w:pPr>
              <w:spacing w:line="380" w:lineRule="exact"/>
              <w:rPr>
                <w:rFonts w:ascii="宋体" w:hAnsi="宋体" w:cs="宋体"/>
                <w:color w:val="000000" w:themeColor="text1"/>
                <w:sz w:val="24"/>
                <w14:textFill>
                  <w14:solidFill>
                    <w14:schemeClr w14:val="tx1"/>
                  </w14:solidFill>
                </w14:textFill>
              </w:rPr>
            </w:pPr>
          </w:p>
        </w:tc>
        <w:tc>
          <w:tcPr>
            <w:tcW w:w="681" w:type="dxa"/>
            <w:vMerge w:val="continue"/>
            <w:noWrap/>
            <w:vAlign w:val="center"/>
          </w:tcPr>
          <w:p w14:paraId="3870EF32">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15D1AAC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4、招聘能力，根据自主招聘和及时全面完成用人单位需求能力综合评分（提供相关依据）。</w:t>
            </w:r>
          </w:p>
        </w:tc>
        <w:tc>
          <w:tcPr>
            <w:tcW w:w="818" w:type="dxa"/>
            <w:noWrap/>
            <w:vAlign w:val="center"/>
          </w:tcPr>
          <w:p w14:paraId="2F4E49B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18278FB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r>
              <w:rPr>
                <w:rFonts w:ascii="宋体" w:hAnsi="宋体" w:cs="宋体"/>
                <w:color w:val="000000" w:themeColor="text1"/>
                <w:sz w:val="24"/>
                <w14:textFill>
                  <w14:solidFill>
                    <w14:schemeClr w14:val="tx1"/>
                  </w14:solidFill>
                </w14:textFill>
              </w:rPr>
              <w:t>%</w:t>
            </w:r>
          </w:p>
        </w:tc>
      </w:tr>
      <w:tr w14:paraId="52CD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5" w:hRule="atLeast"/>
        </w:trPr>
        <w:tc>
          <w:tcPr>
            <w:tcW w:w="501" w:type="dxa"/>
            <w:noWrap/>
            <w:vAlign w:val="center"/>
          </w:tcPr>
          <w:p w14:paraId="0E1A545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681" w:type="dxa"/>
            <w:noWrap/>
            <w:vAlign w:val="center"/>
          </w:tcPr>
          <w:p w14:paraId="068C78DF">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投标人业绩及资源配置</w:t>
            </w:r>
          </w:p>
          <w:p w14:paraId="5FBF652D">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1021AC17">
            <w:pPr>
              <w:rPr>
                <w:color w:val="000000" w:themeColor="text1"/>
                <w:sz w:val="22"/>
                <w:szCs w:val="28"/>
                <w14:textFill>
                  <w14:solidFill>
                    <w14:schemeClr w14:val="tx1"/>
                  </w14:solidFill>
                </w14:textFill>
              </w:rPr>
            </w:pPr>
            <w:r>
              <w:rPr>
                <w:rFonts w:hint="eastAsia"/>
                <w:color w:val="000000" w:themeColor="text1"/>
                <w:sz w:val="22"/>
                <w:szCs w:val="28"/>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投标人2022年1月1日之后，同类化工企业</w:t>
            </w:r>
            <w:r>
              <w:rPr>
                <w:rFonts w:hint="eastAsia" w:ascii="宋体" w:cs="宋体"/>
                <w:color w:val="000000" w:themeColor="text1"/>
                <w:sz w:val="24"/>
                <w14:textFill>
                  <w14:solidFill>
                    <w14:schemeClr w14:val="tx1"/>
                  </w14:solidFill>
                </w14:textFill>
              </w:rPr>
              <w:t>劳务外包服务项目</w:t>
            </w:r>
            <w:r>
              <w:rPr>
                <w:rFonts w:hint="eastAsia" w:ascii="宋体" w:hAnsi="宋体" w:cs="宋体"/>
                <w:color w:val="000000" w:themeColor="text1"/>
                <w:sz w:val="24"/>
                <w14:textFill>
                  <w14:solidFill>
                    <w14:schemeClr w14:val="tx1"/>
                  </w14:solidFill>
                </w14:textFill>
              </w:rPr>
              <w:t>：</w:t>
            </w:r>
            <w:r>
              <w:rPr>
                <w:rFonts w:hint="eastAsia"/>
                <w:color w:val="000000" w:themeColor="text1"/>
                <w:sz w:val="22"/>
                <w:szCs w:val="28"/>
                <w14:textFill>
                  <w14:solidFill>
                    <w14:schemeClr w14:val="tx1"/>
                  </w14:solidFill>
                </w14:textFill>
              </w:rPr>
              <w:t>劳务外包相关业绩合同5份（含）以上的，得100分。劳务外包相关业绩合同3份（含）-5份的，得70分。3份以下的，得20分。同一家</w:t>
            </w:r>
            <w:r>
              <w:rPr>
                <w:color w:val="000000" w:themeColor="text1"/>
                <w:sz w:val="22"/>
                <w:szCs w:val="28"/>
                <w14:textFill>
                  <w14:solidFill>
                    <w14:schemeClr w14:val="tx1"/>
                  </w14:solidFill>
                </w14:textFill>
              </w:rPr>
              <w:t>化工企业</w:t>
            </w:r>
            <w:r>
              <w:rPr>
                <w:rFonts w:hint="eastAsia"/>
                <w:color w:val="000000" w:themeColor="text1"/>
                <w:sz w:val="22"/>
                <w:szCs w:val="28"/>
                <w14:textFill>
                  <w14:solidFill>
                    <w14:schemeClr w14:val="tx1"/>
                  </w14:solidFill>
                </w14:textFill>
              </w:rPr>
              <w:t>同一种类型劳务外包的合同不重复得分。</w:t>
            </w:r>
          </w:p>
          <w:p w14:paraId="3E04D7B4">
            <w:pPr>
              <w:spacing w:line="380" w:lineRule="exact"/>
              <w:rPr>
                <w:color w:val="000000" w:themeColor="text1"/>
                <w14:textFill>
                  <w14:solidFill>
                    <w14:schemeClr w14:val="tx1"/>
                  </w14:solidFill>
                </w14:textFill>
              </w:rPr>
            </w:pPr>
            <w:r>
              <w:rPr>
                <w:rFonts w:hint="eastAsia"/>
                <w:color w:val="000000" w:themeColor="text1"/>
                <w:sz w:val="22"/>
                <w:szCs w:val="28"/>
                <w14:textFill>
                  <w14:solidFill>
                    <w14:schemeClr w14:val="tx1"/>
                  </w14:solidFill>
                </w14:textFill>
              </w:rPr>
              <w:t>上述业绩以投标人合同案例以提供的合同为准，要求必须提供与最终用户签订的合同首页、合同完整金额所在页、签字盖章页及相关证明页，投标文件中提供彩色扫描件。如合同不能体现项目性质，提供业主单位证书并加盖业主单位公司章）。</w:t>
            </w:r>
          </w:p>
        </w:tc>
        <w:tc>
          <w:tcPr>
            <w:tcW w:w="818" w:type="dxa"/>
            <w:noWrap/>
            <w:vAlign w:val="center"/>
          </w:tcPr>
          <w:p w14:paraId="22B9389F">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4A002498">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p>
        </w:tc>
      </w:tr>
      <w:tr w14:paraId="1AE38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6" w:hRule="atLeast"/>
        </w:trPr>
        <w:tc>
          <w:tcPr>
            <w:tcW w:w="501" w:type="dxa"/>
            <w:noWrap/>
            <w:vAlign w:val="center"/>
          </w:tcPr>
          <w:p w14:paraId="651553A5">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681" w:type="dxa"/>
            <w:noWrap/>
            <w:vAlign w:val="center"/>
          </w:tcPr>
          <w:p w14:paraId="3E54CE7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服务承诺和响应</w:t>
            </w:r>
          </w:p>
        </w:tc>
        <w:tc>
          <w:tcPr>
            <w:tcW w:w="6761" w:type="dxa"/>
            <w:noWrap/>
            <w:vAlign w:val="center"/>
          </w:tcPr>
          <w:p w14:paraId="233C85A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服务承诺和响应</w:t>
            </w:r>
          </w:p>
          <w:p w14:paraId="6E1484C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1、承诺在接到用户服务要求时为需方提供及时响应服务的。由评委专家根据各供应商提供的响应服务承诺进行酌情打分（0-30分）。</w:t>
            </w:r>
          </w:p>
          <w:p w14:paraId="743367A5">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2、承诺在合作期内对本项目从签订服务合同之日起提供两年优质服务的。由评委对各投标人提供材料的实际情况进行比较并横向综合打分。（0-20分）。</w:t>
            </w:r>
          </w:p>
          <w:p w14:paraId="4533874E">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3、承诺所供服务在质保期内因人员服务质量问题投标单位负责更换服务人员、承诺拟派人员未经采购单位同意中途不得更换人员的，得30分，不承诺的不得分；</w:t>
            </w:r>
          </w:p>
          <w:p w14:paraId="1396302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为保障本项目售后服务的实施顺利进行，要求投标单位必须在本项目执行地具有固定办公营业场所。（要求投标单位提供固定办公场所的房屋所有权证或满足本项目服务期限要求的租赁合同及相关人员的姓名、固定联系电话等）。提供资料不全或不完善将视为投标单位无固定营业场所不得此分，以上资料要求投标单位在投标文件内提供加盖单位公章的复印件。（0-20分）。</w:t>
            </w:r>
          </w:p>
        </w:tc>
        <w:tc>
          <w:tcPr>
            <w:tcW w:w="818" w:type="dxa"/>
            <w:noWrap/>
            <w:vAlign w:val="center"/>
          </w:tcPr>
          <w:p w14:paraId="0FC81A0B">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261AA914">
            <w:pPr>
              <w:spacing w:line="380" w:lineRule="exac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0%</w:t>
            </w:r>
          </w:p>
        </w:tc>
      </w:tr>
      <w:tr w14:paraId="2BC95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3" w:hRule="atLeast"/>
        </w:trPr>
        <w:tc>
          <w:tcPr>
            <w:tcW w:w="501" w:type="dxa"/>
            <w:vMerge w:val="restart"/>
            <w:noWrap/>
            <w:vAlign w:val="center"/>
          </w:tcPr>
          <w:p w14:paraId="52E47B4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681" w:type="dxa"/>
            <w:vMerge w:val="restart"/>
            <w:noWrap/>
            <w:vAlign w:val="center"/>
          </w:tcPr>
          <w:p w14:paraId="79A3AFC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服务实施方案</w:t>
            </w:r>
          </w:p>
        </w:tc>
        <w:tc>
          <w:tcPr>
            <w:tcW w:w="6761" w:type="dxa"/>
            <w:noWrap/>
            <w:vAlign w:val="center"/>
          </w:tcPr>
          <w:p w14:paraId="3C4EED2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1、对突发事件的应急方案及措施的合理性、可预见性、科学性及可行性，由评委专家根据各投标人提供的方案进行综合评分</w:t>
            </w:r>
          </w:p>
        </w:tc>
        <w:tc>
          <w:tcPr>
            <w:tcW w:w="818" w:type="dxa"/>
            <w:noWrap/>
            <w:vAlign w:val="center"/>
          </w:tcPr>
          <w:p w14:paraId="0291AF70">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0D9C226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r>
      <w:tr w14:paraId="0ECC5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3" w:hRule="atLeast"/>
        </w:trPr>
        <w:tc>
          <w:tcPr>
            <w:tcW w:w="501" w:type="dxa"/>
            <w:vMerge w:val="continue"/>
            <w:noWrap/>
            <w:vAlign w:val="center"/>
          </w:tcPr>
          <w:p w14:paraId="646570C7">
            <w:pPr>
              <w:spacing w:line="380" w:lineRule="exact"/>
              <w:rPr>
                <w:rFonts w:ascii="宋体" w:hAnsi="宋体" w:cs="宋体"/>
                <w:color w:val="000000" w:themeColor="text1"/>
                <w:sz w:val="24"/>
                <w14:textFill>
                  <w14:solidFill>
                    <w14:schemeClr w14:val="tx1"/>
                  </w14:solidFill>
                </w14:textFill>
              </w:rPr>
            </w:pPr>
          </w:p>
        </w:tc>
        <w:tc>
          <w:tcPr>
            <w:tcW w:w="681" w:type="dxa"/>
            <w:vMerge w:val="continue"/>
            <w:noWrap/>
            <w:vAlign w:val="center"/>
          </w:tcPr>
          <w:p w14:paraId="15569049">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3193BEC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2、有健全的管理制度和管理网络，岗位责任明确。由评委对各投标人提供材料的实际情况进行比较并横向综合打分</w:t>
            </w:r>
          </w:p>
        </w:tc>
        <w:tc>
          <w:tcPr>
            <w:tcW w:w="818" w:type="dxa"/>
            <w:noWrap/>
            <w:vAlign w:val="center"/>
          </w:tcPr>
          <w:p w14:paraId="0D76DE27">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393441C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r>
      <w:tr w14:paraId="0898D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501" w:type="dxa"/>
            <w:vMerge w:val="continue"/>
            <w:noWrap/>
            <w:vAlign w:val="center"/>
          </w:tcPr>
          <w:p w14:paraId="0BAFF2FF">
            <w:pPr>
              <w:spacing w:line="380" w:lineRule="exact"/>
              <w:rPr>
                <w:rFonts w:ascii="宋体" w:hAnsi="宋体" w:cs="宋体"/>
                <w:color w:val="000000" w:themeColor="text1"/>
                <w:sz w:val="24"/>
                <w14:textFill>
                  <w14:solidFill>
                    <w14:schemeClr w14:val="tx1"/>
                  </w14:solidFill>
                </w14:textFill>
              </w:rPr>
            </w:pPr>
          </w:p>
        </w:tc>
        <w:tc>
          <w:tcPr>
            <w:tcW w:w="681" w:type="dxa"/>
            <w:vMerge w:val="continue"/>
            <w:noWrap/>
            <w:vAlign w:val="center"/>
          </w:tcPr>
          <w:p w14:paraId="0E3102A9">
            <w:pPr>
              <w:spacing w:line="380" w:lineRule="exact"/>
              <w:rPr>
                <w:rFonts w:ascii="宋体" w:hAnsi="宋体" w:cs="宋体"/>
                <w:color w:val="000000" w:themeColor="text1"/>
                <w:sz w:val="24"/>
                <w14:textFill>
                  <w14:solidFill>
                    <w14:schemeClr w14:val="tx1"/>
                  </w14:solidFill>
                </w14:textFill>
              </w:rPr>
            </w:pPr>
          </w:p>
        </w:tc>
        <w:tc>
          <w:tcPr>
            <w:tcW w:w="6761" w:type="dxa"/>
            <w:noWrap/>
            <w:vAlign w:val="center"/>
          </w:tcPr>
          <w:p w14:paraId="7755645E">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3、制定安全检查计划，负责每天检查工作设备设施等由评委进行横向打分</w:t>
            </w:r>
          </w:p>
        </w:tc>
        <w:tc>
          <w:tcPr>
            <w:tcW w:w="818" w:type="dxa"/>
            <w:noWrap/>
            <w:vAlign w:val="center"/>
          </w:tcPr>
          <w:p w14:paraId="6289C5D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818" w:type="dxa"/>
            <w:noWrap/>
            <w:vAlign w:val="center"/>
          </w:tcPr>
          <w:p w14:paraId="1225798B">
            <w:pPr>
              <w:spacing w:line="380" w:lineRule="exac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w:t>
            </w:r>
          </w:p>
        </w:tc>
      </w:tr>
    </w:tbl>
    <w:p w14:paraId="73895675">
      <w:pPr>
        <w:spacing w:line="430" w:lineRule="exact"/>
        <w:ind w:left="420"/>
        <w:rPr>
          <w:rFonts w:ascii="宋体" w:hAnsi="宋体" w:cs="宋体"/>
          <w:sz w:val="24"/>
        </w:rPr>
      </w:pPr>
    </w:p>
    <w:p w14:paraId="26BB54BA">
      <w:pPr>
        <w:spacing w:line="430" w:lineRule="exact"/>
        <w:ind w:left="420"/>
        <w:rPr>
          <w:rFonts w:ascii="宋体" w:hAnsi="宋体" w:cs="宋体"/>
          <w:sz w:val="24"/>
        </w:rPr>
      </w:pPr>
      <w:r>
        <w:rPr>
          <w:rFonts w:hint="eastAsia" w:ascii="宋体" w:hAnsi="宋体" w:cs="宋体"/>
          <w:sz w:val="24"/>
        </w:rPr>
        <w:t>标段二  技术资信得分：</w:t>
      </w:r>
    </w:p>
    <w:tbl>
      <w:tblPr>
        <w:tblStyle w:val="21"/>
        <w:tblW w:w="9637"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722"/>
        <w:gridCol w:w="6679"/>
        <w:gridCol w:w="769"/>
        <w:gridCol w:w="936"/>
      </w:tblGrid>
      <w:tr w14:paraId="6BC3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 w:hRule="atLeast"/>
        </w:trPr>
        <w:tc>
          <w:tcPr>
            <w:tcW w:w="531" w:type="dxa"/>
            <w:noWrap/>
            <w:vAlign w:val="center"/>
          </w:tcPr>
          <w:p w14:paraId="5CCB1AB8">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722" w:type="dxa"/>
            <w:noWrap/>
            <w:vAlign w:val="center"/>
          </w:tcPr>
          <w:p w14:paraId="734C6CC0">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评审项目</w:t>
            </w:r>
          </w:p>
        </w:tc>
        <w:tc>
          <w:tcPr>
            <w:tcW w:w="6679" w:type="dxa"/>
            <w:noWrap/>
            <w:vAlign w:val="center"/>
          </w:tcPr>
          <w:p w14:paraId="7C22F34C">
            <w:pPr>
              <w:spacing w:line="38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评审标准</w:t>
            </w:r>
          </w:p>
        </w:tc>
        <w:tc>
          <w:tcPr>
            <w:tcW w:w="769" w:type="dxa"/>
            <w:noWrap/>
            <w:vAlign w:val="center"/>
          </w:tcPr>
          <w:p w14:paraId="7A443A0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分值</w:t>
            </w:r>
          </w:p>
        </w:tc>
        <w:tc>
          <w:tcPr>
            <w:tcW w:w="936" w:type="dxa"/>
            <w:noWrap/>
            <w:vAlign w:val="center"/>
          </w:tcPr>
          <w:p w14:paraId="2A5FB4C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权重</w:t>
            </w:r>
          </w:p>
        </w:tc>
      </w:tr>
      <w:tr w14:paraId="41735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vMerge w:val="restart"/>
            <w:noWrap/>
            <w:vAlign w:val="center"/>
          </w:tcPr>
          <w:p w14:paraId="7FAB73D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722" w:type="dxa"/>
            <w:vMerge w:val="restart"/>
            <w:noWrap/>
            <w:vAlign w:val="center"/>
          </w:tcPr>
          <w:p w14:paraId="5D78C2F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企业综合实力</w:t>
            </w:r>
          </w:p>
        </w:tc>
        <w:tc>
          <w:tcPr>
            <w:tcW w:w="6679" w:type="dxa"/>
            <w:noWrap/>
            <w:vAlign w:val="center"/>
          </w:tcPr>
          <w:p w14:paraId="09BFC55E">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1、评委可根据供应商所提供的相关资料，包括经营范围、口碑评价</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近三年内获得荣誉等的酌情打分。</w:t>
            </w:r>
          </w:p>
        </w:tc>
        <w:tc>
          <w:tcPr>
            <w:tcW w:w="769" w:type="dxa"/>
            <w:noWrap/>
            <w:vAlign w:val="center"/>
          </w:tcPr>
          <w:p w14:paraId="360501BE">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014012C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15%</w:t>
            </w:r>
          </w:p>
        </w:tc>
      </w:tr>
      <w:tr w14:paraId="619A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trPr>
        <w:tc>
          <w:tcPr>
            <w:tcW w:w="531" w:type="dxa"/>
            <w:vMerge w:val="continue"/>
            <w:noWrap/>
            <w:vAlign w:val="center"/>
          </w:tcPr>
          <w:p w14:paraId="32929181">
            <w:pPr>
              <w:spacing w:line="380" w:lineRule="exact"/>
              <w:rPr>
                <w:rFonts w:ascii="宋体" w:hAnsi="宋体" w:cs="宋体"/>
                <w:color w:val="000000" w:themeColor="text1"/>
                <w:sz w:val="24"/>
                <w14:textFill>
                  <w14:solidFill>
                    <w14:schemeClr w14:val="tx1"/>
                  </w14:solidFill>
                </w14:textFill>
              </w:rPr>
            </w:pPr>
          </w:p>
        </w:tc>
        <w:tc>
          <w:tcPr>
            <w:tcW w:w="722" w:type="dxa"/>
            <w:vMerge w:val="continue"/>
            <w:noWrap/>
            <w:vAlign w:val="center"/>
          </w:tcPr>
          <w:p w14:paraId="7FCC900E">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6C0AA06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2、从业人员300（含）人以上的，得100分。从业人员150（含）-250（不含）人，得80分。从业人员50（含）-</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50（不含）人，得60分。从业人员</w:t>
            </w:r>
            <w:r>
              <w:rPr>
                <w:rFonts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0人以下，得0分。要求必须提供社会保险、雇主责任险参保证明。</w:t>
            </w:r>
          </w:p>
        </w:tc>
        <w:tc>
          <w:tcPr>
            <w:tcW w:w="769" w:type="dxa"/>
            <w:noWrap/>
            <w:vAlign w:val="center"/>
          </w:tcPr>
          <w:p w14:paraId="3B886BE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23F515A1">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r>
              <w:rPr>
                <w:rFonts w:ascii="宋体" w:hAnsi="宋体" w:cs="宋体"/>
                <w:color w:val="000000" w:themeColor="text1"/>
                <w:sz w:val="24"/>
                <w14:textFill>
                  <w14:solidFill>
                    <w14:schemeClr w14:val="tx1"/>
                  </w14:solidFill>
                </w14:textFill>
              </w:rPr>
              <w:t>%</w:t>
            </w:r>
          </w:p>
        </w:tc>
      </w:tr>
      <w:tr w14:paraId="624BD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3" w:hRule="atLeast"/>
        </w:trPr>
        <w:tc>
          <w:tcPr>
            <w:tcW w:w="531" w:type="dxa"/>
            <w:vMerge w:val="continue"/>
            <w:noWrap/>
            <w:vAlign w:val="center"/>
          </w:tcPr>
          <w:p w14:paraId="64354243">
            <w:pPr>
              <w:spacing w:line="380" w:lineRule="exact"/>
              <w:rPr>
                <w:rFonts w:ascii="宋体" w:hAnsi="宋体" w:cs="宋体"/>
                <w:color w:val="000000" w:themeColor="text1"/>
                <w:sz w:val="24"/>
                <w14:textFill>
                  <w14:solidFill>
                    <w14:schemeClr w14:val="tx1"/>
                  </w14:solidFill>
                </w14:textFill>
              </w:rPr>
            </w:pPr>
          </w:p>
        </w:tc>
        <w:tc>
          <w:tcPr>
            <w:tcW w:w="722" w:type="dxa"/>
            <w:vMerge w:val="continue"/>
            <w:noWrap/>
            <w:vAlign w:val="center"/>
          </w:tcPr>
          <w:p w14:paraId="3DDD01EF">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10B190F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ascii="宋体" w:hAnsi="宋体" w:cs="宋体"/>
                <w:color w:val="000000" w:themeColor="text1"/>
                <w:spacing w:val="-14"/>
                <w:sz w:val="24"/>
                <w14:textFill>
                  <w14:solidFill>
                    <w14:schemeClr w14:val="tx1"/>
                  </w14:solidFill>
                </w14:textFill>
              </w:rPr>
              <w:t>有</w:t>
            </w:r>
            <w:r>
              <w:rPr>
                <w:rFonts w:ascii="宋体" w:hAnsi="宋体" w:cs="宋体"/>
                <w:color w:val="000000" w:themeColor="text1"/>
                <w:spacing w:val="-11"/>
                <w:sz w:val="24"/>
                <w14:textFill>
                  <w14:solidFill>
                    <w14:schemeClr w14:val="tx1"/>
                  </w14:solidFill>
                </w14:textFill>
              </w:rPr>
              <w:t>行</w:t>
            </w:r>
            <w:r>
              <w:rPr>
                <w:rFonts w:ascii="宋体" w:hAnsi="宋体" w:cs="宋体"/>
                <w:color w:val="000000" w:themeColor="text1"/>
                <w:spacing w:val="-7"/>
                <w:sz w:val="24"/>
                <w14:textFill>
                  <w14:solidFill>
                    <w14:schemeClr w14:val="tx1"/>
                  </w14:solidFill>
                </w14:textFill>
              </w:rPr>
              <w:t>车特殊作业证</w:t>
            </w:r>
            <w:r>
              <w:rPr>
                <w:rFonts w:hint="eastAsia" w:ascii="宋体" w:hAnsi="宋体" w:cs="宋体"/>
                <w:color w:val="000000" w:themeColor="text1"/>
                <w:spacing w:val="-7"/>
                <w:sz w:val="24"/>
                <w14:textFill>
                  <w14:solidFill>
                    <w14:schemeClr w14:val="tx1"/>
                  </w14:solidFill>
                </w14:textFill>
              </w:rPr>
              <w:t>，</w:t>
            </w:r>
            <w:r>
              <w:rPr>
                <w:rFonts w:hint="eastAsia"/>
                <w:color w:val="000000" w:themeColor="text1"/>
                <w:spacing w:val="-7"/>
                <w:sz w:val="24"/>
                <w14:textFill>
                  <w14:solidFill>
                    <w14:schemeClr w14:val="tx1"/>
                  </w14:solidFill>
                </w14:textFill>
              </w:rPr>
              <w:t>6</w:t>
            </w:r>
            <w:r>
              <w:rPr>
                <w:rFonts w:ascii="宋体" w:hAnsi="宋体" w:cs="宋体"/>
                <w:color w:val="000000" w:themeColor="text1"/>
                <w:spacing w:val="-7"/>
                <w:sz w:val="24"/>
                <w14:textFill>
                  <w14:solidFill>
                    <w14:schemeClr w14:val="tx1"/>
                  </w14:solidFill>
                </w14:textFill>
              </w:rPr>
              <w:t xml:space="preserve">本以上得 </w:t>
            </w:r>
            <w:r>
              <w:rPr>
                <w:rFonts w:hint="eastAsia"/>
                <w:color w:val="000000" w:themeColor="text1"/>
                <w:spacing w:val="-7"/>
                <w:sz w:val="24"/>
                <w14:textFill>
                  <w14:solidFill>
                    <w14:schemeClr w14:val="tx1"/>
                  </w14:solidFill>
                </w14:textFill>
              </w:rPr>
              <w:t>40</w:t>
            </w:r>
            <w:r>
              <w:rPr>
                <w:rFonts w:ascii="宋体" w:hAnsi="宋体" w:cs="宋体"/>
                <w:color w:val="000000" w:themeColor="text1"/>
                <w:spacing w:val="-7"/>
                <w:sz w:val="24"/>
                <w14:textFill>
                  <w14:solidFill>
                    <w14:schemeClr w14:val="tx1"/>
                  </w14:solidFill>
                </w14:textFill>
              </w:rPr>
              <w:t xml:space="preserve">分，每增 </w:t>
            </w:r>
            <w:r>
              <w:rPr>
                <w:rFonts w:eastAsia="Times New Roman"/>
                <w:color w:val="000000" w:themeColor="text1"/>
                <w:spacing w:val="-7"/>
                <w:sz w:val="24"/>
                <w14:textFill>
                  <w14:solidFill>
                    <w14:schemeClr w14:val="tx1"/>
                  </w14:solidFill>
                </w14:textFill>
              </w:rPr>
              <w:t xml:space="preserve">2 </w:t>
            </w:r>
            <w:r>
              <w:rPr>
                <w:rFonts w:ascii="宋体" w:hAnsi="宋体" w:cs="宋体"/>
                <w:color w:val="000000" w:themeColor="text1"/>
                <w:spacing w:val="-7"/>
                <w:sz w:val="24"/>
                <w14:textFill>
                  <w14:solidFill>
                    <w14:schemeClr w14:val="tx1"/>
                  </w14:solidFill>
                </w14:textFill>
              </w:rPr>
              <w:t xml:space="preserve">本加 </w:t>
            </w:r>
            <w:r>
              <w:rPr>
                <w:rFonts w:eastAsia="Times New Roman"/>
                <w:color w:val="000000" w:themeColor="text1"/>
                <w:spacing w:val="-7"/>
                <w:sz w:val="24"/>
                <w14:textFill>
                  <w14:solidFill>
                    <w14:schemeClr w14:val="tx1"/>
                  </w14:solidFill>
                </w14:textFill>
              </w:rPr>
              <w:t>1</w:t>
            </w:r>
            <w:r>
              <w:rPr>
                <w:rFonts w:hint="eastAsia"/>
                <w:color w:val="000000" w:themeColor="text1"/>
                <w:spacing w:val="-7"/>
                <w:sz w:val="24"/>
                <w14:textFill>
                  <w14:solidFill>
                    <w14:schemeClr w14:val="tx1"/>
                  </w14:solidFill>
                </w14:textFill>
              </w:rPr>
              <w:t>0</w:t>
            </w:r>
            <w:r>
              <w:rPr>
                <w:rFonts w:eastAsia="Times New Roman"/>
                <w:color w:val="000000" w:themeColor="text1"/>
                <w:spacing w:val="-7"/>
                <w:sz w:val="24"/>
                <w14:textFill>
                  <w14:solidFill>
                    <w14:schemeClr w14:val="tx1"/>
                  </w14:solidFill>
                </w14:textFill>
              </w:rPr>
              <w:t xml:space="preserve"> </w:t>
            </w:r>
            <w:r>
              <w:rPr>
                <w:rFonts w:ascii="宋体" w:hAnsi="宋体" w:cs="宋体"/>
                <w:color w:val="000000" w:themeColor="text1"/>
                <w:spacing w:val="-7"/>
                <w:sz w:val="24"/>
                <w14:textFill>
                  <w14:solidFill>
                    <w14:schemeClr w14:val="tx1"/>
                  </w14:solidFill>
                </w14:textFill>
              </w:rPr>
              <w:t xml:space="preserve">分，最高 </w:t>
            </w:r>
            <w:r>
              <w:rPr>
                <w:rFonts w:hint="eastAsia"/>
                <w:color w:val="000000" w:themeColor="text1"/>
                <w:spacing w:val="-7"/>
                <w:sz w:val="24"/>
                <w14:textFill>
                  <w14:solidFill>
                    <w14:schemeClr w14:val="tx1"/>
                  </w14:solidFill>
                </w14:textFill>
              </w:rPr>
              <w:t>60</w:t>
            </w:r>
            <w:r>
              <w:rPr>
                <w:rFonts w:ascii="宋体" w:hAnsi="宋体" w:cs="宋体"/>
                <w:color w:val="000000" w:themeColor="text1"/>
                <w:spacing w:val="-7"/>
                <w:sz w:val="24"/>
                <w14:textFill>
                  <w14:solidFill>
                    <w14:schemeClr w14:val="tx1"/>
                  </w14:solidFill>
                </w14:textFill>
              </w:rPr>
              <w:t>分。</w:t>
            </w:r>
            <w:r>
              <w:rPr>
                <w:rFonts w:ascii="宋体" w:hAnsi="宋体" w:cs="宋体"/>
                <w:color w:val="000000" w:themeColor="text1"/>
                <w:spacing w:val="-8"/>
                <w:sz w:val="24"/>
                <w14:textFill>
                  <w14:solidFill>
                    <w14:schemeClr w14:val="tx1"/>
                  </w14:solidFill>
                </w14:textFill>
              </w:rPr>
              <w:t>自</w:t>
            </w:r>
            <w:r>
              <w:rPr>
                <w:rFonts w:ascii="宋体" w:hAnsi="宋体" w:cs="宋体"/>
                <w:color w:val="000000" w:themeColor="text1"/>
                <w:spacing w:val="-7"/>
                <w:sz w:val="24"/>
                <w14:textFill>
                  <w14:solidFill>
                    <w14:schemeClr w14:val="tx1"/>
                  </w14:solidFill>
                </w14:textFill>
              </w:rPr>
              <w:t xml:space="preserve">有装载机、挖机，每台得 </w:t>
            </w:r>
            <w:r>
              <w:rPr>
                <w:rFonts w:hint="eastAsia"/>
                <w:color w:val="000000" w:themeColor="text1"/>
                <w:spacing w:val="-7"/>
                <w:sz w:val="24"/>
                <w14:textFill>
                  <w14:solidFill>
                    <w14:schemeClr w14:val="tx1"/>
                  </w14:solidFill>
                </w14:textFill>
              </w:rPr>
              <w:t>10</w:t>
            </w:r>
            <w:r>
              <w:rPr>
                <w:rFonts w:ascii="宋体" w:hAnsi="宋体" w:cs="宋体"/>
                <w:color w:val="000000" w:themeColor="text1"/>
                <w:spacing w:val="-7"/>
                <w:sz w:val="24"/>
                <w14:textFill>
                  <w14:solidFill>
                    <w14:schemeClr w14:val="tx1"/>
                  </w14:solidFill>
                </w14:textFill>
              </w:rPr>
              <w:t>分，最高</w:t>
            </w:r>
            <w:r>
              <w:rPr>
                <w:rFonts w:hint="eastAsia" w:ascii="宋体" w:hAnsi="宋体" w:cs="宋体"/>
                <w:color w:val="000000" w:themeColor="text1"/>
                <w:spacing w:val="-7"/>
                <w:sz w:val="24"/>
                <w14:textFill>
                  <w14:solidFill>
                    <w14:schemeClr w14:val="tx1"/>
                  </w14:solidFill>
                </w14:textFill>
              </w:rPr>
              <w:t>40</w:t>
            </w:r>
            <w:r>
              <w:rPr>
                <w:rFonts w:ascii="宋体" w:hAnsi="宋体" w:cs="宋体"/>
                <w:color w:val="000000" w:themeColor="text1"/>
                <w:spacing w:val="-7"/>
                <w:sz w:val="24"/>
                <w14:textFill>
                  <w14:solidFill>
                    <w14:schemeClr w14:val="tx1"/>
                  </w14:solidFill>
                </w14:textFill>
              </w:rPr>
              <w:t>分。</w:t>
            </w:r>
          </w:p>
        </w:tc>
        <w:tc>
          <w:tcPr>
            <w:tcW w:w="769" w:type="dxa"/>
            <w:noWrap/>
            <w:vAlign w:val="center"/>
          </w:tcPr>
          <w:p w14:paraId="36CC31E8">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1147BC0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w:t>
            </w:r>
          </w:p>
        </w:tc>
      </w:tr>
      <w:tr w14:paraId="381A9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vMerge w:val="continue"/>
            <w:noWrap/>
            <w:vAlign w:val="center"/>
          </w:tcPr>
          <w:p w14:paraId="337DAA45">
            <w:pPr>
              <w:spacing w:line="380" w:lineRule="exact"/>
              <w:rPr>
                <w:rFonts w:ascii="宋体" w:hAnsi="宋体" w:cs="宋体"/>
                <w:color w:val="000000" w:themeColor="text1"/>
                <w:sz w:val="24"/>
                <w14:textFill>
                  <w14:solidFill>
                    <w14:schemeClr w14:val="tx1"/>
                  </w14:solidFill>
                </w14:textFill>
              </w:rPr>
            </w:pPr>
          </w:p>
        </w:tc>
        <w:tc>
          <w:tcPr>
            <w:tcW w:w="722" w:type="dxa"/>
            <w:vMerge w:val="continue"/>
            <w:noWrap/>
            <w:vAlign w:val="center"/>
          </w:tcPr>
          <w:p w14:paraId="65A4930B">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1FA57D2D">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4、招聘能力，根据自主招聘和及时全面完成用人单位需求能力综合评分（提供相关依据）。</w:t>
            </w:r>
          </w:p>
        </w:tc>
        <w:tc>
          <w:tcPr>
            <w:tcW w:w="769" w:type="dxa"/>
            <w:noWrap/>
            <w:vAlign w:val="center"/>
          </w:tcPr>
          <w:p w14:paraId="60E63A3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319589D0">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r>
              <w:rPr>
                <w:rFonts w:ascii="宋体" w:hAnsi="宋体" w:cs="宋体"/>
                <w:color w:val="000000" w:themeColor="text1"/>
                <w:sz w:val="24"/>
                <w14:textFill>
                  <w14:solidFill>
                    <w14:schemeClr w14:val="tx1"/>
                  </w14:solidFill>
                </w14:textFill>
              </w:rPr>
              <w:t>%</w:t>
            </w:r>
          </w:p>
        </w:tc>
      </w:tr>
      <w:tr w14:paraId="712E6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7" w:hRule="atLeast"/>
        </w:trPr>
        <w:tc>
          <w:tcPr>
            <w:tcW w:w="531" w:type="dxa"/>
            <w:noWrap/>
            <w:vAlign w:val="center"/>
          </w:tcPr>
          <w:p w14:paraId="4621CED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722" w:type="dxa"/>
            <w:noWrap/>
            <w:vAlign w:val="center"/>
          </w:tcPr>
          <w:p w14:paraId="3A3DBA24">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投标人业绩及资源配置</w:t>
            </w:r>
          </w:p>
          <w:p w14:paraId="12B65C9C">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26870CE6">
            <w:pPr>
              <w:rPr>
                <w:color w:val="000000" w:themeColor="text1"/>
                <w:sz w:val="22"/>
                <w:szCs w:val="28"/>
                <w14:textFill>
                  <w14:solidFill>
                    <w14:schemeClr w14:val="tx1"/>
                  </w14:solidFill>
                </w14:textFill>
              </w:rPr>
            </w:pPr>
            <w:r>
              <w:rPr>
                <w:rFonts w:hint="eastAsia"/>
                <w:color w:val="000000" w:themeColor="text1"/>
                <w:sz w:val="22"/>
                <w:szCs w:val="28"/>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投标人2022年1月1日之后，同类化工企业</w:t>
            </w:r>
            <w:r>
              <w:rPr>
                <w:rFonts w:hint="eastAsia" w:ascii="宋体" w:cs="宋体"/>
                <w:color w:val="000000" w:themeColor="text1"/>
                <w:sz w:val="24"/>
                <w14:textFill>
                  <w14:solidFill>
                    <w14:schemeClr w14:val="tx1"/>
                  </w14:solidFill>
                </w14:textFill>
              </w:rPr>
              <w:t>劳务外包服务项目</w:t>
            </w:r>
            <w:r>
              <w:rPr>
                <w:rFonts w:hint="eastAsia" w:ascii="宋体" w:hAnsi="宋体" w:cs="宋体"/>
                <w:color w:val="000000" w:themeColor="text1"/>
                <w:sz w:val="24"/>
                <w14:textFill>
                  <w14:solidFill>
                    <w14:schemeClr w14:val="tx1"/>
                  </w14:solidFill>
                </w14:textFill>
              </w:rPr>
              <w:t>：</w:t>
            </w:r>
            <w:r>
              <w:rPr>
                <w:rFonts w:hint="eastAsia"/>
                <w:color w:val="000000" w:themeColor="text1"/>
                <w:sz w:val="22"/>
                <w:szCs w:val="28"/>
                <w14:textFill>
                  <w14:solidFill>
                    <w14:schemeClr w14:val="tx1"/>
                  </w14:solidFill>
                </w14:textFill>
              </w:rPr>
              <w:t>劳务外包相关业绩合同5份（含）以上的，得100分。劳务外包相关业绩合同3份（含）-5份的，得70分。3份以下的，得20分。同一家</w:t>
            </w:r>
            <w:r>
              <w:rPr>
                <w:color w:val="000000" w:themeColor="text1"/>
                <w:sz w:val="22"/>
                <w:szCs w:val="28"/>
                <w14:textFill>
                  <w14:solidFill>
                    <w14:schemeClr w14:val="tx1"/>
                  </w14:solidFill>
                </w14:textFill>
              </w:rPr>
              <w:t>化工企业</w:t>
            </w:r>
            <w:r>
              <w:rPr>
                <w:rFonts w:hint="eastAsia"/>
                <w:color w:val="000000" w:themeColor="text1"/>
                <w:sz w:val="22"/>
                <w:szCs w:val="28"/>
                <w14:textFill>
                  <w14:solidFill>
                    <w14:schemeClr w14:val="tx1"/>
                  </w14:solidFill>
                </w14:textFill>
              </w:rPr>
              <w:t>同一种类型劳务外包的合同不重复得分。</w:t>
            </w:r>
          </w:p>
          <w:p w14:paraId="20E6AF9F">
            <w:pPr>
              <w:spacing w:line="380" w:lineRule="exact"/>
              <w:rPr>
                <w:color w:val="000000" w:themeColor="text1"/>
                <w14:textFill>
                  <w14:solidFill>
                    <w14:schemeClr w14:val="tx1"/>
                  </w14:solidFill>
                </w14:textFill>
              </w:rPr>
            </w:pPr>
            <w:r>
              <w:rPr>
                <w:rFonts w:hint="eastAsia"/>
                <w:color w:val="000000" w:themeColor="text1"/>
                <w:sz w:val="22"/>
                <w:szCs w:val="28"/>
                <w14:textFill>
                  <w14:solidFill>
                    <w14:schemeClr w14:val="tx1"/>
                  </w14:solidFill>
                </w14:textFill>
              </w:rPr>
              <w:t>上述业绩以投标人合同案例以提供的合同为准，要求必须提供与最终用户签订的合同首页、合同完整金额所在页、签字盖章页及相关证明页，投标文件中提供彩色扫描件。如合同不能体现项目性质，提供业主单位证书并加盖业主单位公司章）。</w:t>
            </w:r>
          </w:p>
        </w:tc>
        <w:tc>
          <w:tcPr>
            <w:tcW w:w="769" w:type="dxa"/>
            <w:noWrap/>
            <w:vAlign w:val="center"/>
          </w:tcPr>
          <w:p w14:paraId="39F3D7CA">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7D5C3F19">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p>
        </w:tc>
      </w:tr>
      <w:tr w14:paraId="3514C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2" w:hRule="atLeast"/>
        </w:trPr>
        <w:tc>
          <w:tcPr>
            <w:tcW w:w="531" w:type="dxa"/>
            <w:noWrap/>
            <w:vAlign w:val="center"/>
          </w:tcPr>
          <w:p w14:paraId="4FDD771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722" w:type="dxa"/>
            <w:noWrap/>
            <w:vAlign w:val="center"/>
          </w:tcPr>
          <w:p w14:paraId="22E3BD37">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服务承诺和响应（包括工作场所、服务人员、响应时间等）</w:t>
            </w:r>
          </w:p>
        </w:tc>
        <w:tc>
          <w:tcPr>
            <w:tcW w:w="6679" w:type="dxa"/>
            <w:noWrap/>
            <w:vAlign w:val="center"/>
          </w:tcPr>
          <w:p w14:paraId="0F3A4057">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服务承诺和响应</w:t>
            </w:r>
          </w:p>
          <w:p w14:paraId="55CF3F8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1、承诺在接到用户服务要求时为需方提供及时响应服务的。由评委专家根据各供应商提供的响应服务承诺进行酌情打分（0-30分）。</w:t>
            </w:r>
          </w:p>
          <w:p w14:paraId="54C6C90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2、承诺在合作期内对本项目从签订服务合同之日起提供两年优质服务的。由评委对各投标人提供材料的实际情况进行比较并横向综合打分。（0-20分）。</w:t>
            </w:r>
          </w:p>
          <w:p w14:paraId="4FEF2770">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3、承诺所供服务在质保期内因人员服务质量问题投标单位负责更换服务人员、承诺拟派人员未经采购单位同意中途不得更换人员的，得30分，不承诺的不得分；</w:t>
            </w:r>
          </w:p>
          <w:p w14:paraId="5B9C5BC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为保障本项目售后服务的实施顺利进行，要求投标单位必须在本项目执行地具有固定办公营业场所。（要求投标单位提供固定办公场所的房屋所有权证或满足本项目服务期限要求的租赁合同及相关人员的姓名、固定联系电话等）。提供资料不全或不完善将视为投标单位无固定营业场所不得此分，以上资料要求投标单位在投标文件内提供加盖单位公章的复印件。（0-20分）。</w:t>
            </w:r>
          </w:p>
        </w:tc>
        <w:tc>
          <w:tcPr>
            <w:tcW w:w="769" w:type="dxa"/>
            <w:noWrap/>
            <w:vAlign w:val="center"/>
          </w:tcPr>
          <w:p w14:paraId="30B79DAB">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5F8DFEE7">
            <w:pPr>
              <w:spacing w:line="380" w:lineRule="exact"/>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0%</w:t>
            </w:r>
          </w:p>
          <w:p w14:paraId="255B8F9D">
            <w:pPr>
              <w:spacing w:line="380" w:lineRule="exact"/>
              <w:rPr>
                <w:rFonts w:ascii="宋体" w:hAnsi="宋体" w:cs="宋体"/>
                <w:color w:val="000000" w:themeColor="text1"/>
                <w:sz w:val="24"/>
                <w14:textFill>
                  <w14:solidFill>
                    <w14:schemeClr w14:val="tx1"/>
                  </w14:solidFill>
                </w14:textFill>
              </w:rPr>
            </w:pPr>
          </w:p>
        </w:tc>
      </w:tr>
      <w:tr w14:paraId="208D2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restart"/>
            <w:noWrap/>
            <w:vAlign w:val="center"/>
          </w:tcPr>
          <w:p w14:paraId="5A6D40BB">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722" w:type="dxa"/>
            <w:vMerge w:val="restart"/>
            <w:noWrap/>
            <w:vAlign w:val="center"/>
          </w:tcPr>
          <w:p w14:paraId="5D6F7E1C">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服务实施方案</w:t>
            </w:r>
          </w:p>
        </w:tc>
        <w:tc>
          <w:tcPr>
            <w:tcW w:w="6679" w:type="dxa"/>
            <w:noWrap/>
            <w:vAlign w:val="center"/>
          </w:tcPr>
          <w:p w14:paraId="1910729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1、对突发事件的应急方案及措施的合理性、可预见性、科学性及可行性，由评委专家根据各投标人提供的方案进行综合评分</w:t>
            </w:r>
          </w:p>
        </w:tc>
        <w:tc>
          <w:tcPr>
            <w:tcW w:w="769" w:type="dxa"/>
            <w:noWrap/>
            <w:vAlign w:val="center"/>
          </w:tcPr>
          <w:p w14:paraId="00F798E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1F626355">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r>
      <w:tr w14:paraId="0AD61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continue"/>
            <w:noWrap/>
            <w:vAlign w:val="center"/>
          </w:tcPr>
          <w:p w14:paraId="41746AF8">
            <w:pPr>
              <w:spacing w:line="380" w:lineRule="exact"/>
              <w:rPr>
                <w:rFonts w:ascii="宋体" w:hAnsi="宋体" w:cs="宋体"/>
                <w:color w:val="000000" w:themeColor="text1"/>
                <w:sz w:val="24"/>
                <w14:textFill>
                  <w14:solidFill>
                    <w14:schemeClr w14:val="tx1"/>
                  </w14:solidFill>
                </w14:textFill>
              </w:rPr>
            </w:pPr>
          </w:p>
        </w:tc>
        <w:tc>
          <w:tcPr>
            <w:tcW w:w="722" w:type="dxa"/>
            <w:vMerge w:val="continue"/>
            <w:noWrap/>
            <w:vAlign w:val="center"/>
          </w:tcPr>
          <w:p w14:paraId="1BC11EA6">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0E7B8B38">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2、有健全的管理制度和管理网络，岗位责任明确。由评委对各投标人提供材料的实际情况进行比较并横向综合打分</w:t>
            </w:r>
          </w:p>
        </w:tc>
        <w:tc>
          <w:tcPr>
            <w:tcW w:w="769" w:type="dxa"/>
            <w:noWrap/>
            <w:vAlign w:val="center"/>
          </w:tcPr>
          <w:p w14:paraId="6E01984F">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1466B786">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r>
      <w:tr w14:paraId="3FC33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531" w:type="dxa"/>
            <w:vMerge w:val="continue"/>
            <w:noWrap/>
            <w:vAlign w:val="center"/>
          </w:tcPr>
          <w:p w14:paraId="14BFD91C">
            <w:pPr>
              <w:spacing w:line="380" w:lineRule="exact"/>
              <w:rPr>
                <w:rFonts w:ascii="宋体" w:hAnsi="宋体" w:cs="宋体"/>
                <w:color w:val="000000" w:themeColor="text1"/>
                <w:sz w:val="24"/>
                <w14:textFill>
                  <w14:solidFill>
                    <w14:schemeClr w14:val="tx1"/>
                  </w14:solidFill>
                </w14:textFill>
              </w:rPr>
            </w:pPr>
          </w:p>
        </w:tc>
        <w:tc>
          <w:tcPr>
            <w:tcW w:w="722" w:type="dxa"/>
            <w:vMerge w:val="continue"/>
            <w:noWrap/>
            <w:vAlign w:val="center"/>
          </w:tcPr>
          <w:p w14:paraId="148044D6">
            <w:pPr>
              <w:spacing w:line="380" w:lineRule="exact"/>
              <w:rPr>
                <w:rFonts w:ascii="宋体" w:hAnsi="宋体" w:cs="宋体"/>
                <w:color w:val="000000" w:themeColor="text1"/>
                <w:sz w:val="24"/>
                <w14:textFill>
                  <w14:solidFill>
                    <w14:schemeClr w14:val="tx1"/>
                  </w14:solidFill>
                </w14:textFill>
              </w:rPr>
            </w:pPr>
          </w:p>
        </w:tc>
        <w:tc>
          <w:tcPr>
            <w:tcW w:w="6679" w:type="dxa"/>
            <w:noWrap/>
            <w:vAlign w:val="center"/>
          </w:tcPr>
          <w:p w14:paraId="08B634F7">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3、制定安全检查计划，负责每天检查工作设备设施等由评委进行横向打分</w:t>
            </w:r>
          </w:p>
        </w:tc>
        <w:tc>
          <w:tcPr>
            <w:tcW w:w="769" w:type="dxa"/>
            <w:noWrap/>
            <w:vAlign w:val="center"/>
          </w:tcPr>
          <w:p w14:paraId="4779FE82">
            <w:pPr>
              <w:spacing w:line="38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0-100分</w:t>
            </w:r>
          </w:p>
        </w:tc>
        <w:tc>
          <w:tcPr>
            <w:tcW w:w="936" w:type="dxa"/>
            <w:noWrap/>
            <w:vAlign w:val="center"/>
          </w:tcPr>
          <w:p w14:paraId="5DD24A9D">
            <w:pPr>
              <w:spacing w:line="380" w:lineRule="exact"/>
              <w:rPr>
                <w:rFonts w:ascii="宋体" w:hAnsi="宋体" w:cs="宋体"/>
                <w:color w:val="FF0000"/>
                <w:sz w:val="24"/>
              </w:rPr>
            </w:pPr>
            <w:r>
              <w:rPr>
                <w:rFonts w:hint="eastAsia" w:ascii="宋体" w:hAnsi="宋体" w:cs="宋体"/>
                <w:color w:val="000000" w:themeColor="text1"/>
                <w:sz w:val="24"/>
                <w14:textFill>
                  <w14:solidFill>
                    <w14:schemeClr w14:val="tx1"/>
                  </w14:solidFill>
                </w14:textFill>
              </w:rPr>
              <w:t>5%</w:t>
            </w:r>
          </w:p>
        </w:tc>
      </w:tr>
    </w:tbl>
    <w:p w14:paraId="3AC34CA0">
      <w:pPr>
        <w:spacing w:line="430" w:lineRule="exact"/>
        <w:ind w:left="420"/>
        <w:rPr>
          <w:rFonts w:ascii="宋体" w:hAnsi="宋体" w:cs="宋体"/>
          <w:sz w:val="24"/>
        </w:rPr>
      </w:pPr>
    </w:p>
    <w:p w14:paraId="12DF7F1E">
      <w:pPr>
        <w:spacing w:line="430" w:lineRule="exact"/>
        <w:ind w:left="420"/>
        <w:rPr>
          <w:rFonts w:ascii="宋体" w:hAnsi="宋体" w:cs="宋体"/>
          <w:sz w:val="24"/>
        </w:rPr>
      </w:pPr>
    </w:p>
    <w:p w14:paraId="1A345608">
      <w:pPr>
        <w:spacing w:line="430" w:lineRule="exact"/>
        <w:ind w:left="420"/>
        <w:rPr>
          <w:rFonts w:ascii="宋体" w:hAnsi="宋体" w:cs="宋体"/>
          <w:sz w:val="24"/>
        </w:rPr>
      </w:pPr>
      <w:r>
        <w:rPr>
          <w:rFonts w:hint="eastAsia" w:ascii="宋体" w:hAnsi="宋体" w:cs="宋体"/>
          <w:sz w:val="24"/>
        </w:rPr>
        <w:t>（二）商务经济文件得分</w:t>
      </w:r>
      <w:r>
        <w:rPr>
          <w:rFonts w:hint="eastAsia" w:ascii="宋体" w:hAnsi="宋体" w:cs="宋体"/>
          <w:b/>
          <w:bCs/>
          <w:sz w:val="24"/>
        </w:rPr>
        <w:t>（占总分权重的80%）</w:t>
      </w:r>
    </w:p>
    <w:p w14:paraId="51DD71C9">
      <w:pPr>
        <w:adjustRightInd w:val="0"/>
        <w:snapToGrid w:val="0"/>
        <w:spacing w:line="360" w:lineRule="auto"/>
        <w:ind w:firstLine="480" w:firstLineChars="200"/>
        <w:rPr>
          <w:rFonts w:ascii="宋体" w:cs="宋体"/>
          <w:sz w:val="24"/>
        </w:rPr>
      </w:pPr>
      <w:r>
        <w:rPr>
          <w:rFonts w:hint="eastAsia" w:ascii="宋体" w:hAnsi="宋体" w:cs="宋体"/>
          <w:sz w:val="24"/>
        </w:rPr>
        <w:t>1.最低报价：</w:t>
      </w:r>
    </w:p>
    <w:p w14:paraId="050C5377">
      <w:pPr>
        <w:spacing w:line="360" w:lineRule="auto"/>
        <w:ind w:firstLine="480" w:firstLineChars="200"/>
        <w:rPr>
          <w:rFonts w:ascii="宋体" w:cs="宋体"/>
          <w:sz w:val="24"/>
        </w:rPr>
      </w:pPr>
      <w:r>
        <w:rPr>
          <w:rFonts w:hint="eastAsia" w:ascii="宋体" w:cs="宋体"/>
          <w:sz w:val="24"/>
        </w:rPr>
        <w:t>(1)所有有效投标人的最低报价为最佳报价；</w:t>
      </w:r>
    </w:p>
    <w:p w14:paraId="5C4E5707">
      <w:pPr>
        <w:spacing w:line="360" w:lineRule="auto"/>
        <w:ind w:firstLine="480" w:firstLineChars="200"/>
        <w:rPr>
          <w:rFonts w:ascii="宋体" w:cs="宋体"/>
          <w:sz w:val="24"/>
        </w:rPr>
      </w:pPr>
      <w:r>
        <w:rPr>
          <w:rFonts w:hint="eastAsia" w:ascii="宋体" w:cs="宋体"/>
          <w:sz w:val="24"/>
        </w:rPr>
        <w:t>(2)当最低报价低于风险控制价时，最佳报价等于风险控制价。</w:t>
      </w:r>
    </w:p>
    <w:p w14:paraId="00139582">
      <w:pPr>
        <w:adjustRightInd w:val="0"/>
        <w:snapToGrid w:val="0"/>
        <w:spacing w:line="360" w:lineRule="auto"/>
        <w:ind w:firstLine="480" w:firstLineChars="200"/>
        <w:rPr>
          <w:rFonts w:ascii="宋体" w:cs="宋体"/>
          <w:sz w:val="24"/>
        </w:rPr>
      </w:pPr>
      <w:r>
        <w:rPr>
          <w:rFonts w:hint="eastAsia" w:ascii="宋体" w:hAnsi="宋体" w:cs="宋体"/>
          <w:sz w:val="24"/>
        </w:rPr>
        <w:t>2.价格得分：</w:t>
      </w:r>
    </w:p>
    <w:p w14:paraId="00838F1A">
      <w:pPr>
        <w:spacing w:line="360" w:lineRule="auto"/>
        <w:ind w:firstLine="480" w:firstLineChars="200"/>
        <w:rPr>
          <w:rFonts w:ascii="宋体" w:cs="宋体"/>
          <w:sz w:val="24"/>
        </w:rPr>
      </w:pPr>
      <w:r>
        <w:rPr>
          <w:rFonts w:hint="eastAsia" w:ascii="宋体" w:cs="宋体"/>
          <w:sz w:val="24"/>
        </w:rPr>
        <w:t>(1)投标人的最终报价与最佳报价相比，每上升一个百分点扣1分。</w:t>
      </w:r>
    </w:p>
    <w:p w14:paraId="4B19283C">
      <w:pPr>
        <w:spacing w:line="360" w:lineRule="auto"/>
        <w:ind w:firstLine="480" w:firstLineChars="200"/>
        <w:rPr>
          <w:rFonts w:ascii="宋体" w:cs="宋体"/>
          <w:sz w:val="24"/>
        </w:rPr>
      </w:pPr>
      <w:r>
        <w:rPr>
          <w:rFonts w:hint="eastAsia" w:ascii="宋体" w:cs="宋体"/>
          <w:sz w:val="24"/>
        </w:rPr>
        <w:t>(2)当投标报价低于风险控制价时，每低于风险控制价一个百分点扣10分。</w:t>
      </w:r>
    </w:p>
    <w:p w14:paraId="722D24CB">
      <w:pPr>
        <w:spacing w:line="360" w:lineRule="auto"/>
        <w:ind w:firstLine="240" w:firstLineChars="100"/>
        <w:rPr>
          <w:rFonts w:ascii="宋体" w:cs="宋体"/>
          <w:sz w:val="24"/>
        </w:rPr>
      </w:pPr>
      <w:r>
        <w:rPr>
          <w:rFonts w:hint="eastAsia" w:ascii="宋体" w:cs="宋体"/>
          <w:sz w:val="24"/>
        </w:rPr>
        <w:t>注：以上报价评分不足一个百分点时，使用直线插入法计算，保留小数2位。</w:t>
      </w:r>
    </w:p>
    <w:p w14:paraId="6ABAAA68">
      <w:pPr>
        <w:spacing w:line="360" w:lineRule="auto"/>
        <w:ind w:firstLine="240" w:firstLineChars="100"/>
        <w:rPr>
          <w:rFonts w:ascii="宋体" w:cs="宋体"/>
          <w:sz w:val="24"/>
        </w:rPr>
      </w:pPr>
      <w:r>
        <w:rPr>
          <w:rFonts w:hint="eastAsia" w:ascii="宋体" w:hAnsi="宋体" w:cs="宋体"/>
          <w:sz w:val="24"/>
        </w:rPr>
        <w:t>★ 投标报价高于最高限价的，其投标文件作否决处理。</w:t>
      </w:r>
    </w:p>
    <w:p w14:paraId="234D57C5">
      <w:pPr>
        <w:pStyle w:val="20"/>
        <w:spacing w:line="360" w:lineRule="auto"/>
        <w:ind w:firstLine="346" w:firstLineChars="165"/>
      </w:pPr>
      <w:r>
        <w:rPr>
          <w:rFonts w:hint="eastAsia" w:cs="宋体"/>
          <w:sz w:val="21"/>
          <w:szCs w:val="21"/>
        </w:rPr>
        <w:t>注：最佳评标价由评标委员会依据招标文件规定的方法计算确定，除计算差错外，在整个招标过程中保持不变。最佳评标价四舍五入最多保留一位小数（如XX.X%）</w:t>
      </w:r>
    </w:p>
    <w:p w14:paraId="6E7DEAAF"/>
    <w:p w14:paraId="6DA488E2">
      <w:pPr>
        <w:snapToGrid w:val="0"/>
        <w:spacing w:line="360" w:lineRule="auto"/>
        <w:ind w:left="426"/>
        <w:jc w:val="left"/>
        <w:outlineLvl w:val="1"/>
        <w:rPr>
          <w:rFonts w:ascii="宋体" w:hAnsi="宋体"/>
          <w:b/>
          <w:sz w:val="28"/>
          <w:szCs w:val="28"/>
        </w:rPr>
      </w:pPr>
      <w:r>
        <w:rPr>
          <w:rFonts w:hint="eastAsia" w:ascii="宋体" w:hAnsi="宋体"/>
          <w:b/>
          <w:sz w:val="28"/>
          <w:szCs w:val="28"/>
        </w:rPr>
        <w:t>六、 投标文件的澄清和补正</w:t>
      </w:r>
    </w:p>
    <w:p w14:paraId="31740189">
      <w:pPr>
        <w:spacing w:line="360" w:lineRule="auto"/>
        <w:ind w:firstLine="240" w:firstLineChars="100"/>
        <w:rPr>
          <w:rFonts w:ascii="宋体" w:hAnsi="宋体" w:cs="宋体"/>
          <w:sz w:val="24"/>
        </w:rPr>
      </w:pPr>
      <w:r>
        <w:rPr>
          <w:rFonts w:hint="eastAsia" w:ascii="宋体" w:hAnsi="宋体" w:cs="宋体"/>
          <w:sz w:val="24"/>
        </w:rPr>
        <w:t>1、在评标过程中，评标委员会可以书面形式要求投标人对所提交的投标文件中不明确的内容进行书面澄清或说明，或者对细微偏差进行补正。评标委员会不接受投标人主动提出的澄清、说明或补正。</w:t>
      </w:r>
    </w:p>
    <w:p w14:paraId="5F228C2C">
      <w:pPr>
        <w:spacing w:line="360" w:lineRule="auto"/>
        <w:ind w:firstLine="240" w:firstLineChars="100"/>
        <w:rPr>
          <w:rFonts w:ascii="宋体" w:hAnsi="宋体" w:cs="宋体"/>
          <w:sz w:val="24"/>
        </w:rPr>
      </w:pPr>
      <w:r>
        <w:rPr>
          <w:rFonts w:hint="eastAsia" w:ascii="宋体" w:hAnsi="宋体" w:cs="宋体"/>
          <w:sz w:val="24"/>
        </w:rPr>
        <w:t>2、澄清、说明和补正不得改变投标文件的实质性内容（算术性错误修正的除外）。投标人的书面澄清、说明和补正属于投标文件的组成部分。</w:t>
      </w:r>
    </w:p>
    <w:p w14:paraId="1D4A6337">
      <w:pPr>
        <w:spacing w:line="360" w:lineRule="auto"/>
        <w:ind w:firstLine="240" w:firstLineChars="100"/>
        <w:rPr>
          <w:rFonts w:ascii="宋体" w:hAnsi="宋体" w:cs="宋体"/>
          <w:sz w:val="24"/>
        </w:rPr>
      </w:pPr>
      <w:r>
        <w:rPr>
          <w:rFonts w:hint="eastAsia" w:ascii="宋体" w:hAnsi="宋体" w:cs="宋体"/>
          <w:sz w:val="24"/>
        </w:rPr>
        <w:t>3、 评标委员会对投标人提交的澄清、说明或补正有疑问的，可以要求投标人进一步澄清、说明或补正，直至满足评标委员会的要求。</w:t>
      </w:r>
    </w:p>
    <w:p w14:paraId="5ED4B8C8">
      <w:pPr>
        <w:snapToGrid w:val="0"/>
        <w:spacing w:line="360" w:lineRule="auto"/>
        <w:ind w:left="426"/>
        <w:jc w:val="left"/>
        <w:outlineLvl w:val="1"/>
        <w:rPr>
          <w:rFonts w:ascii="宋体" w:hAnsi="宋体"/>
          <w:b/>
          <w:sz w:val="28"/>
          <w:szCs w:val="28"/>
        </w:rPr>
      </w:pPr>
      <w:r>
        <w:rPr>
          <w:rFonts w:hint="eastAsia" w:ascii="宋体" w:hAnsi="宋体"/>
          <w:b/>
          <w:sz w:val="28"/>
          <w:szCs w:val="28"/>
        </w:rPr>
        <w:t>七、 评标结果</w:t>
      </w:r>
    </w:p>
    <w:p w14:paraId="0E4056E0">
      <w:pPr>
        <w:spacing w:line="360" w:lineRule="auto"/>
        <w:ind w:firstLine="240" w:firstLineChars="100"/>
        <w:rPr>
          <w:rFonts w:ascii="宋体" w:hAnsi="宋体" w:cs="宋体"/>
          <w:sz w:val="24"/>
        </w:rPr>
      </w:pPr>
      <w:r>
        <w:rPr>
          <w:rFonts w:hint="eastAsia" w:ascii="宋体" w:hAnsi="宋体" w:cs="宋体"/>
          <w:sz w:val="24"/>
        </w:rPr>
        <w:t>1、本项目合同签署价格为中标单位的最低报价。</w:t>
      </w:r>
    </w:p>
    <w:p w14:paraId="4F1ECE1B">
      <w:pPr>
        <w:spacing w:line="360" w:lineRule="auto"/>
        <w:ind w:firstLine="240" w:firstLineChars="100"/>
        <w:rPr>
          <w:rFonts w:ascii="宋体" w:hAnsi="宋体" w:cs="宋体"/>
          <w:sz w:val="24"/>
        </w:rPr>
      </w:pPr>
      <w:r>
        <w:rPr>
          <w:rFonts w:hint="eastAsia" w:ascii="宋体" w:hAnsi="宋体" w:cs="宋体"/>
          <w:sz w:val="24"/>
        </w:rPr>
        <w:t>2、评标委员会按综合得分由高到低的顺序推荐荐每个标段中标候选人1家。评标委员会完成评标后，应当向招标人提交书面评标报告。如中标单位放弃中标资格、因不可抗力提出不能履行合同、在规定的期限内未能提交履约保证金的，或者被查实存在影响中标结果的违法行为等情形，不符合中标条件的，经招标人同意可以按投标时排名次序依次补齐中标单位。</w:t>
      </w:r>
    </w:p>
    <w:p w14:paraId="6DC39FB7">
      <w:pPr>
        <w:spacing w:line="360" w:lineRule="auto"/>
        <w:ind w:firstLine="240" w:firstLineChars="100"/>
        <w:rPr>
          <w:rFonts w:ascii="宋体" w:hAnsi="宋体" w:cs="宋体"/>
          <w:sz w:val="24"/>
        </w:rPr>
      </w:pPr>
    </w:p>
    <w:p w14:paraId="79972287">
      <w:pPr>
        <w:sectPr>
          <w:pgSz w:w="11907" w:h="16840"/>
          <w:pgMar w:top="1304" w:right="1247" w:bottom="1134" w:left="1304" w:header="680" w:footer="964" w:gutter="0"/>
          <w:cols w:space="720" w:num="1"/>
          <w:docGrid w:linePitch="271" w:charSpace="0"/>
        </w:sectPr>
      </w:pPr>
    </w:p>
    <w:p w14:paraId="570F1EA9"/>
    <w:p w14:paraId="116E8A75">
      <w:pPr>
        <w:spacing w:line="360" w:lineRule="auto"/>
        <w:jc w:val="center"/>
        <w:outlineLvl w:val="0"/>
        <w:rPr>
          <w:rFonts w:ascii="宋体"/>
          <w:b/>
          <w:sz w:val="24"/>
        </w:rPr>
      </w:pPr>
      <w:bookmarkStart w:id="54" w:name="_Toc28113"/>
      <w:r>
        <w:rPr>
          <w:rFonts w:hint="eastAsia" w:ascii="宋体"/>
          <w:b/>
          <w:bCs/>
          <w:sz w:val="32"/>
          <w:szCs w:val="32"/>
        </w:rPr>
        <w:t xml:space="preserve">第四章 </w:t>
      </w:r>
      <w:bookmarkEnd w:id="54"/>
      <w:r>
        <w:rPr>
          <w:rFonts w:hint="eastAsia" w:ascii="宋体"/>
          <w:b/>
          <w:bCs/>
          <w:sz w:val="32"/>
          <w:szCs w:val="32"/>
        </w:rPr>
        <w:t>合同主要条款</w:t>
      </w:r>
    </w:p>
    <w:p w14:paraId="217EEACA">
      <w:pPr>
        <w:spacing w:line="360" w:lineRule="auto"/>
        <w:jc w:val="center"/>
        <w:outlineLvl w:val="0"/>
        <w:rPr>
          <w:rFonts w:ascii="宋体" w:hAnsi="宋体"/>
          <w:b/>
          <w:sz w:val="24"/>
        </w:rPr>
      </w:pPr>
      <w:r>
        <w:rPr>
          <w:rFonts w:hint="eastAsia" w:ascii="宋体" w:cs="宋体"/>
          <w:b/>
          <w:szCs w:val="21"/>
        </w:rPr>
        <w:t>（本合同为样本，最终稿由双方协商后确定）</w:t>
      </w:r>
    </w:p>
    <w:p w14:paraId="05B8339A">
      <w:pPr>
        <w:adjustRightInd w:val="0"/>
        <w:snapToGrid w:val="0"/>
        <w:spacing w:line="480" w:lineRule="exact"/>
        <w:ind w:right="206" w:rightChars="98" w:firstLine="480" w:firstLineChars="200"/>
        <w:rPr>
          <w:rFonts w:ascii="宋体" w:hAnsi="宋体"/>
          <w:kern w:val="0"/>
          <w:sz w:val="24"/>
        </w:rPr>
      </w:pPr>
      <w:r>
        <w:rPr>
          <w:rFonts w:hint="eastAsia" w:ascii="宋体" w:hAnsi="宋体"/>
          <w:kern w:val="0"/>
          <w:sz w:val="24"/>
        </w:rPr>
        <w:t>标段一合同主要条款：</w:t>
      </w:r>
    </w:p>
    <w:p w14:paraId="5B6FD0E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乙方为甲方部分产品包装搬运装卸业务项目劳务外包服务公开招投标中标单位，根据《中华人民共和国民法典》及相关法律法规、政策的规定，本着平等互利的原则，甲乙双方经协商一致，就乙方承揽甲方PVDC、PVDF、电石破碎等业务劳务外包服务的相关事宜订立本合同。</w:t>
      </w:r>
    </w:p>
    <w:p w14:paraId="3C304132">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一、合同履行期限</w:t>
      </w:r>
    </w:p>
    <w:p w14:paraId="3A6EFD2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本合同履行期限 :  2025 年   月   日起至 2027 年   月   日止。</w:t>
      </w:r>
    </w:p>
    <w:p w14:paraId="783AB5A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二、业务承包范围、工作内容和要求</w:t>
      </w:r>
    </w:p>
    <w:p w14:paraId="7F47574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乙方指派专职管理人员、安全员负责与甲方协调配合工作，配备满足项目服务需求的足够人员；遵守甲方安全生产的各项规章制度，做好劳务外包服务过程中的风险因素识别与控制；掌握并严格执行包装搬运装卸相关安全技术规程、安全操作规程、岗位应急处置预案；加强自主管理、自主检查，工完场清；确保安全、稳定、高质量地完成劳务外包服务项目。</w:t>
      </w:r>
    </w:p>
    <w:p w14:paraId="0B111431">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乙方负责完成甲方以下项目：PVDC、PVDF产品造粒、包装、入库、短驳、转运、发货；142b、143a生产过程中产生的副产物的包装、装卸、搬运；火车皮篷布装卸、折叠、清理铁路沿线及盐斗区域铁丝、绳头等垃圾；电石卸车、破碎、清灰；乙炔发生器排渣清理；化工辅料装卸搬运；回收包装桶清洗；其他相关项目，工完场清。</w:t>
      </w:r>
    </w:p>
    <w:p w14:paraId="573F1BA9">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乙方须具备立体仓库操作和设备维护人员，自备符合国家或行业标准的包装装卸搬运专用设备（移动式装卸货平台、内燃叉车、电动叉车等），并确保能随时（响应时间不超过20分钟/次）配合甲方生产需要正常使用，使用时须严格执行相关安全操作规程，使用过程中所发生的风险由乙方自行承担。乙方自行承担包装装卸搬运专用设备的相关年检、保险、维护、保养等费用。乙方包装装卸搬运专用设备造成甲方、乙方、第三方遭受人身伤亡或财产损失，乙方赔偿一切损失</w:t>
      </w:r>
    </w:p>
    <w:p w14:paraId="70987D69">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四）乙方雇员素质：具有初中及以上文化程度，身心健康，品行良好，男性劳务员工年龄为60周岁以下,女性劳务员工年龄为55周岁以下。乙方对劳务员工年龄、个人履历等相关个人信息的真实性全面负责，因不实信息导致的后果，乙方负所有责任，甲方有权就此对乙方追究相关责任。</w:t>
      </w:r>
    </w:p>
    <w:p w14:paraId="2277388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（五）乙方做到文明服务、文明装卸车、文明搬运等。做好作业区域、设备及周边的维护清理，确保符合6S管理要求。</w:t>
      </w:r>
    </w:p>
    <w:p w14:paraId="054AFD75">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（六）乙方负责及时完成甲方临时指派的其他工作。</w:t>
      </w:r>
    </w:p>
    <w:p w14:paraId="46C9E31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三、甲方权利和义务</w:t>
      </w:r>
    </w:p>
    <w:p w14:paraId="62E42E1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甲方负责制定劳务外包服务项目及考核业务结果。乙方可委托甲方依业务内容的要求，对乙方员工进行安全生产、岗位技能、劳动纪律等方面的培训与教育。对于乙方雇员的职业道德规范、工作任务及要求、应注意的安全事项、应遵守的各项纪律等履行告知义务。</w:t>
      </w:r>
    </w:p>
    <w:p w14:paraId="03F8184C">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（二）乙方有以下情形之一的，视情节严重程度，甲方有权要求乙方立即整改、退出承揽业务：</w:t>
      </w:r>
    </w:p>
    <w:p w14:paraId="219D2B9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1.不能胜任甲方业务的；</w:t>
      </w:r>
    </w:p>
    <w:p w14:paraId="6B0B9A71">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2.严重违反甲方规章制度的；</w:t>
      </w:r>
    </w:p>
    <w:p w14:paraId="57869CCC">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3.被依法追究刑事责任的；</w:t>
      </w:r>
    </w:p>
    <w:p w14:paraId="282E9A2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4.严重失职，营私舞弊，给甲方造成重大损害的；</w:t>
      </w:r>
    </w:p>
    <w:p w14:paraId="612CA7E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5.法律、法规规定的其他情形。</w:t>
      </w:r>
    </w:p>
    <w:p w14:paraId="5D025BD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（三）对乙方不履行合同的,甲方有权追究其违约责任。</w:t>
      </w:r>
    </w:p>
    <w:p w14:paraId="2D889D1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（四）对乙方违反甲方生产、安全管理制度的行为，甲方有权要求乙方立即改正、对乙方进行处罚。</w:t>
      </w:r>
    </w:p>
    <w:p w14:paraId="68F71A3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（五）有权对乙方服务质量、服务能力、服务态度、设施设备等进行指导和监督,并督促乙方及时改进工作以共同创造良好的企业形象和作业环境。</w:t>
      </w:r>
    </w:p>
    <w:p w14:paraId="6F9EB12E">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（六）甲方提出有利于提升甲方公司形象及提高服务水平的意见和建议,乙方必须遵照执行。</w:t>
      </w:r>
    </w:p>
    <w:p w14:paraId="188364F5">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四、乙方权利和义务</w:t>
      </w:r>
    </w:p>
    <w:p w14:paraId="2431F282">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乙方组建服务团队并全面负责其雇员的劳务用工管理、劳动关系管理、项目管理、安全生产管理、纪律管理、工作协调、劳动保护、费用结算、劳动纠纷处理与社会保险办理，并协调、处理涉及以上所有事宜。</w:t>
      </w:r>
    </w:p>
    <w:p w14:paraId="67811BE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（二）乙方应当为员工提供符合国家规定的劳动安全卫生设施和基本的劳动防护用品，加强职业病防范，按国家《职业病防治法》做好劳务承揽员工职业健康管理。</w:t>
      </w:r>
    </w:p>
    <w:p w14:paraId="2EF6A00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（三）乙方负责处理其雇员的违纪违规行为｡</w:t>
      </w:r>
    </w:p>
    <w:p w14:paraId="653681A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四）乙方必须为员工办理工伤保险或意外伤害保险、雇主责任险，每人保额不得低于100万，保险未办理齐全的不得开工。乙方必须依法与员工签订劳动合同，同时将甲乙双方签订劳务用工服务合同的事实告知员工，并且作为乙方和员工签订劳动合同的其中一项条款。乙方应每月及时向员工发放薪酬和依法缴纳社会保险等。</w:t>
      </w:r>
    </w:p>
    <w:p w14:paraId="40F3CAD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（五）乙方应对其所有雇员提供保险并负一切安全责任,如有发生疾病、工伤、死亡事故,其所发生之损害费用均由乙方自理,与甲方无涉｡因乙方之原因造成甲方或其他人员、设备的伤害由乙方负责｡</w:t>
      </w:r>
    </w:p>
    <w:p w14:paraId="6611C1A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（六）对甲方不履行合同的,乙方有权追究其违约责任｡</w:t>
      </w:r>
    </w:p>
    <w:p w14:paraId="65EC5465">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（七）乙方全面负责合同约定的业务承包作业内容,并严格执行甲方的各项规章制度及安全操作规程,服从甲方安全监督管理｡</w:t>
      </w:r>
    </w:p>
    <w:p w14:paraId="45A546C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（八）乙方做到文明服务、文明装车、文明搬运｡</w:t>
      </w:r>
    </w:p>
    <w:p w14:paraId="3EB0B3D3">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（九）乙方对其雇员进行安全教育培训,并向甲方提供所有作业人员名单、安全教育证复印件,特种车辆操作证复印件｡严禁安排作业人员名单以外的劳务用工在本合同约定的业务承包范围作业。</w:t>
      </w:r>
    </w:p>
    <w:p w14:paraId="4C9AD903">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乙方因违反国家法律、法规和甲方的规章制度，违反本合同约定的相关规定，发生的一切机具、车辆、设备、材料等损失,以及与第三方的任何纠纷及任何事故,乙方承担全部责任,并将相关情况和处理结果及时报告甲方｡</w:t>
      </w:r>
    </w:p>
    <w:p w14:paraId="4CE060F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（十一）乙方在合同约定的业务承包作业中所发生的任何安全、环保等事件,均由乙方负责, 同时应及时报告甲方｡因乙方原因导致发生重大伤亡及其他安全事故,应按有关规定立即上报有关部门,同时按政府有关部门要求处理,承担发生的一切费用,并赔偿甲方的损失｡</w:t>
      </w:r>
    </w:p>
    <w:p w14:paraId="26C555FD">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（十二）乙方执行临时用工(点工)时,依据先审批后执行的原则,无审批可拒绝作业｡</w:t>
      </w:r>
    </w:p>
    <w:p w14:paraId="530C798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五、费用结算、支付与监督</w:t>
      </w:r>
    </w:p>
    <w:p w14:paraId="61785820">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（一）发包方依据承包方完成本标段承包业务按月通过银行转账向承包方支付劳务费。各项费用在实际发生的次月结算。结算时按发包方招标文件《包装搬运装卸劳务费用价目表》的劳务费报价×投标结算率     %计算劳务费用。劳务费报价已包含基本工资、劳保用品、福利、门禁、住宿、餐费、交通、税收、管理费、社会保险、入职和职业健康体检、法定节假日加班费、夜餐津贴、高温津贴等费用。如承包方有违约行为，发包方有权从承包方劳务费中扣除违约赔偿金。</w:t>
      </w:r>
    </w:p>
    <w:p w14:paraId="78E6E8FC">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（二）经发包方指定负责人及主管部门审核通过后支付，承包方应为发包方开具税率为   %的增值税专用发票。</w:t>
      </w:r>
    </w:p>
    <w:p w14:paraId="73A30FE1">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六、合同提前变更、终止与解除的条件</w:t>
      </w:r>
    </w:p>
    <w:p w14:paraId="18FFD10D">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（一）甲乙双方商定，如合同当事人一方遇有下列情形之一的，经提前30日以书面形式通知另一方当事人，本合同可以提前变更、终止与解除。</w:t>
      </w:r>
    </w:p>
    <w:p w14:paraId="332C226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1.经双方协商一致的。</w:t>
      </w:r>
    </w:p>
    <w:p w14:paraId="01FE61E9">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2.遇有不可抗力因素或经营发生困难，致使本合同（协议）无法履行的。</w:t>
      </w:r>
    </w:p>
    <w:p w14:paraId="371D3102">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3.甲乙双方经平等协商可以变更合同的内容。因合同订立时所依据的法律、规章、政策已经修改，甲乙双方有权变更合同的内容。甲方有权根据实际状况变化，缩减劳务外包业务，同时变更本协议的相关事项。</w:t>
      </w:r>
    </w:p>
    <w:p w14:paraId="63E97D4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4.协议期满，即终止执行。</w:t>
      </w:r>
    </w:p>
    <w:p w14:paraId="66EB9BF5">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5.因乙方违反国家法律、法规和甲方的规章制度及本合同的约定,造成事故或较大损失的,除按合同规定由乙方承担责任和费用外,甲方有权终止合同。</w:t>
      </w:r>
    </w:p>
    <w:p w14:paraId="78617753">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（二）下列情况之一，甲方提前15天通知乙方可以变更、终止与解除本合同。</w:t>
      </w:r>
    </w:p>
    <w:p w14:paraId="1B53EFD9">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1.乙方不能履行协议义务，影响甲方生产经营的。</w:t>
      </w:r>
    </w:p>
    <w:p w14:paraId="573FD82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2.签订协议时，依据的外包内容发生变化的。</w:t>
      </w:r>
    </w:p>
    <w:p w14:paraId="6CA468E7">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3.甲方对外发包内容用于内部安置富余员工的。</w:t>
      </w:r>
    </w:p>
    <w:p w14:paraId="71FDDAD4">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4.甲方上级主管部门规定需要精简压缩劳务用工的。</w:t>
      </w:r>
    </w:p>
    <w:p w14:paraId="7D5107E4">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5.甲方生产因产品结构性调整或技改引起工艺流程的改变及其它原因,不需要劳务用工的,甲方有权终止合同。</w:t>
      </w:r>
    </w:p>
    <w:p w14:paraId="23AB1AB4">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（三）下列情况之一，乙方提前15天通知甲方可以变更、终止与解除本合同。</w:t>
      </w:r>
    </w:p>
    <w:p w14:paraId="3A2C11A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1.经国家有关部门确认，甲方劳动安全、卫生条件恶劣，严重危害乙方外包人员身体健康的。</w:t>
      </w:r>
    </w:p>
    <w:p w14:paraId="4E8673C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2.甲方不能按照合同规定支付外包劳务费用的。</w:t>
      </w:r>
    </w:p>
    <w:p w14:paraId="458B3A73">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3.甲方不履行合同义务。</w:t>
      </w:r>
    </w:p>
    <w:p w14:paraId="610CDD4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 xml:space="preserve">七、违约责任 </w:t>
      </w:r>
    </w:p>
    <w:p w14:paraId="46C8C14E">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乙方应严格遵守甲方的规章制度及本合同约定条款，确保劳务承揽工作的顺利进行。甲方有权对乙方的工作进行监督、索赔、考核，以保证工作质量和效率。</w:t>
      </w:r>
    </w:p>
    <w:p w14:paraId="1733A200">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（一）因乙方违反国家法律、法规和甲方的规章制度及本合同的约定,造成损失的应全额承担赔偿费用,同时甲方有权考核5000-10000元。</w:t>
      </w:r>
    </w:p>
    <w:p w14:paraId="440F5810">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因乙方自身管理不善或其他原因,给甲方或第三方造成舆情事件或产生社会不良影响的,考核1000-5000元。因乙方维护不力、野蛮操作、违规操作造成甲方或第三方的厂房、设备等损坏的，除据实赔偿，甲方有权考核500-2000元。造成人员伤亡的,执行当地政府的处理意见外,甲方有权考核10000-50000元。</w:t>
      </w:r>
    </w:p>
    <w:p w14:paraId="4CB24157">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（三）乙方私自将甲方的财物占为己有或泄露甲方的用户资料、生产经营等商业秘密的,按甲方财务等部门核定的损失费用进行赔偿,同时甲方有权考核1000-10000元。</w:t>
      </w:r>
    </w:p>
    <w:p w14:paraId="6E18379D">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（四）在合同履行期间乙方未经甲方同意转包给其他方的,甲方有权考核10000-50000元。</w:t>
      </w:r>
    </w:p>
    <w:p w14:paraId="35BB893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（五）因业务服务不到位造成甲方客户投诉的,考核1000-5000元。乙方违反甲方各项规章制度、无视甲方监督管理、屡教不改的，甲方有权考核1000-5000元，情节严重的甲方有权单方面解除合同。</w:t>
      </w:r>
    </w:p>
    <w:p w14:paraId="00F30968">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（六）乙方未做到工完场清的，视情节严重、影响恶劣程度违约考核300-3000元/次。</w:t>
      </w:r>
    </w:p>
    <w:p w14:paraId="3757CB39">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（七）乙方违反甲方其他规章制度要求的，可参照甲方规章制度考核。</w:t>
      </w:r>
    </w:p>
    <w:p w14:paraId="54BAFD6B">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（八）以上违约赔偿、考核涉及的乙方主要责任员工，情节严重、影响恶劣的，乙方须及时清退，同时确保承揽业务的正常稳定进行。</w:t>
      </w:r>
    </w:p>
    <w:p w14:paraId="0291A42F">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八、廉政约定</w:t>
      </w:r>
    </w:p>
    <w:p w14:paraId="6DD2E384">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为共同构建文明、和谐、公正的经营环境，建立长期稳定、互信互利的业务合作关系，树立廉洁经营的良好风气，甲、乙双方就本合同履约中廉政条款达成共识，双方共同遵守：</w:t>
      </w:r>
    </w:p>
    <w:p w14:paraId="2B6118B0">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（一）树立“诚信经营、合作共赢”的经营理念，坚持公平合理、互惠互利、共同发展的原则。</w:t>
      </w:r>
    </w:p>
    <w:p w14:paraId="02ED9601">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二）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2B556DC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（三）如有一方违反廉政条款，另一方有权终止业务关系。同时保留对对方因行贿诉诸法律的权利。双方对对方有关工作人员索要钱、财、物等好处的违法违纪行为，有向对方相关部门或领导举报的义务。</w:t>
      </w:r>
    </w:p>
    <w:p w14:paraId="09502096">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九、本合同（协议）未尽事宜，双方可以通过协商签订补充协议进行约定，补充协议与本合同（协议）具有同等效力。</w:t>
      </w:r>
    </w:p>
    <w:p w14:paraId="694BBF0C">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十、发生争议的处理方式。甲乙双方协商不成，诉讼至柯城区人民法院解决。</w:t>
      </w:r>
    </w:p>
    <w:p w14:paraId="17317CC5">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十一、本合同经甲、乙双方签字盖章有效，一式四份，由甲乙双方各执两份。</w:t>
      </w:r>
    </w:p>
    <w:p w14:paraId="7AEB4B9A">
      <w:pPr>
        <w:autoSpaceDE w:val="0"/>
        <w:autoSpaceDN w:val="0"/>
        <w:adjustRightInd w:val="0"/>
        <w:snapToGrid w:val="0"/>
        <w:spacing w:line="360" w:lineRule="auto"/>
        <w:ind w:firstLine="470" w:firstLineChars="196"/>
        <w:rPr>
          <w:rFonts w:ascii="宋体" w:hAnsi="宋体" w:cs="宋体"/>
          <w:color w:val="000000"/>
          <w:sz w:val="24"/>
        </w:rPr>
      </w:pPr>
      <w:r>
        <w:rPr>
          <w:rFonts w:hint="eastAsia" w:ascii="宋体" w:hAnsi="宋体" w:cs="宋体"/>
          <w:color w:val="000000"/>
          <w:sz w:val="24"/>
        </w:rPr>
        <w:t>十二、因甲方生产调整或自动化改造等原因，乙方减少人器具投入的，甲方有权提出重新议价，乙方拒不配合议价的，甲方可单方终止合同并重新招标。</w:t>
      </w:r>
    </w:p>
    <w:p w14:paraId="1A9B0CA2">
      <w:pPr>
        <w:autoSpaceDE w:val="0"/>
        <w:autoSpaceDN w:val="0"/>
        <w:adjustRightInd w:val="0"/>
        <w:snapToGrid w:val="0"/>
        <w:spacing w:line="360" w:lineRule="auto"/>
        <w:ind w:firstLine="470" w:firstLineChars="196"/>
        <w:rPr>
          <w:rFonts w:ascii="宋体" w:hAnsi="宋体" w:cs="宋体"/>
        </w:rPr>
      </w:pPr>
      <w:r>
        <w:rPr>
          <w:rFonts w:hint="eastAsia" w:ascii="宋体" w:hAnsi="宋体" w:cs="宋体"/>
          <w:color w:val="000000"/>
          <w:sz w:val="24"/>
        </w:rPr>
        <w:t>十三、附件：包装搬运装卸劳务费用价目表</w:t>
      </w:r>
    </w:p>
    <w:p w14:paraId="40F8A6D8">
      <w:pPr>
        <w:autoSpaceDE w:val="0"/>
        <w:autoSpaceDN w:val="0"/>
        <w:adjustRightInd w:val="0"/>
        <w:snapToGrid w:val="0"/>
        <w:spacing w:line="360" w:lineRule="auto"/>
        <w:ind w:firstLine="470" w:firstLineChars="196"/>
        <w:rPr>
          <w:rFonts w:ascii="宋体" w:hAnsi="宋体" w:cs="宋体"/>
          <w:color w:val="000000"/>
        </w:rPr>
      </w:pPr>
      <w:r>
        <w:rPr>
          <w:rFonts w:hint="eastAsia" w:ascii="宋体" w:hAnsi="宋体" w:cs="宋体"/>
          <w:snapToGrid w:val="0"/>
          <w:color w:val="000000"/>
          <w:kern w:val="0"/>
          <w:sz w:val="24"/>
        </w:rPr>
        <w:t>甲方：（盖章）                        乙方：（盖章）</w:t>
      </w:r>
    </w:p>
    <w:p w14:paraId="45971111">
      <w:pPr>
        <w:autoSpaceDE w:val="0"/>
        <w:autoSpaceDN w:val="0"/>
        <w:adjustRightInd w:val="0"/>
        <w:snapToGrid w:val="0"/>
        <w:spacing w:line="360" w:lineRule="auto"/>
        <w:ind w:firstLine="470" w:firstLineChars="196"/>
        <w:rPr>
          <w:rFonts w:ascii="宋体" w:hAnsi="宋体" w:cs="宋体"/>
          <w:snapToGrid w:val="0"/>
          <w:color w:val="000000"/>
          <w:kern w:val="0"/>
          <w:sz w:val="24"/>
        </w:rPr>
      </w:pPr>
      <w:r>
        <w:rPr>
          <w:rFonts w:hint="eastAsia" w:ascii="宋体" w:hAnsi="宋体" w:cs="宋体"/>
          <w:snapToGrid w:val="0"/>
          <w:color w:val="000000"/>
          <w:kern w:val="0"/>
          <w:sz w:val="24"/>
        </w:rPr>
        <w:t xml:space="preserve">甲方代表：                            乙方代表： </w:t>
      </w:r>
    </w:p>
    <w:p w14:paraId="04058581">
      <w:pPr>
        <w:autoSpaceDE w:val="0"/>
        <w:autoSpaceDN w:val="0"/>
        <w:adjustRightInd w:val="0"/>
        <w:snapToGrid w:val="0"/>
        <w:spacing w:line="360" w:lineRule="auto"/>
        <w:ind w:firstLine="470" w:firstLineChars="196"/>
        <w:rPr>
          <w:rFonts w:ascii="宋体" w:hAnsi="宋体" w:cs="宋体"/>
          <w:snapToGrid w:val="0"/>
          <w:color w:val="000000"/>
          <w:kern w:val="0"/>
          <w:sz w:val="24"/>
        </w:rPr>
      </w:pPr>
    </w:p>
    <w:p w14:paraId="233F5B64">
      <w:pPr>
        <w:autoSpaceDE w:val="0"/>
        <w:autoSpaceDN w:val="0"/>
        <w:adjustRightInd w:val="0"/>
        <w:snapToGrid w:val="0"/>
        <w:spacing w:line="360" w:lineRule="auto"/>
        <w:ind w:firstLine="960" w:firstLineChars="400"/>
        <w:rPr>
          <w:rFonts w:ascii="仿宋" w:hAnsi="仿宋" w:eastAsia="仿宋" w:cs="仿宋"/>
          <w:color w:val="000000"/>
          <w:sz w:val="24"/>
          <w:lang w:val="zh-CN"/>
        </w:rPr>
      </w:pPr>
      <w:r>
        <w:rPr>
          <w:rFonts w:hint="eastAsia" w:ascii="仿宋" w:hAnsi="仿宋" w:eastAsia="仿宋" w:cs="仿宋"/>
          <w:snapToGrid w:val="0"/>
          <w:color w:val="000000"/>
          <w:kern w:val="0"/>
          <w:sz w:val="24"/>
        </w:rPr>
        <w:t>年   月   日                          年   月   日</w:t>
      </w:r>
    </w:p>
    <w:p w14:paraId="720FC58B">
      <w:pPr>
        <w:adjustRightInd w:val="0"/>
        <w:snapToGrid w:val="0"/>
        <w:spacing w:line="480" w:lineRule="exact"/>
        <w:ind w:right="206" w:rightChars="98" w:firstLine="480" w:firstLineChars="200"/>
        <w:rPr>
          <w:rFonts w:ascii="仿宋" w:hAnsi="仿宋" w:eastAsia="仿宋" w:cs="仿宋"/>
          <w:color w:val="000000"/>
          <w:sz w:val="24"/>
          <w:lang w:val="zh-CN"/>
        </w:rPr>
      </w:pPr>
      <w:r>
        <w:rPr>
          <w:rFonts w:hint="eastAsia" w:ascii="宋体" w:hAnsi="宋体"/>
          <w:kern w:val="0"/>
          <w:sz w:val="24"/>
        </w:rPr>
        <w:t>标段二合同主要条款：</w:t>
      </w:r>
    </w:p>
    <w:p w14:paraId="1703B944">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乙方为</w:t>
      </w:r>
      <w:r>
        <w:rPr>
          <w:rFonts w:hint="eastAsia" w:ascii="仿宋" w:hAnsi="仿宋" w:eastAsia="仿宋" w:cs="仿宋"/>
          <w:snapToGrid w:val="0"/>
          <w:color w:val="000000" w:themeColor="text1"/>
          <w:sz w:val="24"/>
          <w14:textFill>
            <w14:solidFill>
              <w14:schemeClr w14:val="tx1"/>
            </w14:solidFill>
          </w14:textFill>
        </w:rPr>
        <w:t>甲方</w:t>
      </w:r>
      <w:r>
        <w:rPr>
          <w:rFonts w:hint="eastAsia" w:ascii="仿宋" w:hAnsi="仿宋" w:eastAsia="仿宋" w:cs="仿宋"/>
          <w:snapToGrid w:val="0"/>
          <w:color w:val="000000"/>
          <w:sz w:val="24"/>
        </w:rPr>
        <w:t>卸盐化盐项目劳务外包服务公开招投标中标单位，根据《中华人民共和国民法典》及相关规定，甲乙双方达成合作意愿，乙方承包甲方卸盐化盐项目劳务外包服务。为明确甲乙双方在用工合作中各自的权利与义务关系,本着平等自愿、协商一致之原则,订立本合同。</w:t>
      </w:r>
    </w:p>
    <w:p w14:paraId="3239CE7B">
      <w:pPr>
        <w:autoSpaceDE w:val="0"/>
        <w:autoSpaceDN w:val="0"/>
        <w:spacing w:line="360" w:lineRule="auto"/>
        <w:ind w:firstLine="472" w:firstLineChars="196"/>
        <w:rPr>
          <w:rFonts w:ascii="仿宋" w:hAnsi="仿宋" w:eastAsia="仿宋" w:cs="仿宋"/>
          <w:b/>
          <w:snapToGrid w:val="0"/>
          <w:color w:val="000000"/>
          <w:sz w:val="24"/>
        </w:rPr>
      </w:pPr>
      <w:r>
        <w:rPr>
          <w:rFonts w:hint="eastAsia" w:ascii="仿宋" w:hAnsi="仿宋" w:eastAsia="仿宋" w:cs="仿宋"/>
          <w:b/>
          <w:snapToGrid w:val="0"/>
          <w:color w:val="000000"/>
          <w:sz w:val="24"/>
        </w:rPr>
        <w:t>一、合同履行期限</w:t>
      </w:r>
    </w:p>
    <w:p w14:paraId="6FEE333F">
      <w:pPr>
        <w:autoSpaceDE w:val="0"/>
        <w:autoSpaceDN w:val="0"/>
        <w:spacing w:line="360" w:lineRule="auto"/>
        <w:ind w:firstLine="470" w:firstLineChars="196"/>
        <w:rPr>
          <w:rFonts w:ascii="仿宋" w:hAnsi="仿宋" w:eastAsia="仿宋" w:cs="仿宋"/>
          <w:snapToGrid w:val="0"/>
          <w:color w:val="000000"/>
          <w:sz w:val="24"/>
        </w:rPr>
      </w:pPr>
      <w:r>
        <w:rPr>
          <w:rFonts w:hint="eastAsia" w:ascii="仿宋" w:hAnsi="仿宋" w:eastAsia="仿宋" w:cs="仿宋"/>
          <w:snapToGrid w:val="0"/>
          <w:color w:val="000000"/>
          <w:sz w:val="24"/>
        </w:rPr>
        <w:t xml:space="preserve">本合同履行期限 : </w:t>
      </w:r>
      <w:r>
        <w:rPr>
          <w:rFonts w:hint="eastAsia" w:ascii="仿宋" w:hAnsi="仿宋" w:eastAsia="仿宋" w:cs="仿宋"/>
          <w:snapToGrid w:val="0"/>
          <w:color w:val="FF0000"/>
          <w:sz w:val="24"/>
          <w:u w:val="single"/>
        </w:rPr>
        <w:t xml:space="preserve"> 2025 </w:t>
      </w:r>
      <w:r>
        <w:rPr>
          <w:rFonts w:hint="eastAsia" w:ascii="仿宋" w:hAnsi="仿宋" w:eastAsia="仿宋" w:cs="仿宋"/>
          <w:snapToGrid w:val="0"/>
          <w:color w:val="FF0000"/>
          <w:sz w:val="24"/>
        </w:rPr>
        <w:t>年</w:t>
      </w:r>
      <w:r>
        <w:rPr>
          <w:rFonts w:hint="eastAsia" w:ascii="仿宋" w:hAnsi="仿宋" w:eastAsia="仿宋" w:cs="仿宋"/>
          <w:snapToGrid w:val="0"/>
          <w:color w:val="FF0000"/>
          <w:sz w:val="24"/>
          <w:u w:val="single"/>
        </w:rPr>
        <w:t xml:space="preserve"> </w:t>
      </w:r>
      <w:r>
        <w:rPr>
          <w:rFonts w:ascii="仿宋" w:hAnsi="仿宋" w:eastAsia="仿宋" w:cs="仿宋"/>
          <w:snapToGrid w:val="0"/>
          <w:color w:val="FF0000"/>
          <w:sz w:val="24"/>
          <w:u w:val="single"/>
        </w:rPr>
        <w:t xml:space="preserve"> </w:t>
      </w:r>
      <w:r>
        <w:rPr>
          <w:rFonts w:hint="eastAsia" w:ascii="仿宋" w:hAnsi="仿宋" w:eastAsia="仿宋" w:cs="仿宋"/>
          <w:snapToGrid w:val="0"/>
          <w:color w:val="FF0000"/>
          <w:sz w:val="24"/>
          <w:u w:val="single"/>
        </w:rPr>
        <w:t xml:space="preserve"> </w:t>
      </w:r>
      <w:r>
        <w:rPr>
          <w:rFonts w:hint="eastAsia" w:ascii="仿宋" w:hAnsi="仿宋" w:eastAsia="仿宋" w:cs="仿宋"/>
          <w:snapToGrid w:val="0"/>
          <w:color w:val="FF0000"/>
          <w:sz w:val="24"/>
        </w:rPr>
        <w:t>月</w:t>
      </w:r>
      <w:r>
        <w:rPr>
          <w:rFonts w:hint="eastAsia" w:ascii="仿宋" w:hAnsi="仿宋" w:eastAsia="仿宋" w:cs="仿宋"/>
          <w:snapToGrid w:val="0"/>
          <w:color w:val="FF0000"/>
          <w:sz w:val="24"/>
          <w:u w:val="single"/>
        </w:rPr>
        <w:t xml:space="preserve">   </w:t>
      </w:r>
      <w:r>
        <w:rPr>
          <w:rFonts w:hint="eastAsia" w:ascii="仿宋" w:hAnsi="仿宋" w:eastAsia="仿宋" w:cs="仿宋"/>
          <w:snapToGrid w:val="0"/>
          <w:color w:val="FF0000"/>
          <w:sz w:val="24"/>
        </w:rPr>
        <w:t>日起至</w:t>
      </w:r>
      <w:r>
        <w:rPr>
          <w:rFonts w:ascii="仿宋" w:hAnsi="仿宋" w:eastAsia="仿宋" w:cs="仿宋"/>
          <w:snapToGrid w:val="0"/>
          <w:color w:val="FF0000"/>
          <w:sz w:val="24"/>
          <w:u w:val="single"/>
        </w:rPr>
        <w:t xml:space="preserve"> </w:t>
      </w:r>
      <w:r>
        <w:rPr>
          <w:rFonts w:hint="eastAsia" w:ascii="仿宋" w:hAnsi="仿宋" w:eastAsia="仿宋" w:cs="仿宋"/>
          <w:snapToGrid w:val="0"/>
          <w:color w:val="FF0000"/>
          <w:sz w:val="24"/>
          <w:u w:val="single"/>
        </w:rPr>
        <w:t xml:space="preserve">2027 </w:t>
      </w:r>
      <w:r>
        <w:rPr>
          <w:rFonts w:hint="eastAsia" w:ascii="仿宋" w:hAnsi="仿宋" w:eastAsia="仿宋" w:cs="仿宋"/>
          <w:snapToGrid w:val="0"/>
          <w:color w:val="FF0000"/>
          <w:sz w:val="24"/>
        </w:rPr>
        <w:t>年</w:t>
      </w:r>
      <w:r>
        <w:rPr>
          <w:rFonts w:hint="eastAsia" w:ascii="仿宋" w:hAnsi="仿宋" w:eastAsia="仿宋" w:cs="仿宋"/>
          <w:snapToGrid w:val="0"/>
          <w:color w:val="FF0000"/>
          <w:sz w:val="24"/>
          <w:u w:val="single"/>
        </w:rPr>
        <w:t xml:space="preserve"> </w:t>
      </w:r>
      <w:r>
        <w:rPr>
          <w:rFonts w:ascii="仿宋" w:hAnsi="仿宋" w:eastAsia="仿宋" w:cs="仿宋"/>
          <w:snapToGrid w:val="0"/>
          <w:color w:val="FF0000"/>
          <w:sz w:val="24"/>
          <w:u w:val="single"/>
        </w:rPr>
        <w:t xml:space="preserve"> </w:t>
      </w:r>
      <w:r>
        <w:rPr>
          <w:rFonts w:hint="eastAsia" w:ascii="仿宋" w:hAnsi="仿宋" w:eastAsia="仿宋" w:cs="仿宋"/>
          <w:snapToGrid w:val="0"/>
          <w:color w:val="FF0000"/>
          <w:sz w:val="24"/>
          <w:u w:val="single"/>
        </w:rPr>
        <w:t xml:space="preserve"> </w:t>
      </w:r>
      <w:r>
        <w:rPr>
          <w:rFonts w:hint="eastAsia" w:ascii="仿宋" w:hAnsi="仿宋" w:eastAsia="仿宋" w:cs="仿宋"/>
          <w:snapToGrid w:val="0"/>
          <w:color w:val="FF0000"/>
          <w:sz w:val="24"/>
        </w:rPr>
        <w:t>月</w:t>
      </w:r>
      <w:r>
        <w:rPr>
          <w:rFonts w:hint="eastAsia" w:ascii="仿宋" w:hAnsi="仿宋" w:eastAsia="仿宋" w:cs="仿宋"/>
          <w:snapToGrid w:val="0"/>
          <w:color w:val="FF0000"/>
          <w:sz w:val="24"/>
          <w:u w:val="single"/>
        </w:rPr>
        <w:t xml:space="preserve">   </w:t>
      </w:r>
      <w:r>
        <w:rPr>
          <w:rFonts w:ascii="仿宋" w:hAnsi="仿宋" w:eastAsia="仿宋" w:cs="仿宋"/>
          <w:snapToGrid w:val="0"/>
          <w:color w:val="FF0000"/>
          <w:sz w:val="24"/>
          <w:u w:val="single"/>
        </w:rPr>
        <w:t xml:space="preserve"> </w:t>
      </w:r>
      <w:r>
        <w:rPr>
          <w:rFonts w:hint="eastAsia" w:ascii="仿宋" w:hAnsi="仿宋" w:eastAsia="仿宋" w:cs="仿宋"/>
          <w:snapToGrid w:val="0"/>
          <w:color w:val="FF0000"/>
          <w:sz w:val="24"/>
        </w:rPr>
        <w:t>日止。</w:t>
      </w:r>
    </w:p>
    <w:p w14:paraId="65AF2184">
      <w:pPr>
        <w:autoSpaceDE w:val="0"/>
        <w:autoSpaceDN w:val="0"/>
        <w:spacing w:line="360" w:lineRule="auto"/>
        <w:ind w:firstLine="482" w:firstLineChars="200"/>
        <w:rPr>
          <w:rFonts w:ascii="仿宋" w:hAnsi="仿宋" w:eastAsia="仿宋" w:cs="仿宋"/>
          <w:b/>
          <w:snapToGrid w:val="0"/>
          <w:color w:val="000000"/>
          <w:sz w:val="24"/>
        </w:rPr>
      </w:pPr>
      <w:r>
        <w:rPr>
          <w:rFonts w:hint="eastAsia" w:ascii="仿宋" w:hAnsi="仿宋" w:eastAsia="仿宋" w:cs="仿宋"/>
          <w:b/>
          <w:snapToGrid w:val="0"/>
          <w:color w:val="000000"/>
          <w:sz w:val="24"/>
        </w:rPr>
        <w:t>二、业务承包范围、工作内容和要求</w:t>
      </w:r>
    </w:p>
    <w:p w14:paraId="22E8D27C">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（一）乙方指派专职管理人员全权负责与甲方协调配合工作,保证项目承包工作的完成。</w:t>
      </w:r>
    </w:p>
    <w:p w14:paraId="21F46AE4">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二）乙方负责完成甲方以下项目：3#4#盐仓卸盐、挖盐、转运、盐斗上盐；2#盐仓挖盐、转运；一次盐水装置皮带机上盐、化盐、垃圾清理；氯化钡、氯化镁到货卸车、溶液配制、废袋装车、配制池清理；其他相关项目。</w:t>
      </w:r>
    </w:p>
    <w:p w14:paraId="5AD155F5">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（三）乙方应遵守甲方的各项规章制度、</w:t>
      </w:r>
      <w:r>
        <w:rPr>
          <w:rFonts w:ascii="仿宋" w:hAnsi="仿宋" w:eastAsia="仿宋" w:cs="仿宋"/>
          <w:snapToGrid w:val="0"/>
          <w:color w:val="000000"/>
          <w:sz w:val="24"/>
        </w:rPr>
        <w:t>考核细则等</w:t>
      </w:r>
      <w:r>
        <w:rPr>
          <w:rFonts w:hint="eastAsia" w:ascii="仿宋" w:hAnsi="仿宋" w:eastAsia="仿宋" w:cs="仿宋"/>
          <w:snapToGrid w:val="0"/>
          <w:color w:val="000000"/>
          <w:sz w:val="24"/>
        </w:rPr>
        <w:t>，做好卸盐、转运、挖盐、化盐、氯化钡、氯化镁等作业过程中的风险因素识别与控制，掌握并严格执行卸盐化盐相关安全技术规程、安全操作规程、岗位应急处置预案，积极参与甲方应急处置演习等。严格执行受限空间等作业的安全规定。</w:t>
      </w:r>
    </w:p>
    <w:p w14:paraId="6786F594">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（四）乙方根据原盐到货情况，及时安排将车皮内原盐卸至指定区域存放。</w:t>
      </w:r>
      <w:r>
        <w:rPr>
          <w:rFonts w:hint="eastAsia" w:ascii="仿宋" w:hAnsi="仿宋" w:eastAsia="仿宋" w:cs="仿宋"/>
          <w:snapToGrid w:val="0"/>
          <w:color w:val="000000" w:themeColor="text1"/>
          <w:sz w:val="24"/>
          <w14:textFill>
            <w14:solidFill>
              <w14:schemeClr w14:val="tx1"/>
            </w14:solidFill>
          </w14:textFill>
        </w:rPr>
        <w:t>乙方自备符合国家或</w:t>
      </w:r>
      <w:r>
        <w:rPr>
          <w:rFonts w:hint="eastAsia" w:ascii="仿宋" w:hAnsi="仿宋" w:eastAsia="仿宋" w:cs="仿宋"/>
          <w:snapToGrid w:val="0"/>
          <w:color w:val="000000"/>
          <w:sz w:val="24"/>
        </w:rPr>
        <w:t>行业标准的挖掘机、装载机、工器具</w:t>
      </w:r>
      <w:r>
        <w:rPr>
          <w:rFonts w:hint="eastAsia" w:ascii="仿宋" w:hAnsi="仿宋" w:eastAsia="仿宋" w:cs="仿宋"/>
          <w:snapToGrid w:val="0"/>
          <w:color w:val="000000" w:themeColor="text1"/>
          <w:sz w:val="24"/>
          <w14:textFill>
            <w14:solidFill>
              <w14:schemeClr w14:val="tx1"/>
            </w14:solidFill>
          </w14:textFill>
        </w:rPr>
        <w:t>，并确保能随时（响应时间不超过30分钟/次）配合甲方生产需要（</w:t>
      </w:r>
      <w:r>
        <w:rPr>
          <w:rFonts w:ascii="仿宋" w:hAnsi="仿宋" w:eastAsia="仿宋" w:cs="仿宋"/>
          <w:snapToGrid w:val="0"/>
          <w:color w:val="000000" w:themeColor="text1"/>
          <w:sz w:val="24"/>
          <w14:textFill>
            <w14:solidFill>
              <w14:schemeClr w14:val="tx1"/>
            </w14:solidFill>
          </w14:textFill>
        </w:rPr>
        <w:t>包含且不仅限于难卸盐、</w:t>
      </w:r>
      <w:r>
        <w:rPr>
          <w:rFonts w:ascii="仿宋" w:hAnsi="仿宋" w:eastAsia="仿宋" w:cs="仿宋"/>
          <w:snapToGrid w:val="0"/>
          <w:color w:val="000000"/>
          <w:sz w:val="24"/>
        </w:rPr>
        <w:t>难抓盐</w:t>
      </w:r>
      <w:r>
        <w:rPr>
          <w:rFonts w:hint="eastAsia" w:ascii="仿宋" w:hAnsi="仿宋" w:eastAsia="仿宋" w:cs="仿宋"/>
          <w:snapToGrid w:val="0"/>
          <w:color w:val="000000"/>
          <w:sz w:val="24"/>
        </w:rPr>
        <w:t>、</w:t>
      </w:r>
      <w:r>
        <w:rPr>
          <w:rFonts w:ascii="仿宋" w:hAnsi="仿宋" w:eastAsia="仿宋" w:cs="仿宋"/>
          <w:snapToGrid w:val="0"/>
          <w:color w:val="000000"/>
          <w:sz w:val="24"/>
        </w:rPr>
        <w:t>盘库移库</w:t>
      </w:r>
      <w:r>
        <w:rPr>
          <w:rFonts w:hint="eastAsia" w:ascii="仿宋" w:hAnsi="仿宋" w:eastAsia="仿宋" w:cs="仿宋"/>
          <w:snapToGrid w:val="0"/>
          <w:color w:val="000000"/>
          <w:sz w:val="24"/>
        </w:rPr>
        <w:t>、</w:t>
      </w:r>
      <w:r>
        <w:rPr>
          <w:rFonts w:ascii="仿宋" w:hAnsi="仿宋" w:eastAsia="仿宋" w:cs="仿宋"/>
          <w:snapToGrid w:val="0"/>
          <w:color w:val="000000"/>
          <w:sz w:val="24"/>
        </w:rPr>
        <w:t>零星作业等）</w:t>
      </w:r>
      <w:r>
        <w:rPr>
          <w:rFonts w:hint="eastAsia" w:ascii="仿宋" w:hAnsi="仿宋" w:eastAsia="仿宋" w:cs="仿宋"/>
          <w:snapToGrid w:val="0"/>
          <w:color w:val="000000"/>
          <w:sz w:val="24"/>
        </w:rPr>
        <w:t>正常使用，使用时须严格执行相关安全操作规程，使用过程中所发生的风险由乙方自行承担。乙方自行承担挖掘机、装载机、工器具的相关年检、保险、维护、保养等费用。乙方挖掘机、装载机、工器具造成甲方、乙方、第三方遭受人身伤亡或财产损失，乙方赔偿一切损失。</w:t>
      </w:r>
    </w:p>
    <w:p w14:paraId="2A239DC9">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（五）3#4#盐仓难卸盐及零星作业产生的挖掘机、装载机费用由乙方自理。日常盘库移库、2#盐仓难卸盐作业，由甲方专人确认后作业的，挖掘机、装载机费用由甲方按卸盐化盐项目劳务费用结算价目表结算。</w:t>
      </w:r>
    </w:p>
    <w:p w14:paraId="745AEA5A">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w:t>
      </w:r>
      <w:r>
        <w:rPr>
          <w:rFonts w:ascii="仿宋" w:hAnsi="仿宋" w:eastAsia="仿宋" w:cs="仿宋"/>
          <w:snapToGrid w:val="0"/>
          <w:color w:val="000000" w:themeColor="text1"/>
          <w:sz w:val="24"/>
          <w14:textFill>
            <w14:solidFill>
              <w14:schemeClr w14:val="tx1"/>
            </w14:solidFill>
          </w14:textFill>
        </w:rPr>
        <w:t>六）</w:t>
      </w:r>
      <w:r>
        <w:rPr>
          <w:rFonts w:hint="eastAsia" w:ascii="仿宋" w:hAnsi="仿宋" w:eastAsia="仿宋" w:cs="仿宋"/>
          <w:snapToGrid w:val="0"/>
          <w:color w:val="000000" w:themeColor="text1"/>
          <w:sz w:val="24"/>
          <w14:textFill>
            <w14:solidFill>
              <w14:schemeClr w14:val="tx1"/>
            </w14:solidFill>
          </w14:textFill>
        </w:rPr>
        <w:t>2</w:t>
      </w:r>
      <w:r>
        <w:rPr>
          <w:rFonts w:ascii="仿宋" w:hAnsi="仿宋" w:eastAsia="仿宋" w:cs="仿宋"/>
          <w:snapToGrid w:val="0"/>
          <w:color w:val="000000" w:themeColor="text1"/>
          <w:sz w:val="24"/>
          <w14:textFill>
            <w14:solidFill>
              <w14:schemeClr w14:val="tx1"/>
            </w14:solidFill>
          </w14:textFill>
        </w:rPr>
        <w:t>#、</w:t>
      </w:r>
      <w:r>
        <w:rPr>
          <w:rFonts w:hint="eastAsia" w:ascii="仿宋" w:hAnsi="仿宋" w:eastAsia="仿宋" w:cs="仿宋"/>
          <w:snapToGrid w:val="0"/>
          <w:color w:val="000000" w:themeColor="text1"/>
          <w:sz w:val="24"/>
          <w14:textFill>
            <w14:solidFill>
              <w14:schemeClr w14:val="tx1"/>
            </w14:solidFill>
          </w14:textFill>
        </w:rPr>
        <w:t>3</w:t>
      </w:r>
      <w:r>
        <w:rPr>
          <w:rFonts w:ascii="仿宋" w:hAnsi="仿宋" w:eastAsia="仿宋" w:cs="仿宋"/>
          <w:snapToGrid w:val="0"/>
          <w:color w:val="000000" w:themeColor="text1"/>
          <w:sz w:val="24"/>
          <w14:textFill>
            <w14:solidFill>
              <w14:schemeClr w14:val="tx1"/>
            </w14:solidFill>
          </w14:textFill>
        </w:rPr>
        <w:t>#4#</w:t>
      </w:r>
      <w:r>
        <w:rPr>
          <w:rFonts w:hint="eastAsia" w:ascii="仿宋" w:hAnsi="仿宋" w:eastAsia="仿宋" w:cs="仿宋"/>
          <w:snapToGrid w:val="0"/>
          <w:color w:val="000000" w:themeColor="text1"/>
          <w:sz w:val="24"/>
          <w14:textFill>
            <w14:solidFill>
              <w14:schemeClr w14:val="tx1"/>
            </w14:solidFill>
          </w14:textFill>
        </w:rPr>
        <w:t>盐仓外的甲方（含巨塑公司）其他地方需挖掘机、装载机配合作业的，乙方须及时配合，挖掘机转运费用自理，作业费用按卸盐化盐项目劳务费用结算价目表结算</w:t>
      </w:r>
      <w:r>
        <w:rPr>
          <w:rFonts w:ascii="仿宋" w:hAnsi="仿宋" w:eastAsia="仿宋" w:cs="仿宋"/>
          <w:snapToGrid w:val="0"/>
          <w:color w:val="000000" w:themeColor="text1"/>
          <w:sz w:val="24"/>
          <w14:textFill>
            <w14:solidFill>
              <w14:schemeClr w14:val="tx1"/>
            </w14:solidFill>
          </w14:textFill>
        </w:rPr>
        <w:t>。</w:t>
      </w:r>
    </w:p>
    <w:p w14:paraId="43EE61F9">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（七）乙方严格按照甲方要求的盐种比例将原盐通过行车装卸至指定的盐斗，根据粗盐水比重及生产实际情况，通过皮带机将盐斗内的盐按需送入化盐设备，确保化盐桶产生的粗盐水比重在1.18-1.19</w:t>
      </w:r>
      <w:r>
        <w:rPr>
          <w:rFonts w:ascii="仿宋" w:hAnsi="仿宋" w:eastAsia="仿宋" w:cs="仿宋"/>
          <w:snapToGrid w:val="0"/>
          <w:color w:val="000000"/>
          <w:sz w:val="24"/>
        </w:rPr>
        <w:t>指标范围</w:t>
      </w:r>
      <w:r>
        <w:rPr>
          <w:rFonts w:hint="eastAsia" w:ascii="仿宋" w:hAnsi="仿宋" w:eastAsia="仿宋" w:cs="仿宋"/>
          <w:snapToGrid w:val="0"/>
          <w:color w:val="000000"/>
          <w:sz w:val="24"/>
        </w:rPr>
        <w:t>,</w:t>
      </w:r>
      <w:r>
        <w:rPr>
          <w:rFonts w:hint="eastAsia"/>
        </w:rPr>
        <w:t xml:space="preserve"> </w:t>
      </w:r>
      <w:r>
        <w:rPr>
          <w:rFonts w:hint="eastAsia" w:ascii="仿宋" w:hAnsi="仿宋" w:eastAsia="仿宋" w:cs="仿宋"/>
          <w:snapToGrid w:val="0"/>
          <w:color w:val="000000"/>
          <w:sz w:val="24"/>
        </w:rPr>
        <w:t>稳定精盐水含氯化钠305±5g/l</w:t>
      </w:r>
      <w:r>
        <w:rPr>
          <w:rFonts w:ascii="仿宋" w:hAnsi="仿宋" w:eastAsia="仿宋" w:cs="仿宋"/>
          <w:snapToGrid w:val="0"/>
          <w:color w:val="000000"/>
          <w:sz w:val="24"/>
        </w:rPr>
        <w:t>，</w:t>
      </w:r>
      <w:r>
        <w:rPr>
          <w:rFonts w:hint="eastAsia" w:ascii="仿宋" w:hAnsi="仿宋" w:eastAsia="仿宋" w:cs="仿宋"/>
          <w:snapToGrid w:val="0"/>
          <w:color w:val="000000"/>
          <w:sz w:val="24"/>
        </w:rPr>
        <w:t>以满足生产要求。</w:t>
      </w:r>
    </w:p>
    <w:p w14:paraId="05C11BB4">
      <w:pPr>
        <w:pStyle w:val="44"/>
        <w:autoSpaceDE w:val="0"/>
        <w:autoSpaceDN w:val="0"/>
        <w:spacing w:line="360" w:lineRule="auto"/>
        <w:ind w:firstLine="480"/>
        <w:rPr>
          <w:rFonts w:ascii="仿宋" w:hAnsi="仿宋" w:eastAsia="仿宋" w:cs="仿宋"/>
          <w:snapToGrid w:val="0"/>
          <w:color w:val="000000"/>
          <w:sz w:val="24"/>
        </w:rPr>
      </w:pPr>
      <w:r>
        <w:rPr>
          <w:rFonts w:hint="eastAsia" w:ascii="仿宋" w:hAnsi="仿宋" w:eastAsia="仿宋" w:cs="仿宋"/>
          <w:snapToGrid w:val="0"/>
          <w:color w:val="000000"/>
          <w:sz w:val="24"/>
        </w:rPr>
        <w:t>（八）乙方及时清理化盐桶及折流槽内的垃圾、杂物，确保盐水流通流量，防止盐水溢流满出，折流槽后盐水无大颗粒杂物。每班对折流槽、化盐桶内桶、皮带机四周及底部原盐各清理不少于1次。化盐桶垃圾临时堆放点每半个月清理1次。当缓冲罐出口过滤器或前反应罐出口过滤器堵塞时，及时对过滤器内的杂物进行清理。</w:t>
      </w:r>
    </w:p>
    <w:p w14:paraId="5A8F9A04">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九）乙方按甲方要求对区域内行车、皮带机、化盐桶等指定设备、管道检查维护，发现异常需检修的，乙方须及时报修，并配合甲方检修。乙方负责区域内化盐桶、上盐皮带机的一级保养工作，包括设备润滑、设备清洁、螺栓紧固、皮带跑偏调整、设备试运行等，并做好记录，甲方提供基本保养材料、易耗品。</w:t>
      </w:r>
    </w:p>
    <w:p w14:paraId="6714C5EF">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（十）乙方及时在1#-4#化盐桶有效容积无法满足生产前做好化盐桶的清理，并将垃圾送往指定地点处理。</w:t>
      </w:r>
    </w:p>
    <w:p w14:paraId="2355DBE8">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（十一）乙方雇员必须遵守所在岗位的劳动、工艺、安全纪律。</w:t>
      </w:r>
    </w:p>
    <w:p w14:paraId="21C40F41">
      <w:pPr>
        <w:autoSpaceDE w:val="0"/>
        <w:autoSpaceDN w:val="0"/>
        <w:spacing w:line="360" w:lineRule="auto"/>
        <w:ind w:firstLine="482" w:firstLineChars="200"/>
        <w:rPr>
          <w:rFonts w:ascii="仿宋" w:hAnsi="仿宋" w:eastAsia="仿宋" w:cs="仿宋"/>
          <w:b/>
          <w:snapToGrid w:val="0"/>
          <w:color w:val="000000"/>
          <w:sz w:val="24"/>
        </w:rPr>
      </w:pPr>
      <w:r>
        <w:rPr>
          <w:rFonts w:hint="eastAsia" w:ascii="仿宋" w:hAnsi="仿宋" w:eastAsia="仿宋" w:cs="仿宋"/>
          <w:b/>
          <w:snapToGrid w:val="0"/>
          <w:color w:val="000000"/>
          <w:sz w:val="24"/>
        </w:rPr>
        <w:t>三、甲方权利和义务</w:t>
      </w:r>
    </w:p>
    <w:p w14:paraId="6717A61A">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一）甲方依工作岗位的要求对乙方雇员进行安全生产、劳动纪律等方面的培训与教育(包括各类规章制度及生产应急处置等)，对于乙方雇员的职业道德规范、工作任务及要求、应注意的安全事项、应遵守的各项纪律等履行告知义务。</w:t>
      </w:r>
    </w:p>
    <w:p w14:paraId="7515A8CD">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（二）工作期间,乙方雇员有以下情形之一的,甲方有权立即将其退回乙方。</w:t>
      </w:r>
    </w:p>
    <w:p w14:paraId="405C2A4B">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1.不能胜任甲方工作的;</w:t>
      </w:r>
    </w:p>
    <w:p w14:paraId="642D6965">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2.严重违反甲方规章制度的;</w:t>
      </w:r>
    </w:p>
    <w:p w14:paraId="0A0814AF">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3.被依法追究刑事责任的;</w:t>
      </w:r>
    </w:p>
    <w:p w14:paraId="1D22E66D">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4.严重失职,营私舞弊,给甲方造成重大损害的;</w:t>
      </w:r>
    </w:p>
    <w:p w14:paraId="58AEB48A">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5.法律、法规规定的其他情形。</w:t>
      </w:r>
    </w:p>
    <w:p w14:paraId="42A9CF1E">
      <w:pPr>
        <w:autoSpaceDE w:val="0"/>
        <w:autoSpaceDN w:val="0"/>
        <w:spacing w:line="360" w:lineRule="auto"/>
        <w:ind w:firstLine="480" w:firstLineChars="200"/>
        <w:rPr>
          <w:rFonts w:ascii="仿宋" w:hAnsi="仿宋" w:eastAsia="仿宋" w:cs="仿宋"/>
          <w:b/>
          <w:snapToGrid w:val="0"/>
          <w:color w:val="000000"/>
          <w:sz w:val="24"/>
        </w:rPr>
      </w:pPr>
      <w:r>
        <w:rPr>
          <w:rFonts w:hint="eastAsia" w:ascii="仿宋" w:hAnsi="仿宋" w:eastAsia="仿宋" w:cs="仿宋"/>
          <w:snapToGrid w:val="0"/>
          <w:color w:val="000000"/>
          <w:sz w:val="24"/>
        </w:rPr>
        <w:t>（三）对乙方不履行合同的,甲方有权追究其违约责任。</w:t>
      </w:r>
    </w:p>
    <w:p w14:paraId="34EB013F">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（四）对乙方违反甲方生产、安全管理制度的行为，甲方有权要求乙方立即改正、对乙方进行处罚。</w:t>
      </w:r>
    </w:p>
    <w:p w14:paraId="50051ADE">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（五）有权对乙方服务质量、服务能力、服务态度、设施设备等进行指导和监督,并督促乙方及时改进工作以共同创造良好的企业形象和作业环境。</w:t>
      </w:r>
    </w:p>
    <w:p w14:paraId="21B00E9E">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（六）甲方提出有利于提升甲方公司形象及提高服务水平的意见和建议,乙方必须遵照执行。</w:t>
      </w:r>
    </w:p>
    <w:p w14:paraId="3A4D02D4">
      <w:pPr>
        <w:autoSpaceDE w:val="0"/>
        <w:autoSpaceDN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四、乙方权利和义务</w:t>
      </w:r>
    </w:p>
    <w:p w14:paraId="7B845633">
      <w:pPr>
        <w:autoSpaceDE w:val="0"/>
        <w:autoSpaceDN w:val="0"/>
        <w:spacing w:line="360" w:lineRule="auto"/>
        <w:ind w:firstLine="420"/>
        <w:rPr>
          <w:rFonts w:ascii="仿宋" w:hAnsi="仿宋" w:eastAsia="仿宋" w:cs="仿宋"/>
          <w:bCs/>
          <w:snapToGrid w:val="0"/>
          <w:color w:val="000000"/>
          <w:sz w:val="24"/>
        </w:rPr>
      </w:pPr>
      <w:r>
        <w:rPr>
          <w:rFonts w:hint="eastAsia" w:ascii="仿宋" w:hAnsi="仿宋" w:eastAsia="仿宋" w:cs="仿宋"/>
          <w:bCs/>
          <w:snapToGrid w:val="0"/>
          <w:color w:val="000000"/>
          <w:sz w:val="24"/>
        </w:rPr>
        <w:t>（一）乙方全面负责其雇员的劳务用工管理、劳动关系管理、项目管理、安全生产管理、纪律管理、工作协调、劳动保护、费用结算、劳动纠纷处理与社会保险办理等事项，并协调、处理涉及以上所有事宜。乙方应配备安全管理员。</w:t>
      </w:r>
    </w:p>
    <w:p w14:paraId="23836959">
      <w:pPr>
        <w:autoSpaceDE w:val="0"/>
        <w:autoSpaceDN w:val="0"/>
        <w:spacing w:line="360" w:lineRule="auto"/>
        <w:ind w:firstLine="420"/>
        <w:rPr>
          <w:rFonts w:ascii="仿宋" w:hAnsi="仿宋" w:eastAsia="仿宋" w:cs="仿宋"/>
          <w:bCs/>
          <w:snapToGrid w:val="0"/>
          <w:color w:val="000000"/>
          <w:sz w:val="24"/>
        </w:rPr>
      </w:pPr>
      <w:r>
        <w:rPr>
          <w:rFonts w:hint="eastAsia" w:ascii="仿宋" w:hAnsi="仿宋" w:eastAsia="仿宋" w:cs="仿宋"/>
          <w:bCs/>
          <w:snapToGrid w:val="0"/>
          <w:color w:val="000000"/>
          <w:sz w:val="24"/>
        </w:rPr>
        <w:t>（二）乙方应当根据甲方的用工要求安排符合条件劳务人员：身体健康，品行良好，持证上岗，男性劳务人员年龄为60周岁以下,女性劳务人员为55周岁以下。乙方为其雇员提供符合国家规定的劳动安全卫生设施和必要的劳动防护用品，加强职业病防范，按国家《职业病防治法》做好其雇员的职业健康管理。</w:t>
      </w:r>
    </w:p>
    <w:p w14:paraId="55411C4E">
      <w:pPr>
        <w:autoSpaceDE w:val="0"/>
        <w:autoSpaceDN w:val="0"/>
        <w:spacing w:line="360" w:lineRule="auto"/>
        <w:ind w:firstLine="420"/>
        <w:rPr>
          <w:rFonts w:ascii="仿宋" w:hAnsi="仿宋" w:eastAsia="仿宋" w:cs="仿宋"/>
          <w:bCs/>
          <w:snapToGrid w:val="0"/>
          <w:color w:val="000000"/>
          <w:sz w:val="24"/>
        </w:rPr>
      </w:pPr>
      <w:r>
        <w:rPr>
          <w:rFonts w:hint="eastAsia" w:ascii="仿宋" w:hAnsi="仿宋" w:eastAsia="仿宋" w:cs="仿宋"/>
          <w:bCs/>
          <w:snapToGrid w:val="0"/>
          <w:color w:val="000000"/>
          <w:sz w:val="24"/>
        </w:rPr>
        <w:t>（三）乙方必须为其雇员办理工伤保险或每人保额不低于100万的意外伤害险、雇主责任险，保险未办理齐全不得开工。</w:t>
      </w:r>
    </w:p>
    <w:p w14:paraId="251DA253">
      <w:pPr>
        <w:autoSpaceDE w:val="0"/>
        <w:autoSpaceDN w:val="0"/>
        <w:spacing w:line="360" w:lineRule="auto"/>
        <w:ind w:firstLine="420"/>
        <w:rPr>
          <w:rFonts w:ascii="仿宋" w:hAnsi="仿宋" w:eastAsia="仿宋" w:cs="仿宋"/>
          <w:b/>
          <w:snapToGrid w:val="0"/>
          <w:color w:val="000000"/>
          <w:sz w:val="24"/>
        </w:rPr>
      </w:pPr>
      <w:r>
        <w:rPr>
          <w:rFonts w:hint="eastAsia" w:ascii="仿宋" w:hAnsi="仿宋" w:eastAsia="仿宋" w:cs="仿宋"/>
          <w:bCs/>
          <w:snapToGrid w:val="0"/>
          <w:color w:val="000000"/>
          <w:sz w:val="24"/>
        </w:rPr>
        <w:t>（四）乙方必须依法与其雇员签订劳动合同，同时将甲乙双方签订劳务协议的事实告知其雇员，并且作为乙方和其雇员签订劳动合同的其中一项条款。乙方和其雇员签订的劳动合同提供给甲方备案，每月及时向其雇员发放薪资福利和依法缴纳社会保险等，乙方雇员与甲方无任何劳动关系。</w:t>
      </w:r>
    </w:p>
    <w:p w14:paraId="4A2DFABA">
      <w:pPr>
        <w:autoSpaceDE w:val="0"/>
        <w:autoSpaceDN w:val="0"/>
        <w:spacing w:line="360" w:lineRule="auto"/>
        <w:ind w:firstLine="480" w:firstLineChars="200"/>
        <w:rPr>
          <w:rFonts w:ascii="仿宋" w:hAnsi="仿宋" w:eastAsia="仿宋" w:cs="仿宋"/>
          <w:bCs/>
          <w:snapToGrid w:val="0"/>
          <w:color w:val="000000"/>
          <w:sz w:val="24"/>
        </w:rPr>
      </w:pPr>
      <w:r>
        <w:rPr>
          <w:rFonts w:hint="eastAsia" w:ascii="仿宋" w:hAnsi="仿宋" w:eastAsia="仿宋" w:cs="仿宋"/>
          <w:bCs/>
          <w:snapToGrid w:val="0"/>
          <w:color w:val="000000"/>
          <w:sz w:val="24"/>
        </w:rPr>
        <w:t>（五）乙方对其</w:t>
      </w:r>
      <w:r>
        <w:rPr>
          <w:rFonts w:hint="eastAsia" w:ascii="仿宋" w:hAnsi="仿宋" w:eastAsia="仿宋" w:cs="仿宋"/>
          <w:bCs/>
          <w:snapToGrid w:val="0"/>
          <w:color w:val="000000" w:themeColor="text1"/>
          <w:sz w:val="24"/>
          <w14:textFill>
            <w14:solidFill>
              <w14:schemeClr w14:val="tx1"/>
            </w14:solidFill>
          </w14:textFill>
        </w:rPr>
        <w:t>新</w:t>
      </w:r>
      <w:r>
        <w:rPr>
          <w:rFonts w:hint="eastAsia" w:ascii="仿宋" w:hAnsi="仿宋" w:eastAsia="仿宋" w:cs="仿宋"/>
          <w:bCs/>
          <w:snapToGrid w:val="0"/>
          <w:color w:val="000000"/>
          <w:sz w:val="24"/>
        </w:rPr>
        <w:t>雇员进行必要的教育培训，同时应当进行必要的生产技能和甲方规章制度以及安全生产知识的教育培训。乙方雇员必须严格遵守甲方各项规章制度，给甲方造成经济损失的，由乙方承担。</w:t>
      </w:r>
    </w:p>
    <w:p w14:paraId="4DF97D0C">
      <w:pPr>
        <w:autoSpaceDE w:val="0"/>
        <w:autoSpaceDN w:val="0"/>
        <w:spacing w:line="360" w:lineRule="auto"/>
        <w:ind w:firstLine="420"/>
        <w:rPr>
          <w:rFonts w:ascii="仿宋" w:hAnsi="仿宋" w:eastAsia="仿宋" w:cs="仿宋"/>
          <w:bCs/>
          <w:snapToGrid w:val="0"/>
          <w:color w:val="000000"/>
          <w:sz w:val="24"/>
        </w:rPr>
      </w:pPr>
      <w:r>
        <w:rPr>
          <w:rFonts w:hint="eastAsia" w:ascii="仿宋" w:hAnsi="仿宋" w:eastAsia="仿宋" w:cs="仿宋"/>
          <w:bCs/>
          <w:snapToGrid w:val="0"/>
          <w:color w:val="000000"/>
          <w:sz w:val="24"/>
        </w:rPr>
        <w:t>（六）乙方负责处理其雇员的违纪违规行为，对乙方雇员的违法违纪行为，甲方有权直接报告当地公安机关。</w:t>
      </w:r>
    </w:p>
    <w:p w14:paraId="7BF3E934">
      <w:pPr>
        <w:autoSpaceDE w:val="0"/>
        <w:autoSpaceDN w:val="0"/>
        <w:spacing w:line="360" w:lineRule="auto"/>
        <w:ind w:firstLine="420"/>
        <w:rPr>
          <w:rFonts w:ascii="仿宋" w:hAnsi="仿宋" w:eastAsia="仿宋" w:cs="仿宋"/>
          <w:bCs/>
          <w:snapToGrid w:val="0"/>
          <w:color w:val="000000"/>
          <w:sz w:val="24"/>
        </w:rPr>
      </w:pPr>
      <w:r>
        <w:rPr>
          <w:rFonts w:hint="eastAsia" w:ascii="仿宋" w:hAnsi="仿宋" w:eastAsia="仿宋" w:cs="仿宋"/>
          <w:bCs/>
          <w:snapToGrid w:val="0"/>
          <w:color w:val="000000"/>
          <w:sz w:val="24"/>
        </w:rPr>
        <w:t>（七）乙方应对其所有员工提供保险并负一切安全责任，如有发生疾病、工伤、死亡事故，其所发生之损害费用均由乙方自理，与甲方无涉。因乙方之原因造成甲方或其他人员、设备的伤害由乙方负责。</w:t>
      </w:r>
    </w:p>
    <w:p w14:paraId="44B65FBE">
      <w:pPr>
        <w:autoSpaceDE w:val="0"/>
        <w:autoSpaceDN w:val="0"/>
        <w:spacing w:line="360" w:lineRule="auto"/>
        <w:ind w:firstLine="420"/>
        <w:rPr>
          <w:rFonts w:ascii="仿宋" w:hAnsi="仿宋" w:eastAsia="仿宋" w:cs="仿宋"/>
          <w:b/>
          <w:snapToGrid w:val="0"/>
          <w:color w:val="000000"/>
          <w:sz w:val="24"/>
        </w:rPr>
      </w:pPr>
      <w:r>
        <w:rPr>
          <w:rFonts w:hint="eastAsia" w:ascii="仿宋" w:hAnsi="仿宋" w:eastAsia="仿宋" w:cs="仿宋"/>
          <w:bCs/>
          <w:snapToGrid w:val="0"/>
          <w:color w:val="000000"/>
          <w:sz w:val="24"/>
        </w:rPr>
        <w:t>（八）对甲方不履行合同的，乙方有权追究其违约责任。</w:t>
      </w:r>
    </w:p>
    <w:p w14:paraId="0FF5E951">
      <w:pPr>
        <w:autoSpaceDE w:val="0"/>
        <w:autoSpaceDN w:val="0"/>
        <w:spacing w:line="360" w:lineRule="auto"/>
        <w:ind w:firstLine="420"/>
        <w:rPr>
          <w:rFonts w:ascii="仿宋" w:hAnsi="仿宋" w:eastAsia="仿宋" w:cs="仿宋"/>
          <w:snapToGrid w:val="0"/>
          <w:color w:val="000000"/>
          <w:sz w:val="24"/>
        </w:rPr>
      </w:pPr>
      <w:r>
        <w:rPr>
          <w:rFonts w:hint="eastAsia" w:ascii="仿宋" w:hAnsi="仿宋" w:eastAsia="仿宋" w:cs="仿宋"/>
          <w:snapToGrid w:val="0"/>
          <w:color w:val="000000"/>
          <w:sz w:val="24"/>
        </w:rPr>
        <w:t>（九）乙方雇员上岗前严禁饮酒、服用国家管制的精神、麻醉药品，按规定穿戴劳动防护用品。特种车辆操作人员必须取得由衢州市特种车辆管理机构颁发的、齐全有效的证照。</w:t>
      </w:r>
    </w:p>
    <w:p w14:paraId="2219D84E">
      <w:pPr>
        <w:autoSpaceDE w:val="0"/>
        <w:autoSpaceDN w:val="0"/>
        <w:spacing w:line="360" w:lineRule="auto"/>
        <w:ind w:firstLine="420"/>
        <w:rPr>
          <w:rFonts w:ascii="仿宋" w:hAnsi="仿宋" w:eastAsia="仿宋" w:cs="仿宋"/>
          <w:snapToGrid w:val="0"/>
          <w:color w:val="000000"/>
          <w:sz w:val="24"/>
        </w:rPr>
      </w:pPr>
      <w:r>
        <w:rPr>
          <w:rFonts w:hint="eastAsia" w:ascii="仿宋" w:hAnsi="仿宋" w:eastAsia="仿宋" w:cs="仿宋"/>
          <w:snapToGrid w:val="0"/>
          <w:color w:val="000000"/>
          <w:sz w:val="24"/>
        </w:rPr>
        <w:t>（十）乙方因违反国家法律、法规和甲方的规章制度，违反本合同约定的相关规定，发生的一切机具、车辆、设备、材料等损失,以及与第三方的任何纠纷及任何事故,乙方承担全部责任,并将相关情况和处理结果及时报告甲方。</w:t>
      </w:r>
    </w:p>
    <w:p w14:paraId="3CA84BD9">
      <w:pPr>
        <w:autoSpaceDE w:val="0"/>
        <w:autoSpaceDN w:val="0"/>
        <w:spacing w:line="360" w:lineRule="auto"/>
        <w:ind w:firstLine="420"/>
        <w:rPr>
          <w:rFonts w:ascii="仿宋" w:hAnsi="仿宋" w:eastAsia="仿宋" w:cs="仿宋"/>
          <w:snapToGrid w:val="0"/>
          <w:color w:val="000000"/>
          <w:sz w:val="24"/>
        </w:rPr>
      </w:pPr>
      <w:r>
        <w:rPr>
          <w:rFonts w:hint="eastAsia" w:ascii="仿宋" w:hAnsi="仿宋" w:eastAsia="仿宋" w:cs="仿宋"/>
          <w:snapToGrid w:val="0"/>
          <w:color w:val="000000"/>
          <w:sz w:val="24"/>
        </w:rPr>
        <w:t>（十一）乙方在合同约定的业务承包作业中所发生的任何安全、环保等事件，均由乙方负责, 但应第一时间(30分钟内)报告甲方。由乙方造成、发生重大伤亡及其他安全事故，应按有关规定立即上报有关部门，同时按政府有关部门要求处理，承担发生的一切费用，并赔偿甲方的损失。</w:t>
      </w:r>
    </w:p>
    <w:p w14:paraId="0099C5A1">
      <w:pPr>
        <w:autoSpaceDE w:val="0"/>
        <w:autoSpaceDN w:val="0"/>
        <w:spacing w:line="360" w:lineRule="auto"/>
        <w:ind w:firstLine="420"/>
        <w:rPr>
          <w:rFonts w:ascii="仿宋" w:hAnsi="仿宋" w:eastAsia="仿宋" w:cs="仿宋"/>
          <w:snapToGrid w:val="0"/>
          <w:color w:val="000000"/>
          <w:sz w:val="24"/>
        </w:rPr>
      </w:pPr>
      <w:r>
        <w:rPr>
          <w:rFonts w:hint="eastAsia" w:ascii="仿宋" w:hAnsi="仿宋" w:eastAsia="仿宋" w:cs="仿宋"/>
          <w:snapToGrid w:val="0"/>
          <w:color w:val="000000"/>
          <w:sz w:val="24"/>
        </w:rPr>
        <w:t>（十二）乙方执行临时用工(点工)时,依据先审批后执行的原则,无审批可拒绝作业。</w:t>
      </w:r>
    </w:p>
    <w:p w14:paraId="4D0D97E9">
      <w:pPr>
        <w:autoSpaceDE w:val="0"/>
        <w:autoSpaceDN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五、费用结算、支付与监督</w:t>
      </w:r>
    </w:p>
    <w:p w14:paraId="1F7C5AC4">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（一）发包方依据承包方完成本标段承包业务按月通过</w:t>
      </w:r>
      <w:r>
        <w:rPr>
          <w:rFonts w:ascii="仿宋" w:hAnsi="仿宋" w:eastAsia="仿宋" w:cs="仿宋"/>
          <w:snapToGrid w:val="0"/>
          <w:color w:val="000000"/>
          <w:sz w:val="24"/>
        </w:rPr>
        <w:t>银行转账</w:t>
      </w:r>
      <w:r>
        <w:rPr>
          <w:rFonts w:hint="eastAsia" w:ascii="仿宋" w:hAnsi="仿宋" w:eastAsia="仿宋" w:cs="仿宋"/>
          <w:snapToGrid w:val="0"/>
          <w:color w:val="000000"/>
          <w:sz w:val="24"/>
        </w:rPr>
        <w:t>向承包方支付劳务费。各项费用在实际发生的次月结算。结算时按发包方招标文件《卸盐化盐项目劳务费用结算价目表》的劳务费报价×投标结算率</w:t>
      </w:r>
      <w:r>
        <w:rPr>
          <w:rFonts w:hint="eastAsia" w:ascii="仿宋" w:hAnsi="仿宋" w:eastAsia="仿宋" w:cs="仿宋"/>
          <w:snapToGrid w:val="0"/>
          <w:color w:val="000000"/>
          <w:sz w:val="24"/>
          <w:u w:val="single"/>
        </w:rPr>
        <w:t xml:space="preserve">    </w:t>
      </w:r>
      <w:r>
        <w:rPr>
          <w:rFonts w:ascii="仿宋" w:hAnsi="仿宋" w:eastAsia="仿宋" w:cs="仿宋"/>
          <w:snapToGrid w:val="0"/>
          <w:color w:val="000000"/>
          <w:sz w:val="24"/>
        </w:rPr>
        <w:t>%</w:t>
      </w:r>
      <w:r>
        <w:rPr>
          <w:rFonts w:hint="eastAsia" w:ascii="仿宋" w:hAnsi="仿宋" w:eastAsia="仿宋" w:cs="仿宋"/>
          <w:snapToGrid w:val="0"/>
          <w:color w:val="000000"/>
          <w:sz w:val="24"/>
        </w:rPr>
        <w:t>计算劳务费用。劳务费报价已包含基本工资、劳保用品、福利、门禁、住宿、餐费、交通、税收、管理费、社会保险、入职和职业健康体检、法定节假日加班费、夜餐津贴、高温津贴等费用。如承包方有违约行为，发包方有权从承包方劳务费中扣除违约赔偿金等。</w:t>
      </w:r>
    </w:p>
    <w:p w14:paraId="5B6D7481">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（二）经发包方指定负责人及主管部门审核通过后支付，承包方应为发包方开具税率为</w:t>
      </w:r>
      <w:r>
        <w:rPr>
          <w:rFonts w:hint="eastAsia" w:ascii="仿宋" w:hAnsi="仿宋" w:eastAsia="仿宋" w:cs="仿宋"/>
          <w:snapToGrid w:val="0"/>
          <w:color w:val="000000"/>
          <w:sz w:val="24"/>
          <w:u w:val="single"/>
        </w:rPr>
        <w:t xml:space="preserve"> 6 </w:t>
      </w:r>
      <w:r>
        <w:rPr>
          <w:rFonts w:hint="eastAsia" w:ascii="仿宋" w:hAnsi="仿宋" w:eastAsia="仿宋" w:cs="仿宋"/>
          <w:snapToGrid w:val="0"/>
          <w:color w:val="000000"/>
          <w:sz w:val="24"/>
        </w:rPr>
        <w:t>%的增值税专用发票；开具低于</w:t>
      </w:r>
      <w:r>
        <w:rPr>
          <w:rFonts w:hint="eastAsia" w:ascii="仿宋" w:hAnsi="仿宋" w:eastAsia="仿宋" w:cs="仿宋"/>
          <w:snapToGrid w:val="0"/>
          <w:color w:val="000000"/>
          <w:sz w:val="24"/>
          <w:u w:val="single"/>
        </w:rPr>
        <w:t xml:space="preserve">   </w:t>
      </w:r>
      <w:r>
        <w:rPr>
          <w:rFonts w:hint="eastAsia" w:ascii="仿宋" w:hAnsi="仿宋" w:eastAsia="仿宋" w:cs="仿宋"/>
          <w:snapToGrid w:val="0"/>
          <w:color w:val="000000"/>
          <w:sz w:val="24"/>
        </w:rPr>
        <w:t>%的增值税专用发票的，总价相应下浮。</w:t>
      </w:r>
    </w:p>
    <w:p w14:paraId="31C71495">
      <w:pPr>
        <w:autoSpaceDE w:val="0"/>
        <w:autoSpaceDN w:val="0"/>
        <w:spacing w:line="360" w:lineRule="auto"/>
        <w:ind w:firstLine="482" w:firstLineChars="200"/>
        <w:rPr>
          <w:rFonts w:ascii="仿宋" w:hAnsi="仿宋" w:eastAsia="仿宋" w:cs="仿宋"/>
          <w:b/>
          <w:snapToGrid w:val="0"/>
          <w:color w:val="000000"/>
          <w:sz w:val="24"/>
        </w:rPr>
      </w:pPr>
      <w:r>
        <w:rPr>
          <w:rFonts w:hint="eastAsia" w:ascii="仿宋" w:hAnsi="仿宋" w:eastAsia="仿宋" w:cs="仿宋"/>
          <w:b/>
          <w:snapToGrid w:val="0"/>
          <w:color w:val="000000"/>
          <w:sz w:val="24"/>
        </w:rPr>
        <w:t>六、合同提前变更、终止与解除的条件</w:t>
      </w:r>
    </w:p>
    <w:p w14:paraId="262720FD">
      <w:pPr>
        <w:autoSpaceDE w:val="0"/>
        <w:autoSpaceDN w:val="0"/>
        <w:spacing w:line="360" w:lineRule="auto"/>
        <w:ind w:firstLine="480" w:firstLineChars="200"/>
        <w:rPr>
          <w:rFonts w:ascii="仿宋" w:hAnsi="仿宋" w:eastAsia="仿宋" w:cs="仿宋"/>
          <w:bCs/>
          <w:snapToGrid w:val="0"/>
          <w:color w:val="000000" w:themeColor="text1"/>
          <w:sz w:val="24"/>
          <w14:textFill>
            <w14:solidFill>
              <w14:schemeClr w14:val="tx1"/>
            </w14:solidFill>
          </w14:textFill>
        </w:rPr>
      </w:pPr>
      <w:r>
        <w:rPr>
          <w:rFonts w:hint="eastAsia" w:ascii="仿宋" w:hAnsi="仿宋" w:eastAsia="仿宋" w:cs="仿宋"/>
          <w:bCs/>
          <w:snapToGrid w:val="0"/>
          <w:color w:val="000000" w:themeColor="text1"/>
          <w:sz w:val="24"/>
          <w14:textFill>
            <w14:solidFill>
              <w14:schemeClr w14:val="tx1"/>
            </w14:solidFill>
          </w14:textFill>
        </w:rPr>
        <w:t>（一）甲乙双方商定，如合同当事人一方遇有下列情形之一的，经提前30日以书面形式通知另一方当事人，本合同可以提前变更、终止与解除。</w:t>
      </w:r>
    </w:p>
    <w:p w14:paraId="50C93F59">
      <w:pPr>
        <w:autoSpaceDE w:val="0"/>
        <w:autoSpaceDN w:val="0"/>
        <w:spacing w:line="360" w:lineRule="auto"/>
        <w:ind w:firstLine="480" w:firstLineChars="200"/>
        <w:rPr>
          <w:rFonts w:ascii="仿宋" w:hAnsi="仿宋" w:eastAsia="仿宋" w:cs="仿宋"/>
          <w:bCs/>
          <w:snapToGrid w:val="0"/>
          <w:color w:val="000000" w:themeColor="text1"/>
          <w:sz w:val="24"/>
          <w14:textFill>
            <w14:solidFill>
              <w14:schemeClr w14:val="tx1"/>
            </w14:solidFill>
          </w14:textFill>
        </w:rPr>
      </w:pPr>
      <w:r>
        <w:rPr>
          <w:rFonts w:hint="eastAsia" w:ascii="仿宋" w:hAnsi="仿宋" w:eastAsia="仿宋" w:cs="仿宋"/>
          <w:bCs/>
          <w:snapToGrid w:val="0"/>
          <w:color w:val="000000" w:themeColor="text1"/>
          <w:sz w:val="24"/>
          <w14:textFill>
            <w14:solidFill>
              <w14:schemeClr w14:val="tx1"/>
            </w14:solidFill>
          </w14:textFill>
        </w:rPr>
        <w:t>1.经双方协商一致的。</w:t>
      </w:r>
    </w:p>
    <w:p w14:paraId="09463F63">
      <w:pPr>
        <w:autoSpaceDE w:val="0"/>
        <w:autoSpaceDN w:val="0"/>
        <w:spacing w:line="360" w:lineRule="auto"/>
        <w:ind w:firstLine="480" w:firstLineChars="200"/>
        <w:rPr>
          <w:rFonts w:ascii="仿宋" w:hAnsi="仿宋" w:eastAsia="仿宋" w:cs="仿宋"/>
          <w:bCs/>
          <w:snapToGrid w:val="0"/>
          <w:color w:val="000000" w:themeColor="text1"/>
          <w:sz w:val="24"/>
          <w14:textFill>
            <w14:solidFill>
              <w14:schemeClr w14:val="tx1"/>
            </w14:solidFill>
          </w14:textFill>
        </w:rPr>
      </w:pPr>
      <w:r>
        <w:rPr>
          <w:rFonts w:hint="eastAsia" w:ascii="仿宋" w:hAnsi="仿宋" w:eastAsia="仿宋" w:cs="仿宋"/>
          <w:bCs/>
          <w:snapToGrid w:val="0"/>
          <w:color w:val="000000" w:themeColor="text1"/>
          <w:sz w:val="24"/>
          <w14:textFill>
            <w14:solidFill>
              <w14:schemeClr w14:val="tx1"/>
            </w14:solidFill>
          </w14:textFill>
        </w:rPr>
        <w:t>2.遇有不可抗力因素或经营发生困难，致使本合同（协议）无法履行的。</w:t>
      </w:r>
    </w:p>
    <w:p w14:paraId="0BDC10E0">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3.甲乙双方经平等协商可以变更合同的内容。因合同订立时所依据的法律、规章、政策已经修改，甲乙双方有权变更合同的内容。甲方有权根据实际状况变化，缩减劳务外包业务，同时变更本协议的相关事项。</w:t>
      </w:r>
    </w:p>
    <w:p w14:paraId="56EC3F15">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4.协议期满，即终止执行。</w:t>
      </w:r>
    </w:p>
    <w:p w14:paraId="2EAA7E9D">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sz w:val="24"/>
        </w:rPr>
        <w:t>5.因乙方违反国家法律、法规和甲方的规章制度及本合同的约定,造成事故或较大损失的,除按合同规定由乙方承担责任和费用外,甲方有权终止合同。</w:t>
      </w:r>
    </w:p>
    <w:p w14:paraId="6E8AAD77">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（二）下列情况之一，甲方提前15天通知乙方可以变更、终止与解除本合同。</w:t>
      </w:r>
    </w:p>
    <w:p w14:paraId="769185F1">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1.乙方不能履行协议义务，影响甲方生产经营的。</w:t>
      </w:r>
    </w:p>
    <w:p w14:paraId="5C18709E">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2.签订协议时，依据的外包内容发生变化的。</w:t>
      </w:r>
    </w:p>
    <w:p w14:paraId="7D1D1788">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3.甲方对外发包内容用于内部安置富余员工的。</w:t>
      </w:r>
    </w:p>
    <w:p w14:paraId="231674C3">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4.甲方上级主管部门规定需要精简压缩劳务用工的。</w:t>
      </w:r>
    </w:p>
    <w:p w14:paraId="1CDD8F39">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sz w:val="24"/>
        </w:rPr>
        <w:t>5.甲方生产因产品结构性调整或技改引起工艺流程的改变及其它原因,不需要劳务用工的,甲方有权终止合同。</w:t>
      </w:r>
    </w:p>
    <w:p w14:paraId="04C4249C">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（三）下列情况之一，乙方提前15天通知甲方可以变更、终止与解除本合同。</w:t>
      </w:r>
    </w:p>
    <w:p w14:paraId="7CFE0B4E">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1.经国家有关部门确认，甲方劳动安全、卫生条件恶劣，严重危害乙方外包人员身体健康的。</w:t>
      </w:r>
    </w:p>
    <w:p w14:paraId="05C0DB80">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2.甲方不能按照协议规定支付外包劳务费用的。</w:t>
      </w:r>
    </w:p>
    <w:p w14:paraId="70E430EE">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3.甲方不履行合同义务。</w:t>
      </w:r>
    </w:p>
    <w:p w14:paraId="4C9F593A">
      <w:pPr>
        <w:autoSpaceDE w:val="0"/>
        <w:autoSpaceDN w:val="0"/>
        <w:spacing w:line="360" w:lineRule="auto"/>
        <w:ind w:firstLine="482" w:firstLineChars="200"/>
        <w:rPr>
          <w:rFonts w:ascii="仿宋" w:hAnsi="仿宋" w:eastAsia="仿宋" w:cs="仿宋"/>
          <w:b/>
          <w:snapToGrid w:val="0"/>
          <w:color w:val="000000"/>
          <w:sz w:val="24"/>
        </w:rPr>
      </w:pPr>
      <w:r>
        <w:rPr>
          <w:rFonts w:hint="eastAsia" w:ascii="仿宋" w:hAnsi="仿宋" w:eastAsia="仿宋" w:cs="仿宋"/>
          <w:b/>
          <w:snapToGrid w:val="0"/>
          <w:color w:val="000000"/>
          <w:sz w:val="24"/>
        </w:rPr>
        <w:t xml:space="preserve">七、违约责任 </w:t>
      </w:r>
    </w:p>
    <w:p w14:paraId="3C06B3F8">
      <w:pPr>
        <w:autoSpaceDE w:val="0"/>
        <w:autoSpaceDN w:val="0"/>
        <w:spacing w:line="360" w:lineRule="auto"/>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乙方应严格遵守甲方的规章制度及本合同约定条款，确保卸盐化盐业务劳务外包工作的顺利进行。甲方有权对乙方的工作进行监督、索赔、考核，以保证工作质量和效率。</w:t>
      </w:r>
    </w:p>
    <w:p w14:paraId="1DF5E34D">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（一）因乙方违反国家法律、法规和甲方的规章制度及本合同的约定,造成损失的应全额承担赔偿费用,同时甲方有权考核5000-10000元。</w:t>
      </w:r>
    </w:p>
    <w:p w14:paraId="2523E2EF">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二）因乙方自身管理不善或其他原因,给甲方或第三方造成舆情事件或产生社会不良影响的,考核1000-5000元。因乙方维护不力、野蛮操作、违规操作造成甲方或第三方的厂房、设备等损坏的，除据实赔偿，甲方有权考核500-2000元。造成人员伤亡的,执行当地政府的处理意见外,甲方有权考核10000-50000元。</w:t>
      </w:r>
    </w:p>
    <w:p w14:paraId="7B0F3CB1">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（三）乙方私自将甲方的财物占为己有或泄露甲方的用户资料、生产经营等商业秘密的,按甲方财务等部门核定的损失费用进行赔偿,同时甲方有权考核1000-10000元。</w:t>
      </w:r>
    </w:p>
    <w:p w14:paraId="1D549ED4">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（四）在合同履行期间乙方未经甲方同意转包给其他方的,甲方有权考核10000-50000元。</w:t>
      </w:r>
    </w:p>
    <w:p w14:paraId="00927626">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（五）因业务服务不到位造成甲方客户投诉的,考核1000-5000元。乙方违反甲方各项规章制度、无视甲方监督管理、屡教不改的，甲方有权考核1000-5000元，情节严重的甲方有权单方面解除合同。</w:t>
      </w:r>
    </w:p>
    <w:p w14:paraId="4137D3B9">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（六）乙方未做到工完场清的，视情节严重、影响恶劣程度违约考核300-3000元/次。</w:t>
      </w:r>
    </w:p>
    <w:p w14:paraId="2A55A024">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（七）乙方违反甲方其他规章制度要求的，可参照甲方规章制度考核。</w:t>
      </w:r>
    </w:p>
    <w:p w14:paraId="43993713">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（八）以上违约赔偿、考核涉及的乙方主要责任员工，情节严重、影响恶劣的，乙方须及时清退，同时确保承揽业务的正常稳定进行。</w:t>
      </w:r>
    </w:p>
    <w:p w14:paraId="7D2BF9F9">
      <w:pPr>
        <w:autoSpaceDE w:val="0"/>
        <w:autoSpaceDN w:val="0"/>
        <w:spacing w:line="360" w:lineRule="auto"/>
        <w:ind w:firstLine="482" w:firstLineChars="200"/>
        <w:rPr>
          <w:rFonts w:ascii="仿宋" w:hAnsi="仿宋" w:eastAsia="仿宋" w:cs="仿宋"/>
          <w:b/>
          <w:bCs/>
          <w:snapToGrid w:val="0"/>
          <w:color w:val="000000"/>
          <w:sz w:val="24"/>
        </w:rPr>
      </w:pPr>
      <w:r>
        <w:rPr>
          <w:rFonts w:hint="eastAsia" w:ascii="仿宋" w:hAnsi="仿宋" w:eastAsia="仿宋" w:cs="仿宋"/>
          <w:b/>
          <w:bCs/>
          <w:snapToGrid w:val="0"/>
          <w:color w:val="000000"/>
          <w:sz w:val="24"/>
        </w:rPr>
        <w:t>八、廉政约定</w:t>
      </w:r>
    </w:p>
    <w:p w14:paraId="24A3842A">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为共同构建文明、和谐、公正的经营环境，建立长期稳定、互信互利的业务合作关系，树立廉洁经营的良好风气，甲、乙双方就本合同履约中廉政条款达成共识，双方共同遵守：</w:t>
      </w:r>
    </w:p>
    <w:p w14:paraId="087362EE">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（一）树立“诚信经营、合作共赢”的经营理念，坚持公平合理、互惠互利、共同发展的原则。</w:t>
      </w:r>
    </w:p>
    <w:p w14:paraId="3E479081">
      <w:pPr>
        <w:autoSpaceDE w:val="0"/>
        <w:autoSpaceDN w:val="0"/>
        <w:spacing w:line="360" w:lineRule="auto"/>
        <w:ind w:firstLine="480"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二）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5294D8FB">
      <w:pPr>
        <w:autoSpaceDE w:val="0"/>
        <w:autoSpaceDN w:val="0"/>
        <w:spacing w:line="360" w:lineRule="auto"/>
        <w:ind w:firstLine="480" w:firstLineChars="200"/>
        <w:rPr>
          <w:rFonts w:ascii="仿宋" w:hAnsi="仿宋" w:eastAsia="仿宋" w:cs="仿宋"/>
          <w:b/>
          <w:bCs/>
          <w:snapToGrid w:val="0"/>
          <w:color w:val="000000" w:themeColor="text1"/>
          <w:sz w:val="24"/>
          <w14:textFill>
            <w14:solidFill>
              <w14:schemeClr w14:val="tx1"/>
            </w14:solidFill>
          </w14:textFill>
        </w:rPr>
      </w:pPr>
      <w:r>
        <w:rPr>
          <w:rFonts w:hint="eastAsia" w:ascii="仿宋" w:hAnsi="仿宋" w:eastAsia="仿宋" w:cs="仿宋"/>
          <w:snapToGrid w:val="0"/>
          <w:color w:val="000000" w:themeColor="text1"/>
          <w:sz w:val="24"/>
          <w14:textFill>
            <w14:solidFill>
              <w14:schemeClr w14:val="tx1"/>
            </w14:solidFill>
          </w14:textFill>
        </w:rPr>
        <w:t>（三）如有一方违反廉政条款，另一方有权终止业务关系。同时保留对对方因行贿诉诸法律的权利。双方对对方有关工作人员索要钱、财、物等好处的违法违纪行为，有向对方相关部门或领导举报的义务。</w:t>
      </w:r>
    </w:p>
    <w:p w14:paraId="20BEAEC3">
      <w:pPr>
        <w:autoSpaceDE w:val="0"/>
        <w:autoSpaceDN w:val="0"/>
        <w:spacing w:line="360" w:lineRule="auto"/>
        <w:ind w:firstLine="482" w:firstLineChars="200"/>
        <w:rPr>
          <w:rFonts w:ascii="仿宋" w:hAnsi="仿宋" w:eastAsia="仿宋" w:cs="仿宋"/>
          <w:bCs/>
          <w:snapToGrid w:val="0"/>
          <w:color w:val="000000" w:themeColor="text1"/>
          <w:sz w:val="24"/>
          <w14:textFill>
            <w14:solidFill>
              <w14:schemeClr w14:val="tx1"/>
            </w14:solidFill>
          </w14:textFill>
        </w:rPr>
      </w:pPr>
      <w:r>
        <w:rPr>
          <w:rFonts w:hint="eastAsia" w:ascii="仿宋" w:hAnsi="仿宋" w:eastAsia="仿宋" w:cs="仿宋"/>
          <w:b/>
          <w:bCs/>
          <w:snapToGrid w:val="0"/>
          <w:color w:val="000000" w:themeColor="text1"/>
          <w:sz w:val="24"/>
          <w14:textFill>
            <w14:solidFill>
              <w14:schemeClr w14:val="tx1"/>
            </w14:solidFill>
          </w14:textFill>
        </w:rPr>
        <w:t>九、</w:t>
      </w:r>
      <w:r>
        <w:rPr>
          <w:rFonts w:hint="eastAsia" w:ascii="仿宋" w:hAnsi="仿宋" w:eastAsia="仿宋" w:cs="仿宋"/>
          <w:bCs/>
          <w:snapToGrid w:val="0"/>
          <w:color w:val="000000" w:themeColor="text1"/>
          <w:sz w:val="24"/>
          <w14:textFill>
            <w14:solidFill>
              <w14:schemeClr w14:val="tx1"/>
            </w14:solidFill>
          </w14:textFill>
        </w:rPr>
        <w:t>本合同（协议）未尽事宜，双方可以通过协商签订补充协议进行约定，补充协议与本合同（协议）具有同等效力。</w:t>
      </w:r>
    </w:p>
    <w:p w14:paraId="421E039B">
      <w:pPr>
        <w:autoSpaceDE w:val="0"/>
        <w:autoSpaceDN w:val="0"/>
        <w:spacing w:line="360" w:lineRule="auto"/>
        <w:ind w:firstLine="482" w:firstLineChars="200"/>
        <w:rPr>
          <w:rFonts w:ascii="仿宋" w:hAnsi="仿宋" w:eastAsia="仿宋" w:cs="仿宋"/>
          <w:snapToGrid w:val="0"/>
          <w:color w:val="000000" w:themeColor="text1"/>
          <w:sz w:val="24"/>
          <w14:textFill>
            <w14:solidFill>
              <w14:schemeClr w14:val="tx1"/>
            </w14:solidFill>
          </w14:textFill>
        </w:rPr>
      </w:pPr>
      <w:r>
        <w:rPr>
          <w:rFonts w:hint="eastAsia" w:ascii="仿宋" w:hAnsi="仿宋" w:eastAsia="仿宋" w:cs="仿宋"/>
          <w:b/>
          <w:bCs/>
          <w:snapToGrid w:val="0"/>
          <w:color w:val="000000" w:themeColor="text1"/>
          <w:sz w:val="24"/>
          <w14:textFill>
            <w14:solidFill>
              <w14:schemeClr w14:val="tx1"/>
            </w14:solidFill>
          </w14:textFill>
        </w:rPr>
        <w:t>十、</w:t>
      </w:r>
      <w:r>
        <w:rPr>
          <w:rFonts w:hint="eastAsia" w:ascii="仿宋" w:hAnsi="仿宋" w:eastAsia="仿宋" w:cs="仿宋"/>
          <w:snapToGrid w:val="0"/>
          <w:color w:val="000000" w:themeColor="text1"/>
          <w:sz w:val="24"/>
          <w14:textFill>
            <w14:solidFill>
              <w14:schemeClr w14:val="tx1"/>
            </w14:solidFill>
          </w14:textFill>
        </w:rPr>
        <w:t>发生争议的处理方式。甲乙双方协商不成，诉讼至柯城区人民法院解决。</w:t>
      </w:r>
    </w:p>
    <w:p w14:paraId="21E2E1D4">
      <w:pPr>
        <w:autoSpaceDE w:val="0"/>
        <w:autoSpaceDN w:val="0"/>
        <w:adjustRightInd w:val="0"/>
        <w:snapToGrid w:val="0"/>
        <w:spacing w:line="360" w:lineRule="auto"/>
        <w:ind w:firstLine="472" w:firstLineChars="196"/>
        <w:rPr>
          <w:rFonts w:ascii="仿宋" w:hAnsi="仿宋" w:eastAsia="仿宋" w:cs="仿宋"/>
          <w:snapToGrid w:val="0"/>
          <w:color w:val="000000"/>
          <w:kern w:val="0"/>
          <w:sz w:val="24"/>
        </w:rPr>
      </w:pPr>
      <w:r>
        <w:rPr>
          <w:rFonts w:hint="eastAsia" w:ascii="仿宋" w:hAnsi="仿宋" w:eastAsia="仿宋" w:cs="仿宋"/>
          <w:b/>
          <w:snapToGrid w:val="0"/>
          <w:color w:val="000000" w:themeColor="text1"/>
          <w:sz w:val="24"/>
          <w14:textFill>
            <w14:solidFill>
              <w14:schemeClr w14:val="tx1"/>
            </w14:solidFill>
          </w14:textFill>
        </w:rPr>
        <w:t>十一、</w:t>
      </w:r>
      <w:r>
        <w:rPr>
          <w:rFonts w:hint="eastAsia" w:ascii="仿宋" w:hAnsi="仿宋" w:eastAsia="仿宋" w:cs="仿宋"/>
          <w:bCs/>
          <w:snapToGrid w:val="0"/>
          <w:color w:val="000000" w:themeColor="text1"/>
          <w:sz w:val="24"/>
          <w14:textFill>
            <w14:solidFill>
              <w14:schemeClr w14:val="tx1"/>
            </w14:solidFill>
          </w14:textFill>
        </w:rPr>
        <w:t>本合同经甲、乙双方签字盖章有效，一式四份，由甲乙双方各执两份。</w:t>
      </w:r>
    </w:p>
    <w:p w14:paraId="63D2A672">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甲方：（盖章）                        乙方：（盖章）</w:t>
      </w:r>
    </w:p>
    <w:p w14:paraId="5733E9CE">
      <w:pPr>
        <w:pStyle w:val="2"/>
        <w:rPr>
          <w:color w:val="000000"/>
        </w:rPr>
      </w:pPr>
    </w:p>
    <w:p w14:paraId="256410C5">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 xml:space="preserve">甲方代表：                            乙方代表： </w:t>
      </w:r>
    </w:p>
    <w:p w14:paraId="61D947A8">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p>
    <w:p w14:paraId="576653B4">
      <w:pPr>
        <w:autoSpaceDE w:val="0"/>
        <w:autoSpaceDN w:val="0"/>
        <w:adjustRightInd w:val="0"/>
        <w:snapToGrid w:val="0"/>
        <w:spacing w:line="360" w:lineRule="auto"/>
        <w:ind w:firstLine="960" w:firstLineChars="400"/>
        <w:rPr>
          <w:rFonts w:ascii="仿宋" w:hAnsi="仿宋" w:eastAsia="仿宋" w:cs="仿宋"/>
          <w:color w:val="000000"/>
          <w:sz w:val="24"/>
          <w:lang w:val="zh-CN"/>
        </w:rPr>
      </w:pPr>
      <w:r>
        <w:rPr>
          <w:rFonts w:hint="eastAsia" w:ascii="仿宋" w:hAnsi="仿宋" w:eastAsia="仿宋" w:cs="仿宋"/>
          <w:snapToGrid w:val="0"/>
          <w:color w:val="000000"/>
          <w:kern w:val="0"/>
          <w:sz w:val="24"/>
        </w:rPr>
        <w:t>年   月   日                          年   月   日</w:t>
      </w:r>
    </w:p>
    <w:p w14:paraId="1B158B78">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710BA845">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6AE4B474">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5FDAF444">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7123CE33">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1AC03ED8">
      <w:pPr>
        <w:rPr>
          <w:rFonts w:ascii="仿宋" w:hAnsi="仿宋" w:eastAsia="仿宋" w:cs="仿宋"/>
          <w:bCs/>
          <w:snapToGrid w:val="0"/>
          <w:sz w:val="24"/>
        </w:rPr>
      </w:pPr>
    </w:p>
    <w:p w14:paraId="49133CC1">
      <w:pPr>
        <w:pStyle w:val="2"/>
        <w:rPr>
          <w:rFonts w:ascii="仿宋" w:hAnsi="仿宋" w:eastAsia="仿宋" w:cs="仿宋"/>
          <w:snapToGrid w:val="0"/>
          <w:sz w:val="24"/>
        </w:rPr>
      </w:pPr>
    </w:p>
    <w:p w14:paraId="56D527F0">
      <w:pPr>
        <w:rPr>
          <w:rFonts w:ascii="仿宋" w:hAnsi="仿宋" w:eastAsia="仿宋" w:cs="仿宋"/>
          <w:bCs/>
          <w:snapToGrid w:val="0"/>
          <w:sz w:val="24"/>
        </w:rPr>
      </w:pPr>
    </w:p>
    <w:p w14:paraId="54A05DE6">
      <w:pPr>
        <w:autoSpaceDE w:val="0"/>
        <w:autoSpaceDN w:val="0"/>
        <w:spacing w:line="360" w:lineRule="auto"/>
        <w:ind w:left="8" w:leftChars="-100" w:hanging="218" w:hangingChars="91"/>
        <w:rPr>
          <w:rFonts w:ascii="仿宋" w:hAnsi="仿宋" w:eastAsia="仿宋" w:cs="仿宋"/>
          <w:bCs/>
          <w:snapToGrid w:val="0"/>
          <w:sz w:val="24"/>
        </w:rPr>
      </w:pPr>
    </w:p>
    <w:p w14:paraId="0DE75A55">
      <w:pPr>
        <w:spacing w:line="400" w:lineRule="exact"/>
        <w:outlineLvl w:val="0"/>
        <w:rPr>
          <w:b/>
          <w:bCs/>
          <w:sz w:val="32"/>
        </w:rPr>
      </w:pPr>
      <w:bookmarkStart w:id="55" w:name="_Toc28626"/>
    </w:p>
    <w:p w14:paraId="6E2381FB">
      <w:pPr>
        <w:spacing w:line="400" w:lineRule="exact"/>
        <w:jc w:val="center"/>
        <w:outlineLvl w:val="0"/>
        <w:rPr>
          <w:b/>
          <w:bCs/>
          <w:sz w:val="32"/>
        </w:rPr>
      </w:pPr>
    </w:p>
    <w:p w14:paraId="33E66A4F">
      <w:pPr>
        <w:spacing w:line="400" w:lineRule="exact"/>
        <w:jc w:val="center"/>
        <w:outlineLvl w:val="0"/>
        <w:rPr>
          <w:b/>
          <w:bCs/>
          <w:sz w:val="32"/>
        </w:rPr>
      </w:pPr>
    </w:p>
    <w:p w14:paraId="1B03A62F">
      <w:pPr>
        <w:spacing w:line="400" w:lineRule="exact"/>
        <w:jc w:val="center"/>
        <w:outlineLvl w:val="0"/>
        <w:rPr>
          <w:b/>
          <w:bCs/>
          <w:sz w:val="32"/>
        </w:rPr>
      </w:pPr>
    </w:p>
    <w:p w14:paraId="194F6FBE">
      <w:pPr>
        <w:spacing w:line="400" w:lineRule="exact"/>
        <w:jc w:val="center"/>
        <w:outlineLvl w:val="0"/>
        <w:rPr>
          <w:b/>
          <w:bCs/>
          <w:sz w:val="32"/>
        </w:rPr>
      </w:pPr>
    </w:p>
    <w:p w14:paraId="1CFAE0D2">
      <w:pPr>
        <w:spacing w:line="400" w:lineRule="exact"/>
        <w:jc w:val="center"/>
        <w:outlineLvl w:val="0"/>
        <w:rPr>
          <w:b/>
          <w:bCs/>
          <w:sz w:val="32"/>
        </w:rPr>
      </w:pPr>
    </w:p>
    <w:p w14:paraId="2EFB1F37">
      <w:pPr>
        <w:spacing w:line="400" w:lineRule="exact"/>
        <w:jc w:val="center"/>
        <w:outlineLvl w:val="0"/>
        <w:rPr>
          <w:b/>
          <w:bCs/>
          <w:sz w:val="32"/>
        </w:rPr>
      </w:pPr>
    </w:p>
    <w:p w14:paraId="4752636C">
      <w:pPr>
        <w:spacing w:line="400" w:lineRule="exact"/>
        <w:jc w:val="center"/>
        <w:outlineLvl w:val="0"/>
        <w:rPr>
          <w:b/>
          <w:bCs/>
          <w:sz w:val="32"/>
        </w:rPr>
      </w:pPr>
    </w:p>
    <w:p w14:paraId="3947D005">
      <w:pPr>
        <w:spacing w:line="400" w:lineRule="exact"/>
        <w:jc w:val="center"/>
        <w:outlineLvl w:val="0"/>
        <w:rPr>
          <w:b/>
          <w:bCs/>
          <w:sz w:val="32"/>
        </w:rPr>
      </w:pPr>
    </w:p>
    <w:p w14:paraId="35249F8A">
      <w:pPr>
        <w:spacing w:line="400" w:lineRule="exact"/>
        <w:jc w:val="center"/>
        <w:outlineLvl w:val="0"/>
        <w:rPr>
          <w:b/>
          <w:bCs/>
          <w:sz w:val="32"/>
        </w:rPr>
      </w:pPr>
    </w:p>
    <w:p w14:paraId="7E049428">
      <w:pPr>
        <w:spacing w:line="400" w:lineRule="exact"/>
        <w:jc w:val="center"/>
        <w:outlineLvl w:val="0"/>
        <w:rPr>
          <w:b/>
          <w:bCs/>
          <w:sz w:val="32"/>
        </w:rPr>
      </w:pPr>
      <w:r>
        <w:rPr>
          <w:rFonts w:hint="eastAsia"/>
          <w:b/>
          <w:bCs/>
          <w:sz w:val="32"/>
        </w:rPr>
        <w:t>第五章 投标文件格式</w:t>
      </w:r>
      <w:bookmarkEnd w:id="55"/>
    </w:p>
    <w:p w14:paraId="49E21481">
      <w:pPr>
        <w:snapToGrid w:val="0"/>
        <w:spacing w:line="360" w:lineRule="auto"/>
        <w:rPr>
          <w:rFonts w:ascii="宋体" w:hAnsi="宋体"/>
          <w:bCs/>
          <w:sz w:val="24"/>
          <w:szCs w:val="20"/>
        </w:rPr>
      </w:pPr>
    </w:p>
    <w:p w14:paraId="5504FCCC">
      <w:pPr>
        <w:pStyle w:val="20"/>
        <w:ind w:left="0" w:leftChars="0" w:firstLine="0" w:firstLineChars="0"/>
        <w:rPr>
          <w:sz w:val="24"/>
        </w:rPr>
      </w:pPr>
    </w:p>
    <w:p w14:paraId="2D6B93F5">
      <w:pPr>
        <w:pStyle w:val="20"/>
        <w:ind w:firstLine="560"/>
        <w:rPr>
          <w:rFonts w:ascii="宋体" w:hAnsi="宋体" w:cs="宋体"/>
        </w:rPr>
      </w:pPr>
    </w:p>
    <w:p w14:paraId="28D6B1E1">
      <w:pPr>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招标</w:t>
      </w:r>
    </w:p>
    <w:p w14:paraId="3004016C">
      <w:pPr>
        <w:spacing w:before="240" w:beforeLines="100"/>
        <w:jc w:val="center"/>
        <w:rPr>
          <w:rFonts w:ascii="宋体" w:hAnsi="宋体" w:cs="宋体"/>
          <w:sz w:val="44"/>
          <w:szCs w:val="44"/>
        </w:rPr>
      </w:pPr>
      <w:r>
        <w:rPr>
          <w:rFonts w:hint="eastAsia" w:ascii="宋体" w:hAnsi="宋体" w:cs="宋体"/>
          <w:sz w:val="44"/>
          <w:szCs w:val="44"/>
        </w:rPr>
        <w:t>投  标  文  件</w:t>
      </w:r>
    </w:p>
    <w:p w14:paraId="63AE48B4">
      <w:pPr>
        <w:jc w:val="center"/>
        <w:rPr>
          <w:rFonts w:ascii="宋体" w:hAnsi="宋体" w:cs="宋体"/>
          <w:sz w:val="32"/>
          <w:szCs w:val="32"/>
        </w:rPr>
      </w:pPr>
    </w:p>
    <w:p w14:paraId="41BDF6C4">
      <w:pPr>
        <w:jc w:val="center"/>
        <w:rPr>
          <w:rFonts w:ascii="宋体" w:hAnsi="宋体" w:cs="宋体"/>
          <w:sz w:val="32"/>
          <w:szCs w:val="32"/>
        </w:rPr>
      </w:pPr>
    </w:p>
    <w:p w14:paraId="2C6B57ED">
      <w:pPr>
        <w:jc w:val="center"/>
        <w:rPr>
          <w:rFonts w:ascii="宋体" w:hAnsi="宋体" w:cs="宋体"/>
          <w:sz w:val="32"/>
          <w:szCs w:val="32"/>
        </w:rPr>
      </w:pPr>
    </w:p>
    <w:p w14:paraId="631EB974">
      <w:pPr>
        <w:jc w:val="center"/>
        <w:rPr>
          <w:rFonts w:ascii="宋体" w:hAnsi="宋体" w:cs="宋体"/>
          <w:sz w:val="32"/>
          <w:szCs w:val="32"/>
        </w:rPr>
      </w:pPr>
    </w:p>
    <w:p w14:paraId="565795AF">
      <w:pPr>
        <w:jc w:val="center"/>
        <w:rPr>
          <w:rFonts w:ascii="宋体" w:hAnsi="宋体" w:cs="宋体"/>
          <w:sz w:val="32"/>
          <w:szCs w:val="32"/>
        </w:rPr>
      </w:pPr>
    </w:p>
    <w:p w14:paraId="08B7531C">
      <w:pPr>
        <w:jc w:val="center"/>
        <w:rPr>
          <w:rFonts w:ascii="宋体" w:hAnsi="宋体" w:cs="宋体"/>
          <w:sz w:val="32"/>
          <w:szCs w:val="32"/>
        </w:rPr>
      </w:pPr>
    </w:p>
    <w:p w14:paraId="3C5F6CEA">
      <w:pPr>
        <w:snapToGrid w:val="0"/>
        <w:spacing w:line="480" w:lineRule="auto"/>
        <w:rPr>
          <w:rFonts w:ascii="宋体" w:hAnsi="宋体" w:cs="宋体"/>
          <w:sz w:val="28"/>
          <w:szCs w:val="28"/>
          <w:u w:val="single"/>
        </w:rPr>
      </w:pPr>
      <w:r>
        <w:rPr>
          <w:rFonts w:hint="eastAsia" w:ascii="宋体" w:hAnsi="宋体" w:cs="宋体"/>
          <w:sz w:val="28"/>
          <w:szCs w:val="28"/>
        </w:rPr>
        <w:t>项 目 名 称 ：</w:t>
      </w:r>
      <w:r>
        <w:rPr>
          <w:rFonts w:hint="eastAsia" w:ascii="宋体" w:hAnsi="宋体" w:cs="宋体"/>
          <w:sz w:val="28"/>
          <w:szCs w:val="28"/>
          <w:u w:val="single"/>
        </w:rPr>
        <w:t xml:space="preserve"> 浙江巨化股份有限公司电化厂（含巨塑、聚荟公司）2025-2027年部分产品及原材料包装搬运装卸劳务外包项目（标段一/标段二）</w:t>
      </w:r>
    </w:p>
    <w:p w14:paraId="31AA9C9A">
      <w:pPr>
        <w:snapToGrid w:val="0"/>
        <w:spacing w:line="480" w:lineRule="auto"/>
        <w:jc w:val="left"/>
        <w:rPr>
          <w:rFonts w:ascii="宋体" w:hAnsi="宋体" w:cs="宋体"/>
          <w:sz w:val="32"/>
          <w:szCs w:val="32"/>
        </w:rPr>
      </w:pPr>
      <w:r>
        <w:rPr>
          <w:rFonts w:hint="eastAsia" w:ascii="宋体" w:hAnsi="宋体" w:cs="宋体"/>
          <w:sz w:val="28"/>
          <w:szCs w:val="28"/>
        </w:rPr>
        <w:t>投标文件内容：</w:t>
      </w:r>
      <w:r>
        <w:rPr>
          <w:rFonts w:hint="eastAsia" w:ascii="宋体" w:hAnsi="宋体" w:cs="宋体"/>
          <w:sz w:val="28"/>
          <w:szCs w:val="28"/>
          <w:u w:val="single"/>
        </w:rPr>
        <w:t xml:space="preserve">                   技术资信文件               </w:t>
      </w:r>
    </w:p>
    <w:p w14:paraId="051B2872">
      <w:pPr>
        <w:spacing w:line="480" w:lineRule="auto"/>
        <w:rPr>
          <w:rFonts w:ascii="宋体" w:hAnsi="宋体" w:cs="宋体"/>
          <w:sz w:val="28"/>
          <w:szCs w:val="28"/>
        </w:rPr>
      </w:pPr>
      <w:r>
        <w:rPr>
          <w:rFonts w:hint="eastAsia" w:ascii="宋体" w:hAnsi="宋体" w:cs="宋体"/>
          <w:sz w:val="28"/>
          <w:szCs w:val="28"/>
        </w:rPr>
        <w:t>投  标  人：</w:t>
      </w:r>
      <w:r>
        <w:rPr>
          <w:rFonts w:hint="eastAsia" w:ascii="宋体" w:hAnsi="宋体" w:cs="宋体"/>
          <w:sz w:val="28"/>
          <w:szCs w:val="28"/>
          <w:u w:val="single"/>
        </w:rPr>
        <w:t xml:space="preserve">                                          </w:t>
      </w:r>
      <w:r>
        <w:rPr>
          <w:rFonts w:hint="eastAsia" w:ascii="宋体" w:hAnsi="宋体" w:cs="宋体"/>
          <w:sz w:val="28"/>
          <w:szCs w:val="28"/>
        </w:rPr>
        <w:t>（盖章）</w:t>
      </w:r>
    </w:p>
    <w:p w14:paraId="20021519">
      <w:pPr>
        <w:spacing w:line="480" w:lineRule="auto"/>
        <w:rPr>
          <w:rFonts w:ascii="宋体" w:hAnsi="宋体" w:cs="宋体"/>
          <w:sz w:val="28"/>
          <w:szCs w:val="28"/>
        </w:rPr>
      </w:pP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（盖章）</w:t>
      </w:r>
    </w:p>
    <w:p w14:paraId="2BD89DD8">
      <w:pPr>
        <w:spacing w:line="480" w:lineRule="auto"/>
        <w:jc w:val="center"/>
        <w:rPr>
          <w:rFonts w:ascii="宋体" w:hAnsi="宋体" w:cs="宋体"/>
          <w:sz w:val="28"/>
          <w:szCs w:val="28"/>
        </w:rPr>
      </w:pPr>
    </w:p>
    <w:p w14:paraId="12AE17A1">
      <w:pPr>
        <w:spacing w:line="480" w:lineRule="auto"/>
        <w:jc w:val="center"/>
        <w:rPr>
          <w:rFonts w:ascii="宋体" w:hAnsi="宋体" w:cs="宋体"/>
          <w:sz w:val="28"/>
          <w:szCs w:val="28"/>
        </w:rPr>
      </w:pPr>
    </w:p>
    <w:p w14:paraId="7FE983EF">
      <w:pPr>
        <w:spacing w:line="480" w:lineRule="auto"/>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7CA02746">
      <w:pPr>
        <w:spacing w:line="360" w:lineRule="auto"/>
        <w:jc w:val="center"/>
        <w:rPr>
          <w:rFonts w:ascii="宋体" w:hAnsi="宋体" w:cs="宋体"/>
          <w:b/>
          <w:sz w:val="32"/>
        </w:rPr>
      </w:pPr>
    </w:p>
    <w:p w14:paraId="3D42C9A0">
      <w:pPr>
        <w:pStyle w:val="20"/>
        <w:ind w:firstLine="643"/>
        <w:rPr>
          <w:rFonts w:ascii="宋体" w:hAnsi="宋体" w:cs="宋体"/>
          <w:b/>
          <w:sz w:val="32"/>
        </w:rPr>
      </w:pPr>
    </w:p>
    <w:p w14:paraId="31220E29">
      <w:pPr>
        <w:rPr>
          <w:rFonts w:ascii="宋体" w:hAnsi="宋体" w:cs="宋体"/>
          <w:b/>
          <w:sz w:val="32"/>
        </w:rPr>
      </w:pPr>
    </w:p>
    <w:p w14:paraId="3DD7A9F0"/>
    <w:p w14:paraId="27EE1183"/>
    <w:p w14:paraId="34665E9A">
      <w:pPr>
        <w:snapToGrid w:val="0"/>
        <w:spacing w:line="360" w:lineRule="auto"/>
        <w:jc w:val="center"/>
        <w:rPr>
          <w:rFonts w:ascii="宋体"/>
          <w:sz w:val="24"/>
        </w:rPr>
      </w:pPr>
      <w:r>
        <w:rPr>
          <w:rFonts w:hint="eastAsia" w:ascii="宋体"/>
          <w:b/>
          <w:sz w:val="30"/>
          <w:szCs w:val="30"/>
        </w:rPr>
        <w:t>投标人资格承诺函</w:t>
      </w:r>
    </w:p>
    <w:p w14:paraId="339D081A">
      <w:pPr>
        <w:snapToGrid w:val="0"/>
        <w:spacing w:line="360" w:lineRule="auto"/>
        <w:rPr>
          <w:rFonts w:ascii="宋体"/>
          <w:sz w:val="24"/>
          <w:szCs w:val="20"/>
        </w:rPr>
      </w:pPr>
      <w:r>
        <w:rPr>
          <w:rFonts w:hint="eastAsia" w:ascii="宋体"/>
          <w:sz w:val="24"/>
        </w:rPr>
        <w:t>致：</w:t>
      </w:r>
      <w:r>
        <w:rPr>
          <w:rFonts w:hint="eastAsia" w:ascii="宋体"/>
          <w:sz w:val="24"/>
          <w:u w:val="single"/>
        </w:rPr>
        <w:t>招标人</w:t>
      </w:r>
    </w:p>
    <w:p w14:paraId="3661C08A">
      <w:pPr>
        <w:snapToGrid w:val="0"/>
        <w:spacing w:line="360" w:lineRule="auto"/>
        <w:ind w:firstLine="720" w:firstLineChars="300"/>
        <w:rPr>
          <w:rFonts w:ascii="宋体" w:hAnsi="宋体"/>
          <w:sz w:val="24"/>
          <w:szCs w:val="20"/>
        </w:rPr>
      </w:pPr>
      <w:r>
        <w:rPr>
          <w:rFonts w:hint="eastAsia" w:ascii="宋体" w:hAnsi="宋体"/>
          <w:sz w:val="24"/>
          <w:u w:val="single"/>
        </w:rPr>
        <w:t xml:space="preserve">                       </w:t>
      </w:r>
      <w:r>
        <w:rPr>
          <w:rFonts w:hint="eastAsia" w:ascii="宋体" w:hAnsi="宋体"/>
          <w:sz w:val="24"/>
        </w:rPr>
        <w:t>（投标人名称）符合参加本次招标活动的资格条件并承诺如下。</w:t>
      </w:r>
    </w:p>
    <w:p w14:paraId="66BB9CA3">
      <w:pPr>
        <w:snapToGrid w:val="0"/>
        <w:spacing w:line="360" w:lineRule="auto"/>
        <w:ind w:firstLine="480" w:firstLineChars="200"/>
        <w:jc w:val="left"/>
        <w:rPr>
          <w:rFonts w:ascii="宋体" w:cs="宋体"/>
          <w:sz w:val="24"/>
        </w:rPr>
      </w:pPr>
      <w:r>
        <w:rPr>
          <w:rFonts w:hint="eastAsia" w:ascii="宋体" w:cs="宋体"/>
          <w:sz w:val="24"/>
        </w:rPr>
        <w:t>一、投标人具备独立承担民事责任的能力，未被巨化集团禁止参加采购活动。</w:t>
      </w:r>
    </w:p>
    <w:p w14:paraId="751B4A7A">
      <w:pPr>
        <w:snapToGrid w:val="0"/>
        <w:spacing w:line="360" w:lineRule="auto"/>
        <w:ind w:firstLine="480" w:firstLineChars="200"/>
        <w:jc w:val="left"/>
        <w:rPr>
          <w:rFonts w:ascii="宋体" w:cs="宋体"/>
          <w:sz w:val="24"/>
        </w:rPr>
      </w:pPr>
      <w:r>
        <w:rPr>
          <w:rFonts w:hint="eastAsia" w:ascii="宋体" w:cs="宋体"/>
          <w:sz w:val="24"/>
        </w:rPr>
        <w:t>二、投标人未被“信用中国”（www.creditchina.gov.cn)列入失信被执行人、重大税收违法案件当事人名单。</w:t>
      </w:r>
    </w:p>
    <w:p w14:paraId="60B3AB56">
      <w:pPr>
        <w:snapToGrid w:val="0"/>
        <w:spacing w:line="360" w:lineRule="auto"/>
        <w:ind w:firstLine="480" w:firstLineChars="200"/>
        <w:rPr>
          <w:rFonts w:ascii="宋体" w:hAnsi="宋体"/>
          <w:sz w:val="24"/>
        </w:rPr>
      </w:pPr>
      <w:r>
        <w:rPr>
          <w:rFonts w:hint="eastAsia" w:ascii="宋体" w:hAnsi="宋体"/>
          <w:sz w:val="24"/>
        </w:rPr>
        <w:t>三、投标人本次投标无如下情形：</w:t>
      </w:r>
    </w:p>
    <w:p w14:paraId="32B8D3D5">
      <w:pPr>
        <w:snapToGrid w:val="0"/>
        <w:spacing w:line="360" w:lineRule="auto"/>
        <w:ind w:firstLine="480" w:firstLineChars="200"/>
        <w:rPr>
          <w:rFonts w:ascii="宋体" w:hAnsi="宋体"/>
          <w:sz w:val="24"/>
        </w:rPr>
      </w:pPr>
      <w:r>
        <w:rPr>
          <w:rFonts w:hint="eastAsia" w:ascii="宋体" w:hAnsi="宋体"/>
          <w:sz w:val="24"/>
        </w:rPr>
        <w:t>1. 单位负责人为同一人或者存在控股、管理关系的不同单位，存在关联关系的不同单位，参加同一标项投标。</w:t>
      </w:r>
    </w:p>
    <w:p w14:paraId="2634A7AF">
      <w:pPr>
        <w:snapToGrid w:val="0"/>
        <w:spacing w:line="360" w:lineRule="auto"/>
        <w:ind w:firstLine="480" w:firstLineChars="200"/>
        <w:rPr>
          <w:rFonts w:ascii="宋体" w:hAnsi="宋体"/>
          <w:sz w:val="24"/>
        </w:rPr>
      </w:pPr>
      <w:r>
        <w:rPr>
          <w:rFonts w:hint="eastAsia" w:ascii="宋体" w:hAnsi="宋体"/>
          <w:sz w:val="24"/>
        </w:rPr>
        <w:t>2.关联关系是具有以下情形之一：</w:t>
      </w:r>
    </w:p>
    <w:p w14:paraId="21210166">
      <w:pPr>
        <w:snapToGrid w:val="0"/>
        <w:spacing w:line="360" w:lineRule="auto"/>
        <w:ind w:firstLine="480" w:firstLineChars="200"/>
        <w:rPr>
          <w:rFonts w:ascii="宋体" w:hAnsi="宋体"/>
          <w:sz w:val="24"/>
        </w:rPr>
      </w:pPr>
      <w:r>
        <w:rPr>
          <w:rFonts w:ascii="宋体" w:hAnsi="宋体"/>
          <w:sz w:val="24"/>
        </w:rPr>
        <w:t>A.法定代表人或负责人或实际控制人是同一人</w:t>
      </w:r>
    </w:p>
    <w:p w14:paraId="0D0CAF03">
      <w:pPr>
        <w:snapToGrid w:val="0"/>
        <w:spacing w:line="360" w:lineRule="auto"/>
        <w:ind w:firstLine="480" w:firstLineChars="200"/>
        <w:rPr>
          <w:rFonts w:ascii="宋体" w:hAnsi="宋体"/>
          <w:sz w:val="24"/>
        </w:rPr>
      </w:pPr>
      <w:r>
        <w:rPr>
          <w:rFonts w:ascii="宋体" w:hAnsi="宋体"/>
          <w:sz w:val="24"/>
        </w:rPr>
        <w:t>B.法定代表人或负责人或实际控制人是夫妻关系</w:t>
      </w:r>
    </w:p>
    <w:p w14:paraId="54B420D1">
      <w:pPr>
        <w:snapToGrid w:val="0"/>
        <w:spacing w:line="360" w:lineRule="auto"/>
        <w:ind w:firstLine="480" w:firstLineChars="200"/>
        <w:rPr>
          <w:rFonts w:ascii="宋体" w:hAnsi="宋体"/>
          <w:sz w:val="24"/>
        </w:rPr>
      </w:pPr>
      <w:r>
        <w:rPr>
          <w:rFonts w:ascii="宋体" w:hAnsi="宋体"/>
          <w:sz w:val="24"/>
        </w:rPr>
        <w:t>C.法定代表人或负责人或实际控制人是直系血亲关系</w:t>
      </w:r>
    </w:p>
    <w:p w14:paraId="5D6FE727">
      <w:pPr>
        <w:snapToGrid w:val="0"/>
        <w:spacing w:line="360" w:lineRule="auto"/>
        <w:ind w:firstLine="480" w:firstLineChars="200"/>
        <w:rPr>
          <w:rFonts w:ascii="宋体" w:hAnsi="宋体"/>
          <w:sz w:val="24"/>
        </w:rPr>
      </w:pPr>
      <w:r>
        <w:rPr>
          <w:rFonts w:ascii="宋体" w:hAnsi="宋体"/>
          <w:sz w:val="24"/>
        </w:rPr>
        <w:t>D.法定代表人或负责人或实际控制人存在三代以内旁系血亲关系</w:t>
      </w:r>
    </w:p>
    <w:p w14:paraId="64E64DA1">
      <w:pPr>
        <w:snapToGrid w:val="0"/>
        <w:spacing w:line="360" w:lineRule="auto"/>
        <w:ind w:firstLine="480" w:firstLineChars="200"/>
        <w:rPr>
          <w:rFonts w:ascii="宋体" w:hAnsi="宋体"/>
          <w:sz w:val="24"/>
        </w:rPr>
      </w:pPr>
      <w:r>
        <w:rPr>
          <w:rFonts w:ascii="宋体" w:hAnsi="宋体"/>
          <w:sz w:val="24"/>
        </w:rPr>
        <w:t>E.法定代表人或负责人或实际控制人存在近姻亲关系</w:t>
      </w:r>
    </w:p>
    <w:p w14:paraId="4759EF3B">
      <w:pPr>
        <w:snapToGrid w:val="0"/>
        <w:spacing w:line="360" w:lineRule="auto"/>
        <w:ind w:firstLine="480" w:firstLineChars="200"/>
        <w:rPr>
          <w:rFonts w:ascii="宋体" w:hAnsi="宋体"/>
          <w:sz w:val="24"/>
        </w:rPr>
      </w:pPr>
      <w:r>
        <w:rPr>
          <w:rFonts w:ascii="宋体" w:hAnsi="宋体"/>
          <w:sz w:val="24"/>
        </w:rPr>
        <w:t>F.法定代表人或负责人或实际控制人存在股份控制或实际控制关系</w:t>
      </w:r>
    </w:p>
    <w:p w14:paraId="7F896F0A">
      <w:pPr>
        <w:snapToGrid w:val="0"/>
        <w:spacing w:line="360" w:lineRule="auto"/>
        <w:ind w:firstLine="480" w:firstLineChars="200"/>
        <w:rPr>
          <w:rFonts w:ascii="宋体" w:hAnsi="宋体"/>
          <w:sz w:val="24"/>
        </w:rPr>
      </w:pPr>
      <w:r>
        <w:rPr>
          <w:rFonts w:ascii="宋体" w:hAnsi="宋体"/>
          <w:sz w:val="24"/>
        </w:rPr>
        <w:t>G.存在共同直接或间接投资设立子公司、联营企业和合营企业情况</w:t>
      </w:r>
    </w:p>
    <w:p w14:paraId="19E85CE8">
      <w:pPr>
        <w:snapToGrid w:val="0"/>
        <w:spacing w:line="360" w:lineRule="auto"/>
        <w:ind w:firstLine="480" w:firstLineChars="200"/>
        <w:rPr>
          <w:rFonts w:ascii="宋体" w:hAnsi="宋体"/>
          <w:sz w:val="24"/>
        </w:rPr>
      </w:pPr>
      <w:r>
        <w:rPr>
          <w:rFonts w:ascii="宋体" w:hAnsi="宋体"/>
          <w:sz w:val="24"/>
        </w:rPr>
        <w:t>H.存在分级代理或代销关系、同一生产制造商关系、管理关系、重要业务（占主营业务收入50%以上）或重要财务往来关系（如融资）等其他实质性控制关系</w:t>
      </w:r>
    </w:p>
    <w:p w14:paraId="6A5C0BC9">
      <w:pPr>
        <w:snapToGrid w:val="0"/>
        <w:spacing w:line="360" w:lineRule="auto"/>
        <w:ind w:firstLine="480" w:firstLineChars="200"/>
        <w:rPr>
          <w:rFonts w:ascii="宋体" w:hAnsi="宋体"/>
          <w:sz w:val="24"/>
        </w:rPr>
      </w:pPr>
      <w:r>
        <w:rPr>
          <w:rFonts w:hint="eastAsia" w:ascii="宋体" w:hAnsi="宋体"/>
          <w:sz w:val="24"/>
        </w:rPr>
        <w:t>I.其他利害关系情况</w:t>
      </w:r>
    </w:p>
    <w:p w14:paraId="659D30C8">
      <w:pPr>
        <w:snapToGrid w:val="0"/>
        <w:spacing w:line="360" w:lineRule="auto"/>
        <w:ind w:firstLine="480" w:firstLineChars="200"/>
        <w:rPr>
          <w:rFonts w:ascii="宋体" w:hAnsi="宋体"/>
          <w:sz w:val="24"/>
          <w:u w:val="single"/>
        </w:rPr>
      </w:pPr>
      <w:r>
        <w:rPr>
          <w:rFonts w:hint="eastAsia" w:ascii="宋体" w:hAnsi="宋体"/>
          <w:sz w:val="24"/>
        </w:rPr>
        <w:t>四、满足本项目的资格要求：</w:t>
      </w:r>
      <w:r>
        <w:rPr>
          <w:rFonts w:hint="eastAsia" w:ascii="宋体" w:hAnsi="宋体"/>
          <w:sz w:val="24"/>
          <w:u w:val="single"/>
        </w:rPr>
        <w:t xml:space="preserve">          。</w:t>
      </w:r>
    </w:p>
    <w:p w14:paraId="0E5C8C2B">
      <w:pPr>
        <w:snapToGrid w:val="0"/>
        <w:spacing w:line="360" w:lineRule="auto"/>
        <w:ind w:firstLine="480" w:firstLineChars="200"/>
        <w:rPr>
          <w:rFonts w:ascii="宋体" w:hAnsi="宋体" w:cs="宋体"/>
          <w:kern w:val="0"/>
          <w:sz w:val="24"/>
        </w:rPr>
      </w:pPr>
      <w:r>
        <w:rPr>
          <w:rFonts w:hint="eastAsia" w:ascii="宋体" w:hAnsi="宋体" w:cs="宋体"/>
          <w:kern w:val="0"/>
          <w:sz w:val="24"/>
        </w:rPr>
        <w:t>本单位对上述承诺内容的真实性负责，已清楚知道并严格遵守招标法律法规和承诺要求如有虚假，将依法承担相应责任。</w:t>
      </w:r>
    </w:p>
    <w:p w14:paraId="61C756EB">
      <w:pPr>
        <w:snapToGrid w:val="0"/>
        <w:spacing w:line="360" w:lineRule="auto"/>
        <w:rPr>
          <w:rFonts w:ascii="宋体" w:hAnsi="宋体"/>
          <w:sz w:val="24"/>
        </w:rPr>
      </w:pPr>
    </w:p>
    <w:p w14:paraId="346C6A15">
      <w:pPr>
        <w:widowControl/>
        <w:snapToGrid w:val="0"/>
        <w:spacing w:line="360" w:lineRule="auto"/>
        <w:jc w:val="left"/>
        <w:rPr>
          <w:rFonts w:ascii="宋体" w:hAnsi="宋体" w:cs="Arial"/>
          <w:kern w:val="0"/>
          <w:sz w:val="24"/>
        </w:rPr>
      </w:pPr>
      <w:r>
        <w:rPr>
          <w:rFonts w:hint="eastAsia" w:ascii="宋体" w:hAnsi="宋体"/>
          <w:sz w:val="24"/>
        </w:rPr>
        <w:t>投标人：</w:t>
      </w:r>
      <w:r>
        <w:rPr>
          <w:rFonts w:hint="eastAsia" w:ascii="宋体" w:hAnsi="宋体"/>
          <w:sz w:val="24"/>
          <w:u w:val="single"/>
        </w:rPr>
        <w:t xml:space="preserve">       （盖章）        </w:t>
      </w:r>
      <w:r>
        <w:rPr>
          <w:rFonts w:hint="eastAsia" w:ascii="宋体" w:hAnsi="宋体"/>
          <w:sz w:val="24"/>
        </w:rPr>
        <w:t xml:space="preserve">                      年    月    日</w:t>
      </w:r>
    </w:p>
    <w:p w14:paraId="53759AAF">
      <w:pPr>
        <w:spacing w:line="360" w:lineRule="auto"/>
        <w:jc w:val="center"/>
        <w:rPr>
          <w:rFonts w:ascii="宋体" w:hAnsi="宋体"/>
          <w:b/>
          <w:sz w:val="32"/>
        </w:rPr>
      </w:pPr>
    </w:p>
    <w:p w14:paraId="19773C84">
      <w:pPr>
        <w:snapToGrid w:val="0"/>
        <w:spacing w:line="360" w:lineRule="auto"/>
        <w:jc w:val="center"/>
        <w:rPr>
          <w:rFonts w:ascii="宋体"/>
          <w:b/>
          <w:sz w:val="30"/>
          <w:szCs w:val="30"/>
        </w:rPr>
      </w:pPr>
    </w:p>
    <w:p w14:paraId="26B43452">
      <w:pPr>
        <w:snapToGrid w:val="0"/>
        <w:spacing w:line="360" w:lineRule="auto"/>
        <w:jc w:val="center"/>
        <w:rPr>
          <w:rFonts w:ascii="宋体"/>
          <w:b/>
          <w:sz w:val="30"/>
          <w:szCs w:val="30"/>
        </w:rPr>
      </w:pPr>
    </w:p>
    <w:p w14:paraId="259CC840">
      <w:pPr>
        <w:snapToGrid w:val="0"/>
        <w:spacing w:line="360" w:lineRule="auto"/>
        <w:jc w:val="center"/>
        <w:rPr>
          <w:rFonts w:ascii="宋体"/>
          <w:b/>
          <w:sz w:val="30"/>
          <w:szCs w:val="30"/>
        </w:rPr>
      </w:pPr>
      <w:r>
        <w:rPr>
          <w:rFonts w:hint="eastAsia" w:ascii="宋体"/>
          <w:b/>
          <w:sz w:val="30"/>
          <w:szCs w:val="30"/>
        </w:rPr>
        <w:t>法定代表人身份证明</w:t>
      </w:r>
    </w:p>
    <w:p w14:paraId="2DF8734E">
      <w:pPr>
        <w:autoSpaceDE w:val="0"/>
        <w:autoSpaceDN w:val="0"/>
        <w:adjustRightInd w:val="0"/>
        <w:spacing w:line="400" w:lineRule="exact"/>
        <w:jc w:val="center"/>
        <w:rPr>
          <w:rFonts w:ascii="宋体" w:cs="宋体"/>
          <w:bCs/>
          <w:sz w:val="30"/>
          <w:szCs w:val="30"/>
          <w:lang w:val="zh-CN"/>
        </w:rPr>
      </w:pPr>
    </w:p>
    <w:p w14:paraId="60477CFC">
      <w:pPr>
        <w:autoSpaceDE w:val="0"/>
        <w:autoSpaceDN w:val="0"/>
        <w:adjustRightInd w:val="0"/>
        <w:spacing w:line="400" w:lineRule="exact"/>
        <w:jc w:val="center"/>
        <w:rPr>
          <w:rFonts w:ascii="宋体" w:cs="宋体"/>
          <w:bCs/>
          <w:sz w:val="30"/>
          <w:szCs w:val="30"/>
          <w:lang w:val="zh-CN"/>
        </w:rPr>
      </w:pPr>
    </w:p>
    <w:p w14:paraId="2C1BA3A5">
      <w:pPr>
        <w:spacing w:line="500" w:lineRule="exact"/>
        <w:ind w:firstLine="424" w:firstLineChars="177"/>
        <w:rPr>
          <w:rFonts w:ascii="宋体" w:cs="宋体"/>
          <w:sz w:val="24"/>
          <w:u w:val="single"/>
        </w:rPr>
      </w:pPr>
      <w:r>
        <w:rPr>
          <w:rFonts w:hint="eastAsia" w:ascii="宋体" w:cs="宋体"/>
          <w:sz w:val="24"/>
        </w:rPr>
        <w:t>投 标 人：</w:t>
      </w:r>
      <w:r>
        <w:rPr>
          <w:rFonts w:hint="eastAsia" w:ascii="宋体" w:cs="宋体"/>
          <w:sz w:val="24"/>
          <w:u w:val="single"/>
        </w:rPr>
        <w:t xml:space="preserve">                     </w:t>
      </w:r>
    </w:p>
    <w:p w14:paraId="3ED8F8A8">
      <w:pPr>
        <w:spacing w:line="500" w:lineRule="exact"/>
        <w:ind w:firstLine="424" w:firstLineChars="177"/>
        <w:rPr>
          <w:rFonts w:ascii="宋体" w:cs="宋体"/>
          <w:sz w:val="24"/>
        </w:rPr>
      </w:pPr>
      <w:r>
        <w:rPr>
          <w:rFonts w:hint="eastAsia" w:ascii="宋体" w:cs="宋体"/>
          <w:sz w:val="24"/>
        </w:rPr>
        <w:t>单位性质：</w:t>
      </w:r>
      <w:r>
        <w:rPr>
          <w:rFonts w:hint="eastAsia" w:ascii="宋体" w:cs="宋体"/>
          <w:sz w:val="24"/>
          <w:u w:val="single"/>
        </w:rPr>
        <w:t xml:space="preserve">                     </w:t>
      </w:r>
    </w:p>
    <w:p w14:paraId="091E3430">
      <w:pPr>
        <w:spacing w:line="500" w:lineRule="exact"/>
        <w:ind w:firstLine="424" w:firstLineChars="177"/>
        <w:rPr>
          <w:rFonts w:ascii="宋体" w:cs="宋体"/>
          <w:sz w:val="24"/>
        </w:rPr>
      </w:pPr>
      <w:r>
        <w:rPr>
          <w:rFonts w:hint="eastAsia" w:ascii="宋体" w:cs="宋体"/>
          <w:sz w:val="24"/>
        </w:rPr>
        <w:t>地    址：</w:t>
      </w:r>
      <w:r>
        <w:rPr>
          <w:rFonts w:hint="eastAsia" w:ascii="宋体" w:cs="宋体"/>
          <w:sz w:val="24"/>
          <w:u w:val="single"/>
        </w:rPr>
        <w:t xml:space="preserve">                     </w:t>
      </w:r>
    </w:p>
    <w:p w14:paraId="1D2D6659">
      <w:pPr>
        <w:spacing w:line="500" w:lineRule="exact"/>
        <w:ind w:firstLine="424" w:firstLineChars="177"/>
        <w:rPr>
          <w:rFonts w:ascii="宋体" w:cs="宋体"/>
          <w:sz w:val="24"/>
        </w:rPr>
      </w:pPr>
      <w:r>
        <w:rPr>
          <w:rFonts w:hint="eastAsia" w:ascii="宋体" w:cs="宋体"/>
          <w:sz w:val="24"/>
        </w:rPr>
        <w:t>成立时间：</w:t>
      </w:r>
      <w:r>
        <w:rPr>
          <w:rFonts w:hint="eastAsia" w:ascii="宋体" w:cs="宋体"/>
          <w:sz w:val="24"/>
          <w:u w:val="single"/>
        </w:rPr>
        <w:t xml:space="preserve">   </w:t>
      </w:r>
      <w:r>
        <w:rPr>
          <w:rFonts w:hint="eastAsia" w:ascii="宋体" w:cs="宋体"/>
          <w:sz w:val="24"/>
        </w:rPr>
        <w:t xml:space="preserve"> 年</w:t>
      </w:r>
      <w:r>
        <w:rPr>
          <w:rFonts w:hint="eastAsia" w:ascii="宋体" w:cs="宋体"/>
          <w:sz w:val="24"/>
          <w:u w:val="single"/>
        </w:rPr>
        <w:t xml:space="preserve">  </w:t>
      </w:r>
      <w:r>
        <w:rPr>
          <w:rFonts w:hint="eastAsia" w:ascii="宋体" w:cs="宋体"/>
          <w:sz w:val="24"/>
        </w:rPr>
        <w:t xml:space="preserve"> 月</w:t>
      </w:r>
      <w:r>
        <w:rPr>
          <w:rFonts w:hint="eastAsia" w:ascii="宋体" w:cs="宋体"/>
          <w:sz w:val="24"/>
          <w:u w:val="single"/>
        </w:rPr>
        <w:t xml:space="preserve">   </w:t>
      </w:r>
      <w:r>
        <w:rPr>
          <w:rFonts w:hint="eastAsia" w:ascii="宋体" w:cs="宋体"/>
          <w:sz w:val="24"/>
        </w:rPr>
        <w:t>日</w:t>
      </w:r>
    </w:p>
    <w:p w14:paraId="23B0EF89">
      <w:pPr>
        <w:spacing w:line="500" w:lineRule="exact"/>
        <w:ind w:firstLine="424" w:firstLineChars="177"/>
        <w:rPr>
          <w:rFonts w:ascii="宋体" w:cs="宋体"/>
          <w:sz w:val="24"/>
        </w:rPr>
      </w:pPr>
      <w:r>
        <w:rPr>
          <w:rFonts w:hint="eastAsia" w:ascii="宋体" w:cs="宋体"/>
          <w:sz w:val="24"/>
        </w:rPr>
        <w:t>经营期限：</w:t>
      </w:r>
      <w:r>
        <w:rPr>
          <w:rFonts w:hint="eastAsia" w:ascii="宋体" w:cs="宋体"/>
          <w:sz w:val="24"/>
          <w:u w:val="single"/>
        </w:rPr>
        <w:t xml:space="preserve">                     </w:t>
      </w:r>
    </w:p>
    <w:p w14:paraId="59414A5A">
      <w:pPr>
        <w:spacing w:line="500" w:lineRule="exact"/>
        <w:ind w:firstLine="424" w:firstLineChars="177"/>
        <w:rPr>
          <w:rFonts w:ascii="宋体" w:cs="宋体"/>
          <w:sz w:val="24"/>
          <w:u w:val="single"/>
        </w:rPr>
      </w:pPr>
      <w:r>
        <w:rPr>
          <w:rFonts w:hint="eastAsia" w:ascii="宋体" w:cs="宋体"/>
          <w:sz w:val="24"/>
        </w:rPr>
        <w:t>姓   名：</w:t>
      </w:r>
      <w:r>
        <w:rPr>
          <w:rFonts w:hint="eastAsia" w:ascii="宋体" w:cs="宋体"/>
          <w:sz w:val="24"/>
          <w:u w:val="single"/>
        </w:rPr>
        <w:t xml:space="preserve">     </w:t>
      </w:r>
      <w:r>
        <w:rPr>
          <w:rFonts w:hint="eastAsia" w:ascii="宋体" w:cs="宋体"/>
          <w:sz w:val="24"/>
        </w:rPr>
        <w:t>性  别：</w:t>
      </w:r>
      <w:r>
        <w:rPr>
          <w:rFonts w:hint="eastAsia" w:ascii="宋体" w:cs="宋体"/>
          <w:sz w:val="24"/>
          <w:u w:val="single"/>
        </w:rPr>
        <w:t xml:space="preserve">       </w:t>
      </w:r>
      <w:r>
        <w:rPr>
          <w:rFonts w:hint="eastAsia" w:ascii="宋体" w:cs="宋体"/>
          <w:sz w:val="24"/>
        </w:rPr>
        <w:t>年   龄：</w:t>
      </w:r>
      <w:r>
        <w:rPr>
          <w:rFonts w:hint="eastAsia" w:ascii="宋体" w:cs="宋体"/>
          <w:sz w:val="24"/>
          <w:u w:val="single"/>
        </w:rPr>
        <w:t xml:space="preserve">    </w:t>
      </w:r>
      <w:r>
        <w:rPr>
          <w:rFonts w:hint="eastAsia" w:ascii="宋体" w:cs="宋体"/>
          <w:sz w:val="24"/>
        </w:rPr>
        <w:t xml:space="preserve"> 职  务：</w:t>
      </w:r>
      <w:r>
        <w:rPr>
          <w:rFonts w:hint="eastAsia" w:ascii="宋体" w:cs="宋体"/>
          <w:sz w:val="24"/>
          <w:u w:val="single"/>
        </w:rPr>
        <w:t xml:space="preserve">     </w:t>
      </w:r>
    </w:p>
    <w:p w14:paraId="3F1CF653">
      <w:pPr>
        <w:spacing w:line="500" w:lineRule="exact"/>
        <w:ind w:firstLine="424" w:firstLineChars="177"/>
        <w:rPr>
          <w:rFonts w:ascii="宋体" w:cs="宋体"/>
          <w:sz w:val="24"/>
        </w:rPr>
      </w:pPr>
      <w:r>
        <w:rPr>
          <w:rFonts w:hint="eastAsia" w:ascii="宋体" w:cs="宋体"/>
          <w:sz w:val="24"/>
        </w:rPr>
        <w:t>系（投标人名称）的法定代表人。</w:t>
      </w:r>
    </w:p>
    <w:p w14:paraId="03604EB2">
      <w:pPr>
        <w:spacing w:line="440" w:lineRule="exact"/>
        <w:ind w:firstLine="426"/>
        <w:rPr>
          <w:rFonts w:ascii="宋体" w:cs="宋体"/>
          <w:sz w:val="24"/>
        </w:rPr>
      </w:pPr>
      <w:r>
        <w:rPr>
          <w:rFonts w:hint="eastAsia" w:ascii="宋体" w:cs="宋体"/>
          <w:sz w:val="24"/>
        </w:rPr>
        <w:t>特此证明。</w:t>
      </w:r>
    </w:p>
    <w:p w14:paraId="1E3A4BF2">
      <w:pPr>
        <w:spacing w:line="500" w:lineRule="exact"/>
        <w:ind w:firstLine="424" w:firstLineChars="177"/>
        <w:rPr>
          <w:rFonts w:ascii="宋体" w:cs="宋体"/>
          <w:sz w:val="24"/>
        </w:rPr>
      </w:pPr>
    </w:p>
    <w:p w14:paraId="7272B2BA">
      <w:pPr>
        <w:spacing w:line="420" w:lineRule="atLeast"/>
        <w:rPr>
          <w:rFonts w:ascii="宋体" w:cs="宋体"/>
          <w:sz w:val="24"/>
        </w:rPr>
      </w:pPr>
    </w:p>
    <w:p w14:paraId="7C39B869">
      <w:pPr>
        <w:spacing w:line="420" w:lineRule="atLeast"/>
        <w:ind w:right="-64" w:firstLine="3600"/>
        <w:rPr>
          <w:rFonts w:ascii="宋体" w:cs="宋体"/>
          <w:sz w:val="24"/>
        </w:rPr>
      </w:pPr>
      <w:r>
        <w:rPr>
          <w:rFonts w:hint="eastAsia" w:ascii="宋体" w:cs="宋体"/>
          <w:sz w:val="24"/>
        </w:rPr>
        <w:t>投标人：（盖单位章）</w:t>
      </w:r>
    </w:p>
    <w:p w14:paraId="702F33AF">
      <w:pPr>
        <w:spacing w:line="420" w:lineRule="atLeast"/>
        <w:ind w:right="420"/>
        <w:rPr>
          <w:rFonts w:ascii="宋体" w:cs="宋体"/>
          <w:sz w:val="24"/>
          <w:u w:val="single"/>
        </w:rPr>
      </w:pPr>
    </w:p>
    <w:p w14:paraId="453CCFF5">
      <w:pPr>
        <w:spacing w:line="360" w:lineRule="exact"/>
        <w:ind w:firstLine="3600" w:firstLineChars="1500"/>
        <w:rPr>
          <w:rFonts w:ascii="宋体" w:cs="宋体"/>
          <w:sz w:val="24"/>
        </w:rPr>
      </w:pPr>
      <w:r>
        <w:rPr>
          <w:rFonts w:hint="eastAsia" w:ascii="宋体" w:cs="宋体"/>
          <w:sz w:val="24"/>
        </w:rPr>
        <w:t>日  期：</w:t>
      </w:r>
    </w:p>
    <w:p w14:paraId="24FA4AEC">
      <w:pPr>
        <w:pStyle w:val="38"/>
        <w:rPr>
          <w:color w:val="auto"/>
          <w:lang w:val="zh-CN"/>
        </w:rPr>
      </w:pPr>
    </w:p>
    <w:p w14:paraId="532F197B">
      <w:pPr>
        <w:spacing w:line="420" w:lineRule="atLeast"/>
        <w:jc w:val="center"/>
        <w:rPr>
          <w:rFonts w:ascii="宋体" w:cs="宋体"/>
          <w:sz w:val="24"/>
        </w:rPr>
      </w:pPr>
    </w:p>
    <w:p w14:paraId="71C5093A">
      <w:pPr>
        <w:spacing w:line="400" w:lineRule="exact"/>
        <w:rPr>
          <w:rFonts w:ascii="宋体" w:cs="宋体"/>
          <w:b/>
          <w:sz w:val="24"/>
        </w:rPr>
      </w:pPr>
      <w:r>
        <w:rPr>
          <w:rFonts w:hint="eastAsia" w:ascii="宋体" w:cs="宋体"/>
          <w:b/>
          <w:sz w:val="24"/>
        </w:rPr>
        <w:t>后附法定代表人身份证原件扫描件加盖投标单位公章。</w:t>
      </w:r>
    </w:p>
    <w:p w14:paraId="495B90E9">
      <w:pPr>
        <w:tabs>
          <w:tab w:val="left" w:pos="1080"/>
        </w:tabs>
        <w:autoSpaceDE w:val="0"/>
        <w:autoSpaceDN w:val="0"/>
        <w:adjustRightInd w:val="0"/>
        <w:spacing w:line="460" w:lineRule="atLeast"/>
        <w:jc w:val="left"/>
        <w:rPr>
          <w:rStyle w:val="39"/>
          <w:rFonts w:ascii="宋体" w:eastAsia="宋体" w:cs="宋体"/>
          <w:sz w:val="24"/>
          <w:szCs w:val="24"/>
        </w:rPr>
      </w:pPr>
      <w:r>
        <w:rPr>
          <w:rStyle w:val="39"/>
          <w:rFonts w:hint="eastAsia" w:ascii="宋体" w:eastAsia="宋体" w:cs="宋体"/>
          <w:sz w:val="24"/>
          <w:szCs w:val="24"/>
        </w:rPr>
        <w:t xml:space="preserve">         </w:t>
      </w:r>
    </w:p>
    <w:p w14:paraId="0978C012">
      <w:pPr>
        <w:tabs>
          <w:tab w:val="left" w:pos="1080"/>
        </w:tabs>
        <w:autoSpaceDE w:val="0"/>
        <w:autoSpaceDN w:val="0"/>
        <w:adjustRightInd w:val="0"/>
        <w:spacing w:line="460" w:lineRule="atLeast"/>
        <w:jc w:val="center"/>
        <w:rPr>
          <w:rFonts w:ascii="宋体" w:cs="宋体"/>
          <w:sz w:val="22"/>
          <w:szCs w:val="22"/>
          <w:lang w:val="zh-CN"/>
        </w:rPr>
      </w:pPr>
    </w:p>
    <w:p w14:paraId="0AFA96A3">
      <w:pPr>
        <w:tabs>
          <w:tab w:val="left" w:pos="1080"/>
        </w:tabs>
        <w:autoSpaceDE w:val="0"/>
        <w:autoSpaceDN w:val="0"/>
        <w:adjustRightInd w:val="0"/>
        <w:spacing w:line="460" w:lineRule="atLeast"/>
        <w:jc w:val="center"/>
        <w:rPr>
          <w:rFonts w:ascii="宋体" w:cs="宋体"/>
          <w:sz w:val="22"/>
          <w:szCs w:val="22"/>
          <w:lang w:val="zh-CN"/>
        </w:rPr>
      </w:pPr>
    </w:p>
    <w:p w14:paraId="33453DE0">
      <w:pPr>
        <w:tabs>
          <w:tab w:val="left" w:pos="1080"/>
        </w:tabs>
        <w:autoSpaceDE w:val="0"/>
        <w:autoSpaceDN w:val="0"/>
        <w:adjustRightInd w:val="0"/>
        <w:spacing w:line="460" w:lineRule="atLeast"/>
        <w:jc w:val="center"/>
        <w:rPr>
          <w:rFonts w:ascii="宋体" w:cs="宋体"/>
          <w:sz w:val="36"/>
          <w:szCs w:val="36"/>
          <w:lang w:val="zh-CN"/>
        </w:rPr>
      </w:pPr>
    </w:p>
    <w:p w14:paraId="1E6A8757">
      <w:pPr>
        <w:tabs>
          <w:tab w:val="left" w:pos="1080"/>
        </w:tabs>
        <w:autoSpaceDE w:val="0"/>
        <w:autoSpaceDN w:val="0"/>
        <w:adjustRightInd w:val="0"/>
        <w:spacing w:line="460" w:lineRule="atLeast"/>
        <w:jc w:val="center"/>
        <w:rPr>
          <w:rFonts w:ascii="宋体" w:cs="宋体"/>
          <w:sz w:val="36"/>
          <w:szCs w:val="36"/>
          <w:lang w:val="zh-CN"/>
        </w:rPr>
      </w:pPr>
    </w:p>
    <w:p w14:paraId="31FAC773">
      <w:pPr>
        <w:tabs>
          <w:tab w:val="left" w:pos="1080"/>
        </w:tabs>
        <w:autoSpaceDE w:val="0"/>
        <w:autoSpaceDN w:val="0"/>
        <w:adjustRightInd w:val="0"/>
        <w:spacing w:line="460" w:lineRule="atLeast"/>
        <w:jc w:val="center"/>
        <w:rPr>
          <w:rFonts w:ascii="宋体" w:cs="宋体"/>
          <w:sz w:val="36"/>
          <w:szCs w:val="36"/>
          <w:lang w:val="zh-CN"/>
        </w:rPr>
      </w:pPr>
    </w:p>
    <w:p w14:paraId="211DA9E1">
      <w:pPr>
        <w:tabs>
          <w:tab w:val="left" w:pos="1080"/>
        </w:tabs>
        <w:autoSpaceDE w:val="0"/>
        <w:autoSpaceDN w:val="0"/>
        <w:adjustRightInd w:val="0"/>
        <w:spacing w:line="460" w:lineRule="atLeast"/>
        <w:jc w:val="center"/>
        <w:rPr>
          <w:rFonts w:ascii="宋体" w:cs="宋体"/>
          <w:sz w:val="36"/>
          <w:szCs w:val="36"/>
          <w:lang w:val="zh-CN"/>
        </w:rPr>
      </w:pPr>
    </w:p>
    <w:p w14:paraId="078839E7">
      <w:pPr>
        <w:tabs>
          <w:tab w:val="left" w:pos="1080"/>
        </w:tabs>
        <w:autoSpaceDE w:val="0"/>
        <w:autoSpaceDN w:val="0"/>
        <w:adjustRightInd w:val="0"/>
        <w:spacing w:line="460" w:lineRule="atLeast"/>
        <w:jc w:val="center"/>
        <w:rPr>
          <w:rFonts w:ascii="宋体" w:cs="宋体"/>
          <w:sz w:val="36"/>
          <w:szCs w:val="36"/>
          <w:lang w:val="zh-CN"/>
        </w:rPr>
      </w:pPr>
    </w:p>
    <w:p w14:paraId="72486B2E">
      <w:pPr>
        <w:widowControl/>
        <w:jc w:val="left"/>
        <w:rPr>
          <w:lang w:val="zh-CN"/>
        </w:rPr>
      </w:pPr>
      <w:r>
        <w:rPr>
          <w:lang w:val="zh-CN"/>
        </w:rPr>
        <w:br w:type="page"/>
      </w:r>
    </w:p>
    <w:p w14:paraId="04CF973F">
      <w:pPr>
        <w:snapToGrid w:val="0"/>
        <w:spacing w:line="360" w:lineRule="auto"/>
        <w:jc w:val="center"/>
        <w:rPr>
          <w:rFonts w:ascii="宋体"/>
          <w:b/>
          <w:sz w:val="30"/>
          <w:szCs w:val="30"/>
        </w:rPr>
      </w:pPr>
      <w:r>
        <w:rPr>
          <w:rFonts w:hint="eastAsia" w:ascii="宋体"/>
          <w:b/>
          <w:sz w:val="30"/>
          <w:szCs w:val="30"/>
        </w:rPr>
        <w:t>法定代表人授权委托书</w:t>
      </w:r>
    </w:p>
    <w:p w14:paraId="04CACB61">
      <w:pPr>
        <w:snapToGrid w:val="0"/>
        <w:spacing w:line="580" w:lineRule="atLeast"/>
        <w:rPr>
          <w:rFonts w:ascii="宋体" w:cs="宋体"/>
          <w:sz w:val="24"/>
          <w:u w:val="single"/>
          <w:lang w:val="zh-CN"/>
        </w:rPr>
      </w:pPr>
      <w:r>
        <w:rPr>
          <w:rFonts w:hint="eastAsia" w:ascii="宋体" w:cs="宋体"/>
          <w:sz w:val="24"/>
          <w:u w:val="single"/>
        </w:rPr>
        <w:t>（采购人）、（采购代理机构）</w:t>
      </w:r>
      <w:r>
        <w:rPr>
          <w:rFonts w:hint="eastAsia" w:ascii="宋体" w:cs="宋体"/>
          <w:sz w:val="24"/>
          <w:u w:val="single"/>
          <w:lang w:val="zh-CN"/>
        </w:rPr>
        <w:t>：</w:t>
      </w:r>
    </w:p>
    <w:p w14:paraId="4BDDA51D">
      <w:pPr>
        <w:snapToGrid w:val="0"/>
        <w:spacing w:line="580" w:lineRule="atLeast"/>
        <w:ind w:firstLine="480" w:firstLineChars="200"/>
        <w:rPr>
          <w:rFonts w:ascii="宋体" w:cs="宋体"/>
          <w:sz w:val="24"/>
        </w:rPr>
      </w:pPr>
      <w:r>
        <w:rPr>
          <w:rFonts w:hint="eastAsia" w:ascii="宋体" w:cs="宋体"/>
          <w:sz w:val="24"/>
        </w:rPr>
        <w:t>本授权委托书声明：我</w:t>
      </w:r>
      <w:r>
        <w:rPr>
          <w:rFonts w:hint="eastAsia" w:ascii="宋体" w:cs="宋体"/>
          <w:sz w:val="24"/>
          <w:u w:val="single"/>
        </w:rPr>
        <w:t xml:space="preserve">   （法定代表人姓名）   </w:t>
      </w:r>
      <w:r>
        <w:rPr>
          <w:rFonts w:hint="eastAsia" w:ascii="宋体" w:cs="宋体"/>
          <w:sz w:val="24"/>
        </w:rPr>
        <w:t>系</w:t>
      </w:r>
      <w:r>
        <w:rPr>
          <w:rFonts w:hint="eastAsia" w:ascii="宋体" w:cs="宋体"/>
          <w:sz w:val="24"/>
          <w:u w:val="single"/>
        </w:rPr>
        <w:t xml:space="preserve">   （供 应 商 名 称）  </w:t>
      </w:r>
      <w:r>
        <w:rPr>
          <w:rFonts w:hint="eastAsia" w:ascii="宋体" w:cs="宋体"/>
          <w:sz w:val="24"/>
        </w:rPr>
        <w:t>的法定代表人，现授权委托</w:t>
      </w:r>
      <w:r>
        <w:rPr>
          <w:rFonts w:hint="eastAsia" w:ascii="宋体" w:cs="宋体"/>
          <w:sz w:val="24"/>
          <w:u w:val="single"/>
        </w:rPr>
        <w:t xml:space="preserve">  （单 位 名 称）   </w:t>
      </w:r>
      <w:r>
        <w:rPr>
          <w:rFonts w:hint="eastAsia" w:ascii="宋体" w:cs="宋体"/>
          <w:sz w:val="24"/>
        </w:rPr>
        <w:t>的</w:t>
      </w:r>
      <w:r>
        <w:rPr>
          <w:rFonts w:hint="eastAsia" w:ascii="宋体" w:cs="宋体"/>
          <w:sz w:val="24"/>
          <w:u w:val="single"/>
        </w:rPr>
        <w:t xml:space="preserve">  （授权代表姓名）  </w:t>
      </w:r>
      <w:r>
        <w:rPr>
          <w:rFonts w:hint="eastAsia" w:ascii="宋体" w:cs="宋体"/>
          <w:sz w:val="24"/>
        </w:rPr>
        <w:t>为我公司法定代表人授权代表，参加贵处组织的</w:t>
      </w:r>
      <w:r>
        <w:rPr>
          <w:rFonts w:hint="eastAsia" w:ascii="宋体" w:cs="宋体"/>
          <w:sz w:val="24"/>
          <w:u w:val="single"/>
        </w:rPr>
        <w:t xml:space="preserve">  （招标项目名称，项目编号）</w:t>
      </w:r>
      <w:r>
        <w:rPr>
          <w:rFonts w:hint="eastAsia" w:ascii="宋体" w:hAnsi="宋体" w:cs="宋体"/>
          <w:sz w:val="28"/>
          <w:szCs w:val="28"/>
          <w:u w:val="single"/>
        </w:rPr>
        <w:t>（标段一/标段二）</w:t>
      </w:r>
      <w:r>
        <w:rPr>
          <w:rFonts w:hint="eastAsia" w:ascii="宋体" w:cs="宋体"/>
          <w:sz w:val="24"/>
          <w:u w:val="single"/>
        </w:rPr>
        <w:t xml:space="preserve">  </w:t>
      </w:r>
      <w:r>
        <w:rPr>
          <w:rFonts w:hint="eastAsia" w:ascii="宋体" w:cs="宋体"/>
          <w:sz w:val="24"/>
        </w:rPr>
        <w:t>项目投标，全权处理本次招投标活动中的一切事宜，我承认授权代表全权代表我所签署的本项目的投标文件的内容。</w:t>
      </w:r>
    </w:p>
    <w:p w14:paraId="7E13A5C6">
      <w:pPr>
        <w:snapToGrid w:val="0"/>
        <w:spacing w:line="580" w:lineRule="atLeast"/>
        <w:ind w:firstLine="480" w:firstLineChars="200"/>
        <w:rPr>
          <w:rFonts w:ascii="宋体" w:cs="宋体"/>
          <w:sz w:val="24"/>
        </w:rPr>
      </w:pPr>
      <w:r>
        <w:rPr>
          <w:rFonts w:hint="eastAsia" w:ascii="宋体" w:cs="宋体"/>
          <w:sz w:val="24"/>
        </w:rPr>
        <w:t>授权代表无转授权，特此授权。</w:t>
      </w:r>
    </w:p>
    <w:p w14:paraId="71047243">
      <w:pPr>
        <w:snapToGrid w:val="0"/>
        <w:spacing w:line="580" w:lineRule="atLeast"/>
        <w:ind w:left="1260"/>
        <w:rPr>
          <w:rFonts w:ascii="宋体" w:cs="宋体"/>
          <w:sz w:val="24"/>
        </w:rPr>
      </w:pPr>
    </w:p>
    <w:p w14:paraId="4A41D02A">
      <w:pPr>
        <w:snapToGrid w:val="0"/>
        <w:spacing w:line="580" w:lineRule="atLeast"/>
        <w:rPr>
          <w:rFonts w:ascii="宋体" w:cs="宋体"/>
          <w:sz w:val="24"/>
          <w:u w:val="single"/>
        </w:rPr>
      </w:pPr>
      <w:r>
        <w:rPr>
          <w:rFonts w:hint="eastAsia" w:ascii="宋体" w:cs="宋体"/>
          <w:sz w:val="24"/>
        </w:rPr>
        <w:t>授权代表：</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性别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年龄：</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7B0F0EE6">
      <w:pPr>
        <w:snapToGrid w:val="0"/>
        <w:spacing w:line="580" w:lineRule="atLeast"/>
        <w:rPr>
          <w:rFonts w:ascii="宋体" w:cs="宋体"/>
          <w:sz w:val="24"/>
          <w:u w:val="single"/>
        </w:rPr>
      </w:pPr>
      <w:r>
        <w:rPr>
          <w:rFonts w:hint="eastAsia" w:ascii="宋体" w:cs="宋体"/>
          <w:sz w:val="24"/>
        </w:rPr>
        <w:t>详细通讯地址：</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邮政编码：</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6A485DB5">
      <w:pPr>
        <w:snapToGrid w:val="0"/>
        <w:spacing w:line="580" w:lineRule="atLeast"/>
        <w:rPr>
          <w:rFonts w:ascii="宋体" w:cs="宋体"/>
          <w:sz w:val="24"/>
          <w:u w:val="single"/>
        </w:rPr>
      </w:pPr>
      <w:r>
        <w:rPr>
          <w:rFonts w:hint="eastAsia" w:ascii="宋体" w:cs="宋体"/>
          <w:sz w:val="24"/>
        </w:rPr>
        <w:t>电话：</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传真：</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3B7AC91F">
      <w:pPr>
        <w:snapToGrid w:val="0"/>
        <w:spacing w:line="580" w:lineRule="atLeast"/>
        <w:rPr>
          <w:rFonts w:ascii="宋体" w:cs="宋体"/>
          <w:sz w:val="24"/>
          <w:u w:val="single"/>
        </w:rPr>
      </w:pPr>
      <w:r>
        <w:rPr>
          <w:rFonts w:hint="eastAsia" w:ascii="宋体" w:cs="宋体"/>
          <w:sz w:val="24"/>
        </w:rPr>
        <w:t>投标供应商：</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536F0B6D">
      <w:pPr>
        <w:snapToGrid w:val="0"/>
        <w:spacing w:line="580" w:lineRule="atLeast"/>
        <w:ind w:right="440"/>
        <w:rPr>
          <w:rFonts w:ascii="宋体" w:cs="宋体"/>
          <w:sz w:val="24"/>
          <w:u w:val="single"/>
        </w:rPr>
      </w:pPr>
      <w:r>
        <w:rPr>
          <w:rFonts w:hint="eastAsia" w:ascii="宋体" w:cs="宋体"/>
          <w:sz w:val="24"/>
        </w:rPr>
        <w:t>法定代表人：</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6E6EB2D4">
      <w:pPr>
        <w:snapToGrid w:val="0"/>
        <w:spacing w:line="580" w:lineRule="atLeast"/>
        <w:ind w:right="440"/>
        <w:rPr>
          <w:rFonts w:ascii="宋体" w:cs="宋体"/>
          <w:sz w:val="24"/>
        </w:rPr>
      </w:pPr>
      <w:r>
        <w:rPr>
          <w:rFonts w:hint="eastAsia" w:cs="宋体"/>
          <w:sz w:val="24"/>
        </w:rPr>
        <w:t>授权委托日期：</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 xml:space="preserve">年 </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月</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日</w:t>
      </w:r>
    </w:p>
    <w:p w14:paraId="37474ED8">
      <w:pPr>
        <w:pStyle w:val="13"/>
        <w:rPr>
          <w:rFonts w:cs="宋体"/>
          <w:sz w:val="22"/>
          <w:szCs w:val="22"/>
        </w:rPr>
      </w:pPr>
    </w:p>
    <w:p w14:paraId="10D5BCE4">
      <w:pPr>
        <w:rPr>
          <w:rFonts w:ascii="宋体" w:cs="宋体"/>
        </w:rPr>
      </w:pPr>
    </w:p>
    <w:tbl>
      <w:tblPr>
        <w:tblStyle w:val="21"/>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A62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vAlign w:val="center"/>
          </w:tcPr>
          <w:p w14:paraId="408D5C58">
            <w:pPr>
              <w:pStyle w:val="12"/>
              <w:spacing w:line="440" w:lineRule="atLeast"/>
              <w:jc w:val="center"/>
              <w:rPr>
                <w:rFonts w:cs="宋体"/>
                <w:sz w:val="36"/>
                <w:szCs w:val="22"/>
              </w:rPr>
            </w:pPr>
            <w:r>
              <w:rPr>
                <w:rFonts w:hint="eastAsia" w:cs="宋体"/>
                <w:sz w:val="36"/>
                <w:szCs w:val="22"/>
              </w:rPr>
              <w:t>粘贴法定代表人身份证原件扫描件</w:t>
            </w:r>
          </w:p>
        </w:tc>
      </w:tr>
    </w:tbl>
    <w:p w14:paraId="3E792B69">
      <w:pPr>
        <w:pStyle w:val="12"/>
        <w:snapToGrid w:val="0"/>
        <w:spacing w:line="580" w:lineRule="atLeast"/>
        <w:jc w:val="center"/>
        <w:rPr>
          <w:rFonts w:cs="宋体"/>
          <w:sz w:val="22"/>
          <w:szCs w:val="22"/>
        </w:rPr>
      </w:pPr>
    </w:p>
    <w:p w14:paraId="031C6466">
      <w:pPr>
        <w:pStyle w:val="12"/>
        <w:snapToGrid w:val="0"/>
        <w:spacing w:line="580" w:lineRule="atLeast"/>
        <w:rPr>
          <w:rFonts w:cs="宋体"/>
          <w:sz w:val="22"/>
          <w:szCs w:val="22"/>
          <w:u w:val="thick"/>
        </w:rPr>
      </w:pPr>
    </w:p>
    <w:p w14:paraId="7D73B136">
      <w:pPr>
        <w:pStyle w:val="12"/>
        <w:snapToGrid w:val="0"/>
        <w:spacing w:line="580" w:lineRule="atLeast"/>
        <w:rPr>
          <w:rFonts w:cs="宋体"/>
          <w:sz w:val="22"/>
          <w:szCs w:val="22"/>
          <w:u w:val="thick"/>
        </w:rPr>
      </w:pPr>
    </w:p>
    <w:p w14:paraId="16E4E19C">
      <w:pPr>
        <w:pStyle w:val="12"/>
        <w:snapToGrid w:val="0"/>
        <w:spacing w:line="580" w:lineRule="atLeast"/>
        <w:rPr>
          <w:rFonts w:cs="宋体"/>
          <w:sz w:val="22"/>
          <w:szCs w:val="22"/>
          <w:u w:val="thick"/>
        </w:rPr>
      </w:pPr>
    </w:p>
    <w:tbl>
      <w:tblPr>
        <w:tblStyle w:val="21"/>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6EAFC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vAlign w:val="center"/>
          </w:tcPr>
          <w:p w14:paraId="3B1B6CF2">
            <w:pPr>
              <w:pStyle w:val="12"/>
              <w:spacing w:line="440" w:lineRule="atLeast"/>
              <w:jc w:val="center"/>
              <w:rPr>
                <w:rFonts w:cs="宋体"/>
                <w:sz w:val="36"/>
                <w:szCs w:val="22"/>
              </w:rPr>
            </w:pPr>
            <w:r>
              <w:rPr>
                <w:rFonts w:hint="eastAsia" w:cs="宋体"/>
                <w:sz w:val="36"/>
                <w:szCs w:val="22"/>
              </w:rPr>
              <w:t>粘贴授权代表身份证原件扫描件</w:t>
            </w:r>
          </w:p>
        </w:tc>
      </w:tr>
    </w:tbl>
    <w:p w14:paraId="656E88B7">
      <w:pPr>
        <w:snapToGrid w:val="0"/>
        <w:spacing w:line="500" w:lineRule="exact"/>
        <w:ind w:firstLine="480"/>
        <w:jc w:val="center"/>
        <w:rPr>
          <w:rStyle w:val="39"/>
          <w:rFonts w:ascii="宋体" w:eastAsia="宋体" w:cs="宋体"/>
          <w:sz w:val="24"/>
          <w:szCs w:val="24"/>
        </w:rPr>
      </w:pPr>
    </w:p>
    <w:p w14:paraId="32887B43">
      <w:pPr>
        <w:snapToGrid w:val="0"/>
        <w:spacing w:line="500" w:lineRule="exact"/>
        <w:ind w:firstLine="480"/>
        <w:jc w:val="center"/>
        <w:rPr>
          <w:rFonts w:ascii="宋体" w:cs="宋体"/>
          <w:b/>
          <w:kern w:val="0"/>
          <w:sz w:val="32"/>
          <w:szCs w:val="32"/>
          <w:lang w:val="zh-CN"/>
        </w:rPr>
      </w:pPr>
    </w:p>
    <w:p w14:paraId="29BEC7F2">
      <w:pPr>
        <w:snapToGrid w:val="0"/>
        <w:spacing w:line="500" w:lineRule="exact"/>
        <w:ind w:firstLine="480"/>
        <w:jc w:val="center"/>
        <w:rPr>
          <w:rFonts w:ascii="宋体" w:cs="宋体"/>
          <w:b/>
          <w:kern w:val="0"/>
          <w:sz w:val="32"/>
          <w:szCs w:val="32"/>
          <w:lang w:val="zh-CN"/>
        </w:rPr>
      </w:pPr>
    </w:p>
    <w:p w14:paraId="1D943340">
      <w:pPr>
        <w:snapToGrid w:val="0"/>
        <w:spacing w:line="500" w:lineRule="exact"/>
        <w:ind w:firstLine="480"/>
        <w:jc w:val="center"/>
        <w:rPr>
          <w:rFonts w:ascii="宋体" w:cs="宋体"/>
          <w:b/>
          <w:kern w:val="0"/>
          <w:sz w:val="32"/>
          <w:szCs w:val="32"/>
          <w:lang w:val="zh-CN"/>
        </w:rPr>
      </w:pPr>
    </w:p>
    <w:p w14:paraId="70DC3742">
      <w:pPr>
        <w:widowControl/>
        <w:jc w:val="left"/>
        <w:rPr>
          <w:rFonts w:ascii="宋体" w:hAnsi="宋体"/>
          <w:b/>
          <w:snapToGrid w:val="0"/>
          <w:kern w:val="0"/>
          <w:szCs w:val="21"/>
        </w:rPr>
      </w:pPr>
      <w:r>
        <w:rPr>
          <w:rFonts w:ascii="宋体" w:hAnsi="宋体"/>
          <w:b/>
          <w:snapToGrid w:val="0"/>
          <w:kern w:val="0"/>
          <w:szCs w:val="21"/>
        </w:rPr>
        <w:br w:type="page"/>
      </w:r>
    </w:p>
    <w:p w14:paraId="2D7663F6">
      <w:pPr>
        <w:snapToGrid w:val="0"/>
        <w:spacing w:line="360" w:lineRule="auto"/>
        <w:jc w:val="center"/>
        <w:rPr>
          <w:rFonts w:ascii="宋体" w:cs="宋体"/>
          <w:szCs w:val="21"/>
        </w:rPr>
      </w:pPr>
      <w:r>
        <w:rPr>
          <w:rFonts w:hint="eastAsia" w:ascii="宋体"/>
          <w:b/>
          <w:sz w:val="30"/>
          <w:szCs w:val="30"/>
        </w:rPr>
        <w:t>投标声明书</w:t>
      </w:r>
    </w:p>
    <w:p w14:paraId="594BFCC1">
      <w:pPr>
        <w:snapToGrid w:val="0"/>
        <w:spacing w:line="500" w:lineRule="exact"/>
        <w:rPr>
          <w:rFonts w:ascii="宋体" w:cs="宋体"/>
          <w:sz w:val="24"/>
          <w:u w:val="single"/>
        </w:rPr>
      </w:pPr>
      <w:r>
        <w:rPr>
          <w:rFonts w:hint="eastAsia" w:ascii="宋体" w:cs="宋体"/>
          <w:sz w:val="24"/>
          <w:u w:val="single"/>
        </w:rPr>
        <w:t>（采购人）、（采购代理机构） ：</w:t>
      </w:r>
    </w:p>
    <w:p w14:paraId="43305E0D">
      <w:pPr>
        <w:snapToGrid w:val="0"/>
        <w:spacing w:line="500" w:lineRule="exact"/>
        <w:ind w:firstLine="480" w:firstLineChars="200"/>
        <w:rPr>
          <w:rFonts w:ascii="宋体" w:cs="宋体"/>
          <w:sz w:val="24"/>
        </w:rPr>
      </w:pPr>
      <w:r>
        <w:rPr>
          <w:rFonts w:hint="eastAsia" w:ascii="宋体" w:cs="宋体"/>
          <w:sz w:val="24"/>
        </w:rPr>
        <w:t>根据贵方</w:t>
      </w:r>
      <w:r>
        <w:rPr>
          <w:rFonts w:hint="eastAsia" w:ascii="宋体" w:cs="宋体"/>
          <w:sz w:val="24"/>
          <w:u w:val="single"/>
        </w:rPr>
        <w:t xml:space="preserve">                             （项目编号：               ）</w:t>
      </w:r>
      <w:r>
        <w:rPr>
          <w:rFonts w:hint="eastAsia" w:ascii="宋体" w:cs="宋体"/>
          <w:sz w:val="24"/>
        </w:rPr>
        <w:t>的采购公告，我方提交的投标文件，宣布同意如下：</w:t>
      </w:r>
    </w:p>
    <w:p w14:paraId="097ECE50">
      <w:pPr>
        <w:pStyle w:val="12"/>
        <w:spacing w:line="500" w:lineRule="exact"/>
        <w:ind w:firstLine="480" w:firstLineChars="200"/>
        <w:rPr>
          <w:rFonts w:cs="宋体"/>
          <w:sz w:val="24"/>
          <w:szCs w:val="24"/>
        </w:rPr>
      </w:pPr>
      <w:r>
        <w:rPr>
          <w:rFonts w:hint="eastAsia" w:cs="宋体"/>
          <w:sz w:val="24"/>
          <w:szCs w:val="24"/>
        </w:rPr>
        <w:t>1.我方向贵方提交的所有投标文件、资料都是准确的和真实的。</w:t>
      </w:r>
    </w:p>
    <w:p w14:paraId="0D0935B8">
      <w:pPr>
        <w:snapToGrid w:val="0"/>
        <w:spacing w:line="500" w:lineRule="exact"/>
        <w:ind w:firstLine="480" w:firstLineChars="200"/>
        <w:rPr>
          <w:rFonts w:ascii="宋体" w:cs="宋体"/>
          <w:sz w:val="24"/>
        </w:rPr>
      </w:pPr>
      <w:r>
        <w:rPr>
          <w:rFonts w:hint="eastAsia" w:ascii="宋体" w:cs="宋体"/>
          <w:sz w:val="24"/>
        </w:rPr>
        <w:t>2.我方已详细审查全部“招标文件”，包括修改文件（如有的话）以及全部参考资料和有关附件，已经了解我方对于招标文件、采购过程、采购结果有依法进行询问、质疑、投诉的权利及相关渠道和要求。</w:t>
      </w:r>
    </w:p>
    <w:p w14:paraId="29D84450">
      <w:pPr>
        <w:snapToGrid w:val="0"/>
        <w:spacing w:line="500" w:lineRule="exact"/>
        <w:ind w:firstLine="480" w:firstLineChars="200"/>
        <w:rPr>
          <w:rFonts w:ascii="宋体" w:cs="宋体"/>
          <w:sz w:val="24"/>
        </w:rPr>
      </w:pPr>
      <w:r>
        <w:rPr>
          <w:rFonts w:hint="eastAsia" w:ascii="宋体" w:cs="宋体"/>
          <w:sz w:val="24"/>
        </w:rPr>
        <w:t>3.我方在投标之前已经与贵方进行了充分的沟通，完全理解并接受招标文件的各项规定和要求，对招标文件的合理性、合法性不再有异议。</w:t>
      </w:r>
    </w:p>
    <w:p w14:paraId="5EF0D64F">
      <w:pPr>
        <w:snapToGrid w:val="0"/>
        <w:spacing w:line="500" w:lineRule="exact"/>
        <w:ind w:firstLine="480" w:firstLineChars="200"/>
        <w:rPr>
          <w:rFonts w:ascii="宋体" w:cs="宋体"/>
          <w:sz w:val="24"/>
        </w:rPr>
      </w:pPr>
      <w:r>
        <w:rPr>
          <w:rFonts w:hint="eastAsia" w:ascii="宋体" w:cs="宋体"/>
          <w:sz w:val="24"/>
        </w:rPr>
        <w:t>4.本投标有效期自开标日起90日。</w:t>
      </w:r>
    </w:p>
    <w:p w14:paraId="2A465C43">
      <w:pPr>
        <w:snapToGrid w:val="0"/>
        <w:spacing w:line="500" w:lineRule="exact"/>
        <w:ind w:firstLine="480" w:firstLineChars="200"/>
        <w:rPr>
          <w:rFonts w:ascii="宋体" w:cs="宋体"/>
          <w:sz w:val="24"/>
        </w:rPr>
      </w:pPr>
      <w:r>
        <w:rPr>
          <w:rFonts w:hint="eastAsia" w:ascii="宋体" w:cs="宋体"/>
          <w:sz w:val="24"/>
        </w:rPr>
        <w:t>5.如中标，本投标文件至本项目合同履行完毕止均保持有效，本投标人将按“招标文件”及相关采购法律、法规的规定履行合同责任和义务。</w:t>
      </w:r>
    </w:p>
    <w:p w14:paraId="379FA806">
      <w:pPr>
        <w:snapToGrid w:val="0"/>
        <w:spacing w:line="500" w:lineRule="exact"/>
        <w:ind w:firstLine="480" w:firstLineChars="200"/>
        <w:rPr>
          <w:rFonts w:ascii="宋体" w:cs="宋体"/>
          <w:sz w:val="24"/>
        </w:rPr>
      </w:pPr>
      <w:r>
        <w:rPr>
          <w:rFonts w:hint="eastAsia" w:ascii="宋体" w:cs="宋体"/>
          <w:sz w:val="24"/>
        </w:rPr>
        <w:t>6.我方同意按照贵方要求提供与投标有关的一切数据或资料。</w:t>
      </w:r>
    </w:p>
    <w:p w14:paraId="0074C33E">
      <w:pPr>
        <w:snapToGrid w:val="0"/>
        <w:spacing w:line="500" w:lineRule="exact"/>
        <w:ind w:firstLine="480" w:firstLineChars="200"/>
        <w:rPr>
          <w:rFonts w:ascii="宋体" w:cs="宋体"/>
          <w:sz w:val="24"/>
        </w:rPr>
      </w:pPr>
      <w:r>
        <w:rPr>
          <w:rFonts w:hint="eastAsia" w:ascii="宋体" w:cs="宋体"/>
          <w:sz w:val="24"/>
        </w:rPr>
        <w:t>7.与本投标有关的一切正式往来信函请寄：</w:t>
      </w:r>
    </w:p>
    <w:p w14:paraId="4D70958B">
      <w:pPr>
        <w:snapToGrid w:val="0"/>
        <w:spacing w:line="500" w:lineRule="exact"/>
        <w:ind w:firstLine="480" w:firstLineChars="200"/>
        <w:rPr>
          <w:rFonts w:ascii="宋体" w:cs="宋体"/>
          <w:sz w:val="24"/>
        </w:rPr>
      </w:pPr>
      <w:r>
        <w:rPr>
          <w:rFonts w:hint="eastAsia" w:ascii="宋体" w:cs="宋体"/>
          <w:sz w:val="24"/>
        </w:rPr>
        <w:t>地址：__________邮编：__________电话：______________</w:t>
      </w:r>
    </w:p>
    <w:p w14:paraId="494B851E">
      <w:pPr>
        <w:snapToGrid w:val="0"/>
        <w:spacing w:line="500" w:lineRule="exact"/>
        <w:ind w:firstLine="480" w:firstLineChars="200"/>
        <w:rPr>
          <w:rFonts w:ascii="宋体" w:cs="宋体"/>
          <w:sz w:val="24"/>
        </w:rPr>
      </w:pPr>
      <w:r>
        <w:rPr>
          <w:rFonts w:hint="eastAsia" w:ascii="宋体" w:cs="宋体"/>
          <w:sz w:val="24"/>
        </w:rPr>
        <w:t>传真：______________投标人代表姓名_______职务：_____________</w:t>
      </w:r>
    </w:p>
    <w:p w14:paraId="5FD24FAF">
      <w:pPr>
        <w:snapToGrid w:val="0"/>
        <w:spacing w:line="500" w:lineRule="exact"/>
        <w:ind w:firstLine="480" w:firstLineChars="200"/>
        <w:rPr>
          <w:rFonts w:ascii="宋体" w:cs="宋体"/>
          <w:sz w:val="24"/>
        </w:rPr>
      </w:pPr>
      <w:r>
        <w:rPr>
          <w:rFonts w:hint="eastAsia" w:ascii="宋体" w:cs="宋体"/>
          <w:sz w:val="24"/>
        </w:rPr>
        <w:t>投标人名称(盖章):___________________</w:t>
      </w:r>
    </w:p>
    <w:p w14:paraId="31A0D786">
      <w:pPr>
        <w:snapToGrid w:val="0"/>
        <w:spacing w:line="500" w:lineRule="exact"/>
        <w:ind w:firstLine="480" w:firstLineChars="200"/>
        <w:rPr>
          <w:rFonts w:ascii="宋体" w:cs="宋体"/>
          <w:sz w:val="24"/>
          <w:u w:val="single"/>
        </w:rPr>
      </w:pPr>
      <w:r>
        <w:rPr>
          <w:rFonts w:hint="eastAsia" w:ascii="宋体" w:cs="宋体"/>
          <w:sz w:val="24"/>
        </w:rPr>
        <w:t>开户银行：</w:t>
      </w:r>
      <w:r>
        <w:rPr>
          <w:rFonts w:hint="eastAsia" w:ascii="宋体" w:cs="宋体"/>
          <w:sz w:val="24"/>
          <w:u w:val="single"/>
        </w:rPr>
        <w:t xml:space="preserve">             </w:t>
      </w:r>
      <w:r>
        <w:rPr>
          <w:rFonts w:hint="eastAsia" w:ascii="宋体" w:cs="宋体"/>
          <w:sz w:val="24"/>
        </w:rPr>
        <w:t>银行账号：</w:t>
      </w:r>
      <w:r>
        <w:rPr>
          <w:rFonts w:hint="eastAsia" w:ascii="宋体" w:cs="宋体"/>
          <w:sz w:val="24"/>
          <w:u w:val="single"/>
        </w:rPr>
        <w:t xml:space="preserve">             </w:t>
      </w:r>
    </w:p>
    <w:p w14:paraId="57B378DB">
      <w:pPr>
        <w:snapToGrid w:val="0"/>
        <w:spacing w:line="500" w:lineRule="exact"/>
        <w:ind w:firstLine="480" w:firstLineChars="200"/>
        <w:rPr>
          <w:rFonts w:ascii="宋体" w:cs="宋体"/>
          <w:sz w:val="24"/>
        </w:rPr>
      </w:pPr>
      <w:r>
        <w:rPr>
          <w:rFonts w:hint="eastAsia" w:ascii="宋体" w:cs="宋体"/>
          <w:sz w:val="24"/>
        </w:rPr>
        <w:t>法定代表人（盖章）___________</w:t>
      </w:r>
    </w:p>
    <w:p w14:paraId="2040D009">
      <w:pPr>
        <w:snapToGrid w:val="0"/>
        <w:spacing w:line="500" w:lineRule="exact"/>
        <w:ind w:firstLine="480" w:firstLineChars="200"/>
        <w:rPr>
          <w:rFonts w:ascii="宋体" w:cs="宋体"/>
          <w:sz w:val="24"/>
        </w:rPr>
      </w:pPr>
      <w:r>
        <w:rPr>
          <w:rFonts w:hint="eastAsia" w:ascii="宋体" w:cs="宋体"/>
          <w:sz w:val="24"/>
        </w:rPr>
        <w:t>日期:_____年___月___日</w:t>
      </w:r>
    </w:p>
    <w:p w14:paraId="60E00AFD">
      <w:pPr>
        <w:pStyle w:val="8"/>
      </w:pPr>
      <w:r>
        <w:br w:type="page"/>
      </w:r>
    </w:p>
    <w:p w14:paraId="04CCD28E">
      <w:pPr>
        <w:snapToGrid w:val="0"/>
        <w:spacing w:line="360" w:lineRule="auto"/>
        <w:jc w:val="center"/>
      </w:pPr>
      <w:r>
        <w:rPr>
          <w:rFonts w:hint="eastAsia" w:ascii="宋体"/>
          <w:b/>
          <w:sz w:val="30"/>
          <w:szCs w:val="30"/>
        </w:rPr>
        <w:t>供应商（服务商）承诺书</w:t>
      </w:r>
    </w:p>
    <w:p w14:paraId="087739CA">
      <w:pPr>
        <w:pStyle w:val="29"/>
        <w:snapToGrid w:val="0"/>
        <w:spacing w:line="360" w:lineRule="auto"/>
        <w:ind w:left="0" w:firstLine="504" w:firstLineChars="200"/>
        <w:rPr>
          <w:spacing w:val="6"/>
          <w:sz w:val="24"/>
          <w:szCs w:val="24"/>
        </w:rPr>
      </w:pPr>
      <w:r>
        <w:rPr>
          <w:spacing w:val="6"/>
          <w:sz w:val="24"/>
          <w:szCs w:val="24"/>
        </w:rPr>
        <w:t>本人经由</w:t>
      </w:r>
      <w:r>
        <w:rPr>
          <w:spacing w:val="6"/>
          <w:sz w:val="24"/>
          <w:szCs w:val="24"/>
          <w:u w:val="single"/>
        </w:rPr>
        <w:t xml:space="preserve">                     （单位）</w:t>
      </w:r>
      <w:r>
        <w:rPr>
          <w:rFonts w:hint="eastAsia"/>
          <w:spacing w:val="6"/>
          <w:sz w:val="24"/>
          <w:szCs w:val="24"/>
        </w:rPr>
        <w:t>法人</w:t>
      </w:r>
      <w:r>
        <w:rPr>
          <w:spacing w:val="6"/>
          <w:sz w:val="24"/>
          <w:szCs w:val="24"/>
          <w:u w:val="single"/>
        </w:rPr>
        <w:t xml:space="preserve">      （姓名）</w:t>
      </w:r>
      <w:r>
        <w:rPr>
          <w:spacing w:val="6"/>
          <w:sz w:val="24"/>
          <w:szCs w:val="24"/>
        </w:rPr>
        <w:t>合法授权参加项目</w:t>
      </w:r>
      <w:r>
        <w:rPr>
          <w:rFonts w:hint="eastAsia"/>
          <w:spacing w:val="6"/>
          <w:sz w:val="24"/>
          <w:szCs w:val="24"/>
        </w:rPr>
        <w:t>的招标</w:t>
      </w:r>
      <w:r>
        <w:rPr>
          <w:spacing w:val="6"/>
          <w:sz w:val="24"/>
          <w:szCs w:val="24"/>
        </w:rPr>
        <w:t>活动，经与本单位法人代表（负责人）确认，现就有关公平竞争事项郑重</w:t>
      </w:r>
      <w:r>
        <w:rPr>
          <w:rFonts w:hint="eastAsia"/>
          <w:spacing w:val="6"/>
          <w:sz w:val="24"/>
          <w:szCs w:val="24"/>
        </w:rPr>
        <w:t>承诺</w:t>
      </w:r>
      <w:r>
        <w:rPr>
          <w:spacing w:val="6"/>
          <w:sz w:val="24"/>
          <w:szCs w:val="24"/>
        </w:rPr>
        <w:t xml:space="preserve">如下： </w:t>
      </w:r>
    </w:p>
    <w:p w14:paraId="22ABEBFE">
      <w:pPr>
        <w:pStyle w:val="29"/>
        <w:numPr>
          <w:ilvl w:val="0"/>
          <w:numId w:val="5"/>
        </w:numPr>
        <w:snapToGrid w:val="0"/>
        <w:spacing w:line="360" w:lineRule="auto"/>
        <w:ind w:firstLine="407" w:firstLineChars="169"/>
        <w:rPr>
          <w:kern w:val="0"/>
          <w:sz w:val="24"/>
          <w:szCs w:val="24"/>
        </w:rPr>
      </w:pPr>
      <w:r>
        <w:rPr>
          <w:rFonts w:hint="eastAsia"/>
          <w:b/>
          <w:kern w:val="0"/>
          <w:sz w:val="24"/>
          <w:szCs w:val="24"/>
        </w:rPr>
        <w:t>本单位承诺不存在与关联关系的企业共同参与本次招标活动，所述的关联关系是具有以下情形之一：</w:t>
      </w:r>
    </w:p>
    <w:p w14:paraId="27E319F9">
      <w:pPr>
        <w:pStyle w:val="29"/>
        <w:widowControl w:val="0"/>
        <w:snapToGrid w:val="0"/>
        <w:spacing w:line="360" w:lineRule="auto"/>
        <w:ind w:firstLine="405" w:firstLineChars="169"/>
        <w:jc w:val="both"/>
        <w:rPr>
          <w:kern w:val="0"/>
          <w:sz w:val="24"/>
          <w:szCs w:val="24"/>
        </w:rPr>
      </w:pPr>
      <w:r>
        <w:rPr>
          <w:kern w:val="0"/>
          <w:sz w:val="24"/>
          <w:szCs w:val="24"/>
        </w:rPr>
        <w:t>A.法定代表人或负责人或实际控制人是同一人</w:t>
      </w:r>
    </w:p>
    <w:p w14:paraId="5767974D">
      <w:pPr>
        <w:pStyle w:val="29"/>
        <w:widowControl w:val="0"/>
        <w:snapToGrid w:val="0"/>
        <w:spacing w:line="360" w:lineRule="auto"/>
        <w:ind w:firstLine="405" w:firstLineChars="169"/>
        <w:jc w:val="both"/>
        <w:rPr>
          <w:spacing w:val="6"/>
          <w:sz w:val="24"/>
          <w:szCs w:val="24"/>
        </w:rPr>
      </w:pPr>
      <w:r>
        <w:rPr>
          <w:kern w:val="0"/>
          <w:sz w:val="24"/>
          <w:szCs w:val="24"/>
        </w:rPr>
        <w:t>B.法定代表人或负责人或实际控制人是夫妻关系</w:t>
      </w:r>
    </w:p>
    <w:p w14:paraId="50B78D84">
      <w:pPr>
        <w:pStyle w:val="29"/>
        <w:widowControl w:val="0"/>
        <w:snapToGrid w:val="0"/>
        <w:spacing w:line="360" w:lineRule="auto"/>
        <w:ind w:firstLine="405" w:firstLineChars="169"/>
        <w:jc w:val="both"/>
        <w:rPr>
          <w:spacing w:val="6"/>
          <w:sz w:val="24"/>
          <w:szCs w:val="24"/>
        </w:rPr>
      </w:pPr>
      <w:r>
        <w:rPr>
          <w:kern w:val="0"/>
          <w:sz w:val="24"/>
          <w:szCs w:val="24"/>
        </w:rPr>
        <w:t>C.法定代表人或负责人或实际控制人是直系血亲关系</w:t>
      </w:r>
    </w:p>
    <w:p w14:paraId="3548E57B">
      <w:pPr>
        <w:pStyle w:val="29"/>
        <w:widowControl w:val="0"/>
        <w:snapToGrid w:val="0"/>
        <w:spacing w:line="360" w:lineRule="auto"/>
        <w:ind w:firstLine="405" w:firstLineChars="169"/>
        <w:jc w:val="both"/>
        <w:rPr>
          <w:spacing w:val="6"/>
          <w:sz w:val="24"/>
          <w:szCs w:val="24"/>
        </w:rPr>
      </w:pPr>
      <w:r>
        <w:rPr>
          <w:kern w:val="0"/>
          <w:sz w:val="24"/>
          <w:szCs w:val="24"/>
        </w:rPr>
        <w:t>D.法定代表人或负责人或实际控制人存在三代以内旁系血亲关系</w:t>
      </w:r>
    </w:p>
    <w:p w14:paraId="417B48B5">
      <w:pPr>
        <w:pStyle w:val="29"/>
        <w:widowControl w:val="0"/>
        <w:snapToGrid w:val="0"/>
        <w:spacing w:line="360" w:lineRule="auto"/>
        <w:ind w:firstLine="405" w:firstLineChars="169"/>
        <w:jc w:val="both"/>
        <w:rPr>
          <w:kern w:val="0"/>
          <w:sz w:val="24"/>
          <w:szCs w:val="24"/>
        </w:rPr>
      </w:pPr>
      <w:r>
        <w:rPr>
          <w:kern w:val="0"/>
          <w:sz w:val="24"/>
          <w:szCs w:val="24"/>
        </w:rPr>
        <w:t>E.法定代表人或负责人或实际控制人存在近姻亲关系</w:t>
      </w:r>
    </w:p>
    <w:p w14:paraId="034EE57E">
      <w:pPr>
        <w:pStyle w:val="29"/>
        <w:widowControl w:val="0"/>
        <w:snapToGrid w:val="0"/>
        <w:spacing w:line="360" w:lineRule="auto"/>
        <w:ind w:firstLine="405" w:firstLineChars="169"/>
        <w:jc w:val="both"/>
        <w:rPr>
          <w:kern w:val="0"/>
          <w:sz w:val="24"/>
          <w:szCs w:val="24"/>
        </w:rPr>
      </w:pPr>
      <w:r>
        <w:rPr>
          <w:kern w:val="0"/>
          <w:sz w:val="24"/>
          <w:szCs w:val="24"/>
        </w:rPr>
        <w:t>F.法定代表人或负责人或实际控制人存在股份控制或实际控制关系</w:t>
      </w:r>
    </w:p>
    <w:p w14:paraId="0080AA8F">
      <w:pPr>
        <w:pStyle w:val="29"/>
        <w:widowControl w:val="0"/>
        <w:snapToGrid w:val="0"/>
        <w:spacing w:line="360" w:lineRule="auto"/>
        <w:ind w:firstLine="405" w:firstLineChars="169"/>
        <w:jc w:val="both"/>
        <w:outlineLvl w:val="0"/>
        <w:rPr>
          <w:kern w:val="0"/>
          <w:sz w:val="24"/>
          <w:szCs w:val="24"/>
        </w:rPr>
      </w:pPr>
      <w:bookmarkStart w:id="56" w:name="_Toc20769"/>
      <w:bookmarkStart w:id="57" w:name="_Toc16754"/>
      <w:bookmarkStart w:id="58" w:name="_Toc5999"/>
      <w:r>
        <w:rPr>
          <w:kern w:val="0"/>
          <w:sz w:val="24"/>
          <w:szCs w:val="24"/>
        </w:rPr>
        <w:t>G.存在共同直接或间接投资设立子公司、联营企业和合营企业情况</w:t>
      </w:r>
      <w:bookmarkEnd w:id="56"/>
      <w:bookmarkEnd w:id="57"/>
      <w:bookmarkEnd w:id="58"/>
    </w:p>
    <w:p w14:paraId="1881A130">
      <w:pPr>
        <w:pStyle w:val="29"/>
        <w:widowControl w:val="0"/>
        <w:snapToGrid w:val="0"/>
        <w:spacing w:line="360" w:lineRule="auto"/>
        <w:ind w:firstLine="405" w:firstLineChars="169"/>
        <w:jc w:val="both"/>
        <w:rPr>
          <w:sz w:val="24"/>
          <w:szCs w:val="24"/>
        </w:rPr>
      </w:pPr>
      <w:r>
        <w:rPr>
          <w:kern w:val="0"/>
          <w:sz w:val="24"/>
          <w:szCs w:val="24"/>
        </w:rPr>
        <w:t>H.存在分级代理或代销关系、同一生产制造商关系、</w:t>
      </w:r>
      <w:r>
        <w:rPr>
          <w:sz w:val="24"/>
          <w:szCs w:val="24"/>
        </w:rPr>
        <w:t>管理关系、重要业务（占主营业务收入50%以上）或重要财务往来关系（如融资）等其他实质性控制关系</w:t>
      </w:r>
    </w:p>
    <w:p w14:paraId="758643B0">
      <w:pPr>
        <w:pStyle w:val="29"/>
        <w:widowControl w:val="0"/>
        <w:snapToGrid w:val="0"/>
        <w:spacing w:line="360" w:lineRule="auto"/>
        <w:ind w:firstLine="405" w:firstLineChars="169"/>
        <w:jc w:val="both"/>
        <w:rPr>
          <w:spacing w:val="6"/>
          <w:sz w:val="24"/>
          <w:szCs w:val="24"/>
        </w:rPr>
      </w:pPr>
      <w:r>
        <w:rPr>
          <w:sz w:val="24"/>
          <w:szCs w:val="24"/>
        </w:rPr>
        <w:t>I</w:t>
      </w:r>
      <w:r>
        <w:rPr>
          <w:kern w:val="0"/>
          <w:sz w:val="24"/>
          <w:szCs w:val="24"/>
        </w:rPr>
        <w:t>.</w:t>
      </w:r>
      <w:r>
        <w:rPr>
          <w:sz w:val="24"/>
          <w:szCs w:val="24"/>
        </w:rPr>
        <w:t>其他利害关系情况</w:t>
      </w:r>
      <w:r>
        <w:rPr>
          <w:kern w:val="0"/>
          <w:sz w:val="24"/>
          <w:szCs w:val="24"/>
        </w:rPr>
        <w:t>。</w:t>
      </w:r>
    </w:p>
    <w:p w14:paraId="38E51019">
      <w:pPr>
        <w:pStyle w:val="29"/>
        <w:snapToGrid w:val="0"/>
        <w:spacing w:line="360" w:lineRule="auto"/>
        <w:ind w:firstLine="407" w:firstLineChars="169"/>
        <w:rPr>
          <w:b/>
          <w:kern w:val="0"/>
          <w:sz w:val="24"/>
          <w:szCs w:val="24"/>
        </w:rPr>
      </w:pPr>
      <w:r>
        <w:rPr>
          <w:rFonts w:hint="eastAsia"/>
          <w:b/>
          <w:sz w:val="24"/>
          <w:szCs w:val="24"/>
        </w:rPr>
        <w:t>二、</w:t>
      </w:r>
      <w:r>
        <w:rPr>
          <w:b/>
          <w:sz w:val="24"/>
          <w:szCs w:val="24"/>
        </w:rPr>
        <w:t>现已清楚知道并</w:t>
      </w:r>
      <w:r>
        <w:rPr>
          <w:b/>
          <w:kern w:val="0"/>
          <w:sz w:val="24"/>
          <w:szCs w:val="24"/>
        </w:rPr>
        <w:t>严格遵守法律法规和</w:t>
      </w:r>
      <w:r>
        <w:rPr>
          <w:rFonts w:hint="eastAsia"/>
          <w:b/>
          <w:kern w:val="0"/>
          <w:sz w:val="24"/>
          <w:szCs w:val="24"/>
        </w:rPr>
        <w:t>承诺要求</w:t>
      </w:r>
      <w:r>
        <w:rPr>
          <w:b/>
          <w:kern w:val="0"/>
          <w:sz w:val="24"/>
          <w:szCs w:val="24"/>
        </w:rPr>
        <w:t>。</w:t>
      </w:r>
    </w:p>
    <w:p w14:paraId="5BC5BC85">
      <w:pPr>
        <w:spacing w:line="360" w:lineRule="atLeast"/>
        <w:ind w:firstLine="3360" w:firstLineChars="1600"/>
        <w:jc w:val="right"/>
        <w:rPr>
          <w:rFonts w:ascii="宋体" w:hAnsi="宋体"/>
          <w:szCs w:val="21"/>
        </w:rPr>
      </w:pPr>
      <w:r>
        <w:rPr>
          <w:rFonts w:hint="eastAsia" w:ascii="宋体" w:hAnsi="宋体"/>
          <w:szCs w:val="21"/>
        </w:rPr>
        <w:t>投标人</w:t>
      </w:r>
      <w:r>
        <w:rPr>
          <w:rFonts w:ascii="宋体" w:hAnsi="宋体"/>
          <w:szCs w:val="21"/>
        </w:rPr>
        <w:t>名称（公章）：</w:t>
      </w:r>
    </w:p>
    <w:p w14:paraId="59689FBA">
      <w:pPr>
        <w:spacing w:line="360" w:lineRule="atLeast"/>
        <w:ind w:firstLine="3360" w:firstLineChars="1600"/>
        <w:jc w:val="right"/>
        <w:rPr>
          <w:rFonts w:ascii="宋体" w:hAnsi="宋体"/>
          <w:szCs w:val="21"/>
        </w:rPr>
      </w:pPr>
      <w:r>
        <w:rPr>
          <w:rFonts w:ascii="宋体" w:hAnsi="宋体"/>
          <w:szCs w:val="21"/>
        </w:rPr>
        <w:t>法定代表人或授权委托人（签字</w:t>
      </w:r>
      <w:r>
        <w:rPr>
          <w:rFonts w:hint="eastAsia" w:ascii="宋体" w:hAnsi="宋体"/>
          <w:szCs w:val="21"/>
        </w:rPr>
        <w:t>或盖章</w:t>
      </w:r>
      <w:r>
        <w:rPr>
          <w:rFonts w:ascii="宋体" w:hAnsi="宋体"/>
          <w:szCs w:val="21"/>
        </w:rPr>
        <w:t>）：</w:t>
      </w:r>
    </w:p>
    <w:p w14:paraId="6754CCC2">
      <w:pPr>
        <w:spacing w:line="360" w:lineRule="atLeast"/>
        <w:ind w:firstLine="3360" w:firstLineChars="1600"/>
        <w:jc w:val="right"/>
        <w:rPr>
          <w:rFonts w:ascii="宋体" w:hAnsi="宋体"/>
          <w:szCs w:val="21"/>
        </w:rPr>
      </w:pPr>
      <w:r>
        <w:rPr>
          <w:rFonts w:ascii="宋体" w:hAnsi="宋体"/>
          <w:szCs w:val="21"/>
        </w:rPr>
        <w:t>日期：</w:t>
      </w:r>
      <w:r>
        <w:rPr>
          <w:rFonts w:hint="eastAsia" w:ascii="宋体" w:hAnsi="宋体"/>
          <w:szCs w:val="21"/>
        </w:rPr>
        <w:t xml:space="preserve"> </w:t>
      </w:r>
      <w:r>
        <w:rPr>
          <w:rFonts w:ascii="宋体" w:hAnsi="宋体"/>
          <w:szCs w:val="21"/>
        </w:rPr>
        <w:t xml:space="preserve">    年  月   日</w:t>
      </w:r>
    </w:p>
    <w:p w14:paraId="76E6E0A7">
      <w:pPr>
        <w:pStyle w:val="8"/>
      </w:pPr>
      <w:r>
        <w:br w:type="page"/>
      </w:r>
    </w:p>
    <w:p w14:paraId="79F19F9B">
      <w:pPr>
        <w:snapToGrid w:val="0"/>
        <w:spacing w:line="360" w:lineRule="auto"/>
        <w:jc w:val="center"/>
        <w:rPr>
          <w:rFonts w:cs="方正小标宋简体"/>
          <w:b/>
          <w:sz w:val="32"/>
          <w:szCs w:val="32"/>
        </w:rPr>
      </w:pPr>
      <w:r>
        <w:rPr>
          <w:rFonts w:hint="eastAsia" w:ascii="宋体"/>
          <w:b/>
          <w:sz w:val="30"/>
          <w:szCs w:val="30"/>
        </w:rPr>
        <w:t>廉洁承诺书</w:t>
      </w:r>
    </w:p>
    <w:p w14:paraId="15AAC49E">
      <w:pPr>
        <w:pStyle w:val="29"/>
        <w:widowControl w:val="0"/>
        <w:snapToGrid w:val="0"/>
        <w:spacing w:line="360" w:lineRule="auto"/>
        <w:jc w:val="both"/>
        <w:outlineLvl w:val="0"/>
        <w:rPr>
          <w:kern w:val="0"/>
          <w:sz w:val="24"/>
          <w:szCs w:val="24"/>
        </w:rPr>
      </w:pPr>
      <w:bookmarkStart w:id="59" w:name="_Toc27139"/>
      <w:bookmarkStart w:id="60" w:name="_Toc9712"/>
      <w:r>
        <w:rPr>
          <w:rFonts w:hint="eastAsia"/>
          <w:kern w:val="0"/>
          <w:sz w:val="24"/>
          <w:szCs w:val="24"/>
          <w:u w:val="single"/>
        </w:rPr>
        <w:t>招标人：</w:t>
      </w:r>
      <w:bookmarkEnd w:id="59"/>
      <w:bookmarkEnd w:id="60"/>
      <w:r>
        <w:rPr>
          <w:kern w:val="0"/>
          <w:sz w:val="24"/>
          <w:szCs w:val="24"/>
          <w:u w:val="single"/>
        </w:rPr>
        <w:t xml:space="preserve"> </w:t>
      </w:r>
      <w:r>
        <w:rPr>
          <w:kern w:val="0"/>
          <w:sz w:val="24"/>
          <w:szCs w:val="24"/>
        </w:rPr>
        <w:t xml:space="preserve">      </w:t>
      </w:r>
    </w:p>
    <w:p w14:paraId="108229E2">
      <w:pPr>
        <w:pStyle w:val="29"/>
        <w:widowControl w:val="0"/>
        <w:snapToGrid w:val="0"/>
        <w:spacing w:line="360" w:lineRule="auto"/>
        <w:ind w:firstLine="405" w:firstLineChars="169"/>
        <w:jc w:val="both"/>
        <w:outlineLvl w:val="0"/>
        <w:rPr>
          <w:kern w:val="0"/>
          <w:sz w:val="24"/>
          <w:szCs w:val="24"/>
        </w:rPr>
      </w:pPr>
      <w:bookmarkStart w:id="61" w:name="_Toc27344"/>
      <w:bookmarkStart w:id="62" w:name="_Toc2897"/>
      <w:r>
        <w:rPr>
          <w:rFonts w:hint="eastAsia"/>
          <w:kern w:val="0"/>
          <w:sz w:val="24"/>
          <w:szCs w:val="24"/>
        </w:rPr>
        <w:t>作为贵公司潜在供应商，我单位现作如下郑重承诺：</w:t>
      </w:r>
      <w:bookmarkEnd w:id="61"/>
      <w:bookmarkEnd w:id="62"/>
    </w:p>
    <w:p w14:paraId="742EC4DD">
      <w:pPr>
        <w:pStyle w:val="29"/>
        <w:widowControl w:val="0"/>
        <w:snapToGrid w:val="0"/>
        <w:spacing w:line="360" w:lineRule="auto"/>
        <w:ind w:firstLine="405" w:firstLineChars="169"/>
        <w:jc w:val="both"/>
        <w:outlineLvl w:val="0"/>
        <w:rPr>
          <w:kern w:val="0"/>
          <w:sz w:val="24"/>
          <w:szCs w:val="24"/>
        </w:rPr>
      </w:pPr>
      <w:bookmarkStart w:id="63" w:name="_Toc22797"/>
      <w:bookmarkStart w:id="64" w:name="_Toc26687"/>
      <w:r>
        <w:rPr>
          <w:rFonts w:hint="eastAsia"/>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63"/>
      <w:bookmarkEnd w:id="64"/>
    </w:p>
    <w:p w14:paraId="5C772A61">
      <w:pPr>
        <w:pStyle w:val="29"/>
        <w:widowControl w:val="0"/>
        <w:snapToGrid w:val="0"/>
        <w:spacing w:line="360" w:lineRule="auto"/>
        <w:ind w:firstLine="405" w:firstLineChars="169"/>
        <w:jc w:val="both"/>
        <w:outlineLvl w:val="0"/>
        <w:rPr>
          <w:kern w:val="0"/>
          <w:sz w:val="24"/>
          <w:szCs w:val="24"/>
        </w:rPr>
      </w:pPr>
      <w:bookmarkStart w:id="65" w:name="_Toc2523"/>
      <w:bookmarkStart w:id="66" w:name="_Toc4844"/>
      <w:r>
        <w:rPr>
          <w:rFonts w:hint="eastAsia"/>
          <w:kern w:val="0"/>
          <w:sz w:val="24"/>
          <w:szCs w:val="24"/>
        </w:rPr>
        <w:t>2. 在与贵公司的业务往来过程中，不做违反中央八项规定精神和“四风”的事情，不向贵公司工作人员提供宴请、旅游、健身、娱乐等活动安排。</w:t>
      </w:r>
      <w:bookmarkEnd w:id="65"/>
      <w:bookmarkEnd w:id="66"/>
    </w:p>
    <w:p w14:paraId="179C1BFE">
      <w:pPr>
        <w:pStyle w:val="29"/>
        <w:widowControl w:val="0"/>
        <w:snapToGrid w:val="0"/>
        <w:spacing w:line="360" w:lineRule="auto"/>
        <w:ind w:firstLine="405" w:firstLineChars="169"/>
        <w:jc w:val="both"/>
        <w:outlineLvl w:val="0"/>
        <w:rPr>
          <w:kern w:val="0"/>
          <w:sz w:val="24"/>
          <w:szCs w:val="24"/>
        </w:rPr>
      </w:pPr>
      <w:bookmarkStart w:id="67" w:name="_Toc26123"/>
      <w:bookmarkStart w:id="68" w:name="_Toc19197"/>
      <w:r>
        <w:rPr>
          <w:rFonts w:hint="eastAsia"/>
          <w:kern w:val="0"/>
          <w:sz w:val="24"/>
          <w:szCs w:val="24"/>
        </w:rPr>
        <w:t>3. 对贵公司工作人员主动向我单位为其本人或亲属索取好处或有相关暗示的不良行为，我单位承诺立即向贵公司如实反映（举报电话：0570-3097581；巨化</w:t>
      </w:r>
      <w:r>
        <w:rPr>
          <w:rFonts w:hint="eastAsia"/>
          <w:kern w:val="0"/>
          <w:sz w:val="24"/>
        </w:rPr>
        <w:t>招标</w:t>
      </w:r>
      <w:r>
        <w:rPr>
          <w:rFonts w:hint="eastAsia"/>
          <w:kern w:val="0"/>
          <w:sz w:val="24"/>
          <w:szCs w:val="24"/>
        </w:rPr>
        <w:t xml:space="preserve">监管办公室投诉邮箱： </w:t>
      </w:r>
      <w:r>
        <w:fldChar w:fldCharType="begin"/>
      </w:r>
      <w:r>
        <w:instrText xml:space="preserve"> HYPERLINK "mailto:3091876@juhua.com" </w:instrText>
      </w:r>
      <w:r>
        <w:fldChar w:fldCharType="separate"/>
      </w:r>
      <w:r>
        <w:rPr>
          <w:rFonts w:hint="eastAsia"/>
          <w:kern w:val="0"/>
          <w:sz w:val="24"/>
          <w:szCs w:val="24"/>
        </w:rPr>
        <w:t>3091876@juhua.com</w:t>
      </w:r>
      <w:r>
        <w:rPr>
          <w:rFonts w:hint="eastAsia"/>
          <w:kern w:val="0"/>
          <w:sz w:val="24"/>
          <w:szCs w:val="24"/>
        </w:rPr>
        <w:fldChar w:fldCharType="end"/>
      </w:r>
      <w:r>
        <w:rPr>
          <w:rFonts w:hint="eastAsia"/>
          <w:kern w:val="0"/>
          <w:sz w:val="24"/>
          <w:szCs w:val="24"/>
        </w:rPr>
        <w:t>）。反映内容如系恶意虚假，我单位愿承担相应的法律责任。</w:t>
      </w:r>
      <w:bookmarkEnd w:id="67"/>
      <w:bookmarkEnd w:id="68"/>
    </w:p>
    <w:p w14:paraId="3E89A252">
      <w:pPr>
        <w:pStyle w:val="29"/>
        <w:widowControl w:val="0"/>
        <w:snapToGrid w:val="0"/>
        <w:spacing w:line="360" w:lineRule="auto"/>
        <w:ind w:firstLine="405" w:firstLineChars="169"/>
        <w:jc w:val="both"/>
        <w:outlineLvl w:val="0"/>
        <w:rPr>
          <w:kern w:val="0"/>
          <w:sz w:val="24"/>
          <w:szCs w:val="24"/>
        </w:rPr>
      </w:pPr>
      <w:bookmarkStart w:id="69" w:name="_Toc27820"/>
      <w:bookmarkStart w:id="70" w:name="_Toc31402"/>
      <w:r>
        <w:rPr>
          <w:rFonts w:hint="eastAsia"/>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69"/>
      <w:bookmarkEnd w:id="70"/>
    </w:p>
    <w:p w14:paraId="5FE713C4">
      <w:pPr>
        <w:pStyle w:val="29"/>
        <w:widowControl w:val="0"/>
        <w:snapToGrid w:val="0"/>
        <w:spacing w:line="360" w:lineRule="auto"/>
        <w:ind w:firstLine="405" w:firstLineChars="169"/>
        <w:jc w:val="both"/>
        <w:outlineLvl w:val="0"/>
        <w:rPr>
          <w:kern w:val="0"/>
          <w:sz w:val="24"/>
          <w:szCs w:val="24"/>
        </w:rPr>
      </w:pPr>
      <w:bookmarkStart w:id="71" w:name="_Toc4665"/>
      <w:bookmarkStart w:id="72" w:name="_Toc9114"/>
      <w:r>
        <w:rPr>
          <w:rFonts w:hint="eastAsia"/>
          <w:kern w:val="0"/>
          <w:sz w:val="24"/>
          <w:szCs w:val="24"/>
        </w:rPr>
        <w:t>本承诺书作为投标附件提供给招标单位。</w:t>
      </w:r>
      <w:bookmarkEnd w:id="71"/>
      <w:bookmarkEnd w:id="72"/>
    </w:p>
    <w:p w14:paraId="72C1F253">
      <w:pPr>
        <w:pStyle w:val="29"/>
        <w:widowControl w:val="0"/>
        <w:snapToGrid w:val="0"/>
        <w:spacing w:line="360" w:lineRule="auto"/>
        <w:ind w:firstLine="405" w:firstLineChars="169"/>
        <w:jc w:val="both"/>
        <w:outlineLvl w:val="0"/>
        <w:rPr>
          <w:kern w:val="0"/>
          <w:sz w:val="24"/>
          <w:szCs w:val="24"/>
        </w:rPr>
      </w:pPr>
    </w:p>
    <w:p w14:paraId="5692C4D1">
      <w:pPr>
        <w:pStyle w:val="29"/>
        <w:widowControl w:val="0"/>
        <w:snapToGrid w:val="0"/>
        <w:spacing w:line="360" w:lineRule="auto"/>
        <w:ind w:firstLine="405" w:firstLineChars="169"/>
        <w:jc w:val="both"/>
        <w:outlineLvl w:val="0"/>
        <w:rPr>
          <w:kern w:val="0"/>
          <w:sz w:val="24"/>
          <w:szCs w:val="24"/>
        </w:rPr>
      </w:pPr>
    </w:p>
    <w:p w14:paraId="092F52EE">
      <w:pPr>
        <w:pStyle w:val="29"/>
        <w:widowControl w:val="0"/>
        <w:snapToGrid w:val="0"/>
        <w:spacing w:line="360" w:lineRule="auto"/>
        <w:ind w:firstLine="405" w:firstLineChars="169"/>
        <w:jc w:val="both"/>
        <w:outlineLvl w:val="0"/>
        <w:rPr>
          <w:kern w:val="0"/>
          <w:sz w:val="24"/>
          <w:szCs w:val="24"/>
        </w:rPr>
      </w:pPr>
    </w:p>
    <w:p w14:paraId="374B1FFC">
      <w:pPr>
        <w:pStyle w:val="29"/>
        <w:widowControl w:val="0"/>
        <w:snapToGrid w:val="0"/>
        <w:spacing w:line="360" w:lineRule="auto"/>
        <w:ind w:firstLine="405" w:firstLineChars="169"/>
        <w:jc w:val="both"/>
        <w:outlineLvl w:val="0"/>
        <w:rPr>
          <w:kern w:val="0"/>
          <w:sz w:val="24"/>
          <w:szCs w:val="24"/>
        </w:rPr>
      </w:pPr>
    </w:p>
    <w:p w14:paraId="237BAF6B">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 xml:space="preserve">投标人（盖公章）：                </w:t>
      </w:r>
    </w:p>
    <w:p w14:paraId="7648FA88">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 xml:space="preserve">法定代表人（签字或盖章）：                             </w:t>
      </w:r>
    </w:p>
    <w:p w14:paraId="1E9724D2">
      <w:pPr>
        <w:spacing w:line="360" w:lineRule="auto"/>
        <w:ind w:firstLine="360" w:firstLineChars="150"/>
        <w:jc w:val="right"/>
        <w:rPr>
          <w:rFonts w:ascii="宋体" w:hAnsi="宋体"/>
          <w:bCs/>
          <w:snapToGrid w:val="0"/>
          <w:kern w:val="0"/>
          <w:sz w:val="24"/>
        </w:rPr>
      </w:pPr>
    </w:p>
    <w:p w14:paraId="4D77D79C">
      <w:pPr>
        <w:spacing w:line="360" w:lineRule="auto"/>
        <w:ind w:firstLine="360" w:firstLineChars="150"/>
        <w:jc w:val="right"/>
        <w:rPr>
          <w:rFonts w:ascii="宋体" w:hAnsi="宋体"/>
          <w:bCs/>
          <w:snapToGrid w:val="0"/>
          <w:kern w:val="0"/>
          <w:sz w:val="24"/>
        </w:rPr>
      </w:pPr>
    </w:p>
    <w:p w14:paraId="1FC11B8D">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_______年＿月 ＿日</w:t>
      </w:r>
    </w:p>
    <w:p w14:paraId="71861ECD">
      <w:pPr>
        <w:pStyle w:val="8"/>
        <w:rPr>
          <w:snapToGrid w:val="0"/>
        </w:rPr>
      </w:pPr>
      <w:r>
        <w:rPr>
          <w:snapToGrid w:val="0"/>
        </w:rPr>
        <w:br w:type="page"/>
      </w:r>
    </w:p>
    <w:p w14:paraId="2ECEABEC">
      <w:pPr>
        <w:pStyle w:val="20"/>
        <w:ind w:firstLine="560"/>
        <w:rPr>
          <w:rFonts w:ascii="宋体" w:hAnsi="宋体" w:cs="宋体"/>
        </w:rPr>
      </w:pPr>
    </w:p>
    <w:p w14:paraId="0D336AC4">
      <w:pPr>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招标</w:t>
      </w:r>
    </w:p>
    <w:p w14:paraId="1ABCE771">
      <w:pPr>
        <w:spacing w:before="240" w:beforeLines="100"/>
        <w:jc w:val="center"/>
        <w:rPr>
          <w:rFonts w:ascii="宋体" w:hAnsi="宋体" w:cs="宋体"/>
          <w:sz w:val="44"/>
          <w:szCs w:val="44"/>
        </w:rPr>
      </w:pPr>
      <w:r>
        <w:rPr>
          <w:rFonts w:hint="eastAsia" w:ascii="宋体" w:hAnsi="宋体" w:cs="宋体"/>
          <w:sz w:val="44"/>
          <w:szCs w:val="44"/>
        </w:rPr>
        <w:t>投  标  文  件</w:t>
      </w:r>
    </w:p>
    <w:p w14:paraId="1901E9BE">
      <w:pPr>
        <w:jc w:val="center"/>
        <w:rPr>
          <w:rFonts w:ascii="宋体" w:hAnsi="宋体" w:cs="宋体"/>
          <w:sz w:val="32"/>
          <w:szCs w:val="32"/>
        </w:rPr>
      </w:pPr>
    </w:p>
    <w:p w14:paraId="3FFBD5B6">
      <w:pPr>
        <w:jc w:val="center"/>
        <w:rPr>
          <w:rFonts w:ascii="宋体" w:hAnsi="宋体" w:cs="宋体"/>
          <w:sz w:val="32"/>
          <w:szCs w:val="32"/>
        </w:rPr>
      </w:pPr>
    </w:p>
    <w:p w14:paraId="6CB53C0F">
      <w:pPr>
        <w:jc w:val="center"/>
        <w:rPr>
          <w:rFonts w:ascii="宋体" w:hAnsi="宋体" w:cs="宋体"/>
          <w:sz w:val="32"/>
          <w:szCs w:val="32"/>
        </w:rPr>
      </w:pPr>
    </w:p>
    <w:p w14:paraId="7F6ACF2A">
      <w:pPr>
        <w:jc w:val="center"/>
        <w:rPr>
          <w:rFonts w:ascii="宋体" w:hAnsi="宋体" w:cs="宋体"/>
          <w:sz w:val="32"/>
          <w:szCs w:val="32"/>
        </w:rPr>
      </w:pPr>
    </w:p>
    <w:p w14:paraId="5071DEBE">
      <w:pPr>
        <w:jc w:val="center"/>
        <w:rPr>
          <w:rFonts w:ascii="宋体" w:hAnsi="宋体" w:cs="宋体"/>
          <w:sz w:val="32"/>
          <w:szCs w:val="32"/>
        </w:rPr>
      </w:pPr>
    </w:p>
    <w:p w14:paraId="1C2F4999">
      <w:pPr>
        <w:jc w:val="center"/>
        <w:rPr>
          <w:rFonts w:ascii="宋体" w:hAnsi="宋体" w:cs="宋体"/>
          <w:sz w:val="32"/>
          <w:szCs w:val="32"/>
        </w:rPr>
      </w:pPr>
    </w:p>
    <w:p w14:paraId="71E26BF0">
      <w:pPr>
        <w:snapToGrid w:val="0"/>
        <w:spacing w:line="480" w:lineRule="auto"/>
        <w:rPr>
          <w:rFonts w:ascii="宋体" w:hAnsi="宋体" w:cs="宋体"/>
          <w:sz w:val="28"/>
          <w:szCs w:val="28"/>
          <w:u w:val="single"/>
        </w:rPr>
      </w:pPr>
      <w:r>
        <w:rPr>
          <w:rFonts w:hint="eastAsia" w:ascii="宋体" w:hAnsi="宋体" w:cs="宋体"/>
          <w:sz w:val="28"/>
          <w:szCs w:val="28"/>
        </w:rPr>
        <w:t>项 目 名 称 ：</w:t>
      </w:r>
      <w:r>
        <w:rPr>
          <w:rFonts w:hint="eastAsia" w:ascii="宋体" w:hAnsi="宋体" w:cs="宋体"/>
          <w:sz w:val="28"/>
          <w:szCs w:val="28"/>
          <w:u w:val="single"/>
        </w:rPr>
        <w:t xml:space="preserve"> 浙江巨化股份有限公司电化厂（含巨塑、聚荟公司）2025-2027年部分产品及原材料包装搬运装卸劳务外包项目（标段一/标段二）</w:t>
      </w:r>
    </w:p>
    <w:p w14:paraId="2DB34295">
      <w:pPr>
        <w:snapToGrid w:val="0"/>
        <w:spacing w:line="480" w:lineRule="auto"/>
        <w:jc w:val="left"/>
        <w:rPr>
          <w:rFonts w:ascii="宋体" w:hAnsi="宋体" w:cs="宋体"/>
          <w:sz w:val="32"/>
          <w:szCs w:val="32"/>
        </w:rPr>
      </w:pPr>
      <w:r>
        <w:rPr>
          <w:rFonts w:hint="eastAsia" w:ascii="宋体" w:hAnsi="宋体" w:cs="宋体"/>
          <w:sz w:val="28"/>
          <w:szCs w:val="28"/>
        </w:rPr>
        <w:t>投标文件内容：</w:t>
      </w:r>
      <w:r>
        <w:rPr>
          <w:rFonts w:hint="eastAsia" w:ascii="宋体" w:hAnsi="宋体" w:cs="宋体"/>
          <w:sz w:val="28"/>
          <w:szCs w:val="28"/>
          <w:u w:val="single"/>
        </w:rPr>
        <w:t xml:space="preserve">                  商务经济文件           </w:t>
      </w:r>
    </w:p>
    <w:p w14:paraId="3AE86EDE">
      <w:pPr>
        <w:spacing w:line="480" w:lineRule="auto"/>
        <w:rPr>
          <w:rFonts w:ascii="宋体" w:hAnsi="宋体" w:cs="宋体"/>
          <w:sz w:val="28"/>
          <w:szCs w:val="28"/>
        </w:rPr>
      </w:pPr>
      <w:r>
        <w:rPr>
          <w:rFonts w:hint="eastAsia" w:ascii="宋体" w:hAnsi="宋体" w:cs="宋体"/>
          <w:sz w:val="28"/>
          <w:szCs w:val="28"/>
        </w:rPr>
        <w:t>投  标  人：</w:t>
      </w:r>
      <w:r>
        <w:rPr>
          <w:rFonts w:hint="eastAsia" w:ascii="宋体" w:hAnsi="宋体" w:cs="宋体"/>
          <w:sz w:val="28"/>
          <w:szCs w:val="28"/>
          <w:u w:val="single"/>
        </w:rPr>
        <w:t xml:space="preserve">                                          </w:t>
      </w:r>
      <w:r>
        <w:rPr>
          <w:rFonts w:hint="eastAsia" w:ascii="宋体" w:hAnsi="宋体" w:cs="宋体"/>
          <w:sz w:val="28"/>
          <w:szCs w:val="28"/>
        </w:rPr>
        <w:t>（盖章）</w:t>
      </w:r>
    </w:p>
    <w:p w14:paraId="7AD842C1">
      <w:pPr>
        <w:spacing w:line="480" w:lineRule="auto"/>
        <w:rPr>
          <w:rFonts w:ascii="宋体" w:hAnsi="宋体" w:cs="宋体"/>
          <w:sz w:val="28"/>
          <w:szCs w:val="28"/>
        </w:rPr>
      </w:pP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（盖章）</w:t>
      </w:r>
    </w:p>
    <w:p w14:paraId="644D6983">
      <w:pPr>
        <w:spacing w:line="480" w:lineRule="auto"/>
        <w:jc w:val="center"/>
        <w:rPr>
          <w:rFonts w:ascii="宋体" w:hAnsi="宋体" w:cs="宋体"/>
          <w:sz w:val="28"/>
          <w:szCs w:val="28"/>
        </w:rPr>
      </w:pPr>
    </w:p>
    <w:p w14:paraId="42977265">
      <w:pPr>
        <w:spacing w:line="480" w:lineRule="auto"/>
        <w:jc w:val="center"/>
        <w:rPr>
          <w:rFonts w:ascii="宋体" w:hAnsi="宋体" w:cs="宋体"/>
          <w:sz w:val="28"/>
          <w:szCs w:val="28"/>
        </w:rPr>
      </w:pPr>
    </w:p>
    <w:p w14:paraId="45F40838">
      <w:pPr>
        <w:spacing w:line="480" w:lineRule="auto"/>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48A1EF53">
      <w:pPr>
        <w:tabs>
          <w:tab w:val="left" w:pos="4410"/>
        </w:tabs>
        <w:spacing w:line="360" w:lineRule="auto"/>
        <w:jc w:val="center"/>
        <w:rPr>
          <w:rFonts w:ascii="宋体" w:hAnsi="宋体" w:cs="宋体"/>
          <w:sz w:val="28"/>
          <w:szCs w:val="28"/>
        </w:rPr>
      </w:pPr>
    </w:p>
    <w:p w14:paraId="395385A1">
      <w:pPr>
        <w:spacing w:line="360" w:lineRule="auto"/>
        <w:ind w:right="420"/>
        <w:jc w:val="center"/>
        <w:rPr>
          <w:rFonts w:ascii="宋体" w:hAnsi="宋体" w:cs="宋体"/>
          <w:sz w:val="24"/>
        </w:rPr>
      </w:pPr>
    </w:p>
    <w:p w14:paraId="10B26012">
      <w:pPr>
        <w:spacing w:line="360" w:lineRule="auto"/>
        <w:ind w:right="420"/>
        <w:jc w:val="center"/>
        <w:rPr>
          <w:rFonts w:ascii="宋体" w:hAnsi="宋体" w:cs="宋体"/>
          <w:sz w:val="24"/>
        </w:rPr>
      </w:pPr>
    </w:p>
    <w:p w14:paraId="43AB82FD">
      <w:pPr>
        <w:spacing w:line="360" w:lineRule="auto"/>
        <w:ind w:right="420"/>
        <w:jc w:val="center"/>
        <w:rPr>
          <w:rFonts w:ascii="宋体" w:hAnsi="宋体" w:cs="宋体"/>
          <w:sz w:val="24"/>
        </w:rPr>
      </w:pPr>
    </w:p>
    <w:p w14:paraId="1A1EB898">
      <w:pPr>
        <w:spacing w:line="360" w:lineRule="auto"/>
        <w:ind w:right="420"/>
        <w:jc w:val="center"/>
        <w:rPr>
          <w:rFonts w:ascii="宋体" w:hAnsi="宋体" w:cs="宋体"/>
          <w:sz w:val="24"/>
        </w:rPr>
      </w:pPr>
    </w:p>
    <w:p w14:paraId="344F9DB2">
      <w:pPr>
        <w:rPr>
          <w:sz w:val="24"/>
        </w:rPr>
      </w:pPr>
    </w:p>
    <w:p w14:paraId="20E8AC9D">
      <w:pPr>
        <w:pStyle w:val="20"/>
        <w:ind w:firstLine="480"/>
        <w:rPr>
          <w:sz w:val="24"/>
        </w:rPr>
      </w:pPr>
    </w:p>
    <w:p w14:paraId="105565E9">
      <w:pPr>
        <w:rPr>
          <w:sz w:val="24"/>
        </w:rPr>
      </w:pPr>
    </w:p>
    <w:p w14:paraId="78AC8A02">
      <w:pPr>
        <w:pStyle w:val="20"/>
        <w:ind w:firstLine="480"/>
        <w:rPr>
          <w:sz w:val="24"/>
        </w:rPr>
      </w:pPr>
    </w:p>
    <w:p w14:paraId="24DF8276">
      <w:pPr>
        <w:tabs>
          <w:tab w:val="left" w:pos="4410"/>
        </w:tabs>
        <w:spacing w:line="360" w:lineRule="auto"/>
        <w:jc w:val="center"/>
        <w:rPr>
          <w:rFonts w:ascii="黑体" w:eastAsia="黑体"/>
          <w:sz w:val="28"/>
          <w:szCs w:val="28"/>
        </w:rPr>
      </w:pPr>
      <w:r>
        <w:rPr>
          <w:rFonts w:ascii="黑体" w:eastAsia="黑体"/>
          <w:sz w:val="28"/>
          <w:szCs w:val="28"/>
        </w:rPr>
        <w:br w:type="page"/>
      </w:r>
    </w:p>
    <w:p w14:paraId="2622F921">
      <w:pPr>
        <w:spacing w:line="360" w:lineRule="auto"/>
        <w:jc w:val="center"/>
        <w:rPr>
          <w:rFonts w:ascii="宋体"/>
          <w:b/>
          <w:sz w:val="32"/>
        </w:rPr>
      </w:pPr>
      <w:r>
        <w:rPr>
          <w:rFonts w:hint="eastAsia" w:ascii="宋体"/>
          <w:b/>
          <w:sz w:val="32"/>
        </w:rPr>
        <w:t>投标函</w:t>
      </w:r>
      <w:r>
        <w:rPr>
          <w:rFonts w:hint="eastAsia" w:ascii="宋体" w:hAnsi="宋体" w:cs="宋体"/>
          <w:sz w:val="28"/>
          <w:szCs w:val="28"/>
          <w:u w:val="single"/>
        </w:rPr>
        <w:t>（标段一）</w:t>
      </w:r>
    </w:p>
    <w:p w14:paraId="54F64B3F">
      <w:pPr>
        <w:spacing w:line="360" w:lineRule="auto"/>
        <w:rPr>
          <w:rFonts w:ascii="宋体" w:cs="宋体"/>
          <w:sz w:val="24"/>
        </w:rPr>
      </w:pPr>
      <w:r>
        <w:rPr>
          <w:rFonts w:hint="eastAsia" w:ascii="宋体" w:cs="宋体"/>
          <w:sz w:val="24"/>
        </w:rPr>
        <w:t>________（招标人）_______________:</w:t>
      </w:r>
    </w:p>
    <w:p w14:paraId="5B293DEB">
      <w:pPr>
        <w:spacing w:line="360" w:lineRule="auto"/>
        <w:jc w:val="left"/>
        <w:rPr>
          <w:rFonts w:ascii="宋体" w:cs="宋体"/>
          <w:sz w:val="24"/>
        </w:rPr>
      </w:pPr>
      <w:r>
        <w:rPr>
          <w:rFonts w:hint="eastAsia" w:ascii="宋体" w:cs="宋体"/>
          <w:sz w:val="24"/>
        </w:rPr>
        <w:t>我方已全面阅读和研究了</w:t>
      </w:r>
      <w:r>
        <w:rPr>
          <w:rFonts w:hint="eastAsia" w:ascii="宋体" w:cs="宋体"/>
          <w:sz w:val="24"/>
          <w:u w:val="single"/>
        </w:rPr>
        <w:t>浙江巨化股份有限公司电化厂（含巨塑、聚荟公司）2025-2027年部分产品及原材料包装搬运装卸劳务外包项目</w:t>
      </w:r>
      <w:r>
        <w:rPr>
          <w:rFonts w:hint="eastAsia" w:ascii="宋体" w:hAnsi="宋体" w:cs="宋体"/>
          <w:sz w:val="28"/>
          <w:szCs w:val="28"/>
          <w:u w:val="single"/>
        </w:rPr>
        <w:t>（标段一）</w:t>
      </w:r>
      <w:r>
        <w:rPr>
          <w:rFonts w:hint="eastAsia" w:ascii="宋体" w:cs="宋体"/>
          <w:sz w:val="24"/>
        </w:rPr>
        <w:t>招标文件和招标补充文件，并经过对发包方现场的踏勘，澄清疑问，已充分理解并掌握了本次的全部有关情况。同意接受招标文件的全部内容和条件，并按此确定本次投标的要约内容，以本投标文件向你方发包的劳务外包服务进行投标。投标报价为：</w:t>
      </w:r>
    </w:p>
    <w:p w14:paraId="2A543E3F">
      <w:pPr>
        <w:spacing w:line="360" w:lineRule="auto"/>
        <w:ind w:firstLine="480" w:firstLineChars="200"/>
        <w:jc w:val="left"/>
        <w:rPr>
          <w:rFonts w:ascii="宋体"/>
          <w:b/>
          <w:sz w:val="32"/>
        </w:rPr>
      </w:pPr>
      <w:r>
        <w:rPr>
          <w:rFonts w:hint="eastAsia" w:ascii="宋体" w:cs="宋体"/>
          <w:sz w:val="24"/>
        </w:rPr>
        <w:t>我方已经认真阅读了</w:t>
      </w:r>
      <w:r>
        <w:rPr>
          <w:rFonts w:hint="eastAsia" w:ascii="宋体" w:cs="宋体"/>
          <w:sz w:val="24"/>
          <w:u w:val="single"/>
        </w:rPr>
        <w:t>浙江巨化股份有限公司电化厂（含巨塑、聚荟公司）2025-2027年部分产品及原材料包装搬运装卸劳务外包项目</w:t>
      </w:r>
      <w:r>
        <w:rPr>
          <w:rFonts w:hint="eastAsia" w:ascii="宋体" w:hAnsi="宋体" w:cs="宋体"/>
          <w:sz w:val="28"/>
          <w:szCs w:val="28"/>
          <w:u w:val="single"/>
        </w:rPr>
        <w:t>（标段一）</w:t>
      </w:r>
    </w:p>
    <w:p w14:paraId="5443DF2A">
      <w:pPr>
        <w:numPr>
          <w:ilvl w:val="0"/>
          <w:numId w:val="6"/>
        </w:numPr>
        <w:spacing w:line="360" w:lineRule="auto"/>
        <w:ind w:firstLine="480"/>
        <w:rPr>
          <w:rFonts w:ascii="宋体" w:cs="宋体"/>
          <w:sz w:val="24"/>
        </w:rPr>
      </w:pPr>
      <w:r>
        <w:rPr>
          <w:rFonts w:hint="eastAsia" w:ascii="宋体" w:cs="宋体"/>
          <w:sz w:val="24"/>
        </w:rPr>
        <w:t>文件的各项内容及结算方式，经过我方对项目进行认真测算，</w:t>
      </w:r>
      <w:r>
        <w:rPr>
          <w:rFonts w:hint="eastAsia" w:ascii="宋体"/>
          <w:sz w:val="24"/>
          <w:highlight w:val="yellow"/>
        </w:rPr>
        <w:t>劳务费用</w:t>
      </w:r>
      <w:r>
        <w:rPr>
          <w:rFonts w:hint="eastAsia" w:ascii="宋体" w:cs="宋体"/>
          <w:sz w:val="24"/>
          <w:highlight w:val="yellow"/>
        </w:rPr>
        <w:t>投标结算率为</w:t>
      </w:r>
      <w:r>
        <w:rPr>
          <w:rFonts w:hint="eastAsia" w:ascii="宋体" w:cs="宋体"/>
          <w:sz w:val="24"/>
          <w:highlight w:val="yellow"/>
          <w:u w:val="single"/>
        </w:rPr>
        <w:t xml:space="preserve">      </w:t>
      </w:r>
      <w:r>
        <w:rPr>
          <w:rFonts w:hint="eastAsia" w:ascii="宋体" w:cs="宋体"/>
          <w:sz w:val="24"/>
          <w:highlight w:val="yellow"/>
        </w:rPr>
        <w:t>。</w:t>
      </w:r>
    </w:p>
    <w:p w14:paraId="764567D3">
      <w:pPr>
        <w:snapToGrid w:val="0"/>
        <w:spacing w:line="360" w:lineRule="auto"/>
        <w:ind w:firstLine="480" w:firstLineChars="200"/>
        <w:rPr>
          <w:rFonts w:ascii="宋体" w:cs="宋体"/>
          <w:sz w:val="24"/>
        </w:rPr>
      </w:pPr>
      <w:r>
        <w:rPr>
          <w:rFonts w:hint="eastAsia" w:ascii="宋体" w:cs="宋体"/>
          <w:sz w:val="24"/>
        </w:rPr>
        <w:t>项目负责人是_________（身份证号码：_________________________）。</w:t>
      </w:r>
    </w:p>
    <w:p w14:paraId="7CD5C876">
      <w:pPr>
        <w:pStyle w:val="13"/>
        <w:snapToGrid w:val="0"/>
        <w:spacing w:line="360" w:lineRule="auto"/>
        <w:ind w:firstLine="480"/>
        <w:rPr>
          <w:rFonts w:ascii="宋体" w:cs="宋体"/>
          <w:szCs w:val="24"/>
        </w:rPr>
      </w:pPr>
      <w:r>
        <w:rPr>
          <w:rFonts w:hint="eastAsia" w:ascii="宋体" w:cs="宋体"/>
          <w:szCs w:val="24"/>
        </w:rPr>
        <w:t>我方将严格按照有关招标投标法规及招标文件的规定参加投标，并理解贵方不一定接受最低标价的投标，对决标结果也没有解释义务。如由我方中标，在接到你方发出的中标通知书起30天内，按中标通知书、招标文件和本投标文件的约定与你方签订合同，履行规定的一切责任和义务。</w:t>
      </w:r>
    </w:p>
    <w:p w14:paraId="228F8E30">
      <w:pPr>
        <w:snapToGrid w:val="0"/>
        <w:spacing w:line="360" w:lineRule="auto"/>
        <w:ind w:firstLine="480" w:firstLineChars="200"/>
        <w:rPr>
          <w:rFonts w:ascii="宋体" w:cs="宋体"/>
          <w:sz w:val="24"/>
        </w:rPr>
      </w:pPr>
      <w:r>
        <w:rPr>
          <w:rFonts w:hint="eastAsia" w:ascii="宋体" w:cs="宋体"/>
          <w:sz w:val="24"/>
        </w:rPr>
        <w:t>本投标文件自递交你方之日起_______天内有效，在此有效期内，全部条款内容对我方具有约束力。我方如出现以下行为之一者，即无条件支付投标保证金人民币_______元：（1）撤还投标文件；（2）擅自修改或拒绝接受已经承诺确认的条款；（3）在规定的时间内拒签合同或拒付履约保证金。</w:t>
      </w:r>
    </w:p>
    <w:p w14:paraId="049D27F4">
      <w:pPr>
        <w:snapToGrid w:val="0"/>
        <w:spacing w:line="360" w:lineRule="auto"/>
        <w:rPr>
          <w:rFonts w:ascii="宋体" w:cs="宋体"/>
          <w:sz w:val="24"/>
        </w:rPr>
      </w:pPr>
    </w:p>
    <w:p w14:paraId="03AFCFA5">
      <w:pPr>
        <w:snapToGrid w:val="0"/>
        <w:spacing w:line="360" w:lineRule="auto"/>
        <w:rPr>
          <w:rFonts w:ascii="宋体" w:cs="宋体"/>
          <w:sz w:val="24"/>
        </w:rPr>
      </w:pPr>
      <w:r>
        <w:rPr>
          <w:rFonts w:hint="eastAsia" w:ascii="宋体" w:cs="宋体"/>
          <w:sz w:val="24"/>
        </w:rPr>
        <w:t>投标人（盖章）：法定代表人或授权代表人（签字或盖章）：</w:t>
      </w:r>
    </w:p>
    <w:p w14:paraId="4E0ED4EE">
      <w:pPr>
        <w:snapToGrid w:val="0"/>
        <w:spacing w:line="360" w:lineRule="auto"/>
        <w:rPr>
          <w:rFonts w:ascii="宋体" w:cs="宋体"/>
          <w:sz w:val="24"/>
        </w:rPr>
      </w:pPr>
      <w:r>
        <w:rPr>
          <w:rFonts w:hint="eastAsia" w:ascii="宋体" w:cs="宋体"/>
          <w:sz w:val="24"/>
        </w:rPr>
        <w:t>联系人：联系地址：</w:t>
      </w:r>
    </w:p>
    <w:p w14:paraId="4E44E0B2">
      <w:pPr>
        <w:snapToGrid w:val="0"/>
        <w:spacing w:line="360" w:lineRule="auto"/>
        <w:rPr>
          <w:rFonts w:ascii="宋体" w:cs="宋体"/>
          <w:sz w:val="24"/>
        </w:rPr>
      </w:pPr>
      <w:r>
        <w:rPr>
          <w:rFonts w:hint="eastAsia" w:ascii="宋体" w:cs="宋体"/>
          <w:sz w:val="24"/>
        </w:rPr>
        <w:t>电话：</w:t>
      </w:r>
    </w:p>
    <w:p w14:paraId="26E6EDC8">
      <w:pPr>
        <w:snapToGrid w:val="0"/>
        <w:spacing w:line="360" w:lineRule="auto"/>
        <w:rPr>
          <w:rFonts w:ascii="宋体" w:cs="宋体"/>
          <w:sz w:val="24"/>
        </w:rPr>
      </w:pPr>
      <w:r>
        <w:rPr>
          <w:rFonts w:hint="eastAsia" w:ascii="宋体" w:cs="宋体"/>
          <w:sz w:val="24"/>
        </w:rPr>
        <w:t>邮编：</w:t>
      </w:r>
    </w:p>
    <w:p w14:paraId="7CA813E0">
      <w:pPr>
        <w:snapToGrid w:val="0"/>
        <w:spacing w:line="360" w:lineRule="auto"/>
        <w:rPr>
          <w:rFonts w:ascii="宋体" w:cs="宋体"/>
          <w:sz w:val="24"/>
        </w:rPr>
      </w:pPr>
      <w:r>
        <w:rPr>
          <w:rFonts w:hint="eastAsia" w:ascii="宋体" w:cs="宋体"/>
          <w:sz w:val="24"/>
        </w:rPr>
        <w:t>开户银行：</w:t>
      </w:r>
    </w:p>
    <w:p w14:paraId="042346A5">
      <w:pPr>
        <w:snapToGrid w:val="0"/>
        <w:spacing w:line="360" w:lineRule="auto"/>
        <w:rPr>
          <w:rFonts w:ascii="宋体" w:cs="宋体"/>
          <w:sz w:val="24"/>
        </w:rPr>
      </w:pPr>
      <w:r>
        <w:rPr>
          <w:rFonts w:hint="eastAsia" w:ascii="宋体" w:cs="宋体"/>
          <w:sz w:val="24"/>
        </w:rPr>
        <w:t>帐号：</w:t>
      </w:r>
    </w:p>
    <w:p w14:paraId="4E3FAE61">
      <w:pPr>
        <w:spacing w:line="360" w:lineRule="auto"/>
        <w:ind w:right="420"/>
        <w:jc w:val="center"/>
        <w:rPr>
          <w:rFonts w:ascii="宋体" w:cs="宋体"/>
          <w:sz w:val="24"/>
        </w:rPr>
      </w:pPr>
      <w:r>
        <w:rPr>
          <w:rFonts w:hint="eastAsia" w:ascii="宋体" w:cs="宋体"/>
          <w:sz w:val="24"/>
        </w:rPr>
        <w:t xml:space="preserve">                年    月   日</w:t>
      </w:r>
    </w:p>
    <w:p w14:paraId="11EE6416">
      <w:pPr>
        <w:tabs>
          <w:tab w:val="left" w:pos="4410"/>
        </w:tabs>
        <w:spacing w:line="360" w:lineRule="auto"/>
        <w:jc w:val="center"/>
        <w:rPr>
          <w:rFonts w:ascii="黑体" w:hAnsi="黑体" w:eastAsia="黑体"/>
          <w:sz w:val="28"/>
          <w:szCs w:val="28"/>
        </w:rPr>
      </w:pPr>
    </w:p>
    <w:p w14:paraId="0184DB51">
      <w:pPr>
        <w:rPr>
          <w:rFonts w:ascii="宋体" w:cs="宋体"/>
        </w:rPr>
      </w:pPr>
    </w:p>
    <w:p w14:paraId="2BB6037B">
      <w:pPr>
        <w:rPr>
          <w:rFonts w:ascii="宋体" w:cs="宋体"/>
        </w:rPr>
      </w:pPr>
    </w:p>
    <w:p w14:paraId="00C94D8D">
      <w:pPr>
        <w:snapToGrid w:val="0"/>
        <w:spacing w:line="360" w:lineRule="auto"/>
        <w:jc w:val="center"/>
        <w:rPr>
          <w:rFonts w:ascii="宋体"/>
          <w:b/>
          <w:sz w:val="30"/>
          <w:szCs w:val="30"/>
        </w:rPr>
      </w:pPr>
    </w:p>
    <w:p w14:paraId="40F65588">
      <w:pPr>
        <w:spacing w:line="360" w:lineRule="auto"/>
        <w:jc w:val="center"/>
        <w:rPr>
          <w:rFonts w:ascii="宋体"/>
          <w:b/>
          <w:sz w:val="32"/>
        </w:rPr>
      </w:pPr>
      <w:r>
        <w:rPr>
          <w:rFonts w:hint="eastAsia" w:ascii="宋体"/>
          <w:b/>
          <w:sz w:val="30"/>
          <w:szCs w:val="30"/>
        </w:rPr>
        <w:t>开标一览表</w:t>
      </w:r>
      <w:r>
        <w:rPr>
          <w:rFonts w:hint="eastAsia" w:ascii="宋体" w:hAnsi="宋体" w:cs="宋体"/>
          <w:sz w:val="28"/>
          <w:szCs w:val="28"/>
          <w:u w:val="single"/>
        </w:rPr>
        <w:t>（标段一）</w:t>
      </w:r>
    </w:p>
    <w:p w14:paraId="684B56F4">
      <w:pPr>
        <w:snapToGrid w:val="0"/>
        <w:spacing w:line="360" w:lineRule="auto"/>
        <w:jc w:val="center"/>
        <w:rPr>
          <w:rFonts w:ascii="宋体"/>
          <w:b/>
          <w:sz w:val="30"/>
          <w:szCs w:val="30"/>
        </w:r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54"/>
        <w:gridCol w:w="2981"/>
        <w:gridCol w:w="1655"/>
        <w:gridCol w:w="4373"/>
      </w:tblGrid>
      <w:tr w14:paraId="54B9EB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817" w:type="dxa"/>
            <w:vAlign w:val="center"/>
          </w:tcPr>
          <w:p w14:paraId="3EE1376C">
            <w:pPr>
              <w:snapToGrid w:val="0"/>
              <w:spacing w:line="360" w:lineRule="auto"/>
              <w:ind w:right="-21" w:rightChars="-10"/>
              <w:jc w:val="center"/>
              <w:rPr>
                <w:rFonts w:ascii="宋体" w:cs="宋体"/>
                <w:b/>
                <w:sz w:val="24"/>
              </w:rPr>
            </w:pPr>
            <w:r>
              <w:rPr>
                <w:rFonts w:hint="eastAsia" w:ascii="宋体" w:cs="宋体"/>
                <w:b/>
                <w:sz w:val="24"/>
              </w:rPr>
              <w:t>序号</w:t>
            </w:r>
          </w:p>
        </w:tc>
        <w:tc>
          <w:tcPr>
            <w:tcW w:w="2552" w:type="dxa"/>
            <w:vAlign w:val="center"/>
          </w:tcPr>
          <w:p w14:paraId="3411B16F">
            <w:pPr>
              <w:snapToGrid w:val="0"/>
              <w:spacing w:line="360" w:lineRule="auto"/>
              <w:ind w:right="-21" w:rightChars="-10"/>
              <w:jc w:val="center"/>
              <w:rPr>
                <w:rFonts w:ascii="宋体" w:cs="宋体"/>
                <w:b/>
                <w:sz w:val="24"/>
              </w:rPr>
            </w:pPr>
            <w:r>
              <w:rPr>
                <w:rFonts w:hint="eastAsia" w:ascii="宋体" w:cs="宋体"/>
                <w:b/>
                <w:sz w:val="24"/>
              </w:rPr>
              <w:t>投标人名称</w:t>
            </w:r>
          </w:p>
        </w:tc>
        <w:tc>
          <w:tcPr>
            <w:tcW w:w="1417" w:type="dxa"/>
            <w:vAlign w:val="center"/>
          </w:tcPr>
          <w:p w14:paraId="4BDF880C">
            <w:pPr>
              <w:snapToGrid w:val="0"/>
              <w:spacing w:line="360" w:lineRule="auto"/>
              <w:ind w:right="-21" w:rightChars="-10"/>
              <w:jc w:val="center"/>
              <w:rPr>
                <w:rFonts w:ascii="宋体" w:cs="宋体"/>
                <w:b/>
                <w:sz w:val="24"/>
              </w:rPr>
            </w:pPr>
            <w:r>
              <w:rPr>
                <w:rFonts w:hint="eastAsia" w:ascii="宋体" w:cs="宋体"/>
                <w:b/>
                <w:sz w:val="24"/>
              </w:rPr>
              <w:t>投标结算率</w:t>
            </w:r>
          </w:p>
        </w:tc>
        <w:tc>
          <w:tcPr>
            <w:tcW w:w="3742" w:type="dxa"/>
            <w:vAlign w:val="center"/>
          </w:tcPr>
          <w:p w14:paraId="128FB9EC">
            <w:pPr>
              <w:snapToGrid w:val="0"/>
              <w:spacing w:line="360" w:lineRule="auto"/>
              <w:jc w:val="center"/>
              <w:rPr>
                <w:rFonts w:ascii="宋体" w:cs="宋体"/>
                <w:b/>
                <w:sz w:val="24"/>
              </w:rPr>
            </w:pPr>
            <w:r>
              <w:rPr>
                <w:rFonts w:hint="eastAsia" w:ascii="宋体" w:cs="宋体"/>
                <w:b/>
                <w:sz w:val="24"/>
              </w:rPr>
              <w:t>备注</w:t>
            </w:r>
          </w:p>
        </w:tc>
      </w:tr>
      <w:tr w14:paraId="6547AD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817" w:type="dxa"/>
            <w:vAlign w:val="center"/>
          </w:tcPr>
          <w:p w14:paraId="2A0C16A8">
            <w:pPr>
              <w:snapToGrid w:val="0"/>
              <w:spacing w:line="360" w:lineRule="auto"/>
              <w:ind w:right="-21" w:rightChars="-10"/>
              <w:jc w:val="center"/>
              <w:rPr>
                <w:rFonts w:ascii="宋体" w:cs="宋体"/>
                <w:sz w:val="24"/>
              </w:rPr>
            </w:pPr>
            <w:r>
              <w:rPr>
                <w:rFonts w:hint="eastAsia" w:ascii="宋体" w:cs="宋体"/>
                <w:sz w:val="24"/>
              </w:rPr>
              <w:t>1</w:t>
            </w:r>
          </w:p>
        </w:tc>
        <w:tc>
          <w:tcPr>
            <w:tcW w:w="2552" w:type="dxa"/>
            <w:vAlign w:val="center"/>
          </w:tcPr>
          <w:p w14:paraId="04353A44">
            <w:pPr>
              <w:snapToGrid w:val="0"/>
              <w:spacing w:line="360" w:lineRule="auto"/>
              <w:ind w:right="-21" w:rightChars="-10"/>
              <w:jc w:val="center"/>
              <w:rPr>
                <w:rFonts w:ascii="宋体" w:cs="宋体"/>
                <w:sz w:val="24"/>
              </w:rPr>
            </w:pPr>
          </w:p>
        </w:tc>
        <w:tc>
          <w:tcPr>
            <w:tcW w:w="1417" w:type="dxa"/>
            <w:vAlign w:val="center"/>
          </w:tcPr>
          <w:p w14:paraId="343C7F8F">
            <w:pPr>
              <w:snapToGrid w:val="0"/>
              <w:spacing w:line="360" w:lineRule="auto"/>
              <w:ind w:right="-21" w:rightChars="-10"/>
              <w:jc w:val="center"/>
              <w:rPr>
                <w:rFonts w:ascii="宋体" w:cs="宋体"/>
                <w:b/>
                <w:sz w:val="24"/>
              </w:rPr>
            </w:pPr>
          </w:p>
        </w:tc>
        <w:tc>
          <w:tcPr>
            <w:tcW w:w="3742" w:type="dxa"/>
            <w:vAlign w:val="center"/>
          </w:tcPr>
          <w:p w14:paraId="7058863C">
            <w:pPr>
              <w:snapToGrid w:val="0"/>
              <w:spacing w:line="360" w:lineRule="auto"/>
              <w:ind w:right="-21" w:rightChars="-10"/>
              <w:jc w:val="center"/>
              <w:rPr>
                <w:rFonts w:ascii="宋体" w:cs="宋体"/>
                <w:sz w:val="24"/>
              </w:rPr>
            </w:pPr>
            <w:r>
              <w:rPr>
                <w:rFonts w:hint="eastAsia" w:ascii="宋体" w:hAnsi="宋体" w:cs="宋体"/>
                <w:sz w:val="24"/>
              </w:rPr>
              <w:t>本次招标报价限价为：在《</w:t>
            </w:r>
            <w:r>
              <w:rPr>
                <w:rFonts w:hint="eastAsia" w:ascii="仿宋" w:hAnsi="仿宋" w:eastAsia="仿宋" w:cs="仿宋"/>
                <w:bCs/>
                <w:color w:val="000000"/>
                <w:sz w:val="24"/>
              </w:rPr>
              <w:t>部分产品包装搬运装卸项目价目表</w:t>
            </w:r>
            <w:r>
              <w:rPr>
                <w:rFonts w:hint="eastAsia" w:ascii="宋体" w:hAnsi="宋体" w:cs="宋体"/>
                <w:sz w:val="24"/>
              </w:rPr>
              <w:t>》的基础上，结算率为 95.0%（含）～99.0% （含）。投标人所报的投标结算率百分号前保留一位小数（如XX.X%），否则其投标予以否决。投标结算率超过规定区间的作否决投标处理</w:t>
            </w:r>
          </w:p>
        </w:tc>
      </w:tr>
    </w:tbl>
    <w:p w14:paraId="6FF20B50">
      <w:pPr>
        <w:snapToGrid w:val="0"/>
        <w:spacing w:line="360" w:lineRule="auto"/>
        <w:rPr>
          <w:rFonts w:ascii="宋体" w:cs="宋体"/>
          <w:sz w:val="24"/>
        </w:rPr>
      </w:pPr>
      <w:r>
        <w:rPr>
          <w:rFonts w:hint="eastAsia" w:ascii="宋体" w:cs="宋体"/>
          <w:sz w:val="24"/>
        </w:rPr>
        <w:t>备注：本项目巨化数字化招采平台的投标界面的投标单价和投标总价均填写投标费率数值即可。投标界面中的“投标单价（元）”和“投标单项总价（元）”为固定格式，价格单位按“价格单位”显示的为准，见下图：</w:t>
      </w:r>
    </w:p>
    <w:p w14:paraId="45B3D004">
      <w:pPr>
        <w:pStyle w:val="3"/>
      </w:pPr>
      <w:r>
        <w:drawing>
          <wp:inline distT="0" distB="0" distL="114300" distR="114300">
            <wp:extent cx="5681345" cy="667385"/>
            <wp:effectExtent l="0" t="0" r="14605" b="18415"/>
            <wp:docPr id="2" name="图片 1"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png"/>
                    <pic:cNvPicPr>
                      <a:picLocks noChangeAspect="1"/>
                    </pic:cNvPicPr>
                  </pic:nvPicPr>
                  <pic:blipFill>
                    <a:blip r:embed="rId14"/>
                    <a:stretch>
                      <a:fillRect/>
                    </a:stretch>
                  </pic:blipFill>
                  <pic:spPr>
                    <a:xfrm>
                      <a:off x="0" y="0"/>
                      <a:ext cx="5681345" cy="667385"/>
                    </a:xfrm>
                    <a:prstGeom prst="rect">
                      <a:avLst/>
                    </a:prstGeom>
                    <a:noFill/>
                    <a:ln>
                      <a:noFill/>
                    </a:ln>
                  </pic:spPr>
                </pic:pic>
              </a:graphicData>
            </a:graphic>
          </wp:inline>
        </w:drawing>
      </w:r>
    </w:p>
    <w:p w14:paraId="2C9015E9">
      <w:pPr>
        <w:snapToGrid w:val="0"/>
        <w:spacing w:line="360" w:lineRule="auto"/>
        <w:rPr>
          <w:rFonts w:ascii="宋体" w:cs="宋体"/>
          <w:sz w:val="24"/>
        </w:rPr>
      </w:pPr>
      <w:r>
        <w:rPr>
          <w:rFonts w:hint="eastAsia" w:ascii="宋体" w:cs="宋体"/>
          <w:sz w:val="24"/>
        </w:rPr>
        <w:t>例：如投标费率为98%，则“投标单价（元）”和“投标单项总价（元）”处均填写98。</w:t>
      </w:r>
    </w:p>
    <w:p w14:paraId="1402E5FE">
      <w:pPr>
        <w:snapToGrid w:val="0"/>
        <w:spacing w:line="360" w:lineRule="auto"/>
        <w:ind w:firstLine="424" w:firstLineChars="177"/>
        <w:rPr>
          <w:rFonts w:ascii="宋体"/>
          <w:sz w:val="24"/>
        </w:rPr>
      </w:pPr>
    </w:p>
    <w:p w14:paraId="03375849">
      <w:pPr>
        <w:snapToGrid w:val="0"/>
        <w:spacing w:line="360" w:lineRule="auto"/>
        <w:rPr>
          <w:rFonts w:ascii="宋体"/>
          <w:sz w:val="24"/>
        </w:rPr>
      </w:pPr>
      <w:r>
        <w:rPr>
          <w:rFonts w:hint="eastAsia" w:ascii="宋体"/>
          <w:spacing w:val="20"/>
          <w:sz w:val="24"/>
        </w:rPr>
        <w:t>投标人：</w:t>
      </w:r>
      <w:r>
        <w:rPr>
          <w:rFonts w:hint="eastAsia" w:ascii="宋体"/>
          <w:spacing w:val="20"/>
          <w:sz w:val="24"/>
          <w:u w:val="single"/>
        </w:rPr>
        <w:t xml:space="preserve">      （盖章）      </w:t>
      </w:r>
      <w:r>
        <w:rPr>
          <w:rFonts w:hint="eastAsia" w:ascii="宋体"/>
          <w:spacing w:val="20"/>
          <w:sz w:val="24"/>
        </w:rPr>
        <w:t xml:space="preserve">     日  期：</w:t>
      </w:r>
      <w:r>
        <w:rPr>
          <w:rFonts w:hint="eastAsia" w:ascii="宋体"/>
          <w:spacing w:val="20"/>
          <w:sz w:val="24"/>
          <w:u w:val="single"/>
        </w:rPr>
        <w:t xml:space="preserve">          </w:t>
      </w:r>
    </w:p>
    <w:p w14:paraId="635D1F90">
      <w:pPr>
        <w:snapToGrid w:val="0"/>
        <w:spacing w:line="360" w:lineRule="auto"/>
        <w:ind w:firstLine="424" w:firstLineChars="177"/>
        <w:rPr>
          <w:rFonts w:ascii="宋体"/>
          <w:sz w:val="24"/>
        </w:rPr>
      </w:pPr>
    </w:p>
    <w:p w14:paraId="79E4687C">
      <w:pPr>
        <w:spacing w:line="360" w:lineRule="auto"/>
        <w:jc w:val="center"/>
        <w:rPr>
          <w:rFonts w:ascii="宋体"/>
          <w:b/>
          <w:sz w:val="32"/>
        </w:rPr>
      </w:pPr>
    </w:p>
    <w:p w14:paraId="6A174B75">
      <w:pPr>
        <w:spacing w:line="360" w:lineRule="auto"/>
        <w:jc w:val="center"/>
        <w:rPr>
          <w:rFonts w:ascii="宋体"/>
          <w:b/>
          <w:sz w:val="32"/>
        </w:rPr>
      </w:pPr>
    </w:p>
    <w:p w14:paraId="54886A3F">
      <w:pPr>
        <w:spacing w:line="360" w:lineRule="auto"/>
        <w:jc w:val="center"/>
        <w:rPr>
          <w:rFonts w:ascii="宋体"/>
          <w:b/>
          <w:sz w:val="32"/>
        </w:rPr>
      </w:pPr>
    </w:p>
    <w:p w14:paraId="58687D90">
      <w:pPr>
        <w:spacing w:line="360" w:lineRule="auto"/>
        <w:jc w:val="center"/>
        <w:rPr>
          <w:rFonts w:ascii="宋体"/>
          <w:b/>
          <w:sz w:val="32"/>
        </w:rPr>
      </w:pPr>
      <w:r>
        <w:rPr>
          <w:rFonts w:hint="eastAsia" w:ascii="宋体"/>
          <w:b/>
          <w:sz w:val="32"/>
        </w:rPr>
        <w:t>投标函</w:t>
      </w:r>
      <w:r>
        <w:rPr>
          <w:rFonts w:hint="eastAsia" w:ascii="宋体" w:hAnsi="宋体" w:cs="宋体"/>
          <w:sz w:val="28"/>
          <w:szCs w:val="28"/>
          <w:u w:val="single"/>
        </w:rPr>
        <w:t>（标段二）</w:t>
      </w:r>
    </w:p>
    <w:p w14:paraId="6DFBE61D">
      <w:pPr>
        <w:spacing w:line="360" w:lineRule="auto"/>
        <w:rPr>
          <w:rFonts w:ascii="宋体" w:cs="宋体"/>
          <w:sz w:val="24"/>
        </w:rPr>
      </w:pPr>
      <w:r>
        <w:rPr>
          <w:rFonts w:hint="eastAsia" w:ascii="宋体" w:cs="宋体"/>
          <w:sz w:val="24"/>
        </w:rPr>
        <w:t>________（招标人）_______________:</w:t>
      </w:r>
    </w:p>
    <w:p w14:paraId="1B2A6526">
      <w:pPr>
        <w:spacing w:line="360" w:lineRule="auto"/>
        <w:jc w:val="left"/>
        <w:rPr>
          <w:rFonts w:ascii="宋体" w:cs="宋体"/>
          <w:sz w:val="24"/>
        </w:rPr>
      </w:pPr>
      <w:r>
        <w:rPr>
          <w:rFonts w:hint="eastAsia" w:ascii="宋体" w:cs="宋体"/>
          <w:sz w:val="24"/>
        </w:rPr>
        <w:t>我方已全面阅读和研究了</w:t>
      </w:r>
      <w:r>
        <w:rPr>
          <w:rFonts w:hint="eastAsia" w:ascii="宋体" w:cs="宋体"/>
          <w:sz w:val="24"/>
          <w:u w:val="single"/>
        </w:rPr>
        <w:t>浙江巨化股份有限公司电化厂（含巨塑、聚荟公司）2025-2027年部分产品及原材料包装搬运装卸劳务外包项目</w:t>
      </w:r>
      <w:r>
        <w:rPr>
          <w:rFonts w:hint="eastAsia" w:ascii="宋体" w:hAnsi="宋体" w:cs="宋体"/>
          <w:sz w:val="28"/>
          <w:szCs w:val="28"/>
          <w:u w:val="single"/>
        </w:rPr>
        <w:t>（标段一）</w:t>
      </w:r>
      <w:r>
        <w:rPr>
          <w:rFonts w:hint="eastAsia" w:ascii="宋体" w:cs="宋体"/>
          <w:sz w:val="24"/>
        </w:rPr>
        <w:t>招标文件和招标补充文件，并经过对发包方现场的踏勘，澄清疑问，已充分理解并掌握了本次的全部有关情况。同意接受招标文件的全部内容和条件，并按此确定本次投标的要约内容，以本投标文件向你方发包的劳务外包服务进行投标。投标报价为：</w:t>
      </w:r>
    </w:p>
    <w:p w14:paraId="337E97C5">
      <w:pPr>
        <w:spacing w:line="360" w:lineRule="auto"/>
        <w:ind w:firstLine="480" w:firstLineChars="200"/>
        <w:jc w:val="left"/>
        <w:rPr>
          <w:rFonts w:ascii="宋体"/>
          <w:b/>
          <w:sz w:val="32"/>
        </w:rPr>
      </w:pPr>
      <w:r>
        <w:rPr>
          <w:rFonts w:hint="eastAsia" w:ascii="宋体" w:cs="宋体"/>
          <w:sz w:val="24"/>
        </w:rPr>
        <w:t>我方已经认真阅读了</w:t>
      </w:r>
      <w:r>
        <w:rPr>
          <w:rFonts w:hint="eastAsia" w:ascii="宋体" w:cs="宋体"/>
          <w:sz w:val="24"/>
          <w:u w:val="single"/>
        </w:rPr>
        <w:t>浙江巨化股份有限公司电化厂（含巨塑、聚荟公司）2025-2027年部分产品及原材料包装搬运装卸劳务外包项目</w:t>
      </w:r>
      <w:r>
        <w:rPr>
          <w:rFonts w:hint="eastAsia" w:ascii="宋体" w:hAnsi="宋体" w:cs="宋体"/>
          <w:sz w:val="28"/>
          <w:szCs w:val="28"/>
          <w:u w:val="single"/>
        </w:rPr>
        <w:t>（标段一）</w:t>
      </w:r>
    </w:p>
    <w:p w14:paraId="3D5EE9FC">
      <w:pPr>
        <w:numPr>
          <w:ilvl w:val="0"/>
          <w:numId w:val="6"/>
        </w:numPr>
        <w:spacing w:line="360" w:lineRule="auto"/>
        <w:ind w:firstLine="480"/>
        <w:rPr>
          <w:rFonts w:ascii="宋体" w:cs="宋体"/>
          <w:sz w:val="24"/>
        </w:rPr>
      </w:pPr>
      <w:r>
        <w:rPr>
          <w:rFonts w:hint="eastAsia" w:ascii="宋体" w:cs="宋体"/>
          <w:sz w:val="24"/>
        </w:rPr>
        <w:t>文件的各项内容及结算方式，经过我方对项目进行认真测算，</w:t>
      </w:r>
      <w:r>
        <w:rPr>
          <w:rFonts w:hint="eastAsia" w:ascii="宋体"/>
          <w:sz w:val="24"/>
          <w:highlight w:val="yellow"/>
        </w:rPr>
        <w:t>劳务费用</w:t>
      </w:r>
      <w:r>
        <w:rPr>
          <w:rFonts w:hint="eastAsia" w:ascii="宋体" w:cs="宋体"/>
          <w:sz w:val="24"/>
          <w:highlight w:val="yellow"/>
        </w:rPr>
        <w:t>投标结算率为</w:t>
      </w:r>
      <w:r>
        <w:rPr>
          <w:rFonts w:hint="eastAsia" w:ascii="宋体" w:cs="宋体"/>
          <w:sz w:val="24"/>
          <w:highlight w:val="yellow"/>
          <w:u w:val="single"/>
        </w:rPr>
        <w:t xml:space="preserve">      </w:t>
      </w:r>
      <w:r>
        <w:rPr>
          <w:rFonts w:hint="eastAsia" w:ascii="宋体" w:cs="宋体"/>
          <w:sz w:val="24"/>
          <w:highlight w:val="yellow"/>
        </w:rPr>
        <w:t>。</w:t>
      </w:r>
    </w:p>
    <w:p w14:paraId="7DEDAEA0">
      <w:pPr>
        <w:snapToGrid w:val="0"/>
        <w:spacing w:line="360" w:lineRule="auto"/>
        <w:ind w:firstLine="480" w:firstLineChars="200"/>
        <w:rPr>
          <w:rFonts w:ascii="宋体" w:cs="宋体"/>
          <w:sz w:val="24"/>
        </w:rPr>
      </w:pPr>
      <w:r>
        <w:rPr>
          <w:rFonts w:hint="eastAsia" w:ascii="宋体" w:cs="宋体"/>
          <w:sz w:val="24"/>
        </w:rPr>
        <w:t>项目负责人是_________（身份证号码：_________________________）。</w:t>
      </w:r>
    </w:p>
    <w:p w14:paraId="765BA03C">
      <w:pPr>
        <w:pStyle w:val="13"/>
        <w:snapToGrid w:val="0"/>
        <w:spacing w:line="360" w:lineRule="auto"/>
        <w:ind w:firstLine="480"/>
        <w:rPr>
          <w:rFonts w:ascii="宋体" w:cs="宋体"/>
          <w:szCs w:val="24"/>
        </w:rPr>
      </w:pPr>
      <w:r>
        <w:rPr>
          <w:rFonts w:hint="eastAsia" w:ascii="宋体" w:cs="宋体"/>
          <w:szCs w:val="24"/>
        </w:rPr>
        <w:t>我方将严格按照有关招标投标法规及招标文件的规定参加投标，并理解贵方不一定接受最低标价的投标，对决标结果也没有解释义务。如由我方中标，在接到你方发出的中标通知书起30天内，按中标通知书、招标文件和本投标文件的约定与你方签订合同，履行规定的一切责任和义务。</w:t>
      </w:r>
    </w:p>
    <w:p w14:paraId="2233EEB1">
      <w:pPr>
        <w:snapToGrid w:val="0"/>
        <w:spacing w:line="360" w:lineRule="auto"/>
        <w:ind w:firstLine="480" w:firstLineChars="200"/>
        <w:rPr>
          <w:rFonts w:ascii="宋体" w:cs="宋体"/>
          <w:sz w:val="24"/>
        </w:rPr>
      </w:pPr>
      <w:r>
        <w:rPr>
          <w:rFonts w:hint="eastAsia" w:ascii="宋体" w:cs="宋体"/>
          <w:sz w:val="24"/>
        </w:rPr>
        <w:t>本投标文件自递交你方之日起_______天内有效，在此有效期内，全部条款内容对我方具有约束力。我方如出现以下行为之一者，即无条件支付投标保证金人民币_______元：（1）撤还投标文件；（2）擅自修改或拒绝接受已经承诺确认的条款；（3）在规定的时间内拒签合同或拒付履约保证金。</w:t>
      </w:r>
    </w:p>
    <w:p w14:paraId="0D593B3C">
      <w:pPr>
        <w:snapToGrid w:val="0"/>
        <w:spacing w:line="360" w:lineRule="auto"/>
        <w:rPr>
          <w:rFonts w:ascii="宋体" w:cs="宋体"/>
          <w:sz w:val="24"/>
        </w:rPr>
      </w:pPr>
    </w:p>
    <w:p w14:paraId="3412664E">
      <w:pPr>
        <w:snapToGrid w:val="0"/>
        <w:spacing w:line="360" w:lineRule="auto"/>
        <w:rPr>
          <w:rFonts w:ascii="宋体" w:cs="宋体"/>
          <w:sz w:val="24"/>
        </w:rPr>
      </w:pPr>
      <w:r>
        <w:rPr>
          <w:rFonts w:hint="eastAsia" w:ascii="宋体" w:cs="宋体"/>
          <w:sz w:val="24"/>
        </w:rPr>
        <w:t>投标人（盖章）：法定代表人或授权代表人（签字或盖章）：</w:t>
      </w:r>
    </w:p>
    <w:p w14:paraId="4CB522FC">
      <w:pPr>
        <w:snapToGrid w:val="0"/>
        <w:spacing w:line="360" w:lineRule="auto"/>
        <w:rPr>
          <w:rFonts w:ascii="宋体" w:cs="宋体"/>
          <w:sz w:val="24"/>
        </w:rPr>
      </w:pPr>
      <w:r>
        <w:rPr>
          <w:rFonts w:hint="eastAsia" w:ascii="宋体" w:cs="宋体"/>
          <w:sz w:val="24"/>
        </w:rPr>
        <w:t>联系人：联系地址：</w:t>
      </w:r>
    </w:p>
    <w:p w14:paraId="6270DAAA">
      <w:pPr>
        <w:snapToGrid w:val="0"/>
        <w:spacing w:line="360" w:lineRule="auto"/>
        <w:rPr>
          <w:rFonts w:ascii="宋体" w:cs="宋体"/>
          <w:sz w:val="24"/>
        </w:rPr>
      </w:pPr>
      <w:r>
        <w:rPr>
          <w:rFonts w:hint="eastAsia" w:ascii="宋体" w:cs="宋体"/>
          <w:sz w:val="24"/>
        </w:rPr>
        <w:t>电话：</w:t>
      </w:r>
    </w:p>
    <w:p w14:paraId="2D94E41B">
      <w:pPr>
        <w:snapToGrid w:val="0"/>
        <w:spacing w:line="360" w:lineRule="auto"/>
        <w:rPr>
          <w:rFonts w:ascii="宋体" w:cs="宋体"/>
          <w:sz w:val="24"/>
        </w:rPr>
      </w:pPr>
      <w:r>
        <w:rPr>
          <w:rFonts w:hint="eastAsia" w:ascii="宋体" w:cs="宋体"/>
          <w:sz w:val="24"/>
        </w:rPr>
        <w:t>邮编：</w:t>
      </w:r>
    </w:p>
    <w:p w14:paraId="372E41B1">
      <w:pPr>
        <w:snapToGrid w:val="0"/>
        <w:spacing w:line="360" w:lineRule="auto"/>
        <w:rPr>
          <w:rFonts w:ascii="宋体" w:cs="宋体"/>
          <w:sz w:val="24"/>
        </w:rPr>
      </w:pPr>
      <w:r>
        <w:rPr>
          <w:rFonts w:hint="eastAsia" w:ascii="宋体" w:cs="宋体"/>
          <w:sz w:val="24"/>
        </w:rPr>
        <w:t>开户银行：</w:t>
      </w:r>
    </w:p>
    <w:p w14:paraId="49A19763">
      <w:pPr>
        <w:snapToGrid w:val="0"/>
        <w:spacing w:line="360" w:lineRule="auto"/>
        <w:rPr>
          <w:rFonts w:ascii="宋体" w:cs="宋体"/>
          <w:sz w:val="24"/>
        </w:rPr>
      </w:pPr>
      <w:r>
        <w:rPr>
          <w:rFonts w:hint="eastAsia" w:ascii="宋体" w:cs="宋体"/>
          <w:sz w:val="24"/>
        </w:rPr>
        <w:t>帐号：</w:t>
      </w:r>
    </w:p>
    <w:p w14:paraId="7AA7D24F">
      <w:pPr>
        <w:spacing w:line="360" w:lineRule="auto"/>
        <w:ind w:right="420"/>
        <w:jc w:val="center"/>
        <w:rPr>
          <w:rFonts w:ascii="宋体" w:cs="宋体"/>
          <w:sz w:val="24"/>
        </w:rPr>
      </w:pPr>
      <w:r>
        <w:rPr>
          <w:rFonts w:hint="eastAsia" w:ascii="宋体" w:cs="宋体"/>
          <w:sz w:val="24"/>
        </w:rPr>
        <w:t xml:space="preserve">                年    月   日</w:t>
      </w:r>
    </w:p>
    <w:p w14:paraId="1A2B2AC9">
      <w:pPr>
        <w:tabs>
          <w:tab w:val="left" w:pos="4410"/>
        </w:tabs>
        <w:spacing w:line="360" w:lineRule="auto"/>
        <w:jc w:val="center"/>
        <w:rPr>
          <w:rFonts w:ascii="黑体" w:hAnsi="黑体" w:eastAsia="黑体"/>
          <w:sz w:val="28"/>
          <w:szCs w:val="28"/>
        </w:rPr>
      </w:pPr>
    </w:p>
    <w:p w14:paraId="75595DBF">
      <w:pPr>
        <w:snapToGrid w:val="0"/>
        <w:spacing w:line="360" w:lineRule="auto"/>
        <w:jc w:val="center"/>
        <w:rPr>
          <w:rFonts w:ascii="宋体"/>
          <w:b/>
          <w:sz w:val="30"/>
          <w:szCs w:val="30"/>
        </w:rPr>
      </w:pPr>
      <w:r>
        <w:rPr>
          <w:rFonts w:hint="eastAsia" w:ascii="宋体"/>
          <w:b/>
          <w:sz w:val="30"/>
          <w:szCs w:val="30"/>
        </w:rPr>
        <w:t>开标一览表</w:t>
      </w:r>
      <w:r>
        <w:rPr>
          <w:rFonts w:hint="eastAsia" w:ascii="宋体" w:hAnsi="宋体" w:cs="宋体"/>
          <w:sz w:val="28"/>
          <w:szCs w:val="28"/>
          <w:u w:val="single"/>
        </w:rPr>
        <w:t>（标段二）</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54"/>
        <w:gridCol w:w="2981"/>
        <w:gridCol w:w="1655"/>
        <w:gridCol w:w="4373"/>
      </w:tblGrid>
      <w:tr w14:paraId="1665F3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817" w:type="dxa"/>
            <w:vAlign w:val="center"/>
          </w:tcPr>
          <w:p w14:paraId="44B4B89F">
            <w:pPr>
              <w:snapToGrid w:val="0"/>
              <w:spacing w:line="360" w:lineRule="auto"/>
              <w:ind w:right="-21" w:rightChars="-10"/>
              <w:jc w:val="center"/>
              <w:rPr>
                <w:rFonts w:ascii="宋体" w:cs="宋体"/>
                <w:b/>
                <w:sz w:val="24"/>
              </w:rPr>
            </w:pPr>
            <w:r>
              <w:rPr>
                <w:rFonts w:hint="eastAsia" w:ascii="宋体" w:cs="宋体"/>
                <w:b/>
                <w:sz w:val="24"/>
              </w:rPr>
              <w:t>序号</w:t>
            </w:r>
          </w:p>
        </w:tc>
        <w:tc>
          <w:tcPr>
            <w:tcW w:w="2552" w:type="dxa"/>
            <w:vAlign w:val="center"/>
          </w:tcPr>
          <w:p w14:paraId="714E2688">
            <w:pPr>
              <w:snapToGrid w:val="0"/>
              <w:spacing w:line="360" w:lineRule="auto"/>
              <w:ind w:right="-21" w:rightChars="-10"/>
              <w:jc w:val="center"/>
              <w:rPr>
                <w:rFonts w:ascii="宋体" w:cs="宋体"/>
                <w:b/>
                <w:sz w:val="24"/>
              </w:rPr>
            </w:pPr>
            <w:r>
              <w:rPr>
                <w:rFonts w:hint="eastAsia" w:ascii="宋体" w:cs="宋体"/>
                <w:b/>
                <w:sz w:val="24"/>
              </w:rPr>
              <w:t>投标人名称</w:t>
            </w:r>
          </w:p>
        </w:tc>
        <w:tc>
          <w:tcPr>
            <w:tcW w:w="1417" w:type="dxa"/>
            <w:vAlign w:val="center"/>
          </w:tcPr>
          <w:p w14:paraId="1F00ADB5">
            <w:pPr>
              <w:snapToGrid w:val="0"/>
              <w:spacing w:line="360" w:lineRule="auto"/>
              <w:ind w:right="-21" w:rightChars="-10"/>
              <w:jc w:val="center"/>
              <w:rPr>
                <w:rFonts w:ascii="宋体" w:cs="宋体"/>
                <w:b/>
                <w:sz w:val="24"/>
              </w:rPr>
            </w:pPr>
            <w:r>
              <w:rPr>
                <w:rFonts w:hint="eastAsia" w:ascii="宋体" w:cs="宋体"/>
                <w:b/>
                <w:sz w:val="24"/>
              </w:rPr>
              <w:t>投标结算率</w:t>
            </w:r>
          </w:p>
        </w:tc>
        <w:tc>
          <w:tcPr>
            <w:tcW w:w="3742" w:type="dxa"/>
            <w:vAlign w:val="center"/>
          </w:tcPr>
          <w:p w14:paraId="18B723BD">
            <w:pPr>
              <w:snapToGrid w:val="0"/>
              <w:spacing w:line="360" w:lineRule="auto"/>
              <w:jc w:val="center"/>
              <w:rPr>
                <w:rFonts w:ascii="宋体" w:cs="宋体"/>
                <w:b/>
                <w:sz w:val="24"/>
              </w:rPr>
            </w:pPr>
            <w:r>
              <w:rPr>
                <w:rFonts w:hint="eastAsia" w:ascii="宋体" w:cs="宋体"/>
                <w:b/>
                <w:sz w:val="24"/>
              </w:rPr>
              <w:t>备注</w:t>
            </w:r>
          </w:p>
        </w:tc>
      </w:tr>
      <w:tr w14:paraId="6BCA6A6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817" w:type="dxa"/>
            <w:vAlign w:val="center"/>
          </w:tcPr>
          <w:p w14:paraId="51FCBADC">
            <w:pPr>
              <w:snapToGrid w:val="0"/>
              <w:spacing w:line="360" w:lineRule="auto"/>
              <w:ind w:right="-21" w:rightChars="-10"/>
              <w:jc w:val="center"/>
              <w:rPr>
                <w:rFonts w:ascii="宋体" w:cs="宋体"/>
                <w:sz w:val="24"/>
              </w:rPr>
            </w:pPr>
            <w:r>
              <w:rPr>
                <w:rFonts w:hint="eastAsia" w:ascii="宋体" w:cs="宋体"/>
                <w:sz w:val="24"/>
              </w:rPr>
              <w:t>1</w:t>
            </w:r>
          </w:p>
        </w:tc>
        <w:tc>
          <w:tcPr>
            <w:tcW w:w="2552" w:type="dxa"/>
            <w:vAlign w:val="center"/>
          </w:tcPr>
          <w:p w14:paraId="702635CD">
            <w:pPr>
              <w:snapToGrid w:val="0"/>
              <w:spacing w:line="360" w:lineRule="auto"/>
              <w:ind w:right="-21" w:rightChars="-10"/>
              <w:jc w:val="center"/>
              <w:rPr>
                <w:rFonts w:ascii="宋体" w:cs="宋体"/>
                <w:sz w:val="24"/>
              </w:rPr>
            </w:pPr>
          </w:p>
        </w:tc>
        <w:tc>
          <w:tcPr>
            <w:tcW w:w="1417" w:type="dxa"/>
            <w:vAlign w:val="center"/>
          </w:tcPr>
          <w:p w14:paraId="10C60FF6">
            <w:pPr>
              <w:snapToGrid w:val="0"/>
              <w:spacing w:line="360" w:lineRule="auto"/>
              <w:ind w:right="-21" w:rightChars="-10"/>
              <w:jc w:val="center"/>
              <w:rPr>
                <w:rFonts w:ascii="宋体" w:cs="宋体"/>
                <w:b/>
                <w:sz w:val="24"/>
              </w:rPr>
            </w:pPr>
          </w:p>
        </w:tc>
        <w:tc>
          <w:tcPr>
            <w:tcW w:w="3742" w:type="dxa"/>
            <w:vAlign w:val="center"/>
          </w:tcPr>
          <w:p w14:paraId="5D153F2C">
            <w:pPr>
              <w:snapToGrid w:val="0"/>
              <w:spacing w:line="360" w:lineRule="auto"/>
              <w:ind w:right="-21" w:rightChars="-10"/>
              <w:jc w:val="center"/>
              <w:rPr>
                <w:rFonts w:ascii="宋体" w:cs="宋体"/>
                <w:sz w:val="24"/>
              </w:rPr>
            </w:pPr>
            <w:r>
              <w:rPr>
                <w:rFonts w:hint="eastAsia" w:ascii="宋体" w:hAnsi="宋体" w:cs="宋体"/>
                <w:sz w:val="24"/>
              </w:rPr>
              <w:t>本次招标报价限价为：在《</w:t>
            </w:r>
            <w:r>
              <w:rPr>
                <w:rFonts w:hint="eastAsia" w:ascii="仿宋" w:hAnsi="仿宋" w:eastAsia="仿宋" w:cs="仿宋"/>
                <w:bCs/>
                <w:color w:val="000000"/>
                <w:sz w:val="24"/>
              </w:rPr>
              <w:t>卸盐化盐项目劳务费用结算价目表</w:t>
            </w:r>
            <w:r>
              <w:rPr>
                <w:rFonts w:hint="eastAsia" w:ascii="宋体" w:hAnsi="宋体" w:cs="宋体"/>
                <w:sz w:val="24"/>
              </w:rPr>
              <w:t>》的基础上，结算率为 95.0%（含）～99.0% （含）。投标人所报的投标结算率百分号前保留一位小数（如XX.X%），否则其投标予以否决。投标结算率超过规定区间的作否决投标处理</w:t>
            </w:r>
          </w:p>
        </w:tc>
      </w:tr>
    </w:tbl>
    <w:p w14:paraId="15CCD504">
      <w:pPr>
        <w:snapToGrid w:val="0"/>
        <w:spacing w:line="360" w:lineRule="auto"/>
        <w:rPr>
          <w:rFonts w:ascii="宋体" w:cs="宋体"/>
          <w:sz w:val="24"/>
        </w:rPr>
      </w:pPr>
      <w:r>
        <w:rPr>
          <w:rFonts w:hint="eastAsia" w:ascii="宋体" w:cs="宋体"/>
          <w:sz w:val="24"/>
        </w:rPr>
        <w:t>备注：本项目巨化数字化招采平台的投标界面的投标单价和投标总价均填写投标费率数值即可。投标界面中的“投标单价（元）”和“投标单项总价（元）”为固定格式，价格单位按“价格单位”显示的为准，见下图：</w:t>
      </w:r>
    </w:p>
    <w:p w14:paraId="41DE6852">
      <w:pPr>
        <w:pStyle w:val="3"/>
      </w:pPr>
      <w:r>
        <w:drawing>
          <wp:inline distT="0" distB="0" distL="114300" distR="114300">
            <wp:extent cx="5681345" cy="667385"/>
            <wp:effectExtent l="0" t="0" r="14605" b="18415"/>
            <wp:docPr id="1" name="图片 1"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png"/>
                    <pic:cNvPicPr>
                      <a:picLocks noChangeAspect="1"/>
                    </pic:cNvPicPr>
                  </pic:nvPicPr>
                  <pic:blipFill>
                    <a:blip r:embed="rId14"/>
                    <a:stretch>
                      <a:fillRect/>
                    </a:stretch>
                  </pic:blipFill>
                  <pic:spPr>
                    <a:xfrm>
                      <a:off x="0" y="0"/>
                      <a:ext cx="5681345" cy="667385"/>
                    </a:xfrm>
                    <a:prstGeom prst="rect">
                      <a:avLst/>
                    </a:prstGeom>
                    <a:noFill/>
                    <a:ln>
                      <a:noFill/>
                    </a:ln>
                  </pic:spPr>
                </pic:pic>
              </a:graphicData>
            </a:graphic>
          </wp:inline>
        </w:drawing>
      </w:r>
    </w:p>
    <w:p w14:paraId="1A85FDE0">
      <w:pPr>
        <w:snapToGrid w:val="0"/>
        <w:spacing w:line="360" w:lineRule="auto"/>
        <w:rPr>
          <w:rFonts w:ascii="宋体" w:cs="宋体"/>
          <w:sz w:val="24"/>
        </w:rPr>
      </w:pPr>
      <w:r>
        <w:rPr>
          <w:rFonts w:hint="eastAsia" w:ascii="宋体" w:cs="宋体"/>
          <w:sz w:val="24"/>
        </w:rPr>
        <w:t>例：如投标费率为98%，则“投标单价（元）”和“投标单项总价（元）”处均填写98。</w:t>
      </w:r>
    </w:p>
    <w:p w14:paraId="7B42C25B">
      <w:pPr>
        <w:snapToGrid w:val="0"/>
        <w:spacing w:line="360" w:lineRule="auto"/>
        <w:ind w:firstLine="424" w:firstLineChars="177"/>
        <w:rPr>
          <w:rFonts w:ascii="宋体"/>
          <w:sz w:val="24"/>
        </w:rPr>
      </w:pPr>
    </w:p>
    <w:p w14:paraId="22082FCC">
      <w:pPr>
        <w:snapToGrid w:val="0"/>
        <w:spacing w:line="360" w:lineRule="auto"/>
        <w:rPr>
          <w:rFonts w:ascii="宋体"/>
          <w:sz w:val="24"/>
        </w:rPr>
      </w:pPr>
      <w:r>
        <w:rPr>
          <w:rFonts w:hint="eastAsia" w:ascii="宋体"/>
          <w:spacing w:val="20"/>
          <w:sz w:val="24"/>
        </w:rPr>
        <w:t>投标人：</w:t>
      </w:r>
      <w:r>
        <w:rPr>
          <w:rFonts w:hint="eastAsia" w:ascii="宋体"/>
          <w:spacing w:val="20"/>
          <w:sz w:val="24"/>
          <w:u w:val="single"/>
        </w:rPr>
        <w:t xml:space="preserve">      （盖章）      </w:t>
      </w:r>
      <w:r>
        <w:rPr>
          <w:rFonts w:hint="eastAsia" w:ascii="宋体"/>
          <w:spacing w:val="20"/>
          <w:sz w:val="24"/>
        </w:rPr>
        <w:t xml:space="preserve">     日  期：</w:t>
      </w:r>
      <w:r>
        <w:rPr>
          <w:rFonts w:hint="eastAsia" w:ascii="宋体"/>
          <w:spacing w:val="20"/>
          <w:sz w:val="24"/>
          <w:u w:val="single"/>
        </w:rPr>
        <w:t xml:space="preserve">          </w:t>
      </w:r>
    </w:p>
    <w:p w14:paraId="62E8309B">
      <w:pPr>
        <w:snapToGrid w:val="0"/>
        <w:spacing w:line="360" w:lineRule="auto"/>
        <w:ind w:firstLine="424" w:firstLineChars="177"/>
        <w:rPr>
          <w:rFonts w:ascii="宋体"/>
          <w:sz w:val="24"/>
        </w:rPr>
      </w:pPr>
    </w:p>
    <w:p w14:paraId="7B40623F">
      <w:pPr>
        <w:snapToGrid w:val="0"/>
        <w:spacing w:before="295" w:after="295" w:line="360" w:lineRule="auto"/>
        <w:jc w:val="center"/>
        <w:rPr>
          <w:rFonts w:ascii="宋体" w:cs="宋体"/>
          <w:b/>
          <w:kern w:val="0"/>
          <w:sz w:val="24"/>
        </w:rPr>
      </w:pPr>
    </w:p>
    <w:p w14:paraId="2FEF7B75">
      <w:pPr>
        <w:snapToGrid w:val="0"/>
        <w:spacing w:before="295" w:after="295" w:line="360" w:lineRule="auto"/>
        <w:jc w:val="center"/>
        <w:rPr>
          <w:rFonts w:ascii="宋体" w:cs="宋体"/>
          <w:b/>
          <w:kern w:val="0"/>
          <w:sz w:val="24"/>
        </w:rPr>
      </w:pPr>
    </w:p>
    <w:p w14:paraId="0F2FDBF9">
      <w:pPr>
        <w:snapToGrid w:val="0"/>
        <w:spacing w:before="295" w:after="295" w:line="360" w:lineRule="auto"/>
        <w:jc w:val="center"/>
        <w:rPr>
          <w:rFonts w:ascii="宋体" w:cs="宋体"/>
          <w:b/>
          <w:kern w:val="0"/>
          <w:sz w:val="30"/>
          <w:szCs w:val="30"/>
        </w:rPr>
      </w:pPr>
    </w:p>
    <w:p w14:paraId="055248C1">
      <w:pPr>
        <w:snapToGrid w:val="0"/>
        <w:spacing w:before="295" w:after="295" w:line="360" w:lineRule="auto"/>
        <w:rPr>
          <w:rFonts w:ascii="宋体" w:cs="宋体"/>
          <w:b/>
          <w:kern w:val="0"/>
          <w:sz w:val="30"/>
          <w:szCs w:val="30"/>
        </w:rPr>
      </w:pPr>
    </w:p>
    <w:p w14:paraId="7A220FDE">
      <w:pPr>
        <w:snapToGrid w:val="0"/>
        <w:spacing w:before="295" w:after="295" w:line="360" w:lineRule="auto"/>
        <w:jc w:val="center"/>
        <w:rPr>
          <w:rFonts w:ascii="宋体" w:cs="宋体"/>
        </w:rPr>
      </w:pPr>
      <w:r>
        <w:rPr>
          <w:rFonts w:hint="eastAsia" w:ascii="宋体" w:cs="宋体"/>
          <w:b/>
          <w:kern w:val="0"/>
          <w:sz w:val="30"/>
          <w:szCs w:val="30"/>
        </w:rPr>
        <w:t>退还投标保证金申请书</w:t>
      </w:r>
    </w:p>
    <w:p w14:paraId="2E35DFE4">
      <w:pPr>
        <w:spacing w:line="360" w:lineRule="auto"/>
        <w:ind w:firstLine="480"/>
        <w:rPr>
          <w:rFonts w:ascii="宋体" w:cs="宋体"/>
          <w:sz w:val="24"/>
        </w:rPr>
      </w:pPr>
      <w:r>
        <w:rPr>
          <w:rFonts w:hint="eastAsia" w:ascii="宋体" w:cs="宋体"/>
          <w:sz w:val="24"/>
        </w:rPr>
        <w:t>致：浙江南方工程咨询管理有限公司</w:t>
      </w:r>
    </w:p>
    <w:p w14:paraId="3FB70994">
      <w:pPr>
        <w:spacing w:line="360" w:lineRule="auto"/>
        <w:ind w:firstLine="480"/>
        <w:rPr>
          <w:rFonts w:ascii="宋体" w:cs="宋体"/>
          <w:sz w:val="24"/>
        </w:rPr>
      </w:pPr>
      <w:r>
        <w:rPr>
          <w:rFonts w:hint="eastAsia" w:ascii="宋体" w:cs="宋体"/>
          <w:sz w:val="24"/>
        </w:rPr>
        <w:t>我公司参加了贵司组织的        招标项目（项目编号：         ）的投标，现申请退还该笔投标保证金。</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563"/>
        <w:gridCol w:w="1497"/>
      </w:tblGrid>
      <w:tr w14:paraId="0BA1D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vAlign w:val="center"/>
          </w:tcPr>
          <w:p w14:paraId="5BF75A0D">
            <w:pPr>
              <w:spacing w:line="360" w:lineRule="auto"/>
              <w:jc w:val="center"/>
              <w:rPr>
                <w:rFonts w:ascii="宋体" w:cs="宋体"/>
                <w:sz w:val="24"/>
              </w:rPr>
            </w:pPr>
            <w:r>
              <w:rPr>
                <w:rFonts w:hint="eastAsia" w:ascii="宋体" w:cs="宋体"/>
                <w:sz w:val="24"/>
              </w:rPr>
              <w:t>申请人信息</w:t>
            </w:r>
          </w:p>
        </w:tc>
        <w:tc>
          <w:tcPr>
            <w:tcW w:w="7284" w:type="dxa"/>
            <w:gridSpan w:val="3"/>
            <w:vAlign w:val="center"/>
          </w:tcPr>
          <w:p w14:paraId="7BF9D4BE">
            <w:pPr>
              <w:spacing w:line="360" w:lineRule="auto"/>
              <w:rPr>
                <w:rFonts w:ascii="宋体" w:cs="宋体"/>
                <w:sz w:val="24"/>
              </w:rPr>
            </w:pPr>
            <w:r>
              <w:rPr>
                <w:rFonts w:hint="eastAsia" w:ascii="宋体" w:cs="宋体"/>
                <w:sz w:val="24"/>
              </w:rPr>
              <w:t>投标单位（加盖单位公章或财务专用章）：</w:t>
            </w:r>
          </w:p>
        </w:tc>
      </w:tr>
      <w:tr w14:paraId="48E7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16A79F12"/>
        </w:tc>
        <w:tc>
          <w:tcPr>
            <w:tcW w:w="4224" w:type="dxa"/>
            <w:vAlign w:val="center"/>
          </w:tcPr>
          <w:p w14:paraId="7CEDF6BF">
            <w:pPr>
              <w:spacing w:line="360" w:lineRule="auto"/>
              <w:rPr>
                <w:rFonts w:ascii="宋体" w:cs="宋体"/>
                <w:sz w:val="24"/>
              </w:rPr>
            </w:pPr>
            <w:r>
              <w:rPr>
                <w:rFonts w:hint="eastAsia" w:ascii="宋体" w:cs="宋体"/>
                <w:sz w:val="24"/>
              </w:rPr>
              <w:t>财务联系人：</w:t>
            </w:r>
          </w:p>
        </w:tc>
        <w:tc>
          <w:tcPr>
            <w:tcW w:w="1563" w:type="dxa"/>
            <w:vAlign w:val="center"/>
          </w:tcPr>
          <w:p w14:paraId="3FBED883">
            <w:pPr>
              <w:spacing w:line="360" w:lineRule="auto"/>
              <w:rPr>
                <w:rFonts w:ascii="宋体" w:cs="宋体"/>
                <w:sz w:val="24"/>
              </w:rPr>
            </w:pPr>
            <w:r>
              <w:rPr>
                <w:rFonts w:hint="eastAsia" w:ascii="宋体" w:cs="宋体"/>
                <w:sz w:val="24"/>
              </w:rPr>
              <w:t>联系方式</w:t>
            </w:r>
          </w:p>
        </w:tc>
        <w:tc>
          <w:tcPr>
            <w:tcW w:w="1497" w:type="dxa"/>
            <w:vAlign w:val="center"/>
          </w:tcPr>
          <w:p w14:paraId="0DE4EFE1">
            <w:pPr>
              <w:spacing w:line="360" w:lineRule="auto"/>
              <w:rPr>
                <w:rFonts w:ascii="宋体" w:cs="宋体"/>
                <w:sz w:val="24"/>
              </w:rPr>
            </w:pPr>
          </w:p>
        </w:tc>
      </w:tr>
      <w:tr w14:paraId="6E4B4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4C0F9A3E"/>
        </w:tc>
        <w:tc>
          <w:tcPr>
            <w:tcW w:w="4224" w:type="dxa"/>
            <w:vAlign w:val="center"/>
          </w:tcPr>
          <w:p w14:paraId="77638466">
            <w:pPr>
              <w:spacing w:line="360" w:lineRule="auto"/>
              <w:rPr>
                <w:rFonts w:ascii="宋体" w:cs="宋体"/>
                <w:sz w:val="24"/>
              </w:rPr>
            </w:pPr>
            <w:r>
              <w:rPr>
                <w:rFonts w:hint="eastAsia" w:ascii="宋体" w:cs="宋体"/>
                <w:sz w:val="24"/>
              </w:rPr>
              <w:t>项目负责人：</w:t>
            </w:r>
          </w:p>
        </w:tc>
        <w:tc>
          <w:tcPr>
            <w:tcW w:w="1563" w:type="dxa"/>
            <w:vAlign w:val="center"/>
          </w:tcPr>
          <w:p w14:paraId="77E7A012">
            <w:pPr>
              <w:spacing w:line="360" w:lineRule="auto"/>
              <w:rPr>
                <w:rFonts w:ascii="宋体" w:cs="宋体"/>
                <w:sz w:val="24"/>
              </w:rPr>
            </w:pPr>
            <w:r>
              <w:rPr>
                <w:rFonts w:hint="eastAsia" w:ascii="宋体" w:cs="宋体"/>
                <w:sz w:val="24"/>
              </w:rPr>
              <w:t>联系方式</w:t>
            </w:r>
          </w:p>
        </w:tc>
        <w:tc>
          <w:tcPr>
            <w:tcW w:w="1497" w:type="dxa"/>
            <w:vAlign w:val="center"/>
          </w:tcPr>
          <w:p w14:paraId="6ADDDB07">
            <w:pPr>
              <w:spacing w:line="360" w:lineRule="auto"/>
              <w:rPr>
                <w:rFonts w:ascii="宋体" w:cs="宋体"/>
                <w:sz w:val="24"/>
              </w:rPr>
            </w:pPr>
          </w:p>
        </w:tc>
      </w:tr>
      <w:tr w14:paraId="5C585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312F3362"/>
        </w:tc>
        <w:tc>
          <w:tcPr>
            <w:tcW w:w="7284" w:type="dxa"/>
            <w:gridSpan w:val="3"/>
            <w:vAlign w:val="center"/>
          </w:tcPr>
          <w:p w14:paraId="7D483C3C">
            <w:pPr>
              <w:spacing w:line="360" w:lineRule="auto"/>
              <w:rPr>
                <w:rFonts w:ascii="宋体" w:cs="宋体"/>
                <w:sz w:val="24"/>
              </w:rPr>
            </w:pPr>
            <w:r>
              <w:rPr>
                <w:rFonts w:hint="eastAsia" w:ascii="宋体" w:cs="宋体"/>
                <w:sz w:val="24"/>
              </w:rPr>
              <w:t>投标保证金金额（大写）：</w:t>
            </w:r>
          </w:p>
        </w:tc>
      </w:tr>
      <w:tr w14:paraId="69AA0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vAlign w:val="center"/>
          </w:tcPr>
          <w:p w14:paraId="6A8B861E">
            <w:pPr>
              <w:spacing w:line="360" w:lineRule="auto"/>
              <w:jc w:val="center"/>
              <w:rPr>
                <w:rFonts w:ascii="宋体" w:cs="宋体"/>
                <w:sz w:val="24"/>
              </w:rPr>
            </w:pPr>
            <w:r>
              <w:rPr>
                <w:rFonts w:hint="eastAsia" w:ascii="宋体" w:cs="宋体"/>
                <w:sz w:val="24"/>
              </w:rPr>
              <w:t>退还账户信息</w:t>
            </w:r>
          </w:p>
        </w:tc>
        <w:tc>
          <w:tcPr>
            <w:tcW w:w="7284" w:type="dxa"/>
            <w:gridSpan w:val="3"/>
            <w:vAlign w:val="center"/>
          </w:tcPr>
          <w:p w14:paraId="3F1EAA93">
            <w:pPr>
              <w:spacing w:line="360" w:lineRule="auto"/>
              <w:rPr>
                <w:rFonts w:ascii="宋体" w:cs="宋体"/>
                <w:sz w:val="24"/>
              </w:rPr>
            </w:pPr>
            <w:r>
              <w:rPr>
                <w:rFonts w:hint="eastAsia" w:ascii="宋体" w:cs="宋体"/>
                <w:sz w:val="24"/>
              </w:rPr>
              <w:t>单位名称（户名）：</w:t>
            </w:r>
          </w:p>
        </w:tc>
      </w:tr>
      <w:tr w14:paraId="3C20E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65E86C22"/>
        </w:tc>
        <w:tc>
          <w:tcPr>
            <w:tcW w:w="7284" w:type="dxa"/>
            <w:gridSpan w:val="3"/>
            <w:vAlign w:val="center"/>
          </w:tcPr>
          <w:p w14:paraId="44A37DE9">
            <w:pPr>
              <w:spacing w:line="360" w:lineRule="auto"/>
              <w:rPr>
                <w:rFonts w:ascii="宋体" w:cs="宋体"/>
                <w:sz w:val="24"/>
              </w:rPr>
            </w:pPr>
            <w:r>
              <w:rPr>
                <w:rFonts w:hint="eastAsia" w:ascii="宋体" w:cs="宋体"/>
                <w:sz w:val="24"/>
              </w:rPr>
              <w:t>单位税号：</w:t>
            </w:r>
          </w:p>
        </w:tc>
      </w:tr>
      <w:tr w14:paraId="370FD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76B70143"/>
        </w:tc>
        <w:tc>
          <w:tcPr>
            <w:tcW w:w="7284" w:type="dxa"/>
            <w:gridSpan w:val="3"/>
            <w:vAlign w:val="center"/>
          </w:tcPr>
          <w:p w14:paraId="495F3531">
            <w:pPr>
              <w:spacing w:line="360" w:lineRule="auto"/>
              <w:rPr>
                <w:rFonts w:ascii="宋体" w:cs="宋体"/>
                <w:sz w:val="24"/>
              </w:rPr>
            </w:pPr>
            <w:r>
              <w:rPr>
                <w:rFonts w:hint="eastAsia" w:ascii="宋体" w:cs="宋体"/>
                <w:sz w:val="24"/>
              </w:rPr>
              <w:t>开户银行：</w:t>
            </w:r>
          </w:p>
        </w:tc>
      </w:tr>
      <w:tr w14:paraId="0E172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37748491"/>
        </w:tc>
        <w:tc>
          <w:tcPr>
            <w:tcW w:w="7284" w:type="dxa"/>
            <w:gridSpan w:val="3"/>
            <w:vAlign w:val="center"/>
          </w:tcPr>
          <w:p w14:paraId="4B7EBC95">
            <w:pPr>
              <w:spacing w:line="360" w:lineRule="auto"/>
              <w:rPr>
                <w:rFonts w:ascii="宋体" w:cs="宋体"/>
                <w:sz w:val="24"/>
              </w:rPr>
            </w:pPr>
            <w:r>
              <w:rPr>
                <w:rFonts w:hint="eastAsia" w:ascii="宋体" w:cs="宋体"/>
                <w:sz w:val="24"/>
              </w:rPr>
              <w:t>银行账号：</w:t>
            </w:r>
          </w:p>
        </w:tc>
      </w:tr>
      <w:tr w14:paraId="7191A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50917C6D"/>
        </w:tc>
        <w:tc>
          <w:tcPr>
            <w:tcW w:w="7284" w:type="dxa"/>
            <w:gridSpan w:val="3"/>
            <w:vAlign w:val="center"/>
          </w:tcPr>
          <w:p w14:paraId="21AF1971">
            <w:pPr>
              <w:spacing w:line="360" w:lineRule="auto"/>
              <w:rPr>
                <w:rFonts w:ascii="宋体" w:cs="宋体"/>
                <w:sz w:val="24"/>
              </w:rPr>
            </w:pPr>
            <w:r>
              <w:rPr>
                <w:rFonts w:hint="eastAsia" w:ascii="宋体" w:cs="宋体"/>
                <w:sz w:val="24"/>
              </w:rPr>
              <w:t>单位地址：</w:t>
            </w:r>
          </w:p>
        </w:tc>
      </w:tr>
      <w:tr w14:paraId="655B1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43EF23DC"/>
        </w:tc>
        <w:tc>
          <w:tcPr>
            <w:tcW w:w="7284" w:type="dxa"/>
            <w:gridSpan w:val="3"/>
            <w:vAlign w:val="center"/>
          </w:tcPr>
          <w:p w14:paraId="63D6D7B9">
            <w:pPr>
              <w:spacing w:line="360" w:lineRule="auto"/>
              <w:rPr>
                <w:rFonts w:ascii="宋体" w:cs="宋体"/>
                <w:sz w:val="24"/>
              </w:rPr>
            </w:pPr>
            <w:r>
              <w:rPr>
                <w:rFonts w:hint="eastAsia" w:ascii="宋体" w:cs="宋体"/>
                <w:sz w:val="24"/>
              </w:rPr>
              <w:t>电话：</w:t>
            </w:r>
          </w:p>
        </w:tc>
      </w:tr>
    </w:tbl>
    <w:p w14:paraId="5D14C36E">
      <w:pPr>
        <w:snapToGrid w:val="0"/>
        <w:spacing w:line="360" w:lineRule="auto"/>
        <w:ind w:left="630" w:hanging="630"/>
        <w:rPr>
          <w:rFonts w:ascii="宋体" w:hAnsi="宋体" w:cs="宋体"/>
          <w:b/>
          <w:sz w:val="24"/>
        </w:rPr>
      </w:pPr>
      <w:r>
        <w:rPr>
          <w:rFonts w:hint="eastAsia" w:ascii="宋体" w:hAnsi="宋体" w:cs="宋体"/>
          <w:sz w:val="24"/>
        </w:rPr>
        <w:t>注：1、该“退还投标保证金申请书”可在投标时单独提供</w:t>
      </w:r>
      <w:r>
        <w:rPr>
          <w:rFonts w:hint="eastAsia" w:ascii="宋体" w:hAnsi="宋体" w:cs="宋体"/>
          <w:b/>
          <w:sz w:val="24"/>
        </w:rPr>
        <w:t>（请勿装订进投标文件中）</w:t>
      </w:r>
      <w:r>
        <w:rPr>
          <w:rFonts w:hint="eastAsia" w:ascii="宋体" w:hAnsi="宋体" w:cs="宋体"/>
          <w:sz w:val="24"/>
        </w:rPr>
        <w:t>。</w:t>
      </w:r>
    </w:p>
    <w:p w14:paraId="67ACF3B1">
      <w:pPr>
        <w:spacing w:line="320" w:lineRule="exact"/>
        <w:ind w:right="420"/>
        <w:rPr>
          <w:rFonts w:ascii="宋体"/>
          <w:sz w:val="30"/>
          <w:szCs w:val="30"/>
        </w:rPr>
      </w:pPr>
    </w:p>
    <w:p w14:paraId="58BB6372"/>
    <w:sectPr>
      <w:footerReference r:id="rId12" w:type="default"/>
      <w:pgSz w:w="11907" w:h="16840"/>
      <w:pgMar w:top="1440" w:right="1080" w:bottom="1440" w:left="1080" w:header="680" w:footer="96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F5B24">
    <w:pPr>
      <w:pStyle w:val="1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90967">
    <w:pPr>
      <w:pStyle w:val="14"/>
      <w:framePr w:wrap="around" w:vAnchor="text" w:hAnchor="margin" w:xAlign="center" w:y="1"/>
      <w:rPr>
        <w:rStyle w:val="23"/>
      </w:rPr>
    </w:pPr>
    <w:r>
      <w:fldChar w:fldCharType="begin"/>
    </w:r>
    <w:r>
      <w:rPr>
        <w:rStyle w:val="23"/>
      </w:rPr>
      <w:instrText xml:space="preserve">PAGE  </w:instrText>
    </w:r>
    <w:r>
      <w:fldChar w:fldCharType="separate"/>
    </w:r>
    <w:r>
      <w:rPr>
        <w:rStyle w:val="23"/>
      </w:rPr>
      <w:t>1</w:t>
    </w:r>
    <w:r>
      <w:fldChar w:fldCharType="end"/>
    </w:r>
  </w:p>
  <w:p w14:paraId="0477C900">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77884">
    <w:pPr>
      <w:pStyle w:val="14"/>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0D30E">
    <w:pPr>
      <w:pStyle w:val="14"/>
      <w:framePr w:wrap="around" w:vAnchor="text" w:hAnchor="margin" w:xAlign="center" w:y="1"/>
      <w:jc w:val="center"/>
      <w:rPr>
        <w:rStyle w:val="23"/>
      </w:rPr>
    </w:pPr>
    <w:r>
      <w:fldChar w:fldCharType="begin"/>
    </w:r>
    <w:r>
      <w:rPr>
        <w:rStyle w:val="23"/>
      </w:rPr>
      <w:instrText xml:space="preserve">PAGE  </w:instrText>
    </w:r>
    <w:r>
      <w:fldChar w:fldCharType="separate"/>
    </w:r>
    <w:r>
      <w:rPr>
        <w:rStyle w:val="23"/>
      </w:rPr>
      <w:t>19</w:t>
    </w:r>
    <w:r>
      <w:fldChar w:fldCharType="end"/>
    </w:r>
  </w:p>
  <w:p w14:paraId="5AB25F3F">
    <w:pPr>
      <w:pStyle w:val="14"/>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113D2">
    <w:pPr>
      <w:pStyle w:val="14"/>
      <w:framePr w:wrap="around" w:vAnchor="text" w:hAnchor="margin" w:xAlign="center" w:y="1"/>
      <w:jc w:val="center"/>
      <w:rPr>
        <w:rStyle w:val="23"/>
      </w:rPr>
    </w:pPr>
    <w:r>
      <w:fldChar w:fldCharType="begin"/>
    </w:r>
    <w:r>
      <w:rPr>
        <w:rStyle w:val="23"/>
      </w:rPr>
      <w:instrText xml:space="preserve">PAGE  </w:instrText>
    </w:r>
    <w:r>
      <w:fldChar w:fldCharType="separate"/>
    </w:r>
    <w:r>
      <w:rPr>
        <w:rStyle w:val="23"/>
      </w:rPr>
      <w:t>51</w:t>
    </w:r>
    <w:r>
      <w:fldChar w:fldCharType="end"/>
    </w:r>
  </w:p>
  <w:p w14:paraId="69156E8B">
    <w:pPr>
      <w:pStyle w:val="14"/>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29381">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4A953">
    <w:pPr>
      <w:pStyle w:val="16"/>
      <w:framePr w:wrap="around" w:vAnchor="text" w:hAnchor="margin" w:xAlign="right" w:y="1"/>
      <w:rPr>
        <w:rStyle w:val="23"/>
      </w:rPr>
    </w:pPr>
    <w:r>
      <w:fldChar w:fldCharType="begin"/>
    </w:r>
    <w:r>
      <w:rPr>
        <w:rStyle w:val="23"/>
      </w:rPr>
      <w:instrText xml:space="preserve">PAGE  </w:instrText>
    </w:r>
    <w:r>
      <w:fldChar w:fldCharType="end"/>
    </w:r>
  </w:p>
  <w:p w14:paraId="19CACC5C">
    <w:pPr>
      <w:pStyle w:val="16"/>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92224">
    <w:pPr>
      <w:pStyle w:val="26"/>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650C5">
    <w:pPr>
      <w:pStyle w:val="16"/>
      <w:rPr>
        <w:iCs/>
      </w:rPr>
    </w:pPr>
    <w:r>
      <w:rPr>
        <w:rFonts w:hint="eastAsia"/>
        <w:iCs/>
      </w:rPr>
      <w:t>浙江巨化股份有限公司电化厂（含巨塑、聚荟公司）2025-2027年部分产品及原材料包装搬运装卸劳务外包项目招标文件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D17EF">
    <w:pPr>
      <w:pStyle w:val="16"/>
      <w:jc w:val="right"/>
      <w:rPr>
        <w:i/>
      </w:rPr>
    </w:pPr>
    <w:r>
      <w:rPr>
        <w:rFonts w:hint="eastAsia"/>
        <w:i/>
      </w:rPr>
      <w:t>衢州衢化宾馆临时用房建筑工程招标文件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98A5A"/>
    <w:multiLevelType w:val="singleLevel"/>
    <w:tmpl w:val="01598A5A"/>
    <w:lvl w:ilvl="0" w:tentative="0">
      <w:start w:val="1"/>
      <w:numFmt w:val="chineseCounting"/>
      <w:suff w:val="space"/>
      <w:lvlText w:val="第%1章"/>
      <w:lvlJc w:val="left"/>
      <w:rPr>
        <w:rFonts w:hint="eastAsia"/>
      </w:rPr>
    </w:lvl>
  </w:abstractNum>
  <w:abstractNum w:abstractNumId="1">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abstractNum w:abstractNumId="2">
    <w:nsid w:val="27F21413"/>
    <w:multiLevelType w:val="singleLevel"/>
    <w:tmpl w:val="27F21413"/>
    <w:lvl w:ilvl="0" w:tentative="0">
      <w:start w:val="1"/>
      <w:numFmt w:val="decimal"/>
      <w:suff w:val="space"/>
      <w:lvlText w:val="%1、"/>
      <w:lvlJc w:val="left"/>
      <w:pPr>
        <w:ind w:left="-60" w:firstLine="0"/>
      </w:pPr>
    </w:lvl>
  </w:abstractNum>
  <w:abstractNum w:abstractNumId="3">
    <w:nsid w:val="28680841"/>
    <w:multiLevelType w:val="singleLevel"/>
    <w:tmpl w:val="28680841"/>
    <w:lvl w:ilvl="0" w:tentative="0">
      <w:start w:val="8"/>
      <w:numFmt w:val="chineseCounting"/>
      <w:suff w:val="nothing"/>
      <w:lvlText w:val="%1、"/>
      <w:lvlJc w:val="left"/>
      <w:rPr>
        <w:rFonts w:hint="eastAsia"/>
      </w:rPr>
    </w:lvl>
  </w:abstractNum>
  <w:abstractNum w:abstractNumId="4">
    <w:nsid w:val="4627506A"/>
    <w:multiLevelType w:val="singleLevel"/>
    <w:tmpl w:val="4627506A"/>
    <w:lvl w:ilvl="0" w:tentative="0">
      <w:start w:val="1"/>
      <w:numFmt w:val="decimal"/>
      <w:pStyle w:val="7"/>
      <w:lvlText w:val="%1."/>
      <w:lvlJc w:val="left"/>
      <w:pPr>
        <w:tabs>
          <w:tab w:val="left" w:pos="360"/>
        </w:tabs>
        <w:ind w:left="360" w:hanging="360"/>
      </w:pPr>
    </w:lvl>
  </w:abstractNum>
  <w:abstractNum w:abstractNumId="5">
    <w:nsid w:val="4C371B58"/>
    <w:multiLevelType w:val="multilevel"/>
    <w:tmpl w:val="4C371B58"/>
    <w:lvl w:ilvl="0" w:tentative="0">
      <w:start w:val="1"/>
      <w:numFmt w:val="decimal"/>
      <w:pStyle w:val="40"/>
      <w:suff w:val="nothing"/>
      <w:lvlText w:val="%1　"/>
      <w:lvlJc w:val="left"/>
      <w:pPr>
        <w:ind w:left="0" w:firstLine="0"/>
      </w:pPr>
      <w:rPr>
        <w:b w:val="0"/>
        <w:bCs/>
      </w:rPr>
    </w:lvl>
    <w:lvl w:ilvl="1" w:tentative="0">
      <w:start w:val="1"/>
      <w:numFmt w:val="decimal"/>
      <w:suff w:val="nothing"/>
      <w:lvlText w:val="%1.%2　"/>
      <w:lvlJc w:val="left"/>
      <w:pPr>
        <w:ind w:left="0" w:firstLine="0"/>
      </w:pPr>
      <w:rPr>
        <w:b w:val="0"/>
        <w:bCs w:val="0"/>
        <w:i w:val="0"/>
        <w:iCs w:val="0"/>
        <w:caps w:val="0"/>
        <w:smallCaps w:val="0"/>
        <w:strike w:val="0"/>
        <w:dstrike w:val="0"/>
        <w:vanish w:val="0"/>
        <w:color w:val="000000"/>
        <w:spacing w:val="0"/>
        <w:position w:val="0"/>
        <w:u w:val="none"/>
        <w:vertAlign w:val="baseline"/>
      </w:rPr>
    </w:lvl>
    <w:lvl w:ilvl="2" w:tentative="0">
      <w:start w:val="1"/>
      <w:numFmt w:val="decimal"/>
      <w:suff w:val="nothing"/>
      <w:lvlText w:val="%1.%2.%3　"/>
      <w:lvlJc w:val="left"/>
      <w:pPr>
        <w:ind w:left="709" w:hanging="709"/>
      </w:pPr>
      <w:rPr>
        <w:b w:val="0"/>
        <w:bCs w:val="0"/>
        <w:i w:val="0"/>
        <w:iCs w:val="0"/>
        <w:caps w:val="0"/>
        <w:smallCaps w:val="0"/>
        <w:strike w:val="0"/>
        <w:dstrike w:val="0"/>
        <w:vanish w:val="0"/>
        <w:color w:val="000000"/>
        <w:spacing w:val="0"/>
        <w:position w:val="0"/>
        <w:u w:val="none"/>
        <w:vertAlign w:val="baseline"/>
      </w:rPr>
    </w:lvl>
    <w:lvl w:ilvl="3" w:tentative="0">
      <w:start w:val="1"/>
      <w:numFmt w:val="decimal"/>
      <w:suff w:val="nothing"/>
      <w:lvlText w:val="%1.%2.%3.%4　"/>
      <w:lvlJc w:val="left"/>
      <w:pPr>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4"/>
  </w:num>
  <w:num w:numId="2">
    <w:abstractNumId w:val="5"/>
  </w:num>
  <w:num w:numId="3">
    <w:abstractNumId w:val="0"/>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OTkzZGI3YTQ0YmQ1MzM5ZDJlNjY2ZmJmN2E0NDgifQ=="/>
  </w:docVars>
  <w:rsids>
    <w:rsidRoot w:val="26B22C40"/>
    <w:rsid w:val="0000105C"/>
    <w:rsid w:val="0000280C"/>
    <w:rsid w:val="00007355"/>
    <w:rsid w:val="00013BD5"/>
    <w:rsid w:val="0002304F"/>
    <w:rsid w:val="00025542"/>
    <w:rsid w:val="0004322E"/>
    <w:rsid w:val="000463FF"/>
    <w:rsid w:val="000507E9"/>
    <w:rsid w:val="00051EB7"/>
    <w:rsid w:val="000622A3"/>
    <w:rsid w:val="000669B4"/>
    <w:rsid w:val="00073EF1"/>
    <w:rsid w:val="00074F8B"/>
    <w:rsid w:val="000753E6"/>
    <w:rsid w:val="00077CB1"/>
    <w:rsid w:val="0008076F"/>
    <w:rsid w:val="00087977"/>
    <w:rsid w:val="000938DE"/>
    <w:rsid w:val="00094B38"/>
    <w:rsid w:val="000A0252"/>
    <w:rsid w:val="000A37C7"/>
    <w:rsid w:val="000A4052"/>
    <w:rsid w:val="000A55F1"/>
    <w:rsid w:val="000B4188"/>
    <w:rsid w:val="000B549D"/>
    <w:rsid w:val="000C7813"/>
    <w:rsid w:val="000D2C24"/>
    <w:rsid w:val="000E2C71"/>
    <w:rsid w:val="000E2C86"/>
    <w:rsid w:val="000E7EE5"/>
    <w:rsid w:val="000F687E"/>
    <w:rsid w:val="001032C0"/>
    <w:rsid w:val="00122FF7"/>
    <w:rsid w:val="0012757B"/>
    <w:rsid w:val="001279D6"/>
    <w:rsid w:val="001313A9"/>
    <w:rsid w:val="00136215"/>
    <w:rsid w:val="001643BE"/>
    <w:rsid w:val="0018028B"/>
    <w:rsid w:val="00180787"/>
    <w:rsid w:val="001843E8"/>
    <w:rsid w:val="001871B6"/>
    <w:rsid w:val="00190BFB"/>
    <w:rsid w:val="00191401"/>
    <w:rsid w:val="00197875"/>
    <w:rsid w:val="001B7D25"/>
    <w:rsid w:val="001D2647"/>
    <w:rsid w:val="001D39EE"/>
    <w:rsid w:val="001F1917"/>
    <w:rsid w:val="0020574A"/>
    <w:rsid w:val="00212163"/>
    <w:rsid w:val="00217441"/>
    <w:rsid w:val="002208E2"/>
    <w:rsid w:val="0022783A"/>
    <w:rsid w:val="00251142"/>
    <w:rsid w:val="00266838"/>
    <w:rsid w:val="002669D9"/>
    <w:rsid w:val="00272FCA"/>
    <w:rsid w:val="00282F89"/>
    <w:rsid w:val="0029190B"/>
    <w:rsid w:val="00296B9F"/>
    <w:rsid w:val="00297E55"/>
    <w:rsid w:val="002A0ED7"/>
    <w:rsid w:val="002A484A"/>
    <w:rsid w:val="002A62AA"/>
    <w:rsid w:val="002A65A7"/>
    <w:rsid w:val="002B210C"/>
    <w:rsid w:val="002C08FF"/>
    <w:rsid w:val="002D025A"/>
    <w:rsid w:val="002D46EF"/>
    <w:rsid w:val="002E0109"/>
    <w:rsid w:val="002E0F4C"/>
    <w:rsid w:val="002E5322"/>
    <w:rsid w:val="002E5CAC"/>
    <w:rsid w:val="002F33FA"/>
    <w:rsid w:val="00307281"/>
    <w:rsid w:val="00310122"/>
    <w:rsid w:val="00311E17"/>
    <w:rsid w:val="003150EA"/>
    <w:rsid w:val="0032439F"/>
    <w:rsid w:val="0032685E"/>
    <w:rsid w:val="0033235B"/>
    <w:rsid w:val="00337001"/>
    <w:rsid w:val="003414B8"/>
    <w:rsid w:val="0034466E"/>
    <w:rsid w:val="00345A64"/>
    <w:rsid w:val="00350095"/>
    <w:rsid w:val="00352055"/>
    <w:rsid w:val="00353C30"/>
    <w:rsid w:val="00353EA9"/>
    <w:rsid w:val="00355601"/>
    <w:rsid w:val="0035708E"/>
    <w:rsid w:val="00357507"/>
    <w:rsid w:val="003617BA"/>
    <w:rsid w:val="00366101"/>
    <w:rsid w:val="00370AE6"/>
    <w:rsid w:val="00373052"/>
    <w:rsid w:val="00374BFD"/>
    <w:rsid w:val="00381216"/>
    <w:rsid w:val="003949F1"/>
    <w:rsid w:val="003956B4"/>
    <w:rsid w:val="003A09F7"/>
    <w:rsid w:val="003A208B"/>
    <w:rsid w:val="003B085B"/>
    <w:rsid w:val="003B08FB"/>
    <w:rsid w:val="003B2FA4"/>
    <w:rsid w:val="003B70A2"/>
    <w:rsid w:val="003C30DE"/>
    <w:rsid w:val="003C31DB"/>
    <w:rsid w:val="003C4560"/>
    <w:rsid w:val="003C642C"/>
    <w:rsid w:val="003C797B"/>
    <w:rsid w:val="003D0E3B"/>
    <w:rsid w:val="003D5AC7"/>
    <w:rsid w:val="003E195E"/>
    <w:rsid w:val="003E4083"/>
    <w:rsid w:val="003E6C94"/>
    <w:rsid w:val="00402611"/>
    <w:rsid w:val="00405619"/>
    <w:rsid w:val="00410BED"/>
    <w:rsid w:val="004136E6"/>
    <w:rsid w:val="004154C2"/>
    <w:rsid w:val="00415EDC"/>
    <w:rsid w:val="004264A3"/>
    <w:rsid w:val="00430149"/>
    <w:rsid w:val="004324C3"/>
    <w:rsid w:val="004327DF"/>
    <w:rsid w:val="00442659"/>
    <w:rsid w:val="00452091"/>
    <w:rsid w:val="00454937"/>
    <w:rsid w:val="004811B8"/>
    <w:rsid w:val="004832B3"/>
    <w:rsid w:val="00483CB9"/>
    <w:rsid w:val="00494C50"/>
    <w:rsid w:val="00496E83"/>
    <w:rsid w:val="004A3555"/>
    <w:rsid w:val="004B047D"/>
    <w:rsid w:val="004B0E9C"/>
    <w:rsid w:val="004B67E9"/>
    <w:rsid w:val="004B7578"/>
    <w:rsid w:val="004C0728"/>
    <w:rsid w:val="004C1183"/>
    <w:rsid w:val="004C547F"/>
    <w:rsid w:val="004D521F"/>
    <w:rsid w:val="004D65BC"/>
    <w:rsid w:val="004E38F0"/>
    <w:rsid w:val="004E47AD"/>
    <w:rsid w:val="004E66F1"/>
    <w:rsid w:val="004F4510"/>
    <w:rsid w:val="004F536B"/>
    <w:rsid w:val="005015B0"/>
    <w:rsid w:val="005047EB"/>
    <w:rsid w:val="00506F03"/>
    <w:rsid w:val="0051330F"/>
    <w:rsid w:val="0051633D"/>
    <w:rsid w:val="00522278"/>
    <w:rsid w:val="005271E8"/>
    <w:rsid w:val="00536CA8"/>
    <w:rsid w:val="00540570"/>
    <w:rsid w:val="005406EF"/>
    <w:rsid w:val="005466B0"/>
    <w:rsid w:val="00560EBE"/>
    <w:rsid w:val="005661C0"/>
    <w:rsid w:val="00567F1C"/>
    <w:rsid w:val="0059446B"/>
    <w:rsid w:val="005A73CE"/>
    <w:rsid w:val="005B16DC"/>
    <w:rsid w:val="005B2611"/>
    <w:rsid w:val="005B26D6"/>
    <w:rsid w:val="005B3795"/>
    <w:rsid w:val="005B4247"/>
    <w:rsid w:val="005C0D32"/>
    <w:rsid w:val="005C39C8"/>
    <w:rsid w:val="005C662E"/>
    <w:rsid w:val="005D5A2F"/>
    <w:rsid w:val="005D5AA8"/>
    <w:rsid w:val="005D67A7"/>
    <w:rsid w:val="005F1F45"/>
    <w:rsid w:val="006035AF"/>
    <w:rsid w:val="00603A90"/>
    <w:rsid w:val="00613E30"/>
    <w:rsid w:val="00615652"/>
    <w:rsid w:val="00617D21"/>
    <w:rsid w:val="00651514"/>
    <w:rsid w:val="00653565"/>
    <w:rsid w:val="00667713"/>
    <w:rsid w:val="006711A2"/>
    <w:rsid w:val="00677815"/>
    <w:rsid w:val="006860C0"/>
    <w:rsid w:val="006877CD"/>
    <w:rsid w:val="0069092B"/>
    <w:rsid w:val="006912E7"/>
    <w:rsid w:val="006A5272"/>
    <w:rsid w:val="006A71F4"/>
    <w:rsid w:val="006C2D89"/>
    <w:rsid w:val="006D1153"/>
    <w:rsid w:val="006D4A1A"/>
    <w:rsid w:val="006D61BC"/>
    <w:rsid w:val="006F3818"/>
    <w:rsid w:val="006F69A3"/>
    <w:rsid w:val="006F6B9C"/>
    <w:rsid w:val="0071257F"/>
    <w:rsid w:val="00727521"/>
    <w:rsid w:val="007418B5"/>
    <w:rsid w:val="00741FE2"/>
    <w:rsid w:val="007542A5"/>
    <w:rsid w:val="00755DFD"/>
    <w:rsid w:val="00756046"/>
    <w:rsid w:val="00770A15"/>
    <w:rsid w:val="00772091"/>
    <w:rsid w:val="00776427"/>
    <w:rsid w:val="00783A9E"/>
    <w:rsid w:val="00784571"/>
    <w:rsid w:val="007851E3"/>
    <w:rsid w:val="0079232C"/>
    <w:rsid w:val="0079299A"/>
    <w:rsid w:val="007935E6"/>
    <w:rsid w:val="00793A70"/>
    <w:rsid w:val="00796055"/>
    <w:rsid w:val="00797365"/>
    <w:rsid w:val="007A62E3"/>
    <w:rsid w:val="007A698A"/>
    <w:rsid w:val="007B4BB8"/>
    <w:rsid w:val="007C2435"/>
    <w:rsid w:val="007C6636"/>
    <w:rsid w:val="007C72C3"/>
    <w:rsid w:val="007D53D5"/>
    <w:rsid w:val="007F6993"/>
    <w:rsid w:val="00800859"/>
    <w:rsid w:val="00810F0B"/>
    <w:rsid w:val="008122C7"/>
    <w:rsid w:val="00812DAF"/>
    <w:rsid w:val="008154EC"/>
    <w:rsid w:val="00822387"/>
    <w:rsid w:val="00823C76"/>
    <w:rsid w:val="0082411D"/>
    <w:rsid w:val="00825884"/>
    <w:rsid w:val="008319D5"/>
    <w:rsid w:val="008360A9"/>
    <w:rsid w:val="008509BB"/>
    <w:rsid w:val="008603CB"/>
    <w:rsid w:val="00862F68"/>
    <w:rsid w:val="00887D4E"/>
    <w:rsid w:val="008929B2"/>
    <w:rsid w:val="0089553C"/>
    <w:rsid w:val="008A0547"/>
    <w:rsid w:val="008A6EA8"/>
    <w:rsid w:val="008B2BF9"/>
    <w:rsid w:val="008B31D3"/>
    <w:rsid w:val="008B5819"/>
    <w:rsid w:val="008C07E7"/>
    <w:rsid w:val="008C482F"/>
    <w:rsid w:val="008C7C5D"/>
    <w:rsid w:val="008C7C5E"/>
    <w:rsid w:val="008E3113"/>
    <w:rsid w:val="008E5044"/>
    <w:rsid w:val="00904B03"/>
    <w:rsid w:val="00905DA9"/>
    <w:rsid w:val="009106A7"/>
    <w:rsid w:val="00911D58"/>
    <w:rsid w:val="009158E3"/>
    <w:rsid w:val="00916216"/>
    <w:rsid w:val="00927B20"/>
    <w:rsid w:val="00976091"/>
    <w:rsid w:val="00997CDB"/>
    <w:rsid w:val="009C6434"/>
    <w:rsid w:val="009C670F"/>
    <w:rsid w:val="009D1090"/>
    <w:rsid w:val="009D2B07"/>
    <w:rsid w:val="009D3C50"/>
    <w:rsid w:val="009E5980"/>
    <w:rsid w:val="009E5FAA"/>
    <w:rsid w:val="009E6A62"/>
    <w:rsid w:val="009F338F"/>
    <w:rsid w:val="00A01B27"/>
    <w:rsid w:val="00A054C3"/>
    <w:rsid w:val="00A0780B"/>
    <w:rsid w:val="00A15A51"/>
    <w:rsid w:val="00A21BB9"/>
    <w:rsid w:val="00A24086"/>
    <w:rsid w:val="00A25871"/>
    <w:rsid w:val="00A25C46"/>
    <w:rsid w:val="00A27566"/>
    <w:rsid w:val="00A37411"/>
    <w:rsid w:val="00A37C91"/>
    <w:rsid w:val="00A41415"/>
    <w:rsid w:val="00A4452F"/>
    <w:rsid w:val="00A516D6"/>
    <w:rsid w:val="00A535AD"/>
    <w:rsid w:val="00A558C5"/>
    <w:rsid w:val="00A61A26"/>
    <w:rsid w:val="00A6208C"/>
    <w:rsid w:val="00A64BC2"/>
    <w:rsid w:val="00A6713E"/>
    <w:rsid w:val="00A721E9"/>
    <w:rsid w:val="00A73FBF"/>
    <w:rsid w:val="00A805D1"/>
    <w:rsid w:val="00A864F4"/>
    <w:rsid w:val="00A86DD2"/>
    <w:rsid w:val="00A95C3D"/>
    <w:rsid w:val="00A9706A"/>
    <w:rsid w:val="00AA0AF3"/>
    <w:rsid w:val="00AA20FB"/>
    <w:rsid w:val="00AC0173"/>
    <w:rsid w:val="00AD5075"/>
    <w:rsid w:val="00AD6250"/>
    <w:rsid w:val="00AE0DB9"/>
    <w:rsid w:val="00AE11D3"/>
    <w:rsid w:val="00AF6580"/>
    <w:rsid w:val="00B01B7A"/>
    <w:rsid w:val="00B05D6C"/>
    <w:rsid w:val="00B06913"/>
    <w:rsid w:val="00B0726B"/>
    <w:rsid w:val="00B07982"/>
    <w:rsid w:val="00B138ED"/>
    <w:rsid w:val="00B17A29"/>
    <w:rsid w:val="00B17F5C"/>
    <w:rsid w:val="00B533BE"/>
    <w:rsid w:val="00B55321"/>
    <w:rsid w:val="00B56CC3"/>
    <w:rsid w:val="00B60409"/>
    <w:rsid w:val="00B60534"/>
    <w:rsid w:val="00B80B12"/>
    <w:rsid w:val="00B84AEE"/>
    <w:rsid w:val="00B8629B"/>
    <w:rsid w:val="00B928F2"/>
    <w:rsid w:val="00B946DA"/>
    <w:rsid w:val="00BA6B12"/>
    <w:rsid w:val="00BB1943"/>
    <w:rsid w:val="00BB70B5"/>
    <w:rsid w:val="00BB7F16"/>
    <w:rsid w:val="00BC44DF"/>
    <w:rsid w:val="00BF4322"/>
    <w:rsid w:val="00BF6B28"/>
    <w:rsid w:val="00BF7F1B"/>
    <w:rsid w:val="00C02C7E"/>
    <w:rsid w:val="00C03C2C"/>
    <w:rsid w:val="00C076D9"/>
    <w:rsid w:val="00C130E8"/>
    <w:rsid w:val="00C15FB1"/>
    <w:rsid w:val="00C215FC"/>
    <w:rsid w:val="00C3084D"/>
    <w:rsid w:val="00C34074"/>
    <w:rsid w:val="00C52E2C"/>
    <w:rsid w:val="00C532C3"/>
    <w:rsid w:val="00C53AD8"/>
    <w:rsid w:val="00C5525E"/>
    <w:rsid w:val="00C72C72"/>
    <w:rsid w:val="00C74D20"/>
    <w:rsid w:val="00C759FB"/>
    <w:rsid w:val="00C76939"/>
    <w:rsid w:val="00C831C9"/>
    <w:rsid w:val="00C91CDB"/>
    <w:rsid w:val="00CA2F07"/>
    <w:rsid w:val="00CA61C4"/>
    <w:rsid w:val="00CA61EA"/>
    <w:rsid w:val="00CB2737"/>
    <w:rsid w:val="00CC1DBD"/>
    <w:rsid w:val="00CC3BD3"/>
    <w:rsid w:val="00CD3B50"/>
    <w:rsid w:val="00CD6870"/>
    <w:rsid w:val="00CD7005"/>
    <w:rsid w:val="00CE3622"/>
    <w:rsid w:val="00CE6797"/>
    <w:rsid w:val="00CE7D8A"/>
    <w:rsid w:val="00CF0F87"/>
    <w:rsid w:val="00D0619D"/>
    <w:rsid w:val="00D11D19"/>
    <w:rsid w:val="00D12AB2"/>
    <w:rsid w:val="00D226E6"/>
    <w:rsid w:val="00D26BFC"/>
    <w:rsid w:val="00D322B9"/>
    <w:rsid w:val="00D35F10"/>
    <w:rsid w:val="00D363A1"/>
    <w:rsid w:val="00D3792F"/>
    <w:rsid w:val="00D41D0E"/>
    <w:rsid w:val="00D44218"/>
    <w:rsid w:val="00D44416"/>
    <w:rsid w:val="00D447BF"/>
    <w:rsid w:val="00D44A00"/>
    <w:rsid w:val="00D56E66"/>
    <w:rsid w:val="00D6754C"/>
    <w:rsid w:val="00D67ECF"/>
    <w:rsid w:val="00D760D3"/>
    <w:rsid w:val="00D77D24"/>
    <w:rsid w:val="00DA3E82"/>
    <w:rsid w:val="00DB52B4"/>
    <w:rsid w:val="00DB7783"/>
    <w:rsid w:val="00DE0161"/>
    <w:rsid w:val="00DE6332"/>
    <w:rsid w:val="00DE7718"/>
    <w:rsid w:val="00DF5A51"/>
    <w:rsid w:val="00DF76AC"/>
    <w:rsid w:val="00E15900"/>
    <w:rsid w:val="00E1598D"/>
    <w:rsid w:val="00E16A1B"/>
    <w:rsid w:val="00E26677"/>
    <w:rsid w:val="00E406C2"/>
    <w:rsid w:val="00E40F5F"/>
    <w:rsid w:val="00E54590"/>
    <w:rsid w:val="00E62E88"/>
    <w:rsid w:val="00E66A4A"/>
    <w:rsid w:val="00E71139"/>
    <w:rsid w:val="00E80C78"/>
    <w:rsid w:val="00E84014"/>
    <w:rsid w:val="00E85B1B"/>
    <w:rsid w:val="00EB6CFD"/>
    <w:rsid w:val="00EC1884"/>
    <w:rsid w:val="00EC2CC3"/>
    <w:rsid w:val="00ED3AAE"/>
    <w:rsid w:val="00EE2F14"/>
    <w:rsid w:val="00EE63D3"/>
    <w:rsid w:val="00EE6C7D"/>
    <w:rsid w:val="00EF14CC"/>
    <w:rsid w:val="00EF7DE7"/>
    <w:rsid w:val="00F006A8"/>
    <w:rsid w:val="00F03FA7"/>
    <w:rsid w:val="00F069DD"/>
    <w:rsid w:val="00F116E6"/>
    <w:rsid w:val="00F14700"/>
    <w:rsid w:val="00F21A15"/>
    <w:rsid w:val="00F246B6"/>
    <w:rsid w:val="00F25375"/>
    <w:rsid w:val="00F32987"/>
    <w:rsid w:val="00F36565"/>
    <w:rsid w:val="00F36940"/>
    <w:rsid w:val="00F37FCC"/>
    <w:rsid w:val="00F573CF"/>
    <w:rsid w:val="00F6283A"/>
    <w:rsid w:val="00F84245"/>
    <w:rsid w:val="00F93EC0"/>
    <w:rsid w:val="00FA225C"/>
    <w:rsid w:val="00FA345B"/>
    <w:rsid w:val="00FB192E"/>
    <w:rsid w:val="00FB35F3"/>
    <w:rsid w:val="00FC0FD9"/>
    <w:rsid w:val="00FC6FF6"/>
    <w:rsid w:val="00FC7184"/>
    <w:rsid w:val="00FD4846"/>
    <w:rsid w:val="00FD5822"/>
    <w:rsid w:val="00FE103E"/>
    <w:rsid w:val="00FE1B8D"/>
    <w:rsid w:val="00FE3FB6"/>
    <w:rsid w:val="00FE7883"/>
    <w:rsid w:val="00FE7AF1"/>
    <w:rsid w:val="00FF0185"/>
    <w:rsid w:val="00FF6CD2"/>
    <w:rsid w:val="014B07AC"/>
    <w:rsid w:val="01732DCE"/>
    <w:rsid w:val="01764142"/>
    <w:rsid w:val="01862E98"/>
    <w:rsid w:val="01AA4F9F"/>
    <w:rsid w:val="01D03B06"/>
    <w:rsid w:val="01F118A3"/>
    <w:rsid w:val="026A3D04"/>
    <w:rsid w:val="02FA22BA"/>
    <w:rsid w:val="03716AB5"/>
    <w:rsid w:val="037C0A16"/>
    <w:rsid w:val="03A74EB6"/>
    <w:rsid w:val="03AA3A46"/>
    <w:rsid w:val="03AE134C"/>
    <w:rsid w:val="03BD0822"/>
    <w:rsid w:val="03D531C2"/>
    <w:rsid w:val="03DB0223"/>
    <w:rsid w:val="041528D9"/>
    <w:rsid w:val="044F0A67"/>
    <w:rsid w:val="04720A85"/>
    <w:rsid w:val="04A07406"/>
    <w:rsid w:val="04D44805"/>
    <w:rsid w:val="0625647C"/>
    <w:rsid w:val="068C5A4E"/>
    <w:rsid w:val="06C929FA"/>
    <w:rsid w:val="06ED534E"/>
    <w:rsid w:val="07806091"/>
    <w:rsid w:val="07BC58DF"/>
    <w:rsid w:val="07C14F87"/>
    <w:rsid w:val="07C678D4"/>
    <w:rsid w:val="087F1701"/>
    <w:rsid w:val="0887539A"/>
    <w:rsid w:val="088E2881"/>
    <w:rsid w:val="08B84D5E"/>
    <w:rsid w:val="092743DD"/>
    <w:rsid w:val="092B64D1"/>
    <w:rsid w:val="093D4FB7"/>
    <w:rsid w:val="09BE0A46"/>
    <w:rsid w:val="0A8C6210"/>
    <w:rsid w:val="0B553428"/>
    <w:rsid w:val="0B567E4C"/>
    <w:rsid w:val="0BF960A6"/>
    <w:rsid w:val="0C817312"/>
    <w:rsid w:val="0C873133"/>
    <w:rsid w:val="0CAA7853"/>
    <w:rsid w:val="0CDA0A12"/>
    <w:rsid w:val="0DA770F4"/>
    <w:rsid w:val="0E390308"/>
    <w:rsid w:val="0EB2628F"/>
    <w:rsid w:val="0EC04940"/>
    <w:rsid w:val="0EFA53F7"/>
    <w:rsid w:val="0F394BCF"/>
    <w:rsid w:val="0FB863AE"/>
    <w:rsid w:val="0FED17D1"/>
    <w:rsid w:val="101A4732"/>
    <w:rsid w:val="106D180A"/>
    <w:rsid w:val="11D755EA"/>
    <w:rsid w:val="11DA0F5B"/>
    <w:rsid w:val="12274A70"/>
    <w:rsid w:val="12400A67"/>
    <w:rsid w:val="1253551F"/>
    <w:rsid w:val="12A27C47"/>
    <w:rsid w:val="13973941"/>
    <w:rsid w:val="13CE78E4"/>
    <w:rsid w:val="14871948"/>
    <w:rsid w:val="15F2245B"/>
    <w:rsid w:val="1687536E"/>
    <w:rsid w:val="174E3973"/>
    <w:rsid w:val="17520834"/>
    <w:rsid w:val="175A2F33"/>
    <w:rsid w:val="17662AFE"/>
    <w:rsid w:val="182C16F0"/>
    <w:rsid w:val="196D392A"/>
    <w:rsid w:val="19DF1028"/>
    <w:rsid w:val="1A526D8F"/>
    <w:rsid w:val="1B347474"/>
    <w:rsid w:val="1BF82AB6"/>
    <w:rsid w:val="1C796E97"/>
    <w:rsid w:val="1C8211D3"/>
    <w:rsid w:val="1CE568DF"/>
    <w:rsid w:val="1D1E739A"/>
    <w:rsid w:val="1DC4081A"/>
    <w:rsid w:val="1DDD7094"/>
    <w:rsid w:val="1E046309"/>
    <w:rsid w:val="1E240808"/>
    <w:rsid w:val="1E3975DE"/>
    <w:rsid w:val="1E9C516B"/>
    <w:rsid w:val="1ED77509"/>
    <w:rsid w:val="1F25322C"/>
    <w:rsid w:val="1F437942"/>
    <w:rsid w:val="1F970C9C"/>
    <w:rsid w:val="201427C7"/>
    <w:rsid w:val="20373F1B"/>
    <w:rsid w:val="20501043"/>
    <w:rsid w:val="21230404"/>
    <w:rsid w:val="21507EA2"/>
    <w:rsid w:val="21CC3006"/>
    <w:rsid w:val="22373C07"/>
    <w:rsid w:val="2306647D"/>
    <w:rsid w:val="23A5630C"/>
    <w:rsid w:val="23E073EA"/>
    <w:rsid w:val="23E551E8"/>
    <w:rsid w:val="23F05015"/>
    <w:rsid w:val="24394AB8"/>
    <w:rsid w:val="248343D0"/>
    <w:rsid w:val="24BD3555"/>
    <w:rsid w:val="24D758A7"/>
    <w:rsid w:val="250F62D5"/>
    <w:rsid w:val="255A4E78"/>
    <w:rsid w:val="25751AC2"/>
    <w:rsid w:val="25C6483E"/>
    <w:rsid w:val="25F510F6"/>
    <w:rsid w:val="263602D9"/>
    <w:rsid w:val="263C0265"/>
    <w:rsid w:val="263D7E5C"/>
    <w:rsid w:val="26676DBF"/>
    <w:rsid w:val="268842A2"/>
    <w:rsid w:val="26B22C40"/>
    <w:rsid w:val="26B55C1C"/>
    <w:rsid w:val="27386F4B"/>
    <w:rsid w:val="27433324"/>
    <w:rsid w:val="274A052A"/>
    <w:rsid w:val="274D111A"/>
    <w:rsid w:val="282B29A2"/>
    <w:rsid w:val="28BE14E7"/>
    <w:rsid w:val="28EC1541"/>
    <w:rsid w:val="290828F3"/>
    <w:rsid w:val="29BC3869"/>
    <w:rsid w:val="29FB3D75"/>
    <w:rsid w:val="2A9A5074"/>
    <w:rsid w:val="2A9A54FE"/>
    <w:rsid w:val="2AD93961"/>
    <w:rsid w:val="2BD06713"/>
    <w:rsid w:val="2C6436C8"/>
    <w:rsid w:val="2C6F5E74"/>
    <w:rsid w:val="2CB005CF"/>
    <w:rsid w:val="2CC56CE0"/>
    <w:rsid w:val="2CF61BC8"/>
    <w:rsid w:val="2D3D389F"/>
    <w:rsid w:val="2D9D35E3"/>
    <w:rsid w:val="2DB85891"/>
    <w:rsid w:val="2E186FB7"/>
    <w:rsid w:val="2E4317F2"/>
    <w:rsid w:val="2E674AE8"/>
    <w:rsid w:val="2F052D0A"/>
    <w:rsid w:val="2F432A1A"/>
    <w:rsid w:val="2F837F80"/>
    <w:rsid w:val="2F917DF1"/>
    <w:rsid w:val="305757EC"/>
    <w:rsid w:val="306D3401"/>
    <w:rsid w:val="30953F25"/>
    <w:rsid w:val="310F0A0C"/>
    <w:rsid w:val="3199554C"/>
    <w:rsid w:val="31CA3F86"/>
    <w:rsid w:val="31E27EBA"/>
    <w:rsid w:val="32090C24"/>
    <w:rsid w:val="32127335"/>
    <w:rsid w:val="32D62F8C"/>
    <w:rsid w:val="33A06B4E"/>
    <w:rsid w:val="3424001A"/>
    <w:rsid w:val="350825B2"/>
    <w:rsid w:val="36527AB1"/>
    <w:rsid w:val="36BD039A"/>
    <w:rsid w:val="36D50AB1"/>
    <w:rsid w:val="3781684D"/>
    <w:rsid w:val="37FE588A"/>
    <w:rsid w:val="380E4F05"/>
    <w:rsid w:val="38DF2D14"/>
    <w:rsid w:val="39262D30"/>
    <w:rsid w:val="39900872"/>
    <w:rsid w:val="39C8165E"/>
    <w:rsid w:val="3A06753E"/>
    <w:rsid w:val="3A431279"/>
    <w:rsid w:val="3A797D26"/>
    <w:rsid w:val="3B574648"/>
    <w:rsid w:val="3B650AAD"/>
    <w:rsid w:val="3B6B75D0"/>
    <w:rsid w:val="3C415146"/>
    <w:rsid w:val="3C803352"/>
    <w:rsid w:val="3C967FE6"/>
    <w:rsid w:val="3CB9732D"/>
    <w:rsid w:val="3CD84502"/>
    <w:rsid w:val="3D2D12F1"/>
    <w:rsid w:val="3D8D719C"/>
    <w:rsid w:val="3E5573C5"/>
    <w:rsid w:val="3EF47F7F"/>
    <w:rsid w:val="3F2E74BE"/>
    <w:rsid w:val="3F5B557F"/>
    <w:rsid w:val="3FA45456"/>
    <w:rsid w:val="3FFB3B0B"/>
    <w:rsid w:val="4064756F"/>
    <w:rsid w:val="4092561C"/>
    <w:rsid w:val="40AC5688"/>
    <w:rsid w:val="40EA32EF"/>
    <w:rsid w:val="41303BD6"/>
    <w:rsid w:val="4165272D"/>
    <w:rsid w:val="41A05EB7"/>
    <w:rsid w:val="42291FBB"/>
    <w:rsid w:val="42321132"/>
    <w:rsid w:val="424373CE"/>
    <w:rsid w:val="4298644F"/>
    <w:rsid w:val="43BE0430"/>
    <w:rsid w:val="43DB14D4"/>
    <w:rsid w:val="43FA0EB3"/>
    <w:rsid w:val="44134829"/>
    <w:rsid w:val="44177BC5"/>
    <w:rsid w:val="443C183E"/>
    <w:rsid w:val="443F239E"/>
    <w:rsid w:val="448C2E58"/>
    <w:rsid w:val="44CA4E18"/>
    <w:rsid w:val="45023046"/>
    <w:rsid w:val="454B29C0"/>
    <w:rsid w:val="456B71F2"/>
    <w:rsid w:val="458B4914"/>
    <w:rsid w:val="459E6238"/>
    <w:rsid w:val="466E680B"/>
    <w:rsid w:val="46CE7474"/>
    <w:rsid w:val="476D462F"/>
    <w:rsid w:val="47BD3D57"/>
    <w:rsid w:val="484C595E"/>
    <w:rsid w:val="48845E0D"/>
    <w:rsid w:val="48FD18A8"/>
    <w:rsid w:val="494871CB"/>
    <w:rsid w:val="49874345"/>
    <w:rsid w:val="4A0F12E3"/>
    <w:rsid w:val="4A616770"/>
    <w:rsid w:val="4C0800ED"/>
    <w:rsid w:val="4C4A4AE0"/>
    <w:rsid w:val="4C8627D4"/>
    <w:rsid w:val="4D0E5328"/>
    <w:rsid w:val="4E7D2784"/>
    <w:rsid w:val="4F6202D6"/>
    <w:rsid w:val="4FCA1ABA"/>
    <w:rsid w:val="505A1D4A"/>
    <w:rsid w:val="5087655E"/>
    <w:rsid w:val="50C07988"/>
    <w:rsid w:val="51C6120B"/>
    <w:rsid w:val="51CC3074"/>
    <w:rsid w:val="520E31AE"/>
    <w:rsid w:val="52452D4C"/>
    <w:rsid w:val="53242CF6"/>
    <w:rsid w:val="53441C91"/>
    <w:rsid w:val="534F5D39"/>
    <w:rsid w:val="5388479E"/>
    <w:rsid w:val="541E545B"/>
    <w:rsid w:val="542175A2"/>
    <w:rsid w:val="542F01F8"/>
    <w:rsid w:val="545033D7"/>
    <w:rsid w:val="55570F5F"/>
    <w:rsid w:val="558D41B7"/>
    <w:rsid w:val="55DC546E"/>
    <w:rsid w:val="55F34CAE"/>
    <w:rsid w:val="562F782A"/>
    <w:rsid w:val="56390CED"/>
    <w:rsid w:val="569137D3"/>
    <w:rsid w:val="56D82F64"/>
    <w:rsid w:val="571E2C92"/>
    <w:rsid w:val="578B26EE"/>
    <w:rsid w:val="57D22DDC"/>
    <w:rsid w:val="57D86427"/>
    <w:rsid w:val="57E654C3"/>
    <w:rsid w:val="58B3632B"/>
    <w:rsid w:val="58FA573C"/>
    <w:rsid w:val="595B2D01"/>
    <w:rsid w:val="595E182C"/>
    <w:rsid w:val="59695EE9"/>
    <w:rsid w:val="599C04BB"/>
    <w:rsid w:val="59DD1BD0"/>
    <w:rsid w:val="5A02319E"/>
    <w:rsid w:val="5A0D39D4"/>
    <w:rsid w:val="5A750238"/>
    <w:rsid w:val="5A9063A3"/>
    <w:rsid w:val="5B0F19E4"/>
    <w:rsid w:val="5B251198"/>
    <w:rsid w:val="5B3A5050"/>
    <w:rsid w:val="5C3125CF"/>
    <w:rsid w:val="5C537EB4"/>
    <w:rsid w:val="5C972E1A"/>
    <w:rsid w:val="5CFC438C"/>
    <w:rsid w:val="5D2103AD"/>
    <w:rsid w:val="5D635F29"/>
    <w:rsid w:val="5DD67C56"/>
    <w:rsid w:val="5F930A27"/>
    <w:rsid w:val="5FF94FD6"/>
    <w:rsid w:val="61374400"/>
    <w:rsid w:val="61A540B1"/>
    <w:rsid w:val="620D198D"/>
    <w:rsid w:val="620E4E2B"/>
    <w:rsid w:val="62122FF4"/>
    <w:rsid w:val="622D1620"/>
    <w:rsid w:val="6333639E"/>
    <w:rsid w:val="63C713C1"/>
    <w:rsid w:val="63C86F07"/>
    <w:rsid w:val="63CA6FD5"/>
    <w:rsid w:val="64597E7D"/>
    <w:rsid w:val="64A742B2"/>
    <w:rsid w:val="64B8090F"/>
    <w:rsid w:val="64C5396E"/>
    <w:rsid w:val="650E50E3"/>
    <w:rsid w:val="656B7873"/>
    <w:rsid w:val="657B376D"/>
    <w:rsid w:val="66344952"/>
    <w:rsid w:val="66463F0F"/>
    <w:rsid w:val="664A6EE1"/>
    <w:rsid w:val="664E06D4"/>
    <w:rsid w:val="66A523E5"/>
    <w:rsid w:val="672C21AB"/>
    <w:rsid w:val="67B1545B"/>
    <w:rsid w:val="67D36943"/>
    <w:rsid w:val="680847E7"/>
    <w:rsid w:val="688625E6"/>
    <w:rsid w:val="68E0643F"/>
    <w:rsid w:val="69130619"/>
    <w:rsid w:val="692C5FEB"/>
    <w:rsid w:val="69686D58"/>
    <w:rsid w:val="6AF533FF"/>
    <w:rsid w:val="6B8C48EA"/>
    <w:rsid w:val="6B9D3B23"/>
    <w:rsid w:val="6CAC115A"/>
    <w:rsid w:val="6CD7713F"/>
    <w:rsid w:val="6D496509"/>
    <w:rsid w:val="6D582C78"/>
    <w:rsid w:val="6DB72F56"/>
    <w:rsid w:val="6DB94A35"/>
    <w:rsid w:val="6DBB76BC"/>
    <w:rsid w:val="6E614E54"/>
    <w:rsid w:val="6EB505AF"/>
    <w:rsid w:val="6EB92569"/>
    <w:rsid w:val="6EF67A1A"/>
    <w:rsid w:val="6F2041AC"/>
    <w:rsid w:val="6FB52089"/>
    <w:rsid w:val="70431EE2"/>
    <w:rsid w:val="7096306A"/>
    <w:rsid w:val="70BB20F0"/>
    <w:rsid w:val="70DC43B7"/>
    <w:rsid w:val="71327EC6"/>
    <w:rsid w:val="71864485"/>
    <w:rsid w:val="71D84780"/>
    <w:rsid w:val="71ED6A9B"/>
    <w:rsid w:val="71F154B4"/>
    <w:rsid w:val="72461E36"/>
    <w:rsid w:val="726E050D"/>
    <w:rsid w:val="729C4365"/>
    <w:rsid w:val="73237B68"/>
    <w:rsid w:val="73ED2599"/>
    <w:rsid w:val="74524963"/>
    <w:rsid w:val="75AF26A1"/>
    <w:rsid w:val="75FA2609"/>
    <w:rsid w:val="767E1ACA"/>
    <w:rsid w:val="76D75987"/>
    <w:rsid w:val="77321799"/>
    <w:rsid w:val="77587C6B"/>
    <w:rsid w:val="77857359"/>
    <w:rsid w:val="77FE5A01"/>
    <w:rsid w:val="783167B7"/>
    <w:rsid w:val="78F662D9"/>
    <w:rsid w:val="792719D3"/>
    <w:rsid w:val="79301C3A"/>
    <w:rsid w:val="79435A80"/>
    <w:rsid w:val="79A609CD"/>
    <w:rsid w:val="79A87139"/>
    <w:rsid w:val="7A1044E8"/>
    <w:rsid w:val="7A202934"/>
    <w:rsid w:val="7A8760D5"/>
    <w:rsid w:val="7AA813D2"/>
    <w:rsid w:val="7AAF6B2C"/>
    <w:rsid w:val="7AE85EF1"/>
    <w:rsid w:val="7B0F3A72"/>
    <w:rsid w:val="7B1C16D5"/>
    <w:rsid w:val="7B567A6A"/>
    <w:rsid w:val="7BBF0B41"/>
    <w:rsid w:val="7C041FE6"/>
    <w:rsid w:val="7C576360"/>
    <w:rsid w:val="7CC842B1"/>
    <w:rsid w:val="7D836D7A"/>
    <w:rsid w:val="7DCF0581"/>
    <w:rsid w:val="7DD551B1"/>
    <w:rsid w:val="7E363118"/>
    <w:rsid w:val="7E682C4B"/>
    <w:rsid w:val="7E79600D"/>
    <w:rsid w:val="7EB33023"/>
    <w:rsid w:val="7EE75BD9"/>
    <w:rsid w:val="7EFC1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paragraph" w:styleId="3">
    <w:name w:val="heading 2"/>
    <w:basedOn w:val="1"/>
    <w:next w:val="1"/>
    <w:link w:val="39"/>
    <w:qFormat/>
    <w:uiPriority w:val="0"/>
    <w:pPr>
      <w:keepNext/>
      <w:keepLines/>
      <w:widowControl/>
      <w:spacing w:before="260" w:after="260" w:line="416"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7">
    <w:name w:val="List Number"/>
    <w:basedOn w:val="1"/>
    <w:qFormat/>
    <w:uiPriority w:val="0"/>
    <w:pPr>
      <w:numPr>
        <w:ilvl w:val="0"/>
        <w:numId w:val="1"/>
      </w:numPr>
    </w:pPr>
  </w:style>
  <w:style w:type="paragraph" w:styleId="8">
    <w:name w:val="Normal Indent"/>
    <w:basedOn w:val="1"/>
    <w:next w:val="9"/>
    <w:qFormat/>
    <w:uiPriority w:val="0"/>
    <w:pPr>
      <w:ind w:firstLine="420" w:firstLineChars="200"/>
    </w:pPr>
  </w:style>
  <w:style w:type="paragraph" w:styleId="9">
    <w:name w:val="Body Text Indent"/>
    <w:basedOn w:val="1"/>
    <w:next w:val="1"/>
    <w:qFormat/>
    <w:uiPriority w:val="0"/>
    <w:pPr>
      <w:spacing w:after="120"/>
      <w:ind w:left="420" w:leftChars="200"/>
    </w:pPr>
  </w:style>
  <w:style w:type="paragraph" w:styleId="10">
    <w:name w:val="Body Text"/>
    <w:basedOn w:val="1"/>
    <w:next w:val="11"/>
    <w:qFormat/>
    <w:uiPriority w:val="0"/>
    <w:pPr>
      <w:tabs>
        <w:tab w:val="left" w:pos="574"/>
      </w:tabs>
      <w:spacing w:line="288" w:lineRule="auto"/>
    </w:pPr>
    <w:rPr>
      <w:rFonts w:ascii="宋体"/>
      <w:szCs w:val="20"/>
    </w:rPr>
  </w:style>
  <w:style w:type="paragraph" w:styleId="11">
    <w:name w:val="Body Text First Indent"/>
    <w:basedOn w:val="10"/>
    <w:next w:val="1"/>
    <w:qFormat/>
    <w:uiPriority w:val="0"/>
    <w:pPr>
      <w:spacing w:after="120" w:line="240" w:lineRule="auto"/>
      <w:ind w:firstLine="100" w:firstLineChars="100"/>
    </w:pPr>
    <w:rPr>
      <w:rFonts w:ascii="Times New Roman"/>
      <w:szCs w:val="24"/>
    </w:rPr>
  </w:style>
  <w:style w:type="paragraph" w:styleId="12">
    <w:name w:val="Plain Text"/>
    <w:basedOn w:val="1"/>
    <w:qFormat/>
    <w:uiPriority w:val="0"/>
    <w:rPr>
      <w:rFonts w:ascii="宋体" w:hAnsi="Courier New" w:cs="ˎ̥"/>
      <w:szCs w:val="21"/>
    </w:rPr>
  </w:style>
  <w:style w:type="paragraph" w:styleId="13">
    <w:name w:val="Date"/>
    <w:basedOn w:val="1"/>
    <w:next w:val="1"/>
    <w:qFormat/>
    <w:uiPriority w:val="0"/>
    <w:rPr>
      <w:sz w:val="24"/>
      <w:szCs w:val="20"/>
    </w:rPr>
  </w:style>
  <w:style w:type="paragraph" w:styleId="14">
    <w:name w:val="footer"/>
    <w:basedOn w:val="1"/>
    <w:qFormat/>
    <w:uiPriority w:val="0"/>
    <w:pPr>
      <w:widowControl/>
      <w:tabs>
        <w:tab w:val="center" w:pos="4153"/>
        <w:tab w:val="right" w:pos="8306"/>
      </w:tabs>
      <w:snapToGrid w:val="0"/>
      <w:jc w:val="left"/>
    </w:pPr>
    <w:rPr>
      <w:kern w:val="0"/>
      <w:sz w:val="18"/>
      <w:szCs w:val="20"/>
    </w:rPr>
  </w:style>
  <w:style w:type="paragraph" w:styleId="15">
    <w:name w:val="envelope return"/>
    <w:basedOn w:val="1"/>
    <w:qFormat/>
    <w:uiPriority w:val="0"/>
    <w:pPr>
      <w:snapToGrid w:val="0"/>
    </w:pPr>
    <w:rPr>
      <w:rFonts w:ascii="Arial" w:hAnsi="Arial"/>
    </w:rPr>
  </w:style>
  <w:style w:type="paragraph" w:styleId="16">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qFormat/>
    <w:uiPriority w:val="0"/>
  </w:style>
  <w:style w:type="paragraph" w:styleId="18">
    <w:name w:val="Normal (Web)"/>
    <w:basedOn w:val="1"/>
    <w:qFormat/>
    <w:uiPriority w:val="0"/>
    <w:pPr>
      <w:spacing w:beforeAutospacing="1" w:afterAutospacing="1"/>
      <w:jc w:val="left"/>
    </w:pPr>
    <w:rPr>
      <w:kern w:val="0"/>
      <w:sz w:val="24"/>
    </w:rPr>
  </w:style>
  <w:style w:type="paragraph" w:styleId="19">
    <w:name w:val="Title"/>
    <w:basedOn w:val="1"/>
    <w:next w:val="1"/>
    <w:qFormat/>
    <w:uiPriority w:val="0"/>
    <w:pPr>
      <w:spacing w:before="240" w:after="60"/>
      <w:jc w:val="center"/>
      <w:outlineLvl w:val="0"/>
    </w:pPr>
    <w:rPr>
      <w:rFonts w:ascii="Arial" w:hAnsi="Arial"/>
      <w:b/>
      <w:bCs/>
      <w:sz w:val="32"/>
      <w:szCs w:val="32"/>
    </w:rPr>
  </w:style>
  <w:style w:type="paragraph" w:styleId="20">
    <w:name w:val="Body Text First Indent 2"/>
    <w:basedOn w:val="9"/>
    <w:next w:val="1"/>
    <w:qFormat/>
    <w:uiPriority w:val="0"/>
    <w:pPr>
      <w:tabs>
        <w:tab w:val="left" w:pos="435"/>
      </w:tabs>
      <w:ind w:firstLine="420" w:firstLineChars="200"/>
    </w:pPr>
    <w:rPr>
      <w:sz w:val="28"/>
    </w:rPr>
  </w:style>
  <w:style w:type="character" w:styleId="23">
    <w:name w:val="page number"/>
    <w:basedOn w:val="22"/>
    <w:qFormat/>
    <w:uiPriority w:val="0"/>
  </w:style>
  <w:style w:type="character" w:styleId="24">
    <w:name w:val="Hyperlink"/>
    <w:basedOn w:val="22"/>
    <w:qFormat/>
    <w:uiPriority w:val="0"/>
    <w:rPr>
      <w:color w:val="4D7AD8"/>
      <w:u w:val="none"/>
    </w:rPr>
  </w:style>
  <w:style w:type="paragraph" w:customStyle="1" w:styleId="25">
    <w:name w:val="font5"/>
    <w:basedOn w:val="1"/>
    <w:qFormat/>
    <w:uiPriority w:val="0"/>
    <w:pPr>
      <w:widowControl/>
      <w:spacing w:before="100" w:beforeAutospacing="1" w:after="100" w:afterAutospacing="1"/>
      <w:jc w:val="left"/>
    </w:pPr>
    <w:rPr>
      <w:rFonts w:cs="Arial Unicode MS"/>
      <w:sz w:val="18"/>
      <w:szCs w:val="18"/>
    </w:rPr>
  </w:style>
  <w:style w:type="paragraph" w:customStyle="1" w:styleId="26">
    <w:name w:val="样式1"/>
    <w:basedOn w:val="1"/>
    <w:qFormat/>
    <w:uiPriority w:val="0"/>
    <w:pPr>
      <w:spacing w:before="120" w:after="120" w:line="300" w:lineRule="auto"/>
    </w:pPr>
    <w:rPr>
      <w:rFonts w:ascii="宋体" w:hAnsi="宋体"/>
      <w:b/>
      <w:sz w:val="24"/>
      <w:szCs w:val="20"/>
    </w:rPr>
  </w:style>
  <w:style w:type="paragraph" w:customStyle="1" w:styleId="2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8">
    <w:name w:val="p0"/>
    <w:basedOn w:val="1"/>
    <w:qFormat/>
    <w:uiPriority w:val="0"/>
    <w:pPr>
      <w:widowControl/>
    </w:pPr>
    <w:rPr>
      <w:kern w:val="0"/>
      <w:szCs w:val="21"/>
    </w:rPr>
  </w:style>
  <w:style w:type="paragraph" w:customStyle="1" w:styleId="29">
    <w:name w:val="纯文本1"/>
    <w:basedOn w:val="30"/>
    <w:qFormat/>
    <w:uiPriority w:val="0"/>
    <w:pPr>
      <w:widowControl/>
      <w:jc w:val="left"/>
    </w:pPr>
  </w:style>
  <w:style w:type="paragraph" w:customStyle="1" w:styleId="30">
    <w:name w:val="正文1"/>
    <w:basedOn w:val="1"/>
    <w:qFormat/>
    <w:uiPriority w:val="0"/>
    <w:pPr>
      <w:adjustRightInd w:val="0"/>
      <w:spacing w:line="318" w:lineRule="atLeast"/>
      <w:ind w:left="369" w:firstLine="369"/>
      <w:textAlignment w:val="baseline"/>
    </w:pPr>
    <w:rPr>
      <w:rFonts w:ascii="宋体"/>
      <w:szCs w:val="20"/>
    </w:rPr>
  </w:style>
  <w:style w:type="character" w:customStyle="1" w:styleId="31">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32">
    <w:name w:val="WPSOffice手动目录 1"/>
    <w:qFormat/>
    <w:uiPriority w:val="0"/>
    <w:rPr>
      <w:rFonts w:asciiTheme="minorHAnsi" w:hAnsiTheme="minorHAnsi" w:eastAsiaTheme="minorEastAsia" w:cstheme="minorBidi"/>
      <w:lang w:val="en-US" w:eastAsia="zh-CN"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31"/>
    <w:basedOn w:val="22"/>
    <w:qFormat/>
    <w:uiPriority w:val="0"/>
    <w:rPr>
      <w:rFonts w:hint="eastAsia" w:ascii="仿宋" w:hAnsi="仿宋" w:eastAsia="仿宋" w:cs="仿宋"/>
      <w:color w:val="000000"/>
      <w:sz w:val="20"/>
      <w:szCs w:val="20"/>
      <w:u w:val="none"/>
    </w:rPr>
  </w:style>
  <w:style w:type="character" w:customStyle="1" w:styleId="35">
    <w:name w:val="font61"/>
    <w:basedOn w:val="22"/>
    <w:qFormat/>
    <w:uiPriority w:val="0"/>
    <w:rPr>
      <w:rFonts w:ascii="Calibri" w:hAnsi="Calibri" w:cs="Calibri"/>
      <w:color w:val="000000"/>
      <w:sz w:val="20"/>
      <w:szCs w:val="20"/>
      <w:u w:val="none"/>
    </w:rPr>
  </w:style>
  <w:style w:type="character" w:customStyle="1" w:styleId="36">
    <w:name w:val="font81"/>
    <w:basedOn w:val="22"/>
    <w:qFormat/>
    <w:uiPriority w:val="0"/>
    <w:rPr>
      <w:rFonts w:ascii="Calibri" w:hAnsi="Calibri" w:cs="Calibri"/>
      <w:color w:val="000000"/>
      <w:sz w:val="20"/>
      <w:szCs w:val="20"/>
      <w:u w:val="none"/>
    </w:rPr>
  </w:style>
  <w:style w:type="paragraph" w:customStyle="1" w:styleId="37">
    <w:name w:val="PlainText"/>
    <w:basedOn w:val="1"/>
    <w:qFormat/>
    <w:uiPriority w:val="0"/>
    <w:rPr>
      <w:rFonts w:ascii="宋体"/>
      <w:szCs w:val="21"/>
    </w:rPr>
  </w:style>
  <w:style w:type="paragraph" w:customStyle="1" w:styleId="38">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9">
    <w:name w:val="标题 2 Char"/>
    <w:basedOn w:val="22"/>
    <w:link w:val="3"/>
    <w:qFormat/>
    <w:uiPriority w:val="0"/>
    <w:rPr>
      <w:rFonts w:ascii="Arial" w:hAnsi="Arial" w:eastAsia="黑体"/>
      <w:b/>
      <w:kern w:val="0"/>
      <w:sz w:val="44"/>
      <w:szCs w:val="20"/>
    </w:rPr>
  </w:style>
  <w:style w:type="paragraph" w:customStyle="1" w:styleId="40">
    <w:name w:val="1级标题"/>
    <w:basedOn w:val="41"/>
    <w:qFormat/>
    <w:uiPriority w:val="0"/>
    <w:pPr>
      <w:numPr>
        <w:ilvl w:val="0"/>
        <w:numId w:val="2"/>
      </w:numPr>
      <w:spacing w:before="100" w:beforeLines="100" w:after="50" w:afterLines="50"/>
      <w:ind w:firstLineChars="0"/>
      <w:outlineLvl w:val="2"/>
    </w:pPr>
    <w:rPr>
      <w:rFonts w:ascii="微软雅黑" w:hAnsi="微软雅黑" w:eastAsia="微软雅黑"/>
      <w:kern w:val="0"/>
      <w:szCs w:val="28"/>
    </w:rPr>
  </w:style>
  <w:style w:type="paragraph" w:customStyle="1" w:styleId="41">
    <w:name w:val="列出段落1"/>
    <w:basedOn w:val="1"/>
    <w:qFormat/>
    <w:uiPriority w:val="0"/>
    <w:pPr>
      <w:ind w:firstLine="420" w:firstLineChars="200"/>
    </w:pPr>
    <w:rPr>
      <w:rFonts w:ascii="Calibri" w:hAnsi="Calibri"/>
      <w:szCs w:val="22"/>
    </w:rPr>
  </w:style>
  <w:style w:type="character" w:customStyle="1" w:styleId="42">
    <w:name w:val="font11"/>
    <w:basedOn w:val="22"/>
    <w:qFormat/>
    <w:uiPriority w:val="0"/>
    <w:rPr>
      <w:rFonts w:hint="eastAsia" w:ascii="仿宋" w:hAnsi="仿宋" w:eastAsia="仿宋" w:cs="仿宋"/>
      <w:color w:val="FF0000"/>
      <w:sz w:val="20"/>
      <w:szCs w:val="20"/>
      <w:u w:val="none"/>
    </w:rPr>
  </w:style>
  <w:style w:type="character" w:customStyle="1" w:styleId="43">
    <w:name w:val="font21"/>
    <w:basedOn w:val="22"/>
    <w:qFormat/>
    <w:uiPriority w:val="0"/>
    <w:rPr>
      <w:rFonts w:hint="eastAsia" w:ascii="仿宋" w:hAnsi="仿宋" w:eastAsia="仿宋" w:cs="仿宋"/>
      <w:color w:val="000000"/>
      <w:sz w:val="20"/>
      <w:szCs w:val="20"/>
      <w:u w:val="none"/>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F984FA-2718-4D45-9E7A-EC04D42C8584}">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54</Pages>
  <Words>12339</Words>
  <Characters>13416</Characters>
  <Lines>263</Lines>
  <Paragraphs>74</Paragraphs>
  <TotalTime>13</TotalTime>
  <ScaleCrop>false</ScaleCrop>
  <LinksUpToDate>false</LinksUpToDate>
  <CharactersWithSpaces>13654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2022-11-06T11:30:00Z</dcterms:created>
  <dc:creator>干昌武</dc:creator>
  <cp:lastModifiedBy>Admin</cp:lastModifiedBy>
  <cp:lastPrinted>2025-05-09T09:31:00Z</cp:lastPrinted>
  <dcterms:modified xsi:type="dcterms:W3CDTF">2025-05-14T01:08:16Z</dcterms:modified>
  <cp:revision>275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7770B41637BF401687501BED3704FD9A_13</vt:lpwstr>
  </property>
  <property fmtid="{D5CDD505-2E9C-101B-9397-08002B2CF9AE}" pid="4" name="KSOTemplateDocerSaveRecord">
    <vt:lpwstr>eyJoZGlkIjoiMTIyOTkzZGI3YTQ0YmQ1MzM5ZDJlNjY2ZmJmN2E0NDgiLCJ1c2VySWQiOiIyNTUzNzEyNjkifQ==</vt:lpwstr>
  </property>
</Properties>
</file>