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692225">
      <w:pPr>
        <w:spacing w:line="36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巨化装备高效换热器传热计算服务采购公告</w:t>
      </w:r>
    </w:p>
    <w:p w14:paraId="52AE226A">
      <w:pPr>
        <w:numPr>
          <w:ilvl w:val="0"/>
          <w:numId w:val="1"/>
        </w:num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项目名称：巨化装备高效换热器传热计算服务</w:t>
      </w:r>
    </w:p>
    <w:p w14:paraId="1F2287ED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</w:t>
      </w:r>
      <w:r>
        <w:rPr>
          <w:rFonts w:hint="eastAsia" w:ascii="仿宋" w:hAnsi="仿宋" w:eastAsia="仿宋" w:cs="仿宋"/>
          <w:sz w:val="28"/>
          <w:szCs w:val="28"/>
        </w:rPr>
        <w:t>、采购方式：竞价采购</w:t>
      </w:r>
    </w:p>
    <w:p w14:paraId="58E549B6">
      <w:pPr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</w:t>
      </w:r>
      <w:r>
        <w:rPr>
          <w:rFonts w:hint="eastAsia" w:ascii="仿宋" w:hAnsi="仿宋" w:eastAsia="仿宋" w:cs="仿宋"/>
          <w:sz w:val="28"/>
          <w:szCs w:val="28"/>
        </w:rPr>
        <w:t>、采购内容：</w:t>
      </w:r>
    </w:p>
    <w:tbl>
      <w:tblPr>
        <w:tblStyle w:val="6"/>
        <w:tblW w:w="13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7888"/>
        <w:gridCol w:w="2400"/>
        <w:gridCol w:w="2291"/>
      </w:tblGrid>
      <w:tr w14:paraId="3983C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</w:tcPr>
          <w:p w14:paraId="5B48A5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7889" w:type="dxa"/>
          </w:tcPr>
          <w:p w14:paraId="47A92E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2400" w:type="dxa"/>
          </w:tcPr>
          <w:p w14:paraId="2DC53D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价格</w:t>
            </w:r>
          </w:p>
          <w:p w14:paraId="6E61EF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（元，含税）</w:t>
            </w:r>
          </w:p>
        </w:tc>
        <w:tc>
          <w:tcPr>
            <w:tcW w:w="2291" w:type="dxa"/>
          </w:tcPr>
          <w:p w14:paraId="6FE4C1B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工期</w:t>
            </w:r>
          </w:p>
          <w:p w14:paraId="2450ED1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（天）</w:t>
            </w:r>
          </w:p>
        </w:tc>
      </w:tr>
      <w:tr w14:paraId="5778E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</w:tcPr>
          <w:p w14:paraId="18255F5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7889" w:type="dxa"/>
            <w:tcBorders>
              <w:left w:val="single" w:color="auto" w:sz="4" w:space="0"/>
            </w:tcBorders>
          </w:tcPr>
          <w:p w14:paraId="488D448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高效换热器（金属类）的传热计算、换热管选型，提交换热器工艺数据表和设备条件图等文件。</w:t>
            </w:r>
          </w:p>
          <w:p w14:paraId="762099B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（注：满足设备专业设计要求）。</w:t>
            </w:r>
          </w:p>
        </w:tc>
        <w:tc>
          <w:tcPr>
            <w:tcW w:w="2400" w:type="dxa"/>
            <w:tcBorders>
              <w:left w:val="single" w:color="auto" w:sz="4" w:space="0"/>
            </w:tcBorders>
            <w:vAlign w:val="center"/>
          </w:tcPr>
          <w:p w14:paraId="41C916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  <w:tcBorders>
              <w:left w:val="single" w:color="auto" w:sz="4" w:space="0"/>
            </w:tcBorders>
          </w:tcPr>
          <w:p w14:paraId="20E00F4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CCEA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</w:tcPr>
          <w:p w14:paraId="51D9943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7889" w:type="dxa"/>
            <w:tcBorders>
              <w:left w:val="single" w:color="auto" w:sz="4" w:space="0"/>
            </w:tcBorders>
          </w:tcPr>
          <w:p w14:paraId="75FF1469">
            <w:pPr>
              <w:spacing w:line="440" w:lineRule="exact"/>
              <w:ind w:left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高效换热器的传热计算、换热管选型，提交换热器工艺数据表和设备条件图等文件。且需要提供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TEMA报告书、振动报告书、各类型流体流率分析报告等体现换热效果和换热器运行性能的报告</w:t>
            </w:r>
            <w:r>
              <w:rPr>
                <w:rFonts w:ascii="仿宋" w:hAnsi="仿宋" w:eastAsia="仿宋" w:cs="仿宋"/>
                <w:sz w:val="28"/>
                <w:szCs w:val="28"/>
              </w:rPr>
              <w:t>。</w:t>
            </w:r>
          </w:p>
        </w:tc>
        <w:tc>
          <w:tcPr>
            <w:tcW w:w="2400" w:type="dxa"/>
            <w:tcBorders>
              <w:left w:val="single" w:color="auto" w:sz="4" w:space="0"/>
            </w:tcBorders>
            <w:vAlign w:val="center"/>
          </w:tcPr>
          <w:p w14:paraId="5F13E03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291" w:type="dxa"/>
            <w:tcBorders>
              <w:left w:val="single" w:color="auto" w:sz="4" w:space="0"/>
            </w:tcBorders>
          </w:tcPr>
          <w:p w14:paraId="6A95CB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15F5D117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四</w:t>
      </w:r>
      <w:r>
        <w:rPr>
          <w:rFonts w:hint="eastAsia" w:ascii="仿宋" w:hAnsi="仿宋" w:eastAsia="仿宋" w:cs="仿宋"/>
          <w:sz w:val="28"/>
          <w:szCs w:val="28"/>
        </w:rPr>
        <w:t>、投标人资格要求：</w:t>
      </w:r>
    </w:p>
    <w:p w14:paraId="2778BECE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1.基本资格要求： </w:t>
      </w:r>
    </w:p>
    <w:p w14:paraId="6E31B7B6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1.1 投标人未被“信用中国”（www.creditchina.gov.cn)列入严重失信主体名单、重大税收违法案件当事人名单。 </w:t>
      </w:r>
    </w:p>
    <w:p w14:paraId="5DD65D41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1.2 单位负责人为同一人或者存在控股、管理关系的不同单位，存在关联关系的不同单位，不得参加同一标项投标。（供应商需承诺并盖章签字）</w:t>
      </w:r>
    </w:p>
    <w:p w14:paraId="59E78D62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1.3 进行投标承诺，内容包括供应商（服务商）承诺书。（招采平台（竞价）界面中下载，需盖章签字）</w:t>
      </w:r>
    </w:p>
    <w:p w14:paraId="0BF6F165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2．</w:t>
      </w:r>
      <w:r>
        <w:rPr>
          <w:rFonts w:ascii="仿宋" w:hAnsi="仿宋" w:eastAsia="仿宋" w:cs="仿宋"/>
          <w:sz w:val="28"/>
          <w:szCs w:val="28"/>
        </w:rPr>
        <w:t>提供盖公司章版扫描文件和电子文档</w:t>
      </w:r>
    </w:p>
    <w:p w14:paraId="035AEA2C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3.设计进度要求</w:t>
      </w:r>
    </w:p>
    <w:p w14:paraId="1BC7967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3.1乙方在收到甲方的工艺条件后一天内审查条件是否齐全，如有问题及时返回。</w:t>
      </w:r>
    </w:p>
    <w:p w14:paraId="54B786F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3.2乙方有义务在甲方要求的时限内，提供满足要求的</w:t>
      </w:r>
      <w:r>
        <w:rPr>
          <w:rFonts w:ascii="仿宋" w:hAnsi="仿宋" w:eastAsia="仿宋" w:cs="仿宋"/>
          <w:sz w:val="28"/>
          <w:szCs w:val="28"/>
        </w:rPr>
        <w:t>计算</w:t>
      </w:r>
      <w:r>
        <w:rPr>
          <w:rFonts w:hint="eastAsia" w:ascii="仿宋" w:hAnsi="仿宋" w:eastAsia="仿宋" w:cs="仿宋"/>
          <w:sz w:val="28"/>
          <w:szCs w:val="28"/>
        </w:rPr>
        <w:t>文件。</w:t>
      </w:r>
    </w:p>
    <w:p w14:paraId="07FDE21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</w:t>
      </w:r>
      <w:r>
        <w:rPr>
          <w:rFonts w:ascii="仿宋" w:hAnsi="仿宋" w:eastAsia="仿宋" w:cs="仿宋"/>
          <w:sz w:val="28"/>
          <w:szCs w:val="28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乙方</w:t>
      </w:r>
      <w:r>
        <w:rPr>
          <w:rFonts w:ascii="仿宋" w:hAnsi="仿宋" w:eastAsia="仿宋" w:cs="仿宋"/>
          <w:sz w:val="28"/>
          <w:szCs w:val="28"/>
        </w:rPr>
        <w:t>计算</w:t>
      </w:r>
      <w:r>
        <w:rPr>
          <w:rFonts w:hint="eastAsia" w:ascii="仿宋" w:hAnsi="仿宋" w:eastAsia="仿宋" w:cs="仿宋"/>
          <w:sz w:val="28"/>
          <w:szCs w:val="28"/>
        </w:rPr>
        <w:t>延误一天按每套</w:t>
      </w:r>
      <w:r>
        <w:rPr>
          <w:rFonts w:ascii="仿宋" w:hAnsi="仿宋" w:eastAsia="仿宋" w:cs="仿宋"/>
          <w:sz w:val="28"/>
          <w:szCs w:val="28"/>
        </w:rPr>
        <w:t>计算</w:t>
      </w:r>
      <w:r>
        <w:rPr>
          <w:rFonts w:hint="eastAsia" w:ascii="仿宋" w:hAnsi="仿宋" w:eastAsia="仿宋" w:cs="仿宋"/>
          <w:sz w:val="28"/>
          <w:szCs w:val="28"/>
        </w:rPr>
        <w:t>文件费用的5%进行扣款。</w:t>
      </w:r>
    </w:p>
    <w:p w14:paraId="14D9328F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4.设计质量要求</w:t>
      </w:r>
    </w:p>
    <w:p w14:paraId="0A6D21F7">
      <w:pPr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4.1乙方提交的</w:t>
      </w:r>
      <w:r>
        <w:rPr>
          <w:rFonts w:ascii="仿宋" w:hAnsi="仿宋" w:eastAsia="仿宋" w:cs="仿宋"/>
          <w:sz w:val="28"/>
          <w:szCs w:val="28"/>
        </w:rPr>
        <w:t>计算</w:t>
      </w:r>
      <w:r>
        <w:rPr>
          <w:rFonts w:hint="eastAsia" w:ascii="仿宋" w:hAnsi="仿宋" w:eastAsia="仿宋" w:cs="仿宋"/>
          <w:sz w:val="28"/>
          <w:szCs w:val="28"/>
        </w:rPr>
        <w:t>文件必须</w:t>
      </w:r>
      <w:r>
        <w:rPr>
          <w:rFonts w:ascii="仿宋" w:hAnsi="仿宋" w:eastAsia="仿宋" w:cs="仿宋"/>
          <w:sz w:val="28"/>
          <w:szCs w:val="28"/>
        </w:rPr>
        <w:t>满足工艺</w:t>
      </w:r>
      <w:r>
        <w:rPr>
          <w:rFonts w:hint="eastAsia" w:ascii="仿宋" w:hAnsi="仿宋" w:eastAsia="仿宋" w:cs="仿宋"/>
          <w:sz w:val="28"/>
          <w:szCs w:val="28"/>
        </w:rPr>
        <w:t>文件要求.</w:t>
      </w:r>
    </w:p>
    <w:p w14:paraId="45EBF395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4.2</w:t>
      </w:r>
      <w:r>
        <w:rPr>
          <w:rFonts w:ascii="仿宋" w:hAnsi="仿宋" w:eastAsia="仿宋" w:cs="仿宋"/>
          <w:kern w:val="2"/>
          <w:sz w:val="28"/>
          <w:szCs w:val="28"/>
        </w:rPr>
        <w:t>完整的传热计算报告（含计算书、曲线图、数据表）；</w:t>
      </w:r>
    </w:p>
    <w:p w14:paraId="6C370E0A">
      <w:pPr>
        <w:pStyle w:val="5"/>
        <w:spacing w:before="0" w:beforeAutospacing="0" w:after="0" w:afterAutospacing="0" w:line="0" w:lineRule="atLeast"/>
        <w:ind w:left="0"/>
        <w:rPr>
          <w:rFonts w:ascii="仿宋" w:hAnsi="仿宋" w:eastAsia="仿宋" w:cs="仿宋"/>
          <w:kern w:val="2"/>
          <w:sz w:val="28"/>
          <w:szCs w:val="28"/>
        </w:rPr>
      </w:pPr>
      <w:r>
        <w:rPr>
          <w:rFonts w:ascii="仿宋" w:hAnsi="仿宋" w:eastAsia="仿宋" w:cs="仿宋"/>
          <w:kern w:val="2"/>
          <w:sz w:val="28"/>
          <w:szCs w:val="28"/>
        </w:rPr>
        <w:t>4.3换热器性能优化建议（如适用）</w:t>
      </w:r>
    </w:p>
    <w:p w14:paraId="42C49B0B">
      <w:pPr>
        <w:pStyle w:val="5"/>
        <w:spacing w:before="0" w:beforeAutospacing="0" w:after="0" w:afterAutospacing="0" w:line="0" w:lineRule="atLeast"/>
        <w:ind w:left="0"/>
        <w:rPr>
          <w:rFonts w:ascii="仿宋" w:hAnsi="仿宋" w:eastAsia="仿宋" w:cs="仿宋"/>
          <w:kern w:val="2"/>
          <w:sz w:val="28"/>
          <w:szCs w:val="28"/>
        </w:rPr>
      </w:pPr>
      <w:r>
        <w:rPr>
          <w:rFonts w:ascii="仿宋" w:hAnsi="仿宋" w:eastAsia="仿宋" w:cs="仿宋"/>
          <w:kern w:val="2"/>
          <w:sz w:val="28"/>
          <w:szCs w:val="28"/>
        </w:rPr>
        <w:t>4.4符合GB/T 151标准要求，</w:t>
      </w:r>
      <w:r>
        <w:rPr>
          <w:rFonts w:hint="eastAsia" w:ascii="仿宋" w:hAnsi="仿宋" w:eastAsia="仿宋" w:cs="仿宋"/>
          <w:sz w:val="28"/>
          <w:szCs w:val="28"/>
        </w:rPr>
        <w:t>未尽事项按国家有关标准执行，而且优先按就高和就严的标准执行，并保证数据表及各项技术要求。</w:t>
      </w:r>
    </w:p>
    <w:p w14:paraId="31374E69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5．本项目是否接受联合体投标：</w:t>
      </w:r>
      <w:r>
        <w:rPr>
          <w:rFonts w:ascii="仿宋" w:hAnsi="仿宋" w:eastAsia="仿宋" w:cs="仿宋"/>
          <w:sz w:val="28"/>
          <w:szCs w:val="28"/>
        </w:rPr>
        <w:t>否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693A6354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6．本项目是否接受代理商：</w:t>
      </w:r>
      <w:r>
        <w:rPr>
          <w:rFonts w:ascii="仿宋" w:hAnsi="仿宋" w:eastAsia="仿宋" w:cs="仿宋"/>
          <w:sz w:val="28"/>
          <w:szCs w:val="28"/>
        </w:rPr>
        <w:t>否</w:t>
      </w:r>
    </w:p>
    <w:p w14:paraId="1BFBF7B5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 本次报价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为单次换热器计算服务报</w:t>
      </w:r>
      <w:r>
        <w:rPr>
          <w:rFonts w:hint="eastAsia" w:ascii="仿宋" w:hAnsi="仿宋" w:eastAsia="仿宋" w:cs="仿宋"/>
          <w:sz w:val="28"/>
          <w:szCs w:val="28"/>
        </w:rPr>
        <w:t>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含增值税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，（报价单上传扫描件并加盖公章或报价专用章）</w:t>
      </w:r>
    </w:p>
    <w:p w14:paraId="1ADB604F"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8.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单次计算服务</w:t>
      </w:r>
      <w:r>
        <w:rPr>
          <w:rFonts w:hint="eastAsia" w:ascii="仿宋" w:hAnsi="仿宋" w:eastAsia="仿宋" w:cs="仿宋"/>
          <w:sz w:val="28"/>
          <w:szCs w:val="28"/>
        </w:rPr>
        <w:t>交货期：</w:t>
      </w:r>
      <w:r>
        <w:rPr>
          <w:rFonts w:ascii="仿宋" w:hAnsi="仿宋" w:eastAsia="仿宋" w:cs="仿宋"/>
          <w:sz w:val="28"/>
          <w:szCs w:val="28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</w:t>
      </w:r>
    </w:p>
    <w:p w14:paraId="3C74E1BC">
      <w:pPr>
        <w:spacing w:line="44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9.本次换热器计算服务采购为年度框架采购，年度框架时间自2025年5月至2027年4月</w:t>
      </w:r>
    </w:p>
    <w:p w14:paraId="329AEA11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sz w:val="28"/>
          <w:szCs w:val="28"/>
        </w:rPr>
        <w:t xml:space="preserve">、获取采购文件的方式：化工云商网（巨化数字化招采平台）https://juhua.ccccnet.com/ </w:t>
      </w:r>
    </w:p>
    <w:p w14:paraId="53707A0A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 w:cs="仿宋"/>
          <w:sz w:val="28"/>
          <w:szCs w:val="28"/>
        </w:rPr>
        <w:t>、递交投标文件的方式：线上</w:t>
      </w:r>
    </w:p>
    <w:p w14:paraId="4A3A7475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sz w:val="28"/>
          <w:szCs w:val="28"/>
        </w:rPr>
        <w:t xml:space="preserve">、本项目采用电子招标投标方式，潜在投标人访问电子招标投标交易平台的网址和方法： 化工云商网（巨化数字化招采平台）https://juhua.ccccnet.com/ </w:t>
      </w:r>
    </w:p>
    <w:p w14:paraId="53AA7B6C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八</w:t>
      </w:r>
      <w:r>
        <w:rPr>
          <w:rFonts w:hint="eastAsia" w:ascii="仿宋" w:hAnsi="仿宋" w:eastAsia="仿宋" w:cs="仿宋"/>
          <w:sz w:val="28"/>
          <w:szCs w:val="28"/>
        </w:rPr>
        <w:t xml:space="preserve">、发布公告的媒介：本次招标公告同时在巨化数字化招采平台、浙江政府采购网、浙江企业采购信息服务网上发布。 </w:t>
      </w:r>
    </w:p>
    <w:p w14:paraId="49B3F887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 w:cs="仿宋"/>
          <w:sz w:val="28"/>
          <w:szCs w:val="28"/>
        </w:rPr>
        <w:t>、其他补充事项：</w:t>
      </w:r>
    </w:p>
    <w:p w14:paraId="09FE2DBD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1.付款方式：盖公司章版文件（或电子版扫描文件）验收合格，供方提供</w:t>
      </w:r>
      <w:r>
        <w:rPr>
          <w:rFonts w:ascii="仿宋" w:hAnsi="仿宋" w:eastAsia="仿宋" w:cs="仿宋"/>
          <w:sz w:val="28"/>
          <w:szCs w:val="28"/>
        </w:rPr>
        <w:t>含</w:t>
      </w:r>
      <w:r>
        <w:rPr>
          <w:rFonts w:hint="eastAsia" w:ascii="仿宋" w:hAnsi="仿宋" w:eastAsia="仿宋" w:cs="仿宋"/>
          <w:sz w:val="28"/>
          <w:szCs w:val="28"/>
        </w:rPr>
        <w:t>增值税发票后付清单次项目货款，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电子承兑或</w:t>
      </w:r>
      <w:r>
        <w:rPr>
          <w:rFonts w:hint="eastAsia" w:ascii="仿宋" w:hAnsi="仿宋" w:eastAsia="仿宋" w:cs="仿宋"/>
          <w:sz w:val="28"/>
          <w:szCs w:val="28"/>
        </w:rPr>
        <w:t>银行</w:t>
      </w:r>
      <w:r>
        <w:rPr>
          <w:rFonts w:ascii="仿宋" w:hAnsi="仿宋" w:eastAsia="仿宋" w:cs="仿宋"/>
          <w:sz w:val="28"/>
          <w:szCs w:val="28"/>
        </w:rPr>
        <w:t>汇款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A873C5E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2.供应商必须与我方技术人员进行充分技术交流，明确我方</w:t>
      </w:r>
      <w:r>
        <w:rPr>
          <w:rFonts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</w:rPr>
        <w:t>需求。</w:t>
      </w:r>
    </w:p>
    <w:p w14:paraId="7D7EAA41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</w:t>
      </w:r>
      <w:r>
        <w:rPr>
          <w:rFonts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</w:rPr>
        <w:t>期内</w:t>
      </w:r>
      <w:r>
        <w:rPr>
          <w:rFonts w:ascii="仿宋" w:hAnsi="仿宋" w:eastAsia="仿宋" w:cs="仿宋"/>
          <w:sz w:val="28"/>
          <w:szCs w:val="28"/>
        </w:rPr>
        <w:t>网站</w:t>
      </w:r>
      <w:r>
        <w:rPr>
          <w:rFonts w:hint="eastAsia" w:ascii="仿宋" w:hAnsi="仿宋" w:eastAsia="仿宋" w:cs="仿宋"/>
          <w:sz w:val="28"/>
          <w:szCs w:val="28"/>
        </w:rPr>
        <w:t>出现任何质量问题，供应商需快速免费解决问题。</w:t>
      </w:r>
    </w:p>
    <w:p w14:paraId="0E4E388B"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4.本次采购设有最高限价，若</w:t>
      </w:r>
      <w:r>
        <w:rPr>
          <w:rFonts w:hint="eastAsia" w:ascii="仿宋" w:hAnsi="仿宋" w:eastAsia="仿宋" w:cs="仿宋"/>
          <w:sz w:val="28"/>
          <w:szCs w:val="28"/>
        </w:rPr>
        <w:t>报价金额&gt;最高限价，做废标处理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4205D637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sz w:val="28"/>
          <w:szCs w:val="28"/>
        </w:rPr>
        <w:t xml:space="preserve"> (最高限价-报价金额)/最高限价&lt;1%，做废标处理</w:t>
      </w:r>
      <w:bookmarkStart w:id="0" w:name="_GoBack"/>
      <w:bookmarkEnd w:id="0"/>
    </w:p>
    <w:p w14:paraId="5A8699AC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十、联系方式 </w:t>
      </w:r>
    </w:p>
    <w:p w14:paraId="1F33DBD2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采购单位：浙江巨化装备工程集团有限公司 </w:t>
      </w:r>
    </w:p>
    <w:p w14:paraId="460CA936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ascii="仿宋" w:hAnsi="仿宋" w:eastAsia="仿宋" w:cs="仿宋"/>
          <w:sz w:val="28"/>
          <w:szCs w:val="28"/>
        </w:rPr>
        <w:t>邵寿强</w:t>
      </w:r>
    </w:p>
    <w:p w14:paraId="416C4BF7">
      <w:pPr>
        <w:spacing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电话：</w:t>
      </w:r>
      <w:r>
        <w:rPr>
          <w:rFonts w:ascii="仿宋" w:hAnsi="仿宋" w:eastAsia="仿宋" w:cs="仿宋"/>
          <w:sz w:val="28"/>
          <w:szCs w:val="28"/>
        </w:rPr>
        <w:t>13819009813</w:t>
      </w:r>
    </w:p>
    <w:p w14:paraId="1ED9DA63">
      <w:pPr>
        <w:spacing w:line="44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监督部门：巨化招标办公室 </w:t>
      </w:r>
    </w:p>
    <w:sectPr>
      <w:pgSz w:w="16839" w:h="11907" w:orient="landscape"/>
      <w:pgMar w:top="1800" w:right="1440" w:bottom="1800" w:left="1440" w:header="851" w:footer="992" w:gutter="0"/>
      <w:cols w:space="425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C9EB50"/>
    <w:multiLevelType w:val="singleLevel"/>
    <w:tmpl w:val="E9C9EB5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56"/>
  <w:displayHorizontalDrawingGridEvery w:val="0"/>
  <w:displayVerticalDrawingGridEvery w:val="2"/>
  <w:noPunctuationKerning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324840F1"/>
    <w:rsid w:val="45F305E6"/>
    <w:rsid w:val="6F11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Arial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link w:val="9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0"/>
    </w:pPr>
    <w:rPr>
      <w:b/>
      <w:snapToGrid/>
      <w:color w:val="auto"/>
      <w:spacing w:val="0"/>
      <w:w w:val="100"/>
      <w:kern w:val="36"/>
      <w:position w:val="0"/>
      <w:sz w:val="48"/>
      <w:u w:val="none" w:color="auto"/>
      <w:shd w:val="clear" w:color="auto" w:fill="auto"/>
      <w:vertAlign w:val="baseline"/>
      <w:lang w:val="en-US" w:eastAsia="zh-CN"/>
    </w:rPr>
  </w:style>
  <w:style w:type="paragraph" w:styleId="3">
    <w:name w:val="heading 2"/>
    <w:basedOn w:val="1"/>
    <w:link w:val="10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1"/>
    </w:pPr>
    <w:rPr>
      <w:b/>
      <w:snapToGrid/>
      <w:color w:val="auto"/>
      <w:spacing w:val="0"/>
      <w:w w:val="100"/>
      <w:kern w:val="0"/>
      <w:position w:val="0"/>
      <w:sz w:val="36"/>
      <w:u w:val="none" w:color="auto"/>
      <w:shd w:val="clear" w:color="auto" w:fill="auto"/>
      <w:vertAlign w:val="baseline"/>
      <w:lang w:val="en-US" w:eastAsia="zh-CN"/>
    </w:rPr>
  </w:style>
  <w:style w:type="paragraph" w:styleId="4">
    <w:name w:val="heading 3"/>
    <w:basedOn w:val="1"/>
    <w:link w:val="1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2"/>
    </w:pPr>
    <w:rPr>
      <w:b/>
      <w:snapToGrid/>
      <w:color w:val="auto"/>
      <w:spacing w:val="0"/>
      <w:w w:val="100"/>
      <w:kern w:val="0"/>
      <w:position w:val="0"/>
      <w:sz w:val="27"/>
      <w:u w:val="none" w:color="auto"/>
      <w:shd w:val="clear" w:color="auto" w:fill="auto"/>
      <w:vertAlign w:val="baseline"/>
      <w:lang w:val="en-US" w:eastAsia="zh-CN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snapToGrid/>
      <w:color w:val="auto"/>
      <w:spacing w:val="0"/>
      <w:w w:val="100"/>
      <w:kern w:val="0"/>
      <w:position w:val="0"/>
      <w:sz w:val="24"/>
      <w:u w:val="none" w:color="auto"/>
      <w:shd w:val="clear" w:color="auto" w:fill="auto"/>
      <w:vertAlign w:val="baseline"/>
      <w:lang w:val="en-US" w:eastAsia="zh-CN"/>
    </w:rPr>
  </w:style>
  <w:style w:type="character" w:styleId="8">
    <w:name w:val="Strong"/>
    <w:basedOn w:val="7"/>
    <w:qFormat/>
    <w:uiPriority w:val="0"/>
    <w:rPr>
      <w:b/>
      <w:bCs/>
    </w:rPr>
  </w:style>
  <w:style w:type="character" w:customStyle="1" w:styleId="9">
    <w:name w:val="heading 1 Char"/>
    <w:basedOn w:val="7"/>
    <w:link w:val="2"/>
    <w:qFormat/>
    <w:uiPriority w:val="0"/>
    <w:rPr>
      <w:rFonts w:ascii="宋体" w:hAnsi="Times New Roman" w:eastAsia="宋体" w:cs="Arial"/>
      <w:b/>
      <w:snapToGrid/>
      <w:color w:val="auto"/>
      <w:spacing w:val="0"/>
      <w:w w:val="100"/>
      <w:kern w:val="36"/>
      <w:position w:val="0"/>
      <w:sz w:val="48"/>
      <w:szCs w:val="21"/>
      <w:u w:val="none" w:color="auto"/>
      <w:shd w:val="clear" w:color="auto" w:fill="auto"/>
      <w:vertAlign w:val="baseline"/>
      <w:lang w:val="en-US" w:eastAsia="zh-CN" w:bidi="ar-SA"/>
    </w:rPr>
  </w:style>
  <w:style w:type="character" w:customStyle="1" w:styleId="10">
    <w:name w:val="heading 2 Char"/>
    <w:basedOn w:val="7"/>
    <w:link w:val="3"/>
    <w:qFormat/>
    <w:uiPriority w:val="0"/>
    <w:rPr>
      <w:rFonts w:ascii="宋体" w:hAnsi="Times New Roman" w:eastAsia="宋体" w:cs="Arial"/>
      <w:b/>
      <w:snapToGrid/>
      <w:color w:val="auto"/>
      <w:spacing w:val="0"/>
      <w:w w:val="100"/>
      <w:kern w:val="0"/>
      <w:position w:val="0"/>
      <w:sz w:val="36"/>
      <w:szCs w:val="21"/>
      <w:u w:val="none" w:color="auto"/>
      <w:shd w:val="clear" w:color="auto" w:fill="auto"/>
      <w:vertAlign w:val="baseline"/>
      <w:lang w:val="en-US" w:eastAsia="zh-CN" w:bidi="ar-SA"/>
    </w:rPr>
  </w:style>
  <w:style w:type="character" w:customStyle="1" w:styleId="11">
    <w:name w:val="heading 3 Char"/>
    <w:basedOn w:val="7"/>
    <w:link w:val="4"/>
    <w:qFormat/>
    <w:uiPriority w:val="0"/>
    <w:rPr>
      <w:rFonts w:ascii="宋体" w:hAnsi="Times New Roman" w:eastAsia="宋体" w:cs="Arial"/>
      <w:b/>
      <w:snapToGrid/>
      <w:color w:val="auto"/>
      <w:spacing w:val="0"/>
      <w:w w:val="100"/>
      <w:kern w:val="0"/>
      <w:position w:val="0"/>
      <w:sz w:val="27"/>
      <w:szCs w:val="21"/>
      <w:u w:val="none" w:color="auto"/>
      <w:shd w:val="clear" w:color="auto" w:fill="auto"/>
      <w:vertAlign w:val="baseline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</customProps>
</customData>
</file>

<file path=customXml/itemProps1.xml><?xml version="1.0" encoding="utf-8"?>
<ds:datastoreItem xmlns:ds="http://schemas.openxmlformats.org/officeDocument/2006/customXml" ds:itemID="{61188393-F76C-44C0-9757-20FA1D7473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3</Pages>
  <Words>1070</Words>
  <Characters>1196</Characters>
  <Lines>0</Lines>
  <Paragraphs>37</Paragraphs>
  <TotalTime>0</TotalTime>
  <ScaleCrop>false</ScaleCrop>
  <LinksUpToDate>false</LinksUpToDate>
  <CharactersWithSpaces>1211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2021-05-08T07:28:00Z</dcterms:created>
  <dc:creator>User274</dc:creator>
  <cp:lastModifiedBy>TSUBASA</cp:lastModifiedBy>
  <dcterms:modified xsi:type="dcterms:W3CDTF">2025-04-28T07:35:12Z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eyJoZGlkIjoiNDFlZDA4YmQ0YmFlODcyZmMwMDdlYjI5N2JlZDk1ZGUiLCJ1c2VySWQiOiI2MTIyMTAyMDEifQ==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516FBD95412B4A01A5F20E41A996E155_12</vt:lpwstr>
  </property>
</Properties>
</file>